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bCs/>
          <w:color w:val="2F5773" w:themeColor="text2"/>
          <w:spacing w:val="5"/>
          <w:kern w:val="28"/>
          <w:sz w:val="32"/>
          <w:szCs w:val="52"/>
          <w:lang w:val="en-GB"/>
        </w:rPr>
        <w:id w:val="1592576648"/>
        <w:docPartObj>
          <w:docPartGallery w:val="Cover Pages"/>
          <w:docPartUnique/>
        </w:docPartObj>
      </w:sdtPr>
      <w:sdtEndPr>
        <w:rPr>
          <w:caps/>
          <w:sz w:val="16"/>
          <w:szCs w:val="18"/>
        </w:rPr>
      </w:sdtEndPr>
      <w:sdtContent>
        <w:p w:rsidR="000F6FD8" w:rsidRPr="00CD3A8C" w:rsidRDefault="000F6FD8" w:rsidP="004512B0">
          <w:pPr>
            <w:rPr>
              <w:lang w:val="en-GB"/>
            </w:rPr>
          </w:pPr>
        </w:p>
        <w:tbl>
          <w:tblPr>
            <w:tblW w:w="0" w:type="auto"/>
            <w:tblCellMar>
              <w:top w:w="85" w:type="dxa"/>
              <w:bottom w:w="85" w:type="dxa"/>
            </w:tblCellMar>
            <w:tblLook w:val="04A0" w:firstRow="1" w:lastRow="0" w:firstColumn="1" w:lastColumn="0" w:noHBand="0" w:noVBand="1"/>
          </w:tblPr>
          <w:tblGrid>
            <w:gridCol w:w="3686"/>
          </w:tblGrid>
          <w:tr w:rsidR="000F6FD8" w:rsidRPr="00CD3A8C" w:rsidTr="00BD6C96">
            <w:tc>
              <w:tcPr>
                <w:tcW w:w="3686" w:type="dxa"/>
                <w:tcBorders>
                  <w:bottom w:val="single" w:sz="4" w:space="0" w:color="A6A6A6" w:themeColor="background1" w:themeShade="A6"/>
                </w:tcBorders>
                <w:shd w:val="clear" w:color="auto" w:fill="auto"/>
              </w:tcPr>
              <w:p w:rsidR="000F6FD8" w:rsidRPr="00CD3A8C" w:rsidRDefault="00E7282F" w:rsidP="00F034AC">
                <w:pPr>
                  <w:rPr>
                    <w:lang w:val="en-GB"/>
                  </w:rPr>
                </w:pPr>
                <w:r>
                  <w:rPr>
                    <w:rFonts w:cstheme="minorHAnsi"/>
                    <w:lang w:val="en-GB"/>
                  </w:rPr>
                  <w:fldChar w:fldCharType="begin">
                    <w:ffData>
                      <w:name w:val="Text1"/>
                      <w:enabled/>
                      <w:calcOnExit w:val="0"/>
                      <w:textInput>
                        <w:default w:val="EBA/GL/2014/09 Appendix 1"/>
                      </w:textInput>
                    </w:ffData>
                  </w:fldChar>
                </w:r>
                <w:bookmarkStart w:id="1" w:name="Text1"/>
                <w:r>
                  <w:rPr>
                    <w:rFonts w:cstheme="minorHAnsi"/>
                    <w:lang w:val="en-GB"/>
                  </w:rPr>
                  <w:instrText xml:space="preserve"> FORMTEXT </w:instrText>
                </w:r>
                <w:r>
                  <w:rPr>
                    <w:rFonts w:cstheme="minorHAnsi"/>
                    <w:lang w:val="en-GB"/>
                  </w:rPr>
                </w:r>
                <w:r>
                  <w:rPr>
                    <w:rFonts w:cstheme="minorHAnsi"/>
                    <w:lang w:val="en-GB"/>
                  </w:rPr>
                  <w:fldChar w:fldCharType="separate"/>
                </w:r>
                <w:r>
                  <w:rPr>
                    <w:rFonts w:cstheme="minorHAnsi"/>
                    <w:noProof/>
                    <w:lang w:val="en-GB"/>
                  </w:rPr>
                  <w:t>EBA/GL/2014/09 Appendix 1</w:t>
                </w:r>
                <w:r>
                  <w:rPr>
                    <w:rFonts w:cstheme="minorHAnsi"/>
                    <w:lang w:val="en-GB"/>
                  </w:rPr>
                  <w:fldChar w:fldCharType="end"/>
                </w:r>
                <w:bookmarkEnd w:id="1"/>
              </w:p>
            </w:tc>
          </w:tr>
          <w:tr w:rsidR="000F6FD8" w:rsidRPr="00CD3A8C" w:rsidTr="00BD6C96">
            <w:tc>
              <w:tcPr>
                <w:tcW w:w="3686" w:type="dxa"/>
                <w:tcBorders>
                  <w:top w:val="single" w:sz="4" w:space="0" w:color="A6A6A6" w:themeColor="background1" w:themeShade="A6"/>
                  <w:bottom w:val="single" w:sz="4" w:space="0" w:color="A6A6A6" w:themeColor="background1" w:themeShade="A6"/>
                </w:tcBorders>
                <w:shd w:val="clear" w:color="auto" w:fill="auto"/>
              </w:tcPr>
              <w:p w:rsidR="000F6FD8" w:rsidRPr="00CD3A8C" w:rsidRDefault="00E7282F" w:rsidP="00926F50">
                <w:pPr>
                  <w:rPr>
                    <w:lang w:val="en-GB"/>
                  </w:rPr>
                </w:pPr>
                <w:r>
                  <w:rPr>
                    <w:rFonts w:cstheme="minorHAnsi"/>
                    <w:lang w:val="en-GB"/>
                  </w:rPr>
                  <w:fldChar w:fldCharType="begin">
                    <w:ffData>
                      <w:name w:val=""/>
                      <w:enabled/>
                      <w:calcOnExit/>
                      <w:textInput>
                        <w:default w:val="22 September 2014"/>
                      </w:textInput>
                    </w:ffData>
                  </w:fldChar>
                </w:r>
                <w:r>
                  <w:rPr>
                    <w:rFonts w:cstheme="minorHAnsi"/>
                    <w:lang w:val="en-GB"/>
                  </w:rPr>
                  <w:instrText xml:space="preserve"> FORMTEXT </w:instrText>
                </w:r>
                <w:r>
                  <w:rPr>
                    <w:rFonts w:cstheme="minorHAnsi"/>
                    <w:lang w:val="en-GB"/>
                  </w:rPr>
                </w:r>
                <w:r>
                  <w:rPr>
                    <w:rFonts w:cstheme="minorHAnsi"/>
                    <w:lang w:val="en-GB"/>
                  </w:rPr>
                  <w:fldChar w:fldCharType="separate"/>
                </w:r>
                <w:r>
                  <w:rPr>
                    <w:rFonts w:cstheme="minorHAnsi"/>
                    <w:noProof/>
                    <w:lang w:val="en-GB"/>
                  </w:rPr>
                  <w:t>22 September 2014</w:t>
                </w:r>
                <w:r>
                  <w:rPr>
                    <w:rFonts w:cstheme="minorHAnsi"/>
                    <w:lang w:val="en-GB"/>
                  </w:rPr>
                  <w:fldChar w:fldCharType="end"/>
                </w:r>
                <w:r w:rsidR="005F1DD8">
                  <w:rPr>
                    <w:rFonts w:cstheme="minorHAnsi"/>
                    <w:lang w:val="en-GB"/>
                  </w:rPr>
                  <w:t xml:space="preserve"> – Updated </w:t>
                </w:r>
                <w:r w:rsidR="00926F50">
                  <w:rPr>
                    <w:rFonts w:cstheme="minorHAnsi"/>
                    <w:lang w:val="en-GB"/>
                  </w:rPr>
                  <w:t xml:space="preserve">—7 April </w:t>
                </w:r>
                <w:r w:rsidR="005F0308">
                  <w:rPr>
                    <w:rFonts w:cstheme="minorHAnsi"/>
                    <w:lang w:val="en-GB"/>
                  </w:rPr>
                  <w:t>2017</w:t>
                </w:r>
                <w:r w:rsidR="000C1FF9">
                  <w:rPr>
                    <w:rFonts w:cstheme="minorHAnsi"/>
                    <w:lang w:val="en-GB"/>
                  </w:rPr>
                  <w:t xml:space="preserve"> </w:t>
                </w:r>
              </w:p>
            </w:tc>
          </w:tr>
          <w:tr w:rsidR="0034509B" w:rsidRPr="0034509B" w:rsidTr="00BD6C96">
            <w:tc>
              <w:tcPr>
                <w:tcW w:w="3686" w:type="dxa"/>
                <w:tcBorders>
                  <w:top w:val="single" w:sz="4" w:space="0" w:color="A6A6A6" w:themeColor="background1" w:themeShade="A6"/>
                  <w:bottom w:val="single" w:sz="4" w:space="0" w:color="A6A6A6" w:themeColor="background1" w:themeShade="A6"/>
                </w:tcBorders>
                <w:shd w:val="clear" w:color="auto" w:fill="auto"/>
              </w:tcPr>
              <w:p w:rsidR="000F6FD8" w:rsidRPr="0034509B" w:rsidRDefault="0034509B" w:rsidP="00E7282F">
                <w:pPr>
                  <w:rPr>
                    <w:lang w:val="en-GB"/>
                  </w:rPr>
                </w:pPr>
                <w:r w:rsidRPr="0034509B">
                  <w:rPr>
                    <w:lang w:val="en-GB"/>
                  </w:rPr>
                  <w:t>GL/2014/0</w:t>
                </w:r>
                <w:r w:rsidR="00E7282F">
                  <w:rPr>
                    <w:lang w:val="en-GB"/>
                  </w:rPr>
                  <w:t>9</w:t>
                </w:r>
                <w:r w:rsidRPr="0034509B">
                  <w:rPr>
                    <w:lang w:val="en-GB"/>
                  </w:rPr>
                  <w:t xml:space="preserve"> + </w:t>
                </w:r>
                <w:r w:rsidR="008419ED" w:rsidRPr="0034509B">
                  <w:rPr>
                    <w:lang w:val="en-GB"/>
                  </w:rPr>
                  <w:t xml:space="preserve">Appendix 1 </w:t>
                </w:r>
              </w:p>
            </w:tc>
          </w:tr>
          <w:tr w:rsidR="000F6FD8" w:rsidRPr="00CD3A8C" w:rsidTr="00BD6C96">
            <w:tc>
              <w:tcPr>
                <w:tcW w:w="3686" w:type="dxa"/>
                <w:tcBorders>
                  <w:top w:val="single" w:sz="4" w:space="0" w:color="A6A6A6" w:themeColor="background1" w:themeShade="A6"/>
                </w:tcBorders>
                <w:shd w:val="clear" w:color="auto" w:fill="auto"/>
              </w:tcPr>
              <w:p w:rsidR="000F6FD8" w:rsidRPr="00CD3A8C" w:rsidRDefault="000F6FD8" w:rsidP="00F034AC">
                <w:pPr>
                  <w:rPr>
                    <w:lang w:val="en-GB"/>
                  </w:rPr>
                </w:pPr>
              </w:p>
            </w:tc>
          </w:tr>
        </w:tbl>
        <w:p w:rsidR="008419ED" w:rsidRPr="00CD3A8C" w:rsidRDefault="008419ED" w:rsidP="0005368B">
          <w:pPr>
            <w:pStyle w:val="Titlelevel1"/>
            <w:rPr>
              <w:lang w:val="en-GB"/>
            </w:rPr>
          </w:pPr>
          <w:r w:rsidRPr="00CD3A8C">
            <w:rPr>
              <w:lang w:val="en-GB"/>
            </w:rPr>
            <w:t>Compliance Table</w:t>
          </w:r>
          <w:r w:rsidR="0019177F">
            <w:rPr>
              <w:lang w:val="en-GB"/>
            </w:rPr>
            <w:t xml:space="preserve"> - Guidelines</w:t>
          </w:r>
        </w:p>
      </w:sdtContent>
    </w:sdt>
    <w:p w:rsidR="008419ED" w:rsidRPr="00CD3A8C" w:rsidRDefault="008419ED" w:rsidP="0005368B">
      <w:pPr>
        <w:pStyle w:val="body"/>
        <w:rPr>
          <w:lang w:val="en-GB"/>
        </w:rPr>
      </w:pPr>
      <w:r w:rsidRPr="00CD3A8C">
        <w:rPr>
          <w:lang w:val="en-GB"/>
        </w:rPr>
        <w:t>Based on information supplied by them, the following competent authorities comply or intend to comply with: EBA</w:t>
      </w:r>
      <w:r w:rsidR="0019177F">
        <w:rPr>
          <w:lang w:val="en-GB"/>
        </w:rPr>
        <w:t xml:space="preserve"> Guidelines – EBA/GL/2014/0</w:t>
      </w:r>
      <w:r w:rsidR="00E7282F">
        <w:rPr>
          <w:lang w:val="en-GB"/>
        </w:rPr>
        <w:t>9</w:t>
      </w:r>
      <w:r w:rsidR="0019177F">
        <w:rPr>
          <w:lang w:val="en-GB"/>
        </w:rPr>
        <w:t xml:space="preserve"> on G</w:t>
      </w:r>
      <w:r w:rsidR="00561B80">
        <w:rPr>
          <w:lang w:val="en-GB"/>
        </w:rPr>
        <w:t xml:space="preserve">uidelines on </w:t>
      </w:r>
      <w:r w:rsidR="00E7282F">
        <w:rPr>
          <w:lang w:val="en-GB"/>
        </w:rPr>
        <w:t xml:space="preserve">Tests, Reviews, Exercises that may lead to support Measures </w:t>
      </w:r>
      <w:r w:rsidR="0019177F">
        <w:rPr>
          <w:lang w:val="en-GB"/>
        </w:rPr>
        <w:t xml:space="preserve">– </w:t>
      </w:r>
      <w:r w:rsidRPr="00CD3A8C">
        <w:rPr>
          <w:lang w:val="en-GB"/>
        </w:rPr>
        <w:t>published on</w:t>
      </w:r>
      <w:r w:rsidR="00561B80">
        <w:rPr>
          <w:lang w:val="en-GB"/>
        </w:rPr>
        <w:t xml:space="preserve"> </w:t>
      </w:r>
      <w:r w:rsidR="00E7282F">
        <w:rPr>
          <w:lang w:val="en-GB"/>
        </w:rPr>
        <w:t>22</w:t>
      </w:r>
      <w:r w:rsidR="00E7282F" w:rsidRPr="00E7282F">
        <w:rPr>
          <w:vertAlign w:val="superscript"/>
          <w:lang w:val="en-GB"/>
        </w:rPr>
        <w:t>nd</w:t>
      </w:r>
      <w:r w:rsidR="00E7282F">
        <w:rPr>
          <w:lang w:val="en-GB"/>
        </w:rPr>
        <w:t xml:space="preserve"> September </w:t>
      </w:r>
      <w:r w:rsidR="0019177F">
        <w:rPr>
          <w:lang w:val="en-GB"/>
        </w:rPr>
        <w:t>2014.</w:t>
      </w:r>
    </w:p>
    <w:p w:rsidR="0005368B" w:rsidRPr="00CD3A8C" w:rsidRDefault="0005368B" w:rsidP="0005368B">
      <w:pPr>
        <w:pStyle w:val="body"/>
        <w:rPr>
          <w:lang w:val="en-GB"/>
        </w:rPr>
        <w:sectPr w:rsidR="0005368B" w:rsidRPr="00CD3A8C" w:rsidSect="0073701C">
          <w:headerReference w:type="even" r:id="rId9"/>
          <w:headerReference w:type="default" r:id="rId10"/>
          <w:footerReference w:type="even" r:id="rId11"/>
          <w:footerReference w:type="default" r:id="rId12"/>
          <w:headerReference w:type="first" r:id="rId13"/>
          <w:pgSz w:w="16840" w:h="11900" w:orient="landscape"/>
          <w:pgMar w:top="1701" w:right="1418" w:bottom="1134" w:left="1701" w:header="709" w:footer="709" w:gutter="0"/>
          <w:cols w:space="708"/>
          <w:titlePg/>
        </w:sectPr>
      </w:pPr>
    </w:p>
    <w:p w:rsidR="0005368B" w:rsidRPr="00CD3A8C" w:rsidRDefault="0005368B" w:rsidP="003859F5">
      <w:pPr>
        <w:rPr>
          <w:lang w:val="en-GB"/>
        </w:rPr>
      </w:pPr>
    </w:p>
    <w:tbl>
      <w:tblPr>
        <w:tblStyle w:val="EBAtable"/>
        <w:tblW w:w="1365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675"/>
        <w:gridCol w:w="1560"/>
        <w:gridCol w:w="2126"/>
        <w:gridCol w:w="2268"/>
        <w:gridCol w:w="7025"/>
      </w:tblGrid>
      <w:tr w:rsidR="0005368B" w:rsidRPr="00CD3A8C" w:rsidTr="00CF5F4B">
        <w:trPr>
          <w:cnfStyle w:val="100000000000" w:firstRow="1" w:lastRow="0" w:firstColumn="0" w:lastColumn="0" w:oddVBand="0" w:evenVBand="0" w:oddHBand="0" w:evenHBand="0" w:firstRowFirstColumn="0" w:firstRowLastColumn="0" w:lastRowFirstColumn="0" w:lastRowLastColumn="0"/>
          <w:trHeight w:val="748"/>
        </w:trPr>
        <w:tc>
          <w:tcPr>
            <w:tcW w:w="2235"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05368B" w:rsidRPr="00CD3A8C" w:rsidRDefault="0005368B" w:rsidP="00AB01B5">
            <w:pPr>
              <w:pStyle w:val="Tableheader"/>
              <w:jc w:val="center"/>
              <w:rPr>
                <w:lang w:val="en-GB"/>
              </w:rPr>
            </w:pPr>
            <w:bookmarkStart w:id="2" w:name="RANGE!A1:E32"/>
            <w:bookmarkStart w:id="3" w:name="_Toc238803087"/>
            <w:bookmarkStart w:id="4" w:name="_Toc238803888"/>
            <w:r w:rsidRPr="00CD3A8C">
              <w:rPr>
                <w:lang w:val="en-GB"/>
              </w:rPr>
              <w:t>Member State</w:t>
            </w:r>
            <w:bookmarkEnd w:id="2"/>
          </w:p>
        </w:tc>
        <w:tc>
          <w:tcPr>
            <w:tcW w:w="212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5368B" w:rsidRPr="00CD3A8C" w:rsidRDefault="0005368B" w:rsidP="00AB01B5">
            <w:pPr>
              <w:pStyle w:val="Tableheader"/>
              <w:jc w:val="center"/>
              <w:rPr>
                <w:lang w:val="en-GB"/>
              </w:rPr>
            </w:pPr>
            <w:r w:rsidRPr="00CD3A8C">
              <w:rPr>
                <w:lang w:val="en-GB"/>
              </w:rPr>
              <w:t>Competent</w:t>
            </w:r>
            <w:r w:rsidRPr="00CD3A8C">
              <w:rPr>
                <w:lang w:val="en-GB"/>
              </w:rPr>
              <w:br/>
              <w:t>authority</w:t>
            </w:r>
          </w:p>
        </w:tc>
        <w:tc>
          <w:tcPr>
            <w:tcW w:w="22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5368B" w:rsidRPr="00CD3A8C" w:rsidRDefault="0005368B" w:rsidP="00AB01B5">
            <w:pPr>
              <w:pStyle w:val="Tableheader"/>
              <w:jc w:val="center"/>
              <w:rPr>
                <w:lang w:val="en-GB"/>
              </w:rPr>
            </w:pPr>
            <w:r w:rsidRPr="00CD3A8C">
              <w:rPr>
                <w:lang w:val="en-GB"/>
              </w:rPr>
              <w:t>Complies or</w:t>
            </w:r>
            <w:r w:rsidRPr="00CD3A8C">
              <w:rPr>
                <w:lang w:val="en-GB"/>
              </w:rPr>
              <w:br/>
              <w:t>intends to comply</w:t>
            </w:r>
          </w:p>
        </w:tc>
        <w:tc>
          <w:tcPr>
            <w:tcW w:w="70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5368B" w:rsidRPr="00CD3A8C" w:rsidRDefault="0005368B" w:rsidP="00AB01B5">
            <w:pPr>
              <w:pStyle w:val="Tableheader"/>
              <w:jc w:val="center"/>
              <w:rPr>
                <w:lang w:val="en-GB"/>
              </w:rPr>
            </w:pPr>
            <w:r w:rsidRPr="00CD3A8C">
              <w:rPr>
                <w:lang w:val="en-GB"/>
              </w:rPr>
              <w:t>Comments</w:t>
            </w:r>
          </w:p>
        </w:tc>
      </w:tr>
      <w:tr w:rsidR="0005368B" w:rsidRPr="00CD3A8C" w:rsidTr="00B04F6F">
        <w:tc>
          <w:tcPr>
            <w:tcW w:w="675" w:type="dxa"/>
          </w:tcPr>
          <w:p w:rsidR="0005368B" w:rsidRPr="00CD3A8C" w:rsidRDefault="0005368B" w:rsidP="00AE55F6">
            <w:pPr>
              <w:pStyle w:val="Tabledata"/>
            </w:pPr>
            <w:r w:rsidRPr="00CD3A8C">
              <w:t>BE</w:t>
            </w:r>
          </w:p>
        </w:tc>
        <w:tc>
          <w:tcPr>
            <w:tcW w:w="1560" w:type="dxa"/>
          </w:tcPr>
          <w:p w:rsidR="0005368B" w:rsidRPr="00CD3A8C" w:rsidRDefault="0005368B" w:rsidP="0005368B">
            <w:pPr>
              <w:pStyle w:val="Tabledata"/>
            </w:pPr>
            <w:r w:rsidRPr="00CD3A8C">
              <w:t>Belgium</w:t>
            </w:r>
          </w:p>
        </w:tc>
        <w:tc>
          <w:tcPr>
            <w:tcW w:w="2126" w:type="dxa"/>
          </w:tcPr>
          <w:p w:rsidR="0005368B" w:rsidRPr="00CD3A8C" w:rsidRDefault="0005368B" w:rsidP="000424D3">
            <w:pPr>
              <w:pStyle w:val="Tabledata"/>
              <w:jc w:val="left"/>
            </w:pPr>
            <w:r w:rsidRPr="00CD3A8C">
              <w:rPr>
                <w:rFonts w:cs="Arial"/>
                <w:bCs w:val="0"/>
              </w:rPr>
              <w:t>National Bank of Belgium</w:t>
            </w:r>
          </w:p>
        </w:tc>
        <w:tc>
          <w:tcPr>
            <w:tcW w:w="2268" w:type="dxa"/>
            <w:shd w:val="clear" w:color="auto" w:fill="245539" w:themeFill="accent4" w:themeFillShade="80"/>
          </w:tcPr>
          <w:p w:rsidR="0005368B" w:rsidRPr="00506885" w:rsidRDefault="00B04F6F" w:rsidP="00B04F6F">
            <w:pPr>
              <w:pStyle w:val="Tabledata"/>
              <w:jc w:val="center"/>
              <w:rPr>
                <w:b/>
                <w:color w:val="auto"/>
              </w:rPr>
            </w:pPr>
            <w:r>
              <w:rPr>
                <w:b/>
                <w:color w:val="auto"/>
              </w:rPr>
              <w:t>Yes</w:t>
            </w:r>
          </w:p>
        </w:tc>
        <w:tc>
          <w:tcPr>
            <w:tcW w:w="7025" w:type="dxa"/>
          </w:tcPr>
          <w:p w:rsidR="0005368B" w:rsidRPr="0099287B" w:rsidRDefault="0005368B" w:rsidP="00031712">
            <w:pPr>
              <w:pStyle w:val="Tabledata"/>
              <w:rPr>
                <w:szCs w:val="20"/>
              </w:rPr>
            </w:pPr>
          </w:p>
        </w:tc>
      </w:tr>
      <w:tr w:rsidR="0005368B" w:rsidRPr="00CD3A8C" w:rsidTr="00D20B41">
        <w:tc>
          <w:tcPr>
            <w:tcW w:w="675" w:type="dxa"/>
          </w:tcPr>
          <w:p w:rsidR="0005368B" w:rsidRPr="00CD3A8C" w:rsidRDefault="0005368B" w:rsidP="00AE55F6">
            <w:pPr>
              <w:pStyle w:val="Tabledata"/>
            </w:pPr>
            <w:r w:rsidRPr="00CD3A8C">
              <w:t>BG</w:t>
            </w:r>
          </w:p>
        </w:tc>
        <w:tc>
          <w:tcPr>
            <w:tcW w:w="1560" w:type="dxa"/>
          </w:tcPr>
          <w:p w:rsidR="0005368B" w:rsidRPr="00CD3A8C" w:rsidRDefault="0005368B" w:rsidP="0005368B">
            <w:pPr>
              <w:pStyle w:val="Tabledata"/>
            </w:pPr>
            <w:r w:rsidRPr="00CD3A8C">
              <w:t>Bulgaria</w:t>
            </w:r>
          </w:p>
        </w:tc>
        <w:tc>
          <w:tcPr>
            <w:tcW w:w="2126" w:type="dxa"/>
          </w:tcPr>
          <w:p w:rsidR="0005368B" w:rsidRPr="00CD3A8C" w:rsidRDefault="00957E0A" w:rsidP="000424D3">
            <w:pPr>
              <w:pStyle w:val="Tabledata"/>
              <w:jc w:val="left"/>
            </w:pPr>
            <w:proofErr w:type="spellStart"/>
            <w:r w:rsidRPr="00CD3A8C">
              <w:rPr>
                <w:rFonts w:cs="Arial"/>
                <w:bCs w:val="0"/>
              </w:rPr>
              <w:t>Българска</w:t>
            </w:r>
            <w:proofErr w:type="spellEnd"/>
            <w:r w:rsidRPr="00CD3A8C">
              <w:rPr>
                <w:rFonts w:cs="Arial"/>
                <w:bCs w:val="0"/>
              </w:rPr>
              <w:t xml:space="preserve"> </w:t>
            </w:r>
            <w:proofErr w:type="spellStart"/>
            <w:r w:rsidRPr="00CD3A8C">
              <w:rPr>
                <w:rFonts w:cs="Arial"/>
                <w:bCs w:val="0"/>
              </w:rPr>
              <w:t>народна</w:t>
            </w:r>
            <w:proofErr w:type="spellEnd"/>
            <w:r w:rsidRPr="00CD3A8C">
              <w:rPr>
                <w:rFonts w:cs="Arial"/>
                <w:bCs w:val="0"/>
              </w:rPr>
              <w:t xml:space="preserve"> </w:t>
            </w:r>
            <w:proofErr w:type="spellStart"/>
            <w:r w:rsidRPr="00CD3A8C">
              <w:rPr>
                <w:rFonts w:cs="Arial"/>
                <w:bCs w:val="0"/>
              </w:rPr>
              <w:t>банка</w:t>
            </w:r>
            <w:proofErr w:type="spellEnd"/>
            <w:r w:rsidRPr="00CD3A8C">
              <w:rPr>
                <w:rFonts w:cs="Arial"/>
                <w:bCs w:val="0"/>
              </w:rPr>
              <w:t xml:space="preserve"> (Bulgarian National Bank)</w:t>
            </w:r>
          </w:p>
        </w:tc>
        <w:tc>
          <w:tcPr>
            <w:tcW w:w="2268" w:type="dxa"/>
            <w:shd w:val="clear" w:color="auto" w:fill="245539" w:themeFill="accent4" w:themeFillShade="80"/>
          </w:tcPr>
          <w:p w:rsidR="0005368B" w:rsidRPr="00CD3A8C" w:rsidRDefault="00D20B41" w:rsidP="00883CDB">
            <w:pPr>
              <w:pStyle w:val="Tabledata"/>
              <w:jc w:val="center"/>
              <w:rPr>
                <w:b/>
                <w:color w:val="D44D2A" w:themeColor="accent3"/>
              </w:rPr>
            </w:pPr>
            <w:r w:rsidRPr="00D20B41">
              <w:rPr>
                <w:b/>
                <w:color w:val="auto"/>
              </w:rPr>
              <w:t>Yes</w:t>
            </w:r>
          </w:p>
        </w:tc>
        <w:tc>
          <w:tcPr>
            <w:tcW w:w="7025" w:type="dxa"/>
          </w:tcPr>
          <w:p w:rsidR="0005368B" w:rsidRPr="0099287B" w:rsidRDefault="0005368B" w:rsidP="00031712">
            <w:pPr>
              <w:pStyle w:val="Tabledata"/>
              <w:rPr>
                <w:szCs w:val="20"/>
              </w:rPr>
            </w:pPr>
          </w:p>
        </w:tc>
      </w:tr>
      <w:tr w:rsidR="0005368B" w:rsidRPr="00CD3A8C" w:rsidTr="007834BC">
        <w:tc>
          <w:tcPr>
            <w:tcW w:w="675" w:type="dxa"/>
          </w:tcPr>
          <w:p w:rsidR="0005368B" w:rsidRPr="00CD3A8C" w:rsidRDefault="0005368B" w:rsidP="00AE55F6">
            <w:pPr>
              <w:pStyle w:val="Tabledata"/>
            </w:pPr>
            <w:r w:rsidRPr="00CD3A8C">
              <w:t>CZ</w:t>
            </w:r>
          </w:p>
        </w:tc>
        <w:tc>
          <w:tcPr>
            <w:tcW w:w="1560" w:type="dxa"/>
          </w:tcPr>
          <w:p w:rsidR="0005368B" w:rsidRPr="00CD3A8C" w:rsidRDefault="0005368B" w:rsidP="0005368B">
            <w:pPr>
              <w:pStyle w:val="Tabledata"/>
            </w:pPr>
            <w:r w:rsidRPr="00CD3A8C">
              <w:t>Czech Republic</w:t>
            </w:r>
          </w:p>
        </w:tc>
        <w:tc>
          <w:tcPr>
            <w:tcW w:w="2126" w:type="dxa"/>
          </w:tcPr>
          <w:p w:rsidR="0005368B" w:rsidRPr="00CD3A8C" w:rsidRDefault="0005368B" w:rsidP="000424D3">
            <w:pPr>
              <w:pStyle w:val="Tabledata"/>
              <w:jc w:val="left"/>
            </w:pPr>
            <w:proofErr w:type="spellStart"/>
            <w:r w:rsidRPr="00CD3A8C">
              <w:rPr>
                <w:rFonts w:cs="Arial"/>
                <w:bCs w:val="0"/>
              </w:rPr>
              <w:t>Česká</w:t>
            </w:r>
            <w:proofErr w:type="spellEnd"/>
            <w:r w:rsidRPr="00CD3A8C">
              <w:rPr>
                <w:rFonts w:cs="Arial"/>
                <w:bCs w:val="0"/>
              </w:rPr>
              <w:t xml:space="preserve"> </w:t>
            </w:r>
            <w:proofErr w:type="spellStart"/>
            <w:r w:rsidRPr="00CD3A8C">
              <w:rPr>
                <w:rFonts w:cs="Arial"/>
                <w:bCs w:val="0"/>
              </w:rPr>
              <w:t>Národni</w:t>
            </w:r>
            <w:proofErr w:type="spellEnd"/>
            <w:r w:rsidRPr="00CD3A8C">
              <w:rPr>
                <w:rFonts w:cs="Arial"/>
                <w:bCs w:val="0"/>
              </w:rPr>
              <w:t xml:space="preserve"> Banka</w:t>
            </w:r>
            <w:r w:rsidR="009853B5" w:rsidRPr="00CD3A8C">
              <w:rPr>
                <w:rFonts w:cs="Arial"/>
                <w:bCs w:val="0"/>
              </w:rPr>
              <w:t xml:space="preserve"> (Czech National Bank)</w:t>
            </w:r>
          </w:p>
        </w:tc>
        <w:tc>
          <w:tcPr>
            <w:tcW w:w="2268" w:type="dxa"/>
            <w:shd w:val="clear" w:color="auto" w:fill="245539" w:themeFill="accent4" w:themeFillShade="80"/>
          </w:tcPr>
          <w:p w:rsidR="0005368B" w:rsidRPr="00CD3A8C" w:rsidRDefault="007834BC" w:rsidP="008C40B2">
            <w:pPr>
              <w:pStyle w:val="Tabledata"/>
              <w:ind w:left="284"/>
              <w:jc w:val="center"/>
              <w:rPr>
                <w:b/>
              </w:rPr>
            </w:pPr>
            <w:r>
              <w:rPr>
                <w:b/>
              </w:rPr>
              <w:t>Yes</w:t>
            </w:r>
          </w:p>
        </w:tc>
        <w:tc>
          <w:tcPr>
            <w:tcW w:w="7025" w:type="dxa"/>
          </w:tcPr>
          <w:p w:rsidR="0005368B" w:rsidRPr="0099287B" w:rsidRDefault="0005368B" w:rsidP="00031712">
            <w:pPr>
              <w:pStyle w:val="Tabledata"/>
              <w:rPr>
                <w:szCs w:val="20"/>
              </w:rPr>
            </w:pPr>
          </w:p>
        </w:tc>
      </w:tr>
      <w:tr w:rsidR="0005368B" w:rsidRPr="00CD3A8C" w:rsidTr="00030420">
        <w:tc>
          <w:tcPr>
            <w:tcW w:w="675" w:type="dxa"/>
          </w:tcPr>
          <w:p w:rsidR="0005368B" w:rsidRPr="00CD3A8C" w:rsidRDefault="0005368B" w:rsidP="00AE55F6">
            <w:pPr>
              <w:pStyle w:val="Tabledata"/>
            </w:pPr>
            <w:r w:rsidRPr="00CD3A8C">
              <w:t>DK</w:t>
            </w:r>
          </w:p>
        </w:tc>
        <w:tc>
          <w:tcPr>
            <w:tcW w:w="1560" w:type="dxa"/>
          </w:tcPr>
          <w:p w:rsidR="0005368B" w:rsidRPr="00CD3A8C" w:rsidRDefault="0005368B" w:rsidP="0005368B">
            <w:pPr>
              <w:pStyle w:val="Tabledata"/>
            </w:pPr>
            <w:r w:rsidRPr="00CD3A8C">
              <w:t>Denmark</w:t>
            </w:r>
          </w:p>
        </w:tc>
        <w:tc>
          <w:tcPr>
            <w:tcW w:w="2126" w:type="dxa"/>
          </w:tcPr>
          <w:p w:rsidR="0005368B" w:rsidRPr="00CD3A8C" w:rsidRDefault="00043038" w:rsidP="000424D3">
            <w:pPr>
              <w:pStyle w:val="Tabledata"/>
              <w:jc w:val="left"/>
            </w:pPr>
            <w:r w:rsidRPr="00CD3A8C">
              <w:rPr>
                <w:rFonts w:cs="Arial"/>
                <w:bCs w:val="0"/>
              </w:rPr>
              <w:t>Finanstilsynet (Danish Financial Supervisory Authority)</w:t>
            </w:r>
          </w:p>
        </w:tc>
        <w:tc>
          <w:tcPr>
            <w:tcW w:w="2268" w:type="dxa"/>
            <w:shd w:val="clear" w:color="auto" w:fill="245539" w:themeFill="accent4" w:themeFillShade="80"/>
          </w:tcPr>
          <w:p w:rsidR="0005368B" w:rsidRPr="00CD3A8C" w:rsidRDefault="00030420" w:rsidP="008C40B2">
            <w:pPr>
              <w:pStyle w:val="Tabledata"/>
              <w:ind w:left="284"/>
              <w:jc w:val="center"/>
              <w:rPr>
                <w:b/>
              </w:rPr>
            </w:pPr>
            <w:r>
              <w:rPr>
                <w:b/>
              </w:rPr>
              <w:t>Yes</w:t>
            </w:r>
          </w:p>
        </w:tc>
        <w:tc>
          <w:tcPr>
            <w:tcW w:w="7025" w:type="dxa"/>
          </w:tcPr>
          <w:p w:rsidR="0005368B" w:rsidRPr="0099287B" w:rsidRDefault="0005368B" w:rsidP="00031712">
            <w:pPr>
              <w:pStyle w:val="Tabledata"/>
              <w:rPr>
                <w:szCs w:val="20"/>
              </w:rPr>
            </w:pPr>
          </w:p>
        </w:tc>
      </w:tr>
      <w:tr w:rsidR="0005368B" w:rsidRPr="00CD3A8C" w:rsidTr="000A0191">
        <w:tc>
          <w:tcPr>
            <w:tcW w:w="675" w:type="dxa"/>
          </w:tcPr>
          <w:p w:rsidR="0005368B" w:rsidRPr="00CD3A8C" w:rsidRDefault="0005368B" w:rsidP="00AE55F6">
            <w:pPr>
              <w:pStyle w:val="Tabledata"/>
            </w:pPr>
            <w:r w:rsidRPr="00CD3A8C">
              <w:t>DE</w:t>
            </w:r>
          </w:p>
        </w:tc>
        <w:tc>
          <w:tcPr>
            <w:tcW w:w="1560" w:type="dxa"/>
          </w:tcPr>
          <w:p w:rsidR="0005368B" w:rsidRPr="00CD3A8C" w:rsidRDefault="0005368B" w:rsidP="0005368B">
            <w:pPr>
              <w:pStyle w:val="Tabledata"/>
            </w:pPr>
            <w:r w:rsidRPr="00CD3A8C">
              <w:t>Germany</w:t>
            </w:r>
          </w:p>
        </w:tc>
        <w:tc>
          <w:tcPr>
            <w:tcW w:w="2126" w:type="dxa"/>
          </w:tcPr>
          <w:p w:rsidR="0005368B" w:rsidRPr="00CD3A8C" w:rsidRDefault="00B022D7" w:rsidP="000424D3">
            <w:pPr>
              <w:pStyle w:val="Tabledata"/>
              <w:jc w:val="left"/>
            </w:pPr>
            <w:proofErr w:type="spellStart"/>
            <w:r w:rsidRPr="00CD3A8C">
              <w:rPr>
                <w:rFonts w:cs="Arial"/>
                <w:bCs w:val="0"/>
              </w:rPr>
              <w:t>Bundesanstalt</w:t>
            </w:r>
            <w:proofErr w:type="spellEnd"/>
            <w:r w:rsidRPr="00CD3A8C">
              <w:rPr>
                <w:rFonts w:cs="Arial"/>
                <w:bCs w:val="0"/>
              </w:rPr>
              <w:t xml:space="preserve"> </w:t>
            </w:r>
            <w:proofErr w:type="spellStart"/>
            <w:r w:rsidRPr="00CD3A8C">
              <w:rPr>
                <w:rFonts w:cs="Arial"/>
                <w:bCs w:val="0"/>
              </w:rPr>
              <w:t>für</w:t>
            </w:r>
            <w:proofErr w:type="spellEnd"/>
            <w:r w:rsidRPr="00CD3A8C">
              <w:rPr>
                <w:rFonts w:cs="Arial"/>
                <w:bCs w:val="0"/>
              </w:rPr>
              <w:t xml:space="preserve"> </w:t>
            </w:r>
            <w:proofErr w:type="spellStart"/>
            <w:r w:rsidRPr="00CD3A8C">
              <w:rPr>
                <w:rFonts w:cs="Arial"/>
                <w:bCs w:val="0"/>
              </w:rPr>
              <w:t>Finanzdienstleistungsaufsicht</w:t>
            </w:r>
            <w:proofErr w:type="spellEnd"/>
            <w:r w:rsidRPr="00CD3A8C">
              <w:rPr>
                <w:rFonts w:cs="Arial"/>
                <w:bCs w:val="0"/>
              </w:rPr>
              <w:t xml:space="preserve"> (Federal Financial Supervisory Authority)</w:t>
            </w:r>
          </w:p>
        </w:tc>
        <w:tc>
          <w:tcPr>
            <w:tcW w:w="2268" w:type="dxa"/>
            <w:shd w:val="clear" w:color="auto" w:fill="245539" w:themeFill="accent4" w:themeFillShade="80"/>
          </w:tcPr>
          <w:p w:rsidR="0005368B" w:rsidRPr="00CD3A8C" w:rsidRDefault="000A0191" w:rsidP="00DF198C">
            <w:pPr>
              <w:pStyle w:val="Tabledata"/>
              <w:ind w:left="284"/>
              <w:jc w:val="center"/>
              <w:rPr>
                <w:b/>
              </w:rPr>
            </w:pPr>
            <w:r>
              <w:rPr>
                <w:b/>
              </w:rPr>
              <w:t>Yes</w:t>
            </w:r>
          </w:p>
        </w:tc>
        <w:tc>
          <w:tcPr>
            <w:tcW w:w="7025" w:type="dxa"/>
          </w:tcPr>
          <w:p w:rsidR="0005368B" w:rsidRPr="0099287B" w:rsidRDefault="0005368B" w:rsidP="00031712">
            <w:pPr>
              <w:pStyle w:val="Tabledata"/>
              <w:rPr>
                <w:szCs w:val="20"/>
              </w:rPr>
            </w:pPr>
          </w:p>
        </w:tc>
      </w:tr>
      <w:tr w:rsidR="0005368B" w:rsidRPr="00CD3A8C" w:rsidTr="00FA2BDA">
        <w:tc>
          <w:tcPr>
            <w:tcW w:w="675" w:type="dxa"/>
          </w:tcPr>
          <w:p w:rsidR="0005368B" w:rsidRPr="00CD3A8C" w:rsidRDefault="0005368B" w:rsidP="00AE55F6">
            <w:pPr>
              <w:pStyle w:val="Tabledata"/>
            </w:pPr>
            <w:r w:rsidRPr="00CD3A8C">
              <w:t>EE</w:t>
            </w:r>
          </w:p>
        </w:tc>
        <w:tc>
          <w:tcPr>
            <w:tcW w:w="1560" w:type="dxa"/>
          </w:tcPr>
          <w:p w:rsidR="0005368B" w:rsidRPr="00CD3A8C" w:rsidRDefault="0005368B" w:rsidP="0005368B">
            <w:pPr>
              <w:pStyle w:val="Tabledata"/>
            </w:pPr>
            <w:r w:rsidRPr="00CD3A8C">
              <w:t>Estonia</w:t>
            </w:r>
          </w:p>
        </w:tc>
        <w:tc>
          <w:tcPr>
            <w:tcW w:w="2126" w:type="dxa"/>
          </w:tcPr>
          <w:p w:rsidR="0005368B" w:rsidRPr="00CD3A8C" w:rsidRDefault="008C4C08" w:rsidP="000424D3">
            <w:pPr>
              <w:pStyle w:val="Tabledata"/>
              <w:jc w:val="left"/>
            </w:pPr>
            <w:proofErr w:type="spellStart"/>
            <w:r w:rsidRPr="00CD3A8C">
              <w:rPr>
                <w:rFonts w:cs="Arial"/>
                <w:bCs w:val="0"/>
              </w:rPr>
              <w:t>Finantsinspektsioon</w:t>
            </w:r>
            <w:proofErr w:type="spellEnd"/>
            <w:r w:rsidRPr="00CD3A8C">
              <w:rPr>
                <w:rFonts w:cs="Arial"/>
                <w:bCs w:val="0"/>
              </w:rPr>
              <w:t xml:space="preserve"> (Financial Supervision Authority)</w:t>
            </w:r>
          </w:p>
        </w:tc>
        <w:tc>
          <w:tcPr>
            <w:tcW w:w="2268" w:type="dxa"/>
            <w:shd w:val="clear" w:color="auto" w:fill="245539" w:themeFill="accent4" w:themeFillShade="80"/>
          </w:tcPr>
          <w:p w:rsidR="0005368B" w:rsidRPr="00CD3A8C" w:rsidRDefault="00FA2BDA" w:rsidP="008C40B2">
            <w:pPr>
              <w:pStyle w:val="Tabledata"/>
              <w:ind w:left="284"/>
              <w:jc w:val="center"/>
              <w:rPr>
                <w:b/>
              </w:rPr>
            </w:pPr>
            <w:r>
              <w:rPr>
                <w:b/>
              </w:rPr>
              <w:t>Yes</w:t>
            </w:r>
          </w:p>
        </w:tc>
        <w:tc>
          <w:tcPr>
            <w:tcW w:w="7025" w:type="dxa"/>
          </w:tcPr>
          <w:p w:rsidR="0005368B" w:rsidRPr="0099287B" w:rsidRDefault="0005368B" w:rsidP="00031712">
            <w:pPr>
              <w:pStyle w:val="Tabledata"/>
              <w:rPr>
                <w:szCs w:val="20"/>
              </w:rPr>
            </w:pPr>
          </w:p>
        </w:tc>
      </w:tr>
      <w:tr w:rsidR="0005368B" w:rsidRPr="00CD3A8C" w:rsidTr="002F4E90">
        <w:tc>
          <w:tcPr>
            <w:tcW w:w="675" w:type="dxa"/>
          </w:tcPr>
          <w:p w:rsidR="0005368B" w:rsidRPr="00CD3A8C" w:rsidRDefault="0005368B" w:rsidP="00AE55F6">
            <w:pPr>
              <w:pStyle w:val="Tabledata"/>
            </w:pPr>
            <w:r w:rsidRPr="00CD3A8C">
              <w:t>IE</w:t>
            </w:r>
          </w:p>
        </w:tc>
        <w:tc>
          <w:tcPr>
            <w:tcW w:w="1560" w:type="dxa"/>
          </w:tcPr>
          <w:p w:rsidR="0005368B" w:rsidRPr="00CD3A8C" w:rsidRDefault="0005368B" w:rsidP="0005368B">
            <w:pPr>
              <w:pStyle w:val="Tabledata"/>
            </w:pPr>
            <w:r w:rsidRPr="00CD3A8C">
              <w:t>Ireland</w:t>
            </w:r>
          </w:p>
        </w:tc>
        <w:tc>
          <w:tcPr>
            <w:tcW w:w="2126" w:type="dxa"/>
          </w:tcPr>
          <w:p w:rsidR="0005368B" w:rsidRPr="00CD3A8C" w:rsidRDefault="0005368B" w:rsidP="000424D3">
            <w:pPr>
              <w:pStyle w:val="Tabledata"/>
              <w:jc w:val="left"/>
            </w:pPr>
            <w:r w:rsidRPr="00CD3A8C">
              <w:rPr>
                <w:rFonts w:cs="Arial"/>
                <w:bCs w:val="0"/>
              </w:rPr>
              <w:t>Central Bank of Ireland</w:t>
            </w:r>
          </w:p>
        </w:tc>
        <w:tc>
          <w:tcPr>
            <w:tcW w:w="2268" w:type="dxa"/>
            <w:shd w:val="clear" w:color="auto" w:fill="245539" w:themeFill="accent4" w:themeFillShade="80"/>
          </w:tcPr>
          <w:p w:rsidR="0005368B" w:rsidRPr="00CD3A8C" w:rsidRDefault="002F4E90" w:rsidP="008C40B2">
            <w:pPr>
              <w:pStyle w:val="Tabledata"/>
              <w:ind w:left="284"/>
              <w:jc w:val="center"/>
              <w:rPr>
                <w:b/>
              </w:rPr>
            </w:pPr>
            <w:r>
              <w:rPr>
                <w:b/>
              </w:rPr>
              <w:t>Yes</w:t>
            </w:r>
          </w:p>
        </w:tc>
        <w:tc>
          <w:tcPr>
            <w:tcW w:w="7025" w:type="dxa"/>
          </w:tcPr>
          <w:p w:rsidR="0005368B" w:rsidRPr="0099287B" w:rsidRDefault="0005368B" w:rsidP="00031712">
            <w:pPr>
              <w:pStyle w:val="Tabledata"/>
              <w:rPr>
                <w:szCs w:val="20"/>
              </w:rPr>
            </w:pPr>
          </w:p>
        </w:tc>
      </w:tr>
      <w:tr w:rsidR="0005368B" w:rsidRPr="00CD3A8C" w:rsidTr="00736EE0">
        <w:tc>
          <w:tcPr>
            <w:tcW w:w="675" w:type="dxa"/>
          </w:tcPr>
          <w:p w:rsidR="0005368B" w:rsidRPr="00CD3A8C" w:rsidRDefault="0005368B" w:rsidP="00AE55F6">
            <w:pPr>
              <w:pStyle w:val="Tabledata"/>
            </w:pPr>
            <w:r w:rsidRPr="00CD3A8C">
              <w:t>EL</w:t>
            </w:r>
          </w:p>
        </w:tc>
        <w:tc>
          <w:tcPr>
            <w:tcW w:w="1560" w:type="dxa"/>
          </w:tcPr>
          <w:p w:rsidR="0005368B" w:rsidRPr="00CD3A8C" w:rsidRDefault="0005368B" w:rsidP="0005368B">
            <w:pPr>
              <w:pStyle w:val="Tabledata"/>
            </w:pPr>
            <w:r w:rsidRPr="00CD3A8C">
              <w:t>Greece</w:t>
            </w:r>
          </w:p>
        </w:tc>
        <w:tc>
          <w:tcPr>
            <w:tcW w:w="2126" w:type="dxa"/>
          </w:tcPr>
          <w:p w:rsidR="0005368B" w:rsidRPr="00CD3A8C" w:rsidRDefault="003F4E18" w:rsidP="000424D3">
            <w:pPr>
              <w:pStyle w:val="Tabledata"/>
              <w:jc w:val="left"/>
            </w:pPr>
            <w:proofErr w:type="spellStart"/>
            <w:r w:rsidRPr="00CD3A8C">
              <w:rPr>
                <w:rFonts w:cs="Arial"/>
                <w:bCs w:val="0"/>
              </w:rPr>
              <w:t>Τρά</w:t>
            </w:r>
            <w:proofErr w:type="spellEnd"/>
            <w:r w:rsidRPr="00CD3A8C">
              <w:rPr>
                <w:rFonts w:cs="Arial"/>
                <w:bCs w:val="0"/>
              </w:rPr>
              <w:t xml:space="preserve">πεζα </w:t>
            </w:r>
            <w:proofErr w:type="spellStart"/>
            <w:r w:rsidRPr="00CD3A8C">
              <w:rPr>
                <w:rFonts w:cs="Arial"/>
                <w:bCs w:val="0"/>
              </w:rPr>
              <w:t>της</w:t>
            </w:r>
            <w:proofErr w:type="spellEnd"/>
            <w:r w:rsidRPr="00CD3A8C">
              <w:rPr>
                <w:rFonts w:cs="Arial"/>
                <w:bCs w:val="0"/>
              </w:rPr>
              <w:t xml:space="preserve"> </w:t>
            </w:r>
            <w:proofErr w:type="spellStart"/>
            <w:r w:rsidRPr="00CD3A8C">
              <w:rPr>
                <w:rFonts w:cs="Arial"/>
                <w:bCs w:val="0"/>
              </w:rPr>
              <w:t>Ελλάδος</w:t>
            </w:r>
            <w:proofErr w:type="spellEnd"/>
            <w:r w:rsidRPr="00CD3A8C">
              <w:rPr>
                <w:rFonts w:cs="Arial"/>
                <w:bCs w:val="0"/>
              </w:rPr>
              <w:t xml:space="preserve"> (Bank of Greece)</w:t>
            </w:r>
          </w:p>
        </w:tc>
        <w:tc>
          <w:tcPr>
            <w:tcW w:w="2268" w:type="dxa"/>
            <w:shd w:val="clear" w:color="auto" w:fill="245539" w:themeFill="accent4" w:themeFillShade="80"/>
          </w:tcPr>
          <w:p w:rsidR="0005368B" w:rsidRPr="00CD3A8C" w:rsidRDefault="00736EE0" w:rsidP="008C40B2">
            <w:pPr>
              <w:pStyle w:val="Tabledata"/>
              <w:ind w:left="284"/>
              <w:jc w:val="center"/>
              <w:rPr>
                <w:b/>
              </w:rPr>
            </w:pPr>
            <w:r>
              <w:rPr>
                <w:b/>
              </w:rPr>
              <w:t>Yes</w:t>
            </w:r>
          </w:p>
        </w:tc>
        <w:tc>
          <w:tcPr>
            <w:tcW w:w="7025" w:type="dxa"/>
          </w:tcPr>
          <w:p w:rsidR="0005368B" w:rsidRPr="0099287B" w:rsidRDefault="0005368B" w:rsidP="00031712">
            <w:pPr>
              <w:pStyle w:val="Tabledata"/>
              <w:rPr>
                <w:szCs w:val="20"/>
              </w:rPr>
            </w:pPr>
          </w:p>
        </w:tc>
      </w:tr>
      <w:tr w:rsidR="004060A2" w:rsidRPr="00CD3A8C" w:rsidTr="00032052">
        <w:tc>
          <w:tcPr>
            <w:tcW w:w="675" w:type="dxa"/>
          </w:tcPr>
          <w:p w:rsidR="004060A2" w:rsidRPr="00CD3A8C" w:rsidRDefault="004060A2" w:rsidP="00AE55F6">
            <w:pPr>
              <w:pStyle w:val="Tabledata"/>
            </w:pPr>
            <w:r>
              <w:t>HR</w:t>
            </w:r>
          </w:p>
        </w:tc>
        <w:tc>
          <w:tcPr>
            <w:tcW w:w="1560" w:type="dxa"/>
          </w:tcPr>
          <w:p w:rsidR="004060A2" w:rsidRPr="00CD3A8C" w:rsidRDefault="004060A2" w:rsidP="00883CDB">
            <w:pPr>
              <w:pStyle w:val="Tabledata"/>
            </w:pPr>
            <w:r>
              <w:t>Croatia</w:t>
            </w:r>
          </w:p>
        </w:tc>
        <w:tc>
          <w:tcPr>
            <w:tcW w:w="2126" w:type="dxa"/>
          </w:tcPr>
          <w:p w:rsidR="004060A2" w:rsidRPr="00CD3A8C" w:rsidRDefault="004060A2" w:rsidP="004060A2">
            <w:pPr>
              <w:pStyle w:val="Tabledata"/>
              <w:jc w:val="center"/>
              <w:rPr>
                <w:rFonts w:cs="Arial"/>
                <w:bCs w:val="0"/>
              </w:rPr>
            </w:pPr>
            <w:r>
              <w:rPr>
                <w:rFonts w:cs="Arial"/>
              </w:rPr>
              <w:t>National Bank of Croatia</w:t>
            </w:r>
          </w:p>
        </w:tc>
        <w:tc>
          <w:tcPr>
            <w:tcW w:w="2268" w:type="dxa"/>
            <w:shd w:val="clear" w:color="auto" w:fill="245539" w:themeFill="accent4" w:themeFillShade="80"/>
          </w:tcPr>
          <w:p w:rsidR="004060A2" w:rsidRPr="00CD3A8C" w:rsidRDefault="00032052" w:rsidP="00032052">
            <w:pPr>
              <w:pStyle w:val="Tabledata"/>
              <w:ind w:left="284"/>
              <w:jc w:val="center"/>
              <w:rPr>
                <w:b/>
              </w:rPr>
            </w:pPr>
            <w:r>
              <w:rPr>
                <w:b/>
              </w:rPr>
              <w:t>Yes</w:t>
            </w:r>
          </w:p>
        </w:tc>
        <w:tc>
          <w:tcPr>
            <w:tcW w:w="7025" w:type="dxa"/>
          </w:tcPr>
          <w:p w:rsidR="004060A2" w:rsidRPr="0099287B" w:rsidRDefault="004060A2" w:rsidP="00031712">
            <w:pPr>
              <w:pStyle w:val="Tabledata"/>
              <w:rPr>
                <w:rFonts w:ascii="Calibri" w:hAnsi="Calibri"/>
                <w:szCs w:val="20"/>
              </w:rPr>
            </w:pPr>
          </w:p>
        </w:tc>
      </w:tr>
      <w:tr w:rsidR="005F0308" w:rsidRPr="00CD3A8C" w:rsidTr="005F0308">
        <w:trPr>
          <w:trHeight w:val="333"/>
        </w:trPr>
        <w:tc>
          <w:tcPr>
            <w:tcW w:w="675" w:type="dxa"/>
            <w:vMerge w:val="restart"/>
          </w:tcPr>
          <w:p w:rsidR="005F0308" w:rsidRPr="00CD3A8C" w:rsidRDefault="005F0308" w:rsidP="00AE55F6">
            <w:pPr>
              <w:pStyle w:val="Tabledata"/>
            </w:pPr>
            <w:r w:rsidRPr="00CD3A8C">
              <w:lastRenderedPageBreak/>
              <w:t>ES</w:t>
            </w:r>
          </w:p>
        </w:tc>
        <w:tc>
          <w:tcPr>
            <w:tcW w:w="1560" w:type="dxa"/>
            <w:vMerge w:val="restart"/>
          </w:tcPr>
          <w:p w:rsidR="005F0308" w:rsidRPr="00CD3A8C" w:rsidRDefault="005F0308" w:rsidP="00883CDB">
            <w:pPr>
              <w:pStyle w:val="Tabledata"/>
            </w:pPr>
            <w:r w:rsidRPr="00CD3A8C">
              <w:t>Spain</w:t>
            </w:r>
          </w:p>
        </w:tc>
        <w:tc>
          <w:tcPr>
            <w:tcW w:w="2126" w:type="dxa"/>
          </w:tcPr>
          <w:p w:rsidR="005F0308" w:rsidRPr="00CD3A8C" w:rsidRDefault="005F0308" w:rsidP="000424D3">
            <w:pPr>
              <w:pStyle w:val="Tabledata"/>
              <w:jc w:val="left"/>
              <w:rPr>
                <w:rFonts w:cs="Arial"/>
                <w:bCs w:val="0"/>
              </w:rPr>
            </w:pPr>
            <w:r w:rsidRPr="00CD3A8C">
              <w:rPr>
                <w:rFonts w:cs="Arial"/>
                <w:bCs w:val="0"/>
              </w:rPr>
              <w:t xml:space="preserve">Banco de </w:t>
            </w:r>
            <w:proofErr w:type="spellStart"/>
            <w:r w:rsidRPr="00CD3A8C">
              <w:rPr>
                <w:rFonts w:cs="Arial"/>
                <w:bCs w:val="0"/>
              </w:rPr>
              <w:t>España</w:t>
            </w:r>
            <w:proofErr w:type="spellEnd"/>
            <w:r w:rsidRPr="00CD3A8C">
              <w:rPr>
                <w:rFonts w:cs="Arial"/>
                <w:bCs w:val="0"/>
              </w:rPr>
              <w:t xml:space="preserve"> (Bank of Spain)</w:t>
            </w:r>
          </w:p>
        </w:tc>
        <w:tc>
          <w:tcPr>
            <w:tcW w:w="2268" w:type="dxa"/>
            <w:shd w:val="clear" w:color="auto" w:fill="245539" w:themeFill="accent4" w:themeFillShade="80"/>
          </w:tcPr>
          <w:p w:rsidR="005F0308" w:rsidRPr="00CD3A8C" w:rsidRDefault="005F0308" w:rsidP="008C40B2">
            <w:pPr>
              <w:pStyle w:val="Tabledata"/>
              <w:ind w:left="284"/>
              <w:jc w:val="center"/>
              <w:rPr>
                <w:b/>
              </w:rPr>
            </w:pPr>
            <w:r>
              <w:rPr>
                <w:b/>
              </w:rPr>
              <w:t>Yes</w:t>
            </w:r>
          </w:p>
        </w:tc>
        <w:tc>
          <w:tcPr>
            <w:tcW w:w="7025" w:type="dxa"/>
            <w:shd w:val="clear" w:color="auto" w:fill="auto"/>
          </w:tcPr>
          <w:p w:rsidR="005F0308" w:rsidRPr="0099287B" w:rsidRDefault="005F0308" w:rsidP="00A11E57">
            <w:pPr>
              <w:rPr>
                <w:rFonts w:eastAsia="Times New Roman" w:cs="Arial"/>
                <w:sz w:val="20"/>
                <w:szCs w:val="20"/>
              </w:rPr>
            </w:pPr>
          </w:p>
        </w:tc>
      </w:tr>
      <w:tr w:rsidR="005F0308" w:rsidRPr="00CD3A8C" w:rsidTr="0081669A">
        <w:trPr>
          <w:trHeight w:val="333"/>
        </w:trPr>
        <w:tc>
          <w:tcPr>
            <w:tcW w:w="675" w:type="dxa"/>
            <w:vMerge/>
          </w:tcPr>
          <w:p w:rsidR="005F0308" w:rsidRPr="00CD3A8C" w:rsidRDefault="005F0308" w:rsidP="00AE55F6">
            <w:pPr>
              <w:pStyle w:val="Tabledata"/>
            </w:pPr>
          </w:p>
        </w:tc>
        <w:tc>
          <w:tcPr>
            <w:tcW w:w="1560" w:type="dxa"/>
            <w:vMerge/>
          </w:tcPr>
          <w:p w:rsidR="005F0308" w:rsidRPr="00CD3A8C" w:rsidRDefault="005F0308" w:rsidP="00883CDB">
            <w:pPr>
              <w:pStyle w:val="Tabledata"/>
            </w:pPr>
          </w:p>
        </w:tc>
        <w:tc>
          <w:tcPr>
            <w:tcW w:w="2126" w:type="dxa"/>
          </w:tcPr>
          <w:p w:rsidR="005F0308" w:rsidRPr="00CD3A8C" w:rsidRDefault="005F0308" w:rsidP="000424D3">
            <w:pPr>
              <w:pStyle w:val="Tabledata"/>
              <w:jc w:val="left"/>
              <w:rPr>
                <w:rFonts w:cs="Arial"/>
                <w:bCs w:val="0"/>
              </w:rPr>
            </w:pPr>
            <w:r>
              <w:rPr>
                <w:rFonts w:cs="Arial"/>
                <w:bCs w:val="0"/>
              </w:rPr>
              <w:t>FROB Executive Resolution Authority</w:t>
            </w:r>
          </w:p>
        </w:tc>
        <w:tc>
          <w:tcPr>
            <w:tcW w:w="2268" w:type="dxa"/>
            <w:shd w:val="clear" w:color="auto" w:fill="245539" w:themeFill="accent4" w:themeFillShade="80"/>
          </w:tcPr>
          <w:p w:rsidR="005F0308" w:rsidRDefault="005F0308" w:rsidP="008C40B2">
            <w:pPr>
              <w:pStyle w:val="Tabledata"/>
              <w:ind w:left="284"/>
              <w:jc w:val="center"/>
              <w:rPr>
                <w:b/>
              </w:rPr>
            </w:pPr>
            <w:r>
              <w:rPr>
                <w:b/>
              </w:rPr>
              <w:t>Yes</w:t>
            </w:r>
          </w:p>
        </w:tc>
        <w:tc>
          <w:tcPr>
            <w:tcW w:w="7025" w:type="dxa"/>
            <w:shd w:val="clear" w:color="auto" w:fill="auto"/>
          </w:tcPr>
          <w:p w:rsidR="00926F50" w:rsidRDefault="00926F50" w:rsidP="005F0308">
            <w:pPr>
              <w:rPr>
                <w:rFonts w:eastAsia="Times New Roman" w:cs="Arial"/>
                <w:sz w:val="20"/>
                <w:szCs w:val="20"/>
              </w:rPr>
            </w:pPr>
            <w:r>
              <w:rPr>
                <w:rFonts w:eastAsia="Times New Roman" w:cs="Arial"/>
                <w:sz w:val="20"/>
                <w:szCs w:val="20"/>
              </w:rPr>
              <w:t>Updated: 07.04.2017:</w:t>
            </w:r>
          </w:p>
          <w:p w:rsidR="00926F50" w:rsidRDefault="00926F50" w:rsidP="005F0308">
            <w:pPr>
              <w:rPr>
                <w:rFonts w:eastAsia="Times New Roman" w:cs="Arial"/>
                <w:sz w:val="20"/>
                <w:szCs w:val="20"/>
              </w:rPr>
            </w:pPr>
          </w:p>
          <w:p w:rsidR="00926F50" w:rsidRPr="0099287B" w:rsidRDefault="00926F50" w:rsidP="005F0308">
            <w:pPr>
              <w:rPr>
                <w:rFonts w:eastAsia="Times New Roman" w:cs="Arial"/>
                <w:sz w:val="20"/>
                <w:szCs w:val="20"/>
              </w:rPr>
            </w:pPr>
            <w:r>
              <w:t>As marked, FROB complies with the Guidelines as of the date of this notification. Nevertheless, please note that this compliance is in accordance with the powers granted to FROB as Executive Resolution Authority as stated in article 2, paragraph 1, letter (d) of Law 11/2015, of 18 June, on recovery and resolution of credit institutions and investment firms which transposes the Directive 201 4/59/EU in Spain</w:t>
            </w:r>
          </w:p>
        </w:tc>
      </w:tr>
      <w:tr w:rsidR="00031712" w:rsidRPr="00CD3A8C" w:rsidTr="00637AB4">
        <w:tc>
          <w:tcPr>
            <w:tcW w:w="675" w:type="dxa"/>
          </w:tcPr>
          <w:p w:rsidR="00031712" w:rsidRPr="00CD3A8C" w:rsidRDefault="00031712" w:rsidP="00AE55F6">
            <w:pPr>
              <w:pStyle w:val="Tabledata"/>
            </w:pPr>
            <w:r w:rsidRPr="00CD3A8C">
              <w:t>FR</w:t>
            </w:r>
          </w:p>
        </w:tc>
        <w:tc>
          <w:tcPr>
            <w:tcW w:w="1560" w:type="dxa"/>
          </w:tcPr>
          <w:p w:rsidR="00031712" w:rsidRPr="00CD3A8C" w:rsidRDefault="00031712" w:rsidP="00883CDB">
            <w:pPr>
              <w:pStyle w:val="Tabledata"/>
            </w:pPr>
            <w:r w:rsidRPr="00CD3A8C">
              <w:t>France</w:t>
            </w:r>
          </w:p>
        </w:tc>
        <w:tc>
          <w:tcPr>
            <w:tcW w:w="2126" w:type="dxa"/>
          </w:tcPr>
          <w:p w:rsidR="00031712" w:rsidRPr="00CD3A8C" w:rsidRDefault="00CD6DF6" w:rsidP="000424D3">
            <w:pPr>
              <w:pStyle w:val="Tabledata"/>
              <w:jc w:val="left"/>
              <w:rPr>
                <w:rFonts w:cs="Arial"/>
                <w:bCs w:val="0"/>
              </w:rPr>
            </w:pPr>
            <w:proofErr w:type="spellStart"/>
            <w:r w:rsidRPr="00CD3A8C">
              <w:rPr>
                <w:rFonts w:cs="Arial"/>
                <w:bCs w:val="0"/>
              </w:rPr>
              <w:t>Autorité</w:t>
            </w:r>
            <w:proofErr w:type="spellEnd"/>
            <w:r w:rsidRPr="00CD3A8C">
              <w:rPr>
                <w:rFonts w:cs="Arial"/>
                <w:bCs w:val="0"/>
              </w:rPr>
              <w:t xml:space="preserve"> de </w:t>
            </w:r>
            <w:proofErr w:type="spellStart"/>
            <w:r w:rsidRPr="00CD3A8C">
              <w:rPr>
                <w:rFonts w:cs="Arial"/>
                <w:bCs w:val="0"/>
              </w:rPr>
              <w:t>Contrôle</w:t>
            </w:r>
            <w:proofErr w:type="spellEnd"/>
            <w:r w:rsidRPr="00CD3A8C">
              <w:rPr>
                <w:rFonts w:cs="Arial"/>
                <w:bCs w:val="0"/>
              </w:rPr>
              <w:t xml:space="preserve"> </w:t>
            </w:r>
            <w:proofErr w:type="spellStart"/>
            <w:r w:rsidRPr="00CD3A8C">
              <w:rPr>
                <w:rFonts w:cs="Arial"/>
                <w:bCs w:val="0"/>
              </w:rPr>
              <w:t>Prudentiel</w:t>
            </w:r>
            <w:proofErr w:type="spellEnd"/>
            <w:r w:rsidRPr="00CD3A8C">
              <w:rPr>
                <w:rFonts w:cs="Arial"/>
                <w:bCs w:val="0"/>
              </w:rPr>
              <w:t xml:space="preserve"> et de </w:t>
            </w:r>
            <w:proofErr w:type="spellStart"/>
            <w:r w:rsidRPr="00CD3A8C">
              <w:rPr>
                <w:rFonts w:cs="Arial"/>
                <w:bCs w:val="0"/>
              </w:rPr>
              <w:t>Résolution</w:t>
            </w:r>
            <w:proofErr w:type="spellEnd"/>
            <w:r w:rsidRPr="00CD3A8C">
              <w:rPr>
                <w:rFonts w:cs="Arial"/>
                <w:bCs w:val="0"/>
              </w:rPr>
              <w:t xml:space="preserve"> (Prudential Supervisory &amp; Resolution Authority)</w:t>
            </w:r>
          </w:p>
        </w:tc>
        <w:tc>
          <w:tcPr>
            <w:tcW w:w="2268" w:type="dxa"/>
            <w:shd w:val="clear" w:color="auto" w:fill="245539" w:themeFill="accent4" w:themeFillShade="80"/>
          </w:tcPr>
          <w:p w:rsidR="00031712" w:rsidRPr="00CD3A8C" w:rsidRDefault="00637AB4" w:rsidP="008C40B2">
            <w:pPr>
              <w:pStyle w:val="Tabledata"/>
              <w:ind w:left="284"/>
              <w:jc w:val="center"/>
              <w:rPr>
                <w:b/>
              </w:rPr>
            </w:pPr>
            <w:r>
              <w:rPr>
                <w:b/>
              </w:rPr>
              <w:t>Yes</w:t>
            </w:r>
          </w:p>
        </w:tc>
        <w:tc>
          <w:tcPr>
            <w:tcW w:w="7025" w:type="dxa"/>
          </w:tcPr>
          <w:p w:rsidR="00031712" w:rsidRPr="0099287B" w:rsidRDefault="00031712" w:rsidP="003828C7">
            <w:pPr>
              <w:pStyle w:val="Tabledata"/>
              <w:rPr>
                <w:szCs w:val="20"/>
              </w:rPr>
            </w:pPr>
          </w:p>
        </w:tc>
      </w:tr>
      <w:tr w:rsidR="00031712" w:rsidRPr="00CD3A8C" w:rsidTr="000F32B0">
        <w:tc>
          <w:tcPr>
            <w:tcW w:w="675" w:type="dxa"/>
          </w:tcPr>
          <w:p w:rsidR="00031712" w:rsidRPr="00CD3A8C" w:rsidRDefault="00031712" w:rsidP="00AE55F6">
            <w:pPr>
              <w:pStyle w:val="Tabledata"/>
            </w:pPr>
            <w:r w:rsidRPr="00CD3A8C">
              <w:t>IT</w:t>
            </w:r>
          </w:p>
        </w:tc>
        <w:tc>
          <w:tcPr>
            <w:tcW w:w="1560" w:type="dxa"/>
          </w:tcPr>
          <w:p w:rsidR="00031712" w:rsidRPr="00CD3A8C" w:rsidRDefault="00031712" w:rsidP="00883CDB">
            <w:pPr>
              <w:pStyle w:val="Tabledata"/>
            </w:pPr>
            <w:r w:rsidRPr="00CD3A8C">
              <w:t>Italy</w:t>
            </w:r>
          </w:p>
        </w:tc>
        <w:tc>
          <w:tcPr>
            <w:tcW w:w="2126" w:type="dxa"/>
          </w:tcPr>
          <w:p w:rsidR="00031712" w:rsidRPr="00CD3A8C" w:rsidRDefault="00CD6DF6" w:rsidP="000424D3">
            <w:pPr>
              <w:pStyle w:val="Tabledata"/>
              <w:jc w:val="left"/>
              <w:rPr>
                <w:rFonts w:cs="Arial"/>
                <w:bCs w:val="0"/>
              </w:rPr>
            </w:pPr>
            <w:r w:rsidRPr="00CD3A8C">
              <w:rPr>
                <w:rFonts w:cs="Arial"/>
                <w:bCs w:val="0"/>
              </w:rPr>
              <w:t xml:space="preserve">Banca </w:t>
            </w:r>
            <w:proofErr w:type="spellStart"/>
            <w:r w:rsidRPr="00CD3A8C">
              <w:rPr>
                <w:rFonts w:cs="Arial"/>
                <w:bCs w:val="0"/>
              </w:rPr>
              <w:t>d'Italia</w:t>
            </w:r>
            <w:proofErr w:type="spellEnd"/>
            <w:r w:rsidRPr="00CD3A8C">
              <w:rPr>
                <w:rFonts w:cs="Arial"/>
                <w:bCs w:val="0"/>
              </w:rPr>
              <w:t xml:space="preserve"> (Bank of Italy)</w:t>
            </w:r>
          </w:p>
        </w:tc>
        <w:tc>
          <w:tcPr>
            <w:tcW w:w="2268" w:type="dxa"/>
            <w:shd w:val="clear" w:color="auto" w:fill="245539" w:themeFill="accent4" w:themeFillShade="80"/>
          </w:tcPr>
          <w:p w:rsidR="00031712" w:rsidRPr="00CD3A8C" w:rsidRDefault="000F32B0" w:rsidP="008C40B2">
            <w:pPr>
              <w:pStyle w:val="Tabledata"/>
              <w:ind w:left="284"/>
              <w:jc w:val="center"/>
              <w:rPr>
                <w:b/>
              </w:rPr>
            </w:pPr>
            <w:r>
              <w:rPr>
                <w:b/>
              </w:rPr>
              <w:t>Yes</w:t>
            </w:r>
          </w:p>
        </w:tc>
        <w:tc>
          <w:tcPr>
            <w:tcW w:w="7025" w:type="dxa"/>
          </w:tcPr>
          <w:p w:rsidR="00031712" w:rsidRPr="0099287B" w:rsidRDefault="00031712" w:rsidP="00031712">
            <w:pPr>
              <w:pStyle w:val="Tabledata"/>
              <w:rPr>
                <w:szCs w:val="20"/>
              </w:rPr>
            </w:pPr>
          </w:p>
        </w:tc>
      </w:tr>
      <w:tr w:rsidR="00031712" w:rsidRPr="00CD3A8C" w:rsidTr="0063568A">
        <w:tc>
          <w:tcPr>
            <w:tcW w:w="675" w:type="dxa"/>
          </w:tcPr>
          <w:p w:rsidR="00031712" w:rsidRPr="00CD3A8C" w:rsidRDefault="00031712" w:rsidP="00AE55F6">
            <w:pPr>
              <w:pStyle w:val="Tabledata"/>
            </w:pPr>
            <w:r w:rsidRPr="00CD3A8C">
              <w:t>CY</w:t>
            </w:r>
          </w:p>
        </w:tc>
        <w:tc>
          <w:tcPr>
            <w:tcW w:w="1560" w:type="dxa"/>
          </w:tcPr>
          <w:p w:rsidR="00031712" w:rsidRPr="00CD3A8C" w:rsidRDefault="00031712" w:rsidP="00883CDB">
            <w:pPr>
              <w:pStyle w:val="Tabledata"/>
            </w:pPr>
            <w:r w:rsidRPr="00CD3A8C">
              <w:t>Cyprus</w:t>
            </w:r>
          </w:p>
        </w:tc>
        <w:tc>
          <w:tcPr>
            <w:tcW w:w="2126" w:type="dxa"/>
          </w:tcPr>
          <w:p w:rsidR="00031712" w:rsidRPr="00CD3A8C" w:rsidRDefault="00BC2C9F" w:rsidP="000424D3">
            <w:pPr>
              <w:pStyle w:val="Tabledata"/>
              <w:jc w:val="left"/>
              <w:rPr>
                <w:rFonts w:cs="Arial"/>
                <w:bCs w:val="0"/>
              </w:rPr>
            </w:pPr>
            <w:proofErr w:type="spellStart"/>
            <w:r w:rsidRPr="00CD3A8C">
              <w:rPr>
                <w:rFonts w:cs="Arial"/>
                <w:bCs w:val="0"/>
              </w:rPr>
              <w:t>Κεντρική</w:t>
            </w:r>
            <w:proofErr w:type="spellEnd"/>
            <w:r w:rsidRPr="00CD3A8C">
              <w:rPr>
                <w:rFonts w:cs="Arial"/>
                <w:bCs w:val="0"/>
              </w:rPr>
              <w:t xml:space="preserve"> </w:t>
            </w:r>
            <w:proofErr w:type="spellStart"/>
            <w:r w:rsidRPr="00CD3A8C">
              <w:rPr>
                <w:rFonts w:cs="Arial"/>
                <w:bCs w:val="0"/>
              </w:rPr>
              <w:t>Τρά</w:t>
            </w:r>
            <w:proofErr w:type="spellEnd"/>
            <w:r w:rsidRPr="00CD3A8C">
              <w:rPr>
                <w:rFonts w:cs="Arial"/>
                <w:bCs w:val="0"/>
              </w:rPr>
              <w:t xml:space="preserve">πεζα </w:t>
            </w:r>
            <w:proofErr w:type="spellStart"/>
            <w:r w:rsidRPr="00CD3A8C">
              <w:rPr>
                <w:rFonts w:cs="Arial"/>
                <w:bCs w:val="0"/>
              </w:rPr>
              <w:t>της</w:t>
            </w:r>
            <w:proofErr w:type="spellEnd"/>
            <w:r w:rsidRPr="00CD3A8C">
              <w:rPr>
                <w:rFonts w:cs="Arial"/>
                <w:bCs w:val="0"/>
              </w:rPr>
              <w:t xml:space="preserve"> </w:t>
            </w:r>
            <w:proofErr w:type="spellStart"/>
            <w:r w:rsidRPr="00CD3A8C">
              <w:rPr>
                <w:rFonts w:cs="Arial"/>
                <w:bCs w:val="0"/>
              </w:rPr>
              <w:t>Κύ</w:t>
            </w:r>
            <w:proofErr w:type="spellEnd"/>
            <w:r w:rsidRPr="00CD3A8C">
              <w:rPr>
                <w:rFonts w:cs="Arial"/>
                <w:bCs w:val="0"/>
              </w:rPr>
              <w:t>πρου (Central Bank of Cyprus)</w:t>
            </w:r>
          </w:p>
        </w:tc>
        <w:tc>
          <w:tcPr>
            <w:tcW w:w="2268" w:type="dxa"/>
            <w:shd w:val="clear" w:color="auto" w:fill="245539" w:themeFill="accent4" w:themeFillShade="80"/>
          </w:tcPr>
          <w:p w:rsidR="00031712" w:rsidRPr="00CD3A8C" w:rsidRDefault="0063568A" w:rsidP="008C40B2">
            <w:pPr>
              <w:pStyle w:val="Tabledata"/>
              <w:ind w:left="284"/>
              <w:jc w:val="center"/>
              <w:rPr>
                <w:b/>
              </w:rPr>
            </w:pPr>
            <w:r>
              <w:rPr>
                <w:b/>
              </w:rPr>
              <w:t>Yes</w:t>
            </w:r>
          </w:p>
        </w:tc>
        <w:tc>
          <w:tcPr>
            <w:tcW w:w="7025" w:type="dxa"/>
          </w:tcPr>
          <w:p w:rsidR="00031712" w:rsidRPr="0099287B" w:rsidRDefault="00031712" w:rsidP="00031712">
            <w:pPr>
              <w:pStyle w:val="Tabledata"/>
              <w:rPr>
                <w:szCs w:val="20"/>
              </w:rPr>
            </w:pPr>
          </w:p>
        </w:tc>
      </w:tr>
      <w:tr w:rsidR="00031712" w:rsidRPr="00CD3A8C" w:rsidTr="00D24F50">
        <w:tc>
          <w:tcPr>
            <w:tcW w:w="675" w:type="dxa"/>
          </w:tcPr>
          <w:p w:rsidR="00031712" w:rsidRPr="00CD3A8C" w:rsidRDefault="00031712" w:rsidP="00AE55F6">
            <w:pPr>
              <w:pStyle w:val="Tabledata"/>
            </w:pPr>
            <w:r w:rsidRPr="00CD3A8C">
              <w:t>LV</w:t>
            </w:r>
          </w:p>
        </w:tc>
        <w:tc>
          <w:tcPr>
            <w:tcW w:w="1560" w:type="dxa"/>
          </w:tcPr>
          <w:p w:rsidR="00031712" w:rsidRPr="00CD3A8C" w:rsidRDefault="00031712" w:rsidP="00883CDB">
            <w:pPr>
              <w:pStyle w:val="Tabledata"/>
            </w:pPr>
            <w:r w:rsidRPr="00CD3A8C">
              <w:t>Latvia</w:t>
            </w:r>
          </w:p>
        </w:tc>
        <w:tc>
          <w:tcPr>
            <w:tcW w:w="2126" w:type="dxa"/>
          </w:tcPr>
          <w:p w:rsidR="00031712" w:rsidRPr="00CD3A8C" w:rsidRDefault="0081250E" w:rsidP="000424D3">
            <w:pPr>
              <w:pStyle w:val="Tabledata"/>
              <w:jc w:val="left"/>
              <w:rPr>
                <w:rFonts w:cs="Arial"/>
                <w:bCs w:val="0"/>
              </w:rPr>
            </w:pPr>
            <w:proofErr w:type="spellStart"/>
            <w:r w:rsidRPr="00CD3A8C">
              <w:rPr>
                <w:rFonts w:cs="Arial"/>
                <w:bCs w:val="0"/>
              </w:rPr>
              <w:t>Finanšu</w:t>
            </w:r>
            <w:proofErr w:type="spellEnd"/>
            <w:r w:rsidRPr="00CD3A8C">
              <w:rPr>
                <w:rFonts w:cs="Arial"/>
                <w:bCs w:val="0"/>
              </w:rPr>
              <w:t xml:space="preserve"> un </w:t>
            </w:r>
            <w:proofErr w:type="spellStart"/>
            <w:r w:rsidRPr="00CD3A8C">
              <w:rPr>
                <w:rFonts w:cs="Arial"/>
                <w:bCs w:val="0"/>
              </w:rPr>
              <w:t>Kapi</w:t>
            </w:r>
            <w:r w:rsidRPr="00CD3A8C">
              <w:rPr>
                <w:rFonts w:cs="Arial"/>
                <w:bCs w:val="0"/>
                <w:szCs w:val="20"/>
              </w:rPr>
              <w:t>t</w:t>
            </w:r>
            <w:r w:rsidRPr="00CD3A8C">
              <w:rPr>
                <w:color w:val="333333"/>
                <w:szCs w:val="20"/>
                <w:shd w:val="clear" w:color="auto" w:fill="FAFAFA"/>
              </w:rPr>
              <w:t>ā</w:t>
            </w:r>
            <w:r w:rsidR="00031712" w:rsidRPr="00CD3A8C">
              <w:rPr>
                <w:rFonts w:cs="Arial"/>
                <w:bCs w:val="0"/>
                <w:szCs w:val="20"/>
              </w:rPr>
              <w:t>la</w:t>
            </w:r>
            <w:proofErr w:type="spellEnd"/>
            <w:r w:rsidR="00031712" w:rsidRPr="00CD3A8C">
              <w:rPr>
                <w:rFonts w:cs="Arial"/>
                <w:bCs w:val="0"/>
              </w:rPr>
              <w:t xml:space="preserve"> </w:t>
            </w:r>
            <w:proofErr w:type="spellStart"/>
            <w:r w:rsidR="00031712" w:rsidRPr="00CD3A8C">
              <w:rPr>
                <w:rFonts w:cs="Arial"/>
                <w:bCs w:val="0"/>
              </w:rPr>
              <w:t>tirgus</w:t>
            </w:r>
            <w:proofErr w:type="spellEnd"/>
            <w:r w:rsidR="00031712" w:rsidRPr="00CD3A8C">
              <w:rPr>
                <w:rFonts w:cs="Arial"/>
                <w:bCs w:val="0"/>
              </w:rPr>
              <w:t xml:space="preserve"> </w:t>
            </w:r>
            <w:proofErr w:type="spellStart"/>
            <w:r w:rsidR="00031712" w:rsidRPr="00CD3A8C">
              <w:rPr>
                <w:rFonts w:cs="Arial"/>
                <w:bCs w:val="0"/>
              </w:rPr>
              <w:t>Komisija</w:t>
            </w:r>
            <w:proofErr w:type="spellEnd"/>
            <w:r w:rsidR="00A94ACA" w:rsidRPr="00CD3A8C">
              <w:rPr>
                <w:rFonts w:cs="Arial"/>
                <w:bCs w:val="0"/>
              </w:rPr>
              <w:t xml:space="preserve"> (Financial and Capital Market Commission)</w:t>
            </w:r>
          </w:p>
        </w:tc>
        <w:tc>
          <w:tcPr>
            <w:tcW w:w="2268" w:type="dxa"/>
            <w:shd w:val="clear" w:color="auto" w:fill="245539" w:themeFill="accent4" w:themeFillShade="80"/>
          </w:tcPr>
          <w:p w:rsidR="00031712" w:rsidRPr="00CD3A8C" w:rsidRDefault="00D24F50" w:rsidP="008C40B2">
            <w:pPr>
              <w:pStyle w:val="Tabledata"/>
              <w:ind w:left="284"/>
              <w:jc w:val="center"/>
              <w:rPr>
                <w:b/>
              </w:rPr>
            </w:pPr>
            <w:r>
              <w:rPr>
                <w:b/>
              </w:rPr>
              <w:t>Yes</w:t>
            </w:r>
          </w:p>
        </w:tc>
        <w:tc>
          <w:tcPr>
            <w:tcW w:w="7025" w:type="dxa"/>
          </w:tcPr>
          <w:p w:rsidR="00031712" w:rsidRPr="00AC60C1" w:rsidRDefault="00AC60C1" w:rsidP="00D24F50">
            <w:pPr>
              <w:pStyle w:val="CM1"/>
              <w:spacing w:before="200" w:after="200"/>
              <w:rPr>
                <w:rFonts w:asciiTheme="minorHAnsi" w:hAnsiTheme="minorHAnsi" w:cs="Times New Roman"/>
                <w:b/>
                <w:sz w:val="20"/>
                <w:szCs w:val="20"/>
                <w:lang w:val="en-GB"/>
              </w:rPr>
            </w:pPr>
            <w:r>
              <w:rPr>
                <w:rFonts w:asciiTheme="minorHAnsi" w:hAnsiTheme="minorHAnsi" w:cs="Times New Roman"/>
                <w:b/>
                <w:color w:val="000000"/>
                <w:sz w:val="20"/>
                <w:szCs w:val="20"/>
                <w:lang w:val="en-GB"/>
              </w:rPr>
              <w:t>Updated – 14.12.2016</w:t>
            </w:r>
          </w:p>
        </w:tc>
      </w:tr>
      <w:tr w:rsidR="00031712" w:rsidRPr="00CD3A8C" w:rsidTr="00982758">
        <w:tc>
          <w:tcPr>
            <w:tcW w:w="675" w:type="dxa"/>
          </w:tcPr>
          <w:p w:rsidR="00031712" w:rsidRPr="00CD3A8C" w:rsidRDefault="00031712" w:rsidP="00AE55F6">
            <w:pPr>
              <w:pStyle w:val="Tabledata"/>
            </w:pPr>
            <w:r w:rsidRPr="00CD3A8C">
              <w:t>LT</w:t>
            </w:r>
          </w:p>
        </w:tc>
        <w:tc>
          <w:tcPr>
            <w:tcW w:w="1560" w:type="dxa"/>
          </w:tcPr>
          <w:p w:rsidR="00031712" w:rsidRPr="00CD3A8C" w:rsidRDefault="00031712" w:rsidP="00883CDB">
            <w:pPr>
              <w:pStyle w:val="Tabledata"/>
            </w:pPr>
            <w:r w:rsidRPr="00CD3A8C">
              <w:t>Lithuania</w:t>
            </w:r>
          </w:p>
        </w:tc>
        <w:tc>
          <w:tcPr>
            <w:tcW w:w="2126" w:type="dxa"/>
          </w:tcPr>
          <w:p w:rsidR="00031712" w:rsidRPr="00CD3A8C" w:rsidRDefault="006D1697" w:rsidP="000424D3">
            <w:pPr>
              <w:pStyle w:val="Tabledata"/>
              <w:jc w:val="left"/>
              <w:rPr>
                <w:rFonts w:cs="Arial"/>
                <w:bCs w:val="0"/>
              </w:rPr>
            </w:pPr>
            <w:proofErr w:type="spellStart"/>
            <w:r w:rsidRPr="00CD3A8C">
              <w:rPr>
                <w:rFonts w:cs="Arial"/>
                <w:bCs w:val="0"/>
              </w:rPr>
              <w:t>Lietuvos</w:t>
            </w:r>
            <w:proofErr w:type="spellEnd"/>
            <w:r w:rsidRPr="00CD3A8C">
              <w:rPr>
                <w:rFonts w:cs="Arial"/>
                <w:bCs w:val="0"/>
              </w:rPr>
              <w:t xml:space="preserve"> </w:t>
            </w:r>
            <w:proofErr w:type="spellStart"/>
            <w:r w:rsidRPr="00CD3A8C">
              <w:rPr>
                <w:rFonts w:cs="Arial"/>
                <w:bCs w:val="0"/>
              </w:rPr>
              <w:t>Bankas</w:t>
            </w:r>
            <w:proofErr w:type="spellEnd"/>
            <w:r w:rsidRPr="00CD3A8C">
              <w:rPr>
                <w:rFonts w:cs="Arial"/>
                <w:bCs w:val="0"/>
              </w:rPr>
              <w:t xml:space="preserve"> (Bank of Lithuania)</w:t>
            </w:r>
          </w:p>
        </w:tc>
        <w:tc>
          <w:tcPr>
            <w:tcW w:w="2268" w:type="dxa"/>
            <w:shd w:val="clear" w:color="auto" w:fill="245539" w:themeFill="accent4" w:themeFillShade="80"/>
          </w:tcPr>
          <w:p w:rsidR="00031712" w:rsidRPr="00CD3A8C" w:rsidRDefault="00982758" w:rsidP="008C40B2">
            <w:pPr>
              <w:pStyle w:val="Tabledata"/>
              <w:ind w:left="284"/>
              <w:jc w:val="center"/>
              <w:rPr>
                <w:b/>
              </w:rPr>
            </w:pPr>
            <w:r>
              <w:rPr>
                <w:b/>
              </w:rPr>
              <w:t>Yes</w:t>
            </w:r>
          </w:p>
        </w:tc>
        <w:tc>
          <w:tcPr>
            <w:tcW w:w="7025" w:type="dxa"/>
          </w:tcPr>
          <w:p w:rsidR="00031712" w:rsidRPr="00AC60C1" w:rsidRDefault="00982758" w:rsidP="00AC60C1">
            <w:pPr>
              <w:pStyle w:val="Tabledata"/>
              <w:rPr>
                <w:b/>
                <w:szCs w:val="20"/>
              </w:rPr>
            </w:pPr>
            <w:r w:rsidRPr="00AC60C1">
              <w:rPr>
                <w:b/>
                <w:szCs w:val="20"/>
              </w:rPr>
              <w:t>Updated</w:t>
            </w:r>
            <w:r w:rsidR="00AC60C1">
              <w:rPr>
                <w:b/>
                <w:szCs w:val="20"/>
              </w:rPr>
              <w:t xml:space="preserve"> -</w:t>
            </w:r>
            <w:r w:rsidRPr="00AC60C1">
              <w:rPr>
                <w:b/>
                <w:szCs w:val="20"/>
              </w:rPr>
              <w:t xml:space="preserve"> 23.11.2016</w:t>
            </w:r>
          </w:p>
        </w:tc>
      </w:tr>
      <w:tr w:rsidR="00031712" w:rsidRPr="00CD3A8C" w:rsidTr="00F62B36">
        <w:tc>
          <w:tcPr>
            <w:tcW w:w="675" w:type="dxa"/>
          </w:tcPr>
          <w:p w:rsidR="00031712" w:rsidRPr="00CD3A8C" w:rsidRDefault="00031712" w:rsidP="00AE55F6">
            <w:pPr>
              <w:pStyle w:val="Tabledata"/>
            </w:pPr>
            <w:r w:rsidRPr="00CD3A8C">
              <w:t>LU</w:t>
            </w:r>
          </w:p>
        </w:tc>
        <w:tc>
          <w:tcPr>
            <w:tcW w:w="1560" w:type="dxa"/>
          </w:tcPr>
          <w:p w:rsidR="00031712" w:rsidRPr="00CD3A8C" w:rsidRDefault="00031712" w:rsidP="00883CDB">
            <w:pPr>
              <w:pStyle w:val="Tabledata"/>
            </w:pPr>
            <w:r w:rsidRPr="00CD3A8C">
              <w:t>Luxembourg</w:t>
            </w:r>
          </w:p>
        </w:tc>
        <w:tc>
          <w:tcPr>
            <w:tcW w:w="2126" w:type="dxa"/>
          </w:tcPr>
          <w:p w:rsidR="00031712" w:rsidRPr="00CD3A8C" w:rsidRDefault="00ED4267" w:rsidP="000424D3">
            <w:pPr>
              <w:pStyle w:val="Tabledata"/>
              <w:jc w:val="left"/>
              <w:rPr>
                <w:rFonts w:cs="Arial"/>
                <w:bCs w:val="0"/>
              </w:rPr>
            </w:pPr>
            <w:r w:rsidRPr="00CD3A8C">
              <w:rPr>
                <w:rFonts w:cs="Arial"/>
                <w:bCs w:val="0"/>
              </w:rPr>
              <w:t xml:space="preserve">Commission de Surveillance du </w:t>
            </w:r>
            <w:proofErr w:type="spellStart"/>
            <w:r w:rsidRPr="00CD3A8C">
              <w:rPr>
                <w:rFonts w:cs="Arial"/>
                <w:bCs w:val="0"/>
              </w:rPr>
              <w:t>Secteur</w:t>
            </w:r>
            <w:proofErr w:type="spellEnd"/>
            <w:r w:rsidRPr="00CD3A8C">
              <w:rPr>
                <w:rFonts w:cs="Arial"/>
                <w:bCs w:val="0"/>
              </w:rPr>
              <w:t xml:space="preserve"> Financier (Commission for the Supervision of Financial Sector)</w:t>
            </w:r>
          </w:p>
        </w:tc>
        <w:tc>
          <w:tcPr>
            <w:tcW w:w="2268" w:type="dxa"/>
            <w:shd w:val="clear" w:color="auto" w:fill="245539" w:themeFill="accent4" w:themeFillShade="80"/>
          </w:tcPr>
          <w:p w:rsidR="00031712" w:rsidRPr="00CD3A8C" w:rsidRDefault="00F62B36" w:rsidP="008C40B2">
            <w:pPr>
              <w:pStyle w:val="Tabledata"/>
              <w:ind w:left="284"/>
              <w:jc w:val="center"/>
              <w:rPr>
                <w:b/>
              </w:rPr>
            </w:pPr>
            <w:r>
              <w:rPr>
                <w:b/>
              </w:rPr>
              <w:t>Yes</w:t>
            </w:r>
          </w:p>
        </w:tc>
        <w:tc>
          <w:tcPr>
            <w:tcW w:w="7025" w:type="dxa"/>
          </w:tcPr>
          <w:p w:rsidR="00031712" w:rsidRPr="0099287B" w:rsidRDefault="00F62B36" w:rsidP="00F62B36">
            <w:pPr>
              <w:pStyle w:val="Tabledata"/>
              <w:numPr>
                <w:ilvl w:val="0"/>
                <w:numId w:val="49"/>
              </w:numPr>
              <w:rPr>
                <w:szCs w:val="20"/>
              </w:rPr>
            </w:pPr>
            <w:r w:rsidRPr="0099287B">
              <w:rPr>
                <w:szCs w:val="20"/>
              </w:rPr>
              <w:t>Please note that at this stage the Bank Recovery and Resolution Directive, and hence Art. 32, has not been transposed in national law.</w:t>
            </w:r>
          </w:p>
          <w:p w:rsidR="00F62B36" w:rsidRPr="0099287B" w:rsidRDefault="00F62B36" w:rsidP="00F62B36">
            <w:pPr>
              <w:pStyle w:val="Tabledata"/>
              <w:numPr>
                <w:ilvl w:val="0"/>
                <w:numId w:val="49"/>
              </w:numPr>
              <w:rPr>
                <w:szCs w:val="20"/>
              </w:rPr>
            </w:pPr>
            <w:r w:rsidRPr="0099287B">
              <w:rPr>
                <w:szCs w:val="20"/>
              </w:rPr>
              <w:t>With regard to the Reporting requirements (Part 3, point 3 of the guidelines), please note that Luxembourg has not yet designated a resolution authority and that it remains unknown, at this stage, whether Article 32(2) BRRD will be implemented in Luxembourg law.</w:t>
            </w:r>
          </w:p>
        </w:tc>
      </w:tr>
      <w:tr w:rsidR="00031712" w:rsidRPr="00CD3A8C" w:rsidTr="00182AC1">
        <w:tc>
          <w:tcPr>
            <w:tcW w:w="675" w:type="dxa"/>
          </w:tcPr>
          <w:p w:rsidR="00031712" w:rsidRPr="00CD3A8C" w:rsidRDefault="00031712" w:rsidP="00AE55F6">
            <w:pPr>
              <w:pStyle w:val="Tabledata"/>
            </w:pPr>
            <w:r w:rsidRPr="00CD3A8C">
              <w:t>HU</w:t>
            </w:r>
          </w:p>
        </w:tc>
        <w:tc>
          <w:tcPr>
            <w:tcW w:w="1560" w:type="dxa"/>
          </w:tcPr>
          <w:p w:rsidR="00031712" w:rsidRPr="00CD3A8C" w:rsidRDefault="00031712" w:rsidP="00883CDB">
            <w:pPr>
              <w:pStyle w:val="Tabledata"/>
            </w:pPr>
            <w:r w:rsidRPr="00CD3A8C">
              <w:t>Hungary</w:t>
            </w:r>
          </w:p>
        </w:tc>
        <w:tc>
          <w:tcPr>
            <w:tcW w:w="2126" w:type="dxa"/>
          </w:tcPr>
          <w:p w:rsidR="00031712" w:rsidRPr="00CD3A8C" w:rsidRDefault="00691246" w:rsidP="00182AC1">
            <w:pPr>
              <w:pStyle w:val="Tabledata"/>
              <w:jc w:val="left"/>
              <w:rPr>
                <w:rFonts w:cs="Arial"/>
                <w:bCs w:val="0"/>
              </w:rPr>
            </w:pPr>
            <w:r w:rsidRPr="00CD3A8C">
              <w:rPr>
                <w:rFonts w:cs="Arial"/>
                <w:bCs w:val="0"/>
              </w:rPr>
              <w:t xml:space="preserve">Magyar </w:t>
            </w:r>
            <w:proofErr w:type="spellStart"/>
            <w:r w:rsidRPr="00CD3A8C">
              <w:rPr>
                <w:rFonts w:cs="Arial"/>
                <w:bCs w:val="0"/>
              </w:rPr>
              <w:t>Nemzeti</w:t>
            </w:r>
            <w:proofErr w:type="spellEnd"/>
            <w:r w:rsidRPr="00CD3A8C">
              <w:rPr>
                <w:rFonts w:cs="Arial"/>
                <w:bCs w:val="0"/>
              </w:rPr>
              <w:t xml:space="preserve"> Bank (</w:t>
            </w:r>
            <w:r w:rsidR="00182AC1">
              <w:rPr>
                <w:rFonts w:cs="Arial"/>
                <w:bCs w:val="0"/>
              </w:rPr>
              <w:t>Central</w:t>
            </w:r>
            <w:r w:rsidRPr="00CD3A8C">
              <w:rPr>
                <w:rFonts w:cs="Arial"/>
                <w:bCs w:val="0"/>
              </w:rPr>
              <w:t xml:space="preserve"> Bank of Hungary)</w:t>
            </w:r>
          </w:p>
        </w:tc>
        <w:tc>
          <w:tcPr>
            <w:tcW w:w="2268" w:type="dxa"/>
            <w:shd w:val="clear" w:color="auto" w:fill="245539" w:themeFill="accent4" w:themeFillShade="80"/>
          </w:tcPr>
          <w:p w:rsidR="00031712" w:rsidRPr="00CD3A8C" w:rsidRDefault="00182AC1" w:rsidP="008C40B2">
            <w:pPr>
              <w:pStyle w:val="Tabledata"/>
              <w:ind w:left="284"/>
              <w:jc w:val="center"/>
              <w:rPr>
                <w:b/>
              </w:rPr>
            </w:pPr>
            <w:r>
              <w:rPr>
                <w:b/>
              </w:rPr>
              <w:t>Yes</w:t>
            </w:r>
          </w:p>
        </w:tc>
        <w:tc>
          <w:tcPr>
            <w:tcW w:w="7025" w:type="dxa"/>
          </w:tcPr>
          <w:p w:rsidR="00031712" w:rsidRPr="0099287B" w:rsidRDefault="00031712" w:rsidP="00031712">
            <w:pPr>
              <w:pStyle w:val="Tabledata"/>
              <w:rPr>
                <w:szCs w:val="20"/>
              </w:rPr>
            </w:pPr>
          </w:p>
        </w:tc>
      </w:tr>
      <w:tr w:rsidR="00031712" w:rsidRPr="00CD3A8C" w:rsidTr="007B0DC4">
        <w:tc>
          <w:tcPr>
            <w:tcW w:w="675" w:type="dxa"/>
          </w:tcPr>
          <w:p w:rsidR="00031712" w:rsidRPr="00CD3A8C" w:rsidRDefault="00031712" w:rsidP="00883CDB">
            <w:pPr>
              <w:pStyle w:val="Tabledata"/>
            </w:pPr>
            <w:r w:rsidRPr="00CD3A8C">
              <w:t>MT</w:t>
            </w:r>
          </w:p>
        </w:tc>
        <w:tc>
          <w:tcPr>
            <w:tcW w:w="1560" w:type="dxa"/>
          </w:tcPr>
          <w:p w:rsidR="00031712" w:rsidRPr="00CD3A8C" w:rsidRDefault="00031712" w:rsidP="00883CDB">
            <w:pPr>
              <w:pStyle w:val="Tabledata"/>
            </w:pPr>
            <w:r w:rsidRPr="00CD3A8C">
              <w:t>Malta</w:t>
            </w:r>
          </w:p>
        </w:tc>
        <w:tc>
          <w:tcPr>
            <w:tcW w:w="2126" w:type="dxa"/>
          </w:tcPr>
          <w:p w:rsidR="00031712" w:rsidRPr="00CD3A8C" w:rsidRDefault="00031712" w:rsidP="00AB01B5">
            <w:pPr>
              <w:pStyle w:val="Tabledata"/>
              <w:jc w:val="center"/>
              <w:rPr>
                <w:rFonts w:cs="Arial"/>
                <w:bCs w:val="0"/>
              </w:rPr>
            </w:pPr>
            <w:r w:rsidRPr="00CD3A8C">
              <w:rPr>
                <w:rFonts w:cs="Arial"/>
                <w:bCs w:val="0"/>
              </w:rPr>
              <w:t>Malta Financial Services Authority</w:t>
            </w:r>
          </w:p>
        </w:tc>
        <w:tc>
          <w:tcPr>
            <w:tcW w:w="2268" w:type="dxa"/>
            <w:shd w:val="clear" w:color="auto" w:fill="245539" w:themeFill="accent4" w:themeFillShade="80"/>
          </w:tcPr>
          <w:p w:rsidR="00031712" w:rsidRPr="00CD3A8C" w:rsidRDefault="007B0DC4" w:rsidP="008C40B2">
            <w:pPr>
              <w:pStyle w:val="Tabledata"/>
              <w:ind w:left="284"/>
              <w:jc w:val="center"/>
              <w:rPr>
                <w:b/>
              </w:rPr>
            </w:pPr>
            <w:r>
              <w:rPr>
                <w:b/>
              </w:rPr>
              <w:t>Yes</w:t>
            </w:r>
          </w:p>
        </w:tc>
        <w:tc>
          <w:tcPr>
            <w:tcW w:w="7025" w:type="dxa"/>
          </w:tcPr>
          <w:p w:rsidR="007B0DC4" w:rsidRPr="00AC60C1" w:rsidRDefault="007B0DC4" w:rsidP="00797516">
            <w:pPr>
              <w:jc w:val="both"/>
              <w:rPr>
                <w:b/>
                <w:sz w:val="20"/>
                <w:szCs w:val="20"/>
              </w:rPr>
            </w:pPr>
            <w:r w:rsidRPr="00AC60C1">
              <w:rPr>
                <w:b/>
                <w:sz w:val="20"/>
                <w:szCs w:val="20"/>
              </w:rPr>
              <w:t xml:space="preserve">Updated – 09.10.2015 </w:t>
            </w:r>
          </w:p>
          <w:p w:rsidR="00031712" w:rsidRPr="0099287B" w:rsidRDefault="00031712" w:rsidP="00797516">
            <w:pPr>
              <w:jc w:val="both"/>
              <w:rPr>
                <w:sz w:val="20"/>
                <w:szCs w:val="20"/>
              </w:rPr>
            </w:pPr>
          </w:p>
        </w:tc>
      </w:tr>
      <w:tr w:rsidR="00031712" w:rsidRPr="00CD3A8C" w:rsidTr="00B174E1">
        <w:tc>
          <w:tcPr>
            <w:tcW w:w="675" w:type="dxa"/>
          </w:tcPr>
          <w:p w:rsidR="00031712" w:rsidRPr="00CD3A8C" w:rsidRDefault="00031712" w:rsidP="00AE55F6">
            <w:pPr>
              <w:pStyle w:val="Tabledata"/>
            </w:pPr>
            <w:r w:rsidRPr="00CD3A8C">
              <w:t>NL</w:t>
            </w:r>
          </w:p>
        </w:tc>
        <w:tc>
          <w:tcPr>
            <w:tcW w:w="1560" w:type="dxa"/>
          </w:tcPr>
          <w:p w:rsidR="00031712" w:rsidRPr="00CD3A8C" w:rsidRDefault="00031712" w:rsidP="00883CDB">
            <w:pPr>
              <w:pStyle w:val="Tabledata"/>
            </w:pPr>
            <w:r w:rsidRPr="00CD3A8C">
              <w:t>Netherlands</w:t>
            </w:r>
          </w:p>
        </w:tc>
        <w:tc>
          <w:tcPr>
            <w:tcW w:w="2126" w:type="dxa"/>
          </w:tcPr>
          <w:p w:rsidR="00031712" w:rsidRPr="00CD3A8C" w:rsidRDefault="00691246" w:rsidP="00AB01B5">
            <w:pPr>
              <w:pStyle w:val="Tabledata"/>
              <w:jc w:val="center"/>
              <w:rPr>
                <w:rFonts w:cs="Arial"/>
                <w:bCs w:val="0"/>
              </w:rPr>
            </w:pPr>
            <w:r w:rsidRPr="00CD3A8C">
              <w:rPr>
                <w:rFonts w:cs="Arial"/>
                <w:bCs w:val="0"/>
              </w:rPr>
              <w:t>De Nederlandsche Bank (National Bank of Netherlands)</w:t>
            </w:r>
          </w:p>
        </w:tc>
        <w:tc>
          <w:tcPr>
            <w:tcW w:w="2268" w:type="dxa"/>
            <w:shd w:val="clear" w:color="auto" w:fill="245539" w:themeFill="accent4" w:themeFillShade="80"/>
          </w:tcPr>
          <w:p w:rsidR="00031712" w:rsidRPr="00CD3A8C" w:rsidRDefault="00B174E1" w:rsidP="008C40B2">
            <w:pPr>
              <w:pStyle w:val="Tabledata"/>
              <w:ind w:left="284"/>
              <w:jc w:val="center"/>
              <w:rPr>
                <w:b/>
              </w:rPr>
            </w:pPr>
            <w:r>
              <w:rPr>
                <w:b/>
              </w:rPr>
              <w:t>Yes</w:t>
            </w:r>
          </w:p>
        </w:tc>
        <w:tc>
          <w:tcPr>
            <w:tcW w:w="7025" w:type="dxa"/>
          </w:tcPr>
          <w:p w:rsidR="00031712" w:rsidRPr="0099287B" w:rsidRDefault="00031712" w:rsidP="00031712">
            <w:pPr>
              <w:pStyle w:val="Tabledata"/>
              <w:rPr>
                <w:szCs w:val="20"/>
              </w:rPr>
            </w:pPr>
          </w:p>
        </w:tc>
      </w:tr>
      <w:tr w:rsidR="00031712" w:rsidRPr="00CD3A8C" w:rsidTr="00B43393">
        <w:tc>
          <w:tcPr>
            <w:tcW w:w="675" w:type="dxa"/>
          </w:tcPr>
          <w:p w:rsidR="00031712" w:rsidRPr="00CD3A8C" w:rsidRDefault="00031712" w:rsidP="00883CDB">
            <w:pPr>
              <w:pStyle w:val="Tabledata"/>
            </w:pPr>
            <w:r w:rsidRPr="00CD3A8C">
              <w:t>AT</w:t>
            </w:r>
          </w:p>
        </w:tc>
        <w:tc>
          <w:tcPr>
            <w:tcW w:w="1560" w:type="dxa"/>
          </w:tcPr>
          <w:p w:rsidR="00031712" w:rsidRPr="00CD3A8C" w:rsidRDefault="00031712" w:rsidP="00883CDB">
            <w:pPr>
              <w:pStyle w:val="Tabledata"/>
            </w:pPr>
            <w:r w:rsidRPr="00CD3A8C">
              <w:t>Austria</w:t>
            </w:r>
          </w:p>
        </w:tc>
        <w:tc>
          <w:tcPr>
            <w:tcW w:w="2126" w:type="dxa"/>
          </w:tcPr>
          <w:p w:rsidR="00031712" w:rsidRPr="00CD3A8C" w:rsidRDefault="00E641D4" w:rsidP="00AB01B5">
            <w:pPr>
              <w:pStyle w:val="Tabledata"/>
              <w:jc w:val="center"/>
              <w:rPr>
                <w:rFonts w:cs="Arial"/>
                <w:bCs w:val="0"/>
              </w:rPr>
            </w:pPr>
            <w:proofErr w:type="spellStart"/>
            <w:r w:rsidRPr="00CD3A8C">
              <w:rPr>
                <w:rFonts w:cs="Arial"/>
                <w:bCs w:val="0"/>
              </w:rPr>
              <w:t>Finanzmarktaufsicht</w:t>
            </w:r>
            <w:proofErr w:type="spellEnd"/>
            <w:r w:rsidRPr="00CD3A8C">
              <w:rPr>
                <w:rFonts w:cs="Arial"/>
                <w:bCs w:val="0"/>
              </w:rPr>
              <w:t xml:space="preserve"> (Financial Market Authority)</w:t>
            </w:r>
          </w:p>
        </w:tc>
        <w:tc>
          <w:tcPr>
            <w:tcW w:w="2268" w:type="dxa"/>
            <w:shd w:val="clear" w:color="auto" w:fill="245539" w:themeFill="accent4" w:themeFillShade="80"/>
          </w:tcPr>
          <w:p w:rsidR="00031712" w:rsidRPr="00CD3A8C" w:rsidRDefault="00B43393" w:rsidP="00AB01B5">
            <w:pPr>
              <w:pStyle w:val="Tabledata"/>
              <w:ind w:left="284"/>
              <w:jc w:val="center"/>
              <w:rPr>
                <w:b/>
              </w:rPr>
            </w:pPr>
            <w:r>
              <w:rPr>
                <w:b/>
              </w:rPr>
              <w:t>Yes</w:t>
            </w:r>
          </w:p>
        </w:tc>
        <w:tc>
          <w:tcPr>
            <w:tcW w:w="7025" w:type="dxa"/>
          </w:tcPr>
          <w:p w:rsidR="00031712" w:rsidRPr="0099287B" w:rsidRDefault="00031712" w:rsidP="00741153">
            <w:pPr>
              <w:pStyle w:val="Tabledata"/>
              <w:rPr>
                <w:szCs w:val="20"/>
              </w:rPr>
            </w:pPr>
          </w:p>
        </w:tc>
      </w:tr>
      <w:tr w:rsidR="00031712" w:rsidRPr="00CD3A8C" w:rsidTr="00B04F6F">
        <w:trPr>
          <w:trHeight w:val="1253"/>
        </w:trPr>
        <w:tc>
          <w:tcPr>
            <w:tcW w:w="675" w:type="dxa"/>
          </w:tcPr>
          <w:p w:rsidR="00031712" w:rsidRPr="00CD3A8C" w:rsidRDefault="00031712" w:rsidP="00883CDB">
            <w:pPr>
              <w:pStyle w:val="Tabledata"/>
            </w:pPr>
            <w:r w:rsidRPr="00CD3A8C">
              <w:t>PL</w:t>
            </w:r>
          </w:p>
        </w:tc>
        <w:tc>
          <w:tcPr>
            <w:tcW w:w="1560" w:type="dxa"/>
          </w:tcPr>
          <w:p w:rsidR="00031712" w:rsidRPr="00CD3A8C" w:rsidRDefault="00031712" w:rsidP="00883CDB">
            <w:pPr>
              <w:pStyle w:val="Tabledata"/>
            </w:pPr>
            <w:r w:rsidRPr="00CD3A8C">
              <w:t>Poland</w:t>
            </w:r>
          </w:p>
        </w:tc>
        <w:tc>
          <w:tcPr>
            <w:tcW w:w="2126" w:type="dxa"/>
          </w:tcPr>
          <w:p w:rsidR="00031712" w:rsidRPr="00CD3A8C" w:rsidRDefault="00E641D4" w:rsidP="00AB01B5">
            <w:pPr>
              <w:pStyle w:val="Tabledata"/>
              <w:jc w:val="center"/>
              <w:rPr>
                <w:rFonts w:cs="Arial"/>
                <w:bCs w:val="0"/>
              </w:rPr>
            </w:pPr>
            <w:proofErr w:type="spellStart"/>
            <w:r w:rsidRPr="00CD3A8C">
              <w:rPr>
                <w:rFonts w:cs="Arial"/>
                <w:bCs w:val="0"/>
              </w:rPr>
              <w:t>Komisja</w:t>
            </w:r>
            <w:proofErr w:type="spellEnd"/>
            <w:r w:rsidRPr="00CD3A8C">
              <w:rPr>
                <w:rFonts w:cs="Arial"/>
                <w:bCs w:val="0"/>
              </w:rPr>
              <w:t xml:space="preserve"> </w:t>
            </w:r>
            <w:proofErr w:type="spellStart"/>
            <w:r w:rsidRPr="00CD3A8C">
              <w:rPr>
                <w:rFonts w:cs="Arial"/>
                <w:bCs w:val="0"/>
              </w:rPr>
              <w:t>Nadzoru</w:t>
            </w:r>
            <w:proofErr w:type="spellEnd"/>
            <w:r w:rsidRPr="00CD3A8C">
              <w:rPr>
                <w:rFonts w:cs="Arial"/>
                <w:bCs w:val="0"/>
              </w:rPr>
              <w:t xml:space="preserve"> </w:t>
            </w:r>
            <w:proofErr w:type="spellStart"/>
            <w:r w:rsidRPr="00CD3A8C">
              <w:rPr>
                <w:rFonts w:cs="Arial"/>
                <w:bCs w:val="0"/>
              </w:rPr>
              <w:t>Finansowego</w:t>
            </w:r>
            <w:proofErr w:type="spellEnd"/>
            <w:r w:rsidRPr="00CD3A8C">
              <w:rPr>
                <w:rFonts w:cs="Arial"/>
                <w:bCs w:val="0"/>
              </w:rPr>
              <w:t xml:space="preserve"> (Polish Financial Supervision Authority)</w:t>
            </w:r>
          </w:p>
        </w:tc>
        <w:tc>
          <w:tcPr>
            <w:tcW w:w="2268" w:type="dxa"/>
            <w:shd w:val="clear" w:color="auto" w:fill="245539" w:themeFill="accent4" w:themeFillShade="80"/>
          </w:tcPr>
          <w:p w:rsidR="00031712" w:rsidRPr="00CD3A8C" w:rsidRDefault="00B04F6F" w:rsidP="00AB01B5">
            <w:pPr>
              <w:pStyle w:val="Tabledata"/>
              <w:ind w:left="284"/>
              <w:jc w:val="center"/>
              <w:rPr>
                <w:b/>
              </w:rPr>
            </w:pPr>
            <w:r>
              <w:rPr>
                <w:b/>
              </w:rPr>
              <w:t>Yes</w:t>
            </w:r>
          </w:p>
        </w:tc>
        <w:tc>
          <w:tcPr>
            <w:tcW w:w="7025" w:type="dxa"/>
          </w:tcPr>
          <w:p w:rsidR="00031712" w:rsidRPr="0099287B" w:rsidRDefault="00031712" w:rsidP="00031712">
            <w:pPr>
              <w:pStyle w:val="Tabledata"/>
              <w:rPr>
                <w:szCs w:val="20"/>
              </w:rPr>
            </w:pPr>
          </w:p>
        </w:tc>
      </w:tr>
      <w:tr w:rsidR="00031712" w:rsidRPr="00CD3A8C" w:rsidTr="00A41883">
        <w:tc>
          <w:tcPr>
            <w:tcW w:w="675" w:type="dxa"/>
          </w:tcPr>
          <w:p w:rsidR="00031712" w:rsidRPr="00CD3A8C" w:rsidRDefault="00031712" w:rsidP="00883CDB">
            <w:pPr>
              <w:pStyle w:val="Tabledata"/>
            </w:pPr>
            <w:r w:rsidRPr="00CD3A8C">
              <w:t>PT</w:t>
            </w:r>
          </w:p>
        </w:tc>
        <w:tc>
          <w:tcPr>
            <w:tcW w:w="1560" w:type="dxa"/>
          </w:tcPr>
          <w:p w:rsidR="00031712" w:rsidRPr="00CD3A8C" w:rsidRDefault="00031712" w:rsidP="00883CDB">
            <w:pPr>
              <w:pStyle w:val="Tabledata"/>
            </w:pPr>
            <w:r w:rsidRPr="00CD3A8C">
              <w:t>Portugal</w:t>
            </w:r>
          </w:p>
        </w:tc>
        <w:tc>
          <w:tcPr>
            <w:tcW w:w="2126" w:type="dxa"/>
          </w:tcPr>
          <w:p w:rsidR="00031712" w:rsidRPr="00CD3A8C" w:rsidRDefault="00E641D4" w:rsidP="00AB01B5">
            <w:pPr>
              <w:pStyle w:val="Tabledata"/>
              <w:jc w:val="center"/>
              <w:rPr>
                <w:rFonts w:cs="Arial"/>
                <w:bCs w:val="0"/>
              </w:rPr>
            </w:pPr>
            <w:r w:rsidRPr="00CD3A8C">
              <w:rPr>
                <w:rFonts w:cs="Arial"/>
                <w:bCs w:val="0"/>
              </w:rPr>
              <w:t>Banco de Portugal (Bank of Portugal)</w:t>
            </w:r>
          </w:p>
        </w:tc>
        <w:tc>
          <w:tcPr>
            <w:tcW w:w="2268" w:type="dxa"/>
            <w:shd w:val="clear" w:color="auto" w:fill="245539" w:themeFill="accent4" w:themeFillShade="80"/>
          </w:tcPr>
          <w:p w:rsidR="00031712" w:rsidRPr="00CD3A8C" w:rsidRDefault="00A41883" w:rsidP="00AB01B5">
            <w:pPr>
              <w:pStyle w:val="Tabledata"/>
              <w:ind w:left="284"/>
              <w:jc w:val="center"/>
              <w:rPr>
                <w:b/>
              </w:rPr>
            </w:pPr>
            <w:r>
              <w:rPr>
                <w:b/>
              </w:rPr>
              <w:t>Yes</w:t>
            </w:r>
          </w:p>
        </w:tc>
        <w:tc>
          <w:tcPr>
            <w:tcW w:w="7025" w:type="dxa"/>
          </w:tcPr>
          <w:p w:rsidR="00031712" w:rsidRPr="0099287B" w:rsidRDefault="00031712" w:rsidP="00031712">
            <w:pPr>
              <w:pStyle w:val="Tabledata"/>
              <w:rPr>
                <w:szCs w:val="20"/>
              </w:rPr>
            </w:pPr>
          </w:p>
        </w:tc>
      </w:tr>
      <w:tr w:rsidR="00031712" w:rsidRPr="00CD3A8C" w:rsidTr="00F214C6">
        <w:tc>
          <w:tcPr>
            <w:tcW w:w="675" w:type="dxa"/>
          </w:tcPr>
          <w:p w:rsidR="00031712" w:rsidRPr="00CD3A8C" w:rsidRDefault="00031712" w:rsidP="00883CDB">
            <w:pPr>
              <w:pStyle w:val="Tabledata"/>
            </w:pPr>
            <w:r w:rsidRPr="00CD3A8C">
              <w:t>RO</w:t>
            </w:r>
          </w:p>
        </w:tc>
        <w:tc>
          <w:tcPr>
            <w:tcW w:w="1560" w:type="dxa"/>
          </w:tcPr>
          <w:p w:rsidR="00031712" w:rsidRPr="00CD3A8C" w:rsidRDefault="00031712" w:rsidP="00883CDB">
            <w:pPr>
              <w:pStyle w:val="Tabledata"/>
            </w:pPr>
            <w:r w:rsidRPr="00CD3A8C">
              <w:t>Romania</w:t>
            </w:r>
          </w:p>
        </w:tc>
        <w:tc>
          <w:tcPr>
            <w:tcW w:w="2126" w:type="dxa"/>
          </w:tcPr>
          <w:p w:rsidR="00031712" w:rsidRPr="00CD3A8C" w:rsidRDefault="00356FE3" w:rsidP="00AB01B5">
            <w:pPr>
              <w:pStyle w:val="Tabledata"/>
              <w:jc w:val="center"/>
              <w:rPr>
                <w:rFonts w:cs="Arial"/>
                <w:bCs w:val="0"/>
                <w:szCs w:val="20"/>
              </w:rPr>
            </w:pPr>
            <w:r w:rsidRPr="00CD3A8C">
              <w:rPr>
                <w:rFonts w:cs="Arial"/>
                <w:szCs w:val="20"/>
              </w:rPr>
              <w:t xml:space="preserve">Banca </w:t>
            </w:r>
            <w:proofErr w:type="spellStart"/>
            <w:r w:rsidRPr="00CD3A8C">
              <w:rPr>
                <w:rFonts w:cs="Arial"/>
                <w:szCs w:val="20"/>
              </w:rPr>
              <w:t>Naţională</w:t>
            </w:r>
            <w:proofErr w:type="spellEnd"/>
            <w:r w:rsidRPr="00CD3A8C">
              <w:rPr>
                <w:rFonts w:cs="Arial"/>
                <w:szCs w:val="20"/>
              </w:rPr>
              <w:t xml:space="preserve"> a </w:t>
            </w:r>
            <w:proofErr w:type="spellStart"/>
            <w:r w:rsidRPr="00CD3A8C">
              <w:rPr>
                <w:rFonts w:cs="Arial"/>
                <w:szCs w:val="20"/>
              </w:rPr>
              <w:t>României</w:t>
            </w:r>
            <w:proofErr w:type="spellEnd"/>
            <w:r w:rsidRPr="00CD3A8C">
              <w:rPr>
                <w:rFonts w:cs="Arial"/>
                <w:szCs w:val="20"/>
              </w:rPr>
              <w:t xml:space="preserve"> (National Bank of Romania)</w:t>
            </w:r>
          </w:p>
        </w:tc>
        <w:tc>
          <w:tcPr>
            <w:tcW w:w="2268" w:type="dxa"/>
            <w:shd w:val="clear" w:color="auto" w:fill="245539" w:themeFill="accent4" w:themeFillShade="80"/>
          </w:tcPr>
          <w:p w:rsidR="00031712" w:rsidRPr="00CD3A8C" w:rsidRDefault="00F214C6" w:rsidP="00AB01B5">
            <w:pPr>
              <w:pStyle w:val="Tabledata"/>
              <w:ind w:left="284"/>
              <w:jc w:val="center"/>
              <w:rPr>
                <w:b/>
              </w:rPr>
            </w:pPr>
            <w:r>
              <w:rPr>
                <w:b/>
              </w:rPr>
              <w:t>Yes</w:t>
            </w:r>
          </w:p>
        </w:tc>
        <w:tc>
          <w:tcPr>
            <w:tcW w:w="7025" w:type="dxa"/>
          </w:tcPr>
          <w:p w:rsidR="00031712" w:rsidRPr="0099287B" w:rsidRDefault="00031712" w:rsidP="00031712">
            <w:pPr>
              <w:pStyle w:val="Tabledata"/>
              <w:rPr>
                <w:szCs w:val="20"/>
              </w:rPr>
            </w:pPr>
          </w:p>
        </w:tc>
      </w:tr>
      <w:tr w:rsidR="00031712" w:rsidRPr="00CD3A8C" w:rsidTr="00CF69DE">
        <w:tc>
          <w:tcPr>
            <w:tcW w:w="675" w:type="dxa"/>
          </w:tcPr>
          <w:p w:rsidR="00031712" w:rsidRPr="00CD3A8C" w:rsidRDefault="00031712" w:rsidP="00883CDB">
            <w:pPr>
              <w:pStyle w:val="Tabledata"/>
            </w:pPr>
            <w:r w:rsidRPr="00CD3A8C">
              <w:t>SI</w:t>
            </w:r>
          </w:p>
        </w:tc>
        <w:tc>
          <w:tcPr>
            <w:tcW w:w="1560" w:type="dxa"/>
          </w:tcPr>
          <w:p w:rsidR="00031712" w:rsidRPr="00CD3A8C" w:rsidRDefault="00031712" w:rsidP="00883CDB">
            <w:pPr>
              <w:pStyle w:val="Tabledata"/>
            </w:pPr>
            <w:r w:rsidRPr="00CD3A8C">
              <w:t>Slovenia</w:t>
            </w:r>
          </w:p>
        </w:tc>
        <w:tc>
          <w:tcPr>
            <w:tcW w:w="2126" w:type="dxa"/>
          </w:tcPr>
          <w:p w:rsidR="00031712" w:rsidRPr="00CD3A8C" w:rsidRDefault="00871898" w:rsidP="00AB01B5">
            <w:pPr>
              <w:pStyle w:val="Tabledata"/>
              <w:jc w:val="center"/>
            </w:pPr>
            <w:r w:rsidRPr="00CD3A8C">
              <w:t xml:space="preserve">Banka </w:t>
            </w:r>
            <w:proofErr w:type="spellStart"/>
            <w:r w:rsidRPr="00CD3A8C">
              <w:t>Slovenije</w:t>
            </w:r>
            <w:proofErr w:type="spellEnd"/>
            <w:r w:rsidRPr="00CD3A8C">
              <w:t xml:space="preserve"> (Bank of Slovenia)</w:t>
            </w:r>
          </w:p>
        </w:tc>
        <w:tc>
          <w:tcPr>
            <w:tcW w:w="2268" w:type="dxa"/>
            <w:shd w:val="clear" w:color="auto" w:fill="245539" w:themeFill="accent4" w:themeFillShade="80"/>
          </w:tcPr>
          <w:p w:rsidR="00031712" w:rsidRPr="00CD3A8C" w:rsidRDefault="00CF69DE" w:rsidP="00CF69DE">
            <w:pPr>
              <w:pStyle w:val="Tabledata"/>
              <w:ind w:left="284"/>
              <w:jc w:val="center"/>
              <w:rPr>
                <w:b/>
              </w:rPr>
            </w:pPr>
            <w:r>
              <w:rPr>
                <w:b/>
              </w:rPr>
              <w:t>Yes</w:t>
            </w:r>
          </w:p>
        </w:tc>
        <w:tc>
          <w:tcPr>
            <w:tcW w:w="7025" w:type="dxa"/>
          </w:tcPr>
          <w:p w:rsidR="00031712" w:rsidRPr="0099287B" w:rsidRDefault="00031712" w:rsidP="00031712">
            <w:pPr>
              <w:pStyle w:val="Tabledata"/>
              <w:rPr>
                <w:szCs w:val="20"/>
              </w:rPr>
            </w:pPr>
          </w:p>
        </w:tc>
      </w:tr>
      <w:tr w:rsidR="00031712" w:rsidRPr="00CD3A8C" w:rsidTr="00645462">
        <w:tc>
          <w:tcPr>
            <w:tcW w:w="675" w:type="dxa"/>
          </w:tcPr>
          <w:p w:rsidR="00031712" w:rsidRPr="00CD3A8C" w:rsidRDefault="00031712" w:rsidP="00883CDB">
            <w:pPr>
              <w:pStyle w:val="Tabledata"/>
            </w:pPr>
            <w:r w:rsidRPr="00CD3A8C">
              <w:t>SK</w:t>
            </w:r>
          </w:p>
        </w:tc>
        <w:tc>
          <w:tcPr>
            <w:tcW w:w="1560" w:type="dxa"/>
          </w:tcPr>
          <w:p w:rsidR="00031712" w:rsidRPr="00CD3A8C" w:rsidRDefault="00031712" w:rsidP="00883CDB">
            <w:pPr>
              <w:pStyle w:val="Tabledata"/>
            </w:pPr>
            <w:r w:rsidRPr="00CD3A8C">
              <w:t>Slovakia</w:t>
            </w:r>
          </w:p>
        </w:tc>
        <w:tc>
          <w:tcPr>
            <w:tcW w:w="2126" w:type="dxa"/>
          </w:tcPr>
          <w:p w:rsidR="00031712" w:rsidRPr="00CD3A8C" w:rsidRDefault="00031712" w:rsidP="00AB01B5">
            <w:pPr>
              <w:pStyle w:val="Tabledata"/>
              <w:jc w:val="center"/>
            </w:pPr>
            <w:proofErr w:type="spellStart"/>
            <w:r w:rsidRPr="00CD3A8C">
              <w:t>Národná</w:t>
            </w:r>
            <w:proofErr w:type="spellEnd"/>
            <w:r w:rsidRPr="00CD3A8C">
              <w:t xml:space="preserve"> Banka </w:t>
            </w:r>
            <w:proofErr w:type="spellStart"/>
            <w:r w:rsidRPr="00CD3A8C">
              <w:t>Slovenska</w:t>
            </w:r>
            <w:proofErr w:type="spellEnd"/>
            <w:r w:rsidR="00D574A0" w:rsidRPr="00CD3A8C">
              <w:t xml:space="preserve"> (National Bank of Slovakia)</w:t>
            </w:r>
          </w:p>
        </w:tc>
        <w:tc>
          <w:tcPr>
            <w:tcW w:w="2268" w:type="dxa"/>
            <w:shd w:val="clear" w:color="auto" w:fill="FFC000"/>
          </w:tcPr>
          <w:p w:rsidR="00031712" w:rsidRPr="00CD3A8C" w:rsidRDefault="00645462" w:rsidP="00AB01B5">
            <w:pPr>
              <w:pStyle w:val="Tabledata"/>
              <w:ind w:left="284"/>
              <w:jc w:val="center"/>
              <w:rPr>
                <w:b/>
              </w:rPr>
            </w:pPr>
            <w:r>
              <w:rPr>
                <w:b/>
              </w:rPr>
              <w:t>Partial</w:t>
            </w:r>
          </w:p>
        </w:tc>
        <w:tc>
          <w:tcPr>
            <w:tcW w:w="7025" w:type="dxa"/>
          </w:tcPr>
          <w:p w:rsidR="00031712" w:rsidRPr="0099287B" w:rsidRDefault="00645462" w:rsidP="00031712">
            <w:pPr>
              <w:pStyle w:val="Tabledata"/>
              <w:rPr>
                <w:szCs w:val="20"/>
              </w:rPr>
            </w:pPr>
            <w:r w:rsidRPr="0099287B">
              <w:rPr>
                <w:szCs w:val="20"/>
              </w:rPr>
              <w:t>The primary legislation that refers to public recapitalization not triggering resolution is in the legislative process with estimated adoption by end of this year. As soon as the primary legislation is in force, we’ll ensure full compliance with the guideline.</w:t>
            </w:r>
          </w:p>
        </w:tc>
      </w:tr>
      <w:tr w:rsidR="00031712" w:rsidRPr="00CD3A8C" w:rsidTr="00593F60">
        <w:tc>
          <w:tcPr>
            <w:tcW w:w="675" w:type="dxa"/>
          </w:tcPr>
          <w:p w:rsidR="00031712" w:rsidRPr="00CD3A8C" w:rsidRDefault="00031712" w:rsidP="00883CDB">
            <w:pPr>
              <w:pStyle w:val="Tabledata"/>
            </w:pPr>
            <w:r w:rsidRPr="00CD3A8C">
              <w:t>FI</w:t>
            </w:r>
          </w:p>
        </w:tc>
        <w:tc>
          <w:tcPr>
            <w:tcW w:w="1560" w:type="dxa"/>
          </w:tcPr>
          <w:p w:rsidR="00031712" w:rsidRPr="00CD3A8C" w:rsidRDefault="00031712" w:rsidP="00883CDB">
            <w:pPr>
              <w:pStyle w:val="Tabledata"/>
            </w:pPr>
            <w:r w:rsidRPr="00CD3A8C">
              <w:t>Finland</w:t>
            </w:r>
          </w:p>
        </w:tc>
        <w:tc>
          <w:tcPr>
            <w:tcW w:w="2126" w:type="dxa"/>
          </w:tcPr>
          <w:p w:rsidR="00031712" w:rsidRPr="00CD3A8C" w:rsidRDefault="00836241" w:rsidP="00AB01B5">
            <w:pPr>
              <w:pStyle w:val="Tabledata"/>
              <w:jc w:val="center"/>
            </w:pPr>
            <w:proofErr w:type="spellStart"/>
            <w:r w:rsidRPr="00CD3A8C">
              <w:t>Finanssivalvonta</w:t>
            </w:r>
            <w:proofErr w:type="spellEnd"/>
            <w:r w:rsidRPr="00CD3A8C">
              <w:t xml:space="preserve"> (Finnish Financial Supervisory Authority)</w:t>
            </w:r>
          </w:p>
        </w:tc>
        <w:tc>
          <w:tcPr>
            <w:tcW w:w="2268" w:type="dxa"/>
            <w:shd w:val="clear" w:color="auto" w:fill="245539" w:themeFill="accent4" w:themeFillShade="80"/>
          </w:tcPr>
          <w:p w:rsidR="00031712" w:rsidRPr="00CD3A8C" w:rsidRDefault="00593F60" w:rsidP="00AB01B5">
            <w:pPr>
              <w:pStyle w:val="Tabledata"/>
              <w:ind w:left="284"/>
              <w:jc w:val="center"/>
              <w:rPr>
                <w:b/>
              </w:rPr>
            </w:pPr>
            <w:r>
              <w:rPr>
                <w:b/>
              </w:rPr>
              <w:t>Yes</w:t>
            </w:r>
          </w:p>
        </w:tc>
        <w:tc>
          <w:tcPr>
            <w:tcW w:w="7025" w:type="dxa"/>
          </w:tcPr>
          <w:p w:rsidR="00031712" w:rsidRPr="00AC60C1" w:rsidRDefault="00593F60" w:rsidP="00031712">
            <w:pPr>
              <w:pStyle w:val="Tabledata"/>
              <w:rPr>
                <w:b/>
                <w:szCs w:val="20"/>
              </w:rPr>
            </w:pPr>
            <w:r w:rsidRPr="00AC60C1">
              <w:rPr>
                <w:b/>
                <w:szCs w:val="20"/>
              </w:rPr>
              <w:t>Updated – 3.11.2015</w:t>
            </w:r>
          </w:p>
        </w:tc>
      </w:tr>
      <w:tr w:rsidR="00031712" w:rsidRPr="00CD3A8C" w:rsidTr="00F12353">
        <w:tc>
          <w:tcPr>
            <w:tcW w:w="675" w:type="dxa"/>
          </w:tcPr>
          <w:p w:rsidR="00031712" w:rsidRPr="00CD3A8C" w:rsidRDefault="00031712" w:rsidP="00D56648">
            <w:pPr>
              <w:pStyle w:val="Tabledata"/>
            </w:pPr>
            <w:r w:rsidRPr="00CD3A8C">
              <w:t>SE</w:t>
            </w:r>
          </w:p>
        </w:tc>
        <w:tc>
          <w:tcPr>
            <w:tcW w:w="1560" w:type="dxa"/>
          </w:tcPr>
          <w:p w:rsidR="00031712" w:rsidRPr="00CD3A8C" w:rsidRDefault="00031712" w:rsidP="00D56648">
            <w:pPr>
              <w:pStyle w:val="Tabledata"/>
            </w:pPr>
            <w:r w:rsidRPr="00CD3A8C">
              <w:t>Sweden</w:t>
            </w:r>
          </w:p>
        </w:tc>
        <w:tc>
          <w:tcPr>
            <w:tcW w:w="2126" w:type="dxa"/>
          </w:tcPr>
          <w:p w:rsidR="00031712" w:rsidRPr="00CD3A8C" w:rsidRDefault="000D58EC" w:rsidP="00AB01B5">
            <w:pPr>
              <w:pStyle w:val="Tabledata"/>
              <w:jc w:val="center"/>
            </w:pPr>
            <w:r w:rsidRPr="00CD3A8C">
              <w:t>Finansinspektionen (Swedish Financial Supervisory Authority</w:t>
            </w:r>
          </w:p>
        </w:tc>
        <w:tc>
          <w:tcPr>
            <w:tcW w:w="2268" w:type="dxa"/>
            <w:shd w:val="clear" w:color="auto" w:fill="245539" w:themeFill="accent4" w:themeFillShade="80"/>
          </w:tcPr>
          <w:p w:rsidR="00031712" w:rsidRPr="00CD3A8C" w:rsidRDefault="00F12353" w:rsidP="008C40B2">
            <w:pPr>
              <w:pStyle w:val="Tabledata"/>
              <w:ind w:left="284"/>
              <w:jc w:val="center"/>
              <w:rPr>
                <w:b/>
              </w:rPr>
            </w:pPr>
            <w:r>
              <w:rPr>
                <w:b/>
              </w:rPr>
              <w:t>Yes</w:t>
            </w:r>
          </w:p>
        </w:tc>
        <w:tc>
          <w:tcPr>
            <w:tcW w:w="7025" w:type="dxa"/>
          </w:tcPr>
          <w:p w:rsidR="00031712" w:rsidRPr="0099287B" w:rsidRDefault="00031712" w:rsidP="00031712">
            <w:pPr>
              <w:pStyle w:val="Tabledata"/>
              <w:rPr>
                <w:szCs w:val="20"/>
              </w:rPr>
            </w:pPr>
          </w:p>
        </w:tc>
      </w:tr>
      <w:tr w:rsidR="00031712" w:rsidRPr="00CD3A8C" w:rsidTr="003A41CA">
        <w:tc>
          <w:tcPr>
            <w:tcW w:w="675" w:type="dxa"/>
            <w:vMerge w:val="restart"/>
          </w:tcPr>
          <w:p w:rsidR="00031712" w:rsidRPr="00CD3A8C" w:rsidRDefault="00031712" w:rsidP="00D56648">
            <w:pPr>
              <w:pStyle w:val="Tabledata"/>
            </w:pPr>
            <w:r w:rsidRPr="00CD3A8C">
              <w:t>UK</w:t>
            </w:r>
          </w:p>
        </w:tc>
        <w:tc>
          <w:tcPr>
            <w:tcW w:w="1560" w:type="dxa"/>
            <w:vMerge w:val="restart"/>
          </w:tcPr>
          <w:p w:rsidR="00031712" w:rsidRPr="00CD3A8C" w:rsidRDefault="00031712" w:rsidP="00D56648">
            <w:pPr>
              <w:pStyle w:val="Tabledata"/>
            </w:pPr>
            <w:r w:rsidRPr="00CD3A8C">
              <w:t>United</w:t>
            </w:r>
            <w:r w:rsidRPr="00CD3A8C">
              <w:br/>
              <w:t>Kingdom</w:t>
            </w:r>
          </w:p>
        </w:tc>
        <w:tc>
          <w:tcPr>
            <w:tcW w:w="2126" w:type="dxa"/>
          </w:tcPr>
          <w:p w:rsidR="00031712" w:rsidRPr="00CD3A8C" w:rsidRDefault="000D58EC" w:rsidP="00AB01B5">
            <w:pPr>
              <w:pStyle w:val="Tabledata"/>
              <w:jc w:val="center"/>
            </w:pPr>
            <w:r w:rsidRPr="00CD3A8C">
              <w:t>Prudential Regulation Authority (Bank of England)</w:t>
            </w:r>
          </w:p>
        </w:tc>
        <w:tc>
          <w:tcPr>
            <w:tcW w:w="2268" w:type="dxa"/>
            <w:shd w:val="clear" w:color="auto" w:fill="245539" w:themeFill="accent4" w:themeFillShade="80"/>
          </w:tcPr>
          <w:p w:rsidR="00031712" w:rsidRPr="00CD3A8C" w:rsidRDefault="003A41CA" w:rsidP="0073184E">
            <w:pPr>
              <w:pStyle w:val="Tabledata"/>
              <w:ind w:left="284"/>
              <w:jc w:val="center"/>
              <w:rPr>
                <w:b/>
              </w:rPr>
            </w:pPr>
            <w:r>
              <w:rPr>
                <w:b/>
              </w:rPr>
              <w:t>Yes</w:t>
            </w:r>
          </w:p>
        </w:tc>
        <w:tc>
          <w:tcPr>
            <w:tcW w:w="7025" w:type="dxa"/>
          </w:tcPr>
          <w:p w:rsidR="00031712" w:rsidRPr="0099287B" w:rsidRDefault="00031712" w:rsidP="00031712">
            <w:pPr>
              <w:pStyle w:val="Tabledata"/>
              <w:rPr>
                <w:szCs w:val="20"/>
              </w:rPr>
            </w:pPr>
          </w:p>
        </w:tc>
      </w:tr>
      <w:tr w:rsidR="003A41CA" w:rsidRPr="00CD3A8C" w:rsidTr="00B60D90">
        <w:tc>
          <w:tcPr>
            <w:tcW w:w="675" w:type="dxa"/>
            <w:vMerge/>
          </w:tcPr>
          <w:p w:rsidR="003A41CA" w:rsidRPr="00CD3A8C" w:rsidRDefault="003A41CA" w:rsidP="00AE55F6">
            <w:pPr>
              <w:pStyle w:val="Tabledata"/>
            </w:pPr>
          </w:p>
        </w:tc>
        <w:tc>
          <w:tcPr>
            <w:tcW w:w="1560" w:type="dxa"/>
            <w:vMerge/>
          </w:tcPr>
          <w:p w:rsidR="003A41CA" w:rsidRPr="00CD3A8C" w:rsidRDefault="003A41CA" w:rsidP="0005368B">
            <w:pPr>
              <w:pStyle w:val="Tabledata"/>
            </w:pPr>
          </w:p>
        </w:tc>
        <w:tc>
          <w:tcPr>
            <w:tcW w:w="2126" w:type="dxa"/>
          </w:tcPr>
          <w:p w:rsidR="003A41CA" w:rsidRPr="00CD3A8C" w:rsidRDefault="003A41CA" w:rsidP="00AB01B5">
            <w:pPr>
              <w:pStyle w:val="Tabledata"/>
              <w:jc w:val="center"/>
            </w:pPr>
            <w:r>
              <w:t>Financial Conduct Authority (FCA)</w:t>
            </w:r>
          </w:p>
        </w:tc>
        <w:tc>
          <w:tcPr>
            <w:tcW w:w="2268" w:type="dxa"/>
            <w:shd w:val="clear" w:color="auto" w:fill="245539" w:themeFill="accent4" w:themeFillShade="80"/>
          </w:tcPr>
          <w:p w:rsidR="003A41CA" w:rsidRPr="00CD3A8C" w:rsidRDefault="00B60D90" w:rsidP="008C40B2">
            <w:pPr>
              <w:pStyle w:val="Tabledata"/>
              <w:ind w:left="284"/>
              <w:jc w:val="center"/>
              <w:rPr>
                <w:b/>
              </w:rPr>
            </w:pPr>
            <w:r>
              <w:rPr>
                <w:b/>
              </w:rPr>
              <w:t>Yes</w:t>
            </w:r>
          </w:p>
        </w:tc>
        <w:tc>
          <w:tcPr>
            <w:tcW w:w="7025" w:type="dxa"/>
          </w:tcPr>
          <w:p w:rsidR="003A41CA" w:rsidRPr="0099287B" w:rsidRDefault="003A41CA" w:rsidP="00031712">
            <w:pPr>
              <w:pStyle w:val="Tabledata"/>
              <w:rPr>
                <w:szCs w:val="20"/>
              </w:rPr>
            </w:pPr>
          </w:p>
        </w:tc>
      </w:tr>
      <w:tr w:rsidR="00031712" w:rsidRPr="00CD3A8C" w:rsidTr="00715C27">
        <w:tc>
          <w:tcPr>
            <w:tcW w:w="675" w:type="dxa"/>
            <w:vMerge/>
          </w:tcPr>
          <w:p w:rsidR="00031712" w:rsidRPr="00CD3A8C" w:rsidRDefault="00031712" w:rsidP="00AE55F6">
            <w:pPr>
              <w:pStyle w:val="Tabledata"/>
            </w:pPr>
          </w:p>
        </w:tc>
        <w:tc>
          <w:tcPr>
            <w:tcW w:w="1560" w:type="dxa"/>
            <w:vMerge/>
          </w:tcPr>
          <w:p w:rsidR="00031712" w:rsidRPr="00CD3A8C" w:rsidRDefault="00031712" w:rsidP="0005368B">
            <w:pPr>
              <w:pStyle w:val="Tabledata"/>
            </w:pPr>
          </w:p>
        </w:tc>
        <w:tc>
          <w:tcPr>
            <w:tcW w:w="2126" w:type="dxa"/>
          </w:tcPr>
          <w:p w:rsidR="00031712" w:rsidRPr="00CD3A8C" w:rsidRDefault="00031712" w:rsidP="00AB01B5">
            <w:pPr>
              <w:pStyle w:val="Tabledata"/>
              <w:jc w:val="center"/>
            </w:pPr>
            <w:r w:rsidRPr="00CD3A8C">
              <w:t>Financial Services Commission (Gibraltar)</w:t>
            </w:r>
          </w:p>
        </w:tc>
        <w:tc>
          <w:tcPr>
            <w:tcW w:w="2268" w:type="dxa"/>
            <w:shd w:val="clear" w:color="auto" w:fill="245539" w:themeFill="accent4" w:themeFillShade="80"/>
          </w:tcPr>
          <w:p w:rsidR="00031712" w:rsidRPr="00CD3A8C" w:rsidRDefault="00715C27" w:rsidP="008C40B2">
            <w:pPr>
              <w:pStyle w:val="Tabledata"/>
              <w:ind w:left="284"/>
              <w:jc w:val="center"/>
              <w:rPr>
                <w:b/>
              </w:rPr>
            </w:pPr>
            <w:r>
              <w:rPr>
                <w:b/>
              </w:rPr>
              <w:t>Yes</w:t>
            </w:r>
          </w:p>
        </w:tc>
        <w:tc>
          <w:tcPr>
            <w:tcW w:w="7025" w:type="dxa"/>
          </w:tcPr>
          <w:p w:rsidR="00031712" w:rsidRPr="0099287B" w:rsidRDefault="00031712" w:rsidP="00031712">
            <w:pPr>
              <w:pStyle w:val="Tabledata"/>
              <w:rPr>
                <w:szCs w:val="20"/>
              </w:rPr>
            </w:pPr>
          </w:p>
        </w:tc>
      </w:tr>
      <w:tr w:rsidR="00031712" w:rsidRPr="00CD3A8C" w:rsidTr="00CF5F4B">
        <w:tc>
          <w:tcPr>
            <w:tcW w:w="13654" w:type="dxa"/>
            <w:gridSpan w:val="5"/>
            <w:vAlign w:val="top"/>
          </w:tcPr>
          <w:p w:rsidR="00031712" w:rsidRPr="00CD3A8C" w:rsidRDefault="00D85C39" w:rsidP="008C40B2">
            <w:pPr>
              <w:pStyle w:val="Tabledata"/>
            </w:pPr>
            <w:r w:rsidRPr="00CD3A8C">
              <w:rPr>
                <w:rStyle w:val="Highlighttext"/>
              </w:rPr>
              <w:t>EEA-EFTA State</w:t>
            </w:r>
          </w:p>
        </w:tc>
      </w:tr>
      <w:tr w:rsidR="00031712" w:rsidRPr="00CD3A8C" w:rsidTr="00B45FF2">
        <w:tc>
          <w:tcPr>
            <w:tcW w:w="675" w:type="dxa"/>
          </w:tcPr>
          <w:p w:rsidR="00031712" w:rsidRPr="00CD3A8C" w:rsidRDefault="00031712" w:rsidP="00883CDB">
            <w:pPr>
              <w:pStyle w:val="Tabledata"/>
            </w:pPr>
            <w:r w:rsidRPr="00CD3A8C">
              <w:t>IS</w:t>
            </w:r>
          </w:p>
        </w:tc>
        <w:tc>
          <w:tcPr>
            <w:tcW w:w="1560" w:type="dxa"/>
          </w:tcPr>
          <w:p w:rsidR="00031712" w:rsidRPr="00CD3A8C" w:rsidRDefault="00031712" w:rsidP="00883CDB">
            <w:pPr>
              <w:pStyle w:val="Tabledata"/>
            </w:pPr>
            <w:r w:rsidRPr="00CD3A8C">
              <w:t>Iceland</w:t>
            </w:r>
          </w:p>
        </w:tc>
        <w:tc>
          <w:tcPr>
            <w:tcW w:w="2126" w:type="dxa"/>
          </w:tcPr>
          <w:p w:rsidR="00031712" w:rsidRPr="00CD3A8C" w:rsidRDefault="00920EC8" w:rsidP="000424D3">
            <w:pPr>
              <w:pStyle w:val="Tabledata"/>
              <w:jc w:val="center"/>
              <w:rPr>
                <w:rFonts w:cs="Arial"/>
                <w:bCs w:val="0"/>
              </w:rPr>
            </w:pPr>
            <w:proofErr w:type="spellStart"/>
            <w:r w:rsidRPr="00CD3A8C">
              <w:t>Fjármálaeftirlitið</w:t>
            </w:r>
            <w:proofErr w:type="spellEnd"/>
            <w:r w:rsidRPr="00CD3A8C">
              <w:t xml:space="preserve"> (Icelandic Financial Supervisory Authority - FME)</w:t>
            </w:r>
          </w:p>
        </w:tc>
        <w:tc>
          <w:tcPr>
            <w:tcW w:w="2268" w:type="dxa"/>
            <w:shd w:val="clear" w:color="auto" w:fill="FFC000"/>
          </w:tcPr>
          <w:p w:rsidR="00031712" w:rsidRPr="00CD3A8C" w:rsidRDefault="00B45FF2" w:rsidP="00B45FF2">
            <w:pPr>
              <w:pStyle w:val="Tabledata"/>
              <w:ind w:left="284"/>
              <w:jc w:val="center"/>
              <w:rPr>
                <w:b/>
              </w:rPr>
            </w:pPr>
            <w:r>
              <w:rPr>
                <w:b/>
              </w:rPr>
              <w:t>Partial</w:t>
            </w:r>
          </w:p>
        </w:tc>
        <w:tc>
          <w:tcPr>
            <w:tcW w:w="7025" w:type="dxa"/>
          </w:tcPr>
          <w:p w:rsidR="00B45FF2" w:rsidRPr="0099287B" w:rsidRDefault="00B45FF2" w:rsidP="00B45FF2">
            <w:pPr>
              <w:pStyle w:val="body"/>
              <w:rPr>
                <w:sz w:val="20"/>
                <w:szCs w:val="20"/>
                <w:lang w:val="en-GB"/>
              </w:rPr>
            </w:pPr>
            <w:r w:rsidRPr="0099287B">
              <w:rPr>
                <w:sz w:val="20"/>
                <w:szCs w:val="20"/>
                <w:lang w:val="en-GB"/>
              </w:rPr>
              <w:t>BRRD has not yet been incorporated into the EEA Agreement. Nonetheless, implementation of BRRD is in progress. The Ministry of Finance and Economic Affairs, The FME and The Central Bank of Iceland are involved in that work. The EEA EFTA States remain engaged in a dialogue with the EU on how their participation in the European System of Financial Supervision will be secured.</w:t>
            </w:r>
          </w:p>
          <w:p w:rsidR="00031712" w:rsidRPr="00CD3A8C" w:rsidRDefault="00031712" w:rsidP="00B45FF2">
            <w:pPr>
              <w:pStyle w:val="Tabledata"/>
            </w:pPr>
          </w:p>
        </w:tc>
      </w:tr>
      <w:tr w:rsidR="00883CDB" w:rsidRPr="00CD3A8C" w:rsidTr="0014739B">
        <w:tc>
          <w:tcPr>
            <w:tcW w:w="675" w:type="dxa"/>
          </w:tcPr>
          <w:p w:rsidR="00883CDB" w:rsidRPr="00CD3A8C" w:rsidRDefault="00883CDB" w:rsidP="00883CDB">
            <w:pPr>
              <w:pStyle w:val="Tabledata"/>
            </w:pPr>
            <w:r w:rsidRPr="00CD3A8C">
              <w:t>LI</w:t>
            </w:r>
          </w:p>
        </w:tc>
        <w:tc>
          <w:tcPr>
            <w:tcW w:w="1560" w:type="dxa"/>
          </w:tcPr>
          <w:p w:rsidR="00883CDB" w:rsidRPr="00CD3A8C" w:rsidRDefault="00883CDB" w:rsidP="00883CDB">
            <w:pPr>
              <w:pStyle w:val="Tabledata"/>
            </w:pPr>
            <w:r w:rsidRPr="00CD3A8C">
              <w:t>Liechtenstein</w:t>
            </w:r>
          </w:p>
        </w:tc>
        <w:tc>
          <w:tcPr>
            <w:tcW w:w="2126" w:type="dxa"/>
          </w:tcPr>
          <w:p w:rsidR="00883CDB" w:rsidRPr="00CD3A8C" w:rsidRDefault="004405EC" w:rsidP="000424D3">
            <w:pPr>
              <w:pStyle w:val="Tabledata"/>
              <w:jc w:val="center"/>
              <w:rPr>
                <w:rFonts w:cs="Arial"/>
                <w:bCs w:val="0"/>
              </w:rPr>
            </w:pPr>
            <w:proofErr w:type="spellStart"/>
            <w:r w:rsidRPr="00CD3A8C">
              <w:t>Finanzmarktaufsicht</w:t>
            </w:r>
            <w:proofErr w:type="spellEnd"/>
            <w:r w:rsidRPr="00CD3A8C">
              <w:t xml:space="preserve"> - FMA (Financial Market Authority)</w:t>
            </w:r>
          </w:p>
        </w:tc>
        <w:tc>
          <w:tcPr>
            <w:tcW w:w="2268" w:type="dxa"/>
            <w:shd w:val="clear" w:color="auto" w:fill="245539" w:themeFill="accent4" w:themeFillShade="80"/>
          </w:tcPr>
          <w:p w:rsidR="00883CDB" w:rsidRPr="00CD3A8C" w:rsidRDefault="0014739B" w:rsidP="008C40B2">
            <w:pPr>
              <w:pStyle w:val="Tabledata"/>
              <w:ind w:left="284"/>
              <w:jc w:val="center"/>
              <w:rPr>
                <w:b/>
              </w:rPr>
            </w:pPr>
            <w:r>
              <w:rPr>
                <w:b/>
              </w:rPr>
              <w:t>Yes</w:t>
            </w:r>
          </w:p>
        </w:tc>
        <w:tc>
          <w:tcPr>
            <w:tcW w:w="7025" w:type="dxa"/>
          </w:tcPr>
          <w:p w:rsidR="00883CDB" w:rsidRPr="0099287B" w:rsidRDefault="0014739B" w:rsidP="00031712">
            <w:pPr>
              <w:pStyle w:val="Tabledata"/>
              <w:rPr>
                <w:szCs w:val="20"/>
              </w:rPr>
            </w:pPr>
            <w:r w:rsidRPr="0099287B">
              <w:rPr>
                <w:szCs w:val="20"/>
              </w:rPr>
              <w:t>The Financial Market Authority Liechtenstein (FMA) as the competent authority in charge of the national implementation of financial market related regulations acknowledges the publication of the EBA Guidelines on the types of tests, reviews or exercises that may lead to support measures under Article 32(4</w:t>
            </w:r>
            <w:proofErr w:type="gramStart"/>
            <w:r w:rsidRPr="0099287B">
              <w:rPr>
                <w:szCs w:val="20"/>
              </w:rPr>
              <w:t>)(</w:t>
            </w:r>
            <w:proofErr w:type="gramEnd"/>
            <w:r w:rsidRPr="0099287B">
              <w:rPr>
                <w:szCs w:val="20"/>
              </w:rPr>
              <w:t>d)(iii) of the Bank Recovery and Resolution Directive (EBA/GL/2014/09). Currently, Liechtenstein is only admitted to EBA’s Board of Supervisors as observer and is not vested with any voting rights under the EBA Regulation (EU) No. 1093/2010. Nevertheless, the FMA will comply with these Guidelines considering the time frame of the BRRD legislation in Liechtenstein.</w:t>
            </w:r>
          </w:p>
        </w:tc>
      </w:tr>
      <w:tr w:rsidR="00883CDB" w:rsidRPr="00CD3A8C" w:rsidTr="00116FBF">
        <w:tc>
          <w:tcPr>
            <w:tcW w:w="675" w:type="dxa"/>
          </w:tcPr>
          <w:p w:rsidR="00883CDB" w:rsidRPr="00CD3A8C" w:rsidRDefault="00883CDB" w:rsidP="00883CDB">
            <w:pPr>
              <w:pStyle w:val="Tabledata"/>
            </w:pPr>
            <w:r w:rsidRPr="00CD3A8C">
              <w:t>NO</w:t>
            </w:r>
          </w:p>
        </w:tc>
        <w:tc>
          <w:tcPr>
            <w:tcW w:w="1560" w:type="dxa"/>
          </w:tcPr>
          <w:p w:rsidR="00883CDB" w:rsidRPr="00CD3A8C" w:rsidRDefault="00883CDB" w:rsidP="00883CDB">
            <w:pPr>
              <w:pStyle w:val="Tabledata"/>
            </w:pPr>
            <w:r w:rsidRPr="00CD3A8C">
              <w:t>Norway</w:t>
            </w:r>
          </w:p>
        </w:tc>
        <w:tc>
          <w:tcPr>
            <w:tcW w:w="2126" w:type="dxa"/>
          </w:tcPr>
          <w:p w:rsidR="00883CDB" w:rsidRPr="00CD3A8C" w:rsidRDefault="004405EC" w:rsidP="000424D3">
            <w:pPr>
              <w:pStyle w:val="Tabledata"/>
              <w:jc w:val="center"/>
              <w:rPr>
                <w:rFonts w:cs="Arial"/>
                <w:bCs w:val="0"/>
              </w:rPr>
            </w:pPr>
            <w:r w:rsidRPr="00CD3A8C">
              <w:t>Finanstilsynet (Norwegian Financial Supervisory Authority</w:t>
            </w:r>
          </w:p>
        </w:tc>
        <w:tc>
          <w:tcPr>
            <w:tcW w:w="2268" w:type="dxa"/>
            <w:shd w:val="clear" w:color="auto" w:fill="245539" w:themeFill="accent4" w:themeFillShade="80"/>
          </w:tcPr>
          <w:p w:rsidR="00883CDB" w:rsidRPr="00CD3A8C" w:rsidRDefault="00116FBF" w:rsidP="008C40B2">
            <w:pPr>
              <w:pStyle w:val="Tabledata"/>
              <w:ind w:left="284"/>
              <w:jc w:val="center"/>
              <w:rPr>
                <w:b/>
              </w:rPr>
            </w:pPr>
            <w:r>
              <w:rPr>
                <w:b/>
              </w:rPr>
              <w:t>Yes</w:t>
            </w:r>
          </w:p>
        </w:tc>
        <w:tc>
          <w:tcPr>
            <w:tcW w:w="7025" w:type="dxa"/>
          </w:tcPr>
          <w:p w:rsidR="00883CDB" w:rsidRPr="0099287B" w:rsidRDefault="00883CDB" w:rsidP="00031712">
            <w:pPr>
              <w:pStyle w:val="Tabledata"/>
              <w:rPr>
                <w:szCs w:val="20"/>
              </w:rPr>
            </w:pPr>
          </w:p>
        </w:tc>
      </w:tr>
    </w:tbl>
    <w:p w:rsidR="000D7A44" w:rsidRDefault="000D7A44">
      <w:pPr>
        <w:rPr>
          <w:lang w:val="en-GB"/>
        </w:rPr>
      </w:pPr>
    </w:p>
    <w:p w:rsidR="00EC454F" w:rsidRPr="00CD3A8C" w:rsidRDefault="00EC454F">
      <w:pPr>
        <w:rPr>
          <w:lang w:val="en-GB"/>
        </w:rPr>
      </w:pPr>
    </w:p>
    <w:p w:rsidR="00883CDB" w:rsidRPr="00CD3A8C" w:rsidRDefault="00883CDB" w:rsidP="00883CDB">
      <w:pPr>
        <w:pStyle w:val="Titlelevel3"/>
        <w:rPr>
          <w:lang w:val="en-GB"/>
        </w:rPr>
      </w:pPr>
      <w:r w:rsidRPr="00CD3A8C">
        <w:rPr>
          <w:lang w:val="en-GB"/>
        </w:rPr>
        <w:t>Notes</w:t>
      </w:r>
    </w:p>
    <w:p w:rsidR="00883CDB" w:rsidRPr="00CD3A8C" w:rsidRDefault="00883CDB" w:rsidP="00883CDB">
      <w:pPr>
        <w:pStyle w:val="body"/>
        <w:rPr>
          <w:lang w:val="en-GB"/>
        </w:rPr>
      </w:pPr>
      <w:r w:rsidRPr="00CD3A8C">
        <w:rPr>
          <w:lang w:val="en-GB"/>
        </w:rPr>
        <w:t>Article 16(3) of the EBA Regulation requires national competent authorities to inform us whether they comply or intend to comply with each guideline or recommendation we issue. If a competent authority does not comply or does not intend to comply it must inform us of the reasons. We decide on a case by case basis whether to publish reasons.</w:t>
      </w:r>
    </w:p>
    <w:p w:rsidR="00883CDB" w:rsidRPr="00CD3A8C" w:rsidRDefault="00883CDB" w:rsidP="00883CDB">
      <w:pPr>
        <w:pStyle w:val="body"/>
        <w:rPr>
          <w:lang w:val="en-GB"/>
        </w:rPr>
      </w:pPr>
      <w:r w:rsidRPr="00CD3A8C">
        <w:rPr>
          <w:lang w:val="en-GB"/>
        </w:rPr>
        <w:t xml:space="preserve">The EBA endeavours to ensure the accuracy of this document, however, the information is provided by the competent authorities and, as such, the EBA cannot accept responsibility for its contents or any reliance placed on it. </w:t>
      </w:r>
    </w:p>
    <w:p w:rsidR="00883CDB" w:rsidRPr="00CD3A8C" w:rsidRDefault="00883CDB" w:rsidP="00CF5F4B">
      <w:pPr>
        <w:pStyle w:val="body"/>
        <w:jc w:val="left"/>
        <w:rPr>
          <w:lang w:val="en-GB"/>
        </w:rPr>
        <w:sectPr w:rsidR="00883CDB" w:rsidRPr="00CD3A8C" w:rsidSect="00AE55F6">
          <w:pgSz w:w="16840" w:h="11900" w:orient="landscape"/>
          <w:pgMar w:top="1701" w:right="1418" w:bottom="1134" w:left="1701" w:header="709" w:footer="709" w:gutter="0"/>
          <w:cols w:space="708"/>
        </w:sectPr>
      </w:pPr>
      <w:r w:rsidRPr="00CD3A8C">
        <w:rPr>
          <w:lang w:val="en-GB"/>
        </w:rPr>
        <w:t>For further information on the current position of any competent authority, please contact that competent authority. Contact details can be obtained from our website (</w:t>
      </w:r>
      <w:hyperlink r:id="rId14" w:history="1">
        <w:r w:rsidR="00EC5748" w:rsidRPr="00CD3A8C">
          <w:rPr>
            <w:rStyle w:val="Hyperlink"/>
            <w:lang w:val="en-GB"/>
          </w:rPr>
          <w:t>www.eba.europa.eu</w:t>
        </w:r>
      </w:hyperlink>
      <w:r w:rsidR="00EC5748" w:rsidRPr="00CD3A8C">
        <w:rPr>
          <w:sz w:val="20"/>
          <w:lang w:val="en-GB"/>
        </w:rPr>
        <w:t xml:space="preserve">). </w:t>
      </w:r>
    </w:p>
    <w:bookmarkEnd w:id="3"/>
    <w:bookmarkEnd w:id="4"/>
    <w:p w:rsidR="00F034AC" w:rsidRPr="00CD3A8C" w:rsidRDefault="00F034AC" w:rsidP="00FA09FA">
      <w:pPr>
        <w:tabs>
          <w:tab w:val="left" w:pos="2325"/>
        </w:tabs>
        <w:rPr>
          <w:lang w:val="en-GB"/>
        </w:rPr>
      </w:pPr>
    </w:p>
    <w:sectPr w:rsidR="00F034AC" w:rsidRPr="00CD3A8C" w:rsidSect="00BF66F2">
      <w:pgSz w:w="11900" w:h="16840"/>
      <w:pgMar w:top="2268" w:right="1418" w:bottom="1134"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7F4" w:rsidRDefault="007227F4" w:rsidP="00A00E34">
      <w:r>
        <w:separator/>
      </w:r>
    </w:p>
    <w:p w:rsidR="007227F4" w:rsidRDefault="007227F4"/>
  </w:endnote>
  <w:endnote w:type="continuationSeparator" w:id="0">
    <w:p w:rsidR="007227F4" w:rsidRDefault="007227F4" w:rsidP="00A00E34">
      <w:r>
        <w:continuationSeparator/>
      </w:r>
    </w:p>
    <w:p w:rsidR="007227F4" w:rsidRDefault="00722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DB" w:rsidRDefault="001C4A96" w:rsidP="00C43FD9">
    <w:pPr>
      <w:pStyle w:val="Footer"/>
      <w:framePr w:wrap="around" w:vAnchor="text" w:hAnchor="margin" w:xAlign="right" w:y="1"/>
      <w:rPr>
        <w:rStyle w:val="PageNumber"/>
      </w:rPr>
    </w:pPr>
    <w:r>
      <w:rPr>
        <w:rStyle w:val="PageNumber"/>
      </w:rPr>
      <w:fldChar w:fldCharType="begin"/>
    </w:r>
    <w:r w:rsidR="00883CDB">
      <w:rPr>
        <w:rStyle w:val="PageNumber"/>
      </w:rPr>
      <w:instrText xml:space="preserve">PAGE  </w:instrText>
    </w:r>
    <w:r>
      <w:rPr>
        <w:rStyle w:val="PageNumber"/>
      </w:rPr>
      <w:fldChar w:fldCharType="end"/>
    </w:r>
  </w:p>
  <w:p w:rsidR="00883CDB" w:rsidRDefault="00883CDB" w:rsidP="006103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DB" w:rsidRDefault="001C4A96" w:rsidP="00C43FD9">
    <w:pPr>
      <w:pStyle w:val="Footer"/>
      <w:framePr w:wrap="around" w:vAnchor="text" w:hAnchor="margin" w:xAlign="right" w:y="1"/>
      <w:rPr>
        <w:rStyle w:val="PageNumber"/>
      </w:rPr>
    </w:pPr>
    <w:r>
      <w:rPr>
        <w:rStyle w:val="PageNumber"/>
      </w:rPr>
      <w:fldChar w:fldCharType="begin"/>
    </w:r>
    <w:r w:rsidR="00883CDB">
      <w:rPr>
        <w:rStyle w:val="PageNumber"/>
      </w:rPr>
      <w:instrText xml:space="preserve">PAGE  </w:instrText>
    </w:r>
    <w:r>
      <w:rPr>
        <w:rStyle w:val="PageNumber"/>
      </w:rPr>
      <w:fldChar w:fldCharType="separate"/>
    </w:r>
    <w:r w:rsidR="00E83348">
      <w:rPr>
        <w:rStyle w:val="PageNumber"/>
        <w:noProof/>
      </w:rPr>
      <w:t>2</w:t>
    </w:r>
    <w:r>
      <w:rPr>
        <w:rStyle w:val="PageNumber"/>
      </w:rPr>
      <w:fldChar w:fldCharType="end"/>
    </w:r>
  </w:p>
  <w:p w:rsidR="00883CDB" w:rsidRDefault="00883CDB" w:rsidP="0061030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7F4" w:rsidRPr="00DB5E8F" w:rsidRDefault="007227F4">
      <w:pPr>
        <w:rPr>
          <w:sz w:val="12"/>
          <w:szCs w:val="12"/>
        </w:rPr>
      </w:pPr>
      <w:r w:rsidRPr="00DB5E8F">
        <w:rPr>
          <w:sz w:val="12"/>
          <w:szCs w:val="12"/>
        </w:rPr>
        <w:separator/>
      </w:r>
    </w:p>
  </w:footnote>
  <w:footnote w:type="continuationSeparator" w:id="0">
    <w:p w:rsidR="007227F4" w:rsidRDefault="007227F4" w:rsidP="00A00E34">
      <w:r>
        <w:continuationSeparator/>
      </w:r>
    </w:p>
    <w:p w:rsidR="007227F4" w:rsidRDefault="007227F4"/>
  </w:footnote>
  <w:footnote w:type="continuationNotice" w:id="1">
    <w:p w:rsidR="007227F4" w:rsidRDefault="007227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DB" w:rsidRDefault="00E83348">
    <w:sdt>
      <w:sdtPr>
        <w:id w:val="1902165775"/>
        <w:temporary/>
        <w:showingPlcHdr/>
      </w:sdtPr>
      <w:sdtEndPr/>
      <w:sdtContent>
        <w:r w:rsidR="00883CDB">
          <w:t>[Type text]</w:t>
        </w:r>
      </w:sdtContent>
    </w:sdt>
    <w:r w:rsidR="00883CDB">
      <w:ptab w:relativeTo="margin" w:alignment="center" w:leader="none"/>
    </w:r>
    <w:sdt>
      <w:sdtPr>
        <w:id w:val="59373666"/>
        <w:temporary/>
        <w:showingPlcHdr/>
      </w:sdtPr>
      <w:sdtEndPr/>
      <w:sdtContent>
        <w:r w:rsidR="00883CDB">
          <w:t>[Type text]</w:t>
        </w:r>
      </w:sdtContent>
    </w:sdt>
    <w:r w:rsidR="00883CDB">
      <w:ptab w:relativeTo="margin" w:alignment="right" w:leader="none"/>
    </w:r>
    <w:sdt>
      <w:sdtPr>
        <w:id w:val="782313830"/>
        <w:temporary/>
        <w:showingPlcHdr/>
      </w:sdtPr>
      <w:sdtEndPr/>
      <w:sdtContent>
        <w:r w:rsidR="00883CDB">
          <w:t>[Type text]</w:t>
        </w:r>
      </w:sdtContent>
    </w:sdt>
  </w:p>
  <w:p w:rsidR="00883CDB" w:rsidRDefault="00883C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DB" w:rsidRPr="00B511BF" w:rsidRDefault="00B511BF" w:rsidP="002C0DCF">
    <w:pPr>
      <w:pStyle w:val="Runningtitle"/>
      <w:rPr>
        <w:szCs w:val="16"/>
      </w:rPr>
    </w:pPr>
    <w:r w:rsidRPr="00B511BF">
      <w:rPr>
        <w:rFonts w:ascii="Calibri" w:eastAsia="MS Mincho" w:hAnsi="Calibri" w:cs="Times New Roman"/>
        <w:caps w:val="0"/>
        <w:szCs w:val="16"/>
      </w:rPr>
      <w:t>Guidelines on Tests, Reviews, Exercises that may lead to support Measures</w:t>
    </w:r>
    <w:r w:rsidR="00883CDB" w:rsidRPr="00B511BF">
      <w:rPr>
        <w:noProof/>
        <w:szCs w:val="16"/>
        <w:lang w:val="en-GB" w:eastAsia="en-GB"/>
      </w:rPr>
      <w:drawing>
        <wp:anchor distT="0" distB="0" distL="114300" distR="114300" simplePos="0" relativeHeight="251658240" behindDoc="1" locked="0" layoutInCell="1" allowOverlap="1" wp14:anchorId="40F6F89F" wp14:editId="5DACB8DD">
          <wp:simplePos x="0" y="0"/>
          <wp:positionH relativeFrom="column">
            <wp:align>right</wp:align>
          </wp:positionH>
          <wp:positionV relativeFrom="page">
            <wp:posOffset>467995</wp:posOffset>
          </wp:positionV>
          <wp:extent cx="1207770" cy="447675"/>
          <wp:effectExtent l="0" t="0" r="11430" b="9525"/>
          <wp:wrapTight wrapText="bothSides">
            <wp:wrapPolygon edited="0">
              <wp:start x="0" y="0"/>
              <wp:lineTo x="0" y="20834"/>
              <wp:lineTo x="21350" y="20834"/>
              <wp:lineTo x="2135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CDB" w:rsidRPr="00B511BF" w:rsidRDefault="00883CDB" w:rsidP="00B511BF">
    <w:pPr>
      <w:rPr>
        <w:sz w:val="16"/>
        <w:szCs w:val="16"/>
      </w:rPr>
    </w:pPr>
    <w:r w:rsidRPr="00B511BF">
      <w:rPr>
        <w:noProof/>
        <w:sz w:val="16"/>
        <w:szCs w:val="16"/>
        <w:lang w:val="en-GB" w:eastAsia="en-GB"/>
      </w:rPr>
      <w:drawing>
        <wp:anchor distT="0" distB="0" distL="114300" distR="114300" simplePos="0" relativeHeight="251660288" behindDoc="1" locked="1" layoutInCell="1" allowOverlap="0" wp14:anchorId="463CCC9A" wp14:editId="25821361">
          <wp:simplePos x="0" y="0"/>
          <wp:positionH relativeFrom="margin">
            <wp:align>right</wp:align>
          </wp:positionH>
          <wp:positionV relativeFrom="page">
            <wp:posOffset>493395</wp:posOffset>
          </wp:positionV>
          <wp:extent cx="1941830" cy="719455"/>
          <wp:effectExtent l="0" t="0" r="0" b="0"/>
          <wp:wrapTight wrapText="bothSides">
            <wp:wrapPolygon edited="0">
              <wp:start x="0" y="0"/>
              <wp:lineTo x="0" y="20590"/>
              <wp:lineTo x="21190" y="20590"/>
              <wp:lineTo x="21190" y="0"/>
              <wp:lineTo x="0" y="0"/>
            </wp:wrapPolygon>
          </wp:wrapTight>
          <wp:docPr id="16"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anchor>
      </w:drawing>
    </w:r>
    <w:r w:rsidR="00B511BF" w:rsidRPr="00B511BF">
      <w:rPr>
        <w:sz w:val="16"/>
        <w:szCs w:val="16"/>
      </w:rPr>
      <w:t xml:space="preserve"> Guidelines on Tests, Reviews, Exercises that may lead to support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D265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1D26030"/>
    <w:lvl w:ilvl="0">
      <w:start w:val="1"/>
      <w:numFmt w:val="decimal"/>
      <w:lvlText w:val="%1."/>
      <w:lvlJc w:val="left"/>
      <w:pPr>
        <w:tabs>
          <w:tab w:val="num" w:pos="1492"/>
        </w:tabs>
        <w:ind w:left="1492" w:hanging="360"/>
      </w:pPr>
    </w:lvl>
  </w:abstractNum>
  <w:abstractNum w:abstractNumId="2">
    <w:nsid w:val="FFFFFF7D"/>
    <w:multiLevelType w:val="singleLevel"/>
    <w:tmpl w:val="12DE103C"/>
    <w:lvl w:ilvl="0">
      <w:start w:val="1"/>
      <w:numFmt w:val="decimal"/>
      <w:lvlText w:val="%1."/>
      <w:lvlJc w:val="left"/>
      <w:pPr>
        <w:tabs>
          <w:tab w:val="num" w:pos="1209"/>
        </w:tabs>
        <w:ind w:left="1209" w:hanging="360"/>
      </w:pPr>
    </w:lvl>
  </w:abstractNum>
  <w:abstractNum w:abstractNumId="3">
    <w:nsid w:val="FFFFFF7E"/>
    <w:multiLevelType w:val="singleLevel"/>
    <w:tmpl w:val="82E62808"/>
    <w:lvl w:ilvl="0">
      <w:start w:val="1"/>
      <w:numFmt w:val="decimal"/>
      <w:lvlText w:val="%1."/>
      <w:lvlJc w:val="left"/>
      <w:pPr>
        <w:tabs>
          <w:tab w:val="num" w:pos="926"/>
        </w:tabs>
        <w:ind w:left="926" w:hanging="360"/>
      </w:pPr>
    </w:lvl>
  </w:abstractNum>
  <w:abstractNum w:abstractNumId="4">
    <w:nsid w:val="FFFFFF7F"/>
    <w:multiLevelType w:val="singleLevel"/>
    <w:tmpl w:val="51E4F08A"/>
    <w:lvl w:ilvl="0">
      <w:start w:val="1"/>
      <w:numFmt w:val="decimal"/>
      <w:lvlText w:val="%1."/>
      <w:lvlJc w:val="left"/>
      <w:pPr>
        <w:tabs>
          <w:tab w:val="num" w:pos="643"/>
        </w:tabs>
        <w:ind w:left="643" w:hanging="360"/>
      </w:pPr>
    </w:lvl>
  </w:abstractNum>
  <w:abstractNum w:abstractNumId="5">
    <w:nsid w:val="FFFFFF80"/>
    <w:multiLevelType w:val="singleLevel"/>
    <w:tmpl w:val="79E8444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7865AB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BD638F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7ECD22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54051A4"/>
    <w:lvl w:ilvl="0">
      <w:start w:val="1"/>
      <w:numFmt w:val="decimal"/>
      <w:lvlText w:val="%1."/>
      <w:lvlJc w:val="left"/>
      <w:pPr>
        <w:tabs>
          <w:tab w:val="num" w:pos="360"/>
        </w:tabs>
        <w:ind w:left="360" w:hanging="360"/>
      </w:pPr>
    </w:lvl>
  </w:abstractNum>
  <w:abstractNum w:abstractNumId="10">
    <w:nsid w:val="FFFFFF89"/>
    <w:multiLevelType w:val="singleLevel"/>
    <w:tmpl w:val="03DC894C"/>
    <w:lvl w:ilvl="0">
      <w:start w:val="1"/>
      <w:numFmt w:val="bullet"/>
      <w:lvlText w:val=""/>
      <w:lvlJc w:val="left"/>
      <w:pPr>
        <w:tabs>
          <w:tab w:val="num" w:pos="360"/>
        </w:tabs>
        <w:ind w:left="360" w:hanging="360"/>
      </w:pPr>
      <w:rPr>
        <w:rFonts w:ascii="Symbol" w:hAnsi="Symbol" w:hint="default"/>
      </w:rPr>
    </w:lvl>
  </w:abstractNum>
  <w:abstractNum w:abstractNumId="11">
    <w:nsid w:val="006E275D"/>
    <w:multiLevelType w:val="multilevel"/>
    <w:tmpl w:val="F51A9E22"/>
    <w:lvl w:ilvl="0">
      <w:start w:val="1"/>
      <w:numFmt w:val="bullet"/>
      <w:lvlText w:val=""/>
      <w:lvlJc w:val="left"/>
      <w:pPr>
        <w:tabs>
          <w:tab w:val="num" w:pos="340"/>
        </w:tabs>
        <w:ind w:left="340" w:hanging="34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2052CE6"/>
    <w:multiLevelType w:val="hybridMultilevel"/>
    <w:tmpl w:val="3CFA92B4"/>
    <w:lvl w:ilvl="0" w:tplc="98C2D1E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57E5D8D"/>
    <w:multiLevelType w:val="hybridMultilevel"/>
    <w:tmpl w:val="473C39A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8FA148C"/>
    <w:multiLevelType w:val="hybridMultilevel"/>
    <w:tmpl w:val="471C8442"/>
    <w:lvl w:ilvl="0" w:tplc="5B78805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17">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8">
    <w:nsid w:val="1E3333AC"/>
    <w:multiLevelType w:val="multilevel"/>
    <w:tmpl w:val="CBCABAAE"/>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9">
    <w:nsid w:val="1ECB0E46"/>
    <w:multiLevelType w:val="multilevel"/>
    <w:tmpl w:val="34364CAC"/>
    <w:lvl w:ilvl="0">
      <w:start w:val="1"/>
      <w:numFmt w:val="decimal"/>
      <w:lvlText w:val="%1."/>
      <w:lvlJc w:val="left"/>
      <w:pPr>
        <w:ind w:left="567" w:hanging="567"/>
      </w:pPr>
      <w:rPr>
        <w:rFonts w:ascii="Arial" w:hAnsi="Arial" w:hint="default"/>
        <w:b w:val="0"/>
        <w:i w:val="0"/>
        <w:caps w:val="0"/>
        <w:strike w:val="0"/>
        <w:dstrike w:val="0"/>
        <w:vanish w:val="0"/>
        <w:color w:val="2F5773" w:themeColor="accent1"/>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27"/>
        </w:tabs>
        <w:ind w:left="567" w:hanging="567"/>
      </w:pPr>
      <w:rPr>
        <w:rFonts w:ascii="Arial" w:hAnsi="Arial" w:hint="default"/>
        <w:b w:val="0"/>
        <w:i w:val="0"/>
        <w:caps w:val="0"/>
        <w:strike w:val="0"/>
        <w:dstrike w:val="0"/>
        <w:vanish w:val="0"/>
        <w:color w:val="2F5773"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ascii="Arial" w:hAnsi="Arial" w:hint="default"/>
        <w:b w:val="0"/>
        <w:i w:val="0"/>
        <w:caps w:val="0"/>
        <w:strike w:val="0"/>
        <w:dstrike w:val="0"/>
        <w:vanish w:val="0"/>
        <w:color w:val="2F5773" w:themeColor="accent1"/>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0">
    <w:nsid w:val="1F2F07CB"/>
    <w:multiLevelType w:val="hybridMultilevel"/>
    <w:tmpl w:val="36D8508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nsid w:val="27E24F6B"/>
    <w:multiLevelType w:val="multilevel"/>
    <w:tmpl w:val="B1EC58C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4">
    <w:nsid w:val="36342F89"/>
    <w:multiLevelType w:val="multilevel"/>
    <w:tmpl w:val="69DA5D2A"/>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37601A2D"/>
    <w:multiLevelType w:val="hybridMultilevel"/>
    <w:tmpl w:val="B3E83DA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9A6B42"/>
    <w:multiLevelType w:val="hybridMultilevel"/>
    <w:tmpl w:val="7C1CD444"/>
    <w:lvl w:ilvl="0" w:tplc="4C4A2B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0DF637A"/>
    <w:multiLevelType w:val="hybridMultilevel"/>
    <w:tmpl w:val="FEA46448"/>
    <w:lvl w:ilvl="0" w:tplc="635C5DC6">
      <w:start w:val="1"/>
      <w:numFmt w:val="decimal"/>
      <w:lvlText w:val="%1."/>
      <w:lvlJc w:val="left"/>
      <w:pPr>
        <w:tabs>
          <w:tab w:val="num" w:pos="680"/>
        </w:tabs>
        <w:ind w:left="680" w:hanging="68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0D244F"/>
    <w:multiLevelType w:val="multilevel"/>
    <w:tmpl w:val="6BD666EE"/>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421A19AC"/>
    <w:multiLevelType w:val="multilevel"/>
    <w:tmpl w:val="28247A7A"/>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5464842"/>
    <w:multiLevelType w:val="multilevel"/>
    <w:tmpl w:val="D602C3C4"/>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4E62423E"/>
    <w:multiLevelType w:val="multilevel"/>
    <w:tmpl w:val="ED9C2B02"/>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4ECD574D"/>
    <w:multiLevelType w:val="hybridMultilevel"/>
    <w:tmpl w:val="D0B067FC"/>
    <w:lvl w:ilvl="0" w:tplc="070C8FEE">
      <w:start w:val="1"/>
      <w:numFmt w:val="bullet"/>
      <w:lvlText w:val="­"/>
      <w:lvlJc w:val="left"/>
      <w:pPr>
        <w:ind w:left="6040" w:hanging="360"/>
      </w:pPr>
      <w:rPr>
        <w:rFonts w:ascii="Courier New" w:hAnsi="Courier New"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9955"/>
        </w:tabs>
        <w:ind w:left="9907" w:hanging="312"/>
      </w:pPr>
      <w:rPr>
        <w:rFonts w:hint="default"/>
      </w:rPr>
    </w:lvl>
    <w:lvl w:ilvl="2" w:tplc="993055DA">
      <w:start w:val="1"/>
      <w:numFmt w:val="bullet"/>
      <w:lvlText w:val=""/>
      <w:lvlJc w:val="left"/>
      <w:pPr>
        <w:tabs>
          <w:tab w:val="num" w:pos="10675"/>
        </w:tabs>
        <w:ind w:left="10675" w:hanging="360"/>
      </w:pPr>
      <w:rPr>
        <w:rFonts w:ascii="Wingdings" w:hAnsi="Wingdings" w:hint="default"/>
      </w:rPr>
    </w:lvl>
    <w:lvl w:ilvl="3" w:tplc="22C2BE88">
      <w:start w:val="1"/>
      <w:numFmt w:val="bullet"/>
      <w:lvlText w:val=""/>
      <w:lvlJc w:val="left"/>
      <w:pPr>
        <w:tabs>
          <w:tab w:val="num" w:pos="11395"/>
        </w:tabs>
        <w:ind w:left="11395" w:hanging="360"/>
      </w:pPr>
      <w:rPr>
        <w:rFonts w:ascii="Symbol" w:hAnsi="Symbol" w:hint="default"/>
      </w:rPr>
    </w:lvl>
    <w:lvl w:ilvl="4" w:tplc="FD0073C0">
      <w:start w:val="1"/>
      <w:numFmt w:val="bullet"/>
      <w:lvlText w:val="o"/>
      <w:lvlJc w:val="left"/>
      <w:pPr>
        <w:tabs>
          <w:tab w:val="num" w:pos="12115"/>
        </w:tabs>
        <w:ind w:left="12115" w:hanging="360"/>
      </w:pPr>
      <w:rPr>
        <w:rFonts w:ascii="Courier New" w:hAnsi="Courier New" w:hint="default"/>
      </w:rPr>
    </w:lvl>
    <w:lvl w:ilvl="5" w:tplc="FBD6D0BE">
      <w:start w:val="1"/>
      <w:numFmt w:val="bullet"/>
      <w:lvlText w:val=""/>
      <w:lvlJc w:val="left"/>
      <w:pPr>
        <w:tabs>
          <w:tab w:val="num" w:pos="12835"/>
        </w:tabs>
        <w:ind w:left="12835" w:hanging="360"/>
      </w:pPr>
      <w:rPr>
        <w:rFonts w:ascii="Wingdings" w:hAnsi="Wingdings" w:hint="default"/>
      </w:rPr>
    </w:lvl>
    <w:lvl w:ilvl="6" w:tplc="C00E4D52">
      <w:start w:val="1"/>
      <w:numFmt w:val="bullet"/>
      <w:lvlText w:val=""/>
      <w:lvlJc w:val="left"/>
      <w:pPr>
        <w:tabs>
          <w:tab w:val="num" w:pos="13555"/>
        </w:tabs>
        <w:ind w:left="13555" w:hanging="360"/>
      </w:pPr>
      <w:rPr>
        <w:rFonts w:ascii="Symbol" w:hAnsi="Symbol" w:hint="default"/>
      </w:rPr>
    </w:lvl>
    <w:lvl w:ilvl="7" w:tplc="CE60E00E">
      <w:start w:val="1"/>
      <w:numFmt w:val="bullet"/>
      <w:lvlText w:val="o"/>
      <w:lvlJc w:val="left"/>
      <w:pPr>
        <w:tabs>
          <w:tab w:val="num" w:pos="14275"/>
        </w:tabs>
        <w:ind w:left="14275" w:hanging="360"/>
      </w:pPr>
      <w:rPr>
        <w:rFonts w:ascii="Courier New" w:hAnsi="Courier New" w:hint="default"/>
      </w:rPr>
    </w:lvl>
    <w:lvl w:ilvl="8" w:tplc="FA3C6548" w:tentative="1">
      <w:start w:val="1"/>
      <w:numFmt w:val="bullet"/>
      <w:lvlText w:val=""/>
      <w:lvlJc w:val="left"/>
      <w:pPr>
        <w:tabs>
          <w:tab w:val="num" w:pos="14995"/>
        </w:tabs>
        <w:ind w:left="14995" w:hanging="360"/>
      </w:pPr>
      <w:rPr>
        <w:rFonts w:ascii="Wingdings" w:hAnsi="Wingdings" w:hint="default"/>
      </w:rPr>
    </w:lvl>
  </w:abstractNum>
  <w:abstractNum w:abstractNumId="35">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0C0813"/>
    <w:multiLevelType w:val="multilevel"/>
    <w:tmpl w:val="E134024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7">
    <w:nsid w:val="55322A63"/>
    <w:multiLevelType w:val="multilevel"/>
    <w:tmpl w:val="FB1E6F6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8">
    <w:nsid w:val="55E91D84"/>
    <w:multiLevelType w:val="multilevel"/>
    <w:tmpl w:val="36D85088"/>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58447927"/>
    <w:multiLevelType w:val="multilevel"/>
    <w:tmpl w:val="8C3C7F8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0">
    <w:nsid w:val="5AE303C1"/>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1">
    <w:nsid w:val="5CA90C1D"/>
    <w:multiLevelType w:val="hybridMultilevel"/>
    <w:tmpl w:val="AB96339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E84B66"/>
    <w:multiLevelType w:val="multilevel"/>
    <w:tmpl w:val="FC14293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3">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4">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6A49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74268D4"/>
    <w:multiLevelType w:val="multilevel"/>
    <w:tmpl w:val="330A51FC"/>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788F5D8A"/>
    <w:multiLevelType w:val="multilevel"/>
    <w:tmpl w:val="36D85088"/>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78DF4E5C"/>
    <w:multiLevelType w:val="multilevel"/>
    <w:tmpl w:val="7C92914C"/>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9">
    <w:nsid w:val="79B32577"/>
    <w:multiLevelType w:val="hybridMultilevel"/>
    <w:tmpl w:val="D8B63E3E"/>
    <w:lvl w:ilvl="0" w:tplc="3D44C5C8">
      <w:start w:val="1"/>
      <w:numFmt w:val="bullet"/>
      <w:lvlText w:val=""/>
      <w:lvlJc w:val="left"/>
      <w:pPr>
        <w:ind w:left="526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num w:numId="1">
    <w:abstractNumId w:val="21"/>
  </w:num>
  <w:num w:numId="2">
    <w:abstractNumId w:val="31"/>
  </w:num>
  <w:num w:numId="3">
    <w:abstractNumId w:val="15"/>
  </w:num>
  <w:num w:numId="4">
    <w:abstractNumId w:val="48"/>
  </w:num>
  <w:num w:numId="5">
    <w:abstractNumId w:val="17"/>
  </w:num>
  <w:num w:numId="6">
    <w:abstractNumId w:val="37"/>
  </w:num>
  <w:num w:numId="7">
    <w:abstractNumId w:val="23"/>
  </w:num>
  <w:num w:numId="8">
    <w:abstractNumId w:val="18"/>
  </w:num>
  <w:num w:numId="9">
    <w:abstractNumId w:val="30"/>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36"/>
  </w:num>
  <w:num w:numId="22">
    <w:abstractNumId w:val="22"/>
  </w:num>
  <w:num w:numId="23">
    <w:abstractNumId w:val="42"/>
  </w:num>
  <w:num w:numId="24">
    <w:abstractNumId w:val="40"/>
  </w:num>
  <w:num w:numId="25">
    <w:abstractNumId w:val="26"/>
  </w:num>
  <w:num w:numId="26">
    <w:abstractNumId w:val="45"/>
  </w:num>
  <w:num w:numId="27">
    <w:abstractNumId w:val="44"/>
  </w:num>
  <w:num w:numId="28">
    <w:abstractNumId w:val="28"/>
  </w:num>
  <w:num w:numId="29">
    <w:abstractNumId w:val="46"/>
  </w:num>
  <w:num w:numId="30">
    <w:abstractNumId w:val="32"/>
  </w:num>
  <w:num w:numId="31">
    <w:abstractNumId w:val="33"/>
  </w:num>
  <w:num w:numId="32">
    <w:abstractNumId w:val="12"/>
  </w:num>
  <w:num w:numId="33">
    <w:abstractNumId w:val="29"/>
  </w:num>
  <w:num w:numId="34">
    <w:abstractNumId w:val="41"/>
  </w:num>
  <w:num w:numId="35">
    <w:abstractNumId w:val="25"/>
  </w:num>
  <w:num w:numId="36">
    <w:abstractNumId w:val="20"/>
  </w:num>
  <w:num w:numId="37">
    <w:abstractNumId w:val="38"/>
  </w:num>
  <w:num w:numId="38">
    <w:abstractNumId w:val="24"/>
  </w:num>
  <w:num w:numId="39">
    <w:abstractNumId w:val="11"/>
  </w:num>
  <w:num w:numId="40">
    <w:abstractNumId w:val="47"/>
  </w:num>
  <w:num w:numId="41">
    <w:abstractNumId w:val="13"/>
  </w:num>
  <w:num w:numId="42">
    <w:abstractNumId w:val="16"/>
  </w:num>
  <w:num w:numId="43">
    <w:abstractNumId w:val="49"/>
  </w:num>
  <w:num w:numId="44">
    <w:abstractNumId w:val="43"/>
  </w:num>
  <w:num w:numId="45">
    <w:abstractNumId w:val="39"/>
  </w:num>
  <w:num w:numId="46">
    <w:abstractNumId w:val="34"/>
  </w:num>
  <w:num w:numId="47">
    <w:abstractNumId w:val="19"/>
  </w:num>
  <w:num w:numId="48">
    <w:abstractNumId w:val="35"/>
  </w:num>
  <w:num w:numId="49">
    <w:abstractNumId w:val="27"/>
  </w:num>
  <w:num w:numId="5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7457"/>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227F4"/>
    <w:rsid w:val="00003F50"/>
    <w:rsid w:val="00013281"/>
    <w:rsid w:val="00027CA0"/>
    <w:rsid w:val="00030420"/>
    <w:rsid w:val="00030D65"/>
    <w:rsid w:val="00031712"/>
    <w:rsid w:val="00032052"/>
    <w:rsid w:val="000424D3"/>
    <w:rsid w:val="00043038"/>
    <w:rsid w:val="0005368B"/>
    <w:rsid w:val="00060F40"/>
    <w:rsid w:val="00077B2B"/>
    <w:rsid w:val="000843CD"/>
    <w:rsid w:val="00097D1E"/>
    <w:rsid w:val="000A0191"/>
    <w:rsid w:val="000A1C81"/>
    <w:rsid w:val="000A7697"/>
    <w:rsid w:val="000B1645"/>
    <w:rsid w:val="000B3C91"/>
    <w:rsid w:val="000C1FF9"/>
    <w:rsid w:val="000C5A8A"/>
    <w:rsid w:val="000D58EC"/>
    <w:rsid w:val="000D7A44"/>
    <w:rsid w:val="000E0C27"/>
    <w:rsid w:val="000E6D15"/>
    <w:rsid w:val="000F1286"/>
    <w:rsid w:val="000F32B0"/>
    <w:rsid w:val="000F422C"/>
    <w:rsid w:val="000F6495"/>
    <w:rsid w:val="000F6FD8"/>
    <w:rsid w:val="0011517F"/>
    <w:rsid w:val="00116FBF"/>
    <w:rsid w:val="00121BB0"/>
    <w:rsid w:val="0013090C"/>
    <w:rsid w:val="00131C5D"/>
    <w:rsid w:val="0014739B"/>
    <w:rsid w:val="00172007"/>
    <w:rsid w:val="0017446F"/>
    <w:rsid w:val="00182AC1"/>
    <w:rsid w:val="001834D4"/>
    <w:rsid w:val="00191167"/>
    <w:rsid w:val="0019177F"/>
    <w:rsid w:val="00191AA2"/>
    <w:rsid w:val="00192287"/>
    <w:rsid w:val="001A016C"/>
    <w:rsid w:val="001A2A81"/>
    <w:rsid w:val="001B2C0D"/>
    <w:rsid w:val="001B6017"/>
    <w:rsid w:val="001B7A0B"/>
    <w:rsid w:val="001B7EB3"/>
    <w:rsid w:val="001C4A96"/>
    <w:rsid w:val="001C5BC2"/>
    <w:rsid w:val="001D0179"/>
    <w:rsid w:val="001E1188"/>
    <w:rsid w:val="001E3599"/>
    <w:rsid w:val="001F1CB9"/>
    <w:rsid w:val="001F7501"/>
    <w:rsid w:val="00205878"/>
    <w:rsid w:val="00213D7B"/>
    <w:rsid w:val="00214DEC"/>
    <w:rsid w:val="00224A3F"/>
    <w:rsid w:val="002306C7"/>
    <w:rsid w:val="0023100B"/>
    <w:rsid w:val="00241BD8"/>
    <w:rsid w:val="002434B0"/>
    <w:rsid w:val="00251E23"/>
    <w:rsid w:val="0027418E"/>
    <w:rsid w:val="00292F22"/>
    <w:rsid w:val="002C0DCF"/>
    <w:rsid w:val="002D1867"/>
    <w:rsid w:val="002F2009"/>
    <w:rsid w:val="002F41D4"/>
    <w:rsid w:val="002F4E90"/>
    <w:rsid w:val="00300924"/>
    <w:rsid w:val="003025A8"/>
    <w:rsid w:val="003129B6"/>
    <w:rsid w:val="00314D6E"/>
    <w:rsid w:val="00320E57"/>
    <w:rsid w:val="003221EF"/>
    <w:rsid w:val="003248A2"/>
    <w:rsid w:val="0034509B"/>
    <w:rsid w:val="00356FE3"/>
    <w:rsid w:val="00372BEC"/>
    <w:rsid w:val="00376486"/>
    <w:rsid w:val="003828C7"/>
    <w:rsid w:val="003859F5"/>
    <w:rsid w:val="003A41CA"/>
    <w:rsid w:val="003D7A72"/>
    <w:rsid w:val="003E06A3"/>
    <w:rsid w:val="003F4E18"/>
    <w:rsid w:val="004060A2"/>
    <w:rsid w:val="00412567"/>
    <w:rsid w:val="00424530"/>
    <w:rsid w:val="0043577F"/>
    <w:rsid w:val="004405EC"/>
    <w:rsid w:val="00441CEF"/>
    <w:rsid w:val="00441F85"/>
    <w:rsid w:val="004512B0"/>
    <w:rsid w:val="0045301B"/>
    <w:rsid w:val="00455E0E"/>
    <w:rsid w:val="004669A7"/>
    <w:rsid w:val="004719B4"/>
    <w:rsid w:val="00471CA1"/>
    <w:rsid w:val="00471CCE"/>
    <w:rsid w:val="00481AC4"/>
    <w:rsid w:val="00482FB6"/>
    <w:rsid w:val="00495FDC"/>
    <w:rsid w:val="004A0D29"/>
    <w:rsid w:val="004A5D8B"/>
    <w:rsid w:val="004B2FC0"/>
    <w:rsid w:val="004B7784"/>
    <w:rsid w:val="004C1B19"/>
    <w:rsid w:val="004C6392"/>
    <w:rsid w:val="004D2B56"/>
    <w:rsid w:val="004F0AB6"/>
    <w:rsid w:val="00506885"/>
    <w:rsid w:val="005105EF"/>
    <w:rsid w:val="00513715"/>
    <w:rsid w:val="00523895"/>
    <w:rsid w:val="00524561"/>
    <w:rsid w:val="00554606"/>
    <w:rsid w:val="00561B80"/>
    <w:rsid w:val="00565691"/>
    <w:rsid w:val="005663D0"/>
    <w:rsid w:val="00571BB6"/>
    <w:rsid w:val="00575BA7"/>
    <w:rsid w:val="00582AA7"/>
    <w:rsid w:val="0058477C"/>
    <w:rsid w:val="00593F60"/>
    <w:rsid w:val="005B0AB8"/>
    <w:rsid w:val="005B5C09"/>
    <w:rsid w:val="005C498B"/>
    <w:rsid w:val="005D4005"/>
    <w:rsid w:val="005D4436"/>
    <w:rsid w:val="005D6FBB"/>
    <w:rsid w:val="005F0308"/>
    <w:rsid w:val="005F1DD8"/>
    <w:rsid w:val="00610305"/>
    <w:rsid w:val="00611DDB"/>
    <w:rsid w:val="00614354"/>
    <w:rsid w:val="006224C1"/>
    <w:rsid w:val="006269B7"/>
    <w:rsid w:val="00630EA7"/>
    <w:rsid w:val="00633DC7"/>
    <w:rsid w:val="0063568A"/>
    <w:rsid w:val="00636E1D"/>
    <w:rsid w:val="00637AB4"/>
    <w:rsid w:val="00645462"/>
    <w:rsid w:val="00663B0A"/>
    <w:rsid w:val="006641F8"/>
    <w:rsid w:val="00670254"/>
    <w:rsid w:val="00675462"/>
    <w:rsid w:val="00691246"/>
    <w:rsid w:val="006956DA"/>
    <w:rsid w:val="006B4F80"/>
    <w:rsid w:val="006C186D"/>
    <w:rsid w:val="006C3073"/>
    <w:rsid w:val="006D1697"/>
    <w:rsid w:val="006F445D"/>
    <w:rsid w:val="00702B4F"/>
    <w:rsid w:val="00703E4E"/>
    <w:rsid w:val="007071C6"/>
    <w:rsid w:val="00711E1C"/>
    <w:rsid w:val="00715C27"/>
    <w:rsid w:val="00721FBA"/>
    <w:rsid w:val="007227F4"/>
    <w:rsid w:val="00730352"/>
    <w:rsid w:val="0073184E"/>
    <w:rsid w:val="00736EE0"/>
    <w:rsid w:val="0073701C"/>
    <w:rsid w:val="00741153"/>
    <w:rsid w:val="00742839"/>
    <w:rsid w:val="00755505"/>
    <w:rsid w:val="00772993"/>
    <w:rsid w:val="00776D24"/>
    <w:rsid w:val="00777246"/>
    <w:rsid w:val="00781D80"/>
    <w:rsid w:val="007834BC"/>
    <w:rsid w:val="00797516"/>
    <w:rsid w:val="007A0054"/>
    <w:rsid w:val="007A44A6"/>
    <w:rsid w:val="007A5353"/>
    <w:rsid w:val="007B0DC4"/>
    <w:rsid w:val="007B176F"/>
    <w:rsid w:val="007B3D63"/>
    <w:rsid w:val="007C55D0"/>
    <w:rsid w:val="0081250E"/>
    <w:rsid w:val="0081283B"/>
    <w:rsid w:val="00813BAC"/>
    <w:rsid w:val="00813CD4"/>
    <w:rsid w:val="0081669A"/>
    <w:rsid w:val="00821B9D"/>
    <w:rsid w:val="00836241"/>
    <w:rsid w:val="00836EBC"/>
    <w:rsid w:val="008419ED"/>
    <w:rsid w:val="0084468C"/>
    <w:rsid w:val="008552A0"/>
    <w:rsid w:val="00865492"/>
    <w:rsid w:val="00867CB4"/>
    <w:rsid w:val="00871898"/>
    <w:rsid w:val="00874615"/>
    <w:rsid w:val="00874ED5"/>
    <w:rsid w:val="00883CDB"/>
    <w:rsid w:val="008846B6"/>
    <w:rsid w:val="008B48CB"/>
    <w:rsid w:val="008C40B2"/>
    <w:rsid w:val="008C4C08"/>
    <w:rsid w:val="008D251F"/>
    <w:rsid w:val="008F3908"/>
    <w:rsid w:val="009014B6"/>
    <w:rsid w:val="00912882"/>
    <w:rsid w:val="00912895"/>
    <w:rsid w:val="00920EC8"/>
    <w:rsid w:val="009210DE"/>
    <w:rsid w:val="00926A9E"/>
    <w:rsid w:val="00926F50"/>
    <w:rsid w:val="00943B87"/>
    <w:rsid w:val="00954CAE"/>
    <w:rsid w:val="00957E0A"/>
    <w:rsid w:val="0096160F"/>
    <w:rsid w:val="00965B80"/>
    <w:rsid w:val="00982758"/>
    <w:rsid w:val="009853B5"/>
    <w:rsid w:val="0099287B"/>
    <w:rsid w:val="009A1F84"/>
    <w:rsid w:val="009A78AD"/>
    <w:rsid w:val="009C12C9"/>
    <w:rsid w:val="009C15FF"/>
    <w:rsid w:val="009C1CE7"/>
    <w:rsid w:val="009D55F7"/>
    <w:rsid w:val="009E2405"/>
    <w:rsid w:val="009E76BE"/>
    <w:rsid w:val="009F3FE6"/>
    <w:rsid w:val="009F53AF"/>
    <w:rsid w:val="00A00E34"/>
    <w:rsid w:val="00A10257"/>
    <w:rsid w:val="00A11E57"/>
    <w:rsid w:val="00A14332"/>
    <w:rsid w:val="00A27D88"/>
    <w:rsid w:val="00A41883"/>
    <w:rsid w:val="00A4607D"/>
    <w:rsid w:val="00A53EC9"/>
    <w:rsid w:val="00A6009F"/>
    <w:rsid w:val="00A92440"/>
    <w:rsid w:val="00A94ACA"/>
    <w:rsid w:val="00AB01B5"/>
    <w:rsid w:val="00AB104D"/>
    <w:rsid w:val="00AC60C1"/>
    <w:rsid w:val="00AD0C73"/>
    <w:rsid w:val="00AE1A2D"/>
    <w:rsid w:val="00AE5347"/>
    <w:rsid w:val="00AE55F6"/>
    <w:rsid w:val="00AE56DB"/>
    <w:rsid w:val="00AE7449"/>
    <w:rsid w:val="00AE76BE"/>
    <w:rsid w:val="00AF1289"/>
    <w:rsid w:val="00B022D7"/>
    <w:rsid w:val="00B02F73"/>
    <w:rsid w:val="00B04E3F"/>
    <w:rsid w:val="00B04F6F"/>
    <w:rsid w:val="00B065F9"/>
    <w:rsid w:val="00B13C87"/>
    <w:rsid w:val="00B1710D"/>
    <w:rsid w:val="00B174E1"/>
    <w:rsid w:val="00B32510"/>
    <w:rsid w:val="00B33D77"/>
    <w:rsid w:val="00B36D5E"/>
    <w:rsid w:val="00B43393"/>
    <w:rsid w:val="00B4483D"/>
    <w:rsid w:val="00B45FF2"/>
    <w:rsid w:val="00B511BF"/>
    <w:rsid w:val="00B55FAB"/>
    <w:rsid w:val="00B60D90"/>
    <w:rsid w:val="00B6734E"/>
    <w:rsid w:val="00B715E4"/>
    <w:rsid w:val="00B83D9D"/>
    <w:rsid w:val="00B84529"/>
    <w:rsid w:val="00B96ACD"/>
    <w:rsid w:val="00B96F7F"/>
    <w:rsid w:val="00BA569C"/>
    <w:rsid w:val="00BA661C"/>
    <w:rsid w:val="00BB2111"/>
    <w:rsid w:val="00BB2B48"/>
    <w:rsid w:val="00BC2C9F"/>
    <w:rsid w:val="00BC687E"/>
    <w:rsid w:val="00BC7FD2"/>
    <w:rsid w:val="00BD3858"/>
    <w:rsid w:val="00BD6C96"/>
    <w:rsid w:val="00BF66F2"/>
    <w:rsid w:val="00C03AE7"/>
    <w:rsid w:val="00C05D9D"/>
    <w:rsid w:val="00C3208B"/>
    <w:rsid w:val="00C35592"/>
    <w:rsid w:val="00C356AF"/>
    <w:rsid w:val="00C40047"/>
    <w:rsid w:val="00C4187F"/>
    <w:rsid w:val="00C41927"/>
    <w:rsid w:val="00C439D6"/>
    <w:rsid w:val="00C43FD9"/>
    <w:rsid w:val="00C44EB2"/>
    <w:rsid w:val="00C545A1"/>
    <w:rsid w:val="00C60915"/>
    <w:rsid w:val="00C86BA8"/>
    <w:rsid w:val="00C964B8"/>
    <w:rsid w:val="00CB0E50"/>
    <w:rsid w:val="00CD3A8C"/>
    <w:rsid w:val="00CD6DF6"/>
    <w:rsid w:val="00CF5F4B"/>
    <w:rsid w:val="00CF69DE"/>
    <w:rsid w:val="00D01670"/>
    <w:rsid w:val="00D152E7"/>
    <w:rsid w:val="00D20B41"/>
    <w:rsid w:val="00D21F91"/>
    <w:rsid w:val="00D24F50"/>
    <w:rsid w:val="00D44360"/>
    <w:rsid w:val="00D462BC"/>
    <w:rsid w:val="00D549B9"/>
    <w:rsid w:val="00D557EE"/>
    <w:rsid w:val="00D56058"/>
    <w:rsid w:val="00D56648"/>
    <w:rsid w:val="00D574A0"/>
    <w:rsid w:val="00D57F4B"/>
    <w:rsid w:val="00D76E91"/>
    <w:rsid w:val="00D81D61"/>
    <w:rsid w:val="00D85C39"/>
    <w:rsid w:val="00D872D1"/>
    <w:rsid w:val="00DB2579"/>
    <w:rsid w:val="00DB4809"/>
    <w:rsid w:val="00DB5E8F"/>
    <w:rsid w:val="00DC7C3E"/>
    <w:rsid w:val="00DE30E0"/>
    <w:rsid w:val="00DF198C"/>
    <w:rsid w:val="00E05329"/>
    <w:rsid w:val="00E2285F"/>
    <w:rsid w:val="00E326FF"/>
    <w:rsid w:val="00E3333C"/>
    <w:rsid w:val="00E361B0"/>
    <w:rsid w:val="00E62DB8"/>
    <w:rsid w:val="00E641D4"/>
    <w:rsid w:val="00E677EF"/>
    <w:rsid w:val="00E71882"/>
    <w:rsid w:val="00E7282F"/>
    <w:rsid w:val="00E83348"/>
    <w:rsid w:val="00E859DF"/>
    <w:rsid w:val="00E95201"/>
    <w:rsid w:val="00EA4947"/>
    <w:rsid w:val="00EC0C41"/>
    <w:rsid w:val="00EC1594"/>
    <w:rsid w:val="00EC454F"/>
    <w:rsid w:val="00EC5748"/>
    <w:rsid w:val="00EC74A9"/>
    <w:rsid w:val="00ED4267"/>
    <w:rsid w:val="00EE4035"/>
    <w:rsid w:val="00EE456B"/>
    <w:rsid w:val="00EF6D72"/>
    <w:rsid w:val="00F00C37"/>
    <w:rsid w:val="00F034AC"/>
    <w:rsid w:val="00F12353"/>
    <w:rsid w:val="00F160D2"/>
    <w:rsid w:val="00F214C6"/>
    <w:rsid w:val="00F30010"/>
    <w:rsid w:val="00F41BC8"/>
    <w:rsid w:val="00F47B20"/>
    <w:rsid w:val="00F612B3"/>
    <w:rsid w:val="00F62B36"/>
    <w:rsid w:val="00F7064A"/>
    <w:rsid w:val="00F747AD"/>
    <w:rsid w:val="00F857FF"/>
    <w:rsid w:val="00F93CC1"/>
    <w:rsid w:val="00F942CA"/>
    <w:rsid w:val="00F9452C"/>
    <w:rsid w:val="00FA09FA"/>
    <w:rsid w:val="00FA2BDA"/>
    <w:rsid w:val="00FA726B"/>
    <w:rsid w:val="00FC1D72"/>
    <w:rsid w:val="00FE4FCF"/>
    <w:rsid w:val="00FE5577"/>
    <w:rsid w:val="00FE76A6"/>
    <w:rsid w:val="00FF34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nhideWhenUsed="1"/>
    <w:lsdException w:name="footer" w:unhideWhenUsed="1"/>
    <w:lsdException w:name="caption" w:uiPriority="35" w:qFormat="1"/>
    <w:lsdException w:name="table of figures" w:unhideWhenUsed="1" w:qFormat="1"/>
    <w:lsdException w:name="footnote reference" w:uiPriority="0" w:unhideWhenUsed="1" w:qFormat="1"/>
    <w:lsdException w:name="page number" w:unhideWhenUsed="1"/>
    <w:lsdException w:name="List" w:unhideWhenUsed="1" w:qFormat="1"/>
    <w:lsdException w:name="List Bullet" w:uiPriority="0"/>
    <w:lsdException w:name="Title" w:semiHidden="0" w:uiPriority="1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4512B0"/>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7"/>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7"/>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4512B0"/>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BF66F2"/>
    <w:pPr>
      <w:numPr>
        <w:numId w:val="44"/>
      </w:numPr>
      <w:spacing w:before="0"/>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44"/>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23100B"/>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4512B0"/>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27"/>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32"/>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qFormat/>
    <w:rsid w:val="00DB5E8F"/>
    <w:pPr>
      <w:spacing w:before="80" w:after="0" w:line="200" w:lineRule="exact"/>
    </w:pPr>
    <w:rPr>
      <w:sz w:val="18"/>
      <w:szCs w:val="18"/>
    </w:rPr>
  </w:style>
  <w:style w:type="character" w:customStyle="1" w:styleId="FootnoteTextChar">
    <w:name w:val="Footnote Text Char"/>
    <w:basedOn w:val="DefaultParagraphFont"/>
    <w:link w:val="FootnoteText"/>
    <w:rsid w:val="00582AA7"/>
    <w:rPr>
      <w:sz w:val="18"/>
      <w:szCs w:val="18"/>
    </w:rPr>
  </w:style>
  <w:style w:type="character" w:styleId="FootnoteReference">
    <w:name w:val="footnote reference"/>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3"/>
      </w:numPr>
    </w:pPr>
    <w:rPr>
      <w:szCs w:val="22"/>
    </w:rPr>
  </w:style>
  <w:style w:type="paragraph" w:styleId="TOC1">
    <w:name w:val="toc 1"/>
    <w:autoRedefine/>
    <w:uiPriority w:val="39"/>
    <w:qFormat/>
    <w:rsid w:val="00E3333C"/>
    <w:pPr>
      <w:tabs>
        <w:tab w:val="left" w:pos="312"/>
        <w:tab w:val="left" w:pos="340"/>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776D24"/>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2"/>
      </w:numPr>
    </w:pPr>
    <w:rPr>
      <w:szCs w:val="22"/>
    </w:rPr>
  </w:style>
  <w:style w:type="paragraph" w:customStyle="1" w:styleId="Numberedtitlelevel3">
    <w:name w:val="Numbered title level 3"/>
    <w:basedOn w:val="Titlelevel3"/>
    <w:next w:val="body"/>
    <w:qFormat/>
    <w:rsid w:val="008F3908"/>
    <w:pPr>
      <w:numPr>
        <w:ilvl w:val="2"/>
        <w:numId w:val="44"/>
      </w:numPr>
      <w:ind w:left="431" w:hanging="431"/>
    </w:pPr>
  </w:style>
  <w:style w:type="table" w:customStyle="1" w:styleId="LightShading1">
    <w:name w:val="Light Shading1"/>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25"/>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512B0"/>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4512B0"/>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semiHidden/>
    <w:qFormat/>
    <w:rsid w:val="00455E0E"/>
    <w:rPr>
      <w:bCs/>
      <w:lang w:val="en-GB" w:eastAsia="en-GB"/>
    </w:rPr>
  </w:style>
  <w:style w:type="character" w:styleId="Hyperlink">
    <w:name w:val="Hyperlink"/>
    <w:basedOn w:val="DefaultParagraphFont"/>
    <w:uiPriority w:val="99"/>
    <w:rsid w:val="00702B4F"/>
    <w:rPr>
      <w:rFonts w:asciiTheme="minorHAnsi" w:hAnsiTheme="minorHAnsi"/>
      <w:color w:val="0000FF"/>
      <w:sz w:val="20"/>
      <w:u w:val="single"/>
    </w:rPr>
  </w:style>
  <w:style w:type="character" w:styleId="FollowedHyperlink">
    <w:name w:val="FollowedHyperlink"/>
    <w:basedOn w:val="DefaultParagraphFont"/>
    <w:uiPriority w:val="99"/>
    <w:semiHidden/>
    <w:rsid w:val="00702B4F"/>
    <w:rPr>
      <w:color w:val="800080" w:themeColor="followedHyperlink"/>
      <w:u w:val="single"/>
    </w:rPr>
  </w:style>
  <w:style w:type="paragraph" w:customStyle="1" w:styleId="numberedparagraph">
    <w:name w:val="numbered paragraph"/>
    <w:basedOn w:val="Normal"/>
    <w:qFormat/>
    <w:rsid w:val="009C15FF"/>
    <w:pPr>
      <w:numPr>
        <w:numId w:val="48"/>
      </w:numPr>
      <w:spacing w:before="240" w:after="120" w:line="276" w:lineRule="auto"/>
    </w:pPr>
  </w:style>
  <w:style w:type="paragraph" w:customStyle="1" w:styleId="CM1">
    <w:name w:val="CM1"/>
    <w:basedOn w:val="Normal"/>
    <w:next w:val="Normal"/>
    <w:uiPriority w:val="99"/>
    <w:rsid w:val="00D24F50"/>
    <w:pPr>
      <w:autoSpaceDE w:val="0"/>
      <w:autoSpaceDN w:val="0"/>
      <w:adjustRightInd w:val="0"/>
    </w:pPr>
    <w:rPr>
      <w:rFonts w:ascii="EUAlbertina" w:hAnsi="EUAlbertina"/>
      <w:sz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nhideWhenUsed="1"/>
    <w:lsdException w:name="footer" w:unhideWhenUsed="1"/>
    <w:lsdException w:name="caption" w:uiPriority="35" w:qFormat="1"/>
    <w:lsdException w:name="table of figures" w:unhideWhenUsed="1" w:qFormat="1"/>
    <w:lsdException w:name="footnote reference" w:uiPriority="0" w:unhideWhenUsed="1" w:qFormat="1"/>
    <w:lsdException w:name="page number" w:unhideWhenUsed="1"/>
    <w:lsdException w:name="List" w:unhideWhenUsed="1" w:qFormat="1"/>
    <w:lsdException w:name="List Bullet" w:uiPriority="0"/>
    <w:lsdException w:name="Title" w:semiHidden="0" w:uiPriority="1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4512B0"/>
    <w:rPr>
      <w:sz w:val="22"/>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7"/>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7"/>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4512B0"/>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BF66F2"/>
    <w:pPr>
      <w:numPr>
        <w:numId w:val="44"/>
      </w:numPr>
      <w:spacing w:before="0"/>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44"/>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23100B"/>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4512B0"/>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27"/>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32"/>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qFormat/>
    <w:rsid w:val="00DB5E8F"/>
    <w:pPr>
      <w:spacing w:before="80" w:after="0" w:line="200" w:lineRule="exact"/>
    </w:pPr>
    <w:rPr>
      <w:sz w:val="18"/>
      <w:szCs w:val="18"/>
    </w:rPr>
  </w:style>
  <w:style w:type="character" w:customStyle="1" w:styleId="FootnoteTextChar">
    <w:name w:val="Footnote Text Char"/>
    <w:basedOn w:val="DefaultParagraphFont"/>
    <w:link w:val="FootnoteText"/>
    <w:rsid w:val="00582AA7"/>
    <w:rPr>
      <w:sz w:val="18"/>
      <w:szCs w:val="18"/>
    </w:rPr>
  </w:style>
  <w:style w:type="character" w:styleId="FootnoteReference">
    <w:name w:val="footnote reference"/>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3"/>
      </w:numPr>
    </w:pPr>
    <w:rPr>
      <w:szCs w:val="22"/>
    </w:rPr>
  </w:style>
  <w:style w:type="paragraph" w:styleId="TOC1">
    <w:name w:val="toc 1"/>
    <w:autoRedefine/>
    <w:uiPriority w:val="39"/>
    <w:qFormat/>
    <w:rsid w:val="00E3333C"/>
    <w:pPr>
      <w:tabs>
        <w:tab w:val="left" w:pos="312"/>
        <w:tab w:val="left" w:pos="340"/>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776D24"/>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2"/>
      </w:numPr>
    </w:pPr>
    <w:rPr>
      <w:szCs w:val="22"/>
    </w:rPr>
  </w:style>
  <w:style w:type="paragraph" w:customStyle="1" w:styleId="Numberedtitlelevel3">
    <w:name w:val="Numbered title level 3"/>
    <w:basedOn w:val="Titlelevel3"/>
    <w:next w:val="body"/>
    <w:qFormat/>
    <w:rsid w:val="008F3908"/>
    <w:pPr>
      <w:numPr>
        <w:ilvl w:val="2"/>
        <w:numId w:val="44"/>
      </w:numPr>
      <w:ind w:left="431" w:hanging="431"/>
    </w:pPr>
  </w:style>
  <w:style w:type="table" w:customStyle="1" w:styleId="LightShading1">
    <w:name w:val="Light Shading1"/>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25"/>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512B0"/>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4512B0"/>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semiHidden/>
    <w:qFormat/>
    <w:rsid w:val="00455E0E"/>
    <w:rPr>
      <w:bCs/>
      <w:lang w:val="en-GB" w:eastAsia="en-GB"/>
    </w:rPr>
  </w:style>
  <w:style w:type="character" w:styleId="Hyperlink">
    <w:name w:val="Hyperlink"/>
    <w:basedOn w:val="DefaultParagraphFont"/>
    <w:uiPriority w:val="99"/>
    <w:rsid w:val="00702B4F"/>
    <w:rPr>
      <w:rFonts w:asciiTheme="minorHAnsi" w:hAnsiTheme="minorHAnsi"/>
      <w:color w:val="0000FF"/>
      <w:sz w:val="20"/>
      <w:u w:val="single"/>
    </w:rPr>
  </w:style>
  <w:style w:type="character" w:styleId="FollowedHyperlink">
    <w:name w:val="FollowedHyperlink"/>
    <w:basedOn w:val="DefaultParagraphFont"/>
    <w:uiPriority w:val="99"/>
    <w:semiHidden/>
    <w:rsid w:val="00702B4F"/>
    <w:rPr>
      <w:color w:val="800080" w:themeColor="followedHyperlink"/>
      <w:u w:val="single"/>
    </w:rPr>
  </w:style>
  <w:style w:type="paragraph" w:customStyle="1" w:styleId="numberedparagraph">
    <w:name w:val="numbered paragraph"/>
    <w:basedOn w:val="Normal"/>
    <w:qFormat/>
    <w:rsid w:val="009C15FF"/>
    <w:pPr>
      <w:numPr>
        <w:numId w:val="48"/>
      </w:numPr>
      <w:spacing w:before="240" w:after="120" w:line="276" w:lineRule="auto"/>
    </w:pPr>
  </w:style>
  <w:style w:type="paragraph" w:customStyle="1" w:styleId="CM1">
    <w:name w:val="CM1"/>
    <w:basedOn w:val="Normal"/>
    <w:next w:val="Normal"/>
    <w:uiPriority w:val="99"/>
    <w:rsid w:val="00D24F50"/>
    <w:pPr>
      <w:autoSpaceDE w:val="0"/>
      <w:autoSpaceDN w:val="0"/>
      <w:adjustRightInd w:val="0"/>
    </w:pPr>
    <w:rPr>
      <w:rFonts w:ascii="EUAlbertina" w:hAnsi="EUAlbertina"/>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79668">
      <w:bodyDiv w:val="1"/>
      <w:marLeft w:val="0"/>
      <w:marRight w:val="0"/>
      <w:marTop w:val="0"/>
      <w:marBottom w:val="0"/>
      <w:divBdr>
        <w:top w:val="none" w:sz="0" w:space="0" w:color="auto"/>
        <w:left w:val="none" w:sz="0" w:space="0" w:color="auto"/>
        <w:bottom w:val="none" w:sz="0" w:space="0" w:color="auto"/>
        <w:right w:val="none" w:sz="0" w:space="0" w:color="auto"/>
      </w:divBdr>
    </w:div>
    <w:div w:id="1024943680">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638336067">
      <w:bodyDiv w:val="1"/>
      <w:marLeft w:val="0"/>
      <w:marRight w:val="0"/>
      <w:marTop w:val="0"/>
      <w:marBottom w:val="0"/>
      <w:divBdr>
        <w:top w:val="none" w:sz="0" w:space="0" w:color="auto"/>
        <w:left w:val="none" w:sz="0" w:space="0" w:color="auto"/>
        <w:bottom w:val="none" w:sz="0" w:space="0" w:color="auto"/>
        <w:right w:val="none" w:sz="0" w:space="0" w:color="auto"/>
      </w:divBdr>
    </w:div>
    <w:div w:id="1836798554">
      <w:bodyDiv w:val="1"/>
      <w:marLeft w:val="0"/>
      <w:marRight w:val="0"/>
      <w:marTop w:val="0"/>
      <w:marBottom w:val="0"/>
      <w:divBdr>
        <w:top w:val="none" w:sz="0" w:space="0" w:color="auto"/>
        <w:left w:val="none" w:sz="0" w:space="0" w:color="auto"/>
        <w:bottom w:val="none" w:sz="0" w:space="0" w:color="auto"/>
        <w:right w:val="none" w:sz="0" w:space="0" w:color="auto"/>
      </w:divBdr>
    </w:div>
    <w:div w:id="20887641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b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3C4A4-210A-470D-8EEB-6E9B9C4E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OP</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Faulkner</dc:creator>
  <cp:lastModifiedBy>Emma Faulkner</cp:lastModifiedBy>
  <cp:revision>7</cp:revision>
  <cp:lastPrinted>2013-11-28T14:47:00Z</cp:lastPrinted>
  <dcterms:created xsi:type="dcterms:W3CDTF">2016-11-14T14:02:00Z</dcterms:created>
  <dcterms:modified xsi:type="dcterms:W3CDTF">2017-04-10T13:06:00Z</dcterms:modified>
</cp:coreProperties>
</file>