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224D4" w14:textId="1A15DFF9" w:rsidR="00071A7B" w:rsidRDefault="00071A7B" w:rsidP="00F01AB3"/>
    <w:p w14:paraId="2A1759F9" w14:textId="1592BDDB" w:rsidR="00032F98" w:rsidRPr="005B6026" w:rsidRDefault="00032F98" w:rsidP="00F01AB3">
      <w:pPr>
        <w:rPr>
          <w:sz w:val="24"/>
          <w:szCs w:val="24"/>
          <w:lang w:val="en-US"/>
        </w:rPr>
      </w:pPr>
    </w:p>
    <w:p w14:paraId="398A3886" w14:textId="35D5BA03" w:rsidR="005B6026" w:rsidRPr="004A008D" w:rsidRDefault="005B6026" w:rsidP="00F01AB3">
      <w:pPr>
        <w:rPr>
          <w:sz w:val="24"/>
          <w:szCs w:val="24"/>
          <w:lang w:val="en-US"/>
        </w:rPr>
      </w:pPr>
      <w:r w:rsidRPr="004A008D">
        <w:rPr>
          <w:sz w:val="24"/>
          <w:szCs w:val="24"/>
          <w:lang w:val="en-US"/>
        </w:rPr>
        <w:t>2</w:t>
      </w:r>
      <w:r w:rsidR="003E6D6B" w:rsidRPr="004A008D">
        <w:rPr>
          <w:sz w:val="24"/>
          <w:szCs w:val="24"/>
          <w:lang w:val="en-US"/>
        </w:rPr>
        <w:t>0</w:t>
      </w:r>
      <w:r w:rsidRPr="004A008D">
        <w:rPr>
          <w:sz w:val="24"/>
          <w:szCs w:val="24"/>
          <w:lang w:val="en-US"/>
        </w:rPr>
        <w:t>2</w:t>
      </w:r>
      <w:r w:rsidR="006D60CB" w:rsidRPr="004A008D">
        <w:rPr>
          <w:sz w:val="24"/>
          <w:szCs w:val="24"/>
          <w:lang w:val="en-US"/>
        </w:rPr>
        <w:t>2</w:t>
      </w:r>
      <w:r w:rsidRPr="004A008D">
        <w:rPr>
          <w:sz w:val="24"/>
          <w:szCs w:val="24"/>
          <w:lang w:val="en-US"/>
        </w:rPr>
        <w:t>-</w:t>
      </w:r>
      <w:r w:rsidR="006D60CB" w:rsidRPr="004A008D">
        <w:rPr>
          <w:sz w:val="24"/>
          <w:szCs w:val="24"/>
          <w:lang w:val="en-US"/>
        </w:rPr>
        <w:t>0</w:t>
      </w:r>
      <w:r w:rsidR="004601DD" w:rsidRPr="004A008D">
        <w:rPr>
          <w:sz w:val="24"/>
          <w:szCs w:val="24"/>
          <w:lang w:val="en-US"/>
        </w:rPr>
        <w:t>2-04</w:t>
      </w:r>
    </w:p>
    <w:p w14:paraId="1E32BCCF" w14:textId="634DE153" w:rsidR="00032F98" w:rsidRPr="004A008D" w:rsidRDefault="00032F98" w:rsidP="00F01AB3">
      <w:pPr>
        <w:rPr>
          <w:b/>
          <w:bCs/>
          <w:sz w:val="24"/>
          <w:szCs w:val="24"/>
          <w:lang w:val="en-US"/>
        </w:rPr>
      </w:pPr>
      <w:r w:rsidRPr="004A008D">
        <w:rPr>
          <w:b/>
          <w:bCs/>
          <w:sz w:val="24"/>
          <w:szCs w:val="24"/>
          <w:lang w:val="en-US"/>
        </w:rPr>
        <w:t>Response to E</w:t>
      </w:r>
      <w:r w:rsidR="00FF4FD8" w:rsidRPr="004A008D">
        <w:rPr>
          <w:b/>
          <w:bCs/>
          <w:sz w:val="24"/>
          <w:szCs w:val="24"/>
          <w:lang w:val="en-US"/>
        </w:rPr>
        <w:t xml:space="preserve">BAs consultation </w:t>
      </w:r>
      <w:r w:rsidR="00C60584" w:rsidRPr="004A008D">
        <w:rPr>
          <w:rFonts w:cstheme="minorHAnsi"/>
          <w:b/>
          <w:bCs/>
          <w:sz w:val="24"/>
          <w:szCs w:val="24"/>
          <w:lang w:val="en-US"/>
        </w:rPr>
        <w:t xml:space="preserve">on draft technical standards on Initial Margin Model Validation (IMMV)  </w:t>
      </w:r>
    </w:p>
    <w:p w14:paraId="3F16933A" w14:textId="61D4D931" w:rsidR="00032F98" w:rsidRPr="004A008D" w:rsidRDefault="00032F98" w:rsidP="00032F98">
      <w:pPr>
        <w:spacing w:line="240" w:lineRule="auto"/>
        <w:rPr>
          <w:rFonts w:cstheme="minorHAnsi"/>
          <w:lang w:val="en-US"/>
        </w:rPr>
      </w:pPr>
      <w:r w:rsidRPr="004A008D">
        <w:rPr>
          <w:rFonts w:cstheme="minorHAnsi"/>
          <w:lang w:val="en-US"/>
        </w:rPr>
        <w:t>The Swedish Securities Markers Association (SSMA) welcomes the opportunity to respond to E</w:t>
      </w:r>
      <w:r w:rsidR="00FF4FD8" w:rsidRPr="004A008D">
        <w:rPr>
          <w:rFonts w:cstheme="minorHAnsi"/>
          <w:lang w:val="en-US"/>
        </w:rPr>
        <w:t xml:space="preserve">BAs consultation </w:t>
      </w:r>
      <w:r w:rsidR="00C60584" w:rsidRPr="004A008D">
        <w:rPr>
          <w:rFonts w:cstheme="minorHAnsi"/>
          <w:lang w:val="en-US"/>
        </w:rPr>
        <w:t>on draft technical standards on Initial Margin Model Validation (</w:t>
      </w:r>
      <w:r w:rsidR="00FF4FD8" w:rsidRPr="004A008D">
        <w:rPr>
          <w:rFonts w:cstheme="minorHAnsi"/>
          <w:lang w:val="en-US"/>
        </w:rPr>
        <w:t>IMMV</w:t>
      </w:r>
      <w:r w:rsidR="00C60584" w:rsidRPr="004A008D">
        <w:rPr>
          <w:rFonts w:cstheme="minorHAnsi"/>
          <w:lang w:val="en-US"/>
        </w:rPr>
        <w:t>)</w:t>
      </w:r>
      <w:r w:rsidR="00FF4FD8" w:rsidRPr="004A008D">
        <w:rPr>
          <w:rFonts w:cstheme="minorHAnsi"/>
          <w:lang w:val="en-US"/>
        </w:rPr>
        <w:t>.</w:t>
      </w:r>
      <w:r w:rsidRPr="004A008D">
        <w:rPr>
          <w:rFonts w:cstheme="minorHAnsi"/>
          <w:lang w:val="en-US"/>
        </w:rPr>
        <w:t xml:space="preserve">  </w:t>
      </w:r>
    </w:p>
    <w:p w14:paraId="1A011FC7" w14:textId="7DEBF72C" w:rsidR="00032F98" w:rsidRPr="00CA78CA" w:rsidRDefault="00032F98" w:rsidP="005B6026">
      <w:pPr>
        <w:rPr>
          <w:rFonts w:cstheme="minorHAnsi"/>
          <w:lang w:val="en-GB"/>
        </w:rPr>
      </w:pPr>
      <w:r w:rsidRPr="00CA78CA">
        <w:rPr>
          <w:rFonts w:cstheme="minorHAnsi"/>
          <w:b/>
          <w:bCs/>
          <w:lang w:val="en-GB"/>
        </w:rPr>
        <w:t>General comment</w:t>
      </w:r>
      <w:r w:rsidR="00771164" w:rsidRPr="00CA78CA">
        <w:rPr>
          <w:rFonts w:cstheme="minorHAnsi"/>
          <w:b/>
          <w:bCs/>
          <w:lang w:val="en-GB"/>
        </w:rPr>
        <w:t>s</w:t>
      </w:r>
      <w:r w:rsidRPr="00CA78CA">
        <w:rPr>
          <w:rFonts w:cstheme="minorHAnsi"/>
          <w:b/>
          <w:bCs/>
          <w:lang w:val="en-GB"/>
        </w:rPr>
        <w:t xml:space="preserve"> </w:t>
      </w:r>
      <w:r w:rsidRPr="00CA78CA">
        <w:rPr>
          <w:rFonts w:cstheme="minorHAnsi"/>
          <w:lang w:val="en-GB"/>
        </w:rPr>
        <w:t xml:space="preserve"> </w:t>
      </w:r>
    </w:p>
    <w:p w14:paraId="42B8067F" w14:textId="3DCA1DFF" w:rsidR="00E225B1" w:rsidRPr="004A008D" w:rsidRDefault="003C4946" w:rsidP="00E225B1">
      <w:pPr>
        <w:pStyle w:val="Default"/>
        <w:numPr>
          <w:ilvl w:val="0"/>
          <w:numId w:val="6"/>
        </w:numPr>
        <w:jc w:val="both"/>
        <w:rPr>
          <w:rFonts w:asciiTheme="minorHAnsi" w:hAnsiTheme="minorHAnsi" w:cstheme="minorHAnsi"/>
          <w:sz w:val="22"/>
          <w:szCs w:val="22"/>
          <w:lang w:val="en-US"/>
        </w:rPr>
      </w:pPr>
      <w:r w:rsidRPr="004A008D">
        <w:rPr>
          <w:rFonts w:asciiTheme="minorHAnsi" w:hAnsiTheme="minorHAnsi" w:cstheme="minorHAnsi"/>
          <w:sz w:val="22"/>
          <w:szCs w:val="22"/>
          <w:lang w:val="en-GB"/>
        </w:rPr>
        <w:t xml:space="preserve">The SSMA </w:t>
      </w:r>
      <w:r w:rsidR="00CE3CE2" w:rsidRPr="004A008D">
        <w:rPr>
          <w:rFonts w:asciiTheme="minorHAnsi" w:hAnsiTheme="minorHAnsi" w:cstheme="minorHAnsi"/>
          <w:sz w:val="22"/>
          <w:szCs w:val="22"/>
          <w:lang w:val="en-GB"/>
        </w:rPr>
        <w:t xml:space="preserve">agrees that it is important </w:t>
      </w:r>
      <w:r w:rsidR="008039C0" w:rsidRPr="004A008D">
        <w:rPr>
          <w:rFonts w:asciiTheme="minorHAnsi" w:hAnsiTheme="minorHAnsi" w:cstheme="minorHAnsi"/>
          <w:sz w:val="22"/>
          <w:szCs w:val="22"/>
          <w:lang w:val="en-GB"/>
        </w:rPr>
        <w:t xml:space="preserve">with a proportional approach and </w:t>
      </w:r>
      <w:r w:rsidR="00A82DFB" w:rsidRPr="004A008D">
        <w:rPr>
          <w:rFonts w:asciiTheme="minorHAnsi" w:hAnsiTheme="minorHAnsi" w:cstheme="minorHAnsi"/>
          <w:sz w:val="22"/>
          <w:szCs w:val="22"/>
          <w:lang w:val="en-GB"/>
        </w:rPr>
        <w:t xml:space="preserve">supports the introduction of a dual regime consisting of a “standard” and “simplified” validation procedure. </w:t>
      </w:r>
      <w:r w:rsidR="00E225B1" w:rsidRPr="004A008D">
        <w:rPr>
          <w:rFonts w:asciiTheme="minorHAnsi" w:hAnsiTheme="minorHAnsi" w:cstheme="minorHAnsi"/>
          <w:sz w:val="22"/>
          <w:szCs w:val="22"/>
          <w:lang w:val="en-GB"/>
        </w:rPr>
        <w:t xml:space="preserve">However, </w:t>
      </w:r>
      <w:r w:rsidR="007210A7" w:rsidRPr="004A008D">
        <w:rPr>
          <w:rFonts w:asciiTheme="minorHAnsi" w:hAnsiTheme="minorHAnsi" w:cstheme="minorHAnsi"/>
          <w:sz w:val="22"/>
          <w:szCs w:val="22"/>
          <w:lang w:val="en-GB"/>
        </w:rPr>
        <w:t xml:space="preserve">in addition </w:t>
      </w:r>
      <w:r w:rsidR="008039C0" w:rsidRPr="004A008D">
        <w:rPr>
          <w:rFonts w:asciiTheme="minorHAnsi" w:hAnsiTheme="minorHAnsi" w:cstheme="minorHAnsi"/>
          <w:sz w:val="22"/>
          <w:szCs w:val="22"/>
          <w:lang w:val="en-GB"/>
        </w:rPr>
        <w:t xml:space="preserve">to such dual regime, there should be an exemption </w:t>
      </w:r>
      <w:r w:rsidR="007D03D3" w:rsidRPr="004A008D">
        <w:rPr>
          <w:rFonts w:asciiTheme="minorHAnsi" w:hAnsiTheme="minorHAnsi" w:cstheme="minorHAnsi"/>
          <w:sz w:val="22"/>
          <w:szCs w:val="22"/>
          <w:lang w:val="en-GB"/>
        </w:rPr>
        <w:t xml:space="preserve">for </w:t>
      </w:r>
      <w:r w:rsidR="006C5F47" w:rsidRPr="004A008D">
        <w:rPr>
          <w:rFonts w:asciiTheme="minorHAnsi" w:hAnsiTheme="minorHAnsi" w:cstheme="minorHAnsi"/>
          <w:sz w:val="22"/>
          <w:szCs w:val="22"/>
          <w:lang w:val="en-GB"/>
        </w:rPr>
        <w:t xml:space="preserve">smaller firms </w:t>
      </w:r>
      <w:r w:rsidR="008F24B0" w:rsidRPr="004A008D">
        <w:rPr>
          <w:rFonts w:asciiTheme="minorHAnsi" w:hAnsiTheme="minorHAnsi" w:cstheme="minorHAnsi"/>
          <w:sz w:val="22"/>
          <w:szCs w:val="22"/>
          <w:lang w:val="en-GB"/>
        </w:rPr>
        <w:t>(</w:t>
      </w:r>
      <w:r w:rsidR="00C56AE5" w:rsidRPr="004A008D">
        <w:rPr>
          <w:rFonts w:asciiTheme="minorHAnsi" w:hAnsiTheme="minorHAnsi" w:cstheme="minorHAnsi"/>
          <w:sz w:val="22"/>
          <w:szCs w:val="22"/>
          <w:lang w:val="en-GB"/>
        </w:rPr>
        <w:t xml:space="preserve">e.g. </w:t>
      </w:r>
      <w:r w:rsidR="008F24B0" w:rsidRPr="004A008D">
        <w:rPr>
          <w:rFonts w:asciiTheme="minorHAnsi" w:hAnsiTheme="minorHAnsi" w:cstheme="minorHAnsi"/>
          <w:sz w:val="22"/>
          <w:szCs w:val="22"/>
          <w:lang w:val="en-GB"/>
        </w:rPr>
        <w:t xml:space="preserve">those in phase 4-6 regarding the implementation of IM) </w:t>
      </w:r>
      <w:r w:rsidR="006C5F47" w:rsidRPr="004A008D">
        <w:rPr>
          <w:rFonts w:asciiTheme="minorHAnsi" w:hAnsiTheme="minorHAnsi" w:cstheme="minorHAnsi"/>
          <w:sz w:val="22"/>
          <w:szCs w:val="22"/>
          <w:lang w:val="en-GB"/>
        </w:rPr>
        <w:t xml:space="preserve">using </w:t>
      </w:r>
      <w:r w:rsidR="00E225B1" w:rsidRPr="004A008D">
        <w:rPr>
          <w:sz w:val="22"/>
          <w:szCs w:val="22"/>
          <w:lang w:val="en-US"/>
        </w:rPr>
        <w:t xml:space="preserve">existing models </w:t>
      </w:r>
      <w:r w:rsidR="00B070A3" w:rsidRPr="004A008D">
        <w:rPr>
          <w:sz w:val="22"/>
          <w:szCs w:val="22"/>
          <w:lang w:val="en-US"/>
        </w:rPr>
        <w:t>(</w:t>
      </w:r>
      <w:r w:rsidR="00773254" w:rsidRPr="004A008D">
        <w:rPr>
          <w:sz w:val="22"/>
          <w:szCs w:val="22"/>
          <w:lang w:val="en-US"/>
        </w:rPr>
        <w:t>e.g.,</w:t>
      </w:r>
      <w:r w:rsidR="00B070A3" w:rsidRPr="004A008D">
        <w:rPr>
          <w:sz w:val="22"/>
          <w:szCs w:val="22"/>
          <w:lang w:val="en-US"/>
        </w:rPr>
        <w:t xml:space="preserve"> ISDA</w:t>
      </w:r>
      <w:r w:rsidR="007A27DE" w:rsidRPr="004A008D">
        <w:rPr>
          <w:sz w:val="22"/>
          <w:szCs w:val="22"/>
          <w:lang w:val="en-US"/>
        </w:rPr>
        <w:t xml:space="preserve"> SIMM</w:t>
      </w:r>
      <w:r w:rsidR="00B070A3" w:rsidRPr="004A008D">
        <w:rPr>
          <w:sz w:val="22"/>
          <w:szCs w:val="22"/>
          <w:lang w:val="en-US"/>
        </w:rPr>
        <w:t xml:space="preserve">) </w:t>
      </w:r>
      <w:r w:rsidR="00E225B1" w:rsidRPr="004A008D">
        <w:rPr>
          <w:sz w:val="22"/>
          <w:szCs w:val="22"/>
          <w:lang w:val="en-US"/>
        </w:rPr>
        <w:t xml:space="preserve">that have already been </w:t>
      </w:r>
      <w:proofErr w:type="gramStart"/>
      <w:r w:rsidR="00842EA8" w:rsidRPr="004A008D">
        <w:rPr>
          <w:sz w:val="22"/>
          <w:szCs w:val="22"/>
          <w:lang w:val="en-US"/>
        </w:rPr>
        <w:t xml:space="preserve">assessed </w:t>
      </w:r>
      <w:r w:rsidR="00E225B1" w:rsidRPr="004A008D">
        <w:rPr>
          <w:sz w:val="22"/>
          <w:szCs w:val="22"/>
          <w:lang w:val="en-US"/>
        </w:rPr>
        <w:t xml:space="preserve"> by</w:t>
      </w:r>
      <w:proofErr w:type="gramEnd"/>
      <w:r w:rsidR="00E225B1" w:rsidRPr="004A008D">
        <w:rPr>
          <w:sz w:val="22"/>
          <w:szCs w:val="22"/>
          <w:lang w:val="en-US"/>
        </w:rPr>
        <w:t xml:space="preserve"> NCAs in the EU or approved by authorities in other BCBS-IOSCO non-cleared margin commitments-compliant jurisdictions</w:t>
      </w:r>
      <w:r w:rsidR="000A6889" w:rsidRPr="004A008D">
        <w:rPr>
          <w:sz w:val="22"/>
          <w:szCs w:val="22"/>
          <w:lang w:val="en-US"/>
        </w:rPr>
        <w:t>.</w:t>
      </w:r>
      <w:r w:rsidR="007210A7" w:rsidRPr="004A008D">
        <w:rPr>
          <w:rStyle w:val="Fotnotsreferens"/>
          <w:sz w:val="22"/>
          <w:szCs w:val="22"/>
          <w:lang w:val="en-US"/>
        </w:rPr>
        <w:footnoteReference w:id="1"/>
      </w:r>
      <w:r w:rsidR="00BB7C96" w:rsidRPr="004A008D">
        <w:rPr>
          <w:sz w:val="22"/>
          <w:szCs w:val="22"/>
          <w:lang w:val="en-US"/>
        </w:rPr>
        <w:t xml:space="preserve"> </w:t>
      </w:r>
    </w:p>
    <w:p w14:paraId="76C17479" w14:textId="77777777" w:rsidR="00EB5C57" w:rsidRPr="004A008D" w:rsidRDefault="00EB5C57" w:rsidP="00EB5C57">
      <w:pPr>
        <w:pStyle w:val="Default"/>
        <w:ind w:left="720"/>
        <w:jc w:val="both"/>
        <w:rPr>
          <w:rFonts w:asciiTheme="minorHAnsi" w:hAnsiTheme="minorHAnsi" w:cstheme="minorHAnsi"/>
          <w:sz w:val="22"/>
          <w:szCs w:val="22"/>
          <w:lang w:val="en-US"/>
        </w:rPr>
      </w:pPr>
    </w:p>
    <w:p w14:paraId="63ADE06B" w14:textId="248DC914" w:rsidR="00F946DD" w:rsidRPr="004A008D" w:rsidRDefault="00F13505" w:rsidP="0003155D">
      <w:pPr>
        <w:pStyle w:val="Default"/>
        <w:numPr>
          <w:ilvl w:val="0"/>
          <w:numId w:val="6"/>
        </w:numPr>
        <w:jc w:val="both"/>
        <w:rPr>
          <w:rFonts w:asciiTheme="minorHAnsi" w:hAnsiTheme="minorHAnsi" w:cstheme="minorHAnsi"/>
          <w:i/>
          <w:iCs/>
          <w:sz w:val="22"/>
          <w:szCs w:val="22"/>
          <w:lang w:val="en-US"/>
        </w:rPr>
      </w:pPr>
      <w:r w:rsidRPr="004A008D">
        <w:rPr>
          <w:rFonts w:asciiTheme="minorHAnsi" w:hAnsiTheme="minorHAnsi" w:cstheme="minorHAnsi"/>
          <w:sz w:val="22"/>
          <w:szCs w:val="22"/>
          <w:lang w:val="en-GB"/>
        </w:rPr>
        <w:t xml:space="preserve">The </w:t>
      </w:r>
      <w:r w:rsidR="00A16535" w:rsidRPr="004A008D">
        <w:rPr>
          <w:rFonts w:asciiTheme="minorHAnsi" w:hAnsiTheme="minorHAnsi" w:cstheme="minorHAnsi"/>
          <w:sz w:val="22"/>
          <w:szCs w:val="22"/>
          <w:lang w:val="en-GB"/>
        </w:rPr>
        <w:t xml:space="preserve">governance process for </w:t>
      </w:r>
      <w:r w:rsidR="00230ACA" w:rsidRPr="004A008D">
        <w:rPr>
          <w:rFonts w:asciiTheme="minorHAnsi" w:hAnsiTheme="minorHAnsi" w:cstheme="minorHAnsi"/>
          <w:sz w:val="22"/>
          <w:szCs w:val="22"/>
          <w:lang w:val="en-GB"/>
        </w:rPr>
        <w:t>“simplified” validation</w:t>
      </w:r>
      <w:r w:rsidR="00B070A3" w:rsidRPr="004A008D">
        <w:rPr>
          <w:rFonts w:asciiTheme="minorHAnsi" w:hAnsiTheme="minorHAnsi" w:cstheme="minorHAnsi"/>
          <w:sz w:val="22"/>
          <w:szCs w:val="22"/>
          <w:lang w:val="en-GB"/>
        </w:rPr>
        <w:t xml:space="preserve"> refers to a large extent to the rules applicable to the “standardized” </w:t>
      </w:r>
      <w:r w:rsidR="00476642" w:rsidRPr="004A008D">
        <w:rPr>
          <w:rFonts w:asciiTheme="minorHAnsi" w:hAnsiTheme="minorHAnsi" w:cstheme="minorHAnsi"/>
          <w:sz w:val="22"/>
          <w:szCs w:val="22"/>
          <w:lang w:val="en-GB"/>
        </w:rPr>
        <w:t xml:space="preserve">validation and is therefore quite complex. The SSMA considers that </w:t>
      </w:r>
      <w:r w:rsidR="00795479" w:rsidRPr="004A008D">
        <w:rPr>
          <w:rFonts w:cstheme="minorHAnsi"/>
          <w:lang w:val="en-GB"/>
        </w:rPr>
        <w:t>i</w:t>
      </w:r>
      <w:r w:rsidR="009620DB" w:rsidRPr="004A008D">
        <w:rPr>
          <w:rFonts w:cstheme="minorHAnsi"/>
          <w:lang w:val="en-GB"/>
        </w:rPr>
        <w:t>t should be further analy</w:t>
      </w:r>
      <w:r w:rsidR="00795479" w:rsidRPr="004A008D">
        <w:rPr>
          <w:rFonts w:cstheme="minorHAnsi"/>
          <w:lang w:val="en-GB"/>
        </w:rPr>
        <w:t>s</w:t>
      </w:r>
      <w:r w:rsidR="009620DB" w:rsidRPr="004A008D">
        <w:rPr>
          <w:rFonts w:cstheme="minorHAnsi"/>
          <w:lang w:val="en-GB"/>
        </w:rPr>
        <w:t xml:space="preserve">ed if there are additional ways to make the </w:t>
      </w:r>
      <w:r w:rsidR="00795479" w:rsidRPr="004A008D">
        <w:rPr>
          <w:rFonts w:cstheme="minorHAnsi"/>
          <w:lang w:val="en-GB"/>
        </w:rPr>
        <w:t xml:space="preserve">“simplified” </w:t>
      </w:r>
      <w:r w:rsidR="009620DB" w:rsidRPr="004A008D">
        <w:rPr>
          <w:rFonts w:cstheme="minorHAnsi"/>
          <w:lang w:val="en-GB"/>
        </w:rPr>
        <w:t>regime more proportional</w:t>
      </w:r>
      <w:r w:rsidR="00A334C7" w:rsidRPr="004A008D">
        <w:rPr>
          <w:rFonts w:cstheme="minorHAnsi"/>
          <w:lang w:val="en-GB"/>
        </w:rPr>
        <w:t xml:space="preserve"> </w:t>
      </w:r>
      <w:r w:rsidR="00EB03BC" w:rsidRPr="004A008D">
        <w:rPr>
          <w:rFonts w:cstheme="minorHAnsi"/>
          <w:lang w:val="en-GB"/>
        </w:rPr>
        <w:t xml:space="preserve">as regards the </w:t>
      </w:r>
      <w:r w:rsidR="00C80072" w:rsidRPr="004A008D">
        <w:rPr>
          <w:rFonts w:cstheme="minorHAnsi"/>
          <w:lang w:val="en-GB"/>
        </w:rPr>
        <w:t>requirements for documentation</w:t>
      </w:r>
      <w:r w:rsidR="009620DB" w:rsidRPr="004A008D">
        <w:rPr>
          <w:rFonts w:cstheme="minorHAnsi"/>
          <w:lang w:val="en-GB"/>
        </w:rPr>
        <w:t xml:space="preserve">. </w:t>
      </w:r>
    </w:p>
    <w:p w14:paraId="30E3E549" w14:textId="77777777" w:rsidR="00F946DD" w:rsidRPr="004A008D" w:rsidRDefault="00F946DD" w:rsidP="002F01C5">
      <w:pPr>
        <w:pStyle w:val="Default"/>
        <w:ind w:left="720"/>
        <w:jc w:val="both"/>
        <w:rPr>
          <w:rFonts w:asciiTheme="minorHAnsi" w:hAnsiTheme="minorHAnsi" w:cstheme="minorHAnsi"/>
          <w:i/>
          <w:iCs/>
          <w:sz w:val="22"/>
          <w:szCs w:val="22"/>
          <w:lang w:val="en-US"/>
        </w:rPr>
      </w:pPr>
    </w:p>
    <w:p w14:paraId="7981212B" w14:textId="17536957" w:rsidR="00F946DD" w:rsidRPr="004A008D" w:rsidRDefault="00795479" w:rsidP="0003155D">
      <w:pPr>
        <w:pStyle w:val="Default"/>
        <w:numPr>
          <w:ilvl w:val="0"/>
          <w:numId w:val="6"/>
        </w:numPr>
        <w:jc w:val="both"/>
        <w:rPr>
          <w:rFonts w:asciiTheme="minorHAnsi" w:hAnsiTheme="minorHAnsi" w:cstheme="minorHAnsi"/>
          <w:i/>
          <w:iCs/>
          <w:sz w:val="22"/>
          <w:szCs w:val="22"/>
          <w:lang w:val="en-US"/>
        </w:rPr>
      </w:pPr>
      <w:r w:rsidRPr="004A008D">
        <w:rPr>
          <w:rFonts w:asciiTheme="minorHAnsi" w:hAnsiTheme="minorHAnsi" w:cstheme="minorHAnsi"/>
          <w:sz w:val="22"/>
          <w:szCs w:val="22"/>
          <w:lang w:val="en-GB"/>
        </w:rPr>
        <w:t xml:space="preserve">The SSMA notes that the RTS includes many references to </w:t>
      </w:r>
      <w:r w:rsidR="00CA5F05" w:rsidRPr="004A008D">
        <w:rPr>
          <w:rFonts w:asciiTheme="minorHAnsi" w:hAnsiTheme="minorHAnsi" w:cstheme="minorHAnsi"/>
          <w:sz w:val="22"/>
          <w:szCs w:val="22"/>
          <w:lang w:val="en-GB"/>
        </w:rPr>
        <w:t xml:space="preserve">actions to be taken by the management body. </w:t>
      </w:r>
      <w:r w:rsidR="00E213B8" w:rsidRPr="004A008D">
        <w:rPr>
          <w:rFonts w:asciiTheme="minorHAnsi" w:hAnsiTheme="minorHAnsi" w:cstheme="minorHAnsi"/>
          <w:sz w:val="22"/>
          <w:szCs w:val="22"/>
          <w:lang w:val="en-GB"/>
        </w:rPr>
        <w:t xml:space="preserve">As the management body of a credit institution is not typically involved in the day-to-day business, </w:t>
      </w:r>
      <w:r w:rsidR="00A576A2" w:rsidRPr="004A008D">
        <w:rPr>
          <w:rFonts w:asciiTheme="minorHAnsi" w:hAnsiTheme="minorHAnsi" w:cstheme="minorHAnsi"/>
          <w:sz w:val="22"/>
          <w:szCs w:val="22"/>
          <w:lang w:val="en-GB"/>
        </w:rPr>
        <w:t>we</w:t>
      </w:r>
      <w:r w:rsidR="00E213B8" w:rsidRPr="004A008D">
        <w:rPr>
          <w:rFonts w:asciiTheme="minorHAnsi" w:hAnsiTheme="minorHAnsi" w:cstheme="minorHAnsi"/>
          <w:sz w:val="22"/>
          <w:szCs w:val="22"/>
          <w:lang w:val="en-GB"/>
        </w:rPr>
        <w:t xml:space="preserve"> </w:t>
      </w:r>
      <w:r w:rsidR="00550EAB" w:rsidRPr="004A008D">
        <w:rPr>
          <w:rFonts w:asciiTheme="minorHAnsi" w:hAnsiTheme="minorHAnsi" w:cstheme="minorHAnsi"/>
          <w:sz w:val="22"/>
          <w:szCs w:val="22"/>
          <w:lang w:val="en-GB"/>
        </w:rPr>
        <w:t xml:space="preserve">question if this the </w:t>
      </w:r>
      <w:r w:rsidR="00874CAD" w:rsidRPr="004A008D">
        <w:rPr>
          <w:rFonts w:asciiTheme="minorHAnsi" w:hAnsiTheme="minorHAnsi" w:cstheme="minorHAnsi"/>
          <w:sz w:val="22"/>
          <w:szCs w:val="22"/>
          <w:lang w:val="en-GB"/>
        </w:rPr>
        <w:t>right organisational level to assign tasks</w:t>
      </w:r>
      <w:r w:rsidR="001365A0" w:rsidRPr="004A008D">
        <w:rPr>
          <w:rFonts w:asciiTheme="minorHAnsi" w:hAnsiTheme="minorHAnsi" w:cstheme="minorHAnsi"/>
          <w:sz w:val="22"/>
          <w:szCs w:val="22"/>
          <w:lang w:val="en-GB"/>
        </w:rPr>
        <w:t xml:space="preserve"> of </w:t>
      </w:r>
      <w:r w:rsidR="00033C89" w:rsidRPr="004A008D">
        <w:rPr>
          <w:rFonts w:asciiTheme="minorHAnsi" w:hAnsiTheme="minorHAnsi" w:cstheme="minorHAnsi"/>
          <w:sz w:val="22"/>
          <w:szCs w:val="22"/>
          <w:lang w:val="en-GB"/>
        </w:rPr>
        <w:t xml:space="preserve">such </w:t>
      </w:r>
      <w:r w:rsidR="001365A0" w:rsidRPr="004A008D">
        <w:rPr>
          <w:rFonts w:asciiTheme="minorHAnsi" w:hAnsiTheme="minorHAnsi" w:cstheme="minorHAnsi"/>
          <w:sz w:val="22"/>
          <w:szCs w:val="22"/>
          <w:lang w:val="en-GB"/>
        </w:rPr>
        <w:t>a technical nature</w:t>
      </w:r>
      <w:r w:rsidR="00874CAD" w:rsidRPr="004A008D">
        <w:rPr>
          <w:rFonts w:asciiTheme="minorHAnsi" w:hAnsiTheme="minorHAnsi" w:cstheme="minorHAnsi"/>
          <w:sz w:val="22"/>
          <w:szCs w:val="22"/>
          <w:lang w:val="en-GB"/>
        </w:rPr>
        <w:t xml:space="preserve">. </w:t>
      </w:r>
    </w:p>
    <w:p w14:paraId="0B410100" w14:textId="77777777" w:rsidR="000D5086" w:rsidRPr="004A008D" w:rsidRDefault="000D5086" w:rsidP="002F01C5">
      <w:pPr>
        <w:pStyle w:val="Default"/>
        <w:ind w:left="720"/>
        <w:jc w:val="both"/>
        <w:rPr>
          <w:rFonts w:asciiTheme="minorHAnsi" w:hAnsiTheme="minorHAnsi" w:cstheme="minorHAnsi"/>
          <w:i/>
          <w:iCs/>
          <w:sz w:val="22"/>
          <w:szCs w:val="22"/>
          <w:lang w:val="en-US"/>
        </w:rPr>
      </w:pPr>
    </w:p>
    <w:p w14:paraId="14D4FA96" w14:textId="7093C6E6" w:rsidR="006E011F" w:rsidRPr="004A008D" w:rsidRDefault="0049601B" w:rsidP="003C4946">
      <w:pPr>
        <w:pStyle w:val="Default"/>
        <w:numPr>
          <w:ilvl w:val="0"/>
          <w:numId w:val="6"/>
        </w:numPr>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T</w:t>
      </w:r>
      <w:r w:rsidR="003B121A" w:rsidRPr="004A008D">
        <w:rPr>
          <w:rFonts w:asciiTheme="minorHAnsi" w:hAnsiTheme="minorHAnsi" w:cstheme="minorHAnsi"/>
          <w:sz w:val="22"/>
          <w:szCs w:val="22"/>
          <w:lang w:val="en-GB"/>
        </w:rPr>
        <w:t xml:space="preserve">he SSMA questions </w:t>
      </w:r>
      <w:r w:rsidRPr="004A008D">
        <w:rPr>
          <w:rFonts w:asciiTheme="minorHAnsi" w:hAnsiTheme="minorHAnsi" w:cstheme="minorHAnsi"/>
          <w:sz w:val="22"/>
          <w:szCs w:val="22"/>
          <w:lang w:val="en-GB"/>
        </w:rPr>
        <w:t xml:space="preserve">whether it is appropriate </w:t>
      </w:r>
      <w:r w:rsidR="000A6889" w:rsidRPr="004A008D">
        <w:rPr>
          <w:rFonts w:asciiTheme="minorHAnsi" w:hAnsiTheme="minorHAnsi" w:cstheme="minorHAnsi"/>
          <w:sz w:val="22"/>
          <w:szCs w:val="22"/>
          <w:lang w:val="en-GB"/>
        </w:rPr>
        <w:t>t</w:t>
      </w:r>
      <w:r w:rsidRPr="004A008D">
        <w:rPr>
          <w:rFonts w:asciiTheme="minorHAnsi" w:hAnsiTheme="minorHAnsi" w:cstheme="minorHAnsi"/>
          <w:sz w:val="22"/>
          <w:szCs w:val="22"/>
          <w:lang w:val="en-GB"/>
        </w:rPr>
        <w:t xml:space="preserve">o use </w:t>
      </w:r>
      <w:r w:rsidR="000A6889" w:rsidRPr="004A008D">
        <w:rPr>
          <w:rFonts w:asciiTheme="minorHAnsi" w:hAnsiTheme="minorHAnsi" w:cstheme="minorHAnsi"/>
          <w:sz w:val="22"/>
          <w:szCs w:val="22"/>
          <w:lang w:val="en-GB"/>
        </w:rPr>
        <w:t xml:space="preserve">a </w:t>
      </w:r>
      <w:r w:rsidR="003B121A" w:rsidRPr="004A008D">
        <w:rPr>
          <w:rFonts w:asciiTheme="minorHAnsi" w:hAnsiTheme="minorHAnsi" w:cstheme="minorHAnsi"/>
          <w:sz w:val="22"/>
          <w:szCs w:val="22"/>
          <w:lang w:val="en-GB"/>
        </w:rPr>
        <w:t>draft RTS</w:t>
      </w:r>
      <w:r w:rsidR="000A6889" w:rsidRPr="004A008D">
        <w:rPr>
          <w:rStyle w:val="Fotnotsreferens"/>
          <w:rFonts w:asciiTheme="minorHAnsi" w:hAnsiTheme="minorHAnsi" w:cstheme="minorHAnsi"/>
          <w:sz w:val="22"/>
          <w:szCs w:val="22"/>
          <w:lang w:val="en-GB"/>
        </w:rPr>
        <w:footnoteReference w:id="2"/>
      </w:r>
      <w:r w:rsidR="003B121A" w:rsidRPr="004A008D">
        <w:rPr>
          <w:rFonts w:asciiTheme="minorHAnsi" w:hAnsiTheme="minorHAnsi" w:cstheme="minorHAnsi"/>
          <w:sz w:val="22"/>
          <w:szCs w:val="22"/>
          <w:lang w:val="en-GB"/>
        </w:rPr>
        <w:t xml:space="preserve"> </w:t>
      </w:r>
      <w:r w:rsidRPr="004A008D">
        <w:rPr>
          <w:rFonts w:asciiTheme="minorHAnsi" w:hAnsiTheme="minorHAnsi" w:cstheme="minorHAnsi"/>
          <w:sz w:val="22"/>
          <w:szCs w:val="22"/>
          <w:lang w:val="en-GB"/>
        </w:rPr>
        <w:t>which</w:t>
      </w:r>
      <w:r w:rsidR="004601DD" w:rsidRPr="004A008D">
        <w:rPr>
          <w:rFonts w:asciiTheme="minorHAnsi" w:hAnsiTheme="minorHAnsi" w:cstheme="minorHAnsi"/>
          <w:sz w:val="22"/>
          <w:szCs w:val="22"/>
          <w:lang w:val="en-GB"/>
        </w:rPr>
        <w:t>,</w:t>
      </w:r>
      <w:r w:rsidRPr="004A008D">
        <w:rPr>
          <w:rFonts w:asciiTheme="minorHAnsi" w:hAnsiTheme="minorHAnsi" w:cstheme="minorHAnsi"/>
          <w:sz w:val="22"/>
          <w:szCs w:val="22"/>
          <w:lang w:val="en-GB"/>
        </w:rPr>
        <w:t xml:space="preserve"> </w:t>
      </w:r>
      <w:r w:rsidR="004601DD" w:rsidRPr="004A008D">
        <w:rPr>
          <w:rFonts w:asciiTheme="minorHAnsi" w:hAnsiTheme="minorHAnsi" w:cstheme="minorHAnsi"/>
          <w:sz w:val="22"/>
          <w:szCs w:val="22"/>
          <w:lang w:val="en-GB"/>
        </w:rPr>
        <w:t xml:space="preserve">to our knowledge </w:t>
      </w:r>
      <w:r w:rsidRPr="004A008D">
        <w:rPr>
          <w:rFonts w:asciiTheme="minorHAnsi" w:hAnsiTheme="minorHAnsi" w:cstheme="minorHAnsi"/>
          <w:sz w:val="22"/>
          <w:szCs w:val="22"/>
          <w:lang w:val="en-GB"/>
        </w:rPr>
        <w:t>ha</w:t>
      </w:r>
      <w:r w:rsidR="00A452E5" w:rsidRPr="004A008D">
        <w:rPr>
          <w:rFonts w:asciiTheme="minorHAnsi" w:hAnsiTheme="minorHAnsi" w:cstheme="minorHAnsi"/>
          <w:sz w:val="22"/>
          <w:szCs w:val="22"/>
          <w:lang w:val="en-GB"/>
        </w:rPr>
        <w:t>s</w:t>
      </w:r>
      <w:r w:rsidRPr="004A008D">
        <w:rPr>
          <w:rFonts w:asciiTheme="minorHAnsi" w:hAnsiTheme="minorHAnsi" w:cstheme="minorHAnsi"/>
          <w:sz w:val="22"/>
          <w:szCs w:val="22"/>
          <w:lang w:val="en-GB"/>
        </w:rPr>
        <w:t xml:space="preserve"> not been adopted</w:t>
      </w:r>
      <w:r w:rsidR="00517F48" w:rsidRPr="004A008D">
        <w:rPr>
          <w:rFonts w:asciiTheme="minorHAnsi" w:hAnsiTheme="minorHAnsi" w:cstheme="minorHAnsi"/>
          <w:sz w:val="22"/>
          <w:szCs w:val="22"/>
          <w:lang w:val="en-GB"/>
        </w:rPr>
        <w:t xml:space="preserve"> by the Commission</w:t>
      </w:r>
      <w:r w:rsidR="007C3E8E" w:rsidRPr="004A008D">
        <w:rPr>
          <w:rFonts w:asciiTheme="minorHAnsi" w:hAnsiTheme="minorHAnsi" w:cstheme="minorHAnsi"/>
          <w:sz w:val="22"/>
          <w:szCs w:val="22"/>
          <w:lang w:val="en-GB"/>
        </w:rPr>
        <w:t xml:space="preserve">, as </w:t>
      </w:r>
      <w:r w:rsidR="003B121A" w:rsidRPr="004A008D">
        <w:rPr>
          <w:rFonts w:asciiTheme="minorHAnsi" w:hAnsiTheme="minorHAnsi" w:cstheme="minorHAnsi"/>
          <w:sz w:val="22"/>
          <w:szCs w:val="22"/>
          <w:lang w:val="en-GB"/>
        </w:rPr>
        <w:t xml:space="preserve">a </w:t>
      </w:r>
      <w:r w:rsidRPr="004A008D">
        <w:rPr>
          <w:rFonts w:asciiTheme="minorHAnsi" w:hAnsiTheme="minorHAnsi" w:cstheme="minorHAnsi"/>
          <w:sz w:val="22"/>
          <w:szCs w:val="22"/>
          <w:lang w:val="en-GB"/>
        </w:rPr>
        <w:t xml:space="preserve">legal basis when drafting </w:t>
      </w:r>
      <w:r w:rsidR="0005065B" w:rsidRPr="004A008D">
        <w:rPr>
          <w:rFonts w:asciiTheme="minorHAnsi" w:hAnsiTheme="minorHAnsi" w:cstheme="minorHAnsi"/>
          <w:sz w:val="22"/>
          <w:szCs w:val="22"/>
          <w:lang w:val="en-GB"/>
        </w:rPr>
        <w:t>proposals for technical standards</w:t>
      </w:r>
      <w:r w:rsidRPr="004A008D">
        <w:rPr>
          <w:rFonts w:asciiTheme="minorHAnsi" w:hAnsiTheme="minorHAnsi" w:cstheme="minorHAnsi"/>
          <w:sz w:val="22"/>
          <w:szCs w:val="22"/>
          <w:lang w:val="en-GB"/>
        </w:rPr>
        <w:t>.</w:t>
      </w:r>
      <w:r w:rsidR="0005065B" w:rsidRPr="004A008D">
        <w:rPr>
          <w:rFonts w:asciiTheme="minorHAnsi" w:hAnsiTheme="minorHAnsi" w:cstheme="minorHAnsi"/>
          <w:sz w:val="22"/>
          <w:szCs w:val="22"/>
          <w:lang w:val="en-GB"/>
        </w:rPr>
        <w:t xml:space="preserve"> </w:t>
      </w:r>
    </w:p>
    <w:p w14:paraId="70263008" w14:textId="77777777" w:rsidR="005B6026" w:rsidRPr="004A008D" w:rsidRDefault="005B6026" w:rsidP="005B6026">
      <w:pPr>
        <w:pStyle w:val="Liststycke"/>
        <w:rPr>
          <w:rFonts w:cstheme="minorHAnsi"/>
          <w:lang w:val="en-GB"/>
        </w:rPr>
      </w:pPr>
    </w:p>
    <w:p w14:paraId="54B01C92" w14:textId="630429DF" w:rsidR="00F01AB3" w:rsidRPr="00CA78CA" w:rsidRDefault="00032F98" w:rsidP="005B6026">
      <w:pPr>
        <w:rPr>
          <w:rFonts w:cstheme="minorHAnsi"/>
          <w:b/>
          <w:bCs/>
          <w:lang w:val="en-US"/>
        </w:rPr>
      </w:pPr>
      <w:r w:rsidRPr="00CA78CA">
        <w:rPr>
          <w:rFonts w:cstheme="minorHAnsi"/>
          <w:b/>
          <w:bCs/>
          <w:lang w:val="en-US"/>
        </w:rPr>
        <w:t>Specific questions</w:t>
      </w:r>
      <w:r w:rsidR="00F01AB3" w:rsidRPr="00CA78CA">
        <w:rPr>
          <w:rFonts w:cstheme="minorHAnsi"/>
          <w:b/>
          <w:bCs/>
          <w:lang w:val="en-US"/>
        </w:rPr>
        <w:t xml:space="preserve"> </w:t>
      </w:r>
    </w:p>
    <w:p w14:paraId="7E30D493"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Q1: What are the stakeholders’ views regarding the split between standard and simplified validation processes? </w:t>
      </w:r>
    </w:p>
    <w:p w14:paraId="3258169F" w14:textId="77777777" w:rsidR="003C4946" w:rsidRPr="004A008D" w:rsidRDefault="003C4946" w:rsidP="003C4946">
      <w:pPr>
        <w:pStyle w:val="Default"/>
        <w:jc w:val="both"/>
        <w:rPr>
          <w:rFonts w:asciiTheme="minorHAnsi" w:hAnsiTheme="minorHAnsi" w:cstheme="minorHAnsi"/>
          <w:b/>
          <w:bCs/>
          <w:sz w:val="22"/>
          <w:szCs w:val="22"/>
          <w:lang w:val="en-GB"/>
        </w:rPr>
      </w:pPr>
    </w:p>
    <w:p w14:paraId="7207E01C" w14:textId="292FF98B" w:rsidR="00A835CF" w:rsidRPr="004A008D" w:rsidRDefault="00B61810" w:rsidP="00A835CF">
      <w:pPr>
        <w:pStyle w:val="Default"/>
        <w:jc w:val="both"/>
        <w:rPr>
          <w:sz w:val="22"/>
          <w:szCs w:val="22"/>
          <w:lang w:val="en-US"/>
        </w:rPr>
      </w:pPr>
      <w:r w:rsidRPr="004A008D">
        <w:rPr>
          <w:rFonts w:asciiTheme="minorHAnsi" w:hAnsiTheme="minorHAnsi" w:cstheme="minorHAnsi"/>
          <w:sz w:val="22"/>
          <w:szCs w:val="22"/>
          <w:lang w:val="en-GB"/>
        </w:rPr>
        <w:t xml:space="preserve">As </w:t>
      </w:r>
      <w:r w:rsidR="005A0C9F" w:rsidRPr="004A008D">
        <w:rPr>
          <w:rFonts w:asciiTheme="minorHAnsi" w:hAnsiTheme="minorHAnsi" w:cstheme="minorHAnsi"/>
          <w:sz w:val="22"/>
          <w:szCs w:val="22"/>
          <w:lang w:val="en-GB"/>
        </w:rPr>
        <w:t xml:space="preserve">noted under General Comments, the SSMA takes the view that </w:t>
      </w:r>
      <w:r w:rsidRPr="004A008D">
        <w:rPr>
          <w:rFonts w:asciiTheme="minorHAnsi" w:hAnsiTheme="minorHAnsi" w:cstheme="minorHAnsi"/>
          <w:sz w:val="22"/>
          <w:szCs w:val="22"/>
          <w:lang w:val="en-GB"/>
        </w:rPr>
        <w:t xml:space="preserve">the </w:t>
      </w:r>
      <w:r w:rsidR="00D32085" w:rsidRPr="004A008D">
        <w:rPr>
          <w:rFonts w:asciiTheme="minorHAnsi" w:hAnsiTheme="minorHAnsi" w:cstheme="minorHAnsi"/>
          <w:sz w:val="22"/>
          <w:szCs w:val="22"/>
          <w:lang w:val="en-GB"/>
        </w:rPr>
        <w:t>validation process should not</w:t>
      </w:r>
      <w:r w:rsidR="00D3471F" w:rsidRPr="004A008D">
        <w:rPr>
          <w:rFonts w:asciiTheme="minorHAnsi" w:hAnsiTheme="minorHAnsi" w:cstheme="minorHAnsi"/>
          <w:sz w:val="22"/>
          <w:szCs w:val="22"/>
          <w:lang w:val="en-GB"/>
        </w:rPr>
        <w:t xml:space="preserve"> include smaller firms</w:t>
      </w:r>
      <w:r w:rsidR="00880BC5" w:rsidRPr="004A008D">
        <w:rPr>
          <w:rFonts w:asciiTheme="minorHAnsi" w:hAnsiTheme="minorHAnsi" w:cstheme="minorHAnsi"/>
          <w:sz w:val="22"/>
          <w:szCs w:val="22"/>
          <w:lang w:val="en-GB"/>
        </w:rPr>
        <w:t xml:space="preserve"> </w:t>
      </w:r>
      <w:r w:rsidR="006F119A" w:rsidRPr="004A008D">
        <w:rPr>
          <w:rFonts w:asciiTheme="minorHAnsi" w:hAnsiTheme="minorHAnsi" w:cstheme="minorHAnsi"/>
          <w:sz w:val="22"/>
          <w:szCs w:val="22"/>
          <w:lang w:val="en-GB"/>
        </w:rPr>
        <w:t>(</w:t>
      </w:r>
      <w:r w:rsidR="00C56AE5" w:rsidRPr="004A008D">
        <w:rPr>
          <w:rFonts w:asciiTheme="minorHAnsi" w:hAnsiTheme="minorHAnsi" w:cstheme="minorHAnsi"/>
          <w:sz w:val="22"/>
          <w:szCs w:val="22"/>
          <w:lang w:val="en-GB"/>
        </w:rPr>
        <w:t xml:space="preserve">e.g. </w:t>
      </w:r>
      <w:r w:rsidR="006F119A" w:rsidRPr="004A008D">
        <w:rPr>
          <w:rFonts w:asciiTheme="minorHAnsi" w:hAnsiTheme="minorHAnsi" w:cstheme="minorHAnsi"/>
          <w:sz w:val="22"/>
          <w:szCs w:val="22"/>
          <w:lang w:val="en-GB"/>
        </w:rPr>
        <w:t xml:space="preserve">those in phase 4-6 regarding the implementation of IM) </w:t>
      </w:r>
      <w:r w:rsidR="00880BC5" w:rsidRPr="004A008D">
        <w:rPr>
          <w:rFonts w:asciiTheme="minorHAnsi" w:hAnsiTheme="minorHAnsi" w:cstheme="minorHAnsi"/>
          <w:sz w:val="22"/>
          <w:szCs w:val="22"/>
          <w:lang w:val="en-GB"/>
        </w:rPr>
        <w:t xml:space="preserve">using </w:t>
      </w:r>
      <w:r w:rsidR="00D32085" w:rsidRPr="004A008D">
        <w:rPr>
          <w:rFonts w:asciiTheme="minorHAnsi" w:hAnsiTheme="minorHAnsi" w:cstheme="minorHAnsi"/>
          <w:sz w:val="22"/>
          <w:szCs w:val="22"/>
          <w:lang w:val="en-GB"/>
        </w:rPr>
        <w:t xml:space="preserve"> </w:t>
      </w:r>
      <w:r w:rsidR="00A835CF" w:rsidRPr="004A008D">
        <w:rPr>
          <w:sz w:val="22"/>
          <w:szCs w:val="22"/>
          <w:lang w:val="en-US"/>
        </w:rPr>
        <w:t>existing models (</w:t>
      </w:r>
      <w:r w:rsidR="00773254" w:rsidRPr="004A008D">
        <w:rPr>
          <w:sz w:val="22"/>
          <w:szCs w:val="22"/>
          <w:lang w:val="en-US"/>
        </w:rPr>
        <w:t>e.g.,</w:t>
      </w:r>
      <w:r w:rsidR="00A835CF" w:rsidRPr="004A008D">
        <w:rPr>
          <w:sz w:val="22"/>
          <w:szCs w:val="22"/>
          <w:lang w:val="en-US"/>
        </w:rPr>
        <w:t xml:space="preserve"> ISDA</w:t>
      </w:r>
      <w:r w:rsidR="00390A31" w:rsidRPr="004A008D">
        <w:rPr>
          <w:sz w:val="22"/>
          <w:szCs w:val="22"/>
          <w:lang w:val="en-US"/>
        </w:rPr>
        <w:t xml:space="preserve"> SIMM</w:t>
      </w:r>
      <w:r w:rsidR="00A835CF" w:rsidRPr="004A008D">
        <w:rPr>
          <w:sz w:val="22"/>
          <w:szCs w:val="22"/>
          <w:lang w:val="en-US"/>
        </w:rPr>
        <w:t xml:space="preserve">) that have already been </w:t>
      </w:r>
      <w:r w:rsidR="00880BC5" w:rsidRPr="004A008D">
        <w:rPr>
          <w:sz w:val="22"/>
          <w:szCs w:val="22"/>
          <w:lang w:val="en-US"/>
        </w:rPr>
        <w:t xml:space="preserve">assessed </w:t>
      </w:r>
      <w:r w:rsidR="00A835CF" w:rsidRPr="004A008D">
        <w:rPr>
          <w:sz w:val="22"/>
          <w:szCs w:val="22"/>
          <w:lang w:val="en-US"/>
        </w:rPr>
        <w:t xml:space="preserve">by NCAs in the EU or approved by </w:t>
      </w:r>
      <w:r w:rsidR="00A835CF" w:rsidRPr="004A008D">
        <w:rPr>
          <w:sz w:val="22"/>
          <w:szCs w:val="22"/>
          <w:lang w:val="en-US"/>
        </w:rPr>
        <w:lastRenderedPageBreak/>
        <w:t>authorities in other BCBS-IOSCO non-cleared margin commitments-compliant jurisdictions.</w:t>
      </w:r>
      <w:r w:rsidR="00A835CF" w:rsidRPr="004A008D">
        <w:rPr>
          <w:rStyle w:val="Fotnotsreferens"/>
          <w:sz w:val="22"/>
          <w:szCs w:val="22"/>
          <w:lang w:val="en-US"/>
        </w:rPr>
        <w:footnoteReference w:id="3"/>
      </w:r>
      <w:r w:rsidR="00E71497" w:rsidRPr="004A008D">
        <w:rPr>
          <w:sz w:val="22"/>
          <w:szCs w:val="22"/>
          <w:lang w:val="en-US"/>
        </w:rPr>
        <w:t xml:space="preserve"> Thus, </w:t>
      </w:r>
      <w:r w:rsidR="00D32085" w:rsidRPr="004A008D">
        <w:rPr>
          <w:sz w:val="22"/>
          <w:szCs w:val="22"/>
          <w:lang w:val="en-US"/>
        </w:rPr>
        <w:t>the SSMA considers that it should be clarified</w:t>
      </w:r>
      <w:r w:rsidR="0083086C" w:rsidRPr="004A008D">
        <w:rPr>
          <w:sz w:val="22"/>
          <w:szCs w:val="22"/>
          <w:lang w:val="en-US"/>
        </w:rPr>
        <w:t xml:space="preserve"> in the technical standards</w:t>
      </w:r>
      <w:r w:rsidR="00D32085" w:rsidRPr="004A008D">
        <w:rPr>
          <w:sz w:val="22"/>
          <w:szCs w:val="22"/>
          <w:lang w:val="en-US"/>
        </w:rPr>
        <w:t xml:space="preserve"> that </w:t>
      </w:r>
      <w:r w:rsidR="00880BC5" w:rsidRPr="004A008D">
        <w:rPr>
          <w:sz w:val="22"/>
          <w:szCs w:val="22"/>
          <w:lang w:val="en-US"/>
        </w:rPr>
        <w:t xml:space="preserve">smaller firms usage of </w:t>
      </w:r>
      <w:r w:rsidR="00D32085" w:rsidRPr="004A008D">
        <w:rPr>
          <w:sz w:val="22"/>
          <w:szCs w:val="22"/>
          <w:lang w:val="en-US"/>
        </w:rPr>
        <w:t>such e</w:t>
      </w:r>
      <w:r w:rsidR="009B74C9" w:rsidRPr="004A008D">
        <w:rPr>
          <w:sz w:val="22"/>
          <w:szCs w:val="22"/>
          <w:lang w:val="en-US"/>
        </w:rPr>
        <w:t xml:space="preserve">xisting models are out of scope of the </w:t>
      </w:r>
      <w:r w:rsidR="0083086C" w:rsidRPr="004A008D">
        <w:rPr>
          <w:sz w:val="22"/>
          <w:szCs w:val="22"/>
          <w:lang w:val="en-US"/>
        </w:rPr>
        <w:t xml:space="preserve">regulation. </w:t>
      </w:r>
    </w:p>
    <w:p w14:paraId="0EF304E7" w14:textId="77777777" w:rsidR="005A0C9F" w:rsidRPr="004A008D" w:rsidRDefault="005A0C9F" w:rsidP="00A835CF">
      <w:pPr>
        <w:pStyle w:val="Default"/>
        <w:jc w:val="both"/>
        <w:rPr>
          <w:sz w:val="22"/>
          <w:szCs w:val="22"/>
          <w:lang w:val="en-US"/>
        </w:rPr>
      </w:pPr>
    </w:p>
    <w:p w14:paraId="24269AC2" w14:textId="2F03DD12" w:rsidR="00E71497" w:rsidRPr="004A008D" w:rsidRDefault="005A0C9F"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The SSMA </w:t>
      </w:r>
      <w:r w:rsidR="0083086C" w:rsidRPr="004A008D">
        <w:rPr>
          <w:rFonts w:asciiTheme="minorHAnsi" w:hAnsiTheme="minorHAnsi" w:cstheme="minorHAnsi"/>
          <w:sz w:val="22"/>
          <w:szCs w:val="22"/>
          <w:lang w:val="en-GB"/>
        </w:rPr>
        <w:t xml:space="preserve">agrees </w:t>
      </w:r>
      <w:r w:rsidRPr="004A008D">
        <w:rPr>
          <w:rFonts w:asciiTheme="minorHAnsi" w:hAnsiTheme="minorHAnsi" w:cstheme="minorHAnsi"/>
          <w:sz w:val="22"/>
          <w:szCs w:val="22"/>
          <w:lang w:val="en-GB"/>
        </w:rPr>
        <w:t xml:space="preserve">that the regulatory, compliance and operational burdens shall be reduced for small and medium-sized counterparties with respect to the initial margin calculation model validation, including internal back-testing and model governance processes. </w:t>
      </w:r>
      <w:r w:rsidR="00EC28F4" w:rsidRPr="004A008D">
        <w:rPr>
          <w:rFonts w:asciiTheme="minorHAnsi" w:hAnsiTheme="minorHAnsi" w:cstheme="minorHAnsi"/>
          <w:sz w:val="22"/>
          <w:szCs w:val="22"/>
          <w:lang w:val="en-GB"/>
        </w:rPr>
        <w:t>Thus (f</w:t>
      </w:r>
      <w:r w:rsidR="00AD2814" w:rsidRPr="004A008D">
        <w:rPr>
          <w:sz w:val="22"/>
          <w:szCs w:val="22"/>
          <w:lang w:val="en-US"/>
        </w:rPr>
        <w:t xml:space="preserve">or models that </w:t>
      </w:r>
      <w:r w:rsidR="00C40DA2" w:rsidRPr="004A008D">
        <w:rPr>
          <w:sz w:val="22"/>
          <w:szCs w:val="22"/>
          <w:lang w:val="en-US"/>
        </w:rPr>
        <w:t xml:space="preserve">have not </w:t>
      </w:r>
      <w:r w:rsidR="00AD2814" w:rsidRPr="004A008D">
        <w:rPr>
          <w:sz w:val="22"/>
          <w:szCs w:val="22"/>
          <w:lang w:val="en-US"/>
        </w:rPr>
        <w:t>already been reviewed</w:t>
      </w:r>
      <w:r w:rsidR="00FA1B72" w:rsidRPr="004A008D">
        <w:rPr>
          <w:sz w:val="22"/>
          <w:szCs w:val="22"/>
          <w:lang w:val="en-US"/>
        </w:rPr>
        <w:t>, cf</w:t>
      </w:r>
      <w:r w:rsidR="00773254" w:rsidRPr="004A008D">
        <w:rPr>
          <w:sz w:val="22"/>
          <w:szCs w:val="22"/>
          <w:lang w:val="en-US"/>
        </w:rPr>
        <w:t>.</w:t>
      </w:r>
      <w:r w:rsidR="00FA1B72" w:rsidRPr="004A008D">
        <w:rPr>
          <w:sz w:val="22"/>
          <w:szCs w:val="22"/>
          <w:lang w:val="en-US"/>
        </w:rPr>
        <w:t xml:space="preserve"> above</w:t>
      </w:r>
      <w:r w:rsidR="00EC28F4" w:rsidRPr="004A008D">
        <w:rPr>
          <w:sz w:val="22"/>
          <w:szCs w:val="22"/>
          <w:lang w:val="en-US"/>
        </w:rPr>
        <w:t>)</w:t>
      </w:r>
      <w:r w:rsidR="00AD2814" w:rsidRPr="004A008D">
        <w:rPr>
          <w:sz w:val="22"/>
          <w:szCs w:val="22"/>
          <w:lang w:val="en-US"/>
        </w:rPr>
        <w:t xml:space="preserve"> we support </w:t>
      </w:r>
      <w:r w:rsidR="00C40DA2" w:rsidRPr="004A008D">
        <w:rPr>
          <w:sz w:val="22"/>
          <w:szCs w:val="22"/>
          <w:lang w:val="en-US"/>
        </w:rPr>
        <w:t xml:space="preserve">EBAs proposal to distinguish between </w:t>
      </w:r>
      <w:r w:rsidR="00AD2814" w:rsidRPr="004A008D">
        <w:rPr>
          <w:sz w:val="22"/>
          <w:szCs w:val="22"/>
          <w:lang w:val="en-US"/>
        </w:rPr>
        <w:t xml:space="preserve">a </w:t>
      </w:r>
      <w:r w:rsidR="003C4946" w:rsidRPr="004A008D">
        <w:rPr>
          <w:rFonts w:asciiTheme="minorHAnsi" w:hAnsiTheme="minorHAnsi" w:cstheme="minorHAnsi"/>
          <w:sz w:val="22"/>
          <w:szCs w:val="22"/>
          <w:lang w:val="en-GB"/>
        </w:rPr>
        <w:t>split between</w:t>
      </w:r>
      <w:r w:rsidR="00C40DA2" w:rsidRPr="004A008D">
        <w:rPr>
          <w:rFonts w:asciiTheme="minorHAnsi" w:hAnsiTheme="minorHAnsi" w:cstheme="minorHAnsi"/>
          <w:sz w:val="22"/>
          <w:szCs w:val="22"/>
          <w:lang w:val="en-GB"/>
        </w:rPr>
        <w:t xml:space="preserve"> a</w:t>
      </w:r>
      <w:r w:rsidR="003C4946" w:rsidRPr="004A008D">
        <w:rPr>
          <w:rFonts w:asciiTheme="minorHAnsi" w:hAnsiTheme="minorHAnsi" w:cstheme="minorHAnsi"/>
          <w:sz w:val="22"/>
          <w:szCs w:val="22"/>
          <w:lang w:val="en-GB"/>
        </w:rPr>
        <w:t xml:space="preserve"> standard and simplified validation processes.</w:t>
      </w:r>
      <w:r w:rsidR="0036798F" w:rsidRPr="004A008D">
        <w:rPr>
          <w:rFonts w:asciiTheme="minorHAnsi" w:hAnsiTheme="minorHAnsi" w:cstheme="minorHAnsi"/>
          <w:sz w:val="22"/>
          <w:szCs w:val="22"/>
          <w:lang w:val="en-GB"/>
        </w:rPr>
        <w:t xml:space="preserve"> A threshold</w:t>
      </w:r>
      <w:r w:rsidR="003C4946" w:rsidRPr="004A008D">
        <w:rPr>
          <w:rFonts w:asciiTheme="minorHAnsi" w:hAnsiTheme="minorHAnsi" w:cstheme="minorHAnsi"/>
          <w:sz w:val="22"/>
          <w:szCs w:val="22"/>
          <w:lang w:val="en-GB"/>
        </w:rPr>
        <w:t xml:space="preserve"> </w:t>
      </w:r>
      <w:r w:rsidR="0036798F" w:rsidRPr="004A008D">
        <w:rPr>
          <w:rFonts w:asciiTheme="minorHAnsi" w:hAnsiTheme="minorHAnsi" w:cstheme="minorHAnsi"/>
          <w:sz w:val="22"/>
          <w:szCs w:val="22"/>
          <w:lang w:val="en-GB"/>
        </w:rPr>
        <w:t>of Euro 750 bn seems appropriate (see Q 2)</w:t>
      </w:r>
      <w:r w:rsidR="009D7E76" w:rsidRPr="004A008D">
        <w:rPr>
          <w:rFonts w:asciiTheme="minorHAnsi" w:hAnsiTheme="minorHAnsi" w:cstheme="minorHAnsi"/>
          <w:sz w:val="22"/>
          <w:szCs w:val="22"/>
          <w:lang w:val="en-GB"/>
        </w:rPr>
        <w:t>.</w:t>
      </w:r>
    </w:p>
    <w:p w14:paraId="5BC465E8" w14:textId="77777777" w:rsidR="009B74C9" w:rsidRPr="004A008D" w:rsidRDefault="009B74C9" w:rsidP="003C4946">
      <w:pPr>
        <w:pStyle w:val="Default"/>
        <w:jc w:val="both"/>
        <w:rPr>
          <w:rFonts w:asciiTheme="minorHAnsi" w:hAnsiTheme="minorHAnsi" w:cstheme="minorHAnsi"/>
          <w:sz w:val="22"/>
          <w:szCs w:val="22"/>
          <w:lang w:val="en-GB"/>
        </w:rPr>
      </w:pPr>
    </w:p>
    <w:p w14:paraId="44BB30A1" w14:textId="36563471" w:rsidR="003C4946" w:rsidRPr="004A008D"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However, if the additional threshold of AANA of EUR 50bn is added as a factor that can trigger the application of the standard validation model based on the decision of the national competent authority in accordance with Article 2(2) of the RTS, clear criteria for taking such decision by the national competent authority shall be established. The reference to </w:t>
      </w:r>
      <w:r w:rsidRPr="004A008D">
        <w:rPr>
          <w:rFonts w:asciiTheme="minorHAnsi" w:hAnsiTheme="minorHAnsi" w:cstheme="minorHAnsi"/>
          <w:i/>
          <w:iCs/>
          <w:sz w:val="22"/>
          <w:szCs w:val="22"/>
          <w:lang w:val="en-GB"/>
        </w:rPr>
        <w:t>“complexity and interlinkages of the counterparty activity in OTC derivatives”</w:t>
      </w:r>
      <w:r w:rsidRPr="004A008D">
        <w:rPr>
          <w:rFonts w:asciiTheme="minorHAnsi" w:hAnsiTheme="minorHAnsi" w:cstheme="minorHAnsi"/>
          <w:sz w:val="22"/>
          <w:szCs w:val="22"/>
          <w:lang w:val="en-GB"/>
        </w:rPr>
        <w:t xml:space="preserve"> can be broadly interpreted. The preparations for compliance with the implementation of initial margin for phase 5 firms showed that there are many market participants with an AANA of 50bn on the market. Without specifying the criteria which the national competent authority should base its decision to apply the standard validation process on, the risk that small and medium sized counterparties might be obliged to go through the standard validation process instead of the simplified process cannot be fully avoided. Thus, the aim stated in Section 3 of the Consultation Paper, to ensure the application of the simplified validation model for small and medium sized market participants (mostly Phase 5 and 6) and to reduce the operational and documentational burdens and the number of market participants that apply for the validation of the model at the same time, cannot be achieved to the fullest extent. </w:t>
      </w:r>
    </w:p>
    <w:p w14:paraId="5C457544" w14:textId="77777777" w:rsidR="003C4946" w:rsidRPr="004A008D" w:rsidRDefault="003C4946" w:rsidP="003C4946">
      <w:pPr>
        <w:pStyle w:val="Default"/>
        <w:jc w:val="both"/>
        <w:rPr>
          <w:rFonts w:asciiTheme="minorHAnsi" w:hAnsiTheme="minorHAnsi" w:cstheme="minorHAnsi"/>
          <w:b/>
          <w:bCs/>
          <w:sz w:val="22"/>
          <w:szCs w:val="22"/>
          <w:lang w:val="en-GB"/>
        </w:rPr>
      </w:pPr>
    </w:p>
    <w:p w14:paraId="6FB0974E"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Q2: What are the stakeholders’ views regarding the Euro 750 bn threshold selected? </w:t>
      </w:r>
    </w:p>
    <w:p w14:paraId="64A970DD" w14:textId="77777777" w:rsidR="003C4946" w:rsidRPr="004A008D"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We support this approach since it will oblige larger market participants (Phase 1-4) to perform standard validation, provided that all market participants are required to report in case of shortfalls to the ISDA SIMM model. Thus, it will ensure general compliance with the risk-management procedures required under EMIR, simplify the procedure for small and medium sized market participants and reduce the scope of work for competent national authorities (that would be much larger if all market participants would be required to apply the standard validation procedure) at the same time. </w:t>
      </w:r>
    </w:p>
    <w:p w14:paraId="535BACEB" w14:textId="77777777" w:rsidR="003C4946" w:rsidRPr="004A008D" w:rsidRDefault="003C4946" w:rsidP="003C4946">
      <w:pPr>
        <w:pStyle w:val="Default"/>
        <w:jc w:val="both"/>
        <w:rPr>
          <w:rFonts w:asciiTheme="minorHAnsi" w:hAnsiTheme="minorHAnsi" w:cstheme="minorHAnsi"/>
          <w:sz w:val="22"/>
          <w:szCs w:val="22"/>
          <w:lang w:val="en-GB"/>
        </w:rPr>
      </w:pPr>
    </w:p>
    <w:p w14:paraId="7F059D04"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Q3: What are the stakeholders’ views regarding Article 2, Par 2, and the 50 Euro bn. threshold selected to allow the switch from simplified to standardised validation processes? </w:t>
      </w:r>
    </w:p>
    <w:p w14:paraId="1565A701" w14:textId="32718B92" w:rsidR="003C4946"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Please see response to Q1 above. There are many counterparties on the market with an AANA which is at least EUR 50bn. There is a risk that they might be required to apply the standard validation procedure as decided by the national competent authorities. We therefore suggest that the phrase </w:t>
      </w:r>
      <w:r w:rsidRPr="004A008D">
        <w:rPr>
          <w:rFonts w:asciiTheme="minorHAnsi" w:hAnsiTheme="minorHAnsi" w:cstheme="minorHAnsi"/>
          <w:i/>
          <w:iCs/>
          <w:sz w:val="22"/>
          <w:szCs w:val="22"/>
          <w:lang w:val="en-GB"/>
        </w:rPr>
        <w:t>“complexity and interlinkages of the counterparty activity in OTC derivatives”</w:t>
      </w:r>
      <w:r w:rsidRPr="004A008D">
        <w:rPr>
          <w:rFonts w:asciiTheme="minorHAnsi" w:hAnsiTheme="minorHAnsi" w:cstheme="minorHAnsi"/>
          <w:sz w:val="22"/>
          <w:szCs w:val="22"/>
          <w:lang w:val="en-GB"/>
        </w:rPr>
        <w:t xml:space="preserve"> is elaborated on to establish clear criteria for national competent authorities to apply the standard validation procedure or to delete the reference to the AANA EUR 50bn threshold in Article 2(2). Another alternative would be to increase the threshold materially. </w:t>
      </w:r>
    </w:p>
    <w:p w14:paraId="49044185" w14:textId="77777777" w:rsidR="00CA78CA" w:rsidRPr="004A008D" w:rsidRDefault="00CA78CA" w:rsidP="003C4946">
      <w:pPr>
        <w:pStyle w:val="Default"/>
        <w:jc w:val="both"/>
        <w:rPr>
          <w:rFonts w:asciiTheme="minorHAnsi" w:hAnsiTheme="minorHAnsi" w:cstheme="minorHAnsi"/>
          <w:sz w:val="22"/>
          <w:szCs w:val="22"/>
          <w:lang w:val="en-GB"/>
        </w:rPr>
      </w:pPr>
    </w:p>
    <w:p w14:paraId="77C49146" w14:textId="77777777" w:rsidR="003C4946" w:rsidRPr="004A008D" w:rsidRDefault="003C4946" w:rsidP="003C4946">
      <w:pPr>
        <w:pStyle w:val="Default"/>
        <w:jc w:val="both"/>
        <w:rPr>
          <w:rFonts w:asciiTheme="minorHAnsi" w:hAnsiTheme="minorHAnsi" w:cstheme="minorHAnsi"/>
          <w:sz w:val="22"/>
          <w:szCs w:val="22"/>
          <w:lang w:val="en-GB"/>
        </w:rPr>
      </w:pPr>
    </w:p>
    <w:p w14:paraId="4B06284F"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lastRenderedPageBreak/>
        <w:t xml:space="preserve">Q4: What are the stakeholders’ views regarding Article 2, Par 3, that would allow a temporary implementation of the model to subject in the simplified validation process? </w:t>
      </w:r>
    </w:p>
    <w:p w14:paraId="46453E88" w14:textId="79F77947" w:rsidR="003C4946" w:rsidRPr="004A008D"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We consider that it is a practicable approach and a way forward to give an opportunity to use the initial margin model for some time (one year as mentioned in Article 2(3)) after the application in respect of the simplified procedure is received by the competent authority. </w:t>
      </w:r>
    </w:p>
    <w:p w14:paraId="25F4A36A" w14:textId="77777777" w:rsidR="00553821" w:rsidRPr="004A008D" w:rsidRDefault="00553821" w:rsidP="003C4946">
      <w:pPr>
        <w:pStyle w:val="Default"/>
        <w:jc w:val="both"/>
        <w:rPr>
          <w:rFonts w:asciiTheme="minorHAnsi" w:hAnsiTheme="minorHAnsi" w:cstheme="minorHAnsi"/>
          <w:sz w:val="22"/>
          <w:szCs w:val="22"/>
          <w:lang w:val="en-GB"/>
        </w:rPr>
      </w:pPr>
    </w:p>
    <w:p w14:paraId="73E2EA7A"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Q5: What are the stakeholders’ views regarding section 1? Please specify the issue by article where possible. </w:t>
      </w:r>
    </w:p>
    <w:p w14:paraId="634A3684" w14:textId="7E44D070" w:rsidR="003C4946" w:rsidRPr="004A008D"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In general</w:t>
      </w:r>
      <w:r w:rsidR="00FA1B72" w:rsidRPr="004A008D">
        <w:rPr>
          <w:rFonts w:asciiTheme="minorHAnsi" w:hAnsiTheme="minorHAnsi" w:cstheme="minorHAnsi"/>
          <w:sz w:val="22"/>
          <w:szCs w:val="22"/>
          <w:lang w:val="en-GB"/>
        </w:rPr>
        <w:t>,</w:t>
      </w:r>
      <w:r w:rsidRPr="004A008D">
        <w:rPr>
          <w:rFonts w:asciiTheme="minorHAnsi" w:hAnsiTheme="minorHAnsi" w:cstheme="minorHAnsi"/>
          <w:sz w:val="22"/>
          <w:szCs w:val="22"/>
          <w:lang w:val="en-GB"/>
        </w:rPr>
        <w:t xml:space="preserve"> the approach taken in Section 1 by establishing two types of procedures and a threshold of AANA EUR 750bn is beneficial. However, some clarifying amendments should be considered with respect to Article 2(2) and the threshold of AANE 50bn.</w:t>
      </w:r>
      <w:r w:rsidR="00584BF6" w:rsidRPr="004A008D">
        <w:rPr>
          <w:rFonts w:asciiTheme="minorHAnsi" w:hAnsiTheme="minorHAnsi" w:cstheme="minorHAnsi"/>
          <w:sz w:val="22"/>
          <w:szCs w:val="22"/>
          <w:lang w:val="en-GB"/>
        </w:rPr>
        <w:t xml:space="preserve"> </w:t>
      </w:r>
      <w:r w:rsidRPr="004A008D">
        <w:rPr>
          <w:rFonts w:asciiTheme="minorHAnsi" w:hAnsiTheme="minorHAnsi" w:cstheme="minorHAnsi"/>
          <w:sz w:val="22"/>
          <w:szCs w:val="22"/>
          <w:lang w:val="en-GB"/>
        </w:rPr>
        <w:t>Please see responses to Q</w:t>
      </w:r>
      <w:r w:rsidR="002C7C0A" w:rsidRPr="004A008D">
        <w:rPr>
          <w:rFonts w:asciiTheme="minorHAnsi" w:hAnsiTheme="minorHAnsi" w:cstheme="minorHAnsi"/>
          <w:sz w:val="22"/>
          <w:szCs w:val="22"/>
          <w:lang w:val="en-GB"/>
        </w:rPr>
        <w:t>1</w:t>
      </w:r>
      <w:r w:rsidR="00D24E0A" w:rsidRPr="004A008D">
        <w:rPr>
          <w:rFonts w:asciiTheme="minorHAnsi" w:hAnsiTheme="minorHAnsi" w:cstheme="minorHAnsi"/>
          <w:sz w:val="22"/>
          <w:szCs w:val="22"/>
          <w:lang w:val="en-GB"/>
        </w:rPr>
        <w:t xml:space="preserve"> and</w:t>
      </w:r>
      <w:r w:rsidR="002C7C0A" w:rsidRPr="004A008D">
        <w:rPr>
          <w:rFonts w:asciiTheme="minorHAnsi" w:hAnsiTheme="minorHAnsi" w:cstheme="minorHAnsi"/>
          <w:sz w:val="22"/>
          <w:szCs w:val="22"/>
          <w:lang w:val="en-GB"/>
        </w:rPr>
        <w:t xml:space="preserve"> Q</w:t>
      </w:r>
      <w:proofErr w:type="gramStart"/>
      <w:r w:rsidRPr="004A008D">
        <w:rPr>
          <w:rFonts w:asciiTheme="minorHAnsi" w:hAnsiTheme="minorHAnsi" w:cstheme="minorHAnsi"/>
          <w:sz w:val="22"/>
          <w:szCs w:val="22"/>
          <w:lang w:val="en-GB"/>
        </w:rPr>
        <w:t>3  above</w:t>
      </w:r>
      <w:proofErr w:type="gramEnd"/>
      <w:r w:rsidRPr="004A008D">
        <w:rPr>
          <w:rFonts w:asciiTheme="minorHAnsi" w:hAnsiTheme="minorHAnsi" w:cstheme="minorHAnsi"/>
          <w:sz w:val="22"/>
          <w:szCs w:val="22"/>
          <w:lang w:val="en-GB"/>
        </w:rPr>
        <w:t xml:space="preserve">. </w:t>
      </w:r>
    </w:p>
    <w:p w14:paraId="311A4AE2" w14:textId="77777777" w:rsidR="003C4946" w:rsidRPr="004A008D" w:rsidRDefault="003C4946" w:rsidP="003C4946">
      <w:pPr>
        <w:pStyle w:val="Default"/>
        <w:jc w:val="both"/>
        <w:rPr>
          <w:rFonts w:asciiTheme="minorHAnsi" w:hAnsiTheme="minorHAnsi" w:cstheme="minorHAnsi"/>
          <w:sz w:val="22"/>
          <w:szCs w:val="22"/>
          <w:lang w:val="en-GB"/>
        </w:rPr>
      </w:pPr>
    </w:p>
    <w:p w14:paraId="58B78D47"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Q6: What are stakeholders’ views regarding the methodology applied to identify material changes and extensions in the IM model? </w:t>
      </w:r>
    </w:p>
    <w:p w14:paraId="14B3BA15" w14:textId="77777777" w:rsidR="003C4946" w:rsidRPr="004A008D" w:rsidRDefault="003C4946" w:rsidP="003C4946">
      <w:pPr>
        <w:pStyle w:val="Default"/>
        <w:jc w:val="both"/>
        <w:rPr>
          <w:rFonts w:asciiTheme="minorHAnsi" w:hAnsiTheme="minorHAnsi" w:cstheme="minorHAnsi"/>
          <w:sz w:val="22"/>
          <w:szCs w:val="22"/>
          <w:lang w:val="en-GB"/>
        </w:rPr>
      </w:pPr>
    </w:p>
    <w:p w14:paraId="4DF67093"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Q7: What are the stakeholders’ views regarding the threshold selected (5% and 10%) in order to trigger the process? </w:t>
      </w:r>
    </w:p>
    <w:p w14:paraId="0249930B" w14:textId="77777777" w:rsidR="003C4946" w:rsidRPr="004A008D" w:rsidRDefault="003C4946" w:rsidP="003C4946">
      <w:pPr>
        <w:pStyle w:val="Default"/>
        <w:jc w:val="both"/>
        <w:rPr>
          <w:rFonts w:asciiTheme="minorHAnsi" w:hAnsiTheme="minorHAnsi" w:cstheme="minorHAnsi"/>
          <w:sz w:val="22"/>
          <w:szCs w:val="22"/>
          <w:lang w:val="en-GB"/>
        </w:rPr>
      </w:pPr>
    </w:p>
    <w:p w14:paraId="5B9AC617"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Q8: What are the stakeholders’ views regarding the selected extensions and changes in the Annex I Part I and II? </w:t>
      </w:r>
    </w:p>
    <w:p w14:paraId="5BAE49EE" w14:textId="77777777" w:rsidR="003C4946" w:rsidRPr="004A008D" w:rsidRDefault="003C4946" w:rsidP="003C4946">
      <w:pPr>
        <w:pStyle w:val="Default"/>
        <w:jc w:val="both"/>
        <w:rPr>
          <w:rFonts w:asciiTheme="minorHAnsi" w:hAnsiTheme="minorHAnsi" w:cstheme="minorHAnsi"/>
          <w:sz w:val="22"/>
          <w:szCs w:val="22"/>
          <w:lang w:val="en-GB"/>
        </w:rPr>
      </w:pPr>
    </w:p>
    <w:p w14:paraId="48571DAE"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Q9: What are the stakeholders’ views regarding the documentation to be provided for the application under the Standardised supervisory process.</w:t>
      </w:r>
    </w:p>
    <w:p w14:paraId="511A7D78" w14:textId="77777777" w:rsidR="003C4946" w:rsidRPr="004A008D"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With respect to the scope of the documentation that needs to be submitted according to Article 6, we suggest that points (c) and (f) of Article 6 are clarified as the current wording of those provisions is very broad. It would be practical to limit the scope of these provisions to what is necessary from an objective standpoint. It should be clear to market participants as to what documentation they are expected to make accessible to the competent authority. </w:t>
      </w:r>
    </w:p>
    <w:p w14:paraId="4C966D05" w14:textId="77777777" w:rsidR="009D7E76" w:rsidRPr="004A008D" w:rsidRDefault="009D7E76" w:rsidP="003C4946">
      <w:pPr>
        <w:pStyle w:val="Default"/>
        <w:jc w:val="both"/>
        <w:rPr>
          <w:rFonts w:asciiTheme="minorHAnsi" w:hAnsiTheme="minorHAnsi" w:cstheme="minorHAnsi"/>
          <w:sz w:val="22"/>
          <w:szCs w:val="22"/>
          <w:lang w:val="en-GB"/>
        </w:rPr>
      </w:pPr>
    </w:p>
    <w:p w14:paraId="06B0C943" w14:textId="36CD20DC" w:rsidR="003C4946" w:rsidRPr="004A008D" w:rsidRDefault="00733C8F" w:rsidP="006E06B8">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Moreover, we consider that it is unclear what is meant by the term “</w:t>
      </w:r>
      <w:r w:rsidR="00E83254" w:rsidRPr="004A008D">
        <w:rPr>
          <w:rFonts w:asciiTheme="minorHAnsi" w:hAnsiTheme="minorHAnsi" w:cstheme="minorHAnsi"/>
          <w:sz w:val="22"/>
          <w:szCs w:val="22"/>
          <w:lang w:val="en-GB"/>
        </w:rPr>
        <w:t>relevant competent</w:t>
      </w:r>
      <w:r w:rsidR="006E06B8" w:rsidRPr="004A008D">
        <w:rPr>
          <w:rFonts w:asciiTheme="minorHAnsi" w:hAnsiTheme="minorHAnsi" w:cstheme="minorHAnsi"/>
          <w:sz w:val="22"/>
          <w:szCs w:val="22"/>
          <w:lang w:val="en-GB"/>
        </w:rPr>
        <w:t xml:space="preserve"> bodies</w:t>
      </w:r>
      <w:r w:rsidR="001E56B7" w:rsidRPr="004A008D">
        <w:rPr>
          <w:rFonts w:asciiTheme="minorHAnsi" w:hAnsiTheme="minorHAnsi" w:cstheme="minorHAnsi"/>
          <w:sz w:val="22"/>
          <w:szCs w:val="22"/>
          <w:lang w:val="en-GB"/>
        </w:rPr>
        <w:t>”</w:t>
      </w:r>
      <w:r w:rsidR="006E06B8" w:rsidRPr="004A008D">
        <w:rPr>
          <w:rFonts w:asciiTheme="minorHAnsi" w:hAnsiTheme="minorHAnsi" w:cstheme="minorHAnsi"/>
          <w:sz w:val="22"/>
          <w:szCs w:val="22"/>
          <w:lang w:val="en-GB"/>
        </w:rPr>
        <w:t xml:space="preserve"> in point (d) of </w:t>
      </w:r>
      <w:r w:rsidR="00A83808" w:rsidRPr="004A008D">
        <w:rPr>
          <w:rFonts w:asciiTheme="minorHAnsi" w:hAnsiTheme="minorHAnsi" w:cstheme="minorHAnsi"/>
          <w:sz w:val="22"/>
          <w:szCs w:val="22"/>
          <w:lang w:val="en-GB"/>
        </w:rPr>
        <w:t>Article 6</w:t>
      </w:r>
      <w:r w:rsidR="006E06B8" w:rsidRPr="004A008D">
        <w:rPr>
          <w:rFonts w:asciiTheme="minorHAnsi" w:hAnsiTheme="minorHAnsi" w:cstheme="minorHAnsi"/>
          <w:sz w:val="22"/>
          <w:szCs w:val="22"/>
          <w:lang w:val="en-GB"/>
        </w:rPr>
        <w:t>.</w:t>
      </w:r>
      <w:r w:rsidR="003C4946" w:rsidRPr="004A008D">
        <w:rPr>
          <w:rFonts w:asciiTheme="minorHAnsi" w:hAnsiTheme="minorHAnsi" w:cstheme="minorHAnsi"/>
          <w:sz w:val="22"/>
          <w:szCs w:val="22"/>
          <w:lang w:val="en-GB"/>
        </w:rPr>
        <w:t xml:space="preserve"> </w:t>
      </w:r>
      <w:r w:rsidR="00FA1B72" w:rsidRPr="004A008D">
        <w:rPr>
          <w:rFonts w:asciiTheme="minorHAnsi" w:hAnsiTheme="minorHAnsi" w:cstheme="minorHAnsi"/>
          <w:sz w:val="22"/>
          <w:szCs w:val="22"/>
          <w:lang w:val="en-GB"/>
        </w:rPr>
        <w:t xml:space="preserve">Please clarify in the final report. </w:t>
      </w:r>
    </w:p>
    <w:p w14:paraId="4725B5EE" w14:textId="77777777" w:rsidR="003C4946" w:rsidRPr="004A008D" w:rsidRDefault="003C4946" w:rsidP="003C4946">
      <w:pPr>
        <w:pStyle w:val="Default"/>
        <w:jc w:val="both"/>
        <w:rPr>
          <w:rFonts w:asciiTheme="minorHAnsi" w:hAnsiTheme="minorHAnsi" w:cstheme="minorHAnsi"/>
          <w:sz w:val="22"/>
          <w:szCs w:val="22"/>
          <w:lang w:val="en-GB"/>
        </w:rPr>
      </w:pPr>
    </w:p>
    <w:p w14:paraId="0CC14239" w14:textId="77777777" w:rsidR="003C4946" w:rsidRPr="004A008D"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b/>
          <w:bCs/>
          <w:sz w:val="22"/>
          <w:szCs w:val="22"/>
          <w:lang w:val="en-GB"/>
        </w:rPr>
        <w:t>Q10: What are the stakeholders’ views regarding the section 2 subsection 1 in general? Please specify the issue by article where possible</w:t>
      </w:r>
      <w:r w:rsidRPr="004A008D">
        <w:rPr>
          <w:rFonts w:asciiTheme="minorHAnsi" w:hAnsiTheme="minorHAnsi" w:cstheme="minorHAnsi"/>
          <w:sz w:val="22"/>
          <w:szCs w:val="22"/>
          <w:lang w:val="en-GB"/>
        </w:rPr>
        <w:t xml:space="preserve">. </w:t>
      </w:r>
    </w:p>
    <w:p w14:paraId="546F9CC5" w14:textId="77777777" w:rsidR="009D2FCE" w:rsidRPr="004A008D" w:rsidRDefault="009D2FCE" w:rsidP="003C4946">
      <w:pPr>
        <w:pStyle w:val="Default"/>
        <w:jc w:val="both"/>
        <w:rPr>
          <w:rFonts w:asciiTheme="minorHAnsi" w:hAnsiTheme="minorHAnsi" w:cstheme="minorHAnsi"/>
          <w:sz w:val="22"/>
          <w:szCs w:val="22"/>
          <w:lang w:val="en-GB"/>
        </w:rPr>
      </w:pPr>
    </w:p>
    <w:p w14:paraId="6E347DE8" w14:textId="2799E401" w:rsidR="00EE2CDE" w:rsidRPr="004A008D" w:rsidRDefault="00EE2CDE" w:rsidP="00EE2CDE">
      <w:pPr>
        <w:pStyle w:val="Default"/>
        <w:jc w:val="both"/>
        <w:rPr>
          <w:rFonts w:asciiTheme="minorHAnsi" w:hAnsiTheme="minorHAnsi" w:cstheme="minorHAnsi"/>
          <w:i/>
          <w:iCs/>
          <w:sz w:val="22"/>
          <w:szCs w:val="22"/>
          <w:lang w:val="en-US"/>
        </w:rPr>
      </w:pPr>
      <w:r w:rsidRPr="004A008D">
        <w:rPr>
          <w:rFonts w:asciiTheme="minorHAnsi" w:hAnsiTheme="minorHAnsi" w:cstheme="minorHAnsi"/>
          <w:sz w:val="22"/>
          <w:szCs w:val="22"/>
          <w:lang w:val="en-GB"/>
        </w:rPr>
        <w:t>The SSMA notes that the RTS includes many references to actions to be taken by the management body. As the management body of a credit institution is not typically involved in the day-to-day business, we question if this the right organisational level to assign tasks</w:t>
      </w:r>
      <w:r w:rsidR="001365A0" w:rsidRPr="004A008D">
        <w:rPr>
          <w:rFonts w:asciiTheme="minorHAnsi" w:hAnsiTheme="minorHAnsi" w:cstheme="minorHAnsi"/>
          <w:sz w:val="22"/>
          <w:szCs w:val="22"/>
          <w:lang w:val="en-GB"/>
        </w:rPr>
        <w:t xml:space="preserve"> of a technical nature</w:t>
      </w:r>
      <w:r w:rsidRPr="004A008D">
        <w:rPr>
          <w:rFonts w:asciiTheme="minorHAnsi" w:hAnsiTheme="minorHAnsi" w:cstheme="minorHAnsi"/>
          <w:sz w:val="22"/>
          <w:szCs w:val="22"/>
          <w:lang w:val="en-GB"/>
        </w:rPr>
        <w:t xml:space="preserve">. </w:t>
      </w:r>
    </w:p>
    <w:p w14:paraId="530E7F3F" w14:textId="77777777" w:rsidR="00EE2CDE" w:rsidRPr="004A008D" w:rsidRDefault="00EE2CDE" w:rsidP="003C4946">
      <w:pPr>
        <w:pStyle w:val="Default"/>
        <w:jc w:val="both"/>
        <w:rPr>
          <w:rFonts w:asciiTheme="minorHAnsi" w:hAnsiTheme="minorHAnsi" w:cstheme="minorHAnsi"/>
          <w:sz w:val="22"/>
          <w:szCs w:val="22"/>
          <w:lang w:val="en-GB"/>
        </w:rPr>
      </w:pPr>
    </w:p>
    <w:p w14:paraId="081FF8A1"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Q11: What are the stakeholders’ views regarding the outsourcing provisions proposed by Article 7 in the RTS? </w:t>
      </w:r>
    </w:p>
    <w:p w14:paraId="36073E97" w14:textId="77777777" w:rsidR="005E5438" w:rsidRPr="004A008D" w:rsidRDefault="005E5438" w:rsidP="003C4946">
      <w:pPr>
        <w:pStyle w:val="Default"/>
        <w:jc w:val="both"/>
        <w:rPr>
          <w:rFonts w:asciiTheme="minorHAnsi" w:hAnsiTheme="minorHAnsi" w:cstheme="minorHAnsi"/>
          <w:b/>
          <w:bCs/>
          <w:sz w:val="22"/>
          <w:szCs w:val="22"/>
          <w:lang w:val="en-GB"/>
        </w:rPr>
      </w:pPr>
    </w:p>
    <w:p w14:paraId="5F05A04C" w14:textId="3725C93F" w:rsidR="0047000F" w:rsidRPr="004A008D" w:rsidRDefault="0047000F" w:rsidP="005E5438">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See comment in Q 10</w:t>
      </w:r>
      <w:r w:rsidR="00C95634" w:rsidRPr="004A008D">
        <w:rPr>
          <w:rFonts w:asciiTheme="minorHAnsi" w:hAnsiTheme="minorHAnsi" w:cstheme="minorHAnsi"/>
          <w:sz w:val="22"/>
          <w:szCs w:val="22"/>
          <w:lang w:val="en-GB"/>
        </w:rPr>
        <w:t xml:space="preserve"> regarding the day-to-day involvement of the management body. </w:t>
      </w:r>
    </w:p>
    <w:p w14:paraId="45CFAAC7" w14:textId="77777777" w:rsidR="00C95634" w:rsidRPr="004A008D" w:rsidRDefault="00C95634" w:rsidP="005E5438">
      <w:pPr>
        <w:pStyle w:val="Default"/>
        <w:jc w:val="both"/>
        <w:rPr>
          <w:rFonts w:asciiTheme="minorHAnsi" w:hAnsiTheme="minorHAnsi" w:cstheme="minorHAnsi"/>
          <w:sz w:val="22"/>
          <w:szCs w:val="22"/>
          <w:lang w:val="en-GB"/>
        </w:rPr>
      </w:pPr>
    </w:p>
    <w:p w14:paraId="20271EE5" w14:textId="55CCB6AE" w:rsidR="000633D8" w:rsidRPr="004A008D" w:rsidRDefault="00501C2C" w:rsidP="005E5438">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The SSMA considers that it should be </w:t>
      </w:r>
      <w:r w:rsidR="00C95634" w:rsidRPr="004A008D">
        <w:rPr>
          <w:rFonts w:asciiTheme="minorHAnsi" w:hAnsiTheme="minorHAnsi" w:cstheme="minorHAnsi"/>
          <w:sz w:val="22"/>
          <w:szCs w:val="22"/>
          <w:lang w:val="en-GB"/>
        </w:rPr>
        <w:t xml:space="preserve">clarified </w:t>
      </w:r>
      <w:r w:rsidR="000D6C8C" w:rsidRPr="004A008D">
        <w:rPr>
          <w:rFonts w:asciiTheme="minorHAnsi" w:hAnsiTheme="minorHAnsi" w:cstheme="minorHAnsi"/>
          <w:sz w:val="22"/>
          <w:szCs w:val="22"/>
          <w:lang w:val="en-GB"/>
        </w:rPr>
        <w:t xml:space="preserve">what </w:t>
      </w:r>
      <w:r w:rsidR="00C95634" w:rsidRPr="004A008D">
        <w:rPr>
          <w:rFonts w:asciiTheme="minorHAnsi" w:hAnsiTheme="minorHAnsi" w:cstheme="minorHAnsi"/>
          <w:sz w:val="22"/>
          <w:szCs w:val="22"/>
          <w:lang w:val="en-GB"/>
        </w:rPr>
        <w:t xml:space="preserve">it means that the </w:t>
      </w:r>
      <w:r w:rsidR="008C2626" w:rsidRPr="004A008D">
        <w:rPr>
          <w:rFonts w:asciiTheme="minorHAnsi" w:hAnsiTheme="minorHAnsi" w:cstheme="minorHAnsi"/>
          <w:sz w:val="22"/>
          <w:szCs w:val="22"/>
          <w:lang w:val="en-GB"/>
        </w:rPr>
        <w:t xml:space="preserve">management body </w:t>
      </w:r>
      <w:r w:rsidR="0047000F" w:rsidRPr="004A008D">
        <w:rPr>
          <w:rFonts w:asciiTheme="minorHAnsi" w:hAnsiTheme="minorHAnsi" w:cstheme="minorHAnsi"/>
          <w:sz w:val="22"/>
          <w:szCs w:val="22"/>
          <w:lang w:val="en-GB"/>
        </w:rPr>
        <w:t>or the comm</w:t>
      </w:r>
      <w:r w:rsidR="00E1576B" w:rsidRPr="004A008D">
        <w:rPr>
          <w:rFonts w:asciiTheme="minorHAnsi" w:hAnsiTheme="minorHAnsi" w:cstheme="minorHAnsi"/>
          <w:sz w:val="22"/>
          <w:szCs w:val="22"/>
          <w:lang w:val="en-GB"/>
        </w:rPr>
        <w:t>i</w:t>
      </w:r>
      <w:r w:rsidR="00773254" w:rsidRPr="004A008D">
        <w:rPr>
          <w:rFonts w:asciiTheme="minorHAnsi" w:hAnsiTheme="minorHAnsi" w:cstheme="minorHAnsi"/>
          <w:sz w:val="22"/>
          <w:szCs w:val="22"/>
          <w:lang w:val="en-GB"/>
        </w:rPr>
        <w:t>t</w:t>
      </w:r>
      <w:r w:rsidR="0047000F" w:rsidRPr="004A008D">
        <w:rPr>
          <w:rFonts w:asciiTheme="minorHAnsi" w:hAnsiTheme="minorHAnsi" w:cstheme="minorHAnsi"/>
          <w:sz w:val="22"/>
          <w:szCs w:val="22"/>
          <w:lang w:val="en-GB"/>
        </w:rPr>
        <w:t xml:space="preserve">tee designed by it </w:t>
      </w:r>
      <w:r w:rsidR="008C2626" w:rsidRPr="004A008D">
        <w:rPr>
          <w:rFonts w:asciiTheme="minorHAnsi" w:hAnsiTheme="minorHAnsi" w:cstheme="minorHAnsi"/>
          <w:sz w:val="22"/>
          <w:szCs w:val="22"/>
          <w:lang w:val="en-GB"/>
        </w:rPr>
        <w:t>is “actively involved”</w:t>
      </w:r>
      <w:r w:rsidR="0047000F" w:rsidRPr="004A008D">
        <w:rPr>
          <w:rFonts w:asciiTheme="minorHAnsi" w:hAnsiTheme="minorHAnsi" w:cstheme="minorHAnsi"/>
          <w:sz w:val="22"/>
          <w:szCs w:val="22"/>
          <w:lang w:val="en-GB"/>
        </w:rPr>
        <w:t xml:space="preserve">? </w:t>
      </w:r>
    </w:p>
    <w:p w14:paraId="2E7177B3" w14:textId="65BD5DBB" w:rsidR="00894531" w:rsidRPr="004A008D" w:rsidRDefault="00894531" w:rsidP="005E5438">
      <w:pPr>
        <w:pStyle w:val="Default"/>
        <w:jc w:val="both"/>
        <w:rPr>
          <w:rFonts w:asciiTheme="minorHAnsi" w:hAnsiTheme="minorHAnsi" w:cstheme="minorHAnsi"/>
          <w:sz w:val="22"/>
          <w:szCs w:val="22"/>
          <w:lang w:val="en-GB"/>
        </w:rPr>
      </w:pPr>
    </w:p>
    <w:p w14:paraId="4CD4C369" w14:textId="29891385" w:rsidR="00894531" w:rsidRPr="004A008D" w:rsidRDefault="00D90882" w:rsidP="005E5438">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lastRenderedPageBreak/>
        <w:t xml:space="preserve">Please also confirm in the final report that the </w:t>
      </w:r>
      <w:r w:rsidR="00894531" w:rsidRPr="004A008D">
        <w:rPr>
          <w:rFonts w:asciiTheme="minorHAnsi" w:hAnsiTheme="minorHAnsi" w:cstheme="minorHAnsi"/>
          <w:sz w:val="22"/>
          <w:szCs w:val="22"/>
          <w:lang w:val="en-GB"/>
        </w:rPr>
        <w:t>requirements regarding out</w:t>
      </w:r>
      <w:r w:rsidR="00E1576B" w:rsidRPr="004A008D">
        <w:rPr>
          <w:rFonts w:asciiTheme="minorHAnsi" w:hAnsiTheme="minorHAnsi" w:cstheme="minorHAnsi"/>
          <w:sz w:val="22"/>
          <w:szCs w:val="22"/>
          <w:lang w:val="en-GB"/>
        </w:rPr>
        <w:t>s</w:t>
      </w:r>
      <w:r w:rsidR="00894531" w:rsidRPr="004A008D">
        <w:rPr>
          <w:rFonts w:asciiTheme="minorHAnsi" w:hAnsiTheme="minorHAnsi" w:cstheme="minorHAnsi"/>
          <w:sz w:val="22"/>
          <w:szCs w:val="22"/>
          <w:lang w:val="en-GB"/>
        </w:rPr>
        <w:t>ourcing</w:t>
      </w:r>
      <w:r w:rsidR="00FA24E7" w:rsidRPr="004A008D">
        <w:rPr>
          <w:rFonts w:asciiTheme="minorHAnsi" w:hAnsiTheme="minorHAnsi" w:cstheme="minorHAnsi"/>
          <w:sz w:val="22"/>
          <w:szCs w:val="22"/>
          <w:lang w:val="en-GB"/>
        </w:rPr>
        <w:t xml:space="preserve"> in the technical standards </w:t>
      </w:r>
      <w:r w:rsidR="00894531" w:rsidRPr="004A008D">
        <w:rPr>
          <w:rFonts w:asciiTheme="minorHAnsi" w:hAnsiTheme="minorHAnsi" w:cstheme="minorHAnsi"/>
          <w:sz w:val="22"/>
          <w:szCs w:val="22"/>
          <w:lang w:val="en-GB"/>
        </w:rPr>
        <w:t xml:space="preserve">are aligned </w:t>
      </w:r>
      <w:r w:rsidR="00BA4671" w:rsidRPr="004A008D">
        <w:rPr>
          <w:rFonts w:asciiTheme="minorHAnsi" w:hAnsiTheme="minorHAnsi" w:cstheme="minorHAnsi"/>
          <w:sz w:val="22"/>
          <w:szCs w:val="22"/>
          <w:lang w:val="en-GB"/>
        </w:rPr>
        <w:t xml:space="preserve">with and not broader than </w:t>
      </w:r>
      <w:r w:rsidRPr="004A008D">
        <w:rPr>
          <w:rFonts w:asciiTheme="minorHAnsi" w:hAnsiTheme="minorHAnsi" w:cstheme="minorHAnsi"/>
          <w:sz w:val="22"/>
          <w:szCs w:val="22"/>
          <w:lang w:val="en-GB"/>
        </w:rPr>
        <w:t>EBAs guidelines on out</w:t>
      </w:r>
      <w:r w:rsidR="00E1576B" w:rsidRPr="004A008D">
        <w:rPr>
          <w:rFonts w:asciiTheme="minorHAnsi" w:hAnsiTheme="minorHAnsi" w:cstheme="minorHAnsi"/>
          <w:sz w:val="22"/>
          <w:szCs w:val="22"/>
          <w:lang w:val="en-GB"/>
        </w:rPr>
        <w:t>s</w:t>
      </w:r>
      <w:r w:rsidRPr="004A008D">
        <w:rPr>
          <w:rFonts w:asciiTheme="minorHAnsi" w:hAnsiTheme="minorHAnsi" w:cstheme="minorHAnsi"/>
          <w:sz w:val="22"/>
          <w:szCs w:val="22"/>
          <w:lang w:val="en-GB"/>
        </w:rPr>
        <w:t xml:space="preserve">ourcing. </w:t>
      </w:r>
    </w:p>
    <w:p w14:paraId="36E4A1EF" w14:textId="7C2521AA" w:rsidR="00520D50" w:rsidRPr="004A008D" w:rsidRDefault="00520D50" w:rsidP="005E5438">
      <w:pPr>
        <w:pStyle w:val="Default"/>
        <w:jc w:val="both"/>
        <w:rPr>
          <w:rFonts w:asciiTheme="minorHAnsi" w:hAnsiTheme="minorHAnsi" w:cstheme="minorHAnsi"/>
          <w:sz w:val="22"/>
          <w:szCs w:val="22"/>
          <w:lang w:val="en-GB"/>
        </w:rPr>
      </w:pPr>
    </w:p>
    <w:p w14:paraId="7FA9CD8C" w14:textId="62E301C4" w:rsidR="008E4016" w:rsidRPr="004A008D" w:rsidRDefault="00520D50" w:rsidP="005E5438">
      <w:pPr>
        <w:pStyle w:val="Default"/>
        <w:jc w:val="both"/>
        <w:rPr>
          <w:rFonts w:asciiTheme="minorHAnsi" w:hAnsiTheme="minorHAnsi" w:cstheme="minorHAnsi"/>
          <w:i/>
          <w:iCs/>
          <w:sz w:val="22"/>
          <w:szCs w:val="22"/>
          <w:lang w:val="en-GB"/>
        </w:rPr>
      </w:pPr>
      <w:r w:rsidRPr="004A008D">
        <w:rPr>
          <w:rFonts w:asciiTheme="minorHAnsi" w:hAnsiTheme="minorHAnsi" w:cstheme="minorHAnsi"/>
          <w:sz w:val="22"/>
          <w:szCs w:val="22"/>
          <w:lang w:val="en-GB"/>
        </w:rPr>
        <w:t>I</w:t>
      </w:r>
      <w:r w:rsidR="008F661F" w:rsidRPr="004A008D">
        <w:rPr>
          <w:rFonts w:asciiTheme="minorHAnsi" w:hAnsiTheme="minorHAnsi" w:cstheme="minorHAnsi"/>
          <w:sz w:val="22"/>
          <w:szCs w:val="22"/>
          <w:lang w:val="en-GB"/>
        </w:rPr>
        <w:t>n addition to internal and external auditors, it</w:t>
      </w:r>
      <w:r w:rsidRPr="004A008D">
        <w:rPr>
          <w:rFonts w:asciiTheme="minorHAnsi" w:hAnsiTheme="minorHAnsi" w:cstheme="minorHAnsi"/>
          <w:sz w:val="22"/>
          <w:szCs w:val="22"/>
          <w:lang w:val="en-GB"/>
        </w:rPr>
        <w:t xml:space="preserve"> could be considered to allow credit institutions to decide</w:t>
      </w:r>
      <w:r w:rsidR="009538C3" w:rsidRPr="004A008D">
        <w:rPr>
          <w:rFonts w:asciiTheme="minorHAnsi" w:hAnsiTheme="minorHAnsi" w:cstheme="minorHAnsi"/>
          <w:sz w:val="22"/>
          <w:szCs w:val="22"/>
          <w:lang w:val="en-GB"/>
        </w:rPr>
        <w:t xml:space="preserve"> which control function is most suitable to perform the audit of the models</w:t>
      </w:r>
      <w:r w:rsidR="00AE4D73" w:rsidRPr="004A008D">
        <w:rPr>
          <w:rFonts w:asciiTheme="minorHAnsi" w:hAnsiTheme="minorHAnsi" w:cstheme="minorHAnsi"/>
          <w:sz w:val="22"/>
          <w:szCs w:val="22"/>
          <w:lang w:val="en-GB"/>
        </w:rPr>
        <w:t xml:space="preserve"> </w:t>
      </w:r>
      <w:proofErr w:type="gramStart"/>
      <w:r w:rsidR="00AE4D73" w:rsidRPr="004A008D">
        <w:rPr>
          <w:rFonts w:asciiTheme="minorHAnsi" w:hAnsiTheme="minorHAnsi" w:cstheme="minorHAnsi"/>
          <w:sz w:val="22"/>
          <w:szCs w:val="22"/>
          <w:lang w:val="en-GB"/>
        </w:rPr>
        <w:t>e.g.</w:t>
      </w:r>
      <w:proofErr w:type="gramEnd"/>
      <w:r w:rsidR="00AE4D73" w:rsidRPr="004A008D">
        <w:rPr>
          <w:rFonts w:asciiTheme="minorHAnsi" w:hAnsiTheme="minorHAnsi" w:cstheme="minorHAnsi"/>
          <w:sz w:val="22"/>
          <w:szCs w:val="22"/>
          <w:lang w:val="en-GB"/>
        </w:rPr>
        <w:t xml:space="preserve"> the risk control function.  </w:t>
      </w:r>
    </w:p>
    <w:p w14:paraId="40434975" w14:textId="77777777" w:rsidR="00C52141" w:rsidRPr="004A008D" w:rsidRDefault="00C52141" w:rsidP="005E5438">
      <w:pPr>
        <w:pStyle w:val="Default"/>
        <w:jc w:val="both"/>
        <w:rPr>
          <w:rFonts w:asciiTheme="minorHAnsi" w:hAnsiTheme="minorHAnsi" w:cstheme="minorHAnsi"/>
          <w:sz w:val="22"/>
          <w:szCs w:val="22"/>
          <w:lang w:val="en-GB"/>
        </w:rPr>
      </w:pPr>
    </w:p>
    <w:p w14:paraId="734CA66F"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Q12: What are the stakeholders’ views regarding the use of validation results proposed by Article 8 in the RTS? </w:t>
      </w:r>
    </w:p>
    <w:p w14:paraId="5E99D8FF" w14:textId="77777777" w:rsidR="003C4946" w:rsidRPr="004A008D"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It would be beneficial to be able to rely on the assessment made by another competent authority in the EU or in a third country as it would decrease the amount of work for market participant as well as for competent authorities. </w:t>
      </w:r>
    </w:p>
    <w:p w14:paraId="4F26A566" w14:textId="77777777" w:rsidR="003C4946" w:rsidRPr="004A008D" w:rsidRDefault="003C4946" w:rsidP="003C4946">
      <w:pPr>
        <w:pStyle w:val="Default"/>
        <w:jc w:val="both"/>
        <w:rPr>
          <w:rFonts w:asciiTheme="minorHAnsi" w:hAnsiTheme="minorHAnsi" w:cstheme="minorHAnsi"/>
          <w:sz w:val="22"/>
          <w:szCs w:val="22"/>
          <w:lang w:val="en-GB"/>
        </w:rPr>
      </w:pPr>
    </w:p>
    <w:p w14:paraId="18A41013"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Q13: What are the stakeholders’ views regarding the possibility to rely on the assessment of a third country competent authority and the treatment proposed by Article 8 in the RTS?</w:t>
      </w:r>
    </w:p>
    <w:p w14:paraId="69097075" w14:textId="77777777" w:rsidR="003C4946" w:rsidRPr="004A008D" w:rsidRDefault="003C4946" w:rsidP="003C4946">
      <w:pPr>
        <w:pStyle w:val="Default"/>
        <w:jc w:val="both"/>
        <w:rPr>
          <w:rFonts w:asciiTheme="minorHAnsi" w:hAnsiTheme="minorHAnsi" w:cstheme="minorHAnsi"/>
          <w:sz w:val="22"/>
          <w:szCs w:val="22"/>
          <w:lang w:val="en-GB"/>
        </w:rPr>
      </w:pPr>
      <w:r w:rsidRPr="004A008D">
        <w:rPr>
          <w:rFonts w:asciiTheme="minorHAnsi" w:hAnsiTheme="minorHAnsi" w:cstheme="minorHAnsi"/>
          <w:sz w:val="22"/>
          <w:szCs w:val="22"/>
          <w:lang w:val="en-GB"/>
        </w:rPr>
        <w:t xml:space="preserve">Please see response to Q12 above.  </w:t>
      </w:r>
    </w:p>
    <w:p w14:paraId="2A2C2441" w14:textId="77777777" w:rsidR="003C4946" w:rsidRPr="004A008D" w:rsidRDefault="003C4946" w:rsidP="003C4946">
      <w:pPr>
        <w:pStyle w:val="Default"/>
        <w:jc w:val="both"/>
        <w:rPr>
          <w:rFonts w:asciiTheme="minorHAnsi" w:hAnsiTheme="minorHAnsi" w:cstheme="minorHAnsi"/>
          <w:sz w:val="22"/>
          <w:szCs w:val="22"/>
          <w:lang w:val="en-GB"/>
        </w:rPr>
      </w:pPr>
    </w:p>
    <w:p w14:paraId="7A778CBA"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Q14: What are the stakeholders’ general views regarding the senior management requirements as stated in article 10? Also, please highlight specific issues. </w:t>
      </w:r>
    </w:p>
    <w:p w14:paraId="575EC7D6" w14:textId="77777777" w:rsidR="003C4946" w:rsidRPr="004A008D" w:rsidRDefault="003C4946" w:rsidP="003C4946">
      <w:pPr>
        <w:pStyle w:val="Default"/>
        <w:jc w:val="both"/>
        <w:rPr>
          <w:rFonts w:asciiTheme="minorHAnsi" w:hAnsiTheme="minorHAnsi" w:cstheme="minorHAnsi"/>
          <w:sz w:val="22"/>
          <w:szCs w:val="22"/>
          <w:lang w:val="en-GB"/>
        </w:rPr>
      </w:pPr>
    </w:p>
    <w:p w14:paraId="6A2537C7" w14:textId="77777777" w:rsidR="003C4946" w:rsidRPr="004A008D" w:rsidRDefault="003C4946" w:rsidP="003C4946">
      <w:pPr>
        <w:pStyle w:val="Default"/>
        <w:jc w:val="both"/>
        <w:rPr>
          <w:rFonts w:asciiTheme="minorHAnsi" w:hAnsiTheme="minorHAnsi" w:cstheme="minorHAnsi"/>
          <w:b/>
          <w:bCs/>
          <w:sz w:val="22"/>
          <w:szCs w:val="22"/>
          <w:lang w:val="en-GB"/>
        </w:rPr>
      </w:pPr>
      <w:r w:rsidRPr="004A008D">
        <w:rPr>
          <w:rFonts w:asciiTheme="minorHAnsi" w:hAnsiTheme="minorHAnsi" w:cstheme="minorHAnsi"/>
          <w:b/>
          <w:bCs/>
          <w:sz w:val="22"/>
          <w:szCs w:val="22"/>
          <w:lang w:val="en-GB"/>
        </w:rPr>
        <w:t xml:space="preserve">Q15: What are the stakeholders’ general views regarding the model implementation unit requirements as stated in article 11? Also, please highlight specific issues. </w:t>
      </w:r>
    </w:p>
    <w:p w14:paraId="30D9C1BC" w14:textId="77777777" w:rsidR="003C4946" w:rsidRPr="004A008D" w:rsidRDefault="003C4946" w:rsidP="003C4946">
      <w:pPr>
        <w:pStyle w:val="Default"/>
        <w:jc w:val="both"/>
        <w:rPr>
          <w:rFonts w:asciiTheme="minorHAnsi" w:hAnsiTheme="minorHAnsi" w:cstheme="minorHAnsi"/>
          <w:b/>
          <w:bCs/>
          <w:sz w:val="22"/>
          <w:szCs w:val="22"/>
          <w:lang w:val="en-GB"/>
        </w:rPr>
      </w:pPr>
    </w:p>
    <w:p w14:paraId="2CEA071D"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Q16: What are the stakeholders’ general views regarding the audit requirements as stated in article 12? Also, please highlight specific issues. </w:t>
      </w:r>
    </w:p>
    <w:p w14:paraId="291FB7C2"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40D9473F"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Q17: What are the stakeholders’ general views regarding the internal validation requirements as stated in article 13? Also, please highlight specific issues. </w:t>
      </w:r>
    </w:p>
    <w:p w14:paraId="6A8F1772"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0E836F45"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Q18: What are the stakeholders’ views regarding the split between the general structure of the model and the actual implementation of the model for the validation as stated in article 13(2)? </w:t>
      </w:r>
    </w:p>
    <w:p w14:paraId="63507165"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201B2CE6"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Q19: What are the stakeholders’ views regarding the thresholds suggested to trigger for the CAs notification, as described in paragraph 5 of article 14? </w:t>
      </w:r>
    </w:p>
    <w:p w14:paraId="4D963B09"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1763AD0D"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Q20: What would be the stakeholders’ choice on the value of Ks, as described in paragraph 7 of article 14? </w:t>
      </w:r>
    </w:p>
    <w:p w14:paraId="65F28AF6"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24C9E4E6"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Q21: What would be the stakeholders’ choice on the distribution of Xi applied? Could you please specify the first four moments (mean, standard deviation, standardized skewness and standardized excess kurtosis)? Additionally, could you please describe the distribution Xi, e.g., by means of an analytical approximation or a plot of the empirical distribution density, with the normal distribution included as comparison? </w:t>
      </w:r>
    </w:p>
    <w:p w14:paraId="705F03C0"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081FBF6F"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Q22: What would be the stakeholders’ choice on the values of Ng,s and Nr,s. Would you please provide a concise description of the methodology to obtain Ng,s and Nr,s? </w:t>
      </w:r>
    </w:p>
    <w:p w14:paraId="44FFC158"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22A91367"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lastRenderedPageBreak/>
        <w:t xml:space="preserve">Q23: What are the stakeholders’ methods applied to transactions maturing in less days than the MPoR? </w:t>
      </w:r>
    </w:p>
    <w:p w14:paraId="4B5A265E"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5C7EB6B8"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Q24: What are the stakeholders’ views on the static backtesting proposal as stated in article 14? </w:t>
      </w:r>
    </w:p>
    <w:p w14:paraId="04349121"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6FB0621F"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Q25: What are the stakeholders’ views regarding the thresholds suggested to trigger for the CAs notification, as described in paragraph 5 of article 17? </w:t>
      </w:r>
    </w:p>
    <w:p w14:paraId="5CB135DF"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156C9A89"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Q26: What would be the stakeholders’ choice on the value of Kd, as described in paragraph 7 of article 17? </w:t>
      </w:r>
    </w:p>
    <w:p w14:paraId="02712A2D" w14:textId="77777777" w:rsidR="003C4946" w:rsidRPr="004A008D" w:rsidRDefault="003C4946" w:rsidP="003C4946">
      <w:pPr>
        <w:pStyle w:val="Default"/>
        <w:jc w:val="both"/>
        <w:rPr>
          <w:rFonts w:asciiTheme="minorHAnsi" w:hAnsiTheme="minorHAnsi" w:cstheme="minorHAnsi"/>
          <w:color w:val="auto"/>
          <w:sz w:val="22"/>
          <w:szCs w:val="22"/>
          <w:lang w:val="en-GB"/>
        </w:rPr>
      </w:pPr>
    </w:p>
    <w:p w14:paraId="4A6BC0DC"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Q27: What are the stakeholders’ views regarding the dynamic backtesting as set in article 17? </w:t>
      </w:r>
    </w:p>
    <w:p w14:paraId="22D2A0D3"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05709486"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Q28: What are the stakeholders’ views regarding the treatment of the Valuations Adjustments within the requirement of the backtesting programme as set in article 14 and the monitoring programme of article 17? </w:t>
      </w:r>
    </w:p>
    <w:p w14:paraId="4AFE924D"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233F619A"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Q29: What are the stakeholders’ views regarding the requirement in the backtesting programmes as set in Articles 14 and 17? Should the requirements be specified in terms of IM collected only? </w:t>
      </w:r>
    </w:p>
    <w:p w14:paraId="51900B50"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1E0EE903"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Q30: What are the stakeholders’ views regarding Articles 18 through 23? Please specify the issue by article where possible. </w:t>
      </w:r>
    </w:p>
    <w:p w14:paraId="3D0DCF9D"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55E2845D"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Q31: What are the stakeholders’ views regarding the section 2 subsection 2 in general? Please specify the specific issue by article where possible. </w:t>
      </w:r>
    </w:p>
    <w:p w14:paraId="6DFCC4D1"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15176862"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Q32: What are the stakeholders’ views regarding section 3 in general? Please specify the issue by article where possible. </w:t>
      </w:r>
    </w:p>
    <w:p w14:paraId="3E0C4527" w14:textId="77777777" w:rsidR="003C4946" w:rsidRPr="004A008D" w:rsidRDefault="003C4946" w:rsidP="003C4946">
      <w:pPr>
        <w:pStyle w:val="Default"/>
        <w:jc w:val="both"/>
        <w:rPr>
          <w:rFonts w:asciiTheme="minorHAnsi" w:hAnsiTheme="minorHAnsi" w:cstheme="minorHAnsi"/>
          <w:b/>
          <w:bCs/>
          <w:color w:val="auto"/>
          <w:sz w:val="22"/>
          <w:szCs w:val="22"/>
          <w:lang w:val="en-GB"/>
        </w:rPr>
      </w:pPr>
    </w:p>
    <w:p w14:paraId="77C5C2EE"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Q33: What are the stakeholders’ views regarding the thresholds selected (10% and 20%) to trigger the process for model changes and extensions in Article 25 for the simplified assessment? </w:t>
      </w:r>
    </w:p>
    <w:p w14:paraId="78D41586" w14:textId="77777777" w:rsidR="003C4946" w:rsidRPr="004A008D" w:rsidRDefault="003C4946" w:rsidP="003C4946">
      <w:pPr>
        <w:pStyle w:val="Default"/>
        <w:jc w:val="both"/>
        <w:rPr>
          <w:rFonts w:asciiTheme="minorHAnsi" w:hAnsiTheme="minorHAnsi" w:cstheme="minorHAnsi"/>
          <w:color w:val="auto"/>
          <w:sz w:val="22"/>
          <w:szCs w:val="22"/>
          <w:lang w:val="en-GB"/>
        </w:rPr>
      </w:pPr>
    </w:p>
    <w:p w14:paraId="7B4AB9A0"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Q34: What are the stakeholders’ views regarding the scope of the documentation requirements in Articles 27 and 28 for the simplified assessment? </w:t>
      </w:r>
    </w:p>
    <w:p w14:paraId="32148C6A" w14:textId="77777777" w:rsidR="0095488E" w:rsidRPr="004A008D" w:rsidRDefault="0095488E" w:rsidP="003C4946">
      <w:pPr>
        <w:pStyle w:val="Default"/>
        <w:jc w:val="both"/>
        <w:rPr>
          <w:rFonts w:asciiTheme="minorHAnsi" w:hAnsiTheme="minorHAnsi" w:cstheme="minorHAnsi"/>
          <w:b/>
          <w:bCs/>
          <w:color w:val="auto"/>
          <w:sz w:val="22"/>
          <w:szCs w:val="22"/>
          <w:lang w:val="en-GB"/>
        </w:rPr>
      </w:pPr>
    </w:p>
    <w:p w14:paraId="5D7245E4" w14:textId="77777777" w:rsidR="00811565" w:rsidRPr="004A008D" w:rsidRDefault="003C4946" w:rsidP="003C4946">
      <w:pPr>
        <w:pStyle w:val="Default"/>
        <w:jc w:val="both"/>
        <w:rPr>
          <w:rFonts w:asciiTheme="minorHAnsi" w:hAnsiTheme="minorHAnsi" w:cstheme="minorHAnsi"/>
          <w:color w:val="auto"/>
          <w:sz w:val="22"/>
          <w:szCs w:val="22"/>
          <w:lang w:val="en-GB"/>
        </w:rPr>
      </w:pPr>
      <w:r w:rsidRPr="004A008D">
        <w:rPr>
          <w:rFonts w:asciiTheme="minorHAnsi" w:hAnsiTheme="minorHAnsi" w:cstheme="minorHAnsi"/>
          <w:color w:val="auto"/>
          <w:sz w:val="22"/>
          <w:szCs w:val="22"/>
          <w:lang w:val="en-GB"/>
        </w:rPr>
        <w:t xml:space="preserve">With regards to Article 27 please see the response to Q9 above. </w:t>
      </w:r>
    </w:p>
    <w:p w14:paraId="30B7C20A" w14:textId="77777777" w:rsidR="00811565" w:rsidRPr="004A008D" w:rsidRDefault="00811565" w:rsidP="003C4946">
      <w:pPr>
        <w:pStyle w:val="Default"/>
        <w:jc w:val="both"/>
        <w:rPr>
          <w:rFonts w:asciiTheme="minorHAnsi" w:hAnsiTheme="minorHAnsi" w:cstheme="minorHAnsi"/>
          <w:color w:val="auto"/>
          <w:sz w:val="22"/>
          <w:szCs w:val="22"/>
          <w:lang w:val="en-GB"/>
        </w:rPr>
      </w:pPr>
    </w:p>
    <w:p w14:paraId="7CC02A61" w14:textId="3D5DAAEB" w:rsidR="003C4946" w:rsidRPr="004A008D" w:rsidRDefault="00EB686E" w:rsidP="003C4946">
      <w:pPr>
        <w:pStyle w:val="Default"/>
        <w:jc w:val="both"/>
        <w:rPr>
          <w:rFonts w:asciiTheme="minorHAnsi" w:hAnsiTheme="minorHAnsi" w:cstheme="minorHAnsi"/>
          <w:color w:val="auto"/>
          <w:sz w:val="22"/>
          <w:szCs w:val="22"/>
          <w:lang w:val="en-GB"/>
        </w:rPr>
      </w:pPr>
      <w:r w:rsidRPr="004A008D">
        <w:rPr>
          <w:rFonts w:asciiTheme="minorHAnsi" w:hAnsiTheme="minorHAnsi" w:cstheme="minorHAnsi"/>
          <w:color w:val="auto"/>
          <w:sz w:val="22"/>
          <w:szCs w:val="22"/>
          <w:lang w:val="en-GB"/>
        </w:rPr>
        <w:t>Additional guidance would be welcome as regards the</w:t>
      </w:r>
      <w:r w:rsidR="00782E35" w:rsidRPr="004A008D">
        <w:rPr>
          <w:rFonts w:asciiTheme="minorHAnsi" w:hAnsiTheme="minorHAnsi" w:cstheme="minorHAnsi"/>
          <w:color w:val="auto"/>
          <w:sz w:val="22"/>
          <w:szCs w:val="22"/>
          <w:lang w:val="en-GB"/>
        </w:rPr>
        <w:t xml:space="preserve"> meaning of</w:t>
      </w:r>
      <w:r w:rsidRPr="004A008D">
        <w:rPr>
          <w:rFonts w:asciiTheme="minorHAnsi" w:hAnsiTheme="minorHAnsi" w:cstheme="minorHAnsi"/>
          <w:color w:val="auto"/>
          <w:sz w:val="22"/>
          <w:szCs w:val="22"/>
          <w:lang w:val="en-GB"/>
        </w:rPr>
        <w:t xml:space="preserve"> </w:t>
      </w:r>
      <w:r w:rsidR="001E56B7" w:rsidRPr="004A008D">
        <w:rPr>
          <w:rFonts w:asciiTheme="minorHAnsi" w:hAnsiTheme="minorHAnsi" w:cstheme="minorHAnsi"/>
          <w:color w:val="auto"/>
          <w:sz w:val="22"/>
          <w:szCs w:val="22"/>
          <w:lang w:val="en-GB"/>
        </w:rPr>
        <w:t xml:space="preserve">“self-assessment </w:t>
      </w:r>
      <w:r w:rsidRPr="004A008D">
        <w:rPr>
          <w:rFonts w:asciiTheme="minorHAnsi" w:hAnsiTheme="minorHAnsi" w:cstheme="minorHAnsi"/>
          <w:color w:val="auto"/>
          <w:sz w:val="22"/>
          <w:szCs w:val="22"/>
          <w:lang w:val="en-GB"/>
        </w:rPr>
        <w:t xml:space="preserve">of the compliance with this </w:t>
      </w:r>
      <w:r w:rsidR="002A3D1F" w:rsidRPr="004A008D">
        <w:rPr>
          <w:rFonts w:asciiTheme="minorHAnsi" w:hAnsiTheme="minorHAnsi" w:cstheme="minorHAnsi"/>
          <w:color w:val="auto"/>
          <w:sz w:val="22"/>
          <w:szCs w:val="22"/>
          <w:lang w:val="en-GB"/>
        </w:rPr>
        <w:t>R</w:t>
      </w:r>
      <w:r w:rsidRPr="004A008D">
        <w:rPr>
          <w:rFonts w:asciiTheme="minorHAnsi" w:hAnsiTheme="minorHAnsi" w:cstheme="minorHAnsi"/>
          <w:color w:val="auto"/>
          <w:sz w:val="22"/>
          <w:szCs w:val="22"/>
          <w:lang w:val="en-GB"/>
        </w:rPr>
        <w:t>egulation</w:t>
      </w:r>
      <w:r w:rsidR="002A3D1F" w:rsidRPr="004A008D">
        <w:rPr>
          <w:rFonts w:asciiTheme="minorHAnsi" w:hAnsiTheme="minorHAnsi" w:cstheme="minorHAnsi"/>
          <w:color w:val="auto"/>
          <w:sz w:val="22"/>
          <w:szCs w:val="22"/>
          <w:lang w:val="en-GB"/>
        </w:rPr>
        <w:t>”</w:t>
      </w:r>
      <w:r w:rsidRPr="004A008D">
        <w:rPr>
          <w:rFonts w:asciiTheme="minorHAnsi" w:hAnsiTheme="minorHAnsi" w:cstheme="minorHAnsi"/>
          <w:color w:val="auto"/>
          <w:sz w:val="22"/>
          <w:szCs w:val="22"/>
          <w:lang w:val="en-GB"/>
        </w:rPr>
        <w:t xml:space="preserve">. </w:t>
      </w:r>
      <w:r w:rsidR="0008031D" w:rsidRPr="004A008D">
        <w:rPr>
          <w:rFonts w:asciiTheme="minorHAnsi" w:hAnsiTheme="minorHAnsi" w:cstheme="minorHAnsi"/>
          <w:color w:val="auto"/>
          <w:sz w:val="22"/>
          <w:szCs w:val="22"/>
          <w:lang w:val="en-GB"/>
        </w:rPr>
        <w:t>To our understanding</w:t>
      </w:r>
      <w:r w:rsidR="00782E35" w:rsidRPr="004A008D">
        <w:rPr>
          <w:rFonts w:asciiTheme="minorHAnsi" w:hAnsiTheme="minorHAnsi" w:cstheme="minorHAnsi"/>
          <w:color w:val="auto"/>
          <w:sz w:val="22"/>
          <w:szCs w:val="22"/>
          <w:lang w:val="en-GB"/>
        </w:rPr>
        <w:t>,</w:t>
      </w:r>
      <w:r w:rsidR="0008031D" w:rsidRPr="004A008D">
        <w:rPr>
          <w:rFonts w:asciiTheme="minorHAnsi" w:hAnsiTheme="minorHAnsi" w:cstheme="minorHAnsi"/>
          <w:color w:val="auto"/>
          <w:sz w:val="22"/>
          <w:szCs w:val="22"/>
          <w:lang w:val="en-GB"/>
        </w:rPr>
        <w:t xml:space="preserve"> th</w:t>
      </w:r>
      <w:r w:rsidR="002A3D1F" w:rsidRPr="004A008D">
        <w:rPr>
          <w:rFonts w:asciiTheme="minorHAnsi" w:hAnsiTheme="minorHAnsi" w:cstheme="minorHAnsi"/>
          <w:color w:val="auto"/>
          <w:sz w:val="22"/>
          <w:szCs w:val="22"/>
          <w:lang w:val="en-GB"/>
        </w:rPr>
        <w:t>e</w:t>
      </w:r>
      <w:r w:rsidR="0008031D" w:rsidRPr="004A008D">
        <w:rPr>
          <w:rFonts w:asciiTheme="minorHAnsi" w:hAnsiTheme="minorHAnsi" w:cstheme="minorHAnsi"/>
          <w:color w:val="auto"/>
          <w:sz w:val="22"/>
          <w:szCs w:val="22"/>
          <w:lang w:val="en-GB"/>
        </w:rPr>
        <w:t xml:space="preserve"> requirement </w:t>
      </w:r>
      <w:r w:rsidR="002A3D1F" w:rsidRPr="004A008D">
        <w:rPr>
          <w:rFonts w:asciiTheme="minorHAnsi" w:hAnsiTheme="minorHAnsi" w:cstheme="minorHAnsi"/>
          <w:color w:val="auto"/>
          <w:sz w:val="22"/>
          <w:szCs w:val="22"/>
          <w:lang w:val="en-GB"/>
        </w:rPr>
        <w:t xml:space="preserve">of a self-assessment </w:t>
      </w:r>
      <w:r w:rsidR="0008031D" w:rsidRPr="004A008D">
        <w:rPr>
          <w:rFonts w:asciiTheme="minorHAnsi" w:hAnsiTheme="minorHAnsi" w:cstheme="minorHAnsi"/>
          <w:color w:val="auto"/>
          <w:sz w:val="22"/>
          <w:szCs w:val="22"/>
          <w:lang w:val="en-GB"/>
        </w:rPr>
        <w:t xml:space="preserve">would be satisfied by a </w:t>
      </w:r>
      <w:r w:rsidRPr="004A008D">
        <w:rPr>
          <w:rFonts w:asciiTheme="minorHAnsi" w:hAnsiTheme="minorHAnsi" w:cstheme="minorHAnsi"/>
          <w:color w:val="auto"/>
          <w:sz w:val="22"/>
          <w:szCs w:val="22"/>
          <w:lang w:val="en-GB"/>
        </w:rPr>
        <w:t xml:space="preserve">statement that the </w:t>
      </w:r>
      <w:r w:rsidR="0008031D" w:rsidRPr="004A008D">
        <w:rPr>
          <w:rFonts w:asciiTheme="minorHAnsi" w:hAnsiTheme="minorHAnsi" w:cstheme="minorHAnsi"/>
          <w:color w:val="auto"/>
          <w:sz w:val="22"/>
          <w:szCs w:val="22"/>
          <w:lang w:val="en-GB"/>
        </w:rPr>
        <w:t xml:space="preserve">credit institution complies with the </w:t>
      </w:r>
      <w:r w:rsidR="002A3D1F" w:rsidRPr="004A008D">
        <w:rPr>
          <w:rFonts w:asciiTheme="minorHAnsi" w:hAnsiTheme="minorHAnsi" w:cstheme="minorHAnsi"/>
          <w:color w:val="auto"/>
          <w:sz w:val="22"/>
          <w:szCs w:val="22"/>
          <w:lang w:val="en-GB"/>
        </w:rPr>
        <w:t>R</w:t>
      </w:r>
      <w:r w:rsidR="0008031D" w:rsidRPr="004A008D">
        <w:rPr>
          <w:rFonts w:asciiTheme="minorHAnsi" w:hAnsiTheme="minorHAnsi" w:cstheme="minorHAnsi"/>
          <w:color w:val="auto"/>
          <w:sz w:val="22"/>
          <w:szCs w:val="22"/>
          <w:lang w:val="en-GB"/>
        </w:rPr>
        <w:t>egulation together with a brief description</w:t>
      </w:r>
      <w:r w:rsidR="00AF1CF8" w:rsidRPr="004A008D">
        <w:rPr>
          <w:rFonts w:asciiTheme="minorHAnsi" w:hAnsiTheme="minorHAnsi" w:cstheme="minorHAnsi"/>
          <w:color w:val="auto"/>
          <w:sz w:val="22"/>
          <w:szCs w:val="22"/>
          <w:lang w:val="en-GB"/>
        </w:rPr>
        <w:t xml:space="preserve"> </w:t>
      </w:r>
      <w:r w:rsidR="00722F8A" w:rsidRPr="004A008D">
        <w:rPr>
          <w:rFonts w:asciiTheme="minorHAnsi" w:hAnsiTheme="minorHAnsi" w:cstheme="minorHAnsi"/>
          <w:color w:val="auto"/>
          <w:sz w:val="22"/>
          <w:szCs w:val="22"/>
          <w:lang w:val="en-GB"/>
        </w:rPr>
        <w:t>and</w:t>
      </w:r>
      <w:r w:rsidR="00B4264A" w:rsidRPr="004A008D">
        <w:rPr>
          <w:rFonts w:asciiTheme="minorHAnsi" w:hAnsiTheme="minorHAnsi" w:cstheme="minorHAnsi"/>
          <w:color w:val="auto"/>
          <w:sz w:val="22"/>
          <w:szCs w:val="22"/>
          <w:lang w:val="en-GB"/>
        </w:rPr>
        <w:t>, where relevant,</w:t>
      </w:r>
      <w:r w:rsidR="00722F8A" w:rsidRPr="004A008D">
        <w:rPr>
          <w:rFonts w:asciiTheme="minorHAnsi" w:hAnsiTheme="minorHAnsi" w:cstheme="minorHAnsi"/>
          <w:color w:val="auto"/>
          <w:sz w:val="22"/>
          <w:szCs w:val="22"/>
          <w:lang w:val="en-GB"/>
        </w:rPr>
        <w:t xml:space="preserve"> </w:t>
      </w:r>
      <w:r w:rsidR="00AF1CF8" w:rsidRPr="004A008D">
        <w:rPr>
          <w:rFonts w:asciiTheme="minorHAnsi" w:hAnsiTheme="minorHAnsi" w:cstheme="minorHAnsi"/>
          <w:color w:val="auto"/>
          <w:sz w:val="22"/>
          <w:szCs w:val="22"/>
          <w:lang w:val="en-GB"/>
        </w:rPr>
        <w:t>supporting document</w:t>
      </w:r>
      <w:r w:rsidR="00B4264A" w:rsidRPr="004A008D">
        <w:rPr>
          <w:rFonts w:asciiTheme="minorHAnsi" w:hAnsiTheme="minorHAnsi" w:cstheme="minorHAnsi"/>
          <w:color w:val="auto"/>
          <w:sz w:val="22"/>
          <w:szCs w:val="22"/>
          <w:lang w:val="en-GB"/>
        </w:rPr>
        <w:t xml:space="preserve">? </w:t>
      </w:r>
      <w:r w:rsidR="00AF1CF8" w:rsidRPr="004A008D">
        <w:rPr>
          <w:rFonts w:asciiTheme="minorHAnsi" w:hAnsiTheme="minorHAnsi" w:cstheme="minorHAnsi"/>
          <w:color w:val="auto"/>
          <w:sz w:val="22"/>
          <w:szCs w:val="22"/>
          <w:lang w:val="en-GB"/>
        </w:rPr>
        <w:t xml:space="preserve">Please confirm. </w:t>
      </w:r>
    </w:p>
    <w:p w14:paraId="7326C3CC" w14:textId="77777777" w:rsidR="003C4946" w:rsidRPr="004A008D" w:rsidRDefault="003C4946" w:rsidP="003C4946">
      <w:pPr>
        <w:pStyle w:val="Default"/>
        <w:jc w:val="both"/>
        <w:rPr>
          <w:rFonts w:asciiTheme="minorHAnsi" w:hAnsiTheme="minorHAnsi" w:cstheme="minorHAnsi"/>
          <w:color w:val="auto"/>
          <w:sz w:val="22"/>
          <w:szCs w:val="22"/>
          <w:lang w:val="en-GB"/>
        </w:rPr>
      </w:pPr>
    </w:p>
    <w:p w14:paraId="31324CFD" w14:textId="77777777" w:rsidR="003C4946" w:rsidRPr="004A008D" w:rsidRDefault="003C4946" w:rsidP="003C4946">
      <w:pPr>
        <w:pStyle w:val="Default"/>
        <w:jc w:val="both"/>
        <w:rPr>
          <w:rFonts w:asciiTheme="minorHAnsi" w:hAnsiTheme="minorHAnsi" w:cstheme="minorHAnsi"/>
          <w:color w:val="auto"/>
          <w:sz w:val="22"/>
          <w:szCs w:val="22"/>
          <w:lang w:val="en-GB"/>
        </w:rPr>
      </w:pPr>
      <w:r w:rsidRPr="004A008D">
        <w:rPr>
          <w:rFonts w:asciiTheme="minorHAnsi" w:hAnsiTheme="minorHAnsi" w:cstheme="minorHAnsi"/>
          <w:color w:val="auto"/>
          <w:sz w:val="22"/>
          <w:szCs w:val="22"/>
          <w:lang w:val="en-GB"/>
        </w:rPr>
        <w:t xml:space="preserve">Article 28 specifies documentational requirements to prove the involvement of the senior management and management body in supervision and management of the initial margin calculation model. In practice, initial margin calculation model is a very technical area which the relevant operational unit of the organization is responsible for. We consider that it is not practicable to submit the documents mentioned in Article 28 to the competent authority. A formal approval of the internal </w:t>
      </w:r>
      <w:r w:rsidRPr="004A008D">
        <w:rPr>
          <w:rFonts w:asciiTheme="minorHAnsi" w:hAnsiTheme="minorHAnsi" w:cstheme="minorHAnsi"/>
          <w:color w:val="auto"/>
          <w:sz w:val="22"/>
          <w:szCs w:val="22"/>
          <w:lang w:val="en-GB"/>
        </w:rPr>
        <w:lastRenderedPageBreak/>
        <w:t xml:space="preserve">procedures related to the initial margin model could serve as sufficient evidence of understanding and involvement of the senior management and management body. </w:t>
      </w:r>
    </w:p>
    <w:p w14:paraId="7536DAD9" w14:textId="77777777" w:rsidR="00722F8A" w:rsidRPr="004A008D" w:rsidRDefault="00722F8A" w:rsidP="003C4946">
      <w:pPr>
        <w:pStyle w:val="Default"/>
        <w:jc w:val="both"/>
        <w:rPr>
          <w:rFonts w:asciiTheme="minorHAnsi" w:hAnsiTheme="minorHAnsi" w:cstheme="minorHAnsi"/>
          <w:color w:val="auto"/>
          <w:sz w:val="22"/>
          <w:szCs w:val="22"/>
          <w:lang w:val="en-GB"/>
        </w:rPr>
      </w:pPr>
    </w:p>
    <w:p w14:paraId="71C064B1" w14:textId="77777777" w:rsidR="003C4946" w:rsidRPr="004A008D" w:rsidRDefault="003C4946" w:rsidP="003C4946">
      <w:pPr>
        <w:pStyle w:val="Default"/>
        <w:jc w:val="both"/>
        <w:rPr>
          <w:rFonts w:asciiTheme="minorHAnsi" w:hAnsiTheme="minorHAnsi" w:cstheme="minorHAnsi"/>
          <w:color w:val="auto"/>
          <w:sz w:val="22"/>
          <w:szCs w:val="22"/>
          <w:lang w:val="en-GB"/>
        </w:rPr>
      </w:pPr>
    </w:p>
    <w:p w14:paraId="1EA9C7CF" w14:textId="77777777" w:rsidR="003C4946" w:rsidRPr="004A008D" w:rsidRDefault="003C4946" w:rsidP="003C4946">
      <w:pPr>
        <w:pStyle w:val="Default"/>
        <w:jc w:val="both"/>
        <w:rPr>
          <w:rFonts w:asciiTheme="minorHAnsi" w:hAnsiTheme="minorHAnsi" w:cstheme="minorHAnsi"/>
          <w:b/>
          <w:bCs/>
          <w:color w:val="auto"/>
          <w:sz w:val="22"/>
          <w:szCs w:val="22"/>
          <w:lang w:val="en-GB"/>
        </w:rPr>
      </w:pPr>
      <w:r w:rsidRPr="004A008D">
        <w:rPr>
          <w:rFonts w:asciiTheme="minorHAnsi" w:hAnsiTheme="minorHAnsi" w:cstheme="minorHAnsi"/>
          <w:b/>
          <w:bCs/>
          <w:color w:val="auto"/>
          <w:sz w:val="22"/>
          <w:szCs w:val="22"/>
          <w:lang w:val="en-GB"/>
        </w:rPr>
        <w:t xml:space="preserve">Q35: What are the stakeholders’ views regarding the transitional provision in Article 30? Are the two years of transition suggested sufficient to have a first validation of the models in place? </w:t>
      </w:r>
    </w:p>
    <w:p w14:paraId="726320AB" w14:textId="77777777" w:rsidR="003C4946" w:rsidRPr="004A008D" w:rsidRDefault="003C4946" w:rsidP="003C4946">
      <w:pPr>
        <w:pStyle w:val="Default"/>
        <w:jc w:val="both"/>
        <w:rPr>
          <w:rFonts w:asciiTheme="minorHAnsi" w:hAnsiTheme="minorHAnsi" w:cstheme="minorHAnsi"/>
          <w:color w:val="auto"/>
          <w:sz w:val="22"/>
          <w:szCs w:val="22"/>
          <w:lang w:val="en-GB"/>
        </w:rPr>
      </w:pPr>
      <w:r w:rsidRPr="004A008D">
        <w:rPr>
          <w:rFonts w:asciiTheme="minorHAnsi" w:hAnsiTheme="minorHAnsi" w:cstheme="minorHAnsi"/>
          <w:color w:val="auto"/>
          <w:sz w:val="22"/>
          <w:szCs w:val="22"/>
          <w:lang w:val="en-GB"/>
        </w:rPr>
        <w:t xml:space="preserve">It is mentioned that the competent authority can object to the use of the model within two years, but it is not clear if the competent authority shall confirm that market participants can use the model further. It would be good if this is clarified. </w:t>
      </w:r>
    </w:p>
    <w:p w14:paraId="5FE94378" w14:textId="77777777" w:rsidR="003C4946" w:rsidRPr="004A008D" w:rsidRDefault="003C4946" w:rsidP="003C4946">
      <w:pPr>
        <w:pStyle w:val="Default"/>
        <w:jc w:val="both"/>
        <w:rPr>
          <w:rFonts w:asciiTheme="minorHAnsi" w:hAnsiTheme="minorHAnsi" w:cstheme="minorHAnsi"/>
          <w:color w:val="auto"/>
          <w:sz w:val="22"/>
          <w:szCs w:val="22"/>
          <w:lang w:val="en-GB"/>
        </w:rPr>
      </w:pPr>
    </w:p>
    <w:p w14:paraId="12CE3C78" w14:textId="77777777" w:rsidR="003C4946" w:rsidRPr="004A008D" w:rsidRDefault="003C4946" w:rsidP="003C4946">
      <w:pPr>
        <w:pStyle w:val="Default"/>
        <w:jc w:val="both"/>
        <w:rPr>
          <w:rFonts w:asciiTheme="minorHAnsi" w:hAnsiTheme="minorHAnsi" w:cstheme="minorHAnsi"/>
          <w:color w:val="auto"/>
          <w:sz w:val="22"/>
          <w:szCs w:val="22"/>
          <w:lang w:val="en-GB"/>
        </w:rPr>
      </w:pPr>
      <w:r w:rsidRPr="004A008D">
        <w:rPr>
          <w:rFonts w:asciiTheme="minorHAnsi" w:hAnsiTheme="minorHAnsi" w:cstheme="minorHAnsi"/>
          <w:color w:val="auto"/>
          <w:sz w:val="22"/>
          <w:szCs w:val="22"/>
          <w:lang w:val="en-GB"/>
        </w:rPr>
        <w:t xml:space="preserve">The timeframe during which market participants shall submit additional documents in case the competent authority decides to apply Article 2(2) (standard procedure) is not clear. It would be beneficial to have sufficient time to enable market participants to prepare and submit the required additional documentation. </w:t>
      </w:r>
    </w:p>
    <w:p w14:paraId="0CF29453" w14:textId="77777777" w:rsidR="003C4946" w:rsidRPr="004A008D" w:rsidRDefault="003C4946" w:rsidP="003C4946">
      <w:pPr>
        <w:pStyle w:val="Default"/>
        <w:jc w:val="both"/>
        <w:rPr>
          <w:rFonts w:asciiTheme="minorHAnsi" w:hAnsiTheme="minorHAnsi" w:cstheme="minorHAnsi"/>
          <w:color w:val="auto"/>
          <w:sz w:val="22"/>
          <w:szCs w:val="22"/>
          <w:lang w:val="en-GB"/>
        </w:rPr>
      </w:pPr>
    </w:p>
    <w:p w14:paraId="5130E7A1" w14:textId="77777777" w:rsidR="003C4946" w:rsidRPr="004A008D" w:rsidRDefault="003C4946" w:rsidP="003C4946">
      <w:pPr>
        <w:pStyle w:val="Default"/>
        <w:jc w:val="both"/>
        <w:rPr>
          <w:rFonts w:asciiTheme="minorHAnsi" w:hAnsiTheme="minorHAnsi" w:cstheme="minorHAnsi"/>
          <w:color w:val="auto"/>
          <w:sz w:val="22"/>
          <w:szCs w:val="22"/>
          <w:lang w:val="en-GB"/>
        </w:rPr>
      </w:pPr>
      <w:r w:rsidRPr="004A008D">
        <w:rPr>
          <w:rFonts w:asciiTheme="minorHAnsi" w:hAnsiTheme="minorHAnsi" w:cstheme="minorHAnsi"/>
          <w:b/>
          <w:bCs/>
          <w:color w:val="auto"/>
          <w:sz w:val="22"/>
          <w:szCs w:val="22"/>
          <w:lang w:val="en-GB"/>
        </w:rPr>
        <w:t xml:space="preserve">Q36: What are the stakeholders’ views regarding the final provision in Article 31? Is the phase-in of 1, 2 and 3 years appropriate, considering the population of counterparties in the scope of the validation requirement? </w:t>
      </w:r>
    </w:p>
    <w:p w14:paraId="5C32DD29" w14:textId="77777777" w:rsidR="003C4946" w:rsidRPr="004A008D" w:rsidRDefault="003C4946" w:rsidP="003C4946">
      <w:pPr>
        <w:pStyle w:val="Default"/>
        <w:jc w:val="both"/>
        <w:rPr>
          <w:rFonts w:asciiTheme="minorHAnsi" w:hAnsiTheme="minorHAnsi" w:cstheme="minorHAnsi"/>
          <w:color w:val="auto"/>
          <w:sz w:val="22"/>
          <w:szCs w:val="22"/>
          <w:lang w:val="en-GB"/>
        </w:rPr>
      </w:pPr>
      <w:r w:rsidRPr="004A008D">
        <w:rPr>
          <w:rFonts w:asciiTheme="minorHAnsi" w:hAnsiTheme="minorHAnsi" w:cstheme="minorHAnsi"/>
          <w:color w:val="auto"/>
          <w:sz w:val="22"/>
          <w:szCs w:val="22"/>
          <w:lang w:val="en-GB"/>
        </w:rPr>
        <w:t xml:space="preserve">The phase-in set out in Article 31 seems to be appropriate and give market participants sufficient time to implement these requirements. </w:t>
      </w:r>
    </w:p>
    <w:p w14:paraId="265B4749" w14:textId="77777777" w:rsidR="003C4946" w:rsidRPr="004A008D" w:rsidRDefault="003C4946" w:rsidP="003C4946">
      <w:pPr>
        <w:pStyle w:val="Default"/>
        <w:jc w:val="both"/>
        <w:rPr>
          <w:rFonts w:asciiTheme="minorHAnsi" w:hAnsiTheme="minorHAnsi" w:cstheme="minorHAnsi"/>
          <w:color w:val="auto"/>
          <w:sz w:val="22"/>
          <w:szCs w:val="22"/>
          <w:lang w:val="en-GB"/>
        </w:rPr>
      </w:pPr>
    </w:p>
    <w:p w14:paraId="16CA89BF" w14:textId="77777777" w:rsidR="003C4946" w:rsidRPr="004A008D" w:rsidRDefault="003C4946" w:rsidP="003C4946">
      <w:pPr>
        <w:jc w:val="both"/>
        <w:rPr>
          <w:rFonts w:cstheme="minorHAnsi"/>
          <w:b/>
          <w:bCs/>
          <w:lang w:val="en-GB"/>
        </w:rPr>
      </w:pPr>
      <w:r w:rsidRPr="004A008D">
        <w:rPr>
          <w:rFonts w:cstheme="minorHAnsi"/>
          <w:b/>
          <w:bCs/>
          <w:lang w:val="en-GB"/>
        </w:rPr>
        <w:t>Q37: What are the stakeholders’ views regarding the transitional and final provisions in general? Are there aspects that should further be considered?</w:t>
      </w:r>
    </w:p>
    <w:p w14:paraId="73133023" w14:textId="77777777" w:rsidR="003C4946" w:rsidRPr="004A008D" w:rsidRDefault="003C4946" w:rsidP="003C4946">
      <w:pPr>
        <w:jc w:val="both"/>
        <w:rPr>
          <w:rFonts w:cstheme="minorHAnsi"/>
          <w:lang w:val="en-GB"/>
        </w:rPr>
      </w:pPr>
      <w:r w:rsidRPr="004A008D">
        <w:rPr>
          <w:rFonts w:cstheme="minorHAnsi"/>
          <w:lang w:val="en-GB"/>
        </w:rPr>
        <w:t xml:space="preserve">Please see responses to Q35 and 36 above. </w:t>
      </w:r>
    </w:p>
    <w:p w14:paraId="33E31DBF" w14:textId="07F6B64E" w:rsidR="003C4946" w:rsidRPr="004A008D" w:rsidRDefault="003C4946" w:rsidP="005B6026">
      <w:pPr>
        <w:rPr>
          <w:rFonts w:cstheme="minorHAnsi"/>
          <w:b/>
          <w:bCs/>
          <w:u w:val="single"/>
          <w:lang w:val="en-GB"/>
        </w:rPr>
      </w:pPr>
    </w:p>
    <w:p w14:paraId="1EBC72C1" w14:textId="1F9EDAD1" w:rsidR="002F01C5" w:rsidRPr="004A008D" w:rsidRDefault="002F01C5" w:rsidP="002F01C5">
      <w:pPr>
        <w:jc w:val="center"/>
        <w:rPr>
          <w:rFonts w:cstheme="minorHAnsi"/>
          <w:b/>
          <w:bCs/>
          <w:lang w:val="en-GB"/>
        </w:rPr>
      </w:pPr>
      <w:r w:rsidRPr="004A008D">
        <w:rPr>
          <w:rFonts w:cstheme="minorHAnsi"/>
          <w:b/>
          <w:bCs/>
          <w:lang w:val="en-GB"/>
        </w:rPr>
        <w:t>*****</w:t>
      </w:r>
    </w:p>
    <w:sectPr w:rsidR="002F01C5" w:rsidRPr="004A008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27E33" w14:textId="77777777" w:rsidR="007E66D2" w:rsidRDefault="007E66D2" w:rsidP="00E60466">
      <w:pPr>
        <w:spacing w:after="0" w:line="240" w:lineRule="auto"/>
      </w:pPr>
      <w:r>
        <w:separator/>
      </w:r>
    </w:p>
  </w:endnote>
  <w:endnote w:type="continuationSeparator" w:id="0">
    <w:p w14:paraId="23FAEDC8" w14:textId="77777777" w:rsidR="007E66D2" w:rsidRDefault="007E66D2" w:rsidP="00E6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ADB52" w14:textId="77777777" w:rsidR="007E66D2" w:rsidRDefault="007E66D2" w:rsidP="00E60466">
      <w:pPr>
        <w:spacing w:after="0" w:line="240" w:lineRule="auto"/>
      </w:pPr>
      <w:r>
        <w:separator/>
      </w:r>
    </w:p>
  </w:footnote>
  <w:footnote w:type="continuationSeparator" w:id="0">
    <w:p w14:paraId="718774D8" w14:textId="77777777" w:rsidR="007E66D2" w:rsidRDefault="007E66D2" w:rsidP="00E60466">
      <w:pPr>
        <w:spacing w:after="0" w:line="240" w:lineRule="auto"/>
      </w:pPr>
      <w:r>
        <w:continuationSeparator/>
      </w:r>
    </w:p>
  </w:footnote>
  <w:footnote w:id="1">
    <w:p w14:paraId="4D98C63C" w14:textId="61B77DF7" w:rsidR="007210A7" w:rsidRPr="00CA78CA" w:rsidRDefault="007210A7">
      <w:pPr>
        <w:pStyle w:val="Fotnotstext"/>
        <w:rPr>
          <w:sz w:val="16"/>
          <w:szCs w:val="16"/>
        </w:rPr>
      </w:pPr>
      <w:r w:rsidRPr="00CA78CA">
        <w:rPr>
          <w:rStyle w:val="Fotnotsreferens"/>
          <w:sz w:val="16"/>
          <w:szCs w:val="16"/>
        </w:rPr>
        <w:footnoteRef/>
      </w:r>
      <w:r w:rsidRPr="00CA78CA">
        <w:rPr>
          <w:sz w:val="16"/>
          <w:szCs w:val="16"/>
        </w:rPr>
        <w:t xml:space="preserve"> </w:t>
      </w:r>
      <w:r w:rsidR="003B136C" w:rsidRPr="00CA78CA">
        <w:rPr>
          <w:sz w:val="16"/>
          <w:szCs w:val="16"/>
        </w:rPr>
        <w:t xml:space="preserve">https://www.isda.org/a/Y3tME/2019.05.17_EU-Letter_IM-Models_FINAL.pdf </w:t>
      </w:r>
    </w:p>
  </w:footnote>
  <w:footnote w:id="2">
    <w:p w14:paraId="26A8233B" w14:textId="2F21A7DC" w:rsidR="000A6889" w:rsidRPr="000A6889" w:rsidRDefault="000A6889">
      <w:pPr>
        <w:pStyle w:val="Fotnotstext"/>
        <w:rPr>
          <w:lang w:val="en-US"/>
        </w:rPr>
      </w:pPr>
      <w:r w:rsidRPr="00CA78CA">
        <w:rPr>
          <w:rStyle w:val="Fotnotsreferens"/>
          <w:sz w:val="16"/>
          <w:szCs w:val="16"/>
        </w:rPr>
        <w:footnoteRef/>
      </w:r>
      <w:r w:rsidRPr="00CA78CA">
        <w:rPr>
          <w:sz w:val="16"/>
          <w:szCs w:val="16"/>
          <w:lang w:val="en-US"/>
        </w:rPr>
        <w:t xml:space="preserve"> </w:t>
      </w:r>
      <w:r w:rsidRPr="00CA78CA">
        <w:rPr>
          <w:rFonts w:cstheme="minorHAnsi"/>
          <w:sz w:val="16"/>
          <w:szCs w:val="16"/>
          <w:lang w:val="en-GB"/>
        </w:rPr>
        <w:t>RTS on the specification of the assessment methodology to use internal models for market risk</w:t>
      </w:r>
    </w:p>
  </w:footnote>
  <w:footnote w:id="3">
    <w:p w14:paraId="332D8CFB" w14:textId="77777777" w:rsidR="00A835CF" w:rsidRPr="000A6889" w:rsidRDefault="00A835CF" w:rsidP="00A835CF">
      <w:pPr>
        <w:pStyle w:val="Fotnotstext"/>
        <w:rPr>
          <w:lang w:val="en-US"/>
        </w:rPr>
      </w:pPr>
      <w:r>
        <w:rPr>
          <w:rStyle w:val="Fotnotsreferens"/>
        </w:rPr>
        <w:footnoteRef/>
      </w:r>
      <w:r w:rsidRPr="000A6889">
        <w:rPr>
          <w:lang w:val="en-US"/>
        </w:rPr>
        <w:t xml:space="preserve"> https://www.isda.org/a/Y3tME/2019.05.17_EU-Letter_IM-Models_FINAL.pdf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C6D9" w14:textId="50A39022" w:rsidR="00E60466" w:rsidRDefault="00E60466" w:rsidP="00E60466">
    <w:pPr>
      <w:pStyle w:val="Sidhuvud"/>
      <w:jc w:val="center"/>
    </w:pPr>
    <w:r>
      <w:rPr>
        <w:noProof/>
      </w:rPr>
      <w:drawing>
        <wp:inline distT="0" distB="0" distL="0" distR="0" wp14:anchorId="2A13976B" wp14:editId="4CA4B3E5">
          <wp:extent cx="2190750" cy="465583"/>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0090" cy="493071"/>
                  </a:xfrm>
                  <a:prstGeom prst="rect">
                    <a:avLst/>
                  </a:prstGeom>
                </pic:spPr>
              </pic:pic>
            </a:graphicData>
          </a:graphic>
        </wp:inline>
      </w:drawing>
    </w:r>
  </w:p>
  <w:p w14:paraId="2DDD371A" w14:textId="1A97B69E" w:rsidR="00E94B54" w:rsidRDefault="00E94B54" w:rsidP="00E60466">
    <w:pPr>
      <w:pStyle w:val="Sidhuvud"/>
      <w:jc w:val="center"/>
    </w:pPr>
  </w:p>
  <w:p w14:paraId="1ED3D99F" w14:textId="7FF43412" w:rsidR="00E60466" w:rsidRDefault="00E60466" w:rsidP="00E60466">
    <w:pPr>
      <w:pStyle w:val="Sidhuvud"/>
      <w:jc w:val="center"/>
    </w:pPr>
  </w:p>
  <w:p w14:paraId="567E89B4" w14:textId="4F759F46" w:rsidR="00E60466" w:rsidRDefault="00E60466" w:rsidP="00E60466">
    <w:pPr>
      <w:pStyle w:val="Sidhuvud"/>
      <w:jc w:val="center"/>
    </w:pPr>
  </w:p>
  <w:p w14:paraId="6E6C14F2" w14:textId="77777777" w:rsidR="00E60466" w:rsidRDefault="00E60466" w:rsidP="00E60466">
    <w:pPr>
      <w:pStyle w:val="Sidhuvud"/>
      <w:jc w:val="center"/>
    </w:pPr>
  </w:p>
  <w:p w14:paraId="64531A26" w14:textId="77777777" w:rsidR="00E60466" w:rsidRDefault="00E604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764"/>
    <w:multiLevelType w:val="hybridMultilevel"/>
    <w:tmpl w:val="C2B410FE"/>
    <w:lvl w:ilvl="0" w:tplc="DFA67EC4">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0E1AED"/>
    <w:multiLevelType w:val="hybridMultilevel"/>
    <w:tmpl w:val="B83ED38C"/>
    <w:lvl w:ilvl="0" w:tplc="BDF8552A">
      <w:start w:val="1"/>
      <w:numFmt w:val="decimal"/>
      <w:lvlText w:val="%1."/>
      <w:lvlJc w:val="left"/>
      <w:pPr>
        <w:ind w:left="720" w:hanging="360"/>
      </w:pPr>
      <w:rPr>
        <w:rFonts w:hint="default"/>
        <w:b/>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68306C4"/>
    <w:multiLevelType w:val="hybridMultilevel"/>
    <w:tmpl w:val="29AAB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991B7E"/>
    <w:multiLevelType w:val="hybridMultilevel"/>
    <w:tmpl w:val="C4D6C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873FD8"/>
    <w:multiLevelType w:val="hybridMultilevel"/>
    <w:tmpl w:val="6F881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3CF254B"/>
    <w:multiLevelType w:val="hybridMultilevel"/>
    <w:tmpl w:val="B8DA09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20"/>
    <w:rsid w:val="00027290"/>
    <w:rsid w:val="0003155D"/>
    <w:rsid w:val="00032F98"/>
    <w:rsid w:val="00033C89"/>
    <w:rsid w:val="00042656"/>
    <w:rsid w:val="0005065B"/>
    <w:rsid w:val="000575B6"/>
    <w:rsid w:val="0006119C"/>
    <w:rsid w:val="000633D8"/>
    <w:rsid w:val="0006580A"/>
    <w:rsid w:val="00071A7B"/>
    <w:rsid w:val="0007286F"/>
    <w:rsid w:val="00072D02"/>
    <w:rsid w:val="0008031D"/>
    <w:rsid w:val="00092A2A"/>
    <w:rsid w:val="00097852"/>
    <w:rsid w:val="000A1352"/>
    <w:rsid w:val="000A2092"/>
    <w:rsid w:val="000A6889"/>
    <w:rsid w:val="000B0181"/>
    <w:rsid w:val="000C4F0D"/>
    <w:rsid w:val="000C65BA"/>
    <w:rsid w:val="000D5086"/>
    <w:rsid w:val="000D6C8C"/>
    <w:rsid w:val="000E525E"/>
    <w:rsid w:val="001365A0"/>
    <w:rsid w:val="001750B6"/>
    <w:rsid w:val="00175C8F"/>
    <w:rsid w:val="0018323E"/>
    <w:rsid w:val="001A6E3A"/>
    <w:rsid w:val="001E56B7"/>
    <w:rsid w:val="001F2BF1"/>
    <w:rsid w:val="00230ACA"/>
    <w:rsid w:val="00237912"/>
    <w:rsid w:val="0025296D"/>
    <w:rsid w:val="002562C7"/>
    <w:rsid w:val="00260A23"/>
    <w:rsid w:val="002A0690"/>
    <w:rsid w:val="002A3D1F"/>
    <w:rsid w:val="002C7C0A"/>
    <w:rsid w:val="002D075A"/>
    <w:rsid w:val="002F01C5"/>
    <w:rsid w:val="002F3273"/>
    <w:rsid w:val="0030101C"/>
    <w:rsid w:val="00302258"/>
    <w:rsid w:val="003240A8"/>
    <w:rsid w:val="003329F4"/>
    <w:rsid w:val="003552AB"/>
    <w:rsid w:val="0036798F"/>
    <w:rsid w:val="00390A31"/>
    <w:rsid w:val="00394B29"/>
    <w:rsid w:val="00396CAC"/>
    <w:rsid w:val="003B121A"/>
    <w:rsid w:val="003B136C"/>
    <w:rsid w:val="003C4946"/>
    <w:rsid w:val="003D0843"/>
    <w:rsid w:val="003D5C3D"/>
    <w:rsid w:val="003E6D6B"/>
    <w:rsid w:val="003F186B"/>
    <w:rsid w:val="003F7E70"/>
    <w:rsid w:val="0040064B"/>
    <w:rsid w:val="00400A1C"/>
    <w:rsid w:val="00412C8C"/>
    <w:rsid w:val="004141A7"/>
    <w:rsid w:val="004601DD"/>
    <w:rsid w:val="0047000F"/>
    <w:rsid w:val="00476642"/>
    <w:rsid w:val="0049601B"/>
    <w:rsid w:val="004A008D"/>
    <w:rsid w:val="004A2E5F"/>
    <w:rsid w:val="004B3EBE"/>
    <w:rsid w:val="004C4B9B"/>
    <w:rsid w:val="004E4306"/>
    <w:rsid w:val="004F21CD"/>
    <w:rsid w:val="00501C2C"/>
    <w:rsid w:val="00517F48"/>
    <w:rsid w:val="00520D50"/>
    <w:rsid w:val="00547230"/>
    <w:rsid w:val="00550EAB"/>
    <w:rsid w:val="00553821"/>
    <w:rsid w:val="00576E72"/>
    <w:rsid w:val="00584BF6"/>
    <w:rsid w:val="005A0C9F"/>
    <w:rsid w:val="005B6026"/>
    <w:rsid w:val="005E5438"/>
    <w:rsid w:val="005F4E13"/>
    <w:rsid w:val="00650C8F"/>
    <w:rsid w:val="0066626E"/>
    <w:rsid w:val="00680918"/>
    <w:rsid w:val="00683030"/>
    <w:rsid w:val="0069301A"/>
    <w:rsid w:val="00697B54"/>
    <w:rsid w:val="006B202F"/>
    <w:rsid w:val="006C242D"/>
    <w:rsid w:val="006C5F47"/>
    <w:rsid w:val="006C657B"/>
    <w:rsid w:val="006D4E24"/>
    <w:rsid w:val="006D60CB"/>
    <w:rsid w:val="006E011F"/>
    <w:rsid w:val="006E06B8"/>
    <w:rsid w:val="006F119A"/>
    <w:rsid w:val="006F5BBF"/>
    <w:rsid w:val="007014BA"/>
    <w:rsid w:val="007210A7"/>
    <w:rsid w:val="00722F8A"/>
    <w:rsid w:val="00726600"/>
    <w:rsid w:val="00733C8F"/>
    <w:rsid w:val="00740632"/>
    <w:rsid w:val="00743EB7"/>
    <w:rsid w:val="007520BB"/>
    <w:rsid w:val="00765BF9"/>
    <w:rsid w:val="00770EB6"/>
    <w:rsid w:val="00771164"/>
    <w:rsid w:val="00771F28"/>
    <w:rsid w:val="00773254"/>
    <w:rsid w:val="007753A6"/>
    <w:rsid w:val="00782E35"/>
    <w:rsid w:val="00787BA4"/>
    <w:rsid w:val="00795479"/>
    <w:rsid w:val="00797DDF"/>
    <w:rsid w:val="007A27DE"/>
    <w:rsid w:val="007A34C7"/>
    <w:rsid w:val="007B45F3"/>
    <w:rsid w:val="007C3E8E"/>
    <w:rsid w:val="007D03D3"/>
    <w:rsid w:val="007E66D2"/>
    <w:rsid w:val="008039C0"/>
    <w:rsid w:val="00811565"/>
    <w:rsid w:val="008122CB"/>
    <w:rsid w:val="00816225"/>
    <w:rsid w:val="0083086C"/>
    <w:rsid w:val="00831484"/>
    <w:rsid w:val="00835730"/>
    <w:rsid w:val="00842EA8"/>
    <w:rsid w:val="00852911"/>
    <w:rsid w:val="00874CAD"/>
    <w:rsid w:val="00880BC5"/>
    <w:rsid w:val="00894531"/>
    <w:rsid w:val="008A5D1D"/>
    <w:rsid w:val="008B1A34"/>
    <w:rsid w:val="008B4927"/>
    <w:rsid w:val="008C2626"/>
    <w:rsid w:val="008C3AE9"/>
    <w:rsid w:val="008E4016"/>
    <w:rsid w:val="008F24B0"/>
    <w:rsid w:val="008F661F"/>
    <w:rsid w:val="00911653"/>
    <w:rsid w:val="0093087C"/>
    <w:rsid w:val="009538C3"/>
    <w:rsid w:val="0095488E"/>
    <w:rsid w:val="009550DB"/>
    <w:rsid w:val="009620DB"/>
    <w:rsid w:val="00982977"/>
    <w:rsid w:val="00991AD1"/>
    <w:rsid w:val="009954CE"/>
    <w:rsid w:val="009B0FDD"/>
    <w:rsid w:val="009B74C9"/>
    <w:rsid w:val="009D2FCE"/>
    <w:rsid w:val="009D7E76"/>
    <w:rsid w:val="00A16535"/>
    <w:rsid w:val="00A20126"/>
    <w:rsid w:val="00A334C7"/>
    <w:rsid w:val="00A452E5"/>
    <w:rsid w:val="00A576A2"/>
    <w:rsid w:val="00A6055C"/>
    <w:rsid w:val="00A72685"/>
    <w:rsid w:val="00A82DFB"/>
    <w:rsid w:val="00A835CF"/>
    <w:rsid w:val="00A83808"/>
    <w:rsid w:val="00A94061"/>
    <w:rsid w:val="00A964E9"/>
    <w:rsid w:val="00AB0DCC"/>
    <w:rsid w:val="00AD2814"/>
    <w:rsid w:val="00AD5DA2"/>
    <w:rsid w:val="00AE4D73"/>
    <w:rsid w:val="00AE6555"/>
    <w:rsid w:val="00AF1CF8"/>
    <w:rsid w:val="00AF5C50"/>
    <w:rsid w:val="00B01E07"/>
    <w:rsid w:val="00B039D3"/>
    <w:rsid w:val="00B070A3"/>
    <w:rsid w:val="00B0714A"/>
    <w:rsid w:val="00B3108B"/>
    <w:rsid w:val="00B37C0B"/>
    <w:rsid w:val="00B4264A"/>
    <w:rsid w:val="00B452E6"/>
    <w:rsid w:val="00B61810"/>
    <w:rsid w:val="00B825C2"/>
    <w:rsid w:val="00BA4671"/>
    <w:rsid w:val="00BA5B47"/>
    <w:rsid w:val="00BA620B"/>
    <w:rsid w:val="00BB5EB4"/>
    <w:rsid w:val="00BB7B47"/>
    <w:rsid w:val="00BB7C96"/>
    <w:rsid w:val="00BC19FE"/>
    <w:rsid w:val="00BD4546"/>
    <w:rsid w:val="00BF611D"/>
    <w:rsid w:val="00C21A93"/>
    <w:rsid w:val="00C27C46"/>
    <w:rsid w:val="00C30820"/>
    <w:rsid w:val="00C40DA2"/>
    <w:rsid w:val="00C44652"/>
    <w:rsid w:val="00C52141"/>
    <w:rsid w:val="00C56AE5"/>
    <w:rsid w:val="00C57CFD"/>
    <w:rsid w:val="00C60584"/>
    <w:rsid w:val="00C80072"/>
    <w:rsid w:val="00C94EA0"/>
    <w:rsid w:val="00C95634"/>
    <w:rsid w:val="00CA5F05"/>
    <w:rsid w:val="00CA78CA"/>
    <w:rsid w:val="00CC57DD"/>
    <w:rsid w:val="00CD7454"/>
    <w:rsid w:val="00CE0159"/>
    <w:rsid w:val="00CE0AEB"/>
    <w:rsid w:val="00CE26CF"/>
    <w:rsid w:val="00CE3CE2"/>
    <w:rsid w:val="00D114DD"/>
    <w:rsid w:val="00D15AB3"/>
    <w:rsid w:val="00D201B5"/>
    <w:rsid w:val="00D24E0A"/>
    <w:rsid w:val="00D32085"/>
    <w:rsid w:val="00D3471F"/>
    <w:rsid w:val="00D602D0"/>
    <w:rsid w:val="00D65480"/>
    <w:rsid w:val="00D661EF"/>
    <w:rsid w:val="00D710A3"/>
    <w:rsid w:val="00D90882"/>
    <w:rsid w:val="00D911F8"/>
    <w:rsid w:val="00DB175A"/>
    <w:rsid w:val="00DB6682"/>
    <w:rsid w:val="00DC412E"/>
    <w:rsid w:val="00DC7D9F"/>
    <w:rsid w:val="00DE5A59"/>
    <w:rsid w:val="00DF535B"/>
    <w:rsid w:val="00DF722F"/>
    <w:rsid w:val="00DF7566"/>
    <w:rsid w:val="00E14145"/>
    <w:rsid w:val="00E1576B"/>
    <w:rsid w:val="00E213B8"/>
    <w:rsid w:val="00E225B1"/>
    <w:rsid w:val="00E57374"/>
    <w:rsid w:val="00E60466"/>
    <w:rsid w:val="00E706EC"/>
    <w:rsid w:val="00E71497"/>
    <w:rsid w:val="00E73B3D"/>
    <w:rsid w:val="00E82EEF"/>
    <w:rsid w:val="00E83254"/>
    <w:rsid w:val="00E94B54"/>
    <w:rsid w:val="00EA1F4B"/>
    <w:rsid w:val="00EB03BC"/>
    <w:rsid w:val="00EB5C57"/>
    <w:rsid w:val="00EB686E"/>
    <w:rsid w:val="00EC28F4"/>
    <w:rsid w:val="00EE2CDE"/>
    <w:rsid w:val="00EF25F2"/>
    <w:rsid w:val="00EF51A6"/>
    <w:rsid w:val="00F01AB3"/>
    <w:rsid w:val="00F13505"/>
    <w:rsid w:val="00F440B8"/>
    <w:rsid w:val="00F74CEC"/>
    <w:rsid w:val="00F946DD"/>
    <w:rsid w:val="00FA1B72"/>
    <w:rsid w:val="00FA24E7"/>
    <w:rsid w:val="00FA718F"/>
    <w:rsid w:val="00FE00B9"/>
    <w:rsid w:val="00FF4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8A49"/>
  <w15:chartTrackingRefBased/>
  <w15:docId w15:val="{E8A320D9-30ED-4DF9-AE61-29EDEE62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0EB6"/>
    <w:pPr>
      <w:ind w:left="720"/>
      <w:contextualSpacing/>
    </w:pPr>
  </w:style>
  <w:style w:type="paragraph" w:styleId="Sidhuvud">
    <w:name w:val="header"/>
    <w:basedOn w:val="Normal"/>
    <w:link w:val="SidhuvudChar"/>
    <w:uiPriority w:val="99"/>
    <w:unhideWhenUsed/>
    <w:rsid w:val="00E604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466"/>
  </w:style>
  <w:style w:type="paragraph" w:styleId="Sidfot">
    <w:name w:val="footer"/>
    <w:basedOn w:val="Normal"/>
    <w:link w:val="SidfotChar"/>
    <w:uiPriority w:val="99"/>
    <w:unhideWhenUsed/>
    <w:rsid w:val="00E6046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0466"/>
  </w:style>
  <w:style w:type="paragraph" w:customStyle="1" w:styleId="Default">
    <w:name w:val="Default"/>
    <w:rsid w:val="006E011F"/>
    <w:pPr>
      <w:autoSpaceDE w:val="0"/>
      <w:autoSpaceDN w:val="0"/>
      <w:adjustRightInd w:val="0"/>
      <w:spacing w:after="0" w:line="240" w:lineRule="auto"/>
    </w:pPr>
    <w:rPr>
      <w:rFonts w:ascii="Calibri" w:hAnsi="Calibri" w:cs="Calibri"/>
      <w:color w:val="000000"/>
      <w:sz w:val="24"/>
      <w:szCs w:val="24"/>
    </w:rPr>
  </w:style>
  <w:style w:type="paragraph" w:styleId="Fotnotstext">
    <w:name w:val="footnote text"/>
    <w:basedOn w:val="Normal"/>
    <w:link w:val="FotnotstextChar"/>
    <w:uiPriority w:val="99"/>
    <w:semiHidden/>
    <w:unhideWhenUsed/>
    <w:rsid w:val="007210A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210A7"/>
    <w:rPr>
      <w:sz w:val="20"/>
      <w:szCs w:val="20"/>
    </w:rPr>
  </w:style>
  <w:style w:type="character" w:styleId="Fotnotsreferens">
    <w:name w:val="footnote reference"/>
    <w:basedOn w:val="Standardstycketeckensnitt"/>
    <w:uiPriority w:val="99"/>
    <w:semiHidden/>
    <w:unhideWhenUsed/>
    <w:rsid w:val="007210A7"/>
    <w:rPr>
      <w:vertAlign w:val="superscript"/>
    </w:rPr>
  </w:style>
  <w:style w:type="character" w:styleId="Hyperlnk">
    <w:name w:val="Hyperlink"/>
    <w:basedOn w:val="Standardstycketeckensnitt"/>
    <w:uiPriority w:val="99"/>
    <w:unhideWhenUsed/>
    <w:rsid w:val="003B136C"/>
    <w:rPr>
      <w:color w:val="0563C1" w:themeColor="hyperlink"/>
      <w:u w:val="single"/>
    </w:rPr>
  </w:style>
  <w:style w:type="character" w:styleId="Olstomnmnande">
    <w:name w:val="Unresolved Mention"/>
    <w:basedOn w:val="Standardstycketeckensnitt"/>
    <w:uiPriority w:val="99"/>
    <w:semiHidden/>
    <w:unhideWhenUsed/>
    <w:rsid w:val="003B136C"/>
    <w:rPr>
      <w:color w:val="605E5C"/>
      <w:shd w:val="clear" w:color="auto" w:fill="E1DFDD"/>
    </w:rPr>
  </w:style>
  <w:style w:type="character" w:styleId="Kommentarsreferens">
    <w:name w:val="annotation reference"/>
    <w:basedOn w:val="Standardstycketeckensnitt"/>
    <w:uiPriority w:val="99"/>
    <w:semiHidden/>
    <w:unhideWhenUsed/>
    <w:rsid w:val="003D0843"/>
    <w:rPr>
      <w:sz w:val="16"/>
      <w:szCs w:val="16"/>
    </w:rPr>
  </w:style>
  <w:style w:type="paragraph" w:styleId="Kommentarer">
    <w:name w:val="annotation text"/>
    <w:basedOn w:val="Normal"/>
    <w:link w:val="KommentarerChar"/>
    <w:uiPriority w:val="99"/>
    <w:semiHidden/>
    <w:unhideWhenUsed/>
    <w:rsid w:val="003D0843"/>
    <w:pPr>
      <w:spacing w:line="240" w:lineRule="auto"/>
    </w:pPr>
    <w:rPr>
      <w:sz w:val="20"/>
      <w:szCs w:val="20"/>
    </w:rPr>
  </w:style>
  <w:style w:type="character" w:customStyle="1" w:styleId="KommentarerChar">
    <w:name w:val="Kommentarer Char"/>
    <w:basedOn w:val="Standardstycketeckensnitt"/>
    <w:link w:val="Kommentarer"/>
    <w:uiPriority w:val="99"/>
    <w:semiHidden/>
    <w:rsid w:val="003D0843"/>
    <w:rPr>
      <w:sz w:val="20"/>
      <w:szCs w:val="20"/>
    </w:rPr>
  </w:style>
  <w:style w:type="paragraph" w:styleId="Kommentarsmne">
    <w:name w:val="annotation subject"/>
    <w:basedOn w:val="Kommentarer"/>
    <w:next w:val="Kommentarer"/>
    <w:link w:val="KommentarsmneChar"/>
    <w:uiPriority w:val="99"/>
    <w:semiHidden/>
    <w:unhideWhenUsed/>
    <w:rsid w:val="003D0843"/>
    <w:rPr>
      <w:b/>
      <w:bCs/>
    </w:rPr>
  </w:style>
  <w:style w:type="character" w:customStyle="1" w:styleId="KommentarsmneChar">
    <w:name w:val="Kommentarsämne Char"/>
    <w:basedOn w:val="KommentarerChar"/>
    <w:link w:val="Kommentarsmne"/>
    <w:uiPriority w:val="99"/>
    <w:semiHidden/>
    <w:rsid w:val="003D0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3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3" ma:contentTypeDescription="Create a new document." ma:contentTypeScope="" ma:versionID="e861b02c7ab929497b8515343281a691">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ef6a772fcedbb2f3fcfebaf478a57df9"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69785-056A-449C-9882-1CA6A1FB9A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09CE00-E355-4F45-86C2-8BDD0155C819}">
  <ds:schemaRefs>
    <ds:schemaRef ds:uri="http://schemas.openxmlformats.org/officeDocument/2006/bibliography"/>
  </ds:schemaRefs>
</ds:datastoreItem>
</file>

<file path=customXml/itemProps3.xml><?xml version="1.0" encoding="utf-8"?>
<ds:datastoreItem xmlns:ds="http://schemas.openxmlformats.org/officeDocument/2006/customXml" ds:itemID="{372D6FEE-6FFD-4C15-A8EC-63BD0EA9E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CB559-1DFA-494C-8878-546037ACD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2413</Words>
  <Characters>12795</Characters>
  <Application>Microsoft Office Word</Application>
  <DocSecurity>0</DocSecurity>
  <Lines>106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Mannent</dc:creator>
  <cp:keywords/>
  <dc:description/>
  <cp:lastModifiedBy>Sara Mitelman</cp:lastModifiedBy>
  <cp:revision>3</cp:revision>
  <dcterms:created xsi:type="dcterms:W3CDTF">2022-02-04T11:09:00Z</dcterms:created>
  <dcterms:modified xsi:type="dcterms:W3CDTF">2022-02-04T11:20:00Z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ies>
</file>