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7" w:type="dxa"/>
        <w:tblCellMar>
          <w:left w:w="0" w:type="dxa"/>
          <w:right w:w="0" w:type="dxa"/>
        </w:tblCellMar>
        <w:tblLook w:val="04A0" w:firstRow="1" w:lastRow="0" w:firstColumn="1" w:lastColumn="0" w:noHBand="0" w:noVBand="1"/>
      </w:tblPr>
      <w:tblGrid>
        <w:gridCol w:w="1276"/>
        <w:gridCol w:w="7371"/>
        <w:gridCol w:w="410"/>
      </w:tblGrid>
      <w:tr w:rsidR="00514A06" w:rsidRPr="00737DA3" w14:paraId="0FC845E5" w14:textId="77777777" w:rsidTr="00767572">
        <w:trPr>
          <w:trHeight w:hRule="exact" w:val="1134"/>
        </w:trPr>
        <w:tc>
          <w:tcPr>
            <w:tcW w:w="9057" w:type="dxa"/>
            <w:gridSpan w:val="3"/>
          </w:tcPr>
          <w:p w14:paraId="66FF6CD1" w14:textId="7D20FEAC" w:rsidR="005941AE" w:rsidRDefault="008D248F" w:rsidP="00AB2078">
            <w:pPr>
              <w:pStyle w:val="NWBDocumentNaam"/>
            </w:pPr>
            <w:r>
              <w:t>CONSULTATION comments (E</w:t>
            </w:r>
            <w:r w:rsidRPr="009A61E4">
              <w:t>BA/CP/2021/3</w:t>
            </w:r>
            <w:r w:rsidR="00CF10E6">
              <w:t>6</w:t>
            </w:r>
            <w:r>
              <w:t>)</w:t>
            </w:r>
          </w:p>
          <w:p w14:paraId="6FFE7480" w14:textId="77777777" w:rsidR="00514A06" w:rsidRPr="005941AE" w:rsidRDefault="005941AE" w:rsidP="005941AE">
            <w:pPr>
              <w:tabs>
                <w:tab w:val="left" w:pos="3648"/>
                <w:tab w:val="left" w:pos="4080"/>
              </w:tabs>
            </w:pPr>
            <w:r>
              <w:tab/>
            </w:r>
            <w:r>
              <w:tab/>
            </w:r>
          </w:p>
        </w:tc>
      </w:tr>
      <w:tr w:rsidR="00AB2078" w:rsidRPr="00737DA3" w14:paraId="0C15E672" w14:textId="77777777" w:rsidTr="00767572">
        <w:trPr>
          <w:gridAfter w:val="1"/>
          <w:wAfter w:w="410" w:type="dxa"/>
        </w:trPr>
        <w:tc>
          <w:tcPr>
            <w:tcW w:w="1276" w:type="dxa"/>
          </w:tcPr>
          <w:p w14:paraId="112E0B2E" w14:textId="77777777" w:rsidR="00AB2078" w:rsidRPr="00AB2078" w:rsidRDefault="007C7AAE" w:rsidP="004975B5">
            <w:pPr>
              <w:pStyle w:val="Referentiekopjes"/>
            </w:pPr>
            <w:proofErr w:type="spellStart"/>
            <w:r>
              <w:t>To</w:t>
            </w:r>
            <w:proofErr w:type="spellEnd"/>
          </w:p>
        </w:tc>
        <w:tc>
          <w:tcPr>
            <w:tcW w:w="7371" w:type="dxa"/>
          </w:tcPr>
          <w:p w14:paraId="2E6FA4E6" w14:textId="1AB775FD" w:rsidR="00AB2078" w:rsidRPr="00AB2078" w:rsidRDefault="00AB2078" w:rsidP="007C7AAE">
            <w:pPr>
              <w:pStyle w:val="Referentiekopjes"/>
            </w:pPr>
            <w:r>
              <w:t xml:space="preserve">: </w:t>
            </w:r>
            <w:sdt>
              <w:sdtPr>
                <w:id w:val="1482121917"/>
                <w:placeholder>
                  <w:docPart w:val="31523F5C01E4491F822C8A7B41EFF1E9"/>
                </w:placeholder>
                <w:text w:multiLine="1"/>
              </w:sdtPr>
              <w:sdtEndPr/>
              <w:sdtContent>
                <w:r w:rsidR="00FA5D91">
                  <w:t xml:space="preserve">European Banking </w:t>
                </w:r>
                <w:proofErr w:type="spellStart"/>
                <w:r w:rsidR="00FA5D91">
                  <w:t>Authority</w:t>
                </w:r>
                <w:proofErr w:type="spellEnd"/>
              </w:sdtContent>
            </w:sdt>
          </w:p>
        </w:tc>
      </w:tr>
      <w:tr w:rsidR="00AB2078" w:rsidRPr="00737DA3" w14:paraId="2A3D016A" w14:textId="77777777" w:rsidTr="00767572">
        <w:trPr>
          <w:gridAfter w:val="1"/>
          <w:wAfter w:w="410" w:type="dxa"/>
        </w:trPr>
        <w:tc>
          <w:tcPr>
            <w:tcW w:w="1276" w:type="dxa"/>
          </w:tcPr>
          <w:p w14:paraId="3F36638E" w14:textId="77777777" w:rsidR="00AB2078" w:rsidRPr="00AB2078" w:rsidRDefault="007C7AAE" w:rsidP="004975B5">
            <w:pPr>
              <w:pStyle w:val="Referentiekopjes"/>
            </w:pPr>
            <w:proofErr w:type="spellStart"/>
            <w:r>
              <w:t>From</w:t>
            </w:r>
            <w:proofErr w:type="spellEnd"/>
          </w:p>
        </w:tc>
        <w:tc>
          <w:tcPr>
            <w:tcW w:w="7371" w:type="dxa"/>
          </w:tcPr>
          <w:p w14:paraId="249604A5" w14:textId="6697457F" w:rsidR="00AB2078" w:rsidRPr="00AB2078" w:rsidRDefault="00AB2078" w:rsidP="007C7AAE">
            <w:pPr>
              <w:pStyle w:val="Referentiekopjes"/>
            </w:pPr>
            <w:r>
              <w:t xml:space="preserve">: </w:t>
            </w:r>
            <w:sdt>
              <w:sdtPr>
                <w:id w:val="1900478517"/>
                <w:placeholder>
                  <w:docPart w:val="72F0184F948C4479A59BFE1B761B6526"/>
                </w:placeholder>
                <w:text w:multiLine="1"/>
              </w:sdtPr>
              <w:sdtEndPr/>
              <w:sdtContent>
                <w:r w:rsidR="00767572">
                  <w:t>NWB Bank</w:t>
                </w:r>
              </w:sdtContent>
            </w:sdt>
          </w:p>
        </w:tc>
      </w:tr>
      <w:tr w:rsidR="00AB2078" w:rsidRPr="00AB2078" w14:paraId="08F40147" w14:textId="77777777" w:rsidTr="00767572">
        <w:tc>
          <w:tcPr>
            <w:tcW w:w="1276" w:type="dxa"/>
          </w:tcPr>
          <w:p w14:paraId="016C0053" w14:textId="77777777" w:rsidR="00AB2078" w:rsidRPr="005941AE" w:rsidRDefault="00AB2078" w:rsidP="00AB2078"/>
        </w:tc>
        <w:tc>
          <w:tcPr>
            <w:tcW w:w="7781" w:type="dxa"/>
            <w:gridSpan w:val="2"/>
          </w:tcPr>
          <w:p w14:paraId="27552833" w14:textId="77777777" w:rsidR="00AB2078" w:rsidRPr="005941AE" w:rsidRDefault="00AB2078" w:rsidP="00AB2078"/>
        </w:tc>
      </w:tr>
      <w:tr w:rsidR="00E47AF3" w:rsidRPr="000D3B33" w14:paraId="0E57FBDE" w14:textId="77777777" w:rsidTr="00767572">
        <w:tc>
          <w:tcPr>
            <w:tcW w:w="1276" w:type="dxa"/>
          </w:tcPr>
          <w:p w14:paraId="13E1AA1E" w14:textId="77777777" w:rsidR="00E47AF3" w:rsidRPr="00737DA3" w:rsidRDefault="00AB2078" w:rsidP="007C7AAE">
            <w:pPr>
              <w:pStyle w:val="Referentiekopjes"/>
            </w:pPr>
            <w:r>
              <w:t>Dat</w:t>
            </w:r>
            <w:r w:rsidR="007C7AAE">
              <w:t>e</w:t>
            </w:r>
          </w:p>
        </w:tc>
        <w:tc>
          <w:tcPr>
            <w:tcW w:w="7781" w:type="dxa"/>
            <w:gridSpan w:val="2"/>
          </w:tcPr>
          <w:p w14:paraId="53480E43" w14:textId="675BED0F" w:rsidR="00E47AF3" w:rsidRPr="000D3B33" w:rsidRDefault="00C9066D" w:rsidP="007C7AAE">
            <w:pPr>
              <w:pStyle w:val="Referentiekopjes"/>
              <w:rPr>
                <w:lang w:val="en-US"/>
              </w:rPr>
            </w:pPr>
            <w:r w:rsidRPr="000D3B33">
              <w:rPr>
                <w:lang w:val="en-US"/>
              </w:rPr>
              <w:t xml:space="preserve">: </w:t>
            </w:r>
            <w:sdt>
              <w:sdtPr>
                <w:id w:val="1246455648"/>
                <w:placeholder>
                  <w:docPart w:val="C009DFE03D6F4275A975933AFD3EA461"/>
                </w:placeholder>
                <w:date w:fullDate="2022-04-04T00:00:00Z">
                  <w:dateFormat w:val="d MMMM yyyy"/>
                  <w:lid w:val="nl-NL"/>
                  <w:storeMappedDataAs w:val="dateTime"/>
                  <w:calendar w:val="gregorian"/>
                </w:date>
              </w:sdtPr>
              <w:sdtEndPr/>
              <w:sdtContent>
                <w:r w:rsidR="00767572">
                  <w:t>4 april 2022</w:t>
                </w:r>
              </w:sdtContent>
            </w:sdt>
          </w:p>
        </w:tc>
      </w:tr>
      <w:tr w:rsidR="00E47AF3" w:rsidRPr="00737DA3" w14:paraId="0854E61F" w14:textId="77777777" w:rsidTr="00767572">
        <w:trPr>
          <w:gridAfter w:val="1"/>
          <w:wAfter w:w="410" w:type="dxa"/>
          <w:trHeight w:hRule="exact" w:val="284"/>
        </w:trPr>
        <w:tc>
          <w:tcPr>
            <w:tcW w:w="1276" w:type="dxa"/>
          </w:tcPr>
          <w:p w14:paraId="6066356F" w14:textId="77777777" w:rsidR="00E47AF3" w:rsidRPr="00737DA3" w:rsidRDefault="007C7AAE" w:rsidP="00C9066D">
            <w:pPr>
              <w:pStyle w:val="Referentiekopjes"/>
            </w:pPr>
            <w:r>
              <w:t>Subject</w:t>
            </w:r>
          </w:p>
        </w:tc>
        <w:tc>
          <w:tcPr>
            <w:tcW w:w="7371" w:type="dxa"/>
          </w:tcPr>
          <w:p w14:paraId="4C1CCF98" w14:textId="77777777" w:rsidR="00E47AF3" w:rsidRPr="00737DA3" w:rsidRDefault="00C9066D" w:rsidP="007C7AAE">
            <w:pPr>
              <w:pStyle w:val="Referentiekopjes"/>
            </w:pPr>
            <w:r w:rsidRPr="00737DA3">
              <w:t xml:space="preserve">: </w:t>
            </w:r>
            <w:sdt>
              <w:sdtPr>
                <w:id w:val="-635489650"/>
                <w:placeholder>
                  <w:docPart w:val="018018849C7D40C3BF32413A1DF387E6"/>
                </w:placeholder>
                <w:showingPlcHdr/>
                <w:text w:multiLine="1"/>
              </w:sdtPr>
              <w:sdtEndPr/>
              <w:sdtContent>
                <w:r w:rsidR="000D3B33">
                  <w:t>[</w:t>
                </w:r>
                <w:r w:rsidR="007C7AAE">
                  <w:t>Subject</w:t>
                </w:r>
                <w:r w:rsidR="000D3B33">
                  <w:t>]</w:t>
                </w:r>
              </w:sdtContent>
            </w:sdt>
          </w:p>
        </w:tc>
      </w:tr>
      <w:tr w:rsidR="000D3B33" w:rsidRPr="00737DA3" w14:paraId="47BE2B82" w14:textId="77777777" w:rsidTr="00767572">
        <w:trPr>
          <w:gridAfter w:val="1"/>
          <w:wAfter w:w="410" w:type="dxa"/>
          <w:trHeight w:hRule="exact" w:val="284"/>
        </w:trPr>
        <w:tc>
          <w:tcPr>
            <w:tcW w:w="8647" w:type="dxa"/>
            <w:gridSpan w:val="2"/>
            <w:tcBorders>
              <w:bottom w:val="double" w:sz="4" w:space="0" w:color="auto"/>
            </w:tcBorders>
          </w:tcPr>
          <w:p w14:paraId="6E26209D" w14:textId="77777777" w:rsidR="000D3B33" w:rsidRDefault="000D3B33" w:rsidP="000D3B33">
            <w:pPr>
              <w:pStyle w:val="Referentiekopjes"/>
            </w:pPr>
          </w:p>
        </w:tc>
      </w:tr>
      <w:tr w:rsidR="002F0E1E" w:rsidRPr="00737DA3" w14:paraId="6C4BD687" w14:textId="77777777" w:rsidTr="00767572">
        <w:trPr>
          <w:gridAfter w:val="1"/>
          <w:wAfter w:w="410" w:type="dxa"/>
          <w:trHeight w:hRule="exact" w:val="284"/>
        </w:trPr>
        <w:tc>
          <w:tcPr>
            <w:tcW w:w="8647" w:type="dxa"/>
            <w:gridSpan w:val="2"/>
            <w:tcBorders>
              <w:top w:val="double" w:sz="4" w:space="0" w:color="auto"/>
            </w:tcBorders>
          </w:tcPr>
          <w:p w14:paraId="6597F975" w14:textId="77777777" w:rsidR="002F0E1E" w:rsidRDefault="002F0E1E" w:rsidP="000D3B33">
            <w:pPr>
              <w:pStyle w:val="Referentiekopjes"/>
            </w:pPr>
          </w:p>
          <w:p w14:paraId="1249F88A" w14:textId="77777777" w:rsidR="002F0E1E" w:rsidRDefault="002F0E1E" w:rsidP="000D3B33">
            <w:pPr>
              <w:pStyle w:val="Referentiekopjes"/>
            </w:pPr>
          </w:p>
          <w:p w14:paraId="3AD0835A" w14:textId="77777777" w:rsidR="002F0E1E" w:rsidRDefault="002F0E1E" w:rsidP="000D3B33">
            <w:pPr>
              <w:pStyle w:val="Referentiekopjes"/>
            </w:pPr>
          </w:p>
        </w:tc>
      </w:tr>
      <w:tr w:rsidR="002F0E1E" w:rsidRPr="00737DA3" w14:paraId="13963616" w14:textId="77777777" w:rsidTr="00767572">
        <w:trPr>
          <w:gridAfter w:val="1"/>
          <w:wAfter w:w="410" w:type="dxa"/>
          <w:trHeight w:hRule="exact" w:val="284"/>
        </w:trPr>
        <w:tc>
          <w:tcPr>
            <w:tcW w:w="8647" w:type="dxa"/>
            <w:gridSpan w:val="2"/>
          </w:tcPr>
          <w:p w14:paraId="3471FA25" w14:textId="77777777" w:rsidR="002F0E1E" w:rsidRDefault="002F0E1E" w:rsidP="000D3B33">
            <w:pPr>
              <w:pStyle w:val="Referentiekopjes"/>
            </w:pPr>
          </w:p>
        </w:tc>
      </w:tr>
    </w:tbl>
    <w:p w14:paraId="04A598E7" w14:textId="77777777" w:rsidR="00F979A3" w:rsidRDefault="00F979A3" w:rsidP="001513CF">
      <w:pPr>
        <w:spacing w:line="20" w:lineRule="exact"/>
      </w:pPr>
    </w:p>
    <w:p w14:paraId="320EE193" w14:textId="3535FBCB" w:rsidR="006C0A68" w:rsidRDefault="006C0A68">
      <w:pPr>
        <w:rPr>
          <w:lang w:val="en-GB"/>
        </w:rPr>
      </w:pPr>
      <w:r>
        <w:rPr>
          <w:lang w:val="en-GB"/>
        </w:rPr>
        <w:t>NWB Bank</w:t>
      </w:r>
      <w:r w:rsidRPr="006C0A68">
        <w:rPr>
          <w:lang w:val="en-GB"/>
        </w:rPr>
        <w:t xml:space="preserve"> appreciates the opportunity to respond to EBA’s consultations on IRRBB/CSRBB. </w:t>
      </w:r>
      <w:r w:rsidR="00CF10E6">
        <w:rPr>
          <w:lang w:val="en-GB"/>
        </w:rPr>
        <w:t>The Bank also draws EBA’s attention to the responses submitted by the EBF, the European Banking Federation, the NVB, the association of Dutch banks, and EAPB, the European association of public banks.</w:t>
      </w:r>
      <w:r>
        <w:rPr>
          <w:lang w:val="en-GB"/>
        </w:rPr>
        <w:t xml:space="preserve"> The Bank would like to draw EBA’s attention to the purpose served by promotional banks</w:t>
      </w:r>
      <w:r w:rsidR="008A2DE6">
        <w:rPr>
          <w:lang w:val="en-GB"/>
        </w:rPr>
        <w:t xml:space="preserve"> in financing socially beneficial activities. A strong focus on fair valuation and market valuation carries the risk that the guidelines become unduly burdensome to promotional banks and, consequently, to the societies they serve.</w:t>
      </w:r>
    </w:p>
    <w:p w14:paraId="59989AF9" w14:textId="77777777" w:rsidR="008A2DE6" w:rsidRDefault="008A2DE6">
      <w:pPr>
        <w:rPr>
          <w:lang w:val="en-GB"/>
        </w:rPr>
      </w:pPr>
    </w:p>
    <w:p w14:paraId="7127F293" w14:textId="6081AA41" w:rsidR="00F979A3" w:rsidRPr="007C7AAE" w:rsidRDefault="008A2DE6" w:rsidP="00501C82">
      <w:pPr>
        <w:rPr>
          <w:lang w:val="en-GB"/>
        </w:rPr>
      </w:pPr>
      <w:r>
        <w:rPr>
          <w:lang w:val="en-GB"/>
        </w:rPr>
        <w:t xml:space="preserve">We submit the following response to the Consultation Paper </w:t>
      </w:r>
      <w:r w:rsidR="00CF10E6">
        <w:rPr>
          <w:lang w:val="en-GB"/>
        </w:rPr>
        <w:t>E</w:t>
      </w:r>
      <w:r w:rsidR="00CF10E6" w:rsidRPr="00D22F35">
        <w:rPr>
          <w:lang w:val="en-GB"/>
        </w:rPr>
        <w:t>BA/CP/2021/3</w:t>
      </w:r>
      <w:r w:rsidR="00CF10E6">
        <w:rPr>
          <w:lang w:val="en-GB"/>
        </w:rPr>
        <w:t xml:space="preserve">6 </w:t>
      </w:r>
      <w:r>
        <w:rPr>
          <w:lang w:val="en-GB"/>
        </w:rPr>
        <w:t>on the “</w:t>
      </w:r>
      <w:r w:rsidR="00501C82" w:rsidRPr="00501C82">
        <w:rPr>
          <w:b/>
          <w:bCs/>
          <w:i/>
          <w:iCs/>
          <w:lang w:val="en-GB"/>
        </w:rPr>
        <w:t>Draft Regulatory Technical Standards specifying</w:t>
      </w:r>
      <w:r w:rsidR="00501C82">
        <w:rPr>
          <w:b/>
          <w:bCs/>
          <w:i/>
          <w:iCs/>
          <w:lang w:val="en-GB"/>
        </w:rPr>
        <w:t xml:space="preserve"> </w:t>
      </w:r>
      <w:r w:rsidR="00501C82" w:rsidRPr="00501C82">
        <w:rPr>
          <w:b/>
          <w:bCs/>
          <w:i/>
          <w:iCs/>
          <w:lang w:val="en-GB"/>
        </w:rPr>
        <w:t xml:space="preserve">supervisory shock scenarios, common modelling and parametric assumptions and what constitutes a large decline for the </w:t>
      </w:r>
      <w:r w:rsidR="00501C82">
        <w:rPr>
          <w:b/>
          <w:bCs/>
          <w:i/>
          <w:iCs/>
          <w:lang w:val="en-GB"/>
        </w:rPr>
        <w:t>c</w:t>
      </w:r>
      <w:r w:rsidR="00501C82" w:rsidRPr="00501C82">
        <w:rPr>
          <w:b/>
          <w:bCs/>
          <w:i/>
          <w:iCs/>
          <w:lang w:val="en-GB"/>
        </w:rPr>
        <w:t>alculation of the economic value of equity and of the net interest income in accordance with Article 98(5a) of Directive 2013/36/EU.</w:t>
      </w:r>
      <w:r>
        <w:rPr>
          <w:lang w:val="en-GB"/>
        </w:rPr>
        <w:t xml:space="preserve">” </w:t>
      </w:r>
      <w:r w:rsidR="006C0A68" w:rsidRPr="006C0A68">
        <w:rPr>
          <w:lang w:val="en-GB"/>
        </w:rPr>
        <w:t>for your further consideration.</w:t>
      </w:r>
    </w:p>
    <w:p w14:paraId="49B267FB" w14:textId="77777777" w:rsidR="00276746" w:rsidRPr="007C7AAE" w:rsidRDefault="00276746" w:rsidP="00276746">
      <w:pPr>
        <w:rPr>
          <w:lang w:val="en-GB"/>
        </w:rPr>
      </w:pPr>
    </w:p>
    <w:p w14:paraId="5C4BDEE0" w14:textId="2C6955A0" w:rsidR="00276746" w:rsidRPr="002F0DBC" w:rsidRDefault="00276746" w:rsidP="00276746">
      <w:pPr>
        <w:pBdr>
          <w:top w:val="single" w:sz="18" w:space="1" w:color="004259"/>
          <w:bottom w:val="single" w:sz="18" w:space="1" w:color="004259"/>
        </w:pBdr>
        <w:rPr>
          <w:lang w:val="en-GB"/>
        </w:rPr>
      </w:pPr>
      <w:r>
        <w:rPr>
          <w:b/>
          <w:bCs/>
          <w:lang w:val="en-GB"/>
        </w:rPr>
        <w:t>General</w:t>
      </w:r>
      <w:r w:rsidRPr="002F0DBC">
        <w:rPr>
          <w:b/>
          <w:bCs/>
          <w:lang w:val="en-GB"/>
        </w:rPr>
        <w:t xml:space="preserve"> </w:t>
      </w:r>
      <w:r>
        <w:rPr>
          <w:b/>
          <w:bCs/>
          <w:lang w:val="en-GB"/>
        </w:rPr>
        <w:t>remark</w:t>
      </w:r>
      <w:r w:rsidRPr="002F0DBC">
        <w:rPr>
          <w:b/>
          <w:bCs/>
          <w:lang w:val="en-GB"/>
        </w:rPr>
        <w:t>:</w:t>
      </w:r>
    </w:p>
    <w:p w14:paraId="400F6549" w14:textId="233556BE" w:rsidR="00CD59AF" w:rsidRPr="00276746" w:rsidRDefault="00276746" w:rsidP="00276746">
      <w:pPr>
        <w:pBdr>
          <w:top w:val="single" w:sz="18" w:space="1" w:color="004259"/>
          <w:bottom w:val="single" w:sz="18" w:space="1" w:color="004259"/>
        </w:pBdr>
        <w:rPr>
          <w:lang w:val="en-GB"/>
        </w:rPr>
      </w:pPr>
      <w:r>
        <w:rPr>
          <w:lang w:val="en-GB"/>
        </w:rPr>
        <w:t xml:space="preserve">The bank </w:t>
      </w:r>
      <w:r w:rsidR="0017198E">
        <w:rPr>
          <w:lang w:val="en-GB"/>
        </w:rPr>
        <w:t>ask</w:t>
      </w:r>
      <w:r>
        <w:rPr>
          <w:lang w:val="en-GB"/>
        </w:rPr>
        <w:t xml:space="preserve">s that </w:t>
      </w:r>
      <w:r w:rsidR="0017198E">
        <w:rPr>
          <w:lang w:val="en-GB"/>
        </w:rPr>
        <w:t xml:space="preserve">EBA recognises </w:t>
      </w:r>
      <w:r>
        <w:rPr>
          <w:lang w:val="en-GB"/>
        </w:rPr>
        <w:t xml:space="preserve">promotional and public banks </w:t>
      </w:r>
      <w:bookmarkStart w:id="0" w:name="_Hlk98403787"/>
      <w:r w:rsidRPr="00E9436A">
        <w:rPr>
          <w:lang w:val="en-GB"/>
        </w:rPr>
        <w:t>provide financial services and funding for projects that support sustainable economic and social development</w:t>
      </w:r>
      <w:r>
        <w:rPr>
          <w:lang w:val="en-GB"/>
        </w:rPr>
        <w:t>.</w:t>
      </w:r>
      <w:r w:rsidR="00962901">
        <w:rPr>
          <w:lang w:val="en-GB"/>
        </w:rPr>
        <w:t xml:space="preserve"> </w:t>
      </w:r>
      <w:bookmarkStart w:id="1" w:name="_Hlk99008795"/>
      <w:r w:rsidR="00962901">
        <w:rPr>
          <w:lang w:val="en-GB"/>
        </w:rPr>
        <w:t>They are ‘not-for-profit’ banks.</w:t>
      </w:r>
      <w:bookmarkEnd w:id="1"/>
      <w:r>
        <w:rPr>
          <w:lang w:val="en-GB"/>
        </w:rPr>
        <w:t xml:space="preserve"> </w:t>
      </w:r>
      <w:bookmarkEnd w:id="0"/>
      <w:r>
        <w:rPr>
          <w:lang w:val="en-GB"/>
        </w:rPr>
        <w:t>They</w:t>
      </w:r>
      <w:r w:rsidRPr="0095715C">
        <w:rPr>
          <w:lang w:val="en-GB"/>
        </w:rPr>
        <w:t xml:space="preserve">, typically, provide </w:t>
      </w:r>
      <w:r>
        <w:rPr>
          <w:lang w:val="en-GB"/>
        </w:rPr>
        <w:t>their</w:t>
      </w:r>
      <w:r w:rsidRPr="0095715C">
        <w:rPr>
          <w:lang w:val="en-GB"/>
        </w:rPr>
        <w:t xml:space="preserve"> customers an alternative to </w:t>
      </w:r>
      <w:r>
        <w:rPr>
          <w:lang w:val="en-GB"/>
        </w:rPr>
        <w:t>capit</w:t>
      </w:r>
      <w:r w:rsidRPr="0095715C">
        <w:rPr>
          <w:lang w:val="en-GB"/>
        </w:rPr>
        <w:t xml:space="preserve">al markets that fail to price in the benefits of </w:t>
      </w:r>
      <w:r w:rsidRPr="00E9436A">
        <w:rPr>
          <w:lang w:val="en-GB"/>
        </w:rPr>
        <w:t>sustainable economic and social development</w:t>
      </w:r>
      <w:r>
        <w:rPr>
          <w:lang w:val="en-GB"/>
        </w:rPr>
        <w:t xml:space="preserve"> to the community at large. They offer loans tailored for the needs of individual clients and commit long term to their clients. Consequently, the banking books of promotional and public banks will hold loans for which </w:t>
      </w:r>
      <w:r w:rsidR="0017198E">
        <w:rPr>
          <w:lang w:val="en-GB"/>
        </w:rPr>
        <w:t xml:space="preserve">there are no deep and liquid markets. Commercial margins and spreads, generally, will reflect the </w:t>
      </w:r>
      <w:r w:rsidR="00CD59AF">
        <w:rPr>
          <w:lang w:val="en-GB"/>
        </w:rPr>
        <w:t>banks’ missions and not the interest rate environment.</w:t>
      </w:r>
    </w:p>
    <w:p w14:paraId="7C34122C" w14:textId="5746261B" w:rsidR="00276746" w:rsidRDefault="00276746" w:rsidP="00276746">
      <w:pPr>
        <w:rPr>
          <w:lang w:val="en-GB"/>
        </w:rPr>
      </w:pPr>
    </w:p>
    <w:p w14:paraId="3930CD46" w14:textId="33963C8F" w:rsidR="002F00CD" w:rsidRDefault="002F00CD" w:rsidP="00276746">
      <w:pPr>
        <w:rPr>
          <w:lang w:val="en-GB"/>
        </w:rPr>
      </w:pPr>
      <w:r>
        <w:rPr>
          <w:lang w:val="en-GB"/>
        </w:rPr>
        <w:t xml:space="preserve">The bank has the following general </w:t>
      </w:r>
      <w:r w:rsidR="00685F92">
        <w:rPr>
          <w:lang w:val="en-GB"/>
        </w:rPr>
        <w:t>observa</w:t>
      </w:r>
      <w:r>
        <w:rPr>
          <w:lang w:val="en-GB"/>
        </w:rPr>
        <w:t xml:space="preserve">tions relating to the </w:t>
      </w:r>
      <w:r w:rsidR="00501C82">
        <w:rPr>
          <w:lang w:val="en-GB"/>
        </w:rPr>
        <w:t>dra</w:t>
      </w:r>
      <w:r w:rsidR="00685F92">
        <w:rPr>
          <w:lang w:val="en-GB"/>
        </w:rPr>
        <w:t>f</w:t>
      </w:r>
      <w:r w:rsidR="00501C82">
        <w:rPr>
          <w:lang w:val="en-GB"/>
        </w:rPr>
        <w:t>t Regulatory Technical Standards specifying supervisory shock scenarios</w:t>
      </w:r>
      <w:r>
        <w:rPr>
          <w:lang w:val="en-GB"/>
        </w:rPr>
        <w:t>.</w:t>
      </w:r>
    </w:p>
    <w:p w14:paraId="6B97596B" w14:textId="0C49D822" w:rsidR="002F00CD" w:rsidRDefault="002F00CD" w:rsidP="00276746">
      <w:pPr>
        <w:rPr>
          <w:lang w:val="en-GB"/>
        </w:rPr>
      </w:pPr>
    </w:p>
    <w:p w14:paraId="23B619AD" w14:textId="33FEBC9A" w:rsidR="003E5109" w:rsidRPr="003E5109" w:rsidRDefault="003E5109" w:rsidP="003E5109">
      <w:pPr>
        <w:rPr>
          <w:lang w:val="en-GB"/>
        </w:rPr>
      </w:pPr>
      <w:r w:rsidRPr="002C5399">
        <w:rPr>
          <w:color w:val="004259"/>
          <w:lang w:val="en-GB"/>
        </w:rPr>
        <w:t>●</w:t>
      </w:r>
      <w:r>
        <w:rPr>
          <w:lang w:val="en-GB"/>
        </w:rPr>
        <w:t xml:space="preserve"> </w:t>
      </w:r>
      <w:r w:rsidRPr="003E5109">
        <w:rPr>
          <w:lang w:val="en-GB"/>
        </w:rPr>
        <w:t>Supervisory one-size-fits-all measures are not suitable to appropriately reflect bank individual characteristics and risk situations.</w:t>
      </w:r>
    </w:p>
    <w:p w14:paraId="2C27C4C6" w14:textId="77777777" w:rsidR="003E5109" w:rsidRDefault="003E5109" w:rsidP="00571F8E">
      <w:pPr>
        <w:pStyle w:val="ListParagraph"/>
        <w:numPr>
          <w:ilvl w:val="0"/>
          <w:numId w:val="3"/>
        </w:numPr>
        <w:rPr>
          <w:lang w:val="en-GB"/>
        </w:rPr>
      </w:pPr>
      <w:r w:rsidRPr="003E5109">
        <w:rPr>
          <w:lang w:val="en-GB"/>
        </w:rPr>
        <w:t>Therefore, there must be no automatism between the supervisory outlier test (SOT) and any supervisory measures, in particular capital add-ons. Instead, SOT results should be taken as an indication for the need to monitor and examine certain institutions more closely.</w:t>
      </w:r>
    </w:p>
    <w:p w14:paraId="2566F309" w14:textId="4E945904" w:rsidR="003E5109" w:rsidRPr="003E5109" w:rsidRDefault="003E5109" w:rsidP="00571F8E">
      <w:pPr>
        <w:pStyle w:val="ListParagraph"/>
        <w:numPr>
          <w:ilvl w:val="0"/>
          <w:numId w:val="3"/>
        </w:numPr>
        <w:rPr>
          <w:lang w:val="en-GB"/>
        </w:rPr>
      </w:pPr>
      <w:r w:rsidRPr="003E5109">
        <w:rPr>
          <w:lang w:val="en-GB"/>
        </w:rPr>
        <w:lastRenderedPageBreak/>
        <w:t>If the respective thresholds are breached, the institution needs to be granted the opportunity to submit their own opinion and explanation and sufficient time for remedial actions.</w:t>
      </w:r>
    </w:p>
    <w:p w14:paraId="7986571D" w14:textId="07F7BDE7" w:rsidR="003E5109" w:rsidRDefault="003E5109" w:rsidP="003E5109">
      <w:pPr>
        <w:pStyle w:val="ListParagraph"/>
        <w:numPr>
          <w:ilvl w:val="0"/>
          <w:numId w:val="3"/>
        </w:numPr>
        <w:rPr>
          <w:lang w:val="en-GB"/>
        </w:rPr>
      </w:pPr>
      <w:r w:rsidRPr="003E5109">
        <w:rPr>
          <w:lang w:val="en-GB"/>
        </w:rPr>
        <w:t>Moreover, no full integration of the SOT methodologies into the institutions’ internal measurement and management of IRRBB should be stipulated. This would likely result in undesired incentives for the actual management of IRRBB.</w:t>
      </w:r>
    </w:p>
    <w:p w14:paraId="463D0389" w14:textId="77777777" w:rsidR="003E5109" w:rsidRPr="003E5109" w:rsidRDefault="003E5109" w:rsidP="003E5109">
      <w:pPr>
        <w:rPr>
          <w:lang w:val="en-GB"/>
        </w:rPr>
      </w:pPr>
    </w:p>
    <w:p w14:paraId="31C8F23D" w14:textId="25C0EBEF" w:rsidR="003E5109" w:rsidRPr="003E5109" w:rsidRDefault="003E5109" w:rsidP="003E5109">
      <w:pPr>
        <w:rPr>
          <w:lang w:val="en-GB"/>
        </w:rPr>
      </w:pPr>
      <w:r w:rsidRPr="002C5399">
        <w:rPr>
          <w:color w:val="004259"/>
          <w:lang w:val="en-GB"/>
        </w:rPr>
        <w:t>●</w:t>
      </w:r>
      <w:r>
        <w:rPr>
          <w:lang w:val="en-GB"/>
        </w:rPr>
        <w:t xml:space="preserve"> </w:t>
      </w:r>
      <w:r w:rsidRPr="003E5109">
        <w:rPr>
          <w:lang w:val="en-GB"/>
        </w:rPr>
        <w:t xml:space="preserve">The </w:t>
      </w:r>
      <w:r>
        <w:rPr>
          <w:lang w:val="en-GB"/>
        </w:rPr>
        <w:t>Bank considers the net interest income (</w:t>
      </w:r>
      <w:r w:rsidRPr="003E5109">
        <w:rPr>
          <w:lang w:val="en-GB"/>
        </w:rPr>
        <w:t>NII</w:t>
      </w:r>
      <w:r>
        <w:rPr>
          <w:lang w:val="en-GB"/>
        </w:rPr>
        <w:t>)</w:t>
      </w:r>
      <w:r w:rsidRPr="003E5109">
        <w:rPr>
          <w:lang w:val="en-GB"/>
        </w:rPr>
        <w:t xml:space="preserve"> definition too broad.</w:t>
      </w:r>
    </w:p>
    <w:p w14:paraId="0501EDFF" w14:textId="27FA94A9" w:rsidR="003E5109" w:rsidRPr="003E5109" w:rsidRDefault="003E5109" w:rsidP="003E5109">
      <w:pPr>
        <w:pStyle w:val="ListParagraph"/>
        <w:numPr>
          <w:ilvl w:val="0"/>
          <w:numId w:val="3"/>
        </w:numPr>
        <w:rPr>
          <w:lang w:val="en-GB"/>
        </w:rPr>
      </w:pPr>
      <w:r w:rsidRPr="003E5109">
        <w:rPr>
          <w:lang w:val="en-GB"/>
        </w:rPr>
        <w:t>The inclusion of fair value effects i</w:t>
      </w:r>
      <w:r>
        <w:rPr>
          <w:lang w:val="en-GB"/>
        </w:rPr>
        <w:t>gnores the purpose of hedge accounting and</w:t>
      </w:r>
      <w:r w:rsidRPr="003E5109">
        <w:rPr>
          <w:lang w:val="en-GB"/>
        </w:rPr>
        <w:t>.</w:t>
      </w:r>
    </w:p>
    <w:p w14:paraId="36140F54" w14:textId="27D872E6" w:rsidR="003E5109" w:rsidRPr="003E5109" w:rsidRDefault="003E5109" w:rsidP="003E5109">
      <w:pPr>
        <w:pStyle w:val="ListParagraph"/>
        <w:numPr>
          <w:ilvl w:val="0"/>
          <w:numId w:val="3"/>
        </w:numPr>
        <w:rPr>
          <w:lang w:val="en-GB"/>
        </w:rPr>
      </w:pPr>
      <w:r w:rsidRPr="003E5109">
        <w:rPr>
          <w:lang w:val="en-GB"/>
        </w:rPr>
        <w:t xml:space="preserve">The inclusion of fees and commissions is overly burdensome </w:t>
      </w:r>
      <w:r>
        <w:rPr>
          <w:lang w:val="en-GB"/>
        </w:rPr>
        <w:t xml:space="preserve">as such </w:t>
      </w:r>
      <w:r w:rsidR="00FE5C3F">
        <w:rPr>
          <w:lang w:val="en-GB"/>
        </w:rPr>
        <w:t>data are part of  the administrative but nor risk-monitoring systems</w:t>
      </w:r>
      <w:r w:rsidRPr="003E5109">
        <w:rPr>
          <w:lang w:val="en-GB"/>
        </w:rPr>
        <w:t>.</w:t>
      </w:r>
    </w:p>
    <w:p w14:paraId="07F54EEC" w14:textId="1A5BE188" w:rsidR="003E5109" w:rsidRPr="003E5109" w:rsidRDefault="003E5109" w:rsidP="003E5109">
      <w:pPr>
        <w:pStyle w:val="ListParagraph"/>
        <w:numPr>
          <w:ilvl w:val="0"/>
          <w:numId w:val="3"/>
        </w:numPr>
        <w:rPr>
          <w:lang w:val="en-GB"/>
        </w:rPr>
      </w:pPr>
      <w:r w:rsidRPr="003E5109">
        <w:rPr>
          <w:lang w:val="en-GB"/>
        </w:rPr>
        <w:t xml:space="preserve">For this reason we </w:t>
      </w:r>
      <w:r w:rsidR="00FE5C3F">
        <w:rPr>
          <w:lang w:val="en-GB"/>
        </w:rPr>
        <w:t>favour</w:t>
      </w:r>
      <w:r w:rsidRPr="003E5109">
        <w:rPr>
          <w:lang w:val="en-GB"/>
        </w:rPr>
        <w:t xml:space="preserve"> a narrow NII definition that excludes costs and fees and valuation components. Otherwise, the EVE and NII perspective would be mixed and the NII SOT would become unnecessarily complex.</w:t>
      </w:r>
    </w:p>
    <w:p w14:paraId="0F05FED0" w14:textId="77777777" w:rsidR="003E5109" w:rsidRDefault="003E5109" w:rsidP="00276746">
      <w:pPr>
        <w:rPr>
          <w:lang w:val="en-GB"/>
        </w:rPr>
      </w:pPr>
    </w:p>
    <w:p w14:paraId="547E3AEB" w14:textId="51E7E85C" w:rsidR="008D3F18" w:rsidRDefault="00F74469" w:rsidP="008D3F18">
      <w:pPr>
        <w:rPr>
          <w:lang w:val="en-GB"/>
        </w:rPr>
      </w:pPr>
      <w:r w:rsidRPr="002C5399">
        <w:rPr>
          <w:color w:val="004259"/>
          <w:lang w:val="en-GB"/>
        </w:rPr>
        <w:t>●</w:t>
      </w:r>
      <w:r>
        <w:rPr>
          <w:lang w:val="en-GB"/>
        </w:rPr>
        <w:t xml:space="preserve"> </w:t>
      </w:r>
      <w:r w:rsidR="008D3F18">
        <w:rPr>
          <w:lang w:val="en-GB"/>
        </w:rPr>
        <w:t xml:space="preserve">Whereas the Bank recognises </w:t>
      </w:r>
      <w:r>
        <w:rPr>
          <w:lang w:val="en-GB"/>
        </w:rPr>
        <w:t>the supervisory shock scenario</w:t>
      </w:r>
      <w:r w:rsidR="008D3F18">
        <w:rPr>
          <w:lang w:val="en-GB"/>
        </w:rPr>
        <w:t>s</w:t>
      </w:r>
      <w:r>
        <w:rPr>
          <w:lang w:val="en-GB"/>
        </w:rPr>
        <w:t xml:space="preserve"> </w:t>
      </w:r>
      <w:r w:rsidR="008D3F18">
        <w:rPr>
          <w:lang w:val="en-GB"/>
        </w:rPr>
        <w:t xml:space="preserve">aim to identify sensitivity to an unusually large change in interest rates, it questions whether </w:t>
      </w:r>
      <w:r w:rsidR="008D3F18" w:rsidRPr="008D3F18">
        <w:rPr>
          <w:lang w:val="en-GB"/>
        </w:rPr>
        <w:t xml:space="preserve">an instantaneous shock of 200 bps for currencies like EUR, </w:t>
      </w:r>
      <w:r w:rsidR="008D3F18">
        <w:rPr>
          <w:lang w:val="en-GB"/>
        </w:rPr>
        <w:t xml:space="preserve">GBP, and </w:t>
      </w:r>
      <w:r w:rsidR="008D3F18" w:rsidRPr="008D3F18">
        <w:rPr>
          <w:lang w:val="en-GB"/>
        </w:rPr>
        <w:t xml:space="preserve">USD is realistic. We propose </w:t>
      </w:r>
      <w:r w:rsidR="008D3F18">
        <w:rPr>
          <w:lang w:val="en-GB"/>
        </w:rPr>
        <w:t xml:space="preserve">EBA considers a more gradual </w:t>
      </w:r>
      <w:r w:rsidR="008D3F18" w:rsidRPr="008D3F18">
        <w:rPr>
          <w:lang w:val="en-GB"/>
        </w:rPr>
        <w:t>shock scenario</w:t>
      </w:r>
      <w:r w:rsidR="008D3F18">
        <w:rPr>
          <w:lang w:val="en-GB"/>
        </w:rPr>
        <w:t xml:space="preserve"> for NII</w:t>
      </w:r>
    </w:p>
    <w:p w14:paraId="48C9F5FA" w14:textId="77777777" w:rsidR="00FE5C3F" w:rsidRPr="008D3F18" w:rsidRDefault="00FE5C3F" w:rsidP="008D3F18">
      <w:pPr>
        <w:rPr>
          <w:lang w:val="en-GB"/>
        </w:rPr>
      </w:pPr>
    </w:p>
    <w:p w14:paraId="6FCD1472" w14:textId="06E7EA76" w:rsidR="008D3F18" w:rsidRPr="008D3F18" w:rsidRDefault="008D3F18" w:rsidP="008D3F18">
      <w:pPr>
        <w:rPr>
          <w:lang w:val="en-GB"/>
        </w:rPr>
      </w:pPr>
      <w:r w:rsidRPr="002C5399">
        <w:rPr>
          <w:color w:val="004259"/>
          <w:lang w:val="en-GB"/>
        </w:rPr>
        <w:t>●</w:t>
      </w:r>
      <w:r>
        <w:rPr>
          <w:lang w:val="en-GB"/>
        </w:rPr>
        <w:t xml:space="preserve"> The Bank asks </w:t>
      </w:r>
      <w:r w:rsidR="007103AC">
        <w:rPr>
          <w:lang w:val="en-GB"/>
        </w:rPr>
        <w:t xml:space="preserve">whether </w:t>
      </w:r>
      <w:r>
        <w:rPr>
          <w:lang w:val="en-GB"/>
        </w:rPr>
        <w:t xml:space="preserve">EBA </w:t>
      </w:r>
      <w:r w:rsidR="007103AC">
        <w:rPr>
          <w:lang w:val="en-GB"/>
        </w:rPr>
        <w:t>can corroborate its recalibration of the post-shock floor on interest as even after the extremely low rates under the ECB’s TLTROs the</w:t>
      </w:r>
      <w:r w:rsidR="00E96F91">
        <w:rPr>
          <w:lang w:val="en-GB"/>
        </w:rPr>
        <w:t xml:space="preserve"> Bank has not seen evidence the</w:t>
      </w:r>
      <w:r w:rsidR="007103AC">
        <w:rPr>
          <w:lang w:val="en-GB"/>
        </w:rPr>
        <w:t xml:space="preserve"> </w:t>
      </w:r>
      <w:r w:rsidR="00E96F91">
        <w:rPr>
          <w:lang w:val="en-GB"/>
        </w:rPr>
        <w:t xml:space="preserve">previous </w:t>
      </w:r>
      <w:r w:rsidR="007103AC">
        <w:rPr>
          <w:lang w:val="en-GB"/>
        </w:rPr>
        <w:t>floor of 100 base points has been breached.</w:t>
      </w:r>
    </w:p>
    <w:p w14:paraId="1C7DFBB8" w14:textId="77777777" w:rsidR="002F54AF" w:rsidRPr="007C7AAE" w:rsidRDefault="002F54AF" w:rsidP="00C33993">
      <w:pPr>
        <w:rPr>
          <w:lang w:val="en-GB"/>
        </w:rPr>
      </w:pPr>
    </w:p>
    <w:p w14:paraId="6232461E" w14:textId="77777777" w:rsidR="001544E5" w:rsidRPr="002F0DBC" w:rsidRDefault="001544E5" w:rsidP="003C6E0C">
      <w:pPr>
        <w:pBdr>
          <w:top w:val="single" w:sz="18" w:space="1" w:color="004259"/>
          <w:bottom w:val="single" w:sz="18" w:space="1" w:color="004259"/>
        </w:pBdr>
        <w:rPr>
          <w:lang w:val="en-GB"/>
        </w:rPr>
      </w:pPr>
      <w:r w:rsidRPr="002F0DBC">
        <w:rPr>
          <w:b/>
          <w:bCs/>
          <w:lang w:val="en-GB"/>
        </w:rPr>
        <w:t>Question 1:</w:t>
      </w:r>
    </w:p>
    <w:p w14:paraId="3DB8D067" w14:textId="017E297F" w:rsidR="001544E5" w:rsidRPr="00D27595" w:rsidRDefault="000C373C" w:rsidP="003C6E0C">
      <w:pPr>
        <w:pBdr>
          <w:top w:val="single" w:sz="18" w:space="1" w:color="004259"/>
          <w:bottom w:val="single" w:sz="18" w:space="1" w:color="004259"/>
        </w:pBdr>
        <w:rPr>
          <w:b/>
          <w:bCs/>
          <w:lang w:val="en-GB"/>
        </w:rPr>
      </w:pPr>
      <w:r w:rsidRPr="000C373C">
        <w:rPr>
          <w:b/>
          <w:bCs/>
          <w:i/>
          <w:iCs/>
          <w:lang w:val="en-GB"/>
        </w:rPr>
        <w:t>Do respondents find the common modelling and parametric assumptions for the purpose of the EVE SOT and the NII SOT in Articles 4 and 5 clear enough and operationally manageable? Specifically, the EBA is seeking comments on the recalibrated lower bound for post-shock IR levels in the EVE SOT and NII SOT as well as on the use of a one-year time horizon and a constant balance sheet with current commercial margins for new business for the NII SOT. Respondents are also kindly requested to express whether they find an inclusion of market value changes in the calculation of the NII SOT clear enough.</w:t>
      </w:r>
    </w:p>
    <w:p w14:paraId="73149FBA" w14:textId="77777777" w:rsidR="001544E5" w:rsidRDefault="001544E5" w:rsidP="001544E5">
      <w:pPr>
        <w:rPr>
          <w:lang w:val="en-GB"/>
        </w:rPr>
      </w:pPr>
    </w:p>
    <w:p w14:paraId="761FE1A5" w14:textId="1C6549CB" w:rsidR="001544E5" w:rsidRDefault="001544E5" w:rsidP="001544E5">
      <w:pPr>
        <w:rPr>
          <w:lang w:val="en-GB"/>
        </w:rPr>
      </w:pPr>
      <w:r>
        <w:rPr>
          <w:lang w:val="en-GB"/>
        </w:rPr>
        <w:t>We respond EBA with reference to Question 1 as follows.</w:t>
      </w:r>
    </w:p>
    <w:p w14:paraId="3C2220C0" w14:textId="77777777" w:rsidR="001544E5" w:rsidRDefault="001544E5" w:rsidP="001544E5">
      <w:pPr>
        <w:rPr>
          <w:lang w:val="en-GB"/>
        </w:rPr>
      </w:pPr>
    </w:p>
    <w:p w14:paraId="33E96208" w14:textId="10238A2D" w:rsidR="004A6B4D" w:rsidRDefault="004A6B4D" w:rsidP="007B6F77">
      <w:pPr>
        <w:rPr>
          <w:lang w:val="en-GB"/>
        </w:rPr>
      </w:pPr>
      <w:r>
        <w:rPr>
          <w:lang w:val="en-GB"/>
        </w:rPr>
        <w:t>Information technology allows for institutions to project cash flow schedules using actual maturities and tenures of instruments. The Regulatory Technical Standards (RTS) describe a model that require institutions to assign cash flows to pre-defined maturity and repricing buckets. To implement this, the Bank would have to implement a separate, inaccurate cash flow model for the sole purpose of performing the supervisory shock scenarios.</w:t>
      </w:r>
    </w:p>
    <w:p w14:paraId="3E78ABE0" w14:textId="36668DD0" w:rsidR="004A6B4D" w:rsidRDefault="004A6B4D" w:rsidP="007B6F77">
      <w:pPr>
        <w:rPr>
          <w:lang w:val="en-GB"/>
        </w:rPr>
      </w:pPr>
    </w:p>
    <w:p w14:paraId="175B2B73" w14:textId="79E5D482" w:rsidR="004A6B4D" w:rsidRDefault="004A6B4D" w:rsidP="007B6F77">
      <w:pPr>
        <w:rPr>
          <w:lang w:val="en-GB"/>
        </w:rPr>
      </w:pPr>
      <w:r w:rsidRPr="002C5399">
        <w:rPr>
          <w:color w:val="004259"/>
          <w:lang w:val="en-GB"/>
        </w:rPr>
        <w:t>●</w:t>
      </w:r>
      <w:r>
        <w:rPr>
          <w:lang w:val="en-GB"/>
        </w:rPr>
        <w:t xml:space="preserve"> The Bank asks EBA to clarify whether </w:t>
      </w:r>
      <w:r w:rsidR="00150CCF">
        <w:rPr>
          <w:lang w:val="en-GB"/>
        </w:rPr>
        <w:t xml:space="preserve">the bucketing methodology is optional and whether institutions may use a </w:t>
      </w:r>
      <w:r w:rsidR="00150CCF" w:rsidRPr="00150CCF">
        <w:rPr>
          <w:lang w:val="en-GB"/>
        </w:rPr>
        <w:t xml:space="preserve">more accurate model using actual cash flow schedules and corresponding discount and forward rates. </w:t>
      </w:r>
      <w:r w:rsidR="00150CCF">
        <w:rPr>
          <w:lang w:val="en-GB"/>
        </w:rPr>
        <w:t xml:space="preserve">If so, the Bank asks </w:t>
      </w:r>
      <w:r w:rsidR="00150CCF" w:rsidRPr="00150CCF">
        <w:rPr>
          <w:lang w:val="en-GB"/>
        </w:rPr>
        <w:t>EBA to, explicitly, state the system of bucketing cash flows is an option but not a requirement.</w:t>
      </w:r>
      <w:r w:rsidR="00150CCF">
        <w:rPr>
          <w:lang w:val="en-GB"/>
        </w:rPr>
        <w:t xml:space="preserve"> If not, the Bank asks EBA how it can reconcile such an </w:t>
      </w:r>
      <w:r w:rsidR="00150CCF">
        <w:rPr>
          <w:lang w:val="en-GB"/>
        </w:rPr>
        <w:lastRenderedPageBreak/>
        <w:t>inaccurate method with the requirements ex section 4.4 of the concurrently proposed guidelines on the management of IRRBB and CSRBB that require institutions to have a satisfactory internal system for management of IRRBB.</w:t>
      </w:r>
    </w:p>
    <w:p w14:paraId="5B710086" w14:textId="192DF62A" w:rsidR="00150CCF" w:rsidRDefault="00150CCF" w:rsidP="007B6F77">
      <w:pPr>
        <w:rPr>
          <w:lang w:val="en-GB"/>
        </w:rPr>
      </w:pPr>
    </w:p>
    <w:p w14:paraId="7886348E" w14:textId="7507A607" w:rsidR="00150CCF" w:rsidRDefault="004A6B4D" w:rsidP="007B6F77">
      <w:pPr>
        <w:rPr>
          <w:lang w:val="en-GB"/>
        </w:rPr>
      </w:pPr>
      <w:r>
        <w:rPr>
          <w:lang w:val="en-GB"/>
        </w:rPr>
        <w:t xml:space="preserve">The RTS further requires institutions to apply a floor to shocked rates. The description of this floor </w:t>
      </w:r>
      <w:r w:rsidRPr="004A6B4D">
        <w:rPr>
          <w:lang w:val="en-GB"/>
        </w:rPr>
        <w:t>do</w:t>
      </w:r>
      <w:r w:rsidR="00150CCF">
        <w:rPr>
          <w:lang w:val="en-GB"/>
        </w:rPr>
        <w:t>es</w:t>
      </w:r>
      <w:r w:rsidRPr="004A6B4D">
        <w:rPr>
          <w:lang w:val="en-GB"/>
        </w:rPr>
        <w:t xml:space="preserve"> not </w:t>
      </w:r>
      <w:r w:rsidR="00150CCF">
        <w:rPr>
          <w:lang w:val="en-GB"/>
        </w:rPr>
        <w:t>coincide with the</w:t>
      </w:r>
      <w:r w:rsidRPr="004A6B4D">
        <w:rPr>
          <w:lang w:val="en-GB"/>
        </w:rPr>
        <w:t xml:space="preserve"> </w:t>
      </w:r>
      <w:r w:rsidR="00FA6C08">
        <w:rPr>
          <w:lang w:val="en-GB"/>
        </w:rPr>
        <w:t>repricing</w:t>
      </w:r>
      <w:r w:rsidRPr="004A6B4D">
        <w:rPr>
          <w:lang w:val="en-GB"/>
        </w:rPr>
        <w:t xml:space="preserve"> buckets, nor </w:t>
      </w:r>
      <w:r w:rsidR="00150CCF">
        <w:rPr>
          <w:lang w:val="en-GB"/>
        </w:rPr>
        <w:t>with</w:t>
      </w:r>
      <w:r w:rsidRPr="004A6B4D">
        <w:rPr>
          <w:lang w:val="en-GB"/>
        </w:rPr>
        <w:t xml:space="preserve"> their midpoints. It, furthermore, is unclear whether the increments in the floors are stepwise or continuous.</w:t>
      </w:r>
    </w:p>
    <w:p w14:paraId="0F812F68" w14:textId="77777777" w:rsidR="00150CCF" w:rsidRDefault="00150CCF" w:rsidP="007B6F77">
      <w:pPr>
        <w:rPr>
          <w:lang w:val="en-GB"/>
        </w:rPr>
      </w:pPr>
    </w:p>
    <w:p w14:paraId="47AF9AFB" w14:textId="6683B741" w:rsidR="00150CCF" w:rsidRDefault="00150CCF" w:rsidP="007B6F77">
      <w:pPr>
        <w:rPr>
          <w:lang w:val="en-GB"/>
        </w:rPr>
      </w:pPr>
      <w:r w:rsidRPr="002C5399">
        <w:rPr>
          <w:color w:val="004259"/>
          <w:lang w:val="en-GB"/>
        </w:rPr>
        <w:t>●</w:t>
      </w:r>
      <w:r>
        <w:rPr>
          <w:lang w:val="en-GB"/>
        </w:rPr>
        <w:t xml:space="preserve"> The Bank asks EBA to clarify whether institutions may apply the increment</w:t>
      </w:r>
      <w:r w:rsidR="00FA6C08">
        <w:rPr>
          <w:lang w:val="en-GB"/>
        </w:rPr>
        <w:t>s</w:t>
      </w:r>
      <w:r>
        <w:rPr>
          <w:lang w:val="en-GB"/>
        </w:rPr>
        <w:t xml:space="preserve"> to the floors they must apply to shocked interest rates in a continuous manner. If so, </w:t>
      </w:r>
      <w:r w:rsidR="00FA6C08">
        <w:rPr>
          <w:lang w:val="en-GB"/>
        </w:rPr>
        <w:t xml:space="preserve">the Bank asks </w:t>
      </w:r>
      <w:r w:rsidR="00FA6C08" w:rsidRPr="00150CCF">
        <w:rPr>
          <w:lang w:val="en-GB"/>
        </w:rPr>
        <w:t xml:space="preserve">EBA to, explicitly, state </w:t>
      </w:r>
      <w:r w:rsidR="00FA6C08">
        <w:rPr>
          <w:lang w:val="en-GB"/>
        </w:rPr>
        <w:t xml:space="preserve">institutions may apply </w:t>
      </w:r>
      <w:r w:rsidR="00FA6C08" w:rsidRPr="00150CCF">
        <w:rPr>
          <w:lang w:val="en-GB"/>
        </w:rPr>
        <w:t xml:space="preserve">the </w:t>
      </w:r>
      <w:r w:rsidR="00FA6C08">
        <w:rPr>
          <w:lang w:val="en-GB"/>
        </w:rPr>
        <w:t>increments in a continuous manner</w:t>
      </w:r>
      <w:r w:rsidR="00FA6C08" w:rsidRPr="00150CCF">
        <w:rPr>
          <w:lang w:val="en-GB"/>
        </w:rPr>
        <w:t>.</w:t>
      </w:r>
      <w:r w:rsidR="00FA6C08">
        <w:rPr>
          <w:lang w:val="en-GB"/>
        </w:rPr>
        <w:t xml:space="preserve"> If not, the Bank asks EBA to clarify how institutions must derive the floor for individual repricing maturity buckets.</w:t>
      </w:r>
    </w:p>
    <w:p w14:paraId="3D71FB22" w14:textId="77777777" w:rsidR="00150CCF" w:rsidRDefault="00150CCF" w:rsidP="007B6F77">
      <w:pPr>
        <w:rPr>
          <w:lang w:val="en-GB"/>
        </w:rPr>
      </w:pPr>
    </w:p>
    <w:p w14:paraId="32D1BCFE" w14:textId="54C04331" w:rsidR="004A6B4D" w:rsidRDefault="00FA6C08" w:rsidP="00FA6C08">
      <w:pPr>
        <w:rPr>
          <w:lang w:val="en-GB"/>
        </w:rPr>
      </w:pPr>
      <w:r>
        <w:rPr>
          <w:lang w:val="en-GB"/>
        </w:rPr>
        <w:t>Article 5(b) requires institutions to consider he annual ‘market-value’ changes f</w:t>
      </w:r>
      <w:r w:rsidRPr="00FA6C08">
        <w:rPr>
          <w:lang w:val="en-GB"/>
        </w:rPr>
        <w:t xml:space="preserve">or non-trading book financial instruments accounted at </w:t>
      </w:r>
      <w:r>
        <w:rPr>
          <w:lang w:val="en-GB"/>
        </w:rPr>
        <w:t>‘</w:t>
      </w:r>
      <w:r w:rsidRPr="00FA6C08">
        <w:rPr>
          <w:lang w:val="en-GB"/>
        </w:rPr>
        <w:t>fair value</w:t>
      </w:r>
      <w:r>
        <w:rPr>
          <w:lang w:val="en-GB"/>
        </w:rPr>
        <w:t>’</w:t>
      </w:r>
      <w:r w:rsidRPr="00FA6C08">
        <w:rPr>
          <w:lang w:val="en-GB"/>
        </w:rPr>
        <w:t xml:space="preserve"> with a maturity of more than one year</w:t>
      </w:r>
      <w:r>
        <w:rPr>
          <w:lang w:val="en-GB"/>
        </w:rPr>
        <w:t>. Institutions can observe ‘market values’ only for traded instruments. ‘Fair value’ is an accounting concept</w:t>
      </w:r>
      <w:r w:rsidR="004F71FF">
        <w:rPr>
          <w:lang w:val="en-GB"/>
        </w:rPr>
        <w:t xml:space="preserve"> that does not imply a ‘market value’ exists for the instrument.</w:t>
      </w:r>
    </w:p>
    <w:p w14:paraId="6EDE9992" w14:textId="6CB67005" w:rsidR="004F71FF" w:rsidRDefault="004F71FF" w:rsidP="00FA6C08">
      <w:pPr>
        <w:rPr>
          <w:lang w:val="en-GB"/>
        </w:rPr>
      </w:pPr>
    </w:p>
    <w:p w14:paraId="2DF464EE" w14:textId="719D60B3" w:rsidR="004F71FF" w:rsidRDefault="004F71FF" w:rsidP="00FA6C08">
      <w:pPr>
        <w:rPr>
          <w:lang w:val="en-GB"/>
        </w:rPr>
      </w:pPr>
      <w:r w:rsidRPr="002C5399">
        <w:rPr>
          <w:color w:val="004259"/>
          <w:lang w:val="en-GB"/>
        </w:rPr>
        <w:t>●</w:t>
      </w:r>
      <w:r>
        <w:rPr>
          <w:lang w:val="en-GB"/>
        </w:rPr>
        <w:t xml:space="preserve"> The Bank asks EBA to clarify how institutions should determine a market value if the instrument does not</w:t>
      </w:r>
      <w:r w:rsidR="00AA5432">
        <w:rPr>
          <w:lang w:val="en-GB"/>
        </w:rPr>
        <w:t xml:space="preserve"> trade.</w:t>
      </w:r>
    </w:p>
    <w:p w14:paraId="3D9395B5" w14:textId="61E32322" w:rsidR="00AA5432" w:rsidRDefault="00AA5432" w:rsidP="00FA6C08">
      <w:pPr>
        <w:rPr>
          <w:lang w:val="en-GB"/>
        </w:rPr>
      </w:pPr>
    </w:p>
    <w:p w14:paraId="2D003ED2" w14:textId="2E8025A5" w:rsidR="0091151D" w:rsidRDefault="00AA5432" w:rsidP="0091151D">
      <w:pPr>
        <w:rPr>
          <w:lang w:val="en-GB"/>
        </w:rPr>
      </w:pPr>
      <w:r>
        <w:rPr>
          <w:lang w:val="en-GB"/>
        </w:rPr>
        <w:t xml:space="preserve">Most accounting regimes require institutions to carry traded and over-the-counter (OTC) derivatives at ‘fair value.’ Institutions use such instruments to hedge interest and credit risk arising from exposures in their banking book. They may carry such instruments at amortised cost and apply hedge accounting to offset the change in the fair value of the hedging instrument. Hedge accounting does not reclassify the hedged instrument as ‘fair value’ instrument. </w:t>
      </w:r>
      <w:r w:rsidR="00DA55FE">
        <w:rPr>
          <w:lang w:val="en-GB"/>
        </w:rPr>
        <w:t>Article 5(b), therefore, leads to spurious measurement of IRRBB for net interest income (NII). T</w:t>
      </w:r>
      <w:r w:rsidR="00B94EAA">
        <w:rPr>
          <w:lang w:val="en-GB"/>
        </w:rPr>
        <w:t>o</w:t>
      </w:r>
      <w:r w:rsidR="00DA55FE">
        <w:rPr>
          <w:lang w:val="en-GB"/>
        </w:rPr>
        <w:t xml:space="preserve"> avoid </w:t>
      </w:r>
      <w:r w:rsidR="00B94EAA">
        <w:rPr>
          <w:lang w:val="en-GB"/>
        </w:rPr>
        <w:t>spurious risk measures</w:t>
      </w:r>
      <w:r w:rsidR="00DA55FE">
        <w:rPr>
          <w:lang w:val="en-GB"/>
        </w:rPr>
        <w:t xml:space="preserve">, institutions </w:t>
      </w:r>
      <w:r w:rsidR="00B94EAA">
        <w:rPr>
          <w:lang w:val="en-GB"/>
        </w:rPr>
        <w:t>must</w:t>
      </w:r>
      <w:r w:rsidR="00DA55FE">
        <w:rPr>
          <w:lang w:val="en-GB"/>
        </w:rPr>
        <w:t xml:space="preserve"> add hedge-accounting rules to their interest rate-risk models</w:t>
      </w:r>
      <w:r w:rsidR="002B0C3F">
        <w:rPr>
          <w:lang w:val="en-GB"/>
        </w:rPr>
        <w:t xml:space="preserve"> </w:t>
      </w:r>
      <w:r w:rsidR="008043E7">
        <w:rPr>
          <w:lang w:val="en-GB"/>
        </w:rPr>
        <w:t>f</w:t>
      </w:r>
      <w:r w:rsidR="002B0C3F">
        <w:rPr>
          <w:lang w:val="en-GB"/>
        </w:rPr>
        <w:t>or NII</w:t>
      </w:r>
      <w:r w:rsidR="00DA55FE">
        <w:rPr>
          <w:lang w:val="en-GB"/>
        </w:rPr>
        <w:t>.</w:t>
      </w:r>
      <w:r w:rsidR="0091151D">
        <w:rPr>
          <w:lang w:val="en-GB"/>
        </w:rPr>
        <w:t xml:space="preserve"> The inclusion of accounting rules transforms an economic measure like NII into an accounting measure like Earnings.</w:t>
      </w:r>
      <w:r w:rsidR="00FF0AA9">
        <w:rPr>
          <w:lang w:val="en-GB"/>
        </w:rPr>
        <w:t xml:space="preserve"> In particular the RTS relating to the inclusion of fair-value changes is complex and burdensome as, typically, such changes are the subject of accounting systems and not risk systems.</w:t>
      </w:r>
    </w:p>
    <w:p w14:paraId="7B86A9ED" w14:textId="77777777" w:rsidR="002B0C3F" w:rsidRDefault="002B0C3F" w:rsidP="002B0C3F">
      <w:pPr>
        <w:rPr>
          <w:lang w:val="en-GB"/>
        </w:rPr>
      </w:pPr>
    </w:p>
    <w:p w14:paraId="7831D0DF" w14:textId="4C6E7D24" w:rsidR="002B0C3F" w:rsidRDefault="002B0C3F" w:rsidP="002B0C3F">
      <w:pPr>
        <w:rPr>
          <w:lang w:val="en-GB"/>
        </w:rPr>
      </w:pPr>
      <w:r w:rsidRPr="002C5399">
        <w:rPr>
          <w:color w:val="004259"/>
          <w:lang w:val="en-GB"/>
        </w:rPr>
        <w:t>●</w:t>
      </w:r>
      <w:r>
        <w:rPr>
          <w:lang w:val="en-GB"/>
        </w:rPr>
        <w:t xml:space="preserve"> The Bank asks EBA to clarify how the focus on accounting </w:t>
      </w:r>
      <w:r w:rsidR="00B94EAA">
        <w:rPr>
          <w:lang w:val="en-GB"/>
        </w:rPr>
        <w:t xml:space="preserve">principles contributes to effective management of IRRBB </w:t>
      </w:r>
      <w:r w:rsidR="00B23126">
        <w:rPr>
          <w:lang w:val="en-GB"/>
        </w:rPr>
        <w:t>f</w:t>
      </w:r>
      <w:r w:rsidR="00B94EAA">
        <w:rPr>
          <w:lang w:val="en-GB"/>
        </w:rPr>
        <w:t>rom an economic perspective.</w:t>
      </w:r>
    </w:p>
    <w:p w14:paraId="7ACF6195" w14:textId="2BA4D58F" w:rsidR="00B94EAA" w:rsidRDefault="00B94EAA" w:rsidP="002B0C3F">
      <w:pPr>
        <w:rPr>
          <w:lang w:val="en-GB"/>
        </w:rPr>
      </w:pPr>
    </w:p>
    <w:p w14:paraId="50C9E469" w14:textId="4D608411" w:rsidR="00B23126" w:rsidRDefault="00685F92" w:rsidP="002B0C3F">
      <w:pPr>
        <w:rPr>
          <w:lang w:val="en-US"/>
        </w:rPr>
      </w:pPr>
      <w:r w:rsidRPr="00685F92">
        <w:rPr>
          <w:lang w:val="en-US"/>
        </w:rPr>
        <w:t>Article 5(d) requires institutions to include</w:t>
      </w:r>
      <w:r>
        <w:rPr>
          <w:lang w:val="en-US"/>
        </w:rPr>
        <w:t xml:space="preserve"> </w:t>
      </w:r>
      <w:r w:rsidR="00DD49F9">
        <w:rPr>
          <w:lang w:val="en-US"/>
        </w:rPr>
        <w:t xml:space="preserve">current </w:t>
      </w:r>
      <w:r>
        <w:rPr>
          <w:lang w:val="en-US"/>
        </w:rPr>
        <w:t xml:space="preserve">commercial margins and other spread components when calculating the </w:t>
      </w:r>
      <w:r w:rsidR="00DD49F9">
        <w:rPr>
          <w:lang w:val="en-US"/>
        </w:rPr>
        <w:t>changes in net interest income.</w:t>
      </w:r>
    </w:p>
    <w:p w14:paraId="0AB75A9E" w14:textId="77777777" w:rsidR="00B23126" w:rsidRDefault="00B23126" w:rsidP="002B0C3F">
      <w:pPr>
        <w:rPr>
          <w:lang w:val="en-US"/>
        </w:rPr>
      </w:pPr>
    </w:p>
    <w:p w14:paraId="4848BA20" w14:textId="29E77167" w:rsidR="00B23126" w:rsidRDefault="00B23126" w:rsidP="00B23126">
      <w:pPr>
        <w:rPr>
          <w:lang w:val="en-GB"/>
        </w:rPr>
      </w:pPr>
      <w:r w:rsidRPr="002C5399">
        <w:rPr>
          <w:color w:val="004259"/>
          <w:lang w:val="en-GB"/>
        </w:rPr>
        <w:t>●</w:t>
      </w:r>
      <w:r>
        <w:rPr>
          <w:lang w:val="en-GB"/>
        </w:rPr>
        <w:t xml:space="preserve"> The Bank asks EBA to clarify whether institutions must derive current commercial margins and spreads when there is no trade in the instrument and there is no trade in a close substitute for the instrument.</w:t>
      </w:r>
    </w:p>
    <w:p w14:paraId="10555689" w14:textId="77777777" w:rsidR="00B23126" w:rsidRDefault="00B23126" w:rsidP="002B0C3F">
      <w:pPr>
        <w:rPr>
          <w:lang w:val="en-US"/>
        </w:rPr>
      </w:pPr>
    </w:p>
    <w:p w14:paraId="6DA187AB" w14:textId="0230936F" w:rsidR="00685F92" w:rsidRDefault="00FF0AA9" w:rsidP="002B0C3F">
      <w:pPr>
        <w:rPr>
          <w:lang w:val="en-GB"/>
        </w:rPr>
      </w:pPr>
      <w:r>
        <w:rPr>
          <w:lang w:val="en-GB"/>
        </w:rPr>
        <w:t xml:space="preserve">The banking books of promotional and public banks will hold loans for which there are no deep and liquid markets. Commercial margins and spreads, generally, will reflect the banks’ missions and not </w:t>
      </w:r>
      <w:r>
        <w:rPr>
          <w:lang w:val="en-GB"/>
        </w:rPr>
        <w:lastRenderedPageBreak/>
        <w:t xml:space="preserve">the interest rate environment. </w:t>
      </w:r>
      <w:r w:rsidR="00B23126">
        <w:rPr>
          <w:lang w:val="en-US"/>
        </w:rPr>
        <w:t>B</w:t>
      </w:r>
      <w:r w:rsidR="00DD49F9">
        <w:rPr>
          <w:lang w:val="en-US"/>
        </w:rPr>
        <w:t>oth the current and proposed guidelines on the management of IRRBB allow institutions to exclude commercial margins and other spread components</w:t>
      </w:r>
      <w:r w:rsidR="008043E7">
        <w:rPr>
          <w:lang w:val="en-US"/>
        </w:rPr>
        <w:t xml:space="preserve"> from economic value measures</w:t>
      </w:r>
      <w:r w:rsidR="00DD49F9">
        <w:rPr>
          <w:lang w:val="en-US"/>
        </w:rPr>
        <w:t>.</w:t>
      </w:r>
    </w:p>
    <w:p w14:paraId="176623A0" w14:textId="44718126" w:rsidR="00DD49F9" w:rsidRDefault="00DD49F9" w:rsidP="002B0C3F">
      <w:pPr>
        <w:rPr>
          <w:lang w:val="en-GB"/>
        </w:rPr>
      </w:pPr>
    </w:p>
    <w:p w14:paraId="51746858" w14:textId="25F5A22C" w:rsidR="00DD49F9" w:rsidRPr="00685F92" w:rsidRDefault="00FF0AA9" w:rsidP="002B0C3F">
      <w:pPr>
        <w:rPr>
          <w:lang w:val="en-US"/>
        </w:rPr>
      </w:pPr>
      <w:r w:rsidRPr="002C5399">
        <w:rPr>
          <w:color w:val="004259"/>
          <w:lang w:val="en-GB"/>
        </w:rPr>
        <w:t>●</w:t>
      </w:r>
      <w:r>
        <w:rPr>
          <w:lang w:val="en-GB"/>
        </w:rPr>
        <w:t xml:space="preserve"> </w:t>
      </w:r>
      <w:r w:rsidR="00DD49F9">
        <w:rPr>
          <w:lang w:val="en-GB"/>
        </w:rPr>
        <w:t xml:space="preserve">The bank suggests EBA to extend the possibility to </w:t>
      </w:r>
      <w:r>
        <w:rPr>
          <w:lang w:val="en-GB"/>
        </w:rPr>
        <w:t>exclude commercial margins and spreads from the calculation of the supervisory shock scenarios for EVE to those for NII.</w:t>
      </w:r>
    </w:p>
    <w:p w14:paraId="3E8261CD" w14:textId="77777777" w:rsidR="00685F92" w:rsidRPr="00685F92" w:rsidRDefault="00685F92" w:rsidP="002B0C3F">
      <w:pPr>
        <w:rPr>
          <w:lang w:val="en-US"/>
        </w:rPr>
      </w:pPr>
    </w:p>
    <w:p w14:paraId="3F5D4A4B" w14:textId="5BF92B42" w:rsidR="007B6F77" w:rsidRDefault="007B6F77" w:rsidP="007B6F77">
      <w:pPr>
        <w:pBdr>
          <w:top w:val="single" w:sz="18" w:space="1" w:color="004259"/>
          <w:bottom w:val="single" w:sz="18" w:space="1" w:color="004259"/>
        </w:pBdr>
        <w:rPr>
          <w:b/>
          <w:bCs/>
          <w:lang w:val="en-GB"/>
        </w:rPr>
      </w:pPr>
      <w:r w:rsidRPr="002F0DBC">
        <w:rPr>
          <w:b/>
          <w:bCs/>
          <w:lang w:val="en-GB"/>
        </w:rPr>
        <w:t xml:space="preserve">Question </w:t>
      </w:r>
      <w:r>
        <w:rPr>
          <w:b/>
          <w:bCs/>
          <w:lang w:val="en-GB"/>
        </w:rPr>
        <w:t>2</w:t>
      </w:r>
      <w:r w:rsidRPr="002F0DBC">
        <w:rPr>
          <w:b/>
          <w:bCs/>
          <w:lang w:val="en-GB"/>
        </w:rPr>
        <w:t>:</w:t>
      </w:r>
    </w:p>
    <w:p w14:paraId="00FD5E8B" w14:textId="48FC075D" w:rsidR="007B6F77" w:rsidRPr="002F0DBC" w:rsidRDefault="005965A5" w:rsidP="007B6F77">
      <w:pPr>
        <w:pBdr>
          <w:top w:val="single" w:sz="18" w:space="1" w:color="004259"/>
          <w:bottom w:val="single" w:sz="18" w:space="1" w:color="004259"/>
        </w:pBdr>
        <w:rPr>
          <w:lang w:val="en-GB"/>
        </w:rPr>
      </w:pPr>
      <w:r>
        <w:rPr>
          <w:b/>
          <w:bCs/>
          <w:i/>
          <w:iCs/>
          <w:lang w:val="en-GB"/>
        </w:rPr>
        <w:t>Do respondents have any comment related to these two metrics for the specification and the calibration of the test statistic for the large decline in Article 6 for the purpose of NII SOT? Specifically, do respondents find the inclusion of administrative expenses in metric 2 clear enough? Do respondents have any comment on the example on currency aggregation for metric 1 and metric 2?</w:t>
      </w:r>
    </w:p>
    <w:p w14:paraId="78F7ECDE" w14:textId="678B3D75" w:rsidR="007B6F77" w:rsidRPr="00D27595" w:rsidRDefault="007B6F77" w:rsidP="007B6F77">
      <w:pPr>
        <w:rPr>
          <w:b/>
          <w:bCs/>
          <w:lang w:val="en-GB"/>
        </w:rPr>
      </w:pPr>
    </w:p>
    <w:p w14:paraId="64D27847" w14:textId="0455AB0B" w:rsidR="007B6F77" w:rsidRDefault="007B6F77" w:rsidP="007B6F77">
      <w:pPr>
        <w:rPr>
          <w:lang w:val="en-GB"/>
        </w:rPr>
      </w:pPr>
      <w:r>
        <w:rPr>
          <w:lang w:val="en-GB"/>
        </w:rPr>
        <w:t>We respond EBA with reference to Question 2 as follows.</w:t>
      </w:r>
    </w:p>
    <w:p w14:paraId="5A4707BE" w14:textId="77777777" w:rsidR="007B6F77" w:rsidRDefault="007B6F77" w:rsidP="007B6F77">
      <w:pPr>
        <w:rPr>
          <w:lang w:val="en-GB"/>
        </w:rPr>
      </w:pPr>
    </w:p>
    <w:p w14:paraId="3FC61B0B" w14:textId="40D5511B" w:rsidR="007B6F77" w:rsidRPr="002C5399" w:rsidRDefault="002C5399" w:rsidP="002C5399">
      <w:pPr>
        <w:rPr>
          <w:lang w:val="en-GB"/>
        </w:rPr>
      </w:pPr>
      <w:r w:rsidRPr="002C5399">
        <w:rPr>
          <w:color w:val="004259"/>
          <w:lang w:val="en-GB"/>
        </w:rPr>
        <w:t>●</w:t>
      </w:r>
      <w:r>
        <w:rPr>
          <w:lang w:val="en-GB"/>
        </w:rPr>
        <w:t xml:space="preserve"> </w:t>
      </w:r>
      <w:r w:rsidR="007B6F77" w:rsidRPr="002C5399">
        <w:rPr>
          <w:lang w:val="en-GB"/>
        </w:rPr>
        <w:t xml:space="preserve">The Bank </w:t>
      </w:r>
      <w:r w:rsidR="005965A5">
        <w:rPr>
          <w:lang w:val="en-GB"/>
        </w:rPr>
        <w:t>ha</w:t>
      </w:r>
      <w:r w:rsidR="007B6F77" w:rsidRPr="002C5399">
        <w:rPr>
          <w:lang w:val="en-GB"/>
        </w:rPr>
        <w:t>s</w:t>
      </w:r>
      <w:r w:rsidR="005965A5">
        <w:rPr>
          <w:lang w:val="en-GB"/>
        </w:rPr>
        <w:t xml:space="preserve"> a strong preference for metric 1</w:t>
      </w:r>
      <w:r w:rsidR="007B6F77" w:rsidRPr="002C5399">
        <w:rPr>
          <w:lang w:val="en-GB"/>
        </w:rPr>
        <w:t>.</w:t>
      </w:r>
    </w:p>
    <w:p w14:paraId="0D77F3EE" w14:textId="77777777" w:rsidR="007B6F77" w:rsidRDefault="007B6F77" w:rsidP="007B6F77">
      <w:pPr>
        <w:rPr>
          <w:lang w:val="en-GB"/>
        </w:rPr>
      </w:pPr>
    </w:p>
    <w:p w14:paraId="76CB9C63" w14:textId="77777777" w:rsidR="00574BFC" w:rsidRDefault="005965A5" w:rsidP="0095715C">
      <w:pPr>
        <w:rPr>
          <w:lang w:val="en-GB"/>
        </w:rPr>
      </w:pPr>
      <w:r w:rsidRPr="005965A5">
        <w:rPr>
          <w:lang w:val="en-GB"/>
        </w:rPr>
        <w:t xml:space="preserve">The explanatory box </w:t>
      </w:r>
      <w:r>
        <w:rPr>
          <w:lang w:val="en-GB"/>
        </w:rPr>
        <w:t xml:space="preserve">following </w:t>
      </w:r>
      <w:r w:rsidRPr="005965A5">
        <w:rPr>
          <w:lang w:val="en-GB"/>
        </w:rPr>
        <w:t xml:space="preserve">Article 6 </w:t>
      </w:r>
      <w:r>
        <w:rPr>
          <w:lang w:val="en-GB"/>
        </w:rPr>
        <w:t xml:space="preserve">remarks with respect to option </w:t>
      </w:r>
      <w:r w:rsidRPr="005965A5">
        <w:rPr>
          <w:lang w:val="en-GB"/>
        </w:rPr>
        <w:t>A</w:t>
      </w:r>
      <w:r>
        <w:rPr>
          <w:lang w:val="en-GB"/>
        </w:rPr>
        <w:t xml:space="preserve">, involving metric 1 </w:t>
      </w:r>
      <w:r w:rsidRPr="005965A5">
        <w:rPr>
          <w:lang w:val="en-GB"/>
        </w:rPr>
        <w:t xml:space="preserve">for the </w:t>
      </w:r>
      <w:r>
        <w:rPr>
          <w:lang w:val="en-GB"/>
        </w:rPr>
        <w:t xml:space="preserve">identification of a large decline in NII from the supervisory shock scenario, </w:t>
      </w:r>
      <w:r w:rsidRPr="005965A5">
        <w:rPr>
          <w:lang w:val="en-GB"/>
        </w:rPr>
        <w:t>that option A fails to account for elements other than NII-related elements in the assessment of the sustainability of the business operations.</w:t>
      </w:r>
    </w:p>
    <w:p w14:paraId="0EF5604A" w14:textId="77777777" w:rsidR="00574BFC" w:rsidRDefault="00574BFC" w:rsidP="0095715C">
      <w:pPr>
        <w:rPr>
          <w:lang w:val="en-GB"/>
        </w:rPr>
      </w:pPr>
    </w:p>
    <w:p w14:paraId="35F1A13D" w14:textId="339B637F" w:rsidR="00574BFC" w:rsidRDefault="005965A5" w:rsidP="0095715C">
      <w:pPr>
        <w:rPr>
          <w:lang w:val="en-GB"/>
        </w:rPr>
      </w:pPr>
      <w:r>
        <w:rPr>
          <w:lang w:val="en-GB"/>
        </w:rPr>
        <w:t>The Bank remarks that option B, involving metric 2, is highly sensitive to one-off elements in expected NII after costs</w:t>
      </w:r>
      <w:r w:rsidR="00574BFC">
        <w:rPr>
          <w:lang w:val="en-GB"/>
        </w:rPr>
        <w:t xml:space="preserve">. These affect the denominator, resulting in </w:t>
      </w:r>
      <w:r>
        <w:rPr>
          <w:lang w:val="en-GB"/>
        </w:rPr>
        <w:t xml:space="preserve">a potentially unstable measure. </w:t>
      </w:r>
      <w:r w:rsidR="00574BFC">
        <w:rPr>
          <w:lang w:val="en-GB"/>
        </w:rPr>
        <w:t>Metric 2, particularly, fails to discern between changes in expenses that can be transient in nature and net interest income. Metric 2</w:t>
      </w:r>
      <w:r>
        <w:rPr>
          <w:lang w:val="en-GB"/>
        </w:rPr>
        <w:t xml:space="preserve"> further </w:t>
      </w:r>
      <w:r w:rsidR="00574BFC">
        <w:rPr>
          <w:lang w:val="en-GB"/>
        </w:rPr>
        <w:t>uses</w:t>
      </w:r>
      <w:r>
        <w:rPr>
          <w:lang w:val="en-GB"/>
        </w:rPr>
        <w:t xml:space="preserve"> reported FINREP numbers that may reflect </w:t>
      </w:r>
      <w:r w:rsidR="00574BFC">
        <w:rPr>
          <w:lang w:val="en-GB"/>
        </w:rPr>
        <w:t xml:space="preserve">accounting or regulatory views rather than </w:t>
      </w:r>
      <w:r>
        <w:rPr>
          <w:lang w:val="en-GB"/>
        </w:rPr>
        <w:t>‘economic’ re</w:t>
      </w:r>
      <w:r w:rsidR="00574BFC">
        <w:rPr>
          <w:lang w:val="en-GB"/>
        </w:rPr>
        <w:t>levance.</w:t>
      </w:r>
      <w:r w:rsidR="00222EEB">
        <w:rPr>
          <w:lang w:val="en-GB"/>
        </w:rPr>
        <w:t xml:space="preserve"> The Bank further questions whether any measure over a one-year horizon allows for assessment </w:t>
      </w:r>
      <w:r w:rsidR="00222EEB" w:rsidRPr="005965A5">
        <w:rPr>
          <w:lang w:val="en-GB"/>
        </w:rPr>
        <w:t>of the sustainability of the business operations.</w:t>
      </w:r>
      <w:r w:rsidR="00222EEB">
        <w:rPr>
          <w:lang w:val="en-GB"/>
        </w:rPr>
        <w:t xml:space="preserve"> Metric 2, therefore, appears to be more complex and unstable than metric 1 whilst not adding useful information for the assessment of the institution’s sustainability of NII.</w:t>
      </w:r>
    </w:p>
    <w:p w14:paraId="47ACE3AA" w14:textId="77777777" w:rsidR="005965A5" w:rsidRPr="007C7AAE" w:rsidRDefault="005965A5" w:rsidP="0095715C">
      <w:pPr>
        <w:rPr>
          <w:lang w:val="en-GB"/>
        </w:rPr>
      </w:pPr>
    </w:p>
    <w:p w14:paraId="41C1B982" w14:textId="2E0A6F80" w:rsidR="0095715C" w:rsidRDefault="0095715C" w:rsidP="0095715C">
      <w:pPr>
        <w:pBdr>
          <w:top w:val="single" w:sz="18" w:space="1" w:color="004259"/>
          <w:bottom w:val="single" w:sz="18" w:space="1" w:color="004259"/>
        </w:pBdr>
        <w:rPr>
          <w:b/>
          <w:bCs/>
          <w:lang w:val="en-GB"/>
        </w:rPr>
      </w:pPr>
      <w:r w:rsidRPr="002F0DBC">
        <w:rPr>
          <w:b/>
          <w:bCs/>
          <w:lang w:val="en-GB"/>
        </w:rPr>
        <w:t xml:space="preserve">Question </w:t>
      </w:r>
      <w:r>
        <w:rPr>
          <w:b/>
          <w:bCs/>
          <w:lang w:val="en-GB"/>
        </w:rPr>
        <w:t>3</w:t>
      </w:r>
      <w:r w:rsidRPr="002F0DBC">
        <w:rPr>
          <w:b/>
          <w:bCs/>
          <w:lang w:val="en-GB"/>
        </w:rPr>
        <w:t>:</w:t>
      </w:r>
    </w:p>
    <w:p w14:paraId="3FF68DE3" w14:textId="2FF4347F" w:rsidR="0095715C" w:rsidRPr="002F0DBC" w:rsidRDefault="00222EEB" w:rsidP="0095715C">
      <w:pPr>
        <w:pBdr>
          <w:top w:val="single" w:sz="18" w:space="1" w:color="004259"/>
          <w:bottom w:val="single" w:sz="18" w:space="1" w:color="004259"/>
        </w:pBdr>
        <w:rPr>
          <w:lang w:val="en-GB"/>
        </w:rPr>
      </w:pPr>
      <w:r>
        <w:rPr>
          <w:b/>
          <w:bCs/>
          <w:i/>
          <w:iCs/>
          <w:lang w:val="en-GB"/>
        </w:rPr>
        <w:t>Do respondents consider that all the necessary aspects have been covered in the draft regulatory standard? Do respondents find the provisions clear enough or would any additional clarification be needed on any aspect?</w:t>
      </w:r>
    </w:p>
    <w:p w14:paraId="70AE1940" w14:textId="77777777" w:rsidR="0095715C" w:rsidRPr="00D27595" w:rsidRDefault="0095715C" w:rsidP="0095715C">
      <w:pPr>
        <w:rPr>
          <w:b/>
          <w:bCs/>
          <w:lang w:val="en-GB"/>
        </w:rPr>
      </w:pPr>
    </w:p>
    <w:p w14:paraId="620B99A5" w14:textId="459C775D" w:rsidR="0095715C" w:rsidRDefault="0095715C" w:rsidP="0095715C">
      <w:pPr>
        <w:rPr>
          <w:lang w:val="en-GB"/>
        </w:rPr>
      </w:pPr>
      <w:r>
        <w:rPr>
          <w:lang w:val="en-GB"/>
        </w:rPr>
        <w:t>We respond EBA with reference to Question 3 as follows.</w:t>
      </w:r>
    </w:p>
    <w:p w14:paraId="72123045" w14:textId="1E9BF32B" w:rsidR="0095715C" w:rsidRDefault="0095715C" w:rsidP="0095715C">
      <w:pPr>
        <w:rPr>
          <w:lang w:val="en-GB"/>
        </w:rPr>
      </w:pPr>
    </w:p>
    <w:p w14:paraId="172CD08E" w14:textId="39AF9B62" w:rsidR="008349D6" w:rsidRDefault="002C5399" w:rsidP="0095715C">
      <w:pPr>
        <w:rPr>
          <w:lang w:val="en-GB"/>
        </w:rPr>
      </w:pPr>
      <w:r w:rsidRPr="002C5399">
        <w:rPr>
          <w:color w:val="004259"/>
          <w:lang w:val="en-GB"/>
        </w:rPr>
        <w:t>●</w:t>
      </w:r>
      <w:r>
        <w:rPr>
          <w:lang w:val="en-GB"/>
        </w:rPr>
        <w:t xml:space="preserve"> </w:t>
      </w:r>
      <w:r w:rsidR="00222EEB">
        <w:rPr>
          <w:lang w:val="en-GB"/>
        </w:rPr>
        <w:t xml:space="preserve">The Bank asks EBA to clarify whether the bucketing methodology is optional and whether institutions may use a </w:t>
      </w:r>
      <w:r w:rsidR="00222EEB" w:rsidRPr="00150CCF">
        <w:rPr>
          <w:lang w:val="en-GB"/>
        </w:rPr>
        <w:t>more accurate model using actual cash flow schedules and corresponding discount and forward rates.</w:t>
      </w:r>
    </w:p>
    <w:p w14:paraId="20E8C63C" w14:textId="73849C88" w:rsidR="00222EEB" w:rsidRDefault="00222EEB" w:rsidP="0095715C">
      <w:pPr>
        <w:rPr>
          <w:lang w:val="en-GB"/>
        </w:rPr>
      </w:pPr>
      <w:r w:rsidRPr="002C5399">
        <w:rPr>
          <w:color w:val="004259"/>
          <w:lang w:val="en-GB"/>
        </w:rPr>
        <w:t>●</w:t>
      </w:r>
      <w:r>
        <w:rPr>
          <w:lang w:val="en-GB"/>
        </w:rPr>
        <w:t xml:space="preserve"> The Bank asks EBA to clarify whether institutions may apply the increments to the floors they must apply to shocked interest rates in a continuous manner.</w:t>
      </w:r>
    </w:p>
    <w:p w14:paraId="3C6E95C0" w14:textId="174CAE32" w:rsidR="00222EEB" w:rsidRDefault="00222EEB" w:rsidP="007C60AD">
      <w:pPr>
        <w:rPr>
          <w:lang w:val="en-GB"/>
        </w:rPr>
      </w:pPr>
      <w:r w:rsidRPr="002C5399">
        <w:rPr>
          <w:color w:val="004259"/>
          <w:lang w:val="en-GB"/>
        </w:rPr>
        <w:lastRenderedPageBreak/>
        <w:t>●</w:t>
      </w:r>
      <w:r>
        <w:rPr>
          <w:lang w:val="en-GB"/>
        </w:rPr>
        <w:t xml:space="preserve"> The Bank asks EBA to clarify whether</w:t>
      </w:r>
      <w:r w:rsidRPr="00222EEB">
        <w:rPr>
          <w:lang w:val="en-GB"/>
        </w:rPr>
        <w:t xml:space="preserve"> ‘interest rates’ referred to in article 3 </w:t>
      </w:r>
      <w:r w:rsidR="007C60AD">
        <w:rPr>
          <w:lang w:val="en-GB"/>
        </w:rPr>
        <w:t>are</w:t>
      </w:r>
      <w:r w:rsidRPr="00222EEB">
        <w:rPr>
          <w:lang w:val="en-GB"/>
        </w:rPr>
        <w:t xml:space="preserve"> ’discount rates’ </w:t>
      </w:r>
      <w:r w:rsidR="007C60AD">
        <w:rPr>
          <w:lang w:val="en-GB"/>
        </w:rPr>
        <w:t>or</w:t>
      </w:r>
      <w:r w:rsidRPr="00222EEB">
        <w:rPr>
          <w:lang w:val="en-GB"/>
        </w:rPr>
        <w:t xml:space="preserve"> ‘spot rates?</w:t>
      </w:r>
    </w:p>
    <w:p w14:paraId="65351A9E" w14:textId="696D6F67" w:rsidR="00222EEB" w:rsidRDefault="007C60AD" w:rsidP="001F68A9">
      <w:pPr>
        <w:rPr>
          <w:lang w:val="en-GB"/>
        </w:rPr>
      </w:pPr>
      <w:r w:rsidRPr="002C5399">
        <w:rPr>
          <w:color w:val="004259"/>
          <w:lang w:val="en-GB"/>
        </w:rPr>
        <w:t>●</w:t>
      </w:r>
      <w:r>
        <w:rPr>
          <w:lang w:val="en-GB"/>
        </w:rPr>
        <w:t xml:space="preserve"> The Bank asks EBA to clarify how institutions must attribute administrative expenses across currencies if EBA chooses to implement metric 2 referred to in article 6. In particular, the Bank asks EBA to clarify how institutions must attribute costs of currency hedges to the relevant currencies.</w:t>
      </w:r>
    </w:p>
    <w:p w14:paraId="4AB6A40A" w14:textId="77777777" w:rsidR="00CF10E6" w:rsidRDefault="00CF10E6" w:rsidP="00CF10E6">
      <w:pPr>
        <w:rPr>
          <w:lang w:val="en-GB"/>
        </w:rPr>
      </w:pPr>
    </w:p>
    <w:p w14:paraId="44266647" w14:textId="71F58EA6" w:rsidR="00CF10E6" w:rsidRPr="007C7AAE" w:rsidRDefault="00CF10E6" w:rsidP="001F68A9">
      <w:pPr>
        <w:rPr>
          <w:lang w:val="en-GB"/>
        </w:rPr>
      </w:pPr>
      <w:r>
        <w:rPr>
          <w:lang w:val="en-GB"/>
        </w:rPr>
        <w:t>NWB Bank</w:t>
      </w:r>
    </w:p>
    <w:sectPr w:rsidR="00CF10E6" w:rsidRPr="007C7AAE" w:rsidSect="00AB2078">
      <w:footerReference w:type="default" r:id="rId7"/>
      <w:headerReference w:type="first" r:id="rId8"/>
      <w:footerReference w:type="first" r:id="rId9"/>
      <w:pgSz w:w="11906" w:h="16838"/>
      <w:pgMar w:top="2268" w:right="1418" w:bottom="1701"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6DB8" w14:textId="77777777" w:rsidR="00F55821" w:rsidRDefault="00F55821" w:rsidP="00514A06">
      <w:pPr>
        <w:spacing w:line="240" w:lineRule="auto"/>
      </w:pPr>
      <w:r>
        <w:separator/>
      </w:r>
    </w:p>
  </w:endnote>
  <w:endnote w:type="continuationSeparator" w:id="0">
    <w:p w14:paraId="510F7481" w14:textId="77777777" w:rsidR="00F55821" w:rsidRDefault="00F55821" w:rsidP="00514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C7D0"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rsidR="00BF0D4E" w:rsidRPr="004A5CD4">
      <w:rPr>
        <w:rFonts w:ascii="Trebuchet MS" w:eastAsia="Trebuchet MS" w:hAnsi="Trebuchet MS" w:cs="Times New Roman"/>
        <w:noProof/>
        <w:color w:val="504D47"/>
        <w:sz w:val="16"/>
        <w:lang w:val="en-GB" w:eastAsia="en-GB"/>
      </w:rPr>
      <w:drawing>
        <wp:anchor distT="0" distB="0" distL="114300" distR="114300" simplePos="0" relativeHeight="251664384" behindDoc="0" locked="1" layoutInCell="1" allowOverlap="1" wp14:anchorId="24AA1F5A" wp14:editId="2D81745F">
          <wp:simplePos x="0" y="0"/>
          <wp:positionH relativeFrom="page">
            <wp:posOffset>900430</wp:posOffset>
          </wp:positionH>
          <wp:positionV relativeFrom="page">
            <wp:posOffset>10358120</wp:posOffset>
          </wp:positionV>
          <wp:extent cx="827405" cy="1511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151130"/>
                  </a:xfrm>
                  <a:prstGeom prst="rect">
                    <a:avLst/>
                  </a:prstGeom>
                </pic:spPr>
              </pic:pic>
            </a:graphicData>
          </a:graphic>
          <wp14:sizeRelH relativeFrom="margin">
            <wp14:pctWidth>0</wp14:pctWidth>
          </wp14:sizeRelH>
          <wp14:sizeRelV relativeFrom="margin">
            <wp14:pctHeight>0</wp14:pctHeight>
          </wp14:sizeRelV>
        </wp:anchor>
      </w:drawing>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7C7AAE">
      <w:rPr>
        <w:rFonts w:ascii="Trebuchet MS" w:eastAsia="Trebuchet MS" w:hAnsi="Trebuchet MS" w:cs="Times New Roman"/>
        <w:noProof/>
        <w:color w:val="504D47"/>
        <w:sz w:val="16"/>
      </w:rPr>
      <w:t>2</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2336" behindDoc="0" locked="1" layoutInCell="1" allowOverlap="1" wp14:anchorId="5A5A2E96" wp14:editId="50BA14AC">
              <wp:simplePos x="0" y="0"/>
              <wp:positionH relativeFrom="margin">
                <wp:posOffset>-8890</wp:posOffset>
              </wp:positionH>
              <wp:positionV relativeFrom="page">
                <wp:posOffset>10203180</wp:posOffset>
              </wp:positionV>
              <wp:extent cx="574675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7D19DE7C" id="Straight Connector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803.4pt" to="451.8pt,8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8B6729">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D05C" w14:textId="77777777" w:rsidR="005F40FB" w:rsidRPr="005F40FB" w:rsidRDefault="005F40FB" w:rsidP="005F40FB">
    <w:pPr>
      <w:tabs>
        <w:tab w:val="center" w:pos="4680"/>
        <w:tab w:val="right" w:pos="9360"/>
      </w:tabs>
      <w:spacing w:line="240" w:lineRule="auto"/>
      <w:jc w:val="center"/>
      <w:rPr>
        <w:rFonts w:ascii="Trebuchet MS" w:eastAsia="Trebuchet MS" w:hAnsi="Trebuchet MS" w:cs="Times New Roman"/>
        <w:color w:val="504D47"/>
        <w:sz w:val="16"/>
      </w:rPr>
    </w:pPr>
    <w:r>
      <w:tab/>
    </w:r>
    <w:r>
      <w:tab/>
    </w:r>
    <w:r>
      <w:tab/>
    </w:r>
    <w:r w:rsidRPr="004A5CD4">
      <w:rPr>
        <w:rFonts w:ascii="Trebuchet MS" w:eastAsia="Trebuchet MS" w:hAnsi="Trebuchet MS" w:cs="Times New Roman"/>
        <w:color w:val="504D47"/>
        <w:sz w:val="16"/>
      </w:rPr>
      <w:ptab w:relativeTo="margin" w:alignment="right" w:leader="none"/>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PAGE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color w:val="504D47"/>
        <w:sz w:val="16"/>
      </w:rPr>
      <w:fldChar w:fldCharType="end"/>
    </w:r>
    <w:r w:rsidRPr="004A5CD4">
      <w:rPr>
        <w:rFonts w:ascii="Trebuchet MS" w:eastAsia="Trebuchet MS" w:hAnsi="Trebuchet MS" w:cs="Times New Roman"/>
        <w:noProof/>
        <w:color w:val="504D47"/>
        <w:sz w:val="16"/>
        <w:lang w:val="en-GB" w:eastAsia="en-GB"/>
      </w:rPr>
      <mc:AlternateContent>
        <mc:Choice Requires="wps">
          <w:drawing>
            <wp:anchor distT="0" distB="0" distL="114300" distR="114300" simplePos="0" relativeHeight="251660288" behindDoc="0" locked="1" layoutInCell="1" allowOverlap="1" wp14:anchorId="0914133F" wp14:editId="62330A03">
              <wp:simplePos x="0" y="0"/>
              <wp:positionH relativeFrom="margin">
                <wp:posOffset>-8890</wp:posOffset>
              </wp:positionH>
              <wp:positionV relativeFrom="page">
                <wp:posOffset>10149840</wp:posOffset>
              </wp:positionV>
              <wp:extent cx="57467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5746750" cy="0"/>
                      </a:xfrm>
                      <a:prstGeom prst="line">
                        <a:avLst/>
                      </a:prstGeom>
                      <a:noFill/>
                      <a:ln w="9525" cap="flat" cmpd="sng" algn="ctr">
                        <a:solidFill>
                          <a:srgbClr val="009FC6"/>
                        </a:solidFill>
                        <a:prstDash val="solid"/>
                        <a:miter lim="800000"/>
                      </a:ln>
                      <a:effectLst/>
                    </wps:spPr>
                    <wps:bodyPr/>
                  </wps:wsp>
                </a:graphicData>
              </a:graphic>
              <wp14:sizeRelH relativeFrom="margin">
                <wp14:pctWidth>0</wp14:pctWidth>
              </wp14:sizeRelH>
            </wp:anchor>
          </w:drawing>
        </mc:Choice>
        <mc:Fallback>
          <w:pict>
            <v:line w14:anchorId="2EEBF92C" id="Straight Connector 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pt,799.2pt" to="451.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" strokecolor="#009fc6">
              <v:stroke joinstyle="miter"/>
              <w10:wrap anchorx="margin" anchory="page"/>
              <w10:anchorlock/>
            </v:line>
          </w:pict>
        </mc:Fallback>
      </mc:AlternateContent>
    </w:r>
    <w:r w:rsidRPr="004A5CD4">
      <w:rPr>
        <w:rFonts w:ascii="Trebuchet MS" w:eastAsia="Trebuchet MS" w:hAnsi="Trebuchet MS" w:cs="Times New Roman"/>
        <w:color w:val="504D47"/>
        <w:sz w:val="16"/>
      </w:rPr>
      <w:t xml:space="preserve"> / </w:t>
    </w:r>
    <w:r w:rsidRPr="004A5CD4">
      <w:rPr>
        <w:rFonts w:ascii="Trebuchet MS" w:eastAsia="Trebuchet MS" w:hAnsi="Trebuchet MS" w:cs="Times New Roman"/>
        <w:color w:val="504D47"/>
        <w:sz w:val="16"/>
      </w:rPr>
      <w:fldChar w:fldCharType="begin"/>
    </w:r>
    <w:r w:rsidRPr="004A5CD4">
      <w:rPr>
        <w:rFonts w:ascii="Trebuchet MS" w:eastAsia="Trebuchet MS" w:hAnsi="Trebuchet MS" w:cs="Times New Roman"/>
        <w:color w:val="504D47"/>
        <w:sz w:val="16"/>
      </w:rPr>
      <w:instrText xml:space="preserve"> NUMPAGES   \* MERGEFORMAT </w:instrText>
    </w:r>
    <w:r w:rsidRPr="004A5CD4">
      <w:rPr>
        <w:rFonts w:ascii="Trebuchet MS" w:eastAsia="Trebuchet MS" w:hAnsi="Trebuchet MS" w:cs="Times New Roman"/>
        <w:color w:val="504D47"/>
        <w:sz w:val="16"/>
      </w:rPr>
      <w:fldChar w:fldCharType="separate"/>
    </w:r>
    <w:r w:rsidR="0055762F">
      <w:rPr>
        <w:rFonts w:ascii="Trebuchet MS" w:eastAsia="Trebuchet MS" w:hAnsi="Trebuchet MS" w:cs="Times New Roman"/>
        <w:noProof/>
        <w:color w:val="504D47"/>
        <w:sz w:val="16"/>
      </w:rPr>
      <w:t>1</w:t>
    </w:r>
    <w:r w:rsidRPr="004A5CD4">
      <w:rPr>
        <w:rFonts w:ascii="Trebuchet MS" w:eastAsia="Trebuchet MS" w:hAnsi="Trebuchet MS" w:cs="Times New Roman"/>
        <w:noProof/>
        <w:color w:val="504D4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CCFA" w14:textId="77777777" w:rsidR="00F55821" w:rsidRDefault="00F55821" w:rsidP="00514A06">
      <w:pPr>
        <w:spacing w:line="240" w:lineRule="auto"/>
      </w:pPr>
      <w:r>
        <w:separator/>
      </w:r>
    </w:p>
  </w:footnote>
  <w:footnote w:type="continuationSeparator" w:id="0">
    <w:p w14:paraId="3E46ACC6" w14:textId="77777777" w:rsidR="00F55821" w:rsidRDefault="00F55821" w:rsidP="00514A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0BB6" w14:textId="77777777" w:rsidR="00AB2078" w:rsidRDefault="00AB2078">
    <w:pPr>
      <w:pStyle w:val="Header"/>
    </w:pPr>
    <w:r>
      <w:rPr>
        <w:noProof/>
        <w:lang w:val="en-GB" w:eastAsia="en-GB"/>
      </w:rPr>
      <w:drawing>
        <wp:anchor distT="0" distB="0" distL="114300" distR="114300" simplePos="0" relativeHeight="251658240" behindDoc="0" locked="0" layoutInCell="1" allowOverlap="1" wp14:anchorId="0DB7DEB5" wp14:editId="61E77F86">
          <wp:simplePos x="0" y="0"/>
          <wp:positionH relativeFrom="page">
            <wp:posOffset>5001260</wp:posOffset>
          </wp:positionH>
          <wp:positionV relativeFrom="page">
            <wp:posOffset>456565</wp:posOffset>
          </wp:positionV>
          <wp:extent cx="2001600" cy="36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WB_Bank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3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7B"/>
    <w:multiLevelType w:val="hybridMultilevel"/>
    <w:tmpl w:val="B82C043C"/>
    <w:lvl w:ilvl="0" w:tplc="8E3065F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9D1312"/>
    <w:multiLevelType w:val="hybridMultilevel"/>
    <w:tmpl w:val="3B14E506"/>
    <w:lvl w:ilvl="0" w:tplc="B12ED66C">
      <w:numFmt w:val="bullet"/>
      <w:lvlText w:val="•"/>
      <w:lvlJc w:val="left"/>
      <w:pPr>
        <w:ind w:left="1065" w:hanging="705"/>
      </w:pPr>
      <w:rPr>
        <w:rFonts w:ascii="Trebuchet MS" w:eastAsiaTheme="minorHAnsi" w:hAnsi="Trebuchet MS" w:cstheme="minorBidi" w:hint="default"/>
      </w:rPr>
    </w:lvl>
    <w:lvl w:ilvl="1" w:tplc="D820EEE2">
      <w:numFmt w:val="bullet"/>
      <w:lvlText w:val=""/>
      <w:lvlJc w:val="left"/>
      <w:pPr>
        <w:ind w:left="1785" w:hanging="705"/>
      </w:pPr>
      <w:rPr>
        <w:rFonts w:ascii="Symbol" w:eastAsiaTheme="minorHAnsi" w:hAnsi="Symbol"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E7B39AE"/>
    <w:multiLevelType w:val="hybridMultilevel"/>
    <w:tmpl w:val="277884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21"/>
    <w:rsid w:val="00005887"/>
    <w:rsid w:val="00006F6D"/>
    <w:rsid w:val="000167EF"/>
    <w:rsid w:val="000344EF"/>
    <w:rsid w:val="000C373C"/>
    <w:rsid w:val="000D3B33"/>
    <w:rsid w:val="000D522A"/>
    <w:rsid w:val="000E4DE8"/>
    <w:rsid w:val="00100887"/>
    <w:rsid w:val="001052C2"/>
    <w:rsid w:val="001064EE"/>
    <w:rsid w:val="00150CCF"/>
    <w:rsid w:val="001513CF"/>
    <w:rsid w:val="001544E5"/>
    <w:rsid w:val="0017198E"/>
    <w:rsid w:val="001D4B51"/>
    <w:rsid w:val="001E3EC5"/>
    <w:rsid w:val="001F68A9"/>
    <w:rsid w:val="00222EEB"/>
    <w:rsid w:val="00264DD2"/>
    <w:rsid w:val="00276746"/>
    <w:rsid w:val="002961FD"/>
    <w:rsid w:val="002B0C3F"/>
    <w:rsid w:val="002C5399"/>
    <w:rsid w:val="002D4896"/>
    <w:rsid w:val="002F00CD"/>
    <w:rsid w:val="002F0E1E"/>
    <w:rsid w:val="002F54AF"/>
    <w:rsid w:val="00310FB7"/>
    <w:rsid w:val="00316885"/>
    <w:rsid w:val="00350B08"/>
    <w:rsid w:val="00394490"/>
    <w:rsid w:val="003B742A"/>
    <w:rsid w:val="003C6E0C"/>
    <w:rsid w:val="003D43B7"/>
    <w:rsid w:val="003E5109"/>
    <w:rsid w:val="00432693"/>
    <w:rsid w:val="00434FDB"/>
    <w:rsid w:val="004836FA"/>
    <w:rsid w:val="004975B5"/>
    <w:rsid w:val="004A1110"/>
    <w:rsid w:val="004A6B4D"/>
    <w:rsid w:val="004B42CA"/>
    <w:rsid w:val="004F71FF"/>
    <w:rsid w:val="004F7850"/>
    <w:rsid w:val="00501C82"/>
    <w:rsid w:val="00514A06"/>
    <w:rsid w:val="00556782"/>
    <w:rsid w:val="0055762F"/>
    <w:rsid w:val="00574BFC"/>
    <w:rsid w:val="0058173C"/>
    <w:rsid w:val="0059085A"/>
    <w:rsid w:val="0059109F"/>
    <w:rsid w:val="005941AE"/>
    <w:rsid w:val="005965A5"/>
    <w:rsid w:val="005A7970"/>
    <w:rsid w:val="005F40FB"/>
    <w:rsid w:val="00621F8C"/>
    <w:rsid w:val="006303E1"/>
    <w:rsid w:val="00651E73"/>
    <w:rsid w:val="00685F92"/>
    <w:rsid w:val="00686876"/>
    <w:rsid w:val="006A6976"/>
    <w:rsid w:val="006C0A68"/>
    <w:rsid w:val="007103AC"/>
    <w:rsid w:val="00726D05"/>
    <w:rsid w:val="00737DA3"/>
    <w:rsid w:val="007661A9"/>
    <w:rsid w:val="00767572"/>
    <w:rsid w:val="0078699B"/>
    <w:rsid w:val="007B411D"/>
    <w:rsid w:val="007B6675"/>
    <w:rsid w:val="007B6F77"/>
    <w:rsid w:val="007C4220"/>
    <w:rsid w:val="007C60AD"/>
    <w:rsid w:val="007C7AAE"/>
    <w:rsid w:val="008043E7"/>
    <w:rsid w:val="00817785"/>
    <w:rsid w:val="008209AD"/>
    <w:rsid w:val="00830A46"/>
    <w:rsid w:val="008349D6"/>
    <w:rsid w:val="008537B2"/>
    <w:rsid w:val="008576D1"/>
    <w:rsid w:val="008A00A6"/>
    <w:rsid w:val="008A2DE6"/>
    <w:rsid w:val="008B6729"/>
    <w:rsid w:val="008D248F"/>
    <w:rsid w:val="008D3F18"/>
    <w:rsid w:val="0091151D"/>
    <w:rsid w:val="00914D09"/>
    <w:rsid w:val="0095715C"/>
    <w:rsid w:val="00962901"/>
    <w:rsid w:val="009A60BA"/>
    <w:rsid w:val="009D02DC"/>
    <w:rsid w:val="009E7ADF"/>
    <w:rsid w:val="00A34A64"/>
    <w:rsid w:val="00A53A00"/>
    <w:rsid w:val="00AA0962"/>
    <w:rsid w:val="00AA5432"/>
    <w:rsid w:val="00AB2078"/>
    <w:rsid w:val="00AF0798"/>
    <w:rsid w:val="00B0091A"/>
    <w:rsid w:val="00B23126"/>
    <w:rsid w:val="00B3086D"/>
    <w:rsid w:val="00B365A7"/>
    <w:rsid w:val="00B53AD4"/>
    <w:rsid w:val="00B56268"/>
    <w:rsid w:val="00B910AE"/>
    <w:rsid w:val="00B93ABF"/>
    <w:rsid w:val="00B94EAA"/>
    <w:rsid w:val="00BE35C8"/>
    <w:rsid w:val="00BF096A"/>
    <w:rsid w:val="00BF0D4E"/>
    <w:rsid w:val="00C33993"/>
    <w:rsid w:val="00C613FF"/>
    <w:rsid w:val="00C66938"/>
    <w:rsid w:val="00C9066D"/>
    <w:rsid w:val="00CB1FFB"/>
    <w:rsid w:val="00CD59AF"/>
    <w:rsid w:val="00CF10E6"/>
    <w:rsid w:val="00D42C9A"/>
    <w:rsid w:val="00D470FA"/>
    <w:rsid w:val="00D77BA9"/>
    <w:rsid w:val="00DA55FE"/>
    <w:rsid w:val="00DC4CB9"/>
    <w:rsid w:val="00DD49F9"/>
    <w:rsid w:val="00DD663B"/>
    <w:rsid w:val="00E13364"/>
    <w:rsid w:val="00E47AF3"/>
    <w:rsid w:val="00E60014"/>
    <w:rsid w:val="00E9436A"/>
    <w:rsid w:val="00E96F91"/>
    <w:rsid w:val="00EA6AF9"/>
    <w:rsid w:val="00EC7F73"/>
    <w:rsid w:val="00F13E9D"/>
    <w:rsid w:val="00F22F90"/>
    <w:rsid w:val="00F55821"/>
    <w:rsid w:val="00F74469"/>
    <w:rsid w:val="00F979A3"/>
    <w:rsid w:val="00FA5D91"/>
    <w:rsid w:val="00FA6C08"/>
    <w:rsid w:val="00FD456D"/>
    <w:rsid w:val="00FE5C3F"/>
    <w:rsid w:val="00FF0A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BAFDD"/>
  <w15:docId w15:val="{6B01B955-4980-4B42-BB6B-1126E21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A3"/>
  </w:style>
  <w:style w:type="paragraph" w:styleId="Heading1">
    <w:name w:val="heading 1"/>
    <w:basedOn w:val="Normal"/>
    <w:next w:val="Normal"/>
    <w:link w:val="Heading1Char"/>
    <w:uiPriority w:val="9"/>
    <w:qFormat/>
    <w:rsid w:val="002961FD"/>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2961FD"/>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A06"/>
    <w:pPr>
      <w:tabs>
        <w:tab w:val="center" w:pos="4513"/>
        <w:tab w:val="right" w:pos="9026"/>
      </w:tabs>
      <w:spacing w:line="240" w:lineRule="auto"/>
    </w:pPr>
  </w:style>
  <w:style w:type="character" w:customStyle="1" w:styleId="HeaderChar">
    <w:name w:val="Header Char"/>
    <w:basedOn w:val="DefaultParagraphFont"/>
    <w:link w:val="Header"/>
    <w:uiPriority w:val="99"/>
    <w:rsid w:val="00514A06"/>
  </w:style>
  <w:style w:type="paragraph" w:styleId="Footer">
    <w:name w:val="footer"/>
    <w:basedOn w:val="Normal"/>
    <w:link w:val="FooterChar"/>
    <w:uiPriority w:val="99"/>
    <w:unhideWhenUsed/>
    <w:rsid w:val="00310FB7"/>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10FB7"/>
    <w:rPr>
      <w:sz w:val="18"/>
    </w:rPr>
  </w:style>
  <w:style w:type="table" w:styleId="TableGrid">
    <w:name w:val="Table Grid"/>
    <w:basedOn w:val="TableNormal"/>
    <w:uiPriority w:val="39"/>
    <w:rsid w:val="00514A0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4A06"/>
    <w:rPr>
      <w:color w:val="808080"/>
    </w:rPr>
  </w:style>
  <w:style w:type="paragraph" w:styleId="BalloonText">
    <w:name w:val="Balloon Text"/>
    <w:basedOn w:val="Normal"/>
    <w:link w:val="BalloonTextChar"/>
    <w:uiPriority w:val="99"/>
    <w:semiHidden/>
    <w:unhideWhenUsed/>
    <w:rsid w:val="00C613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FF"/>
    <w:rPr>
      <w:rFonts w:ascii="Tahoma" w:hAnsi="Tahoma" w:cs="Tahoma"/>
      <w:sz w:val="16"/>
      <w:szCs w:val="16"/>
    </w:rPr>
  </w:style>
  <w:style w:type="paragraph" w:customStyle="1" w:styleId="Referentiekopjes">
    <w:name w:val="Referentiekopjes"/>
    <w:basedOn w:val="Normal"/>
    <w:qFormat/>
    <w:rsid w:val="00C9066D"/>
    <w:rPr>
      <w:sz w:val="18"/>
    </w:rPr>
  </w:style>
  <w:style w:type="paragraph" w:customStyle="1" w:styleId="NWBDocumentNaam">
    <w:name w:val="NWBDocumentNaam"/>
    <w:basedOn w:val="Normal"/>
    <w:qFormat/>
    <w:rsid w:val="00AB2078"/>
    <w:rPr>
      <w:b/>
      <w:caps/>
      <w:sz w:val="28"/>
    </w:rPr>
  </w:style>
  <w:style w:type="character" w:styleId="CommentReference">
    <w:name w:val="annotation reference"/>
    <w:basedOn w:val="DefaultParagraphFont"/>
    <w:uiPriority w:val="99"/>
    <w:semiHidden/>
    <w:unhideWhenUsed/>
    <w:rsid w:val="00D470FA"/>
    <w:rPr>
      <w:sz w:val="16"/>
      <w:szCs w:val="16"/>
    </w:rPr>
  </w:style>
  <w:style w:type="paragraph" w:styleId="CommentText">
    <w:name w:val="annotation text"/>
    <w:basedOn w:val="Normal"/>
    <w:link w:val="CommentTextChar"/>
    <w:uiPriority w:val="99"/>
    <w:semiHidden/>
    <w:unhideWhenUsed/>
    <w:rsid w:val="00D470FA"/>
    <w:pPr>
      <w:spacing w:line="240" w:lineRule="auto"/>
    </w:pPr>
  </w:style>
  <w:style w:type="character" w:customStyle="1" w:styleId="CommentTextChar">
    <w:name w:val="Comment Text Char"/>
    <w:basedOn w:val="DefaultParagraphFont"/>
    <w:link w:val="CommentText"/>
    <w:uiPriority w:val="99"/>
    <w:semiHidden/>
    <w:rsid w:val="00D470FA"/>
  </w:style>
  <w:style w:type="paragraph" w:styleId="CommentSubject">
    <w:name w:val="annotation subject"/>
    <w:basedOn w:val="CommentText"/>
    <w:next w:val="CommentText"/>
    <w:link w:val="CommentSubjectChar"/>
    <w:uiPriority w:val="99"/>
    <w:semiHidden/>
    <w:unhideWhenUsed/>
    <w:rsid w:val="00D470FA"/>
    <w:rPr>
      <w:b/>
      <w:bCs/>
    </w:rPr>
  </w:style>
  <w:style w:type="character" w:customStyle="1" w:styleId="CommentSubjectChar">
    <w:name w:val="Comment Subject Char"/>
    <w:basedOn w:val="CommentTextChar"/>
    <w:link w:val="CommentSubject"/>
    <w:uiPriority w:val="99"/>
    <w:semiHidden/>
    <w:rsid w:val="00D470FA"/>
    <w:rPr>
      <w:b/>
      <w:bCs/>
    </w:rPr>
  </w:style>
  <w:style w:type="character" w:customStyle="1" w:styleId="Heading1Char">
    <w:name w:val="Heading 1 Char"/>
    <w:basedOn w:val="DefaultParagraphFont"/>
    <w:link w:val="Heading1"/>
    <w:uiPriority w:val="9"/>
    <w:rsid w:val="002961FD"/>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961FD"/>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2961FD"/>
    <w:rPr>
      <w:i/>
      <w:iCs/>
      <w:color w:val="auto"/>
    </w:rPr>
  </w:style>
  <w:style w:type="paragraph" w:styleId="IntenseQuote">
    <w:name w:val="Intense Quote"/>
    <w:basedOn w:val="Normal"/>
    <w:next w:val="Normal"/>
    <w:link w:val="IntenseQuoteChar"/>
    <w:uiPriority w:val="30"/>
    <w:qFormat/>
    <w:rsid w:val="002961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61FD"/>
    <w:rPr>
      <w:i/>
      <w:iCs/>
    </w:rPr>
  </w:style>
  <w:style w:type="character" w:styleId="IntenseReference">
    <w:name w:val="Intense Reference"/>
    <w:basedOn w:val="DefaultParagraphFont"/>
    <w:uiPriority w:val="32"/>
    <w:qFormat/>
    <w:rsid w:val="002961FD"/>
    <w:rPr>
      <w:b/>
      <w:bCs/>
      <w:smallCaps/>
      <w:color w:val="auto"/>
      <w:spacing w:val="5"/>
    </w:rPr>
  </w:style>
  <w:style w:type="paragraph" w:styleId="ListParagraph">
    <w:name w:val="List Paragraph"/>
    <w:basedOn w:val="Normal"/>
    <w:uiPriority w:val="34"/>
    <w:qFormat/>
    <w:rsid w:val="002C5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80129">
      <w:bodyDiv w:val="1"/>
      <w:marLeft w:val="0"/>
      <w:marRight w:val="0"/>
      <w:marTop w:val="0"/>
      <w:marBottom w:val="0"/>
      <w:divBdr>
        <w:top w:val="none" w:sz="0" w:space="0" w:color="auto"/>
        <w:left w:val="none" w:sz="0" w:space="0" w:color="auto"/>
        <w:bottom w:val="none" w:sz="0" w:space="0" w:color="auto"/>
        <w:right w:val="none" w:sz="0" w:space="0" w:color="auto"/>
      </w:divBdr>
    </w:div>
    <w:div w:id="181941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Templates\Word\Memo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23F5C01E4491F822C8A7B41EFF1E9"/>
        <w:category>
          <w:name w:val="General"/>
          <w:gallery w:val="placeholder"/>
        </w:category>
        <w:types>
          <w:type w:val="bbPlcHdr"/>
        </w:types>
        <w:behaviors>
          <w:behavior w:val="content"/>
        </w:behaviors>
        <w:guid w:val="{E809823B-604E-4487-A963-4280345905DF}"/>
      </w:docPartPr>
      <w:docPartBody>
        <w:p w:rsidR="00C91A99" w:rsidRDefault="00C91A99">
          <w:pPr>
            <w:pStyle w:val="31523F5C01E4491F822C8A7B41EFF1E9"/>
          </w:pPr>
          <w:r>
            <w:t>[Fill in name(s)]</w:t>
          </w:r>
        </w:p>
      </w:docPartBody>
    </w:docPart>
    <w:docPart>
      <w:docPartPr>
        <w:name w:val="72F0184F948C4479A59BFE1B761B6526"/>
        <w:category>
          <w:name w:val="General"/>
          <w:gallery w:val="placeholder"/>
        </w:category>
        <w:types>
          <w:type w:val="bbPlcHdr"/>
        </w:types>
        <w:behaviors>
          <w:behavior w:val="content"/>
        </w:behaviors>
        <w:guid w:val="{96FB5AA3-A7DE-4E51-AD4F-1971861DCAF5}"/>
      </w:docPartPr>
      <w:docPartBody>
        <w:p w:rsidR="00C91A99" w:rsidRDefault="00C91A99">
          <w:pPr>
            <w:pStyle w:val="72F0184F948C4479A59BFE1B761B6526"/>
          </w:pPr>
          <w:r>
            <w:t>[Fill in name(s)]</w:t>
          </w:r>
        </w:p>
      </w:docPartBody>
    </w:docPart>
    <w:docPart>
      <w:docPartPr>
        <w:name w:val="C009DFE03D6F4275A975933AFD3EA461"/>
        <w:category>
          <w:name w:val="General"/>
          <w:gallery w:val="placeholder"/>
        </w:category>
        <w:types>
          <w:type w:val="bbPlcHdr"/>
        </w:types>
        <w:behaviors>
          <w:behavior w:val="content"/>
        </w:behaviors>
        <w:guid w:val="{43ACCC28-E782-4695-8795-2D20A2D75946}"/>
      </w:docPartPr>
      <w:docPartBody>
        <w:p w:rsidR="00C91A99" w:rsidRDefault="00C91A99">
          <w:pPr>
            <w:pStyle w:val="C009DFE03D6F4275A975933AFD3EA461"/>
          </w:pPr>
          <w:r w:rsidRPr="000D3B33">
            <w:rPr>
              <w:rStyle w:val="PlaceholderText"/>
              <w:lang w:val="en-US"/>
            </w:rPr>
            <w:t>[</w:t>
          </w:r>
          <w:r>
            <w:rPr>
              <w:rStyle w:val="PlaceholderText"/>
              <w:lang w:val="en-US"/>
            </w:rPr>
            <w:t>Choose date</w:t>
          </w:r>
          <w:r w:rsidRPr="000D3B33">
            <w:rPr>
              <w:rStyle w:val="PlaceholderText"/>
              <w:lang w:val="en-US"/>
            </w:rPr>
            <w:t>]</w:t>
          </w:r>
        </w:p>
      </w:docPartBody>
    </w:docPart>
    <w:docPart>
      <w:docPartPr>
        <w:name w:val="018018849C7D40C3BF32413A1DF387E6"/>
        <w:category>
          <w:name w:val="General"/>
          <w:gallery w:val="placeholder"/>
        </w:category>
        <w:types>
          <w:type w:val="bbPlcHdr"/>
        </w:types>
        <w:behaviors>
          <w:behavior w:val="content"/>
        </w:behaviors>
        <w:guid w:val="{5CE9D57C-D5C0-4105-B558-9B49ACF7A17E}"/>
      </w:docPartPr>
      <w:docPartBody>
        <w:p w:rsidR="00C91A99" w:rsidRDefault="00C91A99">
          <w:pPr>
            <w:pStyle w:val="018018849C7D40C3BF32413A1DF387E6"/>
          </w:pPr>
          <w: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99"/>
    <w:rsid w:val="00C91A9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523F5C01E4491F822C8A7B41EFF1E9">
    <w:name w:val="31523F5C01E4491F822C8A7B41EFF1E9"/>
  </w:style>
  <w:style w:type="paragraph" w:customStyle="1" w:styleId="72F0184F948C4479A59BFE1B761B6526">
    <w:name w:val="72F0184F948C4479A59BFE1B761B6526"/>
  </w:style>
  <w:style w:type="paragraph" w:customStyle="1" w:styleId="C009DFE03D6F4275A975933AFD3EA461">
    <w:name w:val="C009DFE03D6F4275A975933AFD3EA461"/>
  </w:style>
  <w:style w:type="paragraph" w:customStyle="1" w:styleId="018018849C7D40C3BF32413A1DF387E6">
    <w:name w:val="018018849C7D40C3BF32413A1DF3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WB Bank">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MemoENG</Template>
  <TotalTime>0</TotalTime>
  <Pages>5</Pages>
  <Words>1723</Words>
  <Characters>9823</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eformity</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Ragan van den Hoek</dc:creator>
  <cp:lastModifiedBy>Ragan van den Hoek</cp:lastModifiedBy>
  <cp:revision>14</cp:revision>
  <dcterms:created xsi:type="dcterms:W3CDTF">2022-03-16T10:41:00Z</dcterms:created>
  <dcterms:modified xsi:type="dcterms:W3CDTF">2022-03-30T12:56:00Z</dcterms:modified>
</cp:coreProperties>
</file>