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6E76D" w14:textId="28B16E5A" w:rsidR="00350B75" w:rsidRPr="00814A3C" w:rsidRDefault="00350B75" w:rsidP="00814A3C">
      <w:pPr>
        <w:spacing w:after="0"/>
        <w:rPr>
          <w:sz w:val="18"/>
          <w:szCs w:val="18"/>
        </w:rPr>
      </w:pPr>
      <w:r w:rsidRPr="00814A3C">
        <w:rPr>
          <w:sz w:val="18"/>
          <w:szCs w:val="18"/>
        </w:rPr>
        <w:t>EBF_</w:t>
      </w:r>
      <w:r w:rsidR="00814A3C" w:rsidRPr="00814A3C">
        <w:rPr>
          <w:sz w:val="18"/>
          <w:szCs w:val="18"/>
        </w:rPr>
        <w:t>045</w:t>
      </w:r>
      <w:r w:rsidR="00A03707">
        <w:rPr>
          <w:sz w:val="18"/>
          <w:szCs w:val="18"/>
        </w:rPr>
        <w:t>593</w:t>
      </w:r>
    </w:p>
    <w:p w14:paraId="3AB91C3C" w14:textId="1E33EF77" w:rsidR="003F2394" w:rsidRPr="00814A3C" w:rsidRDefault="001976CD" w:rsidP="00814A3C">
      <w:pPr>
        <w:spacing w:after="0"/>
        <w:ind w:right="4773"/>
        <w:rPr>
          <w:sz w:val="18"/>
          <w:szCs w:val="18"/>
        </w:rPr>
      </w:pPr>
      <w:r w:rsidRPr="00814A3C">
        <w:rPr>
          <w:sz w:val="18"/>
          <w:szCs w:val="18"/>
        </w:rPr>
        <w:t>1</w:t>
      </w:r>
      <w:r w:rsidR="00814A3C" w:rsidRPr="00814A3C">
        <w:rPr>
          <w:sz w:val="18"/>
          <w:szCs w:val="18"/>
        </w:rPr>
        <w:t xml:space="preserve"> April 2022</w:t>
      </w:r>
    </w:p>
    <w:p w14:paraId="6A7D0941" w14:textId="1081C614" w:rsidR="003F2394" w:rsidRDefault="003F2394" w:rsidP="00ED12A5"/>
    <w:p w14:paraId="5D98AC0E" w14:textId="0D477D76" w:rsidR="00814A3C" w:rsidRDefault="00814A3C" w:rsidP="00A1045A"/>
    <w:p w14:paraId="0AA4CD4B" w14:textId="4E49BD3D" w:rsidR="00A1045A" w:rsidRDefault="00A1045A" w:rsidP="00A1045A"/>
    <w:p w14:paraId="7DEDB276" w14:textId="77777777" w:rsidR="008E3107" w:rsidRDefault="008E3107" w:rsidP="00A1045A"/>
    <w:p w14:paraId="3F3A9594" w14:textId="77777777" w:rsidR="008E3107" w:rsidRDefault="008E3107" w:rsidP="00A1045A"/>
    <w:p w14:paraId="2A53C643" w14:textId="46AEE193" w:rsidR="00A1045A" w:rsidRPr="008E3107" w:rsidRDefault="00A1045A" w:rsidP="00D57DE6">
      <w:pPr>
        <w:rPr>
          <w:b/>
          <w:bCs/>
          <w:sz w:val="28"/>
          <w:szCs w:val="28"/>
        </w:rPr>
      </w:pPr>
      <w:bookmarkStart w:id="0" w:name="_Hlk99720818"/>
      <w:r w:rsidRPr="008E3107">
        <w:rPr>
          <w:b/>
          <w:bCs/>
          <w:sz w:val="28"/>
          <w:szCs w:val="28"/>
        </w:rPr>
        <w:t xml:space="preserve">EBF </w:t>
      </w:r>
      <w:r w:rsidR="00814A3C" w:rsidRPr="008E3107">
        <w:rPr>
          <w:b/>
          <w:bCs/>
          <w:sz w:val="28"/>
          <w:szCs w:val="28"/>
        </w:rPr>
        <w:t>Responses to the Three Consultation Papers published by the European Banking Authority (EBA)</w:t>
      </w:r>
      <w:r w:rsidR="008E3107">
        <w:rPr>
          <w:b/>
          <w:bCs/>
          <w:sz w:val="28"/>
          <w:szCs w:val="28"/>
        </w:rPr>
        <w:t xml:space="preserve"> </w:t>
      </w:r>
      <w:r w:rsidR="00814A3C" w:rsidRPr="008E3107">
        <w:rPr>
          <w:b/>
          <w:bCs/>
          <w:sz w:val="28"/>
          <w:szCs w:val="28"/>
        </w:rPr>
        <w:t>on the Interest Rate Risk in the Banking Book (IRRBB) and Credit Spread Risk in the Banking Book (CSRBB)</w:t>
      </w:r>
    </w:p>
    <w:p w14:paraId="5DE338CB" w14:textId="0D35C7B8" w:rsidR="00814A3C" w:rsidRPr="00A1045A" w:rsidRDefault="00814A3C" w:rsidP="00D57DE6">
      <w:pPr>
        <w:rPr>
          <w:szCs w:val="20"/>
        </w:rPr>
      </w:pPr>
      <w:r w:rsidRPr="00A1045A">
        <w:rPr>
          <w:szCs w:val="20"/>
        </w:rPr>
        <w:t>Published 2 December 2021 with Consultation End 4 April 2022</w:t>
      </w:r>
    </w:p>
    <w:p w14:paraId="30A17D8B" w14:textId="77777777" w:rsidR="00814A3C" w:rsidRPr="00A1045A" w:rsidRDefault="00814A3C" w:rsidP="00A1045A"/>
    <w:bookmarkEnd w:id="0"/>
    <w:p w14:paraId="19329E69"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Context</w:t>
      </w:r>
    </w:p>
    <w:p w14:paraId="45F3E19C" w14:textId="77777777" w:rsidR="001976CD" w:rsidRPr="001976CD" w:rsidRDefault="001976CD" w:rsidP="008E3107">
      <w:pPr>
        <w:keepNext/>
        <w:suppressAutoHyphens w:val="0"/>
        <w:spacing w:after="60" w:line="259" w:lineRule="auto"/>
        <w:rPr>
          <w:rFonts w:eastAsia="Calibri" w:cs="Arial"/>
          <w:szCs w:val="20"/>
          <w:lang w:val="en-US"/>
        </w:rPr>
      </w:pPr>
      <w:r w:rsidRPr="001976CD">
        <w:rPr>
          <w:rFonts w:eastAsia="Calibri" w:cs="Arial"/>
          <w:szCs w:val="20"/>
          <w:lang w:val="en-US"/>
        </w:rPr>
        <w:t>Articles 84 and 98 of Capital Requirement Directive (</w:t>
      </w:r>
      <w:r w:rsidRPr="001976CD">
        <w:rPr>
          <w:rFonts w:eastAsia="Calibri" w:cs="Arial"/>
          <w:i/>
          <w:szCs w:val="20"/>
          <w:lang w:val="en-US"/>
        </w:rPr>
        <w:t>CRD</w:t>
      </w:r>
      <w:r w:rsidRPr="001976CD">
        <w:rPr>
          <w:rFonts w:eastAsia="Calibri" w:cs="Arial"/>
          <w:szCs w:val="20"/>
          <w:lang w:val="en-US"/>
        </w:rPr>
        <w:t>) task the European Banking Authority (</w:t>
      </w:r>
      <w:r w:rsidRPr="001976CD">
        <w:rPr>
          <w:rFonts w:eastAsia="Calibri" w:cs="Arial"/>
          <w:i/>
          <w:szCs w:val="20"/>
          <w:lang w:val="en-US"/>
        </w:rPr>
        <w:t>EBA</w:t>
      </w:r>
      <w:r w:rsidRPr="001976CD">
        <w:rPr>
          <w:rFonts w:eastAsia="Calibri" w:cs="Arial"/>
          <w:szCs w:val="20"/>
          <w:lang w:val="en-US"/>
        </w:rPr>
        <w:t>) to elaborate Guidelines and two Regulatory Technical Standards (</w:t>
      </w:r>
      <w:r w:rsidRPr="001976CD">
        <w:rPr>
          <w:rFonts w:eastAsia="Calibri" w:cs="Arial"/>
          <w:i/>
          <w:szCs w:val="20"/>
          <w:lang w:val="en-US"/>
        </w:rPr>
        <w:t>RTS</w:t>
      </w:r>
      <w:r w:rsidRPr="001976CD">
        <w:rPr>
          <w:rFonts w:eastAsia="Calibri" w:cs="Arial"/>
          <w:szCs w:val="20"/>
          <w:lang w:val="en-US"/>
        </w:rPr>
        <w:t xml:space="preserve">) for which </w:t>
      </w:r>
      <w:r w:rsidRPr="001976CD">
        <w:rPr>
          <w:rFonts w:eastAsia="Calibri" w:cs="Arial"/>
          <w:i/>
          <w:szCs w:val="20"/>
          <w:lang w:val="en-US"/>
        </w:rPr>
        <w:t>EBA</w:t>
      </w:r>
      <w:r w:rsidRPr="001976CD">
        <w:rPr>
          <w:rFonts w:eastAsia="Calibri" w:cs="Arial"/>
          <w:szCs w:val="20"/>
          <w:lang w:val="en-US"/>
        </w:rPr>
        <w:t xml:space="preserve"> has published Consultation Papers (</w:t>
      </w:r>
      <w:r w:rsidRPr="001976CD">
        <w:rPr>
          <w:rFonts w:eastAsia="Calibri" w:cs="Arial"/>
          <w:i/>
          <w:szCs w:val="20"/>
          <w:lang w:val="en-US"/>
        </w:rPr>
        <w:t>CP</w:t>
      </w:r>
      <w:r w:rsidRPr="001976CD">
        <w:rPr>
          <w:rFonts w:eastAsia="Calibri" w:cs="Arial"/>
          <w:szCs w:val="20"/>
          <w:lang w:val="en-US"/>
        </w:rPr>
        <w:t>) on 2</w:t>
      </w:r>
      <w:r w:rsidRPr="001976CD">
        <w:rPr>
          <w:rFonts w:eastAsia="Calibri" w:cs="Arial"/>
          <w:szCs w:val="20"/>
          <w:vertAlign w:val="superscript"/>
          <w:lang w:val="en-US"/>
        </w:rPr>
        <w:t>nd</w:t>
      </w:r>
      <w:r w:rsidRPr="001976CD">
        <w:rPr>
          <w:rFonts w:eastAsia="Calibri" w:cs="Arial"/>
          <w:szCs w:val="20"/>
          <w:lang w:val="en-US"/>
        </w:rPr>
        <w:t xml:space="preserve"> December 2021 with end of consultation set on 4</w:t>
      </w:r>
      <w:r w:rsidRPr="001976CD">
        <w:rPr>
          <w:rFonts w:eastAsia="Calibri" w:cs="Arial"/>
          <w:szCs w:val="20"/>
          <w:vertAlign w:val="superscript"/>
          <w:lang w:val="en-US"/>
        </w:rPr>
        <w:t>th</w:t>
      </w:r>
      <w:r w:rsidRPr="001976CD">
        <w:rPr>
          <w:rFonts w:eastAsia="Calibri" w:cs="Arial"/>
          <w:szCs w:val="20"/>
          <w:lang w:val="en-US"/>
        </w:rPr>
        <w:t xml:space="preserve"> April 2022:</w:t>
      </w:r>
    </w:p>
    <w:p w14:paraId="3822F1BE" w14:textId="05274333" w:rsidR="001976CD" w:rsidRPr="001976CD" w:rsidRDefault="001976CD" w:rsidP="008E3107">
      <w:pPr>
        <w:keepNext/>
        <w:numPr>
          <w:ilvl w:val="0"/>
          <w:numId w:val="16"/>
        </w:numPr>
        <w:suppressAutoHyphens w:val="0"/>
        <w:spacing w:before="240" w:after="60" w:line="259" w:lineRule="auto"/>
        <w:ind w:left="357" w:hanging="357"/>
        <w:rPr>
          <w:rFonts w:eastAsia="Calibri" w:cs="Arial"/>
          <w:i/>
          <w:szCs w:val="20"/>
          <w:lang w:val="en-US"/>
        </w:rPr>
      </w:pPr>
      <w:r w:rsidRPr="001976CD">
        <w:rPr>
          <w:rFonts w:eastAsia="Calibri" w:cs="Arial"/>
          <w:i/>
          <w:szCs w:val="20"/>
          <w:lang w:val="en-US"/>
        </w:rPr>
        <w:t xml:space="preserve">Draft Guidelines issued on the basis of Article 84 (6) of Directive 2013/36/EU specifying aspects of the </w:t>
      </w:r>
      <w:r w:rsidRPr="001976CD">
        <w:rPr>
          <w:rFonts w:eastAsia="Calibri" w:cs="Calibri"/>
          <w:i/>
          <w:szCs w:val="20"/>
          <w:lang w:val="en-US"/>
        </w:rPr>
        <w:t xml:space="preserve">Identification, Evaluation, Management and Mitigation of the Risks Arising from Potential Changes in Interest Rates and of the Assessment and Monitoring of Credit Spread risk, of Institutions’ non-Trading Book Activities, </w:t>
      </w:r>
      <w:hyperlink r:id="rId11" w:history="1">
        <w:r w:rsidRPr="001976CD">
          <w:rPr>
            <w:rFonts w:eastAsia="Calibri" w:cs="Arial"/>
            <w:i/>
            <w:szCs w:val="20"/>
            <w:u w:val="single"/>
            <w:lang w:val="en-US"/>
          </w:rPr>
          <w:t>CP Draft GL on IRRBB and CSRBB.pdf (europa.eu)</w:t>
        </w:r>
      </w:hyperlink>
      <w:r w:rsidRPr="001976CD">
        <w:rPr>
          <w:rFonts w:eastAsia="Calibri" w:cs="Arial"/>
          <w:i/>
          <w:szCs w:val="20"/>
          <w:u w:val="single"/>
          <w:lang w:val="en-US"/>
        </w:rPr>
        <w:t>;</w:t>
      </w:r>
    </w:p>
    <w:p w14:paraId="2FA0D839" w14:textId="0431CA37" w:rsidR="001976CD" w:rsidRPr="001976CD" w:rsidRDefault="001976CD" w:rsidP="008E3107">
      <w:pPr>
        <w:keepNext/>
        <w:numPr>
          <w:ilvl w:val="0"/>
          <w:numId w:val="16"/>
        </w:numPr>
        <w:suppressAutoHyphens w:val="0"/>
        <w:spacing w:before="240" w:after="60" w:line="259" w:lineRule="auto"/>
        <w:ind w:left="357" w:hanging="357"/>
        <w:rPr>
          <w:rFonts w:eastAsia="Calibri" w:cs="Arial"/>
          <w:i/>
          <w:szCs w:val="20"/>
          <w:lang w:val="en-US"/>
        </w:rPr>
      </w:pPr>
      <w:r w:rsidRPr="001976CD">
        <w:rPr>
          <w:rFonts w:eastAsia="Calibri" w:cs="Arial"/>
          <w:i/>
          <w:szCs w:val="20"/>
          <w:lang w:val="en-US"/>
        </w:rPr>
        <w:t xml:space="preserve">Draft Regulatory Technical Standards (RTS) specifying </w:t>
      </w:r>
      <w:r w:rsidRPr="001976CD">
        <w:rPr>
          <w:rFonts w:eastAsia="Calibri" w:cs="Calibri"/>
          <w:i/>
          <w:szCs w:val="20"/>
          <w:lang w:val="en-US"/>
        </w:rPr>
        <w:t xml:space="preserve">Supervisory Shock Scenarios, Common Modelling and Parametric Assumptions and What Constitutes a Large Decline for the Calculation of the Economic Value of Equity and of the Net Interest Income in accordance with 98(5a) of Directive 2013/36/EU, </w:t>
      </w:r>
      <w:hyperlink r:id="rId12" w:history="1">
        <w:r w:rsidRPr="001976CD">
          <w:rPr>
            <w:rFonts w:eastAsia="Calibri" w:cs="Arial"/>
            <w:i/>
            <w:szCs w:val="20"/>
            <w:u w:val="single"/>
            <w:lang w:val="en-US"/>
          </w:rPr>
          <w:t>CP Draft RTS on SOTs.pdf (europa.eu)</w:t>
        </w:r>
      </w:hyperlink>
      <w:r w:rsidRPr="001976CD">
        <w:rPr>
          <w:rFonts w:eastAsia="Calibri" w:cs="Arial"/>
          <w:i/>
          <w:szCs w:val="20"/>
          <w:u w:val="single"/>
          <w:lang w:val="en-US"/>
        </w:rPr>
        <w:t>;</w:t>
      </w:r>
    </w:p>
    <w:p w14:paraId="4893C026" w14:textId="77777777" w:rsidR="001976CD" w:rsidRPr="001976CD" w:rsidRDefault="001976CD" w:rsidP="008E3107">
      <w:pPr>
        <w:numPr>
          <w:ilvl w:val="0"/>
          <w:numId w:val="16"/>
        </w:numPr>
        <w:suppressAutoHyphens w:val="0"/>
        <w:spacing w:before="240" w:after="60" w:line="259" w:lineRule="auto"/>
        <w:ind w:left="357" w:hanging="357"/>
        <w:rPr>
          <w:rFonts w:eastAsia="Calibri" w:cs="Arial"/>
          <w:i/>
          <w:szCs w:val="20"/>
          <w:lang w:val="en-US"/>
        </w:rPr>
      </w:pPr>
      <w:r w:rsidRPr="001976CD">
        <w:rPr>
          <w:rFonts w:eastAsia="Calibri" w:cs="Calibri"/>
          <w:i/>
          <w:szCs w:val="20"/>
          <w:lang w:val="en-US"/>
        </w:rPr>
        <w:t xml:space="preserve">Draft Regulatory Technical Standards specifying standardised and simplified standardised methodologies to evaluate the risks arising from potential changes in interest rates that affect both the economic value of equity and the net interest income of an institution’s non-trading book activities in accordance with 84(5) of Directive 2013/36/EU, </w:t>
      </w:r>
      <w:hyperlink r:id="rId13" w:history="1">
        <w:r w:rsidRPr="001976CD">
          <w:rPr>
            <w:rFonts w:eastAsia="Calibri" w:cs="Arial"/>
            <w:i/>
            <w:szCs w:val="20"/>
            <w:u w:val="single"/>
            <w:lang w:val="en-US"/>
          </w:rPr>
          <w:t>CP Draft RTS on SA.pdf (europa.eu)</w:t>
        </w:r>
      </w:hyperlink>
      <w:r w:rsidRPr="001976CD">
        <w:rPr>
          <w:rFonts w:eastAsia="Calibri" w:cs="Arial"/>
          <w:i/>
          <w:szCs w:val="20"/>
          <w:u w:val="single"/>
          <w:lang w:val="en-US"/>
        </w:rPr>
        <w:t>.</w:t>
      </w:r>
    </w:p>
    <w:p w14:paraId="673F498B" w14:textId="2ADA4BDB" w:rsidR="001976CD" w:rsidRDefault="001976CD" w:rsidP="001976CD">
      <w:pPr>
        <w:suppressAutoHyphens w:val="0"/>
        <w:spacing w:after="60" w:line="259" w:lineRule="auto"/>
        <w:rPr>
          <w:rFonts w:eastAsia="Calibri" w:cs="Arial"/>
          <w:szCs w:val="20"/>
          <w:lang w:val="en-US"/>
        </w:rPr>
      </w:pPr>
    </w:p>
    <w:p w14:paraId="139CD8B8" w14:textId="77777777" w:rsidR="00C40AC0" w:rsidRPr="001976CD" w:rsidRDefault="00C40AC0" w:rsidP="001976CD">
      <w:pPr>
        <w:suppressAutoHyphens w:val="0"/>
        <w:spacing w:after="60" w:line="259" w:lineRule="auto"/>
        <w:rPr>
          <w:rFonts w:eastAsia="Calibri" w:cs="Arial"/>
          <w:szCs w:val="20"/>
          <w:lang w:val="en-US"/>
        </w:rPr>
      </w:pPr>
    </w:p>
    <w:p w14:paraId="01F54E3D" w14:textId="77777777" w:rsidR="001976CD" w:rsidRPr="001976CD" w:rsidRDefault="001976CD" w:rsidP="001976CD">
      <w:pPr>
        <w:suppressAutoHyphens w:val="0"/>
        <w:spacing w:after="60" w:line="259" w:lineRule="auto"/>
        <w:rPr>
          <w:rFonts w:eastAsia="Calibri" w:cs="Arial"/>
          <w:szCs w:val="20"/>
          <w:lang w:val="en-US"/>
        </w:rPr>
      </w:pPr>
      <w:r w:rsidRPr="001976CD">
        <w:rPr>
          <w:rFonts w:eastAsia="Calibri" w:cs="Arial"/>
          <w:szCs w:val="20"/>
          <w:lang w:val="en-US"/>
        </w:rPr>
        <w:t xml:space="preserve">Please find below our main comments and recommendations on each of these three </w:t>
      </w:r>
      <w:r w:rsidRPr="001976CD">
        <w:rPr>
          <w:rFonts w:eastAsia="Calibri" w:cs="Arial"/>
          <w:i/>
          <w:szCs w:val="20"/>
          <w:lang w:val="en-US"/>
        </w:rPr>
        <w:t>CP</w:t>
      </w:r>
      <w:r w:rsidRPr="001976CD">
        <w:rPr>
          <w:rFonts w:eastAsia="Calibri" w:cs="Arial"/>
          <w:szCs w:val="20"/>
          <w:lang w:val="en-US"/>
        </w:rPr>
        <w:t>’s, which are complemented with responses to CP’s questions in appendices.</w:t>
      </w:r>
    </w:p>
    <w:p w14:paraId="3AC72D7D" w14:textId="77777777" w:rsidR="001976CD" w:rsidRPr="001976CD" w:rsidRDefault="001976CD" w:rsidP="001277D1">
      <w:pPr>
        <w:keepNext/>
        <w:numPr>
          <w:ilvl w:val="0"/>
          <w:numId w:val="17"/>
        </w:numPr>
        <w:suppressAutoHyphens w:val="0"/>
        <w:spacing w:before="100" w:beforeAutospacing="1" w:after="100" w:afterAutospacing="1" w:line="259" w:lineRule="auto"/>
        <w:ind w:left="425" w:hanging="425"/>
        <w:rPr>
          <w:rFonts w:eastAsia="Calibri" w:cs="Calibri"/>
          <w:b/>
          <w:iCs/>
          <w:sz w:val="24"/>
          <w:lang w:val="en-US"/>
        </w:rPr>
      </w:pPr>
      <w:r w:rsidRPr="001976CD">
        <w:rPr>
          <w:rFonts w:eastAsia="Calibri" w:cs="Calibri"/>
          <w:b/>
          <w:iCs/>
          <w:sz w:val="24"/>
          <w:lang w:val="en-US"/>
        </w:rPr>
        <w:lastRenderedPageBreak/>
        <w:t>Consultation Paper EBA/CP/2021/37 on Management Framework for Interest Rate Risk in the Banking Book and Credit Spread Risk in the Banking Book</w:t>
      </w:r>
    </w:p>
    <w:p w14:paraId="0628D827" w14:textId="0332BB40" w:rsidR="001976CD" w:rsidRPr="001976CD" w:rsidRDefault="001976CD" w:rsidP="00C40AC0">
      <w:pPr>
        <w:keepNext/>
        <w:suppressAutoHyphens w:val="0"/>
        <w:spacing w:after="60"/>
        <w:rPr>
          <w:rFonts w:eastAsia="Calibri" w:cs="Calibri"/>
          <w:szCs w:val="20"/>
          <w:lang w:val="en-US"/>
        </w:rPr>
      </w:pPr>
      <w:r w:rsidRPr="001976CD">
        <w:rPr>
          <w:rFonts w:eastAsia="Calibri" w:cs="Calibri"/>
          <w:szCs w:val="20"/>
          <w:lang w:val="en-US"/>
        </w:rPr>
        <w:t>Article 84(6) of Capital Requirement Directive (</w:t>
      </w:r>
      <w:r w:rsidRPr="001976CD">
        <w:rPr>
          <w:rFonts w:eastAsia="Calibri" w:cs="Calibri"/>
          <w:i/>
          <w:szCs w:val="20"/>
          <w:lang w:val="en-US"/>
        </w:rPr>
        <w:t>CRD</w:t>
      </w:r>
      <w:r w:rsidRPr="001976CD">
        <w:rPr>
          <w:rFonts w:eastAsia="Calibri" w:cs="Calibri"/>
          <w:szCs w:val="20"/>
          <w:lang w:val="en-US"/>
        </w:rPr>
        <w:t>) tasks the European Banking Authority (</w:t>
      </w:r>
      <w:r w:rsidRPr="001976CD">
        <w:rPr>
          <w:rFonts w:eastAsia="Calibri" w:cs="Calibri"/>
          <w:i/>
          <w:szCs w:val="20"/>
          <w:lang w:val="en-US"/>
        </w:rPr>
        <w:t>EBA)</w:t>
      </w:r>
      <w:r w:rsidRPr="001976CD">
        <w:rPr>
          <w:rFonts w:eastAsia="Calibri" w:cs="Calibri"/>
          <w:szCs w:val="20"/>
          <w:lang w:val="en-US"/>
        </w:rPr>
        <w:t xml:space="preserve"> with developing a Guideline to define:</w:t>
      </w:r>
    </w:p>
    <w:p w14:paraId="67F8FC13" w14:textId="77777777" w:rsidR="001976CD" w:rsidRPr="001976CD" w:rsidRDefault="001976CD" w:rsidP="00C40AC0">
      <w:pPr>
        <w:numPr>
          <w:ilvl w:val="0"/>
          <w:numId w:val="13"/>
        </w:numPr>
        <w:suppressAutoHyphens w:val="0"/>
        <w:spacing w:after="60" w:line="259" w:lineRule="auto"/>
        <w:rPr>
          <w:rFonts w:eastAsia="Calibri" w:cs="Calibri"/>
          <w:szCs w:val="20"/>
          <w:lang w:val="en-US"/>
        </w:rPr>
      </w:pPr>
      <w:r w:rsidRPr="001976CD">
        <w:rPr>
          <w:rFonts w:eastAsia="Calibri" w:cs="Calibri"/>
          <w:szCs w:val="20"/>
          <w:lang w:val="en-US"/>
        </w:rPr>
        <w:t>the evaluation by an institution's internal system;</w:t>
      </w:r>
    </w:p>
    <w:p w14:paraId="55EB4FAD" w14:textId="77777777" w:rsidR="001976CD" w:rsidRPr="001976CD" w:rsidRDefault="001976CD" w:rsidP="00C40AC0">
      <w:pPr>
        <w:numPr>
          <w:ilvl w:val="0"/>
          <w:numId w:val="13"/>
        </w:numPr>
        <w:suppressAutoHyphens w:val="0"/>
        <w:spacing w:after="60" w:line="259" w:lineRule="auto"/>
        <w:rPr>
          <w:rFonts w:eastAsia="Calibri" w:cs="Calibri"/>
          <w:szCs w:val="20"/>
          <w:lang w:val="en-US"/>
        </w:rPr>
      </w:pPr>
      <w:r w:rsidRPr="001976CD">
        <w:rPr>
          <w:rFonts w:eastAsia="Calibri" w:cs="Calibri"/>
          <w:szCs w:val="20"/>
          <w:lang w:val="en-US"/>
        </w:rPr>
        <w:t>the identification, management and mitigation by institutions of the risks;</w:t>
      </w:r>
    </w:p>
    <w:p w14:paraId="3F5C7378" w14:textId="77777777" w:rsidR="001976CD" w:rsidRPr="001976CD" w:rsidRDefault="001976CD" w:rsidP="00C40AC0">
      <w:pPr>
        <w:numPr>
          <w:ilvl w:val="0"/>
          <w:numId w:val="13"/>
        </w:numPr>
        <w:suppressAutoHyphens w:val="0"/>
        <w:spacing w:after="60" w:line="259" w:lineRule="auto"/>
        <w:rPr>
          <w:rFonts w:eastAsia="Calibri" w:cs="Calibri"/>
          <w:szCs w:val="20"/>
          <w:lang w:val="en-US"/>
        </w:rPr>
      </w:pPr>
      <w:r w:rsidRPr="001976CD">
        <w:rPr>
          <w:rFonts w:eastAsia="Calibri" w:cs="Calibri"/>
          <w:szCs w:val="20"/>
          <w:lang w:val="en-US"/>
        </w:rPr>
        <w:t>the assessment and monitoring by institutions of the risks;</w:t>
      </w:r>
    </w:p>
    <w:p w14:paraId="58C69158" w14:textId="77777777" w:rsidR="001976CD" w:rsidRPr="001976CD" w:rsidRDefault="001976CD" w:rsidP="00C40AC0">
      <w:pPr>
        <w:numPr>
          <w:ilvl w:val="0"/>
          <w:numId w:val="13"/>
        </w:numPr>
        <w:suppressAutoHyphens w:val="0"/>
        <w:spacing w:after="60" w:line="259" w:lineRule="auto"/>
        <w:rPr>
          <w:rFonts w:eastAsia="Calibri" w:cs="Calibri"/>
          <w:szCs w:val="20"/>
          <w:lang w:val="en-US"/>
        </w:rPr>
      </w:pPr>
      <w:r w:rsidRPr="001976CD">
        <w:rPr>
          <w:rFonts w:eastAsia="Calibri" w:cs="Calibri"/>
          <w:szCs w:val="20"/>
          <w:lang w:val="en-US"/>
        </w:rPr>
        <w:t>determining which of the internal systems are not satisfactory.</w:t>
      </w:r>
    </w:p>
    <w:p w14:paraId="54C2B323" w14:textId="77777777" w:rsidR="001976CD" w:rsidRPr="001976CD" w:rsidRDefault="001976CD" w:rsidP="00C40AC0">
      <w:pPr>
        <w:suppressAutoHyphens w:val="0"/>
        <w:spacing w:after="60"/>
        <w:rPr>
          <w:rFonts w:eastAsia="Calibri" w:cs="Calibri"/>
          <w:i/>
          <w:szCs w:val="20"/>
          <w:lang w:val="en-US"/>
        </w:rPr>
      </w:pPr>
    </w:p>
    <w:p w14:paraId="4C5F1B35" w14:textId="77777777" w:rsidR="001976CD" w:rsidRPr="001976CD" w:rsidRDefault="001976CD" w:rsidP="00C40AC0">
      <w:pPr>
        <w:suppressAutoHyphens w:val="0"/>
        <w:spacing w:after="60"/>
        <w:rPr>
          <w:rFonts w:eastAsia="Calibri" w:cs="Calibri"/>
          <w:szCs w:val="20"/>
          <w:lang w:val="en-US"/>
        </w:rPr>
      </w:pPr>
      <w:r w:rsidRPr="001976CD">
        <w:rPr>
          <w:rFonts w:eastAsia="Calibri" w:cs="Calibri"/>
          <w:i/>
          <w:szCs w:val="20"/>
          <w:lang w:val="en-US"/>
        </w:rPr>
        <w:t>The European Banking Authority (EBA</w:t>
      </w:r>
      <w:r w:rsidRPr="001976CD">
        <w:rPr>
          <w:rFonts w:eastAsia="Calibri" w:cs="Calibri"/>
          <w:szCs w:val="20"/>
          <w:lang w:val="en-US"/>
        </w:rPr>
        <w:t xml:space="preserve">) has published </w:t>
      </w:r>
      <w:r w:rsidRPr="001976CD">
        <w:rPr>
          <w:rFonts w:eastAsia="Calibri" w:cs="Calibri"/>
          <w:i/>
          <w:szCs w:val="20"/>
          <w:lang w:val="en-US"/>
        </w:rPr>
        <w:t>Guidelines on Interest Rate Risk in the Banking Book (IRRBB</w:t>
      </w:r>
      <w:r w:rsidRPr="001976CD">
        <w:rPr>
          <w:rFonts w:eastAsia="Calibri" w:cs="Calibri"/>
          <w:szCs w:val="20"/>
          <w:lang w:val="en-US"/>
        </w:rPr>
        <w:t xml:space="preserve">) in May 2015 and July 2018, and is to publish yet another version of its </w:t>
      </w:r>
      <w:r w:rsidRPr="001976CD">
        <w:rPr>
          <w:rFonts w:eastAsia="Calibri" w:cs="Calibri"/>
          <w:i/>
          <w:szCs w:val="20"/>
          <w:lang w:val="en-US"/>
        </w:rPr>
        <w:t>Guideline</w:t>
      </w:r>
      <w:r w:rsidRPr="001976CD">
        <w:rPr>
          <w:rFonts w:eastAsia="Calibri" w:cs="Calibri"/>
          <w:szCs w:val="20"/>
          <w:lang w:val="en-US"/>
        </w:rPr>
        <w:t xml:space="preserve"> on the very same topic in the course of 2022. There is a need to a stable regulatory framework and we are hopeful that it will be stabilized.</w:t>
      </w:r>
    </w:p>
    <w:p w14:paraId="77A3A3C1" w14:textId="77777777" w:rsidR="001976CD" w:rsidRPr="001976CD" w:rsidRDefault="001976CD" w:rsidP="00C40AC0">
      <w:pPr>
        <w:suppressAutoHyphens w:val="0"/>
        <w:spacing w:after="60"/>
        <w:rPr>
          <w:rFonts w:eastAsia="Calibri" w:cs="Calibri"/>
          <w:szCs w:val="20"/>
          <w:lang w:val="en-US"/>
        </w:rPr>
      </w:pPr>
    </w:p>
    <w:p w14:paraId="5BCE2BB5" w14:textId="77777777" w:rsidR="001976CD" w:rsidRPr="001976CD" w:rsidRDefault="001976CD" w:rsidP="00C40AC0">
      <w:pPr>
        <w:suppressAutoHyphens w:val="0"/>
        <w:spacing w:after="60"/>
        <w:rPr>
          <w:rFonts w:eastAsia="Calibri" w:cs="Calibri"/>
          <w:szCs w:val="20"/>
          <w:lang w:val="en-US"/>
        </w:rPr>
      </w:pPr>
      <w:r w:rsidRPr="001976CD">
        <w:rPr>
          <w:rFonts w:eastAsia="Calibri" w:cs="Calibri"/>
          <w:szCs w:val="20"/>
          <w:lang w:val="en-US"/>
        </w:rPr>
        <w:t xml:space="preserve">In July 2018, </w:t>
      </w:r>
      <w:r w:rsidRPr="001976CD">
        <w:rPr>
          <w:rFonts w:eastAsia="Calibri" w:cs="Calibri"/>
          <w:i/>
          <w:szCs w:val="20"/>
          <w:lang w:val="en-US"/>
        </w:rPr>
        <w:t>EBA</w:t>
      </w:r>
      <w:r w:rsidRPr="001976CD">
        <w:rPr>
          <w:rFonts w:eastAsia="Calibri" w:cs="Calibri"/>
          <w:szCs w:val="20"/>
          <w:lang w:val="en-US"/>
        </w:rPr>
        <w:t xml:space="preserve"> elected to modify its </w:t>
      </w:r>
      <w:r w:rsidRPr="001976CD">
        <w:rPr>
          <w:rFonts w:eastAsia="Calibri" w:cs="Calibri"/>
          <w:i/>
          <w:szCs w:val="20"/>
          <w:lang w:val="en-US"/>
        </w:rPr>
        <w:t>May 2015 Guideline</w:t>
      </w:r>
      <w:r w:rsidRPr="001976CD">
        <w:rPr>
          <w:rFonts w:eastAsia="Calibri" w:cs="Calibri"/>
          <w:szCs w:val="20"/>
          <w:lang w:val="en-US"/>
        </w:rPr>
        <w:t xml:space="preserve"> to factor in Basel Committee on Banking Supervision (</w:t>
      </w:r>
      <w:r w:rsidRPr="001976CD">
        <w:rPr>
          <w:rFonts w:eastAsia="Calibri" w:cs="Calibri"/>
          <w:i/>
          <w:szCs w:val="20"/>
          <w:lang w:val="en-US"/>
        </w:rPr>
        <w:t>BCBS) Standard</w:t>
      </w:r>
      <w:r w:rsidRPr="001976CD">
        <w:rPr>
          <w:rFonts w:eastAsia="Calibri" w:cs="Calibri"/>
          <w:szCs w:val="20"/>
          <w:lang w:val="en-US"/>
        </w:rPr>
        <w:t xml:space="preserve"> on </w:t>
      </w:r>
      <w:r w:rsidRPr="001976CD">
        <w:rPr>
          <w:rFonts w:eastAsia="Calibri" w:cs="Calibri"/>
          <w:i/>
          <w:szCs w:val="20"/>
          <w:lang w:val="en-US"/>
        </w:rPr>
        <w:t>IRRBB</w:t>
      </w:r>
      <w:r w:rsidRPr="001976CD">
        <w:rPr>
          <w:rFonts w:eastAsia="Calibri" w:cs="Calibri"/>
          <w:szCs w:val="20"/>
          <w:lang w:val="en-US"/>
        </w:rPr>
        <w:t xml:space="preserve"> published in April 2016 ahead of the mandate to be received from </w:t>
      </w:r>
      <w:r w:rsidRPr="001976CD">
        <w:rPr>
          <w:rFonts w:eastAsia="Calibri" w:cs="Calibri"/>
          <w:i/>
          <w:szCs w:val="20"/>
          <w:lang w:val="en-US"/>
        </w:rPr>
        <w:t>CRR</w:t>
      </w:r>
      <w:r w:rsidRPr="001976CD">
        <w:rPr>
          <w:rFonts w:eastAsia="Calibri" w:cs="Calibri"/>
          <w:szCs w:val="20"/>
          <w:lang w:val="en-US"/>
        </w:rPr>
        <w:t xml:space="preserve"> to factor in this very same </w:t>
      </w:r>
      <w:r w:rsidRPr="001976CD">
        <w:rPr>
          <w:rFonts w:eastAsia="Calibri" w:cs="Calibri"/>
          <w:i/>
          <w:szCs w:val="20"/>
          <w:lang w:val="en-US"/>
        </w:rPr>
        <w:t>BCBS Standard</w:t>
      </w:r>
      <w:r w:rsidRPr="001976CD">
        <w:rPr>
          <w:rFonts w:eastAsia="Calibri" w:cs="Calibri"/>
          <w:szCs w:val="20"/>
          <w:lang w:val="en-US"/>
        </w:rPr>
        <w:t xml:space="preserve">. Hence, the </w:t>
      </w:r>
      <w:r w:rsidRPr="001976CD">
        <w:rPr>
          <w:rFonts w:eastAsia="Calibri" w:cs="Calibri"/>
          <w:i/>
          <w:szCs w:val="20"/>
          <w:lang w:val="en-US"/>
        </w:rPr>
        <w:t>EBA 2018 Guideline</w:t>
      </w:r>
      <w:r w:rsidRPr="001976CD">
        <w:rPr>
          <w:rFonts w:eastAsia="Calibri" w:cs="Calibri"/>
          <w:szCs w:val="20"/>
          <w:lang w:val="en-US"/>
        </w:rPr>
        <w:t xml:space="preserve"> should be only marginally modified and modifications should be limited to areas of 2016 BCBS standard that were not covered in </w:t>
      </w:r>
      <w:r w:rsidRPr="001976CD">
        <w:rPr>
          <w:rFonts w:eastAsia="Calibri" w:cs="Calibri"/>
          <w:i/>
          <w:szCs w:val="20"/>
          <w:lang w:val="en-US"/>
        </w:rPr>
        <w:t>EBA 2018 Guidelines</w:t>
      </w:r>
      <w:r w:rsidRPr="001976CD">
        <w:rPr>
          <w:rFonts w:eastAsia="Calibri" w:cs="Calibri"/>
          <w:szCs w:val="20"/>
          <w:lang w:val="en-US"/>
        </w:rPr>
        <w:t>.</w:t>
      </w:r>
    </w:p>
    <w:p w14:paraId="0F6F9DB1" w14:textId="77777777" w:rsidR="001976CD" w:rsidRPr="001976CD" w:rsidRDefault="001976CD" w:rsidP="00C40AC0">
      <w:pPr>
        <w:suppressAutoHyphens w:val="0"/>
        <w:spacing w:after="60"/>
        <w:rPr>
          <w:rFonts w:eastAsia="Calibri" w:cs="Calibri"/>
          <w:szCs w:val="20"/>
          <w:lang w:val="en-US"/>
        </w:rPr>
      </w:pPr>
    </w:p>
    <w:p w14:paraId="48014819" w14:textId="77777777" w:rsidR="001976CD" w:rsidRPr="001976CD" w:rsidRDefault="001976CD" w:rsidP="00C40AC0">
      <w:pPr>
        <w:keepNext/>
        <w:suppressAutoHyphens w:val="0"/>
        <w:spacing w:after="60"/>
        <w:rPr>
          <w:rFonts w:eastAsia="Calibri" w:cs="Calibri"/>
          <w:szCs w:val="20"/>
          <w:lang w:val="en-US"/>
        </w:rPr>
      </w:pPr>
      <w:r w:rsidRPr="001976CD">
        <w:rPr>
          <w:rFonts w:eastAsia="Calibri" w:cs="Calibri"/>
          <w:szCs w:val="20"/>
          <w:lang w:val="en-US"/>
        </w:rPr>
        <w:t>However, the Consultation Paper (</w:t>
      </w:r>
      <w:r w:rsidRPr="001976CD">
        <w:rPr>
          <w:rFonts w:eastAsia="Calibri" w:cs="Calibri"/>
          <w:i/>
          <w:szCs w:val="20"/>
          <w:lang w:val="en-US"/>
        </w:rPr>
        <w:t>CP</w:t>
      </w:r>
      <w:r w:rsidRPr="001976CD">
        <w:rPr>
          <w:rFonts w:eastAsia="Calibri" w:cs="Calibri"/>
          <w:szCs w:val="20"/>
          <w:lang w:val="en-US"/>
        </w:rPr>
        <w:t xml:space="preserve">) introduces </w:t>
      </w:r>
      <w:r w:rsidRPr="001976CD">
        <w:rPr>
          <w:rFonts w:eastAsia="Calibri" w:cs="Calibri"/>
          <w:b/>
          <w:szCs w:val="20"/>
          <w:lang w:val="en-US"/>
        </w:rPr>
        <w:t>very significant deviations</w:t>
      </w:r>
      <w:r w:rsidRPr="001976CD">
        <w:rPr>
          <w:rFonts w:eastAsia="Calibri" w:cs="Calibri"/>
          <w:szCs w:val="20"/>
          <w:lang w:val="en-US"/>
        </w:rPr>
        <w:t xml:space="preserve"> from </w:t>
      </w:r>
      <w:r w:rsidRPr="001976CD">
        <w:rPr>
          <w:rFonts w:eastAsia="Calibri" w:cs="Calibri"/>
          <w:i/>
          <w:szCs w:val="20"/>
          <w:lang w:val="en-US"/>
        </w:rPr>
        <w:t>July 2018 Guideline</w:t>
      </w:r>
      <w:r w:rsidRPr="001976CD">
        <w:rPr>
          <w:rFonts w:eastAsia="Calibri" w:cs="Calibri"/>
          <w:szCs w:val="20"/>
          <w:lang w:val="en-US"/>
        </w:rPr>
        <w:t xml:space="preserve"> that are not substantiated by any change in </w:t>
      </w:r>
      <w:r w:rsidRPr="001976CD">
        <w:rPr>
          <w:rFonts w:eastAsia="Calibri" w:cs="Calibri"/>
          <w:i/>
          <w:szCs w:val="20"/>
          <w:lang w:val="en-US"/>
        </w:rPr>
        <w:t>BCBS</w:t>
      </w:r>
      <w:r w:rsidRPr="001976CD">
        <w:rPr>
          <w:rFonts w:eastAsia="Calibri" w:cs="Calibri"/>
          <w:szCs w:val="20"/>
          <w:lang w:val="en-US"/>
        </w:rPr>
        <w:t xml:space="preserve"> or </w:t>
      </w:r>
      <w:r w:rsidRPr="001976CD">
        <w:rPr>
          <w:rFonts w:eastAsia="Calibri" w:cs="Calibri"/>
          <w:i/>
          <w:szCs w:val="20"/>
          <w:lang w:val="en-US"/>
        </w:rPr>
        <w:t>CRD</w:t>
      </w:r>
      <w:r w:rsidRPr="001976CD">
        <w:rPr>
          <w:rFonts w:eastAsia="Calibri" w:cs="Calibri"/>
          <w:szCs w:val="20"/>
          <w:lang w:val="en-US"/>
        </w:rPr>
        <w:t xml:space="preserve"> mandate and actually can be considered as:</w:t>
      </w:r>
    </w:p>
    <w:p w14:paraId="7437B4C8" w14:textId="77777777" w:rsidR="001976CD" w:rsidRPr="001976CD" w:rsidRDefault="001976CD" w:rsidP="00AF7168">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to change the definition of commonly understood Net Interest Income (</w:t>
      </w:r>
      <w:r w:rsidRPr="001976CD">
        <w:rPr>
          <w:rFonts w:eastAsia="Calibri" w:cs="Calibri"/>
          <w:b/>
          <w:i/>
          <w:szCs w:val="20"/>
          <w:lang w:val="en-US"/>
        </w:rPr>
        <w:t>NII</w:t>
      </w:r>
      <w:r w:rsidRPr="001976CD">
        <w:rPr>
          <w:rFonts w:eastAsia="Calibri" w:cs="Calibri"/>
          <w:b/>
          <w:szCs w:val="20"/>
          <w:lang w:val="en-US"/>
        </w:rPr>
        <w:t>) to include changes in fair values of instruments</w:t>
      </w:r>
      <w:r w:rsidRPr="001976CD">
        <w:rPr>
          <w:rFonts w:eastAsia="Calibri" w:cs="Calibri"/>
          <w:szCs w:val="20"/>
          <w:lang w:val="en-US"/>
        </w:rPr>
        <w:t xml:space="preserve"> even though they are not part of </w:t>
      </w:r>
      <w:r w:rsidRPr="001976CD">
        <w:rPr>
          <w:rFonts w:eastAsia="Calibri" w:cs="Calibri"/>
          <w:i/>
          <w:szCs w:val="20"/>
          <w:lang w:val="en-US"/>
        </w:rPr>
        <w:t>NII</w:t>
      </w:r>
      <w:r w:rsidRPr="001976CD">
        <w:rPr>
          <w:rFonts w:eastAsia="Calibri" w:cs="Calibri"/>
          <w:szCs w:val="20"/>
          <w:lang w:val="en-US"/>
        </w:rPr>
        <w:t xml:space="preserve">. This appears as a deviation from the </w:t>
      </w:r>
      <w:r w:rsidRPr="001976CD">
        <w:rPr>
          <w:rFonts w:eastAsia="Calibri" w:cs="Calibri"/>
          <w:i/>
          <w:szCs w:val="20"/>
          <w:lang w:val="en-US"/>
        </w:rPr>
        <w:t>CRR</w:t>
      </w:r>
      <w:r w:rsidRPr="001976CD">
        <w:rPr>
          <w:rFonts w:eastAsia="Calibri" w:cs="Calibri"/>
          <w:szCs w:val="20"/>
          <w:lang w:val="en-US"/>
        </w:rPr>
        <w:t xml:space="preserve"> mandate that explicitly refers to </w:t>
      </w:r>
      <w:r w:rsidRPr="001976CD">
        <w:rPr>
          <w:rFonts w:eastAsia="Calibri" w:cs="Calibri"/>
          <w:i/>
          <w:szCs w:val="20"/>
          <w:lang w:val="en-US"/>
        </w:rPr>
        <w:t>NII</w:t>
      </w:r>
      <w:r w:rsidRPr="001976CD">
        <w:rPr>
          <w:rFonts w:eastAsia="Calibri" w:cs="Calibri"/>
          <w:szCs w:val="20"/>
          <w:lang w:val="en-US"/>
        </w:rPr>
        <w:t xml:space="preserve">. It also deviates from </w:t>
      </w:r>
      <w:r w:rsidRPr="001976CD">
        <w:rPr>
          <w:rFonts w:eastAsia="Calibri" w:cs="Calibri"/>
          <w:i/>
          <w:szCs w:val="20"/>
          <w:lang w:val="en-US"/>
        </w:rPr>
        <w:t>BCBS Standards</w:t>
      </w:r>
      <w:r w:rsidRPr="001976CD">
        <w:rPr>
          <w:rFonts w:eastAsia="Calibri" w:cs="Calibri"/>
          <w:szCs w:val="20"/>
          <w:lang w:val="en-US"/>
        </w:rPr>
        <w:t xml:space="preserve"> that is quite explicit that it refers to </w:t>
      </w:r>
      <w:r w:rsidRPr="001976CD">
        <w:rPr>
          <w:rFonts w:eastAsia="Calibri" w:cs="Calibri"/>
          <w:i/>
          <w:szCs w:val="20"/>
          <w:lang w:val="en-US"/>
        </w:rPr>
        <w:t>NII</w:t>
      </w:r>
      <w:r w:rsidRPr="001976CD">
        <w:rPr>
          <w:rFonts w:eastAsia="Calibri" w:cs="Calibri"/>
          <w:szCs w:val="20"/>
          <w:lang w:val="en-US"/>
        </w:rPr>
        <w:t xml:space="preserve"> excluding changes in fair values that do not affect </w:t>
      </w:r>
      <w:r w:rsidRPr="001976CD">
        <w:rPr>
          <w:rFonts w:eastAsia="Calibri" w:cs="Calibri"/>
          <w:i/>
          <w:szCs w:val="20"/>
          <w:lang w:val="en-US"/>
        </w:rPr>
        <w:t>NII</w:t>
      </w:r>
      <w:r w:rsidRPr="001976CD">
        <w:rPr>
          <w:rFonts w:eastAsia="Calibri" w:cs="Calibri"/>
          <w:szCs w:val="20"/>
          <w:lang w:val="en-US"/>
        </w:rPr>
        <w:t>. This would also be at odds with actual risk management and would introduce overlapping between NII measures and Economic Value (</w:t>
      </w:r>
      <w:r w:rsidRPr="001976CD">
        <w:rPr>
          <w:rFonts w:eastAsia="Calibri" w:cs="Calibri"/>
          <w:i/>
          <w:szCs w:val="20"/>
          <w:lang w:val="en-US"/>
        </w:rPr>
        <w:t>EV</w:t>
      </w:r>
      <w:r w:rsidRPr="001976CD">
        <w:rPr>
          <w:rFonts w:eastAsia="Calibri" w:cs="Calibri"/>
          <w:szCs w:val="20"/>
          <w:lang w:val="en-US"/>
        </w:rPr>
        <w:t>) measures while they should be complementary.</w:t>
      </w:r>
    </w:p>
    <w:p w14:paraId="181F445C" w14:textId="77777777" w:rsidR="001976CD" w:rsidRPr="001976CD" w:rsidRDefault="001976CD" w:rsidP="00AF7168">
      <w:pPr>
        <w:suppressAutoHyphens w:val="0"/>
        <w:spacing w:after="60"/>
        <w:ind w:left="357"/>
        <w:rPr>
          <w:rFonts w:eastAsia="Calibri" w:cs="Calibri"/>
          <w:b/>
          <w:szCs w:val="20"/>
          <w:lang w:val="en-US"/>
        </w:rPr>
      </w:pPr>
      <w:r w:rsidRPr="001976CD">
        <w:rPr>
          <w:rFonts w:eastAsia="Calibri" w:cs="Calibri"/>
          <w:b/>
          <w:szCs w:val="20"/>
          <w:lang w:val="en-US"/>
        </w:rPr>
        <w:t>NII should be kept as defined by interest income and expenses.</w:t>
      </w:r>
    </w:p>
    <w:p w14:paraId="028E3FE3" w14:textId="77777777" w:rsidR="001976CD" w:rsidRPr="001976CD" w:rsidRDefault="001976CD" w:rsidP="00AF7168">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a new limitation to the duration of Non-Maturing Deposits (</w:t>
      </w:r>
      <w:r w:rsidRPr="001976CD">
        <w:rPr>
          <w:rFonts w:eastAsia="Calibri" w:cs="Calibri"/>
          <w:b/>
          <w:i/>
          <w:szCs w:val="20"/>
          <w:lang w:val="en-US"/>
        </w:rPr>
        <w:t>NMD’s</w:t>
      </w:r>
      <w:r w:rsidRPr="001976CD">
        <w:rPr>
          <w:rFonts w:eastAsia="Calibri" w:cs="Calibri"/>
          <w:b/>
          <w:szCs w:val="20"/>
          <w:lang w:val="en-US"/>
        </w:rPr>
        <w:t>)</w:t>
      </w:r>
      <w:r w:rsidRPr="001976CD">
        <w:rPr>
          <w:rFonts w:eastAsia="Calibri" w:cs="Calibri"/>
          <w:szCs w:val="20"/>
          <w:lang w:val="en-US"/>
        </w:rPr>
        <w:t xml:space="preserve"> (i.e. a 5 year cap on NMD’s from retail and non-financial wholesale, and a 0 year cap on </w:t>
      </w:r>
      <w:r w:rsidRPr="001976CD">
        <w:rPr>
          <w:rFonts w:eastAsia="Calibri" w:cs="Calibri"/>
          <w:i/>
          <w:szCs w:val="20"/>
          <w:lang w:val="en-US"/>
        </w:rPr>
        <w:t>NMD’s</w:t>
      </w:r>
      <w:r w:rsidRPr="001976CD">
        <w:rPr>
          <w:rFonts w:eastAsia="Calibri" w:cs="Calibri"/>
          <w:szCs w:val="20"/>
          <w:lang w:val="en-US"/>
        </w:rPr>
        <w:t xml:space="preserve"> from financial customers) following a said “prudent” approach. These caps are inconsistent with a prudent approach since interest rate risk is a symmetric risk. Without any economic justification, they would lead to inappropriate measurement and management if incorporated in a management framework. Such caps are neither in CRR / CRD nor in </w:t>
      </w:r>
      <w:r w:rsidRPr="001976CD">
        <w:rPr>
          <w:rFonts w:eastAsia="Calibri" w:cs="Calibri"/>
          <w:i/>
          <w:szCs w:val="20"/>
          <w:lang w:val="en-US"/>
        </w:rPr>
        <w:t xml:space="preserve">BCBS Standard </w:t>
      </w:r>
      <w:r w:rsidRPr="001976CD">
        <w:rPr>
          <w:rFonts w:eastAsia="Calibri" w:cs="Calibri"/>
          <w:iCs/>
          <w:szCs w:val="20"/>
          <w:lang w:val="en-US"/>
        </w:rPr>
        <w:t>(where such caps appear only in the non-mandatory standardized method).</w:t>
      </w:r>
    </w:p>
    <w:p w14:paraId="26359F5D" w14:textId="329C905A" w:rsidR="001976CD" w:rsidRPr="001976CD" w:rsidRDefault="001976CD" w:rsidP="00AF7168">
      <w:pPr>
        <w:suppressAutoHyphens w:val="0"/>
        <w:spacing w:after="60" w:line="259" w:lineRule="auto"/>
        <w:ind w:left="357"/>
        <w:rPr>
          <w:rFonts w:eastAsia="Calibri" w:cs="Calibri"/>
          <w:szCs w:val="20"/>
          <w:lang w:val="en-US"/>
        </w:rPr>
      </w:pPr>
      <w:r w:rsidRPr="001976CD">
        <w:rPr>
          <w:rFonts w:eastAsia="Calibri" w:cs="Calibri"/>
          <w:szCs w:val="20"/>
          <w:lang w:val="en-US"/>
        </w:rPr>
        <w:t xml:space="preserve">Such caps would not only be at odds with evidence for some </w:t>
      </w:r>
      <w:r w:rsidRPr="001976CD">
        <w:rPr>
          <w:rFonts w:eastAsia="Calibri" w:cs="Calibri"/>
          <w:i/>
          <w:szCs w:val="20"/>
          <w:lang w:val="en-US"/>
        </w:rPr>
        <w:t>NMD</w:t>
      </w:r>
      <w:r w:rsidRPr="001976CD">
        <w:rPr>
          <w:rFonts w:eastAsia="Calibri" w:cs="Calibri"/>
          <w:szCs w:val="20"/>
          <w:lang w:val="en-US"/>
        </w:rPr>
        <w:t xml:space="preserve">’s but would jeopardize the business models whereby the </w:t>
      </w:r>
      <w:r w:rsidRPr="001976CD">
        <w:rPr>
          <w:rFonts w:eastAsia="Calibri" w:cs="Calibri"/>
          <w:i/>
          <w:szCs w:val="20"/>
          <w:lang w:val="en-US"/>
        </w:rPr>
        <w:t>NMD</w:t>
      </w:r>
      <w:r w:rsidRPr="001976CD">
        <w:rPr>
          <w:rFonts w:eastAsia="Calibri" w:cs="Calibri"/>
          <w:szCs w:val="20"/>
          <w:lang w:val="en-US"/>
        </w:rPr>
        <w:t xml:space="preserve">’s are a natural offset of </w:t>
      </w:r>
      <w:r w:rsidR="009D7C95" w:rsidRPr="001976CD">
        <w:rPr>
          <w:rFonts w:eastAsia="Calibri" w:cs="Calibri"/>
          <w:szCs w:val="20"/>
          <w:lang w:val="en-US"/>
        </w:rPr>
        <w:t>long-term</w:t>
      </w:r>
      <w:r w:rsidRPr="001976CD">
        <w:rPr>
          <w:rFonts w:eastAsia="Calibri" w:cs="Calibri"/>
          <w:szCs w:val="20"/>
          <w:lang w:val="en-US"/>
        </w:rPr>
        <w:t xml:space="preserve"> fixed rate loans (e.g. fixed rate mortgages). This would lead to wrong interest rate risk </w:t>
      </w:r>
      <w:r w:rsidRPr="001976CD">
        <w:rPr>
          <w:rFonts w:eastAsia="Calibri" w:cs="Calibri"/>
          <w:szCs w:val="20"/>
          <w:lang w:val="en-US"/>
        </w:rPr>
        <w:lastRenderedPageBreak/>
        <w:t>mitigation transactions, expose banks to more interest rate risk and force a change in business models by modifying the capacity to offer long-term loans to customers.</w:t>
      </w:r>
    </w:p>
    <w:p w14:paraId="722F7998" w14:textId="77777777" w:rsidR="001976CD" w:rsidRPr="001976CD" w:rsidRDefault="001976CD" w:rsidP="00AF7168">
      <w:pPr>
        <w:suppressAutoHyphens w:val="0"/>
        <w:spacing w:after="60" w:line="259" w:lineRule="auto"/>
        <w:ind w:left="357"/>
        <w:rPr>
          <w:rFonts w:eastAsia="Calibri" w:cs="Calibri"/>
          <w:szCs w:val="20"/>
          <w:lang w:val="en-US"/>
        </w:rPr>
      </w:pPr>
      <w:r w:rsidRPr="001976CD">
        <w:rPr>
          <w:rFonts w:eastAsia="Calibri" w:cs="Calibri"/>
          <w:szCs w:val="20"/>
          <w:lang w:val="en-US"/>
        </w:rPr>
        <w:t xml:space="preserve">Furthermore, the mandate to the </w:t>
      </w:r>
      <w:r w:rsidRPr="001976CD">
        <w:rPr>
          <w:rFonts w:eastAsia="Calibri" w:cs="Calibri"/>
          <w:i/>
          <w:szCs w:val="20"/>
          <w:lang w:val="en-US"/>
        </w:rPr>
        <w:t>EBA</w:t>
      </w:r>
      <w:r w:rsidRPr="001976CD">
        <w:rPr>
          <w:rFonts w:eastAsia="Calibri" w:cs="Calibri"/>
          <w:szCs w:val="20"/>
          <w:lang w:val="en-US"/>
        </w:rPr>
        <w:t xml:space="preserve"> on the definition of </w:t>
      </w:r>
      <w:r w:rsidRPr="001976CD">
        <w:rPr>
          <w:rFonts w:eastAsia="Calibri" w:cs="Calibri"/>
          <w:i/>
          <w:szCs w:val="20"/>
          <w:lang w:val="en-US"/>
        </w:rPr>
        <w:t>SOT</w:t>
      </w:r>
      <w:r w:rsidRPr="001976CD">
        <w:rPr>
          <w:rFonts w:eastAsia="Calibri" w:cs="Calibri"/>
          <w:szCs w:val="20"/>
          <w:lang w:val="en-US"/>
        </w:rPr>
        <w:t xml:space="preserve"> explicitly </w:t>
      </w:r>
      <w:r w:rsidRPr="001976CD">
        <w:rPr>
          <w:rFonts w:eastAsia="Calibri" w:cs="Calibri"/>
          <w:i/>
          <w:szCs w:val="20"/>
          <w:lang w:val="en-US"/>
        </w:rPr>
        <w:t>excludes</w:t>
      </w:r>
      <w:r w:rsidRPr="001976CD">
        <w:rPr>
          <w:rFonts w:eastAsia="Calibri" w:cs="Calibri"/>
          <w:szCs w:val="20"/>
          <w:lang w:val="en-US"/>
        </w:rPr>
        <w:t xml:space="preserve"> behavioural assumptions (</w:t>
      </w:r>
      <w:r w:rsidRPr="001976CD">
        <w:rPr>
          <w:rFonts w:eastAsia="Calibri" w:cs="Calibri"/>
          <w:i/>
          <w:szCs w:val="20"/>
          <w:lang w:val="en-US"/>
        </w:rPr>
        <w:t>CRD</w:t>
      </w:r>
      <w:r w:rsidRPr="001976CD">
        <w:rPr>
          <w:rFonts w:eastAsia="Calibri" w:cs="Calibri"/>
          <w:szCs w:val="20"/>
          <w:lang w:val="en-US"/>
        </w:rPr>
        <w:t> Art.98(5a): ‘</w:t>
      </w:r>
      <w:r w:rsidRPr="001976CD">
        <w:rPr>
          <w:rFonts w:eastAsia="Calibri" w:cs="Calibri"/>
          <w:i/>
          <w:szCs w:val="20"/>
          <w:lang w:val="en-US"/>
        </w:rPr>
        <w:t xml:space="preserve">common modelling and parametric assumptions, </w:t>
      </w:r>
      <w:r w:rsidRPr="001976CD">
        <w:rPr>
          <w:rFonts w:eastAsia="Calibri" w:cs="Calibri"/>
          <w:i/>
          <w:szCs w:val="20"/>
          <w:u w:val="single"/>
          <w:lang w:val="en-US"/>
        </w:rPr>
        <w:t>excluding behavioural assumptions</w:t>
      </w:r>
      <w:r w:rsidRPr="001976CD">
        <w:rPr>
          <w:rFonts w:eastAsia="Calibri" w:cs="Calibri"/>
          <w:szCs w:val="20"/>
          <w:lang w:val="en-US"/>
        </w:rPr>
        <w:t xml:space="preserve">). The suggested introduction of caps on </w:t>
      </w:r>
      <w:r w:rsidRPr="001976CD">
        <w:rPr>
          <w:rFonts w:eastAsia="Calibri" w:cs="Calibri"/>
          <w:i/>
          <w:szCs w:val="20"/>
          <w:lang w:val="en-US"/>
        </w:rPr>
        <w:t>NMD’s</w:t>
      </w:r>
      <w:r w:rsidRPr="001976CD">
        <w:rPr>
          <w:rFonts w:eastAsia="Calibri" w:cs="Calibri"/>
          <w:szCs w:val="20"/>
          <w:lang w:val="en-US"/>
        </w:rPr>
        <w:t xml:space="preserve"> in the general framework of </w:t>
      </w:r>
      <w:r w:rsidRPr="001976CD">
        <w:rPr>
          <w:rFonts w:eastAsia="Calibri" w:cs="Calibri"/>
          <w:i/>
          <w:szCs w:val="20"/>
          <w:lang w:val="en-US"/>
        </w:rPr>
        <w:t>IRRBB</w:t>
      </w:r>
      <w:r w:rsidRPr="001976CD">
        <w:rPr>
          <w:rFonts w:eastAsia="Calibri" w:cs="Calibri"/>
          <w:szCs w:val="20"/>
          <w:lang w:val="en-US"/>
        </w:rPr>
        <w:t xml:space="preserve"> management appears as </w:t>
      </w:r>
      <w:r w:rsidRPr="001976CD">
        <w:rPr>
          <w:rFonts w:eastAsia="Calibri" w:cs="Calibri"/>
          <w:i/>
          <w:szCs w:val="20"/>
          <w:lang w:val="en-US"/>
        </w:rPr>
        <w:t>EBA</w:t>
      </w:r>
      <w:r w:rsidRPr="001976CD">
        <w:rPr>
          <w:rFonts w:eastAsia="Calibri" w:cs="Calibri"/>
          <w:szCs w:val="20"/>
          <w:lang w:val="en-US"/>
        </w:rPr>
        <w:t xml:space="preserve"> working around the mandates that it received. </w:t>
      </w:r>
    </w:p>
    <w:p w14:paraId="22589FA7" w14:textId="77777777" w:rsidR="001976CD" w:rsidRPr="001976CD" w:rsidRDefault="001976CD" w:rsidP="00AF7168">
      <w:pPr>
        <w:suppressAutoHyphens w:val="0"/>
        <w:spacing w:after="60"/>
        <w:ind w:left="357"/>
        <w:rPr>
          <w:rFonts w:eastAsia="Calibri" w:cs="Calibri"/>
          <w:szCs w:val="20"/>
          <w:lang w:val="en-US"/>
        </w:rPr>
      </w:pPr>
      <w:r w:rsidRPr="001976CD">
        <w:rPr>
          <w:rFonts w:eastAsia="Calibri" w:cs="Calibri"/>
          <w:b/>
          <w:szCs w:val="20"/>
          <w:lang w:val="en-US"/>
        </w:rPr>
        <w:t xml:space="preserve">Suggested caps on </w:t>
      </w:r>
      <w:r w:rsidRPr="001976CD">
        <w:rPr>
          <w:rFonts w:eastAsia="Calibri" w:cs="Calibri"/>
          <w:b/>
          <w:i/>
          <w:szCs w:val="20"/>
          <w:lang w:val="en-US"/>
        </w:rPr>
        <w:t>NMD</w:t>
      </w:r>
      <w:r w:rsidRPr="001976CD">
        <w:rPr>
          <w:rFonts w:eastAsia="Calibri" w:cs="Calibri"/>
          <w:b/>
          <w:szCs w:val="20"/>
          <w:lang w:val="en-US"/>
        </w:rPr>
        <w:t>’s should be deleted</w:t>
      </w:r>
      <w:r w:rsidRPr="001976CD">
        <w:rPr>
          <w:rFonts w:eastAsia="Calibri" w:cs="Calibri"/>
          <w:szCs w:val="20"/>
          <w:lang w:val="en-US"/>
        </w:rPr>
        <w:t xml:space="preserve">. </w:t>
      </w:r>
    </w:p>
    <w:p w14:paraId="3CF17EA5" w14:textId="77777777" w:rsidR="001976CD" w:rsidRPr="001976CD" w:rsidRDefault="001976CD" w:rsidP="00AF7168">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dramatic changes to the definition and scope of Credit Spread Risk in the Banking Book (</w:t>
      </w:r>
      <w:r w:rsidRPr="001976CD">
        <w:rPr>
          <w:rFonts w:eastAsia="Calibri" w:cs="Calibri"/>
          <w:b/>
          <w:i/>
          <w:szCs w:val="20"/>
          <w:lang w:val="en-US"/>
        </w:rPr>
        <w:t>CSRBB</w:t>
      </w:r>
      <w:r w:rsidRPr="001976CD">
        <w:rPr>
          <w:rFonts w:eastAsia="Calibri" w:cs="Calibri"/>
          <w:b/>
          <w:szCs w:val="20"/>
          <w:lang w:val="en-US"/>
        </w:rPr>
        <w:t>)</w:t>
      </w:r>
      <w:r w:rsidRPr="001976CD">
        <w:rPr>
          <w:rFonts w:eastAsia="Calibri" w:cs="Calibri"/>
          <w:szCs w:val="20"/>
          <w:lang w:val="en-US"/>
        </w:rPr>
        <w:t xml:space="preserve"> while the </w:t>
      </w:r>
      <w:r w:rsidRPr="001976CD">
        <w:rPr>
          <w:rFonts w:eastAsia="Calibri" w:cs="Calibri"/>
          <w:i/>
          <w:szCs w:val="20"/>
          <w:lang w:val="en-US"/>
        </w:rPr>
        <w:t>July 2018 EBA Guideline</w:t>
      </w:r>
      <w:r w:rsidRPr="001976CD">
        <w:rPr>
          <w:rFonts w:eastAsia="Calibri" w:cs="Calibri"/>
          <w:szCs w:val="20"/>
          <w:lang w:val="en-US"/>
        </w:rPr>
        <w:t xml:space="preserve"> already implemented the </w:t>
      </w:r>
      <w:r w:rsidRPr="001976CD">
        <w:rPr>
          <w:rFonts w:eastAsia="Calibri" w:cs="Calibri"/>
          <w:i/>
          <w:szCs w:val="20"/>
          <w:lang w:val="en-US"/>
        </w:rPr>
        <w:t>BCBS Standard</w:t>
      </w:r>
      <w:r w:rsidRPr="001976CD">
        <w:rPr>
          <w:rFonts w:eastAsia="Calibri" w:cs="Calibri"/>
          <w:szCs w:val="20"/>
          <w:lang w:val="en-US"/>
        </w:rPr>
        <w:t xml:space="preserve"> that has not changed since then. The envisaged changes are not substantiated and they would also introduce significant confusions and complexities. </w:t>
      </w:r>
    </w:p>
    <w:p w14:paraId="17944388" w14:textId="77777777" w:rsidR="001976CD" w:rsidRPr="001976CD" w:rsidRDefault="001976CD" w:rsidP="00AF7168">
      <w:pPr>
        <w:suppressAutoHyphens w:val="0"/>
        <w:spacing w:after="60"/>
        <w:ind w:left="357"/>
        <w:rPr>
          <w:rFonts w:eastAsia="Calibri" w:cs="Calibri"/>
          <w:b/>
          <w:szCs w:val="20"/>
          <w:lang w:val="en-US"/>
        </w:rPr>
      </w:pPr>
      <w:r w:rsidRPr="001976CD">
        <w:rPr>
          <w:rFonts w:eastAsia="Calibri" w:cs="Calibri"/>
          <w:b/>
          <w:i/>
          <w:szCs w:val="20"/>
          <w:lang w:val="en-US"/>
        </w:rPr>
        <w:t>CSRBB</w:t>
      </w:r>
      <w:r w:rsidRPr="001976CD">
        <w:rPr>
          <w:rFonts w:eastAsia="Calibri" w:cs="Calibri"/>
          <w:b/>
          <w:szCs w:val="20"/>
          <w:lang w:val="en-US"/>
        </w:rPr>
        <w:t xml:space="preserve"> should relate to fair-valued assets that are actively traded on a deep and liquid markets so as to have identifiable and measurable market perception and changes thereof. Derivatives, if any, that are hedging </w:t>
      </w:r>
      <w:r w:rsidRPr="001976CD">
        <w:rPr>
          <w:rFonts w:eastAsia="Calibri" w:cs="Calibri"/>
          <w:b/>
          <w:i/>
          <w:szCs w:val="20"/>
          <w:lang w:val="en-US"/>
        </w:rPr>
        <w:t>CSRBB</w:t>
      </w:r>
      <w:r w:rsidRPr="001976CD">
        <w:rPr>
          <w:rFonts w:eastAsia="Calibri" w:cs="Calibri"/>
          <w:b/>
          <w:szCs w:val="20"/>
          <w:lang w:val="en-US"/>
        </w:rPr>
        <w:t xml:space="preserve"> should be clarified as included in </w:t>
      </w:r>
      <w:r w:rsidRPr="001976CD">
        <w:rPr>
          <w:rFonts w:eastAsia="Calibri" w:cs="Calibri"/>
          <w:b/>
          <w:i/>
          <w:szCs w:val="20"/>
          <w:lang w:val="en-US"/>
        </w:rPr>
        <w:t>CSRBB</w:t>
      </w:r>
      <w:r w:rsidRPr="001976CD">
        <w:rPr>
          <w:rFonts w:eastAsia="Calibri" w:cs="Calibri"/>
          <w:b/>
          <w:szCs w:val="20"/>
          <w:lang w:val="en-US"/>
        </w:rPr>
        <w:t xml:space="preserve">. Pension obligations and pension plan assets should be clarified as being excluded from </w:t>
      </w:r>
      <w:r w:rsidRPr="001976CD">
        <w:rPr>
          <w:rFonts w:eastAsia="Calibri" w:cs="Calibri"/>
          <w:b/>
          <w:i/>
          <w:szCs w:val="20"/>
          <w:lang w:val="en-US"/>
        </w:rPr>
        <w:t>CSRBB</w:t>
      </w:r>
      <w:r w:rsidRPr="001976CD">
        <w:rPr>
          <w:rFonts w:eastAsia="Calibri" w:cs="Calibri"/>
          <w:b/>
          <w:szCs w:val="20"/>
          <w:lang w:val="en-US"/>
        </w:rPr>
        <w:t>.</w:t>
      </w:r>
    </w:p>
    <w:p w14:paraId="2DEF65BD" w14:textId="320DBBB0" w:rsidR="001976CD" w:rsidRPr="001976CD" w:rsidRDefault="001976CD" w:rsidP="00AF7168">
      <w:pPr>
        <w:suppressAutoHyphens w:val="0"/>
        <w:spacing w:after="60"/>
        <w:ind w:left="357"/>
        <w:rPr>
          <w:rFonts w:eastAsia="Calibri" w:cs="Calibri"/>
          <w:bCs/>
          <w:iCs/>
          <w:szCs w:val="20"/>
          <w:lang w:val="en-US"/>
        </w:rPr>
      </w:pPr>
      <w:r w:rsidRPr="001976CD">
        <w:rPr>
          <w:rFonts w:eastAsia="Calibri" w:cs="Calibri"/>
          <w:bCs/>
          <w:iCs/>
          <w:szCs w:val="20"/>
          <w:lang w:val="en-US"/>
        </w:rPr>
        <w:t xml:space="preserve">We also noted that the </w:t>
      </w:r>
      <w:r w:rsidRPr="001976CD">
        <w:rPr>
          <w:rFonts w:eastAsia="Calibri" w:cs="Calibri"/>
          <w:bCs/>
          <w:i/>
          <w:iCs/>
          <w:szCs w:val="20"/>
          <w:lang w:val="en-US"/>
        </w:rPr>
        <w:t>EBA</w:t>
      </w:r>
      <w:r w:rsidRPr="001976CD">
        <w:rPr>
          <w:rFonts w:eastAsia="Calibri" w:cs="Calibri"/>
          <w:bCs/>
          <w:iCs/>
          <w:szCs w:val="20"/>
          <w:lang w:val="en-US"/>
        </w:rPr>
        <w:t xml:space="preserve"> by means of article 14 has expanded the scope of article 84.6c for </w:t>
      </w:r>
      <w:r w:rsidRPr="001976CD">
        <w:rPr>
          <w:rFonts w:eastAsia="Calibri" w:cs="Calibri"/>
          <w:bCs/>
          <w:i/>
          <w:iCs/>
          <w:szCs w:val="20"/>
          <w:lang w:val="en-US"/>
        </w:rPr>
        <w:t>CSRBB</w:t>
      </w:r>
      <w:r w:rsidRPr="001976CD">
        <w:rPr>
          <w:rFonts w:eastAsia="Calibri" w:cs="Calibri"/>
          <w:bCs/>
          <w:iCs/>
          <w:szCs w:val="20"/>
          <w:lang w:val="en-US"/>
        </w:rPr>
        <w:t xml:space="preserve">, where institutions are only obliged to assess and monitor credit spread risk. Article 14 of this </w:t>
      </w:r>
      <w:r w:rsidRPr="001976CD">
        <w:rPr>
          <w:rFonts w:eastAsia="Calibri" w:cs="Calibri"/>
          <w:bCs/>
          <w:i/>
          <w:iCs/>
          <w:szCs w:val="20"/>
          <w:lang w:val="en-US"/>
        </w:rPr>
        <w:t>Guideline</w:t>
      </w:r>
      <w:r w:rsidRPr="001976CD">
        <w:rPr>
          <w:rFonts w:eastAsia="Calibri" w:cs="Calibri"/>
          <w:bCs/>
          <w:iCs/>
          <w:szCs w:val="20"/>
          <w:lang w:val="en-US"/>
        </w:rPr>
        <w:t xml:space="preserve"> would also </w:t>
      </w:r>
      <w:r w:rsidR="009D7C95" w:rsidRPr="001976CD">
        <w:rPr>
          <w:rFonts w:eastAsia="Calibri" w:cs="Calibri"/>
          <w:bCs/>
          <w:iCs/>
          <w:szCs w:val="20"/>
          <w:lang w:val="en-US"/>
        </w:rPr>
        <w:t>oblige</w:t>
      </w:r>
      <w:r w:rsidRPr="001976CD">
        <w:rPr>
          <w:rFonts w:eastAsia="Calibri" w:cs="Calibri"/>
          <w:bCs/>
          <w:iCs/>
          <w:szCs w:val="20"/>
          <w:lang w:val="en-US"/>
        </w:rPr>
        <w:t xml:space="preserve"> institutions to control credit spread risk. </w:t>
      </w:r>
      <w:r w:rsidR="009D7C95" w:rsidRPr="001976CD">
        <w:rPr>
          <w:rFonts w:eastAsia="Calibri" w:cs="Calibri"/>
          <w:bCs/>
          <w:iCs/>
          <w:szCs w:val="20"/>
          <w:lang w:val="en-US"/>
        </w:rPr>
        <w:t>However,</w:t>
      </w:r>
      <w:r w:rsidRPr="001976CD">
        <w:rPr>
          <w:rFonts w:eastAsia="Calibri" w:cs="Calibri"/>
          <w:bCs/>
          <w:iCs/>
          <w:szCs w:val="20"/>
          <w:lang w:val="en-US"/>
        </w:rPr>
        <w:t xml:space="preserve"> in article 84 the </w:t>
      </w:r>
      <w:r w:rsidRPr="001976CD">
        <w:rPr>
          <w:rFonts w:eastAsia="Calibri" w:cs="Calibri"/>
          <w:bCs/>
          <w:i/>
          <w:iCs/>
          <w:szCs w:val="20"/>
          <w:lang w:val="en-US"/>
        </w:rPr>
        <w:t>CRD</w:t>
      </w:r>
      <w:r w:rsidRPr="001976CD">
        <w:rPr>
          <w:rFonts w:eastAsia="Calibri" w:cs="Calibri"/>
          <w:bCs/>
          <w:iCs/>
          <w:szCs w:val="20"/>
          <w:lang w:val="en-US"/>
        </w:rPr>
        <w:t xml:space="preserve"> explicitly differentiates between </w:t>
      </w:r>
      <w:r w:rsidRPr="001976CD">
        <w:rPr>
          <w:rFonts w:eastAsia="Calibri" w:cs="Calibri"/>
          <w:bCs/>
          <w:i/>
          <w:iCs/>
          <w:szCs w:val="20"/>
          <w:lang w:val="en-US"/>
        </w:rPr>
        <w:t>IRRBB</w:t>
      </w:r>
      <w:r w:rsidRPr="001976CD">
        <w:rPr>
          <w:rFonts w:eastAsia="Calibri" w:cs="Calibri"/>
          <w:bCs/>
          <w:iCs/>
          <w:szCs w:val="20"/>
          <w:lang w:val="en-US"/>
        </w:rPr>
        <w:t xml:space="preserve"> and </w:t>
      </w:r>
      <w:r w:rsidRPr="001976CD">
        <w:rPr>
          <w:rFonts w:eastAsia="Calibri" w:cs="Calibri"/>
          <w:bCs/>
          <w:i/>
          <w:iCs/>
          <w:szCs w:val="20"/>
          <w:lang w:val="en-US"/>
        </w:rPr>
        <w:t>CSRBB</w:t>
      </w:r>
      <w:r w:rsidRPr="001976CD">
        <w:rPr>
          <w:rFonts w:eastAsia="Calibri" w:cs="Calibri"/>
          <w:bCs/>
          <w:iCs/>
          <w:szCs w:val="20"/>
          <w:lang w:val="en-US"/>
        </w:rPr>
        <w:t xml:space="preserve">, where the management and mitigation is limited to </w:t>
      </w:r>
      <w:r w:rsidRPr="001976CD">
        <w:rPr>
          <w:rFonts w:eastAsia="Calibri" w:cs="Calibri"/>
          <w:bCs/>
          <w:i/>
          <w:iCs/>
          <w:szCs w:val="20"/>
          <w:lang w:val="en-US"/>
        </w:rPr>
        <w:t>IRRBB</w:t>
      </w:r>
      <w:r w:rsidRPr="001976CD">
        <w:rPr>
          <w:rFonts w:eastAsia="Calibri" w:cs="Calibri"/>
          <w:bCs/>
          <w:iCs/>
          <w:szCs w:val="20"/>
          <w:lang w:val="en-US"/>
        </w:rPr>
        <w:t xml:space="preserve">. Therefore, asking institutions to control credit spread is beyond the mandate of the </w:t>
      </w:r>
      <w:r w:rsidRPr="001976CD">
        <w:rPr>
          <w:rFonts w:eastAsia="Calibri" w:cs="Calibri"/>
          <w:bCs/>
          <w:i/>
          <w:iCs/>
          <w:szCs w:val="20"/>
          <w:lang w:val="en-US"/>
        </w:rPr>
        <w:t>EBA</w:t>
      </w:r>
      <w:r w:rsidRPr="001976CD">
        <w:rPr>
          <w:rFonts w:eastAsia="Calibri" w:cs="Calibri"/>
          <w:bCs/>
          <w:iCs/>
          <w:szCs w:val="20"/>
          <w:lang w:val="en-US"/>
        </w:rPr>
        <w:t xml:space="preserve"> and not deemed proportionate.</w:t>
      </w:r>
    </w:p>
    <w:p w14:paraId="541ED961" w14:textId="77777777" w:rsidR="001976CD" w:rsidRPr="001976CD" w:rsidRDefault="001976CD" w:rsidP="00AF7168">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szCs w:val="20"/>
          <w:lang w:val="en-US"/>
        </w:rPr>
        <w:t xml:space="preserve">the </w:t>
      </w:r>
      <w:r w:rsidRPr="001976CD">
        <w:rPr>
          <w:rFonts w:eastAsia="Calibri" w:cs="Calibri"/>
          <w:i/>
          <w:szCs w:val="20"/>
          <w:lang w:val="en-US"/>
        </w:rPr>
        <w:t>CP</w:t>
      </w:r>
      <w:r w:rsidRPr="001976CD">
        <w:rPr>
          <w:rFonts w:eastAsia="Calibri" w:cs="Calibri"/>
          <w:szCs w:val="20"/>
          <w:lang w:val="en-US"/>
        </w:rPr>
        <w:t xml:space="preserve"> provides principles for the assessment by competent authorities of the management framework for </w:t>
      </w:r>
      <w:r w:rsidRPr="001976CD">
        <w:rPr>
          <w:rFonts w:eastAsia="Calibri" w:cs="Calibri"/>
          <w:i/>
          <w:szCs w:val="20"/>
          <w:lang w:val="en-US"/>
        </w:rPr>
        <w:t>IRRBB</w:t>
      </w:r>
      <w:r w:rsidRPr="001976CD">
        <w:rPr>
          <w:rFonts w:eastAsia="Calibri" w:cs="Calibri"/>
          <w:szCs w:val="20"/>
          <w:lang w:val="en-US"/>
        </w:rPr>
        <w:t xml:space="preserve"> and </w:t>
      </w:r>
      <w:r w:rsidRPr="001976CD">
        <w:rPr>
          <w:rFonts w:eastAsia="Calibri" w:cs="Calibri"/>
          <w:i/>
          <w:szCs w:val="20"/>
          <w:lang w:val="en-US"/>
        </w:rPr>
        <w:t>CSRBB</w:t>
      </w:r>
      <w:r w:rsidRPr="001976CD">
        <w:rPr>
          <w:rFonts w:eastAsia="Calibri" w:cs="Calibri"/>
          <w:szCs w:val="20"/>
          <w:lang w:val="en-US"/>
        </w:rPr>
        <w:t xml:space="preserve">. Broadly, those principles make sense to cover the different dimensions of the management framework. However, to the extent that the assessment could lead competent authorities to require banks to apply the </w:t>
      </w:r>
      <w:r w:rsidRPr="001976CD">
        <w:rPr>
          <w:rFonts w:eastAsia="Calibri" w:cs="Calibri"/>
          <w:i/>
          <w:szCs w:val="20"/>
          <w:lang w:val="en-US"/>
        </w:rPr>
        <w:t>Standardized Methodology</w:t>
      </w:r>
      <w:r w:rsidRPr="001976CD">
        <w:rPr>
          <w:rFonts w:eastAsia="Calibri" w:cs="Calibri"/>
          <w:szCs w:val="20"/>
          <w:lang w:val="en-US"/>
        </w:rPr>
        <w:t xml:space="preserve"> for the evaluation of </w:t>
      </w:r>
      <w:r w:rsidRPr="001976CD">
        <w:rPr>
          <w:rFonts w:eastAsia="Calibri" w:cs="Calibri"/>
          <w:i/>
          <w:szCs w:val="20"/>
          <w:lang w:val="en-US"/>
        </w:rPr>
        <w:t>IRRBB</w:t>
      </w:r>
      <w:r w:rsidRPr="001976CD">
        <w:rPr>
          <w:rFonts w:eastAsia="Calibri" w:cs="Calibri"/>
          <w:szCs w:val="20"/>
          <w:lang w:val="en-US"/>
        </w:rPr>
        <w:t xml:space="preserve">, it is essential to better frame the conditions under which banks such a requirement could apply. </w:t>
      </w:r>
    </w:p>
    <w:p w14:paraId="3E863049" w14:textId="77777777" w:rsidR="001976CD" w:rsidRPr="001976CD" w:rsidRDefault="001976CD" w:rsidP="00AF7168">
      <w:pPr>
        <w:suppressAutoHyphens w:val="0"/>
        <w:spacing w:after="60" w:line="259" w:lineRule="auto"/>
        <w:ind w:left="357"/>
        <w:rPr>
          <w:rFonts w:eastAsia="Calibri" w:cs="Calibri"/>
          <w:szCs w:val="20"/>
          <w:lang w:val="en-US"/>
        </w:rPr>
      </w:pPr>
      <w:r w:rsidRPr="001976CD">
        <w:rPr>
          <w:rFonts w:eastAsia="Calibri" w:cs="Calibri"/>
          <w:b/>
          <w:szCs w:val="20"/>
          <w:lang w:val="en-US"/>
        </w:rPr>
        <w:t xml:space="preserve">The requirement to apply the </w:t>
      </w:r>
      <w:r w:rsidRPr="001976CD">
        <w:rPr>
          <w:rFonts w:eastAsia="Calibri" w:cs="Calibri"/>
          <w:b/>
          <w:i/>
          <w:szCs w:val="20"/>
          <w:lang w:val="en-US"/>
        </w:rPr>
        <w:t>Standardized Methodology</w:t>
      </w:r>
      <w:r w:rsidRPr="001976CD">
        <w:rPr>
          <w:rFonts w:eastAsia="Calibri" w:cs="Calibri"/>
          <w:b/>
          <w:szCs w:val="20"/>
          <w:lang w:val="en-US"/>
        </w:rPr>
        <w:t xml:space="preserve"> for the evaluation should relate to the evaluation component of the Internal Management System (</w:t>
      </w:r>
      <w:r w:rsidRPr="001976CD">
        <w:rPr>
          <w:rFonts w:eastAsia="Calibri" w:cs="Calibri"/>
          <w:b/>
          <w:i/>
          <w:szCs w:val="20"/>
          <w:lang w:val="en-US"/>
        </w:rPr>
        <w:t>IMS</w:t>
      </w:r>
      <w:r w:rsidRPr="001976CD">
        <w:rPr>
          <w:rFonts w:eastAsia="Calibri" w:cs="Calibri"/>
          <w:b/>
          <w:szCs w:val="20"/>
          <w:lang w:val="en-US"/>
        </w:rPr>
        <w:t>) that should be evidenced as non-satisfactory</w:t>
      </w:r>
      <w:r w:rsidRPr="001976CD">
        <w:rPr>
          <w:rFonts w:eastAsia="Calibri" w:cs="Calibri"/>
          <w:szCs w:val="20"/>
          <w:lang w:val="en-US"/>
        </w:rPr>
        <w:t xml:space="preserve">. In other words, a framework that would be assessed as non-satisfactory for issues that are </w:t>
      </w:r>
      <w:r w:rsidRPr="001976CD">
        <w:rPr>
          <w:rFonts w:eastAsia="Calibri" w:cs="Calibri"/>
          <w:i/>
          <w:szCs w:val="20"/>
          <w:lang w:val="en-US"/>
        </w:rPr>
        <w:t>not</w:t>
      </w:r>
      <w:r w:rsidRPr="001976CD">
        <w:rPr>
          <w:rFonts w:eastAsia="Calibri" w:cs="Calibri"/>
          <w:szCs w:val="20"/>
          <w:lang w:val="en-US"/>
        </w:rPr>
        <w:t xml:space="preserve"> related to its evaluation component of its </w:t>
      </w:r>
      <w:r w:rsidRPr="001976CD">
        <w:rPr>
          <w:rFonts w:eastAsia="Calibri" w:cs="Calibri"/>
          <w:i/>
          <w:szCs w:val="20"/>
          <w:lang w:val="en-US"/>
        </w:rPr>
        <w:t>IMS</w:t>
      </w:r>
      <w:r w:rsidRPr="001976CD">
        <w:rPr>
          <w:rFonts w:eastAsia="Calibri" w:cs="Calibri"/>
          <w:szCs w:val="20"/>
          <w:lang w:val="en-US"/>
        </w:rPr>
        <w:t xml:space="preserve"> should </w:t>
      </w:r>
      <w:r w:rsidRPr="001976CD">
        <w:rPr>
          <w:rFonts w:eastAsia="Calibri" w:cs="Calibri"/>
          <w:i/>
          <w:szCs w:val="20"/>
          <w:lang w:val="en-US"/>
        </w:rPr>
        <w:t>not</w:t>
      </w:r>
      <w:r w:rsidRPr="001976CD">
        <w:rPr>
          <w:rFonts w:eastAsia="Calibri" w:cs="Calibri"/>
          <w:szCs w:val="20"/>
          <w:lang w:val="en-US"/>
        </w:rPr>
        <w:t xml:space="preserve"> lead to require using the </w:t>
      </w:r>
      <w:r w:rsidRPr="001976CD">
        <w:rPr>
          <w:rFonts w:eastAsia="Calibri" w:cs="Calibri"/>
          <w:i/>
          <w:szCs w:val="20"/>
          <w:lang w:val="en-US"/>
        </w:rPr>
        <w:t>Standardized Methodology</w:t>
      </w:r>
      <w:r w:rsidRPr="001976CD">
        <w:rPr>
          <w:rFonts w:eastAsia="Calibri" w:cs="Calibri"/>
          <w:szCs w:val="20"/>
          <w:lang w:val="en-US"/>
        </w:rPr>
        <w:t>.</w:t>
      </w:r>
    </w:p>
    <w:p w14:paraId="3CF73663" w14:textId="77777777" w:rsidR="001976CD" w:rsidRPr="001976CD" w:rsidRDefault="001976CD" w:rsidP="00AF7168">
      <w:pPr>
        <w:suppressAutoHyphens w:val="0"/>
        <w:spacing w:after="60" w:line="259" w:lineRule="auto"/>
        <w:ind w:left="357"/>
        <w:rPr>
          <w:rFonts w:eastAsia="Calibri" w:cs="Calibri"/>
          <w:szCs w:val="20"/>
          <w:lang w:val="en-US"/>
        </w:rPr>
      </w:pPr>
      <w:r w:rsidRPr="001976CD">
        <w:rPr>
          <w:rFonts w:eastAsia="Calibri" w:cs="Calibri"/>
          <w:szCs w:val="20"/>
          <w:lang w:val="en-US"/>
        </w:rPr>
        <w:t xml:space="preserve">As any </w:t>
      </w:r>
      <w:r w:rsidRPr="001976CD">
        <w:rPr>
          <w:rFonts w:eastAsia="Calibri" w:cs="Calibri"/>
          <w:i/>
          <w:szCs w:val="20"/>
          <w:lang w:val="en-US"/>
        </w:rPr>
        <w:t>Standardized Methodology</w:t>
      </w:r>
      <w:r w:rsidRPr="001976CD">
        <w:rPr>
          <w:rFonts w:eastAsia="Calibri" w:cs="Calibri"/>
          <w:szCs w:val="20"/>
          <w:lang w:val="en-US"/>
        </w:rPr>
        <w:t xml:space="preserve"> would not be risk sensitive, as made clear by </w:t>
      </w:r>
      <w:r w:rsidRPr="001976CD">
        <w:rPr>
          <w:rFonts w:eastAsia="Calibri" w:cs="Calibri"/>
          <w:i/>
          <w:szCs w:val="20"/>
          <w:lang w:val="en-US"/>
        </w:rPr>
        <w:t>BCBS</w:t>
      </w:r>
      <w:r w:rsidRPr="001976CD">
        <w:rPr>
          <w:rFonts w:eastAsia="Calibri" w:cs="Calibri"/>
          <w:szCs w:val="20"/>
          <w:lang w:val="en-US"/>
        </w:rPr>
        <w:t xml:space="preserve">, </w:t>
      </w:r>
      <w:r w:rsidRPr="001976CD">
        <w:rPr>
          <w:rFonts w:eastAsia="Calibri" w:cs="Calibri"/>
          <w:b/>
          <w:szCs w:val="20"/>
          <w:lang w:val="en-US"/>
        </w:rPr>
        <w:t xml:space="preserve">it should be clarified that requiring its application should follow a careful analysis to evidence whether the </w:t>
      </w:r>
      <w:r w:rsidRPr="001976CD">
        <w:rPr>
          <w:rFonts w:eastAsia="Calibri" w:cs="Calibri"/>
          <w:b/>
          <w:i/>
          <w:szCs w:val="20"/>
          <w:lang w:val="en-US"/>
        </w:rPr>
        <w:t>Standardized Methodology</w:t>
      </w:r>
      <w:r w:rsidRPr="001976CD">
        <w:rPr>
          <w:rFonts w:eastAsia="Calibri" w:cs="Calibri"/>
          <w:b/>
          <w:szCs w:val="20"/>
          <w:lang w:val="en-US"/>
        </w:rPr>
        <w:t xml:space="preserve"> would be more risk sensitive than the </w:t>
      </w:r>
      <w:r w:rsidRPr="001976CD">
        <w:rPr>
          <w:rFonts w:eastAsia="Calibri" w:cs="Calibri"/>
          <w:b/>
          <w:i/>
          <w:szCs w:val="20"/>
          <w:lang w:val="en-US"/>
        </w:rPr>
        <w:t>IMS</w:t>
      </w:r>
      <w:r w:rsidRPr="001976CD">
        <w:rPr>
          <w:rFonts w:eastAsia="Calibri" w:cs="Calibri"/>
          <w:b/>
          <w:szCs w:val="20"/>
          <w:lang w:val="en-US"/>
        </w:rPr>
        <w:t xml:space="preserve"> evaluation it would substitute. Bar such an evidence, </w:t>
      </w:r>
      <w:r w:rsidRPr="001976CD">
        <w:rPr>
          <w:rFonts w:eastAsia="Calibri" w:cs="Calibri"/>
          <w:b/>
          <w:i/>
          <w:szCs w:val="20"/>
          <w:lang w:val="en-US"/>
        </w:rPr>
        <w:t>Standardized Methodology</w:t>
      </w:r>
      <w:r w:rsidRPr="001976CD">
        <w:rPr>
          <w:rFonts w:eastAsia="Calibri" w:cs="Calibri"/>
          <w:b/>
          <w:szCs w:val="20"/>
          <w:lang w:val="en-US"/>
        </w:rPr>
        <w:t xml:space="preserve"> should </w:t>
      </w:r>
      <w:r w:rsidRPr="001976CD">
        <w:rPr>
          <w:rFonts w:eastAsia="Calibri" w:cs="Calibri"/>
          <w:b/>
          <w:i/>
          <w:szCs w:val="20"/>
          <w:lang w:val="en-US"/>
        </w:rPr>
        <w:t>not</w:t>
      </w:r>
      <w:r w:rsidRPr="001976CD">
        <w:rPr>
          <w:rFonts w:eastAsia="Calibri" w:cs="Calibri"/>
          <w:b/>
          <w:szCs w:val="20"/>
          <w:lang w:val="en-US"/>
        </w:rPr>
        <w:t xml:space="preserve"> apply. Moreover, the GL should require competent authorities to grant institutions the possibility to remedy potential shortcomings in their </w:t>
      </w:r>
      <w:r w:rsidRPr="001976CD">
        <w:rPr>
          <w:rFonts w:eastAsia="Calibri" w:cs="Calibri"/>
          <w:b/>
          <w:i/>
          <w:szCs w:val="20"/>
          <w:lang w:val="en-US"/>
        </w:rPr>
        <w:t>IMS</w:t>
      </w:r>
      <w:r w:rsidRPr="001976CD">
        <w:rPr>
          <w:rFonts w:eastAsia="Calibri" w:cs="Calibri"/>
          <w:b/>
          <w:szCs w:val="20"/>
          <w:lang w:val="en-US"/>
        </w:rPr>
        <w:t xml:space="preserve"> within a reasonable period of time before the </w:t>
      </w:r>
      <w:r w:rsidRPr="001976CD">
        <w:rPr>
          <w:rFonts w:eastAsia="Calibri" w:cs="Calibri"/>
          <w:b/>
          <w:i/>
          <w:szCs w:val="20"/>
          <w:lang w:val="en-US"/>
        </w:rPr>
        <w:t>Standardized Methodology</w:t>
      </w:r>
      <w:r w:rsidRPr="001976CD">
        <w:rPr>
          <w:rFonts w:eastAsia="Calibri" w:cs="Calibri"/>
          <w:b/>
          <w:szCs w:val="20"/>
          <w:lang w:val="en-US"/>
        </w:rPr>
        <w:t xml:space="preserve"> is imposed. Last but not least, if the </w:t>
      </w:r>
      <w:r w:rsidRPr="001976CD">
        <w:rPr>
          <w:rFonts w:eastAsia="Calibri" w:cs="Calibri"/>
          <w:b/>
          <w:i/>
          <w:szCs w:val="20"/>
          <w:lang w:val="en-US"/>
        </w:rPr>
        <w:lastRenderedPageBreak/>
        <w:t>Standardized Methodology</w:t>
      </w:r>
      <w:r w:rsidRPr="001976CD">
        <w:rPr>
          <w:rFonts w:eastAsia="Calibri" w:cs="Calibri"/>
          <w:b/>
          <w:szCs w:val="20"/>
          <w:lang w:val="en-US"/>
        </w:rPr>
        <w:t xml:space="preserve"> was imposed after all, this should only be temporary and a return to IMS should be allowed as soon as possible.  </w:t>
      </w:r>
    </w:p>
    <w:p w14:paraId="72EE53F2" w14:textId="77777777" w:rsidR="001976CD" w:rsidRPr="001976CD" w:rsidRDefault="001976CD" w:rsidP="00AF7168">
      <w:pPr>
        <w:suppressAutoHyphens w:val="0"/>
        <w:spacing w:after="60"/>
        <w:rPr>
          <w:rFonts w:eastAsia="Calibri" w:cs="Calibri"/>
          <w:szCs w:val="20"/>
          <w:lang w:val="en-US"/>
        </w:rPr>
      </w:pPr>
    </w:p>
    <w:p w14:paraId="3C175EE7" w14:textId="77777777" w:rsidR="001976CD" w:rsidRPr="001976CD" w:rsidRDefault="001976CD" w:rsidP="00AF7168">
      <w:pPr>
        <w:suppressAutoHyphens w:val="0"/>
        <w:spacing w:after="160" w:line="259" w:lineRule="auto"/>
        <w:rPr>
          <w:rFonts w:eastAsia="Calibri" w:cs="Calibri"/>
          <w:szCs w:val="20"/>
          <w:lang w:val="en-US"/>
        </w:rPr>
      </w:pPr>
      <w:r w:rsidRPr="001976CD">
        <w:rPr>
          <w:rFonts w:eastAsia="Calibri" w:cs="Calibri"/>
          <w:szCs w:val="20"/>
          <w:lang w:val="en-US"/>
        </w:rPr>
        <w:t xml:space="preserve">Finally, we would like to stress that the implementation of the </w:t>
      </w:r>
      <w:r w:rsidRPr="001976CD">
        <w:rPr>
          <w:rFonts w:eastAsia="Calibri" w:cs="Calibri"/>
          <w:i/>
          <w:szCs w:val="20"/>
          <w:lang w:val="en-US"/>
        </w:rPr>
        <w:t>Guideline</w:t>
      </w:r>
      <w:r w:rsidRPr="001976CD">
        <w:rPr>
          <w:rFonts w:eastAsia="Calibri" w:cs="Calibri"/>
          <w:szCs w:val="20"/>
          <w:lang w:val="en-US"/>
        </w:rPr>
        <w:t xml:space="preserve"> will require a significant time to be carried out. Consequently, a sufficient period (at least 1 year) should be assigned before application. Ideally, the final application date of the </w:t>
      </w:r>
      <w:r w:rsidRPr="001976CD">
        <w:rPr>
          <w:rFonts w:eastAsia="Calibri" w:cs="Calibri"/>
          <w:i/>
          <w:szCs w:val="20"/>
          <w:lang w:val="en-US"/>
        </w:rPr>
        <w:t>Guideline</w:t>
      </w:r>
      <w:r w:rsidRPr="001976CD">
        <w:rPr>
          <w:rFonts w:eastAsia="Calibri" w:cs="Calibri"/>
          <w:szCs w:val="20"/>
          <w:lang w:val="en-US"/>
        </w:rPr>
        <w:t xml:space="preserve"> should be aligned with the application of the technical standards, as the </w:t>
      </w:r>
      <w:r w:rsidRPr="001976CD">
        <w:rPr>
          <w:rFonts w:eastAsia="Calibri" w:cs="Calibri"/>
          <w:i/>
          <w:szCs w:val="20"/>
          <w:lang w:val="en-US"/>
        </w:rPr>
        <w:t>EBA</w:t>
      </w:r>
      <w:r w:rsidRPr="001976CD">
        <w:rPr>
          <w:rFonts w:eastAsia="Calibri" w:cs="Calibri"/>
          <w:szCs w:val="20"/>
          <w:lang w:val="en-US"/>
        </w:rPr>
        <w:t xml:space="preserve"> suggested already in article 8. </w:t>
      </w:r>
    </w:p>
    <w:p w14:paraId="18D96141" w14:textId="2C1FF0A3" w:rsidR="001976CD" w:rsidRDefault="001976CD" w:rsidP="00AF7168">
      <w:pPr>
        <w:suppressAutoHyphens w:val="0"/>
        <w:spacing w:after="60"/>
        <w:rPr>
          <w:rFonts w:eastAsia="Calibri" w:cs="Calibri"/>
          <w:b/>
          <w:szCs w:val="20"/>
          <w:lang w:val="en-US"/>
        </w:rPr>
      </w:pPr>
      <w:r w:rsidRPr="001976CD">
        <w:rPr>
          <w:rFonts w:eastAsia="Calibri" w:cs="Calibri"/>
          <w:b/>
          <w:szCs w:val="20"/>
          <w:lang w:val="en-US"/>
        </w:rPr>
        <w:t xml:space="preserve">Please find in appendix the responses to </w:t>
      </w:r>
      <w:r w:rsidRPr="001976CD">
        <w:rPr>
          <w:rFonts w:eastAsia="Calibri" w:cs="Calibri"/>
          <w:b/>
          <w:i/>
          <w:szCs w:val="20"/>
          <w:lang w:val="en-US"/>
        </w:rPr>
        <w:t>CP</w:t>
      </w:r>
      <w:r w:rsidRPr="001976CD">
        <w:rPr>
          <w:rFonts w:eastAsia="Calibri" w:cs="Calibri"/>
          <w:b/>
          <w:szCs w:val="20"/>
          <w:lang w:val="en-US"/>
        </w:rPr>
        <w:t xml:space="preserve"> questions.</w:t>
      </w:r>
    </w:p>
    <w:p w14:paraId="605F5BDA" w14:textId="4553B4B4" w:rsidR="00105B73" w:rsidRDefault="00105B73" w:rsidP="00AF7168">
      <w:pPr>
        <w:suppressAutoHyphens w:val="0"/>
        <w:spacing w:after="60"/>
        <w:rPr>
          <w:rFonts w:eastAsia="Calibri" w:cs="Calibri"/>
          <w:b/>
          <w:szCs w:val="20"/>
          <w:lang w:val="en-US"/>
        </w:rPr>
      </w:pPr>
    </w:p>
    <w:p w14:paraId="3748368E" w14:textId="77777777" w:rsidR="00105B73" w:rsidRDefault="00105B73" w:rsidP="00AF7168">
      <w:pPr>
        <w:suppressAutoHyphens w:val="0"/>
        <w:spacing w:after="60"/>
        <w:rPr>
          <w:rFonts w:eastAsia="Calibri" w:cs="Calibri"/>
          <w:b/>
          <w:szCs w:val="20"/>
          <w:lang w:val="en-US"/>
        </w:rPr>
      </w:pPr>
    </w:p>
    <w:p w14:paraId="6674B222" w14:textId="77777777" w:rsidR="001976CD" w:rsidRPr="001976CD" w:rsidRDefault="001976CD" w:rsidP="00105B73">
      <w:pPr>
        <w:keepNext/>
        <w:numPr>
          <w:ilvl w:val="0"/>
          <w:numId w:val="17"/>
        </w:numPr>
        <w:suppressAutoHyphens w:val="0"/>
        <w:spacing w:before="100" w:beforeAutospacing="1" w:after="100" w:afterAutospacing="1" w:line="259" w:lineRule="auto"/>
        <w:ind w:left="425" w:hanging="425"/>
        <w:rPr>
          <w:rFonts w:eastAsia="Calibri" w:cs="Calibri"/>
          <w:b/>
          <w:iCs/>
          <w:sz w:val="24"/>
          <w:lang w:val="en-US"/>
        </w:rPr>
      </w:pPr>
      <w:r w:rsidRPr="001976CD">
        <w:rPr>
          <w:rFonts w:eastAsia="Calibri" w:cs="Calibri"/>
          <w:b/>
          <w:iCs/>
          <w:sz w:val="24"/>
          <w:lang w:val="en-US"/>
        </w:rPr>
        <w:t>Consultation Paper EBA/CP/2021/36 on Supervisory Outlier Tests</w:t>
      </w:r>
    </w:p>
    <w:p w14:paraId="25E2B30C" w14:textId="43DFAFFE" w:rsidR="001976CD" w:rsidRPr="001976CD" w:rsidRDefault="001976CD" w:rsidP="00AF7168">
      <w:pPr>
        <w:keepNext/>
        <w:suppressAutoHyphens w:val="0"/>
        <w:spacing w:after="60"/>
        <w:rPr>
          <w:rFonts w:eastAsia="Calibri" w:cs="Calibri"/>
          <w:szCs w:val="20"/>
          <w:lang w:val="en-US"/>
        </w:rPr>
      </w:pPr>
      <w:r w:rsidRPr="001976CD">
        <w:rPr>
          <w:rFonts w:eastAsia="Calibri" w:cs="Calibri"/>
          <w:szCs w:val="20"/>
          <w:lang w:val="en-US"/>
        </w:rPr>
        <w:t>Article 98(6) of Capital Requirement Directive (</w:t>
      </w:r>
      <w:r w:rsidRPr="001976CD">
        <w:rPr>
          <w:rFonts w:eastAsia="Calibri" w:cs="Calibri"/>
          <w:i/>
          <w:szCs w:val="20"/>
          <w:lang w:val="en-US"/>
        </w:rPr>
        <w:t>CRD</w:t>
      </w:r>
      <w:r w:rsidRPr="001976CD">
        <w:rPr>
          <w:rFonts w:eastAsia="Calibri" w:cs="Calibri"/>
          <w:szCs w:val="20"/>
          <w:lang w:val="en-US"/>
        </w:rPr>
        <w:t>) tasks the European Banking Authority (</w:t>
      </w:r>
      <w:r w:rsidRPr="001976CD">
        <w:rPr>
          <w:rFonts w:eastAsia="Calibri" w:cs="Calibri"/>
          <w:i/>
          <w:szCs w:val="20"/>
          <w:lang w:val="en-US"/>
        </w:rPr>
        <w:t>EBA)</w:t>
      </w:r>
      <w:r w:rsidRPr="001976CD">
        <w:rPr>
          <w:rFonts w:eastAsia="Calibri" w:cs="Calibri"/>
          <w:szCs w:val="20"/>
          <w:lang w:val="en-US"/>
        </w:rPr>
        <w:t xml:space="preserve"> with developing Regulatory Technical Standards (</w:t>
      </w:r>
      <w:r w:rsidRPr="001976CD">
        <w:rPr>
          <w:rFonts w:eastAsia="Calibri" w:cs="Calibri"/>
          <w:i/>
          <w:szCs w:val="20"/>
          <w:lang w:val="en-US"/>
        </w:rPr>
        <w:t>RTS</w:t>
      </w:r>
      <w:r w:rsidRPr="001976CD">
        <w:rPr>
          <w:rFonts w:eastAsia="Calibri" w:cs="Calibri"/>
          <w:szCs w:val="20"/>
          <w:lang w:val="en-US"/>
        </w:rPr>
        <w:t>) to define:</w:t>
      </w:r>
    </w:p>
    <w:p w14:paraId="04FB8E08" w14:textId="77777777" w:rsidR="001976CD" w:rsidRPr="001976CD" w:rsidRDefault="001976CD" w:rsidP="00AF7168">
      <w:pPr>
        <w:keepNext/>
        <w:numPr>
          <w:ilvl w:val="0"/>
          <w:numId w:val="13"/>
        </w:numPr>
        <w:suppressAutoHyphens w:val="0"/>
        <w:spacing w:after="60" w:line="259" w:lineRule="auto"/>
        <w:ind w:left="357" w:hanging="357"/>
        <w:rPr>
          <w:rFonts w:eastAsia="Calibri" w:cs="Calibri"/>
          <w:szCs w:val="20"/>
          <w:lang w:val="en-US"/>
        </w:rPr>
      </w:pPr>
      <w:r w:rsidRPr="001976CD">
        <w:rPr>
          <w:rFonts w:eastAsia="Calibri" w:cs="Calibri"/>
          <w:szCs w:val="20"/>
          <w:lang w:val="en-US"/>
        </w:rPr>
        <w:t>supervisory shock scenarios: six for Supervisory Outlier Test (</w:t>
      </w:r>
      <w:r w:rsidRPr="001976CD">
        <w:rPr>
          <w:rFonts w:eastAsia="Calibri" w:cs="Calibri"/>
          <w:i/>
          <w:szCs w:val="20"/>
          <w:lang w:val="en-US"/>
        </w:rPr>
        <w:t>SOT)</w:t>
      </w:r>
      <w:r w:rsidRPr="001976CD">
        <w:rPr>
          <w:rFonts w:eastAsia="Calibri" w:cs="Calibri"/>
          <w:szCs w:val="20"/>
          <w:lang w:val="en-US"/>
        </w:rPr>
        <w:t xml:space="preserve"> on E</w:t>
      </w:r>
      <w:r w:rsidRPr="001976CD">
        <w:rPr>
          <w:rFonts w:eastAsia="Calibri" w:cs="Calibri"/>
          <w:i/>
          <w:szCs w:val="20"/>
          <w:lang w:val="en-US"/>
        </w:rPr>
        <w:t>conomic</w:t>
      </w:r>
      <w:r w:rsidRPr="001976CD">
        <w:rPr>
          <w:rFonts w:eastAsia="Calibri" w:cs="Calibri"/>
          <w:szCs w:val="20"/>
          <w:lang w:val="en-US"/>
        </w:rPr>
        <w:t xml:space="preserve"> Value of Equity (</w:t>
      </w:r>
      <w:r w:rsidRPr="001976CD">
        <w:rPr>
          <w:rFonts w:eastAsia="Calibri" w:cs="Calibri"/>
          <w:i/>
          <w:szCs w:val="20"/>
          <w:lang w:val="en-US"/>
        </w:rPr>
        <w:t>EVE)</w:t>
      </w:r>
      <w:r w:rsidRPr="001976CD">
        <w:rPr>
          <w:rFonts w:eastAsia="Calibri" w:cs="Calibri"/>
          <w:szCs w:val="20"/>
          <w:lang w:val="en-US"/>
        </w:rPr>
        <w:t xml:space="preserve">, and two (i.e. that are not necessarily from the previous six) for </w:t>
      </w:r>
      <w:r w:rsidRPr="001976CD">
        <w:rPr>
          <w:rFonts w:eastAsia="Calibri" w:cs="Calibri"/>
          <w:i/>
          <w:szCs w:val="20"/>
          <w:lang w:val="en-US"/>
        </w:rPr>
        <w:t>SOT on Net Interest Income (NII</w:t>
      </w:r>
      <w:r w:rsidRPr="001976CD">
        <w:rPr>
          <w:rFonts w:eastAsia="Calibri" w:cs="Calibri"/>
          <w:szCs w:val="20"/>
          <w:lang w:val="en-US"/>
        </w:rPr>
        <w:t>);</w:t>
      </w:r>
    </w:p>
    <w:p w14:paraId="41848500" w14:textId="77777777" w:rsidR="001976CD" w:rsidRPr="001976CD" w:rsidRDefault="001976CD" w:rsidP="00AF7168">
      <w:pPr>
        <w:keepNext/>
        <w:numPr>
          <w:ilvl w:val="0"/>
          <w:numId w:val="13"/>
        </w:numPr>
        <w:suppressAutoHyphens w:val="0"/>
        <w:spacing w:after="60" w:line="259" w:lineRule="auto"/>
        <w:ind w:left="357" w:hanging="357"/>
        <w:rPr>
          <w:rFonts w:eastAsia="Calibri" w:cs="Calibri"/>
          <w:szCs w:val="20"/>
          <w:lang w:val="en-US"/>
        </w:rPr>
      </w:pPr>
      <w:r w:rsidRPr="001976CD">
        <w:rPr>
          <w:rFonts w:eastAsia="Calibri" w:cs="Calibri"/>
          <w:szCs w:val="20"/>
          <w:lang w:val="en-US"/>
        </w:rPr>
        <w:t xml:space="preserve">common modelling and parametric assumptions, excluding behavioural assumptions (e.g. NMD’s) for </w:t>
      </w:r>
      <w:r w:rsidRPr="001976CD">
        <w:rPr>
          <w:rFonts w:eastAsia="Calibri" w:cs="Calibri"/>
          <w:i/>
          <w:szCs w:val="20"/>
          <w:lang w:val="en-US"/>
        </w:rPr>
        <w:t>SOT EVE</w:t>
      </w:r>
      <w:r w:rsidRPr="001976CD">
        <w:rPr>
          <w:rFonts w:eastAsia="Calibri" w:cs="Calibri"/>
          <w:szCs w:val="20"/>
          <w:lang w:val="en-US"/>
        </w:rPr>
        <w:t xml:space="preserve"> and </w:t>
      </w:r>
      <w:r w:rsidRPr="001976CD">
        <w:rPr>
          <w:rFonts w:eastAsia="Calibri" w:cs="Calibri"/>
          <w:i/>
          <w:szCs w:val="20"/>
          <w:lang w:val="en-US"/>
        </w:rPr>
        <w:t>SOT NII</w:t>
      </w:r>
      <w:r w:rsidRPr="001976CD">
        <w:rPr>
          <w:rFonts w:eastAsia="Calibri" w:cs="Calibri"/>
          <w:szCs w:val="20"/>
          <w:lang w:val="en-US"/>
        </w:rPr>
        <w:t xml:space="preserve"> which shall be limited to own equity, inclusion, composition and discounting of cash flows […] including the treatment of commercial margins and other spread components;</w:t>
      </w:r>
    </w:p>
    <w:p w14:paraId="13EF1E67" w14:textId="77777777" w:rsidR="001976CD" w:rsidRPr="001976CD" w:rsidRDefault="001976CD" w:rsidP="00AF7168">
      <w:pPr>
        <w:numPr>
          <w:ilvl w:val="0"/>
          <w:numId w:val="13"/>
        </w:numPr>
        <w:suppressAutoHyphens w:val="0"/>
        <w:spacing w:after="60" w:line="259" w:lineRule="auto"/>
        <w:ind w:left="357" w:hanging="357"/>
        <w:rPr>
          <w:rFonts w:eastAsia="Calibri" w:cs="Calibri"/>
          <w:szCs w:val="20"/>
          <w:lang w:val="en-US"/>
        </w:rPr>
      </w:pPr>
      <w:r w:rsidRPr="001976CD">
        <w:rPr>
          <w:rFonts w:eastAsia="Calibri" w:cs="Calibri"/>
          <w:szCs w:val="20"/>
          <w:lang w:val="en-US"/>
        </w:rPr>
        <w:t xml:space="preserve">the large decline threshold for </w:t>
      </w:r>
      <w:r w:rsidRPr="001976CD">
        <w:rPr>
          <w:rFonts w:eastAsia="Calibri" w:cs="Calibri"/>
          <w:i/>
          <w:szCs w:val="20"/>
          <w:lang w:val="en-US"/>
        </w:rPr>
        <w:t>SOT NII.</w:t>
      </w:r>
    </w:p>
    <w:p w14:paraId="576E213F" w14:textId="77777777" w:rsidR="001976CD" w:rsidRPr="001976CD" w:rsidRDefault="001976CD" w:rsidP="00AF7168">
      <w:pPr>
        <w:suppressAutoHyphens w:val="0"/>
        <w:spacing w:after="60"/>
        <w:rPr>
          <w:rFonts w:eastAsia="Calibri" w:cs="Calibri"/>
          <w:szCs w:val="20"/>
          <w:lang w:val="en-US"/>
        </w:rPr>
      </w:pPr>
    </w:p>
    <w:p w14:paraId="36FE40D5" w14:textId="77777777" w:rsidR="001976CD" w:rsidRPr="001976CD" w:rsidRDefault="001976CD" w:rsidP="00AF7168">
      <w:pPr>
        <w:keepNext/>
        <w:suppressAutoHyphens w:val="0"/>
        <w:spacing w:after="60"/>
        <w:rPr>
          <w:rFonts w:eastAsia="Calibri" w:cs="Calibri"/>
          <w:szCs w:val="20"/>
          <w:lang w:val="en-US"/>
        </w:rPr>
      </w:pPr>
      <w:r w:rsidRPr="001976CD">
        <w:rPr>
          <w:rFonts w:eastAsia="Calibri" w:cs="Calibri"/>
          <w:szCs w:val="20"/>
          <w:lang w:val="en-US"/>
        </w:rPr>
        <w:t>Please find below our main comments on the Consultation Paper (</w:t>
      </w:r>
      <w:r w:rsidRPr="001976CD">
        <w:rPr>
          <w:rFonts w:eastAsia="Calibri" w:cs="Calibri"/>
          <w:i/>
          <w:szCs w:val="20"/>
          <w:lang w:val="en-US"/>
        </w:rPr>
        <w:t>CP</w:t>
      </w:r>
      <w:r w:rsidRPr="001976CD">
        <w:rPr>
          <w:rFonts w:eastAsia="Calibri" w:cs="Calibri"/>
          <w:szCs w:val="20"/>
          <w:lang w:val="en-US"/>
        </w:rPr>
        <w:t xml:space="preserve">) on draft </w:t>
      </w:r>
      <w:r w:rsidRPr="001976CD">
        <w:rPr>
          <w:rFonts w:eastAsia="Calibri" w:cs="Calibri"/>
          <w:i/>
          <w:szCs w:val="20"/>
          <w:lang w:val="en-US"/>
        </w:rPr>
        <w:t>RTS</w:t>
      </w:r>
      <w:r w:rsidRPr="001976CD">
        <w:rPr>
          <w:rFonts w:eastAsia="Calibri" w:cs="Calibri"/>
          <w:szCs w:val="20"/>
          <w:lang w:val="en-US"/>
        </w:rPr>
        <w:t> :</w:t>
      </w:r>
    </w:p>
    <w:p w14:paraId="530A0824" w14:textId="77777777" w:rsidR="001976CD" w:rsidRPr="001976CD" w:rsidRDefault="001976CD" w:rsidP="00AF7168">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to change the definition of commonly understood Net Interest Income (</w:t>
      </w:r>
      <w:r w:rsidRPr="001976CD">
        <w:rPr>
          <w:rFonts w:eastAsia="Calibri" w:cs="Calibri"/>
          <w:b/>
          <w:i/>
          <w:szCs w:val="20"/>
          <w:lang w:val="en-US"/>
        </w:rPr>
        <w:t>NII</w:t>
      </w:r>
      <w:r w:rsidRPr="001976CD">
        <w:rPr>
          <w:rFonts w:eastAsia="Calibri" w:cs="Calibri"/>
          <w:b/>
          <w:szCs w:val="20"/>
          <w:lang w:val="en-US"/>
        </w:rPr>
        <w:t>) to include changes in fair values of instruments</w:t>
      </w:r>
      <w:r w:rsidRPr="001976CD">
        <w:rPr>
          <w:rFonts w:eastAsia="Calibri" w:cs="Calibri"/>
          <w:szCs w:val="20"/>
          <w:lang w:val="en-US"/>
        </w:rPr>
        <w:t xml:space="preserve"> even though they are not part of </w:t>
      </w:r>
      <w:r w:rsidRPr="001976CD">
        <w:rPr>
          <w:rFonts w:eastAsia="Calibri" w:cs="Calibri"/>
          <w:i/>
          <w:szCs w:val="20"/>
          <w:lang w:val="en-US"/>
        </w:rPr>
        <w:t>NII</w:t>
      </w:r>
      <w:r w:rsidRPr="001976CD">
        <w:rPr>
          <w:rFonts w:eastAsia="Calibri" w:cs="Calibri"/>
          <w:szCs w:val="20"/>
          <w:lang w:val="en-US"/>
        </w:rPr>
        <w:t xml:space="preserve">. This appears as a deviation from the </w:t>
      </w:r>
      <w:r w:rsidRPr="001976CD">
        <w:rPr>
          <w:rFonts w:eastAsia="Calibri" w:cs="Calibri"/>
          <w:i/>
          <w:szCs w:val="20"/>
          <w:lang w:val="en-US"/>
        </w:rPr>
        <w:t>CRR</w:t>
      </w:r>
      <w:r w:rsidRPr="001976CD">
        <w:rPr>
          <w:rFonts w:eastAsia="Calibri" w:cs="Calibri"/>
          <w:szCs w:val="20"/>
          <w:lang w:val="en-US"/>
        </w:rPr>
        <w:t xml:space="preserve"> mandate that explicitly refers to </w:t>
      </w:r>
      <w:r w:rsidRPr="001976CD">
        <w:rPr>
          <w:rFonts w:eastAsia="Calibri" w:cs="Calibri"/>
          <w:i/>
          <w:szCs w:val="20"/>
          <w:lang w:val="en-US"/>
        </w:rPr>
        <w:t>NII</w:t>
      </w:r>
      <w:r w:rsidRPr="001976CD">
        <w:rPr>
          <w:rFonts w:eastAsia="Calibri" w:cs="Calibri"/>
          <w:szCs w:val="20"/>
          <w:lang w:val="en-US"/>
        </w:rPr>
        <w:t>. It also deviates from Basel Committee on Banking Supervision</w:t>
      </w:r>
      <w:r w:rsidRPr="001976CD">
        <w:rPr>
          <w:rFonts w:eastAsia="Calibri" w:cs="Calibri"/>
          <w:i/>
          <w:szCs w:val="20"/>
          <w:lang w:val="en-US"/>
        </w:rPr>
        <w:t> (BCBS) Standard</w:t>
      </w:r>
      <w:r w:rsidRPr="001976CD">
        <w:rPr>
          <w:rFonts w:eastAsia="Calibri" w:cs="Calibri"/>
          <w:szCs w:val="20"/>
          <w:lang w:val="en-US"/>
        </w:rPr>
        <w:t xml:space="preserve"> that is quite explicit that it refers to </w:t>
      </w:r>
      <w:r w:rsidRPr="001976CD">
        <w:rPr>
          <w:rFonts w:eastAsia="Calibri" w:cs="Calibri"/>
          <w:i/>
          <w:szCs w:val="20"/>
          <w:lang w:val="en-US"/>
        </w:rPr>
        <w:t>NII</w:t>
      </w:r>
      <w:r w:rsidRPr="001976CD">
        <w:rPr>
          <w:rFonts w:eastAsia="Calibri" w:cs="Calibri"/>
          <w:szCs w:val="20"/>
          <w:lang w:val="en-US"/>
        </w:rPr>
        <w:t xml:space="preserve"> excluding changes in fair values that do not affect </w:t>
      </w:r>
      <w:r w:rsidRPr="001976CD">
        <w:rPr>
          <w:rFonts w:eastAsia="Calibri" w:cs="Calibri"/>
          <w:i/>
          <w:szCs w:val="20"/>
          <w:lang w:val="en-US"/>
        </w:rPr>
        <w:t>NII</w:t>
      </w:r>
      <w:r w:rsidRPr="001976CD">
        <w:rPr>
          <w:rFonts w:eastAsia="Calibri" w:cs="Calibri"/>
          <w:szCs w:val="20"/>
          <w:lang w:val="en-US"/>
        </w:rPr>
        <w:t xml:space="preserve">. This would also be at odds with actual risk management and would introduce overlapping between </w:t>
      </w:r>
      <w:r w:rsidRPr="001976CD">
        <w:rPr>
          <w:rFonts w:eastAsia="Calibri" w:cs="Calibri"/>
          <w:i/>
          <w:szCs w:val="20"/>
          <w:lang w:val="en-US"/>
        </w:rPr>
        <w:t>NII</w:t>
      </w:r>
      <w:r w:rsidRPr="001976CD">
        <w:rPr>
          <w:rFonts w:eastAsia="Calibri" w:cs="Calibri"/>
          <w:szCs w:val="20"/>
          <w:lang w:val="en-US"/>
        </w:rPr>
        <w:t xml:space="preserve"> measures and Economic Value (</w:t>
      </w:r>
      <w:r w:rsidRPr="001976CD">
        <w:rPr>
          <w:rFonts w:eastAsia="Calibri" w:cs="Calibri"/>
          <w:i/>
          <w:szCs w:val="20"/>
          <w:lang w:val="en-US"/>
        </w:rPr>
        <w:t>EV</w:t>
      </w:r>
      <w:r w:rsidRPr="001976CD">
        <w:rPr>
          <w:rFonts w:eastAsia="Calibri" w:cs="Calibri"/>
          <w:szCs w:val="20"/>
          <w:lang w:val="en-US"/>
        </w:rPr>
        <w:t xml:space="preserve">) measures, such as </w:t>
      </w:r>
      <w:r w:rsidRPr="001976CD">
        <w:rPr>
          <w:rFonts w:eastAsia="Calibri" w:cs="Calibri"/>
          <w:i/>
          <w:szCs w:val="20"/>
          <w:lang w:val="en-US"/>
        </w:rPr>
        <w:t>SOT EVE</w:t>
      </w:r>
      <w:r w:rsidRPr="001976CD">
        <w:rPr>
          <w:rFonts w:eastAsia="Calibri" w:cs="Calibri"/>
          <w:szCs w:val="20"/>
          <w:lang w:val="en-US"/>
        </w:rPr>
        <w:t xml:space="preserve"> and </w:t>
      </w:r>
      <w:r w:rsidRPr="001976CD">
        <w:rPr>
          <w:rFonts w:eastAsia="Calibri" w:cs="Calibri"/>
          <w:i/>
          <w:szCs w:val="20"/>
          <w:lang w:val="en-US"/>
        </w:rPr>
        <w:t>SOT NII</w:t>
      </w:r>
      <w:r w:rsidRPr="001976CD">
        <w:rPr>
          <w:rFonts w:eastAsia="Calibri" w:cs="Calibri"/>
          <w:szCs w:val="20"/>
          <w:lang w:val="en-US"/>
        </w:rPr>
        <w:t>, while they should be complementary.</w:t>
      </w:r>
    </w:p>
    <w:p w14:paraId="42E721F9" w14:textId="77777777" w:rsidR="001976CD" w:rsidRPr="001976CD" w:rsidRDefault="001976CD" w:rsidP="00AF7168">
      <w:pPr>
        <w:suppressAutoHyphens w:val="0"/>
        <w:spacing w:after="60"/>
        <w:ind w:left="357"/>
        <w:rPr>
          <w:rFonts w:eastAsia="Calibri" w:cs="Calibri"/>
          <w:b/>
          <w:szCs w:val="20"/>
          <w:lang w:val="en-US"/>
        </w:rPr>
      </w:pPr>
      <w:r w:rsidRPr="001976CD">
        <w:rPr>
          <w:rFonts w:eastAsia="Calibri" w:cs="Calibri"/>
          <w:b/>
          <w:szCs w:val="20"/>
          <w:lang w:val="en-US"/>
        </w:rPr>
        <w:t>NII should be kept as defined by interest income and expenses.</w:t>
      </w:r>
    </w:p>
    <w:p w14:paraId="380F1F94" w14:textId="77777777" w:rsidR="001976CD" w:rsidRPr="001976CD" w:rsidRDefault="001976CD" w:rsidP="00AF7168">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szCs w:val="20"/>
          <w:lang w:val="en-US"/>
        </w:rPr>
        <w:t xml:space="preserve">to be aligned with the </w:t>
      </w:r>
      <w:r w:rsidRPr="001976CD">
        <w:rPr>
          <w:rFonts w:eastAsia="Calibri" w:cs="Calibri"/>
          <w:i/>
          <w:szCs w:val="20"/>
          <w:lang w:val="en-US"/>
        </w:rPr>
        <w:t>CRD</w:t>
      </w:r>
      <w:r w:rsidRPr="001976CD">
        <w:rPr>
          <w:rFonts w:eastAsia="Calibri" w:cs="Calibri"/>
          <w:szCs w:val="20"/>
          <w:lang w:val="en-US"/>
        </w:rPr>
        <w:t xml:space="preserve"> mandate, </w:t>
      </w:r>
      <w:r w:rsidRPr="001976CD">
        <w:rPr>
          <w:rFonts w:eastAsia="Calibri" w:cs="Calibri"/>
          <w:b/>
          <w:szCs w:val="20"/>
          <w:lang w:val="en-US"/>
        </w:rPr>
        <w:t xml:space="preserve">the draft </w:t>
      </w:r>
      <w:r w:rsidRPr="001976CD">
        <w:rPr>
          <w:rFonts w:eastAsia="Calibri" w:cs="Calibri"/>
          <w:b/>
          <w:i/>
          <w:szCs w:val="20"/>
          <w:lang w:val="en-US"/>
        </w:rPr>
        <w:t>RTS</w:t>
      </w:r>
      <w:r w:rsidRPr="001976CD">
        <w:rPr>
          <w:rFonts w:eastAsia="Calibri" w:cs="Calibri"/>
          <w:b/>
          <w:szCs w:val="20"/>
          <w:lang w:val="en-US"/>
        </w:rPr>
        <w:t xml:space="preserve"> should explicitly mention that the common modelling and parametric assumptions </w:t>
      </w:r>
      <w:r w:rsidRPr="001976CD">
        <w:rPr>
          <w:rFonts w:eastAsia="Calibri" w:cs="Calibri"/>
          <w:b/>
          <w:i/>
          <w:szCs w:val="20"/>
          <w:lang w:val="en-US"/>
        </w:rPr>
        <w:t>exclude</w:t>
      </w:r>
      <w:r w:rsidRPr="001976CD">
        <w:rPr>
          <w:rFonts w:eastAsia="Calibri" w:cs="Calibri"/>
          <w:b/>
          <w:szCs w:val="20"/>
          <w:lang w:val="en-US"/>
        </w:rPr>
        <w:t xml:space="preserve"> behavioural assumptions and should apply only to the calculation of </w:t>
      </w:r>
      <w:r w:rsidRPr="001976CD">
        <w:rPr>
          <w:rFonts w:eastAsia="Calibri" w:cs="Calibri"/>
          <w:b/>
          <w:i/>
          <w:szCs w:val="20"/>
          <w:lang w:val="en-US"/>
        </w:rPr>
        <w:t>SOT</w:t>
      </w:r>
      <w:r w:rsidRPr="001976CD">
        <w:rPr>
          <w:rFonts w:eastAsia="Calibri" w:cs="Calibri"/>
          <w:b/>
          <w:szCs w:val="20"/>
          <w:lang w:val="en-US"/>
        </w:rPr>
        <w:t>’s</w:t>
      </w:r>
      <w:r w:rsidRPr="001976CD">
        <w:rPr>
          <w:rFonts w:eastAsia="Calibri" w:cs="Calibri"/>
          <w:szCs w:val="20"/>
          <w:lang w:val="en-US"/>
        </w:rPr>
        <w:t xml:space="preserve">. </w:t>
      </w:r>
    </w:p>
    <w:p w14:paraId="373B4D9A" w14:textId="77777777" w:rsidR="001976CD" w:rsidRPr="001976CD" w:rsidRDefault="001976CD" w:rsidP="00AF7168">
      <w:pPr>
        <w:suppressAutoHyphens w:val="0"/>
        <w:spacing w:after="60"/>
        <w:ind w:left="357"/>
        <w:rPr>
          <w:rFonts w:eastAsia="Calibri" w:cs="Calibri"/>
          <w:szCs w:val="20"/>
          <w:lang w:val="en-US"/>
        </w:rPr>
      </w:pPr>
      <w:r w:rsidRPr="001976CD">
        <w:rPr>
          <w:rFonts w:eastAsia="Calibri" w:cs="Calibri"/>
          <w:szCs w:val="20"/>
          <w:lang w:val="en-US"/>
        </w:rPr>
        <w:t>The behavioral assumptions should align the with internal management system (</w:t>
      </w:r>
      <w:r w:rsidRPr="001976CD">
        <w:rPr>
          <w:rFonts w:eastAsia="Calibri" w:cs="Calibri"/>
          <w:i/>
          <w:szCs w:val="20"/>
          <w:lang w:val="en-US"/>
        </w:rPr>
        <w:t>IMS</w:t>
      </w:r>
      <w:r w:rsidRPr="001976CD">
        <w:rPr>
          <w:rFonts w:eastAsia="Calibri" w:cs="Calibri"/>
          <w:szCs w:val="20"/>
          <w:lang w:val="en-US"/>
        </w:rPr>
        <w:t xml:space="preserve">) behavioural assumptions without limitations (e.g. no caps on NMD’s) so that the interest rate risk is adequately measured. It is essential to avoid uneconomic interest </w:t>
      </w:r>
      <w:r w:rsidRPr="001976CD">
        <w:rPr>
          <w:rFonts w:eastAsia="Calibri" w:cs="Calibri"/>
          <w:szCs w:val="20"/>
          <w:lang w:val="en-US"/>
        </w:rPr>
        <w:lastRenderedPageBreak/>
        <w:t xml:space="preserve">rate risk measurement and management that would be driven to satisfy either one or the two </w:t>
      </w:r>
      <w:r w:rsidRPr="001976CD">
        <w:rPr>
          <w:rFonts w:eastAsia="Calibri" w:cs="Calibri"/>
          <w:i/>
          <w:szCs w:val="20"/>
          <w:lang w:val="en-US"/>
        </w:rPr>
        <w:t>SOT</w:t>
      </w:r>
      <w:r w:rsidRPr="001976CD">
        <w:rPr>
          <w:rFonts w:eastAsia="Calibri" w:cs="Calibri"/>
          <w:szCs w:val="20"/>
          <w:lang w:val="en-US"/>
        </w:rPr>
        <w:t>.</w:t>
      </w:r>
    </w:p>
    <w:p w14:paraId="791CE8CE" w14:textId="77777777" w:rsidR="001976CD" w:rsidRPr="001976CD" w:rsidRDefault="001976CD" w:rsidP="00AF7168">
      <w:pPr>
        <w:keepNext/>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szCs w:val="20"/>
          <w:lang w:val="en-US"/>
        </w:rPr>
        <w:t xml:space="preserve">the </w:t>
      </w:r>
      <w:r w:rsidRPr="001976CD">
        <w:rPr>
          <w:rFonts w:eastAsia="Calibri" w:cs="Calibri"/>
          <w:i/>
          <w:szCs w:val="20"/>
          <w:lang w:val="en-US"/>
        </w:rPr>
        <w:t>CP</w:t>
      </w:r>
      <w:r w:rsidRPr="001976CD">
        <w:rPr>
          <w:rFonts w:eastAsia="Calibri" w:cs="Calibri"/>
          <w:szCs w:val="20"/>
          <w:lang w:val="en-US"/>
        </w:rPr>
        <w:t xml:space="preserve"> envisages to apply two supervisory parallel shock scenarios for </w:t>
      </w:r>
      <w:r w:rsidRPr="001976CD">
        <w:rPr>
          <w:rFonts w:eastAsia="Calibri" w:cs="Calibri"/>
          <w:i/>
          <w:szCs w:val="20"/>
          <w:lang w:val="en-US"/>
        </w:rPr>
        <w:t>SOT NII</w:t>
      </w:r>
      <w:r w:rsidRPr="001976CD">
        <w:rPr>
          <w:rFonts w:eastAsia="Calibri" w:cs="Calibri"/>
          <w:szCs w:val="20"/>
          <w:lang w:val="en-US"/>
        </w:rPr>
        <w:t xml:space="preserve"> that apply instantaneously with magnitudes that are not consistent with facts. In developed countries, Central Banks carefully modify their interest rates over time with managing market expectations to avoid triggering market surprises. Hence, their expected changes are factored in the interest rate curve well </w:t>
      </w:r>
      <w:r w:rsidRPr="001976CD">
        <w:rPr>
          <w:rFonts w:eastAsia="Calibri" w:cs="Calibri"/>
          <w:i/>
          <w:szCs w:val="20"/>
          <w:lang w:val="en-US"/>
        </w:rPr>
        <w:t>before</w:t>
      </w:r>
      <w:r w:rsidRPr="001976CD">
        <w:rPr>
          <w:rFonts w:eastAsia="Calibri" w:cs="Calibri"/>
          <w:szCs w:val="20"/>
          <w:lang w:val="en-US"/>
        </w:rPr>
        <w:t xml:space="preserve"> the changes actually occur. As shocks apply </w:t>
      </w:r>
      <w:r w:rsidRPr="001976CD">
        <w:rPr>
          <w:rFonts w:eastAsia="Calibri" w:cs="Calibri"/>
          <w:i/>
          <w:szCs w:val="20"/>
          <w:lang w:val="en-US"/>
        </w:rPr>
        <w:t>on top of</w:t>
      </w:r>
      <w:r w:rsidRPr="001976CD">
        <w:rPr>
          <w:rFonts w:eastAsia="Calibri" w:cs="Calibri"/>
          <w:szCs w:val="20"/>
          <w:lang w:val="en-US"/>
        </w:rPr>
        <w:t xml:space="preserve"> those expected changes, the shocks should be adapted. </w:t>
      </w:r>
    </w:p>
    <w:p w14:paraId="651C1B33" w14:textId="77777777" w:rsidR="001976CD" w:rsidRPr="001976CD" w:rsidRDefault="001976CD" w:rsidP="00AF7168">
      <w:pPr>
        <w:suppressAutoHyphens w:val="0"/>
        <w:spacing w:after="60"/>
        <w:ind w:left="357"/>
        <w:rPr>
          <w:rFonts w:eastAsia="Calibri" w:cs="Calibri"/>
          <w:b/>
          <w:szCs w:val="20"/>
          <w:lang w:val="en-US"/>
        </w:rPr>
      </w:pPr>
      <w:r w:rsidRPr="001976CD">
        <w:rPr>
          <w:rFonts w:eastAsia="Calibri" w:cs="Calibri"/>
          <w:szCs w:val="20"/>
          <w:lang w:val="en-US"/>
        </w:rPr>
        <w:t xml:space="preserve">To better fit reality, it would make better sense to assume that the shocks are applied </w:t>
      </w:r>
      <w:r w:rsidRPr="001976CD">
        <w:rPr>
          <w:rFonts w:eastAsia="Calibri" w:cs="Calibri"/>
          <w:i/>
          <w:szCs w:val="20"/>
          <w:lang w:val="en-US"/>
        </w:rPr>
        <w:t>gradually</w:t>
      </w:r>
      <w:r w:rsidRPr="001976CD">
        <w:rPr>
          <w:rFonts w:eastAsia="Calibri" w:cs="Calibri"/>
          <w:szCs w:val="20"/>
          <w:lang w:val="en-US"/>
        </w:rPr>
        <w:t xml:space="preserve"> over the considered 12 months horizon. Conscious of the operational complexities that banks may be confronted with such a gradual scenario, </w:t>
      </w:r>
      <w:r w:rsidRPr="001976CD">
        <w:rPr>
          <w:rFonts w:eastAsia="Calibri" w:cs="Calibri"/>
          <w:b/>
          <w:szCs w:val="20"/>
          <w:lang w:val="en-US"/>
        </w:rPr>
        <w:t>we recommend a more pragmatic solution by adopting a lower magnitude for the elected instantaneous shock</w:t>
      </w:r>
      <w:r w:rsidRPr="001976CD">
        <w:rPr>
          <w:rFonts w:eastAsia="Calibri" w:cs="Calibri"/>
          <w:szCs w:val="20"/>
          <w:lang w:val="en-US"/>
        </w:rPr>
        <w:t>.</w:t>
      </w:r>
    </w:p>
    <w:p w14:paraId="024C50D1" w14:textId="77777777" w:rsidR="001976CD" w:rsidRPr="001976CD" w:rsidRDefault="001976CD" w:rsidP="00AF7168">
      <w:pPr>
        <w:suppressAutoHyphens w:val="0"/>
        <w:spacing w:after="60"/>
        <w:ind w:left="357"/>
        <w:rPr>
          <w:rFonts w:eastAsia="Calibri" w:cs="Calibri"/>
          <w:b/>
          <w:szCs w:val="20"/>
          <w:lang w:val="en-US"/>
        </w:rPr>
      </w:pPr>
      <w:r w:rsidRPr="001976CD">
        <w:rPr>
          <w:rFonts w:eastAsia="Calibri" w:cs="Calibri"/>
          <w:b/>
          <w:szCs w:val="20"/>
          <w:lang w:val="en-US"/>
        </w:rPr>
        <w:t xml:space="preserve">The magnitude of the two </w:t>
      </w:r>
      <w:r w:rsidRPr="001976CD">
        <w:rPr>
          <w:rFonts w:eastAsia="Calibri" w:cs="Calibri"/>
          <w:b/>
          <w:i/>
          <w:szCs w:val="20"/>
          <w:lang w:val="en-US"/>
        </w:rPr>
        <w:t>SOT NII</w:t>
      </w:r>
      <w:r w:rsidRPr="001976CD">
        <w:rPr>
          <w:rFonts w:eastAsia="Calibri" w:cs="Calibri"/>
          <w:b/>
          <w:szCs w:val="20"/>
          <w:lang w:val="en-US"/>
        </w:rPr>
        <w:t xml:space="preserve"> supervisory parallel shock scenarios should be made more consistent with facts and its immediate application: a ±100 basis points (</w:t>
      </w:r>
      <w:r w:rsidRPr="001976CD">
        <w:rPr>
          <w:rFonts w:eastAsia="Calibri" w:cs="Calibri"/>
          <w:b/>
          <w:i/>
          <w:szCs w:val="20"/>
          <w:lang w:val="en-US"/>
        </w:rPr>
        <w:t>bps</w:t>
      </w:r>
      <w:r w:rsidRPr="001976CD">
        <w:rPr>
          <w:rFonts w:eastAsia="Calibri" w:cs="Calibri"/>
          <w:b/>
          <w:szCs w:val="20"/>
          <w:lang w:val="en-US"/>
        </w:rPr>
        <w:t>) for most developed currencies (e.g. EUR, USD) would be more relevant</w:t>
      </w:r>
      <w:r w:rsidRPr="001976CD">
        <w:rPr>
          <w:rFonts w:eastAsia="Calibri" w:cs="Calibri"/>
          <w:szCs w:val="20"/>
          <w:lang w:val="en-US"/>
        </w:rPr>
        <w:t xml:space="preserve"> (vs. the envisaged ±200 </w:t>
      </w:r>
      <w:r w:rsidRPr="001976CD">
        <w:rPr>
          <w:rFonts w:eastAsia="Calibri" w:cs="Calibri"/>
          <w:i/>
          <w:szCs w:val="20"/>
          <w:lang w:val="en-US"/>
        </w:rPr>
        <w:t>bps</w:t>
      </w:r>
      <w:r w:rsidRPr="001976CD">
        <w:rPr>
          <w:rFonts w:eastAsia="Calibri" w:cs="Calibri"/>
          <w:szCs w:val="20"/>
          <w:lang w:val="en-US"/>
        </w:rPr>
        <w:t>).</w:t>
      </w:r>
    </w:p>
    <w:p w14:paraId="44C51ADF" w14:textId="77777777" w:rsidR="001976CD" w:rsidRPr="001976CD" w:rsidRDefault="001976CD" w:rsidP="00AF7168">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szCs w:val="20"/>
          <w:lang w:val="en-US"/>
        </w:rPr>
        <w:t xml:space="preserve">The </w:t>
      </w:r>
      <w:r w:rsidRPr="001976CD">
        <w:rPr>
          <w:rFonts w:eastAsia="Calibri" w:cs="Calibri"/>
          <w:i/>
          <w:szCs w:val="20"/>
          <w:lang w:val="en-US"/>
        </w:rPr>
        <w:t>CP</w:t>
      </w:r>
      <w:r w:rsidRPr="001976CD">
        <w:rPr>
          <w:rFonts w:eastAsia="Calibri" w:cs="Calibri"/>
          <w:szCs w:val="20"/>
          <w:lang w:val="en-US"/>
        </w:rPr>
        <w:t xml:space="preserve"> that </w:t>
      </w:r>
      <w:r w:rsidRPr="001976CD">
        <w:rPr>
          <w:rFonts w:eastAsia="Calibri" w:cs="Calibri"/>
          <w:i/>
          <w:szCs w:val="20"/>
          <w:lang w:val="en-US"/>
        </w:rPr>
        <w:t>SOT NII</w:t>
      </w:r>
      <w:r w:rsidRPr="001976CD">
        <w:rPr>
          <w:rFonts w:eastAsia="Calibri" w:cs="Calibri"/>
          <w:szCs w:val="20"/>
          <w:lang w:val="en-US"/>
        </w:rPr>
        <w:t xml:space="preserve"> is suggested to be calculated with a constant balance sheet. </w:t>
      </w:r>
    </w:p>
    <w:p w14:paraId="58A4B8A6" w14:textId="77777777" w:rsidR="001976CD" w:rsidRPr="001976CD" w:rsidRDefault="001976CD" w:rsidP="00AF7168">
      <w:pPr>
        <w:suppressAutoHyphens w:val="0"/>
        <w:spacing w:after="60"/>
        <w:ind w:left="357"/>
        <w:rPr>
          <w:rFonts w:eastAsia="Calibri" w:cs="Calibri"/>
          <w:szCs w:val="20"/>
          <w:lang w:val="en-US"/>
        </w:rPr>
      </w:pPr>
      <w:r w:rsidRPr="001976CD">
        <w:rPr>
          <w:rFonts w:eastAsia="Calibri" w:cs="Calibri"/>
          <w:b/>
          <w:szCs w:val="20"/>
          <w:lang w:val="en-US"/>
        </w:rPr>
        <w:t>It should be clarified that within this constant balance sheet requirement, Internal Management System (</w:t>
      </w:r>
      <w:r w:rsidRPr="001976CD">
        <w:rPr>
          <w:rFonts w:eastAsia="Calibri" w:cs="Calibri"/>
          <w:b/>
          <w:i/>
          <w:szCs w:val="20"/>
          <w:lang w:val="en-US"/>
        </w:rPr>
        <w:t>IMS</w:t>
      </w:r>
      <w:r w:rsidRPr="001976CD">
        <w:rPr>
          <w:rFonts w:eastAsia="Calibri" w:cs="Calibri"/>
          <w:b/>
          <w:szCs w:val="20"/>
          <w:lang w:val="en-US"/>
        </w:rPr>
        <w:t>) assumptions, such as behavioural assumptions, apply.</w:t>
      </w:r>
      <w:r w:rsidRPr="001976CD">
        <w:rPr>
          <w:rFonts w:eastAsia="Calibri" w:cs="Calibri"/>
          <w:szCs w:val="20"/>
          <w:lang w:val="en-US"/>
        </w:rPr>
        <w:t xml:space="preserve"> </w:t>
      </w:r>
    </w:p>
    <w:p w14:paraId="424CAEC4" w14:textId="77777777" w:rsidR="001976CD" w:rsidRPr="001976CD" w:rsidRDefault="001976CD" w:rsidP="00AF7168">
      <w:pPr>
        <w:suppressAutoHyphens w:val="0"/>
        <w:spacing w:after="60"/>
        <w:ind w:left="357"/>
        <w:rPr>
          <w:rFonts w:eastAsia="Calibri" w:cs="Calibri"/>
          <w:szCs w:val="20"/>
          <w:lang w:val="en-US"/>
        </w:rPr>
      </w:pPr>
      <w:r w:rsidRPr="001976CD">
        <w:rPr>
          <w:rFonts w:eastAsia="Calibri" w:cs="Calibri"/>
          <w:szCs w:val="20"/>
          <w:lang w:val="en-US"/>
        </w:rPr>
        <w:t xml:space="preserve">To the extent that a dynamic balance approach would be used in </w:t>
      </w:r>
      <w:r w:rsidRPr="001976CD">
        <w:rPr>
          <w:rFonts w:eastAsia="Calibri" w:cs="Calibri"/>
          <w:i/>
          <w:szCs w:val="20"/>
          <w:lang w:val="en-US"/>
        </w:rPr>
        <w:t>IMS</w:t>
      </w:r>
      <w:r w:rsidRPr="001976CD">
        <w:rPr>
          <w:rFonts w:eastAsia="Calibri" w:cs="Calibri"/>
          <w:szCs w:val="20"/>
          <w:lang w:val="en-US"/>
        </w:rPr>
        <w:t xml:space="preserve">, notably when the dynamic balance sheet enables to capture behavioural assumptions that excluded from the scope of common parametric assumptions, we believe that </w:t>
      </w:r>
      <w:r w:rsidRPr="001976CD">
        <w:rPr>
          <w:rFonts w:eastAsia="Calibri" w:cs="Calibri"/>
          <w:b/>
          <w:szCs w:val="20"/>
          <w:lang w:val="en-US"/>
        </w:rPr>
        <w:t xml:space="preserve">a discretion should be provided for the bank and the competent authority to use dynamic balance sheet for </w:t>
      </w:r>
      <w:r w:rsidRPr="001976CD">
        <w:rPr>
          <w:rFonts w:eastAsia="Calibri" w:cs="Calibri"/>
          <w:b/>
          <w:i/>
          <w:szCs w:val="20"/>
          <w:lang w:val="en-US"/>
        </w:rPr>
        <w:t>SOT NII</w:t>
      </w:r>
      <w:r w:rsidRPr="001976CD">
        <w:rPr>
          <w:rFonts w:eastAsia="Calibri" w:cs="Calibri"/>
          <w:szCs w:val="20"/>
          <w:lang w:val="en-US"/>
        </w:rPr>
        <w:t xml:space="preserve">. As public disclosures requirements are based on </w:t>
      </w:r>
      <w:r w:rsidRPr="001976CD">
        <w:rPr>
          <w:rFonts w:eastAsia="Calibri" w:cs="Calibri"/>
          <w:i/>
          <w:szCs w:val="20"/>
          <w:lang w:val="en-US"/>
        </w:rPr>
        <w:t>SOT NII</w:t>
      </w:r>
      <w:r w:rsidRPr="001976CD">
        <w:rPr>
          <w:rFonts w:eastAsia="Calibri" w:cs="Calibri"/>
          <w:szCs w:val="20"/>
          <w:lang w:val="en-US"/>
        </w:rPr>
        <w:t xml:space="preserve"> assumptions (which is a deviation from </w:t>
      </w:r>
      <w:r w:rsidRPr="001976CD">
        <w:rPr>
          <w:rFonts w:eastAsia="Calibri" w:cs="Calibri"/>
          <w:i/>
          <w:szCs w:val="20"/>
          <w:lang w:val="en-US"/>
        </w:rPr>
        <w:t>BCBS Standard</w:t>
      </w:r>
      <w:r w:rsidRPr="001976CD">
        <w:rPr>
          <w:rFonts w:eastAsia="Calibri" w:cs="Calibri"/>
          <w:szCs w:val="20"/>
          <w:lang w:val="en-US"/>
        </w:rPr>
        <w:t>), such a discretion would enable consistency with actual management.</w:t>
      </w:r>
    </w:p>
    <w:p w14:paraId="12D975B7" w14:textId="77777777" w:rsidR="001976CD" w:rsidRPr="001976CD" w:rsidRDefault="001976CD" w:rsidP="00AF7168">
      <w:pPr>
        <w:keepNext/>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szCs w:val="20"/>
          <w:lang w:val="en-US"/>
        </w:rPr>
        <w:t xml:space="preserve">For the definition of large decline threshold for </w:t>
      </w:r>
      <w:r w:rsidRPr="001976CD">
        <w:rPr>
          <w:rFonts w:eastAsia="Calibri" w:cs="Calibri"/>
          <w:i/>
          <w:szCs w:val="20"/>
          <w:lang w:val="en-US"/>
        </w:rPr>
        <w:t>SOT NII</w:t>
      </w:r>
      <w:r w:rsidRPr="001976CD">
        <w:rPr>
          <w:rFonts w:eastAsia="Calibri" w:cs="Calibri"/>
          <w:szCs w:val="20"/>
          <w:lang w:val="en-US"/>
        </w:rPr>
        <w:t>:</w:t>
      </w:r>
    </w:p>
    <w:p w14:paraId="3B859F29" w14:textId="77777777" w:rsidR="001976CD" w:rsidRPr="001976CD" w:rsidRDefault="001976CD" w:rsidP="00AF7168">
      <w:pPr>
        <w:keepNext/>
        <w:numPr>
          <w:ilvl w:val="1"/>
          <w:numId w:val="18"/>
        </w:numPr>
        <w:suppressAutoHyphens w:val="0"/>
        <w:spacing w:before="120" w:after="60" w:line="259" w:lineRule="auto"/>
        <w:ind w:left="1077" w:hanging="357"/>
        <w:rPr>
          <w:rFonts w:eastAsia="Calibri" w:cs="Calibri"/>
          <w:szCs w:val="20"/>
          <w:lang w:val="en-US"/>
        </w:rPr>
      </w:pPr>
      <w:r w:rsidRPr="001976CD">
        <w:rPr>
          <w:rFonts w:eastAsia="Calibri" w:cs="Calibri"/>
          <w:szCs w:val="20"/>
          <w:lang w:val="en-US"/>
        </w:rPr>
        <w:t>Option B appears to benefit from a denominator that is in direct relation with the numerator. However, the introduction of non-</w:t>
      </w:r>
      <w:r w:rsidRPr="001976CD">
        <w:rPr>
          <w:rFonts w:eastAsia="Calibri" w:cs="Calibri"/>
          <w:i/>
          <w:szCs w:val="20"/>
          <w:lang w:val="en-US"/>
        </w:rPr>
        <w:t>NII</w:t>
      </w:r>
      <w:r w:rsidRPr="001976CD">
        <w:rPr>
          <w:rFonts w:eastAsia="Calibri" w:cs="Calibri"/>
          <w:szCs w:val="20"/>
          <w:lang w:val="en-US"/>
        </w:rPr>
        <w:t xml:space="preserve"> related components make it complex and variable for no </w:t>
      </w:r>
      <w:r w:rsidRPr="001976CD">
        <w:rPr>
          <w:rFonts w:eastAsia="Calibri" w:cs="Calibri"/>
          <w:i/>
          <w:szCs w:val="20"/>
          <w:lang w:val="en-US"/>
        </w:rPr>
        <w:t>NII</w:t>
      </w:r>
      <w:r w:rsidRPr="001976CD">
        <w:rPr>
          <w:rFonts w:eastAsia="Calibri" w:cs="Calibri"/>
          <w:szCs w:val="20"/>
          <w:lang w:val="en-US"/>
        </w:rPr>
        <w:t xml:space="preserve">-reasons. </w:t>
      </w:r>
    </w:p>
    <w:p w14:paraId="1037ABC8" w14:textId="77777777" w:rsidR="001976CD" w:rsidRPr="001976CD" w:rsidRDefault="001976CD" w:rsidP="00AF7168">
      <w:pPr>
        <w:keepNext/>
        <w:numPr>
          <w:ilvl w:val="1"/>
          <w:numId w:val="18"/>
        </w:numPr>
        <w:suppressAutoHyphens w:val="0"/>
        <w:spacing w:before="120" w:after="60" w:line="259" w:lineRule="auto"/>
        <w:ind w:left="1077" w:hanging="357"/>
        <w:rPr>
          <w:rFonts w:eastAsia="Calibri" w:cs="Calibri"/>
          <w:szCs w:val="20"/>
          <w:lang w:val="en-US"/>
        </w:rPr>
      </w:pPr>
      <w:r w:rsidRPr="001976CD">
        <w:rPr>
          <w:rFonts w:eastAsia="Calibri" w:cs="Calibri"/>
          <w:szCs w:val="20"/>
          <w:lang w:val="en-US"/>
        </w:rPr>
        <w:t xml:space="preserve">Option A appears as simpler and less prone to variability and pro-cyclicality, though Tier One does not directly relate to </w:t>
      </w:r>
      <w:r w:rsidRPr="001976CD">
        <w:rPr>
          <w:rFonts w:eastAsia="Calibri" w:cs="Calibri"/>
          <w:i/>
          <w:szCs w:val="20"/>
          <w:lang w:val="en-US"/>
        </w:rPr>
        <w:t>NII</w:t>
      </w:r>
      <w:r w:rsidRPr="001976CD">
        <w:rPr>
          <w:rFonts w:eastAsia="Calibri" w:cs="Calibri"/>
          <w:szCs w:val="20"/>
          <w:lang w:val="en-US"/>
        </w:rPr>
        <w:t xml:space="preserve"> generation. </w:t>
      </w:r>
    </w:p>
    <w:p w14:paraId="42C5E0DD" w14:textId="26CE910E" w:rsidR="001976CD" w:rsidRPr="001976CD" w:rsidRDefault="001976CD" w:rsidP="00AF7168">
      <w:pPr>
        <w:keepNext/>
        <w:numPr>
          <w:ilvl w:val="1"/>
          <w:numId w:val="18"/>
        </w:numPr>
        <w:suppressAutoHyphens w:val="0"/>
        <w:spacing w:before="120" w:after="60" w:line="259" w:lineRule="auto"/>
        <w:ind w:left="1077" w:hanging="357"/>
        <w:rPr>
          <w:rFonts w:eastAsia="Calibri" w:cs="Calibri"/>
          <w:szCs w:val="20"/>
          <w:lang w:val="en-US"/>
        </w:rPr>
      </w:pPr>
      <w:r w:rsidRPr="001976CD">
        <w:rPr>
          <w:rFonts w:eastAsia="Calibri" w:cs="Calibri"/>
          <w:szCs w:val="20"/>
          <w:lang w:val="en-US"/>
        </w:rPr>
        <w:t xml:space="preserve">Whichever option is finally determined, we notice that a large decline in itself is no reason to impose supervisory measures. It is very well possible that even if a bank encounters a large decline the resulting </w:t>
      </w:r>
      <w:r w:rsidRPr="001976CD">
        <w:rPr>
          <w:rFonts w:eastAsia="Calibri" w:cs="Calibri"/>
          <w:i/>
          <w:szCs w:val="20"/>
          <w:lang w:val="en-US"/>
        </w:rPr>
        <w:t>NII</w:t>
      </w:r>
      <w:r w:rsidRPr="001976CD">
        <w:rPr>
          <w:rFonts w:eastAsia="Calibri" w:cs="Calibri"/>
          <w:szCs w:val="20"/>
          <w:lang w:val="en-US"/>
        </w:rPr>
        <w:t xml:space="preserve"> is still largely positive (in particular if interest rate levels return to normalized levels). </w:t>
      </w:r>
      <w:r w:rsidR="009B655A" w:rsidRPr="001976CD">
        <w:rPr>
          <w:rFonts w:eastAsia="Calibri" w:cs="Calibri"/>
          <w:szCs w:val="20"/>
          <w:lang w:val="en-US"/>
        </w:rPr>
        <w:t>Furthermore,</w:t>
      </w:r>
      <w:r w:rsidRPr="001976CD">
        <w:rPr>
          <w:rFonts w:eastAsia="Calibri" w:cs="Calibri"/>
          <w:szCs w:val="20"/>
          <w:lang w:val="en-US"/>
        </w:rPr>
        <w:t xml:space="preserve"> banks factor in this risk as part of business risk under Pillar 2. Imposing supervisory measures thus may lead to double counting. </w:t>
      </w:r>
    </w:p>
    <w:p w14:paraId="3C504385" w14:textId="77777777" w:rsidR="001976CD" w:rsidRPr="001976CD" w:rsidRDefault="001976CD" w:rsidP="00AF7168">
      <w:pPr>
        <w:keepNext/>
        <w:numPr>
          <w:ilvl w:val="1"/>
          <w:numId w:val="18"/>
        </w:numPr>
        <w:suppressAutoHyphens w:val="0"/>
        <w:spacing w:before="120" w:after="60" w:line="259" w:lineRule="auto"/>
        <w:ind w:left="1077" w:hanging="357"/>
        <w:rPr>
          <w:rFonts w:eastAsia="Calibri" w:cs="Calibri"/>
          <w:szCs w:val="20"/>
          <w:lang w:val="en-US"/>
        </w:rPr>
      </w:pPr>
      <w:r w:rsidRPr="001976CD">
        <w:rPr>
          <w:rFonts w:eastAsia="Calibri" w:cs="Calibri"/>
          <w:szCs w:val="20"/>
          <w:lang w:val="en-US"/>
        </w:rPr>
        <w:t xml:space="preserve">The value of large decline should not be defined yet as it requires further analyses to make sure it is relevant and consistent through time (i.e. not point in time), across scope of application (i.e. individual and consolidated level). We </w:t>
      </w:r>
      <w:r w:rsidRPr="001976CD">
        <w:rPr>
          <w:rFonts w:eastAsia="Calibri" w:cs="Calibri"/>
          <w:szCs w:val="20"/>
          <w:lang w:val="en-US"/>
        </w:rPr>
        <w:lastRenderedPageBreak/>
        <w:t xml:space="preserve">have strong concerns on the methodology that is envisaged by </w:t>
      </w:r>
      <w:r w:rsidRPr="001976CD">
        <w:rPr>
          <w:rFonts w:eastAsia="Calibri" w:cs="Calibri"/>
          <w:i/>
          <w:szCs w:val="20"/>
          <w:lang w:val="en-US"/>
        </w:rPr>
        <w:t>EBA</w:t>
      </w:r>
      <w:r w:rsidRPr="001976CD">
        <w:rPr>
          <w:rFonts w:eastAsia="Calibri" w:cs="Calibri"/>
          <w:szCs w:val="20"/>
          <w:lang w:val="en-US"/>
        </w:rPr>
        <w:t xml:space="preserve"> to set this large decline threshold as it is not risk based.</w:t>
      </w:r>
    </w:p>
    <w:p w14:paraId="6E3B18DC" w14:textId="77777777" w:rsidR="001976CD" w:rsidRPr="001976CD" w:rsidRDefault="001976CD" w:rsidP="00AF7168">
      <w:pPr>
        <w:suppressAutoHyphens w:val="0"/>
        <w:spacing w:after="60"/>
        <w:ind w:left="1077"/>
        <w:rPr>
          <w:rFonts w:eastAsia="Calibri" w:cs="Calibri"/>
          <w:b/>
          <w:szCs w:val="20"/>
          <w:lang w:val="en-US"/>
        </w:rPr>
      </w:pPr>
      <w:r w:rsidRPr="001976CD">
        <w:rPr>
          <w:rFonts w:eastAsia="Calibri" w:cs="Calibri"/>
          <w:b/>
          <w:szCs w:val="20"/>
          <w:lang w:val="en-US"/>
        </w:rPr>
        <w:t xml:space="preserve">Further analyses should be developed over time </w:t>
      </w:r>
      <w:r w:rsidRPr="001976CD">
        <w:rPr>
          <w:rFonts w:eastAsia="Calibri" w:cs="Calibri"/>
          <w:b/>
          <w:szCs w:val="20"/>
          <w:u w:val="single"/>
          <w:lang w:val="en-US"/>
        </w:rPr>
        <w:t>before</w:t>
      </w:r>
      <w:r w:rsidRPr="001976CD">
        <w:rPr>
          <w:rFonts w:eastAsia="Calibri" w:cs="Calibri"/>
          <w:b/>
          <w:szCs w:val="20"/>
          <w:lang w:val="en-US"/>
        </w:rPr>
        <w:t xml:space="preserve"> electing a specific ratio and its accompanying large decline thresholds.</w:t>
      </w:r>
    </w:p>
    <w:p w14:paraId="6C359E10" w14:textId="7CE06971" w:rsidR="001976CD" w:rsidRPr="001976CD" w:rsidRDefault="001976CD" w:rsidP="00AF7168">
      <w:pPr>
        <w:keepNext/>
        <w:numPr>
          <w:ilvl w:val="1"/>
          <w:numId w:val="18"/>
        </w:numPr>
        <w:suppressAutoHyphens w:val="0"/>
        <w:spacing w:before="120" w:after="60" w:line="259" w:lineRule="auto"/>
        <w:ind w:left="1077" w:hanging="357"/>
        <w:rPr>
          <w:rFonts w:eastAsia="Calibri" w:cs="Calibri"/>
          <w:b/>
          <w:szCs w:val="20"/>
          <w:lang w:val="en-US"/>
        </w:rPr>
      </w:pPr>
      <w:r w:rsidRPr="001976CD">
        <w:rPr>
          <w:rFonts w:eastAsia="Calibri" w:cs="Calibri"/>
          <w:szCs w:val="20"/>
          <w:lang w:val="en-US"/>
        </w:rPr>
        <w:t xml:space="preserve">As regards the proposed recalibration of the lower bound, to be applied to post-shock interest rate levels, we do not see the need for such change. For the SOT on NII this lower bound is mainly determined by policies of the central banks. Nowadays this is large consensus that setting a policy rate below -/- 100 bps is ineffective. </w:t>
      </w:r>
      <w:r w:rsidR="00450602" w:rsidRPr="001976CD">
        <w:rPr>
          <w:rFonts w:eastAsia="Calibri" w:cs="Calibri"/>
          <w:szCs w:val="20"/>
          <w:lang w:val="en-US"/>
        </w:rPr>
        <w:t>Therefore,</w:t>
      </w:r>
      <w:r w:rsidRPr="001976CD">
        <w:rPr>
          <w:rFonts w:eastAsia="Calibri" w:cs="Calibri"/>
          <w:szCs w:val="20"/>
          <w:lang w:val="en-US"/>
        </w:rPr>
        <w:t xml:space="preserve"> </w:t>
      </w:r>
      <w:r w:rsidRPr="001976CD">
        <w:rPr>
          <w:rFonts w:eastAsia="Calibri" w:cs="Calibri"/>
          <w:bCs/>
          <w:szCs w:val="20"/>
          <w:lang w:val="en-US"/>
        </w:rPr>
        <w:t>the recalibrated lower bound seems rather unrealistic</w:t>
      </w:r>
      <w:r w:rsidRPr="001976CD">
        <w:rPr>
          <w:rFonts w:eastAsia="Calibri" w:cs="Calibri"/>
          <w:szCs w:val="20"/>
          <w:lang w:val="en-US"/>
        </w:rPr>
        <w:t xml:space="preserve">. </w:t>
      </w:r>
      <w:r w:rsidR="00450602" w:rsidRPr="001976CD">
        <w:rPr>
          <w:rFonts w:eastAsia="Calibri" w:cs="Calibri"/>
          <w:szCs w:val="20"/>
          <w:lang w:val="en-US"/>
        </w:rPr>
        <w:t>Thus,</w:t>
      </w:r>
      <w:r w:rsidRPr="001976CD">
        <w:rPr>
          <w:rFonts w:eastAsia="Calibri" w:cs="Calibri"/>
          <w:szCs w:val="20"/>
          <w:lang w:val="en-US"/>
        </w:rPr>
        <w:t xml:space="preserve"> </w:t>
      </w:r>
      <w:r w:rsidRPr="001976CD">
        <w:rPr>
          <w:rFonts w:eastAsia="Calibri" w:cs="Calibri"/>
          <w:b/>
          <w:szCs w:val="20"/>
          <w:lang w:val="en-US"/>
        </w:rPr>
        <w:t>we do not support the proposed change in the lower bound. Should nonetheless the lower bound be changed, this should be factored in the calibration of the threshold.</w:t>
      </w:r>
    </w:p>
    <w:p w14:paraId="5FFDCC9D" w14:textId="77777777" w:rsidR="001976CD" w:rsidRPr="001976CD" w:rsidRDefault="001976CD" w:rsidP="00AF7168">
      <w:pPr>
        <w:numPr>
          <w:ilvl w:val="1"/>
          <w:numId w:val="18"/>
        </w:numPr>
        <w:suppressAutoHyphens w:val="0"/>
        <w:spacing w:before="120" w:after="60" w:line="259" w:lineRule="auto"/>
        <w:ind w:left="1077" w:hanging="357"/>
        <w:rPr>
          <w:rFonts w:eastAsia="Calibri" w:cs="Calibri"/>
          <w:szCs w:val="20"/>
          <w:lang w:val="en-US"/>
        </w:rPr>
      </w:pPr>
      <w:r w:rsidRPr="001976CD">
        <w:rPr>
          <w:rFonts w:eastAsia="Calibri" w:cs="Calibri"/>
          <w:szCs w:val="20"/>
          <w:lang w:val="en-US"/>
        </w:rPr>
        <w:t xml:space="preserve">The CP should clarify that as </w:t>
      </w:r>
      <w:r w:rsidRPr="001976CD">
        <w:rPr>
          <w:rFonts w:eastAsia="Calibri" w:cs="Calibri"/>
          <w:i/>
          <w:szCs w:val="20"/>
          <w:lang w:val="en-US"/>
        </w:rPr>
        <w:t>EVE</w:t>
      </w:r>
      <w:r w:rsidRPr="001976CD">
        <w:rPr>
          <w:rFonts w:eastAsia="Calibri" w:cs="Calibri"/>
          <w:szCs w:val="20"/>
          <w:lang w:val="en-US"/>
        </w:rPr>
        <w:t xml:space="preserve"> and </w:t>
      </w:r>
      <w:r w:rsidRPr="001976CD">
        <w:rPr>
          <w:rFonts w:eastAsia="Calibri" w:cs="Calibri"/>
          <w:i/>
          <w:szCs w:val="20"/>
          <w:lang w:val="en-US"/>
        </w:rPr>
        <w:t>NII</w:t>
      </w:r>
      <w:r w:rsidRPr="001976CD">
        <w:rPr>
          <w:rFonts w:eastAsia="Calibri" w:cs="Calibri"/>
          <w:szCs w:val="20"/>
          <w:lang w:val="en-US"/>
        </w:rPr>
        <w:t xml:space="preserve"> sensitivities cannot be simultaneously reduced, the analysis of </w:t>
      </w:r>
      <w:r w:rsidRPr="001976CD">
        <w:rPr>
          <w:rFonts w:eastAsia="Calibri" w:cs="Calibri"/>
          <w:i/>
          <w:szCs w:val="20"/>
          <w:lang w:val="en-US"/>
        </w:rPr>
        <w:t>SOT EVE</w:t>
      </w:r>
      <w:r w:rsidRPr="001976CD">
        <w:rPr>
          <w:rFonts w:eastAsia="Calibri" w:cs="Calibri"/>
          <w:szCs w:val="20"/>
          <w:lang w:val="en-US"/>
        </w:rPr>
        <w:t xml:space="preserve"> and </w:t>
      </w:r>
      <w:r w:rsidRPr="001976CD">
        <w:rPr>
          <w:rFonts w:eastAsia="Calibri" w:cs="Calibri"/>
          <w:i/>
          <w:szCs w:val="20"/>
          <w:lang w:val="en-US"/>
        </w:rPr>
        <w:t>SOT NII</w:t>
      </w:r>
      <w:r w:rsidRPr="001976CD">
        <w:rPr>
          <w:rFonts w:eastAsia="Calibri" w:cs="Calibri"/>
          <w:szCs w:val="20"/>
          <w:lang w:val="en-US"/>
        </w:rPr>
        <w:t xml:space="preserve"> needs to be done in combination by competent authority. </w:t>
      </w:r>
    </w:p>
    <w:p w14:paraId="269F862B" w14:textId="77777777" w:rsidR="001976CD" w:rsidRPr="001976CD" w:rsidRDefault="001976CD" w:rsidP="00AF7168">
      <w:pPr>
        <w:suppressAutoHyphens w:val="0"/>
        <w:spacing w:after="60"/>
        <w:ind w:left="1077"/>
        <w:rPr>
          <w:rFonts w:eastAsia="Calibri" w:cs="Calibri"/>
          <w:b/>
          <w:szCs w:val="20"/>
          <w:lang w:val="en-US"/>
        </w:rPr>
      </w:pPr>
    </w:p>
    <w:p w14:paraId="50EADF02" w14:textId="77777777" w:rsidR="001976CD" w:rsidRPr="001976CD" w:rsidRDefault="001976CD" w:rsidP="00AF7168">
      <w:pPr>
        <w:suppressAutoHyphens w:val="0"/>
        <w:spacing w:after="60"/>
        <w:ind w:left="1080"/>
        <w:rPr>
          <w:rFonts w:eastAsia="Calibri" w:cs="Calibri"/>
          <w:b/>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should clarify that the SOTs serve as an indication for competent authorities only, as explicitly stated in article 98.5 of the CRD5. In that sense</w:t>
      </w:r>
    </w:p>
    <w:p w14:paraId="5D7A4331" w14:textId="19A8DFD0" w:rsidR="001976CD" w:rsidRPr="001976CD" w:rsidRDefault="001976CD" w:rsidP="00AF7168">
      <w:pPr>
        <w:numPr>
          <w:ilvl w:val="0"/>
          <w:numId w:val="27"/>
        </w:numPr>
        <w:suppressAutoHyphens w:val="0"/>
        <w:spacing w:after="60" w:line="259" w:lineRule="auto"/>
        <w:rPr>
          <w:rFonts w:eastAsia="Calibri" w:cs="Calibri"/>
          <w:szCs w:val="20"/>
          <w:lang w:val="en-US"/>
        </w:rPr>
      </w:pPr>
      <w:r w:rsidRPr="001976CD">
        <w:rPr>
          <w:rFonts w:eastAsia="Calibri" w:cs="Calibri"/>
          <w:b/>
          <w:szCs w:val="20"/>
          <w:lang w:val="en-US"/>
        </w:rPr>
        <w:t xml:space="preserve">no automatic supervisory measures should apply in case of crossing </w:t>
      </w:r>
      <w:r w:rsidRPr="001976CD">
        <w:rPr>
          <w:rFonts w:eastAsia="Calibri" w:cs="Calibri"/>
          <w:b/>
          <w:i/>
          <w:szCs w:val="20"/>
          <w:lang w:val="en-US"/>
        </w:rPr>
        <w:t>SOT</w:t>
      </w:r>
      <w:r w:rsidRPr="001976CD">
        <w:rPr>
          <w:rFonts w:eastAsia="Calibri" w:cs="Calibri"/>
          <w:b/>
          <w:szCs w:val="20"/>
          <w:lang w:val="en-US"/>
        </w:rPr>
        <w:t>’s thresholds.</w:t>
      </w:r>
      <w:r w:rsidR="00963597">
        <w:rPr>
          <w:rFonts w:eastAsia="Calibri" w:cs="Calibri"/>
          <w:b/>
          <w:szCs w:val="20"/>
          <w:lang w:val="en-US"/>
        </w:rPr>
        <w:t xml:space="preserve"> T</w:t>
      </w:r>
      <w:r w:rsidRPr="001976CD">
        <w:rPr>
          <w:rFonts w:eastAsia="Calibri" w:cs="Calibri"/>
          <w:b/>
          <w:szCs w:val="20"/>
          <w:lang w:val="en-US"/>
        </w:rPr>
        <w:t xml:space="preserve">here should be no direct link between the </w:t>
      </w:r>
      <w:r w:rsidRPr="001976CD">
        <w:rPr>
          <w:rFonts w:eastAsia="Calibri" w:cs="Calibri"/>
          <w:b/>
          <w:i/>
          <w:szCs w:val="20"/>
          <w:lang w:val="en-US"/>
        </w:rPr>
        <w:t>SOT</w:t>
      </w:r>
      <w:r w:rsidRPr="001976CD">
        <w:rPr>
          <w:rFonts w:eastAsia="Calibri" w:cs="Calibri"/>
          <w:b/>
          <w:szCs w:val="20"/>
          <w:lang w:val="en-US"/>
        </w:rPr>
        <w:t xml:space="preserve">’s and the identification of internal capital that may be identified for </w:t>
      </w:r>
      <w:r w:rsidRPr="001976CD">
        <w:rPr>
          <w:rFonts w:eastAsia="Calibri" w:cs="Calibri"/>
          <w:b/>
          <w:i/>
          <w:szCs w:val="20"/>
          <w:lang w:val="en-US"/>
        </w:rPr>
        <w:t>IRRBB</w:t>
      </w:r>
      <w:r w:rsidRPr="001976CD">
        <w:rPr>
          <w:rFonts w:eastAsia="Calibri" w:cs="Calibri"/>
          <w:b/>
          <w:szCs w:val="20"/>
          <w:lang w:val="en-US"/>
        </w:rPr>
        <w:t>.</w:t>
      </w:r>
    </w:p>
    <w:p w14:paraId="3670851E" w14:textId="77777777" w:rsidR="001976CD" w:rsidRPr="001976CD" w:rsidRDefault="001976CD" w:rsidP="00AF7168">
      <w:pPr>
        <w:numPr>
          <w:ilvl w:val="0"/>
          <w:numId w:val="27"/>
        </w:numPr>
        <w:suppressAutoHyphens w:val="0"/>
        <w:spacing w:after="60" w:line="259" w:lineRule="auto"/>
        <w:rPr>
          <w:rFonts w:eastAsia="Calibri" w:cs="Calibri"/>
          <w:szCs w:val="20"/>
          <w:lang w:val="en-US"/>
        </w:rPr>
      </w:pPr>
      <w:r w:rsidRPr="001976CD">
        <w:rPr>
          <w:rFonts w:eastAsia="Calibri" w:cs="Calibri"/>
          <w:b/>
          <w:szCs w:val="20"/>
          <w:lang w:val="en-US"/>
        </w:rPr>
        <w:t xml:space="preserve">no full integration of </w:t>
      </w:r>
      <w:r w:rsidRPr="001976CD">
        <w:rPr>
          <w:rFonts w:eastAsia="Calibri" w:cs="Calibri"/>
          <w:b/>
          <w:i/>
          <w:szCs w:val="20"/>
          <w:lang w:val="en-US"/>
        </w:rPr>
        <w:t>SOT</w:t>
      </w:r>
      <w:r w:rsidRPr="001976CD">
        <w:rPr>
          <w:rFonts w:eastAsia="Calibri" w:cs="Calibri"/>
          <w:b/>
          <w:szCs w:val="20"/>
          <w:lang w:val="en-US"/>
        </w:rPr>
        <w:t>s into the internal measurement and/ or management should be required.</w:t>
      </w:r>
    </w:p>
    <w:p w14:paraId="15AFB355" w14:textId="77777777" w:rsidR="001976CD" w:rsidRPr="001976CD" w:rsidRDefault="001976CD" w:rsidP="00AF7168">
      <w:pPr>
        <w:numPr>
          <w:ilvl w:val="0"/>
          <w:numId w:val="27"/>
        </w:numPr>
        <w:suppressAutoHyphens w:val="0"/>
        <w:spacing w:after="60" w:line="259" w:lineRule="auto"/>
        <w:rPr>
          <w:rFonts w:eastAsia="Calibri" w:cs="Calibri"/>
          <w:szCs w:val="20"/>
          <w:lang w:val="en-US"/>
        </w:rPr>
      </w:pPr>
      <w:r w:rsidRPr="001976CD">
        <w:rPr>
          <w:rFonts w:eastAsia="Calibri" w:cs="Calibri"/>
          <w:b/>
          <w:szCs w:val="20"/>
          <w:lang w:val="en-US"/>
        </w:rPr>
        <w:t xml:space="preserve">no (Pillar 3) disclosure obligation should be applied. </w:t>
      </w:r>
    </w:p>
    <w:p w14:paraId="107F78C8" w14:textId="31C6978C" w:rsidR="001976CD" w:rsidRDefault="001976CD" w:rsidP="00AF7168">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Upon final publication in the </w:t>
      </w:r>
      <w:r w:rsidRPr="001976CD">
        <w:rPr>
          <w:rFonts w:eastAsia="Calibri" w:cs="Calibri"/>
          <w:b/>
          <w:i/>
          <w:szCs w:val="20"/>
          <w:lang w:val="en-US"/>
        </w:rPr>
        <w:t>Official Journal of the European Union</w:t>
      </w:r>
      <w:r w:rsidRPr="001976CD">
        <w:rPr>
          <w:rFonts w:eastAsia="Calibri" w:cs="Calibri"/>
          <w:b/>
          <w:szCs w:val="20"/>
          <w:lang w:val="en-US"/>
        </w:rPr>
        <w:t xml:space="preserve">, the </w:t>
      </w:r>
      <w:r w:rsidRPr="001976CD">
        <w:rPr>
          <w:rFonts w:eastAsia="Calibri" w:cs="Calibri"/>
          <w:b/>
          <w:i/>
          <w:szCs w:val="20"/>
          <w:lang w:val="en-US"/>
        </w:rPr>
        <w:t>RTS</w:t>
      </w:r>
      <w:r w:rsidRPr="001976CD">
        <w:rPr>
          <w:rFonts w:eastAsia="Calibri" w:cs="Calibri"/>
          <w:b/>
          <w:szCs w:val="20"/>
          <w:lang w:val="en-US"/>
        </w:rPr>
        <w:t xml:space="preserve"> should, in any case, enter into force no sooner than the end of the next calendar semester after publication date</w:t>
      </w:r>
      <w:r w:rsidRPr="001976CD">
        <w:rPr>
          <w:rFonts w:eastAsia="Calibri" w:cs="Calibri"/>
          <w:szCs w:val="20"/>
          <w:lang w:val="en-US"/>
        </w:rPr>
        <w:t xml:space="preserve"> so as to enable banks to adapt. Ideally, the date of application should be aligned with the Guideline and the </w:t>
      </w:r>
      <w:r w:rsidRPr="001976CD">
        <w:rPr>
          <w:rFonts w:eastAsia="Calibri" w:cs="Calibri"/>
          <w:i/>
          <w:szCs w:val="20"/>
          <w:lang w:val="en-US"/>
        </w:rPr>
        <w:t>RTS</w:t>
      </w:r>
      <w:r w:rsidRPr="001976CD">
        <w:rPr>
          <w:rFonts w:eastAsia="Calibri" w:cs="Calibri"/>
          <w:szCs w:val="20"/>
          <w:lang w:val="en-US"/>
        </w:rPr>
        <w:t xml:space="preserve"> on </w:t>
      </w:r>
      <w:r w:rsidRPr="001976CD">
        <w:rPr>
          <w:rFonts w:eastAsia="Calibri" w:cs="Calibri"/>
          <w:i/>
          <w:szCs w:val="20"/>
          <w:lang w:val="en-US"/>
        </w:rPr>
        <w:t>Standardized Methodologies</w:t>
      </w:r>
      <w:r w:rsidRPr="001976CD">
        <w:rPr>
          <w:rFonts w:eastAsia="Calibri" w:cs="Calibri"/>
          <w:szCs w:val="20"/>
          <w:lang w:val="en-US"/>
        </w:rPr>
        <w:t>.</w:t>
      </w:r>
    </w:p>
    <w:p w14:paraId="2AB0B372" w14:textId="77777777" w:rsidR="00105B73" w:rsidRDefault="00105B73" w:rsidP="006D1A6D">
      <w:pPr>
        <w:suppressAutoHyphens w:val="0"/>
        <w:spacing w:before="240" w:after="60" w:line="259" w:lineRule="auto"/>
        <w:rPr>
          <w:rFonts w:eastAsia="Calibri" w:cs="Calibri"/>
          <w:szCs w:val="20"/>
          <w:lang w:val="en-US"/>
        </w:rPr>
      </w:pPr>
    </w:p>
    <w:p w14:paraId="05494D47" w14:textId="77777777" w:rsidR="001976CD" w:rsidRPr="001976CD" w:rsidRDefault="001976CD" w:rsidP="00105B73">
      <w:pPr>
        <w:keepNext/>
        <w:numPr>
          <w:ilvl w:val="0"/>
          <w:numId w:val="17"/>
        </w:numPr>
        <w:suppressAutoHyphens w:val="0"/>
        <w:spacing w:before="100" w:beforeAutospacing="1" w:after="100" w:afterAutospacing="1" w:line="259" w:lineRule="auto"/>
        <w:ind w:left="425" w:hanging="425"/>
        <w:rPr>
          <w:rFonts w:eastAsia="Calibri" w:cs="Calibri"/>
          <w:b/>
          <w:iCs/>
          <w:sz w:val="24"/>
          <w:lang w:val="en-US"/>
        </w:rPr>
      </w:pPr>
      <w:r w:rsidRPr="001976CD">
        <w:rPr>
          <w:rFonts w:eastAsia="Calibri" w:cs="Calibri"/>
          <w:b/>
          <w:iCs/>
          <w:sz w:val="24"/>
          <w:lang w:val="en-US"/>
        </w:rPr>
        <w:t>Consultation Paper EBA/CP/2021/38 on Standardized Methodology</w:t>
      </w:r>
    </w:p>
    <w:p w14:paraId="68264E3E" w14:textId="77777777" w:rsidR="001976CD" w:rsidRPr="001976CD" w:rsidRDefault="001976CD" w:rsidP="00AF7168">
      <w:pPr>
        <w:suppressAutoHyphens w:val="0"/>
        <w:spacing w:after="60" w:line="259" w:lineRule="auto"/>
        <w:rPr>
          <w:rFonts w:eastAsia="Calibri" w:cs="Arial"/>
          <w:szCs w:val="20"/>
        </w:rPr>
      </w:pPr>
      <w:r w:rsidRPr="001976CD">
        <w:rPr>
          <w:rFonts w:eastAsia="Calibri" w:cs="Arial"/>
          <w:szCs w:val="20"/>
        </w:rPr>
        <w:t xml:space="preserve">Article 84(5) of Capital Requirement </w:t>
      </w:r>
      <w:r w:rsidRPr="001976CD">
        <w:rPr>
          <w:rFonts w:eastAsia="Calibri" w:cs="Calibri"/>
          <w:szCs w:val="20"/>
          <w:lang w:val="en-US"/>
        </w:rPr>
        <w:t>Directive</w:t>
      </w:r>
      <w:r w:rsidRPr="001976CD">
        <w:rPr>
          <w:rFonts w:eastAsia="Calibri" w:cs="Arial"/>
          <w:szCs w:val="20"/>
        </w:rPr>
        <w:t> (</w:t>
      </w:r>
      <w:r w:rsidRPr="001976CD">
        <w:rPr>
          <w:rFonts w:eastAsia="Calibri" w:cs="Arial"/>
          <w:i/>
          <w:szCs w:val="20"/>
        </w:rPr>
        <w:t>CRD</w:t>
      </w:r>
      <w:r w:rsidRPr="001976CD">
        <w:rPr>
          <w:rFonts w:eastAsia="Calibri" w:cs="Arial"/>
          <w:szCs w:val="20"/>
        </w:rPr>
        <w:t>) tasks the European Banking Authority (</w:t>
      </w:r>
      <w:r w:rsidRPr="001976CD">
        <w:rPr>
          <w:rFonts w:eastAsia="Calibri" w:cs="Arial"/>
          <w:i/>
          <w:szCs w:val="20"/>
        </w:rPr>
        <w:t>EBA</w:t>
      </w:r>
      <w:r w:rsidRPr="001976CD">
        <w:rPr>
          <w:rFonts w:eastAsia="Calibri" w:cs="Arial"/>
          <w:szCs w:val="20"/>
        </w:rPr>
        <w:t>) with developing Regulatory Technical Standards (</w:t>
      </w:r>
      <w:r w:rsidRPr="001976CD">
        <w:rPr>
          <w:rFonts w:eastAsia="Calibri" w:cs="Arial"/>
          <w:i/>
          <w:szCs w:val="20"/>
        </w:rPr>
        <w:t>RTS</w:t>
      </w:r>
      <w:r w:rsidRPr="001976CD">
        <w:rPr>
          <w:rFonts w:eastAsia="Calibri" w:cs="Arial"/>
          <w:szCs w:val="20"/>
        </w:rPr>
        <w:t>) to define a standardised methodology that institutions may use for the purpose of evaluating the [interest rate] risks […], including a simplified standardised methodology for small and non-complex institutions.</w:t>
      </w:r>
    </w:p>
    <w:p w14:paraId="20949C3B" w14:textId="77777777" w:rsidR="001976CD" w:rsidRPr="001976CD" w:rsidRDefault="001976CD" w:rsidP="00AF7168">
      <w:pPr>
        <w:suppressAutoHyphens w:val="0"/>
        <w:spacing w:after="60" w:line="259" w:lineRule="auto"/>
        <w:rPr>
          <w:rFonts w:eastAsia="Calibri" w:cs="Arial"/>
          <w:szCs w:val="20"/>
        </w:rPr>
      </w:pPr>
    </w:p>
    <w:p w14:paraId="003A5902" w14:textId="77777777" w:rsidR="001976CD" w:rsidRPr="001976CD" w:rsidRDefault="001976CD" w:rsidP="00AF7168">
      <w:pPr>
        <w:keepNext/>
        <w:suppressAutoHyphens w:val="0"/>
        <w:spacing w:after="60" w:line="259" w:lineRule="auto"/>
        <w:rPr>
          <w:rFonts w:eastAsia="Calibri" w:cs="Arial"/>
          <w:szCs w:val="20"/>
        </w:rPr>
      </w:pPr>
      <w:r w:rsidRPr="001976CD">
        <w:rPr>
          <w:rFonts w:eastAsia="Calibri" w:cs="Arial"/>
          <w:szCs w:val="20"/>
        </w:rPr>
        <w:t>It is worth reminding that the Basel Committee on Banking Supervision (</w:t>
      </w:r>
      <w:r w:rsidRPr="001976CD">
        <w:rPr>
          <w:rFonts w:eastAsia="Calibri" w:cs="Arial"/>
          <w:i/>
          <w:szCs w:val="20"/>
        </w:rPr>
        <w:t>BCBS</w:t>
      </w:r>
      <w:r w:rsidRPr="001976CD">
        <w:rPr>
          <w:rFonts w:eastAsia="Calibri" w:cs="Arial"/>
          <w:szCs w:val="20"/>
        </w:rPr>
        <w:t xml:space="preserve">) has clearly mentioned that IRRBB is not amenable to standardization as any standardized measure of </w:t>
      </w:r>
      <w:r w:rsidRPr="001976CD">
        <w:rPr>
          <w:rFonts w:eastAsia="Calibri" w:cs="Arial"/>
          <w:szCs w:val="20"/>
        </w:rPr>
        <w:lastRenderedPageBreak/>
        <w:t>IRRBB would lose its risk-sensitivity and would fail to be relevant for supervisory measures:</w:t>
      </w:r>
    </w:p>
    <w:p w14:paraId="59753F79" w14:textId="77777777" w:rsidR="001976CD" w:rsidRPr="001976CD" w:rsidRDefault="001976CD" w:rsidP="00AF7168">
      <w:pPr>
        <w:suppressAutoHyphens w:val="0"/>
        <w:spacing w:after="60"/>
        <w:ind w:left="720"/>
        <w:rPr>
          <w:rFonts w:eastAsia="Calibri" w:cs="Calibri"/>
          <w:i/>
          <w:szCs w:val="20"/>
          <w:lang w:val="en-US"/>
        </w:rPr>
      </w:pPr>
      <w:r w:rsidRPr="001976CD">
        <w:rPr>
          <w:rFonts w:eastAsia="Calibri" w:cs="Calibri"/>
          <w:i/>
          <w:szCs w:val="20"/>
          <w:lang w:val="en-US"/>
        </w:rPr>
        <w:t xml:space="preserve">§3. The Committee noted the industry’s feedback on the feasibility of a Pillar 1 approach to IRRBB, in particular </w:t>
      </w:r>
      <w:r w:rsidRPr="001976CD">
        <w:rPr>
          <w:rFonts w:eastAsia="Calibri" w:cs="Calibri"/>
          <w:b/>
          <w:i/>
          <w:szCs w:val="20"/>
          <w:lang w:val="en-US"/>
        </w:rPr>
        <w:t>the complexities involved in formulating a standardised measure of IRRBB which would be both sufficiently accurate and risk-sensitive to allow it to act as a means of setting regulatory capital requirements</w:t>
      </w:r>
      <w:r w:rsidRPr="001976CD">
        <w:rPr>
          <w:rFonts w:eastAsia="Calibri" w:cs="Calibri"/>
          <w:i/>
          <w:szCs w:val="20"/>
          <w:lang w:val="en-US"/>
        </w:rPr>
        <w:t>. The Committee concludes that the heterogeneous nature of IRRBB would be more appropriately captured in Pillar 2.</w:t>
      </w:r>
    </w:p>
    <w:p w14:paraId="0210E313" w14:textId="77777777" w:rsidR="001976CD" w:rsidRPr="001976CD" w:rsidRDefault="001976CD" w:rsidP="00AF7168">
      <w:pPr>
        <w:suppressAutoHyphens w:val="0"/>
        <w:spacing w:after="60" w:line="259" w:lineRule="auto"/>
        <w:rPr>
          <w:rFonts w:eastAsia="Calibri" w:cs="Arial"/>
          <w:szCs w:val="20"/>
        </w:rPr>
      </w:pPr>
    </w:p>
    <w:p w14:paraId="5CE3F0CB" w14:textId="59CD0F72" w:rsidR="001976CD" w:rsidRPr="001976CD" w:rsidRDefault="001976CD" w:rsidP="00AF7168">
      <w:pPr>
        <w:suppressAutoHyphens w:val="0"/>
        <w:spacing w:after="60" w:line="259" w:lineRule="auto"/>
        <w:rPr>
          <w:rFonts w:eastAsia="Calibri" w:cs="Arial"/>
          <w:szCs w:val="20"/>
        </w:rPr>
      </w:pPr>
      <w:r w:rsidRPr="001976CD">
        <w:rPr>
          <w:rFonts w:eastAsia="Calibri" w:cs="Arial"/>
          <w:szCs w:val="20"/>
        </w:rPr>
        <w:t xml:space="preserve">In that context, </w:t>
      </w:r>
      <w:r w:rsidRPr="001976CD">
        <w:rPr>
          <w:rFonts w:eastAsia="Calibri" w:cs="Arial"/>
          <w:b/>
          <w:szCs w:val="20"/>
        </w:rPr>
        <w:t xml:space="preserve">a </w:t>
      </w:r>
      <w:r w:rsidRPr="001976CD">
        <w:rPr>
          <w:rFonts w:eastAsia="Calibri" w:cs="Arial"/>
          <w:b/>
          <w:i/>
          <w:szCs w:val="20"/>
        </w:rPr>
        <w:t>Standardized</w:t>
      </w:r>
      <w:r w:rsidRPr="001976CD">
        <w:rPr>
          <w:rFonts w:eastAsia="Calibri" w:cs="Arial"/>
          <w:b/>
          <w:szCs w:val="20"/>
        </w:rPr>
        <w:t xml:space="preserve"> (or </w:t>
      </w:r>
      <w:r w:rsidRPr="001976CD">
        <w:rPr>
          <w:rFonts w:eastAsia="Calibri" w:cs="Arial"/>
          <w:b/>
          <w:i/>
          <w:szCs w:val="20"/>
        </w:rPr>
        <w:t>Simplified</w:t>
      </w:r>
      <w:r w:rsidRPr="001976CD">
        <w:rPr>
          <w:rFonts w:eastAsia="Calibri" w:cs="Arial"/>
          <w:b/>
          <w:szCs w:val="20"/>
        </w:rPr>
        <w:t xml:space="preserve">) </w:t>
      </w:r>
      <w:r w:rsidRPr="001976CD">
        <w:rPr>
          <w:rFonts w:eastAsia="Calibri" w:cs="Arial"/>
          <w:b/>
          <w:i/>
          <w:szCs w:val="20"/>
        </w:rPr>
        <w:t>Methodology</w:t>
      </w:r>
      <w:r w:rsidRPr="001976CD">
        <w:rPr>
          <w:rFonts w:eastAsia="Calibri" w:cs="Arial"/>
          <w:b/>
          <w:szCs w:val="20"/>
        </w:rPr>
        <w:t xml:space="preserve"> </w:t>
      </w:r>
      <w:r w:rsidR="00A81AC0">
        <w:rPr>
          <w:rFonts w:eastAsia="Calibri" w:cs="Arial"/>
          <w:b/>
          <w:szCs w:val="20"/>
        </w:rPr>
        <w:t xml:space="preserve">would </w:t>
      </w:r>
      <w:r w:rsidR="008057AF">
        <w:rPr>
          <w:rFonts w:eastAsia="Calibri" w:cs="Arial"/>
          <w:b/>
          <w:szCs w:val="20"/>
        </w:rPr>
        <w:t>definitely</w:t>
      </w:r>
      <w:r w:rsidR="00A81AC0">
        <w:rPr>
          <w:rFonts w:eastAsia="Calibri" w:cs="Arial"/>
          <w:b/>
          <w:szCs w:val="20"/>
        </w:rPr>
        <w:t xml:space="preserve"> not be</w:t>
      </w:r>
      <w:r w:rsidRPr="001976CD">
        <w:rPr>
          <w:rFonts w:eastAsia="Calibri" w:cs="Arial"/>
          <w:b/>
          <w:szCs w:val="20"/>
        </w:rPr>
        <w:t xml:space="preserve"> risk sensitive. </w:t>
      </w:r>
    </w:p>
    <w:p w14:paraId="2F9991FD" w14:textId="77777777" w:rsidR="001976CD" w:rsidRPr="001976CD" w:rsidRDefault="001976CD" w:rsidP="00AF7168">
      <w:pPr>
        <w:suppressAutoHyphens w:val="0"/>
        <w:spacing w:after="60" w:line="259" w:lineRule="auto"/>
        <w:rPr>
          <w:rFonts w:eastAsia="Calibri" w:cs="Arial"/>
          <w:szCs w:val="20"/>
        </w:rPr>
      </w:pPr>
      <w:r w:rsidRPr="001976CD">
        <w:rPr>
          <w:rFonts w:eastAsia="Calibri" w:cs="Arial"/>
          <w:szCs w:val="20"/>
        </w:rPr>
        <w:t>It is noted that there is no provided evidence to support adequacy of the suggested standardized / simplified factors.</w:t>
      </w:r>
    </w:p>
    <w:p w14:paraId="31825327" w14:textId="77777777" w:rsidR="001976CD" w:rsidRPr="001976CD" w:rsidRDefault="001976CD" w:rsidP="00AF7168">
      <w:pPr>
        <w:suppressAutoHyphens w:val="0"/>
        <w:spacing w:after="60" w:line="259" w:lineRule="auto"/>
        <w:rPr>
          <w:rFonts w:eastAsia="Calibri" w:cs="Arial"/>
          <w:szCs w:val="20"/>
        </w:rPr>
      </w:pPr>
      <w:r w:rsidRPr="001976CD">
        <w:rPr>
          <w:rFonts w:eastAsia="Calibri" w:cs="Arial"/>
          <w:i/>
          <w:szCs w:val="20"/>
        </w:rPr>
        <w:t>Standardised Methodologies</w:t>
      </w:r>
      <w:r w:rsidRPr="001976CD">
        <w:rPr>
          <w:rFonts w:eastAsia="Calibri" w:cs="Arial"/>
          <w:szCs w:val="20"/>
        </w:rPr>
        <w:t xml:space="preserve"> can be useful to ensure the proportionality of the framework and provide an acceptable estimate of risk in case of banks of low size and/or complexity. However, they necessarily rely on simplistic assumptions which make them by definition less accurate than internal models (but not more conservative). The more complex the bank, the more sophisticated models are needed to manage and measure interest rate risk.</w:t>
      </w:r>
    </w:p>
    <w:p w14:paraId="6FBCDA81" w14:textId="77777777" w:rsidR="001976CD" w:rsidRPr="001976CD" w:rsidRDefault="001976CD" w:rsidP="00AF7168">
      <w:pPr>
        <w:suppressAutoHyphens w:val="0"/>
        <w:spacing w:after="60" w:line="259" w:lineRule="auto"/>
        <w:rPr>
          <w:rFonts w:eastAsia="Calibri" w:cs="Arial"/>
          <w:szCs w:val="20"/>
        </w:rPr>
      </w:pPr>
    </w:p>
    <w:p w14:paraId="3B1770D0" w14:textId="77777777" w:rsidR="001976CD" w:rsidRPr="001976CD" w:rsidRDefault="001976CD" w:rsidP="00AF7168">
      <w:pPr>
        <w:keepNext/>
        <w:suppressAutoHyphens w:val="0"/>
        <w:spacing w:after="60" w:line="259" w:lineRule="auto"/>
        <w:rPr>
          <w:rFonts w:eastAsia="Calibri" w:cs="Arial"/>
          <w:szCs w:val="20"/>
        </w:rPr>
      </w:pPr>
      <w:r w:rsidRPr="001976CD">
        <w:t>Therefore, we have very strong concerns that Standardised Methodologies could have to</w:t>
      </w:r>
      <w:r w:rsidRPr="001976CD">
        <w:rPr>
          <w:rFonts w:eastAsia="Calibri" w:cs="Arial"/>
          <w:szCs w:val="20"/>
        </w:rPr>
        <w:t xml:space="preserve"> be mandatorily applied to a bank. As Article 98(3-4) refers to the standardized and simplified methodologies that the competent authority could impose for the </w:t>
      </w:r>
      <w:r w:rsidRPr="001976CD">
        <w:rPr>
          <w:rFonts w:eastAsia="Calibri" w:cs="Arial"/>
          <w:i/>
          <w:szCs w:val="20"/>
        </w:rPr>
        <w:t>evaluation</w:t>
      </w:r>
      <w:r w:rsidRPr="001976CD">
        <w:rPr>
          <w:rFonts w:eastAsia="Calibri" w:cs="Arial"/>
          <w:szCs w:val="20"/>
        </w:rPr>
        <w:t xml:space="preserve"> of risks, </w:t>
      </w:r>
      <w:r w:rsidRPr="001976CD">
        <w:rPr>
          <w:rFonts w:eastAsia="Calibri" w:cs="Arial"/>
          <w:b/>
          <w:szCs w:val="20"/>
        </w:rPr>
        <w:t xml:space="preserve">we recommend that the </w:t>
      </w:r>
      <w:r w:rsidRPr="001976CD">
        <w:rPr>
          <w:rFonts w:eastAsia="Calibri" w:cs="Arial"/>
          <w:b/>
          <w:i/>
          <w:szCs w:val="20"/>
        </w:rPr>
        <w:t>RTS</w:t>
      </w:r>
      <w:r w:rsidRPr="001976CD">
        <w:rPr>
          <w:rFonts w:eastAsia="Calibri" w:cs="Arial"/>
          <w:b/>
          <w:szCs w:val="20"/>
        </w:rPr>
        <w:t xml:space="preserve"> clarifies that such an imposition should be</w:t>
      </w:r>
      <w:r w:rsidRPr="001976CD">
        <w:rPr>
          <w:rFonts w:eastAsia="Calibri" w:cs="Arial"/>
          <w:szCs w:val="20"/>
        </w:rPr>
        <w:t>:</w:t>
      </w:r>
    </w:p>
    <w:p w14:paraId="0D4FAF69" w14:textId="77777777" w:rsidR="001976CD" w:rsidRPr="001976CD" w:rsidRDefault="001976CD" w:rsidP="00AF7168">
      <w:pPr>
        <w:keepNext/>
        <w:numPr>
          <w:ilvl w:val="0"/>
          <w:numId w:val="14"/>
        </w:numPr>
        <w:suppressAutoHyphens w:val="0"/>
        <w:spacing w:after="60" w:line="259" w:lineRule="auto"/>
        <w:contextualSpacing/>
        <w:rPr>
          <w:rFonts w:eastAsia="Calibri" w:cs="Arial"/>
          <w:szCs w:val="20"/>
        </w:rPr>
      </w:pPr>
      <w:r w:rsidRPr="001976CD">
        <w:rPr>
          <w:rFonts w:eastAsia="Calibri" w:cs="Arial"/>
          <w:b/>
          <w:szCs w:val="20"/>
        </w:rPr>
        <w:t>limited to the evaluation</w:t>
      </w:r>
      <w:r w:rsidRPr="001976CD">
        <w:rPr>
          <w:rFonts w:eastAsia="Calibri" w:cs="Arial"/>
          <w:szCs w:val="20"/>
        </w:rPr>
        <w:t xml:space="preserve"> (which will be necessarily wrong as mentioned before) </w:t>
      </w:r>
      <w:r w:rsidRPr="001976CD">
        <w:rPr>
          <w:rFonts w:eastAsia="Calibri" w:cs="Arial"/>
          <w:b/>
          <w:szCs w:val="20"/>
        </w:rPr>
        <w:t>and not for the actual management</w:t>
      </w:r>
      <w:r w:rsidRPr="001976CD">
        <w:rPr>
          <w:rFonts w:eastAsia="Calibri" w:cs="Arial"/>
          <w:szCs w:val="20"/>
        </w:rPr>
        <w:t xml:space="preserve"> (as banks would have to manage with flawed steering metrics that would be detrimental to the actual risk management) as clearly mentioned in Art.98(3) “</w:t>
      </w:r>
      <w:r w:rsidRPr="001976CD">
        <w:rPr>
          <w:rFonts w:eastAsia="Calibri" w:cs="Calibri"/>
          <w:i/>
          <w:szCs w:val="20"/>
          <w:lang w:val="en-US"/>
        </w:rPr>
        <w:t xml:space="preserve">A competent authority may require an institution to use the standardised methodology referred to in paragraph 1 where the internal systems implemented by that institution </w:t>
      </w:r>
      <w:r w:rsidRPr="001976CD">
        <w:rPr>
          <w:rFonts w:eastAsia="Calibri" w:cs="Calibri"/>
          <w:i/>
          <w:szCs w:val="20"/>
          <w:u w:val="single"/>
          <w:lang w:val="en-US"/>
        </w:rPr>
        <w:t>for the purpose of evaluating</w:t>
      </w:r>
      <w:r w:rsidRPr="001976CD">
        <w:rPr>
          <w:rFonts w:eastAsia="Calibri" w:cs="Calibri"/>
          <w:i/>
          <w:szCs w:val="20"/>
          <w:lang w:val="en-US"/>
        </w:rPr>
        <w:t xml:space="preserve"> the risks referred to in that paragraph are not satisfactory.</w:t>
      </w:r>
      <w:r w:rsidRPr="001976CD">
        <w:rPr>
          <w:rFonts w:eastAsia="Calibri" w:cs="Arial"/>
          <w:szCs w:val="20"/>
        </w:rPr>
        <w:t>”;</w:t>
      </w:r>
    </w:p>
    <w:p w14:paraId="45090C70" w14:textId="77777777" w:rsidR="001976CD" w:rsidRPr="001976CD" w:rsidRDefault="001976CD" w:rsidP="00AF7168">
      <w:pPr>
        <w:numPr>
          <w:ilvl w:val="0"/>
          <w:numId w:val="14"/>
        </w:numPr>
        <w:suppressAutoHyphens w:val="0"/>
        <w:spacing w:after="60" w:line="259" w:lineRule="auto"/>
        <w:contextualSpacing/>
        <w:rPr>
          <w:rFonts w:eastAsia="Calibri" w:cs="Arial"/>
          <w:b/>
          <w:szCs w:val="20"/>
        </w:rPr>
      </w:pPr>
      <w:r w:rsidRPr="001976CD">
        <w:rPr>
          <w:rFonts w:eastAsia="Calibri" w:cs="Arial"/>
          <w:b/>
          <w:szCs w:val="20"/>
        </w:rPr>
        <w:t xml:space="preserve">conditional on competent authority having demonstrated that the </w:t>
      </w:r>
      <w:r w:rsidRPr="001976CD">
        <w:rPr>
          <w:rFonts w:eastAsia="Calibri" w:cs="Arial"/>
          <w:b/>
          <w:i/>
          <w:szCs w:val="20"/>
        </w:rPr>
        <w:t>standardized</w:t>
      </w:r>
      <w:r w:rsidRPr="001976CD">
        <w:rPr>
          <w:rFonts w:eastAsia="Calibri" w:cs="Arial"/>
          <w:b/>
          <w:szCs w:val="20"/>
        </w:rPr>
        <w:t xml:space="preserve"> (resp. </w:t>
      </w:r>
      <w:r w:rsidRPr="001976CD">
        <w:rPr>
          <w:rFonts w:eastAsia="Calibri" w:cs="Arial"/>
          <w:b/>
          <w:i/>
          <w:szCs w:val="20"/>
        </w:rPr>
        <w:t>simplified</w:t>
      </w:r>
      <w:r w:rsidRPr="001976CD">
        <w:rPr>
          <w:rFonts w:eastAsia="Calibri" w:cs="Arial"/>
          <w:b/>
          <w:szCs w:val="20"/>
        </w:rPr>
        <w:t xml:space="preserve">) </w:t>
      </w:r>
      <w:r w:rsidRPr="001976CD">
        <w:rPr>
          <w:rFonts w:eastAsia="Calibri" w:cs="Arial"/>
          <w:b/>
          <w:i/>
          <w:szCs w:val="20"/>
        </w:rPr>
        <w:t>methodology</w:t>
      </w:r>
      <w:r w:rsidRPr="001976CD">
        <w:rPr>
          <w:rFonts w:eastAsia="Calibri" w:cs="Arial"/>
          <w:b/>
          <w:szCs w:val="20"/>
        </w:rPr>
        <w:t xml:space="preserve"> would be more relevant than the </w:t>
      </w:r>
      <w:r w:rsidRPr="001976CD">
        <w:rPr>
          <w:rFonts w:eastAsia="Calibri" w:cs="Arial"/>
          <w:b/>
          <w:i/>
          <w:szCs w:val="20"/>
        </w:rPr>
        <w:t>IMS</w:t>
      </w:r>
      <w:r w:rsidRPr="001976CD">
        <w:rPr>
          <w:rFonts w:eastAsia="Calibri" w:cs="Arial"/>
          <w:b/>
          <w:szCs w:val="20"/>
        </w:rPr>
        <w:t>-evaluation that it would pretend substituting.</w:t>
      </w:r>
    </w:p>
    <w:p w14:paraId="072EEE7F" w14:textId="77777777" w:rsidR="001976CD" w:rsidRPr="001976CD" w:rsidRDefault="001976CD" w:rsidP="00AF7168">
      <w:pPr>
        <w:suppressAutoHyphens w:val="0"/>
        <w:spacing w:after="60" w:line="259" w:lineRule="auto"/>
        <w:rPr>
          <w:rFonts w:eastAsia="Calibri" w:cs="Arial"/>
          <w:szCs w:val="20"/>
        </w:rPr>
      </w:pPr>
    </w:p>
    <w:p w14:paraId="2E802E64" w14:textId="77777777" w:rsidR="001976CD" w:rsidRPr="001976CD" w:rsidRDefault="001976CD" w:rsidP="00AF7168">
      <w:pPr>
        <w:suppressAutoHyphens w:val="0"/>
        <w:spacing w:after="60" w:line="259" w:lineRule="auto"/>
        <w:rPr>
          <w:rFonts w:eastAsia="Calibri" w:cs="Arial"/>
          <w:b/>
          <w:szCs w:val="20"/>
        </w:rPr>
      </w:pPr>
      <w:r w:rsidRPr="001976CD">
        <w:rPr>
          <w:rFonts w:eastAsia="Calibri" w:cs="Arial"/>
          <w:szCs w:val="20"/>
        </w:rPr>
        <w:t xml:space="preserve">And </w:t>
      </w:r>
      <w:r w:rsidRPr="001976CD">
        <w:rPr>
          <w:rFonts w:eastAsia="Calibri" w:cs="Arial"/>
          <w:b/>
          <w:szCs w:val="20"/>
        </w:rPr>
        <w:t xml:space="preserve">we recommend that, as specified in the </w:t>
      </w:r>
      <w:r w:rsidRPr="001976CD">
        <w:rPr>
          <w:rFonts w:eastAsia="Calibri" w:cs="Arial"/>
          <w:b/>
          <w:i/>
          <w:szCs w:val="20"/>
        </w:rPr>
        <w:t>CRD</w:t>
      </w:r>
      <w:r w:rsidRPr="001976CD">
        <w:rPr>
          <w:rFonts w:eastAsia="Calibri" w:cs="Arial"/>
          <w:b/>
          <w:szCs w:val="20"/>
        </w:rPr>
        <w:t xml:space="preserve">, it is made clear that the </w:t>
      </w:r>
      <w:r w:rsidRPr="001976CD">
        <w:rPr>
          <w:rFonts w:eastAsia="Calibri" w:cs="Arial"/>
          <w:b/>
          <w:i/>
          <w:szCs w:val="20"/>
        </w:rPr>
        <w:t>standardized</w:t>
      </w:r>
      <w:r w:rsidRPr="001976CD">
        <w:rPr>
          <w:rFonts w:eastAsia="Calibri" w:cs="Arial"/>
          <w:b/>
          <w:szCs w:val="20"/>
        </w:rPr>
        <w:t xml:space="preserve"> (</w:t>
      </w:r>
      <w:r w:rsidRPr="001976CD">
        <w:rPr>
          <w:rFonts w:eastAsia="Calibri" w:cs="Arial"/>
          <w:b/>
          <w:i/>
          <w:szCs w:val="20"/>
        </w:rPr>
        <w:t>simplified</w:t>
      </w:r>
      <w:r w:rsidRPr="001976CD">
        <w:rPr>
          <w:rFonts w:eastAsia="Calibri" w:cs="Arial"/>
          <w:b/>
          <w:szCs w:val="20"/>
        </w:rPr>
        <w:t xml:space="preserve">) </w:t>
      </w:r>
      <w:r w:rsidRPr="001976CD">
        <w:rPr>
          <w:rFonts w:eastAsia="Calibri" w:cs="Arial"/>
          <w:b/>
          <w:i/>
          <w:szCs w:val="20"/>
        </w:rPr>
        <w:t>methodology</w:t>
      </w:r>
      <w:r w:rsidRPr="001976CD">
        <w:rPr>
          <w:rFonts w:eastAsia="Calibri" w:cs="Arial"/>
          <w:b/>
          <w:szCs w:val="20"/>
        </w:rPr>
        <w:t xml:space="preserve"> does not have to be implemented, unless imposed or elected by the bank, and should not be used as a benchmark for </w:t>
      </w:r>
      <w:r w:rsidRPr="001976CD">
        <w:rPr>
          <w:rFonts w:eastAsia="Calibri" w:cs="Arial"/>
          <w:b/>
          <w:i/>
          <w:szCs w:val="20"/>
        </w:rPr>
        <w:t>IMS</w:t>
      </w:r>
      <w:r w:rsidRPr="001976CD">
        <w:rPr>
          <w:rFonts w:eastAsia="Calibri" w:cs="Arial"/>
          <w:b/>
          <w:szCs w:val="20"/>
        </w:rPr>
        <w:t>.</w:t>
      </w:r>
    </w:p>
    <w:p w14:paraId="06808B46" w14:textId="77777777" w:rsidR="001976CD" w:rsidRPr="001976CD" w:rsidRDefault="001976CD" w:rsidP="00AF7168">
      <w:pPr>
        <w:suppressAutoHyphens w:val="0"/>
        <w:spacing w:after="60" w:line="259" w:lineRule="auto"/>
        <w:rPr>
          <w:rFonts w:eastAsia="Calibri" w:cs="Arial"/>
          <w:szCs w:val="20"/>
        </w:rPr>
      </w:pPr>
    </w:p>
    <w:p w14:paraId="0C6BA0D9" w14:textId="77777777" w:rsidR="001976CD" w:rsidRPr="001976CD" w:rsidRDefault="001976CD" w:rsidP="00AF7168">
      <w:pPr>
        <w:suppressAutoHyphens w:val="0"/>
        <w:spacing w:after="60" w:line="259" w:lineRule="auto"/>
        <w:rPr>
          <w:rFonts w:eastAsia="Calibri" w:cs="Arial"/>
          <w:szCs w:val="20"/>
        </w:rPr>
      </w:pPr>
      <w:r w:rsidRPr="001976CD">
        <w:rPr>
          <w:rFonts w:eastAsia="Calibri" w:cs="Arial"/>
          <w:szCs w:val="20"/>
        </w:rPr>
        <w:t>As regards the proposed approaches, certain aspects should be addressed.</w:t>
      </w:r>
    </w:p>
    <w:p w14:paraId="180662F3" w14:textId="77777777" w:rsidR="001976CD" w:rsidRPr="001976CD" w:rsidRDefault="001976CD" w:rsidP="00AF7168">
      <w:pPr>
        <w:suppressAutoHyphens w:val="0"/>
        <w:spacing w:after="60" w:line="259" w:lineRule="auto"/>
        <w:rPr>
          <w:rFonts w:eastAsia="Calibri" w:cs="Arial"/>
          <w:szCs w:val="20"/>
        </w:rPr>
      </w:pPr>
      <w:r w:rsidRPr="001976CD">
        <w:rPr>
          <w:rFonts w:eastAsia="Calibri" w:cs="Arial"/>
          <w:szCs w:val="20"/>
        </w:rPr>
        <w:t>As an example, the suggested caps on Non Maturing Deposits (</w:t>
      </w:r>
      <w:r w:rsidRPr="001976CD">
        <w:rPr>
          <w:rFonts w:eastAsia="Calibri" w:cs="Arial"/>
          <w:i/>
          <w:szCs w:val="20"/>
        </w:rPr>
        <w:t>NMDs</w:t>
      </w:r>
      <w:r w:rsidRPr="001976CD">
        <w:rPr>
          <w:rFonts w:eastAsia="Calibri" w:cs="Arial"/>
          <w:szCs w:val="20"/>
        </w:rPr>
        <w:t>) may significantly distort the economic representation of interest rate risk.</w:t>
      </w:r>
    </w:p>
    <w:p w14:paraId="480ECE02" w14:textId="77777777" w:rsidR="001976CD" w:rsidRPr="001976CD" w:rsidRDefault="001976CD" w:rsidP="00AF7168">
      <w:pPr>
        <w:suppressAutoHyphens w:val="0"/>
        <w:spacing w:after="60" w:line="259" w:lineRule="auto"/>
        <w:rPr>
          <w:rFonts w:eastAsia="Calibri" w:cs="Arial"/>
          <w:szCs w:val="20"/>
        </w:rPr>
      </w:pPr>
      <w:r w:rsidRPr="001976CD">
        <w:rPr>
          <w:rFonts w:eastAsia="Calibri" w:cs="Arial"/>
          <w:szCs w:val="20"/>
        </w:rPr>
        <w:t xml:space="preserve">As another illustration, it is not appropriate to use a stress volatility when measuring the sensitivity of automatic options in the objective of hedging them. With such an approach, one would be led to un-appropriate delta hedge of the options since the measurement would be distorted. It is highlighted that such a stress on volatility is neither performed in </w:t>
      </w:r>
      <w:r w:rsidRPr="001976CD">
        <w:rPr>
          <w:rFonts w:eastAsia="Calibri" w:cs="Arial"/>
          <w:szCs w:val="20"/>
        </w:rPr>
        <w:lastRenderedPageBreak/>
        <w:t>trading book nor required by the regulators for trading books regulations. By the way, requiring this to be applied for the Supervisory Outlier Test (</w:t>
      </w:r>
      <w:r w:rsidRPr="001976CD">
        <w:rPr>
          <w:rFonts w:eastAsia="Calibri" w:cs="Arial"/>
          <w:i/>
          <w:szCs w:val="20"/>
        </w:rPr>
        <w:t>SOT</w:t>
      </w:r>
      <w:r w:rsidRPr="001976CD">
        <w:rPr>
          <w:rFonts w:eastAsia="Calibri" w:cs="Arial"/>
          <w:szCs w:val="20"/>
        </w:rPr>
        <w:t>) on Economic Value of Equity (</w:t>
      </w:r>
      <w:r w:rsidRPr="001976CD">
        <w:rPr>
          <w:rFonts w:eastAsia="Calibri" w:cs="Arial"/>
          <w:i/>
          <w:szCs w:val="20"/>
        </w:rPr>
        <w:t>EVE</w:t>
      </w:r>
      <w:r w:rsidRPr="001976CD">
        <w:rPr>
          <w:rFonts w:eastAsia="Calibri" w:cs="Arial"/>
          <w:szCs w:val="20"/>
        </w:rPr>
        <w:t xml:space="preserve">) is inconsistent with the objective of the </w:t>
      </w:r>
      <w:r w:rsidRPr="001976CD">
        <w:rPr>
          <w:rFonts w:eastAsia="Calibri" w:cs="Arial"/>
          <w:i/>
          <w:szCs w:val="20"/>
        </w:rPr>
        <w:t>SOT EVE</w:t>
      </w:r>
      <w:r w:rsidRPr="001976CD">
        <w:rPr>
          <w:rFonts w:eastAsia="Calibri" w:cs="Arial"/>
          <w:szCs w:val="20"/>
        </w:rPr>
        <w:t xml:space="preserve"> which is to measure the sensitivity to changes in interest rates.</w:t>
      </w:r>
    </w:p>
    <w:p w14:paraId="7B01F25F" w14:textId="77777777" w:rsidR="001976CD" w:rsidRPr="001976CD" w:rsidRDefault="001976CD" w:rsidP="00AF7168">
      <w:pPr>
        <w:suppressAutoHyphens w:val="0"/>
        <w:spacing w:after="60" w:line="259" w:lineRule="auto"/>
        <w:rPr>
          <w:rFonts w:eastAsia="Calibri" w:cs="Arial"/>
          <w:szCs w:val="20"/>
        </w:rPr>
      </w:pPr>
    </w:p>
    <w:p w14:paraId="14BC29F0" w14:textId="77777777" w:rsidR="001976CD" w:rsidRPr="001976CD" w:rsidRDefault="001976CD" w:rsidP="00AF7168">
      <w:pPr>
        <w:suppressAutoHyphens w:val="0"/>
        <w:spacing w:after="60"/>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changing the definition of commonly understood Net Interest Income (</w:t>
      </w:r>
      <w:r w:rsidRPr="001976CD">
        <w:rPr>
          <w:rFonts w:eastAsia="Calibri" w:cs="Calibri"/>
          <w:b/>
          <w:i/>
          <w:szCs w:val="20"/>
          <w:lang w:val="en-US"/>
        </w:rPr>
        <w:t>NII</w:t>
      </w:r>
      <w:r w:rsidRPr="001976CD">
        <w:rPr>
          <w:rFonts w:eastAsia="Calibri" w:cs="Calibri"/>
          <w:b/>
          <w:szCs w:val="20"/>
          <w:lang w:val="en-US"/>
        </w:rPr>
        <w:t>) to include changes in fair values of instruments</w:t>
      </w:r>
      <w:r w:rsidRPr="001976CD">
        <w:rPr>
          <w:rFonts w:eastAsia="Calibri" w:cs="Calibri"/>
          <w:szCs w:val="20"/>
          <w:lang w:val="en-US"/>
        </w:rPr>
        <w:t xml:space="preserve"> even though they are not part of </w:t>
      </w:r>
      <w:r w:rsidRPr="001976CD">
        <w:rPr>
          <w:rFonts w:eastAsia="Calibri" w:cs="Calibri"/>
          <w:i/>
          <w:szCs w:val="20"/>
          <w:lang w:val="en-US"/>
        </w:rPr>
        <w:t>NII</w:t>
      </w:r>
      <w:r w:rsidRPr="001976CD">
        <w:rPr>
          <w:rFonts w:eastAsia="Calibri" w:cs="Calibri"/>
          <w:szCs w:val="20"/>
          <w:lang w:val="en-US"/>
        </w:rPr>
        <w:t xml:space="preserve">. This appears as a deviation from the </w:t>
      </w:r>
      <w:r w:rsidRPr="001976CD">
        <w:rPr>
          <w:rFonts w:eastAsia="Calibri" w:cs="Calibri"/>
          <w:i/>
          <w:szCs w:val="20"/>
          <w:lang w:val="en-US"/>
        </w:rPr>
        <w:t>CRR</w:t>
      </w:r>
      <w:r w:rsidRPr="001976CD">
        <w:rPr>
          <w:rFonts w:eastAsia="Calibri" w:cs="Calibri"/>
          <w:szCs w:val="20"/>
          <w:lang w:val="en-US"/>
        </w:rPr>
        <w:t xml:space="preserve"> mandate that explicitly refers to </w:t>
      </w:r>
      <w:r w:rsidRPr="001976CD">
        <w:rPr>
          <w:rFonts w:eastAsia="Calibri" w:cs="Calibri"/>
          <w:i/>
          <w:szCs w:val="20"/>
          <w:lang w:val="en-US"/>
        </w:rPr>
        <w:t>NII</w:t>
      </w:r>
      <w:r w:rsidRPr="001976CD">
        <w:rPr>
          <w:rFonts w:eastAsia="Calibri" w:cs="Calibri"/>
          <w:szCs w:val="20"/>
          <w:lang w:val="en-US"/>
        </w:rPr>
        <w:t>. It also deviates from Basel Committee on Banking Supervision</w:t>
      </w:r>
      <w:r w:rsidRPr="001976CD">
        <w:rPr>
          <w:rFonts w:eastAsia="Calibri" w:cs="Calibri"/>
          <w:i/>
          <w:szCs w:val="20"/>
          <w:lang w:val="en-US"/>
        </w:rPr>
        <w:t> (BCBS) Standard</w:t>
      </w:r>
      <w:r w:rsidRPr="001976CD">
        <w:rPr>
          <w:rFonts w:eastAsia="Calibri" w:cs="Calibri"/>
          <w:szCs w:val="20"/>
          <w:lang w:val="en-US"/>
        </w:rPr>
        <w:t xml:space="preserve"> that is quite explicit that it refers to </w:t>
      </w:r>
      <w:r w:rsidRPr="001976CD">
        <w:rPr>
          <w:rFonts w:eastAsia="Calibri" w:cs="Calibri"/>
          <w:i/>
          <w:szCs w:val="20"/>
          <w:lang w:val="en-US"/>
        </w:rPr>
        <w:t>NII</w:t>
      </w:r>
      <w:r w:rsidRPr="001976CD">
        <w:rPr>
          <w:rFonts w:eastAsia="Calibri" w:cs="Calibri"/>
          <w:szCs w:val="20"/>
          <w:lang w:val="en-US"/>
        </w:rPr>
        <w:t xml:space="preserve"> excluding changes in fair values that do not affect </w:t>
      </w:r>
      <w:r w:rsidRPr="001976CD">
        <w:rPr>
          <w:rFonts w:eastAsia="Calibri" w:cs="Calibri"/>
          <w:i/>
          <w:szCs w:val="20"/>
          <w:lang w:val="en-US"/>
        </w:rPr>
        <w:t>NII</w:t>
      </w:r>
      <w:r w:rsidRPr="001976CD">
        <w:rPr>
          <w:rFonts w:eastAsia="Calibri" w:cs="Calibri"/>
          <w:szCs w:val="20"/>
          <w:lang w:val="en-US"/>
        </w:rPr>
        <w:t xml:space="preserve">. This would also be at odds with actual risk management and would introduce overlapping between </w:t>
      </w:r>
      <w:r w:rsidRPr="001976CD">
        <w:rPr>
          <w:rFonts w:eastAsia="Calibri" w:cs="Calibri"/>
          <w:i/>
          <w:szCs w:val="20"/>
          <w:lang w:val="en-US"/>
        </w:rPr>
        <w:t>NII</w:t>
      </w:r>
      <w:r w:rsidRPr="001976CD">
        <w:rPr>
          <w:rFonts w:eastAsia="Calibri" w:cs="Calibri"/>
          <w:szCs w:val="20"/>
          <w:lang w:val="en-US"/>
        </w:rPr>
        <w:t xml:space="preserve"> measures and Economic Value (</w:t>
      </w:r>
      <w:r w:rsidRPr="001976CD">
        <w:rPr>
          <w:rFonts w:eastAsia="Calibri" w:cs="Calibri"/>
          <w:i/>
          <w:szCs w:val="20"/>
          <w:lang w:val="en-US"/>
        </w:rPr>
        <w:t>EV</w:t>
      </w:r>
      <w:r w:rsidRPr="001976CD">
        <w:rPr>
          <w:rFonts w:eastAsia="Calibri" w:cs="Calibri"/>
          <w:szCs w:val="20"/>
          <w:lang w:val="en-US"/>
        </w:rPr>
        <w:t xml:space="preserve">) measures, such as </w:t>
      </w:r>
      <w:r w:rsidRPr="001976CD">
        <w:rPr>
          <w:rFonts w:eastAsia="Calibri" w:cs="Calibri"/>
          <w:i/>
          <w:szCs w:val="20"/>
          <w:lang w:val="en-US"/>
        </w:rPr>
        <w:t>SOT EVE</w:t>
      </w:r>
      <w:r w:rsidRPr="001976CD">
        <w:rPr>
          <w:rFonts w:eastAsia="Calibri" w:cs="Calibri"/>
          <w:szCs w:val="20"/>
          <w:lang w:val="en-US"/>
        </w:rPr>
        <w:t xml:space="preserve"> and </w:t>
      </w:r>
      <w:r w:rsidRPr="001976CD">
        <w:rPr>
          <w:rFonts w:eastAsia="Calibri" w:cs="Calibri"/>
          <w:i/>
          <w:szCs w:val="20"/>
          <w:lang w:val="en-US"/>
        </w:rPr>
        <w:t>SOT NII</w:t>
      </w:r>
      <w:r w:rsidRPr="001976CD">
        <w:rPr>
          <w:rFonts w:eastAsia="Calibri" w:cs="Calibri"/>
          <w:szCs w:val="20"/>
          <w:lang w:val="en-US"/>
        </w:rPr>
        <w:t>, while they should be complementary.</w:t>
      </w:r>
    </w:p>
    <w:p w14:paraId="11A1A6BF" w14:textId="77777777" w:rsidR="001976CD" w:rsidRPr="001976CD" w:rsidRDefault="001976CD" w:rsidP="00AF7168">
      <w:pPr>
        <w:suppressAutoHyphens w:val="0"/>
        <w:spacing w:after="60"/>
        <w:rPr>
          <w:rFonts w:eastAsia="Calibri" w:cs="Calibri"/>
          <w:b/>
          <w:szCs w:val="20"/>
          <w:lang w:val="en-US"/>
        </w:rPr>
      </w:pPr>
      <w:r w:rsidRPr="001976CD">
        <w:rPr>
          <w:rFonts w:eastAsia="Calibri" w:cs="Calibri"/>
          <w:b/>
          <w:szCs w:val="20"/>
          <w:lang w:val="en-US"/>
        </w:rPr>
        <w:t>NII should be kept as defined by interest income and expenses.</w:t>
      </w:r>
    </w:p>
    <w:p w14:paraId="0186969A" w14:textId="77777777" w:rsidR="001976CD" w:rsidRPr="001976CD" w:rsidRDefault="001976CD" w:rsidP="00AF7168">
      <w:pPr>
        <w:suppressAutoHyphens w:val="0"/>
        <w:spacing w:after="60"/>
        <w:rPr>
          <w:rFonts w:eastAsia="Calibri" w:cs="Calibri"/>
          <w:b/>
          <w:szCs w:val="20"/>
          <w:lang w:val="en-US"/>
        </w:rPr>
      </w:pPr>
    </w:p>
    <w:p w14:paraId="234C41AD" w14:textId="77777777" w:rsidR="001976CD" w:rsidRPr="001976CD" w:rsidRDefault="001976CD" w:rsidP="00AF7168">
      <w:pPr>
        <w:suppressAutoHyphens w:val="0"/>
        <w:spacing w:after="60"/>
        <w:rPr>
          <w:rFonts w:eastAsia="Calibri" w:cs="Arial"/>
          <w:b/>
          <w:szCs w:val="20"/>
        </w:rPr>
      </w:pPr>
      <w:r w:rsidRPr="001976CD">
        <w:rPr>
          <w:rFonts w:eastAsia="Calibri" w:cs="Calibri"/>
          <w:szCs w:val="20"/>
          <w:lang w:val="en-US"/>
        </w:rPr>
        <w:t xml:space="preserve">Last but not least, the final application date should be aligned with the </w:t>
      </w:r>
      <w:r w:rsidRPr="001976CD">
        <w:rPr>
          <w:rFonts w:eastAsia="Calibri" w:cs="Calibri"/>
          <w:i/>
          <w:szCs w:val="20"/>
          <w:lang w:val="en-US"/>
        </w:rPr>
        <w:t>Guideline</w:t>
      </w:r>
      <w:r w:rsidRPr="001976CD">
        <w:rPr>
          <w:rFonts w:eastAsia="Calibri" w:cs="Calibri"/>
          <w:szCs w:val="20"/>
          <w:lang w:val="en-US"/>
        </w:rPr>
        <w:t xml:space="preserve"> and the </w:t>
      </w:r>
      <w:r w:rsidRPr="001976CD">
        <w:rPr>
          <w:rFonts w:eastAsia="Calibri" w:cs="Calibri"/>
          <w:i/>
          <w:szCs w:val="20"/>
          <w:lang w:val="en-US"/>
        </w:rPr>
        <w:t>RTS</w:t>
      </w:r>
      <w:r w:rsidRPr="001976CD">
        <w:rPr>
          <w:rFonts w:eastAsia="Calibri" w:cs="Calibri"/>
          <w:szCs w:val="20"/>
          <w:lang w:val="en-US"/>
        </w:rPr>
        <w:t xml:space="preserve"> on </w:t>
      </w:r>
      <w:r w:rsidRPr="001976CD">
        <w:rPr>
          <w:rFonts w:eastAsia="Calibri" w:cs="Calibri"/>
          <w:i/>
          <w:szCs w:val="20"/>
          <w:lang w:val="en-US"/>
        </w:rPr>
        <w:t>Supervisory Outlier Tests</w:t>
      </w:r>
      <w:r w:rsidRPr="001976CD">
        <w:rPr>
          <w:rFonts w:eastAsia="Calibri" w:cs="Calibri"/>
          <w:szCs w:val="20"/>
          <w:lang w:val="en-US"/>
        </w:rPr>
        <w:t xml:space="preserve">. </w:t>
      </w:r>
    </w:p>
    <w:p w14:paraId="3F805860" w14:textId="77777777" w:rsidR="001976CD" w:rsidRPr="001976CD" w:rsidRDefault="001976CD" w:rsidP="001976CD">
      <w:pPr>
        <w:suppressAutoHyphens w:val="0"/>
        <w:spacing w:after="60" w:line="259" w:lineRule="auto"/>
        <w:rPr>
          <w:rFonts w:eastAsia="Calibri" w:cs="Arial"/>
          <w:b/>
          <w:szCs w:val="20"/>
        </w:rPr>
      </w:pPr>
      <w:r w:rsidRPr="001976CD">
        <w:rPr>
          <w:rFonts w:eastAsia="Calibri" w:cs="Arial"/>
          <w:b/>
          <w:szCs w:val="20"/>
        </w:rPr>
        <w:br w:type="page"/>
      </w:r>
    </w:p>
    <w:p w14:paraId="3ED48E82" w14:textId="1AA8038E" w:rsidR="00D57DE6" w:rsidRPr="006D1A6D" w:rsidRDefault="001976CD" w:rsidP="000340BB">
      <w:pPr>
        <w:rPr>
          <w:b/>
          <w:bCs/>
          <w:sz w:val="24"/>
        </w:rPr>
      </w:pPr>
      <w:r w:rsidRPr="006D1A6D">
        <w:rPr>
          <w:b/>
          <w:bCs/>
          <w:sz w:val="24"/>
        </w:rPr>
        <w:lastRenderedPageBreak/>
        <w:t>European Banking Authority (EBA) Consultation Paper (CP) on the</w:t>
      </w:r>
      <w:r w:rsidR="000340BB" w:rsidRPr="006D1A6D">
        <w:rPr>
          <w:b/>
          <w:bCs/>
          <w:sz w:val="24"/>
        </w:rPr>
        <w:t xml:space="preserve"> </w:t>
      </w:r>
      <w:r w:rsidRPr="006D1A6D">
        <w:rPr>
          <w:b/>
          <w:bCs/>
          <w:sz w:val="24"/>
        </w:rPr>
        <w:t>Identification, Evaluation, Management and Mitigation of Risks Arising from Potential Changes in Interest Rates and of the Assessment and Monitoring of Credit Spread risk,</w:t>
      </w:r>
      <w:r w:rsidR="000340BB" w:rsidRPr="006D1A6D">
        <w:rPr>
          <w:b/>
          <w:bCs/>
          <w:sz w:val="24"/>
        </w:rPr>
        <w:t xml:space="preserve"> </w:t>
      </w:r>
      <w:r w:rsidRPr="006D1A6D">
        <w:rPr>
          <w:b/>
          <w:bCs/>
          <w:sz w:val="24"/>
        </w:rPr>
        <w:t>of Institutions’ non-Trading Book Activities</w:t>
      </w:r>
      <w:r w:rsidR="00D57DE6" w:rsidRPr="006D1A6D">
        <w:rPr>
          <w:b/>
          <w:bCs/>
          <w:sz w:val="24"/>
        </w:rPr>
        <w:t xml:space="preserve"> </w:t>
      </w:r>
    </w:p>
    <w:p w14:paraId="39CB27A4" w14:textId="03F2E4A4" w:rsidR="001976CD" w:rsidRPr="00D57DE6" w:rsidRDefault="00D57DE6" w:rsidP="000340BB">
      <w:pPr>
        <w:rPr>
          <w:szCs w:val="20"/>
        </w:rPr>
      </w:pPr>
      <w:r>
        <w:rPr>
          <w:szCs w:val="20"/>
        </w:rPr>
        <w:t>(</w:t>
      </w:r>
      <w:r w:rsidR="001976CD" w:rsidRPr="00D57DE6">
        <w:rPr>
          <w:szCs w:val="20"/>
        </w:rPr>
        <w:t>Published 2 December 2021 with Consultation End 4 April 2022</w:t>
      </w:r>
      <w:r>
        <w:rPr>
          <w:szCs w:val="20"/>
        </w:rPr>
        <w:t>)</w:t>
      </w:r>
    </w:p>
    <w:p w14:paraId="41BC88C2" w14:textId="3FCFC845" w:rsidR="001976CD" w:rsidRDefault="001976CD" w:rsidP="00D57DE6">
      <w:pPr>
        <w:suppressAutoHyphens w:val="0"/>
        <w:spacing w:after="60"/>
        <w:rPr>
          <w:rFonts w:eastAsia="Calibri" w:cs="Arial"/>
          <w:i/>
          <w:szCs w:val="20"/>
          <w:u w:val="single"/>
          <w:lang w:val="en-US"/>
        </w:rPr>
      </w:pPr>
      <w:r w:rsidRPr="001976CD">
        <w:rPr>
          <w:rFonts w:eastAsia="Calibri" w:cs="Arial"/>
          <w:i/>
          <w:szCs w:val="20"/>
          <w:lang w:val="en-US"/>
        </w:rPr>
        <w:t xml:space="preserve">Link to Consultation Paper: </w:t>
      </w:r>
      <w:hyperlink r:id="rId14" w:history="1">
        <w:r w:rsidRPr="001976CD">
          <w:rPr>
            <w:rFonts w:eastAsia="Calibri" w:cs="Arial"/>
            <w:i/>
            <w:szCs w:val="20"/>
            <w:u w:val="single"/>
            <w:lang w:val="en-US"/>
          </w:rPr>
          <w:t>CP Draft GL on IRRBB and CSRBB.pdf (europa.eu)</w:t>
        </w:r>
      </w:hyperlink>
    </w:p>
    <w:p w14:paraId="76C7C4BC" w14:textId="2CB62F80" w:rsidR="001976CD" w:rsidRPr="001976CD" w:rsidRDefault="001976CD" w:rsidP="00BE440B">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 xml:space="preserve">Question 1: In the context of the measurement of the impact of IRRBB under internal systems, paragraph 111 envisages a </w:t>
      </w:r>
      <w:r w:rsidR="001557F3" w:rsidRPr="00BE440B">
        <w:rPr>
          <w:rFonts w:eastAsia="Calibri" w:cs="Times New Roman"/>
          <w:b/>
          <w:bCs/>
          <w:i/>
          <w:szCs w:val="20"/>
          <w:lang w:val="en-US" w:eastAsia="fr-FR"/>
        </w:rPr>
        <w:t>five-year</w:t>
      </w:r>
      <w:r w:rsidRPr="001976CD">
        <w:rPr>
          <w:rFonts w:eastAsia="Calibri" w:cs="Times New Roman"/>
          <w:b/>
          <w:bCs/>
          <w:i/>
          <w:szCs w:val="20"/>
          <w:lang w:val="en-US" w:eastAsia="fr-FR"/>
        </w:rPr>
        <w:t xml:space="preserve"> cap repricing maturity for retail and non-financial wholesale deposits without a specified maturity. Would you foresee any unintended consequence or undesirable effect from this behavioural assumption in particular on certain business models or specific activities? If this is the case, please kindly provide concrete examples of it. </w:t>
      </w:r>
    </w:p>
    <w:p w14:paraId="68D3534F"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0E2FF703" w14:textId="77777777" w:rsidR="001976CD" w:rsidRPr="001976CD" w:rsidRDefault="001976CD" w:rsidP="00BE440B">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a new limitation to the duration of Non Maturing Deposits (</w:t>
      </w:r>
      <w:r w:rsidRPr="001976CD">
        <w:rPr>
          <w:rFonts w:eastAsia="Calibri" w:cs="Calibri"/>
          <w:b/>
          <w:i/>
          <w:szCs w:val="20"/>
          <w:lang w:val="en-US"/>
        </w:rPr>
        <w:t>NMD’s</w:t>
      </w:r>
      <w:r w:rsidRPr="001976CD">
        <w:rPr>
          <w:rFonts w:eastAsia="Calibri" w:cs="Calibri"/>
          <w:b/>
          <w:szCs w:val="20"/>
          <w:lang w:val="en-US"/>
        </w:rPr>
        <w:t>)</w:t>
      </w:r>
      <w:r w:rsidRPr="001976CD">
        <w:rPr>
          <w:rFonts w:eastAsia="Calibri" w:cs="Calibri"/>
          <w:szCs w:val="20"/>
          <w:lang w:val="en-US"/>
        </w:rPr>
        <w:t xml:space="preserve"> (i.e. a 5 year cap on NMD’s from retail and non-financial wholesale, and a 0 year cap on </w:t>
      </w:r>
      <w:r w:rsidRPr="001976CD">
        <w:rPr>
          <w:rFonts w:eastAsia="Calibri" w:cs="Calibri"/>
          <w:i/>
          <w:szCs w:val="20"/>
          <w:lang w:val="en-US"/>
        </w:rPr>
        <w:t>NMD’s</w:t>
      </w:r>
      <w:r w:rsidRPr="001976CD">
        <w:rPr>
          <w:rFonts w:eastAsia="Calibri" w:cs="Calibri"/>
          <w:szCs w:val="20"/>
          <w:lang w:val="en-US"/>
        </w:rPr>
        <w:t xml:space="preserve"> from financial customers) following a said “prudent” approach. These caps are inconsistent with a prudent approach since interest rate risk is a symmetric risk. Without any economic justification, they would lead to inappropriate measurement and management if incorporated in a management framework. Such caps are neither in CRR / CRD nor in </w:t>
      </w:r>
      <w:r w:rsidRPr="001976CD">
        <w:rPr>
          <w:rFonts w:eastAsia="Calibri" w:cs="Calibri"/>
          <w:i/>
          <w:szCs w:val="20"/>
          <w:lang w:val="en-US"/>
        </w:rPr>
        <w:t xml:space="preserve">BCBS Standard </w:t>
      </w:r>
      <w:r w:rsidRPr="001976CD">
        <w:rPr>
          <w:rFonts w:eastAsia="Calibri" w:cs="Calibri"/>
          <w:iCs/>
          <w:szCs w:val="20"/>
          <w:lang w:val="en-US"/>
        </w:rPr>
        <w:t>(where such caps appear only in the non-mandatory standardized method).</w:t>
      </w:r>
    </w:p>
    <w:p w14:paraId="6123E47C" w14:textId="35B7C99A" w:rsidR="001976CD" w:rsidRPr="001976CD" w:rsidRDefault="001976CD" w:rsidP="00BE440B">
      <w:pPr>
        <w:suppressAutoHyphens w:val="0"/>
        <w:spacing w:after="60" w:line="259" w:lineRule="auto"/>
        <w:ind w:left="357"/>
        <w:rPr>
          <w:rFonts w:eastAsia="Calibri" w:cs="Calibri"/>
          <w:szCs w:val="20"/>
          <w:lang w:val="en-US"/>
        </w:rPr>
      </w:pPr>
      <w:r w:rsidRPr="001976CD">
        <w:rPr>
          <w:rFonts w:eastAsia="Calibri" w:cs="Calibri"/>
          <w:szCs w:val="20"/>
          <w:lang w:val="en-US"/>
        </w:rPr>
        <w:t xml:space="preserve">Such caps would not only be at odds with evidence for some </w:t>
      </w:r>
      <w:r w:rsidRPr="001976CD">
        <w:rPr>
          <w:rFonts w:eastAsia="Calibri" w:cs="Calibri"/>
          <w:i/>
          <w:szCs w:val="20"/>
          <w:lang w:val="en-US"/>
        </w:rPr>
        <w:t>NMD</w:t>
      </w:r>
      <w:r w:rsidRPr="001976CD">
        <w:rPr>
          <w:rFonts w:eastAsia="Calibri" w:cs="Calibri"/>
          <w:szCs w:val="20"/>
          <w:lang w:val="en-US"/>
        </w:rPr>
        <w:t xml:space="preserve">’s but would jeopardize the business models whereby the </w:t>
      </w:r>
      <w:r w:rsidRPr="001976CD">
        <w:rPr>
          <w:rFonts w:eastAsia="Calibri" w:cs="Calibri"/>
          <w:i/>
          <w:szCs w:val="20"/>
          <w:lang w:val="en-US"/>
        </w:rPr>
        <w:t>NMD</w:t>
      </w:r>
      <w:r w:rsidRPr="001976CD">
        <w:rPr>
          <w:rFonts w:eastAsia="Calibri" w:cs="Calibri"/>
          <w:szCs w:val="20"/>
          <w:lang w:val="en-US"/>
        </w:rPr>
        <w:t xml:space="preserve">’s are a natural offset of </w:t>
      </w:r>
      <w:r w:rsidR="001557F3" w:rsidRPr="001976CD">
        <w:rPr>
          <w:rFonts w:eastAsia="Calibri" w:cs="Calibri"/>
          <w:szCs w:val="20"/>
          <w:lang w:val="en-US"/>
        </w:rPr>
        <w:t>long-term</w:t>
      </w:r>
      <w:r w:rsidRPr="001976CD">
        <w:rPr>
          <w:rFonts w:eastAsia="Calibri" w:cs="Calibri"/>
          <w:szCs w:val="20"/>
          <w:lang w:val="en-US"/>
        </w:rPr>
        <w:t xml:space="preserve"> fixed rate loans (e.g. fixed rate mortgages). This would lead to wrong interest rate risk mitigation transactions, expose banks to more interest rate risk and force a change in business models by modifying the capacity to offer long-term loans to customers.</w:t>
      </w:r>
    </w:p>
    <w:p w14:paraId="3901644E" w14:textId="77777777" w:rsidR="001976CD" w:rsidRPr="001976CD" w:rsidRDefault="001976CD" w:rsidP="00BE440B">
      <w:pPr>
        <w:suppressAutoHyphens w:val="0"/>
        <w:spacing w:after="60" w:line="259" w:lineRule="auto"/>
        <w:ind w:left="357"/>
        <w:rPr>
          <w:rFonts w:eastAsia="Calibri" w:cs="Calibri"/>
          <w:szCs w:val="20"/>
          <w:lang w:val="en-US"/>
        </w:rPr>
      </w:pPr>
      <w:r w:rsidRPr="001976CD">
        <w:rPr>
          <w:rFonts w:eastAsia="Calibri" w:cs="Calibri"/>
          <w:szCs w:val="20"/>
          <w:lang w:val="en-US"/>
        </w:rPr>
        <w:t xml:space="preserve">Furthermore, the mandate to the </w:t>
      </w:r>
      <w:r w:rsidRPr="001976CD">
        <w:rPr>
          <w:rFonts w:eastAsia="Calibri" w:cs="Calibri"/>
          <w:i/>
          <w:szCs w:val="20"/>
          <w:lang w:val="en-US"/>
        </w:rPr>
        <w:t>EBA</w:t>
      </w:r>
      <w:r w:rsidRPr="001976CD">
        <w:rPr>
          <w:rFonts w:eastAsia="Calibri" w:cs="Calibri"/>
          <w:szCs w:val="20"/>
          <w:lang w:val="en-US"/>
        </w:rPr>
        <w:t xml:space="preserve"> on the definition of </w:t>
      </w:r>
      <w:r w:rsidRPr="001976CD">
        <w:rPr>
          <w:rFonts w:eastAsia="Calibri" w:cs="Calibri"/>
          <w:i/>
          <w:szCs w:val="20"/>
          <w:lang w:val="en-US"/>
        </w:rPr>
        <w:t>SOT</w:t>
      </w:r>
      <w:r w:rsidRPr="001976CD">
        <w:rPr>
          <w:rFonts w:eastAsia="Calibri" w:cs="Calibri"/>
          <w:szCs w:val="20"/>
          <w:lang w:val="en-US"/>
        </w:rPr>
        <w:t xml:space="preserve"> explicitly </w:t>
      </w:r>
      <w:r w:rsidRPr="001976CD">
        <w:rPr>
          <w:rFonts w:eastAsia="Calibri" w:cs="Calibri"/>
          <w:i/>
          <w:szCs w:val="20"/>
          <w:lang w:val="en-US"/>
        </w:rPr>
        <w:t>excludes</w:t>
      </w:r>
      <w:r w:rsidRPr="001976CD">
        <w:rPr>
          <w:rFonts w:eastAsia="Calibri" w:cs="Calibri"/>
          <w:szCs w:val="20"/>
          <w:lang w:val="en-US"/>
        </w:rPr>
        <w:t xml:space="preserve"> behavioural assumptions (</w:t>
      </w:r>
      <w:r w:rsidRPr="001976CD">
        <w:rPr>
          <w:rFonts w:eastAsia="Calibri" w:cs="Calibri"/>
          <w:i/>
          <w:szCs w:val="20"/>
          <w:lang w:val="en-US"/>
        </w:rPr>
        <w:t>CRD</w:t>
      </w:r>
      <w:r w:rsidRPr="001976CD">
        <w:rPr>
          <w:rFonts w:eastAsia="Calibri" w:cs="Calibri"/>
          <w:szCs w:val="20"/>
          <w:lang w:val="en-US"/>
        </w:rPr>
        <w:t> Art.98(5a): ‘</w:t>
      </w:r>
      <w:r w:rsidRPr="001976CD">
        <w:rPr>
          <w:rFonts w:eastAsia="Calibri" w:cs="Calibri"/>
          <w:i/>
          <w:szCs w:val="20"/>
          <w:lang w:val="en-US"/>
        </w:rPr>
        <w:t xml:space="preserve">common modelling and parametric assumptions, </w:t>
      </w:r>
      <w:r w:rsidRPr="001976CD">
        <w:rPr>
          <w:rFonts w:eastAsia="Calibri" w:cs="Calibri"/>
          <w:i/>
          <w:szCs w:val="20"/>
          <w:u w:val="single"/>
          <w:lang w:val="en-US"/>
        </w:rPr>
        <w:t>excluding behavioural assumptions</w:t>
      </w:r>
      <w:r w:rsidRPr="001976CD">
        <w:rPr>
          <w:rFonts w:eastAsia="Calibri" w:cs="Calibri"/>
          <w:szCs w:val="20"/>
          <w:lang w:val="en-US"/>
        </w:rPr>
        <w:t xml:space="preserve">). The suggested introduction of caps on </w:t>
      </w:r>
      <w:r w:rsidRPr="001976CD">
        <w:rPr>
          <w:rFonts w:eastAsia="Calibri" w:cs="Calibri"/>
          <w:i/>
          <w:szCs w:val="20"/>
          <w:lang w:val="en-US"/>
        </w:rPr>
        <w:t>NMD’s</w:t>
      </w:r>
      <w:r w:rsidRPr="001976CD">
        <w:rPr>
          <w:rFonts w:eastAsia="Calibri" w:cs="Calibri"/>
          <w:szCs w:val="20"/>
          <w:lang w:val="en-US"/>
        </w:rPr>
        <w:t xml:space="preserve"> in the general framework of </w:t>
      </w:r>
      <w:r w:rsidRPr="001976CD">
        <w:rPr>
          <w:rFonts w:eastAsia="Calibri" w:cs="Calibri"/>
          <w:i/>
          <w:szCs w:val="20"/>
          <w:lang w:val="en-US"/>
        </w:rPr>
        <w:t>IRRBB</w:t>
      </w:r>
      <w:r w:rsidRPr="001976CD">
        <w:rPr>
          <w:rFonts w:eastAsia="Calibri" w:cs="Calibri"/>
          <w:szCs w:val="20"/>
          <w:lang w:val="en-US"/>
        </w:rPr>
        <w:t xml:space="preserve"> management appears as </w:t>
      </w:r>
      <w:r w:rsidRPr="001976CD">
        <w:rPr>
          <w:rFonts w:eastAsia="Calibri" w:cs="Calibri"/>
          <w:i/>
          <w:szCs w:val="20"/>
          <w:lang w:val="en-US"/>
        </w:rPr>
        <w:t>EBA</w:t>
      </w:r>
      <w:r w:rsidRPr="001976CD">
        <w:rPr>
          <w:rFonts w:eastAsia="Calibri" w:cs="Calibri"/>
          <w:szCs w:val="20"/>
          <w:lang w:val="en-US"/>
        </w:rPr>
        <w:t xml:space="preserve"> working around the mandates that it received. </w:t>
      </w:r>
    </w:p>
    <w:p w14:paraId="0571D676" w14:textId="4B0408FA" w:rsidR="001976CD" w:rsidRDefault="001976CD" w:rsidP="001976CD">
      <w:pPr>
        <w:suppressAutoHyphens w:val="0"/>
        <w:spacing w:after="60"/>
        <w:ind w:left="357"/>
        <w:rPr>
          <w:rFonts w:eastAsia="Calibri" w:cs="Calibri"/>
          <w:szCs w:val="20"/>
          <w:lang w:val="en-US"/>
        </w:rPr>
      </w:pPr>
      <w:r w:rsidRPr="001976CD">
        <w:rPr>
          <w:rFonts w:eastAsia="Calibri" w:cs="Calibri"/>
          <w:b/>
          <w:szCs w:val="20"/>
          <w:lang w:val="en-US"/>
        </w:rPr>
        <w:t xml:space="preserve">Suggested caps on </w:t>
      </w:r>
      <w:r w:rsidRPr="001976CD">
        <w:rPr>
          <w:rFonts w:eastAsia="Calibri" w:cs="Calibri"/>
          <w:b/>
          <w:i/>
          <w:szCs w:val="20"/>
          <w:lang w:val="en-US"/>
        </w:rPr>
        <w:t>NMD</w:t>
      </w:r>
      <w:r w:rsidRPr="001976CD">
        <w:rPr>
          <w:rFonts w:eastAsia="Calibri" w:cs="Calibri"/>
          <w:b/>
          <w:szCs w:val="20"/>
          <w:lang w:val="en-US"/>
        </w:rPr>
        <w:t>’s should be deleted</w:t>
      </w:r>
      <w:r w:rsidRPr="001976CD">
        <w:rPr>
          <w:rFonts w:eastAsia="Calibri" w:cs="Calibri"/>
          <w:szCs w:val="20"/>
          <w:lang w:val="en-US"/>
        </w:rPr>
        <w:t xml:space="preserve">. </w:t>
      </w:r>
    </w:p>
    <w:p w14:paraId="74D94206" w14:textId="77777777" w:rsidR="00BE440B" w:rsidRPr="001976CD" w:rsidRDefault="00BE440B" w:rsidP="001976CD">
      <w:pPr>
        <w:suppressAutoHyphens w:val="0"/>
        <w:spacing w:after="60"/>
        <w:ind w:left="357"/>
        <w:rPr>
          <w:rFonts w:eastAsia="Calibri" w:cs="Calibri"/>
          <w:szCs w:val="20"/>
          <w:lang w:val="en-US"/>
        </w:rPr>
      </w:pPr>
    </w:p>
    <w:p w14:paraId="73819C77" w14:textId="77777777" w:rsidR="001976CD" w:rsidRPr="001976CD" w:rsidRDefault="001976CD" w:rsidP="00BE440B">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2: Do respondents find that the criteria to identify non-satisfactory IRRBB internal models provide the minimum elements for supervisors’ assessment?</w:t>
      </w:r>
    </w:p>
    <w:p w14:paraId="4E5C75BE"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4C1DE53F" w14:textId="77777777" w:rsidR="001976CD" w:rsidRPr="001976CD" w:rsidRDefault="001976CD" w:rsidP="001557F3">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szCs w:val="20"/>
          <w:lang w:val="en-US"/>
        </w:rPr>
        <w:t xml:space="preserve">the </w:t>
      </w:r>
      <w:r w:rsidRPr="001976CD">
        <w:rPr>
          <w:rFonts w:eastAsia="Calibri" w:cs="Calibri"/>
          <w:i/>
          <w:szCs w:val="20"/>
          <w:lang w:val="en-US"/>
        </w:rPr>
        <w:t>CP</w:t>
      </w:r>
      <w:r w:rsidRPr="001976CD">
        <w:rPr>
          <w:rFonts w:eastAsia="Calibri" w:cs="Calibri"/>
          <w:szCs w:val="20"/>
          <w:lang w:val="en-US"/>
        </w:rPr>
        <w:t xml:space="preserve"> provides principles for the assessment by competent authorities of the management framework for </w:t>
      </w:r>
      <w:r w:rsidRPr="001976CD">
        <w:rPr>
          <w:rFonts w:eastAsia="Calibri" w:cs="Calibri"/>
          <w:i/>
          <w:szCs w:val="20"/>
          <w:lang w:val="en-US"/>
        </w:rPr>
        <w:t>IRRBB</w:t>
      </w:r>
      <w:r w:rsidRPr="001976CD">
        <w:rPr>
          <w:rFonts w:eastAsia="Calibri" w:cs="Calibri"/>
          <w:szCs w:val="20"/>
          <w:lang w:val="en-US"/>
        </w:rPr>
        <w:t xml:space="preserve"> and </w:t>
      </w:r>
      <w:r w:rsidRPr="001976CD">
        <w:rPr>
          <w:rFonts w:eastAsia="Calibri" w:cs="Calibri"/>
          <w:i/>
          <w:szCs w:val="20"/>
          <w:lang w:val="en-US"/>
        </w:rPr>
        <w:t>CSRBB</w:t>
      </w:r>
      <w:r w:rsidRPr="001976CD">
        <w:rPr>
          <w:rFonts w:eastAsia="Calibri" w:cs="Calibri"/>
          <w:szCs w:val="20"/>
          <w:lang w:val="en-US"/>
        </w:rPr>
        <w:t xml:space="preserve">. Broadly, those principles make sense to cover the different dimensions of the management framework. However, to the </w:t>
      </w:r>
      <w:r w:rsidRPr="001976CD">
        <w:rPr>
          <w:rFonts w:eastAsia="Calibri" w:cs="Calibri"/>
          <w:szCs w:val="20"/>
          <w:lang w:val="en-US"/>
        </w:rPr>
        <w:lastRenderedPageBreak/>
        <w:t xml:space="preserve">extent that the assessment could lead competent authorities to require banks to apply the </w:t>
      </w:r>
      <w:r w:rsidRPr="001976CD">
        <w:rPr>
          <w:rFonts w:eastAsia="Calibri" w:cs="Calibri"/>
          <w:i/>
          <w:szCs w:val="20"/>
          <w:lang w:val="en-US"/>
        </w:rPr>
        <w:t>Standardized Methodology</w:t>
      </w:r>
      <w:r w:rsidRPr="001976CD">
        <w:rPr>
          <w:rFonts w:eastAsia="Calibri" w:cs="Calibri"/>
          <w:szCs w:val="20"/>
          <w:lang w:val="en-US"/>
        </w:rPr>
        <w:t xml:space="preserve"> for the evaluation of </w:t>
      </w:r>
      <w:r w:rsidRPr="001976CD">
        <w:rPr>
          <w:rFonts w:eastAsia="Calibri" w:cs="Calibri"/>
          <w:i/>
          <w:szCs w:val="20"/>
          <w:lang w:val="en-US"/>
        </w:rPr>
        <w:t>IRRBB</w:t>
      </w:r>
      <w:r w:rsidRPr="001976CD">
        <w:rPr>
          <w:rFonts w:eastAsia="Calibri" w:cs="Calibri"/>
          <w:szCs w:val="20"/>
          <w:lang w:val="en-US"/>
        </w:rPr>
        <w:t xml:space="preserve">, it is essential to better frame the conditions under which banks such a requirement could apply. </w:t>
      </w:r>
    </w:p>
    <w:p w14:paraId="31F078F4" w14:textId="77777777" w:rsidR="001976CD" w:rsidRPr="001976CD" w:rsidRDefault="001976CD" w:rsidP="001557F3">
      <w:pPr>
        <w:suppressAutoHyphens w:val="0"/>
        <w:spacing w:after="60" w:line="259" w:lineRule="auto"/>
        <w:ind w:left="357"/>
        <w:rPr>
          <w:rFonts w:eastAsia="Calibri" w:cs="Calibri"/>
          <w:szCs w:val="20"/>
          <w:lang w:val="en-US"/>
        </w:rPr>
      </w:pPr>
      <w:r w:rsidRPr="001976CD">
        <w:rPr>
          <w:rFonts w:eastAsia="Calibri" w:cs="Calibri"/>
          <w:b/>
          <w:szCs w:val="20"/>
          <w:lang w:val="en-US"/>
        </w:rPr>
        <w:t xml:space="preserve">The requirement to apply the </w:t>
      </w:r>
      <w:r w:rsidRPr="001976CD">
        <w:rPr>
          <w:rFonts w:eastAsia="Calibri" w:cs="Calibri"/>
          <w:b/>
          <w:i/>
          <w:szCs w:val="20"/>
          <w:lang w:val="en-US"/>
        </w:rPr>
        <w:t>Standardized Methodology</w:t>
      </w:r>
      <w:r w:rsidRPr="001976CD">
        <w:rPr>
          <w:rFonts w:eastAsia="Calibri" w:cs="Calibri"/>
          <w:b/>
          <w:szCs w:val="20"/>
          <w:lang w:val="en-US"/>
        </w:rPr>
        <w:t xml:space="preserve"> for the evaluation should relate to the evaluation component of the Internal Management System (</w:t>
      </w:r>
      <w:r w:rsidRPr="001976CD">
        <w:rPr>
          <w:rFonts w:eastAsia="Calibri" w:cs="Calibri"/>
          <w:b/>
          <w:i/>
          <w:szCs w:val="20"/>
          <w:lang w:val="en-US"/>
        </w:rPr>
        <w:t>IMS</w:t>
      </w:r>
      <w:r w:rsidRPr="001976CD">
        <w:rPr>
          <w:rFonts w:eastAsia="Calibri" w:cs="Calibri"/>
          <w:b/>
          <w:szCs w:val="20"/>
          <w:lang w:val="en-US"/>
        </w:rPr>
        <w:t>) that should be evidenced as non-satisfactory</w:t>
      </w:r>
      <w:r w:rsidRPr="001976CD">
        <w:rPr>
          <w:rFonts w:eastAsia="Calibri" w:cs="Calibri"/>
          <w:szCs w:val="20"/>
          <w:lang w:val="en-US"/>
        </w:rPr>
        <w:t xml:space="preserve">. In other words, a framework that would be assessed as non-satisfactory for issues that are </w:t>
      </w:r>
      <w:r w:rsidRPr="001976CD">
        <w:rPr>
          <w:rFonts w:eastAsia="Calibri" w:cs="Calibri"/>
          <w:i/>
          <w:szCs w:val="20"/>
          <w:lang w:val="en-US"/>
        </w:rPr>
        <w:t>not</w:t>
      </w:r>
      <w:r w:rsidRPr="001976CD">
        <w:rPr>
          <w:rFonts w:eastAsia="Calibri" w:cs="Calibri"/>
          <w:szCs w:val="20"/>
          <w:lang w:val="en-US"/>
        </w:rPr>
        <w:t xml:space="preserve"> related to its evaluation component of its </w:t>
      </w:r>
      <w:r w:rsidRPr="001976CD">
        <w:rPr>
          <w:rFonts w:eastAsia="Calibri" w:cs="Calibri"/>
          <w:i/>
          <w:szCs w:val="20"/>
          <w:lang w:val="en-US"/>
        </w:rPr>
        <w:t>IMS</w:t>
      </w:r>
      <w:r w:rsidRPr="001976CD">
        <w:rPr>
          <w:rFonts w:eastAsia="Calibri" w:cs="Calibri"/>
          <w:szCs w:val="20"/>
          <w:lang w:val="en-US"/>
        </w:rPr>
        <w:t xml:space="preserve"> should </w:t>
      </w:r>
      <w:r w:rsidRPr="001976CD">
        <w:rPr>
          <w:rFonts w:eastAsia="Calibri" w:cs="Calibri"/>
          <w:i/>
          <w:szCs w:val="20"/>
          <w:lang w:val="en-US"/>
        </w:rPr>
        <w:t>not</w:t>
      </w:r>
      <w:r w:rsidRPr="001976CD">
        <w:rPr>
          <w:rFonts w:eastAsia="Calibri" w:cs="Calibri"/>
          <w:szCs w:val="20"/>
          <w:lang w:val="en-US"/>
        </w:rPr>
        <w:t xml:space="preserve"> lead to require using the </w:t>
      </w:r>
      <w:r w:rsidRPr="001976CD">
        <w:rPr>
          <w:rFonts w:eastAsia="Calibri" w:cs="Calibri"/>
          <w:i/>
          <w:szCs w:val="20"/>
          <w:lang w:val="en-US"/>
        </w:rPr>
        <w:t>Standardized Methodology</w:t>
      </w:r>
      <w:r w:rsidRPr="001976CD">
        <w:rPr>
          <w:rFonts w:eastAsia="Calibri" w:cs="Calibri"/>
          <w:szCs w:val="20"/>
          <w:lang w:val="en-US"/>
        </w:rPr>
        <w:t>.</w:t>
      </w:r>
    </w:p>
    <w:p w14:paraId="715D0506" w14:textId="78DF32E8" w:rsidR="001976CD" w:rsidRPr="001976CD" w:rsidRDefault="001976CD" w:rsidP="001557F3">
      <w:pPr>
        <w:suppressAutoHyphens w:val="0"/>
        <w:spacing w:after="60" w:line="259" w:lineRule="auto"/>
        <w:ind w:left="357"/>
        <w:rPr>
          <w:rFonts w:eastAsia="Calibri" w:cs="Calibri"/>
          <w:szCs w:val="20"/>
          <w:lang w:val="en-US"/>
        </w:rPr>
      </w:pPr>
      <w:r w:rsidRPr="001976CD">
        <w:rPr>
          <w:rFonts w:eastAsia="Calibri" w:cs="Calibri"/>
          <w:szCs w:val="20"/>
          <w:lang w:val="en-US"/>
        </w:rPr>
        <w:t xml:space="preserve">As any </w:t>
      </w:r>
      <w:r w:rsidRPr="001976CD">
        <w:rPr>
          <w:rFonts w:eastAsia="Calibri" w:cs="Calibri"/>
          <w:i/>
          <w:szCs w:val="20"/>
          <w:lang w:val="en-US"/>
        </w:rPr>
        <w:t>Standardized Methodology</w:t>
      </w:r>
      <w:r w:rsidRPr="001976CD">
        <w:rPr>
          <w:rFonts w:eastAsia="Calibri" w:cs="Calibri"/>
          <w:szCs w:val="20"/>
          <w:lang w:val="en-US"/>
        </w:rPr>
        <w:t xml:space="preserve"> would not be risk sensitive, as made clear by </w:t>
      </w:r>
      <w:r w:rsidRPr="001976CD">
        <w:rPr>
          <w:rFonts w:eastAsia="Calibri" w:cs="Calibri"/>
          <w:i/>
          <w:szCs w:val="20"/>
          <w:lang w:val="en-US"/>
        </w:rPr>
        <w:t>BCBS</w:t>
      </w:r>
      <w:r w:rsidRPr="001976CD">
        <w:rPr>
          <w:rFonts w:eastAsia="Calibri" w:cs="Calibri"/>
          <w:szCs w:val="20"/>
          <w:lang w:val="en-US"/>
        </w:rPr>
        <w:t xml:space="preserve">, </w:t>
      </w:r>
      <w:r w:rsidRPr="001976CD">
        <w:rPr>
          <w:rFonts w:eastAsia="Calibri" w:cs="Calibri"/>
          <w:b/>
          <w:szCs w:val="20"/>
          <w:lang w:val="en-US"/>
        </w:rPr>
        <w:t xml:space="preserve">it should be clarified that requiring its application should follow a careful analysis to evidence whether the </w:t>
      </w:r>
      <w:r w:rsidRPr="001976CD">
        <w:rPr>
          <w:rFonts w:eastAsia="Calibri" w:cs="Calibri"/>
          <w:b/>
          <w:i/>
          <w:szCs w:val="20"/>
          <w:lang w:val="en-US"/>
        </w:rPr>
        <w:t>Standardized Methodology</w:t>
      </w:r>
      <w:r w:rsidRPr="001976CD">
        <w:rPr>
          <w:rFonts w:eastAsia="Calibri" w:cs="Calibri"/>
          <w:b/>
          <w:szCs w:val="20"/>
          <w:lang w:val="en-US"/>
        </w:rPr>
        <w:t xml:space="preserve"> would be more risk sensitive than the </w:t>
      </w:r>
      <w:r w:rsidRPr="001976CD">
        <w:rPr>
          <w:rFonts w:eastAsia="Calibri" w:cs="Calibri"/>
          <w:b/>
          <w:i/>
          <w:szCs w:val="20"/>
          <w:lang w:val="en-US"/>
        </w:rPr>
        <w:t>IMS</w:t>
      </w:r>
      <w:r w:rsidRPr="001976CD">
        <w:rPr>
          <w:rFonts w:eastAsia="Calibri" w:cs="Calibri"/>
          <w:b/>
          <w:szCs w:val="20"/>
          <w:lang w:val="en-US"/>
        </w:rPr>
        <w:t xml:space="preserve"> evaluation it would substitute. Bar such an evidence, </w:t>
      </w:r>
      <w:r w:rsidRPr="001976CD">
        <w:rPr>
          <w:rFonts w:eastAsia="Calibri" w:cs="Calibri"/>
          <w:b/>
          <w:i/>
          <w:szCs w:val="20"/>
          <w:lang w:val="en-US"/>
        </w:rPr>
        <w:t>Standardized Methodology</w:t>
      </w:r>
      <w:r w:rsidRPr="001976CD">
        <w:rPr>
          <w:rFonts w:eastAsia="Calibri" w:cs="Calibri"/>
          <w:b/>
          <w:szCs w:val="20"/>
          <w:lang w:val="en-US"/>
        </w:rPr>
        <w:t xml:space="preserve"> should </w:t>
      </w:r>
      <w:r w:rsidRPr="001976CD">
        <w:rPr>
          <w:rFonts w:eastAsia="Calibri" w:cs="Calibri"/>
          <w:b/>
          <w:i/>
          <w:szCs w:val="20"/>
          <w:lang w:val="en-US"/>
        </w:rPr>
        <w:t>not</w:t>
      </w:r>
      <w:r w:rsidRPr="001976CD">
        <w:rPr>
          <w:rFonts w:eastAsia="Calibri" w:cs="Calibri"/>
          <w:b/>
          <w:szCs w:val="20"/>
          <w:lang w:val="en-US"/>
        </w:rPr>
        <w:t xml:space="preserve"> apply. Moreover, the GL should require competent authorities to grant institutions the possibility to remedy potential shortcomings in their IMS within a reasonable period of time before the Standardized Methodology is imposed. Last but not least, if the Standardized Methodology was imposed after all, this should only be temporary and a return to IMS should be allowed as soon as possible.</w:t>
      </w:r>
    </w:p>
    <w:p w14:paraId="1896B5F6" w14:textId="77777777" w:rsidR="001976CD" w:rsidRPr="001976CD" w:rsidRDefault="001976CD" w:rsidP="001557F3">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to change the definition of commonly understood Net Interest Income (</w:t>
      </w:r>
      <w:r w:rsidRPr="001976CD">
        <w:rPr>
          <w:rFonts w:eastAsia="Calibri" w:cs="Calibri"/>
          <w:b/>
          <w:i/>
          <w:szCs w:val="20"/>
          <w:lang w:val="en-US"/>
        </w:rPr>
        <w:t>NII</w:t>
      </w:r>
      <w:r w:rsidRPr="001976CD">
        <w:rPr>
          <w:rFonts w:eastAsia="Calibri" w:cs="Calibri"/>
          <w:b/>
          <w:szCs w:val="20"/>
          <w:lang w:val="en-US"/>
        </w:rPr>
        <w:t>) to include changes in fair values of instruments</w:t>
      </w:r>
      <w:r w:rsidRPr="001976CD">
        <w:rPr>
          <w:rFonts w:eastAsia="Calibri" w:cs="Calibri"/>
          <w:szCs w:val="20"/>
          <w:lang w:val="en-US"/>
        </w:rPr>
        <w:t xml:space="preserve"> even though they are not part of </w:t>
      </w:r>
      <w:r w:rsidRPr="001976CD">
        <w:rPr>
          <w:rFonts w:eastAsia="Calibri" w:cs="Calibri"/>
          <w:i/>
          <w:szCs w:val="20"/>
          <w:lang w:val="en-US"/>
        </w:rPr>
        <w:t>NII</w:t>
      </w:r>
      <w:r w:rsidRPr="001976CD">
        <w:rPr>
          <w:rFonts w:eastAsia="Calibri" w:cs="Calibri"/>
          <w:szCs w:val="20"/>
          <w:lang w:val="en-US"/>
        </w:rPr>
        <w:t xml:space="preserve">. This appears as a deviation from the </w:t>
      </w:r>
      <w:r w:rsidRPr="001976CD">
        <w:rPr>
          <w:rFonts w:eastAsia="Calibri" w:cs="Calibri"/>
          <w:i/>
          <w:szCs w:val="20"/>
          <w:lang w:val="en-US"/>
        </w:rPr>
        <w:t>CRR</w:t>
      </w:r>
      <w:r w:rsidRPr="001976CD">
        <w:rPr>
          <w:rFonts w:eastAsia="Calibri" w:cs="Calibri"/>
          <w:szCs w:val="20"/>
          <w:lang w:val="en-US"/>
        </w:rPr>
        <w:t xml:space="preserve"> mandate that explicitly refers to </w:t>
      </w:r>
      <w:r w:rsidRPr="001976CD">
        <w:rPr>
          <w:rFonts w:eastAsia="Calibri" w:cs="Calibri"/>
          <w:i/>
          <w:szCs w:val="20"/>
          <w:lang w:val="en-US"/>
        </w:rPr>
        <w:t>NII</w:t>
      </w:r>
      <w:r w:rsidRPr="001976CD">
        <w:rPr>
          <w:rFonts w:eastAsia="Calibri" w:cs="Calibri"/>
          <w:szCs w:val="20"/>
          <w:lang w:val="en-US"/>
        </w:rPr>
        <w:t xml:space="preserve">. It also deviates from </w:t>
      </w:r>
      <w:r w:rsidRPr="001976CD">
        <w:rPr>
          <w:rFonts w:eastAsia="Calibri" w:cs="Calibri"/>
          <w:i/>
          <w:szCs w:val="20"/>
          <w:lang w:val="en-US"/>
        </w:rPr>
        <w:t>BCBS Standards</w:t>
      </w:r>
      <w:r w:rsidRPr="001976CD">
        <w:rPr>
          <w:rFonts w:eastAsia="Calibri" w:cs="Calibri"/>
          <w:szCs w:val="20"/>
          <w:lang w:val="en-US"/>
        </w:rPr>
        <w:t xml:space="preserve"> that is quite explicit that it refers to </w:t>
      </w:r>
      <w:r w:rsidRPr="001976CD">
        <w:rPr>
          <w:rFonts w:eastAsia="Calibri" w:cs="Calibri"/>
          <w:i/>
          <w:szCs w:val="20"/>
          <w:lang w:val="en-US"/>
        </w:rPr>
        <w:t>NII</w:t>
      </w:r>
      <w:r w:rsidRPr="001976CD">
        <w:rPr>
          <w:rFonts w:eastAsia="Calibri" w:cs="Calibri"/>
          <w:szCs w:val="20"/>
          <w:lang w:val="en-US"/>
        </w:rPr>
        <w:t xml:space="preserve"> excluding changes in fair values that do not affect </w:t>
      </w:r>
      <w:r w:rsidRPr="001976CD">
        <w:rPr>
          <w:rFonts w:eastAsia="Calibri" w:cs="Calibri"/>
          <w:i/>
          <w:szCs w:val="20"/>
          <w:lang w:val="en-US"/>
        </w:rPr>
        <w:t>NII</w:t>
      </w:r>
      <w:r w:rsidRPr="001976CD">
        <w:rPr>
          <w:rFonts w:eastAsia="Calibri" w:cs="Calibri"/>
          <w:szCs w:val="20"/>
          <w:lang w:val="en-US"/>
        </w:rPr>
        <w:t>. This would also be at odds with actual risk management and would introduce overlapping between NII measures and Economic Value (</w:t>
      </w:r>
      <w:r w:rsidRPr="001976CD">
        <w:rPr>
          <w:rFonts w:eastAsia="Calibri" w:cs="Calibri"/>
          <w:i/>
          <w:szCs w:val="20"/>
          <w:lang w:val="en-US"/>
        </w:rPr>
        <w:t>EV</w:t>
      </w:r>
      <w:r w:rsidRPr="001976CD">
        <w:rPr>
          <w:rFonts w:eastAsia="Calibri" w:cs="Calibri"/>
          <w:szCs w:val="20"/>
          <w:lang w:val="en-US"/>
        </w:rPr>
        <w:t>) measures while they should be complementary.</w:t>
      </w:r>
    </w:p>
    <w:p w14:paraId="68CF5EBA" w14:textId="77777777" w:rsidR="001976CD" w:rsidRPr="001976CD" w:rsidRDefault="001976CD" w:rsidP="001557F3">
      <w:pPr>
        <w:suppressAutoHyphens w:val="0"/>
        <w:spacing w:after="60"/>
        <w:ind w:left="357"/>
        <w:rPr>
          <w:rFonts w:eastAsia="Calibri" w:cs="Calibri"/>
          <w:b/>
          <w:szCs w:val="20"/>
          <w:lang w:val="en-US"/>
        </w:rPr>
      </w:pPr>
      <w:r w:rsidRPr="001976CD">
        <w:rPr>
          <w:rFonts w:eastAsia="Calibri" w:cs="Calibri"/>
          <w:b/>
          <w:szCs w:val="20"/>
          <w:lang w:val="en-US"/>
        </w:rPr>
        <w:t>NII should be kept as defined by interest income and expenses.</w:t>
      </w:r>
    </w:p>
    <w:p w14:paraId="767206E5" w14:textId="77777777" w:rsidR="001976CD" w:rsidRPr="001976CD" w:rsidRDefault="001976CD" w:rsidP="001976CD">
      <w:pPr>
        <w:suppressAutoHyphens w:val="0"/>
        <w:spacing w:after="60" w:line="259" w:lineRule="auto"/>
        <w:rPr>
          <w:rFonts w:eastAsia="Calibri" w:cs="Arial"/>
          <w:szCs w:val="20"/>
          <w:lang w:val="en-US"/>
        </w:rPr>
      </w:pPr>
    </w:p>
    <w:p w14:paraId="0F7F6CAA" w14:textId="77777777" w:rsidR="001976CD" w:rsidRPr="001976CD" w:rsidRDefault="001976CD" w:rsidP="00BE440B">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3: Is there any specific element in the definition of CSRBB that is not clear enough for the required assessment and monitoring of CSRBB by institutions?</w:t>
      </w:r>
    </w:p>
    <w:p w14:paraId="267877C6"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76979B60" w14:textId="77777777" w:rsidR="001976CD" w:rsidRPr="001976CD" w:rsidRDefault="001976CD" w:rsidP="001557F3">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dramatic changes to the definition and scope of Credit Spread Risk in the Banking Book (</w:t>
      </w:r>
      <w:r w:rsidRPr="001976CD">
        <w:rPr>
          <w:rFonts w:eastAsia="Calibri" w:cs="Calibri"/>
          <w:b/>
          <w:i/>
          <w:szCs w:val="20"/>
          <w:lang w:val="en-US"/>
        </w:rPr>
        <w:t>CSRBB</w:t>
      </w:r>
      <w:r w:rsidRPr="001976CD">
        <w:rPr>
          <w:rFonts w:eastAsia="Calibri" w:cs="Calibri"/>
          <w:b/>
          <w:szCs w:val="20"/>
          <w:lang w:val="en-US"/>
        </w:rPr>
        <w:t>)</w:t>
      </w:r>
      <w:r w:rsidRPr="001976CD">
        <w:rPr>
          <w:rFonts w:eastAsia="Calibri" w:cs="Calibri"/>
          <w:szCs w:val="20"/>
          <w:lang w:val="en-US"/>
        </w:rPr>
        <w:t xml:space="preserve"> while the </w:t>
      </w:r>
      <w:r w:rsidRPr="001976CD">
        <w:rPr>
          <w:rFonts w:eastAsia="Calibri" w:cs="Calibri"/>
          <w:i/>
          <w:szCs w:val="20"/>
          <w:lang w:val="en-US"/>
        </w:rPr>
        <w:t>July 2018 EBA Guideline</w:t>
      </w:r>
      <w:r w:rsidRPr="001976CD">
        <w:rPr>
          <w:rFonts w:eastAsia="Calibri" w:cs="Calibri"/>
          <w:szCs w:val="20"/>
          <w:lang w:val="en-US"/>
        </w:rPr>
        <w:t xml:space="preserve"> already implemented the </w:t>
      </w:r>
      <w:r w:rsidRPr="001976CD">
        <w:rPr>
          <w:rFonts w:eastAsia="Calibri" w:cs="Calibri"/>
          <w:i/>
          <w:szCs w:val="20"/>
          <w:lang w:val="en-US"/>
        </w:rPr>
        <w:t>BCBS Standard</w:t>
      </w:r>
      <w:r w:rsidRPr="001976CD">
        <w:rPr>
          <w:rFonts w:eastAsia="Calibri" w:cs="Calibri"/>
          <w:szCs w:val="20"/>
          <w:lang w:val="en-US"/>
        </w:rPr>
        <w:t xml:space="preserve"> that has not changed since then. The envisaged changes are not substantiated and they would also introduce significant confusions and complexities. </w:t>
      </w:r>
    </w:p>
    <w:p w14:paraId="3130B7C6" w14:textId="77777777" w:rsidR="001976CD" w:rsidRPr="001976CD" w:rsidRDefault="001976CD" w:rsidP="001557F3">
      <w:pPr>
        <w:suppressAutoHyphens w:val="0"/>
        <w:spacing w:after="60"/>
        <w:ind w:left="357"/>
        <w:rPr>
          <w:rFonts w:eastAsia="Calibri" w:cs="Calibri"/>
          <w:b/>
          <w:szCs w:val="20"/>
          <w:lang w:val="en-US"/>
        </w:rPr>
      </w:pPr>
      <w:r w:rsidRPr="001976CD">
        <w:rPr>
          <w:rFonts w:eastAsia="Calibri" w:cs="Calibri"/>
          <w:b/>
          <w:i/>
          <w:szCs w:val="20"/>
          <w:lang w:val="en-US"/>
        </w:rPr>
        <w:t>CSRBB</w:t>
      </w:r>
      <w:r w:rsidRPr="001976CD">
        <w:rPr>
          <w:rFonts w:eastAsia="Calibri" w:cs="Calibri"/>
          <w:b/>
          <w:szCs w:val="20"/>
          <w:lang w:val="en-US"/>
        </w:rPr>
        <w:t xml:space="preserve"> should relate to fair-valued assets that are actively traded on a deep and liquid markets so as to have identifiable and measurable market perception and changes thereof. Derivatives, if any, that are hedging </w:t>
      </w:r>
      <w:r w:rsidRPr="001976CD">
        <w:rPr>
          <w:rFonts w:eastAsia="Calibri" w:cs="Calibri"/>
          <w:b/>
          <w:i/>
          <w:szCs w:val="20"/>
          <w:lang w:val="en-US"/>
        </w:rPr>
        <w:t>CSRBB</w:t>
      </w:r>
      <w:r w:rsidRPr="001976CD">
        <w:rPr>
          <w:rFonts w:eastAsia="Calibri" w:cs="Calibri"/>
          <w:b/>
          <w:szCs w:val="20"/>
          <w:lang w:val="en-US"/>
        </w:rPr>
        <w:t xml:space="preserve"> should be clarified as included in </w:t>
      </w:r>
      <w:r w:rsidRPr="001976CD">
        <w:rPr>
          <w:rFonts w:eastAsia="Calibri" w:cs="Calibri"/>
          <w:b/>
          <w:i/>
          <w:szCs w:val="20"/>
          <w:lang w:val="en-US"/>
        </w:rPr>
        <w:t>CSRBB</w:t>
      </w:r>
      <w:r w:rsidRPr="001976CD">
        <w:rPr>
          <w:rFonts w:eastAsia="Calibri" w:cs="Calibri"/>
          <w:b/>
          <w:szCs w:val="20"/>
          <w:lang w:val="en-US"/>
        </w:rPr>
        <w:t xml:space="preserve">. Pension obligations and pension plan assets should be clarified as being excluded from </w:t>
      </w:r>
      <w:r w:rsidRPr="001976CD">
        <w:rPr>
          <w:rFonts w:eastAsia="Calibri" w:cs="Calibri"/>
          <w:b/>
          <w:i/>
          <w:szCs w:val="20"/>
          <w:lang w:val="en-US"/>
        </w:rPr>
        <w:t>CSRBB</w:t>
      </w:r>
      <w:r w:rsidRPr="001976CD">
        <w:rPr>
          <w:rFonts w:eastAsia="Calibri" w:cs="Calibri"/>
          <w:b/>
          <w:szCs w:val="20"/>
          <w:lang w:val="en-US"/>
        </w:rPr>
        <w:t>.</w:t>
      </w:r>
    </w:p>
    <w:p w14:paraId="3506F12F" w14:textId="6276F8A0" w:rsidR="001976CD" w:rsidRPr="001976CD" w:rsidRDefault="001976CD" w:rsidP="001557F3">
      <w:pPr>
        <w:suppressAutoHyphens w:val="0"/>
        <w:spacing w:after="60"/>
        <w:ind w:left="357"/>
        <w:rPr>
          <w:rFonts w:eastAsia="Calibri" w:cs="Calibri"/>
          <w:bCs/>
          <w:iCs/>
          <w:szCs w:val="20"/>
          <w:lang w:val="en-US"/>
        </w:rPr>
      </w:pPr>
      <w:r w:rsidRPr="001976CD">
        <w:rPr>
          <w:rFonts w:eastAsia="Calibri" w:cs="Calibri"/>
          <w:bCs/>
          <w:iCs/>
          <w:szCs w:val="20"/>
          <w:lang w:val="en-US"/>
        </w:rPr>
        <w:lastRenderedPageBreak/>
        <w:t xml:space="preserve">We also noted that the </w:t>
      </w:r>
      <w:r w:rsidRPr="001976CD">
        <w:rPr>
          <w:rFonts w:eastAsia="Calibri" w:cs="Calibri"/>
          <w:bCs/>
          <w:i/>
          <w:iCs/>
          <w:szCs w:val="20"/>
          <w:lang w:val="en-US"/>
        </w:rPr>
        <w:t>EBA</w:t>
      </w:r>
      <w:r w:rsidRPr="001976CD">
        <w:rPr>
          <w:rFonts w:eastAsia="Calibri" w:cs="Calibri"/>
          <w:bCs/>
          <w:iCs/>
          <w:szCs w:val="20"/>
          <w:lang w:val="en-US"/>
        </w:rPr>
        <w:t xml:space="preserve"> by means of article 14 has expanded the scope of article 84.6c for </w:t>
      </w:r>
      <w:r w:rsidRPr="001976CD">
        <w:rPr>
          <w:rFonts w:eastAsia="Calibri" w:cs="Calibri"/>
          <w:bCs/>
          <w:i/>
          <w:iCs/>
          <w:szCs w:val="20"/>
          <w:lang w:val="en-US"/>
        </w:rPr>
        <w:t>CSRBB</w:t>
      </w:r>
      <w:r w:rsidRPr="001976CD">
        <w:rPr>
          <w:rFonts w:eastAsia="Calibri" w:cs="Calibri"/>
          <w:bCs/>
          <w:iCs/>
          <w:szCs w:val="20"/>
          <w:lang w:val="en-US"/>
        </w:rPr>
        <w:t xml:space="preserve">, where institutions are only obliged to assess and monitor credit spread risk. Article 14 of this CP would also </w:t>
      </w:r>
      <w:r w:rsidR="001277D1" w:rsidRPr="001976CD">
        <w:rPr>
          <w:rFonts w:eastAsia="Calibri" w:cs="Calibri"/>
          <w:bCs/>
          <w:iCs/>
          <w:szCs w:val="20"/>
          <w:lang w:val="en-US"/>
        </w:rPr>
        <w:t>oblige</w:t>
      </w:r>
      <w:r w:rsidRPr="001976CD">
        <w:rPr>
          <w:rFonts w:eastAsia="Calibri" w:cs="Calibri"/>
          <w:bCs/>
          <w:iCs/>
          <w:szCs w:val="20"/>
          <w:lang w:val="en-US"/>
        </w:rPr>
        <w:t xml:space="preserve"> institutions to control credit spread risk. </w:t>
      </w:r>
      <w:r w:rsidR="001277D1" w:rsidRPr="001976CD">
        <w:rPr>
          <w:rFonts w:eastAsia="Calibri" w:cs="Calibri"/>
          <w:bCs/>
          <w:iCs/>
          <w:szCs w:val="20"/>
          <w:lang w:val="en-US"/>
        </w:rPr>
        <w:t>However,</w:t>
      </w:r>
      <w:r w:rsidRPr="001976CD">
        <w:rPr>
          <w:rFonts w:eastAsia="Calibri" w:cs="Calibri"/>
          <w:bCs/>
          <w:iCs/>
          <w:szCs w:val="20"/>
          <w:lang w:val="en-US"/>
        </w:rPr>
        <w:t xml:space="preserve"> in article 84 the </w:t>
      </w:r>
      <w:r w:rsidRPr="001976CD">
        <w:rPr>
          <w:rFonts w:eastAsia="Calibri" w:cs="Calibri"/>
          <w:bCs/>
          <w:i/>
          <w:iCs/>
          <w:szCs w:val="20"/>
          <w:lang w:val="en-US"/>
        </w:rPr>
        <w:t>CRD</w:t>
      </w:r>
      <w:r w:rsidRPr="001976CD">
        <w:rPr>
          <w:rFonts w:eastAsia="Calibri" w:cs="Calibri"/>
          <w:bCs/>
          <w:iCs/>
          <w:szCs w:val="20"/>
          <w:lang w:val="en-US"/>
        </w:rPr>
        <w:t xml:space="preserve"> explicitly differentiates between </w:t>
      </w:r>
      <w:r w:rsidRPr="001976CD">
        <w:rPr>
          <w:rFonts w:eastAsia="Calibri" w:cs="Calibri"/>
          <w:bCs/>
          <w:i/>
          <w:iCs/>
          <w:szCs w:val="20"/>
          <w:lang w:val="en-US"/>
        </w:rPr>
        <w:t>IRRBB</w:t>
      </w:r>
      <w:r w:rsidRPr="001976CD">
        <w:rPr>
          <w:rFonts w:eastAsia="Calibri" w:cs="Calibri"/>
          <w:bCs/>
          <w:iCs/>
          <w:szCs w:val="20"/>
          <w:lang w:val="en-US"/>
        </w:rPr>
        <w:t xml:space="preserve"> and </w:t>
      </w:r>
      <w:r w:rsidRPr="001976CD">
        <w:rPr>
          <w:rFonts w:eastAsia="Calibri" w:cs="Calibri"/>
          <w:bCs/>
          <w:i/>
          <w:iCs/>
          <w:szCs w:val="20"/>
          <w:lang w:val="en-US"/>
        </w:rPr>
        <w:t>CSRBB</w:t>
      </w:r>
      <w:r w:rsidRPr="001976CD">
        <w:rPr>
          <w:rFonts w:eastAsia="Calibri" w:cs="Calibri"/>
          <w:bCs/>
          <w:iCs/>
          <w:szCs w:val="20"/>
          <w:lang w:val="en-US"/>
        </w:rPr>
        <w:t xml:space="preserve">, where the management and mitigation is limited to </w:t>
      </w:r>
      <w:r w:rsidRPr="001976CD">
        <w:rPr>
          <w:rFonts w:eastAsia="Calibri" w:cs="Calibri"/>
          <w:bCs/>
          <w:i/>
          <w:iCs/>
          <w:szCs w:val="20"/>
          <w:lang w:val="en-US"/>
        </w:rPr>
        <w:t>IRRBB</w:t>
      </w:r>
      <w:r w:rsidRPr="001976CD">
        <w:rPr>
          <w:rFonts w:eastAsia="Calibri" w:cs="Calibri"/>
          <w:bCs/>
          <w:iCs/>
          <w:szCs w:val="20"/>
          <w:lang w:val="en-US"/>
        </w:rPr>
        <w:t xml:space="preserve">. Therefore, asking institutions to control credit spread is beyond the mandate of the </w:t>
      </w:r>
      <w:r w:rsidRPr="001976CD">
        <w:rPr>
          <w:rFonts w:eastAsia="Calibri" w:cs="Calibri"/>
          <w:bCs/>
          <w:i/>
          <w:iCs/>
          <w:szCs w:val="20"/>
          <w:lang w:val="en-US"/>
        </w:rPr>
        <w:t>EBA</w:t>
      </w:r>
      <w:r w:rsidRPr="001976CD">
        <w:rPr>
          <w:rFonts w:eastAsia="Calibri" w:cs="Calibri"/>
          <w:bCs/>
          <w:iCs/>
          <w:szCs w:val="20"/>
          <w:lang w:val="en-US"/>
        </w:rPr>
        <w:t xml:space="preserve"> and not deemed proportionate.</w:t>
      </w:r>
    </w:p>
    <w:p w14:paraId="665F7223" w14:textId="77777777" w:rsidR="001976CD" w:rsidRPr="001976CD" w:rsidRDefault="001976CD" w:rsidP="001557F3">
      <w:pPr>
        <w:suppressAutoHyphens w:val="0"/>
        <w:spacing w:after="60" w:line="259" w:lineRule="auto"/>
        <w:rPr>
          <w:rFonts w:eastAsia="Calibri" w:cs="Arial"/>
          <w:szCs w:val="20"/>
          <w:lang w:val="en-US"/>
        </w:rPr>
      </w:pPr>
    </w:p>
    <w:p w14:paraId="76AA8F4A" w14:textId="77777777" w:rsidR="001976CD" w:rsidRPr="001976CD" w:rsidRDefault="001976CD" w:rsidP="00BE440B">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 xml:space="preserve">Question 4: As to the suggested perimeter of items exposed to CSRBB, would you consider any specific conceptual or operational challenge to implement it? </w:t>
      </w:r>
    </w:p>
    <w:p w14:paraId="0847FD47" w14:textId="77777777" w:rsidR="001976CD" w:rsidRPr="001976CD" w:rsidRDefault="001976CD" w:rsidP="001557F3">
      <w:pPr>
        <w:keepNext/>
        <w:suppressAutoHyphens w:val="0"/>
        <w:spacing w:before="360"/>
        <w:rPr>
          <w:rFonts w:eastAsia="Calibri" w:cs="Calibri"/>
          <w:b/>
          <w:i/>
          <w:szCs w:val="20"/>
          <w:lang w:val="en-US"/>
        </w:rPr>
      </w:pPr>
      <w:r w:rsidRPr="001976CD">
        <w:rPr>
          <w:rFonts w:eastAsia="Calibri" w:cs="Calibri"/>
          <w:b/>
          <w:i/>
          <w:szCs w:val="20"/>
          <w:lang w:val="en-US"/>
        </w:rPr>
        <w:t>Response:</w:t>
      </w:r>
    </w:p>
    <w:p w14:paraId="4CCC35C7" w14:textId="77777777" w:rsidR="001976CD" w:rsidRPr="001976CD" w:rsidRDefault="001976CD" w:rsidP="001557F3">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dramatic changes to the definition and scope of Credit Spread Risk in the Banking Book (</w:t>
      </w:r>
      <w:r w:rsidRPr="001976CD">
        <w:rPr>
          <w:rFonts w:eastAsia="Calibri" w:cs="Calibri"/>
          <w:b/>
          <w:i/>
          <w:szCs w:val="20"/>
          <w:lang w:val="en-US"/>
        </w:rPr>
        <w:t>CSRBB</w:t>
      </w:r>
      <w:r w:rsidRPr="001976CD">
        <w:rPr>
          <w:rFonts w:eastAsia="Calibri" w:cs="Calibri"/>
          <w:b/>
          <w:szCs w:val="20"/>
          <w:lang w:val="en-US"/>
        </w:rPr>
        <w:t>)</w:t>
      </w:r>
      <w:r w:rsidRPr="001976CD">
        <w:rPr>
          <w:rFonts w:eastAsia="Calibri" w:cs="Calibri"/>
          <w:szCs w:val="20"/>
          <w:lang w:val="en-US"/>
        </w:rPr>
        <w:t xml:space="preserve"> while the </w:t>
      </w:r>
      <w:r w:rsidRPr="001976CD">
        <w:rPr>
          <w:rFonts w:eastAsia="Calibri" w:cs="Calibri"/>
          <w:i/>
          <w:szCs w:val="20"/>
          <w:lang w:val="en-US"/>
        </w:rPr>
        <w:t>July 2018 EBA Guideline</w:t>
      </w:r>
      <w:r w:rsidRPr="001976CD">
        <w:rPr>
          <w:rFonts w:eastAsia="Calibri" w:cs="Calibri"/>
          <w:szCs w:val="20"/>
          <w:lang w:val="en-US"/>
        </w:rPr>
        <w:t xml:space="preserve"> already implemented the </w:t>
      </w:r>
      <w:r w:rsidRPr="001976CD">
        <w:rPr>
          <w:rFonts w:eastAsia="Calibri" w:cs="Calibri"/>
          <w:i/>
          <w:szCs w:val="20"/>
          <w:lang w:val="en-US"/>
        </w:rPr>
        <w:t>BCBS Standard</w:t>
      </w:r>
      <w:r w:rsidRPr="001976CD">
        <w:rPr>
          <w:rFonts w:eastAsia="Calibri" w:cs="Calibri"/>
          <w:szCs w:val="20"/>
          <w:lang w:val="en-US"/>
        </w:rPr>
        <w:t xml:space="preserve"> that has not changed since then. The envisaged changes are not substantiated and they would also introduce significant confusions and complexities. </w:t>
      </w:r>
    </w:p>
    <w:p w14:paraId="5137FAD8" w14:textId="77777777" w:rsidR="001976CD" w:rsidRPr="001976CD" w:rsidRDefault="001976CD" w:rsidP="001557F3">
      <w:pPr>
        <w:suppressAutoHyphens w:val="0"/>
        <w:spacing w:after="60"/>
        <w:ind w:left="357"/>
        <w:rPr>
          <w:rFonts w:eastAsia="Calibri" w:cs="Calibri"/>
          <w:b/>
          <w:szCs w:val="20"/>
          <w:lang w:val="en-US"/>
        </w:rPr>
      </w:pPr>
      <w:r w:rsidRPr="001976CD">
        <w:rPr>
          <w:rFonts w:eastAsia="Calibri" w:cs="Calibri"/>
          <w:b/>
          <w:i/>
          <w:szCs w:val="20"/>
          <w:lang w:val="en-US"/>
        </w:rPr>
        <w:t>CSRBB</w:t>
      </w:r>
      <w:r w:rsidRPr="001976CD">
        <w:rPr>
          <w:rFonts w:eastAsia="Calibri" w:cs="Calibri"/>
          <w:b/>
          <w:szCs w:val="20"/>
          <w:lang w:val="en-US"/>
        </w:rPr>
        <w:t xml:space="preserve"> should relate to fair-valued assets that are actively traded on a deep and liquid markets so as to have identifiable and measurable market perception and changes thereof. Derivatives, if any, that are hedging </w:t>
      </w:r>
      <w:r w:rsidRPr="001976CD">
        <w:rPr>
          <w:rFonts w:eastAsia="Calibri" w:cs="Calibri"/>
          <w:b/>
          <w:i/>
          <w:szCs w:val="20"/>
          <w:lang w:val="en-US"/>
        </w:rPr>
        <w:t>CSRBB</w:t>
      </w:r>
      <w:r w:rsidRPr="001976CD">
        <w:rPr>
          <w:rFonts w:eastAsia="Calibri" w:cs="Calibri"/>
          <w:b/>
          <w:szCs w:val="20"/>
          <w:lang w:val="en-US"/>
        </w:rPr>
        <w:t xml:space="preserve"> should be clarified as included in </w:t>
      </w:r>
      <w:r w:rsidRPr="001976CD">
        <w:rPr>
          <w:rFonts w:eastAsia="Calibri" w:cs="Calibri"/>
          <w:b/>
          <w:i/>
          <w:szCs w:val="20"/>
          <w:lang w:val="en-US"/>
        </w:rPr>
        <w:t>CSRBB</w:t>
      </w:r>
      <w:r w:rsidRPr="001976CD">
        <w:rPr>
          <w:rFonts w:eastAsia="Calibri" w:cs="Calibri"/>
          <w:b/>
          <w:szCs w:val="20"/>
          <w:lang w:val="en-US"/>
        </w:rPr>
        <w:t xml:space="preserve">. Pension obligations and pension plan assets should be clarified as being excluded from </w:t>
      </w:r>
      <w:r w:rsidRPr="001976CD">
        <w:rPr>
          <w:rFonts w:eastAsia="Calibri" w:cs="Calibri"/>
          <w:b/>
          <w:i/>
          <w:szCs w:val="20"/>
          <w:lang w:val="en-US"/>
        </w:rPr>
        <w:t>CSRBB</w:t>
      </w:r>
      <w:r w:rsidRPr="001976CD">
        <w:rPr>
          <w:rFonts w:eastAsia="Calibri" w:cs="Calibri"/>
          <w:b/>
          <w:szCs w:val="20"/>
          <w:lang w:val="en-US"/>
        </w:rPr>
        <w:t>.</w:t>
      </w:r>
    </w:p>
    <w:p w14:paraId="6B9F0B5B" w14:textId="2B8C484A" w:rsidR="001976CD" w:rsidRPr="001976CD" w:rsidRDefault="001976CD" w:rsidP="001557F3">
      <w:pPr>
        <w:suppressAutoHyphens w:val="0"/>
        <w:spacing w:after="60"/>
        <w:ind w:left="357"/>
        <w:rPr>
          <w:rFonts w:eastAsia="Calibri" w:cs="Calibri"/>
          <w:bCs/>
          <w:iCs/>
          <w:szCs w:val="20"/>
          <w:lang w:val="en-US"/>
        </w:rPr>
      </w:pPr>
      <w:r w:rsidRPr="001976CD">
        <w:rPr>
          <w:rFonts w:eastAsia="Calibri" w:cs="Calibri"/>
          <w:bCs/>
          <w:iCs/>
          <w:szCs w:val="20"/>
          <w:lang w:val="en-US"/>
        </w:rPr>
        <w:t xml:space="preserve">We also noted that the </w:t>
      </w:r>
      <w:r w:rsidRPr="001976CD">
        <w:rPr>
          <w:rFonts w:eastAsia="Calibri" w:cs="Calibri"/>
          <w:bCs/>
          <w:i/>
          <w:iCs/>
          <w:szCs w:val="20"/>
          <w:lang w:val="en-US"/>
        </w:rPr>
        <w:t>EBA</w:t>
      </w:r>
      <w:r w:rsidRPr="001976CD">
        <w:rPr>
          <w:rFonts w:eastAsia="Calibri" w:cs="Calibri"/>
          <w:bCs/>
          <w:iCs/>
          <w:szCs w:val="20"/>
          <w:lang w:val="en-US"/>
        </w:rPr>
        <w:t xml:space="preserve"> by means of article 14 has expanded the scope of article 84.6c for </w:t>
      </w:r>
      <w:r w:rsidRPr="001976CD">
        <w:rPr>
          <w:rFonts w:eastAsia="Calibri" w:cs="Calibri"/>
          <w:bCs/>
          <w:i/>
          <w:iCs/>
          <w:szCs w:val="20"/>
          <w:lang w:val="en-US"/>
        </w:rPr>
        <w:t>CSRBB</w:t>
      </w:r>
      <w:r w:rsidRPr="001976CD">
        <w:rPr>
          <w:rFonts w:eastAsia="Calibri" w:cs="Calibri"/>
          <w:bCs/>
          <w:iCs/>
          <w:szCs w:val="20"/>
          <w:lang w:val="en-US"/>
        </w:rPr>
        <w:t xml:space="preserve">, where institutions are only obliged to assess and monitor credit spread risk. Article 14 of this CP would also </w:t>
      </w:r>
      <w:r w:rsidR="001277D1" w:rsidRPr="001976CD">
        <w:rPr>
          <w:rFonts w:eastAsia="Calibri" w:cs="Calibri"/>
          <w:bCs/>
          <w:iCs/>
          <w:szCs w:val="20"/>
          <w:lang w:val="en-US"/>
        </w:rPr>
        <w:t>oblige</w:t>
      </w:r>
      <w:r w:rsidRPr="001976CD">
        <w:rPr>
          <w:rFonts w:eastAsia="Calibri" w:cs="Calibri"/>
          <w:bCs/>
          <w:iCs/>
          <w:szCs w:val="20"/>
          <w:lang w:val="en-US"/>
        </w:rPr>
        <w:t xml:space="preserve"> institutions to control credit spread risk. </w:t>
      </w:r>
      <w:r w:rsidR="001277D1" w:rsidRPr="001976CD">
        <w:rPr>
          <w:rFonts w:eastAsia="Calibri" w:cs="Calibri"/>
          <w:bCs/>
          <w:iCs/>
          <w:szCs w:val="20"/>
          <w:lang w:val="en-US"/>
        </w:rPr>
        <w:t>However,</w:t>
      </w:r>
      <w:r w:rsidRPr="001976CD">
        <w:rPr>
          <w:rFonts w:eastAsia="Calibri" w:cs="Calibri"/>
          <w:bCs/>
          <w:iCs/>
          <w:szCs w:val="20"/>
          <w:lang w:val="en-US"/>
        </w:rPr>
        <w:t xml:space="preserve"> in article 84 the </w:t>
      </w:r>
      <w:r w:rsidRPr="001976CD">
        <w:rPr>
          <w:rFonts w:eastAsia="Calibri" w:cs="Calibri"/>
          <w:bCs/>
          <w:i/>
          <w:iCs/>
          <w:szCs w:val="20"/>
          <w:lang w:val="en-US"/>
        </w:rPr>
        <w:t>CRD</w:t>
      </w:r>
      <w:r w:rsidRPr="001976CD">
        <w:rPr>
          <w:rFonts w:eastAsia="Calibri" w:cs="Calibri"/>
          <w:bCs/>
          <w:iCs/>
          <w:szCs w:val="20"/>
          <w:lang w:val="en-US"/>
        </w:rPr>
        <w:t xml:space="preserve"> explicitly differentiates between </w:t>
      </w:r>
      <w:r w:rsidRPr="001976CD">
        <w:rPr>
          <w:rFonts w:eastAsia="Calibri" w:cs="Calibri"/>
          <w:bCs/>
          <w:i/>
          <w:iCs/>
          <w:szCs w:val="20"/>
          <w:lang w:val="en-US"/>
        </w:rPr>
        <w:t>IRRBB</w:t>
      </w:r>
      <w:r w:rsidRPr="001976CD">
        <w:rPr>
          <w:rFonts w:eastAsia="Calibri" w:cs="Calibri"/>
          <w:bCs/>
          <w:iCs/>
          <w:szCs w:val="20"/>
          <w:lang w:val="en-US"/>
        </w:rPr>
        <w:t xml:space="preserve"> and </w:t>
      </w:r>
      <w:r w:rsidRPr="001976CD">
        <w:rPr>
          <w:rFonts w:eastAsia="Calibri" w:cs="Calibri"/>
          <w:bCs/>
          <w:i/>
          <w:iCs/>
          <w:szCs w:val="20"/>
          <w:lang w:val="en-US"/>
        </w:rPr>
        <w:t>CSRBB</w:t>
      </w:r>
      <w:r w:rsidRPr="001976CD">
        <w:rPr>
          <w:rFonts w:eastAsia="Calibri" w:cs="Calibri"/>
          <w:bCs/>
          <w:iCs/>
          <w:szCs w:val="20"/>
          <w:lang w:val="en-US"/>
        </w:rPr>
        <w:t xml:space="preserve">, where the management and mitigation is limited to </w:t>
      </w:r>
      <w:r w:rsidRPr="001976CD">
        <w:rPr>
          <w:rFonts w:eastAsia="Calibri" w:cs="Calibri"/>
          <w:bCs/>
          <w:i/>
          <w:iCs/>
          <w:szCs w:val="20"/>
          <w:lang w:val="en-US"/>
        </w:rPr>
        <w:t>IRRBB</w:t>
      </w:r>
      <w:r w:rsidRPr="001976CD">
        <w:rPr>
          <w:rFonts w:eastAsia="Calibri" w:cs="Calibri"/>
          <w:bCs/>
          <w:iCs/>
          <w:szCs w:val="20"/>
          <w:lang w:val="en-US"/>
        </w:rPr>
        <w:t xml:space="preserve">. Therefore, asking institutions to control credit spread is beyond the mandate of the </w:t>
      </w:r>
      <w:r w:rsidRPr="001976CD">
        <w:rPr>
          <w:rFonts w:eastAsia="Calibri" w:cs="Calibri"/>
          <w:bCs/>
          <w:i/>
          <w:iCs/>
          <w:szCs w:val="20"/>
          <w:lang w:val="en-US"/>
        </w:rPr>
        <w:t>EBA</w:t>
      </w:r>
      <w:r w:rsidRPr="001976CD">
        <w:rPr>
          <w:rFonts w:eastAsia="Calibri" w:cs="Calibri"/>
          <w:bCs/>
          <w:iCs/>
          <w:szCs w:val="20"/>
          <w:lang w:val="en-US"/>
        </w:rPr>
        <w:t xml:space="preserve"> and not deemed proportionate.</w:t>
      </w:r>
    </w:p>
    <w:p w14:paraId="4F83888F" w14:textId="77777777" w:rsidR="001976CD" w:rsidRPr="001976CD" w:rsidRDefault="001976CD" w:rsidP="001557F3">
      <w:pPr>
        <w:suppressAutoHyphens w:val="0"/>
        <w:spacing w:after="60" w:line="259" w:lineRule="auto"/>
        <w:rPr>
          <w:rFonts w:eastAsia="Calibri" w:cs="Arial"/>
          <w:szCs w:val="20"/>
          <w:lang w:val="en-US"/>
        </w:rPr>
      </w:pPr>
    </w:p>
    <w:p w14:paraId="041AC260" w14:textId="77777777" w:rsidR="001976CD" w:rsidRPr="001976CD" w:rsidRDefault="001976CD" w:rsidP="00BE440B">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 xml:space="preserve">Question 5: Is the separation of IRRBB and CSRBB sufficient to understand where the Guidelines apply to: </w:t>
      </w:r>
    </w:p>
    <w:p w14:paraId="119F89FC" w14:textId="77777777" w:rsidR="001976CD" w:rsidRPr="001976CD" w:rsidRDefault="001976CD" w:rsidP="00BE440B">
      <w:pPr>
        <w:keepNext/>
        <w:numPr>
          <w:ilvl w:val="0"/>
          <w:numId w:val="19"/>
        </w:numPr>
        <w:suppressAutoHyphens w:val="0"/>
        <w:autoSpaceDE w:val="0"/>
        <w:autoSpaceDN w:val="0"/>
        <w:adjustRightInd w:val="0"/>
        <w:spacing w:before="100" w:beforeAutospacing="1" w:after="100" w:afterAutospacing="1" w:line="259" w:lineRule="auto"/>
        <w:rPr>
          <w:rFonts w:eastAsia="Calibri" w:cs="Times New Roman"/>
          <w:b/>
          <w:bCs/>
          <w:i/>
          <w:szCs w:val="20"/>
          <w:lang w:val="en-US" w:eastAsia="fr-FR"/>
        </w:rPr>
      </w:pPr>
      <w:r w:rsidRPr="001976CD">
        <w:rPr>
          <w:rFonts w:eastAsia="Calibri" w:cs="Times New Roman"/>
          <w:b/>
          <w:bCs/>
          <w:i/>
          <w:szCs w:val="20"/>
          <w:lang w:val="en-US" w:eastAsia="fr-FR"/>
        </w:rPr>
        <w:t xml:space="preserve">IRRBB only </w:t>
      </w:r>
    </w:p>
    <w:p w14:paraId="307D495C" w14:textId="77777777" w:rsidR="001976CD" w:rsidRPr="001976CD" w:rsidRDefault="001976CD" w:rsidP="00BE440B">
      <w:pPr>
        <w:keepNext/>
        <w:numPr>
          <w:ilvl w:val="0"/>
          <w:numId w:val="19"/>
        </w:numPr>
        <w:suppressAutoHyphens w:val="0"/>
        <w:autoSpaceDE w:val="0"/>
        <w:autoSpaceDN w:val="0"/>
        <w:adjustRightInd w:val="0"/>
        <w:spacing w:before="100" w:beforeAutospacing="1" w:after="100" w:afterAutospacing="1" w:line="259" w:lineRule="auto"/>
        <w:rPr>
          <w:rFonts w:eastAsia="Calibri" w:cs="Times New Roman"/>
          <w:b/>
          <w:bCs/>
          <w:i/>
          <w:szCs w:val="20"/>
          <w:lang w:val="en-US" w:eastAsia="fr-FR"/>
        </w:rPr>
      </w:pPr>
      <w:r w:rsidRPr="001976CD">
        <w:rPr>
          <w:rFonts w:eastAsia="Calibri" w:cs="Times New Roman"/>
          <w:b/>
          <w:bCs/>
          <w:i/>
          <w:szCs w:val="20"/>
          <w:lang w:val="en-US" w:eastAsia="fr-FR"/>
        </w:rPr>
        <w:t xml:space="preserve">CSRBB only </w:t>
      </w:r>
    </w:p>
    <w:p w14:paraId="51742CD5" w14:textId="77777777" w:rsidR="001976CD" w:rsidRPr="001976CD" w:rsidRDefault="001976CD" w:rsidP="00BE440B">
      <w:pPr>
        <w:keepNext/>
        <w:numPr>
          <w:ilvl w:val="0"/>
          <w:numId w:val="19"/>
        </w:numPr>
        <w:suppressAutoHyphens w:val="0"/>
        <w:autoSpaceDE w:val="0"/>
        <w:autoSpaceDN w:val="0"/>
        <w:adjustRightInd w:val="0"/>
        <w:spacing w:before="100" w:beforeAutospacing="1" w:after="100" w:afterAutospacing="1" w:line="259" w:lineRule="auto"/>
        <w:rPr>
          <w:rFonts w:eastAsia="Calibri" w:cs="Times New Roman"/>
          <w:b/>
          <w:bCs/>
          <w:i/>
          <w:szCs w:val="20"/>
          <w:lang w:val="en-US" w:eastAsia="fr-FR"/>
        </w:rPr>
      </w:pPr>
      <w:r w:rsidRPr="001976CD">
        <w:rPr>
          <w:rFonts w:eastAsia="Calibri" w:cs="Times New Roman"/>
          <w:b/>
          <w:bCs/>
          <w:i/>
          <w:szCs w:val="20"/>
          <w:lang w:val="en-US" w:eastAsia="fr-FR"/>
        </w:rPr>
        <w:t xml:space="preserve">Both IRRBB and CSRBB? </w:t>
      </w:r>
    </w:p>
    <w:p w14:paraId="70E8BC1F" w14:textId="77777777" w:rsidR="001976CD" w:rsidRPr="001976CD" w:rsidRDefault="001976CD" w:rsidP="001557F3">
      <w:pPr>
        <w:keepNext/>
        <w:suppressAutoHyphens w:val="0"/>
        <w:spacing w:before="360"/>
        <w:rPr>
          <w:rFonts w:eastAsia="Calibri" w:cs="Calibri"/>
          <w:b/>
          <w:i/>
          <w:szCs w:val="20"/>
          <w:lang w:val="fr-FR"/>
        </w:rPr>
      </w:pPr>
      <w:r w:rsidRPr="001976CD">
        <w:rPr>
          <w:rFonts w:eastAsia="Calibri" w:cs="Calibri"/>
          <w:b/>
          <w:i/>
          <w:szCs w:val="20"/>
          <w:lang w:val="fr-FR"/>
        </w:rPr>
        <w:t>Response:</w:t>
      </w:r>
    </w:p>
    <w:p w14:paraId="2B85DBD0" w14:textId="77777777" w:rsidR="001976CD" w:rsidRPr="001976CD" w:rsidRDefault="001976CD" w:rsidP="001557F3">
      <w:pPr>
        <w:keepNext/>
        <w:suppressAutoHyphens w:val="0"/>
        <w:spacing w:after="60"/>
        <w:rPr>
          <w:rFonts w:eastAsia="Calibri" w:cs="Calibri"/>
          <w:szCs w:val="20"/>
          <w:lang w:val="en-US"/>
        </w:rPr>
      </w:pPr>
      <w:r w:rsidRPr="001976CD">
        <w:rPr>
          <w:rFonts w:eastAsia="Calibri" w:cs="Calibri"/>
          <w:szCs w:val="20"/>
          <w:lang w:val="en-US"/>
        </w:rPr>
        <w:t xml:space="preserve">We repeat our remark on the differentiating made in article 94.6 of </w:t>
      </w:r>
      <w:r w:rsidRPr="001976CD">
        <w:rPr>
          <w:rFonts w:eastAsia="Calibri" w:cs="Calibri"/>
          <w:i/>
          <w:szCs w:val="20"/>
          <w:lang w:val="en-US"/>
        </w:rPr>
        <w:t>CRD5</w:t>
      </w:r>
      <w:r w:rsidRPr="001976CD">
        <w:rPr>
          <w:rFonts w:eastAsia="Calibri" w:cs="Calibri"/>
          <w:szCs w:val="20"/>
          <w:lang w:val="en-US"/>
        </w:rPr>
        <w:t xml:space="preserve">, where the </w:t>
      </w:r>
      <w:r w:rsidRPr="001976CD">
        <w:rPr>
          <w:rFonts w:eastAsia="Calibri" w:cs="Calibri"/>
          <w:i/>
          <w:szCs w:val="20"/>
          <w:lang w:val="en-US"/>
        </w:rPr>
        <w:t>EBA</w:t>
      </w:r>
      <w:r w:rsidRPr="001976CD">
        <w:rPr>
          <w:rFonts w:eastAsia="Calibri" w:cs="Calibri"/>
          <w:szCs w:val="20"/>
          <w:lang w:val="en-US"/>
        </w:rPr>
        <w:t xml:space="preserve"> shall issue </w:t>
      </w:r>
      <w:r w:rsidRPr="001976CD">
        <w:rPr>
          <w:rFonts w:eastAsia="Calibri" w:cs="Calibri"/>
          <w:i/>
          <w:szCs w:val="20"/>
          <w:lang w:val="en-US"/>
        </w:rPr>
        <w:t>Guideline</w:t>
      </w:r>
      <w:r w:rsidRPr="001976CD">
        <w:rPr>
          <w:rFonts w:eastAsia="Calibri" w:cs="Calibri"/>
          <w:szCs w:val="20"/>
          <w:lang w:val="en-US"/>
        </w:rPr>
        <w:t xml:space="preserve"> to identify, manage and mitigate </w:t>
      </w:r>
      <w:r w:rsidRPr="001976CD">
        <w:rPr>
          <w:rFonts w:eastAsia="Calibri" w:cs="Calibri"/>
          <w:i/>
          <w:szCs w:val="20"/>
          <w:lang w:val="en-US"/>
        </w:rPr>
        <w:t>IRRBB</w:t>
      </w:r>
      <w:r w:rsidRPr="001976CD">
        <w:rPr>
          <w:rFonts w:eastAsia="Calibri" w:cs="Calibri"/>
          <w:szCs w:val="20"/>
          <w:lang w:val="en-US"/>
        </w:rPr>
        <w:t xml:space="preserve"> and only to assess and monitor </w:t>
      </w:r>
      <w:r w:rsidRPr="001976CD">
        <w:rPr>
          <w:rFonts w:eastAsia="Calibri" w:cs="Calibri"/>
          <w:i/>
          <w:szCs w:val="20"/>
          <w:lang w:val="en-US"/>
        </w:rPr>
        <w:t>CSRBB</w:t>
      </w:r>
      <w:r w:rsidRPr="001976CD">
        <w:rPr>
          <w:rFonts w:eastAsia="Calibri" w:cs="Calibri"/>
          <w:szCs w:val="20"/>
          <w:lang w:val="en-US"/>
        </w:rPr>
        <w:t xml:space="preserve">. Articles 126 and 127 are clearly outside the mandate of the </w:t>
      </w:r>
      <w:r w:rsidRPr="001976CD">
        <w:rPr>
          <w:rFonts w:eastAsia="Calibri" w:cs="Calibri"/>
          <w:i/>
          <w:szCs w:val="20"/>
          <w:lang w:val="en-US"/>
        </w:rPr>
        <w:t>EBA</w:t>
      </w:r>
      <w:r w:rsidRPr="001976CD">
        <w:rPr>
          <w:rFonts w:eastAsia="Calibri" w:cs="Calibri"/>
          <w:szCs w:val="20"/>
          <w:lang w:val="en-US"/>
        </w:rPr>
        <w:t xml:space="preserve"> as this refers to managing and mitigating </w:t>
      </w:r>
      <w:r w:rsidRPr="001976CD">
        <w:rPr>
          <w:rFonts w:eastAsia="Calibri" w:cs="Calibri"/>
          <w:i/>
          <w:szCs w:val="20"/>
          <w:lang w:val="en-US"/>
        </w:rPr>
        <w:t>CSRBB</w:t>
      </w:r>
      <w:r w:rsidRPr="001976CD">
        <w:rPr>
          <w:rFonts w:eastAsia="Calibri" w:cs="Calibri"/>
          <w:szCs w:val="20"/>
          <w:lang w:val="en-US"/>
        </w:rPr>
        <w:t>.</w:t>
      </w:r>
    </w:p>
    <w:p w14:paraId="494E796D" w14:textId="77777777" w:rsidR="001976CD" w:rsidRPr="001976CD" w:rsidRDefault="001976CD" w:rsidP="001557F3">
      <w:pPr>
        <w:suppressAutoHyphens w:val="0"/>
        <w:spacing w:after="60" w:line="259" w:lineRule="auto"/>
        <w:rPr>
          <w:rFonts w:eastAsia="Calibri" w:cs="Arial"/>
          <w:szCs w:val="20"/>
          <w:lang w:val="en-US"/>
        </w:rPr>
      </w:pPr>
    </w:p>
    <w:p w14:paraId="629533A5" w14:textId="77777777" w:rsidR="001976CD" w:rsidRPr="001976CD" w:rsidRDefault="001976CD" w:rsidP="001557F3">
      <w:pPr>
        <w:suppressAutoHyphens w:val="0"/>
        <w:spacing w:after="60" w:line="259" w:lineRule="auto"/>
        <w:rPr>
          <w:rFonts w:eastAsia="Calibri" w:cs="Arial"/>
          <w:szCs w:val="20"/>
          <w:lang w:val="en-US"/>
        </w:rPr>
      </w:pPr>
    </w:p>
    <w:p w14:paraId="10EB341C" w14:textId="77777777" w:rsidR="001976CD" w:rsidRPr="001976CD" w:rsidRDefault="001976CD" w:rsidP="001976CD">
      <w:pPr>
        <w:suppressAutoHyphens w:val="0"/>
        <w:spacing w:after="160" w:line="259" w:lineRule="auto"/>
        <w:jc w:val="left"/>
        <w:rPr>
          <w:rFonts w:eastAsia="Calibri" w:cs="Arial"/>
          <w:szCs w:val="20"/>
          <w:lang w:val="en-US"/>
        </w:rPr>
      </w:pPr>
      <w:r w:rsidRPr="001976CD">
        <w:rPr>
          <w:rFonts w:eastAsia="Calibri" w:cs="Arial"/>
          <w:szCs w:val="20"/>
          <w:lang w:val="en-US"/>
        </w:rPr>
        <w:br w:type="page"/>
      </w:r>
    </w:p>
    <w:p w14:paraId="68566062" w14:textId="77777777" w:rsidR="00BE440B" w:rsidRDefault="001976CD" w:rsidP="001277D1">
      <w:pPr>
        <w:rPr>
          <w:b/>
          <w:bCs/>
          <w:sz w:val="24"/>
        </w:rPr>
      </w:pPr>
      <w:r w:rsidRPr="001277D1">
        <w:rPr>
          <w:b/>
          <w:bCs/>
          <w:sz w:val="24"/>
        </w:rPr>
        <w:lastRenderedPageBreak/>
        <w:t>European Banking Authority (EBA) Consultation Paper (CP) on the</w:t>
      </w:r>
      <w:r w:rsidR="00BE440B">
        <w:rPr>
          <w:b/>
          <w:bCs/>
          <w:sz w:val="24"/>
        </w:rPr>
        <w:t xml:space="preserve"> </w:t>
      </w:r>
      <w:r w:rsidRPr="001277D1">
        <w:rPr>
          <w:b/>
          <w:bCs/>
          <w:sz w:val="24"/>
        </w:rPr>
        <w:t>Supervisory Shock Scenarios, Common Modelling and Parametric Assumptions and What Constitutes a Large Decline for the Calculation of the Economic Value of Equity and of the Net Interest Income</w:t>
      </w:r>
      <w:r w:rsidR="00BE440B">
        <w:rPr>
          <w:b/>
          <w:bCs/>
          <w:sz w:val="24"/>
        </w:rPr>
        <w:t xml:space="preserve"> </w:t>
      </w:r>
    </w:p>
    <w:p w14:paraId="2A3AD09E" w14:textId="064A3816" w:rsidR="001976CD" w:rsidRPr="00BE440B" w:rsidRDefault="001976CD" w:rsidP="001277D1">
      <w:pPr>
        <w:rPr>
          <w:szCs w:val="20"/>
        </w:rPr>
      </w:pPr>
      <w:r w:rsidRPr="00BE440B">
        <w:rPr>
          <w:szCs w:val="20"/>
        </w:rPr>
        <w:t>Published 2 December 2021 with Consultation End 4 April 2022</w:t>
      </w:r>
    </w:p>
    <w:p w14:paraId="2D620AF3" w14:textId="77777777" w:rsidR="001976CD" w:rsidRPr="001976CD" w:rsidRDefault="001976CD" w:rsidP="00BE440B">
      <w:pPr>
        <w:suppressAutoHyphens w:val="0"/>
        <w:spacing w:after="60"/>
        <w:rPr>
          <w:rFonts w:eastAsia="Calibri" w:cs="Calibri"/>
          <w:i/>
          <w:szCs w:val="20"/>
          <w:lang w:val="en-US"/>
        </w:rPr>
      </w:pPr>
      <w:r w:rsidRPr="001976CD">
        <w:rPr>
          <w:rFonts w:eastAsia="Calibri" w:cs="Arial"/>
          <w:i/>
          <w:szCs w:val="20"/>
          <w:lang w:val="en-US"/>
        </w:rPr>
        <w:t xml:space="preserve">Link to Consultation Paper: </w:t>
      </w:r>
      <w:hyperlink r:id="rId15" w:history="1">
        <w:r w:rsidRPr="001976CD">
          <w:rPr>
            <w:rFonts w:eastAsia="Calibri" w:cs="Arial"/>
            <w:i/>
            <w:szCs w:val="20"/>
            <w:u w:val="single"/>
            <w:lang w:val="en-US"/>
          </w:rPr>
          <w:t>CP Draft RTS on SOTs.pdf (europa.eu)</w:t>
        </w:r>
      </w:hyperlink>
    </w:p>
    <w:p w14:paraId="4567FEB3" w14:textId="77777777" w:rsidR="001976CD" w:rsidRPr="001976CD" w:rsidRDefault="001976CD" w:rsidP="00013898">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1: Do respondents find the common modelling and parametric assumptions for the purpose of the EVE SOT and the NII SOT in Articles 4 and 5 clear enough and operationally manageable? Specifically, the EBA is seeking comments on the recalibrated lower bound for post-shock IR levels in the EVE SOT and NII SOT as well as on the use of a one-year time horizon and a constant balance sheet with current commercial margins for new business for the NII SOT. Respondents are also kindly requested to express whether they find an inclusion of market value changes in the calculation of the NII SOT clear enough.</w:t>
      </w:r>
    </w:p>
    <w:p w14:paraId="41A2F68A"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23D8D9FC" w14:textId="77777777" w:rsidR="001976CD" w:rsidRPr="001976CD" w:rsidRDefault="001976CD" w:rsidP="00BE440B">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szCs w:val="20"/>
          <w:lang w:val="en-US"/>
        </w:rPr>
        <w:t xml:space="preserve">to be aligned with the </w:t>
      </w:r>
      <w:r w:rsidRPr="001976CD">
        <w:rPr>
          <w:rFonts w:eastAsia="Calibri" w:cs="Calibri"/>
          <w:i/>
          <w:szCs w:val="20"/>
          <w:lang w:val="en-US"/>
        </w:rPr>
        <w:t>CRD</w:t>
      </w:r>
      <w:r w:rsidRPr="001976CD">
        <w:rPr>
          <w:rFonts w:eastAsia="Calibri" w:cs="Calibri"/>
          <w:szCs w:val="20"/>
          <w:lang w:val="en-US"/>
        </w:rPr>
        <w:t xml:space="preserve"> mandate, </w:t>
      </w:r>
      <w:r w:rsidRPr="001976CD">
        <w:rPr>
          <w:rFonts w:eastAsia="Calibri" w:cs="Calibri"/>
          <w:b/>
          <w:szCs w:val="20"/>
          <w:lang w:val="en-US"/>
        </w:rPr>
        <w:t xml:space="preserve">the draft </w:t>
      </w:r>
      <w:r w:rsidRPr="001976CD">
        <w:rPr>
          <w:rFonts w:eastAsia="Calibri" w:cs="Calibri"/>
          <w:b/>
          <w:i/>
          <w:szCs w:val="20"/>
          <w:lang w:val="en-US"/>
        </w:rPr>
        <w:t>RTS</w:t>
      </w:r>
      <w:r w:rsidRPr="001976CD">
        <w:rPr>
          <w:rFonts w:eastAsia="Calibri" w:cs="Calibri"/>
          <w:b/>
          <w:szCs w:val="20"/>
          <w:lang w:val="en-US"/>
        </w:rPr>
        <w:t xml:space="preserve"> should explicitly mention that the common modelling and parametric assumptions </w:t>
      </w:r>
      <w:r w:rsidRPr="001976CD">
        <w:rPr>
          <w:rFonts w:eastAsia="Calibri" w:cs="Calibri"/>
          <w:b/>
          <w:i/>
          <w:szCs w:val="20"/>
          <w:lang w:val="en-US"/>
        </w:rPr>
        <w:t>exclude</w:t>
      </w:r>
      <w:r w:rsidRPr="001976CD">
        <w:rPr>
          <w:rFonts w:eastAsia="Calibri" w:cs="Calibri"/>
          <w:b/>
          <w:szCs w:val="20"/>
          <w:lang w:val="en-US"/>
        </w:rPr>
        <w:t xml:space="preserve"> behavioural assumptions and should apply only to the calculation of </w:t>
      </w:r>
      <w:r w:rsidRPr="001976CD">
        <w:rPr>
          <w:rFonts w:eastAsia="Calibri" w:cs="Calibri"/>
          <w:b/>
          <w:i/>
          <w:szCs w:val="20"/>
          <w:lang w:val="en-US"/>
        </w:rPr>
        <w:t>SOT</w:t>
      </w:r>
      <w:r w:rsidRPr="001976CD">
        <w:rPr>
          <w:rFonts w:eastAsia="Calibri" w:cs="Calibri"/>
          <w:b/>
          <w:szCs w:val="20"/>
          <w:lang w:val="en-US"/>
        </w:rPr>
        <w:t>’s</w:t>
      </w:r>
      <w:r w:rsidRPr="001976CD">
        <w:rPr>
          <w:rFonts w:eastAsia="Calibri" w:cs="Calibri"/>
          <w:szCs w:val="20"/>
          <w:lang w:val="en-US"/>
        </w:rPr>
        <w:t xml:space="preserve">. </w:t>
      </w:r>
    </w:p>
    <w:p w14:paraId="512F67D2" w14:textId="77777777" w:rsidR="001976CD" w:rsidRPr="001976CD" w:rsidRDefault="001976CD" w:rsidP="00BE440B">
      <w:pPr>
        <w:suppressAutoHyphens w:val="0"/>
        <w:spacing w:after="60"/>
        <w:ind w:left="357"/>
        <w:rPr>
          <w:rFonts w:eastAsia="Calibri" w:cs="Calibri"/>
          <w:szCs w:val="20"/>
          <w:lang w:val="en-US"/>
        </w:rPr>
      </w:pPr>
      <w:r w:rsidRPr="001976CD">
        <w:rPr>
          <w:rFonts w:eastAsia="Calibri" w:cs="Calibri"/>
          <w:szCs w:val="20"/>
          <w:lang w:val="en-US"/>
        </w:rPr>
        <w:t>The behavioral assumptions should align the with internal management system (</w:t>
      </w:r>
      <w:r w:rsidRPr="001976CD">
        <w:rPr>
          <w:rFonts w:eastAsia="Calibri" w:cs="Calibri"/>
          <w:i/>
          <w:szCs w:val="20"/>
          <w:lang w:val="en-US"/>
        </w:rPr>
        <w:t>IMS</w:t>
      </w:r>
      <w:r w:rsidRPr="001976CD">
        <w:rPr>
          <w:rFonts w:eastAsia="Calibri" w:cs="Calibri"/>
          <w:szCs w:val="20"/>
          <w:lang w:val="en-US"/>
        </w:rPr>
        <w:t xml:space="preserve">) behavioural assumptions without limitations (e.g. no caps on NMD’s) so that the interest rate risk is adequately measured. It is essential to avoid uneconomic interest rate risk measurement and management that would be driven to satisfy either one or the two </w:t>
      </w:r>
      <w:r w:rsidRPr="001976CD">
        <w:rPr>
          <w:rFonts w:eastAsia="Calibri" w:cs="Calibri"/>
          <w:i/>
          <w:szCs w:val="20"/>
          <w:lang w:val="en-US"/>
        </w:rPr>
        <w:t>SOT</w:t>
      </w:r>
      <w:r w:rsidRPr="001976CD">
        <w:rPr>
          <w:rFonts w:eastAsia="Calibri" w:cs="Calibri"/>
          <w:szCs w:val="20"/>
          <w:lang w:val="en-US"/>
        </w:rPr>
        <w:t>.</w:t>
      </w:r>
    </w:p>
    <w:p w14:paraId="22AEC3E0" w14:textId="77777777" w:rsidR="001976CD" w:rsidRPr="001976CD" w:rsidRDefault="001976CD" w:rsidP="00BE440B">
      <w:pPr>
        <w:keepNext/>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szCs w:val="20"/>
          <w:lang w:val="en-US"/>
        </w:rPr>
        <w:t xml:space="preserve">the </w:t>
      </w:r>
      <w:r w:rsidRPr="001976CD">
        <w:rPr>
          <w:rFonts w:eastAsia="Calibri" w:cs="Calibri"/>
          <w:i/>
          <w:szCs w:val="20"/>
          <w:lang w:val="en-US"/>
        </w:rPr>
        <w:t>CP</w:t>
      </w:r>
      <w:r w:rsidRPr="001976CD">
        <w:rPr>
          <w:rFonts w:eastAsia="Calibri" w:cs="Calibri"/>
          <w:szCs w:val="20"/>
          <w:lang w:val="en-US"/>
        </w:rPr>
        <w:t xml:space="preserve"> envisages to apply two supervisory parallel shock scenarios for </w:t>
      </w:r>
      <w:r w:rsidRPr="001976CD">
        <w:rPr>
          <w:rFonts w:eastAsia="Calibri" w:cs="Calibri"/>
          <w:i/>
          <w:szCs w:val="20"/>
          <w:lang w:val="en-US"/>
        </w:rPr>
        <w:t>SOT NII</w:t>
      </w:r>
      <w:r w:rsidRPr="001976CD">
        <w:rPr>
          <w:rFonts w:eastAsia="Calibri" w:cs="Calibri"/>
          <w:szCs w:val="20"/>
          <w:lang w:val="en-US"/>
        </w:rPr>
        <w:t xml:space="preserve"> that apply instantaneously with magnitudes that are not consistent with facts. In developed countries, Central Banks carefully modify their interest rates over time with managing market expectations to avoid triggering market surprises. Hence, their expected changes are factored in the interest rate curve well </w:t>
      </w:r>
      <w:r w:rsidRPr="001976CD">
        <w:rPr>
          <w:rFonts w:eastAsia="Calibri" w:cs="Calibri"/>
          <w:i/>
          <w:szCs w:val="20"/>
          <w:lang w:val="en-US"/>
        </w:rPr>
        <w:t>before</w:t>
      </w:r>
      <w:r w:rsidRPr="001976CD">
        <w:rPr>
          <w:rFonts w:eastAsia="Calibri" w:cs="Calibri"/>
          <w:szCs w:val="20"/>
          <w:lang w:val="en-US"/>
        </w:rPr>
        <w:t xml:space="preserve"> the changes actually occur. As shocks apply </w:t>
      </w:r>
      <w:r w:rsidRPr="001976CD">
        <w:rPr>
          <w:rFonts w:eastAsia="Calibri" w:cs="Calibri"/>
          <w:i/>
          <w:szCs w:val="20"/>
          <w:lang w:val="en-US"/>
        </w:rPr>
        <w:t>on top of</w:t>
      </w:r>
      <w:r w:rsidRPr="001976CD">
        <w:rPr>
          <w:rFonts w:eastAsia="Calibri" w:cs="Calibri"/>
          <w:szCs w:val="20"/>
          <w:lang w:val="en-US"/>
        </w:rPr>
        <w:t xml:space="preserve"> those expected changes, the shocks should be adapted. </w:t>
      </w:r>
    </w:p>
    <w:p w14:paraId="259D2106" w14:textId="77777777" w:rsidR="001976CD" w:rsidRPr="001976CD" w:rsidRDefault="001976CD" w:rsidP="00BE440B">
      <w:pPr>
        <w:suppressAutoHyphens w:val="0"/>
        <w:spacing w:after="60"/>
        <w:ind w:left="357"/>
        <w:rPr>
          <w:rFonts w:eastAsia="Calibri" w:cs="Calibri"/>
          <w:b/>
          <w:szCs w:val="20"/>
          <w:lang w:val="en-US"/>
        </w:rPr>
      </w:pPr>
      <w:r w:rsidRPr="001976CD">
        <w:rPr>
          <w:rFonts w:eastAsia="Calibri" w:cs="Calibri"/>
          <w:szCs w:val="20"/>
          <w:lang w:val="en-US"/>
        </w:rPr>
        <w:t xml:space="preserve">To better fit reality, it would make better sense to assume that the shocks are applied </w:t>
      </w:r>
      <w:r w:rsidRPr="001976CD">
        <w:rPr>
          <w:rFonts w:eastAsia="Calibri" w:cs="Calibri"/>
          <w:i/>
          <w:szCs w:val="20"/>
          <w:lang w:val="en-US"/>
        </w:rPr>
        <w:t>gradually</w:t>
      </w:r>
      <w:r w:rsidRPr="001976CD">
        <w:rPr>
          <w:rFonts w:eastAsia="Calibri" w:cs="Calibri"/>
          <w:szCs w:val="20"/>
          <w:lang w:val="en-US"/>
        </w:rPr>
        <w:t xml:space="preserve"> over the considered 12 months horizon. Conscious of the operational complexities that banks may be confronted with such a gradual scenario, </w:t>
      </w:r>
      <w:r w:rsidRPr="001976CD">
        <w:rPr>
          <w:rFonts w:eastAsia="Calibri" w:cs="Calibri"/>
          <w:b/>
          <w:szCs w:val="20"/>
          <w:lang w:val="en-US"/>
        </w:rPr>
        <w:t>we recommend a more pragmatic solution by adopting a lower magnitude for the elected instantaneous shock</w:t>
      </w:r>
      <w:r w:rsidRPr="001976CD">
        <w:rPr>
          <w:rFonts w:eastAsia="Calibri" w:cs="Calibri"/>
          <w:szCs w:val="20"/>
          <w:lang w:val="en-US"/>
        </w:rPr>
        <w:t>.</w:t>
      </w:r>
    </w:p>
    <w:p w14:paraId="1808A2F2" w14:textId="77777777" w:rsidR="001976CD" w:rsidRPr="001976CD" w:rsidRDefault="001976CD" w:rsidP="00BE440B">
      <w:pPr>
        <w:suppressAutoHyphens w:val="0"/>
        <w:spacing w:after="60"/>
        <w:ind w:left="357"/>
        <w:rPr>
          <w:rFonts w:eastAsia="Calibri" w:cs="Calibri"/>
          <w:b/>
          <w:szCs w:val="20"/>
          <w:lang w:val="en-US"/>
        </w:rPr>
      </w:pPr>
      <w:r w:rsidRPr="001976CD">
        <w:rPr>
          <w:rFonts w:eastAsia="Calibri" w:cs="Calibri"/>
          <w:b/>
          <w:szCs w:val="20"/>
          <w:lang w:val="en-US"/>
        </w:rPr>
        <w:t xml:space="preserve">The magnitude of the two </w:t>
      </w:r>
      <w:r w:rsidRPr="001976CD">
        <w:rPr>
          <w:rFonts w:eastAsia="Calibri" w:cs="Calibri"/>
          <w:b/>
          <w:i/>
          <w:szCs w:val="20"/>
          <w:lang w:val="en-US"/>
        </w:rPr>
        <w:t>SOT NII</w:t>
      </w:r>
      <w:r w:rsidRPr="001976CD">
        <w:rPr>
          <w:rFonts w:eastAsia="Calibri" w:cs="Calibri"/>
          <w:b/>
          <w:szCs w:val="20"/>
          <w:lang w:val="en-US"/>
        </w:rPr>
        <w:t xml:space="preserve"> supervisory parallel shock scenarios should be made more consistent with facts and its immediate application: a ±100 basis points (</w:t>
      </w:r>
      <w:r w:rsidRPr="001976CD">
        <w:rPr>
          <w:rFonts w:eastAsia="Calibri" w:cs="Calibri"/>
          <w:b/>
          <w:i/>
          <w:szCs w:val="20"/>
          <w:lang w:val="en-US"/>
        </w:rPr>
        <w:t>bps</w:t>
      </w:r>
      <w:r w:rsidRPr="001976CD">
        <w:rPr>
          <w:rFonts w:eastAsia="Calibri" w:cs="Calibri"/>
          <w:b/>
          <w:szCs w:val="20"/>
          <w:lang w:val="en-US"/>
        </w:rPr>
        <w:t>) for most developed currencies (e.g. EUR, USD) would be more relevant</w:t>
      </w:r>
      <w:r w:rsidRPr="001976CD">
        <w:rPr>
          <w:rFonts w:eastAsia="Calibri" w:cs="Calibri"/>
          <w:szCs w:val="20"/>
          <w:lang w:val="en-US"/>
        </w:rPr>
        <w:t xml:space="preserve"> (vs. the envisaged ±200 </w:t>
      </w:r>
      <w:r w:rsidRPr="001976CD">
        <w:rPr>
          <w:rFonts w:eastAsia="Calibri" w:cs="Calibri"/>
          <w:i/>
          <w:szCs w:val="20"/>
          <w:lang w:val="en-US"/>
        </w:rPr>
        <w:t>bps</w:t>
      </w:r>
      <w:r w:rsidRPr="001976CD">
        <w:rPr>
          <w:rFonts w:eastAsia="Calibri" w:cs="Calibri"/>
          <w:szCs w:val="20"/>
          <w:lang w:val="en-US"/>
        </w:rPr>
        <w:t>).</w:t>
      </w:r>
    </w:p>
    <w:p w14:paraId="1E5FE77F" w14:textId="0117A2DE" w:rsidR="001976CD" w:rsidRPr="001976CD" w:rsidRDefault="001976CD" w:rsidP="00BE440B">
      <w:pPr>
        <w:keepNext/>
        <w:numPr>
          <w:ilvl w:val="0"/>
          <w:numId w:val="18"/>
        </w:numPr>
        <w:suppressAutoHyphens w:val="0"/>
        <w:spacing w:before="120" w:after="60" w:line="259" w:lineRule="auto"/>
        <w:rPr>
          <w:rFonts w:eastAsia="Calibri" w:cs="Calibri"/>
          <w:b/>
          <w:szCs w:val="20"/>
          <w:lang w:val="en-US"/>
        </w:rPr>
      </w:pPr>
      <w:r w:rsidRPr="001976CD">
        <w:rPr>
          <w:rFonts w:eastAsia="Calibri" w:cs="Calibri"/>
          <w:szCs w:val="20"/>
          <w:lang w:val="en-US"/>
        </w:rPr>
        <w:t xml:space="preserve">As regards the proposed recalibration of the lower bound, to be applied to post-shock interest rate levels, we do not see the need for such change. For the SOT on NII this lower bound is mainly determined by policies of the central banks. Nowadays this is large consensus that setting a policy rate below -/- 100 bps is ineffective. </w:t>
      </w:r>
      <w:r w:rsidR="005C2253" w:rsidRPr="001976CD">
        <w:rPr>
          <w:rFonts w:eastAsia="Calibri" w:cs="Calibri"/>
          <w:szCs w:val="20"/>
          <w:lang w:val="en-US"/>
        </w:rPr>
        <w:t>Therefore,</w:t>
      </w:r>
      <w:r w:rsidRPr="001976CD">
        <w:rPr>
          <w:rFonts w:eastAsia="Calibri" w:cs="Calibri"/>
          <w:szCs w:val="20"/>
          <w:lang w:val="en-US"/>
        </w:rPr>
        <w:t xml:space="preserve"> </w:t>
      </w:r>
      <w:r w:rsidRPr="001976CD">
        <w:rPr>
          <w:rFonts w:eastAsia="Calibri" w:cs="Calibri"/>
          <w:bCs/>
          <w:szCs w:val="20"/>
          <w:lang w:val="en-US"/>
        </w:rPr>
        <w:t>the recalibrated lower bound seems rather unrealistic</w:t>
      </w:r>
      <w:r w:rsidRPr="001976CD">
        <w:rPr>
          <w:rFonts w:eastAsia="Calibri" w:cs="Calibri"/>
          <w:szCs w:val="20"/>
          <w:lang w:val="en-US"/>
        </w:rPr>
        <w:t xml:space="preserve">. </w:t>
      </w:r>
      <w:r w:rsidR="005C2253" w:rsidRPr="001976CD">
        <w:rPr>
          <w:rFonts w:eastAsia="Calibri" w:cs="Calibri"/>
          <w:szCs w:val="20"/>
          <w:lang w:val="en-US"/>
        </w:rPr>
        <w:t>Thus,</w:t>
      </w:r>
      <w:r w:rsidRPr="001976CD">
        <w:rPr>
          <w:rFonts w:eastAsia="Calibri" w:cs="Calibri"/>
          <w:szCs w:val="20"/>
          <w:lang w:val="en-US"/>
        </w:rPr>
        <w:t xml:space="preserve"> </w:t>
      </w:r>
      <w:r w:rsidRPr="001976CD">
        <w:rPr>
          <w:rFonts w:eastAsia="Calibri" w:cs="Calibri"/>
          <w:b/>
          <w:szCs w:val="20"/>
          <w:lang w:val="en-US"/>
        </w:rPr>
        <w:t xml:space="preserve">we do not support the </w:t>
      </w:r>
      <w:r w:rsidRPr="001976CD">
        <w:rPr>
          <w:rFonts w:eastAsia="Calibri" w:cs="Calibri"/>
          <w:b/>
          <w:szCs w:val="20"/>
          <w:lang w:val="en-US"/>
        </w:rPr>
        <w:lastRenderedPageBreak/>
        <w:t>proposed change in the lower bound. Should nonetheless the lower bound be changed, this should be factored in the calibration of the threshold.</w:t>
      </w:r>
    </w:p>
    <w:p w14:paraId="6040B4D9" w14:textId="77777777" w:rsidR="001976CD" w:rsidRPr="001976CD" w:rsidRDefault="001976CD" w:rsidP="001976CD">
      <w:pPr>
        <w:suppressAutoHyphens w:val="0"/>
        <w:spacing w:after="60" w:line="259" w:lineRule="auto"/>
        <w:rPr>
          <w:rFonts w:eastAsia="Calibri" w:cs="Arial"/>
          <w:szCs w:val="20"/>
          <w:lang w:val="en-US"/>
        </w:rPr>
      </w:pPr>
    </w:p>
    <w:p w14:paraId="2D66CE23" w14:textId="77777777" w:rsidR="001976CD" w:rsidRPr="001976CD" w:rsidRDefault="001976CD" w:rsidP="005C2253">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2: Do respondents have any comment related to these two metrics for the specification and the calibration of the test statistic for the large decline in Article 6 for the purpose of NII SOT? Specifically, do respondents find the inclusion of administrative expenses in metric 2 clear enough? Do respondents have any comment on the example on currency aggregation for metric 1 and metric 2?</w:t>
      </w:r>
    </w:p>
    <w:p w14:paraId="5BFEDE5E"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5BA5AB31" w14:textId="77777777" w:rsidR="001976CD" w:rsidRPr="001976CD" w:rsidRDefault="001976CD" w:rsidP="005C2253">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to change the definition of commonly understood Net Interest Income (</w:t>
      </w:r>
      <w:r w:rsidRPr="001976CD">
        <w:rPr>
          <w:rFonts w:eastAsia="Calibri" w:cs="Calibri"/>
          <w:b/>
          <w:i/>
          <w:szCs w:val="20"/>
          <w:lang w:val="en-US"/>
        </w:rPr>
        <w:t>NII</w:t>
      </w:r>
      <w:r w:rsidRPr="001976CD">
        <w:rPr>
          <w:rFonts w:eastAsia="Calibri" w:cs="Calibri"/>
          <w:b/>
          <w:szCs w:val="20"/>
          <w:lang w:val="en-US"/>
        </w:rPr>
        <w:t>) to include changes in fair values of instruments</w:t>
      </w:r>
      <w:r w:rsidRPr="001976CD">
        <w:rPr>
          <w:rFonts w:eastAsia="Calibri" w:cs="Calibri"/>
          <w:szCs w:val="20"/>
          <w:lang w:val="en-US"/>
        </w:rPr>
        <w:t xml:space="preserve"> even though they are not part of </w:t>
      </w:r>
      <w:r w:rsidRPr="001976CD">
        <w:rPr>
          <w:rFonts w:eastAsia="Calibri" w:cs="Calibri"/>
          <w:i/>
          <w:szCs w:val="20"/>
          <w:lang w:val="en-US"/>
        </w:rPr>
        <w:t>NII</w:t>
      </w:r>
      <w:r w:rsidRPr="001976CD">
        <w:rPr>
          <w:rFonts w:eastAsia="Calibri" w:cs="Calibri"/>
          <w:szCs w:val="20"/>
          <w:lang w:val="en-US"/>
        </w:rPr>
        <w:t xml:space="preserve">. This appears as a deviation from the </w:t>
      </w:r>
      <w:r w:rsidRPr="001976CD">
        <w:rPr>
          <w:rFonts w:eastAsia="Calibri" w:cs="Calibri"/>
          <w:i/>
          <w:szCs w:val="20"/>
          <w:lang w:val="en-US"/>
        </w:rPr>
        <w:t>CRR</w:t>
      </w:r>
      <w:r w:rsidRPr="001976CD">
        <w:rPr>
          <w:rFonts w:eastAsia="Calibri" w:cs="Calibri"/>
          <w:szCs w:val="20"/>
          <w:lang w:val="en-US"/>
        </w:rPr>
        <w:t xml:space="preserve"> mandate that explicitly refers to </w:t>
      </w:r>
      <w:r w:rsidRPr="001976CD">
        <w:rPr>
          <w:rFonts w:eastAsia="Calibri" w:cs="Calibri"/>
          <w:i/>
          <w:szCs w:val="20"/>
          <w:lang w:val="en-US"/>
        </w:rPr>
        <w:t>NII</w:t>
      </w:r>
      <w:r w:rsidRPr="001976CD">
        <w:rPr>
          <w:rFonts w:eastAsia="Calibri" w:cs="Calibri"/>
          <w:szCs w:val="20"/>
          <w:lang w:val="en-US"/>
        </w:rPr>
        <w:t>. It also deviates from Basel Committee on Banking Supervision</w:t>
      </w:r>
      <w:r w:rsidRPr="001976CD">
        <w:rPr>
          <w:rFonts w:eastAsia="Calibri" w:cs="Calibri"/>
          <w:i/>
          <w:szCs w:val="20"/>
          <w:lang w:val="en-US"/>
        </w:rPr>
        <w:t> (BCBS) Standard</w:t>
      </w:r>
      <w:r w:rsidRPr="001976CD">
        <w:rPr>
          <w:rFonts w:eastAsia="Calibri" w:cs="Calibri"/>
          <w:szCs w:val="20"/>
          <w:lang w:val="en-US"/>
        </w:rPr>
        <w:t xml:space="preserve"> that is quite explicit that it refers to </w:t>
      </w:r>
      <w:r w:rsidRPr="001976CD">
        <w:rPr>
          <w:rFonts w:eastAsia="Calibri" w:cs="Calibri"/>
          <w:i/>
          <w:szCs w:val="20"/>
          <w:lang w:val="en-US"/>
        </w:rPr>
        <w:t>NII</w:t>
      </w:r>
      <w:r w:rsidRPr="001976CD">
        <w:rPr>
          <w:rFonts w:eastAsia="Calibri" w:cs="Calibri"/>
          <w:szCs w:val="20"/>
          <w:lang w:val="en-US"/>
        </w:rPr>
        <w:t xml:space="preserve"> excluding changes in fair values that do not affect </w:t>
      </w:r>
      <w:r w:rsidRPr="001976CD">
        <w:rPr>
          <w:rFonts w:eastAsia="Calibri" w:cs="Calibri"/>
          <w:i/>
          <w:szCs w:val="20"/>
          <w:lang w:val="en-US"/>
        </w:rPr>
        <w:t>NII</w:t>
      </w:r>
      <w:r w:rsidRPr="001976CD">
        <w:rPr>
          <w:rFonts w:eastAsia="Calibri" w:cs="Calibri"/>
          <w:szCs w:val="20"/>
          <w:lang w:val="en-US"/>
        </w:rPr>
        <w:t xml:space="preserve">. This would also be at odds with actual risk management and would introduce overlapping between </w:t>
      </w:r>
      <w:r w:rsidRPr="001976CD">
        <w:rPr>
          <w:rFonts w:eastAsia="Calibri" w:cs="Calibri"/>
          <w:i/>
          <w:szCs w:val="20"/>
          <w:lang w:val="en-US"/>
        </w:rPr>
        <w:t>NII</w:t>
      </w:r>
      <w:r w:rsidRPr="001976CD">
        <w:rPr>
          <w:rFonts w:eastAsia="Calibri" w:cs="Calibri"/>
          <w:szCs w:val="20"/>
          <w:lang w:val="en-US"/>
        </w:rPr>
        <w:t xml:space="preserve"> measures and Economic Value (</w:t>
      </w:r>
      <w:r w:rsidRPr="001976CD">
        <w:rPr>
          <w:rFonts w:eastAsia="Calibri" w:cs="Calibri"/>
          <w:i/>
          <w:szCs w:val="20"/>
          <w:lang w:val="en-US"/>
        </w:rPr>
        <w:t>EV</w:t>
      </w:r>
      <w:r w:rsidRPr="001976CD">
        <w:rPr>
          <w:rFonts w:eastAsia="Calibri" w:cs="Calibri"/>
          <w:szCs w:val="20"/>
          <w:lang w:val="en-US"/>
        </w:rPr>
        <w:t xml:space="preserve">) measures, such as </w:t>
      </w:r>
      <w:r w:rsidRPr="001976CD">
        <w:rPr>
          <w:rFonts w:eastAsia="Calibri" w:cs="Calibri"/>
          <w:i/>
          <w:szCs w:val="20"/>
          <w:lang w:val="en-US"/>
        </w:rPr>
        <w:t>SOT EVE</w:t>
      </w:r>
      <w:r w:rsidRPr="001976CD">
        <w:rPr>
          <w:rFonts w:eastAsia="Calibri" w:cs="Calibri"/>
          <w:szCs w:val="20"/>
          <w:lang w:val="en-US"/>
        </w:rPr>
        <w:t xml:space="preserve"> and </w:t>
      </w:r>
      <w:r w:rsidRPr="001976CD">
        <w:rPr>
          <w:rFonts w:eastAsia="Calibri" w:cs="Calibri"/>
          <w:i/>
          <w:szCs w:val="20"/>
          <w:lang w:val="en-US"/>
        </w:rPr>
        <w:t>SOT NII</w:t>
      </w:r>
      <w:r w:rsidRPr="001976CD">
        <w:rPr>
          <w:rFonts w:eastAsia="Calibri" w:cs="Calibri"/>
          <w:szCs w:val="20"/>
          <w:lang w:val="en-US"/>
        </w:rPr>
        <w:t>, while they should be complementary.</w:t>
      </w:r>
    </w:p>
    <w:p w14:paraId="7DA557FB" w14:textId="77777777" w:rsidR="001976CD" w:rsidRPr="001976CD" w:rsidRDefault="001976CD" w:rsidP="005C2253">
      <w:pPr>
        <w:suppressAutoHyphens w:val="0"/>
        <w:spacing w:after="60"/>
        <w:ind w:left="357"/>
        <w:rPr>
          <w:rFonts w:eastAsia="Calibri" w:cs="Calibri"/>
          <w:b/>
          <w:szCs w:val="20"/>
          <w:lang w:val="en-US"/>
        </w:rPr>
      </w:pPr>
      <w:r w:rsidRPr="001976CD">
        <w:rPr>
          <w:rFonts w:eastAsia="Calibri" w:cs="Calibri"/>
          <w:b/>
          <w:szCs w:val="20"/>
          <w:lang w:val="en-US"/>
        </w:rPr>
        <w:t>NII should be kept as defined by interest income and expenses.</w:t>
      </w:r>
    </w:p>
    <w:p w14:paraId="1E7A7AED" w14:textId="77777777" w:rsidR="001976CD" w:rsidRPr="001976CD" w:rsidRDefault="001976CD" w:rsidP="005C2253">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szCs w:val="20"/>
          <w:lang w:val="en-US"/>
        </w:rPr>
        <w:t xml:space="preserve">The </w:t>
      </w:r>
      <w:r w:rsidRPr="001976CD">
        <w:rPr>
          <w:rFonts w:eastAsia="Calibri" w:cs="Calibri"/>
          <w:i/>
          <w:szCs w:val="20"/>
          <w:lang w:val="en-US"/>
        </w:rPr>
        <w:t>CP</w:t>
      </w:r>
      <w:r w:rsidRPr="001976CD">
        <w:rPr>
          <w:rFonts w:eastAsia="Calibri" w:cs="Calibri"/>
          <w:szCs w:val="20"/>
          <w:lang w:val="en-US"/>
        </w:rPr>
        <w:t xml:space="preserve"> that </w:t>
      </w:r>
      <w:r w:rsidRPr="001976CD">
        <w:rPr>
          <w:rFonts w:eastAsia="Calibri" w:cs="Calibri"/>
          <w:i/>
          <w:szCs w:val="20"/>
          <w:lang w:val="en-US"/>
        </w:rPr>
        <w:t>SOT NII</w:t>
      </w:r>
      <w:r w:rsidRPr="001976CD">
        <w:rPr>
          <w:rFonts w:eastAsia="Calibri" w:cs="Calibri"/>
          <w:szCs w:val="20"/>
          <w:lang w:val="en-US"/>
        </w:rPr>
        <w:t xml:space="preserve"> is suggested to be calculated with a constant balance sheet. </w:t>
      </w:r>
    </w:p>
    <w:p w14:paraId="5BCAA2AC" w14:textId="77777777" w:rsidR="001976CD" w:rsidRPr="001976CD" w:rsidRDefault="001976CD" w:rsidP="005C2253">
      <w:pPr>
        <w:suppressAutoHyphens w:val="0"/>
        <w:spacing w:after="60"/>
        <w:ind w:left="357"/>
        <w:rPr>
          <w:rFonts w:eastAsia="Calibri" w:cs="Calibri"/>
          <w:szCs w:val="20"/>
          <w:lang w:val="en-US"/>
        </w:rPr>
      </w:pPr>
      <w:r w:rsidRPr="001976CD">
        <w:rPr>
          <w:rFonts w:eastAsia="Calibri" w:cs="Calibri"/>
          <w:b/>
          <w:szCs w:val="20"/>
          <w:lang w:val="en-US"/>
        </w:rPr>
        <w:t>It should be clarified that within this constant balance sheet requirement, Internal Management System (</w:t>
      </w:r>
      <w:r w:rsidRPr="001976CD">
        <w:rPr>
          <w:rFonts w:eastAsia="Calibri" w:cs="Calibri"/>
          <w:b/>
          <w:i/>
          <w:szCs w:val="20"/>
          <w:lang w:val="en-US"/>
        </w:rPr>
        <w:t>IMS</w:t>
      </w:r>
      <w:r w:rsidRPr="001976CD">
        <w:rPr>
          <w:rFonts w:eastAsia="Calibri" w:cs="Calibri"/>
          <w:b/>
          <w:szCs w:val="20"/>
          <w:lang w:val="en-US"/>
        </w:rPr>
        <w:t>) assumptions, such as behavioural assumptions, apply.</w:t>
      </w:r>
      <w:r w:rsidRPr="001976CD">
        <w:rPr>
          <w:rFonts w:eastAsia="Calibri" w:cs="Calibri"/>
          <w:szCs w:val="20"/>
          <w:lang w:val="en-US"/>
        </w:rPr>
        <w:t xml:space="preserve"> </w:t>
      </w:r>
    </w:p>
    <w:p w14:paraId="07CF92C1" w14:textId="77777777" w:rsidR="001976CD" w:rsidRPr="001976CD" w:rsidRDefault="001976CD" w:rsidP="005C2253">
      <w:pPr>
        <w:suppressAutoHyphens w:val="0"/>
        <w:spacing w:after="60"/>
        <w:ind w:left="357"/>
        <w:rPr>
          <w:rFonts w:eastAsia="Calibri" w:cs="Calibri"/>
          <w:szCs w:val="20"/>
          <w:lang w:val="en-US"/>
        </w:rPr>
      </w:pPr>
      <w:r w:rsidRPr="001976CD">
        <w:rPr>
          <w:rFonts w:eastAsia="Calibri" w:cs="Calibri"/>
          <w:szCs w:val="20"/>
          <w:lang w:val="en-US"/>
        </w:rPr>
        <w:t xml:space="preserve">To the extent that a dynamic balance approach would be used in </w:t>
      </w:r>
      <w:r w:rsidRPr="001976CD">
        <w:rPr>
          <w:rFonts w:eastAsia="Calibri" w:cs="Calibri"/>
          <w:i/>
          <w:szCs w:val="20"/>
          <w:lang w:val="en-US"/>
        </w:rPr>
        <w:t>IMS</w:t>
      </w:r>
      <w:r w:rsidRPr="001976CD">
        <w:rPr>
          <w:rFonts w:eastAsia="Calibri" w:cs="Calibri"/>
          <w:szCs w:val="20"/>
          <w:lang w:val="en-US"/>
        </w:rPr>
        <w:t xml:space="preserve">, notably when the dynamic balance sheet enables to capture behavioural assumptions that excluded from the scope of common parametric assumptions, we believe that </w:t>
      </w:r>
      <w:r w:rsidRPr="001976CD">
        <w:rPr>
          <w:rFonts w:eastAsia="Calibri" w:cs="Calibri"/>
          <w:b/>
          <w:szCs w:val="20"/>
          <w:lang w:val="en-US"/>
        </w:rPr>
        <w:t xml:space="preserve">a discretion should be provided for the bank and the competent authority to use dynamic balance sheet for </w:t>
      </w:r>
      <w:r w:rsidRPr="001976CD">
        <w:rPr>
          <w:rFonts w:eastAsia="Calibri" w:cs="Calibri"/>
          <w:b/>
          <w:i/>
          <w:szCs w:val="20"/>
          <w:lang w:val="en-US"/>
        </w:rPr>
        <w:t>SOT NII</w:t>
      </w:r>
      <w:r w:rsidRPr="001976CD">
        <w:rPr>
          <w:rFonts w:eastAsia="Calibri" w:cs="Calibri"/>
          <w:szCs w:val="20"/>
          <w:lang w:val="en-US"/>
        </w:rPr>
        <w:t xml:space="preserve">. As public disclosures requirements are based on </w:t>
      </w:r>
      <w:r w:rsidRPr="001976CD">
        <w:rPr>
          <w:rFonts w:eastAsia="Calibri" w:cs="Calibri"/>
          <w:i/>
          <w:szCs w:val="20"/>
          <w:lang w:val="en-US"/>
        </w:rPr>
        <w:t>SOT NII</w:t>
      </w:r>
      <w:r w:rsidRPr="001976CD">
        <w:rPr>
          <w:rFonts w:eastAsia="Calibri" w:cs="Calibri"/>
          <w:szCs w:val="20"/>
          <w:lang w:val="en-US"/>
        </w:rPr>
        <w:t xml:space="preserve"> assumptions (which is a deviation from </w:t>
      </w:r>
      <w:r w:rsidRPr="001976CD">
        <w:rPr>
          <w:rFonts w:eastAsia="Calibri" w:cs="Calibri"/>
          <w:i/>
          <w:szCs w:val="20"/>
          <w:lang w:val="en-US"/>
        </w:rPr>
        <w:t>BCBS Standard</w:t>
      </w:r>
      <w:r w:rsidRPr="001976CD">
        <w:rPr>
          <w:rFonts w:eastAsia="Calibri" w:cs="Calibri"/>
          <w:szCs w:val="20"/>
          <w:lang w:val="en-US"/>
        </w:rPr>
        <w:t>), such a discretion would enable consistency with actual management.</w:t>
      </w:r>
    </w:p>
    <w:p w14:paraId="75A2B765" w14:textId="77777777" w:rsidR="001976CD" w:rsidRPr="001976CD" w:rsidRDefault="001976CD" w:rsidP="001976CD">
      <w:pPr>
        <w:keepNext/>
        <w:numPr>
          <w:ilvl w:val="0"/>
          <w:numId w:val="18"/>
        </w:numPr>
        <w:suppressAutoHyphens w:val="0"/>
        <w:spacing w:before="240" w:after="60" w:line="259" w:lineRule="auto"/>
        <w:ind w:left="357" w:hanging="357"/>
        <w:jc w:val="left"/>
        <w:rPr>
          <w:rFonts w:eastAsia="Calibri" w:cs="Calibri"/>
          <w:szCs w:val="20"/>
          <w:lang w:val="en-US"/>
        </w:rPr>
      </w:pPr>
      <w:r w:rsidRPr="001976CD">
        <w:rPr>
          <w:rFonts w:eastAsia="Calibri" w:cs="Calibri"/>
          <w:szCs w:val="20"/>
          <w:lang w:val="en-US"/>
        </w:rPr>
        <w:t xml:space="preserve">For the definition of large decline threshold for </w:t>
      </w:r>
      <w:r w:rsidRPr="001976CD">
        <w:rPr>
          <w:rFonts w:eastAsia="Calibri" w:cs="Calibri"/>
          <w:i/>
          <w:szCs w:val="20"/>
          <w:lang w:val="en-US"/>
        </w:rPr>
        <w:t>SOT NII</w:t>
      </w:r>
      <w:r w:rsidRPr="001976CD">
        <w:rPr>
          <w:rFonts w:eastAsia="Calibri" w:cs="Calibri"/>
          <w:szCs w:val="20"/>
          <w:lang w:val="en-US"/>
        </w:rPr>
        <w:t>:</w:t>
      </w:r>
    </w:p>
    <w:p w14:paraId="7E629952" w14:textId="77777777" w:rsidR="001976CD" w:rsidRPr="001976CD" w:rsidRDefault="001976CD" w:rsidP="001976CD">
      <w:pPr>
        <w:keepNext/>
        <w:numPr>
          <w:ilvl w:val="1"/>
          <w:numId w:val="18"/>
        </w:numPr>
        <w:suppressAutoHyphens w:val="0"/>
        <w:spacing w:before="120" w:after="60" w:line="259" w:lineRule="auto"/>
        <w:ind w:left="1077" w:hanging="357"/>
        <w:jc w:val="left"/>
        <w:rPr>
          <w:rFonts w:eastAsia="Calibri" w:cs="Calibri"/>
          <w:szCs w:val="20"/>
          <w:lang w:val="en-US"/>
        </w:rPr>
      </w:pPr>
      <w:r w:rsidRPr="001976CD">
        <w:rPr>
          <w:rFonts w:eastAsia="Calibri" w:cs="Calibri"/>
          <w:szCs w:val="20"/>
          <w:lang w:val="en-US"/>
        </w:rPr>
        <w:t>Option B appears to benefit from a denominator that is in direct relation with the numerator. However, the introduction of non-</w:t>
      </w:r>
      <w:r w:rsidRPr="001976CD">
        <w:rPr>
          <w:rFonts w:eastAsia="Calibri" w:cs="Calibri"/>
          <w:i/>
          <w:szCs w:val="20"/>
          <w:lang w:val="en-US"/>
        </w:rPr>
        <w:t>NII</w:t>
      </w:r>
      <w:r w:rsidRPr="001976CD">
        <w:rPr>
          <w:rFonts w:eastAsia="Calibri" w:cs="Calibri"/>
          <w:szCs w:val="20"/>
          <w:lang w:val="en-US"/>
        </w:rPr>
        <w:t xml:space="preserve"> related components make it complex and variable for no </w:t>
      </w:r>
      <w:r w:rsidRPr="001976CD">
        <w:rPr>
          <w:rFonts w:eastAsia="Calibri" w:cs="Calibri"/>
          <w:i/>
          <w:szCs w:val="20"/>
          <w:lang w:val="en-US"/>
        </w:rPr>
        <w:t>NII</w:t>
      </w:r>
      <w:r w:rsidRPr="001976CD">
        <w:rPr>
          <w:rFonts w:eastAsia="Calibri" w:cs="Calibri"/>
          <w:szCs w:val="20"/>
          <w:lang w:val="en-US"/>
        </w:rPr>
        <w:t xml:space="preserve">-reasons. </w:t>
      </w:r>
    </w:p>
    <w:p w14:paraId="27A0D3E7" w14:textId="77777777" w:rsidR="001976CD" w:rsidRPr="001976CD" w:rsidRDefault="001976CD" w:rsidP="001976CD">
      <w:pPr>
        <w:keepNext/>
        <w:numPr>
          <w:ilvl w:val="1"/>
          <w:numId w:val="18"/>
        </w:numPr>
        <w:suppressAutoHyphens w:val="0"/>
        <w:spacing w:before="120" w:after="60" w:line="259" w:lineRule="auto"/>
        <w:ind w:left="1077" w:hanging="357"/>
        <w:jc w:val="left"/>
        <w:rPr>
          <w:rFonts w:eastAsia="Calibri" w:cs="Calibri"/>
          <w:szCs w:val="20"/>
          <w:lang w:val="en-US"/>
        </w:rPr>
      </w:pPr>
      <w:r w:rsidRPr="001976CD">
        <w:rPr>
          <w:rFonts w:eastAsia="Calibri" w:cs="Calibri"/>
          <w:szCs w:val="20"/>
          <w:lang w:val="en-US"/>
        </w:rPr>
        <w:t xml:space="preserve">Option A appears as simpler and less prone to variability and pro-cyclicality, though Tier One does not directly relate to </w:t>
      </w:r>
      <w:r w:rsidRPr="001976CD">
        <w:rPr>
          <w:rFonts w:eastAsia="Calibri" w:cs="Calibri"/>
          <w:i/>
          <w:szCs w:val="20"/>
          <w:lang w:val="en-US"/>
        </w:rPr>
        <w:t>NII</w:t>
      </w:r>
      <w:r w:rsidRPr="001976CD">
        <w:rPr>
          <w:rFonts w:eastAsia="Calibri" w:cs="Calibri"/>
          <w:szCs w:val="20"/>
          <w:lang w:val="en-US"/>
        </w:rPr>
        <w:t xml:space="preserve"> generation. </w:t>
      </w:r>
    </w:p>
    <w:p w14:paraId="5FEE1B29" w14:textId="790E3CF8" w:rsidR="001976CD" w:rsidRPr="001976CD" w:rsidRDefault="001976CD" w:rsidP="005C2253">
      <w:pPr>
        <w:keepNext/>
        <w:numPr>
          <w:ilvl w:val="1"/>
          <w:numId w:val="18"/>
        </w:numPr>
        <w:suppressAutoHyphens w:val="0"/>
        <w:spacing w:before="120" w:after="60" w:line="259" w:lineRule="auto"/>
        <w:ind w:left="1077" w:hanging="357"/>
        <w:rPr>
          <w:rFonts w:eastAsia="Calibri" w:cs="Calibri"/>
          <w:szCs w:val="20"/>
          <w:lang w:val="en-US"/>
        </w:rPr>
      </w:pPr>
      <w:r w:rsidRPr="001976CD">
        <w:rPr>
          <w:rFonts w:eastAsia="Calibri" w:cs="Calibri"/>
          <w:szCs w:val="20"/>
          <w:lang w:val="en-US"/>
        </w:rPr>
        <w:t xml:space="preserve">Whichever option is finally determined, we notice that a large decline in itself is no reason to impose supervisory measures. It is very well possible that even if a bank encounters a large decline the resulting </w:t>
      </w:r>
      <w:r w:rsidRPr="001976CD">
        <w:rPr>
          <w:rFonts w:eastAsia="Calibri" w:cs="Calibri"/>
          <w:i/>
          <w:szCs w:val="20"/>
          <w:lang w:val="en-US"/>
        </w:rPr>
        <w:t>NII</w:t>
      </w:r>
      <w:r w:rsidRPr="001976CD">
        <w:rPr>
          <w:rFonts w:eastAsia="Calibri" w:cs="Calibri"/>
          <w:szCs w:val="20"/>
          <w:lang w:val="en-US"/>
        </w:rPr>
        <w:t xml:space="preserve"> is still largely positive (in particular if interest rate levels return to normalized levels). </w:t>
      </w:r>
      <w:r w:rsidR="005C2253" w:rsidRPr="001976CD">
        <w:rPr>
          <w:rFonts w:eastAsia="Calibri" w:cs="Calibri"/>
          <w:szCs w:val="20"/>
          <w:lang w:val="en-US"/>
        </w:rPr>
        <w:t>Furthermore,</w:t>
      </w:r>
      <w:r w:rsidRPr="001976CD">
        <w:rPr>
          <w:rFonts w:eastAsia="Calibri" w:cs="Calibri"/>
          <w:szCs w:val="20"/>
          <w:lang w:val="en-US"/>
        </w:rPr>
        <w:t xml:space="preserve"> banks </w:t>
      </w:r>
      <w:r w:rsidRPr="001976CD">
        <w:rPr>
          <w:rFonts w:eastAsia="Calibri" w:cs="Calibri"/>
          <w:szCs w:val="20"/>
          <w:lang w:val="en-US"/>
        </w:rPr>
        <w:lastRenderedPageBreak/>
        <w:t xml:space="preserve">factor in this risk as part of business risk under Pillar 2. Imposing supervisory measures thus may lead to double counting. </w:t>
      </w:r>
    </w:p>
    <w:p w14:paraId="4C94D05B" w14:textId="77777777" w:rsidR="001976CD" w:rsidRPr="001976CD" w:rsidRDefault="001976CD" w:rsidP="005C2253">
      <w:pPr>
        <w:keepNext/>
        <w:numPr>
          <w:ilvl w:val="1"/>
          <w:numId w:val="18"/>
        </w:numPr>
        <w:suppressAutoHyphens w:val="0"/>
        <w:spacing w:before="120" w:after="60" w:line="259" w:lineRule="auto"/>
        <w:ind w:left="1077" w:hanging="357"/>
        <w:rPr>
          <w:rFonts w:eastAsia="Calibri" w:cs="Calibri"/>
          <w:szCs w:val="20"/>
          <w:lang w:val="en-US"/>
        </w:rPr>
      </w:pPr>
      <w:r w:rsidRPr="001976CD">
        <w:rPr>
          <w:rFonts w:eastAsia="Calibri" w:cs="Calibri"/>
          <w:szCs w:val="20"/>
          <w:lang w:val="en-US"/>
        </w:rPr>
        <w:t xml:space="preserve">The value of large decline should not be defined yet as it requires further analyses to make sure it is relevant and consistent through time (i.e. not point in time), across scope of application (i.e. individual and consolidated level). We have strong concerns on the methodology that is envisaged by </w:t>
      </w:r>
      <w:r w:rsidRPr="001976CD">
        <w:rPr>
          <w:rFonts w:eastAsia="Calibri" w:cs="Calibri"/>
          <w:i/>
          <w:szCs w:val="20"/>
          <w:lang w:val="en-US"/>
        </w:rPr>
        <w:t>EBA</w:t>
      </w:r>
      <w:r w:rsidRPr="001976CD">
        <w:rPr>
          <w:rFonts w:eastAsia="Calibri" w:cs="Calibri"/>
          <w:szCs w:val="20"/>
          <w:lang w:val="en-US"/>
        </w:rPr>
        <w:t xml:space="preserve"> to set this large decline threshold as it is not risk based.</w:t>
      </w:r>
    </w:p>
    <w:p w14:paraId="040A1272" w14:textId="77777777" w:rsidR="001976CD" w:rsidRPr="001976CD" w:rsidRDefault="001976CD" w:rsidP="005C2253">
      <w:pPr>
        <w:suppressAutoHyphens w:val="0"/>
        <w:spacing w:after="60"/>
        <w:ind w:left="1077"/>
        <w:rPr>
          <w:rFonts w:eastAsia="Calibri" w:cs="Calibri"/>
          <w:b/>
          <w:szCs w:val="20"/>
          <w:lang w:val="en-US"/>
        </w:rPr>
      </w:pPr>
      <w:r w:rsidRPr="001976CD">
        <w:rPr>
          <w:rFonts w:eastAsia="Calibri" w:cs="Calibri"/>
          <w:b/>
          <w:szCs w:val="20"/>
          <w:lang w:val="en-US"/>
        </w:rPr>
        <w:t xml:space="preserve">Further analyses should be developed over time </w:t>
      </w:r>
      <w:r w:rsidRPr="001976CD">
        <w:rPr>
          <w:rFonts w:eastAsia="Calibri" w:cs="Calibri"/>
          <w:b/>
          <w:szCs w:val="20"/>
          <w:u w:val="single"/>
          <w:lang w:val="en-US"/>
        </w:rPr>
        <w:t>before</w:t>
      </w:r>
      <w:r w:rsidRPr="001976CD">
        <w:rPr>
          <w:rFonts w:eastAsia="Calibri" w:cs="Calibri"/>
          <w:b/>
          <w:szCs w:val="20"/>
          <w:lang w:val="en-US"/>
        </w:rPr>
        <w:t xml:space="preserve"> electing a specific ratio and its accompanying large decline thresholds.</w:t>
      </w:r>
    </w:p>
    <w:p w14:paraId="11725BA9" w14:textId="69899067" w:rsidR="001976CD" w:rsidRPr="001976CD" w:rsidRDefault="001976CD" w:rsidP="005C2253">
      <w:pPr>
        <w:numPr>
          <w:ilvl w:val="1"/>
          <w:numId w:val="18"/>
        </w:numPr>
        <w:suppressAutoHyphens w:val="0"/>
        <w:spacing w:before="120" w:after="60" w:line="259" w:lineRule="auto"/>
        <w:ind w:left="1077" w:hanging="357"/>
        <w:rPr>
          <w:rFonts w:eastAsia="Calibri" w:cs="Calibri"/>
          <w:szCs w:val="20"/>
          <w:lang w:val="en-US"/>
        </w:rPr>
      </w:pPr>
      <w:r w:rsidRPr="001976CD">
        <w:rPr>
          <w:rFonts w:eastAsia="Calibri" w:cs="Calibri"/>
          <w:szCs w:val="20"/>
          <w:lang w:val="en-US"/>
        </w:rPr>
        <w:t xml:space="preserve">As regards the proposed recalibration of the lower bound, to be applied to post-shock interest rate levels, we do not see the need for such change. For the </w:t>
      </w:r>
      <w:r w:rsidRPr="001976CD">
        <w:rPr>
          <w:rFonts w:eastAsia="Calibri" w:cs="Calibri"/>
          <w:i/>
          <w:szCs w:val="20"/>
          <w:lang w:val="en-US"/>
        </w:rPr>
        <w:t>SOT</w:t>
      </w:r>
      <w:r w:rsidRPr="001976CD">
        <w:rPr>
          <w:rFonts w:eastAsia="Calibri" w:cs="Calibri"/>
          <w:szCs w:val="20"/>
          <w:lang w:val="en-US"/>
        </w:rPr>
        <w:t xml:space="preserve"> on </w:t>
      </w:r>
      <w:r w:rsidRPr="001976CD">
        <w:rPr>
          <w:rFonts w:eastAsia="Calibri" w:cs="Calibri"/>
          <w:i/>
          <w:szCs w:val="20"/>
          <w:lang w:val="en-US"/>
        </w:rPr>
        <w:t>NII</w:t>
      </w:r>
      <w:r w:rsidRPr="001976CD">
        <w:rPr>
          <w:rFonts w:eastAsia="Calibri" w:cs="Calibri"/>
          <w:szCs w:val="20"/>
          <w:lang w:val="en-US"/>
        </w:rPr>
        <w:t xml:space="preserve"> this lower bound is mainly determined by policies of the central banks. Nowadays this is large consensus that setting a policy rate below -/- 100 bps is ineffective. Therefore, t</w:t>
      </w:r>
      <w:r w:rsidRPr="001976CD">
        <w:rPr>
          <w:rFonts w:eastAsia="Calibri" w:cs="Calibri"/>
          <w:bCs/>
          <w:szCs w:val="20"/>
          <w:lang w:val="en-US"/>
        </w:rPr>
        <w:t>he recalibrated lower bound seems rather unrealistic</w:t>
      </w:r>
      <w:r w:rsidRPr="001976CD">
        <w:rPr>
          <w:rFonts w:eastAsia="Calibri" w:cs="Calibri"/>
          <w:b/>
          <w:szCs w:val="20"/>
          <w:lang w:val="en-US"/>
        </w:rPr>
        <w:t xml:space="preserve"> and </w:t>
      </w:r>
      <w:r w:rsidR="005C2253" w:rsidRPr="001976CD">
        <w:rPr>
          <w:rFonts w:eastAsia="Calibri" w:cs="Calibri"/>
          <w:b/>
          <w:szCs w:val="20"/>
          <w:lang w:val="en-US"/>
        </w:rPr>
        <w:t>we</w:t>
      </w:r>
      <w:r w:rsidRPr="001976CD">
        <w:rPr>
          <w:rFonts w:eastAsia="Calibri" w:cs="Calibri"/>
          <w:b/>
          <w:szCs w:val="20"/>
          <w:lang w:val="en-US"/>
        </w:rPr>
        <w:t xml:space="preserve"> do not support the proposed change in the lower bound. Should nonetheless the lower bound be changed, this should be factored in the calibration of the threshold.</w:t>
      </w:r>
      <w:r w:rsidR="005C2253">
        <w:rPr>
          <w:rFonts w:eastAsia="Calibri" w:cs="Calibri"/>
          <w:b/>
          <w:szCs w:val="20"/>
          <w:lang w:val="en-US"/>
        </w:rPr>
        <w:t xml:space="preserve"> </w:t>
      </w:r>
      <w:r w:rsidRPr="001976CD">
        <w:rPr>
          <w:rFonts w:eastAsia="Calibri" w:cs="Calibri"/>
          <w:szCs w:val="20"/>
          <w:lang w:val="en-US"/>
        </w:rPr>
        <w:t xml:space="preserve">The CP should clarify that as </w:t>
      </w:r>
      <w:r w:rsidRPr="001976CD">
        <w:rPr>
          <w:rFonts w:eastAsia="Calibri" w:cs="Calibri"/>
          <w:i/>
          <w:szCs w:val="20"/>
          <w:lang w:val="en-US"/>
        </w:rPr>
        <w:t>EVE</w:t>
      </w:r>
      <w:r w:rsidRPr="001976CD">
        <w:rPr>
          <w:rFonts w:eastAsia="Calibri" w:cs="Calibri"/>
          <w:szCs w:val="20"/>
          <w:lang w:val="en-US"/>
        </w:rPr>
        <w:t xml:space="preserve"> and </w:t>
      </w:r>
      <w:r w:rsidRPr="001976CD">
        <w:rPr>
          <w:rFonts w:eastAsia="Calibri" w:cs="Calibri"/>
          <w:i/>
          <w:szCs w:val="20"/>
          <w:lang w:val="en-US"/>
        </w:rPr>
        <w:t>NII</w:t>
      </w:r>
      <w:r w:rsidRPr="001976CD">
        <w:rPr>
          <w:rFonts w:eastAsia="Calibri" w:cs="Calibri"/>
          <w:szCs w:val="20"/>
          <w:lang w:val="en-US"/>
        </w:rPr>
        <w:t xml:space="preserve"> sensitivities cannot be simultaneously reduced, the analysis of </w:t>
      </w:r>
      <w:r w:rsidRPr="001976CD">
        <w:rPr>
          <w:rFonts w:eastAsia="Calibri" w:cs="Calibri"/>
          <w:i/>
          <w:szCs w:val="20"/>
          <w:lang w:val="en-US"/>
        </w:rPr>
        <w:t>SOT EVE</w:t>
      </w:r>
      <w:r w:rsidRPr="001976CD">
        <w:rPr>
          <w:rFonts w:eastAsia="Calibri" w:cs="Calibri"/>
          <w:szCs w:val="20"/>
          <w:lang w:val="en-US"/>
        </w:rPr>
        <w:t xml:space="preserve"> and </w:t>
      </w:r>
      <w:r w:rsidRPr="001976CD">
        <w:rPr>
          <w:rFonts w:eastAsia="Calibri" w:cs="Calibri"/>
          <w:i/>
          <w:szCs w:val="20"/>
          <w:lang w:val="en-US"/>
        </w:rPr>
        <w:t>SOT NII</w:t>
      </w:r>
      <w:r w:rsidRPr="001976CD">
        <w:rPr>
          <w:rFonts w:eastAsia="Calibri" w:cs="Calibri"/>
          <w:szCs w:val="20"/>
          <w:lang w:val="en-US"/>
        </w:rPr>
        <w:t xml:space="preserve"> needs to be done in combination by competent authority.</w:t>
      </w:r>
    </w:p>
    <w:p w14:paraId="6B33175E" w14:textId="77777777" w:rsidR="001976CD" w:rsidRPr="001976CD" w:rsidRDefault="001976CD" w:rsidP="005C2253">
      <w:pPr>
        <w:suppressAutoHyphens w:val="0"/>
        <w:spacing w:after="60"/>
        <w:ind w:left="1080"/>
        <w:rPr>
          <w:rFonts w:eastAsia="Calibri" w:cs="Calibri"/>
          <w:b/>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should clarify that the SOTs serve as an indication for competent authorities only, as explicitly stated in article 98.5 of the CRD5. In that sense</w:t>
      </w:r>
    </w:p>
    <w:p w14:paraId="22145B19" w14:textId="335A7DFC" w:rsidR="001976CD" w:rsidRPr="001976CD" w:rsidRDefault="001976CD" w:rsidP="005C2253">
      <w:pPr>
        <w:numPr>
          <w:ilvl w:val="0"/>
          <w:numId w:val="27"/>
        </w:numPr>
        <w:suppressAutoHyphens w:val="0"/>
        <w:spacing w:after="60" w:line="259" w:lineRule="auto"/>
        <w:rPr>
          <w:rFonts w:eastAsia="Calibri" w:cs="Calibri"/>
          <w:szCs w:val="20"/>
          <w:lang w:val="en-US"/>
        </w:rPr>
      </w:pPr>
      <w:r w:rsidRPr="001976CD">
        <w:rPr>
          <w:rFonts w:eastAsia="Calibri" w:cs="Calibri"/>
          <w:b/>
          <w:szCs w:val="20"/>
          <w:lang w:val="en-US"/>
        </w:rPr>
        <w:t xml:space="preserve">no automatic supervisory measures should apply in case of crossing </w:t>
      </w:r>
      <w:r w:rsidRPr="001976CD">
        <w:rPr>
          <w:rFonts w:eastAsia="Calibri" w:cs="Calibri"/>
          <w:b/>
          <w:i/>
          <w:szCs w:val="20"/>
          <w:lang w:val="en-US"/>
        </w:rPr>
        <w:t>SOT</w:t>
      </w:r>
      <w:r w:rsidRPr="001976CD">
        <w:rPr>
          <w:rFonts w:eastAsia="Calibri" w:cs="Calibri"/>
          <w:b/>
          <w:szCs w:val="20"/>
          <w:lang w:val="en-US"/>
        </w:rPr>
        <w:t>’s thresholds</w:t>
      </w:r>
      <w:r w:rsidR="005C2253">
        <w:rPr>
          <w:rFonts w:eastAsia="Calibri" w:cs="Calibri"/>
          <w:b/>
          <w:szCs w:val="20"/>
          <w:lang w:val="en-US"/>
        </w:rPr>
        <w:t xml:space="preserve"> T</w:t>
      </w:r>
      <w:r w:rsidRPr="001976CD">
        <w:rPr>
          <w:rFonts w:eastAsia="Calibri" w:cs="Calibri"/>
          <w:b/>
          <w:szCs w:val="20"/>
          <w:lang w:val="en-US"/>
        </w:rPr>
        <w:t xml:space="preserve">here should be no direct link between the </w:t>
      </w:r>
      <w:r w:rsidRPr="001976CD">
        <w:rPr>
          <w:rFonts w:eastAsia="Calibri" w:cs="Calibri"/>
          <w:b/>
          <w:i/>
          <w:szCs w:val="20"/>
          <w:lang w:val="en-US"/>
        </w:rPr>
        <w:t>SOT</w:t>
      </w:r>
      <w:r w:rsidRPr="001976CD">
        <w:rPr>
          <w:rFonts w:eastAsia="Calibri" w:cs="Calibri"/>
          <w:b/>
          <w:szCs w:val="20"/>
          <w:lang w:val="en-US"/>
        </w:rPr>
        <w:t xml:space="preserve">’s and the identification of internal capital that may be identified for </w:t>
      </w:r>
      <w:r w:rsidRPr="001976CD">
        <w:rPr>
          <w:rFonts w:eastAsia="Calibri" w:cs="Calibri"/>
          <w:b/>
          <w:i/>
          <w:szCs w:val="20"/>
          <w:lang w:val="en-US"/>
        </w:rPr>
        <w:t>IRRBB</w:t>
      </w:r>
      <w:r w:rsidRPr="001976CD">
        <w:rPr>
          <w:rFonts w:eastAsia="Calibri" w:cs="Calibri"/>
          <w:b/>
          <w:szCs w:val="20"/>
          <w:lang w:val="en-US"/>
        </w:rPr>
        <w:t>.</w:t>
      </w:r>
    </w:p>
    <w:p w14:paraId="01F7A1EE" w14:textId="77777777" w:rsidR="001976CD" w:rsidRPr="001976CD" w:rsidRDefault="001976CD" w:rsidP="005C2253">
      <w:pPr>
        <w:numPr>
          <w:ilvl w:val="0"/>
          <w:numId w:val="27"/>
        </w:numPr>
        <w:suppressAutoHyphens w:val="0"/>
        <w:spacing w:after="60" w:line="259" w:lineRule="auto"/>
        <w:rPr>
          <w:rFonts w:eastAsia="Calibri" w:cs="Calibri"/>
          <w:szCs w:val="20"/>
          <w:lang w:val="en-US"/>
        </w:rPr>
      </w:pPr>
      <w:r w:rsidRPr="001976CD">
        <w:rPr>
          <w:rFonts w:eastAsia="Calibri" w:cs="Calibri"/>
          <w:b/>
          <w:szCs w:val="20"/>
          <w:lang w:val="en-US"/>
        </w:rPr>
        <w:t>no full integration of SOTs into the internal measurement and/ or management should be required.</w:t>
      </w:r>
    </w:p>
    <w:p w14:paraId="140BE4C1" w14:textId="77777777" w:rsidR="001976CD" w:rsidRPr="001976CD" w:rsidRDefault="001976CD" w:rsidP="005C2253">
      <w:pPr>
        <w:numPr>
          <w:ilvl w:val="0"/>
          <w:numId w:val="27"/>
        </w:numPr>
        <w:suppressAutoHyphens w:val="0"/>
        <w:spacing w:after="60" w:line="259" w:lineRule="auto"/>
        <w:rPr>
          <w:rFonts w:eastAsia="Calibri" w:cs="Calibri"/>
          <w:szCs w:val="20"/>
          <w:lang w:val="en-US"/>
        </w:rPr>
      </w:pPr>
      <w:r w:rsidRPr="001976CD">
        <w:rPr>
          <w:rFonts w:eastAsia="Calibri" w:cs="Calibri"/>
          <w:b/>
          <w:szCs w:val="20"/>
          <w:lang w:val="en-US"/>
        </w:rPr>
        <w:t xml:space="preserve">no (Pillar 3) disclosure obligation should be applied. </w:t>
      </w:r>
    </w:p>
    <w:p w14:paraId="275389EC" w14:textId="77777777" w:rsidR="001976CD" w:rsidRPr="001976CD" w:rsidRDefault="001976CD" w:rsidP="005C2253">
      <w:pPr>
        <w:suppressAutoHyphens w:val="0"/>
        <w:spacing w:after="60" w:line="259" w:lineRule="auto"/>
        <w:rPr>
          <w:rFonts w:eastAsia="Calibri" w:cs="Arial"/>
          <w:szCs w:val="20"/>
          <w:lang w:val="en-US"/>
        </w:rPr>
      </w:pPr>
    </w:p>
    <w:p w14:paraId="4ADEE9FE" w14:textId="77777777" w:rsidR="001976CD" w:rsidRPr="001976CD" w:rsidRDefault="001976CD" w:rsidP="005C2253">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3: Do respondents consider that all the necessary aspects have been covered in the draft regulatory standard? Do respondents find the provisions clear enough or would any additional clarification be needed on any aspect?</w:t>
      </w:r>
    </w:p>
    <w:p w14:paraId="64C38525" w14:textId="77777777" w:rsidR="001976CD" w:rsidRPr="001976CD" w:rsidRDefault="001976CD" w:rsidP="005C2253">
      <w:pPr>
        <w:keepNext/>
        <w:suppressAutoHyphens w:val="0"/>
        <w:spacing w:before="360"/>
        <w:rPr>
          <w:rFonts w:eastAsia="Calibri" w:cs="Calibri"/>
          <w:b/>
          <w:i/>
          <w:szCs w:val="20"/>
          <w:lang w:val="en-US"/>
        </w:rPr>
      </w:pPr>
      <w:r w:rsidRPr="001976CD">
        <w:rPr>
          <w:rFonts w:eastAsia="Calibri" w:cs="Calibri"/>
          <w:b/>
          <w:i/>
          <w:szCs w:val="20"/>
          <w:lang w:val="en-US"/>
        </w:rPr>
        <w:t>Response:</w:t>
      </w:r>
    </w:p>
    <w:p w14:paraId="3BD7CE68" w14:textId="3245E73D" w:rsidR="001976CD" w:rsidRPr="001976CD" w:rsidRDefault="001976CD" w:rsidP="005C2253">
      <w:pPr>
        <w:numPr>
          <w:ilvl w:val="0"/>
          <w:numId w:val="18"/>
        </w:numPr>
        <w:suppressAutoHyphens w:val="0"/>
        <w:spacing w:before="240" w:after="60" w:line="259" w:lineRule="auto"/>
        <w:ind w:left="357" w:hanging="357"/>
        <w:rPr>
          <w:rFonts w:eastAsia="Calibri" w:cs="Calibri"/>
          <w:szCs w:val="20"/>
          <w:lang w:val="en-US"/>
        </w:rPr>
      </w:pPr>
      <w:r w:rsidRPr="001976CD">
        <w:rPr>
          <w:rFonts w:eastAsia="Calibri" w:cs="Calibri"/>
          <w:b/>
          <w:szCs w:val="20"/>
          <w:lang w:val="en-US"/>
        </w:rPr>
        <w:t xml:space="preserve">Upon final publication in the </w:t>
      </w:r>
      <w:r w:rsidRPr="001976CD">
        <w:rPr>
          <w:rFonts w:eastAsia="Calibri" w:cs="Calibri"/>
          <w:b/>
          <w:i/>
          <w:szCs w:val="20"/>
          <w:lang w:val="en-US"/>
        </w:rPr>
        <w:t>Official Journal of the European Union</w:t>
      </w:r>
      <w:r w:rsidRPr="001976CD">
        <w:rPr>
          <w:rFonts w:eastAsia="Calibri" w:cs="Calibri"/>
          <w:b/>
          <w:szCs w:val="20"/>
          <w:lang w:val="en-US"/>
        </w:rPr>
        <w:t xml:space="preserve">, the </w:t>
      </w:r>
      <w:r w:rsidRPr="001976CD">
        <w:rPr>
          <w:rFonts w:eastAsia="Calibri" w:cs="Calibri"/>
          <w:b/>
          <w:i/>
          <w:szCs w:val="20"/>
          <w:lang w:val="en-US"/>
        </w:rPr>
        <w:t>RTS</w:t>
      </w:r>
      <w:r w:rsidRPr="001976CD">
        <w:rPr>
          <w:rFonts w:eastAsia="Calibri" w:cs="Calibri"/>
          <w:b/>
          <w:szCs w:val="20"/>
          <w:lang w:val="en-US"/>
        </w:rPr>
        <w:t xml:space="preserve"> should, in any case, enter into force no sooner than the end of the next calendar semester after publication date</w:t>
      </w:r>
      <w:r w:rsidRPr="001976CD">
        <w:rPr>
          <w:rFonts w:eastAsia="Calibri" w:cs="Calibri"/>
          <w:szCs w:val="20"/>
          <w:lang w:val="en-US"/>
        </w:rPr>
        <w:t xml:space="preserve"> so as to enable banks to adapt. Ideally, the date of application should be aligned with the GL and the RTS on Standardized Methodologies.</w:t>
      </w:r>
    </w:p>
    <w:p w14:paraId="6116502F" w14:textId="77777777" w:rsidR="001976CD" w:rsidRPr="001976CD" w:rsidRDefault="001976CD" w:rsidP="001976CD">
      <w:pPr>
        <w:suppressAutoHyphens w:val="0"/>
        <w:spacing w:after="60" w:line="259" w:lineRule="auto"/>
        <w:rPr>
          <w:rFonts w:eastAsia="Calibri" w:cs="Arial"/>
          <w:szCs w:val="20"/>
          <w:lang w:val="en-US"/>
        </w:rPr>
      </w:pPr>
    </w:p>
    <w:p w14:paraId="300F0433" w14:textId="77777777" w:rsidR="001976CD" w:rsidRPr="001976CD" w:rsidRDefault="001976CD" w:rsidP="001976CD">
      <w:pPr>
        <w:suppressAutoHyphens w:val="0"/>
        <w:spacing w:after="160" w:line="259" w:lineRule="auto"/>
        <w:jc w:val="left"/>
        <w:rPr>
          <w:rFonts w:eastAsia="Calibri" w:cs="Arial"/>
          <w:szCs w:val="20"/>
          <w:lang w:val="en-US"/>
        </w:rPr>
      </w:pPr>
      <w:r w:rsidRPr="001976CD">
        <w:rPr>
          <w:rFonts w:eastAsia="Calibri" w:cs="Arial"/>
          <w:szCs w:val="20"/>
          <w:lang w:val="en-US"/>
        </w:rPr>
        <w:br w:type="page"/>
      </w:r>
    </w:p>
    <w:p w14:paraId="5445A65D" w14:textId="20DE5B3D" w:rsidR="005C2253" w:rsidRDefault="001976CD" w:rsidP="005C2253">
      <w:pPr>
        <w:rPr>
          <w:b/>
          <w:bCs/>
          <w:sz w:val="24"/>
        </w:rPr>
      </w:pPr>
      <w:r w:rsidRPr="005C2253">
        <w:rPr>
          <w:b/>
          <w:bCs/>
          <w:sz w:val="24"/>
        </w:rPr>
        <w:lastRenderedPageBreak/>
        <w:t>European Banking Authority (EBA) Consultation Paper (CP) on the</w:t>
      </w:r>
      <w:r w:rsidR="005C2253">
        <w:rPr>
          <w:b/>
          <w:bCs/>
          <w:sz w:val="24"/>
        </w:rPr>
        <w:t xml:space="preserve"> </w:t>
      </w:r>
      <w:r w:rsidRPr="005C2253">
        <w:rPr>
          <w:b/>
          <w:bCs/>
          <w:sz w:val="24"/>
        </w:rPr>
        <w:t>Draft Regulatory Technical Standards specifying standardised and simplified standardised methodologies to evaluate the risks arising from potential changes in interest rates that affect both the economic value of equity and the net interest income of an institution’s non-trading book activities in accordance with 84(5) of Directive 2013/36/EU</w:t>
      </w:r>
    </w:p>
    <w:p w14:paraId="4B20EC4C" w14:textId="0F0C1A8D" w:rsidR="001976CD" w:rsidRPr="005C2253" w:rsidRDefault="001976CD" w:rsidP="005C2253">
      <w:pPr>
        <w:rPr>
          <w:szCs w:val="20"/>
        </w:rPr>
      </w:pPr>
      <w:r w:rsidRPr="005C2253">
        <w:rPr>
          <w:szCs w:val="20"/>
        </w:rPr>
        <w:t>Published 2 December 2021 with Consultation End 4 April 2022</w:t>
      </w:r>
    </w:p>
    <w:p w14:paraId="4915FC4C" w14:textId="77777777" w:rsidR="001976CD" w:rsidRPr="001976CD" w:rsidRDefault="001976CD" w:rsidP="005C2253">
      <w:pPr>
        <w:suppressAutoHyphens w:val="0"/>
        <w:spacing w:after="60"/>
        <w:rPr>
          <w:rFonts w:eastAsia="Calibri" w:cs="Calibri"/>
          <w:i/>
          <w:szCs w:val="20"/>
          <w:lang w:val="en-US"/>
        </w:rPr>
      </w:pPr>
      <w:r w:rsidRPr="001976CD">
        <w:rPr>
          <w:rFonts w:eastAsia="Calibri" w:cs="Arial"/>
          <w:i/>
          <w:szCs w:val="20"/>
          <w:lang w:val="en-US"/>
        </w:rPr>
        <w:t xml:space="preserve">Link to Consultation Paper: </w:t>
      </w:r>
      <w:hyperlink r:id="rId16" w:history="1">
        <w:r w:rsidRPr="001976CD">
          <w:rPr>
            <w:rFonts w:eastAsia="Calibri" w:cs="Arial"/>
            <w:i/>
            <w:szCs w:val="20"/>
            <w:u w:val="single"/>
            <w:lang w:val="en-US"/>
          </w:rPr>
          <w:t>CP Draft RTS on SA.pdf (europa.eu)</w:t>
        </w:r>
      </w:hyperlink>
    </w:p>
    <w:p w14:paraId="6B7CBD88" w14:textId="77777777" w:rsidR="001976CD" w:rsidRPr="001976CD" w:rsidRDefault="001976CD" w:rsidP="001976CD">
      <w:pPr>
        <w:suppressAutoHyphens w:val="0"/>
        <w:spacing w:after="60" w:line="259" w:lineRule="auto"/>
        <w:rPr>
          <w:rFonts w:eastAsia="Calibri" w:cs="Arial"/>
          <w:szCs w:val="20"/>
          <w:lang w:val="en-US"/>
        </w:rPr>
      </w:pPr>
    </w:p>
    <w:p w14:paraId="2B800703" w14:textId="77777777" w:rsidR="001976CD" w:rsidRPr="001976CD" w:rsidRDefault="001976CD" w:rsidP="00013898">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1: What is the materiality of prepayments for floating rate instruments and what are the underlying factors? Would you prefer the inclusion of a requirement in Article 6 for institutions to estimate prepayments for these instruments?</w:t>
      </w:r>
    </w:p>
    <w:p w14:paraId="6999DAA0"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4E65127A" w14:textId="77777777" w:rsidR="001976CD" w:rsidRPr="001976CD" w:rsidRDefault="001976CD" w:rsidP="001976CD">
      <w:pPr>
        <w:suppressAutoHyphens w:val="0"/>
        <w:spacing w:after="60" w:line="259" w:lineRule="auto"/>
        <w:rPr>
          <w:rFonts w:eastAsia="Calibri" w:cs="Arial"/>
          <w:szCs w:val="20"/>
          <w:lang w:val="en-US"/>
        </w:rPr>
      </w:pPr>
      <w:r w:rsidRPr="001976CD">
        <w:rPr>
          <w:rFonts w:eastAsia="Calibri" w:cs="Arial"/>
          <w:szCs w:val="20"/>
          <w:lang w:val="en-US"/>
        </w:rPr>
        <w:t>n/a</w:t>
      </w:r>
    </w:p>
    <w:p w14:paraId="1682B0CF" w14:textId="77777777" w:rsidR="001976CD" w:rsidRPr="001976CD" w:rsidRDefault="001976CD" w:rsidP="001976CD">
      <w:pPr>
        <w:suppressAutoHyphens w:val="0"/>
        <w:spacing w:after="60" w:line="259" w:lineRule="auto"/>
        <w:rPr>
          <w:rFonts w:eastAsia="Calibri" w:cs="Arial"/>
          <w:szCs w:val="20"/>
          <w:lang w:val="en-US"/>
        </w:rPr>
      </w:pPr>
    </w:p>
    <w:p w14:paraId="2EC5AA8D" w14:textId="77777777" w:rsidR="001976CD" w:rsidRPr="001976CD" w:rsidRDefault="001976CD" w:rsidP="00013898">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2: Do respondents find that the required determination of stable / non-stable deposits, and core/non-core deposits as described in Article 7 is reflective of the risks and operationally implementable? In case of any unintended consequence or undesirable effect on certain business models or specific activities, please kindly provide concrete examples.</w:t>
      </w:r>
    </w:p>
    <w:p w14:paraId="702CA349"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7B810CF8" w14:textId="77777777" w:rsidR="001976CD" w:rsidRPr="001976CD" w:rsidRDefault="001976CD" w:rsidP="001976CD">
      <w:pPr>
        <w:suppressAutoHyphens w:val="0"/>
        <w:spacing w:after="60"/>
        <w:rPr>
          <w:rFonts w:eastAsia="Calibri" w:cs="Arial"/>
          <w:szCs w:val="20"/>
        </w:rPr>
      </w:pPr>
      <w:r w:rsidRPr="001976CD">
        <w:rPr>
          <w:rFonts w:eastAsia="Calibri" w:cs="Arial"/>
          <w:szCs w:val="20"/>
        </w:rPr>
        <w:t>n/a</w:t>
      </w:r>
    </w:p>
    <w:p w14:paraId="20DB8433" w14:textId="77777777" w:rsidR="001976CD" w:rsidRPr="001976CD" w:rsidRDefault="001976CD" w:rsidP="001976CD">
      <w:pPr>
        <w:suppressAutoHyphens w:val="0"/>
        <w:spacing w:after="60" w:line="259" w:lineRule="auto"/>
        <w:rPr>
          <w:rFonts w:eastAsia="Calibri" w:cs="Arial"/>
          <w:szCs w:val="20"/>
          <w:lang w:val="en-US"/>
        </w:rPr>
      </w:pPr>
    </w:p>
    <w:p w14:paraId="206B66FB" w14:textId="77777777" w:rsidR="001976CD" w:rsidRPr="001976CD" w:rsidRDefault="001976CD" w:rsidP="00013898">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3: Do respondents find that the required determination and application of a conditional prepayment rate and term deposit redemption rate as described in Article 8 and 9 is reflective of the risks and operationally implementable? In case of any unintended consequence or undesirable effect on certain business models or specific activities, please kindly provide concrete examples.</w:t>
      </w:r>
    </w:p>
    <w:p w14:paraId="535A657A"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4DF3DF4C" w14:textId="77777777" w:rsidR="001976CD" w:rsidRPr="001976CD" w:rsidRDefault="001976CD" w:rsidP="001976CD">
      <w:pPr>
        <w:suppressAutoHyphens w:val="0"/>
        <w:spacing w:after="60"/>
        <w:rPr>
          <w:rFonts w:eastAsia="Calibri" w:cs="Arial"/>
          <w:szCs w:val="20"/>
        </w:rPr>
      </w:pPr>
      <w:r w:rsidRPr="001976CD">
        <w:rPr>
          <w:rFonts w:eastAsia="Calibri" w:cs="Arial"/>
          <w:szCs w:val="20"/>
        </w:rPr>
        <w:t>n/a</w:t>
      </w:r>
    </w:p>
    <w:p w14:paraId="1FCA489E" w14:textId="77777777" w:rsidR="001976CD" w:rsidRPr="001976CD" w:rsidRDefault="001976CD" w:rsidP="001976CD">
      <w:pPr>
        <w:suppressAutoHyphens w:val="0"/>
        <w:spacing w:after="60" w:line="259" w:lineRule="auto"/>
        <w:rPr>
          <w:rFonts w:eastAsia="Calibri" w:cs="Arial"/>
          <w:szCs w:val="20"/>
        </w:rPr>
      </w:pPr>
    </w:p>
    <w:p w14:paraId="2E509F5B" w14:textId="77777777" w:rsidR="001976CD" w:rsidRPr="001976CD" w:rsidRDefault="001976CD" w:rsidP="00013898">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lastRenderedPageBreak/>
        <w:t>Question 4: Is the treatment of fixed rate loan commitments to retail counterparties clear and are there other instruments with retail counterparties where a behavioural approach to optionality should be taken?</w:t>
      </w:r>
    </w:p>
    <w:p w14:paraId="65FE243F"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61C17BF2" w14:textId="77777777" w:rsidR="001976CD" w:rsidRPr="001976CD" w:rsidRDefault="001976CD" w:rsidP="001976CD">
      <w:pPr>
        <w:suppressAutoHyphens w:val="0"/>
        <w:spacing w:after="60" w:line="259" w:lineRule="auto"/>
        <w:rPr>
          <w:rFonts w:eastAsia="Calibri" w:cs="Arial"/>
          <w:szCs w:val="20"/>
          <w:lang w:val="en-US"/>
        </w:rPr>
      </w:pPr>
      <w:r w:rsidRPr="001976CD">
        <w:rPr>
          <w:rFonts w:eastAsia="Calibri" w:cs="Arial"/>
          <w:szCs w:val="20"/>
          <w:lang w:val="en-US"/>
        </w:rPr>
        <w:t>n/a</w:t>
      </w:r>
    </w:p>
    <w:p w14:paraId="56BCE4CE" w14:textId="77777777" w:rsidR="001976CD" w:rsidRPr="001976CD" w:rsidRDefault="001976CD" w:rsidP="001976CD">
      <w:pPr>
        <w:suppressAutoHyphens w:val="0"/>
        <w:spacing w:after="60" w:line="259" w:lineRule="auto"/>
        <w:rPr>
          <w:rFonts w:eastAsia="Calibri" w:cs="Arial"/>
          <w:szCs w:val="20"/>
          <w:lang w:val="en-US"/>
        </w:rPr>
      </w:pPr>
    </w:p>
    <w:p w14:paraId="27A29046" w14:textId="77777777" w:rsidR="001976CD" w:rsidRPr="001976CD" w:rsidRDefault="001976CD" w:rsidP="00013898">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5: Do respondents find that the required determination of the impact of a 25% increase in implicit volatility as described in Article 12 is operationally implementable?</w:t>
      </w:r>
    </w:p>
    <w:p w14:paraId="22859450"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79979474" w14:textId="77777777" w:rsidR="001976CD" w:rsidRPr="001976CD" w:rsidRDefault="001976CD" w:rsidP="001976CD">
      <w:pPr>
        <w:suppressAutoHyphens w:val="0"/>
        <w:spacing w:after="60"/>
        <w:rPr>
          <w:rFonts w:eastAsia="Calibri" w:cs="Arial"/>
          <w:szCs w:val="20"/>
        </w:rPr>
      </w:pPr>
      <w:r w:rsidRPr="001976CD">
        <w:rPr>
          <w:rFonts w:eastAsia="Calibri" w:cs="Arial"/>
          <w:szCs w:val="20"/>
        </w:rPr>
        <w:t>n/a</w:t>
      </w:r>
    </w:p>
    <w:p w14:paraId="47272CB6" w14:textId="77777777" w:rsidR="001976CD" w:rsidRPr="001976CD" w:rsidRDefault="001976CD" w:rsidP="001976CD">
      <w:pPr>
        <w:suppressAutoHyphens w:val="0"/>
        <w:spacing w:after="60" w:line="259" w:lineRule="auto"/>
        <w:rPr>
          <w:rFonts w:eastAsia="Calibri" w:cs="Arial"/>
          <w:szCs w:val="20"/>
          <w:lang w:val="en-US"/>
        </w:rPr>
      </w:pPr>
    </w:p>
    <w:p w14:paraId="44EB24A6" w14:textId="77777777" w:rsidR="001976CD" w:rsidRPr="001976CD" w:rsidRDefault="001976CD" w:rsidP="00013898">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6: Do respondents find that the required slotting of repricing cash flows in accordance with the second dimension of original maturity/reference term as described in Article 13 is operationally implementable?</w:t>
      </w:r>
    </w:p>
    <w:p w14:paraId="0BE9C8AD"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22C45C8E" w14:textId="77777777" w:rsidR="001976CD" w:rsidRPr="001976CD" w:rsidRDefault="001976CD" w:rsidP="001976CD">
      <w:pPr>
        <w:suppressAutoHyphens w:val="0"/>
        <w:spacing w:after="60" w:line="259" w:lineRule="auto"/>
        <w:rPr>
          <w:rFonts w:eastAsia="Calibri" w:cs="Arial"/>
          <w:szCs w:val="20"/>
          <w:lang w:val="en-US"/>
        </w:rPr>
      </w:pPr>
      <w:r w:rsidRPr="001976CD">
        <w:rPr>
          <w:rFonts w:eastAsia="Calibri" w:cs="Arial"/>
          <w:szCs w:val="20"/>
        </w:rPr>
        <w:t>n/a</w:t>
      </w:r>
    </w:p>
    <w:p w14:paraId="621F86E8" w14:textId="77777777" w:rsidR="001976CD" w:rsidRPr="001976CD" w:rsidRDefault="001976CD" w:rsidP="00013898">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7: Do respondents find it practical how the determination of several components of the NII calculation, with in particular the fair value component of Article 20 and the fair value component of automatic options of Article 15, is generally based on the processes used for the EVE calculation (in particular Article 16 and Article 12)?</w:t>
      </w:r>
    </w:p>
    <w:p w14:paraId="6E874B85"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576913F8" w14:textId="77777777" w:rsidR="001976CD" w:rsidRPr="001976CD" w:rsidRDefault="001976CD" w:rsidP="001976CD">
      <w:pPr>
        <w:keepNext/>
        <w:suppressAutoHyphens w:val="0"/>
        <w:spacing w:after="60" w:line="259" w:lineRule="auto"/>
        <w:rPr>
          <w:rFonts w:eastAsia="Calibri" w:cs="Arial"/>
          <w:szCs w:val="20"/>
        </w:rPr>
      </w:pPr>
      <w:r w:rsidRPr="001976CD">
        <w:rPr>
          <w:rFonts w:eastAsia="Calibri" w:cs="Arial"/>
          <w:szCs w:val="20"/>
        </w:rPr>
        <w:t>It is worth reminding that the Basel Committee on Banking Supervision (</w:t>
      </w:r>
      <w:r w:rsidRPr="001976CD">
        <w:rPr>
          <w:rFonts w:eastAsia="Calibri" w:cs="Arial"/>
          <w:i/>
          <w:szCs w:val="20"/>
        </w:rPr>
        <w:t>BCBS</w:t>
      </w:r>
      <w:r w:rsidRPr="001976CD">
        <w:rPr>
          <w:rFonts w:eastAsia="Calibri" w:cs="Arial"/>
          <w:szCs w:val="20"/>
        </w:rPr>
        <w:t>) has clearly mentioned that IRRBB is not amenable to standardization as any standardized measure of IRRBB would lose its risk-sensitivity and would fail to be relevant for supervisory measures:</w:t>
      </w:r>
    </w:p>
    <w:p w14:paraId="752FE53C" w14:textId="77777777" w:rsidR="001976CD" w:rsidRPr="001976CD" w:rsidRDefault="001976CD" w:rsidP="001976CD">
      <w:pPr>
        <w:suppressAutoHyphens w:val="0"/>
        <w:spacing w:after="60"/>
        <w:ind w:left="720"/>
        <w:rPr>
          <w:rFonts w:eastAsia="Calibri" w:cs="Calibri"/>
          <w:i/>
          <w:szCs w:val="20"/>
          <w:lang w:val="en-US"/>
        </w:rPr>
      </w:pPr>
      <w:r w:rsidRPr="001976CD">
        <w:rPr>
          <w:rFonts w:eastAsia="Calibri" w:cs="Calibri"/>
          <w:i/>
          <w:szCs w:val="20"/>
          <w:lang w:val="en-US"/>
        </w:rPr>
        <w:t xml:space="preserve">§3. The Committee noted the industry’s feedback on the feasibility of a Pillar 1 approach to IRRBB, in particular </w:t>
      </w:r>
      <w:r w:rsidRPr="001976CD">
        <w:rPr>
          <w:rFonts w:eastAsia="Calibri" w:cs="Calibri"/>
          <w:b/>
          <w:i/>
          <w:szCs w:val="20"/>
          <w:lang w:val="en-US"/>
        </w:rPr>
        <w:t>the complexities involved in formulating a standardised measure of IRRBB which would be both sufficiently accurate and risk-sensitive to allow it to act as a means of setting regulatory capital requirements</w:t>
      </w:r>
      <w:r w:rsidRPr="001976CD">
        <w:rPr>
          <w:rFonts w:eastAsia="Calibri" w:cs="Calibri"/>
          <w:i/>
          <w:szCs w:val="20"/>
          <w:lang w:val="en-US"/>
        </w:rPr>
        <w:t>. The Committee concludes that the heterogeneous nature of IRRBB would be more appropriately captured in Pillar 2.</w:t>
      </w:r>
    </w:p>
    <w:p w14:paraId="497A2E53" w14:textId="77777777" w:rsidR="001976CD" w:rsidRPr="001976CD" w:rsidRDefault="001976CD" w:rsidP="001976CD">
      <w:pPr>
        <w:suppressAutoHyphens w:val="0"/>
        <w:spacing w:after="60" w:line="259" w:lineRule="auto"/>
        <w:rPr>
          <w:rFonts w:eastAsia="Calibri" w:cs="Arial"/>
          <w:szCs w:val="20"/>
        </w:rPr>
      </w:pPr>
    </w:p>
    <w:p w14:paraId="6F5005FC" w14:textId="2AD67403" w:rsidR="001976CD" w:rsidRPr="001976CD" w:rsidRDefault="001976CD" w:rsidP="001976CD">
      <w:pPr>
        <w:suppressAutoHyphens w:val="0"/>
        <w:spacing w:after="60" w:line="259" w:lineRule="auto"/>
        <w:rPr>
          <w:rFonts w:eastAsia="Calibri" w:cs="Arial"/>
          <w:szCs w:val="20"/>
        </w:rPr>
      </w:pPr>
      <w:r w:rsidRPr="001976CD">
        <w:rPr>
          <w:rFonts w:eastAsia="Calibri" w:cs="Arial"/>
          <w:szCs w:val="20"/>
        </w:rPr>
        <w:t xml:space="preserve">In that context, </w:t>
      </w:r>
      <w:r w:rsidRPr="001976CD">
        <w:rPr>
          <w:rFonts w:eastAsia="Calibri" w:cs="Arial"/>
          <w:b/>
          <w:szCs w:val="20"/>
        </w:rPr>
        <w:t xml:space="preserve">a </w:t>
      </w:r>
      <w:r w:rsidRPr="001976CD">
        <w:rPr>
          <w:rFonts w:eastAsia="Calibri" w:cs="Arial"/>
          <w:b/>
          <w:i/>
          <w:szCs w:val="20"/>
        </w:rPr>
        <w:t>Standardized</w:t>
      </w:r>
      <w:r w:rsidRPr="001976CD">
        <w:rPr>
          <w:rFonts w:eastAsia="Calibri" w:cs="Arial"/>
          <w:b/>
          <w:szCs w:val="20"/>
        </w:rPr>
        <w:t xml:space="preserve"> (or </w:t>
      </w:r>
      <w:r w:rsidRPr="001976CD">
        <w:rPr>
          <w:rFonts w:eastAsia="Calibri" w:cs="Arial"/>
          <w:b/>
          <w:i/>
          <w:szCs w:val="20"/>
        </w:rPr>
        <w:t>Simplified</w:t>
      </w:r>
      <w:r w:rsidRPr="001976CD">
        <w:rPr>
          <w:rFonts w:eastAsia="Calibri" w:cs="Arial"/>
          <w:b/>
          <w:szCs w:val="20"/>
        </w:rPr>
        <w:t xml:space="preserve">) </w:t>
      </w:r>
      <w:r w:rsidRPr="001976CD">
        <w:rPr>
          <w:rFonts w:eastAsia="Calibri" w:cs="Arial"/>
          <w:b/>
          <w:i/>
          <w:szCs w:val="20"/>
        </w:rPr>
        <w:t>Methodology</w:t>
      </w:r>
      <w:r w:rsidRPr="001976CD">
        <w:rPr>
          <w:rFonts w:eastAsia="Calibri" w:cs="Arial"/>
          <w:b/>
          <w:szCs w:val="20"/>
        </w:rPr>
        <w:t xml:space="preserve"> is </w:t>
      </w:r>
      <w:r w:rsidR="001D2A5D">
        <w:rPr>
          <w:rFonts w:eastAsia="Calibri" w:cs="Arial"/>
          <w:b/>
          <w:szCs w:val="20"/>
        </w:rPr>
        <w:t>definitely not</w:t>
      </w:r>
      <w:r w:rsidRPr="001976CD">
        <w:rPr>
          <w:rFonts w:eastAsia="Calibri" w:cs="Arial"/>
          <w:b/>
          <w:szCs w:val="20"/>
        </w:rPr>
        <w:t xml:space="preserve"> risk sensitive. </w:t>
      </w:r>
    </w:p>
    <w:p w14:paraId="6C027A99" w14:textId="77777777" w:rsidR="001976CD" w:rsidRPr="001976CD" w:rsidRDefault="001976CD" w:rsidP="001976CD">
      <w:pPr>
        <w:suppressAutoHyphens w:val="0"/>
        <w:spacing w:after="60" w:line="259" w:lineRule="auto"/>
        <w:rPr>
          <w:rFonts w:eastAsia="Calibri" w:cs="Arial"/>
          <w:szCs w:val="20"/>
        </w:rPr>
      </w:pPr>
      <w:r w:rsidRPr="001976CD">
        <w:rPr>
          <w:rFonts w:eastAsia="Calibri" w:cs="Arial"/>
          <w:szCs w:val="20"/>
        </w:rPr>
        <w:t>It is noted that there is no provided evidence to support adequacy of the suggested standardized / simplified factors.</w:t>
      </w:r>
    </w:p>
    <w:p w14:paraId="362628B5" w14:textId="77777777" w:rsidR="001976CD" w:rsidRPr="001976CD" w:rsidRDefault="001976CD" w:rsidP="001976CD">
      <w:pPr>
        <w:suppressAutoHyphens w:val="0"/>
        <w:spacing w:after="60" w:line="259" w:lineRule="auto"/>
        <w:rPr>
          <w:rFonts w:eastAsia="Calibri" w:cs="Arial"/>
          <w:szCs w:val="20"/>
        </w:rPr>
      </w:pPr>
      <w:r w:rsidRPr="001976CD">
        <w:rPr>
          <w:rFonts w:eastAsia="Calibri" w:cs="Arial"/>
          <w:szCs w:val="20"/>
        </w:rPr>
        <w:lastRenderedPageBreak/>
        <w:t>Standardised methodologies can be useful to ensure the proportionality of the framework and provide an acceptable estimate of risk in case of banks of low size and/or complexity. However, they necessarily rely on simplistic assumptions which make them by definition less accurate than internal models (but not more conservative). The more complex the bank, the more sophisticated models are needed to manage and measure interest rate risk.</w:t>
      </w:r>
    </w:p>
    <w:p w14:paraId="70F47B99" w14:textId="77777777" w:rsidR="001976CD" w:rsidRPr="001976CD" w:rsidRDefault="001976CD" w:rsidP="001976CD">
      <w:pPr>
        <w:suppressAutoHyphens w:val="0"/>
        <w:spacing w:after="60" w:line="259" w:lineRule="auto"/>
        <w:rPr>
          <w:rFonts w:eastAsia="Calibri" w:cs="Arial"/>
          <w:szCs w:val="20"/>
        </w:rPr>
      </w:pPr>
    </w:p>
    <w:p w14:paraId="6E36803C" w14:textId="77777777" w:rsidR="001976CD" w:rsidRPr="001976CD" w:rsidRDefault="001976CD" w:rsidP="00ED5439">
      <w:pPr>
        <w:keepNext/>
        <w:suppressAutoHyphens w:val="0"/>
        <w:spacing w:after="60" w:line="259" w:lineRule="auto"/>
        <w:rPr>
          <w:rFonts w:eastAsia="Calibri" w:cs="Arial"/>
          <w:szCs w:val="20"/>
        </w:rPr>
      </w:pPr>
      <w:r w:rsidRPr="001976CD">
        <w:rPr>
          <w:rFonts w:eastAsia="Calibri" w:cs="Arial"/>
          <w:szCs w:val="20"/>
        </w:rPr>
        <w:t xml:space="preserve">Therefore, we have very strong concerns that standardised methodologies could have to be mandatorily applied to a bank. As Article 98(3-4) refers to the standardized and simplified methodologies that the competent authority could impose for the </w:t>
      </w:r>
      <w:r w:rsidRPr="001976CD">
        <w:rPr>
          <w:rFonts w:eastAsia="Calibri" w:cs="Arial"/>
          <w:i/>
          <w:szCs w:val="20"/>
        </w:rPr>
        <w:t>evaluation</w:t>
      </w:r>
      <w:r w:rsidRPr="001976CD">
        <w:rPr>
          <w:rFonts w:eastAsia="Calibri" w:cs="Arial"/>
          <w:szCs w:val="20"/>
        </w:rPr>
        <w:t xml:space="preserve"> of risks, </w:t>
      </w:r>
      <w:r w:rsidRPr="001976CD">
        <w:rPr>
          <w:rFonts w:eastAsia="Calibri" w:cs="Arial"/>
          <w:b/>
          <w:szCs w:val="20"/>
        </w:rPr>
        <w:t xml:space="preserve">we recommend that the </w:t>
      </w:r>
      <w:r w:rsidRPr="001976CD">
        <w:rPr>
          <w:rFonts w:eastAsia="Calibri" w:cs="Arial"/>
          <w:b/>
          <w:i/>
          <w:szCs w:val="20"/>
        </w:rPr>
        <w:t>RTS</w:t>
      </w:r>
      <w:r w:rsidRPr="001976CD">
        <w:rPr>
          <w:rFonts w:eastAsia="Calibri" w:cs="Arial"/>
          <w:b/>
          <w:szCs w:val="20"/>
        </w:rPr>
        <w:t xml:space="preserve"> clarifies that such an imposition should be</w:t>
      </w:r>
      <w:r w:rsidRPr="001976CD">
        <w:rPr>
          <w:rFonts w:eastAsia="Calibri" w:cs="Arial"/>
          <w:szCs w:val="20"/>
        </w:rPr>
        <w:t>:</w:t>
      </w:r>
    </w:p>
    <w:p w14:paraId="3BE26E1D" w14:textId="77777777" w:rsidR="001976CD" w:rsidRPr="001976CD" w:rsidRDefault="001976CD" w:rsidP="00ED5439">
      <w:pPr>
        <w:keepNext/>
        <w:numPr>
          <w:ilvl w:val="0"/>
          <w:numId w:val="14"/>
        </w:numPr>
        <w:suppressAutoHyphens w:val="0"/>
        <w:spacing w:after="60" w:line="259" w:lineRule="auto"/>
        <w:contextualSpacing/>
        <w:rPr>
          <w:rFonts w:eastAsia="Calibri" w:cs="Arial"/>
          <w:szCs w:val="20"/>
        </w:rPr>
      </w:pPr>
      <w:r w:rsidRPr="001976CD">
        <w:rPr>
          <w:rFonts w:eastAsia="Calibri" w:cs="Arial"/>
          <w:b/>
          <w:szCs w:val="20"/>
        </w:rPr>
        <w:t>limited to the evaluation</w:t>
      </w:r>
      <w:r w:rsidRPr="001976CD">
        <w:rPr>
          <w:rFonts w:eastAsia="Calibri" w:cs="Arial"/>
          <w:szCs w:val="20"/>
        </w:rPr>
        <w:t xml:space="preserve"> (which will be necessarily wrong as mentioned before) </w:t>
      </w:r>
      <w:r w:rsidRPr="001976CD">
        <w:rPr>
          <w:rFonts w:eastAsia="Calibri" w:cs="Arial"/>
          <w:b/>
          <w:szCs w:val="20"/>
        </w:rPr>
        <w:t>and not for the actual management</w:t>
      </w:r>
      <w:r w:rsidRPr="001976CD">
        <w:rPr>
          <w:rFonts w:eastAsia="Calibri" w:cs="Arial"/>
          <w:szCs w:val="20"/>
        </w:rPr>
        <w:t xml:space="preserve"> (as banks would have to manage with flawed steering metrics that would be detrimental to the actual risk management) as clearly mentioned in Art.98(3) “</w:t>
      </w:r>
      <w:r w:rsidRPr="001976CD">
        <w:rPr>
          <w:rFonts w:eastAsia="Calibri" w:cs="Calibri"/>
          <w:i/>
          <w:szCs w:val="20"/>
          <w:lang w:val="en-US"/>
        </w:rPr>
        <w:t xml:space="preserve">A competent authority may require an institution to use the standardised methodology referred to in paragraph 1 where the internal systems implemented by that institution </w:t>
      </w:r>
      <w:r w:rsidRPr="001976CD">
        <w:rPr>
          <w:rFonts w:eastAsia="Calibri" w:cs="Calibri"/>
          <w:i/>
          <w:szCs w:val="20"/>
          <w:u w:val="single"/>
          <w:lang w:val="en-US"/>
        </w:rPr>
        <w:t>for the purpose of evaluating</w:t>
      </w:r>
      <w:r w:rsidRPr="001976CD">
        <w:rPr>
          <w:rFonts w:eastAsia="Calibri" w:cs="Calibri"/>
          <w:i/>
          <w:szCs w:val="20"/>
          <w:lang w:val="en-US"/>
        </w:rPr>
        <w:t xml:space="preserve"> the risks referred to in that paragraph are not satisfactory.</w:t>
      </w:r>
      <w:r w:rsidRPr="001976CD">
        <w:rPr>
          <w:rFonts w:eastAsia="Calibri" w:cs="Arial"/>
          <w:szCs w:val="20"/>
        </w:rPr>
        <w:t>”;</w:t>
      </w:r>
    </w:p>
    <w:p w14:paraId="78A73329" w14:textId="77777777" w:rsidR="001976CD" w:rsidRPr="001976CD" w:rsidRDefault="001976CD" w:rsidP="00ED5439">
      <w:pPr>
        <w:numPr>
          <w:ilvl w:val="0"/>
          <w:numId w:val="14"/>
        </w:numPr>
        <w:suppressAutoHyphens w:val="0"/>
        <w:spacing w:after="60" w:line="259" w:lineRule="auto"/>
        <w:contextualSpacing/>
        <w:rPr>
          <w:rFonts w:eastAsia="Calibri" w:cs="Arial"/>
          <w:b/>
          <w:szCs w:val="20"/>
        </w:rPr>
      </w:pPr>
      <w:r w:rsidRPr="001976CD">
        <w:rPr>
          <w:rFonts w:eastAsia="Calibri" w:cs="Arial"/>
          <w:b/>
          <w:szCs w:val="20"/>
        </w:rPr>
        <w:t xml:space="preserve">conditional on competent authority having demonstrated that the </w:t>
      </w:r>
      <w:r w:rsidRPr="001976CD">
        <w:rPr>
          <w:rFonts w:eastAsia="Calibri" w:cs="Arial"/>
          <w:b/>
          <w:i/>
          <w:szCs w:val="20"/>
        </w:rPr>
        <w:t>standardized</w:t>
      </w:r>
      <w:r w:rsidRPr="001976CD">
        <w:rPr>
          <w:rFonts w:eastAsia="Calibri" w:cs="Arial"/>
          <w:b/>
          <w:szCs w:val="20"/>
        </w:rPr>
        <w:t xml:space="preserve"> (resp. </w:t>
      </w:r>
      <w:r w:rsidRPr="001976CD">
        <w:rPr>
          <w:rFonts w:eastAsia="Calibri" w:cs="Arial"/>
          <w:b/>
          <w:i/>
          <w:szCs w:val="20"/>
        </w:rPr>
        <w:t>simplified</w:t>
      </w:r>
      <w:r w:rsidRPr="001976CD">
        <w:rPr>
          <w:rFonts w:eastAsia="Calibri" w:cs="Arial"/>
          <w:b/>
          <w:szCs w:val="20"/>
        </w:rPr>
        <w:t xml:space="preserve">) </w:t>
      </w:r>
      <w:r w:rsidRPr="001976CD">
        <w:rPr>
          <w:rFonts w:eastAsia="Calibri" w:cs="Arial"/>
          <w:b/>
          <w:i/>
          <w:szCs w:val="20"/>
        </w:rPr>
        <w:t>methodology</w:t>
      </w:r>
      <w:r w:rsidRPr="001976CD">
        <w:rPr>
          <w:rFonts w:eastAsia="Calibri" w:cs="Arial"/>
          <w:b/>
          <w:szCs w:val="20"/>
        </w:rPr>
        <w:t xml:space="preserve"> would be more relevant than the </w:t>
      </w:r>
      <w:r w:rsidRPr="001976CD">
        <w:rPr>
          <w:rFonts w:eastAsia="Calibri" w:cs="Arial"/>
          <w:b/>
          <w:i/>
          <w:szCs w:val="20"/>
        </w:rPr>
        <w:t>IMS</w:t>
      </w:r>
      <w:r w:rsidRPr="001976CD">
        <w:rPr>
          <w:rFonts w:eastAsia="Calibri" w:cs="Arial"/>
          <w:b/>
          <w:szCs w:val="20"/>
        </w:rPr>
        <w:t>-evaluation that it would pretend substituting.</w:t>
      </w:r>
    </w:p>
    <w:p w14:paraId="4162A9ED" w14:textId="77777777" w:rsidR="001976CD" w:rsidRPr="001976CD" w:rsidRDefault="001976CD" w:rsidP="001976CD">
      <w:pPr>
        <w:suppressAutoHyphens w:val="0"/>
        <w:spacing w:after="60" w:line="259" w:lineRule="auto"/>
        <w:rPr>
          <w:rFonts w:eastAsia="Calibri" w:cs="Arial"/>
          <w:szCs w:val="20"/>
        </w:rPr>
      </w:pPr>
    </w:p>
    <w:p w14:paraId="011DB0A9" w14:textId="77777777" w:rsidR="001976CD" w:rsidRPr="001976CD" w:rsidRDefault="001976CD" w:rsidP="00ED5439">
      <w:pPr>
        <w:suppressAutoHyphens w:val="0"/>
        <w:spacing w:after="60" w:line="259" w:lineRule="auto"/>
        <w:rPr>
          <w:rFonts w:eastAsia="Calibri" w:cs="Arial"/>
          <w:b/>
          <w:szCs w:val="20"/>
        </w:rPr>
      </w:pPr>
      <w:r w:rsidRPr="001976CD">
        <w:rPr>
          <w:rFonts w:eastAsia="Calibri" w:cs="Arial"/>
          <w:szCs w:val="20"/>
        </w:rPr>
        <w:t xml:space="preserve">And </w:t>
      </w:r>
      <w:r w:rsidRPr="001976CD">
        <w:rPr>
          <w:rFonts w:eastAsia="Calibri" w:cs="Arial"/>
          <w:b/>
          <w:szCs w:val="20"/>
        </w:rPr>
        <w:t xml:space="preserve">we recommend that, as specified in the Directive, it is made clear that the </w:t>
      </w:r>
      <w:r w:rsidRPr="001976CD">
        <w:rPr>
          <w:rFonts w:eastAsia="Calibri" w:cs="Arial"/>
          <w:b/>
          <w:i/>
          <w:szCs w:val="20"/>
        </w:rPr>
        <w:t>standardized</w:t>
      </w:r>
      <w:r w:rsidRPr="001976CD">
        <w:rPr>
          <w:rFonts w:eastAsia="Calibri" w:cs="Arial"/>
          <w:b/>
          <w:szCs w:val="20"/>
        </w:rPr>
        <w:t xml:space="preserve"> (</w:t>
      </w:r>
      <w:r w:rsidRPr="001976CD">
        <w:rPr>
          <w:rFonts w:eastAsia="Calibri" w:cs="Arial"/>
          <w:b/>
          <w:i/>
          <w:szCs w:val="20"/>
        </w:rPr>
        <w:t>simplified</w:t>
      </w:r>
      <w:r w:rsidRPr="001976CD">
        <w:rPr>
          <w:rFonts w:eastAsia="Calibri" w:cs="Arial"/>
          <w:b/>
          <w:szCs w:val="20"/>
        </w:rPr>
        <w:t xml:space="preserve">) </w:t>
      </w:r>
      <w:r w:rsidRPr="001976CD">
        <w:rPr>
          <w:rFonts w:eastAsia="Calibri" w:cs="Arial"/>
          <w:b/>
          <w:i/>
          <w:szCs w:val="20"/>
        </w:rPr>
        <w:t>methodology</w:t>
      </w:r>
      <w:r w:rsidRPr="001976CD">
        <w:rPr>
          <w:rFonts w:eastAsia="Calibri" w:cs="Arial"/>
          <w:b/>
          <w:szCs w:val="20"/>
        </w:rPr>
        <w:t xml:space="preserve"> does not have to be implemented, unless imposed or elected by the bank, and should not be used as a benchmark for </w:t>
      </w:r>
      <w:r w:rsidRPr="001976CD">
        <w:rPr>
          <w:rFonts w:eastAsia="Calibri" w:cs="Arial"/>
          <w:b/>
          <w:i/>
          <w:szCs w:val="20"/>
        </w:rPr>
        <w:t>IMS</w:t>
      </w:r>
      <w:r w:rsidRPr="001976CD">
        <w:rPr>
          <w:rFonts w:eastAsia="Calibri" w:cs="Arial"/>
          <w:b/>
          <w:szCs w:val="20"/>
        </w:rPr>
        <w:t>.</w:t>
      </w:r>
    </w:p>
    <w:p w14:paraId="6B0EE26A" w14:textId="77777777" w:rsidR="001976CD" w:rsidRPr="001976CD" w:rsidRDefault="001976CD" w:rsidP="00ED5439">
      <w:pPr>
        <w:suppressAutoHyphens w:val="0"/>
        <w:spacing w:after="60" w:line="259" w:lineRule="auto"/>
        <w:rPr>
          <w:rFonts w:eastAsia="Calibri" w:cs="Arial"/>
          <w:szCs w:val="20"/>
        </w:rPr>
      </w:pPr>
    </w:p>
    <w:p w14:paraId="3510DDFE" w14:textId="77777777" w:rsidR="001976CD" w:rsidRPr="001976CD" w:rsidRDefault="001976CD" w:rsidP="00ED5439">
      <w:pPr>
        <w:suppressAutoHyphens w:val="0"/>
        <w:spacing w:after="60" w:line="259" w:lineRule="auto"/>
        <w:rPr>
          <w:rFonts w:eastAsia="Calibri" w:cs="Arial"/>
          <w:szCs w:val="20"/>
        </w:rPr>
      </w:pPr>
      <w:r w:rsidRPr="001976CD">
        <w:rPr>
          <w:rFonts w:eastAsia="Calibri" w:cs="Arial"/>
          <w:szCs w:val="20"/>
        </w:rPr>
        <w:t>As regards the proposed approaches, certain aspects should be addressed.</w:t>
      </w:r>
    </w:p>
    <w:p w14:paraId="6321246D" w14:textId="77777777" w:rsidR="001976CD" w:rsidRPr="001976CD" w:rsidRDefault="001976CD" w:rsidP="00ED5439">
      <w:pPr>
        <w:suppressAutoHyphens w:val="0"/>
        <w:spacing w:after="60" w:line="259" w:lineRule="auto"/>
        <w:rPr>
          <w:rFonts w:eastAsia="Calibri" w:cs="Arial"/>
          <w:szCs w:val="20"/>
        </w:rPr>
      </w:pPr>
      <w:r w:rsidRPr="001976CD">
        <w:rPr>
          <w:rFonts w:eastAsia="Calibri" w:cs="Arial"/>
          <w:szCs w:val="20"/>
        </w:rPr>
        <w:t>As an example, the suggested caps on Non Maturing Deposits (</w:t>
      </w:r>
      <w:r w:rsidRPr="001976CD">
        <w:rPr>
          <w:rFonts w:eastAsia="Calibri" w:cs="Arial"/>
          <w:i/>
          <w:szCs w:val="20"/>
        </w:rPr>
        <w:t>NMDs</w:t>
      </w:r>
      <w:r w:rsidRPr="001976CD">
        <w:rPr>
          <w:rFonts w:eastAsia="Calibri" w:cs="Arial"/>
          <w:szCs w:val="20"/>
        </w:rPr>
        <w:t>) may significantly distort the economic representation of interest rate risk.</w:t>
      </w:r>
    </w:p>
    <w:p w14:paraId="097F4A8F" w14:textId="77777777" w:rsidR="001976CD" w:rsidRPr="001976CD" w:rsidRDefault="001976CD" w:rsidP="00ED5439">
      <w:pPr>
        <w:suppressAutoHyphens w:val="0"/>
        <w:spacing w:after="60" w:line="259" w:lineRule="auto"/>
        <w:rPr>
          <w:rFonts w:eastAsia="Calibri" w:cs="Arial"/>
          <w:szCs w:val="20"/>
        </w:rPr>
      </w:pPr>
      <w:r w:rsidRPr="001976CD">
        <w:rPr>
          <w:rFonts w:eastAsia="Calibri" w:cs="Arial"/>
          <w:szCs w:val="20"/>
        </w:rPr>
        <w:t>As another illustration, it is not appropriate to use a stress volatility when measuring the sensitivity of automatic options in the objective of hedging them. With such an approach, one would be led to un-appropriate delta hedge of the options since the measurement would be distorted. It is highlighted that such a stress on volatility is neither performed in trading book nor required by the regulators for trading books regulations. By the way, requiring this to be applied for the Supervisory Outlier Test (</w:t>
      </w:r>
      <w:r w:rsidRPr="001976CD">
        <w:rPr>
          <w:rFonts w:eastAsia="Calibri" w:cs="Arial"/>
          <w:i/>
          <w:szCs w:val="20"/>
        </w:rPr>
        <w:t>SOT</w:t>
      </w:r>
      <w:r w:rsidRPr="001976CD">
        <w:rPr>
          <w:rFonts w:eastAsia="Calibri" w:cs="Arial"/>
          <w:szCs w:val="20"/>
        </w:rPr>
        <w:t>) on Economic Value of Equity (</w:t>
      </w:r>
      <w:r w:rsidRPr="001976CD">
        <w:rPr>
          <w:rFonts w:eastAsia="Calibri" w:cs="Arial"/>
          <w:i/>
          <w:szCs w:val="20"/>
        </w:rPr>
        <w:t>EVE</w:t>
      </w:r>
      <w:r w:rsidRPr="001976CD">
        <w:rPr>
          <w:rFonts w:eastAsia="Calibri" w:cs="Arial"/>
          <w:szCs w:val="20"/>
        </w:rPr>
        <w:t xml:space="preserve">) is inconsistent with the objective of the </w:t>
      </w:r>
      <w:r w:rsidRPr="001976CD">
        <w:rPr>
          <w:rFonts w:eastAsia="Calibri" w:cs="Arial"/>
          <w:i/>
          <w:szCs w:val="20"/>
        </w:rPr>
        <w:t>SOT EVE</w:t>
      </w:r>
      <w:r w:rsidRPr="001976CD">
        <w:rPr>
          <w:rFonts w:eastAsia="Calibri" w:cs="Arial"/>
          <w:szCs w:val="20"/>
        </w:rPr>
        <w:t xml:space="preserve"> which is to measure the sensitivity to changes in interest rates.</w:t>
      </w:r>
    </w:p>
    <w:p w14:paraId="735C0512" w14:textId="77777777" w:rsidR="001976CD" w:rsidRPr="001976CD" w:rsidRDefault="001976CD" w:rsidP="00ED5439">
      <w:pPr>
        <w:suppressAutoHyphens w:val="0"/>
        <w:spacing w:after="60" w:line="259" w:lineRule="auto"/>
        <w:rPr>
          <w:rFonts w:eastAsia="Calibri" w:cs="Arial"/>
          <w:szCs w:val="20"/>
        </w:rPr>
      </w:pPr>
    </w:p>
    <w:p w14:paraId="2C3B7B6D" w14:textId="77777777" w:rsidR="001976CD" w:rsidRPr="001976CD" w:rsidRDefault="001976CD" w:rsidP="00ED5439">
      <w:pPr>
        <w:suppressAutoHyphens w:val="0"/>
        <w:spacing w:after="60"/>
        <w:rPr>
          <w:rFonts w:eastAsia="Calibri" w:cs="Calibri"/>
          <w:szCs w:val="20"/>
          <w:lang w:val="en-US"/>
        </w:rPr>
      </w:pPr>
      <w:r w:rsidRPr="001976CD">
        <w:rPr>
          <w:rFonts w:eastAsia="Calibri" w:cs="Calibri"/>
          <w:b/>
          <w:szCs w:val="20"/>
          <w:lang w:val="en-US"/>
        </w:rPr>
        <w:t xml:space="preserve">The </w:t>
      </w:r>
      <w:r w:rsidRPr="001976CD">
        <w:rPr>
          <w:rFonts w:eastAsia="Calibri" w:cs="Calibri"/>
          <w:b/>
          <w:i/>
          <w:szCs w:val="20"/>
          <w:lang w:val="en-US"/>
        </w:rPr>
        <w:t>CP</w:t>
      </w:r>
      <w:r w:rsidRPr="001976CD">
        <w:rPr>
          <w:rFonts w:eastAsia="Calibri" w:cs="Calibri"/>
          <w:b/>
          <w:szCs w:val="20"/>
          <w:lang w:val="en-US"/>
        </w:rPr>
        <w:t xml:space="preserve"> envisages changing the definition of commonly understood Net Interest Income (</w:t>
      </w:r>
      <w:r w:rsidRPr="001976CD">
        <w:rPr>
          <w:rFonts w:eastAsia="Calibri" w:cs="Calibri"/>
          <w:b/>
          <w:i/>
          <w:szCs w:val="20"/>
          <w:lang w:val="en-US"/>
        </w:rPr>
        <w:t>NII</w:t>
      </w:r>
      <w:r w:rsidRPr="001976CD">
        <w:rPr>
          <w:rFonts w:eastAsia="Calibri" w:cs="Calibri"/>
          <w:b/>
          <w:szCs w:val="20"/>
          <w:lang w:val="en-US"/>
        </w:rPr>
        <w:t>) to include changes in fair values of instruments</w:t>
      </w:r>
      <w:r w:rsidRPr="001976CD">
        <w:rPr>
          <w:rFonts w:eastAsia="Calibri" w:cs="Calibri"/>
          <w:szCs w:val="20"/>
          <w:lang w:val="en-US"/>
        </w:rPr>
        <w:t xml:space="preserve"> even though they are not part of </w:t>
      </w:r>
      <w:r w:rsidRPr="001976CD">
        <w:rPr>
          <w:rFonts w:eastAsia="Calibri" w:cs="Calibri"/>
          <w:i/>
          <w:szCs w:val="20"/>
          <w:lang w:val="en-US"/>
        </w:rPr>
        <w:t>NII</w:t>
      </w:r>
      <w:r w:rsidRPr="001976CD">
        <w:rPr>
          <w:rFonts w:eastAsia="Calibri" w:cs="Calibri"/>
          <w:szCs w:val="20"/>
          <w:lang w:val="en-US"/>
        </w:rPr>
        <w:t xml:space="preserve">. This appears as a deviation from the </w:t>
      </w:r>
      <w:r w:rsidRPr="001976CD">
        <w:rPr>
          <w:rFonts w:eastAsia="Calibri" w:cs="Calibri"/>
          <w:i/>
          <w:szCs w:val="20"/>
          <w:lang w:val="en-US"/>
        </w:rPr>
        <w:t>CRR</w:t>
      </w:r>
      <w:r w:rsidRPr="001976CD">
        <w:rPr>
          <w:rFonts w:eastAsia="Calibri" w:cs="Calibri"/>
          <w:szCs w:val="20"/>
          <w:lang w:val="en-US"/>
        </w:rPr>
        <w:t xml:space="preserve"> mandate that explicitly refers to </w:t>
      </w:r>
      <w:r w:rsidRPr="001976CD">
        <w:rPr>
          <w:rFonts w:eastAsia="Calibri" w:cs="Calibri"/>
          <w:i/>
          <w:szCs w:val="20"/>
          <w:lang w:val="en-US"/>
        </w:rPr>
        <w:t>NII</w:t>
      </w:r>
      <w:r w:rsidRPr="001976CD">
        <w:rPr>
          <w:rFonts w:eastAsia="Calibri" w:cs="Calibri"/>
          <w:szCs w:val="20"/>
          <w:lang w:val="en-US"/>
        </w:rPr>
        <w:t>. It also deviates from Basel Committee on Banking Supervision</w:t>
      </w:r>
      <w:r w:rsidRPr="001976CD">
        <w:rPr>
          <w:rFonts w:eastAsia="Calibri" w:cs="Calibri"/>
          <w:i/>
          <w:szCs w:val="20"/>
          <w:lang w:val="en-US"/>
        </w:rPr>
        <w:t> (BCBS) Standard</w:t>
      </w:r>
      <w:r w:rsidRPr="001976CD">
        <w:rPr>
          <w:rFonts w:eastAsia="Calibri" w:cs="Calibri"/>
          <w:szCs w:val="20"/>
          <w:lang w:val="en-US"/>
        </w:rPr>
        <w:t xml:space="preserve"> that is quite explicit that it refers to </w:t>
      </w:r>
      <w:r w:rsidRPr="001976CD">
        <w:rPr>
          <w:rFonts w:eastAsia="Calibri" w:cs="Calibri"/>
          <w:i/>
          <w:szCs w:val="20"/>
          <w:lang w:val="en-US"/>
        </w:rPr>
        <w:t>NII</w:t>
      </w:r>
      <w:r w:rsidRPr="001976CD">
        <w:rPr>
          <w:rFonts w:eastAsia="Calibri" w:cs="Calibri"/>
          <w:szCs w:val="20"/>
          <w:lang w:val="en-US"/>
        </w:rPr>
        <w:t xml:space="preserve"> excluding changes in fair values that do not affect </w:t>
      </w:r>
      <w:r w:rsidRPr="001976CD">
        <w:rPr>
          <w:rFonts w:eastAsia="Calibri" w:cs="Calibri"/>
          <w:i/>
          <w:szCs w:val="20"/>
          <w:lang w:val="en-US"/>
        </w:rPr>
        <w:t>NII</w:t>
      </w:r>
      <w:r w:rsidRPr="001976CD">
        <w:rPr>
          <w:rFonts w:eastAsia="Calibri" w:cs="Calibri"/>
          <w:szCs w:val="20"/>
          <w:lang w:val="en-US"/>
        </w:rPr>
        <w:t xml:space="preserve">. This would also be at odds with actual risk management and would introduce overlapping between </w:t>
      </w:r>
      <w:r w:rsidRPr="001976CD">
        <w:rPr>
          <w:rFonts w:eastAsia="Calibri" w:cs="Calibri"/>
          <w:i/>
          <w:szCs w:val="20"/>
          <w:lang w:val="en-US"/>
        </w:rPr>
        <w:t>NII</w:t>
      </w:r>
      <w:r w:rsidRPr="001976CD">
        <w:rPr>
          <w:rFonts w:eastAsia="Calibri" w:cs="Calibri"/>
          <w:szCs w:val="20"/>
          <w:lang w:val="en-US"/>
        </w:rPr>
        <w:t xml:space="preserve"> measures and Economic Value (</w:t>
      </w:r>
      <w:r w:rsidRPr="001976CD">
        <w:rPr>
          <w:rFonts w:eastAsia="Calibri" w:cs="Calibri"/>
          <w:i/>
          <w:szCs w:val="20"/>
          <w:lang w:val="en-US"/>
        </w:rPr>
        <w:t>EV</w:t>
      </w:r>
      <w:r w:rsidRPr="001976CD">
        <w:rPr>
          <w:rFonts w:eastAsia="Calibri" w:cs="Calibri"/>
          <w:szCs w:val="20"/>
          <w:lang w:val="en-US"/>
        </w:rPr>
        <w:t xml:space="preserve">) measures, such as </w:t>
      </w:r>
      <w:r w:rsidRPr="001976CD">
        <w:rPr>
          <w:rFonts w:eastAsia="Calibri" w:cs="Calibri"/>
          <w:i/>
          <w:szCs w:val="20"/>
          <w:lang w:val="en-US"/>
        </w:rPr>
        <w:t>SOT EVE</w:t>
      </w:r>
      <w:r w:rsidRPr="001976CD">
        <w:rPr>
          <w:rFonts w:eastAsia="Calibri" w:cs="Calibri"/>
          <w:szCs w:val="20"/>
          <w:lang w:val="en-US"/>
        </w:rPr>
        <w:t xml:space="preserve"> and </w:t>
      </w:r>
      <w:r w:rsidRPr="001976CD">
        <w:rPr>
          <w:rFonts w:eastAsia="Calibri" w:cs="Calibri"/>
          <w:i/>
          <w:szCs w:val="20"/>
          <w:lang w:val="en-US"/>
        </w:rPr>
        <w:t>SOT NII</w:t>
      </w:r>
      <w:r w:rsidRPr="001976CD">
        <w:rPr>
          <w:rFonts w:eastAsia="Calibri" w:cs="Calibri"/>
          <w:szCs w:val="20"/>
          <w:lang w:val="en-US"/>
        </w:rPr>
        <w:t>, while they should be complementary.</w:t>
      </w:r>
    </w:p>
    <w:p w14:paraId="00FAD00E" w14:textId="77777777" w:rsidR="001976CD" w:rsidRPr="001976CD" w:rsidRDefault="001976CD" w:rsidP="00ED5439">
      <w:pPr>
        <w:suppressAutoHyphens w:val="0"/>
        <w:spacing w:after="60"/>
        <w:rPr>
          <w:rFonts w:eastAsia="Calibri" w:cs="Calibri"/>
          <w:b/>
          <w:szCs w:val="20"/>
          <w:lang w:val="en-US"/>
        </w:rPr>
      </w:pPr>
      <w:r w:rsidRPr="001976CD">
        <w:rPr>
          <w:rFonts w:eastAsia="Calibri" w:cs="Calibri"/>
          <w:b/>
          <w:szCs w:val="20"/>
          <w:lang w:val="en-US"/>
        </w:rPr>
        <w:t>NII should be kept as defined by interest income and expenses.</w:t>
      </w:r>
    </w:p>
    <w:p w14:paraId="310C5931" w14:textId="77777777" w:rsidR="001976CD" w:rsidRPr="001976CD" w:rsidRDefault="001976CD" w:rsidP="001976CD">
      <w:pPr>
        <w:suppressAutoHyphens w:val="0"/>
        <w:spacing w:after="60"/>
        <w:rPr>
          <w:rFonts w:eastAsia="Calibri" w:cs="Calibri"/>
          <w:b/>
          <w:szCs w:val="20"/>
          <w:lang w:val="en-US"/>
        </w:rPr>
      </w:pPr>
    </w:p>
    <w:p w14:paraId="41C677CE" w14:textId="77777777" w:rsidR="001976CD" w:rsidRPr="001976CD" w:rsidRDefault="001976CD" w:rsidP="001976CD">
      <w:pPr>
        <w:suppressAutoHyphens w:val="0"/>
        <w:spacing w:after="60"/>
        <w:rPr>
          <w:rFonts w:eastAsia="Calibri" w:cs="Arial"/>
          <w:b/>
          <w:szCs w:val="20"/>
        </w:rPr>
      </w:pPr>
      <w:r w:rsidRPr="001976CD">
        <w:rPr>
          <w:rFonts w:eastAsia="Calibri" w:cs="Calibri"/>
          <w:szCs w:val="20"/>
          <w:lang w:val="en-US"/>
        </w:rPr>
        <w:t xml:space="preserve">Last but not least, the final application date should be aligned with the </w:t>
      </w:r>
      <w:r w:rsidRPr="001976CD">
        <w:rPr>
          <w:rFonts w:eastAsia="Calibri" w:cs="Calibri"/>
          <w:i/>
          <w:szCs w:val="20"/>
          <w:lang w:val="en-US"/>
        </w:rPr>
        <w:t>Guideline</w:t>
      </w:r>
      <w:r w:rsidRPr="001976CD">
        <w:rPr>
          <w:rFonts w:eastAsia="Calibri" w:cs="Calibri"/>
          <w:szCs w:val="20"/>
          <w:lang w:val="en-US"/>
        </w:rPr>
        <w:t xml:space="preserve"> and the </w:t>
      </w:r>
      <w:r w:rsidRPr="001976CD">
        <w:rPr>
          <w:rFonts w:eastAsia="Calibri" w:cs="Calibri"/>
          <w:i/>
          <w:szCs w:val="20"/>
          <w:lang w:val="en-US"/>
        </w:rPr>
        <w:t>RTS</w:t>
      </w:r>
      <w:r w:rsidRPr="001976CD">
        <w:rPr>
          <w:rFonts w:eastAsia="Calibri" w:cs="Calibri"/>
          <w:szCs w:val="20"/>
          <w:lang w:val="en-US"/>
        </w:rPr>
        <w:t xml:space="preserve"> on </w:t>
      </w:r>
      <w:r w:rsidRPr="001976CD">
        <w:rPr>
          <w:rFonts w:eastAsia="Calibri" w:cs="Calibri"/>
          <w:i/>
          <w:szCs w:val="20"/>
          <w:lang w:val="en-US"/>
        </w:rPr>
        <w:t>Supervisory Outlier Tests</w:t>
      </w:r>
      <w:r w:rsidRPr="001976CD">
        <w:rPr>
          <w:rFonts w:eastAsia="Calibri" w:cs="Calibri"/>
          <w:szCs w:val="20"/>
          <w:lang w:val="en-US"/>
        </w:rPr>
        <w:t xml:space="preserve">. </w:t>
      </w:r>
    </w:p>
    <w:p w14:paraId="75EEF85B" w14:textId="77777777" w:rsidR="001976CD" w:rsidRPr="001976CD" w:rsidRDefault="001976CD" w:rsidP="001976CD">
      <w:pPr>
        <w:suppressAutoHyphens w:val="0"/>
        <w:spacing w:after="60" w:line="259" w:lineRule="auto"/>
        <w:rPr>
          <w:rFonts w:eastAsia="Calibri" w:cs="Arial"/>
          <w:szCs w:val="20"/>
          <w:lang w:val="en-US"/>
        </w:rPr>
      </w:pPr>
    </w:p>
    <w:p w14:paraId="6BBAAD66" w14:textId="77777777" w:rsidR="001976CD" w:rsidRPr="001976CD" w:rsidRDefault="001976CD" w:rsidP="00ED5439">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8: Do respondents find that the calculation of the net interest income add-on for basis risk is reflective of the risk and operationally implementable?</w:t>
      </w:r>
    </w:p>
    <w:p w14:paraId="739B0316"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1CD24586" w14:textId="77777777" w:rsidR="001976CD" w:rsidRPr="001976CD" w:rsidRDefault="001976CD" w:rsidP="001976CD">
      <w:pPr>
        <w:suppressAutoHyphens w:val="0"/>
        <w:spacing w:after="60"/>
        <w:rPr>
          <w:rFonts w:eastAsia="Calibri" w:cs="Arial"/>
          <w:szCs w:val="20"/>
        </w:rPr>
      </w:pPr>
      <w:r w:rsidRPr="001976CD">
        <w:rPr>
          <w:rFonts w:eastAsia="Calibri" w:cs="Arial"/>
          <w:szCs w:val="20"/>
        </w:rPr>
        <w:t>n/a</w:t>
      </w:r>
    </w:p>
    <w:p w14:paraId="49C1FA20" w14:textId="77777777" w:rsidR="001976CD" w:rsidRPr="001976CD" w:rsidRDefault="001976CD" w:rsidP="001976CD">
      <w:pPr>
        <w:suppressAutoHyphens w:val="0"/>
        <w:spacing w:after="60" w:line="259" w:lineRule="auto"/>
        <w:rPr>
          <w:rFonts w:eastAsia="Calibri" w:cs="Arial"/>
          <w:szCs w:val="20"/>
          <w:lang w:val="en-US"/>
        </w:rPr>
      </w:pPr>
    </w:p>
    <w:p w14:paraId="31A56C4D" w14:textId="77777777" w:rsidR="001976CD" w:rsidRPr="001976CD" w:rsidRDefault="001976CD" w:rsidP="00ED5439">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9: Do respondents find that the adjustments in the Simplified Standardised Approach as set out in Article 23 and 24 are operationally implementable and do they find that any other simplification would be appropriate?</w:t>
      </w:r>
    </w:p>
    <w:p w14:paraId="3238952C"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3FBF9299" w14:textId="77777777" w:rsidR="001976CD" w:rsidRPr="001976CD" w:rsidRDefault="001976CD" w:rsidP="001976CD">
      <w:pPr>
        <w:suppressAutoHyphens w:val="0"/>
        <w:spacing w:after="60" w:line="259" w:lineRule="auto"/>
        <w:rPr>
          <w:rFonts w:eastAsia="Calibri" w:cs="Arial"/>
          <w:szCs w:val="20"/>
          <w:lang w:val="en-US"/>
        </w:rPr>
      </w:pPr>
      <w:r w:rsidRPr="001976CD">
        <w:rPr>
          <w:rFonts w:eastAsia="Calibri" w:cs="Arial"/>
          <w:szCs w:val="20"/>
          <w:lang w:val="en-US"/>
        </w:rPr>
        <w:t>n/a</w:t>
      </w:r>
    </w:p>
    <w:p w14:paraId="3367DAB7" w14:textId="77777777" w:rsidR="001976CD" w:rsidRPr="001976CD" w:rsidRDefault="001976CD" w:rsidP="001976CD">
      <w:pPr>
        <w:suppressAutoHyphens w:val="0"/>
        <w:spacing w:after="60" w:line="259" w:lineRule="auto"/>
        <w:rPr>
          <w:rFonts w:eastAsia="Calibri" w:cs="Arial"/>
          <w:szCs w:val="20"/>
          <w:lang w:val="en-US"/>
        </w:rPr>
      </w:pPr>
    </w:p>
    <w:p w14:paraId="323E5DDF" w14:textId="77777777" w:rsidR="001976CD" w:rsidRPr="001976CD" w:rsidRDefault="001976CD" w:rsidP="00ED5439">
      <w:pPr>
        <w:keepNext/>
        <w:suppressAutoHyphens w:val="0"/>
        <w:autoSpaceDE w:val="0"/>
        <w:autoSpaceDN w:val="0"/>
        <w:adjustRightInd w:val="0"/>
        <w:spacing w:before="100" w:beforeAutospacing="1" w:after="100" w:afterAutospacing="1"/>
        <w:rPr>
          <w:rFonts w:eastAsia="Calibri" w:cs="Times New Roman"/>
          <w:b/>
          <w:bCs/>
          <w:i/>
          <w:szCs w:val="20"/>
          <w:lang w:val="en-US" w:eastAsia="fr-FR"/>
        </w:rPr>
      </w:pPr>
      <w:r w:rsidRPr="001976CD">
        <w:rPr>
          <w:rFonts w:eastAsia="Calibri" w:cs="Times New Roman"/>
          <w:b/>
          <w:bCs/>
          <w:i/>
          <w:szCs w:val="20"/>
          <w:lang w:val="en-US" w:eastAsia="fr-FR"/>
        </w:rPr>
        <w:t>Question 10: Do respondents find that all the necessary aspects are covered and the steps and assumptions for the evaluation of EVE and NII as laid out in the standardised approach and simplified standardised approach clear enough and operationally implementable?</w:t>
      </w:r>
    </w:p>
    <w:p w14:paraId="1DA4011E" w14:textId="77777777" w:rsidR="001976CD" w:rsidRPr="001976CD" w:rsidRDefault="001976CD" w:rsidP="001976CD">
      <w:pPr>
        <w:keepNext/>
        <w:suppressAutoHyphens w:val="0"/>
        <w:spacing w:before="360"/>
        <w:rPr>
          <w:rFonts w:eastAsia="Calibri" w:cs="Calibri"/>
          <w:b/>
          <w:i/>
          <w:szCs w:val="20"/>
          <w:lang w:val="en-US"/>
        </w:rPr>
      </w:pPr>
      <w:r w:rsidRPr="001976CD">
        <w:rPr>
          <w:rFonts w:eastAsia="Calibri" w:cs="Calibri"/>
          <w:b/>
          <w:i/>
          <w:szCs w:val="20"/>
          <w:lang w:val="en-US"/>
        </w:rPr>
        <w:t>Response:</w:t>
      </w:r>
    </w:p>
    <w:p w14:paraId="37CB8BDA" w14:textId="77777777" w:rsidR="001976CD" w:rsidRPr="001976CD" w:rsidRDefault="001976CD" w:rsidP="001976CD">
      <w:pPr>
        <w:suppressAutoHyphens w:val="0"/>
        <w:spacing w:after="60" w:line="259" w:lineRule="auto"/>
        <w:rPr>
          <w:rFonts w:eastAsia="Calibri" w:cs="Arial"/>
          <w:szCs w:val="20"/>
        </w:rPr>
      </w:pPr>
      <w:r w:rsidRPr="001976CD">
        <w:rPr>
          <w:rFonts w:eastAsia="Calibri" w:cs="Arial"/>
          <w:szCs w:val="20"/>
        </w:rPr>
        <w:t>T</w:t>
      </w:r>
      <w:r w:rsidRPr="001976CD">
        <w:rPr>
          <w:rFonts w:eastAsia="Calibri" w:cs="Calibri"/>
          <w:szCs w:val="20"/>
          <w:lang w:val="en-US"/>
        </w:rPr>
        <w:t xml:space="preserve">he final application date should be aligned with the Guideline and the </w:t>
      </w:r>
      <w:r w:rsidRPr="001976CD">
        <w:rPr>
          <w:rFonts w:eastAsia="Calibri" w:cs="Calibri"/>
          <w:i/>
          <w:szCs w:val="20"/>
          <w:lang w:val="en-US"/>
        </w:rPr>
        <w:t>RTS</w:t>
      </w:r>
      <w:r w:rsidRPr="001976CD">
        <w:rPr>
          <w:rFonts w:eastAsia="Calibri" w:cs="Calibri"/>
          <w:szCs w:val="20"/>
          <w:lang w:val="en-US"/>
        </w:rPr>
        <w:t xml:space="preserve"> on </w:t>
      </w:r>
      <w:r w:rsidRPr="001976CD">
        <w:rPr>
          <w:rFonts w:eastAsia="Calibri" w:cs="Calibri"/>
          <w:i/>
          <w:szCs w:val="20"/>
          <w:lang w:val="en-US"/>
        </w:rPr>
        <w:t>Supervisory Outlier Tests</w:t>
      </w:r>
      <w:r w:rsidRPr="001976CD">
        <w:rPr>
          <w:rFonts w:eastAsia="Calibri" w:cs="Calibri"/>
          <w:szCs w:val="20"/>
          <w:lang w:val="en-US"/>
        </w:rPr>
        <w:t>.</w:t>
      </w:r>
    </w:p>
    <w:p w14:paraId="16C10DA1" w14:textId="77777777" w:rsidR="001976CD" w:rsidRPr="001976CD" w:rsidRDefault="001976CD" w:rsidP="001976CD">
      <w:pPr>
        <w:suppressAutoHyphens w:val="0"/>
        <w:spacing w:after="60" w:line="259" w:lineRule="auto"/>
        <w:rPr>
          <w:rFonts w:eastAsia="Calibri" w:cs="Arial"/>
          <w:szCs w:val="20"/>
        </w:rPr>
      </w:pPr>
    </w:p>
    <w:p w14:paraId="59D8EC30" w14:textId="77777777" w:rsidR="004C1544" w:rsidRDefault="004C1544" w:rsidP="00ED4DC9"/>
    <w:sectPr w:rsidR="004C1544" w:rsidSect="003F2394">
      <w:headerReference w:type="default"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12F44" w14:textId="77777777" w:rsidR="006726F7" w:rsidRDefault="006726F7" w:rsidP="00ED12A5">
      <w:pPr>
        <w:spacing w:after="0"/>
      </w:pPr>
      <w:r>
        <w:separator/>
      </w:r>
    </w:p>
  </w:endnote>
  <w:endnote w:type="continuationSeparator" w:id="0">
    <w:p w14:paraId="6E2242C4" w14:textId="77777777" w:rsidR="006726F7" w:rsidRDefault="006726F7" w:rsidP="00ED12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3F2394" w:rsidRPr="00A45CEA" w14:paraId="1BB3A35F" w14:textId="77777777" w:rsidTr="003F2394">
      <w:trPr>
        <w:trHeight w:val="425"/>
      </w:trPr>
      <w:tc>
        <w:tcPr>
          <w:tcW w:w="4127" w:type="pct"/>
          <w:tcBorders>
            <w:top w:val="nil"/>
            <w:left w:val="nil"/>
            <w:bottom w:val="nil"/>
            <w:right w:val="nil"/>
            <w:tl2br w:val="nil"/>
            <w:tr2bl w:val="nil"/>
          </w:tcBorders>
          <w:shd w:val="clear" w:color="auto" w:fill="auto"/>
        </w:tcPr>
        <w:p w14:paraId="0BD2BCE9" w14:textId="28ABBF42" w:rsidR="003F2394" w:rsidRPr="00D82B63" w:rsidRDefault="003F2394" w:rsidP="003F2394">
          <w:pPr>
            <w:pStyle w:val="Footnote"/>
            <w:tabs>
              <w:tab w:val="left" w:pos="260"/>
            </w:tabs>
            <w:ind w:left="34"/>
            <w:rPr>
              <w:sz w:val="16"/>
              <w:szCs w:val="17"/>
            </w:rPr>
          </w:pPr>
        </w:p>
        <w:p w14:paraId="2EA5E913" w14:textId="38D5FA0C" w:rsidR="003F2394" w:rsidRPr="00A45CEA" w:rsidRDefault="003F2394" w:rsidP="003F2394">
          <w:pPr>
            <w:pStyle w:val="Footer"/>
            <w:shd w:val="clear" w:color="auto" w:fill="FFFFFF" w:themeFill="background1"/>
            <w:rPr>
              <w:sz w:val="17"/>
              <w:szCs w:val="17"/>
            </w:rPr>
          </w:pPr>
          <w:r w:rsidRPr="00A45CEA">
            <w:rPr>
              <w:rStyle w:val="PageNumber"/>
              <w:sz w:val="17"/>
              <w:szCs w:val="17"/>
            </w:rPr>
            <w:fldChar w:fldCharType="begin"/>
          </w:r>
          <w:r w:rsidRPr="00A45CEA">
            <w:rPr>
              <w:rStyle w:val="PageNumber"/>
              <w:sz w:val="17"/>
              <w:szCs w:val="17"/>
            </w:rPr>
            <w:instrText xml:space="preserve">PAGE  </w:instrText>
          </w:r>
          <w:r w:rsidRPr="00A45CEA">
            <w:rPr>
              <w:rStyle w:val="PageNumber"/>
              <w:sz w:val="17"/>
              <w:szCs w:val="17"/>
            </w:rPr>
            <w:fldChar w:fldCharType="separate"/>
          </w:r>
          <w:r w:rsidR="003A79A5">
            <w:rPr>
              <w:rStyle w:val="PageNumber"/>
              <w:noProof/>
              <w:sz w:val="17"/>
              <w:szCs w:val="17"/>
            </w:rPr>
            <w:t>2</w:t>
          </w:r>
          <w:r w:rsidRPr="00A45CEA">
            <w:rPr>
              <w:rStyle w:val="PageNumber"/>
              <w:sz w:val="17"/>
              <w:szCs w:val="17"/>
            </w:rPr>
            <w:fldChar w:fldCharType="end"/>
          </w:r>
        </w:p>
      </w:tc>
      <w:tc>
        <w:tcPr>
          <w:tcW w:w="873" w:type="pct"/>
          <w:tcBorders>
            <w:top w:val="nil"/>
            <w:left w:val="nil"/>
            <w:bottom w:val="nil"/>
            <w:right w:val="nil"/>
          </w:tcBorders>
          <w:shd w:val="clear" w:color="auto" w:fill="auto"/>
        </w:tcPr>
        <w:p w14:paraId="2DEB3ABF" w14:textId="77777777" w:rsidR="003F2394" w:rsidRPr="00A45CEA" w:rsidRDefault="003F2394"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79A9A0EB" wp14:editId="7B8F4A02">
                <wp:extent cx="443711" cy="176530"/>
                <wp:effectExtent l="0" t="0" r="0" b="0"/>
                <wp:docPr id="1"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343977BF" w14:textId="77777777" w:rsidR="003F2394" w:rsidRPr="00A45CEA" w:rsidRDefault="003F2394"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558F23D7" w14:textId="77777777" w:rsidR="003F2394" w:rsidRDefault="003F2394" w:rsidP="003F23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3F2394" w:rsidRPr="00A45CEA" w14:paraId="435E2097" w14:textId="77777777" w:rsidTr="009D05C9">
      <w:trPr>
        <w:trHeight w:val="1272"/>
      </w:trPr>
      <w:tc>
        <w:tcPr>
          <w:tcW w:w="4127" w:type="pct"/>
          <w:tcBorders>
            <w:top w:val="nil"/>
            <w:left w:val="nil"/>
            <w:bottom w:val="nil"/>
            <w:right w:val="nil"/>
            <w:tl2br w:val="nil"/>
            <w:tr2bl w:val="nil"/>
          </w:tcBorders>
          <w:shd w:val="clear" w:color="auto" w:fill="auto"/>
        </w:tcPr>
        <w:p w14:paraId="12A278A0" w14:textId="77777777" w:rsidR="003F2394" w:rsidRPr="0085549F" w:rsidRDefault="003F2394" w:rsidP="00A0558E">
          <w:pPr>
            <w:pStyle w:val="Footnote"/>
            <w:tabs>
              <w:tab w:val="left" w:pos="260"/>
            </w:tabs>
            <w:jc w:val="left"/>
            <w:rPr>
              <w:rFonts w:ascii="Verdana-Bold" w:hAnsi="Verdana-Bold" w:cs="Verdana-Bold"/>
              <w:b/>
              <w:bCs/>
              <w:color w:val="0A77A8"/>
              <w:sz w:val="15"/>
              <w:szCs w:val="17"/>
            </w:rPr>
          </w:pPr>
          <w:r w:rsidRPr="0085549F">
            <w:rPr>
              <w:rFonts w:ascii="Verdana-Bold" w:hAnsi="Verdana-Bold" w:cs="Verdana-Bold"/>
              <w:b/>
              <w:bCs/>
              <w:color w:val="0A77A8"/>
              <w:sz w:val="15"/>
              <w:szCs w:val="17"/>
            </w:rPr>
            <w:t>European Banking Federation aisbl</w:t>
          </w:r>
          <w:r w:rsidR="00A0558E">
            <w:rPr>
              <w:rFonts w:ascii="Verdana-Bold" w:hAnsi="Verdana-Bold" w:cs="Verdana-Bold"/>
              <w:b/>
              <w:bCs/>
              <w:color w:val="0A77A8"/>
              <w:sz w:val="15"/>
              <w:szCs w:val="17"/>
            </w:rPr>
            <w:br/>
          </w:r>
        </w:p>
        <w:p w14:paraId="7DFA490B" w14:textId="77777777" w:rsidR="003F2394" w:rsidRPr="00656A2C" w:rsidRDefault="003F2394" w:rsidP="00A0558E">
          <w:pPr>
            <w:pStyle w:val="Footnote"/>
            <w:tabs>
              <w:tab w:val="left" w:pos="260"/>
            </w:tabs>
            <w:jc w:val="left"/>
            <w:rPr>
              <w:sz w:val="16"/>
              <w:szCs w:val="17"/>
            </w:rPr>
          </w:pPr>
          <w:r w:rsidRPr="00656A2C">
            <w:rPr>
              <w:rFonts w:ascii="Verdana-Bold" w:hAnsi="Verdana-Bold" w:cs="Verdana-Bold"/>
              <w:b/>
              <w:bCs/>
              <w:color w:val="0A77A8"/>
              <w:sz w:val="15"/>
              <w:szCs w:val="17"/>
            </w:rPr>
            <w:t xml:space="preserve">Brussels / </w:t>
          </w:r>
          <w:r w:rsidRPr="00656A2C">
            <w:rPr>
              <w:sz w:val="16"/>
              <w:szCs w:val="17"/>
            </w:rPr>
            <w:t>Avenue des Arts 56, 1000 Brussels, Belgium / +32 2 508 3711 / info@ebf.eu</w:t>
          </w:r>
        </w:p>
        <w:p w14:paraId="05D130AC" w14:textId="77777777" w:rsidR="003F2394" w:rsidRPr="0085549F" w:rsidRDefault="003F2394" w:rsidP="00A0558E">
          <w:pPr>
            <w:pStyle w:val="Footnote"/>
            <w:tabs>
              <w:tab w:val="left" w:pos="260"/>
            </w:tabs>
            <w:jc w:val="left"/>
            <w:rPr>
              <w:sz w:val="16"/>
              <w:szCs w:val="17"/>
            </w:rPr>
          </w:pPr>
          <w:r w:rsidRPr="0085549F">
            <w:rPr>
              <w:rFonts w:ascii="Verdana-Bold" w:hAnsi="Verdana-Bold" w:cs="Verdana-Bold"/>
              <w:b/>
              <w:bCs/>
              <w:color w:val="0A77A8"/>
              <w:sz w:val="15"/>
              <w:szCs w:val="17"/>
            </w:rPr>
            <w:t xml:space="preserve">Frankfurt / </w:t>
          </w:r>
          <w:r w:rsidRPr="0085549F">
            <w:rPr>
              <w:sz w:val="16"/>
              <w:szCs w:val="17"/>
            </w:rPr>
            <w:t>Weißfrauenstraße 12-16, 60311 Frankfurt, Germany</w:t>
          </w:r>
        </w:p>
        <w:p w14:paraId="4544EBC2" w14:textId="77777777" w:rsidR="003F2394" w:rsidRDefault="003F2394" w:rsidP="00A0558E">
          <w:pPr>
            <w:pStyle w:val="Footnote"/>
            <w:tabs>
              <w:tab w:val="left" w:pos="260"/>
            </w:tabs>
            <w:jc w:val="left"/>
            <w:rPr>
              <w:sz w:val="16"/>
              <w:szCs w:val="17"/>
            </w:rPr>
          </w:pPr>
          <w:r w:rsidRPr="0085549F">
            <w:rPr>
              <w:rFonts w:ascii="Verdana-Bold" w:hAnsi="Verdana-Bold" w:cs="Verdana-Bold"/>
              <w:b/>
              <w:bCs/>
              <w:color w:val="0A77A8"/>
              <w:sz w:val="15"/>
              <w:szCs w:val="17"/>
            </w:rPr>
            <w:t>EU Transparency Register /</w:t>
          </w:r>
          <w:r w:rsidRPr="0085549F">
            <w:rPr>
              <w:sz w:val="16"/>
              <w:szCs w:val="17"/>
            </w:rPr>
            <w:t xml:space="preserve"> ID number: 4722660838-23</w:t>
          </w:r>
        </w:p>
        <w:p w14:paraId="001550F0" w14:textId="77777777" w:rsidR="003F2394" w:rsidRPr="00D82B63" w:rsidRDefault="003F2394" w:rsidP="003F2394">
          <w:pPr>
            <w:pStyle w:val="Footnote"/>
            <w:tabs>
              <w:tab w:val="left" w:pos="260"/>
            </w:tabs>
            <w:ind w:left="34"/>
            <w:rPr>
              <w:sz w:val="16"/>
              <w:szCs w:val="17"/>
            </w:rPr>
          </w:pPr>
        </w:p>
        <w:p w14:paraId="4CCECA66" w14:textId="77777777" w:rsidR="003F2394" w:rsidRPr="00A45CEA" w:rsidRDefault="003F2394" w:rsidP="003A79A5">
          <w:pPr>
            <w:pStyle w:val="Footer"/>
            <w:shd w:val="clear" w:color="auto" w:fill="FFFFFF" w:themeFill="background1"/>
            <w:rPr>
              <w:sz w:val="17"/>
              <w:szCs w:val="17"/>
            </w:rPr>
          </w:pPr>
        </w:p>
      </w:tc>
      <w:tc>
        <w:tcPr>
          <w:tcW w:w="873" w:type="pct"/>
          <w:tcBorders>
            <w:top w:val="nil"/>
            <w:left w:val="nil"/>
            <w:bottom w:val="nil"/>
            <w:right w:val="nil"/>
          </w:tcBorders>
          <w:shd w:val="clear" w:color="auto" w:fill="auto"/>
        </w:tcPr>
        <w:p w14:paraId="34378246" w14:textId="77777777" w:rsidR="003F2394" w:rsidRPr="00A45CEA" w:rsidRDefault="003F2394" w:rsidP="003F2394">
          <w:pPr>
            <w:pStyle w:val="Footnote"/>
            <w:tabs>
              <w:tab w:val="left" w:pos="260"/>
            </w:tabs>
            <w:jc w:val="right"/>
            <w:rPr>
              <w:rFonts w:ascii="Verdana-Bold" w:hAnsi="Verdana-Bold" w:cs="Verdana-Bold"/>
              <w:b/>
              <w:bCs/>
              <w:color w:val="0A77A8"/>
              <w:sz w:val="17"/>
              <w:szCs w:val="17"/>
            </w:rPr>
          </w:pPr>
        </w:p>
        <w:p w14:paraId="508D8907" w14:textId="77777777" w:rsidR="003F2394" w:rsidRPr="003F2394" w:rsidRDefault="003F2394" w:rsidP="003F2394">
          <w:pPr>
            <w:pStyle w:val="Footnote"/>
            <w:jc w:val="right"/>
            <w:rPr>
              <w:rFonts w:ascii="Verdana-Bold" w:hAnsi="Verdana-Bold" w:cs="Verdana-Bold"/>
              <w:b/>
              <w:bCs/>
              <w:color w:val="0A77A8"/>
              <w:sz w:val="8"/>
              <w:szCs w:val="17"/>
            </w:rPr>
          </w:pPr>
          <w:r w:rsidRPr="003F2394">
            <w:rPr>
              <w:rFonts w:ascii="Verdana-Bold" w:hAnsi="Verdana-Bold" w:cs="Verdana-Bold"/>
              <w:b/>
              <w:bCs/>
              <w:color w:val="0A77A8"/>
              <w:sz w:val="8"/>
              <w:szCs w:val="17"/>
            </w:rPr>
            <w:t xml:space="preserve"> </w:t>
          </w:r>
        </w:p>
        <w:p w14:paraId="60CEA3F6" w14:textId="77777777" w:rsidR="003F2394" w:rsidRDefault="003F2394" w:rsidP="003F2394">
          <w:pPr>
            <w:pStyle w:val="Footnote"/>
            <w:jc w:val="right"/>
            <w:rPr>
              <w:rFonts w:ascii="Verdana-Bold" w:hAnsi="Verdana-Bold" w:cs="Verdana-Bold"/>
              <w:b/>
              <w:bCs/>
              <w:color w:val="0A77A8"/>
              <w:sz w:val="17"/>
              <w:szCs w:val="17"/>
            </w:rPr>
          </w:pPr>
        </w:p>
        <w:p w14:paraId="72750D13" w14:textId="77777777" w:rsidR="003F2394" w:rsidRPr="00A45CEA" w:rsidRDefault="003F2394"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5628C86C" wp14:editId="759DB75D">
                <wp:extent cx="443711" cy="176530"/>
                <wp:effectExtent l="0" t="0" r="0" b="0"/>
                <wp:docPr id="352"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0F8383A6" w14:textId="77777777" w:rsidR="003F2394" w:rsidRPr="00A45CEA" w:rsidRDefault="003F2394"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0D151DEB" w14:textId="77777777" w:rsidR="003F2394" w:rsidRPr="005C0B58" w:rsidRDefault="003F2394">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79D2" w14:textId="77777777" w:rsidR="006726F7" w:rsidRDefault="006726F7" w:rsidP="00ED12A5">
      <w:pPr>
        <w:spacing w:after="0"/>
      </w:pPr>
      <w:r>
        <w:separator/>
      </w:r>
    </w:p>
  </w:footnote>
  <w:footnote w:type="continuationSeparator" w:id="0">
    <w:p w14:paraId="43121C92" w14:textId="77777777" w:rsidR="006726F7" w:rsidRDefault="006726F7" w:rsidP="00ED12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898F" w14:textId="77777777" w:rsidR="005B15AD" w:rsidRDefault="005B15AD">
    <w:pPr>
      <w:pStyle w:val="Header"/>
    </w:pPr>
    <w:r>
      <w:rPr>
        <w:noProof/>
        <w:lang w:eastAsia="en-GB"/>
      </w:rPr>
      <w:drawing>
        <wp:anchor distT="0" distB="0" distL="114300" distR="114300" simplePos="0" relativeHeight="251661312" behindDoc="0" locked="0" layoutInCell="1" allowOverlap="1" wp14:anchorId="7AF949CB" wp14:editId="4890E4E2">
          <wp:simplePos x="0" y="0"/>
          <wp:positionH relativeFrom="page">
            <wp:align>right</wp:align>
          </wp:positionH>
          <wp:positionV relativeFrom="paragraph">
            <wp:posOffset>-447040</wp:posOffset>
          </wp:positionV>
          <wp:extent cx="2578100" cy="1511300"/>
          <wp:effectExtent l="0" t="0" r="0" b="0"/>
          <wp:wrapNone/>
          <wp:docPr id="349" name="Image 3" descr="top-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etterhead.jpg"/>
                  <pic:cNvPicPr/>
                </pic:nvPicPr>
                <pic:blipFill>
                  <a:blip r:embed="rId1"/>
                  <a:stretch>
                    <a:fillRect/>
                  </a:stretch>
                </pic:blipFill>
                <pic:spPr>
                  <a:xfrm>
                    <a:off x="0" y="0"/>
                    <a:ext cx="2578100" cy="1511300"/>
                  </a:xfrm>
                  <a:prstGeom prst="rect">
                    <a:avLst/>
                  </a:prstGeom>
                </pic:spPr>
              </pic:pic>
            </a:graphicData>
          </a:graphic>
        </wp:anchor>
      </w:drawing>
    </w:r>
  </w:p>
  <w:p w14:paraId="304D2704" w14:textId="77777777" w:rsidR="005B15AD" w:rsidRDefault="005B15AD">
    <w:pPr>
      <w:pStyle w:val="Header"/>
    </w:pPr>
  </w:p>
  <w:p w14:paraId="1ADE85CB" w14:textId="77777777" w:rsidR="005B15AD" w:rsidRDefault="005B15AD">
    <w:pPr>
      <w:pStyle w:val="Header"/>
    </w:pPr>
  </w:p>
  <w:p w14:paraId="65BF7F35" w14:textId="77777777" w:rsidR="005B15AD" w:rsidRDefault="005B15AD">
    <w:pPr>
      <w:pStyle w:val="Header"/>
    </w:pPr>
  </w:p>
  <w:p w14:paraId="7E7FF283" w14:textId="77777777" w:rsidR="005B15AD" w:rsidRDefault="005B15AD">
    <w:pPr>
      <w:pStyle w:val="Header"/>
    </w:pPr>
  </w:p>
  <w:p w14:paraId="0D8778C4" w14:textId="77777777" w:rsidR="005B15AD" w:rsidRDefault="005B15AD">
    <w:pPr>
      <w:pStyle w:val="Header"/>
    </w:pPr>
  </w:p>
  <w:p w14:paraId="21309D58" w14:textId="77777777" w:rsidR="003F2394" w:rsidRDefault="003F23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931D" w14:textId="77777777" w:rsidR="003F2394" w:rsidRDefault="003F2394">
    <w:pPr>
      <w:pStyle w:val="Header"/>
    </w:pPr>
    <w:r>
      <w:rPr>
        <w:noProof/>
        <w:lang w:eastAsia="en-GB"/>
      </w:rPr>
      <w:drawing>
        <wp:anchor distT="0" distB="0" distL="114300" distR="114300" simplePos="0" relativeHeight="251659264" behindDoc="1" locked="0" layoutInCell="1" allowOverlap="1" wp14:anchorId="43172BA2" wp14:editId="3873F2D6">
          <wp:simplePos x="0" y="0"/>
          <wp:positionH relativeFrom="page">
            <wp:posOffset>3867071</wp:posOffset>
          </wp:positionH>
          <wp:positionV relativeFrom="paragraph">
            <wp:posOffset>-449580</wp:posOffset>
          </wp:positionV>
          <wp:extent cx="3695660" cy="3149600"/>
          <wp:effectExtent l="0" t="0" r="635" b="0"/>
          <wp:wrapNone/>
          <wp:docPr id="351" name="Image 0" descr="logo-on-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n-top.jpg"/>
                  <pic:cNvPicPr/>
                </pic:nvPicPr>
                <pic:blipFill>
                  <a:blip r:embed="rId1"/>
                  <a:stretch>
                    <a:fillRect/>
                  </a:stretch>
                </pic:blipFill>
                <pic:spPr>
                  <a:xfrm>
                    <a:off x="0" y="0"/>
                    <a:ext cx="3701029" cy="3154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C399A8"/>
    <w:multiLevelType w:val="hybridMultilevel"/>
    <w:tmpl w:val="F2D222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DD2D6A"/>
    <w:multiLevelType w:val="hybridMultilevel"/>
    <w:tmpl w:val="D36A2F80"/>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147081E"/>
    <w:multiLevelType w:val="hybridMultilevel"/>
    <w:tmpl w:val="25B2A80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41803D0"/>
    <w:multiLevelType w:val="hybridMultilevel"/>
    <w:tmpl w:val="FC3AC25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B6E6F86"/>
    <w:multiLevelType w:val="multilevel"/>
    <w:tmpl w:val="2A1AA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E740836"/>
    <w:multiLevelType w:val="hybridMultilevel"/>
    <w:tmpl w:val="4F2E04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FA5F61"/>
    <w:multiLevelType w:val="hybridMultilevel"/>
    <w:tmpl w:val="A4921E4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D9F7A24"/>
    <w:multiLevelType w:val="hybridMultilevel"/>
    <w:tmpl w:val="336AB6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5B06569"/>
    <w:multiLevelType w:val="hybridMultilevel"/>
    <w:tmpl w:val="5E5A2FD8"/>
    <w:lvl w:ilvl="0" w:tplc="BE6CE2C6">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75D2AFB"/>
    <w:multiLevelType w:val="hybridMultilevel"/>
    <w:tmpl w:val="10668850"/>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377F35E8"/>
    <w:multiLevelType w:val="hybridMultilevel"/>
    <w:tmpl w:val="5E36AB0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85A1D03"/>
    <w:multiLevelType w:val="hybridMultilevel"/>
    <w:tmpl w:val="6DE444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C072B15"/>
    <w:multiLevelType w:val="hybridMultilevel"/>
    <w:tmpl w:val="1C6A4EAA"/>
    <w:lvl w:ilvl="0" w:tplc="BBC4FF70">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941655"/>
    <w:multiLevelType w:val="hybridMultilevel"/>
    <w:tmpl w:val="AF2A8558"/>
    <w:lvl w:ilvl="0" w:tplc="185CE96E">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6364A61"/>
    <w:multiLevelType w:val="hybridMultilevel"/>
    <w:tmpl w:val="196C8874"/>
    <w:lvl w:ilvl="0" w:tplc="38C41D3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1E2C60"/>
    <w:multiLevelType w:val="hybridMultilevel"/>
    <w:tmpl w:val="A942BCE0"/>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4E293C59"/>
    <w:multiLevelType w:val="hybridMultilevel"/>
    <w:tmpl w:val="A5D200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310EBB"/>
    <w:multiLevelType w:val="hybridMultilevel"/>
    <w:tmpl w:val="03B22F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AB927FE"/>
    <w:multiLevelType w:val="hybridMultilevel"/>
    <w:tmpl w:val="FDD8E46C"/>
    <w:lvl w:ilvl="0" w:tplc="BBC4FF70">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5867AB"/>
    <w:multiLevelType w:val="hybridMultilevel"/>
    <w:tmpl w:val="A742436C"/>
    <w:lvl w:ilvl="0" w:tplc="040C0001">
      <w:start w:val="1"/>
      <w:numFmt w:val="bullet"/>
      <w:lvlText w:val=""/>
      <w:lvlJc w:val="left"/>
      <w:pPr>
        <w:ind w:left="-351" w:hanging="360"/>
      </w:pPr>
      <w:rPr>
        <w:rFonts w:ascii="Symbol" w:hAnsi="Symbol" w:hint="default"/>
      </w:rPr>
    </w:lvl>
    <w:lvl w:ilvl="1" w:tplc="040C0003" w:tentative="1">
      <w:start w:val="1"/>
      <w:numFmt w:val="bullet"/>
      <w:lvlText w:val="o"/>
      <w:lvlJc w:val="left"/>
      <w:pPr>
        <w:ind w:left="369" w:hanging="360"/>
      </w:pPr>
      <w:rPr>
        <w:rFonts w:ascii="Courier New" w:hAnsi="Courier New" w:cs="Courier New" w:hint="default"/>
      </w:rPr>
    </w:lvl>
    <w:lvl w:ilvl="2" w:tplc="040C0005" w:tentative="1">
      <w:start w:val="1"/>
      <w:numFmt w:val="bullet"/>
      <w:lvlText w:val=""/>
      <w:lvlJc w:val="left"/>
      <w:pPr>
        <w:ind w:left="1089" w:hanging="360"/>
      </w:pPr>
      <w:rPr>
        <w:rFonts w:ascii="Wingdings" w:hAnsi="Wingdings" w:hint="default"/>
      </w:rPr>
    </w:lvl>
    <w:lvl w:ilvl="3" w:tplc="040C0001" w:tentative="1">
      <w:start w:val="1"/>
      <w:numFmt w:val="bullet"/>
      <w:lvlText w:val=""/>
      <w:lvlJc w:val="left"/>
      <w:pPr>
        <w:ind w:left="1809" w:hanging="360"/>
      </w:pPr>
      <w:rPr>
        <w:rFonts w:ascii="Symbol" w:hAnsi="Symbol" w:hint="default"/>
      </w:rPr>
    </w:lvl>
    <w:lvl w:ilvl="4" w:tplc="040C0003" w:tentative="1">
      <w:start w:val="1"/>
      <w:numFmt w:val="bullet"/>
      <w:lvlText w:val="o"/>
      <w:lvlJc w:val="left"/>
      <w:pPr>
        <w:ind w:left="2529" w:hanging="360"/>
      </w:pPr>
      <w:rPr>
        <w:rFonts w:ascii="Courier New" w:hAnsi="Courier New" w:cs="Courier New" w:hint="default"/>
      </w:rPr>
    </w:lvl>
    <w:lvl w:ilvl="5" w:tplc="040C0005" w:tentative="1">
      <w:start w:val="1"/>
      <w:numFmt w:val="bullet"/>
      <w:lvlText w:val=""/>
      <w:lvlJc w:val="left"/>
      <w:pPr>
        <w:ind w:left="3249" w:hanging="360"/>
      </w:pPr>
      <w:rPr>
        <w:rFonts w:ascii="Wingdings" w:hAnsi="Wingdings" w:hint="default"/>
      </w:rPr>
    </w:lvl>
    <w:lvl w:ilvl="6" w:tplc="040C0001" w:tentative="1">
      <w:start w:val="1"/>
      <w:numFmt w:val="bullet"/>
      <w:lvlText w:val=""/>
      <w:lvlJc w:val="left"/>
      <w:pPr>
        <w:ind w:left="3969" w:hanging="360"/>
      </w:pPr>
      <w:rPr>
        <w:rFonts w:ascii="Symbol" w:hAnsi="Symbol" w:hint="default"/>
      </w:rPr>
    </w:lvl>
    <w:lvl w:ilvl="7" w:tplc="040C0003" w:tentative="1">
      <w:start w:val="1"/>
      <w:numFmt w:val="bullet"/>
      <w:lvlText w:val="o"/>
      <w:lvlJc w:val="left"/>
      <w:pPr>
        <w:ind w:left="4689" w:hanging="360"/>
      </w:pPr>
      <w:rPr>
        <w:rFonts w:ascii="Courier New" w:hAnsi="Courier New" w:cs="Courier New" w:hint="default"/>
      </w:rPr>
    </w:lvl>
    <w:lvl w:ilvl="8" w:tplc="040C0005" w:tentative="1">
      <w:start w:val="1"/>
      <w:numFmt w:val="bullet"/>
      <w:lvlText w:val=""/>
      <w:lvlJc w:val="left"/>
      <w:pPr>
        <w:ind w:left="5409" w:hanging="360"/>
      </w:pPr>
      <w:rPr>
        <w:rFonts w:ascii="Wingdings" w:hAnsi="Wingdings" w:hint="default"/>
      </w:rPr>
    </w:lvl>
  </w:abstractNum>
  <w:abstractNum w:abstractNumId="20" w15:restartNumberingAfterBreak="0">
    <w:nsid w:val="5EDA20E9"/>
    <w:multiLevelType w:val="hybridMultilevel"/>
    <w:tmpl w:val="8E7A7CBC"/>
    <w:lvl w:ilvl="0" w:tplc="BBC4FF70">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1" w15:restartNumberingAfterBreak="0">
    <w:nsid w:val="60AD25F8"/>
    <w:multiLevelType w:val="hybridMultilevel"/>
    <w:tmpl w:val="B50CFFB8"/>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65AB2F94"/>
    <w:multiLevelType w:val="hybridMultilevel"/>
    <w:tmpl w:val="10668850"/>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68927AA0"/>
    <w:multiLevelType w:val="hybridMultilevel"/>
    <w:tmpl w:val="1F2AF17C"/>
    <w:lvl w:ilvl="0" w:tplc="6CF6B30A">
      <w:start w:val="2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B1A153E"/>
    <w:multiLevelType w:val="hybridMultilevel"/>
    <w:tmpl w:val="62666404"/>
    <w:lvl w:ilvl="0" w:tplc="04070001">
      <w:start w:val="1"/>
      <w:numFmt w:val="bullet"/>
      <w:lvlText w:val=""/>
      <w:lvlJc w:val="left"/>
      <w:pPr>
        <w:ind w:left="1797" w:hanging="360"/>
      </w:pPr>
      <w:rPr>
        <w:rFonts w:ascii="Symbol" w:hAnsi="Symbol"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25" w15:restartNumberingAfterBreak="0">
    <w:nsid w:val="775C5AC1"/>
    <w:multiLevelType w:val="hybridMultilevel"/>
    <w:tmpl w:val="077EF0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EB3BA3"/>
    <w:multiLevelType w:val="hybridMultilevel"/>
    <w:tmpl w:val="547A5472"/>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0"/>
  </w:num>
  <w:num w:numId="4">
    <w:abstractNumId w:val="23"/>
  </w:num>
  <w:num w:numId="5">
    <w:abstractNumId w:val="3"/>
  </w:num>
  <w:num w:numId="6">
    <w:abstractNumId w:val="26"/>
  </w:num>
  <w:num w:numId="7">
    <w:abstractNumId w:val="14"/>
  </w:num>
  <w:num w:numId="8">
    <w:abstractNumId w:val="8"/>
  </w:num>
  <w:num w:numId="9">
    <w:abstractNumId w:val="5"/>
  </w:num>
  <w:num w:numId="10">
    <w:abstractNumId w:val="13"/>
  </w:num>
  <w:num w:numId="11">
    <w:abstractNumId w:val="6"/>
  </w:num>
  <w:num w:numId="12">
    <w:abstractNumId w:val="18"/>
  </w:num>
  <w:num w:numId="13">
    <w:abstractNumId w:val="16"/>
  </w:num>
  <w:num w:numId="14">
    <w:abstractNumId w:val="11"/>
  </w:num>
  <w:num w:numId="15">
    <w:abstractNumId w:val="7"/>
  </w:num>
  <w:num w:numId="16">
    <w:abstractNumId w:val="1"/>
  </w:num>
  <w:num w:numId="17">
    <w:abstractNumId w:val="17"/>
  </w:num>
  <w:num w:numId="18">
    <w:abstractNumId w:val="2"/>
  </w:num>
  <w:num w:numId="19">
    <w:abstractNumId w:val="12"/>
  </w:num>
  <w:num w:numId="20">
    <w:abstractNumId w:val="0"/>
  </w:num>
  <w:num w:numId="21">
    <w:abstractNumId w:val="9"/>
  </w:num>
  <w:num w:numId="22">
    <w:abstractNumId w:val="22"/>
  </w:num>
  <w:num w:numId="23">
    <w:abstractNumId w:val="20"/>
  </w:num>
  <w:num w:numId="24">
    <w:abstractNumId w:val="19"/>
  </w:num>
  <w:num w:numId="25">
    <w:abstractNumId w:val="25"/>
  </w:num>
  <w:num w:numId="26">
    <w:abstractNumId w:val="2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672"/>
    <w:rsid w:val="00013898"/>
    <w:rsid w:val="000340BB"/>
    <w:rsid w:val="00105B73"/>
    <w:rsid w:val="001277D1"/>
    <w:rsid w:val="001557F3"/>
    <w:rsid w:val="001976CD"/>
    <w:rsid w:val="001D2A5D"/>
    <w:rsid w:val="001E1559"/>
    <w:rsid w:val="001F6B94"/>
    <w:rsid w:val="00233FA0"/>
    <w:rsid w:val="002D0C37"/>
    <w:rsid w:val="003011F5"/>
    <w:rsid w:val="00350B75"/>
    <w:rsid w:val="00370172"/>
    <w:rsid w:val="003A0F04"/>
    <w:rsid w:val="003A79A5"/>
    <w:rsid w:val="003D7EB6"/>
    <w:rsid w:val="003F2394"/>
    <w:rsid w:val="00450602"/>
    <w:rsid w:val="00465575"/>
    <w:rsid w:val="00466003"/>
    <w:rsid w:val="004C1544"/>
    <w:rsid w:val="005079CF"/>
    <w:rsid w:val="00514C29"/>
    <w:rsid w:val="0056383D"/>
    <w:rsid w:val="005B15AD"/>
    <w:rsid w:val="005C0B58"/>
    <w:rsid w:val="005C2253"/>
    <w:rsid w:val="006726F7"/>
    <w:rsid w:val="006A6C96"/>
    <w:rsid w:val="006D1A6D"/>
    <w:rsid w:val="006E13FD"/>
    <w:rsid w:val="0072387E"/>
    <w:rsid w:val="00735211"/>
    <w:rsid w:val="007473E9"/>
    <w:rsid w:val="00747594"/>
    <w:rsid w:val="0076495C"/>
    <w:rsid w:val="00765074"/>
    <w:rsid w:val="007F381A"/>
    <w:rsid w:val="008057AF"/>
    <w:rsid w:val="00814A3C"/>
    <w:rsid w:val="00830944"/>
    <w:rsid w:val="00852E5F"/>
    <w:rsid w:val="008537BB"/>
    <w:rsid w:val="008A14C1"/>
    <w:rsid w:val="008E3107"/>
    <w:rsid w:val="00900314"/>
    <w:rsid w:val="00963597"/>
    <w:rsid w:val="009B2CA7"/>
    <w:rsid w:val="009B655A"/>
    <w:rsid w:val="009D2E5D"/>
    <w:rsid w:val="009D7C95"/>
    <w:rsid w:val="009E4F2E"/>
    <w:rsid w:val="009E7D42"/>
    <w:rsid w:val="009F3BE9"/>
    <w:rsid w:val="00A03707"/>
    <w:rsid w:val="00A0558E"/>
    <w:rsid w:val="00A1045A"/>
    <w:rsid w:val="00A24BA1"/>
    <w:rsid w:val="00A661E1"/>
    <w:rsid w:val="00A75F55"/>
    <w:rsid w:val="00A81AC0"/>
    <w:rsid w:val="00A91672"/>
    <w:rsid w:val="00AF7168"/>
    <w:rsid w:val="00B2597B"/>
    <w:rsid w:val="00B572BF"/>
    <w:rsid w:val="00B96DC5"/>
    <w:rsid w:val="00BE355E"/>
    <w:rsid w:val="00BE440B"/>
    <w:rsid w:val="00BE68CE"/>
    <w:rsid w:val="00C40AC0"/>
    <w:rsid w:val="00D32DAA"/>
    <w:rsid w:val="00D443F6"/>
    <w:rsid w:val="00D57DE6"/>
    <w:rsid w:val="00D91798"/>
    <w:rsid w:val="00E8464F"/>
    <w:rsid w:val="00ED12A5"/>
    <w:rsid w:val="00ED4DC9"/>
    <w:rsid w:val="00ED5439"/>
    <w:rsid w:val="00ED5FC5"/>
    <w:rsid w:val="00ED7D41"/>
    <w:rsid w:val="00EE6123"/>
    <w:rsid w:val="00EF070A"/>
    <w:rsid w:val="00EF18B5"/>
    <w:rsid w:val="00F07161"/>
    <w:rsid w:val="00F15996"/>
    <w:rsid w:val="00F64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75AC2"/>
  <w15:chartTrackingRefBased/>
  <w15:docId w15:val="{240C4FDE-28AB-4213-AA31-C4B69129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D4DC9"/>
    <w:pPr>
      <w:suppressAutoHyphens/>
      <w:spacing w:after="120" w:line="240" w:lineRule="auto"/>
      <w:jc w:val="both"/>
    </w:pPr>
    <w:rPr>
      <w:rFonts w:ascii="Verdana" w:hAnsi="Verdana"/>
      <w:color w:val="2D659A" w:themeColor="text2" w:themeShade="BF"/>
      <w:sz w:val="20"/>
      <w:szCs w:val="24"/>
    </w:rPr>
  </w:style>
  <w:style w:type="paragraph" w:styleId="Heading1">
    <w:name w:val="heading 1"/>
    <w:basedOn w:val="Normal"/>
    <w:next w:val="Normal"/>
    <w:link w:val="Heading1Char"/>
    <w:autoRedefine/>
    <w:uiPriority w:val="9"/>
    <w:qFormat/>
    <w:rsid w:val="00466003"/>
    <w:pPr>
      <w:keepNext/>
      <w:keepLines/>
      <w:spacing w:before="400"/>
      <w:outlineLvl w:val="0"/>
    </w:pPr>
    <w:rPr>
      <w:rFonts w:eastAsiaTheme="majorEastAsia" w:cstheme="majorBidi"/>
      <w:b/>
      <w:color w:val="006E95" w:themeColor="text1"/>
      <w:sz w:val="36"/>
      <w:szCs w:val="36"/>
    </w:rPr>
  </w:style>
  <w:style w:type="paragraph" w:styleId="Heading2">
    <w:name w:val="heading 2"/>
    <w:basedOn w:val="Normal"/>
    <w:next w:val="Normal"/>
    <w:link w:val="Heading2Char"/>
    <w:autoRedefine/>
    <w:uiPriority w:val="9"/>
    <w:unhideWhenUsed/>
    <w:qFormat/>
    <w:rsid w:val="00466003"/>
    <w:pPr>
      <w:keepNext/>
      <w:keepLines/>
      <w:spacing w:before="40"/>
      <w:outlineLvl w:val="1"/>
    </w:pPr>
    <w:rPr>
      <w:rFonts w:eastAsiaTheme="majorEastAsia" w:cstheme="majorBidi"/>
      <w:color w:val="006E95" w:themeColor="text1"/>
      <w:sz w:val="32"/>
      <w:szCs w:val="32"/>
    </w:rPr>
  </w:style>
  <w:style w:type="paragraph" w:styleId="Heading3">
    <w:name w:val="heading 3"/>
    <w:basedOn w:val="Normal"/>
    <w:next w:val="Normal"/>
    <w:link w:val="Heading3Char"/>
    <w:autoRedefine/>
    <w:uiPriority w:val="9"/>
    <w:unhideWhenUsed/>
    <w:qFormat/>
    <w:rsid w:val="00466003"/>
    <w:pPr>
      <w:keepNext/>
      <w:keepLines/>
      <w:spacing w:before="40"/>
      <w:outlineLvl w:val="2"/>
    </w:pPr>
    <w:rPr>
      <w:rFonts w:eastAsiaTheme="majorEastAsia" w:cstheme="majorBidi"/>
      <w:color w:val="006E95" w:themeColor="text1"/>
      <w:sz w:val="28"/>
    </w:rPr>
  </w:style>
  <w:style w:type="paragraph" w:styleId="Heading4">
    <w:name w:val="heading 4"/>
    <w:basedOn w:val="Normal"/>
    <w:next w:val="Normal"/>
    <w:link w:val="Heading4Char"/>
    <w:autoRedefine/>
    <w:uiPriority w:val="9"/>
    <w:unhideWhenUsed/>
    <w:qFormat/>
    <w:rsid w:val="00466003"/>
    <w:pPr>
      <w:keepNext/>
      <w:keepLines/>
      <w:spacing w:before="40" w:after="0"/>
      <w:outlineLvl w:val="3"/>
    </w:pPr>
    <w:rPr>
      <w:rFonts w:eastAsiaTheme="majorEastAsia" w:cstheme="majorBidi"/>
      <w:i/>
      <w:iCs/>
      <w:color w:val="006E95" w:themeColor="text1"/>
    </w:rPr>
  </w:style>
  <w:style w:type="paragraph" w:styleId="Heading5">
    <w:name w:val="heading 5"/>
    <w:basedOn w:val="Normal"/>
    <w:next w:val="Normal"/>
    <w:link w:val="Heading5Char"/>
    <w:autoRedefine/>
    <w:uiPriority w:val="9"/>
    <w:unhideWhenUsed/>
    <w:qFormat/>
    <w:rsid w:val="00466003"/>
    <w:pPr>
      <w:keepNext/>
      <w:keepLines/>
      <w:spacing w:before="40" w:after="0"/>
      <w:outlineLvl w:val="4"/>
    </w:pPr>
    <w:rPr>
      <w:rFonts w:eastAsiaTheme="majorEastAsia" w:cstheme="majorBidi"/>
      <w:color w:val="006E95" w:themeColor="text1"/>
    </w:rPr>
  </w:style>
  <w:style w:type="paragraph" w:styleId="Heading6">
    <w:name w:val="heading 6"/>
    <w:basedOn w:val="Normal"/>
    <w:next w:val="Normal"/>
    <w:link w:val="Heading6Char"/>
    <w:autoRedefine/>
    <w:uiPriority w:val="9"/>
    <w:semiHidden/>
    <w:unhideWhenUsed/>
    <w:qFormat/>
    <w:rsid w:val="004C1544"/>
    <w:pPr>
      <w:keepNext/>
      <w:keepLines/>
      <w:spacing w:before="40" w:after="0"/>
      <w:outlineLvl w:val="5"/>
    </w:pPr>
    <w:rPr>
      <w:rFonts w:eastAsiaTheme="majorEastAsia" w:cstheme="majorBidi"/>
      <w:color w:val="3F4B79"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8A14C1"/>
    <w:pPr>
      <w:spacing w:after="0" w:line="240" w:lineRule="auto"/>
    </w:pPr>
    <w:rPr>
      <w:rFonts w:ascii="Segoe UI Semilight" w:eastAsiaTheme="minorEastAsia" w:hAnsi="Segoe UI Semilight"/>
    </w:rPr>
  </w:style>
  <w:style w:type="character" w:customStyle="1" w:styleId="Heading1Char">
    <w:name w:val="Heading 1 Char"/>
    <w:basedOn w:val="DefaultParagraphFont"/>
    <w:link w:val="Heading1"/>
    <w:uiPriority w:val="9"/>
    <w:rsid w:val="00466003"/>
    <w:rPr>
      <w:rFonts w:ascii="Verdana" w:eastAsiaTheme="majorEastAsia" w:hAnsi="Verdana" w:cstheme="majorBidi"/>
      <w:b/>
      <w:color w:val="006E95" w:themeColor="text1"/>
      <w:sz w:val="36"/>
      <w:szCs w:val="36"/>
      <w:lang w:val="en-US"/>
    </w:rPr>
  </w:style>
  <w:style w:type="character" w:customStyle="1" w:styleId="Heading2Char">
    <w:name w:val="Heading 2 Char"/>
    <w:basedOn w:val="DefaultParagraphFont"/>
    <w:link w:val="Heading2"/>
    <w:uiPriority w:val="9"/>
    <w:rsid w:val="00466003"/>
    <w:rPr>
      <w:rFonts w:ascii="Verdana" w:eastAsiaTheme="majorEastAsia" w:hAnsi="Verdana" w:cstheme="majorBidi"/>
      <w:color w:val="006E95" w:themeColor="text1"/>
      <w:sz w:val="32"/>
      <w:szCs w:val="32"/>
      <w:lang w:val="en-US"/>
    </w:rPr>
  </w:style>
  <w:style w:type="paragraph" w:styleId="Title">
    <w:name w:val="Title"/>
    <w:basedOn w:val="Normal"/>
    <w:next w:val="Normal"/>
    <w:link w:val="TitleChar"/>
    <w:autoRedefine/>
    <w:uiPriority w:val="10"/>
    <w:qFormat/>
    <w:rsid w:val="00EF070A"/>
    <w:pPr>
      <w:spacing w:line="204" w:lineRule="auto"/>
      <w:contextualSpacing/>
    </w:pPr>
    <w:rPr>
      <w:rFonts w:eastAsiaTheme="majorEastAsia" w:cstheme="majorBidi"/>
      <w:b/>
      <w:caps/>
      <w:color w:val="006E95" w:themeColor="text1"/>
      <w:spacing w:val="-15"/>
      <w:sz w:val="36"/>
      <w:szCs w:val="72"/>
    </w:rPr>
  </w:style>
  <w:style w:type="character" w:customStyle="1" w:styleId="TitleChar">
    <w:name w:val="Title Char"/>
    <w:basedOn w:val="DefaultParagraphFont"/>
    <w:link w:val="Title"/>
    <w:uiPriority w:val="10"/>
    <w:rsid w:val="00EF070A"/>
    <w:rPr>
      <w:rFonts w:ascii="Verdana" w:eastAsiaTheme="majorEastAsia" w:hAnsi="Verdana" w:cstheme="majorBidi"/>
      <w:b/>
      <w:caps/>
      <w:color w:val="006E95" w:themeColor="text1"/>
      <w:spacing w:val="-15"/>
      <w:sz w:val="36"/>
      <w:szCs w:val="72"/>
    </w:rPr>
  </w:style>
  <w:style w:type="paragraph" w:styleId="Subtitle">
    <w:name w:val="Subtitle"/>
    <w:basedOn w:val="Normal"/>
    <w:next w:val="Normal"/>
    <w:link w:val="SubtitleChar"/>
    <w:autoRedefine/>
    <w:uiPriority w:val="11"/>
    <w:qFormat/>
    <w:rsid w:val="00B2597B"/>
    <w:pPr>
      <w:numPr>
        <w:ilvl w:val="1"/>
      </w:numPr>
      <w:spacing w:after="240"/>
    </w:pPr>
    <w:rPr>
      <w:rFonts w:eastAsiaTheme="majorEastAsia" w:cstheme="majorBidi"/>
      <w:color w:val="006E95" w:themeColor="text1"/>
      <w:sz w:val="28"/>
      <w:szCs w:val="28"/>
    </w:rPr>
  </w:style>
  <w:style w:type="character" w:customStyle="1" w:styleId="SubtitleChar">
    <w:name w:val="Subtitle Char"/>
    <w:basedOn w:val="DefaultParagraphFont"/>
    <w:link w:val="Subtitle"/>
    <w:uiPriority w:val="11"/>
    <w:rsid w:val="00B2597B"/>
    <w:rPr>
      <w:rFonts w:ascii="Verdana" w:eastAsiaTheme="majorEastAsia" w:hAnsi="Verdana" w:cstheme="majorBidi"/>
      <w:color w:val="006E95" w:themeColor="text1"/>
      <w:sz w:val="28"/>
      <w:szCs w:val="28"/>
      <w:lang w:val="en-US"/>
    </w:rPr>
  </w:style>
  <w:style w:type="character" w:customStyle="1" w:styleId="Heading3Char">
    <w:name w:val="Heading 3 Char"/>
    <w:basedOn w:val="DefaultParagraphFont"/>
    <w:link w:val="Heading3"/>
    <w:uiPriority w:val="9"/>
    <w:rsid w:val="00466003"/>
    <w:rPr>
      <w:rFonts w:ascii="Verdana" w:eastAsiaTheme="majorEastAsia" w:hAnsi="Verdana" w:cstheme="majorBidi"/>
      <w:color w:val="006E95" w:themeColor="text1"/>
      <w:sz w:val="28"/>
      <w:szCs w:val="24"/>
      <w:lang w:val="en-US"/>
    </w:rPr>
  </w:style>
  <w:style w:type="character" w:styleId="Emphasis">
    <w:name w:val="Emphasis"/>
    <w:basedOn w:val="DefaultParagraphFont"/>
    <w:uiPriority w:val="20"/>
    <w:qFormat/>
    <w:rsid w:val="001F6B94"/>
    <w:rPr>
      <w:rFonts w:ascii="Verdana" w:hAnsi="Verdana"/>
      <w:i/>
      <w:iCs/>
      <w:color w:val="4288C8" w:themeColor="text2"/>
      <w:sz w:val="18"/>
    </w:rPr>
  </w:style>
  <w:style w:type="paragraph" w:customStyle="1" w:styleId="Normal2">
    <w:name w:val="Normal 2"/>
    <w:basedOn w:val="Normal"/>
    <w:link w:val="Normal2Char"/>
    <w:autoRedefine/>
    <w:qFormat/>
    <w:rsid w:val="001F6B94"/>
    <w:rPr>
      <w:rFonts w:ascii="Segoe UI Semilight" w:hAnsi="Segoe UI Semilight"/>
      <w:sz w:val="22"/>
      <w:lang w:val="fr-BE"/>
    </w:rPr>
  </w:style>
  <w:style w:type="character" w:customStyle="1" w:styleId="Normal2Char">
    <w:name w:val="Normal 2 Char"/>
    <w:basedOn w:val="DefaultParagraphFont"/>
    <w:link w:val="Normal2"/>
    <w:rsid w:val="001F6B94"/>
    <w:rPr>
      <w:rFonts w:ascii="Segoe UI Semilight" w:eastAsiaTheme="minorEastAsia" w:hAnsi="Segoe UI Semilight"/>
      <w:color w:val="4288C8" w:themeColor="text2"/>
      <w:lang w:val="fr-BE"/>
    </w:rPr>
  </w:style>
  <w:style w:type="paragraph" w:styleId="IntenseQuote">
    <w:name w:val="Intense Quote"/>
    <w:basedOn w:val="Normal"/>
    <w:next w:val="Normal"/>
    <w:link w:val="IntenseQuoteChar"/>
    <w:autoRedefine/>
    <w:uiPriority w:val="30"/>
    <w:qFormat/>
    <w:rsid w:val="001F6B94"/>
    <w:pPr>
      <w:pBdr>
        <w:top w:val="single" w:sz="4" w:space="10" w:color="3F4B79" w:themeColor="accent5"/>
        <w:bottom w:val="single" w:sz="4" w:space="10" w:color="3F4B79" w:themeColor="accent5"/>
      </w:pBdr>
      <w:spacing w:before="360" w:after="360"/>
      <w:ind w:left="864" w:right="864"/>
      <w:jc w:val="center"/>
    </w:pPr>
    <w:rPr>
      <w:i/>
      <w:iCs/>
      <w:color w:val="3F4B79" w:themeColor="accent5"/>
    </w:rPr>
  </w:style>
  <w:style w:type="character" w:customStyle="1" w:styleId="IntenseQuoteChar">
    <w:name w:val="Intense Quote Char"/>
    <w:basedOn w:val="DefaultParagraphFont"/>
    <w:link w:val="IntenseQuote"/>
    <w:uiPriority w:val="30"/>
    <w:rsid w:val="001F6B94"/>
    <w:rPr>
      <w:rFonts w:ascii="Verdana" w:eastAsiaTheme="minorEastAsia" w:hAnsi="Verdana"/>
      <w:i/>
      <w:iCs/>
      <w:color w:val="3F4B79" w:themeColor="accent5"/>
      <w:sz w:val="18"/>
    </w:rPr>
  </w:style>
  <w:style w:type="table" w:styleId="GridTable6Colorful-Accent5">
    <w:name w:val="Grid Table 6 Colorful Accent 5"/>
    <w:basedOn w:val="TableNormal"/>
    <w:uiPriority w:val="51"/>
    <w:rsid w:val="001F6B94"/>
    <w:pPr>
      <w:spacing w:after="0" w:line="240" w:lineRule="auto"/>
    </w:pPr>
    <w:rPr>
      <w:rFonts w:ascii="Verdana" w:hAnsi="Verdana"/>
      <w:color w:val="006E95" w:themeColor="text1"/>
      <w:sz w:val="18"/>
    </w:rPr>
    <w:tblPr>
      <w:tblStyleRowBandSize w:val="1"/>
      <w:tblStyleColBandSize w:val="1"/>
      <w:tblBorders>
        <w:top w:val="single" w:sz="4" w:space="0" w:color="7E8ABC" w:themeColor="accent5" w:themeTint="99"/>
        <w:left w:val="single" w:sz="4" w:space="0" w:color="7E8ABC" w:themeColor="accent5" w:themeTint="99"/>
        <w:bottom w:val="single" w:sz="4" w:space="0" w:color="7E8ABC" w:themeColor="accent5" w:themeTint="99"/>
        <w:right w:val="single" w:sz="4" w:space="0" w:color="7E8ABC" w:themeColor="accent5" w:themeTint="99"/>
        <w:insideH w:val="single" w:sz="4" w:space="0" w:color="7E8ABC" w:themeColor="accent5" w:themeTint="99"/>
        <w:insideV w:val="single" w:sz="4" w:space="0" w:color="7E8ABC" w:themeColor="accent5" w:themeTint="99"/>
      </w:tblBorders>
    </w:tblPr>
    <w:tblStylePr w:type="firstRow">
      <w:rPr>
        <w:rFonts w:ascii="Verdana" w:hAnsi="Verdana"/>
        <w:b w:val="0"/>
        <w:bCs/>
        <w:color w:val="FFFFFF" w:themeColor="background1"/>
      </w:rPr>
      <w:tblPr/>
      <w:tcPr>
        <w:shd w:val="clear" w:color="auto" w:fill="2F385A" w:themeFill="accent5" w:themeFillShade="BF"/>
      </w:tcPr>
    </w:tblStylePr>
    <w:tblStylePr w:type="lastRow">
      <w:rPr>
        <w:b/>
        <w:bCs/>
      </w:rPr>
      <w:tblPr/>
      <w:tcPr>
        <w:tcBorders>
          <w:top w:val="double" w:sz="4" w:space="0" w:color="7E8ABC" w:themeColor="accent5" w:themeTint="99"/>
        </w:tcBorders>
      </w:tcPr>
    </w:tblStylePr>
    <w:tblStylePr w:type="firstCol">
      <w:rPr>
        <w:b/>
        <w:bCs/>
      </w:rPr>
    </w:tblStylePr>
    <w:tblStylePr w:type="lastCol">
      <w:rPr>
        <w:b/>
        <w:bCs/>
      </w:rPr>
    </w:tblStylePr>
    <w:tblStylePr w:type="band1Vert">
      <w:tblPr/>
      <w:tcPr>
        <w:shd w:val="clear" w:color="auto" w:fill="D4D8E8" w:themeFill="accent5" w:themeFillTint="33"/>
      </w:tcPr>
    </w:tblStylePr>
    <w:tblStylePr w:type="band1Horz">
      <w:tblPr/>
      <w:tcPr>
        <w:shd w:val="clear" w:color="auto" w:fill="D4D8E8" w:themeFill="accent5" w:themeFillTint="33"/>
      </w:tcPr>
    </w:tblStylePr>
  </w:style>
  <w:style w:type="table" w:styleId="GridTable4">
    <w:name w:val="Grid Table 4"/>
    <w:basedOn w:val="TableNormal"/>
    <w:uiPriority w:val="49"/>
    <w:rsid w:val="003011F5"/>
    <w:pPr>
      <w:spacing w:after="0" w:line="240" w:lineRule="auto"/>
    </w:pPr>
    <w:tblPr>
      <w:tblStyleRowBandSize w:val="1"/>
      <w:tblStyleColBandSize w:val="1"/>
      <w:tblBorders>
        <w:top w:val="single" w:sz="4" w:space="0" w:color="006E95" w:themeColor="text1"/>
        <w:left w:val="single" w:sz="4" w:space="0" w:color="006E95" w:themeColor="text1"/>
        <w:bottom w:val="single" w:sz="4" w:space="0" w:color="006E95" w:themeColor="text1"/>
        <w:right w:val="single" w:sz="4" w:space="0" w:color="006E95" w:themeColor="text1"/>
        <w:insideH w:val="single" w:sz="4" w:space="0" w:color="006E95" w:themeColor="text1"/>
        <w:insideV w:val="single" w:sz="4" w:space="0" w:color="006E95" w:themeColor="text1"/>
      </w:tblBorders>
    </w:tblPr>
    <w:tcPr>
      <w:shd w:val="clear" w:color="auto" w:fill="auto"/>
    </w:tcPr>
    <w:tblStylePr w:type="firstRow">
      <w:rPr>
        <w:b/>
        <w:bCs/>
        <w:color w:val="FFFFFF" w:themeColor="background1"/>
      </w:rPr>
      <w:tblPr/>
      <w:tcPr>
        <w:tcBorders>
          <w:top w:val="single" w:sz="4" w:space="0" w:color="006E95" w:themeColor="text1"/>
          <w:left w:val="single" w:sz="4" w:space="0" w:color="006E95" w:themeColor="text1"/>
          <w:bottom w:val="single" w:sz="4" w:space="0" w:color="006E95" w:themeColor="text1"/>
          <w:right w:val="single" w:sz="4" w:space="0" w:color="006E95" w:themeColor="text1"/>
          <w:insideH w:val="nil"/>
          <w:insideV w:val="nil"/>
        </w:tcBorders>
        <w:shd w:val="clear" w:color="auto" w:fill="006E95" w:themeFill="text1"/>
      </w:tcPr>
    </w:tblStylePr>
    <w:tblStylePr w:type="lastRow">
      <w:rPr>
        <w:b/>
        <w:bCs/>
      </w:rPr>
      <w:tblPr/>
      <w:tcPr>
        <w:tcBorders>
          <w:top w:val="double" w:sz="4" w:space="0" w:color="006E95" w:themeColor="text1"/>
        </w:tcBorders>
      </w:tcPr>
    </w:tblStylePr>
    <w:tblStylePr w:type="firstCol">
      <w:rPr>
        <w:b w:val="0"/>
        <w:bCs/>
      </w:rPr>
    </w:tblStylePr>
    <w:tblStylePr w:type="lastCol">
      <w:rPr>
        <w:b w:val="0"/>
        <w:bCs/>
      </w:rPr>
    </w:tblStylePr>
    <w:tblStylePr w:type="band1Vert">
      <w:tblPr/>
      <w:tcPr>
        <w:shd w:val="clear" w:color="auto" w:fill="B6EBFF" w:themeFill="text1" w:themeFillTint="33"/>
      </w:tcPr>
    </w:tblStylePr>
    <w:tblStylePr w:type="band1Horz">
      <w:tblPr/>
      <w:tcPr>
        <w:shd w:val="clear" w:color="auto" w:fill="D4D8E8" w:themeFill="accent5" w:themeFillTint="33"/>
      </w:tcPr>
    </w:tblStylePr>
  </w:style>
  <w:style w:type="paragraph" w:customStyle="1" w:styleId="Bold">
    <w:name w:val="Bold"/>
    <w:basedOn w:val="Normal"/>
    <w:autoRedefine/>
    <w:rsid w:val="00A75F55"/>
    <w:pPr>
      <w:ind w:left="1134" w:hanging="1134"/>
      <w:outlineLvl w:val="0"/>
    </w:pPr>
    <w:rPr>
      <w:b/>
      <w:color w:val="006E95" w:themeColor="text1"/>
    </w:rPr>
  </w:style>
  <w:style w:type="character" w:customStyle="1" w:styleId="Heading4Char">
    <w:name w:val="Heading 4 Char"/>
    <w:basedOn w:val="DefaultParagraphFont"/>
    <w:link w:val="Heading4"/>
    <w:uiPriority w:val="9"/>
    <w:rsid w:val="00466003"/>
    <w:rPr>
      <w:rFonts w:ascii="Verdana" w:eastAsiaTheme="majorEastAsia" w:hAnsi="Verdana" w:cstheme="majorBidi"/>
      <w:i/>
      <w:iCs/>
      <w:color w:val="006E95" w:themeColor="text1"/>
      <w:sz w:val="20"/>
      <w:szCs w:val="24"/>
      <w:lang w:val="en-US"/>
    </w:rPr>
  </w:style>
  <w:style w:type="character" w:customStyle="1" w:styleId="Heading5Char">
    <w:name w:val="Heading 5 Char"/>
    <w:basedOn w:val="DefaultParagraphFont"/>
    <w:link w:val="Heading5"/>
    <w:uiPriority w:val="9"/>
    <w:rsid w:val="00466003"/>
    <w:rPr>
      <w:rFonts w:ascii="Verdana" w:eastAsiaTheme="majorEastAsia" w:hAnsi="Verdana" w:cstheme="majorBidi"/>
      <w:color w:val="006E95" w:themeColor="text1"/>
      <w:sz w:val="20"/>
      <w:szCs w:val="24"/>
      <w:lang w:val="en-US"/>
    </w:rPr>
  </w:style>
  <w:style w:type="paragraph" w:styleId="Header">
    <w:name w:val="header"/>
    <w:basedOn w:val="Normal"/>
    <w:link w:val="HeaderChar"/>
    <w:uiPriority w:val="99"/>
    <w:unhideWhenUsed/>
    <w:rsid w:val="00ED12A5"/>
    <w:pPr>
      <w:tabs>
        <w:tab w:val="center" w:pos="4513"/>
        <w:tab w:val="right" w:pos="9026"/>
      </w:tabs>
      <w:spacing w:after="0"/>
    </w:pPr>
  </w:style>
  <w:style w:type="character" w:customStyle="1" w:styleId="HeaderChar">
    <w:name w:val="Header Char"/>
    <w:basedOn w:val="DefaultParagraphFont"/>
    <w:link w:val="Header"/>
    <w:uiPriority w:val="99"/>
    <w:rsid w:val="00ED12A5"/>
    <w:rPr>
      <w:rFonts w:ascii="Verdana" w:hAnsi="Verdana"/>
      <w:color w:val="4288C8" w:themeColor="text2"/>
      <w:sz w:val="20"/>
      <w:szCs w:val="24"/>
      <w:lang w:val="en-US"/>
    </w:rPr>
  </w:style>
  <w:style w:type="paragraph" w:styleId="Footer">
    <w:name w:val="footer"/>
    <w:basedOn w:val="Normal"/>
    <w:link w:val="FooterChar"/>
    <w:uiPriority w:val="99"/>
    <w:unhideWhenUsed/>
    <w:rsid w:val="00ED12A5"/>
    <w:pPr>
      <w:tabs>
        <w:tab w:val="center" w:pos="4513"/>
        <w:tab w:val="right" w:pos="9026"/>
      </w:tabs>
      <w:spacing w:after="0"/>
    </w:pPr>
  </w:style>
  <w:style w:type="character" w:customStyle="1" w:styleId="FooterChar">
    <w:name w:val="Footer Char"/>
    <w:basedOn w:val="DefaultParagraphFont"/>
    <w:link w:val="Footer"/>
    <w:uiPriority w:val="99"/>
    <w:rsid w:val="00ED12A5"/>
    <w:rPr>
      <w:rFonts w:ascii="Verdana" w:hAnsi="Verdana"/>
      <w:color w:val="4288C8" w:themeColor="text2"/>
      <w:sz w:val="20"/>
      <w:szCs w:val="24"/>
      <w:lang w:val="en-US"/>
    </w:rPr>
  </w:style>
  <w:style w:type="paragraph" w:customStyle="1" w:styleId="Footnote">
    <w:name w:val="Footnote"/>
    <w:basedOn w:val="Normal"/>
    <w:uiPriority w:val="99"/>
    <w:rsid w:val="00ED12A5"/>
    <w:pPr>
      <w:suppressAutoHyphens w:val="0"/>
      <w:spacing w:after="0"/>
    </w:pPr>
    <w:rPr>
      <w:rFonts w:eastAsiaTheme="minorEastAsia"/>
      <w:sz w:val="18"/>
      <w:szCs w:val="22"/>
    </w:rPr>
  </w:style>
  <w:style w:type="character" w:styleId="PageNumber">
    <w:name w:val="page number"/>
    <w:basedOn w:val="DefaultParagraphFont"/>
    <w:uiPriority w:val="99"/>
    <w:semiHidden/>
    <w:unhideWhenUsed/>
    <w:rsid w:val="00ED12A5"/>
  </w:style>
  <w:style w:type="character" w:customStyle="1" w:styleId="Heading6Char">
    <w:name w:val="Heading 6 Char"/>
    <w:basedOn w:val="DefaultParagraphFont"/>
    <w:link w:val="Heading6"/>
    <w:uiPriority w:val="9"/>
    <w:semiHidden/>
    <w:rsid w:val="004C1544"/>
    <w:rPr>
      <w:rFonts w:ascii="Verdana" w:eastAsiaTheme="majorEastAsia" w:hAnsi="Verdana" w:cstheme="majorBidi"/>
      <w:color w:val="3F4B79" w:themeColor="accent5"/>
      <w:sz w:val="20"/>
      <w:szCs w:val="24"/>
      <w:lang w:val="en-US"/>
    </w:rPr>
  </w:style>
  <w:style w:type="table" w:styleId="TableGrid">
    <w:name w:val="Table Grid"/>
    <w:basedOn w:val="TableNormal"/>
    <w:uiPriority w:val="59"/>
    <w:rsid w:val="003011F5"/>
    <w:pPr>
      <w:spacing w:after="0" w:line="240" w:lineRule="auto"/>
    </w:pPr>
    <w:rPr>
      <w:rFonts w:ascii="Verdana" w:hAnsi="Verdana"/>
      <w:color w:val="006E95" w:themeColor="text1"/>
      <w:sz w:val="20"/>
      <w:szCs w:val="24"/>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Verdana" w:hAnsi="Verdana"/>
        <w:b w:val="0"/>
        <w:i w:val="0"/>
        <w:color w:val="FFFFFF" w:themeColor="background1"/>
        <w:sz w:val="18"/>
        <w:u w:color="FFFFFF" w:themeColor="background1"/>
      </w:rPr>
      <w:tblPr/>
      <w:tcPr>
        <w:shd w:val="clear" w:color="auto" w:fill="006E95" w:themeFill="text1"/>
      </w:tcPr>
    </w:tblStylePr>
    <w:tblStylePr w:type="band1Horz">
      <w:tblPr/>
      <w:tcPr>
        <w:shd w:val="clear" w:color="auto" w:fill="D4D8E8" w:themeFill="accent5" w:themeFillTint="33"/>
      </w:tcPr>
    </w:tblStylePr>
  </w:style>
  <w:style w:type="character" w:styleId="SubtleEmphasis">
    <w:name w:val="Subtle Emphasis"/>
    <w:basedOn w:val="DefaultParagraphFont"/>
    <w:uiPriority w:val="19"/>
    <w:qFormat/>
    <w:rsid w:val="004C1544"/>
    <w:rPr>
      <w:rFonts w:ascii="Verdana" w:hAnsi="Verdana"/>
      <w:i/>
      <w:iCs/>
      <w:color w:val="00B0EF" w:themeColor="text1" w:themeTint="BF"/>
    </w:rPr>
  </w:style>
  <w:style w:type="numbering" w:customStyle="1" w:styleId="NoList1">
    <w:name w:val="No List1"/>
    <w:next w:val="NoList"/>
    <w:uiPriority w:val="99"/>
    <w:semiHidden/>
    <w:unhideWhenUsed/>
    <w:rsid w:val="001976CD"/>
  </w:style>
  <w:style w:type="paragraph" w:customStyle="1" w:styleId="ListParagraph1">
    <w:name w:val="List Paragraph1"/>
    <w:basedOn w:val="Normal"/>
    <w:next w:val="ListParagraph"/>
    <w:link w:val="ListParagraphChar"/>
    <w:uiPriority w:val="34"/>
    <w:qFormat/>
    <w:rsid w:val="001976CD"/>
    <w:pPr>
      <w:suppressAutoHyphens w:val="0"/>
      <w:spacing w:after="160" w:line="259" w:lineRule="auto"/>
      <w:ind w:left="720"/>
      <w:contextualSpacing/>
      <w:jc w:val="left"/>
    </w:pPr>
    <w:rPr>
      <w:rFonts w:ascii="Calibri" w:hAnsi="Calibri"/>
      <w:color w:val="auto"/>
      <w:sz w:val="22"/>
      <w:szCs w:val="22"/>
      <w:lang w:val="fr-FR"/>
    </w:rPr>
  </w:style>
  <w:style w:type="paragraph" w:customStyle="1" w:styleId="BalloonText1">
    <w:name w:val="Balloon Text1"/>
    <w:basedOn w:val="Normal"/>
    <w:next w:val="BalloonText"/>
    <w:link w:val="BalloonTextChar"/>
    <w:uiPriority w:val="99"/>
    <w:semiHidden/>
    <w:unhideWhenUsed/>
    <w:rsid w:val="001976CD"/>
    <w:pPr>
      <w:suppressAutoHyphens w:val="0"/>
      <w:spacing w:after="0"/>
      <w:jc w:val="left"/>
    </w:pPr>
    <w:rPr>
      <w:rFonts w:ascii="Segoe UI" w:hAnsi="Segoe UI" w:cs="Segoe UI"/>
      <w:color w:val="auto"/>
      <w:sz w:val="18"/>
      <w:szCs w:val="18"/>
    </w:rPr>
  </w:style>
  <w:style w:type="character" w:customStyle="1" w:styleId="BalloonTextChar">
    <w:name w:val="Balloon Text Char"/>
    <w:basedOn w:val="DefaultParagraphFont"/>
    <w:link w:val="BalloonText1"/>
    <w:uiPriority w:val="99"/>
    <w:semiHidden/>
    <w:rsid w:val="001976CD"/>
    <w:rPr>
      <w:rFonts w:ascii="Segoe UI" w:hAnsi="Segoe UI" w:cs="Segoe UI"/>
      <w:sz w:val="18"/>
      <w:szCs w:val="18"/>
    </w:rPr>
  </w:style>
  <w:style w:type="character" w:styleId="CommentReference">
    <w:name w:val="annotation reference"/>
    <w:basedOn w:val="DefaultParagraphFont"/>
    <w:uiPriority w:val="99"/>
    <w:semiHidden/>
    <w:unhideWhenUsed/>
    <w:rsid w:val="001976CD"/>
    <w:rPr>
      <w:sz w:val="16"/>
      <w:szCs w:val="16"/>
    </w:rPr>
  </w:style>
  <w:style w:type="paragraph" w:customStyle="1" w:styleId="CommentText1">
    <w:name w:val="Comment Text1"/>
    <w:basedOn w:val="Normal"/>
    <w:next w:val="CommentText"/>
    <w:link w:val="CommentTextChar"/>
    <w:uiPriority w:val="99"/>
    <w:unhideWhenUsed/>
    <w:rsid w:val="001976CD"/>
    <w:pPr>
      <w:suppressAutoHyphens w:val="0"/>
      <w:spacing w:after="160"/>
      <w:jc w:val="left"/>
    </w:pPr>
    <w:rPr>
      <w:rFonts w:asciiTheme="minorHAnsi" w:hAnsiTheme="minorHAnsi"/>
      <w:color w:val="auto"/>
      <w:szCs w:val="20"/>
    </w:rPr>
  </w:style>
  <w:style w:type="character" w:customStyle="1" w:styleId="CommentTextChar">
    <w:name w:val="Comment Text Char"/>
    <w:basedOn w:val="DefaultParagraphFont"/>
    <w:link w:val="CommentText1"/>
    <w:uiPriority w:val="99"/>
    <w:rsid w:val="001976CD"/>
    <w:rPr>
      <w:sz w:val="20"/>
      <w:szCs w:val="20"/>
    </w:rPr>
  </w:style>
  <w:style w:type="paragraph" w:customStyle="1" w:styleId="CommentSubject1">
    <w:name w:val="Comment Subject1"/>
    <w:basedOn w:val="CommentText"/>
    <w:next w:val="CommentText"/>
    <w:uiPriority w:val="99"/>
    <w:semiHidden/>
    <w:unhideWhenUsed/>
    <w:rsid w:val="001976CD"/>
    <w:pPr>
      <w:suppressAutoHyphens w:val="0"/>
      <w:spacing w:after="160"/>
      <w:jc w:val="left"/>
    </w:pPr>
    <w:rPr>
      <w:rFonts w:ascii="Calibri" w:hAnsi="Calibri"/>
      <w:b/>
      <w:bCs/>
      <w:color w:val="auto"/>
      <w:lang w:val="fr-FR"/>
    </w:rPr>
  </w:style>
  <w:style w:type="character" w:customStyle="1" w:styleId="CommentSubjectChar">
    <w:name w:val="Comment Subject Char"/>
    <w:basedOn w:val="CommentTextChar"/>
    <w:link w:val="CommentSubject"/>
    <w:uiPriority w:val="99"/>
    <w:semiHidden/>
    <w:rsid w:val="001976CD"/>
    <w:rPr>
      <w:b/>
      <w:bCs/>
      <w:sz w:val="20"/>
      <w:szCs w:val="20"/>
    </w:rPr>
  </w:style>
  <w:style w:type="character" w:customStyle="1" w:styleId="Hyperlink1">
    <w:name w:val="Hyperlink1"/>
    <w:basedOn w:val="DefaultParagraphFont"/>
    <w:uiPriority w:val="99"/>
    <w:unhideWhenUsed/>
    <w:rsid w:val="001976CD"/>
    <w:rPr>
      <w:color w:val="0563C1"/>
      <w:u w:val="single"/>
    </w:rPr>
  </w:style>
  <w:style w:type="character" w:customStyle="1" w:styleId="ListParagraphChar">
    <w:name w:val="List Paragraph Char"/>
    <w:link w:val="ListParagraph1"/>
    <w:uiPriority w:val="34"/>
    <w:rsid w:val="001976CD"/>
  </w:style>
  <w:style w:type="paragraph" w:customStyle="1" w:styleId="Default">
    <w:name w:val="Default"/>
    <w:rsid w:val="001976CD"/>
    <w:pPr>
      <w:autoSpaceDE w:val="0"/>
      <w:autoSpaceDN w:val="0"/>
      <w:adjustRightInd w:val="0"/>
      <w:spacing w:after="0" w:line="240" w:lineRule="auto"/>
    </w:pPr>
    <w:rPr>
      <w:rFonts w:ascii="Times New Roman" w:eastAsia="Calibri" w:hAnsi="Times New Roman" w:cs="Times New Roman"/>
      <w:color w:val="000000"/>
      <w:sz w:val="24"/>
      <w:szCs w:val="24"/>
      <w:lang w:val="fr-FR" w:eastAsia="fr-FR"/>
    </w:rPr>
  </w:style>
  <w:style w:type="paragraph" w:styleId="NormalWeb">
    <w:name w:val="Normal (Web)"/>
    <w:basedOn w:val="Normal"/>
    <w:uiPriority w:val="99"/>
    <w:semiHidden/>
    <w:unhideWhenUsed/>
    <w:rsid w:val="001976CD"/>
    <w:pPr>
      <w:suppressAutoHyphens w:val="0"/>
      <w:spacing w:before="100" w:beforeAutospacing="1" w:after="100" w:afterAutospacing="1"/>
      <w:jc w:val="left"/>
    </w:pPr>
    <w:rPr>
      <w:rFonts w:ascii="Times New Roman" w:eastAsia="Times New Roman" w:hAnsi="Times New Roman" w:cs="Times New Roman"/>
      <w:color w:val="auto"/>
      <w:sz w:val="24"/>
      <w:lang w:val="fr-FR" w:eastAsia="ja-JP"/>
    </w:rPr>
  </w:style>
  <w:style w:type="paragraph" w:customStyle="1" w:styleId="FootnoteText1">
    <w:name w:val="Footnote Text1"/>
    <w:basedOn w:val="Normal"/>
    <w:next w:val="FootnoteText"/>
    <w:link w:val="FootnoteTextChar"/>
    <w:uiPriority w:val="99"/>
    <w:semiHidden/>
    <w:unhideWhenUsed/>
    <w:rsid w:val="001976CD"/>
    <w:pPr>
      <w:suppressAutoHyphens w:val="0"/>
      <w:spacing w:after="0"/>
      <w:jc w:val="left"/>
    </w:pPr>
    <w:rPr>
      <w:rFonts w:asciiTheme="minorHAnsi" w:hAnsiTheme="minorHAnsi"/>
      <w:color w:val="auto"/>
      <w:szCs w:val="20"/>
    </w:rPr>
  </w:style>
  <w:style w:type="character" w:customStyle="1" w:styleId="FootnoteTextChar">
    <w:name w:val="Footnote Text Char"/>
    <w:basedOn w:val="DefaultParagraphFont"/>
    <w:link w:val="FootnoteText1"/>
    <w:uiPriority w:val="99"/>
    <w:semiHidden/>
    <w:rsid w:val="001976CD"/>
    <w:rPr>
      <w:sz w:val="20"/>
      <w:szCs w:val="20"/>
    </w:rPr>
  </w:style>
  <w:style w:type="character" w:styleId="FootnoteReference">
    <w:name w:val="footnote reference"/>
    <w:basedOn w:val="DefaultParagraphFont"/>
    <w:uiPriority w:val="99"/>
    <w:semiHidden/>
    <w:unhideWhenUsed/>
    <w:rsid w:val="001976CD"/>
    <w:rPr>
      <w:vertAlign w:val="superscript"/>
    </w:rPr>
  </w:style>
  <w:style w:type="paragraph" w:customStyle="1" w:styleId="Revision1">
    <w:name w:val="Revision1"/>
    <w:next w:val="Revision"/>
    <w:hidden/>
    <w:uiPriority w:val="99"/>
    <w:semiHidden/>
    <w:rsid w:val="001976CD"/>
    <w:pPr>
      <w:spacing w:after="0" w:line="240" w:lineRule="auto"/>
    </w:pPr>
    <w:rPr>
      <w:lang w:val="fr-FR"/>
    </w:rPr>
  </w:style>
  <w:style w:type="paragraph" w:styleId="ListParagraph">
    <w:name w:val="List Paragraph"/>
    <w:basedOn w:val="Normal"/>
    <w:uiPriority w:val="34"/>
    <w:qFormat/>
    <w:rsid w:val="001976CD"/>
    <w:pPr>
      <w:ind w:left="720"/>
      <w:contextualSpacing/>
    </w:pPr>
  </w:style>
  <w:style w:type="paragraph" w:styleId="BalloonText">
    <w:name w:val="Balloon Text"/>
    <w:basedOn w:val="Normal"/>
    <w:link w:val="BalloonTextChar1"/>
    <w:uiPriority w:val="99"/>
    <w:semiHidden/>
    <w:unhideWhenUsed/>
    <w:rsid w:val="001976CD"/>
    <w:pPr>
      <w:spacing w:after="0"/>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1976CD"/>
    <w:rPr>
      <w:rFonts w:ascii="Segoe UI" w:hAnsi="Segoe UI" w:cs="Segoe UI"/>
      <w:color w:val="2D659A" w:themeColor="text2" w:themeShade="BF"/>
      <w:sz w:val="18"/>
      <w:szCs w:val="18"/>
    </w:rPr>
  </w:style>
  <w:style w:type="paragraph" w:styleId="CommentText">
    <w:name w:val="annotation text"/>
    <w:basedOn w:val="Normal"/>
    <w:link w:val="CommentTextChar1"/>
    <w:uiPriority w:val="99"/>
    <w:semiHidden/>
    <w:unhideWhenUsed/>
    <w:rsid w:val="001976CD"/>
    <w:rPr>
      <w:szCs w:val="20"/>
    </w:rPr>
  </w:style>
  <w:style w:type="character" w:customStyle="1" w:styleId="CommentTextChar1">
    <w:name w:val="Comment Text Char1"/>
    <w:basedOn w:val="DefaultParagraphFont"/>
    <w:link w:val="CommentText"/>
    <w:uiPriority w:val="99"/>
    <w:semiHidden/>
    <w:rsid w:val="001976CD"/>
    <w:rPr>
      <w:rFonts w:ascii="Verdana" w:hAnsi="Verdana"/>
      <w:color w:val="2D659A" w:themeColor="text2" w:themeShade="BF"/>
      <w:sz w:val="20"/>
      <w:szCs w:val="20"/>
    </w:rPr>
  </w:style>
  <w:style w:type="paragraph" w:styleId="CommentSubject">
    <w:name w:val="annotation subject"/>
    <w:basedOn w:val="CommentText"/>
    <w:next w:val="CommentText"/>
    <w:link w:val="CommentSubjectChar"/>
    <w:uiPriority w:val="99"/>
    <w:semiHidden/>
    <w:unhideWhenUsed/>
    <w:rsid w:val="001976CD"/>
    <w:rPr>
      <w:rFonts w:asciiTheme="minorHAnsi" w:hAnsiTheme="minorHAnsi"/>
      <w:b/>
      <w:bCs/>
      <w:color w:val="auto"/>
    </w:rPr>
  </w:style>
  <w:style w:type="character" w:customStyle="1" w:styleId="CommentSubjectChar1">
    <w:name w:val="Comment Subject Char1"/>
    <w:basedOn w:val="CommentTextChar1"/>
    <w:uiPriority w:val="99"/>
    <w:semiHidden/>
    <w:rsid w:val="001976CD"/>
    <w:rPr>
      <w:rFonts w:ascii="Verdana" w:hAnsi="Verdana"/>
      <w:b/>
      <w:bCs/>
      <w:color w:val="2D659A" w:themeColor="text2" w:themeShade="BF"/>
      <w:sz w:val="20"/>
      <w:szCs w:val="20"/>
    </w:rPr>
  </w:style>
  <w:style w:type="character" w:styleId="Hyperlink">
    <w:name w:val="Hyperlink"/>
    <w:basedOn w:val="DefaultParagraphFont"/>
    <w:uiPriority w:val="99"/>
    <w:semiHidden/>
    <w:unhideWhenUsed/>
    <w:rsid w:val="001976CD"/>
    <w:rPr>
      <w:color w:val="4288C8" w:themeColor="hyperlink"/>
      <w:u w:val="single"/>
    </w:rPr>
  </w:style>
  <w:style w:type="paragraph" w:styleId="FootnoteText">
    <w:name w:val="footnote text"/>
    <w:basedOn w:val="Normal"/>
    <w:link w:val="FootnoteTextChar1"/>
    <w:uiPriority w:val="99"/>
    <w:semiHidden/>
    <w:unhideWhenUsed/>
    <w:rsid w:val="001976CD"/>
    <w:pPr>
      <w:spacing w:after="0"/>
    </w:pPr>
    <w:rPr>
      <w:szCs w:val="20"/>
    </w:rPr>
  </w:style>
  <w:style w:type="character" w:customStyle="1" w:styleId="FootnoteTextChar1">
    <w:name w:val="Footnote Text Char1"/>
    <w:basedOn w:val="DefaultParagraphFont"/>
    <w:link w:val="FootnoteText"/>
    <w:uiPriority w:val="99"/>
    <w:semiHidden/>
    <w:rsid w:val="001976CD"/>
    <w:rPr>
      <w:rFonts w:ascii="Verdana" w:hAnsi="Verdana"/>
      <w:color w:val="2D659A" w:themeColor="text2" w:themeShade="BF"/>
      <w:sz w:val="20"/>
      <w:szCs w:val="20"/>
    </w:rPr>
  </w:style>
  <w:style w:type="paragraph" w:styleId="Revision">
    <w:name w:val="Revision"/>
    <w:hidden/>
    <w:uiPriority w:val="99"/>
    <w:semiHidden/>
    <w:rsid w:val="001976CD"/>
    <w:pPr>
      <w:spacing w:after="0" w:line="240" w:lineRule="auto"/>
    </w:pPr>
    <w:rPr>
      <w:rFonts w:ascii="Verdana" w:hAnsi="Verdana"/>
      <w:color w:val="2D659A" w:themeColor="text2" w:themeShade="B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34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ba.europa.eu/sites/default/documents/files/document_library/Publications/Consultations/2022/Consultation%20on%20draft%20RTS%20on%20IRRBB%20standardised%20approach/1025041/CP%20Draft%20RTS%20on%20SA.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ba.europa.eu/sites/default/documents/files/document_library/Publications/Consultations/2022/Consultation%20on%20draft%20RTS%20on%20IRRB%20supervisory%20outlier%20tests/1025043/CP%20Draft%20RTS%20on%20SOTs.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ba.europa.eu/sites/default/documents/files/document_library/Publications/Consultations/2022/Consultation%20on%20draft%20RTS%20on%20IRRBB%20standardised%20approach/1025041/CP%20Draft%20RTS%20on%20SA.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ba.europa.eu/sites/default/documents/files/document_library/Publications/Consultations/2022/Consultation%20on%20draft%20Guidelines%20on%20IRRB%20and%20CSRBB/1025042/CP%20Draft%20GL%20on%20IRRBB%20and%20CSRBB.pdf" TargetMode="External"/><Relationship Id="rId5" Type="http://schemas.openxmlformats.org/officeDocument/2006/relationships/numbering" Target="numbering.xml"/><Relationship Id="rId15" Type="http://schemas.openxmlformats.org/officeDocument/2006/relationships/hyperlink" Target="https://www.eba.europa.eu/sites/default/documents/files/document_library/Publications/Consultations/2022/Consultation%20on%20draft%20RTS%20on%20IRRB%20supervisory%20outlier%20tests/1025043/CP%20Draft%20RTS%20on%20SOTs.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ba.europa.eu/sites/default/documents/files/document_library/Publications/Consultations/2022/Consultation%20on%20draft%20Guidelines%20on%20IRRB%20and%20CSRBB/1025042/CP%20Draft%20GL%20on%20IRRBB%20and%20CSRBB.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ery\OneDrive%20-%20EBF\M%20drive%20Thiery\EBF%20letterhead%20template.dotx" TargetMode="External"/></Relationships>
</file>

<file path=word/theme/theme1.xml><?xml version="1.0" encoding="utf-8"?>
<a:theme xmlns:a="http://schemas.openxmlformats.org/drawingml/2006/main" name="Slice">
  <a:themeElements>
    <a:clrScheme name="EBF Light">
      <a:dk1>
        <a:srgbClr val="006E95"/>
      </a:dk1>
      <a:lt1>
        <a:sysClr val="window" lastClr="FFFFFF"/>
      </a:lt1>
      <a:dk2>
        <a:srgbClr val="4288C8"/>
      </a:dk2>
      <a:lt2>
        <a:srgbClr val="B2B2B2"/>
      </a:lt2>
      <a:accent1>
        <a:srgbClr val="EE751E"/>
      </a:accent1>
      <a:accent2>
        <a:srgbClr val="E4291E"/>
      </a:accent2>
      <a:accent3>
        <a:srgbClr val="706F6F"/>
      </a:accent3>
      <a:accent4>
        <a:srgbClr val="4288C8"/>
      </a:accent4>
      <a:accent5>
        <a:srgbClr val="3F4B79"/>
      </a:accent5>
      <a:accent6>
        <a:srgbClr val="6DBE93"/>
      </a:accent6>
      <a:hlink>
        <a:srgbClr val="4288C8"/>
      </a:hlink>
      <a:folHlink>
        <a:srgbClr val="706F6F"/>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BFDocRef xmlns="2a1c6e7d-e37d-4506-a8fe-16fcbb5d3504">EBF_045593</EBFDocRe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BF Document" ma:contentTypeID="0x010100773C14E3BB604842ACF70BF2514BB60A00850F2FB27EAB5745A2FA2EB6B3429BD4" ma:contentTypeVersion="6" ma:contentTypeDescription="" ma:contentTypeScope="" ma:versionID="23520e0d1ce8e03610ad94eb35c350e5">
  <xsd:schema xmlns:xsd="http://www.w3.org/2001/XMLSchema" xmlns:xs="http://www.w3.org/2001/XMLSchema" xmlns:p="http://schemas.microsoft.com/office/2006/metadata/properties" xmlns:ns2="2a1c6e7d-e37d-4506-a8fe-16fcbb5d3504" xmlns:ns3="26d2d1fc-c728-4ff9-ab93-7eed2fb98e46" targetNamespace="http://schemas.microsoft.com/office/2006/metadata/properties" ma:root="true" ma:fieldsID="d4871ab4cb1813adcd71962c9cba6b10" ns2:_="" ns3:_="">
    <xsd:import namespace="2a1c6e7d-e37d-4506-a8fe-16fcbb5d3504"/>
    <xsd:import namespace="26d2d1fc-c728-4ff9-ab93-7eed2fb98e46"/>
    <xsd:element name="properties">
      <xsd:complexType>
        <xsd:sequence>
          <xsd:element name="documentManagement">
            <xsd:complexType>
              <xsd:all>
                <xsd:element ref="ns2:EBFDocRef"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c6e7d-e37d-4506-a8fe-16fcbb5d3504" elementFormDefault="qualified">
    <xsd:import namespace="http://schemas.microsoft.com/office/2006/documentManagement/types"/>
    <xsd:import namespace="http://schemas.microsoft.com/office/infopath/2007/PartnerControls"/>
    <xsd:element name="EBFDocRef" ma:index="8" nillable="true" ma:displayName="EBFDocRef" ma:internalName="EBFDoc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d2d1fc-c728-4ff9-ab93-7eed2fb98e4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309909-4E60-46D7-B0BF-49FCE0A7883D}">
  <ds:schemaRefs>
    <ds:schemaRef ds:uri="http://schemas.microsoft.com/office/2006/metadata/properties"/>
    <ds:schemaRef ds:uri="http://schemas.microsoft.com/office/infopath/2007/PartnerControls"/>
    <ds:schemaRef ds:uri="2a1c6e7d-e37d-4506-a8fe-16fcbb5d3504"/>
  </ds:schemaRefs>
</ds:datastoreItem>
</file>

<file path=customXml/itemProps2.xml><?xml version="1.0" encoding="utf-8"?>
<ds:datastoreItem xmlns:ds="http://schemas.openxmlformats.org/officeDocument/2006/customXml" ds:itemID="{65B24001-BB69-41F7-8BE3-9429E04C1BFD}">
  <ds:schemaRefs>
    <ds:schemaRef ds:uri="http://schemas.openxmlformats.org/officeDocument/2006/bibliography"/>
  </ds:schemaRefs>
</ds:datastoreItem>
</file>

<file path=customXml/itemProps3.xml><?xml version="1.0" encoding="utf-8"?>
<ds:datastoreItem xmlns:ds="http://schemas.openxmlformats.org/officeDocument/2006/customXml" ds:itemID="{81F136AF-3F38-4D92-A5E6-3535E6B52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c6e7d-e37d-4506-a8fe-16fcbb5d3504"/>
    <ds:schemaRef ds:uri="26d2d1fc-c728-4ff9-ab93-7eed2fb98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A096C3-6CEA-45C1-9F20-E085806AAD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EBF letterhead template</Template>
  <TotalTime>0</TotalTime>
  <Pages>18</Pages>
  <Words>6853</Words>
  <Characters>39066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Mireille Thiery</dc:creator>
  <cp:keywords/>
  <dc:description/>
  <cp:lastModifiedBy>Lukas Bornemann</cp:lastModifiedBy>
  <cp:revision>3</cp:revision>
  <dcterms:created xsi:type="dcterms:W3CDTF">2022-04-04T09:21:00Z</dcterms:created>
  <dcterms:modified xsi:type="dcterms:W3CDTF">2022-04-04T09:21:00Z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0x010100773C14E3BB604842ACF70BF2514BB60A00850F2FB27EAB5745A2FA2EB6B3429BD4</vt:lpwstr>
  </property>
</Properties>
</file>