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35" w:rsidRPr="00A9294D" w:rsidRDefault="00B67B35" w:rsidP="00B67B35">
      <w:pPr>
        <w:pStyle w:val="yAddresseeDetails"/>
        <w:rPr>
          <w:b/>
          <w:bCs/>
          <w:noProof/>
        </w:rPr>
      </w:pPr>
      <w:r>
        <w:rPr>
          <w:b/>
          <w:bCs/>
          <w:noProof/>
        </w:rPr>
        <w:t>European Banking Authority</w:t>
      </w:r>
    </w:p>
    <w:p w:rsidR="00B67B35" w:rsidRPr="00B67B35" w:rsidRDefault="00B67B35" w:rsidP="00B67B35">
      <w:pPr>
        <w:pStyle w:val="yAddresseeDetails"/>
        <w:rPr>
          <w:noProof/>
        </w:rPr>
      </w:pPr>
      <w:r w:rsidRPr="00B67B35">
        <w:rPr>
          <w:noProof/>
        </w:rPr>
        <w:t>One Canada Square (Floor 46)</w:t>
      </w:r>
    </w:p>
    <w:p w:rsidR="00B67B35" w:rsidRPr="00B67B35" w:rsidRDefault="00B67B35" w:rsidP="00B67B35">
      <w:pPr>
        <w:pStyle w:val="yAddresseeDetails"/>
        <w:rPr>
          <w:noProof/>
        </w:rPr>
      </w:pPr>
      <w:r w:rsidRPr="00B67B35">
        <w:rPr>
          <w:noProof/>
        </w:rPr>
        <w:t>Canary Wharf</w:t>
      </w:r>
    </w:p>
    <w:p w:rsidR="00B67B35" w:rsidRPr="00B67B35" w:rsidRDefault="00970468" w:rsidP="00B67B35">
      <w:pPr>
        <w:pStyle w:val="yAddresseeDetails"/>
        <w:rPr>
          <w:noProof/>
        </w:rPr>
      </w:pPr>
      <w:r>
        <w:rPr>
          <w:noProof/>
        </w:rPr>
        <w:t>London E14 5AA</w:t>
      </w:r>
      <w:r w:rsidR="00B67B35" w:rsidRPr="00B67B35">
        <w:rPr>
          <w:noProof/>
        </w:rPr>
        <w:t xml:space="preserve"> </w:t>
      </w:r>
      <w:r>
        <w:rPr>
          <w:noProof/>
        </w:rPr>
        <w:t>(</w:t>
      </w:r>
      <w:r w:rsidR="00B67B35" w:rsidRPr="00B67B35">
        <w:rPr>
          <w:noProof/>
        </w:rPr>
        <w:t>UK</w:t>
      </w:r>
      <w:r>
        <w:rPr>
          <w:noProof/>
        </w:rPr>
        <w:t>)</w:t>
      </w:r>
    </w:p>
    <w:p w:rsidR="00B67B35" w:rsidRPr="00FD1A49" w:rsidRDefault="00B67B35" w:rsidP="00B67B35">
      <w:pPr>
        <w:pStyle w:val="yAddresseeDetails"/>
        <w:rPr>
          <w:noProof/>
        </w:rPr>
      </w:pPr>
    </w:p>
    <w:tbl>
      <w:tblPr>
        <w:tblW w:w="907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2"/>
        <w:gridCol w:w="3500"/>
      </w:tblGrid>
      <w:tr w:rsidR="00B67B35" w:rsidTr="00241949">
        <w:tc>
          <w:tcPr>
            <w:tcW w:w="5572" w:type="dxa"/>
          </w:tcPr>
          <w:p w:rsidR="00B67B35" w:rsidRDefault="00B67B35" w:rsidP="00241949">
            <w:pPr>
              <w:pStyle w:val="yDeliveryMethod"/>
              <w:rPr>
                <w:noProof/>
              </w:rPr>
            </w:pPr>
          </w:p>
        </w:tc>
        <w:tc>
          <w:tcPr>
            <w:tcW w:w="3500" w:type="dxa"/>
          </w:tcPr>
          <w:p w:rsidR="00B67B35" w:rsidRDefault="00B40BA5" w:rsidP="00B40BA5">
            <w:pPr>
              <w:pStyle w:val="Fecha"/>
              <w:jc w:val="center"/>
              <w:rPr>
                <w:noProof/>
              </w:rPr>
            </w:pPr>
            <w:r>
              <w:rPr>
                <w:rFonts w:cs="Arial"/>
                <w:noProof/>
              </w:rPr>
              <w:t>9</w:t>
            </w:r>
            <w:bookmarkStart w:id="0" w:name="_GoBack"/>
            <w:bookmarkEnd w:id="0"/>
            <w:r w:rsidR="00B67B35" w:rsidRPr="00B67B35">
              <w:rPr>
                <w:rFonts w:cs="Arial"/>
                <w:noProof/>
              </w:rPr>
              <w:t xml:space="preserve"> </w:t>
            </w:r>
            <w:r w:rsidR="00CB7E8D">
              <w:rPr>
                <w:rFonts w:cs="Arial"/>
                <w:noProof/>
              </w:rPr>
              <w:t>April</w:t>
            </w:r>
            <w:r w:rsidR="00B67B35" w:rsidRPr="00B67B35">
              <w:rPr>
                <w:rFonts w:cs="Arial"/>
                <w:noProof/>
              </w:rPr>
              <w:t xml:space="preserve"> 2015</w:t>
            </w:r>
          </w:p>
        </w:tc>
      </w:tr>
    </w:tbl>
    <w:p w:rsidR="00B67B35" w:rsidRDefault="00B67B35" w:rsidP="00B67B35">
      <w:pPr>
        <w:pStyle w:val="Body"/>
        <w:keepNext/>
        <w:keepLines/>
        <w:rPr>
          <w:b/>
          <w:bCs/>
        </w:rPr>
      </w:pPr>
    </w:p>
    <w:p w:rsidR="0083652E" w:rsidRPr="006D5D38" w:rsidRDefault="006D5D38" w:rsidP="00B67B35">
      <w:pPr>
        <w:pStyle w:val="Body"/>
        <w:keepNext/>
        <w:keepLines/>
        <w:rPr>
          <w:b/>
          <w:bCs/>
        </w:rPr>
      </w:pPr>
      <w:r w:rsidRPr="006D5D38">
        <w:rPr>
          <w:b/>
          <w:bCs/>
        </w:rPr>
        <w:t xml:space="preserve">Subject: </w:t>
      </w:r>
      <w:r w:rsidR="0083652E" w:rsidRPr="006D5D38">
        <w:rPr>
          <w:b/>
          <w:bCs/>
        </w:rPr>
        <w:t xml:space="preserve">EBA </w:t>
      </w:r>
      <w:r w:rsidRPr="006D5D38">
        <w:rPr>
          <w:b/>
          <w:bCs/>
        </w:rPr>
        <w:t xml:space="preserve">consultation paper on draft guidelines on sound remuneration policies dated 4 March 2015 </w:t>
      </w:r>
      <w:r w:rsidR="0083652E" w:rsidRPr="006D5D38">
        <w:rPr>
          <w:b/>
          <w:bCs/>
        </w:rPr>
        <w:t>(EBA/CP/2015/03)</w:t>
      </w:r>
    </w:p>
    <w:p w:rsidR="0083652E" w:rsidRDefault="0083652E" w:rsidP="00941597">
      <w:pPr>
        <w:pStyle w:val="Body"/>
      </w:pPr>
      <w:r>
        <w:t>Dear Sirs,</w:t>
      </w:r>
    </w:p>
    <w:p w:rsidR="00D37838" w:rsidRDefault="00941597" w:rsidP="00D37838">
      <w:pPr>
        <w:pStyle w:val="Body"/>
      </w:pPr>
      <w:r>
        <w:t>Thank you for giving us the opportunity to respond to your consultation.</w:t>
      </w:r>
      <w:r w:rsidR="00D37838">
        <w:t xml:space="preserve"> We set out below our comments on the draft guidelines on sound remuneration policies (EBA/CP/2015/03) </w:t>
      </w:r>
      <w:r w:rsidR="00AE2797">
        <w:t>(the “</w:t>
      </w:r>
      <w:r w:rsidR="00AE2797" w:rsidRPr="00AE2797">
        <w:rPr>
          <w:b/>
          <w:bCs/>
        </w:rPr>
        <w:t>Guidelines</w:t>
      </w:r>
      <w:r w:rsidR="00AE2797">
        <w:t xml:space="preserve">”) </w:t>
      </w:r>
      <w:r w:rsidR="0044748E">
        <w:t xml:space="preserve">which are only referred </w:t>
      </w:r>
      <w:r w:rsidR="00D37838">
        <w:t xml:space="preserve">to question 5 </w:t>
      </w:r>
      <w:r w:rsidR="0027686A">
        <w:t xml:space="preserve">raised by you </w:t>
      </w:r>
      <w:r w:rsidR="00CE6E9A">
        <w:t>(</w:t>
      </w:r>
      <w:r w:rsidR="00A53D41">
        <w:t xml:space="preserve">change of the </w:t>
      </w:r>
      <w:r w:rsidR="00D37838">
        <w:t>approach on “neutralisation”</w:t>
      </w:r>
      <w:r w:rsidR="00CE6E9A">
        <w:t>)</w:t>
      </w:r>
      <w:r w:rsidR="00D37838">
        <w:t xml:space="preserve">. </w:t>
      </w:r>
    </w:p>
    <w:p w:rsidR="00F71197" w:rsidRPr="00D37838" w:rsidRDefault="00D37838" w:rsidP="00941597">
      <w:pPr>
        <w:pStyle w:val="Body"/>
        <w:rPr>
          <w:b/>
          <w:bCs/>
        </w:rPr>
      </w:pPr>
      <w:r w:rsidRPr="00D37838">
        <w:rPr>
          <w:b/>
          <w:bCs/>
        </w:rPr>
        <w:t>Who are we?</w:t>
      </w:r>
    </w:p>
    <w:p w:rsidR="00223123" w:rsidRDefault="00D37838" w:rsidP="00941597">
      <w:pPr>
        <w:pStyle w:val="Body"/>
      </w:pPr>
      <w:r>
        <w:t xml:space="preserve">First of all, we would like to introduce ourselves. </w:t>
      </w:r>
      <w:r w:rsidR="0083652E">
        <w:t xml:space="preserve">Fidentiis Equities, </w:t>
      </w:r>
      <w:proofErr w:type="spellStart"/>
      <w:r w:rsidR="0083652E">
        <w:t>Sociedad</w:t>
      </w:r>
      <w:proofErr w:type="spellEnd"/>
      <w:r w:rsidR="0083652E">
        <w:t xml:space="preserve"> d</w:t>
      </w:r>
      <w:r w:rsidR="0083652E" w:rsidRPr="0083652E">
        <w:t xml:space="preserve">e </w:t>
      </w:r>
      <w:proofErr w:type="spellStart"/>
      <w:r w:rsidR="0083652E" w:rsidRPr="0083652E">
        <w:t>Valores</w:t>
      </w:r>
      <w:proofErr w:type="spellEnd"/>
      <w:r w:rsidR="0083652E" w:rsidRPr="0083652E">
        <w:t>, S.A.</w:t>
      </w:r>
      <w:r w:rsidR="0083652E">
        <w:t xml:space="preserve"> (“</w:t>
      </w:r>
      <w:r w:rsidR="0083652E" w:rsidRPr="0083652E">
        <w:rPr>
          <w:b/>
          <w:bCs/>
        </w:rPr>
        <w:t>Fidentiis</w:t>
      </w:r>
      <w:r w:rsidR="0083652E">
        <w:t>”) is a Spanish investment firm</w:t>
      </w:r>
      <w:r w:rsidR="00871598">
        <w:t xml:space="preserve">, </w:t>
      </w:r>
      <w:r w:rsidR="00902609">
        <w:t xml:space="preserve">with registration </w:t>
      </w:r>
      <w:r w:rsidR="00902609" w:rsidRPr="00613CFD">
        <w:t>number 205</w:t>
      </w:r>
      <w:r w:rsidR="00902609">
        <w:t xml:space="preserve"> on the special registry of the </w:t>
      </w:r>
      <w:r w:rsidR="00902609" w:rsidRPr="00613CFD">
        <w:t xml:space="preserve">Spanish </w:t>
      </w:r>
      <w:r w:rsidR="00902609">
        <w:t>Securities Commission (</w:t>
      </w:r>
      <w:proofErr w:type="spellStart"/>
      <w:r w:rsidR="00902609" w:rsidRPr="00613CFD">
        <w:rPr>
          <w:i/>
          <w:iCs/>
        </w:rPr>
        <w:t>Comisión</w:t>
      </w:r>
      <w:proofErr w:type="spellEnd"/>
      <w:r w:rsidR="00902609" w:rsidRPr="00613CFD">
        <w:rPr>
          <w:i/>
          <w:iCs/>
        </w:rPr>
        <w:t xml:space="preserve"> Nacional </w:t>
      </w:r>
      <w:proofErr w:type="gramStart"/>
      <w:r w:rsidR="00902609" w:rsidRPr="00613CFD">
        <w:rPr>
          <w:i/>
          <w:iCs/>
        </w:rPr>
        <w:t>del</w:t>
      </w:r>
      <w:proofErr w:type="gramEnd"/>
      <w:r w:rsidR="00902609" w:rsidRPr="00613CFD">
        <w:rPr>
          <w:i/>
          <w:iCs/>
        </w:rPr>
        <w:t xml:space="preserve"> Mercado de </w:t>
      </w:r>
      <w:proofErr w:type="spellStart"/>
      <w:r w:rsidR="00902609" w:rsidRPr="00613CFD">
        <w:rPr>
          <w:i/>
          <w:iCs/>
        </w:rPr>
        <w:t>Valores</w:t>
      </w:r>
      <w:proofErr w:type="spellEnd"/>
      <w:r w:rsidR="00902609">
        <w:t>). The firm</w:t>
      </w:r>
      <w:r w:rsidR="00871598">
        <w:t xml:space="preserve"> was </w:t>
      </w:r>
      <w:r w:rsidR="00613CFD">
        <w:t>incorporated</w:t>
      </w:r>
      <w:r w:rsidR="00871598">
        <w:t xml:space="preserve"> in </w:t>
      </w:r>
      <w:r w:rsidR="00BA001F" w:rsidRPr="001C3C85">
        <w:rPr>
          <w:rFonts w:cs="Arial"/>
        </w:rPr>
        <w:t>2003</w:t>
      </w:r>
      <w:r w:rsidR="00B344E8">
        <w:t xml:space="preserve">. </w:t>
      </w:r>
    </w:p>
    <w:p w:rsidR="00223123" w:rsidRDefault="00223123" w:rsidP="00223123">
      <w:pPr>
        <w:pStyle w:val="Body"/>
      </w:pPr>
      <w:r>
        <w:t>Fidentiis is a relatively small investment firm (</w:t>
      </w:r>
      <w:r w:rsidR="00902609">
        <w:t xml:space="preserve">fewer </w:t>
      </w:r>
      <w:r>
        <w:t xml:space="preserve">than 50 employees) </w:t>
      </w:r>
      <w:r w:rsidR="00C96B37">
        <w:t xml:space="preserve">that </w:t>
      </w:r>
      <w:r>
        <w:t xml:space="preserve">provides </w:t>
      </w:r>
      <w:r w:rsidR="00C96B37">
        <w:t xml:space="preserve">certain </w:t>
      </w:r>
      <w:r>
        <w:t xml:space="preserve">investment services not only in Spain but also in Italy (through a duly authorised branch) and in other EU countries </w:t>
      </w:r>
      <w:r w:rsidR="0027686A">
        <w:t>(acting o</w:t>
      </w:r>
      <w:r w:rsidR="00C96B37">
        <w:t>n a cross border basis).</w:t>
      </w:r>
    </w:p>
    <w:p w:rsidR="00EE78CD" w:rsidRDefault="00C96B37" w:rsidP="00223123">
      <w:pPr>
        <w:pStyle w:val="Body"/>
      </w:pPr>
      <w:proofErr w:type="spellStart"/>
      <w:r>
        <w:t>Fidentiis’s</w:t>
      </w:r>
      <w:proofErr w:type="spellEnd"/>
      <w:r>
        <w:t xml:space="preserve"> share capital is wholly owned, directly or indirectly, by its own executives and employees, although two of them, Mr. Enrique Pérez</w:t>
      </w:r>
      <w:r w:rsidR="00195B89">
        <w:t>-</w:t>
      </w:r>
      <w:proofErr w:type="spellStart"/>
      <w:r>
        <w:t>Pl</w:t>
      </w:r>
      <w:r w:rsidR="00195B89">
        <w:t>á</w:t>
      </w:r>
      <w:proofErr w:type="spellEnd"/>
      <w:r>
        <w:t xml:space="preserve"> and Mr. Mar</w:t>
      </w:r>
      <w:r w:rsidR="003E1FBD">
        <w:t>k</w:t>
      </w:r>
      <w:r>
        <w:t xml:space="preserve"> Giacopazzi, jointly control the company. </w:t>
      </w:r>
    </w:p>
    <w:p w:rsidR="00B344E8" w:rsidRDefault="00902609" w:rsidP="00941597">
      <w:pPr>
        <w:pStyle w:val="Body"/>
      </w:pPr>
      <w:r>
        <w:t>Although</w:t>
      </w:r>
      <w:r w:rsidR="00B344E8">
        <w:t xml:space="preserve"> authorised to provide </w:t>
      </w:r>
      <w:r w:rsidR="00871598">
        <w:t>other</w:t>
      </w:r>
      <w:r w:rsidR="00B344E8">
        <w:t xml:space="preserve"> investment services, </w:t>
      </w:r>
      <w:proofErr w:type="spellStart"/>
      <w:r w:rsidR="00B344E8">
        <w:t>Fidentiis’</w:t>
      </w:r>
      <w:r>
        <w:t>s</w:t>
      </w:r>
      <w:proofErr w:type="spellEnd"/>
      <w:r w:rsidR="00B344E8">
        <w:t xml:space="preserve"> main activities are: </w:t>
      </w:r>
    </w:p>
    <w:p w:rsidR="0083652E" w:rsidRDefault="00B344E8" w:rsidP="00B344E8">
      <w:pPr>
        <w:pStyle w:val="roman1"/>
      </w:pPr>
      <w:r>
        <w:t>r</w:t>
      </w:r>
      <w:r w:rsidRPr="00B344E8">
        <w:t>eception and transmission of orders in relation to financial instruments</w:t>
      </w:r>
      <w:r w:rsidR="00557AA3">
        <w:t xml:space="preserve"> (mainly shares)</w:t>
      </w:r>
      <w:r>
        <w:t xml:space="preserve">, which in 2014 represented 69% of its total turnover; and </w:t>
      </w:r>
    </w:p>
    <w:p w:rsidR="00B344E8" w:rsidRDefault="00B344E8" w:rsidP="00B344E8">
      <w:pPr>
        <w:pStyle w:val="roman1"/>
      </w:pPr>
      <w:proofErr w:type="gramStart"/>
      <w:r>
        <w:t>investment</w:t>
      </w:r>
      <w:proofErr w:type="gramEnd"/>
      <w:r>
        <w:t xml:space="preserve"> research and financial analysis or other forms of general recommendation relating to transactions in financial instruments, which last year represented over 26% of its total turnover.</w:t>
      </w:r>
    </w:p>
    <w:p w:rsidR="00394257" w:rsidRDefault="00394257" w:rsidP="00871598">
      <w:pPr>
        <w:pStyle w:val="Body"/>
      </w:pPr>
      <w:r w:rsidRPr="00036BB6">
        <w:t>Fidentiis provides the above investment services only and exclusively to professional investors</w:t>
      </w:r>
      <w:r w:rsidR="00036BB6" w:rsidRPr="00036BB6">
        <w:t xml:space="preserve"> and eligible counterparties</w:t>
      </w:r>
      <w:r>
        <w:t xml:space="preserve">. </w:t>
      </w:r>
      <w:proofErr w:type="spellStart"/>
      <w:r w:rsidR="00902609">
        <w:t>Fidentiis’s</w:t>
      </w:r>
      <w:proofErr w:type="spellEnd"/>
      <w:r w:rsidR="00902609">
        <w:t xml:space="preserve"> </w:t>
      </w:r>
      <w:r w:rsidR="00810972">
        <w:t>also invests on its own account but in very limited terms</w:t>
      </w:r>
      <w:r>
        <w:t>.</w:t>
      </w:r>
    </w:p>
    <w:p w:rsidR="0083652E" w:rsidRDefault="00F154B6" w:rsidP="00077B2B">
      <w:pPr>
        <w:pStyle w:val="Body"/>
      </w:pPr>
      <w:r>
        <w:t>Fidentiis is not</w:t>
      </w:r>
      <w:r w:rsidR="00902609">
        <w:t xml:space="preserve"> </w:t>
      </w:r>
      <w:r w:rsidR="00545D9D">
        <w:t>a member</w:t>
      </w:r>
      <w:r>
        <w:t xml:space="preserve"> of any regulated market</w:t>
      </w:r>
      <w:r w:rsidR="00810972">
        <w:t xml:space="preserve"> and </w:t>
      </w:r>
      <w:r w:rsidR="00F017BC">
        <w:t xml:space="preserve">it does not </w:t>
      </w:r>
      <w:r w:rsidR="00B344E8">
        <w:t>render</w:t>
      </w:r>
      <w:r w:rsidR="00F017BC">
        <w:t xml:space="preserve"> any</w:t>
      </w:r>
      <w:r w:rsidR="00B344E8">
        <w:t xml:space="preserve"> </w:t>
      </w:r>
      <w:r w:rsidR="00F017BC">
        <w:t xml:space="preserve">service of </w:t>
      </w:r>
      <w:r w:rsidR="00810972">
        <w:t xml:space="preserve">custody </w:t>
      </w:r>
      <w:r w:rsidR="00F017BC">
        <w:t>or deposit of securities or cash</w:t>
      </w:r>
      <w:r w:rsidR="00902609">
        <w:t>. Fidentiis cannot</w:t>
      </w:r>
      <w:r w:rsidR="00871598">
        <w:t xml:space="preserve">, therefore, </w:t>
      </w:r>
      <w:r w:rsidR="00902609">
        <w:t>be in deb</w:t>
      </w:r>
      <w:r w:rsidR="00F01702">
        <w:t>i</w:t>
      </w:r>
      <w:r w:rsidR="00902609">
        <w:t xml:space="preserve">t </w:t>
      </w:r>
      <w:r w:rsidR="00F01702">
        <w:t xml:space="preserve">balance with </w:t>
      </w:r>
      <w:r w:rsidR="00902609">
        <w:t>its customers</w:t>
      </w:r>
      <w:r w:rsidR="00871598">
        <w:t>.</w:t>
      </w:r>
      <w:r w:rsidR="00394257">
        <w:t xml:space="preserve"> </w:t>
      </w:r>
    </w:p>
    <w:p w:rsidR="00A53D41" w:rsidRDefault="00A53D41" w:rsidP="00077B2B">
      <w:pPr>
        <w:pStyle w:val="Body"/>
      </w:pPr>
      <w:r>
        <w:t xml:space="preserve">All the above permits </w:t>
      </w:r>
      <w:proofErr w:type="gramStart"/>
      <w:r>
        <w:t>us</w:t>
      </w:r>
      <w:proofErr w:type="gramEnd"/>
      <w:r>
        <w:t xml:space="preserve"> to </w:t>
      </w:r>
      <w:r w:rsidR="00F154B6">
        <w:t xml:space="preserve">describe </w:t>
      </w:r>
      <w:r>
        <w:t>Fidentiis</w:t>
      </w:r>
      <w:r w:rsidR="00BA47C4">
        <w:t xml:space="preserve"> </w:t>
      </w:r>
      <w:r w:rsidR="00F154B6">
        <w:t xml:space="preserve">as </w:t>
      </w:r>
      <w:r w:rsidR="00BA47C4">
        <w:t>a small and non</w:t>
      </w:r>
      <w:r w:rsidR="002427E5">
        <w:t>-</w:t>
      </w:r>
      <w:r w:rsidR="00BA47C4">
        <w:t>complex institution with a very low</w:t>
      </w:r>
      <w:r>
        <w:t xml:space="preserve"> risk profile.</w:t>
      </w:r>
    </w:p>
    <w:p w:rsidR="00CC4ECA" w:rsidRDefault="00CC4ECA" w:rsidP="00077B2B">
      <w:pPr>
        <w:pStyle w:val="Body"/>
      </w:pPr>
    </w:p>
    <w:p w:rsidR="00CC4ECA" w:rsidRDefault="00CC4ECA" w:rsidP="00077B2B">
      <w:pPr>
        <w:pStyle w:val="Body"/>
      </w:pPr>
    </w:p>
    <w:p w:rsidR="00B344E8" w:rsidRPr="00A53D41" w:rsidRDefault="00AB2213" w:rsidP="00941597">
      <w:pPr>
        <w:pStyle w:val="Body"/>
        <w:rPr>
          <w:b/>
          <w:bCs/>
        </w:rPr>
      </w:pPr>
      <w:r>
        <w:rPr>
          <w:b/>
          <w:bCs/>
        </w:rPr>
        <w:lastRenderedPageBreak/>
        <w:t>T</w:t>
      </w:r>
      <w:r w:rsidR="00A53D41" w:rsidRPr="00A53D41">
        <w:rPr>
          <w:b/>
          <w:bCs/>
        </w:rPr>
        <w:t xml:space="preserve">he new approach on “neutralisation” </w:t>
      </w:r>
      <w:r>
        <w:rPr>
          <w:b/>
          <w:bCs/>
        </w:rPr>
        <w:t>and Fidentiis</w:t>
      </w:r>
    </w:p>
    <w:p w:rsidR="00195B89" w:rsidRDefault="00B82508" w:rsidP="00941597">
      <w:pPr>
        <w:pStyle w:val="Body"/>
      </w:pPr>
      <w:r>
        <w:t>On the basis of</w:t>
      </w:r>
      <w:r w:rsidR="00A53D41">
        <w:t xml:space="preserve"> the 2010 CEBS Guidelines</w:t>
      </w:r>
      <w:r w:rsidR="00470724">
        <w:t>,</w:t>
      </w:r>
      <w:r w:rsidR="00A53D41">
        <w:t xml:space="preserve"> Fidentiis “</w:t>
      </w:r>
      <w:r w:rsidR="00F154B6">
        <w:t>neutralises</w:t>
      </w:r>
      <w:r w:rsidR="00A53D41">
        <w:t xml:space="preserve">” some of the </w:t>
      </w:r>
      <w:r w:rsidR="00CD29F5">
        <w:t xml:space="preserve">applicable </w:t>
      </w:r>
    </w:p>
    <w:p w:rsidR="00BA001F" w:rsidRDefault="00A53D41" w:rsidP="00941597">
      <w:pPr>
        <w:pStyle w:val="Body"/>
      </w:pPr>
      <w:r>
        <w:t>remuneration principles</w:t>
      </w:r>
      <w:r w:rsidR="00CD29F5">
        <w:t>,</w:t>
      </w:r>
      <w:r w:rsidR="000C225F">
        <w:t xml:space="preserve"> in particular the</w:t>
      </w:r>
      <w:r w:rsidR="000C225F" w:rsidRPr="009C5419">
        <w:t xml:space="preserve"> </w:t>
      </w:r>
      <w:r w:rsidR="000C225F">
        <w:t>restriction on</w:t>
      </w:r>
      <w:r w:rsidR="000C225F" w:rsidRPr="009C5419">
        <w:t xml:space="preserve"> variable components of remuneration</w:t>
      </w:r>
      <w:r w:rsidR="000C225F">
        <w:t>,</w:t>
      </w:r>
      <w:r w:rsidR="000C225F" w:rsidRPr="009C5419">
        <w:t xml:space="preserve"> </w:t>
      </w:r>
      <w:r>
        <w:t xml:space="preserve">based on the above summarised characteristics. </w:t>
      </w:r>
      <w:r w:rsidR="00AB2213">
        <w:t>T</w:t>
      </w:r>
      <w:r>
        <w:t xml:space="preserve">he new approach on </w:t>
      </w:r>
      <w:r w:rsidR="00AE2797">
        <w:t>“</w:t>
      </w:r>
      <w:r>
        <w:t>neutralisation</w:t>
      </w:r>
      <w:r w:rsidR="00AE2797">
        <w:t xml:space="preserve">” reflected in the </w:t>
      </w:r>
      <w:r w:rsidR="006554C5">
        <w:t>G</w:t>
      </w:r>
      <w:r w:rsidR="00902609">
        <w:t xml:space="preserve">uidelines </w:t>
      </w:r>
      <w:r w:rsidR="00AB2213">
        <w:t xml:space="preserve">would, in our view unjustifiably, </w:t>
      </w:r>
      <w:r>
        <w:t xml:space="preserve">adversely and materially impact </w:t>
      </w:r>
      <w:proofErr w:type="spellStart"/>
      <w:r w:rsidR="00902609">
        <w:t>Fidentiis’s</w:t>
      </w:r>
      <w:proofErr w:type="spellEnd"/>
      <w:r>
        <w:t xml:space="preserve"> business</w:t>
      </w:r>
      <w:r w:rsidR="00AE2797">
        <w:t xml:space="preserve">. </w:t>
      </w:r>
    </w:p>
    <w:p w:rsidR="00EC0AB1" w:rsidRDefault="002B004B" w:rsidP="004D3D7C">
      <w:pPr>
        <w:pStyle w:val="dashbullet1"/>
        <w:rPr>
          <w:b/>
          <w:bCs/>
        </w:rPr>
      </w:pPr>
      <w:r>
        <w:rPr>
          <w:b/>
          <w:bCs/>
        </w:rPr>
        <w:t>Low r</w:t>
      </w:r>
      <w:r w:rsidR="00EE78CD">
        <w:rPr>
          <w:b/>
          <w:bCs/>
        </w:rPr>
        <w:t xml:space="preserve">isk </w:t>
      </w:r>
      <w:r>
        <w:rPr>
          <w:b/>
          <w:bCs/>
        </w:rPr>
        <w:t>profile of Fidentiis activities</w:t>
      </w:r>
    </w:p>
    <w:p w:rsidR="00B663D5" w:rsidRDefault="00B663D5" w:rsidP="00EC0AB1">
      <w:pPr>
        <w:pStyle w:val="Body1"/>
      </w:pPr>
      <w:r>
        <w:t xml:space="preserve">As mentioned, Fidentiis has the very low risk profile which characterises those entities </w:t>
      </w:r>
      <w:r w:rsidR="000A7023">
        <w:t xml:space="preserve">whose </w:t>
      </w:r>
      <w:r>
        <w:t xml:space="preserve">core business is the reception and transmission of orders and which are </w:t>
      </w:r>
      <w:r w:rsidRPr="00B663D5">
        <w:t>not authorised to render</w:t>
      </w:r>
      <w:r w:rsidR="00CD29F5">
        <w:t xml:space="preserve"> services of </w:t>
      </w:r>
      <w:r w:rsidR="002B004B">
        <w:t>custody</w:t>
      </w:r>
      <w:r w:rsidR="00CD29F5">
        <w:t>/</w:t>
      </w:r>
      <w:r w:rsidRPr="00B663D5">
        <w:t xml:space="preserve">administration of financial instruments </w:t>
      </w:r>
      <w:r w:rsidR="000A7023">
        <w:t>on customers’ behalf</w:t>
      </w:r>
      <w:r w:rsidRPr="00B663D5">
        <w:t xml:space="preserve"> </w:t>
      </w:r>
      <w:r w:rsidR="000A7023">
        <w:t>or</w:t>
      </w:r>
      <w:r w:rsidR="000A7023" w:rsidRPr="00B663D5">
        <w:t xml:space="preserve"> </w:t>
      </w:r>
      <w:r w:rsidRPr="00B663D5">
        <w:t xml:space="preserve">to </w:t>
      </w:r>
      <w:r w:rsidR="000A7023">
        <w:t>keep</w:t>
      </w:r>
      <w:r w:rsidR="000A7023" w:rsidRPr="00B663D5">
        <w:t xml:space="preserve"> </w:t>
      </w:r>
      <w:r w:rsidRPr="00B663D5">
        <w:t>cash or securities deposits</w:t>
      </w:r>
      <w:r>
        <w:t xml:space="preserve">. </w:t>
      </w:r>
      <w:r w:rsidR="00E51106">
        <w:t>I</w:t>
      </w:r>
      <w:r w:rsidR="00EE78CD">
        <w:t xml:space="preserve">n the case of Fidentiis, </w:t>
      </w:r>
      <w:r w:rsidR="000A7023">
        <w:t>applying</w:t>
      </w:r>
      <w:r>
        <w:t xml:space="preserve"> the</w:t>
      </w:r>
      <w:r w:rsidR="00E51106">
        <w:t xml:space="preserve"> restriction on the variable components of the</w:t>
      </w:r>
      <w:r>
        <w:t xml:space="preserve"> </w:t>
      </w:r>
      <w:r w:rsidR="00EE78CD">
        <w:t xml:space="preserve">remuneration </w:t>
      </w:r>
      <w:r w:rsidR="00E51106">
        <w:t xml:space="preserve">would not be justified as such restriction is aimed at </w:t>
      </w:r>
      <w:r w:rsidR="00BD5772">
        <w:t xml:space="preserve">promoting a prudent management and </w:t>
      </w:r>
      <w:r w:rsidR="00E51106">
        <w:t xml:space="preserve">culture </w:t>
      </w:r>
      <w:r w:rsidR="00BD5772">
        <w:t xml:space="preserve">regarding </w:t>
      </w:r>
      <w:r w:rsidR="00EE78CD">
        <w:t>risk</w:t>
      </w:r>
      <w:r w:rsidR="00BD5772">
        <w:t>s</w:t>
      </w:r>
      <w:r w:rsidR="00EE78CD">
        <w:t xml:space="preserve">. </w:t>
      </w:r>
    </w:p>
    <w:p w:rsidR="00EE78CD" w:rsidRDefault="00BD5772" w:rsidP="004D3D7C">
      <w:pPr>
        <w:pStyle w:val="dashbullet1"/>
        <w:rPr>
          <w:b/>
          <w:bCs/>
        </w:rPr>
      </w:pPr>
      <w:r>
        <w:rPr>
          <w:b/>
          <w:bCs/>
        </w:rPr>
        <w:t>Partnership philosophy</w:t>
      </w:r>
      <w:r w:rsidR="00970468">
        <w:rPr>
          <w:b/>
          <w:bCs/>
        </w:rPr>
        <w:t xml:space="preserve"> </w:t>
      </w:r>
    </w:p>
    <w:p w:rsidR="009C5419" w:rsidRDefault="00902609" w:rsidP="00EE78CD">
      <w:pPr>
        <w:pStyle w:val="Body1"/>
      </w:pPr>
      <w:proofErr w:type="spellStart"/>
      <w:r>
        <w:t>Fidentiis’s</w:t>
      </w:r>
      <w:proofErr w:type="spellEnd"/>
      <w:r w:rsidR="00EE78CD">
        <w:t xml:space="preserve"> </w:t>
      </w:r>
      <w:r w:rsidR="00ED0BF3">
        <w:t>philosophy</w:t>
      </w:r>
      <w:r w:rsidR="00B0691C">
        <w:t>, consistent with the fact that its share capital belongs to its executives and employees,</w:t>
      </w:r>
      <w:r w:rsidR="00ED0BF3">
        <w:t xml:space="preserve"> includes </w:t>
      </w:r>
      <w:r w:rsidR="00B0691C">
        <w:t xml:space="preserve">that </w:t>
      </w:r>
      <w:r w:rsidR="00ED0BF3">
        <w:t xml:space="preserve">the professionals that </w:t>
      </w:r>
      <w:r w:rsidR="00B0691C">
        <w:t>contribute to generate revenues participate of them</w:t>
      </w:r>
      <w:r w:rsidR="00ED0BF3">
        <w:t xml:space="preserve">. </w:t>
      </w:r>
    </w:p>
    <w:p w:rsidR="00EE78CD" w:rsidRDefault="000A7023" w:rsidP="00EE78CD">
      <w:pPr>
        <w:pStyle w:val="Body1"/>
      </w:pPr>
      <w:r>
        <w:t>This</w:t>
      </w:r>
      <w:r w:rsidR="00ED0BF3">
        <w:t xml:space="preserve"> philosophy</w:t>
      </w:r>
      <w:r w:rsidR="009C5419">
        <w:t xml:space="preserve">, which </w:t>
      </w:r>
      <w:r>
        <w:t>we regard</w:t>
      </w:r>
      <w:r w:rsidR="009C5419">
        <w:t xml:space="preserve"> as a matter of </w:t>
      </w:r>
      <w:r>
        <w:t xml:space="preserve">fairness </w:t>
      </w:r>
      <w:r w:rsidR="00B0691C">
        <w:t xml:space="preserve">with our team </w:t>
      </w:r>
      <w:r>
        <w:t xml:space="preserve">and </w:t>
      </w:r>
      <w:r w:rsidR="00B0691C">
        <w:t xml:space="preserve">that </w:t>
      </w:r>
      <w:r>
        <w:t>in our</w:t>
      </w:r>
      <w:r w:rsidR="009C5419">
        <w:t xml:space="preserve"> experience </w:t>
      </w:r>
      <w:r w:rsidR="007B44E4" w:rsidRPr="007B44E4">
        <w:t>provid</w:t>
      </w:r>
      <w:r w:rsidR="00B0691C">
        <w:t>es</w:t>
      </w:r>
      <w:r w:rsidR="007B44E4" w:rsidRPr="007B44E4">
        <w:t xml:space="preserve"> adequate and effective incentives </w:t>
      </w:r>
      <w:r>
        <w:t>for</w:t>
      </w:r>
      <w:r w:rsidRPr="007B44E4">
        <w:t xml:space="preserve"> </w:t>
      </w:r>
      <w:r w:rsidR="00902609">
        <w:t>Fidentiis’</w:t>
      </w:r>
      <w:r w:rsidR="007B44E4" w:rsidRPr="007B44E4">
        <w:t xml:space="preserve"> staff</w:t>
      </w:r>
      <w:r w:rsidR="009C5419">
        <w:t>,</w:t>
      </w:r>
      <w:r w:rsidR="00ED0BF3">
        <w:t xml:space="preserve"> is only feasible if the </w:t>
      </w:r>
      <w:r w:rsidR="009C5419" w:rsidRPr="009C5419">
        <w:t>variable components of remuneration</w:t>
      </w:r>
      <w:r w:rsidR="009C5419">
        <w:t xml:space="preserve"> are not limited to a given percentage of the fixed components.</w:t>
      </w:r>
    </w:p>
    <w:p w:rsidR="00A53D41" w:rsidRPr="00AE2797" w:rsidRDefault="00AE2797" w:rsidP="004D3D7C">
      <w:pPr>
        <w:pStyle w:val="dashbullet1"/>
        <w:rPr>
          <w:b/>
          <w:bCs/>
        </w:rPr>
      </w:pPr>
      <w:r>
        <w:rPr>
          <w:b/>
          <w:bCs/>
        </w:rPr>
        <w:t>Prudential</w:t>
      </w:r>
      <w:r w:rsidR="004D3D7C" w:rsidRPr="00AE2797">
        <w:rPr>
          <w:b/>
          <w:bCs/>
        </w:rPr>
        <w:t xml:space="preserve"> and stability</w:t>
      </w:r>
      <w:r>
        <w:rPr>
          <w:b/>
          <w:bCs/>
        </w:rPr>
        <w:t xml:space="preserve"> consequences</w:t>
      </w:r>
      <w:r w:rsidR="004D3D7C" w:rsidRPr="00AE2797">
        <w:rPr>
          <w:b/>
          <w:bCs/>
        </w:rPr>
        <w:t xml:space="preserve"> </w:t>
      </w:r>
    </w:p>
    <w:p w:rsidR="00AE2797" w:rsidRDefault="009C5419" w:rsidP="004D3D7C">
      <w:pPr>
        <w:pStyle w:val="Body1"/>
      </w:pPr>
      <w:r>
        <w:t xml:space="preserve">The new approach </w:t>
      </w:r>
      <w:r w:rsidR="00D82686">
        <w:t xml:space="preserve">would </w:t>
      </w:r>
      <w:r w:rsidR="00AE2797">
        <w:t xml:space="preserve">inevitably </w:t>
      </w:r>
      <w:r w:rsidR="000A7023">
        <w:t>lead</w:t>
      </w:r>
      <w:r w:rsidR="00D82686">
        <w:t xml:space="preserve"> to</w:t>
      </w:r>
      <w:r w:rsidR="000A7023">
        <w:t xml:space="preserve"> higher</w:t>
      </w:r>
      <w:r w:rsidR="00D82686">
        <w:t xml:space="preserve"> fix</w:t>
      </w:r>
      <w:r w:rsidR="005A1BC8">
        <w:t>ed</w:t>
      </w:r>
      <w:r w:rsidR="00AE2797">
        <w:t xml:space="preserve"> remuneration</w:t>
      </w:r>
      <w:r w:rsidR="00D82686">
        <w:t>s</w:t>
      </w:r>
      <w:r w:rsidR="00AE2797">
        <w:t xml:space="preserve">, </w:t>
      </w:r>
      <w:r w:rsidR="00D82686">
        <w:t xml:space="preserve">which would </w:t>
      </w:r>
      <w:r w:rsidR="000A7023">
        <w:t>significantly increas</w:t>
      </w:r>
      <w:r w:rsidR="00D82686">
        <w:t>e</w:t>
      </w:r>
      <w:r w:rsidR="000A7023">
        <w:t xml:space="preserve"> </w:t>
      </w:r>
      <w:proofErr w:type="spellStart"/>
      <w:r w:rsidR="00902609">
        <w:t>Fidentiis’s</w:t>
      </w:r>
      <w:proofErr w:type="spellEnd"/>
      <w:r w:rsidR="00D82686">
        <w:t xml:space="preserve"> fixed costs. We believe that it would </w:t>
      </w:r>
      <w:r w:rsidR="00AE2797">
        <w:t>be</w:t>
      </w:r>
      <w:r w:rsidR="000A7023">
        <w:t xml:space="preserve"> </w:t>
      </w:r>
      <w:r w:rsidR="00AE2797">
        <w:t>counterproductive in terms of prudence and stability</w:t>
      </w:r>
      <w:r w:rsidR="00EC0AB1">
        <w:t>,</w:t>
      </w:r>
      <w:r w:rsidR="005D268C">
        <w:t xml:space="preserve"> </w:t>
      </w:r>
      <w:r w:rsidR="000A7023">
        <w:t>e</w:t>
      </w:r>
      <w:r w:rsidR="005D268C">
        <w:t xml:space="preserve">specially taking into account that </w:t>
      </w:r>
      <w:proofErr w:type="spellStart"/>
      <w:r w:rsidR="00EC0AB1">
        <w:t>Fidentiis</w:t>
      </w:r>
      <w:r w:rsidR="000A7023">
        <w:t>’s</w:t>
      </w:r>
      <w:proofErr w:type="spellEnd"/>
      <w:r w:rsidR="00EC0AB1">
        <w:t xml:space="preserve"> business is particularly variable and highly cyclical</w:t>
      </w:r>
      <w:r w:rsidR="00AE2797">
        <w:t>.</w:t>
      </w:r>
    </w:p>
    <w:p w:rsidR="0016386D" w:rsidRDefault="00CB7E8D" w:rsidP="00CC4ECA">
      <w:pPr>
        <w:pStyle w:val="Body1"/>
      </w:pPr>
      <w:r>
        <w:t xml:space="preserve">Furthermore, </w:t>
      </w:r>
      <w:r w:rsidR="005A2385">
        <w:t>as</w:t>
      </w:r>
      <w:r>
        <w:t xml:space="preserve"> we keep our fixed remunerations in a lower range </w:t>
      </w:r>
      <w:r w:rsidR="00F30AB1">
        <w:t>and</w:t>
      </w:r>
      <w:r>
        <w:t xml:space="preserve"> only pay variable remunerations in line with profit, even if the variable remuneration is </w:t>
      </w:r>
      <w:r w:rsidR="005A2385">
        <w:t>finally over 200%</w:t>
      </w:r>
      <w:r w:rsidR="00F30AB1">
        <w:t xml:space="preserve"> the fixed remuneration</w:t>
      </w:r>
      <w:r w:rsidR="005A2385">
        <w:t xml:space="preserve"> amount,</w:t>
      </w:r>
      <w:r w:rsidR="00F30AB1">
        <w:t xml:space="preserve"> we know that it will never be more than the profit generated. That way we are able to keep our highly professional staff well remunerated and motivated, and</w:t>
      </w:r>
      <w:r w:rsidR="00F30AB1" w:rsidRPr="00F30AB1">
        <w:t xml:space="preserve"> </w:t>
      </w:r>
      <w:r w:rsidR="00F30AB1">
        <w:t>this does not genera</w:t>
      </w:r>
      <w:r w:rsidR="006F2B6C">
        <w:t>te any risk to our Core Capital.</w:t>
      </w:r>
      <w:r w:rsidR="0016386D">
        <w:t xml:space="preserve"> </w:t>
      </w:r>
    </w:p>
    <w:p w:rsidR="006E5C4E" w:rsidRDefault="006F2B6C" w:rsidP="00CC4ECA">
      <w:pPr>
        <w:pStyle w:val="Body1"/>
      </w:pPr>
      <w:r>
        <w:t>W</w:t>
      </w:r>
      <w:r w:rsidR="00970468" w:rsidRPr="00CF116D">
        <w:t>e estimate that the new approach would lead Fidentiis to increase the fix</w:t>
      </w:r>
      <w:r w:rsidR="00970468">
        <w:t>ed remunerations in, at least, 1.5 million euros</w:t>
      </w:r>
      <w:r w:rsidR="00970468" w:rsidRPr="00CF116D">
        <w:t>. As a way of example, this in 20</w:t>
      </w:r>
      <w:r w:rsidR="00970468">
        <w:t>12</w:t>
      </w:r>
      <w:r w:rsidR="00970468" w:rsidRPr="00CF116D">
        <w:t xml:space="preserve"> </w:t>
      </w:r>
      <w:r w:rsidR="0016386D">
        <w:t>(</w:t>
      </w:r>
      <w:r w:rsidR="00970468" w:rsidRPr="00CF116D">
        <w:t xml:space="preserve">a year in which the revenues decreased by </w:t>
      </w:r>
      <w:r w:rsidR="00970468">
        <w:t>31.45 %</w:t>
      </w:r>
      <w:r w:rsidR="0016386D">
        <w:t>) it</w:t>
      </w:r>
      <w:r w:rsidR="00970468" w:rsidRPr="00CF116D">
        <w:t xml:space="preserve"> would have determined a loss for the company of </w:t>
      </w:r>
      <w:r w:rsidR="00970468">
        <w:t>582,000</w:t>
      </w:r>
      <w:r w:rsidR="00970468" w:rsidRPr="00CF116D">
        <w:t xml:space="preserve"> euros (instead of the profit of </w:t>
      </w:r>
      <w:r w:rsidR="00970468">
        <w:t>849,000</w:t>
      </w:r>
      <w:r w:rsidR="00970468" w:rsidRPr="00CF116D">
        <w:t xml:space="preserve"> euros </w:t>
      </w:r>
      <w:r w:rsidR="0016386D">
        <w:t xml:space="preserve">(before bonus and tax) </w:t>
      </w:r>
      <w:r w:rsidR="00970468" w:rsidRPr="00CF116D">
        <w:t xml:space="preserve">that </w:t>
      </w:r>
      <w:r w:rsidR="0016386D">
        <w:t>we</w:t>
      </w:r>
      <w:r w:rsidR="00970468" w:rsidRPr="00CF116D">
        <w:t xml:space="preserve"> obtained</w:t>
      </w:r>
      <w:r w:rsidR="0016386D">
        <w:t>.</w:t>
      </w:r>
    </w:p>
    <w:p w:rsidR="00A72F6D" w:rsidRDefault="006E5C4E" w:rsidP="00D71BAC">
      <w:pPr>
        <w:pStyle w:val="Body1"/>
        <w:keepNext/>
        <w:keepLines/>
      </w:pPr>
      <w:r>
        <w:t xml:space="preserve">We understand that those figures </w:t>
      </w:r>
      <w:r w:rsidR="008B2626">
        <w:t>could be</w:t>
      </w:r>
      <w:r>
        <w:t xml:space="preserve"> irrelevant for a big company, but for us or </w:t>
      </w:r>
      <w:r w:rsidR="008B2626">
        <w:t xml:space="preserve">for </w:t>
      </w:r>
      <w:r>
        <w:t>similar structure companies, could signify the difference between continue active or disappear</w:t>
      </w:r>
      <w:r w:rsidR="008B2626">
        <w:t>ing</w:t>
      </w:r>
      <w:r>
        <w:t>.</w:t>
      </w:r>
    </w:p>
    <w:p w:rsidR="0016386D" w:rsidRDefault="0016386D" w:rsidP="007B44E4">
      <w:pPr>
        <w:pStyle w:val="Body"/>
      </w:pPr>
    </w:p>
    <w:p w:rsidR="007B44E4" w:rsidRDefault="00436095" w:rsidP="007B44E4">
      <w:pPr>
        <w:pStyle w:val="Body"/>
      </w:pPr>
      <w:r>
        <w:lastRenderedPageBreak/>
        <w:t xml:space="preserve">We would ask you to please take </w:t>
      </w:r>
      <w:r w:rsidR="00700961">
        <w:t xml:space="preserve">the above </w:t>
      </w:r>
      <w:r>
        <w:t xml:space="preserve">into account </w:t>
      </w:r>
      <w:r w:rsidR="00FE2F10">
        <w:t>and reconsider the approach followed by the Guidelines on “neutralisation” (in particular, in respect of the</w:t>
      </w:r>
      <w:r w:rsidR="00FE2F10" w:rsidRPr="009C5419">
        <w:t xml:space="preserve"> </w:t>
      </w:r>
      <w:r w:rsidR="00FE2F10">
        <w:t>restriction on</w:t>
      </w:r>
      <w:r w:rsidR="00FE2F10" w:rsidRPr="009C5419">
        <w:t xml:space="preserve"> variable components of remuneration</w:t>
      </w:r>
      <w:r w:rsidR="00FE2F10">
        <w:t>) or, if necessary, adopt the appropriate initiatives for CRD IV</w:t>
      </w:r>
      <w:r>
        <w:t xml:space="preserve"> to </w:t>
      </w:r>
      <w:r w:rsidR="00FE2F10">
        <w:t>be amended on such point</w:t>
      </w:r>
      <w:r>
        <w:t>.</w:t>
      </w:r>
    </w:p>
    <w:p w:rsidR="00B67B35" w:rsidRDefault="00B67B35" w:rsidP="00C0793A">
      <w:pPr>
        <w:pStyle w:val="Body"/>
        <w:rPr>
          <w:lang w:val="es-ES"/>
        </w:rPr>
      </w:pPr>
      <w:proofErr w:type="spellStart"/>
      <w:r w:rsidRPr="005A1BC8">
        <w:rPr>
          <w:lang w:val="es-ES"/>
        </w:rPr>
        <w:t>Yours</w:t>
      </w:r>
      <w:proofErr w:type="spellEnd"/>
      <w:r w:rsidRPr="005A1BC8">
        <w:rPr>
          <w:lang w:val="es-ES"/>
        </w:rPr>
        <w:t xml:space="preserve"> </w:t>
      </w:r>
      <w:proofErr w:type="spellStart"/>
      <w:r w:rsidRPr="005A1BC8">
        <w:rPr>
          <w:lang w:val="es-ES"/>
        </w:rPr>
        <w:t>sincerely</w:t>
      </w:r>
      <w:proofErr w:type="spellEnd"/>
      <w:r w:rsidRPr="005A1BC8">
        <w:rPr>
          <w:lang w:val="es-ES"/>
        </w:rPr>
        <w:t>,</w:t>
      </w:r>
    </w:p>
    <w:p w:rsidR="00354067" w:rsidRDefault="00354067" w:rsidP="00C0793A">
      <w:pPr>
        <w:pStyle w:val="Body"/>
        <w:rPr>
          <w:lang w:val="es-ES"/>
        </w:rPr>
      </w:pPr>
    </w:p>
    <w:p w:rsidR="00C0793A" w:rsidRDefault="00907414" w:rsidP="00C0793A">
      <w:pPr>
        <w:pStyle w:val="Body"/>
        <w:rPr>
          <w:lang w:val="es-ES"/>
        </w:rPr>
      </w:pPr>
      <w:r w:rsidRPr="006E5C4E">
        <w:rPr>
          <w:lang w:val="es-ES"/>
        </w:rPr>
        <w:t>Fidentiis Equities, Sociedad de Valores, S.A.</w:t>
      </w:r>
    </w:p>
    <w:p w:rsidR="00354067" w:rsidRDefault="00354067" w:rsidP="00C0793A">
      <w:pPr>
        <w:pStyle w:val="Body"/>
        <w:rPr>
          <w:lang w:val="es-ES"/>
        </w:rPr>
      </w:pPr>
    </w:p>
    <w:p w:rsidR="00354067" w:rsidRDefault="00354067" w:rsidP="00C0793A">
      <w:pPr>
        <w:pStyle w:val="Body"/>
        <w:rPr>
          <w:lang w:val="es-ES"/>
        </w:rPr>
      </w:pPr>
    </w:p>
    <w:p w:rsidR="00703418" w:rsidRDefault="00703418" w:rsidP="00C0793A">
      <w:pPr>
        <w:pStyle w:val="Body"/>
        <w:rPr>
          <w:lang w:val="es-ES"/>
        </w:rPr>
      </w:pPr>
      <w:r w:rsidRPr="00703418">
        <w:rPr>
          <w:lang w:val="es-ES"/>
        </w:rPr>
        <w:t>Enrique Pérez-</w:t>
      </w:r>
      <w:proofErr w:type="spellStart"/>
      <w:r w:rsidRPr="00703418">
        <w:rPr>
          <w:lang w:val="es-ES"/>
        </w:rPr>
        <w:t>Plá</w:t>
      </w:r>
      <w:proofErr w:type="spellEnd"/>
      <w:r w:rsidRPr="00703418">
        <w:rPr>
          <w:lang w:val="es-ES"/>
        </w:rPr>
        <w:t xml:space="preserve">              Mark Giacopazzi</w:t>
      </w:r>
    </w:p>
    <w:p w:rsidR="00703418" w:rsidRPr="006E5C4E" w:rsidRDefault="00703418" w:rsidP="00C0793A">
      <w:pPr>
        <w:pStyle w:val="Body"/>
        <w:rPr>
          <w:lang w:val="es-ES"/>
        </w:rPr>
      </w:pPr>
    </w:p>
    <w:p w:rsidR="00C0793A" w:rsidRPr="006E5C4E" w:rsidRDefault="00C0793A" w:rsidP="00C0793A">
      <w:pPr>
        <w:pStyle w:val="Body"/>
        <w:rPr>
          <w:b/>
          <w:bCs/>
          <w:lang w:val="es-ES"/>
        </w:rPr>
      </w:pPr>
    </w:p>
    <w:sectPr w:rsidR="00C0793A" w:rsidRPr="006E5C4E" w:rsidSect="00CC4E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2268" w:right="1588" w:bottom="1304" w:left="1588" w:header="766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266" w:rsidRDefault="00D41266">
      <w:r>
        <w:separator/>
      </w:r>
    </w:p>
  </w:endnote>
  <w:endnote w:type="continuationSeparator" w:id="0">
    <w:p w:rsidR="00D41266" w:rsidRDefault="00D4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0C6" w:rsidRDefault="008660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715327"/>
      <w:docPartObj>
        <w:docPartGallery w:val="Page Numbers (Bottom of Page)"/>
        <w:docPartUnique/>
      </w:docPartObj>
    </w:sdtPr>
    <w:sdtEndPr/>
    <w:sdtContent>
      <w:p w:rsidR="008660C6" w:rsidRDefault="008660C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BA5" w:rsidRPr="00B40BA5">
          <w:rPr>
            <w:noProof/>
            <w:lang w:val="es-ES"/>
          </w:rPr>
          <w:t>1</w:t>
        </w:r>
        <w:r>
          <w:fldChar w:fldCharType="end"/>
        </w:r>
      </w:p>
    </w:sdtContent>
  </w:sdt>
  <w:p w:rsidR="008660C6" w:rsidRDefault="008660C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0C6" w:rsidRDefault="008660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266" w:rsidRDefault="00D41266">
      <w:r>
        <w:separator/>
      </w:r>
    </w:p>
  </w:footnote>
  <w:footnote w:type="continuationSeparator" w:id="0">
    <w:p w:rsidR="00D41266" w:rsidRDefault="00D41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0C6" w:rsidRDefault="008660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0C6" w:rsidRDefault="008660C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0C6" w:rsidRDefault="008660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6A1"/>
    <w:multiLevelType w:val="multilevel"/>
    <w:tmpl w:val="D3B203FE"/>
    <w:lvl w:ilvl="0">
      <w:start w:val="1"/>
      <w:numFmt w:val="upperLetter"/>
      <w:pStyle w:val="UCAlpha1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8645C"/>
    <w:multiLevelType w:val="multilevel"/>
    <w:tmpl w:val="588086B8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53848"/>
    <w:multiLevelType w:val="multilevel"/>
    <w:tmpl w:val="9794A914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34323D"/>
    <w:multiLevelType w:val="multilevel"/>
    <w:tmpl w:val="7D349456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>
    <w:nsid w:val="116B7A43"/>
    <w:multiLevelType w:val="multilevel"/>
    <w:tmpl w:val="D5EA23BE"/>
    <w:lvl w:ilvl="0">
      <w:start w:val="1"/>
      <w:numFmt w:val="decimal"/>
      <w:pStyle w:val="Tab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5">
    <w:nsid w:val="173574CD"/>
    <w:multiLevelType w:val="singleLevel"/>
    <w:tmpl w:val="B8484E1E"/>
    <w:lvl w:ilvl="0">
      <w:start w:val="1"/>
      <w:numFmt w:val="lowerLetter"/>
      <w:pStyle w:val="alpha4"/>
      <w:lvlText w:val="(%1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</w:abstractNum>
  <w:abstractNum w:abstractNumId="6">
    <w:nsid w:val="17484E99"/>
    <w:multiLevelType w:val="multilevel"/>
    <w:tmpl w:val="20026A22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FA0E9C"/>
    <w:multiLevelType w:val="multilevel"/>
    <w:tmpl w:val="867A946A"/>
    <w:lvl w:ilvl="0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176F70"/>
    <w:multiLevelType w:val="multilevel"/>
    <w:tmpl w:val="6338D5DE"/>
    <w:lvl w:ilvl="0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D173DE"/>
    <w:multiLevelType w:val="hybridMultilevel"/>
    <w:tmpl w:val="9FAAB062"/>
    <w:lvl w:ilvl="0" w:tplc="41140C4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708B8"/>
    <w:multiLevelType w:val="multilevel"/>
    <w:tmpl w:val="F3E6797C"/>
    <w:lvl w:ilvl="0">
      <w:start w:val="1"/>
      <w:numFmt w:val="upperRoman"/>
      <w:pStyle w:val="UCRoman1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971282"/>
    <w:multiLevelType w:val="multilevel"/>
    <w:tmpl w:val="EF566198"/>
    <w:lvl w:ilvl="0">
      <w:start w:val="1"/>
      <w:numFmt w:val="upperLetter"/>
      <w:pStyle w:val="UCAlpha4"/>
      <w:lvlText w:val="%1.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958FD"/>
    <w:multiLevelType w:val="multilevel"/>
    <w:tmpl w:val="32BEEFDA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E6172F"/>
    <w:multiLevelType w:val="singleLevel"/>
    <w:tmpl w:val="3D1CB4BE"/>
    <w:lvl w:ilvl="0">
      <w:start w:val="1"/>
      <w:numFmt w:val="lowerLetter"/>
      <w:pStyle w:val="Ta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14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705D16"/>
    <w:multiLevelType w:val="singleLevel"/>
    <w:tmpl w:val="4B880D0C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16">
    <w:nsid w:val="34A5631E"/>
    <w:multiLevelType w:val="multilevel"/>
    <w:tmpl w:val="C1B827B6"/>
    <w:lvl w:ilvl="0">
      <w:start w:val="1"/>
      <w:numFmt w:val="upperLetter"/>
      <w:pStyle w:val="UCAlpha2"/>
      <w:lvlText w:val="%1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E21890"/>
    <w:multiLevelType w:val="multilevel"/>
    <w:tmpl w:val="BC8614FC"/>
    <w:lvl w:ilvl="0">
      <w:start w:val="1"/>
      <w:numFmt w:val="decimal"/>
      <w:pStyle w:val="TC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86006ED"/>
    <w:multiLevelType w:val="singleLevel"/>
    <w:tmpl w:val="0F98B70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</w:abstractNum>
  <w:abstractNum w:abstractNumId="19">
    <w:nsid w:val="3EBD2A5E"/>
    <w:multiLevelType w:val="multilevel"/>
    <w:tmpl w:val="AC0CD916"/>
    <w:lvl w:ilvl="0">
      <w:start w:val="1"/>
      <w:numFmt w:val="bullet"/>
      <w:lvlRestart w:val="0"/>
      <w:pStyle w:val="dashbullet1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BC403A"/>
    <w:multiLevelType w:val="multilevel"/>
    <w:tmpl w:val="727EBCD4"/>
    <w:lvl w:ilvl="0">
      <w:start w:val="1"/>
      <w:numFmt w:val="upperLetter"/>
      <w:pStyle w:val="UCAlpha5"/>
      <w:lvlText w:val="%1.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2476DC"/>
    <w:multiLevelType w:val="multilevel"/>
    <w:tmpl w:val="8586D7F4"/>
    <w:lvl w:ilvl="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6D7BFA"/>
    <w:multiLevelType w:val="singleLevel"/>
    <w:tmpl w:val="CA0257E0"/>
    <w:lvl w:ilvl="0">
      <w:start w:val="1"/>
      <w:numFmt w:val="lowerLetter"/>
      <w:pStyle w:val="alpha5"/>
      <w:lvlText w:val="(%1)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 w:val="0"/>
        <w:i w:val="0"/>
        <w:sz w:val="20"/>
      </w:rPr>
    </w:lvl>
  </w:abstractNum>
  <w:abstractNum w:abstractNumId="23">
    <w:nsid w:val="512A7C3C"/>
    <w:multiLevelType w:val="singleLevel"/>
    <w:tmpl w:val="CAE8B146"/>
    <w:lvl w:ilvl="0">
      <w:start w:val="1"/>
      <w:numFmt w:val="lowerLetter"/>
      <w:pStyle w:val="alpha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24">
    <w:nsid w:val="51421573"/>
    <w:multiLevelType w:val="multilevel"/>
    <w:tmpl w:val="37400C94"/>
    <w:lvl w:ilvl="0">
      <w:start w:val="1"/>
      <w:numFmt w:val="bullet"/>
      <w:lvlRestart w:val="0"/>
      <w:pStyle w:val="dashbullet5"/>
      <w:lvlText w:val="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5F4573"/>
    <w:multiLevelType w:val="multilevel"/>
    <w:tmpl w:val="C0DE7A18"/>
    <w:lvl w:ilvl="0">
      <w:start w:val="1"/>
      <w:numFmt w:val="bullet"/>
      <w:lvlRestart w:val="0"/>
      <w:pStyle w:val="dashbullet4"/>
      <w:lvlText w:val="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B17CF4"/>
    <w:multiLevelType w:val="multilevel"/>
    <w:tmpl w:val="B0F40B8E"/>
    <w:lvl w:ilvl="0">
      <w:start w:val="1"/>
      <w:numFmt w:val="bullet"/>
      <w:lvlRestart w:val="0"/>
      <w:pStyle w:val="dashbullet2"/>
      <w:lvlText w:val="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F728E2"/>
    <w:multiLevelType w:val="multilevel"/>
    <w:tmpl w:val="1D8A9BD6"/>
    <w:lvl w:ilvl="0">
      <w:start w:val="1"/>
      <w:numFmt w:val="upperRoman"/>
      <w:pStyle w:val="UCRoman2"/>
      <w:lvlText w:val="%1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E26FEF"/>
    <w:multiLevelType w:val="singleLevel"/>
    <w:tmpl w:val="E76CA894"/>
    <w:lvl w:ilvl="0">
      <w:start w:val="1"/>
      <w:numFmt w:val="lowerRoman"/>
      <w:pStyle w:val="roman4"/>
      <w:lvlText w:val="(%1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</w:abstractNum>
  <w:abstractNum w:abstractNumId="29">
    <w:nsid w:val="58A56CDE"/>
    <w:multiLevelType w:val="multilevel"/>
    <w:tmpl w:val="C3E838F6"/>
    <w:lvl w:ilvl="0">
      <w:start w:val="1"/>
      <w:numFmt w:val="bullet"/>
      <w:pStyle w:val="bullet4"/>
      <w:lvlText w:val="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F711EC"/>
    <w:multiLevelType w:val="singleLevel"/>
    <w:tmpl w:val="6CD6DF96"/>
    <w:lvl w:ilvl="0">
      <w:start w:val="1"/>
      <w:numFmt w:val="lowerRoman"/>
      <w:pStyle w:val="roman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31">
    <w:nsid w:val="5D194207"/>
    <w:multiLevelType w:val="multilevel"/>
    <w:tmpl w:val="E3864CA4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3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caps/>
        <w:sz w:val="23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lvlText w:val="(%7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upperLetter"/>
      <w:lvlText w:val="(%9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32">
    <w:nsid w:val="5FCB4379"/>
    <w:multiLevelType w:val="multilevel"/>
    <w:tmpl w:val="4F86461C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215270"/>
    <w:multiLevelType w:val="singleLevel"/>
    <w:tmpl w:val="1C380CB2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34">
    <w:nsid w:val="64C47EA1"/>
    <w:multiLevelType w:val="singleLevel"/>
    <w:tmpl w:val="588EC908"/>
    <w:lvl w:ilvl="0">
      <w:start w:val="1"/>
      <w:numFmt w:val="lowerRoman"/>
      <w:pStyle w:val="Tableroman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35">
    <w:nsid w:val="6A7F67AA"/>
    <w:multiLevelType w:val="multilevel"/>
    <w:tmpl w:val="5FE68390"/>
    <w:lvl w:ilvl="0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7">
    <w:nsid w:val="6B502D22"/>
    <w:multiLevelType w:val="multilevel"/>
    <w:tmpl w:val="8D5698DC"/>
    <w:lvl w:ilvl="0">
      <w:start w:val="27"/>
      <w:numFmt w:val="lowerLetter"/>
      <w:pStyle w:val="dou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EA4D3C"/>
    <w:multiLevelType w:val="multilevel"/>
    <w:tmpl w:val="885A6224"/>
    <w:lvl w:ilvl="0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5255B9"/>
    <w:multiLevelType w:val="singleLevel"/>
    <w:tmpl w:val="33C8FA2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</w:abstractNum>
  <w:abstractNum w:abstractNumId="40">
    <w:nsid w:val="7169173D"/>
    <w:multiLevelType w:val="singleLevel"/>
    <w:tmpl w:val="2C04197C"/>
    <w:lvl w:ilvl="0">
      <w:start w:val="1"/>
      <w:numFmt w:val="lowerLetter"/>
      <w:pStyle w:val="alpha2"/>
      <w:lvlText w:val="(%1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</w:abstractNum>
  <w:abstractNum w:abstractNumId="41">
    <w:nsid w:val="73455C00"/>
    <w:multiLevelType w:val="singleLevel"/>
    <w:tmpl w:val="818C5664"/>
    <w:lvl w:ilvl="0">
      <w:start w:val="1"/>
      <w:numFmt w:val="lowerRoman"/>
      <w:pStyle w:val="roman5"/>
      <w:lvlText w:val="(%1)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 w:val="0"/>
        <w:i w:val="0"/>
        <w:sz w:val="20"/>
      </w:rPr>
    </w:lvl>
  </w:abstractNum>
  <w:abstractNum w:abstractNumId="42">
    <w:nsid w:val="785A5B88"/>
    <w:multiLevelType w:val="singleLevel"/>
    <w:tmpl w:val="5964AB86"/>
    <w:lvl w:ilvl="0">
      <w:start w:val="1"/>
      <w:numFmt w:val="lowerRoman"/>
      <w:pStyle w:val="roman2"/>
      <w:lvlText w:val="(%1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</w:abstractNum>
  <w:abstractNum w:abstractNumId="43">
    <w:nsid w:val="7BE859CD"/>
    <w:multiLevelType w:val="multilevel"/>
    <w:tmpl w:val="5EA8E7C0"/>
    <w:lvl w:ilvl="0">
      <w:start w:val="1"/>
      <w:numFmt w:val="bullet"/>
      <w:pStyle w:val="bullet5"/>
      <w:lvlText w:val="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D04878"/>
    <w:multiLevelType w:val="multilevel"/>
    <w:tmpl w:val="BEE2940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40"/>
  </w:num>
  <w:num w:numId="3">
    <w:abstractNumId w:val="15"/>
  </w:num>
  <w:num w:numId="4">
    <w:abstractNumId w:val="5"/>
  </w:num>
  <w:num w:numId="5">
    <w:abstractNumId w:val="22"/>
  </w:num>
  <w:num w:numId="6">
    <w:abstractNumId w:val="18"/>
  </w:num>
  <w:num w:numId="7">
    <w:abstractNumId w:val="6"/>
  </w:num>
  <w:num w:numId="8">
    <w:abstractNumId w:val="14"/>
  </w:num>
  <w:num w:numId="9">
    <w:abstractNumId w:val="12"/>
  </w:num>
  <w:num w:numId="10">
    <w:abstractNumId w:val="29"/>
  </w:num>
  <w:num w:numId="11">
    <w:abstractNumId w:val="43"/>
  </w:num>
  <w:num w:numId="12">
    <w:abstractNumId w:val="7"/>
  </w:num>
  <w:num w:numId="13">
    <w:abstractNumId w:val="19"/>
  </w:num>
  <w:num w:numId="14">
    <w:abstractNumId w:val="26"/>
  </w:num>
  <w:num w:numId="15">
    <w:abstractNumId w:val="21"/>
  </w:num>
  <w:num w:numId="16">
    <w:abstractNumId w:val="25"/>
  </w:num>
  <w:num w:numId="17">
    <w:abstractNumId w:val="24"/>
  </w:num>
  <w:num w:numId="18">
    <w:abstractNumId w:val="8"/>
  </w:num>
  <w:num w:numId="19">
    <w:abstractNumId w:val="37"/>
  </w:num>
  <w:num w:numId="20">
    <w:abstractNumId w:val="36"/>
  </w:num>
  <w:num w:numId="21">
    <w:abstractNumId w:val="44"/>
  </w:num>
  <w:num w:numId="22">
    <w:abstractNumId w:val="1"/>
  </w:num>
  <w:num w:numId="23">
    <w:abstractNumId w:val="32"/>
  </w:num>
  <w:num w:numId="24">
    <w:abstractNumId w:val="30"/>
  </w:num>
  <w:num w:numId="25">
    <w:abstractNumId w:val="42"/>
  </w:num>
  <w:num w:numId="26">
    <w:abstractNumId w:val="33"/>
  </w:num>
  <w:num w:numId="27">
    <w:abstractNumId w:val="28"/>
  </w:num>
  <w:num w:numId="28">
    <w:abstractNumId w:val="41"/>
  </w:num>
  <w:num w:numId="29">
    <w:abstractNumId w:val="39"/>
  </w:num>
  <w:num w:numId="30">
    <w:abstractNumId w:val="17"/>
  </w:num>
  <w:num w:numId="31">
    <w:abstractNumId w:val="4"/>
  </w:num>
  <w:num w:numId="32">
    <w:abstractNumId w:val="13"/>
  </w:num>
  <w:num w:numId="33">
    <w:abstractNumId w:val="2"/>
  </w:num>
  <w:num w:numId="34">
    <w:abstractNumId w:val="34"/>
  </w:num>
  <w:num w:numId="35">
    <w:abstractNumId w:val="0"/>
  </w:num>
  <w:num w:numId="36">
    <w:abstractNumId w:val="16"/>
  </w:num>
  <w:num w:numId="37">
    <w:abstractNumId w:val="35"/>
  </w:num>
  <w:num w:numId="38">
    <w:abstractNumId w:val="11"/>
  </w:num>
  <w:num w:numId="39">
    <w:abstractNumId w:val="20"/>
  </w:num>
  <w:num w:numId="40">
    <w:abstractNumId w:val="38"/>
  </w:num>
  <w:num w:numId="41">
    <w:abstractNumId w:val="10"/>
  </w:num>
  <w:num w:numId="42">
    <w:abstractNumId w:val="27"/>
  </w:num>
  <w:num w:numId="43">
    <w:abstractNumId w:val="31"/>
  </w:num>
  <w:num w:numId="44">
    <w:abstractNumId w:val="3"/>
  </w:num>
  <w:num w:numId="45">
    <w:abstractNumId w:val="9"/>
  </w:num>
  <w:num w:numId="46">
    <w:abstractNumId w:val="1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oNotTrackFormatting/>
  <w:defaultTabStop w:val="680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MS_BusinessUnitID" w:val="LinklatersLLP"/>
    <w:docVar w:name="TMS_CultureID" w:val="English-UK"/>
    <w:docVar w:name="TMS_OfficeID" w:val="London"/>
  </w:docVars>
  <w:rsids>
    <w:rsidRoot w:val="00D41266"/>
    <w:rsid w:val="00003A07"/>
    <w:rsid w:val="00006062"/>
    <w:rsid w:val="000079AF"/>
    <w:rsid w:val="00015D3B"/>
    <w:rsid w:val="00022235"/>
    <w:rsid w:val="000235EF"/>
    <w:rsid w:val="00032E97"/>
    <w:rsid w:val="000352BE"/>
    <w:rsid w:val="00036BB6"/>
    <w:rsid w:val="00050E42"/>
    <w:rsid w:val="00053619"/>
    <w:rsid w:val="000572F9"/>
    <w:rsid w:val="00074212"/>
    <w:rsid w:val="00077B2B"/>
    <w:rsid w:val="00085E31"/>
    <w:rsid w:val="00087DA3"/>
    <w:rsid w:val="00090B7E"/>
    <w:rsid w:val="000931B2"/>
    <w:rsid w:val="00095681"/>
    <w:rsid w:val="0009597B"/>
    <w:rsid w:val="00097071"/>
    <w:rsid w:val="000A666A"/>
    <w:rsid w:val="000A7023"/>
    <w:rsid w:val="000C17D7"/>
    <w:rsid w:val="000C225F"/>
    <w:rsid w:val="000D00CE"/>
    <w:rsid w:val="000D2647"/>
    <w:rsid w:val="000D5311"/>
    <w:rsid w:val="000E11C7"/>
    <w:rsid w:val="000E2E51"/>
    <w:rsid w:val="000E6686"/>
    <w:rsid w:val="000E6C28"/>
    <w:rsid w:val="000E6F20"/>
    <w:rsid w:val="000F7D98"/>
    <w:rsid w:val="001076FB"/>
    <w:rsid w:val="00111473"/>
    <w:rsid w:val="00113EF1"/>
    <w:rsid w:val="00113FB8"/>
    <w:rsid w:val="00115418"/>
    <w:rsid w:val="00133276"/>
    <w:rsid w:val="0014232F"/>
    <w:rsid w:val="00147E5C"/>
    <w:rsid w:val="00152BE7"/>
    <w:rsid w:val="00156CD5"/>
    <w:rsid w:val="0016386D"/>
    <w:rsid w:val="001951FA"/>
    <w:rsid w:val="00195B89"/>
    <w:rsid w:val="00195EFD"/>
    <w:rsid w:val="001965A1"/>
    <w:rsid w:val="001A73B2"/>
    <w:rsid w:val="001A760B"/>
    <w:rsid w:val="001B0FD0"/>
    <w:rsid w:val="001B200B"/>
    <w:rsid w:val="001B255B"/>
    <w:rsid w:val="001B2790"/>
    <w:rsid w:val="001B524C"/>
    <w:rsid w:val="001C196A"/>
    <w:rsid w:val="001C3C85"/>
    <w:rsid w:val="001C7CE1"/>
    <w:rsid w:val="001D064B"/>
    <w:rsid w:val="001D51E4"/>
    <w:rsid w:val="001E21EC"/>
    <w:rsid w:val="001E53DD"/>
    <w:rsid w:val="001E6836"/>
    <w:rsid w:val="00216A2A"/>
    <w:rsid w:val="00223123"/>
    <w:rsid w:val="0022411E"/>
    <w:rsid w:val="0022497C"/>
    <w:rsid w:val="00230C7F"/>
    <w:rsid w:val="002325EF"/>
    <w:rsid w:val="00234185"/>
    <w:rsid w:val="00237E35"/>
    <w:rsid w:val="00240259"/>
    <w:rsid w:val="00240DCC"/>
    <w:rsid w:val="002427E5"/>
    <w:rsid w:val="00247F62"/>
    <w:rsid w:val="00250444"/>
    <w:rsid w:val="00257EF5"/>
    <w:rsid w:val="00261DD7"/>
    <w:rsid w:val="00265B6D"/>
    <w:rsid w:val="00267357"/>
    <w:rsid w:val="00273DAE"/>
    <w:rsid w:val="0027686A"/>
    <w:rsid w:val="002868F9"/>
    <w:rsid w:val="00286C70"/>
    <w:rsid w:val="00296248"/>
    <w:rsid w:val="002A4A4B"/>
    <w:rsid w:val="002B004B"/>
    <w:rsid w:val="002B45B9"/>
    <w:rsid w:val="002D17C5"/>
    <w:rsid w:val="002D1DAD"/>
    <w:rsid w:val="002D3BE7"/>
    <w:rsid w:val="002E1DA0"/>
    <w:rsid w:val="002E4F24"/>
    <w:rsid w:val="002E6DD0"/>
    <w:rsid w:val="002F1D8B"/>
    <w:rsid w:val="002F580F"/>
    <w:rsid w:val="003011BB"/>
    <w:rsid w:val="00306591"/>
    <w:rsid w:val="0031059C"/>
    <w:rsid w:val="003138B0"/>
    <w:rsid w:val="003421C6"/>
    <w:rsid w:val="00350812"/>
    <w:rsid w:val="00354067"/>
    <w:rsid w:val="00362B05"/>
    <w:rsid w:val="003650CE"/>
    <w:rsid w:val="00366EC8"/>
    <w:rsid w:val="003731B7"/>
    <w:rsid w:val="003817F1"/>
    <w:rsid w:val="00386B05"/>
    <w:rsid w:val="00394257"/>
    <w:rsid w:val="003A253B"/>
    <w:rsid w:val="003B098D"/>
    <w:rsid w:val="003C5624"/>
    <w:rsid w:val="003C73D0"/>
    <w:rsid w:val="003D0802"/>
    <w:rsid w:val="003D6A51"/>
    <w:rsid w:val="003E1FBD"/>
    <w:rsid w:val="003E67D0"/>
    <w:rsid w:val="003E7E2E"/>
    <w:rsid w:val="003F2182"/>
    <w:rsid w:val="003F2EE7"/>
    <w:rsid w:val="003F3470"/>
    <w:rsid w:val="003F5078"/>
    <w:rsid w:val="00405378"/>
    <w:rsid w:val="00411838"/>
    <w:rsid w:val="004169FD"/>
    <w:rsid w:val="00421BC3"/>
    <w:rsid w:val="00430A34"/>
    <w:rsid w:val="00434624"/>
    <w:rsid w:val="00434F8E"/>
    <w:rsid w:val="00436095"/>
    <w:rsid w:val="00440282"/>
    <w:rsid w:val="004435BD"/>
    <w:rsid w:val="00446317"/>
    <w:rsid w:val="0044748E"/>
    <w:rsid w:val="00450FD7"/>
    <w:rsid w:val="00460E12"/>
    <w:rsid w:val="004622DC"/>
    <w:rsid w:val="00463253"/>
    <w:rsid w:val="00470724"/>
    <w:rsid w:val="00482CE3"/>
    <w:rsid w:val="00487FAC"/>
    <w:rsid w:val="00496C62"/>
    <w:rsid w:val="004B6D8F"/>
    <w:rsid w:val="004D3D7C"/>
    <w:rsid w:val="004D4E05"/>
    <w:rsid w:val="004D732D"/>
    <w:rsid w:val="004E26F0"/>
    <w:rsid w:val="004E3B7F"/>
    <w:rsid w:val="004E4DD1"/>
    <w:rsid w:val="004E538C"/>
    <w:rsid w:val="004E6F58"/>
    <w:rsid w:val="004F666C"/>
    <w:rsid w:val="005015E9"/>
    <w:rsid w:val="005026C2"/>
    <w:rsid w:val="00502BBF"/>
    <w:rsid w:val="0050468F"/>
    <w:rsid w:val="0050622A"/>
    <w:rsid w:val="0051530E"/>
    <w:rsid w:val="00522800"/>
    <w:rsid w:val="00524A7D"/>
    <w:rsid w:val="005274DE"/>
    <w:rsid w:val="005278B5"/>
    <w:rsid w:val="005339CD"/>
    <w:rsid w:val="00543720"/>
    <w:rsid w:val="00545797"/>
    <w:rsid w:val="00545D9D"/>
    <w:rsid w:val="00550433"/>
    <w:rsid w:val="00557AA3"/>
    <w:rsid w:val="005646F3"/>
    <w:rsid w:val="00574131"/>
    <w:rsid w:val="00581584"/>
    <w:rsid w:val="00590D96"/>
    <w:rsid w:val="005A1BC8"/>
    <w:rsid w:val="005A2385"/>
    <w:rsid w:val="005A4CCB"/>
    <w:rsid w:val="005A4ECE"/>
    <w:rsid w:val="005A6D21"/>
    <w:rsid w:val="005B136E"/>
    <w:rsid w:val="005B3D48"/>
    <w:rsid w:val="005B3E61"/>
    <w:rsid w:val="005B4294"/>
    <w:rsid w:val="005B49CF"/>
    <w:rsid w:val="005B7049"/>
    <w:rsid w:val="005C0117"/>
    <w:rsid w:val="005D268C"/>
    <w:rsid w:val="005D66E3"/>
    <w:rsid w:val="005D6A31"/>
    <w:rsid w:val="005D7121"/>
    <w:rsid w:val="005E0338"/>
    <w:rsid w:val="005E2072"/>
    <w:rsid w:val="005E4CD2"/>
    <w:rsid w:val="005F3A4D"/>
    <w:rsid w:val="00600BE5"/>
    <w:rsid w:val="0060145E"/>
    <w:rsid w:val="006030EA"/>
    <w:rsid w:val="00613CFD"/>
    <w:rsid w:val="006147C7"/>
    <w:rsid w:val="00615E9B"/>
    <w:rsid w:val="00615FF8"/>
    <w:rsid w:val="00616D18"/>
    <w:rsid w:val="006172D0"/>
    <w:rsid w:val="00623ED5"/>
    <w:rsid w:val="0063026D"/>
    <w:rsid w:val="00634097"/>
    <w:rsid w:val="00637DFF"/>
    <w:rsid w:val="00642B39"/>
    <w:rsid w:val="00650485"/>
    <w:rsid w:val="006519F7"/>
    <w:rsid w:val="006554C5"/>
    <w:rsid w:val="006733F1"/>
    <w:rsid w:val="00674B5F"/>
    <w:rsid w:val="00683C8B"/>
    <w:rsid w:val="00686087"/>
    <w:rsid w:val="00687D21"/>
    <w:rsid w:val="00694DB1"/>
    <w:rsid w:val="0069539C"/>
    <w:rsid w:val="0069712C"/>
    <w:rsid w:val="006B4F59"/>
    <w:rsid w:val="006C412F"/>
    <w:rsid w:val="006C6366"/>
    <w:rsid w:val="006D5D38"/>
    <w:rsid w:val="006D69B4"/>
    <w:rsid w:val="006E1B56"/>
    <w:rsid w:val="006E5C4E"/>
    <w:rsid w:val="006F2B6C"/>
    <w:rsid w:val="006F67F3"/>
    <w:rsid w:val="006F7A79"/>
    <w:rsid w:val="006F7B7E"/>
    <w:rsid w:val="00700961"/>
    <w:rsid w:val="00700BB2"/>
    <w:rsid w:val="00703418"/>
    <w:rsid w:val="00705541"/>
    <w:rsid w:val="007106F9"/>
    <w:rsid w:val="0071231A"/>
    <w:rsid w:val="00713A13"/>
    <w:rsid w:val="007210EE"/>
    <w:rsid w:val="00724241"/>
    <w:rsid w:val="00744EFB"/>
    <w:rsid w:val="00750BE5"/>
    <w:rsid w:val="007513DF"/>
    <w:rsid w:val="0075622C"/>
    <w:rsid w:val="00766FA7"/>
    <w:rsid w:val="00785322"/>
    <w:rsid w:val="00796003"/>
    <w:rsid w:val="00796846"/>
    <w:rsid w:val="007A2284"/>
    <w:rsid w:val="007A3C0E"/>
    <w:rsid w:val="007A3C7C"/>
    <w:rsid w:val="007A55B6"/>
    <w:rsid w:val="007B44E4"/>
    <w:rsid w:val="007B56AF"/>
    <w:rsid w:val="007B5EF5"/>
    <w:rsid w:val="007C2245"/>
    <w:rsid w:val="007C2A67"/>
    <w:rsid w:val="007C5A6E"/>
    <w:rsid w:val="007D267D"/>
    <w:rsid w:val="007D30A9"/>
    <w:rsid w:val="007D6D24"/>
    <w:rsid w:val="007E1C10"/>
    <w:rsid w:val="007E6B7A"/>
    <w:rsid w:val="007E7FD5"/>
    <w:rsid w:val="008003EA"/>
    <w:rsid w:val="008019A6"/>
    <w:rsid w:val="00806A5C"/>
    <w:rsid w:val="00810972"/>
    <w:rsid w:val="008147A5"/>
    <w:rsid w:val="0082205B"/>
    <w:rsid w:val="008301A4"/>
    <w:rsid w:val="008324C4"/>
    <w:rsid w:val="00833DA0"/>
    <w:rsid w:val="008340F2"/>
    <w:rsid w:val="0083652E"/>
    <w:rsid w:val="00843527"/>
    <w:rsid w:val="00857300"/>
    <w:rsid w:val="008577A0"/>
    <w:rsid w:val="00863758"/>
    <w:rsid w:val="008660C6"/>
    <w:rsid w:val="00871598"/>
    <w:rsid w:val="008803AA"/>
    <w:rsid w:val="00887FCD"/>
    <w:rsid w:val="00893825"/>
    <w:rsid w:val="008A40EE"/>
    <w:rsid w:val="008A659C"/>
    <w:rsid w:val="008B03C3"/>
    <w:rsid w:val="008B2626"/>
    <w:rsid w:val="008B2D5D"/>
    <w:rsid w:val="008C1CD8"/>
    <w:rsid w:val="008C462A"/>
    <w:rsid w:val="008C75EB"/>
    <w:rsid w:val="008D12D8"/>
    <w:rsid w:val="008F0218"/>
    <w:rsid w:val="008F11C5"/>
    <w:rsid w:val="008F6B20"/>
    <w:rsid w:val="00902609"/>
    <w:rsid w:val="0090464C"/>
    <w:rsid w:val="00907414"/>
    <w:rsid w:val="00923247"/>
    <w:rsid w:val="009242C0"/>
    <w:rsid w:val="00932DA7"/>
    <w:rsid w:val="00941597"/>
    <w:rsid w:val="0095173F"/>
    <w:rsid w:val="00952C38"/>
    <w:rsid w:val="00961EDB"/>
    <w:rsid w:val="00970468"/>
    <w:rsid w:val="009752E9"/>
    <w:rsid w:val="0098104D"/>
    <w:rsid w:val="00982120"/>
    <w:rsid w:val="00987696"/>
    <w:rsid w:val="009A4647"/>
    <w:rsid w:val="009A4CEF"/>
    <w:rsid w:val="009C5419"/>
    <w:rsid w:val="009C565F"/>
    <w:rsid w:val="009D114C"/>
    <w:rsid w:val="009D14D7"/>
    <w:rsid w:val="009D3554"/>
    <w:rsid w:val="009F01F5"/>
    <w:rsid w:val="009F4D84"/>
    <w:rsid w:val="009F52C8"/>
    <w:rsid w:val="00A03DE8"/>
    <w:rsid w:val="00A121B3"/>
    <w:rsid w:val="00A141AE"/>
    <w:rsid w:val="00A21421"/>
    <w:rsid w:val="00A22B83"/>
    <w:rsid w:val="00A31B89"/>
    <w:rsid w:val="00A51E41"/>
    <w:rsid w:val="00A53D41"/>
    <w:rsid w:val="00A600EC"/>
    <w:rsid w:val="00A60E4F"/>
    <w:rsid w:val="00A72F6D"/>
    <w:rsid w:val="00A736AE"/>
    <w:rsid w:val="00A779A1"/>
    <w:rsid w:val="00A828DD"/>
    <w:rsid w:val="00A82967"/>
    <w:rsid w:val="00A86541"/>
    <w:rsid w:val="00A875B4"/>
    <w:rsid w:val="00A90AC8"/>
    <w:rsid w:val="00AA380A"/>
    <w:rsid w:val="00AA3E1E"/>
    <w:rsid w:val="00AA4E1F"/>
    <w:rsid w:val="00AB2213"/>
    <w:rsid w:val="00AB5030"/>
    <w:rsid w:val="00AB7276"/>
    <w:rsid w:val="00AC37F8"/>
    <w:rsid w:val="00AD28F9"/>
    <w:rsid w:val="00AD5F3D"/>
    <w:rsid w:val="00AE06D5"/>
    <w:rsid w:val="00AE2797"/>
    <w:rsid w:val="00AE487F"/>
    <w:rsid w:val="00AE6FB5"/>
    <w:rsid w:val="00AF64CE"/>
    <w:rsid w:val="00B045C9"/>
    <w:rsid w:val="00B06369"/>
    <w:rsid w:val="00B0691C"/>
    <w:rsid w:val="00B123F0"/>
    <w:rsid w:val="00B163D1"/>
    <w:rsid w:val="00B3340F"/>
    <w:rsid w:val="00B33848"/>
    <w:rsid w:val="00B33B60"/>
    <w:rsid w:val="00B344E8"/>
    <w:rsid w:val="00B40BA5"/>
    <w:rsid w:val="00B43BA7"/>
    <w:rsid w:val="00B46A1F"/>
    <w:rsid w:val="00B51CDF"/>
    <w:rsid w:val="00B57693"/>
    <w:rsid w:val="00B632A5"/>
    <w:rsid w:val="00B663D5"/>
    <w:rsid w:val="00B67B35"/>
    <w:rsid w:val="00B74F09"/>
    <w:rsid w:val="00B82508"/>
    <w:rsid w:val="00B84C8D"/>
    <w:rsid w:val="00B84C8F"/>
    <w:rsid w:val="00B87C40"/>
    <w:rsid w:val="00B87EA1"/>
    <w:rsid w:val="00B90782"/>
    <w:rsid w:val="00B90F06"/>
    <w:rsid w:val="00BA001F"/>
    <w:rsid w:val="00BA44F0"/>
    <w:rsid w:val="00BA47C4"/>
    <w:rsid w:val="00BB5225"/>
    <w:rsid w:val="00BC3737"/>
    <w:rsid w:val="00BC4C4C"/>
    <w:rsid w:val="00BC7B10"/>
    <w:rsid w:val="00BD5772"/>
    <w:rsid w:val="00BD7138"/>
    <w:rsid w:val="00BF25BE"/>
    <w:rsid w:val="00BF6739"/>
    <w:rsid w:val="00BF6F02"/>
    <w:rsid w:val="00C0013A"/>
    <w:rsid w:val="00C00FB2"/>
    <w:rsid w:val="00C017A8"/>
    <w:rsid w:val="00C0491E"/>
    <w:rsid w:val="00C06607"/>
    <w:rsid w:val="00C0793A"/>
    <w:rsid w:val="00C07EB0"/>
    <w:rsid w:val="00C10BB6"/>
    <w:rsid w:val="00C177ED"/>
    <w:rsid w:val="00C21ED9"/>
    <w:rsid w:val="00C27663"/>
    <w:rsid w:val="00C33CD6"/>
    <w:rsid w:val="00C37DBF"/>
    <w:rsid w:val="00C51796"/>
    <w:rsid w:val="00C5357B"/>
    <w:rsid w:val="00C60A5C"/>
    <w:rsid w:val="00C76DE7"/>
    <w:rsid w:val="00C7799C"/>
    <w:rsid w:val="00C77A29"/>
    <w:rsid w:val="00C8074E"/>
    <w:rsid w:val="00C81A43"/>
    <w:rsid w:val="00C82EB5"/>
    <w:rsid w:val="00C8302F"/>
    <w:rsid w:val="00C915F9"/>
    <w:rsid w:val="00C96B37"/>
    <w:rsid w:val="00CA4852"/>
    <w:rsid w:val="00CA5F5D"/>
    <w:rsid w:val="00CB1E9F"/>
    <w:rsid w:val="00CB7E8D"/>
    <w:rsid w:val="00CC4ECA"/>
    <w:rsid w:val="00CD29F5"/>
    <w:rsid w:val="00CD71B5"/>
    <w:rsid w:val="00CE13A1"/>
    <w:rsid w:val="00CE3523"/>
    <w:rsid w:val="00CE38FD"/>
    <w:rsid w:val="00CE6E9A"/>
    <w:rsid w:val="00CF116D"/>
    <w:rsid w:val="00CF40B4"/>
    <w:rsid w:val="00D047CE"/>
    <w:rsid w:val="00D05BA7"/>
    <w:rsid w:val="00D070A0"/>
    <w:rsid w:val="00D14440"/>
    <w:rsid w:val="00D202C5"/>
    <w:rsid w:val="00D25168"/>
    <w:rsid w:val="00D27DE0"/>
    <w:rsid w:val="00D37838"/>
    <w:rsid w:val="00D41266"/>
    <w:rsid w:val="00D41D5C"/>
    <w:rsid w:val="00D56454"/>
    <w:rsid w:val="00D56590"/>
    <w:rsid w:val="00D60C45"/>
    <w:rsid w:val="00D6204F"/>
    <w:rsid w:val="00D65292"/>
    <w:rsid w:val="00D652DD"/>
    <w:rsid w:val="00D71BAC"/>
    <w:rsid w:val="00D75C65"/>
    <w:rsid w:val="00D82686"/>
    <w:rsid w:val="00D87606"/>
    <w:rsid w:val="00D925E3"/>
    <w:rsid w:val="00DA71BF"/>
    <w:rsid w:val="00DA7701"/>
    <w:rsid w:val="00DC18FB"/>
    <w:rsid w:val="00DC5282"/>
    <w:rsid w:val="00DD4698"/>
    <w:rsid w:val="00DD5F98"/>
    <w:rsid w:val="00E0377F"/>
    <w:rsid w:val="00E118C5"/>
    <w:rsid w:val="00E221AD"/>
    <w:rsid w:val="00E248BF"/>
    <w:rsid w:val="00E3083D"/>
    <w:rsid w:val="00E34455"/>
    <w:rsid w:val="00E41987"/>
    <w:rsid w:val="00E47DF5"/>
    <w:rsid w:val="00E51106"/>
    <w:rsid w:val="00E5155C"/>
    <w:rsid w:val="00E572DD"/>
    <w:rsid w:val="00E65C36"/>
    <w:rsid w:val="00E72185"/>
    <w:rsid w:val="00E74D37"/>
    <w:rsid w:val="00E75E9F"/>
    <w:rsid w:val="00E8083A"/>
    <w:rsid w:val="00EA1326"/>
    <w:rsid w:val="00EA2FF8"/>
    <w:rsid w:val="00EB114E"/>
    <w:rsid w:val="00EC0AB1"/>
    <w:rsid w:val="00EC1F06"/>
    <w:rsid w:val="00ED045D"/>
    <w:rsid w:val="00ED0BF3"/>
    <w:rsid w:val="00ED4A74"/>
    <w:rsid w:val="00EE16F9"/>
    <w:rsid w:val="00EE1C2E"/>
    <w:rsid w:val="00EE78CD"/>
    <w:rsid w:val="00EF0AFB"/>
    <w:rsid w:val="00EF22B0"/>
    <w:rsid w:val="00EF5437"/>
    <w:rsid w:val="00F01702"/>
    <w:rsid w:val="00F017BC"/>
    <w:rsid w:val="00F02A78"/>
    <w:rsid w:val="00F0384E"/>
    <w:rsid w:val="00F154B6"/>
    <w:rsid w:val="00F2618A"/>
    <w:rsid w:val="00F273B9"/>
    <w:rsid w:val="00F30AB1"/>
    <w:rsid w:val="00F3200A"/>
    <w:rsid w:val="00F348AF"/>
    <w:rsid w:val="00F40AD3"/>
    <w:rsid w:val="00F41205"/>
    <w:rsid w:val="00F456B3"/>
    <w:rsid w:val="00F504A9"/>
    <w:rsid w:val="00F569B6"/>
    <w:rsid w:val="00F60953"/>
    <w:rsid w:val="00F71197"/>
    <w:rsid w:val="00F75917"/>
    <w:rsid w:val="00F82122"/>
    <w:rsid w:val="00F8556D"/>
    <w:rsid w:val="00F90AAB"/>
    <w:rsid w:val="00F92DEA"/>
    <w:rsid w:val="00F9462B"/>
    <w:rsid w:val="00FA11F2"/>
    <w:rsid w:val="00FA5247"/>
    <w:rsid w:val="00FA6A63"/>
    <w:rsid w:val="00FB17CB"/>
    <w:rsid w:val="00FB653E"/>
    <w:rsid w:val="00FB78DA"/>
    <w:rsid w:val="00FB7CD6"/>
    <w:rsid w:val="00FB7FE0"/>
    <w:rsid w:val="00FC11A8"/>
    <w:rsid w:val="00FC4994"/>
    <w:rsid w:val="00FD47A5"/>
    <w:rsid w:val="00FD4883"/>
    <w:rsid w:val="00FE2F10"/>
    <w:rsid w:val="00FE30D7"/>
    <w:rsid w:val="00FE71CE"/>
    <w:rsid w:val="00FF1FF1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TOC Heading" w:semiHidden="1" w:unhideWhenUsed="1" w:qFormat="1"/>
  </w:latentStyles>
  <w:style w:type="paragraph" w:default="1" w:styleId="Normal">
    <w:name w:val="Normal"/>
    <w:qFormat/>
    <w:rsid w:val="00AF64CE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097071"/>
    <w:pPr>
      <w:outlineLvl w:val="0"/>
    </w:pPr>
    <w:rPr>
      <w:rFonts w:cs="Arial"/>
      <w:bCs/>
      <w:szCs w:val="32"/>
    </w:rPr>
  </w:style>
  <w:style w:type="paragraph" w:styleId="Ttulo2">
    <w:name w:val="heading 2"/>
    <w:basedOn w:val="Normal"/>
    <w:next w:val="Normal"/>
    <w:qFormat/>
    <w:rsid w:val="00097071"/>
    <w:pPr>
      <w:outlineLvl w:val="1"/>
    </w:pPr>
    <w:rPr>
      <w:rFonts w:cs="Arial"/>
      <w:bCs/>
      <w:iCs/>
      <w:szCs w:val="28"/>
    </w:rPr>
  </w:style>
  <w:style w:type="paragraph" w:styleId="Ttulo3">
    <w:name w:val="heading 3"/>
    <w:basedOn w:val="Normal"/>
    <w:next w:val="Normal"/>
    <w:qFormat/>
    <w:rsid w:val="00097071"/>
    <w:pPr>
      <w:outlineLvl w:val="2"/>
    </w:pPr>
    <w:rPr>
      <w:rFonts w:cs="Arial"/>
      <w:bCs/>
      <w:szCs w:val="26"/>
    </w:rPr>
  </w:style>
  <w:style w:type="paragraph" w:styleId="Ttulo4">
    <w:name w:val="heading 4"/>
    <w:basedOn w:val="Normal"/>
    <w:next w:val="Normal"/>
    <w:qFormat/>
    <w:rsid w:val="00097071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qFormat/>
    <w:rsid w:val="00097071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qFormat/>
    <w:rsid w:val="00097071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qFormat/>
    <w:rsid w:val="00097071"/>
    <w:pPr>
      <w:outlineLvl w:val="6"/>
    </w:pPr>
  </w:style>
  <w:style w:type="paragraph" w:styleId="Ttulo8">
    <w:name w:val="heading 8"/>
    <w:basedOn w:val="Normal"/>
    <w:next w:val="Normal"/>
    <w:qFormat/>
    <w:rsid w:val="00097071"/>
    <w:pPr>
      <w:outlineLvl w:val="7"/>
    </w:pPr>
    <w:rPr>
      <w:iCs/>
    </w:rPr>
  </w:style>
  <w:style w:type="paragraph" w:styleId="Ttulo9">
    <w:name w:val="heading 9"/>
    <w:basedOn w:val="Normal"/>
    <w:next w:val="Normal"/>
    <w:qFormat/>
    <w:rsid w:val="00097071"/>
    <w:pPr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">
    <w:name w:val="Body"/>
    <w:basedOn w:val="Normal"/>
    <w:rsid w:val="00097071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097071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"/>
    <w:rsid w:val="00097071"/>
    <w:pPr>
      <w:spacing w:after="140" w:line="290" w:lineRule="auto"/>
      <w:ind w:left="680"/>
      <w:jc w:val="both"/>
    </w:pPr>
    <w:rPr>
      <w:kern w:val="20"/>
    </w:rPr>
  </w:style>
  <w:style w:type="paragraph" w:customStyle="1" w:styleId="Body3">
    <w:name w:val="Body 3"/>
    <w:basedOn w:val="Normal"/>
    <w:rsid w:val="00097071"/>
    <w:pPr>
      <w:spacing w:after="140" w:line="290" w:lineRule="auto"/>
      <w:ind w:left="1361"/>
      <w:jc w:val="both"/>
    </w:pPr>
    <w:rPr>
      <w:kern w:val="20"/>
    </w:rPr>
  </w:style>
  <w:style w:type="paragraph" w:customStyle="1" w:styleId="Body4">
    <w:name w:val="Body 4"/>
    <w:basedOn w:val="Normal"/>
    <w:rsid w:val="00097071"/>
    <w:pPr>
      <w:spacing w:after="140" w:line="290" w:lineRule="auto"/>
      <w:ind w:left="2041"/>
      <w:jc w:val="both"/>
    </w:pPr>
    <w:rPr>
      <w:kern w:val="20"/>
    </w:rPr>
  </w:style>
  <w:style w:type="paragraph" w:customStyle="1" w:styleId="Body5">
    <w:name w:val="Body 5"/>
    <w:basedOn w:val="Normal"/>
    <w:rsid w:val="00097071"/>
    <w:pPr>
      <w:spacing w:after="140" w:line="290" w:lineRule="auto"/>
      <w:ind w:left="2608"/>
      <w:jc w:val="both"/>
    </w:pPr>
    <w:rPr>
      <w:kern w:val="20"/>
    </w:rPr>
  </w:style>
  <w:style w:type="paragraph" w:customStyle="1" w:styleId="Body6">
    <w:name w:val="Body 6"/>
    <w:basedOn w:val="Normal"/>
    <w:rsid w:val="00097071"/>
    <w:pPr>
      <w:spacing w:after="140" w:line="290" w:lineRule="auto"/>
      <w:ind w:left="3288"/>
      <w:jc w:val="both"/>
    </w:pPr>
    <w:rPr>
      <w:kern w:val="20"/>
    </w:rPr>
  </w:style>
  <w:style w:type="paragraph" w:customStyle="1" w:styleId="Level1">
    <w:name w:val="Level 1"/>
    <w:basedOn w:val="Normal"/>
    <w:next w:val="Body1"/>
    <w:uiPriority w:val="99"/>
    <w:rsid w:val="00097071"/>
    <w:pPr>
      <w:keepNext/>
      <w:numPr>
        <w:numId w:val="20"/>
      </w:numPr>
      <w:tabs>
        <w:tab w:val="clear" w:pos="680"/>
      </w:tabs>
      <w:spacing w:before="280" w:after="140" w:line="290" w:lineRule="auto"/>
      <w:jc w:val="both"/>
      <w:outlineLvl w:val="0"/>
    </w:pPr>
    <w:rPr>
      <w:b/>
      <w:bCs/>
      <w:kern w:val="20"/>
      <w:sz w:val="22"/>
      <w:szCs w:val="32"/>
    </w:rPr>
  </w:style>
  <w:style w:type="paragraph" w:customStyle="1" w:styleId="Level2">
    <w:name w:val="Level 2"/>
    <w:basedOn w:val="Normal"/>
    <w:uiPriority w:val="99"/>
    <w:rsid w:val="00ED4A74"/>
    <w:pPr>
      <w:numPr>
        <w:ilvl w:val="1"/>
        <w:numId w:val="20"/>
      </w:numPr>
      <w:tabs>
        <w:tab w:val="clear" w:pos="680"/>
      </w:tabs>
      <w:spacing w:after="140" w:line="290" w:lineRule="auto"/>
      <w:jc w:val="both"/>
      <w:outlineLvl w:val="1"/>
    </w:pPr>
    <w:rPr>
      <w:kern w:val="20"/>
      <w:szCs w:val="28"/>
    </w:rPr>
  </w:style>
  <w:style w:type="paragraph" w:customStyle="1" w:styleId="Level3">
    <w:name w:val="Level 3"/>
    <w:basedOn w:val="Normal"/>
    <w:uiPriority w:val="99"/>
    <w:rsid w:val="00ED4A74"/>
    <w:pPr>
      <w:numPr>
        <w:ilvl w:val="2"/>
        <w:numId w:val="20"/>
      </w:numPr>
      <w:tabs>
        <w:tab w:val="clear" w:pos="1361"/>
      </w:tabs>
      <w:spacing w:after="140" w:line="290" w:lineRule="auto"/>
      <w:ind w:hanging="680"/>
      <w:jc w:val="both"/>
      <w:outlineLvl w:val="2"/>
    </w:pPr>
    <w:rPr>
      <w:kern w:val="20"/>
      <w:szCs w:val="28"/>
    </w:rPr>
  </w:style>
  <w:style w:type="paragraph" w:customStyle="1" w:styleId="Level4">
    <w:name w:val="Level 4"/>
    <w:basedOn w:val="Normal"/>
    <w:uiPriority w:val="99"/>
    <w:rsid w:val="00ED4A74"/>
    <w:pPr>
      <w:numPr>
        <w:ilvl w:val="3"/>
        <w:numId w:val="20"/>
      </w:numPr>
      <w:tabs>
        <w:tab w:val="clear" w:pos="2041"/>
      </w:tabs>
      <w:spacing w:after="140" w:line="290" w:lineRule="auto"/>
      <w:jc w:val="both"/>
      <w:outlineLvl w:val="3"/>
    </w:pPr>
    <w:rPr>
      <w:kern w:val="20"/>
    </w:rPr>
  </w:style>
  <w:style w:type="paragraph" w:customStyle="1" w:styleId="Level5">
    <w:name w:val="Level 5"/>
    <w:basedOn w:val="Normal"/>
    <w:uiPriority w:val="99"/>
    <w:rsid w:val="00ED4A74"/>
    <w:pPr>
      <w:numPr>
        <w:ilvl w:val="4"/>
        <w:numId w:val="20"/>
      </w:numPr>
      <w:tabs>
        <w:tab w:val="clear" w:pos="2608"/>
      </w:tabs>
      <w:spacing w:after="140" w:line="290" w:lineRule="auto"/>
      <w:jc w:val="both"/>
      <w:outlineLvl w:val="4"/>
    </w:pPr>
    <w:rPr>
      <w:kern w:val="20"/>
    </w:rPr>
  </w:style>
  <w:style w:type="paragraph" w:customStyle="1" w:styleId="Level6">
    <w:name w:val="Level 6"/>
    <w:basedOn w:val="Normal"/>
    <w:uiPriority w:val="99"/>
    <w:rsid w:val="00ED4A74"/>
    <w:pPr>
      <w:numPr>
        <w:ilvl w:val="5"/>
        <w:numId w:val="20"/>
      </w:numPr>
      <w:tabs>
        <w:tab w:val="clear" w:pos="3288"/>
      </w:tabs>
      <w:spacing w:after="140" w:line="290" w:lineRule="auto"/>
      <w:jc w:val="both"/>
      <w:outlineLvl w:val="5"/>
    </w:pPr>
    <w:rPr>
      <w:kern w:val="20"/>
    </w:rPr>
  </w:style>
  <w:style w:type="paragraph" w:customStyle="1" w:styleId="Parties">
    <w:name w:val="Parties"/>
    <w:basedOn w:val="Normal"/>
    <w:rsid w:val="00097071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097071"/>
    <w:pPr>
      <w:numPr>
        <w:numId w:val="23"/>
      </w:numPr>
      <w:spacing w:after="140" w:line="290" w:lineRule="auto"/>
      <w:jc w:val="both"/>
    </w:pPr>
    <w:rPr>
      <w:kern w:val="20"/>
    </w:rPr>
  </w:style>
  <w:style w:type="paragraph" w:customStyle="1" w:styleId="alpha1">
    <w:name w:val="alpha 1"/>
    <w:basedOn w:val="Normal"/>
    <w:rsid w:val="00097071"/>
    <w:pPr>
      <w:numPr>
        <w:numId w:val="1"/>
      </w:numPr>
      <w:spacing w:after="140" w:line="290" w:lineRule="auto"/>
      <w:jc w:val="both"/>
      <w:outlineLvl w:val="0"/>
    </w:pPr>
    <w:rPr>
      <w:kern w:val="20"/>
      <w:szCs w:val="20"/>
    </w:rPr>
  </w:style>
  <w:style w:type="paragraph" w:customStyle="1" w:styleId="alpha2">
    <w:name w:val="alpha 2"/>
    <w:basedOn w:val="Normal"/>
    <w:rsid w:val="00097071"/>
    <w:pPr>
      <w:numPr>
        <w:numId w:val="2"/>
      </w:numPr>
      <w:spacing w:after="140" w:line="290" w:lineRule="auto"/>
      <w:jc w:val="both"/>
      <w:outlineLvl w:val="1"/>
    </w:pPr>
    <w:rPr>
      <w:kern w:val="20"/>
      <w:szCs w:val="20"/>
    </w:rPr>
  </w:style>
  <w:style w:type="paragraph" w:customStyle="1" w:styleId="alpha3">
    <w:name w:val="alpha 3"/>
    <w:basedOn w:val="Normal"/>
    <w:uiPriority w:val="99"/>
    <w:rsid w:val="00097071"/>
    <w:pPr>
      <w:numPr>
        <w:numId w:val="3"/>
      </w:numPr>
      <w:spacing w:after="140" w:line="290" w:lineRule="auto"/>
      <w:jc w:val="both"/>
      <w:outlineLvl w:val="2"/>
    </w:pPr>
    <w:rPr>
      <w:kern w:val="20"/>
      <w:szCs w:val="20"/>
    </w:rPr>
  </w:style>
  <w:style w:type="paragraph" w:customStyle="1" w:styleId="alpha4">
    <w:name w:val="alpha 4"/>
    <w:basedOn w:val="Normal"/>
    <w:rsid w:val="00097071"/>
    <w:pPr>
      <w:numPr>
        <w:numId w:val="4"/>
      </w:numPr>
      <w:spacing w:after="140" w:line="290" w:lineRule="auto"/>
      <w:jc w:val="both"/>
      <w:outlineLvl w:val="3"/>
    </w:pPr>
    <w:rPr>
      <w:kern w:val="20"/>
      <w:szCs w:val="20"/>
    </w:rPr>
  </w:style>
  <w:style w:type="paragraph" w:customStyle="1" w:styleId="alpha5">
    <w:name w:val="alpha 5"/>
    <w:basedOn w:val="Normal"/>
    <w:rsid w:val="00097071"/>
    <w:pPr>
      <w:numPr>
        <w:numId w:val="5"/>
      </w:numPr>
      <w:spacing w:after="140" w:line="290" w:lineRule="auto"/>
      <w:jc w:val="both"/>
      <w:outlineLvl w:val="4"/>
    </w:pPr>
    <w:rPr>
      <w:kern w:val="20"/>
      <w:szCs w:val="20"/>
    </w:rPr>
  </w:style>
  <w:style w:type="paragraph" w:customStyle="1" w:styleId="alpha6">
    <w:name w:val="alpha 6"/>
    <w:basedOn w:val="Normal"/>
    <w:rsid w:val="00097071"/>
    <w:pPr>
      <w:numPr>
        <w:numId w:val="6"/>
      </w:numPr>
      <w:spacing w:after="140" w:line="290" w:lineRule="auto"/>
      <w:jc w:val="both"/>
      <w:outlineLvl w:val="5"/>
    </w:pPr>
    <w:rPr>
      <w:kern w:val="20"/>
      <w:szCs w:val="20"/>
    </w:rPr>
  </w:style>
  <w:style w:type="paragraph" w:customStyle="1" w:styleId="bullet1">
    <w:name w:val="bullet 1"/>
    <w:basedOn w:val="Normal"/>
    <w:rsid w:val="00097071"/>
    <w:pPr>
      <w:numPr>
        <w:numId w:val="7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bullet2">
    <w:name w:val="bullet 2"/>
    <w:basedOn w:val="Normal"/>
    <w:rsid w:val="00097071"/>
    <w:pPr>
      <w:numPr>
        <w:numId w:val="8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bullet3">
    <w:name w:val="bullet 3"/>
    <w:basedOn w:val="Normal"/>
    <w:rsid w:val="00097071"/>
    <w:pPr>
      <w:numPr>
        <w:numId w:val="9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bullet4">
    <w:name w:val="bullet 4"/>
    <w:basedOn w:val="Normal"/>
    <w:rsid w:val="00097071"/>
    <w:pPr>
      <w:numPr>
        <w:numId w:val="10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bullet5">
    <w:name w:val="bullet 5"/>
    <w:basedOn w:val="Normal"/>
    <w:rsid w:val="00097071"/>
    <w:pPr>
      <w:numPr>
        <w:numId w:val="11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bullet6">
    <w:name w:val="bullet 6"/>
    <w:basedOn w:val="Normal"/>
    <w:rsid w:val="00097071"/>
    <w:pPr>
      <w:numPr>
        <w:numId w:val="12"/>
      </w:numPr>
      <w:spacing w:after="140" w:line="290" w:lineRule="auto"/>
      <w:jc w:val="both"/>
      <w:outlineLvl w:val="5"/>
    </w:pPr>
    <w:rPr>
      <w:kern w:val="20"/>
    </w:rPr>
  </w:style>
  <w:style w:type="paragraph" w:customStyle="1" w:styleId="roman1">
    <w:name w:val="roman 1"/>
    <w:basedOn w:val="Normal"/>
    <w:rsid w:val="00097071"/>
    <w:pPr>
      <w:numPr>
        <w:numId w:val="24"/>
      </w:numPr>
      <w:spacing w:after="140" w:line="290" w:lineRule="auto"/>
      <w:jc w:val="both"/>
      <w:outlineLvl w:val="0"/>
    </w:pPr>
    <w:rPr>
      <w:kern w:val="20"/>
      <w:szCs w:val="20"/>
    </w:rPr>
  </w:style>
  <w:style w:type="paragraph" w:customStyle="1" w:styleId="roman2">
    <w:name w:val="roman 2"/>
    <w:basedOn w:val="Normal"/>
    <w:rsid w:val="00097071"/>
    <w:pPr>
      <w:numPr>
        <w:numId w:val="25"/>
      </w:numPr>
      <w:spacing w:after="140" w:line="290" w:lineRule="auto"/>
      <w:jc w:val="both"/>
      <w:outlineLvl w:val="1"/>
    </w:pPr>
    <w:rPr>
      <w:kern w:val="20"/>
      <w:szCs w:val="20"/>
    </w:rPr>
  </w:style>
  <w:style w:type="paragraph" w:customStyle="1" w:styleId="roman3">
    <w:name w:val="roman 3"/>
    <w:basedOn w:val="Normal"/>
    <w:rsid w:val="00097071"/>
    <w:pPr>
      <w:numPr>
        <w:numId w:val="26"/>
      </w:numPr>
      <w:spacing w:after="140" w:line="290" w:lineRule="auto"/>
      <w:jc w:val="both"/>
      <w:outlineLvl w:val="2"/>
    </w:pPr>
    <w:rPr>
      <w:kern w:val="20"/>
      <w:szCs w:val="20"/>
    </w:rPr>
  </w:style>
  <w:style w:type="paragraph" w:customStyle="1" w:styleId="roman4">
    <w:name w:val="roman 4"/>
    <w:basedOn w:val="Normal"/>
    <w:rsid w:val="00097071"/>
    <w:pPr>
      <w:numPr>
        <w:numId w:val="27"/>
      </w:numPr>
      <w:spacing w:after="140" w:line="290" w:lineRule="auto"/>
      <w:jc w:val="both"/>
      <w:outlineLvl w:val="3"/>
    </w:pPr>
    <w:rPr>
      <w:kern w:val="20"/>
      <w:szCs w:val="20"/>
    </w:rPr>
  </w:style>
  <w:style w:type="paragraph" w:customStyle="1" w:styleId="roman5">
    <w:name w:val="roman 5"/>
    <w:basedOn w:val="Normal"/>
    <w:rsid w:val="00097071"/>
    <w:pPr>
      <w:numPr>
        <w:numId w:val="28"/>
      </w:numPr>
      <w:spacing w:after="140" w:line="290" w:lineRule="auto"/>
      <w:jc w:val="both"/>
      <w:outlineLvl w:val="4"/>
    </w:pPr>
    <w:rPr>
      <w:kern w:val="20"/>
      <w:szCs w:val="20"/>
    </w:rPr>
  </w:style>
  <w:style w:type="paragraph" w:customStyle="1" w:styleId="roman6">
    <w:name w:val="roman 6"/>
    <w:basedOn w:val="Normal"/>
    <w:rsid w:val="00097071"/>
    <w:pPr>
      <w:numPr>
        <w:numId w:val="29"/>
      </w:numPr>
      <w:spacing w:after="140" w:line="290" w:lineRule="auto"/>
      <w:jc w:val="both"/>
      <w:outlineLvl w:val="5"/>
    </w:pPr>
    <w:rPr>
      <w:kern w:val="20"/>
      <w:szCs w:val="20"/>
    </w:rPr>
  </w:style>
  <w:style w:type="paragraph" w:customStyle="1" w:styleId="CellHead">
    <w:name w:val="CellHead"/>
    <w:basedOn w:val="Normal"/>
    <w:rsid w:val="00097071"/>
    <w:pPr>
      <w:keepNext/>
      <w:spacing w:before="60" w:after="60" w:line="259" w:lineRule="auto"/>
    </w:pPr>
    <w:rPr>
      <w:b/>
      <w:kern w:val="20"/>
    </w:rPr>
  </w:style>
  <w:style w:type="paragraph" w:styleId="Ttulo">
    <w:name w:val="Title"/>
    <w:basedOn w:val="Normal"/>
    <w:next w:val="Body"/>
    <w:qFormat/>
    <w:rsid w:val="00097071"/>
    <w:pPr>
      <w:keepNext/>
      <w:spacing w:after="240" w:line="290" w:lineRule="auto"/>
      <w:jc w:val="both"/>
      <w:outlineLvl w:val="0"/>
    </w:pPr>
    <w:rPr>
      <w:rFonts w:cs="Arial"/>
      <w:b/>
      <w:bCs/>
      <w:kern w:val="28"/>
      <w:sz w:val="25"/>
      <w:szCs w:val="32"/>
    </w:rPr>
  </w:style>
  <w:style w:type="paragraph" w:customStyle="1" w:styleId="Head1">
    <w:name w:val="Head 1"/>
    <w:basedOn w:val="Normal"/>
    <w:next w:val="Body1"/>
    <w:rsid w:val="00097071"/>
    <w:pPr>
      <w:keepNext/>
      <w:spacing w:before="280" w:after="140" w:line="290" w:lineRule="auto"/>
      <w:ind w:left="680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3"/>
    <w:rsid w:val="00097071"/>
    <w:pPr>
      <w:keepNext/>
      <w:spacing w:before="280" w:after="60" w:line="290" w:lineRule="auto"/>
      <w:ind w:left="1361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4"/>
    <w:rsid w:val="00097071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paragraph" w:customStyle="1" w:styleId="SubHead">
    <w:name w:val="SubHead"/>
    <w:basedOn w:val="Normal"/>
    <w:next w:val="Body"/>
    <w:rsid w:val="00097071"/>
    <w:pPr>
      <w:keepNext/>
      <w:spacing w:before="120" w:after="60" w:line="290" w:lineRule="auto"/>
      <w:jc w:val="both"/>
      <w:outlineLvl w:val="0"/>
    </w:pPr>
    <w:rPr>
      <w:b/>
      <w:kern w:val="21"/>
      <w:sz w:val="21"/>
    </w:rPr>
  </w:style>
  <w:style w:type="paragraph" w:customStyle="1" w:styleId="SchedApps">
    <w:name w:val="Sched/Apps"/>
    <w:basedOn w:val="Normal"/>
    <w:next w:val="Body"/>
    <w:rsid w:val="00097071"/>
    <w:pPr>
      <w:keepNext/>
      <w:pageBreakBefore/>
      <w:spacing w:after="240" w:line="290" w:lineRule="auto"/>
      <w:jc w:val="center"/>
      <w:outlineLvl w:val="3"/>
    </w:pPr>
    <w:rPr>
      <w:b/>
      <w:kern w:val="23"/>
      <w:sz w:val="23"/>
    </w:rPr>
  </w:style>
  <w:style w:type="paragraph" w:customStyle="1" w:styleId="Schedule1">
    <w:name w:val="Schedule 1"/>
    <w:basedOn w:val="Normal"/>
    <w:rsid w:val="00AF64CE"/>
    <w:pPr>
      <w:numPr>
        <w:numId w:val="44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Schedule2">
    <w:name w:val="Schedule 2"/>
    <w:basedOn w:val="Normal"/>
    <w:rsid w:val="00AF64CE"/>
    <w:pPr>
      <w:numPr>
        <w:ilvl w:val="1"/>
        <w:numId w:val="44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Schedule3">
    <w:name w:val="Schedule 3"/>
    <w:basedOn w:val="Normal"/>
    <w:rsid w:val="00AF64CE"/>
    <w:pPr>
      <w:numPr>
        <w:ilvl w:val="2"/>
        <w:numId w:val="44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Schedule4">
    <w:name w:val="Schedule 4"/>
    <w:basedOn w:val="Normal"/>
    <w:rsid w:val="00AF64CE"/>
    <w:pPr>
      <w:numPr>
        <w:ilvl w:val="3"/>
        <w:numId w:val="44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Schedule5">
    <w:name w:val="Schedule 5"/>
    <w:basedOn w:val="Normal"/>
    <w:rsid w:val="00AF64CE"/>
    <w:pPr>
      <w:numPr>
        <w:ilvl w:val="4"/>
        <w:numId w:val="44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Schedule6">
    <w:name w:val="Schedule 6"/>
    <w:basedOn w:val="Normal"/>
    <w:rsid w:val="00AF64CE"/>
    <w:pPr>
      <w:numPr>
        <w:ilvl w:val="5"/>
        <w:numId w:val="44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TCLevel1">
    <w:name w:val="T+C Level 1"/>
    <w:basedOn w:val="Normal"/>
    <w:next w:val="TCLevel2"/>
    <w:rsid w:val="00097071"/>
    <w:pPr>
      <w:keepNext/>
      <w:numPr>
        <w:numId w:val="30"/>
      </w:numPr>
      <w:spacing w:before="140" w:line="290" w:lineRule="auto"/>
      <w:jc w:val="both"/>
      <w:outlineLvl w:val="0"/>
    </w:pPr>
    <w:rPr>
      <w:b/>
      <w:kern w:val="20"/>
    </w:rPr>
  </w:style>
  <w:style w:type="paragraph" w:customStyle="1" w:styleId="TCLevel2">
    <w:name w:val="T+C Level 2"/>
    <w:basedOn w:val="Normal"/>
    <w:rsid w:val="00097071"/>
    <w:pPr>
      <w:numPr>
        <w:ilvl w:val="1"/>
        <w:numId w:val="30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TCLevel3">
    <w:name w:val="T+C Level 3"/>
    <w:basedOn w:val="Normal"/>
    <w:rsid w:val="00097071"/>
    <w:pPr>
      <w:numPr>
        <w:ilvl w:val="2"/>
        <w:numId w:val="30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TCLevel4">
    <w:name w:val="T+C Level 4"/>
    <w:basedOn w:val="Normal"/>
    <w:rsid w:val="00097071"/>
    <w:pPr>
      <w:numPr>
        <w:ilvl w:val="3"/>
        <w:numId w:val="30"/>
      </w:numPr>
      <w:spacing w:after="140" w:line="290" w:lineRule="auto"/>
      <w:jc w:val="both"/>
      <w:outlineLvl w:val="3"/>
    </w:pPr>
    <w:rPr>
      <w:kern w:val="20"/>
    </w:rPr>
  </w:style>
  <w:style w:type="paragraph" w:styleId="Fecha">
    <w:name w:val="Date"/>
    <w:basedOn w:val="Normal"/>
    <w:next w:val="Normal"/>
    <w:link w:val="FechaCar"/>
    <w:rsid w:val="00097071"/>
  </w:style>
  <w:style w:type="paragraph" w:customStyle="1" w:styleId="DocExCode">
    <w:name w:val="DocExCode"/>
    <w:basedOn w:val="Normal"/>
    <w:rsid w:val="00097071"/>
    <w:pPr>
      <w:pBdr>
        <w:top w:val="single" w:sz="4" w:space="1" w:color="auto"/>
      </w:pBdr>
    </w:pPr>
    <w:rPr>
      <w:kern w:val="20"/>
      <w:sz w:val="16"/>
    </w:rPr>
  </w:style>
  <w:style w:type="paragraph" w:customStyle="1" w:styleId="DocExCode-NoLine">
    <w:name w:val="DocExCode - No Line"/>
    <w:basedOn w:val="DocExCode"/>
    <w:rsid w:val="00097071"/>
    <w:pPr>
      <w:pBdr>
        <w:top w:val="none" w:sz="0" w:space="0" w:color="auto"/>
      </w:pBdr>
    </w:pPr>
  </w:style>
  <w:style w:type="paragraph" w:customStyle="1" w:styleId="DocumentMap">
    <w:name w:val="DocumentMap"/>
    <w:basedOn w:val="Normal"/>
    <w:rsid w:val="00097071"/>
  </w:style>
  <w:style w:type="paragraph" w:styleId="Piedepgina">
    <w:name w:val="footer"/>
    <w:basedOn w:val="Normal"/>
    <w:link w:val="PiedepginaCar"/>
    <w:uiPriority w:val="99"/>
    <w:rsid w:val="00097071"/>
    <w:pPr>
      <w:spacing w:before="120" w:after="120" w:line="290" w:lineRule="auto"/>
      <w:jc w:val="both"/>
    </w:pPr>
    <w:rPr>
      <w:kern w:val="16"/>
      <w:sz w:val="16"/>
    </w:rPr>
  </w:style>
  <w:style w:type="character" w:styleId="Refdenotaalpie">
    <w:name w:val="footnote reference"/>
    <w:rsid w:val="00097071"/>
    <w:rPr>
      <w:rFonts w:ascii="Arial" w:hAnsi="Arial"/>
      <w:kern w:val="2"/>
      <w:vertAlign w:val="superscript"/>
    </w:rPr>
  </w:style>
  <w:style w:type="paragraph" w:styleId="Textonotapie">
    <w:name w:val="footnote text"/>
    <w:basedOn w:val="Normal"/>
    <w:rsid w:val="00097071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Encabezado">
    <w:name w:val="header"/>
    <w:basedOn w:val="Normal"/>
    <w:rsid w:val="00097071"/>
    <w:pPr>
      <w:tabs>
        <w:tab w:val="center" w:pos="4366"/>
        <w:tab w:val="right" w:pos="8732"/>
      </w:tabs>
    </w:pPr>
    <w:rPr>
      <w:kern w:val="20"/>
    </w:rPr>
  </w:style>
  <w:style w:type="paragraph" w:customStyle="1" w:styleId="Level7">
    <w:name w:val="Level 7"/>
    <w:basedOn w:val="Normal"/>
    <w:uiPriority w:val="99"/>
    <w:rsid w:val="00ED4A74"/>
    <w:pPr>
      <w:numPr>
        <w:ilvl w:val="6"/>
        <w:numId w:val="20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al"/>
    <w:uiPriority w:val="99"/>
    <w:rsid w:val="00ED4A74"/>
    <w:pPr>
      <w:numPr>
        <w:ilvl w:val="7"/>
        <w:numId w:val="20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al"/>
    <w:uiPriority w:val="99"/>
    <w:rsid w:val="00ED4A74"/>
    <w:pPr>
      <w:numPr>
        <w:ilvl w:val="8"/>
        <w:numId w:val="20"/>
      </w:numPr>
      <w:spacing w:after="140" w:line="290" w:lineRule="auto"/>
      <w:jc w:val="both"/>
      <w:outlineLvl w:val="8"/>
    </w:pPr>
    <w:rPr>
      <w:kern w:val="20"/>
    </w:rPr>
  </w:style>
  <w:style w:type="character" w:styleId="Nmerodepgina">
    <w:name w:val="page number"/>
    <w:rsid w:val="00097071"/>
    <w:rPr>
      <w:rFonts w:ascii="Arial" w:hAnsi="Arial"/>
      <w:sz w:val="20"/>
    </w:rPr>
  </w:style>
  <w:style w:type="paragraph" w:customStyle="1" w:styleId="Table1">
    <w:name w:val="Table 1"/>
    <w:basedOn w:val="Normal"/>
    <w:rsid w:val="00097071"/>
    <w:pPr>
      <w:numPr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097071"/>
    <w:pPr>
      <w:numPr>
        <w:ilvl w:val="1"/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3">
    <w:name w:val="Table 3"/>
    <w:basedOn w:val="Normal"/>
    <w:rsid w:val="00097071"/>
    <w:pPr>
      <w:numPr>
        <w:ilvl w:val="2"/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4">
    <w:name w:val="Table 4"/>
    <w:basedOn w:val="Normal"/>
    <w:rsid w:val="00097071"/>
    <w:pPr>
      <w:numPr>
        <w:ilvl w:val="3"/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5">
    <w:name w:val="Table 5"/>
    <w:basedOn w:val="Normal"/>
    <w:rsid w:val="00097071"/>
    <w:pPr>
      <w:numPr>
        <w:ilvl w:val="4"/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6">
    <w:name w:val="Table 6"/>
    <w:basedOn w:val="Normal"/>
    <w:rsid w:val="00097071"/>
    <w:pPr>
      <w:numPr>
        <w:ilvl w:val="5"/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alpha">
    <w:name w:val="Table alpha"/>
    <w:basedOn w:val="CellBody"/>
    <w:rsid w:val="00097071"/>
    <w:pPr>
      <w:numPr>
        <w:numId w:val="32"/>
      </w:numPr>
    </w:pPr>
  </w:style>
  <w:style w:type="paragraph" w:customStyle="1" w:styleId="Tablebullet">
    <w:name w:val="Table bullet"/>
    <w:basedOn w:val="Normal"/>
    <w:rsid w:val="00097071"/>
    <w:pPr>
      <w:numPr>
        <w:numId w:val="33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097071"/>
    <w:pPr>
      <w:numPr>
        <w:numId w:val="34"/>
      </w:numPr>
    </w:pPr>
  </w:style>
  <w:style w:type="paragraph" w:customStyle="1" w:styleId="zFSand">
    <w:name w:val="zFSand"/>
    <w:basedOn w:val="Normal"/>
    <w:next w:val="zFSco-names"/>
    <w:rsid w:val="00097071"/>
    <w:pPr>
      <w:spacing w:line="290" w:lineRule="auto"/>
      <w:jc w:val="center"/>
    </w:pPr>
    <w:rPr>
      <w:rFonts w:eastAsia="SimSun"/>
      <w:kern w:val="20"/>
      <w:szCs w:val="20"/>
    </w:rPr>
  </w:style>
  <w:style w:type="paragraph" w:customStyle="1" w:styleId="zFSco-names">
    <w:name w:val="zFSco-names"/>
    <w:basedOn w:val="Normal"/>
    <w:next w:val="zFSand"/>
    <w:rsid w:val="00097071"/>
    <w:pPr>
      <w:spacing w:before="120" w:after="120" w:line="290" w:lineRule="auto"/>
      <w:jc w:val="center"/>
    </w:pPr>
    <w:rPr>
      <w:rFonts w:eastAsia="SimSun"/>
      <w:kern w:val="24"/>
      <w:sz w:val="24"/>
    </w:rPr>
  </w:style>
  <w:style w:type="paragraph" w:customStyle="1" w:styleId="zFSDate">
    <w:name w:val="zFSDate"/>
    <w:basedOn w:val="Normal"/>
    <w:rsid w:val="00097071"/>
    <w:pPr>
      <w:spacing w:line="290" w:lineRule="auto"/>
      <w:jc w:val="center"/>
    </w:pPr>
    <w:rPr>
      <w:kern w:val="20"/>
    </w:rPr>
  </w:style>
  <w:style w:type="character" w:styleId="Hipervnculo">
    <w:name w:val="Hyperlink"/>
    <w:rsid w:val="00097071"/>
    <w:rPr>
      <w:color w:val="AF005F"/>
      <w:u w:val="none"/>
    </w:rPr>
  </w:style>
  <w:style w:type="paragraph" w:customStyle="1" w:styleId="zFSFooter">
    <w:name w:val="zFSFooter"/>
    <w:basedOn w:val="Normal"/>
    <w:rsid w:val="00097071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al"/>
    <w:rsid w:val="00097071"/>
    <w:pPr>
      <w:spacing w:before="120" w:after="120" w:line="290" w:lineRule="auto"/>
      <w:jc w:val="center"/>
    </w:pPr>
    <w:rPr>
      <w:rFonts w:eastAsia="SimSun"/>
      <w:kern w:val="20"/>
      <w:szCs w:val="20"/>
    </w:rPr>
  </w:style>
  <w:style w:type="paragraph" w:customStyle="1" w:styleId="zFSTitle">
    <w:name w:val="zFSTitle"/>
    <w:basedOn w:val="Normal"/>
    <w:next w:val="zFSNarrative"/>
    <w:rsid w:val="00097071"/>
    <w:pPr>
      <w:keepNext/>
      <w:spacing w:before="240" w:after="120" w:line="290" w:lineRule="auto"/>
      <w:jc w:val="center"/>
    </w:pPr>
    <w:rPr>
      <w:rFonts w:eastAsia="SimSun"/>
      <w:sz w:val="28"/>
      <w:szCs w:val="28"/>
    </w:rPr>
  </w:style>
  <w:style w:type="character" w:styleId="Refdenotaalfinal">
    <w:name w:val="endnote reference"/>
    <w:rsid w:val="00097071"/>
    <w:rPr>
      <w:rFonts w:ascii="Arial" w:hAnsi="Arial"/>
      <w:vertAlign w:val="superscript"/>
    </w:rPr>
  </w:style>
  <w:style w:type="paragraph" w:styleId="Textonotaalfinal">
    <w:name w:val="endnote text"/>
    <w:basedOn w:val="Normal"/>
    <w:rsid w:val="00D41D5C"/>
    <w:pPr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customStyle="1" w:styleId="Head">
    <w:name w:val="Head"/>
    <w:basedOn w:val="Normal"/>
    <w:next w:val="Body"/>
    <w:rsid w:val="00097071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styleId="Textoconsangra">
    <w:name w:val="table of authorities"/>
    <w:basedOn w:val="Normal"/>
    <w:next w:val="Normal"/>
    <w:rsid w:val="00097071"/>
    <w:pPr>
      <w:ind w:left="200" w:hanging="200"/>
    </w:pPr>
  </w:style>
  <w:style w:type="paragraph" w:customStyle="1" w:styleId="CellBody">
    <w:name w:val="CellBody"/>
    <w:basedOn w:val="Normal"/>
    <w:rsid w:val="00097071"/>
    <w:pPr>
      <w:spacing w:before="60" w:after="60" w:line="290" w:lineRule="auto"/>
    </w:pPr>
    <w:rPr>
      <w:kern w:val="20"/>
      <w:szCs w:val="20"/>
    </w:rPr>
  </w:style>
  <w:style w:type="paragraph" w:customStyle="1" w:styleId="zSFRef">
    <w:name w:val="zSFRef"/>
    <w:basedOn w:val="Normal"/>
    <w:rsid w:val="00097071"/>
    <w:rPr>
      <w:rFonts w:eastAsia="SimSun"/>
      <w:kern w:val="16"/>
      <w:sz w:val="16"/>
      <w:szCs w:val="16"/>
    </w:rPr>
  </w:style>
  <w:style w:type="paragraph" w:customStyle="1" w:styleId="UCAlpha1">
    <w:name w:val="UCAlpha 1"/>
    <w:basedOn w:val="Normal"/>
    <w:rsid w:val="00097071"/>
    <w:pPr>
      <w:numPr>
        <w:numId w:val="35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UCAlpha2">
    <w:name w:val="UCAlpha 2"/>
    <w:basedOn w:val="Normal"/>
    <w:rsid w:val="00097071"/>
    <w:pPr>
      <w:numPr>
        <w:numId w:val="36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UCAlpha3">
    <w:name w:val="UCAlpha 3"/>
    <w:basedOn w:val="Normal"/>
    <w:rsid w:val="00097071"/>
    <w:pPr>
      <w:numPr>
        <w:numId w:val="37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UCAlpha4">
    <w:name w:val="UCAlpha 4"/>
    <w:basedOn w:val="Normal"/>
    <w:rsid w:val="00097071"/>
    <w:pPr>
      <w:numPr>
        <w:numId w:val="38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UCAlpha5">
    <w:name w:val="UCAlpha 5"/>
    <w:basedOn w:val="Normal"/>
    <w:rsid w:val="00097071"/>
    <w:pPr>
      <w:numPr>
        <w:numId w:val="39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UCAlpha6">
    <w:name w:val="UCAlpha 6"/>
    <w:basedOn w:val="Normal"/>
    <w:rsid w:val="00097071"/>
    <w:pPr>
      <w:numPr>
        <w:numId w:val="40"/>
      </w:numPr>
      <w:spacing w:after="140" w:line="290" w:lineRule="auto"/>
      <w:jc w:val="both"/>
      <w:outlineLvl w:val="5"/>
    </w:pPr>
    <w:rPr>
      <w:kern w:val="20"/>
    </w:rPr>
  </w:style>
  <w:style w:type="paragraph" w:customStyle="1" w:styleId="UCRoman1">
    <w:name w:val="UCRoman 1"/>
    <w:basedOn w:val="Normal"/>
    <w:rsid w:val="00097071"/>
    <w:pPr>
      <w:numPr>
        <w:numId w:val="41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UCRoman2">
    <w:name w:val="UCRoman 2"/>
    <w:basedOn w:val="Normal"/>
    <w:rsid w:val="00097071"/>
    <w:pPr>
      <w:numPr>
        <w:numId w:val="42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doublealpha">
    <w:name w:val="double alpha"/>
    <w:basedOn w:val="Normal"/>
    <w:rsid w:val="00097071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ListNumbers">
    <w:name w:val="List Numbers"/>
    <w:basedOn w:val="Normal"/>
    <w:rsid w:val="00097071"/>
    <w:pPr>
      <w:numPr>
        <w:numId w:val="21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dashbullet1">
    <w:name w:val="dash bullet 1"/>
    <w:basedOn w:val="Normal"/>
    <w:rsid w:val="00097071"/>
    <w:pPr>
      <w:numPr>
        <w:numId w:val="13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dashbullet2">
    <w:name w:val="dash bullet 2"/>
    <w:basedOn w:val="Normal"/>
    <w:link w:val="dashbullet2Char"/>
    <w:rsid w:val="00097071"/>
    <w:pPr>
      <w:numPr>
        <w:numId w:val="14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dashbullet3">
    <w:name w:val="dash bullet 3"/>
    <w:basedOn w:val="Normal"/>
    <w:rsid w:val="00097071"/>
    <w:pPr>
      <w:numPr>
        <w:numId w:val="15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dashbullet4">
    <w:name w:val="dash bullet 4"/>
    <w:basedOn w:val="Normal"/>
    <w:rsid w:val="00097071"/>
    <w:pPr>
      <w:numPr>
        <w:numId w:val="16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dashbullet5">
    <w:name w:val="dash bullet 5"/>
    <w:basedOn w:val="Normal"/>
    <w:rsid w:val="00097071"/>
    <w:pPr>
      <w:numPr>
        <w:numId w:val="17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dashbullet6">
    <w:name w:val="dash bullet 6"/>
    <w:basedOn w:val="Normal"/>
    <w:rsid w:val="00097071"/>
    <w:pPr>
      <w:numPr>
        <w:numId w:val="18"/>
      </w:numPr>
      <w:spacing w:after="140" w:line="290" w:lineRule="auto"/>
      <w:jc w:val="both"/>
      <w:outlineLvl w:val="5"/>
    </w:pPr>
    <w:rPr>
      <w:kern w:val="20"/>
    </w:rPr>
  </w:style>
  <w:style w:type="paragraph" w:customStyle="1" w:styleId="zFSAddress">
    <w:name w:val="zFSAddress"/>
    <w:basedOn w:val="Normal"/>
    <w:rsid w:val="00097071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sid w:val="00097071"/>
    <w:rPr>
      <w:rFonts w:eastAsia="SimSun"/>
      <w:i/>
      <w:caps/>
      <w:szCs w:val="20"/>
    </w:rPr>
  </w:style>
  <w:style w:type="paragraph" w:customStyle="1" w:styleId="zFSDraft">
    <w:name w:val="zFSDraft"/>
    <w:basedOn w:val="Normal"/>
    <w:rsid w:val="00097071"/>
    <w:pPr>
      <w:spacing w:line="290" w:lineRule="auto"/>
    </w:pPr>
    <w:rPr>
      <w:kern w:val="20"/>
    </w:rPr>
  </w:style>
  <w:style w:type="paragraph" w:customStyle="1" w:styleId="zFSFax">
    <w:name w:val="zFSFax"/>
    <w:basedOn w:val="Normal"/>
    <w:rsid w:val="00097071"/>
    <w:rPr>
      <w:kern w:val="16"/>
      <w:sz w:val="16"/>
    </w:rPr>
  </w:style>
  <w:style w:type="paragraph" w:customStyle="1" w:styleId="zFSNameofDoc">
    <w:name w:val="zFSNameofDoc"/>
    <w:basedOn w:val="Normal"/>
    <w:rsid w:val="00097071"/>
    <w:pPr>
      <w:spacing w:before="300" w:after="400" w:line="290" w:lineRule="auto"/>
      <w:jc w:val="center"/>
    </w:pPr>
    <w:rPr>
      <w:rFonts w:eastAsia="SimSun"/>
      <w:caps/>
      <w:szCs w:val="20"/>
    </w:rPr>
  </w:style>
  <w:style w:type="paragraph" w:customStyle="1" w:styleId="zFSTel">
    <w:name w:val="zFSTel"/>
    <w:basedOn w:val="Normal"/>
    <w:rsid w:val="00097071"/>
    <w:pPr>
      <w:spacing w:before="120"/>
    </w:pPr>
    <w:rPr>
      <w:kern w:val="16"/>
      <w:sz w:val="16"/>
    </w:rPr>
  </w:style>
  <w:style w:type="paragraph" w:customStyle="1" w:styleId="zFSAmount">
    <w:name w:val="zFSAmount"/>
    <w:basedOn w:val="Normal"/>
    <w:rsid w:val="00097071"/>
    <w:pPr>
      <w:spacing w:before="800" w:line="290" w:lineRule="auto"/>
      <w:jc w:val="center"/>
    </w:pPr>
    <w:rPr>
      <w:i/>
    </w:rPr>
  </w:style>
  <w:style w:type="character" w:styleId="Hipervnculovisitado">
    <w:name w:val="FollowedHyperlink"/>
    <w:rsid w:val="00097071"/>
    <w:rPr>
      <w:color w:val="AF005F"/>
      <w:u w:val="none"/>
    </w:rPr>
  </w:style>
  <w:style w:type="character" w:customStyle="1" w:styleId="zTokyoLogoCaption">
    <w:name w:val="zTokyoLogoCaption"/>
    <w:rsid w:val="00097071"/>
    <w:rPr>
      <w:rFonts w:ascii="MS Mincho" w:eastAsia="MS Mincho"/>
      <w:noProof/>
      <w:sz w:val="13"/>
    </w:rPr>
  </w:style>
  <w:style w:type="paragraph" w:customStyle="1" w:styleId="zFSAddress2">
    <w:name w:val="zFSAddress2"/>
    <w:basedOn w:val="Normal"/>
    <w:rsid w:val="00097071"/>
    <w:pPr>
      <w:spacing w:line="290" w:lineRule="auto"/>
      <w:outlineLvl w:val="1"/>
    </w:pPr>
    <w:rPr>
      <w:kern w:val="16"/>
      <w:sz w:val="16"/>
    </w:rPr>
  </w:style>
  <w:style w:type="character" w:customStyle="1" w:styleId="zTokyoLogoCaption2">
    <w:name w:val="zTokyoLogoCaption2"/>
    <w:rsid w:val="00097071"/>
    <w:rPr>
      <w:rFonts w:ascii="MS Mincho" w:eastAsia="MS Mincho"/>
      <w:noProof/>
      <w:sz w:val="16"/>
    </w:rPr>
  </w:style>
  <w:style w:type="paragraph" w:styleId="TDC1">
    <w:name w:val="toc 1"/>
    <w:basedOn w:val="Normal"/>
    <w:next w:val="Body"/>
    <w:rsid w:val="003E67D0"/>
    <w:pPr>
      <w:spacing w:before="280" w:after="140" w:line="290" w:lineRule="auto"/>
    </w:pPr>
    <w:rPr>
      <w:kern w:val="20"/>
    </w:rPr>
  </w:style>
  <w:style w:type="paragraph" w:styleId="TDC2">
    <w:name w:val="toc 2"/>
    <w:basedOn w:val="Normal"/>
    <w:next w:val="Body"/>
    <w:rsid w:val="003E67D0"/>
    <w:pPr>
      <w:spacing w:before="280" w:after="140" w:line="290" w:lineRule="auto"/>
    </w:pPr>
    <w:rPr>
      <w:kern w:val="20"/>
    </w:rPr>
  </w:style>
  <w:style w:type="paragraph" w:styleId="TDC3">
    <w:name w:val="toc 3"/>
    <w:basedOn w:val="Normal"/>
    <w:next w:val="Body"/>
    <w:rsid w:val="003E67D0"/>
    <w:pPr>
      <w:spacing w:before="280" w:after="140" w:line="290" w:lineRule="auto"/>
      <w:ind w:left="680"/>
    </w:pPr>
    <w:rPr>
      <w:kern w:val="20"/>
    </w:rPr>
  </w:style>
  <w:style w:type="paragraph" w:styleId="TDC4">
    <w:name w:val="toc 4"/>
    <w:basedOn w:val="Normal"/>
    <w:next w:val="Body"/>
    <w:rsid w:val="003E67D0"/>
    <w:pPr>
      <w:spacing w:before="280" w:after="140" w:line="290" w:lineRule="auto"/>
      <w:ind w:left="680"/>
    </w:pPr>
    <w:rPr>
      <w:kern w:val="20"/>
    </w:rPr>
  </w:style>
  <w:style w:type="paragraph" w:styleId="TDC5">
    <w:name w:val="toc 5"/>
    <w:basedOn w:val="Normal"/>
    <w:next w:val="Body"/>
    <w:rsid w:val="003E67D0"/>
  </w:style>
  <w:style w:type="paragraph" w:styleId="TDC6">
    <w:name w:val="toc 6"/>
    <w:basedOn w:val="Normal"/>
    <w:next w:val="Body"/>
    <w:rsid w:val="003E67D0"/>
  </w:style>
  <w:style w:type="paragraph" w:styleId="TDC7">
    <w:name w:val="toc 7"/>
    <w:basedOn w:val="Normal"/>
    <w:next w:val="Body"/>
    <w:rsid w:val="003E67D0"/>
  </w:style>
  <w:style w:type="paragraph" w:styleId="TDC8">
    <w:name w:val="toc 8"/>
    <w:basedOn w:val="Normal"/>
    <w:next w:val="Body"/>
    <w:rsid w:val="003E67D0"/>
  </w:style>
  <w:style w:type="paragraph" w:styleId="TDC9">
    <w:name w:val="toc 9"/>
    <w:basedOn w:val="Normal"/>
    <w:next w:val="Body"/>
    <w:rsid w:val="003E67D0"/>
  </w:style>
  <w:style w:type="paragraph" w:customStyle="1" w:styleId="ScheduleHeading">
    <w:name w:val="Schedule Heading"/>
    <w:basedOn w:val="Body"/>
    <w:next w:val="Body"/>
    <w:rsid w:val="00F82122"/>
    <w:pPr>
      <w:keepNext/>
      <w:pageBreakBefore/>
      <w:numPr>
        <w:numId w:val="43"/>
      </w:numPr>
      <w:spacing w:after="240"/>
      <w:jc w:val="center"/>
      <w:outlineLvl w:val="3"/>
    </w:pPr>
    <w:rPr>
      <w:b/>
      <w:kern w:val="23"/>
      <w:sz w:val="23"/>
      <w:szCs w:val="23"/>
      <w:lang w:eastAsia="en-US"/>
    </w:rPr>
  </w:style>
  <w:style w:type="table" w:styleId="Tablaconcuadrcula">
    <w:name w:val="Table Grid"/>
    <w:basedOn w:val="Tablanormal"/>
    <w:rsid w:val="00265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bullet2Char">
    <w:name w:val="dash bullet 2 Char"/>
    <w:basedOn w:val="Fuentedeprrafopredeter"/>
    <w:link w:val="dashbullet2"/>
    <w:rsid w:val="00B344E8"/>
    <w:rPr>
      <w:rFonts w:ascii="Arial" w:hAnsi="Arial"/>
      <w:kern w:val="20"/>
      <w:szCs w:val="24"/>
    </w:rPr>
  </w:style>
  <w:style w:type="paragraph" w:styleId="Prrafodelista">
    <w:name w:val="List Paragraph"/>
    <w:basedOn w:val="Normal"/>
    <w:uiPriority w:val="34"/>
    <w:qFormat/>
    <w:rsid w:val="00A53D41"/>
    <w:pPr>
      <w:ind w:left="720"/>
    </w:pPr>
    <w:rPr>
      <w:rFonts w:ascii="Calibri" w:eastAsiaTheme="minorEastAsia" w:hAnsi="Calibri"/>
      <w:sz w:val="22"/>
      <w:szCs w:val="22"/>
      <w:lang w:eastAsia="en-US" w:bidi="hi-IN"/>
    </w:rPr>
  </w:style>
  <w:style w:type="character" w:customStyle="1" w:styleId="FechaCar">
    <w:name w:val="Fecha Car"/>
    <w:basedOn w:val="Fuentedeprrafopredeter"/>
    <w:link w:val="Fecha"/>
    <w:rsid w:val="00B67B35"/>
    <w:rPr>
      <w:rFonts w:ascii="Arial" w:hAnsi="Arial"/>
      <w:szCs w:val="24"/>
    </w:rPr>
  </w:style>
  <w:style w:type="paragraph" w:customStyle="1" w:styleId="zLinklatersLogo">
    <w:name w:val="zLinklatersLogo"/>
    <w:basedOn w:val="Normal"/>
    <w:rsid w:val="00B67B35"/>
    <w:pPr>
      <w:spacing w:after="200"/>
    </w:pPr>
  </w:style>
  <w:style w:type="paragraph" w:customStyle="1" w:styleId="zOfficeAddress">
    <w:name w:val="zOfficeAddress"/>
    <w:basedOn w:val="Normal"/>
    <w:rsid w:val="00B67B35"/>
    <w:pPr>
      <w:spacing w:line="288" w:lineRule="auto"/>
    </w:pPr>
    <w:rPr>
      <w:w w:val="95"/>
      <w:sz w:val="16"/>
    </w:rPr>
  </w:style>
  <w:style w:type="paragraph" w:customStyle="1" w:styleId="zSpace">
    <w:name w:val="zSpace"/>
    <w:basedOn w:val="Normal"/>
    <w:rsid w:val="00B67B35"/>
    <w:rPr>
      <w:sz w:val="8"/>
    </w:rPr>
  </w:style>
  <w:style w:type="paragraph" w:customStyle="1" w:styleId="LogoCaption">
    <w:name w:val="LogoCaption"/>
    <w:basedOn w:val="Normal"/>
    <w:rsid w:val="00B67B35"/>
    <w:pPr>
      <w:tabs>
        <w:tab w:val="right" w:pos="4735"/>
      </w:tabs>
      <w:spacing w:line="288" w:lineRule="auto"/>
    </w:pPr>
    <w:rPr>
      <w:sz w:val="16"/>
    </w:rPr>
  </w:style>
  <w:style w:type="paragraph" w:customStyle="1" w:styleId="yAdditionalRecipients">
    <w:name w:val="yAdditionalRecipients"/>
    <w:basedOn w:val="Normal"/>
    <w:rsid w:val="00B67B35"/>
    <w:pPr>
      <w:spacing w:line="288" w:lineRule="auto"/>
    </w:pPr>
  </w:style>
  <w:style w:type="paragraph" w:customStyle="1" w:styleId="yAddresseeDetails">
    <w:name w:val="yAddresseeDetails"/>
    <w:basedOn w:val="Normal"/>
    <w:rsid w:val="00B67B35"/>
    <w:pPr>
      <w:spacing w:line="288" w:lineRule="auto"/>
    </w:pPr>
  </w:style>
  <w:style w:type="paragraph" w:customStyle="1" w:styleId="yDeliveryMethod">
    <w:name w:val="yDeliveryMethod"/>
    <w:basedOn w:val="Normal"/>
    <w:rsid w:val="00B67B35"/>
    <w:pPr>
      <w:spacing w:line="288" w:lineRule="auto"/>
    </w:pPr>
    <w:rPr>
      <w:b/>
    </w:rPr>
  </w:style>
  <w:style w:type="paragraph" w:customStyle="1" w:styleId="zPrivate">
    <w:name w:val="zPrivate"/>
    <w:basedOn w:val="Normal"/>
    <w:rsid w:val="00B67B35"/>
    <w:pPr>
      <w:spacing w:line="288" w:lineRule="auto"/>
    </w:pPr>
    <w:rPr>
      <w:b/>
    </w:rPr>
  </w:style>
  <w:style w:type="paragraph" w:customStyle="1" w:styleId="zSpace3">
    <w:name w:val="zSpace3"/>
    <w:basedOn w:val="Normal"/>
    <w:rsid w:val="00B67B35"/>
    <w:pPr>
      <w:spacing w:after="480"/>
    </w:pPr>
    <w:rPr>
      <w:sz w:val="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86B05"/>
    <w:rPr>
      <w:rFonts w:ascii="Arial" w:hAnsi="Arial"/>
      <w:kern w:val="16"/>
      <w:sz w:val="16"/>
      <w:szCs w:val="24"/>
    </w:rPr>
  </w:style>
  <w:style w:type="paragraph" w:styleId="Textodeglobo">
    <w:name w:val="Balloon Text"/>
    <w:basedOn w:val="Normal"/>
    <w:link w:val="TextodegloboCar"/>
    <w:rsid w:val="00386B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6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TOC Heading" w:semiHidden="1" w:unhideWhenUsed="1" w:qFormat="1"/>
  </w:latentStyles>
  <w:style w:type="paragraph" w:default="1" w:styleId="Normal">
    <w:name w:val="Normal"/>
    <w:qFormat/>
    <w:rsid w:val="00AF64CE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097071"/>
    <w:pPr>
      <w:outlineLvl w:val="0"/>
    </w:pPr>
    <w:rPr>
      <w:rFonts w:cs="Arial"/>
      <w:bCs/>
      <w:szCs w:val="32"/>
    </w:rPr>
  </w:style>
  <w:style w:type="paragraph" w:styleId="Ttulo2">
    <w:name w:val="heading 2"/>
    <w:basedOn w:val="Normal"/>
    <w:next w:val="Normal"/>
    <w:qFormat/>
    <w:rsid w:val="00097071"/>
    <w:pPr>
      <w:outlineLvl w:val="1"/>
    </w:pPr>
    <w:rPr>
      <w:rFonts w:cs="Arial"/>
      <w:bCs/>
      <w:iCs/>
      <w:szCs w:val="28"/>
    </w:rPr>
  </w:style>
  <w:style w:type="paragraph" w:styleId="Ttulo3">
    <w:name w:val="heading 3"/>
    <w:basedOn w:val="Normal"/>
    <w:next w:val="Normal"/>
    <w:qFormat/>
    <w:rsid w:val="00097071"/>
    <w:pPr>
      <w:outlineLvl w:val="2"/>
    </w:pPr>
    <w:rPr>
      <w:rFonts w:cs="Arial"/>
      <w:bCs/>
      <w:szCs w:val="26"/>
    </w:rPr>
  </w:style>
  <w:style w:type="paragraph" w:styleId="Ttulo4">
    <w:name w:val="heading 4"/>
    <w:basedOn w:val="Normal"/>
    <w:next w:val="Normal"/>
    <w:qFormat/>
    <w:rsid w:val="00097071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qFormat/>
    <w:rsid w:val="00097071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qFormat/>
    <w:rsid w:val="00097071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qFormat/>
    <w:rsid w:val="00097071"/>
    <w:pPr>
      <w:outlineLvl w:val="6"/>
    </w:pPr>
  </w:style>
  <w:style w:type="paragraph" w:styleId="Ttulo8">
    <w:name w:val="heading 8"/>
    <w:basedOn w:val="Normal"/>
    <w:next w:val="Normal"/>
    <w:qFormat/>
    <w:rsid w:val="00097071"/>
    <w:pPr>
      <w:outlineLvl w:val="7"/>
    </w:pPr>
    <w:rPr>
      <w:iCs/>
    </w:rPr>
  </w:style>
  <w:style w:type="paragraph" w:styleId="Ttulo9">
    <w:name w:val="heading 9"/>
    <w:basedOn w:val="Normal"/>
    <w:next w:val="Normal"/>
    <w:qFormat/>
    <w:rsid w:val="00097071"/>
    <w:pPr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">
    <w:name w:val="Body"/>
    <w:basedOn w:val="Normal"/>
    <w:rsid w:val="00097071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097071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"/>
    <w:rsid w:val="00097071"/>
    <w:pPr>
      <w:spacing w:after="140" w:line="290" w:lineRule="auto"/>
      <w:ind w:left="680"/>
      <w:jc w:val="both"/>
    </w:pPr>
    <w:rPr>
      <w:kern w:val="20"/>
    </w:rPr>
  </w:style>
  <w:style w:type="paragraph" w:customStyle="1" w:styleId="Body3">
    <w:name w:val="Body 3"/>
    <w:basedOn w:val="Normal"/>
    <w:rsid w:val="00097071"/>
    <w:pPr>
      <w:spacing w:after="140" w:line="290" w:lineRule="auto"/>
      <w:ind w:left="1361"/>
      <w:jc w:val="both"/>
    </w:pPr>
    <w:rPr>
      <w:kern w:val="20"/>
    </w:rPr>
  </w:style>
  <w:style w:type="paragraph" w:customStyle="1" w:styleId="Body4">
    <w:name w:val="Body 4"/>
    <w:basedOn w:val="Normal"/>
    <w:rsid w:val="00097071"/>
    <w:pPr>
      <w:spacing w:after="140" w:line="290" w:lineRule="auto"/>
      <w:ind w:left="2041"/>
      <w:jc w:val="both"/>
    </w:pPr>
    <w:rPr>
      <w:kern w:val="20"/>
    </w:rPr>
  </w:style>
  <w:style w:type="paragraph" w:customStyle="1" w:styleId="Body5">
    <w:name w:val="Body 5"/>
    <w:basedOn w:val="Normal"/>
    <w:rsid w:val="00097071"/>
    <w:pPr>
      <w:spacing w:after="140" w:line="290" w:lineRule="auto"/>
      <w:ind w:left="2608"/>
      <w:jc w:val="both"/>
    </w:pPr>
    <w:rPr>
      <w:kern w:val="20"/>
    </w:rPr>
  </w:style>
  <w:style w:type="paragraph" w:customStyle="1" w:styleId="Body6">
    <w:name w:val="Body 6"/>
    <w:basedOn w:val="Normal"/>
    <w:rsid w:val="00097071"/>
    <w:pPr>
      <w:spacing w:after="140" w:line="290" w:lineRule="auto"/>
      <w:ind w:left="3288"/>
      <w:jc w:val="both"/>
    </w:pPr>
    <w:rPr>
      <w:kern w:val="20"/>
    </w:rPr>
  </w:style>
  <w:style w:type="paragraph" w:customStyle="1" w:styleId="Level1">
    <w:name w:val="Level 1"/>
    <w:basedOn w:val="Normal"/>
    <w:next w:val="Body1"/>
    <w:uiPriority w:val="99"/>
    <w:rsid w:val="00097071"/>
    <w:pPr>
      <w:keepNext/>
      <w:numPr>
        <w:numId w:val="20"/>
      </w:numPr>
      <w:tabs>
        <w:tab w:val="clear" w:pos="680"/>
      </w:tabs>
      <w:spacing w:before="280" w:after="140" w:line="290" w:lineRule="auto"/>
      <w:jc w:val="both"/>
      <w:outlineLvl w:val="0"/>
    </w:pPr>
    <w:rPr>
      <w:b/>
      <w:bCs/>
      <w:kern w:val="20"/>
      <w:sz w:val="22"/>
      <w:szCs w:val="32"/>
    </w:rPr>
  </w:style>
  <w:style w:type="paragraph" w:customStyle="1" w:styleId="Level2">
    <w:name w:val="Level 2"/>
    <w:basedOn w:val="Normal"/>
    <w:uiPriority w:val="99"/>
    <w:rsid w:val="00ED4A74"/>
    <w:pPr>
      <w:numPr>
        <w:ilvl w:val="1"/>
        <w:numId w:val="20"/>
      </w:numPr>
      <w:tabs>
        <w:tab w:val="clear" w:pos="680"/>
      </w:tabs>
      <w:spacing w:after="140" w:line="290" w:lineRule="auto"/>
      <w:jc w:val="both"/>
      <w:outlineLvl w:val="1"/>
    </w:pPr>
    <w:rPr>
      <w:kern w:val="20"/>
      <w:szCs w:val="28"/>
    </w:rPr>
  </w:style>
  <w:style w:type="paragraph" w:customStyle="1" w:styleId="Level3">
    <w:name w:val="Level 3"/>
    <w:basedOn w:val="Normal"/>
    <w:uiPriority w:val="99"/>
    <w:rsid w:val="00ED4A74"/>
    <w:pPr>
      <w:numPr>
        <w:ilvl w:val="2"/>
        <w:numId w:val="20"/>
      </w:numPr>
      <w:tabs>
        <w:tab w:val="clear" w:pos="1361"/>
      </w:tabs>
      <w:spacing w:after="140" w:line="290" w:lineRule="auto"/>
      <w:ind w:hanging="680"/>
      <w:jc w:val="both"/>
      <w:outlineLvl w:val="2"/>
    </w:pPr>
    <w:rPr>
      <w:kern w:val="20"/>
      <w:szCs w:val="28"/>
    </w:rPr>
  </w:style>
  <w:style w:type="paragraph" w:customStyle="1" w:styleId="Level4">
    <w:name w:val="Level 4"/>
    <w:basedOn w:val="Normal"/>
    <w:uiPriority w:val="99"/>
    <w:rsid w:val="00ED4A74"/>
    <w:pPr>
      <w:numPr>
        <w:ilvl w:val="3"/>
        <w:numId w:val="20"/>
      </w:numPr>
      <w:tabs>
        <w:tab w:val="clear" w:pos="2041"/>
      </w:tabs>
      <w:spacing w:after="140" w:line="290" w:lineRule="auto"/>
      <w:jc w:val="both"/>
      <w:outlineLvl w:val="3"/>
    </w:pPr>
    <w:rPr>
      <w:kern w:val="20"/>
    </w:rPr>
  </w:style>
  <w:style w:type="paragraph" w:customStyle="1" w:styleId="Level5">
    <w:name w:val="Level 5"/>
    <w:basedOn w:val="Normal"/>
    <w:uiPriority w:val="99"/>
    <w:rsid w:val="00ED4A74"/>
    <w:pPr>
      <w:numPr>
        <w:ilvl w:val="4"/>
        <w:numId w:val="20"/>
      </w:numPr>
      <w:tabs>
        <w:tab w:val="clear" w:pos="2608"/>
      </w:tabs>
      <w:spacing w:after="140" w:line="290" w:lineRule="auto"/>
      <w:jc w:val="both"/>
      <w:outlineLvl w:val="4"/>
    </w:pPr>
    <w:rPr>
      <w:kern w:val="20"/>
    </w:rPr>
  </w:style>
  <w:style w:type="paragraph" w:customStyle="1" w:styleId="Level6">
    <w:name w:val="Level 6"/>
    <w:basedOn w:val="Normal"/>
    <w:uiPriority w:val="99"/>
    <w:rsid w:val="00ED4A74"/>
    <w:pPr>
      <w:numPr>
        <w:ilvl w:val="5"/>
        <w:numId w:val="20"/>
      </w:numPr>
      <w:tabs>
        <w:tab w:val="clear" w:pos="3288"/>
      </w:tabs>
      <w:spacing w:after="140" w:line="290" w:lineRule="auto"/>
      <w:jc w:val="both"/>
      <w:outlineLvl w:val="5"/>
    </w:pPr>
    <w:rPr>
      <w:kern w:val="20"/>
    </w:rPr>
  </w:style>
  <w:style w:type="paragraph" w:customStyle="1" w:styleId="Parties">
    <w:name w:val="Parties"/>
    <w:basedOn w:val="Normal"/>
    <w:rsid w:val="00097071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097071"/>
    <w:pPr>
      <w:numPr>
        <w:numId w:val="23"/>
      </w:numPr>
      <w:spacing w:after="140" w:line="290" w:lineRule="auto"/>
      <w:jc w:val="both"/>
    </w:pPr>
    <w:rPr>
      <w:kern w:val="20"/>
    </w:rPr>
  </w:style>
  <w:style w:type="paragraph" w:customStyle="1" w:styleId="alpha1">
    <w:name w:val="alpha 1"/>
    <w:basedOn w:val="Normal"/>
    <w:rsid w:val="00097071"/>
    <w:pPr>
      <w:numPr>
        <w:numId w:val="1"/>
      </w:numPr>
      <w:spacing w:after="140" w:line="290" w:lineRule="auto"/>
      <w:jc w:val="both"/>
      <w:outlineLvl w:val="0"/>
    </w:pPr>
    <w:rPr>
      <w:kern w:val="20"/>
      <w:szCs w:val="20"/>
    </w:rPr>
  </w:style>
  <w:style w:type="paragraph" w:customStyle="1" w:styleId="alpha2">
    <w:name w:val="alpha 2"/>
    <w:basedOn w:val="Normal"/>
    <w:rsid w:val="00097071"/>
    <w:pPr>
      <w:numPr>
        <w:numId w:val="2"/>
      </w:numPr>
      <w:spacing w:after="140" w:line="290" w:lineRule="auto"/>
      <w:jc w:val="both"/>
      <w:outlineLvl w:val="1"/>
    </w:pPr>
    <w:rPr>
      <w:kern w:val="20"/>
      <w:szCs w:val="20"/>
    </w:rPr>
  </w:style>
  <w:style w:type="paragraph" w:customStyle="1" w:styleId="alpha3">
    <w:name w:val="alpha 3"/>
    <w:basedOn w:val="Normal"/>
    <w:uiPriority w:val="99"/>
    <w:rsid w:val="00097071"/>
    <w:pPr>
      <w:numPr>
        <w:numId w:val="3"/>
      </w:numPr>
      <w:spacing w:after="140" w:line="290" w:lineRule="auto"/>
      <w:jc w:val="both"/>
      <w:outlineLvl w:val="2"/>
    </w:pPr>
    <w:rPr>
      <w:kern w:val="20"/>
      <w:szCs w:val="20"/>
    </w:rPr>
  </w:style>
  <w:style w:type="paragraph" w:customStyle="1" w:styleId="alpha4">
    <w:name w:val="alpha 4"/>
    <w:basedOn w:val="Normal"/>
    <w:rsid w:val="00097071"/>
    <w:pPr>
      <w:numPr>
        <w:numId w:val="4"/>
      </w:numPr>
      <w:spacing w:after="140" w:line="290" w:lineRule="auto"/>
      <w:jc w:val="both"/>
      <w:outlineLvl w:val="3"/>
    </w:pPr>
    <w:rPr>
      <w:kern w:val="20"/>
      <w:szCs w:val="20"/>
    </w:rPr>
  </w:style>
  <w:style w:type="paragraph" w:customStyle="1" w:styleId="alpha5">
    <w:name w:val="alpha 5"/>
    <w:basedOn w:val="Normal"/>
    <w:rsid w:val="00097071"/>
    <w:pPr>
      <w:numPr>
        <w:numId w:val="5"/>
      </w:numPr>
      <w:spacing w:after="140" w:line="290" w:lineRule="auto"/>
      <w:jc w:val="both"/>
      <w:outlineLvl w:val="4"/>
    </w:pPr>
    <w:rPr>
      <w:kern w:val="20"/>
      <w:szCs w:val="20"/>
    </w:rPr>
  </w:style>
  <w:style w:type="paragraph" w:customStyle="1" w:styleId="alpha6">
    <w:name w:val="alpha 6"/>
    <w:basedOn w:val="Normal"/>
    <w:rsid w:val="00097071"/>
    <w:pPr>
      <w:numPr>
        <w:numId w:val="6"/>
      </w:numPr>
      <w:spacing w:after="140" w:line="290" w:lineRule="auto"/>
      <w:jc w:val="both"/>
      <w:outlineLvl w:val="5"/>
    </w:pPr>
    <w:rPr>
      <w:kern w:val="20"/>
      <w:szCs w:val="20"/>
    </w:rPr>
  </w:style>
  <w:style w:type="paragraph" w:customStyle="1" w:styleId="bullet1">
    <w:name w:val="bullet 1"/>
    <w:basedOn w:val="Normal"/>
    <w:rsid w:val="00097071"/>
    <w:pPr>
      <w:numPr>
        <w:numId w:val="7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bullet2">
    <w:name w:val="bullet 2"/>
    <w:basedOn w:val="Normal"/>
    <w:rsid w:val="00097071"/>
    <w:pPr>
      <w:numPr>
        <w:numId w:val="8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bullet3">
    <w:name w:val="bullet 3"/>
    <w:basedOn w:val="Normal"/>
    <w:rsid w:val="00097071"/>
    <w:pPr>
      <w:numPr>
        <w:numId w:val="9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bullet4">
    <w:name w:val="bullet 4"/>
    <w:basedOn w:val="Normal"/>
    <w:rsid w:val="00097071"/>
    <w:pPr>
      <w:numPr>
        <w:numId w:val="10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bullet5">
    <w:name w:val="bullet 5"/>
    <w:basedOn w:val="Normal"/>
    <w:rsid w:val="00097071"/>
    <w:pPr>
      <w:numPr>
        <w:numId w:val="11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bullet6">
    <w:name w:val="bullet 6"/>
    <w:basedOn w:val="Normal"/>
    <w:rsid w:val="00097071"/>
    <w:pPr>
      <w:numPr>
        <w:numId w:val="12"/>
      </w:numPr>
      <w:spacing w:after="140" w:line="290" w:lineRule="auto"/>
      <w:jc w:val="both"/>
      <w:outlineLvl w:val="5"/>
    </w:pPr>
    <w:rPr>
      <w:kern w:val="20"/>
    </w:rPr>
  </w:style>
  <w:style w:type="paragraph" w:customStyle="1" w:styleId="roman1">
    <w:name w:val="roman 1"/>
    <w:basedOn w:val="Normal"/>
    <w:rsid w:val="00097071"/>
    <w:pPr>
      <w:numPr>
        <w:numId w:val="24"/>
      </w:numPr>
      <w:spacing w:after="140" w:line="290" w:lineRule="auto"/>
      <w:jc w:val="both"/>
      <w:outlineLvl w:val="0"/>
    </w:pPr>
    <w:rPr>
      <w:kern w:val="20"/>
      <w:szCs w:val="20"/>
    </w:rPr>
  </w:style>
  <w:style w:type="paragraph" w:customStyle="1" w:styleId="roman2">
    <w:name w:val="roman 2"/>
    <w:basedOn w:val="Normal"/>
    <w:rsid w:val="00097071"/>
    <w:pPr>
      <w:numPr>
        <w:numId w:val="25"/>
      </w:numPr>
      <w:spacing w:after="140" w:line="290" w:lineRule="auto"/>
      <w:jc w:val="both"/>
      <w:outlineLvl w:val="1"/>
    </w:pPr>
    <w:rPr>
      <w:kern w:val="20"/>
      <w:szCs w:val="20"/>
    </w:rPr>
  </w:style>
  <w:style w:type="paragraph" w:customStyle="1" w:styleId="roman3">
    <w:name w:val="roman 3"/>
    <w:basedOn w:val="Normal"/>
    <w:rsid w:val="00097071"/>
    <w:pPr>
      <w:numPr>
        <w:numId w:val="26"/>
      </w:numPr>
      <w:spacing w:after="140" w:line="290" w:lineRule="auto"/>
      <w:jc w:val="both"/>
      <w:outlineLvl w:val="2"/>
    </w:pPr>
    <w:rPr>
      <w:kern w:val="20"/>
      <w:szCs w:val="20"/>
    </w:rPr>
  </w:style>
  <w:style w:type="paragraph" w:customStyle="1" w:styleId="roman4">
    <w:name w:val="roman 4"/>
    <w:basedOn w:val="Normal"/>
    <w:rsid w:val="00097071"/>
    <w:pPr>
      <w:numPr>
        <w:numId w:val="27"/>
      </w:numPr>
      <w:spacing w:after="140" w:line="290" w:lineRule="auto"/>
      <w:jc w:val="both"/>
      <w:outlineLvl w:val="3"/>
    </w:pPr>
    <w:rPr>
      <w:kern w:val="20"/>
      <w:szCs w:val="20"/>
    </w:rPr>
  </w:style>
  <w:style w:type="paragraph" w:customStyle="1" w:styleId="roman5">
    <w:name w:val="roman 5"/>
    <w:basedOn w:val="Normal"/>
    <w:rsid w:val="00097071"/>
    <w:pPr>
      <w:numPr>
        <w:numId w:val="28"/>
      </w:numPr>
      <w:spacing w:after="140" w:line="290" w:lineRule="auto"/>
      <w:jc w:val="both"/>
      <w:outlineLvl w:val="4"/>
    </w:pPr>
    <w:rPr>
      <w:kern w:val="20"/>
      <w:szCs w:val="20"/>
    </w:rPr>
  </w:style>
  <w:style w:type="paragraph" w:customStyle="1" w:styleId="roman6">
    <w:name w:val="roman 6"/>
    <w:basedOn w:val="Normal"/>
    <w:rsid w:val="00097071"/>
    <w:pPr>
      <w:numPr>
        <w:numId w:val="29"/>
      </w:numPr>
      <w:spacing w:after="140" w:line="290" w:lineRule="auto"/>
      <w:jc w:val="both"/>
      <w:outlineLvl w:val="5"/>
    </w:pPr>
    <w:rPr>
      <w:kern w:val="20"/>
      <w:szCs w:val="20"/>
    </w:rPr>
  </w:style>
  <w:style w:type="paragraph" w:customStyle="1" w:styleId="CellHead">
    <w:name w:val="CellHead"/>
    <w:basedOn w:val="Normal"/>
    <w:rsid w:val="00097071"/>
    <w:pPr>
      <w:keepNext/>
      <w:spacing w:before="60" w:after="60" w:line="259" w:lineRule="auto"/>
    </w:pPr>
    <w:rPr>
      <w:b/>
      <w:kern w:val="20"/>
    </w:rPr>
  </w:style>
  <w:style w:type="paragraph" w:styleId="Ttulo">
    <w:name w:val="Title"/>
    <w:basedOn w:val="Normal"/>
    <w:next w:val="Body"/>
    <w:qFormat/>
    <w:rsid w:val="00097071"/>
    <w:pPr>
      <w:keepNext/>
      <w:spacing w:after="240" w:line="290" w:lineRule="auto"/>
      <w:jc w:val="both"/>
      <w:outlineLvl w:val="0"/>
    </w:pPr>
    <w:rPr>
      <w:rFonts w:cs="Arial"/>
      <w:b/>
      <w:bCs/>
      <w:kern w:val="28"/>
      <w:sz w:val="25"/>
      <w:szCs w:val="32"/>
    </w:rPr>
  </w:style>
  <w:style w:type="paragraph" w:customStyle="1" w:styleId="Head1">
    <w:name w:val="Head 1"/>
    <w:basedOn w:val="Normal"/>
    <w:next w:val="Body1"/>
    <w:rsid w:val="00097071"/>
    <w:pPr>
      <w:keepNext/>
      <w:spacing w:before="280" w:after="140" w:line="290" w:lineRule="auto"/>
      <w:ind w:left="680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3"/>
    <w:rsid w:val="00097071"/>
    <w:pPr>
      <w:keepNext/>
      <w:spacing w:before="280" w:after="60" w:line="290" w:lineRule="auto"/>
      <w:ind w:left="1361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4"/>
    <w:rsid w:val="00097071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paragraph" w:customStyle="1" w:styleId="SubHead">
    <w:name w:val="SubHead"/>
    <w:basedOn w:val="Normal"/>
    <w:next w:val="Body"/>
    <w:rsid w:val="00097071"/>
    <w:pPr>
      <w:keepNext/>
      <w:spacing w:before="120" w:after="60" w:line="290" w:lineRule="auto"/>
      <w:jc w:val="both"/>
      <w:outlineLvl w:val="0"/>
    </w:pPr>
    <w:rPr>
      <w:b/>
      <w:kern w:val="21"/>
      <w:sz w:val="21"/>
    </w:rPr>
  </w:style>
  <w:style w:type="paragraph" w:customStyle="1" w:styleId="SchedApps">
    <w:name w:val="Sched/Apps"/>
    <w:basedOn w:val="Normal"/>
    <w:next w:val="Body"/>
    <w:rsid w:val="00097071"/>
    <w:pPr>
      <w:keepNext/>
      <w:pageBreakBefore/>
      <w:spacing w:after="240" w:line="290" w:lineRule="auto"/>
      <w:jc w:val="center"/>
      <w:outlineLvl w:val="3"/>
    </w:pPr>
    <w:rPr>
      <w:b/>
      <w:kern w:val="23"/>
      <w:sz w:val="23"/>
    </w:rPr>
  </w:style>
  <w:style w:type="paragraph" w:customStyle="1" w:styleId="Schedule1">
    <w:name w:val="Schedule 1"/>
    <w:basedOn w:val="Normal"/>
    <w:rsid w:val="00AF64CE"/>
    <w:pPr>
      <w:numPr>
        <w:numId w:val="44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Schedule2">
    <w:name w:val="Schedule 2"/>
    <w:basedOn w:val="Normal"/>
    <w:rsid w:val="00AF64CE"/>
    <w:pPr>
      <w:numPr>
        <w:ilvl w:val="1"/>
        <w:numId w:val="44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Schedule3">
    <w:name w:val="Schedule 3"/>
    <w:basedOn w:val="Normal"/>
    <w:rsid w:val="00AF64CE"/>
    <w:pPr>
      <w:numPr>
        <w:ilvl w:val="2"/>
        <w:numId w:val="44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Schedule4">
    <w:name w:val="Schedule 4"/>
    <w:basedOn w:val="Normal"/>
    <w:rsid w:val="00AF64CE"/>
    <w:pPr>
      <w:numPr>
        <w:ilvl w:val="3"/>
        <w:numId w:val="44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Schedule5">
    <w:name w:val="Schedule 5"/>
    <w:basedOn w:val="Normal"/>
    <w:rsid w:val="00AF64CE"/>
    <w:pPr>
      <w:numPr>
        <w:ilvl w:val="4"/>
        <w:numId w:val="44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Schedule6">
    <w:name w:val="Schedule 6"/>
    <w:basedOn w:val="Normal"/>
    <w:rsid w:val="00AF64CE"/>
    <w:pPr>
      <w:numPr>
        <w:ilvl w:val="5"/>
        <w:numId w:val="44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TCLevel1">
    <w:name w:val="T+C Level 1"/>
    <w:basedOn w:val="Normal"/>
    <w:next w:val="TCLevel2"/>
    <w:rsid w:val="00097071"/>
    <w:pPr>
      <w:keepNext/>
      <w:numPr>
        <w:numId w:val="30"/>
      </w:numPr>
      <w:spacing w:before="140" w:line="290" w:lineRule="auto"/>
      <w:jc w:val="both"/>
      <w:outlineLvl w:val="0"/>
    </w:pPr>
    <w:rPr>
      <w:b/>
      <w:kern w:val="20"/>
    </w:rPr>
  </w:style>
  <w:style w:type="paragraph" w:customStyle="1" w:styleId="TCLevel2">
    <w:name w:val="T+C Level 2"/>
    <w:basedOn w:val="Normal"/>
    <w:rsid w:val="00097071"/>
    <w:pPr>
      <w:numPr>
        <w:ilvl w:val="1"/>
        <w:numId w:val="30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TCLevel3">
    <w:name w:val="T+C Level 3"/>
    <w:basedOn w:val="Normal"/>
    <w:rsid w:val="00097071"/>
    <w:pPr>
      <w:numPr>
        <w:ilvl w:val="2"/>
        <w:numId w:val="30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TCLevel4">
    <w:name w:val="T+C Level 4"/>
    <w:basedOn w:val="Normal"/>
    <w:rsid w:val="00097071"/>
    <w:pPr>
      <w:numPr>
        <w:ilvl w:val="3"/>
        <w:numId w:val="30"/>
      </w:numPr>
      <w:spacing w:after="140" w:line="290" w:lineRule="auto"/>
      <w:jc w:val="both"/>
      <w:outlineLvl w:val="3"/>
    </w:pPr>
    <w:rPr>
      <w:kern w:val="20"/>
    </w:rPr>
  </w:style>
  <w:style w:type="paragraph" w:styleId="Fecha">
    <w:name w:val="Date"/>
    <w:basedOn w:val="Normal"/>
    <w:next w:val="Normal"/>
    <w:link w:val="FechaCar"/>
    <w:rsid w:val="00097071"/>
  </w:style>
  <w:style w:type="paragraph" w:customStyle="1" w:styleId="DocExCode">
    <w:name w:val="DocExCode"/>
    <w:basedOn w:val="Normal"/>
    <w:rsid w:val="00097071"/>
    <w:pPr>
      <w:pBdr>
        <w:top w:val="single" w:sz="4" w:space="1" w:color="auto"/>
      </w:pBdr>
    </w:pPr>
    <w:rPr>
      <w:kern w:val="20"/>
      <w:sz w:val="16"/>
    </w:rPr>
  </w:style>
  <w:style w:type="paragraph" w:customStyle="1" w:styleId="DocExCode-NoLine">
    <w:name w:val="DocExCode - No Line"/>
    <w:basedOn w:val="DocExCode"/>
    <w:rsid w:val="00097071"/>
    <w:pPr>
      <w:pBdr>
        <w:top w:val="none" w:sz="0" w:space="0" w:color="auto"/>
      </w:pBdr>
    </w:pPr>
  </w:style>
  <w:style w:type="paragraph" w:customStyle="1" w:styleId="DocumentMap">
    <w:name w:val="DocumentMap"/>
    <w:basedOn w:val="Normal"/>
    <w:rsid w:val="00097071"/>
  </w:style>
  <w:style w:type="paragraph" w:styleId="Piedepgina">
    <w:name w:val="footer"/>
    <w:basedOn w:val="Normal"/>
    <w:link w:val="PiedepginaCar"/>
    <w:uiPriority w:val="99"/>
    <w:rsid w:val="00097071"/>
    <w:pPr>
      <w:spacing w:before="120" w:after="120" w:line="290" w:lineRule="auto"/>
      <w:jc w:val="both"/>
    </w:pPr>
    <w:rPr>
      <w:kern w:val="16"/>
      <w:sz w:val="16"/>
    </w:rPr>
  </w:style>
  <w:style w:type="character" w:styleId="Refdenotaalpie">
    <w:name w:val="footnote reference"/>
    <w:rsid w:val="00097071"/>
    <w:rPr>
      <w:rFonts w:ascii="Arial" w:hAnsi="Arial"/>
      <w:kern w:val="2"/>
      <w:vertAlign w:val="superscript"/>
    </w:rPr>
  </w:style>
  <w:style w:type="paragraph" w:styleId="Textonotapie">
    <w:name w:val="footnote text"/>
    <w:basedOn w:val="Normal"/>
    <w:rsid w:val="00097071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Encabezado">
    <w:name w:val="header"/>
    <w:basedOn w:val="Normal"/>
    <w:rsid w:val="00097071"/>
    <w:pPr>
      <w:tabs>
        <w:tab w:val="center" w:pos="4366"/>
        <w:tab w:val="right" w:pos="8732"/>
      </w:tabs>
    </w:pPr>
    <w:rPr>
      <w:kern w:val="20"/>
    </w:rPr>
  </w:style>
  <w:style w:type="paragraph" w:customStyle="1" w:styleId="Level7">
    <w:name w:val="Level 7"/>
    <w:basedOn w:val="Normal"/>
    <w:uiPriority w:val="99"/>
    <w:rsid w:val="00ED4A74"/>
    <w:pPr>
      <w:numPr>
        <w:ilvl w:val="6"/>
        <w:numId w:val="20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al"/>
    <w:uiPriority w:val="99"/>
    <w:rsid w:val="00ED4A74"/>
    <w:pPr>
      <w:numPr>
        <w:ilvl w:val="7"/>
        <w:numId w:val="20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al"/>
    <w:uiPriority w:val="99"/>
    <w:rsid w:val="00ED4A74"/>
    <w:pPr>
      <w:numPr>
        <w:ilvl w:val="8"/>
        <w:numId w:val="20"/>
      </w:numPr>
      <w:spacing w:after="140" w:line="290" w:lineRule="auto"/>
      <w:jc w:val="both"/>
      <w:outlineLvl w:val="8"/>
    </w:pPr>
    <w:rPr>
      <w:kern w:val="20"/>
    </w:rPr>
  </w:style>
  <w:style w:type="character" w:styleId="Nmerodepgina">
    <w:name w:val="page number"/>
    <w:rsid w:val="00097071"/>
    <w:rPr>
      <w:rFonts w:ascii="Arial" w:hAnsi="Arial"/>
      <w:sz w:val="20"/>
    </w:rPr>
  </w:style>
  <w:style w:type="paragraph" w:customStyle="1" w:styleId="Table1">
    <w:name w:val="Table 1"/>
    <w:basedOn w:val="Normal"/>
    <w:rsid w:val="00097071"/>
    <w:pPr>
      <w:numPr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097071"/>
    <w:pPr>
      <w:numPr>
        <w:ilvl w:val="1"/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3">
    <w:name w:val="Table 3"/>
    <w:basedOn w:val="Normal"/>
    <w:rsid w:val="00097071"/>
    <w:pPr>
      <w:numPr>
        <w:ilvl w:val="2"/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4">
    <w:name w:val="Table 4"/>
    <w:basedOn w:val="Normal"/>
    <w:rsid w:val="00097071"/>
    <w:pPr>
      <w:numPr>
        <w:ilvl w:val="3"/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5">
    <w:name w:val="Table 5"/>
    <w:basedOn w:val="Normal"/>
    <w:rsid w:val="00097071"/>
    <w:pPr>
      <w:numPr>
        <w:ilvl w:val="4"/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6">
    <w:name w:val="Table 6"/>
    <w:basedOn w:val="Normal"/>
    <w:rsid w:val="00097071"/>
    <w:pPr>
      <w:numPr>
        <w:ilvl w:val="5"/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alpha">
    <w:name w:val="Table alpha"/>
    <w:basedOn w:val="CellBody"/>
    <w:rsid w:val="00097071"/>
    <w:pPr>
      <w:numPr>
        <w:numId w:val="32"/>
      </w:numPr>
    </w:pPr>
  </w:style>
  <w:style w:type="paragraph" w:customStyle="1" w:styleId="Tablebullet">
    <w:name w:val="Table bullet"/>
    <w:basedOn w:val="Normal"/>
    <w:rsid w:val="00097071"/>
    <w:pPr>
      <w:numPr>
        <w:numId w:val="33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097071"/>
    <w:pPr>
      <w:numPr>
        <w:numId w:val="34"/>
      </w:numPr>
    </w:pPr>
  </w:style>
  <w:style w:type="paragraph" w:customStyle="1" w:styleId="zFSand">
    <w:name w:val="zFSand"/>
    <w:basedOn w:val="Normal"/>
    <w:next w:val="zFSco-names"/>
    <w:rsid w:val="00097071"/>
    <w:pPr>
      <w:spacing w:line="290" w:lineRule="auto"/>
      <w:jc w:val="center"/>
    </w:pPr>
    <w:rPr>
      <w:rFonts w:eastAsia="SimSun"/>
      <w:kern w:val="20"/>
      <w:szCs w:val="20"/>
    </w:rPr>
  </w:style>
  <w:style w:type="paragraph" w:customStyle="1" w:styleId="zFSco-names">
    <w:name w:val="zFSco-names"/>
    <w:basedOn w:val="Normal"/>
    <w:next w:val="zFSand"/>
    <w:rsid w:val="00097071"/>
    <w:pPr>
      <w:spacing w:before="120" w:after="120" w:line="290" w:lineRule="auto"/>
      <w:jc w:val="center"/>
    </w:pPr>
    <w:rPr>
      <w:rFonts w:eastAsia="SimSun"/>
      <w:kern w:val="24"/>
      <w:sz w:val="24"/>
    </w:rPr>
  </w:style>
  <w:style w:type="paragraph" w:customStyle="1" w:styleId="zFSDate">
    <w:name w:val="zFSDate"/>
    <w:basedOn w:val="Normal"/>
    <w:rsid w:val="00097071"/>
    <w:pPr>
      <w:spacing w:line="290" w:lineRule="auto"/>
      <w:jc w:val="center"/>
    </w:pPr>
    <w:rPr>
      <w:kern w:val="20"/>
    </w:rPr>
  </w:style>
  <w:style w:type="character" w:styleId="Hipervnculo">
    <w:name w:val="Hyperlink"/>
    <w:rsid w:val="00097071"/>
    <w:rPr>
      <w:color w:val="AF005F"/>
      <w:u w:val="none"/>
    </w:rPr>
  </w:style>
  <w:style w:type="paragraph" w:customStyle="1" w:styleId="zFSFooter">
    <w:name w:val="zFSFooter"/>
    <w:basedOn w:val="Normal"/>
    <w:rsid w:val="00097071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al"/>
    <w:rsid w:val="00097071"/>
    <w:pPr>
      <w:spacing w:before="120" w:after="120" w:line="290" w:lineRule="auto"/>
      <w:jc w:val="center"/>
    </w:pPr>
    <w:rPr>
      <w:rFonts w:eastAsia="SimSun"/>
      <w:kern w:val="20"/>
      <w:szCs w:val="20"/>
    </w:rPr>
  </w:style>
  <w:style w:type="paragraph" w:customStyle="1" w:styleId="zFSTitle">
    <w:name w:val="zFSTitle"/>
    <w:basedOn w:val="Normal"/>
    <w:next w:val="zFSNarrative"/>
    <w:rsid w:val="00097071"/>
    <w:pPr>
      <w:keepNext/>
      <w:spacing w:before="240" w:after="120" w:line="290" w:lineRule="auto"/>
      <w:jc w:val="center"/>
    </w:pPr>
    <w:rPr>
      <w:rFonts w:eastAsia="SimSun"/>
      <w:sz w:val="28"/>
      <w:szCs w:val="28"/>
    </w:rPr>
  </w:style>
  <w:style w:type="character" w:styleId="Refdenotaalfinal">
    <w:name w:val="endnote reference"/>
    <w:rsid w:val="00097071"/>
    <w:rPr>
      <w:rFonts w:ascii="Arial" w:hAnsi="Arial"/>
      <w:vertAlign w:val="superscript"/>
    </w:rPr>
  </w:style>
  <w:style w:type="paragraph" w:styleId="Textonotaalfinal">
    <w:name w:val="endnote text"/>
    <w:basedOn w:val="Normal"/>
    <w:rsid w:val="00D41D5C"/>
    <w:pPr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customStyle="1" w:styleId="Head">
    <w:name w:val="Head"/>
    <w:basedOn w:val="Normal"/>
    <w:next w:val="Body"/>
    <w:rsid w:val="00097071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styleId="Textoconsangra">
    <w:name w:val="table of authorities"/>
    <w:basedOn w:val="Normal"/>
    <w:next w:val="Normal"/>
    <w:rsid w:val="00097071"/>
    <w:pPr>
      <w:ind w:left="200" w:hanging="200"/>
    </w:pPr>
  </w:style>
  <w:style w:type="paragraph" w:customStyle="1" w:styleId="CellBody">
    <w:name w:val="CellBody"/>
    <w:basedOn w:val="Normal"/>
    <w:rsid w:val="00097071"/>
    <w:pPr>
      <w:spacing w:before="60" w:after="60" w:line="290" w:lineRule="auto"/>
    </w:pPr>
    <w:rPr>
      <w:kern w:val="20"/>
      <w:szCs w:val="20"/>
    </w:rPr>
  </w:style>
  <w:style w:type="paragraph" w:customStyle="1" w:styleId="zSFRef">
    <w:name w:val="zSFRef"/>
    <w:basedOn w:val="Normal"/>
    <w:rsid w:val="00097071"/>
    <w:rPr>
      <w:rFonts w:eastAsia="SimSun"/>
      <w:kern w:val="16"/>
      <w:sz w:val="16"/>
      <w:szCs w:val="16"/>
    </w:rPr>
  </w:style>
  <w:style w:type="paragraph" w:customStyle="1" w:styleId="UCAlpha1">
    <w:name w:val="UCAlpha 1"/>
    <w:basedOn w:val="Normal"/>
    <w:rsid w:val="00097071"/>
    <w:pPr>
      <w:numPr>
        <w:numId w:val="35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UCAlpha2">
    <w:name w:val="UCAlpha 2"/>
    <w:basedOn w:val="Normal"/>
    <w:rsid w:val="00097071"/>
    <w:pPr>
      <w:numPr>
        <w:numId w:val="36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UCAlpha3">
    <w:name w:val="UCAlpha 3"/>
    <w:basedOn w:val="Normal"/>
    <w:rsid w:val="00097071"/>
    <w:pPr>
      <w:numPr>
        <w:numId w:val="37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UCAlpha4">
    <w:name w:val="UCAlpha 4"/>
    <w:basedOn w:val="Normal"/>
    <w:rsid w:val="00097071"/>
    <w:pPr>
      <w:numPr>
        <w:numId w:val="38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UCAlpha5">
    <w:name w:val="UCAlpha 5"/>
    <w:basedOn w:val="Normal"/>
    <w:rsid w:val="00097071"/>
    <w:pPr>
      <w:numPr>
        <w:numId w:val="39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UCAlpha6">
    <w:name w:val="UCAlpha 6"/>
    <w:basedOn w:val="Normal"/>
    <w:rsid w:val="00097071"/>
    <w:pPr>
      <w:numPr>
        <w:numId w:val="40"/>
      </w:numPr>
      <w:spacing w:after="140" w:line="290" w:lineRule="auto"/>
      <w:jc w:val="both"/>
      <w:outlineLvl w:val="5"/>
    </w:pPr>
    <w:rPr>
      <w:kern w:val="20"/>
    </w:rPr>
  </w:style>
  <w:style w:type="paragraph" w:customStyle="1" w:styleId="UCRoman1">
    <w:name w:val="UCRoman 1"/>
    <w:basedOn w:val="Normal"/>
    <w:rsid w:val="00097071"/>
    <w:pPr>
      <w:numPr>
        <w:numId w:val="41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UCRoman2">
    <w:name w:val="UCRoman 2"/>
    <w:basedOn w:val="Normal"/>
    <w:rsid w:val="00097071"/>
    <w:pPr>
      <w:numPr>
        <w:numId w:val="42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doublealpha">
    <w:name w:val="double alpha"/>
    <w:basedOn w:val="Normal"/>
    <w:rsid w:val="00097071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ListNumbers">
    <w:name w:val="List Numbers"/>
    <w:basedOn w:val="Normal"/>
    <w:rsid w:val="00097071"/>
    <w:pPr>
      <w:numPr>
        <w:numId w:val="21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dashbullet1">
    <w:name w:val="dash bullet 1"/>
    <w:basedOn w:val="Normal"/>
    <w:rsid w:val="00097071"/>
    <w:pPr>
      <w:numPr>
        <w:numId w:val="13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dashbullet2">
    <w:name w:val="dash bullet 2"/>
    <w:basedOn w:val="Normal"/>
    <w:link w:val="dashbullet2Char"/>
    <w:rsid w:val="00097071"/>
    <w:pPr>
      <w:numPr>
        <w:numId w:val="14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dashbullet3">
    <w:name w:val="dash bullet 3"/>
    <w:basedOn w:val="Normal"/>
    <w:rsid w:val="00097071"/>
    <w:pPr>
      <w:numPr>
        <w:numId w:val="15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dashbullet4">
    <w:name w:val="dash bullet 4"/>
    <w:basedOn w:val="Normal"/>
    <w:rsid w:val="00097071"/>
    <w:pPr>
      <w:numPr>
        <w:numId w:val="16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dashbullet5">
    <w:name w:val="dash bullet 5"/>
    <w:basedOn w:val="Normal"/>
    <w:rsid w:val="00097071"/>
    <w:pPr>
      <w:numPr>
        <w:numId w:val="17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dashbullet6">
    <w:name w:val="dash bullet 6"/>
    <w:basedOn w:val="Normal"/>
    <w:rsid w:val="00097071"/>
    <w:pPr>
      <w:numPr>
        <w:numId w:val="18"/>
      </w:numPr>
      <w:spacing w:after="140" w:line="290" w:lineRule="auto"/>
      <w:jc w:val="both"/>
      <w:outlineLvl w:val="5"/>
    </w:pPr>
    <w:rPr>
      <w:kern w:val="20"/>
    </w:rPr>
  </w:style>
  <w:style w:type="paragraph" w:customStyle="1" w:styleId="zFSAddress">
    <w:name w:val="zFSAddress"/>
    <w:basedOn w:val="Normal"/>
    <w:rsid w:val="00097071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sid w:val="00097071"/>
    <w:rPr>
      <w:rFonts w:eastAsia="SimSun"/>
      <w:i/>
      <w:caps/>
      <w:szCs w:val="20"/>
    </w:rPr>
  </w:style>
  <w:style w:type="paragraph" w:customStyle="1" w:styleId="zFSDraft">
    <w:name w:val="zFSDraft"/>
    <w:basedOn w:val="Normal"/>
    <w:rsid w:val="00097071"/>
    <w:pPr>
      <w:spacing w:line="290" w:lineRule="auto"/>
    </w:pPr>
    <w:rPr>
      <w:kern w:val="20"/>
    </w:rPr>
  </w:style>
  <w:style w:type="paragraph" w:customStyle="1" w:styleId="zFSFax">
    <w:name w:val="zFSFax"/>
    <w:basedOn w:val="Normal"/>
    <w:rsid w:val="00097071"/>
    <w:rPr>
      <w:kern w:val="16"/>
      <w:sz w:val="16"/>
    </w:rPr>
  </w:style>
  <w:style w:type="paragraph" w:customStyle="1" w:styleId="zFSNameofDoc">
    <w:name w:val="zFSNameofDoc"/>
    <w:basedOn w:val="Normal"/>
    <w:rsid w:val="00097071"/>
    <w:pPr>
      <w:spacing w:before="300" w:after="400" w:line="290" w:lineRule="auto"/>
      <w:jc w:val="center"/>
    </w:pPr>
    <w:rPr>
      <w:rFonts w:eastAsia="SimSun"/>
      <w:caps/>
      <w:szCs w:val="20"/>
    </w:rPr>
  </w:style>
  <w:style w:type="paragraph" w:customStyle="1" w:styleId="zFSTel">
    <w:name w:val="zFSTel"/>
    <w:basedOn w:val="Normal"/>
    <w:rsid w:val="00097071"/>
    <w:pPr>
      <w:spacing w:before="120"/>
    </w:pPr>
    <w:rPr>
      <w:kern w:val="16"/>
      <w:sz w:val="16"/>
    </w:rPr>
  </w:style>
  <w:style w:type="paragraph" w:customStyle="1" w:styleId="zFSAmount">
    <w:name w:val="zFSAmount"/>
    <w:basedOn w:val="Normal"/>
    <w:rsid w:val="00097071"/>
    <w:pPr>
      <w:spacing w:before="800" w:line="290" w:lineRule="auto"/>
      <w:jc w:val="center"/>
    </w:pPr>
    <w:rPr>
      <w:i/>
    </w:rPr>
  </w:style>
  <w:style w:type="character" w:styleId="Hipervnculovisitado">
    <w:name w:val="FollowedHyperlink"/>
    <w:rsid w:val="00097071"/>
    <w:rPr>
      <w:color w:val="AF005F"/>
      <w:u w:val="none"/>
    </w:rPr>
  </w:style>
  <w:style w:type="character" w:customStyle="1" w:styleId="zTokyoLogoCaption">
    <w:name w:val="zTokyoLogoCaption"/>
    <w:rsid w:val="00097071"/>
    <w:rPr>
      <w:rFonts w:ascii="MS Mincho" w:eastAsia="MS Mincho"/>
      <w:noProof/>
      <w:sz w:val="13"/>
    </w:rPr>
  </w:style>
  <w:style w:type="paragraph" w:customStyle="1" w:styleId="zFSAddress2">
    <w:name w:val="zFSAddress2"/>
    <w:basedOn w:val="Normal"/>
    <w:rsid w:val="00097071"/>
    <w:pPr>
      <w:spacing w:line="290" w:lineRule="auto"/>
      <w:outlineLvl w:val="1"/>
    </w:pPr>
    <w:rPr>
      <w:kern w:val="16"/>
      <w:sz w:val="16"/>
    </w:rPr>
  </w:style>
  <w:style w:type="character" w:customStyle="1" w:styleId="zTokyoLogoCaption2">
    <w:name w:val="zTokyoLogoCaption2"/>
    <w:rsid w:val="00097071"/>
    <w:rPr>
      <w:rFonts w:ascii="MS Mincho" w:eastAsia="MS Mincho"/>
      <w:noProof/>
      <w:sz w:val="16"/>
    </w:rPr>
  </w:style>
  <w:style w:type="paragraph" w:styleId="TDC1">
    <w:name w:val="toc 1"/>
    <w:basedOn w:val="Normal"/>
    <w:next w:val="Body"/>
    <w:rsid w:val="003E67D0"/>
    <w:pPr>
      <w:spacing w:before="280" w:after="140" w:line="290" w:lineRule="auto"/>
    </w:pPr>
    <w:rPr>
      <w:kern w:val="20"/>
    </w:rPr>
  </w:style>
  <w:style w:type="paragraph" w:styleId="TDC2">
    <w:name w:val="toc 2"/>
    <w:basedOn w:val="Normal"/>
    <w:next w:val="Body"/>
    <w:rsid w:val="003E67D0"/>
    <w:pPr>
      <w:spacing w:before="280" w:after="140" w:line="290" w:lineRule="auto"/>
    </w:pPr>
    <w:rPr>
      <w:kern w:val="20"/>
    </w:rPr>
  </w:style>
  <w:style w:type="paragraph" w:styleId="TDC3">
    <w:name w:val="toc 3"/>
    <w:basedOn w:val="Normal"/>
    <w:next w:val="Body"/>
    <w:rsid w:val="003E67D0"/>
    <w:pPr>
      <w:spacing w:before="280" w:after="140" w:line="290" w:lineRule="auto"/>
      <w:ind w:left="680"/>
    </w:pPr>
    <w:rPr>
      <w:kern w:val="20"/>
    </w:rPr>
  </w:style>
  <w:style w:type="paragraph" w:styleId="TDC4">
    <w:name w:val="toc 4"/>
    <w:basedOn w:val="Normal"/>
    <w:next w:val="Body"/>
    <w:rsid w:val="003E67D0"/>
    <w:pPr>
      <w:spacing w:before="280" w:after="140" w:line="290" w:lineRule="auto"/>
      <w:ind w:left="680"/>
    </w:pPr>
    <w:rPr>
      <w:kern w:val="20"/>
    </w:rPr>
  </w:style>
  <w:style w:type="paragraph" w:styleId="TDC5">
    <w:name w:val="toc 5"/>
    <w:basedOn w:val="Normal"/>
    <w:next w:val="Body"/>
    <w:rsid w:val="003E67D0"/>
  </w:style>
  <w:style w:type="paragraph" w:styleId="TDC6">
    <w:name w:val="toc 6"/>
    <w:basedOn w:val="Normal"/>
    <w:next w:val="Body"/>
    <w:rsid w:val="003E67D0"/>
  </w:style>
  <w:style w:type="paragraph" w:styleId="TDC7">
    <w:name w:val="toc 7"/>
    <w:basedOn w:val="Normal"/>
    <w:next w:val="Body"/>
    <w:rsid w:val="003E67D0"/>
  </w:style>
  <w:style w:type="paragraph" w:styleId="TDC8">
    <w:name w:val="toc 8"/>
    <w:basedOn w:val="Normal"/>
    <w:next w:val="Body"/>
    <w:rsid w:val="003E67D0"/>
  </w:style>
  <w:style w:type="paragraph" w:styleId="TDC9">
    <w:name w:val="toc 9"/>
    <w:basedOn w:val="Normal"/>
    <w:next w:val="Body"/>
    <w:rsid w:val="003E67D0"/>
  </w:style>
  <w:style w:type="paragraph" w:customStyle="1" w:styleId="ScheduleHeading">
    <w:name w:val="Schedule Heading"/>
    <w:basedOn w:val="Body"/>
    <w:next w:val="Body"/>
    <w:rsid w:val="00F82122"/>
    <w:pPr>
      <w:keepNext/>
      <w:pageBreakBefore/>
      <w:numPr>
        <w:numId w:val="43"/>
      </w:numPr>
      <w:spacing w:after="240"/>
      <w:jc w:val="center"/>
      <w:outlineLvl w:val="3"/>
    </w:pPr>
    <w:rPr>
      <w:b/>
      <w:kern w:val="23"/>
      <w:sz w:val="23"/>
      <w:szCs w:val="23"/>
      <w:lang w:eastAsia="en-US"/>
    </w:rPr>
  </w:style>
  <w:style w:type="table" w:styleId="Tablaconcuadrcula">
    <w:name w:val="Table Grid"/>
    <w:basedOn w:val="Tablanormal"/>
    <w:rsid w:val="00265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bullet2Char">
    <w:name w:val="dash bullet 2 Char"/>
    <w:basedOn w:val="Fuentedeprrafopredeter"/>
    <w:link w:val="dashbullet2"/>
    <w:rsid w:val="00B344E8"/>
    <w:rPr>
      <w:rFonts w:ascii="Arial" w:hAnsi="Arial"/>
      <w:kern w:val="20"/>
      <w:szCs w:val="24"/>
    </w:rPr>
  </w:style>
  <w:style w:type="paragraph" w:styleId="Prrafodelista">
    <w:name w:val="List Paragraph"/>
    <w:basedOn w:val="Normal"/>
    <w:uiPriority w:val="34"/>
    <w:qFormat/>
    <w:rsid w:val="00A53D41"/>
    <w:pPr>
      <w:ind w:left="720"/>
    </w:pPr>
    <w:rPr>
      <w:rFonts w:ascii="Calibri" w:eastAsiaTheme="minorEastAsia" w:hAnsi="Calibri"/>
      <w:sz w:val="22"/>
      <w:szCs w:val="22"/>
      <w:lang w:eastAsia="en-US" w:bidi="hi-IN"/>
    </w:rPr>
  </w:style>
  <w:style w:type="character" w:customStyle="1" w:styleId="FechaCar">
    <w:name w:val="Fecha Car"/>
    <w:basedOn w:val="Fuentedeprrafopredeter"/>
    <w:link w:val="Fecha"/>
    <w:rsid w:val="00B67B35"/>
    <w:rPr>
      <w:rFonts w:ascii="Arial" w:hAnsi="Arial"/>
      <w:szCs w:val="24"/>
    </w:rPr>
  </w:style>
  <w:style w:type="paragraph" w:customStyle="1" w:styleId="zLinklatersLogo">
    <w:name w:val="zLinklatersLogo"/>
    <w:basedOn w:val="Normal"/>
    <w:rsid w:val="00B67B35"/>
    <w:pPr>
      <w:spacing w:after="200"/>
    </w:pPr>
  </w:style>
  <w:style w:type="paragraph" w:customStyle="1" w:styleId="zOfficeAddress">
    <w:name w:val="zOfficeAddress"/>
    <w:basedOn w:val="Normal"/>
    <w:rsid w:val="00B67B35"/>
    <w:pPr>
      <w:spacing w:line="288" w:lineRule="auto"/>
    </w:pPr>
    <w:rPr>
      <w:w w:val="95"/>
      <w:sz w:val="16"/>
    </w:rPr>
  </w:style>
  <w:style w:type="paragraph" w:customStyle="1" w:styleId="zSpace">
    <w:name w:val="zSpace"/>
    <w:basedOn w:val="Normal"/>
    <w:rsid w:val="00B67B35"/>
    <w:rPr>
      <w:sz w:val="8"/>
    </w:rPr>
  </w:style>
  <w:style w:type="paragraph" w:customStyle="1" w:styleId="LogoCaption">
    <w:name w:val="LogoCaption"/>
    <w:basedOn w:val="Normal"/>
    <w:rsid w:val="00B67B35"/>
    <w:pPr>
      <w:tabs>
        <w:tab w:val="right" w:pos="4735"/>
      </w:tabs>
      <w:spacing w:line="288" w:lineRule="auto"/>
    </w:pPr>
    <w:rPr>
      <w:sz w:val="16"/>
    </w:rPr>
  </w:style>
  <w:style w:type="paragraph" w:customStyle="1" w:styleId="yAdditionalRecipients">
    <w:name w:val="yAdditionalRecipients"/>
    <w:basedOn w:val="Normal"/>
    <w:rsid w:val="00B67B35"/>
    <w:pPr>
      <w:spacing w:line="288" w:lineRule="auto"/>
    </w:pPr>
  </w:style>
  <w:style w:type="paragraph" w:customStyle="1" w:styleId="yAddresseeDetails">
    <w:name w:val="yAddresseeDetails"/>
    <w:basedOn w:val="Normal"/>
    <w:rsid w:val="00B67B35"/>
    <w:pPr>
      <w:spacing w:line="288" w:lineRule="auto"/>
    </w:pPr>
  </w:style>
  <w:style w:type="paragraph" w:customStyle="1" w:styleId="yDeliveryMethod">
    <w:name w:val="yDeliveryMethod"/>
    <w:basedOn w:val="Normal"/>
    <w:rsid w:val="00B67B35"/>
    <w:pPr>
      <w:spacing w:line="288" w:lineRule="auto"/>
    </w:pPr>
    <w:rPr>
      <w:b/>
    </w:rPr>
  </w:style>
  <w:style w:type="paragraph" w:customStyle="1" w:styleId="zPrivate">
    <w:name w:val="zPrivate"/>
    <w:basedOn w:val="Normal"/>
    <w:rsid w:val="00B67B35"/>
    <w:pPr>
      <w:spacing w:line="288" w:lineRule="auto"/>
    </w:pPr>
    <w:rPr>
      <w:b/>
    </w:rPr>
  </w:style>
  <w:style w:type="paragraph" w:customStyle="1" w:styleId="zSpace3">
    <w:name w:val="zSpace3"/>
    <w:basedOn w:val="Normal"/>
    <w:rsid w:val="00B67B35"/>
    <w:pPr>
      <w:spacing w:after="480"/>
    </w:pPr>
    <w:rPr>
      <w:sz w:val="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86B05"/>
    <w:rPr>
      <w:rFonts w:ascii="Arial" w:hAnsi="Arial"/>
      <w:kern w:val="16"/>
      <w:sz w:val="16"/>
      <w:szCs w:val="24"/>
    </w:rPr>
  </w:style>
  <w:style w:type="paragraph" w:styleId="Textodeglobo">
    <w:name w:val="Balloon Text"/>
    <w:basedOn w:val="Normal"/>
    <w:link w:val="TextodegloboCar"/>
    <w:rsid w:val="00386B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6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L HS">
  <a:themeElements>
    <a:clrScheme name="LL HS">
      <a:dk1>
        <a:srgbClr val="000000"/>
      </a:dk1>
      <a:lt1>
        <a:srgbClr val="FFFFFF"/>
      </a:lt1>
      <a:dk2>
        <a:srgbClr val="AF005F"/>
      </a:dk2>
      <a:lt2>
        <a:srgbClr val="969696"/>
      </a:lt2>
      <a:accent1>
        <a:srgbClr val="AF005F"/>
      </a:accent1>
      <a:accent2>
        <a:srgbClr val="BF337F"/>
      </a:accent2>
      <a:accent3>
        <a:srgbClr val="CC5C99"/>
      </a:accent3>
      <a:accent4>
        <a:srgbClr val="808080"/>
      </a:accent4>
      <a:accent5>
        <a:srgbClr val="969696"/>
      </a:accent5>
      <a:accent6>
        <a:srgbClr val="C3C3C3"/>
      </a:accent6>
      <a:hlink>
        <a:srgbClr val="D985B2"/>
      </a:hlink>
      <a:folHlink>
        <a:srgbClr val="ECC4DA"/>
      </a:folHlink>
    </a:clrScheme>
    <a:fontScheme name="LL HS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49CD9-D219-4136-B56B-BA619C0D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848</Words>
  <Characters>4666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HouseStyle</vt:lpstr>
      <vt:lpstr>HouseStyle</vt:lpstr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HouseStyle</dc:title>
  <dc:creator>Any Authorised User</dc:creator>
  <cp:lastModifiedBy>Jesús Saiz</cp:lastModifiedBy>
  <cp:revision>16</cp:revision>
  <cp:lastPrinted>2015-03-25T17:00:00Z</cp:lastPrinted>
  <dcterms:created xsi:type="dcterms:W3CDTF">2015-03-25T08:14:00Z</dcterms:created>
  <dcterms:modified xsi:type="dcterms:W3CDTF">2015-04-08T15:10:00Z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R.160</vt:lpwstr>
  </property>
  <property fmtid="{D5CDD505-2E9C-101B-9397-08002B2CF9AE}" pid="3" name="CoverPage">
    <vt:lpwstr>No</vt:lpwstr>
  </property>
  <property fmtid="{D5CDD505-2E9C-101B-9397-08002B2CF9AE}" pid="4" name="Language">
    <vt:lpwstr>English (U.K.)</vt:lpwstr>
  </property>
  <property fmtid="{D5CDD505-2E9C-101B-9397-08002B2CF9AE}" pid="5" name="PaperSize">
    <vt:lpwstr>A4</vt:lpwstr>
  </property>
  <property fmtid="{D5CDD505-2E9C-101B-9397-08002B2CF9AE}" pid="6" name="Landscape">
    <vt:lpwstr/>
  </property>
  <property fmtid="{D5CDD505-2E9C-101B-9397-08002B2CF9AE}" pid="7" name="HouseStyle">
    <vt:lpwstr>2</vt:lpwstr>
  </property>
  <property fmtid="{D5CDD505-2E9C-101B-9397-08002B2CF9AE}" pid="8" name="HSChanged">
    <vt:lpwstr>No</vt:lpwstr>
  </property>
  <property fmtid="{D5CDD505-2E9C-101B-9397-08002B2CF9AE}" pid="9" name="HeadPara">
    <vt:i4>1</vt:i4>
  </property>
  <property fmtid="{D5CDD505-2E9C-101B-9397-08002B2CF9AE}" pid="10" name="TOCInsert">
    <vt:lpwstr>Yes</vt:lpwstr>
  </property>
  <property fmtid="{D5CDD505-2E9C-101B-9397-08002B2CF9AE}" pid="11" name="TOCString">
    <vt:lpwstr/>
  </property>
  <property fmtid="{D5CDD505-2E9C-101B-9397-08002B2CF9AE}" pid="12" name="TOCBold">
    <vt:lpwstr>Yes</vt:lpwstr>
  </property>
  <property fmtid="{D5CDD505-2E9C-101B-9397-08002B2CF9AE}" pid="13" name="Chinese">
    <vt:lpwstr>No</vt:lpwstr>
  </property>
  <property fmtid="{D5CDD505-2E9C-101B-9397-08002B2CF9AE}" pid="14" name="Lineleader">
    <vt:lpwstr>No</vt:lpwstr>
  </property>
  <property fmtid="{D5CDD505-2E9C-101B-9397-08002B2CF9AE}" pid="15" name="ObjectID">
    <vt:lpwstr>09001dc88d357923</vt:lpwstr>
  </property>
  <property fmtid="{D5CDD505-2E9C-101B-9397-08002B2CF9AE}" pid="16" name="Document Number">
    <vt:lpwstr>A19659113</vt:lpwstr>
  </property>
  <property fmtid="{D5CDD505-2E9C-101B-9397-08002B2CF9AE}" pid="17" name="Version">
    <vt:lpwstr>0.5</vt:lpwstr>
  </property>
  <property fmtid="{D5CDD505-2E9C-101B-9397-08002B2CF9AE}" pid="18" name="Last Modified">
    <vt:lpwstr>24 Mar 2015</vt:lpwstr>
  </property>
  <property fmtid="{D5CDD505-2E9C-101B-9397-08002B2CF9AE}" pid="19" name="Matter Number">
    <vt:lpwstr>L-189515</vt:lpwstr>
  </property>
  <property fmtid="{D5CDD505-2E9C-101B-9397-08002B2CF9AE}" pid="20" name="Client Code">
    <vt:lpwstr>10298591</vt:lpwstr>
  </property>
  <property fmtid="{D5CDD505-2E9C-101B-9397-08002B2CF9AE}" pid="21" name="Mode">
    <vt:lpwstr>SendAs</vt:lpwstr>
  </property>
  <property fmtid="{D5CDD505-2E9C-101B-9397-08002B2CF9AE}" pid="22" name="DEDocumentLocation">
    <vt:lpwstr>H:\Documentum\__Viewed\09001dc88d357923\Fidentiis_Response to EBA consultation paper.docx</vt:lpwstr>
  </property>
</Properties>
</file>