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22B6" w14:textId="20301857" w:rsidR="008C63C4" w:rsidRDefault="00000000"/>
    <w:p w14:paraId="70228B08" w14:textId="3473DAE9" w:rsidR="001B2F28" w:rsidRPr="0014528C" w:rsidRDefault="00FB3310" w:rsidP="00425832">
      <w:pPr>
        <w:jc w:val="center"/>
        <w:rPr>
          <w:rFonts w:ascii="Arial" w:hAnsi="Arial" w:cs="Arial"/>
          <w:b/>
          <w:bCs/>
          <w:sz w:val="20"/>
          <w:szCs w:val="20"/>
        </w:rPr>
      </w:pPr>
      <w:r w:rsidRPr="0014528C">
        <w:rPr>
          <w:rFonts w:ascii="Arial" w:hAnsi="Arial" w:cs="Arial"/>
          <w:b/>
          <w:bCs/>
          <w:sz w:val="20"/>
          <w:szCs w:val="20"/>
        </w:rPr>
        <w:t>PRA Group Europe Response</w:t>
      </w:r>
    </w:p>
    <w:p w14:paraId="5BA1E8C5" w14:textId="1B5D18E3" w:rsidR="00425832" w:rsidRPr="0014528C" w:rsidRDefault="00425832" w:rsidP="00425832">
      <w:pPr>
        <w:jc w:val="center"/>
        <w:rPr>
          <w:rFonts w:ascii="Arial" w:hAnsi="Arial" w:cs="Arial"/>
          <w:b/>
          <w:bCs/>
          <w:sz w:val="20"/>
          <w:szCs w:val="20"/>
        </w:rPr>
      </w:pPr>
      <w:r w:rsidRPr="0014528C">
        <w:rPr>
          <w:rFonts w:ascii="Arial" w:hAnsi="Arial" w:cs="Arial"/>
          <w:b/>
          <w:bCs/>
          <w:sz w:val="20"/>
          <w:szCs w:val="20"/>
        </w:rPr>
        <w:t>to</w:t>
      </w:r>
    </w:p>
    <w:p w14:paraId="623EB5C0" w14:textId="78B81FAD" w:rsidR="00425832" w:rsidRPr="0014528C" w:rsidRDefault="00425832" w:rsidP="00425832">
      <w:pPr>
        <w:jc w:val="center"/>
        <w:rPr>
          <w:rFonts w:ascii="Arial" w:hAnsi="Arial" w:cs="Arial"/>
          <w:b/>
          <w:bCs/>
          <w:sz w:val="20"/>
          <w:szCs w:val="20"/>
        </w:rPr>
      </w:pPr>
      <w:r w:rsidRPr="0014528C">
        <w:rPr>
          <w:rFonts w:ascii="Arial" w:hAnsi="Arial" w:cs="Arial"/>
          <w:b/>
          <w:bCs/>
          <w:sz w:val="20"/>
          <w:szCs w:val="20"/>
        </w:rPr>
        <w:t xml:space="preserve">Consultation on Implementing Technical Standards </w:t>
      </w:r>
      <w:r w:rsidR="00E8024E" w:rsidRPr="0014528C">
        <w:rPr>
          <w:rFonts w:ascii="Arial" w:hAnsi="Arial" w:cs="Arial"/>
          <w:b/>
          <w:bCs/>
          <w:sz w:val="20"/>
          <w:szCs w:val="20"/>
        </w:rPr>
        <w:t xml:space="preserve">(“ITS”) </w:t>
      </w:r>
      <w:r w:rsidRPr="0014528C">
        <w:rPr>
          <w:rFonts w:ascii="Arial" w:hAnsi="Arial" w:cs="Arial"/>
          <w:b/>
          <w:bCs/>
          <w:sz w:val="20"/>
          <w:szCs w:val="20"/>
        </w:rPr>
        <w:t>on NPL transaction data templates (EBA/CP/2022/05)</w:t>
      </w:r>
      <w:r w:rsidR="00D632C2" w:rsidRPr="0014528C">
        <w:rPr>
          <w:rFonts w:ascii="Arial" w:hAnsi="Arial" w:cs="Arial"/>
          <w:b/>
          <w:bCs/>
          <w:sz w:val="20"/>
          <w:szCs w:val="20"/>
        </w:rPr>
        <w:t xml:space="preserve"> (“Consultation”)</w:t>
      </w:r>
    </w:p>
    <w:p w14:paraId="0A463927" w14:textId="79B85A58" w:rsidR="00425832" w:rsidRPr="0014528C" w:rsidRDefault="00BA61BD">
      <w:pPr>
        <w:rPr>
          <w:rFonts w:ascii="Arial" w:hAnsi="Arial" w:cs="Arial"/>
          <w:b/>
          <w:bCs/>
          <w:sz w:val="20"/>
          <w:szCs w:val="20"/>
        </w:rPr>
      </w:pPr>
      <w:r w:rsidRPr="0014528C">
        <w:rPr>
          <w:rFonts w:ascii="Arial" w:hAnsi="Arial" w:cs="Arial"/>
          <w:b/>
          <w:bCs/>
          <w:sz w:val="20"/>
          <w:szCs w:val="20"/>
        </w:rPr>
        <w:t>BACKGROUND</w:t>
      </w:r>
    </w:p>
    <w:p w14:paraId="0438C443" w14:textId="77777777" w:rsidR="00B2731D" w:rsidRPr="0014528C" w:rsidRDefault="00B2731D" w:rsidP="00B2731D">
      <w:pPr>
        <w:pStyle w:val="Heading1"/>
        <w:rPr>
          <w:rFonts w:ascii="Arial" w:eastAsia="Times New Roman" w:hAnsi="Arial" w:cs="Arial"/>
          <w:b/>
          <w:bCs/>
          <w:color w:val="auto"/>
          <w:sz w:val="20"/>
          <w:szCs w:val="20"/>
        </w:rPr>
      </w:pPr>
      <w:r w:rsidRPr="0014528C">
        <w:rPr>
          <w:rFonts w:ascii="Arial" w:eastAsia="Times New Roman" w:hAnsi="Arial" w:cs="Arial"/>
          <w:b/>
          <w:bCs/>
          <w:color w:val="auto"/>
          <w:sz w:val="20"/>
          <w:szCs w:val="20"/>
        </w:rPr>
        <w:t>About PRA</w:t>
      </w:r>
    </w:p>
    <w:p w14:paraId="1E2EDDC1" w14:textId="025FD8AB" w:rsidR="00647E6E" w:rsidRPr="0014528C" w:rsidRDefault="00B2731D" w:rsidP="00E416A3">
      <w:pPr>
        <w:jc w:val="both"/>
        <w:rPr>
          <w:rFonts w:ascii="Arial" w:hAnsi="Arial" w:cs="Arial"/>
          <w:sz w:val="20"/>
          <w:szCs w:val="20"/>
        </w:rPr>
      </w:pPr>
      <w:r w:rsidRPr="0014528C">
        <w:rPr>
          <w:rFonts w:ascii="Arial" w:hAnsi="Arial" w:cs="Arial"/>
          <w:sz w:val="20"/>
          <w:szCs w:val="20"/>
        </w:rPr>
        <w:t xml:space="preserve">As a global leader in acquiring and collecting nonperforming loans, PRA Group returns capital to banks and other creditors to help expand financial services for consumers around the world. </w:t>
      </w:r>
      <w:r w:rsidR="00E416A3" w:rsidRPr="0014528C">
        <w:rPr>
          <w:rStyle w:val="Heading1Text"/>
          <w:rFonts w:ascii="Arial" w:hAnsi="Arial" w:cs="Arial"/>
          <w:b w:val="0"/>
          <w:bCs/>
          <w:caps w:val="0"/>
          <w:sz w:val="20"/>
          <w:szCs w:val="20"/>
        </w:rPr>
        <w:t>PRA Group</w:t>
      </w:r>
      <w:r w:rsidR="00E416A3">
        <w:rPr>
          <w:rStyle w:val="Heading1Text"/>
          <w:rFonts w:ascii="Arial" w:hAnsi="Arial" w:cs="Arial"/>
          <w:b w:val="0"/>
          <w:bCs/>
          <w:caps w:val="0"/>
          <w:sz w:val="20"/>
          <w:szCs w:val="20"/>
        </w:rPr>
        <w:t xml:space="preserve"> purchased portfolios of nearly $1 billion in the last financial year and </w:t>
      </w:r>
      <w:r w:rsidR="00E416A3">
        <w:rPr>
          <w:rFonts w:ascii="Arial" w:hAnsi="Arial" w:cs="Arial"/>
          <w:sz w:val="20"/>
          <w:szCs w:val="20"/>
        </w:rPr>
        <w:t>owns portfolios in 13</w:t>
      </w:r>
      <w:r w:rsidR="00E416A3" w:rsidRPr="0014528C">
        <w:rPr>
          <w:rFonts w:ascii="Arial" w:hAnsi="Arial" w:cs="Arial"/>
          <w:sz w:val="20"/>
          <w:szCs w:val="20"/>
        </w:rPr>
        <w:t xml:space="preserve"> countries in Europe, </w:t>
      </w:r>
      <w:r w:rsidR="00E416A3">
        <w:rPr>
          <w:rFonts w:ascii="Arial" w:hAnsi="Arial" w:cs="Arial"/>
          <w:sz w:val="20"/>
          <w:szCs w:val="20"/>
        </w:rPr>
        <w:t>acquiring</w:t>
      </w:r>
      <w:r w:rsidR="00E416A3" w:rsidRPr="0014528C">
        <w:rPr>
          <w:rFonts w:ascii="Arial" w:hAnsi="Arial" w:cs="Arial"/>
          <w:sz w:val="20"/>
          <w:szCs w:val="20"/>
        </w:rPr>
        <w:t xml:space="preserve"> nonperforming loans from major credit granters</w:t>
      </w:r>
      <w:r w:rsidR="00E416A3">
        <w:rPr>
          <w:rFonts w:ascii="Arial" w:hAnsi="Arial" w:cs="Arial"/>
          <w:sz w:val="20"/>
          <w:szCs w:val="20"/>
        </w:rPr>
        <w:t>.</w:t>
      </w:r>
    </w:p>
    <w:p w14:paraId="0830659D" w14:textId="77777777" w:rsidR="00B2731D" w:rsidRPr="0014528C" w:rsidRDefault="00B2731D" w:rsidP="00E416A3">
      <w:pPr>
        <w:pStyle w:val="Heading2"/>
        <w:jc w:val="both"/>
        <w:rPr>
          <w:rFonts w:ascii="Arial" w:eastAsia="Times New Roman" w:hAnsi="Arial" w:cs="Arial"/>
          <w:b/>
          <w:bCs/>
          <w:color w:val="auto"/>
          <w:sz w:val="20"/>
          <w:szCs w:val="20"/>
        </w:rPr>
      </w:pPr>
      <w:r w:rsidRPr="0014528C">
        <w:rPr>
          <w:rFonts w:ascii="Arial" w:eastAsia="Times New Roman" w:hAnsi="Arial" w:cs="Arial"/>
          <w:b/>
          <w:bCs/>
          <w:color w:val="auto"/>
          <w:sz w:val="20"/>
          <w:szCs w:val="20"/>
        </w:rPr>
        <w:t>Focus on Compliance and Customers</w:t>
      </w:r>
    </w:p>
    <w:p w14:paraId="12E482A8" w14:textId="1275C640" w:rsidR="00B2731D" w:rsidRPr="0014528C" w:rsidRDefault="00B2731D" w:rsidP="00E416A3">
      <w:pPr>
        <w:jc w:val="both"/>
        <w:rPr>
          <w:rFonts w:ascii="Arial" w:hAnsi="Arial" w:cs="Arial"/>
          <w:sz w:val="20"/>
          <w:szCs w:val="20"/>
        </w:rPr>
      </w:pPr>
      <w:r w:rsidRPr="0014528C">
        <w:rPr>
          <w:rFonts w:ascii="Arial" w:hAnsi="Arial" w:cs="Arial"/>
          <w:sz w:val="20"/>
          <w:szCs w:val="20"/>
        </w:rPr>
        <w:t xml:space="preserve">With </w:t>
      </w:r>
      <w:r w:rsidR="00647E6E" w:rsidRPr="0014528C">
        <w:rPr>
          <w:rFonts w:ascii="Arial" w:hAnsi="Arial" w:cs="Arial"/>
          <w:sz w:val="20"/>
          <w:szCs w:val="20"/>
        </w:rPr>
        <w:t>nearly 1000 employees in Europe alone</w:t>
      </w:r>
      <w:r w:rsidRPr="0014528C">
        <w:rPr>
          <w:rFonts w:ascii="Arial" w:hAnsi="Arial" w:cs="Arial"/>
          <w:sz w:val="20"/>
          <w:szCs w:val="20"/>
        </w:rPr>
        <w:t xml:space="preserve">, PRA Group </w:t>
      </w:r>
      <w:r w:rsidR="00DB3976">
        <w:rPr>
          <w:rFonts w:ascii="Arial" w:hAnsi="Arial" w:cs="Arial"/>
          <w:sz w:val="20"/>
          <w:szCs w:val="20"/>
        </w:rPr>
        <w:t>is</w:t>
      </w:r>
      <w:r w:rsidR="00647E6E" w:rsidRPr="0014528C">
        <w:rPr>
          <w:rFonts w:ascii="Arial" w:hAnsi="Arial" w:cs="Arial"/>
          <w:sz w:val="20"/>
          <w:szCs w:val="20"/>
        </w:rPr>
        <w:t xml:space="preserve"> focused on </w:t>
      </w:r>
      <w:r w:rsidRPr="0014528C">
        <w:rPr>
          <w:rFonts w:ascii="Arial" w:hAnsi="Arial" w:cs="Arial"/>
          <w:sz w:val="20"/>
          <w:szCs w:val="20"/>
        </w:rPr>
        <w:t>collaborat</w:t>
      </w:r>
      <w:r w:rsidR="00647E6E" w:rsidRPr="0014528C">
        <w:rPr>
          <w:rFonts w:ascii="Arial" w:hAnsi="Arial" w:cs="Arial"/>
          <w:sz w:val="20"/>
          <w:szCs w:val="20"/>
        </w:rPr>
        <w:t>ing</w:t>
      </w:r>
      <w:r w:rsidRPr="0014528C">
        <w:rPr>
          <w:rFonts w:ascii="Arial" w:hAnsi="Arial" w:cs="Arial"/>
          <w:sz w:val="20"/>
          <w:szCs w:val="20"/>
        </w:rPr>
        <w:t xml:space="preserve"> with customers to help them resolve their debt. Our governance, risk and compliance functions work closely together with our operational and </w:t>
      </w:r>
      <w:r w:rsidR="00E416A3">
        <w:rPr>
          <w:rFonts w:ascii="Arial" w:hAnsi="Arial" w:cs="Arial"/>
          <w:sz w:val="20"/>
          <w:szCs w:val="20"/>
        </w:rPr>
        <w:t>investment</w:t>
      </w:r>
      <w:r w:rsidRPr="0014528C">
        <w:rPr>
          <w:rFonts w:ascii="Arial" w:hAnsi="Arial" w:cs="Arial"/>
          <w:sz w:val="20"/>
          <w:szCs w:val="20"/>
        </w:rPr>
        <w:t xml:space="preserve"> teams </w:t>
      </w:r>
      <w:r w:rsidR="000649F3">
        <w:rPr>
          <w:rFonts w:ascii="Arial" w:hAnsi="Arial" w:cs="Arial"/>
          <w:sz w:val="20"/>
          <w:szCs w:val="20"/>
        </w:rPr>
        <w:t>to ensure</w:t>
      </w:r>
      <w:r w:rsidRPr="0014528C">
        <w:rPr>
          <w:rFonts w:ascii="Arial" w:hAnsi="Arial" w:cs="Arial"/>
          <w:sz w:val="20"/>
          <w:szCs w:val="20"/>
        </w:rPr>
        <w:t xml:space="preserve"> excellent outcomes for our regulators, sellers and customers alike, across market and product complexity. </w:t>
      </w:r>
    </w:p>
    <w:p w14:paraId="258EEA46" w14:textId="25A423B8" w:rsidR="00BA61BD" w:rsidRPr="0014528C" w:rsidRDefault="00E416A3" w:rsidP="00E416A3">
      <w:pPr>
        <w:pStyle w:val="Body1"/>
        <w:rPr>
          <w:rStyle w:val="Heading1Text"/>
          <w:rFonts w:ascii="Arial" w:hAnsi="Arial" w:cs="Arial"/>
          <w:b w:val="0"/>
          <w:bCs/>
          <w:caps w:val="0"/>
          <w:sz w:val="20"/>
          <w:szCs w:val="20"/>
          <w:lang w:val="en-GB"/>
        </w:rPr>
      </w:pPr>
      <w:r>
        <w:rPr>
          <w:rStyle w:val="Heading1Text"/>
          <w:rFonts w:ascii="Arial" w:hAnsi="Arial" w:cs="Arial"/>
          <w:b w:val="0"/>
          <w:bCs/>
          <w:caps w:val="0"/>
          <w:sz w:val="20"/>
          <w:szCs w:val="20"/>
          <w:lang w:val="en-GB"/>
        </w:rPr>
        <w:t>Having</w:t>
      </w:r>
      <w:r w:rsidRPr="0014528C">
        <w:rPr>
          <w:rStyle w:val="Heading1Text"/>
          <w:rFonts w:ascii="Arial" w:hAnsi="Arial" w:cs="Arial"/>
          <w:b w:val="0"/>
          <w:bCs/>
          <w:caps w:val="0"/>
          <w:sz w:val="20"/>
          <w:szCs w:val="20"/>
          <w:lang w:val="en-GB"/>
        </w:rPr>
        <w:t xml:space="preserve"> been </w:t>
      </w:r>
      <w:r w:rsidR="00FA1BDE">
        <w:rPr>
          <w:rStyle w:val="Heading1Text"/>
          <w:rFonts w:ascii="Arial" w:hAnsi="Arial" w:cs="Arial"/>
          <w:b w:val="0"/>
          <w:bCs/>
          <w:caps w:val="0"/>
          <w:sz w:val="20"/>
          <w:szCs w:val="20"/>
          <w:lang w:val="en-GB"/>
        </w:rPr>
        <w:t>founded</w:t>
      </w:r>
      <w:r w:rsidRPr="0014528C">
        <w:rPr>
          <w:rStyle w:val="Heading1Text"/>
          <w:rFonts w:ascii="Arial" w:hAnsi="Arial" w:cs="Arial"/>
          <w:b w:val="0"/>
          <w:bCs/>
          <w:caps w:val="0"/>
          <w:sz w:val="20"/>
          <w:szCs w:val="20"/>
          <w:lang w:val="en-GB"/>
        </w:rPr>
        <w:t xml:space="preserve"> </w:t>
      </w:r>
      <w:r w:rsidR="00FA1BDE">
        <w:rPr>
          <w:rStyle w:val="Heading1Text"/>
          <w:rFonts w:ascii="Arial" w:hAnsi="Arial" w:cs="Arial"/>
          <w:b w:val="0"/>
          <w:bCs/>
          <w:caps w:val="0"/>
          <w:sz w:val="20"/>
          <w:szCs w:val="20"/>
          <w:lang w:val="en-GB"/>
        </w:rPr>
        <w:t>in</w:t>
      </w:r>
      <w:r w:rsidRPr="0014528C">
        <w:rPr>
          <w:rStyle w:val="Heading1Text"/>
          <w:rFonts w:ascii="Arial" w:hAnsi="Arial" w:cs="Arial"/>
          <w:b w:val="0"/>
          <w:bCs/>
          <w:caps w:val="0"/>
          <w:sz w:val="20"/>
          <w:szCs w:val="20"/>
          <w:lang w:val="en-GB"/>
        </w:rPr>
        <w:t xml:space="preserve"> 1996 </w:t>
      </w:r>
      <w:r>
        <w:rPr>
          <w:rStyle w:val="Heading1Text"/>
          <w:rFonts w:ascii="Arial" w:hAnsi="Arial" w:cs="Arial"/>
          <w:b w:val="0"/>
          <w:bCs/>
          <w:caps w:val="0"/>
          <w:sz w:val="20"/>
          <w:szCs w:val="20"/>
          <w:lang w:val="en-GB"/>
        </w:rPr>
        <w:t>and publicly traded on the US Nasdaq since 2002, PRA</w:t>
      </w:r>
      <w:r w:rsidRPr="0014528C">
        <w:rPr>
          <w:rStyle w:val="Heading1Text"/>
          <w:rFonts w:ascii="Arial" w:hAnsi="Arial" w:cs="Arial"/>
          <w:b w:val="0"/>
          <w:bCs/>
          <w:caps w:val="0"/>
          <w:sz w:val="20"/>
          <w:szCs w:val="20"/>
          <w:lang w:val="en-GB"/>
        </w:rPr>
        <w:t xml:space="preserve"> entered the </w:t>
      </w:r>
      <w:r>
        <w:rPr>
          <w:rStyle w:val="Heading1Text"/>
          <w:rFonts w:ascii="Arial" w:hAnsi="Arial" w:cs="Arial"/>
          <w:b w:val="0"/>
          <w:bCs/>
          <w:caps w:val="0"/>
          <w:sz w:val="20"/>
          <w:szCs w:val="20"/>
          <w:lang w:val="en-GB"/>
        </w:rPr>
        <w:t>European market in 2012</w:t>
      </w:r>
      <w:r w:rsidRPr="0014528C">
        <w:rPr>
          <w:rStyle w:val="Heading1Text"/>
          <w:rFonts w:ascii="Arial" w:hAnsi="Arial" w:cs="Arial"/>
          <w:b w:val="0"/>
          <w:bCs/>
          <w:caps w:val="0"/>
          <w:sz w:val="20"/>
          <w:szCs w:val="20"/>
          <w:lang w:val="en-GB"/>
        </w:rPr>
        <w:t xml:space="preserve">. </w:t>
      </w:r>
      <w:r>
        <w:rPr>
          <w:rStyle w:val="Heading1Text"/>
          <w:rFonts w:ascii="Arial" w:hAnsi="Arial" w:cs="Arial"/>
          <w:b w:val="0"/>
          <w:bCs/>
          <w:caps w:val="0"/>
          <w:sz w:val="20"/>
          <w:szCs w:val="20"/>
          <w:lang w:val="en-GB"/>
        </w:rPr>
        <w:t xml:space="preserve">As a leading purchaser of unsecured personal loans across Europe, we are well placed to opine on the Consultation </w:t>
      </w:r>
      <w:r w:rsidRPr="0014528C">
        <w:rPr>
          <w:rStyle w:val="Heading1Text"/>
          <w:rFonts w:ascii="Arial" w:hAnsi="Arial" w:cs="Arial"/>
          <w:b w:val="0"/>
          <w:bCs/>
          <w:caps w:val="0"/>
          <w:sz w:val="20"/>
          <w:szCs w:val="20"/>
          <w:lang w:val="en-GB"/>
        </w:rPr>
        <w:t>and share the benefit of our</w:t>
      </w:r>
      <w:r>
        <w:rPr>
          <w:rStyle w:val="Heading1Text"/>
          <w:rFonts w:ascii="Arial" w:hAnsi="Arial" w:cs="Arial"/>
          <w:b w:val="0"/>
          <w:bCs/>
          <w:caps w:val="0"/>
          <w:sz w:val="20"/>
          <w:szCs w:val="20"/>
          <w:lang w:val="en-GB"/>
        </w:rPr>
        <w:t xml:space="preserve"> experience and expertise</w:t>
      </w:r>
      <w:r w:rsidR="00D632C2" w:rsidRPr="0014528C">
        <w:rPr>
          <w:rStyle w:val="Heading1Text"/>
          <w:rFonts w:ascii="Arial" w:hAnsi="Arial" w:cs="Arial"/>
          <w:b w:val="0"/>
          <w:bCs/>
          <w:caps w:val="0"/>
          <w:sz w:val="20"/>
          <w:szCs w:val="20"/>
          <w:lang w:val="en-GB"/>
        </w:rPr>
        <w:t>.</w:t>
      </w:r>
      <w:r w:rsidR="00D82434" w:rsidRPr="0014528C">
        <w:rPr>
          <w:rStyle w:val="Heading1Text"/>
          <w:rFonts w:ascii="Arial" w:hAnsi="Arial" w:cs="Arial"/>
          <w:b w:val="0"/>
          <w:bCs/>
          <w:caps w:val="0"/>
          <w:sz w:val="20"/>
          <w:szCs w:val="20"/>
          <w:lang w:val="en-GB"/>
        </w:rPr>
        <w:t xml:space="preserve">  </w:t>
      </w:r>
    </w:p>
    <w:p w14:paraId="7ABF13EC" w14:textId="77777777" w:rsidR="00BA61BD" w:rsidRPr="0014528C" w:rsidRDefault="00BA61BD" w:rsidP="00530C31">
      <w:pPr>
        <w:pStyle w:val="Body1"/>
        <w:rPr>
          <w:rStyle w:val="Heading1Text"/>
          <w:rFonts w:ascii="Arial" w:hAnsi="Arial" w:cs="Arial"/>
          <w:b w:val="0"/>
          <w:bCs/>
          <w:caps w:val="0"/>
          <w:sz w:val="20"/>
          <w:szCs w:val="20"/>
          <w:lang w:val="en-GB"/>
        </w:rPr>
      </w:pPr>
    </w:p>
    <w:p w14:paraId="6BB27A81" w14:textId="2F72E386" w:rsidR="00D632C2" w:rsidRPr="0014528C" w:rsidRDefault="00D632C2" w:rsidP="00530C31">
      <w:pPr>
        <w:pStyle w:val="Body1"/>
        <w:rPr>
          <w:rStyle w:val="Heading1Text"/>
          <w:rFonts w:ascii="Arial" w:hAnsi="Arial" w:cs="Arial"/>
          <w:caps w:val="0"/>
          <w:sz w:val="20"/>
          <w:szCs w:val="20"/>
          <w:lang w:val="en-US"/>
        </w:rPr>
      </w:pPr>
      <w:r w:rsidRPr="0014528C">
        <w:rPr>
          <w:rStyle w:val="Heading1Text"/>
          <w:rFonts w:ascii="Arial" w:hAnsi="Arial" w:cs="Arial"/>
          <w:caps w:val="0"/>
          <w:sz w:val="20"/>
          <w:szCs w:val="20"/>
          <w:lang w:val="en-US"/>
        </w:rPr>
        <w:t>Summary Response</w:t>
      </w:r>
    </w:p>
    <w:p w14:paraId="5D82F69E" w14:textId="5939F4D4" w:rsidR="00530C31" w:rsidRPr="0014528C" w:rsidRDefault="00D632C2" w:rsidP="00530C31">
      <w:pPr>
        <w:pStyle w:val="Body1"/>
        <w:rPr>
          <w:rStyle w:val="Heading1Text"/>
          <w:rFonts w:ascii="Arial" w:hAnsi="Arial" w:cs="Arial"/>
          <w:b w:val="0"/>
          <w:bCs/>
          <w:caps w:val="0"/>
          <w:sz w:val="20"/>
          <w:szCs w:val="20"/>
          <w:lang w:val="en-US"/>
        </w:rPr>
      </w:pPr>
      <w:r w:rsidRPr="0014528C">
        <w:rPr>
          <w:rStyle w:val="Heading1Text"/>
          <w:rFonts w:ascii="Arial" w:hAnsi="Arial" w:cs="Arial"/>
          <w:b w:val="0"/>
          <w:bCs/>
          <w:caps w:val="0"/>
          <w:sz w:val="20"/>
          <w:szCs w:val="20"/>
          <w:lang w:val="en-US"/>
        </w:rPr>
        <w:t xml:space="preserve">PRA Group’s response to the Consultation questions is based on the views and experiences of PRA Group personnel closely involved in portfolio underwriting and </w:t>
      </w:r>
      <w:r w:rsidR="00A65D8B">
        <w:rPr>
          <w:rStyle w:val="Heading1Text"/>
          <w:rFonts w:ascii="Arial" w:hAnsi="Arial" w:cs="Arial"/>
          <w:b w:val="0"/>
          <w:bCs/>
          <w:caps w:val="0"/>
          <w:sz w:val="20"/>
          <w:szCs w:val="20"/>
          <w:lang w:val="en-US"/>
        </w:rPr>
        <w:t>investments</w:t>
      </w:r>
      <w:r w:rsidRPr="0014528C">
        <w:rPr>
          <w:rStyle w:val="Heading1Text"/>
          <w:rFonts w:ascii="Arial" w:hAnsi="Arial" w:cs="Arial"/>
          <w:b w:val="0"/>
          <w:bCs/>
          <w:caps w:val="0"/>
          <w:sz w:val="20"/>
          <w:szCs w:val="20"/>
          <w:lang w:val="en-US"/>
        </w:rPr>
        <w:t xml:space="preserve"> across the EU, with detailed knowledge of the markets in NPLs</w:t>
      </w:r>
      <w:r w:rsidR="00614237" w:rsidRPr="0014528C">
        <w:rPr>
          <w:rStyle w:val="Heading1Text"/>
          <w:rFonts w:ascii="Arial" w:hAnsi="Arial" w:cs="Arial"/>
          <w:b w:val="0"/>
          <w:bCs/>
          <w:caps w:val="0"/>
          <w:sz w:val="20"/>
          <w:szCs w:val="20"/>
          <w:lang w:val="en-US"/>
        </w:rPr>
        <w:t xml:space="preserve"> and the mode of acquiring NPL portfolios across various jurisdictions and sellers.</w:t>
      </w:r>
    </w:p>
    <w:p w14:paraId="043BE564" w14:textId="77777777" w:rsidR="00530C31" w:rsidRPr="0014528C" w:rsidRDefault="00530C31" w:rsidP="00530C31">
      <w:pPr>
        <w:pStyle w:val="Body1"/>
        <w:rPr>
          <w:rStyle w:val="Heading1Text"/>
          <w:rFonts w:ascii="Arial" w:hAnsi="Arial" w:cs="Arial"/>
          <w:b w:val="0"/>
          <w:bCs/>
          <w:caps w:val="0"/>
          <w:sz w:val="20"/>
          <w:szCs w:val="20"/>
          <w:lang w:val="en-US"/>
        </w:rPr>
      </w:pPr>
    </w:p>
    <w:p w14:paraId="08DBE694" w14:textId="665B825D" w:rsidR="00530C31" w:rsidRPr="0014528C" w:rsidRDefault="00614237" w:rsidP="00530C31">
      <w:pPr>
        <w:pStyle w:val="Body1"/>
        <w:rPr>
          <w:rStyle w:val="Heading1Text"/>
          <w:rFonts w:ascii="Arial" w:hAnsi="Arial" w:cs="Arial"/>
          <w:b w:val="0"/>
          <w:bCs/>
          <w:caps w:val="0"/>
          <w:sz w:val="20"/>
          <w:szCs w:val="20"/>
          <w:lang w:val="en-US"/>
        </w:rPr>
      </w:pPr>
      <w:r w:rsidRPr="0014528C">
        <w:rPr>
          <w:rStyle w:val="Heading1Text"/>
          <w:rFonts w:ascii="Arial" w:hAnsi="Arial" w:cs="Arial"/>
          <w:b w:val="0"/>
          <w:bCs/>
          <w:caps w:val="0"/>
          <w:sz w:val="20"/>
          <w:szCs w:val="20"/>
          <w:lang w:val="en-US"/>
        </w:rPr>
        <w:t>Our responses take into account that the</w:t>
      </w:r>
      <w:r w:rsidR="00530C31" w:rsidRPr="0014528C">
        <w:rPr>
          <w:rStyle w:val="Heading1Text"/>
          <w:rFonts w:ascii="Arial" w:hAnsi="Arial" w:cs="Arial"/>
          <w:b w:val="0"/>
          <w:bCs/>
          <w:caps w:val="0"/>
          <w:sz w:val="20"/>
          <w:szCs w:val="20"/>
          <w:lang w:val="en-US"/>
        </w:rPr>
        <w:t xml:space="preserve"> objective</w:t>
      </w:r>
      <w:r w:rsidR="000B42A8" w:rsidRPr="0014528C">
        <w:rPr>
          <w:rStyle w:val="Heading1Text"/>
          <w:rFonts w:ascii="Arial" w:hAnsi="Arial" w:cs="Arial"/>
          <w:b w:val="0"/>
          <w:bCs/>
          <w:caps w:val="0"/>
          <w:sz w:val="20"/>
          <w:szCs w:val="20"/>
          <w:lang w:val="en-US"/>
        </w:rPr>
        <w:t>s</w:t>
      </w:r>
      <w:r w:rsidR="00530C31" w:rsidRPr="0014528C">
        <w:rPr>
          <w:rStyle w:val="Heading1Text"/>
          <w:rFonts w:ascii="Arial" w:hAnsi="Arial" w:cs="Arial"/>
          <w:b w:val="0"/>
          <w:bCs/>
          <w:caps w:val="0"/>
          <w:sz w:val="20"/>
          <w:szCs w:val="20"/>
          <w:lang w:val="en-US"/>
        </w:rPr>
        <w:t xml:space="preserve"> of the </w:t>
      </w:r>
      <w:r w:rsidRPr="0014528C">
        <w:rPr>
          <w:rStyle w:val="Heading1Text"/>
          <w:rFonts w:ascii="Arial" w:hAnsi="Arial" w:cs="Arial"/>
          <w:b w:val="0"/>
          <w:bCs/>
          <w:caps w:val="0"/>
          <w:sz w:val="20"/>
          <w:szCs w:val="20"/>
          <w:lang w:val="en-US"/>
        </w:rPr>
        <w:t xml:space="preserve">introduction of </w:t>
      </w:r>
      <w:proofErr w:type="spellStart"/>
      <w:r w:rsidRPr="0014528C">
        <w:rPr>
          <w:rStyle w:val="Heading1Text"/>
          <w:rFonts w:ascii="Arial" w:hAnsi="Arial" w:cs="Arial"/>
          <w:b w:val="0"/>
          <w:bCs/>
          <w:caps w:val="0"/>
          <w:sz w:val="20"/>
          <w:szCs w:val="20"/>
          <w:lang w:val="en-US"/>
        </w:rPr>
        <w:t>standardised</w:t>
      </w:r>
      <w:proofErr w:type="spellEnd"/>
      <w:r w:rsidRPr="0014528C">
        <w:rPr>
          <w:rStyle w:val="Heading1Text"/>
          <w:rFonts w:ascii="Arial" w:hAnsi="Arial" w:cs="Arial"/>
          <w:b w:val="0"/>
          <w:bCs/>
          <w:caps w:val="0"/>
          <w:sz w:val="20"/>
          <w:szCs w:val="20"/>
          <w:lang w:val="en-US"/>
        </w:rPr>
        <w:t xml:space="preserve"> data</w:t>
      </w:r>
      <w:r w:rsidR="00530C31" w:rsidRPr="0014528C">
        <w:rPr>
          <w:rStyle w:val="Heading1Text"/>
          <w:rFonts w:ascii="Arial" w:hAnsi="Arial" w:cs="Arial"/>
          <w:b w:val="0"/>
          <w:bCs/>
          <w:caps w:val="0"/>
          <w:sz w:val="20"/>
          <w:szCs w:val="20"/>
          <w:lang w:val="en-US"/>
        </w:rPr>
        <w:t xml:space="preserve"> templates </w:t>
      </w:r>
      <w:r w:rsidR="000B42A8" w:rsidRPr="0014528C">
        <w:rPr>
          <w:rStyle w:val="Heading1Text"/>
          <w:rFonts w:ascii="Arial" w:hAnsi="Arial" w:cs="Arial"/>
          <w:b w:val="0"/>
          <w:bCs/>
          <w:caps w:val="0"/>
          <w:sz w:val="20"/>
          <w:szCs w:val="20"/>
          <w:lang w:val="en-US"/>
        </w:rPr>
        <w:t>are</w:t>
      </w:r>
      <w:r w:rsidR="00530C31" w:rsidRPr="0014528C">
        <w:rPr>
          <w:rStyle w:val="Heading1Text"/>
          <w:rFonts w:ascii="Arial" w:hAnsi="Arial" w:cs="Arial"/>
          <w:b w:val="0"/>
          <w:bCs/>
          <w:caps w:val="0"/>
          <w:sz w:val="20"/>
          <w:szCs w:val="20"/>
          <w:lang w:val="en-US"/>
        </w:rPr>
        <w:t xml:space="preserve"> to </w:t>
      </w:r>
      <w:r w:rsidRPr="0014528C">
        <w:rPr>
          <w:rStyle w:val="Heading1Text"/>
          <w:rFonts w:ascii="Arial" w:hAnsi="Arial" w:cs="Arial"/>
          <w:b w:val="0"/>
          <w:bCs/>
          <w:caps w:val="0"/>
          <w:sz w:val="20"/>
          <w:szCs w:val="20"/>
          <w:lang w:val="en-US"/>
        </w:rPr>
        <w:t xml:space="preserve">reduce barriers to entry to new market participants and </w:t>
      </w:r>
      <w:r w:rsidR="00530C31" w:rsidRPr="0014528C">
        <w:rPr>
          <w:rStyle w:val="Heading1Text"/>
          <w:rFonts w:ascii="Arial" w:hAnsi="Arial" w:cs="Arial"/>
          <w:b w:val="0"/>
          <w:bCs/>
          <w:caps w:val="0"/>
          <w:sz w:val="20"/>
          <w:szCs w:val="20"/>
          <w:lang w:val="en-US"/>
        </w:rPr>
        <w:t xml:space="preserve">increase efficiency in the </w:t>
      </w:r>
      <w:r w:rsidRPr="0014528C">
        <w:rPr>
          <w:rStyle w:val="Heading1Text"/>
          <w:rFonts w:ascii="Arial" w:hAnsi="Arial" w:cs="Arial"/>
          <w:b w:val="0"/>
          <w:bCs/>
          <w:caps w:val="0"/>
          <w:sz w:val="20"/>
          <w:szCs w:val="20"/>
          <w:lang w:val="en-US"/>
        </w:rPr>
        <w:t xml:space="preserve">secondary sale </w:t>
      </w:r>
      <w:r w:rsidR="00530C31" w:rsidRPr="0014528C">
        <w:rPr>
          <w:rStyle w:val="Heading1Text"/>
          <w:rFonts w:ascii="Arial" w:hAnsi="Arial" w:cs="Arial"/>
          <w:b w:val="0"/>
          <w:bCs/>
          <w:caps w:val="0"/>
          <w:sz w:val="20"/>
          <w:szCs w:val="20"/>
          <w:lang w:val="en-US"/>
        </w:rPr>
        <w:t xml:space="preserve">market for </w:t>
      </w:r>
      <w:r w:rsidRPr="0014528C">
        <w:rPr>
          <w:rStyle w:val="Heading1Text"/>
          <w:rFonts w:ascii="Arial" w:hAnsi="Arial" w:cs="Arial"/>
          <w:b w:val="0"/>
          <w:bCs/>
          <w:caps w:val="0"/>
          <w:sz w:val="20"/>
          <w:szCs w:val="20"/>
          <w:lang w:val="en-US"/>
        </w:rPr>
        <w:t>NPLs</w:t>
      </w:r>
      <w:r w:rsidR="00530C31" w:rsidRPr="0014528C">
        <w:rPr>
          <w:rStyle w:val="Heading1Text"/>
          <w:rFonts w:ascii="Arial" w:hAnsi="Arial" w:cs="Arial"/>
          <w:b w:val="0"/>
          <w:bCs/>
          <w:caps w:val="0"/>
          <w:sz w:val="20"/>
          <w:szCs w:val="20"/>
          <w:lang w:val="en-US"/>
        </w:rPr>
        <w:t xml:space="preserve"> by </w:t>
      </w:r>
      <w:r w:rsidRPr="0014528C">
        <w:rPr>
          <w:rStyle w:val="Heading1Text"/>
          <w:rFonts w:ascii="Arial" w:hAnsi="Arial" w:cs="Arial"/>
          <w:b w:val="0"/>
          <w:bCs/>
          <w:caps w:val="0"/>
          <w:sz w:val="20"/>
          <w:szCs w:val="20"/>
          <w:lang w:val="en-US"/>
        </w:rPr>
        <w:t>adopting a common data standard across all credit institutions</w:t>
      </w:r>
      <w:r w:rsidR="00530C31" w:rsidRPr="0014528C">
        <w:rPr>
          <w:rStyle w:val="Heading1Text"/>
          <w:rFonts w:ascii="Arial" w:hAnsi="Arial" w:cs="Arial"/>
          <w:b w:val="0"/>
          <w:bCs/>
          <w:caps w:val="0"/>
          <w:sz w:val="20"/>
          <w:szCs w:val="20"/>
          <w:lang w:val="en-US"/>
        </w:rPr>
        <w:t>.</w:t>
      </w:r>
    </w:p>
    <w:p w14:paraId="7729668C" w14:textId="77777777" w:rsidR="00530C31" w:rsidRPr="0014528C" w:rsidRDefault="00530C31" w:rsidP="00530C31">
      <w:pPr>
        <w:pStyle w:val="Body1"/>
        <w:rPr>
          <w:rStyle w:val="Heading1Text"/>
          <w:rFonts w:ascii="Arial" w:hAnsi="Arial" w:cs="Arial"/>
          <w:b w:val="0"/>
          <w:bCs/>
          <w:caps w:val="0"/>
          <w:sz w:val="20"/>
          <w:szCs w:val="20"/>
          <w:lang w:val="en-US"/>
        </w:rPr>
      </w:pPr>
    </w:p>
    <w:p w14:paraId="65618465" w14:textId="17F2596E" w:rsidR="00530C31" w:rsidRPr="0014528C" w:rsidRDefault="000B42A8" w:rsidP="00D65EBB">
      <w:pPr>
        <w:pStyle w:val="Body1"/>
        <w:rPr>
          <w:rStyle w:val="Heading1Text"/>
          <w:rFonts w:ascii="Arial" w:hAnsi="Arial" w:cs="Arial"/>
          <w:b w:val="0"/>
          <w:bCs/>
          <w:caps w:val="0"/>
          <w:sz w:val="20"/>
          <w:szCs w:val="20"/>
          <w:lang w:val="en-US"/>
        </w:rPr>
      </w:pPr>
      <w:r w:rsidRPr="0014528C">
        <w:rPr>
          <w:rStyle w:val="Heading1Text"/>
          <w:rFonts w:ascii="Arial" w:hAnsi="Arial" w:cs="Arial"/>
          <w:b w:val="0"/>
          <w:bCs/>
          <w:caps w:val="0"/>
          <w:sz w:val="20"/>
          <w:szCs w:val="20"/>
          <w:lang w:val="en-US"/>
        </w:rPr>
        <w:t>PRA Group Europe supports these objectives and welcomes all efforts to improve the efficiency of operation of the NPL sale market.</w:t>
      </w:r>
      <w:r w:rsidR="003C28FC">
        <w:rPr>
          <w:rStyle w:val="Heading1Text"/>
          <w:rFonts w:ascii="Arial" w:hAnsi="Arial" w:cs="Arial"/>
          <w:b w:val="0"/>
          <w:bCs/>
          <w:caps w:val="0"/>
          <w:sz w:val="20"/>
          <w:szCs w:val="20"/>
          <w:lang w:val="en-US"/>
        </w:rPr>
        <w:t xml:space="preserve"> PRA’s experience suggests that the unsecured consumer NPL market is already operating effectively and </w:t>
      </w:r>
      <w:r w:rsidR="009045DC">
        <w:rPr>
          <w:rStyle w:val="Heading1Text"/>
          <w:rFonts w:ascii="Arial" w:hAnsi="Arial" w:cs="Arial"/>
          <w:b w:val="0"/>
          <w:bCs/>
          <w:caps w:val="0"/>
          <w:sz w:val="20"/>
          <w:szCs w:val="20"/>
          <w:lang w:val="en-US"/>
        </w:rPr>
        <w:t>therefore</w:t>
      </w:r>
      <w:r w:rsidR="003C28FC">
        <w:rPr>
          <w:rStyle w:val="Heading1Text"/>
          <w:rFonts w:ascii="Arial" w:hAnsi="Arial" w:cs="Arial"/>
          <w:b w:val="0"/>
          <w:bCs/>
          <w:caps w:val="0"/>
          <w:sz w:val="20"/>
          <w:szCs w:val="20"/>
          <w:lang w:val="en-US"/>
        </w:rPr>
        <w:t xml:space="preserve"> the greatest </w:t>
      </w:r>
      <w:r w:rsidR="00D65EBB">
        <w:rPr>
          <w:rStyle w:val="Heading1Text"/>
          <w:rFonts w:ascii="Arial" w:hAnsi="Arial" w:cs="Arial"/>
          <w:b w:val="0"/>
          <w:bCs/>
          <w:caps w:val="0"/>
          <w:sz w:val="20"/>
          <w:szCs w:val="20"/>
          <w:lang w:val="en-US"/>
        </w:rPr>
        <w:t>potential</w:t>
      </w:r>
      <w:r w:rsidR="003C28FC">
        <w:rPr>
          <w:rStyle w:val="Heading1Text"/>
          <w:rFonts w:ascii="Arial" w:hAnsi="Arial" w:cs="Arial"/>
          <w:b w:val="0"/>
          <w:bCs/>
          <w:caps w:val="0"/>
          <w:sz w:val="20"/>
          <w:szCs w:val="20"/>
          <w:lang w:val="en-US"/>
        </w:rPr>
        <w:t xml:space="preserve"> </w:t>
      </w:r>
      <w:r w:rsidR="00AC261D">
        <w:rPr>
          <w:rStyle w:val="Heading1Text"/>
          <w:rFonts w:ascii="Arial" w:hAnsi="Arial" w:cs="Arial"/>
          <w:b w:val="0"/>
          <w:bCs/>
          <w:caps w:val="0"/>
          <w:sz w:val="20"/>
          <w:szCs w:val="20"/>
          <w:lang w:val="en-US"/>
        </w:rPr>
        <w:t xml:space="preserve">for </w:t>
      </w:r>
      <w:r w:rsidR="00D65EBB">
        <w:rPr>
          <w:rStyle w:val="Heading1Text"/>
          <w:rFonts w:ascii="Arial" w:hAnsi="Arial" w:cs="Arial"/>
          <w:b w:val="0"/>
          <w:bCs/>
          <w:caps w:val="0"/>
          <w:sz w:val="20"/>
          <w:szCs w:val="20"/>
          <w:lang w:val="en-US"/>
        </w:rPr>
        <w:t xml:space="preserve">improvement to market </w:t>
      </w:r>
      <w:r w:rsidR="003C28FC">
        <w:rPr>
          <w:rStyle w:val="Heading1Text"/>
          <w:rFonts w:ascii="Arial" w:hAnsi="Arial" w:cs="Arial"/>
          <w:b w:val="0"/>
          <w:bCs/>
          <w:caps w:val="0"/>
          <w:sz w:val="20"/>
          <w:szCs w:val="20"/>
          <w:lang w:val="en-US"/>
        </w:rPr>
        <w:t xml:space="preserve">efficiency are to be found in other parts of the secondary sale market, such as </w:t>
      </w:r>
      <w:r w:rsidR="00D65EBB">
        <w:rPr>
          <w:rStyle w:val="Heading1Text"/>
          <w:rFonts w:ascii="Arial" w:hAnsi="Arial" w:cs="Arial"/>
          <w:b w:val="0"/>
          <w:bCs/>
          <w:caps w:val="0"/>
          <w:sz w:val="20"/>
          <w:szCs w:val="20"/>
          <w:lang w:val="en-US"/>
        </w:rPr>
        <w:t>SME</w:t>
      </w:r>
      <w:r w:rsidR="00DB3976">
        <w:rPr>
          <w:rStyle w:val="Heading1Text"/>
          <w:rFonts w:ascii="Arial" w:hAnsi="Arial" w:cs="Arial"/>
          <w:b w:val="0"/>
          <w:bCs/>
          <w:caps w:val="0"/>
          <w:sz w:val="20"/>
          <w:szCs w:val="20"/>
          <w:lang w:val="en-US"/>
        </w:rPr>
        <w:t>s</w:t>
      </w:r>
      <w:r w:rsidR="00D65EBB">
        <w:rPr>
          <w:rStyle w:val="Heading1Text"/>
          <w:rFonts w:ascii="Arial" w:hAnsi="Arial" w:cs="Arial"/>
          <w:b w:val="0"/>
          <w:bCs/>
          <w:caps w:val="0"/>
          <w:sz w:val="20"/>
          <w:szCs w:val="20"/>
          <w:lang w:val="en-US"/>
        </w:rPr>
        <w:t>.</w:t>
      </w:r>
      <w:r w:rsidR="009045DC">
        <w:rPr>
          <w:rStyle w:val="Heading1Text"/>
          <w:rFonts w:ascii="Arial" w:hAnsi="Arial" w:cs="Arial"/>
          <w:b w:val="0"/>
          <w:bCs/>
          <w:caps w:val="0"/>
          <w:sz w:val="20"/>
          <w:szCs w:val="20"/>
          <w:lang w:val="en-US"/>
        </w:rPr>
        <w:t xml:space="preserve"> </w:t>
      </w:r>
      <w:r w:rsidR="00AC261D">
        <w:rPr>
          <w:rStyle w:val="Heading1Text"/>
          <w:rFonts w:ascii="Arial" w:hAnsi="Arial" w:cs="Arial"/>
          <w:b w:val="0"/>
          <w:bCs/>
          <w:caps w:val="0"/>
          <w:sz w:val="20"/>
          <w:szCs w:val="20"/>
          <w:lang w:val="en-US"/>
        </w:rPr>
        <w:t>It</w:t>
      </w:r>
      <w:r w:rsidR="003C28FC">
        <w:rPr>
          <w:rStyle w:val="Heading1Text"/>
          <w:rFonts w:ascii="Arial" w:hAnsi="Arial" w:cs="Arial"/>
          <w:b w:val="0"/>
          <w:bCs/>
          <w:caps w:val="0"/>
          <w:sz w:val="20"/>
          <w:szCs w:val="20"/>
          <w:lang w:val="en-US"/>
        </w:rPr>
        <w:t xml:space="preserve"> is important to ensure that the use of data templates </w:t>
      </w:r>
      <w:r w:rsidR="00D65EBB">
        <w:rPr>
          <w:rStyle w:val="Heading1Text"/>
          <w:rFonts w:ascii="Arial" w:hAnsi="Arial" w:cs="Arial"/>
          <w:b w:val="0"/>
          <w:bCs/>
          <w:caps w:val="0"/>
          <w:sz w:val="20"/>
          <w:szCs w:val="20"/>
          <w:lang w:val="en-US"/>
        </w:rPr>
        <w:t xml:space="preserve">enhances those parts of the market already working well and do not have the </w:t>
      </w:r>
      <w:r w:rsidR="009045DC">
        <w:rPr>
          <w:rStyle w:val="Heading1Text"/>
          <w:rFonts w:ascii="Arial" w:hAnsi="Arial" w:cs="Arial"/>
          <w:b w:val="0"/>
          <w:bCs/>
          <w:caps w:val="0"/>
          <w:sz w:val="20"/>
          <w:szCs w:val="20"/>
          <w:lang w:val="en-US"/>
        </w:rPr>
        <w:t>unintended consequence of</w:t>
      </w:r>
      <w:r w:rsidR="00D65EBB">
        <w:rPr>
          <w:rStyle w:val="Heading1Text"/>
          <w:rFonts w:ascii="Arial" w:hAnsi="Arial" w:cs="Arial"/>
          <w:b w:val="0"/>
          <w:bCs/>
          <w:caps w:val="0"/>
          <w:sz w:val="20"/>
          <w:szCs w:val="20"/>
          <w:lang w:val="en-US"/>
        </w:rPr>
        <w:t xml:space="preserve"> creating unnecessary friction or discouraging </w:t>
      </w:r>
      <w:r w:rsidR="009045DC">
        <w:rPr>
          <w:rStyle w:val="Heading1Text"/>
          <w:rFonts w:ascii="Arial" w:hAnsi="Arial" w:cs="Arial"/>
          <w:b w:val="0"/>
          <w:bCs/>
          <w:caps w:val="0"/>
          <w:sz w:val="20"/>
          <w:szCs w:val="20"/>
          <w:lang w:val="en-US"/>
        </w:rPr>
        <w:t>use of</w:t>
      </w:r>
      <w:r w:rsidR="00D65EBB">
        <w:rPr>
          <w:rStyle w:val="Heading1Text"/>
          <w:rFonts w:ascii="Arial" w:hAnsi="Arial" w:cs="Arial"/>
          <w:b w:val="0"/>
          <w:bCs/>
          <w:caps w:val="0"/>
          <w:sz w:val="20"/>
          <w:szCs w:val="20"/>
          <w:lang w:val="en-US"/>
        </w:rPr>
        <w:t xml:space="preserve"> the secondary market. </w:t>
      </w:r>
      <w:r w:rsidR="009045DC">
        <w:rPr>
          <w:rStyle w:val="Heading1Text"/>
          <w:rFonts w:ascii="Arial" w:hAnsi="Arial" w:cs="Arial"/>
          <w:b w:val="0"/>
          <w:bCs/>
          <w:caps w:val="0"/>
          <w:sz w:val="20"/>
          <w:szCs w:val="20"/>
          <w:lang w:val="en-US"/>
        </w:rPr>
        <w:t xml:space="preserve">Key to this will be ensuring that credit institutions are able to meet the requirements and </w:t>
      </w:r>
      <w:r w:rsidR="00C26FD5">
        <w:rPr>
          <w:rStyle w:val="Heading1Text"/>
          <w:rFonts w:ascii="Arial" w:hAnsi="Arial" w:cs="Arial"/>
          <w:b w:val="0"/>
          <w:bCs/>
          <w:caps w:val="0"/>
          <w:sz w:val="20"/>
          <w:szCs w:val="20"/>
          <w:lang w:val="en-US"/>
        </w:rPr>
        <w:t xml:space="preserve">that </w:t>
      </w:r>
      <w:r w:rsidR="00E8024E" w:rsidRPr="0014528C">
        <w:rPr>
          <w:rStyle w:val="Heading1Text"/>
          <w:rFonts w:ascii="Arial" w:hAnsi="Arial" w:cs="Arial"/>
          <w:b w:val="0"/>
          <w:bCs/>
          <w:caps w:val="0"/>
          <w:sz w:val="20"/>
          <w:szCs w:val="20"/>
          <w:lang w:val="en-US"/>
        </w:rPr>
        <w:t>portfolios</w:t>
      </w:r>
      <w:r w:rsidR="009045DC">
        <w:rPr>
          <w:rStyle w:val="Heading1Text"/>
          <w:rFonts w:ascii="Arial" w:hAnsi="Arial" w:cs="Arial"/>
          <w:b w:val="0"/>
          <w:bCs/>
          <w:caps w:val="0"/>
          <w:sz w:val="20"/>
          <w:szCs w:val="20"/>
          <w:lang w:val="en-US"/>
        </w:rPr>
        <w:t xml:space="preserve"> are not disqualified from</w:t>
      </w:r>
      <w:r w:rsidR="00E8024E" w:rsidRPr="0014528C">
        <w:rPr>
          <w:rStyle w:val="Heading1Text"/>
          <w:rFonts w:ascii="Arial" w:hAnsi="Arial" w:cs="Arial"/>
          <w:b w:val="0"/>
          <w:bCs/>
          <w:caps w:val="0"/>
          <w:sz w:val="20"/>
          <w:szCs w:val="20"/>
          <w:lang w:val="en-US"/>
        </w:rPr>
        <w:t xml:space="preserve"> sale where data is unavailable</w:t>
      </w:r>
      <w:r w:rsidR="006E6340" w:rsidRPr="0014528C">
        <w:rPr>
          <w:rStyle w:val="Heading1Text"/>
          <w:rFonts w:ascii="Arial" w:hAnsi="Arial" w:cs="Arial"/>
          <w:b w:val="0"/>
          <w:bCs/>
          <w:sz w:val="20"/>
          <w:szCs w:val="20"/>
          <w:lang w:val="en-US"/>
        </w:rPr>
        <w:t>.</w:t>
      </w:r>
      <w:r w:rsidR="00C26FD5">
        <w:rPr>
          <w:rStyle w:val="Heading1Text"/>
          <w:rFonts w:ascii="Arial" w:hAnsi="Arial" w:cs="Arial"/>
          <w:b w:val="0"/>
          <w:bCs/>
          <w:sz w:val="20"/>
          <w:szCs w:val="20"/>
          <w:lang w:val="en-US"/>
        </w:rPr>
        <w:t xml:space="preserve"> </w:t>
      </w:r>
    </w:p>
    <w:p w14:paraId="6920F34D" w14:textId="77777777" w:rsidR="00530C31" w:rsidRPr="0014528C" w:rsidRDefault="00530C31" w:rsidP="00530C31">
      <w:pPr>
        <w:pStyle w:val="Body1"/>
        <w:rPr>
          <w:rStyle w:val="Heading1Text"/>
          <w:rFonts w:ascii="Arial" w:hAnsi="Arial" w:cs="Arial"/>
          <w:b w:val="0"/>
          <w:bCs/>
          <w:caps w:val="0"/>
          <w:sz w:val="20"/>
          <w:szCs w:val="20"/>
          <w:lang w:val="en-US"/>
        </w:rPr>
      </w:pPr>
    </w:p>
    <w:p w14:paraId="797BEDCB" w14:textId="3F66C7B0" w:rsidR="006E6340" w:rsidRPr="0014528C" w:rsidRDefault="00D85CEF" w:rsidP="006E6340">
      <w:pPr>
        <w:pStyle w:val="Body1"/>
        <w:rPr>
          <w:rStyle w:val="Heading1Text"/>
          <w:rFonts w:ascii="Arial" w:hAnsi="Arial" w:cs="Arial"/>
          <w:b w:val="0"/>
          <w:bCs/>
          <w:caps w:val="0"/>
          <w:sz w:val="20"/>
          <w:szCs w:val="20"/>
          <w:lang w:val="en-US"/>
        </w:rPr>
      </w:pPr>
      <w:r>
        <w:rPr>
          <w:rStyle w:val="Heading1Text"/>
          <w:rFonts w:ascii="Arial" w:hAnsi="Arial" w:cs="Arial"/>
          <w:b w:val="0"/>
          <w:bCs/>
          <w:caps w:val="0"/>
          <w:sz w:val="20"/>
          <w:szCs w:val="20"/>
          <w:lang w:val="en-US"/>
        </w:rPr>
        <w:t>We have the following suggestions</w:t>
      </w:r>
      <w:r w:rsidR="006E6340" w:rsidRPr="0014528C">
        <w:rPr>
          <w:rStyle w:val="Heading1Text"/>
          <w:rFonts w:ascii="Arial" w:hAnsi="Arial" w:cs="Arial"/>
          <w:b w:val="0"/>
          <w:bCs/>
          <w:caps w:val="0"/>
          <w:sz w:val="20"/>
          <w:szCs w:val="20"/>
          <w:lang w:val="en-US"/>
        </w:rPr>
        <w:t xml:space="preserve"> for</w:t>
      </w:r>
      <w:r>
        <w:rPr>
          <w:rStyle w:val="Heading1Text"/>
          <w:rFonts w:ascii="Arial" w:hAnsi="Arial" w:cs="Arial"/>
          <w:b w:val="0"/>
          <w:bCs/>
          <w:caps w:val="0"/>
          <w:sz w:val="20"/>
          <w:szCs w:val="20"/>
          <w:lang w:val="en-US"/>
        </w:rPr>
        <w:t xml:space="preserve"> further</w:t>
      </w:r>
      <w:r w:rsidR="006E6340" w:rsidRPr="0014528C">
        <w:rPr>
          <w:rStyle w:val="Heading1Text"/>
          <w:rFonts w:ascii="Arial" w:hAnsi="Arial" w:cs="Arial"/>
          <w:b w:val="0"/>
          <w:bCs/>
          <w:caps w:val="0"/>
          <w:sz w:val="20"/>
          <w:szCs w:val="20"/>
          <w:lang w:val="en-US"/>
        </w:rPr>
        <w:t xml:space="preserve"> improvement</w:t>
      </w:r>
      <w:r w:rsidR="00C26FD5">
        <w:rPr>
          <w:rStyle w:val="Heading1Text"/>
          <w:rFonts w:ascii="Arial" w:hAnsi="Arial" w:cs="Arial"/>
          <w:b w:val="0"/>
          <w:bCs/>
          <w:caps w:val="0"/>
          <w:sz w:val="20"/>
          <w:szCs w:val="20"/>
          <w:lang w:val="en-US"/>
        </w:rPr>
        <w:t xml:space="preserve"> in support of the objectives of the ITS and the Directive generally</w:t>
      </w:r>
      <w:r w:rsidR="006E6340" w:rsidRPr="0014528C">
        <w:rPr>
          <w:rStyle w:val="Heading1Text"/>
          <w:rFonts w:ascii="Arial" w:hAnsi="Arial" w:cs="Arial"/>
          <w:b w:val="0"/>
          <w:bCs/>
          <w:caps w:val="0"/>
          <w:sz w:val="20"/>
          <w:szCs w:val="20"/>
          <w:lang w:val="en-US"/>
        </w:rPr>
        <w:t>:</w:t>
      </w:r>
    </w:p>
    <w:p w14:paraId="5DC21CC8" w14:textId="77777777" w:rsidR="006E6340" w:rsidRPr="0014528C" w:rsidRDefault="006E6340" w:rsidP="006E6340">
      <w:pPr>
        <w:pStyle w:val="Body1"/>
        <w:rPr>
          <w:rStyle w:val="Heading1Text"/>
          <w:rFonts w:ascii="Arial" w:hAnsi="Arial" w:cs="Arial"/>
          <w:b w:val="0"/>
          <w:bCs/>
          <w:caps w:val="0"/>
          <w:sz w:val="20"/>
          <w:szCs w:val="20"/>
          <w:lang w:val="en-US"/>
        </w:rPr>
      </w:pPr>
    </w:p>
    <w:p w14:paraId="5D5C8A8D" w14:textId="1D31BAD8" w:rsidR="005D63BC" w:rsidRDefault="00C26FD5" w:rsidP="00B33441">
      <w:pPr>
        <w:pStyle w:val="Body1"/>
        <w:numPr>
          <w:ilvl w:val="0"/>
          <w:numId w:val="3"/>
        </w:numPr>
        <w:ind w:left="709" w:hanging="283"/>
        <w:rPr>
          <w:rStyle w:val="Heading1Text"/>
          <w:rFonts w:ascii="Arial" w:hAnsi="Arial" w:cs="Arial"/>
          <w:b w:val="0"/>
          <w:bCs/>
          <w:caps w:val="0"/>
          <w:sz w:val="20"/>
          <w:szCs w:val="20"/>
          <w:lang w:val="en-US"/>
        </w:rPr>
      </w:pPr>
      <w:r>
        <w:rPr>
          <w:rStyle w:val="Heading1Text"/>
          <w:rFonts w:ascii="Arial" w:hAnsi="Arial" w:cs="Arial"/>
          <w:b w:val="0"/>
          <w:bCs/>
          <w:caps w:val="0"/>
          <w:sz w:val="20"/>
          <w:szCs w:val="20"/>
          <w:lang w:val="en-US"/>
        </w:rPr>
        <w:t xml:space="preserve">A greater focus on template 5 with respect to historic collection data. </w:t>
      </w:r>
      <w:r w:rsidR="00492603" w:rsidRPr="0014528C">
        <w:rPr>
          <w:rStyle w:val="Heading1Text"/>
          <w:rFonts w:ascii="Arial" w:hAnsi="Arial" w:cs="Arial"/>
          <w:b w:val="0"/>
          <w:bCs/>
          <w:caps w:val="0"/>
          <w:sz w:val="20"/>
          <w:szCs w:val="20"/>
          <w:lang w:val="en-US"/>
        </w:rPr>
        <w:t>To maximise valuations and accuracy</w:t>
      </w:r>
      <w:r w:rsidR="00D85CEF">
        <w:rPr>
          <w:rStyle w:val="Heading1Text"/>
          <w:rFonts w:ascii="Arial" w:hAnsi="Arial" w:cs="Arial"/>
          <w:b w:val="0"/>
          <w:bCs/>
          <w:caps w:val="0"/>
          <w:sz w:val="20"/>
          <w:szCs w:val="20"/>
          <w:lang w:val="en-US"/>
        </w:rPr>
        <w:t>, and to ensure a good customer journey,</w:t>
      </w:r>
      <w:r w:rsidR="00492603" w:rsidRPr="0014528C">
        <w:rPr>
          <w:rStyle w:val="Heading1Text"/>
          <w:rFonts w:ascii="Arial" w:hAnsi="Arial" w:cs="Arial"/>
          <w:b w:val="0"/>
          <w:bCs/>
          <w:caps w:val="0"/>
          <w:sz w:val="20"/>
          <w:szCs w:val="20"/>
          <w:lang w:val="en-US"/>
        </w:rPr>
        <w:t xml:space="preserve"> it is important for debt purchasers to have insight into customer</w:t>
      </w:r>
      <w:r w:rsidR="00D85CEF">
        <w:rPr>
          <w:rStyle w:val="Heading1Text"/>
          <w:rFonts w:ascii="Arial" w:hAnsi="Arial" w:cs="Arial"/>
          <w:b w:val="0"/>
          <w:bCs/>
          <w:caps w:val="0"/>
          <w:sz w:val="20"/>
          <w:szCs w:val="20"/>
          <w:lang w:val="en-US"/>
        </w:rPr>
        <w:t xml:space="preserve"> </w:t>
      </w:r>
      <w:proofErr w:type="spellStart"/>
      <w:r w:rsidR="00D85CEF">
        <w:rPr>
          <w:rStyle w:val="Heading1Text"/>
          <w:rFonts w:ascii="Arial" w:hAnsi="Arial" w:cs="Arial"/>
          <w:b w:val="0"/>
          <w:bCs/>
          <w:caps w:val="0"/>
          <w:sz w:val="20"/>
          <w:szCs w:val="20"/>
          <w:lang w:val="en-US"/>
        </w:rPr>
        <w:t>behaviour</w:t>
      </w:r>
      <w:proofErr w:type="spellEnd"/>
      <w:r>
        <w:rPr>
          <w:rStyle w:val="Heading1Text"/>
          <w:rFonts w:ascii="Arial" w:hAnsi="Arial" w:cs="Arial"/>
          <w:b w:val="0"/>
          <w:bCs/>
          <w:caps w:val="0"/>
          <w:sz w:val="20"/>
          <w:szCs w:val="20"/>
          <w:lang w:val="en-US"/>
        </w:rPr>
        <w:t xml:space="preserve">, including communication preferences and payment </w:t>
      </w:r>
      <w:proofErr w:type="spellStart"/>
      <w:r w:rsidR="005D63BC">
        <w:rPr>
          <w:rStyle w:val="Heading1Text"/>
          <w:rFonts w:ascii="Arial" w:hAnsi="Arial" w:cs="Arial"/>
          <w:b w:val="0"/>
          <w:bCs/>
          <w:caps w:val="0"/>
          <w:sz w:val="20"/>
          <w:szCs w:val="20"/>
          <w:lang w:val="en-US"/>
        </w:rPr>
        <w:t>behaviour</w:t>
      </w:r>
      <w:proofErr w:type="spellEnd"/>
      <w:r w:rsidR="00492603" w:rsidRPr="0014528C">
        <w:rPr>
          <w:rStyle w:val="Heading1Text"/>
          <w:rFonts w:ascii="Arial" w:hAnsi="Arial" w:cs="Arial"/>
          <w:b w:val="0"/>
          <w:bCs/>
          <w:caps w:val="0"/>
          <w:sz w:val="20"/>
          <w:szCs w:val="20"/>
          <w:lang w:val="en-US"/>
        </w:rPr>
        <w:t xml:space="preserve">. </w:t>
      </w:r>
      <w:r w:rsidR="00A238D2">
        <w:rPr>
          <w:rStyle w:val="Heading1Text"/>
          <w:rFonts w:ascii="Arial" w:hAnsi="Arial" w:cs="Arial"/>
          <w:b w:val="0"/>
          <w:bCs/>
          <w:caps w:val="0"/>
          <w:sz w:val="20"/>
          <w:szCs w:val="20"/>
          <w:lang w:val="en-US"/>
        </w:rPr>
        <w:t xml:space="preserve">As communication and payment preferences move towards digital </w:t>
      </w:r>
      <w:r w:rsidR="00537E38">
        <w:rPr>
          <w:rStyle w:val="Heading1Text"/>
          <w:rFonts w:ascii="Arial" w:hAnsi="Arial" w:cs="Arial"/>
          <w:b w:val="0"/>
          <w:bCs/>
          <w:caps w:val="0"/>
          <w:sz w:val="20"/>
          <w:szCs w:val="20"/>
          <w:lang w:val="en-US"/>
        </w:rPr>
        <w:t>journeys it</w:t>
      </w:r>
      <w:r w:rsidR="00D85CEF">
        <w:rPr>
          <w:rStyle w:val="Heading1Text"/>
          <w:rFonts w:ascii="Arial" w:hAnsi="Arial" w:cs="Arial"/>
          <w:b w:val="0"/>
          <w:bCs/>
          <w:caps w:val="0"/>
          <w:sz w:val="20"/>
          <w:szCs w:val="20"/>
          <w:lang w:val="en-US"/>
        </w:rPr>
        <w:t xml:space="preserve"> will be</w:t>
      </w:r>
      <w:r w:rsidR="00537E38">
        <w:rPr>
          <w:rStyle w:val="Heading1Text"/>
          <w:rFonts w:ascii="Arial" w:hAnsi="Arial" w:cs="Arial"/>
          <w:b w:val="0"/>
          <w:bCs/>
          <w:caps w:val="0"/>
          <w:sz w:val="20"/>
          <w:szCs w:val="20"/>
          <w:lang w:val="en-US"/>
        </w:rPr>
        <w:t xml:space="preserve"> important to ensure that template 5 is flexible enough to accommodate this. </w:t>
      </w:r>
      <w:r w:rsidR="00492603" w:rsidRPr="0014528C">
        <w:rPr>
          <w:rStyle w:val="Heading1Text"/>
          <w:rFonts w:ascii="Arial" w:hAnsi="Arial" w:cs="Arial"/>
          <w:b w:val="0"/>
          <w:bCs/>
          <w:caps w:val="0"/>
          <w:sz w:val="20"/>
          <w:szCs w:val="20"/>
          <w:lang w:val="en-US"/>
        </w:rPr>
        <w:t xml:space="preserve">We would recommend that data incorporated in template 5 is </w:t>
      </w:r>
      <w:proofErr w:type="spellStart"/>
      <w:r w:rsidR="00492603" w:rsidRPr="0014528C">
        <w:rPr>
          <w:rStyle w:val="Heading1Text"/>
          <w:rFonts w:ascii="Arial" w:hAnsi="Arial" w:cs="Arial"/>
          <w:b w:val="0"/>
          <w:bCs/>
          <w:caps w:val="0"/>
          <w:sz w:val="20"/>
          <w:szCs w:val="20"/>
          <w:lang w:val="en-US"/>
        </w:rPr>
        <w:t>prioritised</w:t>
      </w:r>
      <w:proofErr w:type="spellEnd"/>
      <w:r w:rsidR="00492603" w:rsidRPr="0014528C">
        <w:rPr>
          <w:rStyle w:val="Heading1Text"/>
          <w:rFonts w:ascii="Arial" w:hAnsi="Arial" w:cs="Arial"/>
          <w:b w:val="0"/>
          <w:bCs/>
          <w:caps w:val="0"/>
          <w:sz w:val="20"/>
          <w:szCs w:val="20"/>
          <w:lang w:val="en-US"/>
        </w:rPr>
        <w:t xml:space="preserve"> </w:t>
      </w:r>
      <w:r w:rsidR="00156AE8" w:rsidRPr="0014528C">
        <w:rPr>
          <w:rStyle w:val="Heading1Text"/>
          <w:rFonts w:ascii="Arial" w:hAnsi="Arial" w:cs="Arial"/>
          <w:b w:val="0"/>
          <w:bCs/>
          <w:caps w:val="0"/>
          <w:sz w:val="20"/>
          <w:szCs w:val="20"/>
          <w:lang w:val="en-US"/>
        </w:rPr>
        <w:t xml:space="preserve">as mandatory </w:t>
      </w:r>
      <w:r w:rsidR="005D63BC">
        <w:rPr>
          <w:rStyle w:val="Heading1Text"/>
          <w:rFonts w:ascii="Arial" w:hAnsi="Arial" w:cs="Arial"/>
          <w:b w:val="0"/>
          <w:bCs/>
          <w:caps w:val="0"/>
          <w:sz w:val="20"/>
          <w:szCs w:val="20"/>
          <w:lang w:val="en-US"/>
        </w:rPr>
        <w:t xml:space="preserve">for all portfolios. </w:t>
      </w:r>
    </w:p>
    <w:p w14:paraId="6D7B2CCE" w14:textId="76510507" w:rsidR="00156AE8" w:rsidRPr="0014528C" w:rsidRDefault="005D63BC" w:rsidP="00B33441">
      <w:pPr>
        <w:pStyle w:val="Body1"/>
        <w:numPr>
          <w:ilvl w:val="0"/>
          <w:numId w:val="3"/>
        </w:numPr>
        <w:ind w:left="709" w:hanging="283"/>
        <w:rPr>
          <w:rStyle w:val="Heading1Text"/>
          <w:rFonts w:ascii="Arial" w:hAnsi="Arial" w:cs="Arial"/>
          <w:b w:val="0"/>
          <w:bCs/>
          <w:caps w:val="0"/>
          <w:sz w:val="20"/>
          <w:szCs w:val="20"/>
          <w:lang w:val="en-US"/>
        </w:rPr>
      </w:pPr>
      <w:r>
        <w:rPr>
          <w:rStyle w:val="Heading1Text"/>
          <w:rFonts w:ascii="Arial" w:hAnsi="Arial" w:cs="Arial"/>
          <w:b w:val="0"/>
          <w:bCs/>
          <w:caps w:val="0"/>
          <w:sz w:val="20"/>
          <w:szCs w:val="20"/>
          <w:lang w:val="en-US"/>
        </w:rPr>
        <w:t xml:space="preserve">Key to the success of the data templates will be ensuring that external debt collection agencies </w:t>
      </w:r>
      <w:proofErr w:type="spellStart"/>
      <w:r>
        <w:rPr>
          <w:rStyle w:val="Heading1Text"/>
          <w:rFonts w:ascii="Arial" w:hAnsi="Arial" w:cs="Arial"/>
          <w:b w:val="0"/>
          <w:bCs/>
          <w:caps w:val="0"/>
          <w:sz w:val="20"/>
          <w:szCs w:val="20"/>
          <w:lang w:val="en-US"/>
        </w:rPr>
        <w:t>utilised</w:t>
      </w:r>
      <w:proofErr w:type="spellEnd"/>
      <w:r>
        <w:rPr>
          <w:rStyle w:val="Heading1Text"/>
          <w:rFonts w:ascii="Arial" w:hAnsi="Arial" w:cs="Arial"/>
          <w:b w:val="0"/>
          <w:bCs/>
          <w:caps w:val="0"/>
          <w:sz w:val="20"/>
          <w:szCs w:val="20"/>
          <w:lang w:val="en-US"/>
        </w:rPr>
        <w:t xml:space="preserve"> by the credit institutions are obliged to </w:t>
      </w:r>
      <w:r w:rsidR="00A238D2">
        <w:rPr>
          <w:rStyle w:val="Heading1Text"/>
          <w:rFonts w:ascii="Arial" w:hAnsi="Arial" w:cs="Arial"/>
          <w:b w:val="0"/>
          <w:bCs/>
          <w:caps w:val="0"/>
          <w:sz w:val="20"/>
          <w:szCs w:val="20"/>
          <w:lang w:val="en-US"/>
        </w:rPr>
        <w:t xml:space="preserve">regularly </w:t>
      </w:r>
      <w:r>
        <w:rPr>
          <w:rStyle w:val="Heading1Text"/>
          <w:rFonts w:ascii="Arial" w:hAnsi="Arial" w:cs="Arial"/>
          <w:b w:val="0"/>
          <w:bCs/>
          <w:caps w:val="0"/>
          <w:sz w:val="20"/>
          <w:szCs w:val="20"/>
          <w:lang w:val="en-US"/>
        </w:rPr>
        <w:t xml:space="preserve">report </w:t>
      </w:r>
      <w:r w:rsidR="00A238D2">
        <w:rPr>
          <w:rStyle w:val="Heading1Text"/>
          <w:rFonts w:ascii="Arial" w:hAnsi="Arial" w:cs="Arial"/>
          <w:b w:val="0"/>
          <w:bCs/>
          <w:caps w:val="0"/>
          <w:sz w:val="20"/>
          <w:szCs w:val="20"/>
          <w:lang w:val="en-US"/>
        </w:rPr>
        <w:t xml:space="preserve">to the credit institutions </w:t>
      </w:r>
      <w:r>
        <w:rPr>
          <w:rStyle w:val="Heading1Text"/>
          <w:rFonts w:ascii="Arial" w:hAnsi="Arial" w:cs="Arial"/>
          <w:b w:val="0"/>
          <w:bCs/>
          <w:caps w:val="0"/>
          <w:sz w:val="20"/>
          <w:szCs w:val="20"/>
          <w:lang w:val="en-US"/>
        </w:rPr>
        <w:t xml:space="preserve">and </w:t>
      </w:r>
      <w:r>
        <w:rPr>
          <w:rStyle w:val="Heading1Text"/>
          <w:rFonts w:ascii="Arial" w:hAnsi="Arial" w:cs="Arial"/>
          <w:b w:val="0"/>
          <w:bCs/>
          <w:caps w:val="0"/>
          <w:sz w:val="20"/>
          <w:szCs w:val="20"/>
          <w:lang w:val="en-US"/>
        </w:rPr>
        <w:lastRenderedPageBreak/>
        <w:t xml:space="preserve">maintain relevant data with respect to customer status and collections. This is essential both </w:t>
      </w:r>
      <w:r w:rsidR="00DB3976">
        <w:rPr>
          <w:rStyle w:val="Heading1Text"/>
          <w:rFonts w:ascii="Arial" w:hAnsi="Arial" w:cs="Arial"/>
          <w:b w:val="0"/>
          <w:bCs/>
          <w:caps w:val="0"/>
          <w:sz w:val="20"/>
          <w:szCs w:val="20"/>
          <w:lang w:val="en-US"/>
        </w:rPr>
        <w:t xml:space="preserve">for </w:t>
      </w:r>
      <w:r w:rsidR="00A238D2">
        <w:rPr>
          <w:rStyle w:val="Heading1Text"/>
          <w:rFonts w:ascii="Arial" w:hAnsi="Arial" w:cs="Arial"/>
          <w:b w:val="0"/>
          <w:bCs/>
          <w:caps w:val="0"/>
          <w:sz w:val="20"/>
          <w:szCs w:val="20"/>
          <w:lang w:val="en-US"/>
        </w:rPr>
        <w:t>(</w:t>
      </w:r>
      <w:proofErr w:type="spellStart"/>
      <w:r w:rsidR="00A238D2">
        <w:rPr>
          <w:rStyle w:val="Heading1Text"/>
          <w:rFonts w:ascii="Arial" w:hAnsi="Arial" w:cs="Arial"/>
          <w:b w:val="0"/>
          <w:bCs/>
          <w:caps w:val="0"/>
          <w:sz w:val="20"/>
          <w:szCs w:val="20"/>
          <w:lang w:val="en-US"/>
        </w:rPr>
        <w:t>i</w:t>
      </w:r>
      <w:proofErr w:type="spellEnd"/>
      <w:r w:rsidR="00A238D2">
        <w:rPr>
          <w:rStyle w:val="Heading1Text"/>
          <w:rFonts w:ascii="Arial" w:hAnsi="Arial" w:cs="Arial"/>
          <w:b w:val="0"/>
          <w:bCs/>
          <w:caps w:val="0"/>
          <w:sz w:val="20"/>
          <w:szCs w:val="20"/>
          <w:lang w:val="en-US"/>
        </w:rPr>
        <w:t xml:space="preserve">) </w:t>
      </w:r>
      <w:r>
        <w:rPr>
          <w:rStyle w:val="Heading1Text"/>
          <w:rFonts w:ascii="Arial" w:hAnsi="Arial" w:cs="Arial"/>
          <w:b w:val="0"/>
          <w:bCs/>
          <w:caps w:val="0"/>
          <w:sz w:val="20"/>
          <w:szCs w:val="20"/>
          <w:lang w:val="en-US"/>
        </w:rPr>
        <w:t xml:space="preserve">the functioning of a </w:t>
      </w:r>
      <w:r w:rsidR="00A238D2">
        <w:rPr>
          <w:rStyle w:val="Heading1Text"/>
          <w:rFonts w:ascii="Arial" w:hAnsi="Arial" w:cs="Arial"/>
          <w:b w:val="0"/>
          <w:bCs/>
          <w:caps w:val="0"/>
          <w:sz w:val="20"/>
          <w:szCs w:val="20"/>
          <w:lang w:val="en-US"/>
        </w:rPr>
        <w:t xml:space="preserve">competitive </w:t>
      </w:r>
      <w:r>
        <w:rPr>
          <w:rStyle w:val="Heading1Text"/>
          <w:rFonts w:ascii="Arial" w:hAnsi="Arial" w:cs="Arial"/>
          <w:b w:val="0"/>
          <w:bCs/>
          <w:caps w:val="0"/>
          <w:sz w:val="20"/>
          <w:szCs w:val="20"/>
          <w:lang w:val="en-US"/>
        </w:rPr>
        <w:t>secondary market,</w:t>
      </w:r>
      <w:r w:rsidR="00D85CEF">
        <w:rPr>
          <w:rStyle w:val="Heading1Text"/>
          <w:rFonts w:ascii="Arial" w:hAnsi="Arial" w:cs="Arial"/>
          <w:b w:val="0"/>
          <w:bCs/>
          <w:caps w:val="0"/>
          <w:sz w:val="20"/>
          <w:szCs w:val="20"/>
          <w:lang w:val="en-US"/>
        </w:rPr>
        <w:t xml:space="preserve"> </w:t>
      </w:r>
      <w:r>
        <w:rPr>
          <w:rStyle w:val="Heading1Text"/>
          <w:rFonts w:ascii="Arial" w:hAnsi="Arial" w:cs="Arial"/>
          <w:b w:val="0"/>
          <w:bCs/>
          <w:caps w:val="0"/>
          <w:sz w:val="20"/>
          <w:szCs w:val="20"/>
          <w:lang w:val="en-US"/>
        </w:rPr>
        <w:t xml:space="preserve"> where currently debt purchasers who are also</w:t>
      </w:r>
      <w:r w:rsidR="00A238D2">
        <w:rPr>
          <w:rStyle w:val="Heading1Text"/>
          <w:rFonts w:ascii="Arial" w:hAnsi="Arial" w:cs="Arial"/>
          <w:b w:val="0"/>
          <w:bCs/>
          <w:caps w:val="0"/>
          <w:sz w:val="20"/>
          <w:szCs w:val="20"/>
          <w:lang w:val="en-US"/>
        </w:rPr>
        <w:t xml:space="preserve"> incumbent credit servicers have a significant information advantage</w:t>
      </w:r>
      <w:r w:rsidR="00421000">
        <w:rPr>
          <w:rStyle w:val="Heading1Text"/>
          <w:rFonts w:ascii="Arial" w:hAnsi="Arial" w:cs="Arial"/>
          <w:b w:val="0"/>
          <w:bCs/>
          <w:caps w:val="0"/>
          <w:sz w:val="20"/>
          <w:szCs w:val="20"/>
          <w:lang w:val="en-US"/>
        </w:rPr>
        <w:t xml:space="preserve"> over competitors </w:t>
      </w:r>
      <w:r w:rsidR="00A238D2">
        <w:rPr>
          <w:rStyle w:val="Heading1Text"/>
          <w:rFonts w:ascii="Arial" w:hAnsi="Arial" w:cs="Arial"/>
          <w:b w:val="0"/>
          <w:bCs/>
          <w:caps w:val="0"/>
          <w:sz w:val="20"/>
          <w:szCs w:val="20"/>
          <w:lang w:val="en-US"/>
        </w:rPr>
        <w:t xml:space="preserve"> during portfolio valuation </w:t>
      </w:r>
      <w:r w:rsidR="001A3C01">
        <w:rPr>
          <w:rStyle w:val="Heading1Text"/>
          <w:rFonts w:ascii="Arial" w:hAnsi="Arial" w:cs="Arial"/>
          <w:b w:val="0"/>
          <w:bCs/>
          <w:caps w:val="0"/>
          <w:sz w:val="20"/>
          <w:szCs w:val="20"/>
          <w:lang w:val="en-US"/>
        </w:rPr>
        <w:t>(especially new market entrants)</w:t>
      </w:r>
      <w:r w:rsidR="00DB3976">
        <w:rPr>
          <w:rStyle w:val="Heading1Text"/>
          <w:rFonts w:ascii="Arial" w:hAnsi="Arial" w:cs="Arial"/>
          <w:b w:val="0"/>
          <w:bCs/>
          <w:caps w:val="0"/>
          <w:sz w:val="20"/>
          <w:szCs w:val="20"/>
          <w:lang w:val="en-US"/>
        </w:rPr>
        <w:t>,</w:t>
      </w:r>
      <w:r w:rsidR="001A3C01">
        <w:rPr>
          <w:rStyle w:val="Heading1Text"/>
          <w:rFonts w:ascii="Arial" w:hAnsi="Arial" w:cs="Arial"/>
          <w:b w:val="0"/>
          <w:bCs/>
          <w:caps w:val="0"/>
          <w:sz w:val="20"/>
          <w:szCs w:val="20"/>
          <w:lang w:val="en-US"/>
        </w:rPr>
        <w:t xml:space="preserve"> </w:t>
      </w:r>
      <w:r w:rsidR="00A238D2">
        <w:rPr>
          <w:rStyle w:val="Heading1Text"/>
          <w:rFonts w:ascii="Arial" w:hAnsi="Arial" w:cs="Arial"/>
          <w:b w:val="0"/>
          <w:bCs/>
          <w:caps w:val="0"/>
          <w:sz w:val="20"/>
          <w:szCs w:val="20"/>
          <w:lang w:val="en-US"/>
        </w:rPr>
        <w:t>due to asymmetries in data availability; and (ii) to ensure fair customer treatment post-sale.</w:t>
      </w:r>
    </w:p>
    <w:p w14:paraId="32748A06" w14:textId="5FA506C5" w:rsidR="00530C31" w:rsidRPr="0014528C" w:rsidRDefault="00492603" w:rsidP="00530C31">
      <w:pPr>
        <w:pStyle w:val="Body1"/>
        <w:numPr>
          <w:ilvl w:val="0"/>
          <w:numId w:val="3"/>
        </w:numPr>
        <w:ind w:left="709" w:hanging="283"/>
        <w:rPr>
          <w:rStyle w:val="Heading1Text"/>
          <w:rFonts w:ascii="Arial" w:hAnsi="Arial" w:cs="Arial"/>
          <w:b w:val="0"/>
          <w:bCs/>
          <w:caps w:val="0"/>
          <w:sz w:val="20"/>
          <w:szCs w:val="20"/>
          <w:lang w:val="en-US"/>
        </w:rPr>
      </w:pPr>
      <w:r w:rsidRPr="0014528C">
        <w:rPr>
          <w:rStyle w:val="Heading1Text"/>
          <w:rFonts w:ascii="Arial" w:hAnsi="Arial" w:cs="Arial"/>
          <w:b w:val="0"/>
          <w:bCs/>
          <w:caps w:val="0"/>
          <w:sz w:val="20"/>
          <w:szCs w:val="20"/>
          <w:lang w:val="en-US"/>
        </w:rPr>
        <w:t xml:space="preserve">In terms </w:t>
      </w:r>
      <w:r w:rsidR="00537E38">
        <w:rPr>
          <w:rStyle w:val="Heading1Text"/>
          <w:rFonts w:ascii="Arial" w:hAnsi="Arial" w:cs="Arial"/>
          <w:b w:val="0"/>
          <w:bCs/>
          <w:caps w:val="0"/>
          <w:sz w:val="20"/>
          <w:szCs w:val="20"/>
          <w:lang w:val="en-US"/>
        </w:rPr>
        <w:t xml:space="preserve">of </w:t>
      </w:r>
      <w:r w:rsidR="003D122A" w:rsidRPr="0014528C">
        <w:rPr>
          <w:rStyle w:val="Heading1Text"/>
          <w:rFonts w:ascii="Arial" w:hAnsi="Arial" w:cs="Arial"/>
          <w:b w:val="0"/>
          <w:bCs/>
          <w:caps w:val="0"/>
          <w:sz w:val="20"/>
          <w:szCs w:val="20"/>
          <w:lang w:val="en-US"/>
        </w:rPr>
        <w:t xml:space="preserve">the NPL sale process, </w:t>
      </w:r>
      <w:r w:rsidR="00537E38">
        <w:rPr>
          <w:rStyle w:val="Heading1Text"/>
          <w:rFonts w:ascii="Arial" w:hAnsi="Arial" w:cs="Arial"/>
          <w:b w:val="0"/>
          <w:bCs/>
          <w:caps w:val="0"/>
          <w:sz w:val="20"/>
          <w:szCs w:val="20"/>
          <w:lang w:val="en-US"/>
        </w:rPr>
        <w:t>our experience suggest</w:t>
      </w:r>
      <w:r w:rsidR="00BC6169">
        <w:rPr>
          <w:rStyle w:val="Heading1Text"/>
          <w:rFonts w:ascii="Arial" w:hAnsi="Arial" w:cs="Arial"/>
          <w:b w:val="0"/>
          <w:bCs/>
          <w:caps w:val="0"/>
          <w:sz w:val="20"/>
          <w:szCs w:val="20"/>
          <w:lang w:val="en-US"/>
        </w:rPr>
        <w:t>s</w:t>
      </w:r>
      <w:r w:rsidR="00537E38">
        <w:rPr>
          <w:rStyle w:val="Heading1Text"/>
          <w:rFonts w:ascii="Arial" w:hAnsi="Arial" w:cs="Arial"/>
          <w:b w:val="0"/>
          <w:bCs/>
          <w:caps w:val="0"/>
          <w:sz w:val="20"/>
          <w:szCs w:val="20"/>
          <w:lang w:val="en-US"/>
        </w:rPr>
        <w:t xml:space="preserve"> that it would be impractical and undesirable to impose highly </w:t>
      </w:r>
      <w:proofErr w:type="spellStart"/>
      <w:r w:rsidR="00537E38">
        <w:rPr>
          <w:rStyle w:val="Heading1Text"/>
          <w:rFonts w:ascii="Arial" w:hAnsi="Arial" w:cs="Arial"/>
          <w:b w:val="0"/>
          <w:bCs/>
          <w:caps w:val="0"/>
          <w:sz w:val="20"/>
          <w:szCs w:val="20"/>
          <w:lang w:val="en-US"/>
        </w:rPr>
        <w:t>standardised</w:t>
      </w:r>
      <w:proofErr w:type="spellEnd"/>
      <w:r w:rsidR="00537E38">
        <w:rPr>
          <w:rStyle w:val="Heading1Text"/>
          <w:rFonts w:ascii="Arial" w:hAnsi="Arial" w:cs="Arial"/>
          <w:b w:val="0"/>
          <w:bCs/>
          <w:caps w:val="0"/>
          <w:sz w:val="20"/>
          <w:szCs w:val="20"/>
          <w:lang w:val="en-US"/>
        </w:rPr>
        <w:t xml:space="preserve"> </w:t>
      </w:r>
      <w:r w:rsidR="00BC6169">
        <w:rPr>
          <w:rStyle w:val="Heading1Text"/>
          <w:rFonts w:ascii="Arial" w:hAnsi="Arial" w:cs="Arial"/>
          <w:b w:val="0"/>
          <w:bCs/>
          <w:caps w:val="0"/>
          <w:sz w:val="20"/>
          <w:szCs w:val="20"/>
          <w:lang w:val="en-US"/>
        </w:rPr>
        <w:t xml:space="preserve">requirements in terms of </w:t>
      </w:r>
      <w:r w:rsidR="00421000">
        <w:rPr>
          <w:rStyle w:val="Heading1Text"/>
          <w:rFonts w:ascii="Arial" w:hAnsi="Arial" w:cs="Arial"/>
          <w:b w:val="0"/>
          <w:bCs/>
          <w:caps w:val="0"/>
          <w:sz w:val="20"/>
          <w:szCs w:val="20"/>
          <w:lang w:val="en-US"/>
        </w:rPr>
        <w:t xml:space="preserve">the </w:t>
      </w:r>
      <w:r w:rsidR="00BC6169">
        <w:rPr>
          <w:rStyle w:val="Heading1Text"/>
          <w:rFonts w:ascii="Arial" w:hAnsi="Arial" w:cs="Arial"/>
          <w:b w:val="0"/>
          <w:bCs/>
          <w:caps w:val="0"/>
          <w:sz w:val="20"/>
          <w:szCs w:val="20"/>
          <w:lang w:val="en-US"/>
        </w:rPr>
        <w:t>sale</w:t>
      </w:r>
      <w:r w:rsidR="00DB3976">
        <w:rPr>
          <w:rStyle w:val="Heading1Text"/>
          <w:rFonts w:ascii="Arial" w:hAnsi="Arial" w:cs="Arial"/>
          <w:b w:val="0"/>
          <w:bCs/>
          <w:caps w:val="0"/>
          <w:sz w:val="20"/>
          <w:szCs w:val="20"/>
          <w:lang w:val="en-US"/>
        </w:rPr>
        <w:t>s</w:t>
      </w:r>
      <w:r w:rsidR="00BC6169">
        <w:rPr>
          <w:rStyle w:val="Heading1Text"/>
          <w:rFonts w:ascii="Arial" w:hAnsi="Arial" w:cs="Arial"/>
          <w:b w:val="0"/>
          <w:bCs/>
          <w:caps w:val="0"/>
          <w:sz w:val="20"/>
          <w:szCs w:val="20"/>
          <w:lang w:val="en-US"/>
        </w:rPr>
        <w:t xml:space="preserve"> process </w:t>
      </w:r>
      <w:r w:rsidR="00421000">
        <w:rPr>
          <w:rStyle w:val="Heading1Text"/>
          <w:rFonts w:ascii="Arial" w:hAnsi="Arial" w:cs="Arial"/>
          <w:b w:val="0"/>
          <w:bCs/>
          <w:caps w:val="0"/>
          <w:sz w:val="20"/>
          <w:szCs w:val="20"/>
          <w:lang w:val="en-US"/>
        </w:rPr>
        <w:t>and timing of</w:t>
      </w:r>
      <w:r w:rsidR="00BC6169">
        <w:rPr>
          <w:rStyle w:val="Heading1Text"/>
          <w:rFonts w:ascii="Arial" w:hAnsi="Arial" w:cs="Arial"/>
          <w:b w:val="0"/>
          <w:bCs/>
          <w:caps w:val="0"/>
          <w:sz w:val="20"/>
          <w:szCs w:val="20"/>
          <w:lang w:val="en-US"/>
        </w:rPr>
        <w:t xml:space="preserve"> data provision </w:t>
      </w:r>
      <w:r w:rsidR="00537E38">
        <w:rPr>
          <w:rStyle w:val="Heading1Text"/>
          <w:rFonts w:ascii="Arial" w:hAnsi="Arial" w:cs="Arial"/>
          <w:b w:val="0"/>
          <w:bCs/>
          <w:caps w:val="0"/>
          <w:sz w:val="20"/>
          <w:szCs w:val="20"/>
          <w:lang w:val="en-US"/>
        </w:rPr>
        <w:t xml:space="preserve">across the secondary sale market </w:t>
      </w:r>
      <w:r w:rsidR="00BC6169">
        <w:rPr>
          <w:rStyle w:val="Heading1Text"/>
          <w:rFonts w:ascii="Arial" w:hAnsi="Arial" w:cs="Arial"/>
          <w:b w:val="0"/>
          <w:bCs/>
          <w:caps w:val="0"/>
          <w:sz w:val="20"/>
          <w:szCs w:val="20"/>
          <w:lang w:val="en-US"/>
        </w:rPr>
        <w:t>as a whole</w:t>
      </w:r>
      <w:r w:rsidR="001A3C01">
        <w:rPr>
          <w:rStyle w:val="Heading1Text"/>
          <w:rFonts w:ascii="Arial" w:hAnsi="Arial" w:cs="Arial"/>
          <w:b w:val="0"/>
          <w:bCs/>
          <w:caps w:val="0"/>
          <w:sz w:val="20"/>
          <w:szCs w:val="20"/>
          <w:lang w:val="en-US"/>
        </w:rPr>
        <w:t>,</w:t>
      </w:r>
      <w:r w:rsidR="00BC6169">
        <w:rPr>
          <w:rStyle w:val="Heading1Text"/>
          <w:rFonts w:ascii="Arial" w:hAnsi="Arial" w:cs="Arial"/>
          <w:b w:val="0"/>
          <w:bCs/>
          <w:caps w:val="0"/>
          <w:sz w:val="20"/>
          <w:szCs w:val="20"/>
          <w:lang w:val="en-US"/>
        </w:rPr>
        <w:t xml:space="preserve"> </w:t>
      </w:r>
      <w:r w:rsidR="00537E38">
        <w:rPr>
          <w:rStyle w:val="Heading1Text"/>
          <w:rFonts w:ascii="Arial" w:hAnsi="Arial" w:cs="Arial"/>
          <w:b w:val="0"/>
          <w:bCs/>
          <w:caps w:val="0"/>
          <w:sz w:val="20"/>
          <w:szCs w:val="20"/>
          <w:lang w:val="en-US"/>
        </w:rPr>
        <w:t>and that to do so</w:t>
      </w:r>
      <w:r w:rsidR="00BC6169">
        <w:rPr>
          <w:rStyle w:val="Heading1Text"/>
          <w:rFonts w:ascii="Arial" w:hAnsi="Arial" w:cs="Arial"/>
          <w:b w:val="0"/>
          <w:bCs/>
          <w:caps w:val="0"/>
          <w:sz w:val="20"/>
          <w:szCs w:val="20"/>
          <w:lang w:val="en-US"/>
        </w:rPr>
        <w:t xml:space="preserve"> would risk h</w:t>
      </w:r>
      <w:r w:rsidR="003D122A" w:rsidRPr="0014528C">
        <w:rPr>
          <w:rStyle w:val="Heading1Text"/>
          <w:rFonts w:ascii="Arial" w:hAnsi="Arial" w:cs="Arial"/>
          <w:b w:val="0"/>
          <w:bCs/>
          <w:caps w:val="0"/>
          <w:sz w:val="20"/>
          <w:szCs w:val="20"/>
          <w:lang w:val="en-US"/>
        </w:rPr>
        <w:t>amper</w:t>
      </w:r>
      <w:r w:rsidR="00BC6169">
        <w:rPr>
          <w:rStyle w:val="Heading1Text"/>
          <w:rFonts w:ascii="Arial" w:hAnsi="Arial" w:cs="Arial"/>
          <w:b w:val="0"/>
          <w:bCs/>
          <w:caps w:val="0"/>
          <w:sz w:val="20"/>
          <w:szCs w:val="20"/>
          <w:lang w:val="en-US"/>
        </w:rPr>
        <w:t>ing</w:t>
      </w:r>
      <w:r w:rsidR="003D122A" w:rsidRPr="0014528C">
        <w:rPr>
          <w:rStyle w:val="Heading1Text"/>
          <w:rFonts w:ascii="Arial" w:hAnsi="Arial" w:cs="Arial"/>
          <w:b w:val="0"/>
          <w:bCs/>
          <w:caps w:val="0"/>
          <w:sz w:val="20"/>
          <w:szCs w:val="20"/>
          <w:lang w:val="en-US"/>
        </w:rPr>
        <w:t xml:space="preserve"> </w:t>
      </w:r>
      <w:r w:rsidR="00BC6169">
        <w:rPr>
          <w:rStyle w:val="Heading1Text"/>
          <w:rFonts w:ascii="Arial" w:hAnsi="Arial" w:cs="Arial"/>
          <w:b w:val="0"/>
          <w:bCs/>
          <w:caps w:val="0"/>
          <w:sz w:val="20"/>
          <w:szCs w:val="20"/>
          <w:lang w:val="en-US"/>
        </w:rPr>
        <w:t>some parts of the market</w:t>
      </w:r>
      <w:r w:rsidR="003D122A" w:rsidRPr="0014528C">
        <w:rPr>
          <w:rStyle w:val="Heading1Text"/>
          <w:rFonts w:ascii="Arial" w:hAnsi="Arial" w:cs="Arial"/>
          <w:b w:val="0"/>
          <w:bCs/>
          <w:caps w:val="0"/>
          <w:sz w:val="20"/>
          <w:szCs w:val="20"/>
          <w:lang w:val="en-US"/>
        </w:rPr>
        <w:t xml:space="preserve"> which </w:t>
      </w:r>
      <w:r w:rsidR="00BC6169">
        <w:rPr>
          <w:rStyle w:val="Heading1Text"/>
          <w:rFonts w:ascii="Arial" w:hAnsi="Arial" w:cs="Arial"/>
          <w:b w:val="0"/>
          <w:bCs/>
          <w:caps w:val="0"/>
          <w:sz w:val="20"/>
          <w:szCs w:val="20"/>
          <w:lang w:val="en-US"/>
        </w:rPr>
        <w:t xml:space="preserve">currently </w:t>
      </w:r>
      <w:r w:rsidR="003D122A" w:rsidRPr="0014528C">
        <w:rPr>
          <w:rStyle w:val="Heading1Text"/>
          <w:rFonts w:ascii="Arial" w:hAnsi="Arial" w:cs="Arial"/>
          <w:b w:val="0"/>
          <w:bCs/>
          <w:caps w:val="0"/>
          <w:sz w:val="20"/>
          <w:szCs w:val="20"/>
          <w:lang w:val="en-US"/>
        </w:rPr>
        <w:t>operate well.</w:t>
      </w:r>
      <w:r w:rsidR="00A41EB8">
        <w:rPr>
          <w:rStyle w:val="Heading1Text"/>
          <w:rFonts w:ascii="Arial" w:hAnsi="Arial" w:cs="Arial"/>
          <w:b w:val="0"/>
          <w:bCs/>
          <w:caps w:val="0"/>
          <w:sz w:val="20"/>
          <w:szCs w:val="20"/>
          <w:lang w:val="en-US"/>
        </w:rPr>
        <w:t xml:space="preserve"> We would recommend that directions given in recital (6) are reviewed to ensure that credit institutions retain a level of flexibility to ensure the smooth running</w:t>
      </w:r>
      <w:r w:rsidR="00DB3976">
        <w:rPr>
          <w:rStyle w:val="Heading1Text"/>
          <w:rFonts w:ascii="Arial" w:hAnsi="Arial" w:cs="Arial"/>
          <w:b w:val="0"/>
          <w:bCs/>
          <w:caps w:val="0"/>
          <w:sz w:val="20"/>
          <w:szCs w:val="20"/>
          <w:lang w:val="en-US"/>
        </w:rPr>
        <w:t xml:space="preserve"> of</w:t>
      </w:r>
      <w:r w:rsidR="00A41EB8">
        <w:rPr>
          <w:rStyle w:val="Heading1Text"/>
          <w:rFonts w:ascii="Arial" w:hAnsi="Arial" w:cs="Arial"/>
          <w:b w:val="0"/>
          <w:bCs/>
          <w:caps w:val="0"/>
          <w:sz w:val="20"/>
          <w:szCs w:val="20"/>
          <w:lang w:val="en-US"/>
        </w:rPr>
        <w:t xml:space="preserve"> sales, especially in the unsecured consumer NPL sales market where </w:t>
      </w:r>
      <w:r w:rsidR="001A3C01">
        <w:rPr>
          <w:rStyle w:val="Heading1Text"/>
          <w:rFonts w:ascii="Arial" w:hAnsi="Arial" w:cs="Arial"/>
          <w:b w:val="0"/>
          <w:bCs/>
          <w:caps w:val="0"/>
          <w:sz w:val="20"/>
          <w:szCs w:val="20"/>
          <w:lang w:val="en-US"/>
        </w:rPr>
        <w:t xml:space="preserve">existing </w:t>
      </w:r>
      <w:r w:rsidR="00A41EB8">
        <w:rPr>
          <w:rStyle w:val="Heading1Text"/>
          <w:rFonts w:ascii="Arial" w:hAnsi="Arial" w:cs="Arial"/>
          <w:b w:val="0"/>
          <w:bCs/>
          <w:caps w:val="0"/>
          <w:sz w:val="20"/>
          <w:szCs w:val="20"/>
          <w:lang w:val="en-US"/>
        </w:rPr>
        <w:t xml:space="preserve">processes are </w:t>
      </w:r>
      <w:r w:rsidR="001A3C01">
        <w:rPr>
          <w:rStyle w:val="Heading1Text"/>
          <w:rFonts w:ascii="Arial" w:hAnsi="Arial" w:cs="Arial"/>
          <w:b w:val="0"/>
          <w:bCs/>
          <w:caps w:val="0"/>
          <w:sz w:val="20"/>
          <w:szCs w:val="20"/>
          <w:lang w:val="en-US"/>
        </w:rPr>
        <w:t xml:space="preserve">largely </w:t>
      </w:r>
      <w:r w:rsidR="00A41EB8">
        <w:rPr>
          <w:rStyle w:val="Heading1Text"/>
          <w:rFonts w:ascii="Arial" w:hAnsi="Arial" w:cs="Arial"/>
          <w:b w:val="0"/>
          <w:bCs/>
          <w:caps w:val="0"/>
          <w:sz w:val="20"/>
          <w:szCs w:val="20"/>
          <w:lang w:val="en-US"/>
        </w:rPr>
        <w:t>mature and effective</w:t>
      </w:r>
      <w:r w:rsidR="001A3C01">
        <w:rPr>
          <w:rStyle w:val="Heading1Text"/>
          <w:rFonts w:ascii="Arial" w:hAnsi="Arial" w:cs="Arial"/>
          <w:b w:val="0"/>
          <w:bCs/>
          <w:caps w:val="0"/>
          <w:sz w:val="20"/>
          <w:szCs w:val="20"/>
          <w:lang w:val="en-US"/>
        </w:rPr>
        <w:t xml:space="preserve"> across many Member States</w:t>
      </w:r>
      <w:r w:rsidR="00A41EB8">
        <w:rPr>
          <w:rStyle w:val="Heading1Text"/>
          <w:rFonts w:ascii="Arial" w:hAnsi="Arial" w:cs="Arial"/>
          <w:b w:val="0"/>
          <w:bCs/>
          <w:caps w:val="0"/>
          <w:sz w:val="20"/>
          <w:szCs w:val="20"/>
          <w:lang w:val="en-US"/>
        </w:rPr>
        <w:t xml:space="preserve">. </w:t>
      </w:r>
    </w:p>
    <w:p w14:paraId="3BDFE2B2" w14:textId="77777777" w:rsidR="00530C31" w:rsidRPr="0014528C" w:rsidRDefault="00530C31" w:rsidP="00530C31">
      <w:pPr>
        <w:pStyle w:val="Body1"/>
        <w:rPr>
          <w:rStyle w:val="Heading1Text"/>
          <w:rFonts w:ascii="Arial" w:hAnsi="Arial" w:cs="Arial"/>
          <w:b w:val="0"/>
          <w:bCs/>
          <w:sz w:val="20"/>
          <w:szCs w:val="20"/>
          <w:lang w:val="en-US"/>
        </w:rPr>
      </w:pPr>
    </w:p>
    <w:p w14:paraId="4E2BA361" w14:textId="7B27A58A" w:rsidR="00530C31" w:rsidRPr="0014528C" w:rsidRDefault="00530C31">
      <w:pPr>
        <w:rPr>
          <w:rFonts w:ascii="Arial" w:hAnsi="Arial" w:cs="Arial"/>
          <w:b/>
          <w:bCs/>
          <w:sz w:val="20"/>
          <w:szCs w:val="20"/>
          <w:lang w:val="en-US"/>
        </w:rPr>
      </w:pPr>
    </w:p>
    <w:p w14:paraId="3B068F27" w14:textId="05AE93ED" w:rsidR="00530C31" w:rsidRDefault="00530C31">
      <w:pPr>
        <w:rPr>
          <w:b/>
          <w:bCs/>
        </w:rPr>
      </w:pPr>
    </w:p>
    <w:p w14:paraId="506F2F69" w14:textId="77777777" w:rsidR="003D122A" w:rsidRDefault="003D122A">
      <w:pPr>
        <w:rPr>
          <w:b/>
          <w:bCs/>
        </w:rPr>
      </w:pPr>
      <w:r>
        <w:rPr>
          <w:b/>
          <w:bCs/>
        </w:rPr>
        <w:br w:type="page"/>
      </w:r>
    </w:p>
    <w:p w14:paraId="0027A36E" w14:textId="77777777" w:rsidR="003D122A" w:rsidRDefault="003D122A" w:rsidP="001B2F28">
      <w:pPr>
        <w:rPr>
          <w:b/>
          <w:bCs/>
        </w:rPr>
      </w:pPr>
    </w:p>
    <w:p w14:paraId="0294D40A" w14:textId="26EE4964" w:rsidR="001B2F28" w:rsidRPr="001A58CE" w:rsidRDefault="00530C31" w:rsidP="001B2F28">
      <w:pPr>
        <w:rPr>
          <w:rFonts w:cstheme="minorHAnsi"/>
        </w:rPr>
      </w:pPr>
      <w:r w:rsidRPr="001A58CE">
        <w:rPr>
          <w:rFonts w:cstheme="minorHAnsi"/>
          <w:b/>
          <w:bCs/>
        </w:rPr>
        <w:t>RESPONSE TO CONSULTATION QUESTIONS:</w:t>
      </w:r>
    </w:p>
    <w:p w14:paraId="49ED3EE9" w14:textId="123A5E27" w:rsidR="00425832" w:rsidRPr="001A58CE" w:rsidRDefault="00425832" w:rsidP="00425832">
      <w:pPr>
        <w:pStyle w:val="ListParagraph"/>
        <w:numPr>
          <w:ilvl w:val="0"/>
          <w:numId w:val="1"/>
        </w:numPr>
        <w:rPr>
          <w:rFonts w:cstheme="minorHAnsi"/>
          <w:b/>
          <w:bCs/>
        </w:rPr>
      </w:pPr>
      <w:r w:rsidRPr="001A58CE">
        <w:rPr>
          <w:rFonts w:cstheme="minorHAnsi"/>
          <w:b/>
          <w:bCs/>
        </w:rPr>
        <w:t xml:space="preserve">Do the respondents agree that these draft ITS fits for the purpose of the underlying directive? </w:t>
      </w:r>
    </w:p>
    <w:p w14:paraId="643AC7BF" w14:textId="3E0DD276" w:rsidR="00FD6C46" w:rsidRPr="001A58CE" w:rsidRDefault="00FD6C46" w:rsidP="00FD6C46">
      <w:pPr>
        <w:pStyle w:val="ListParagraph"/>
        <w:ind w:left="360"/>
        <w:rPr>
          <w:rFonts w:cstheme="minorHAnsi"/>
          <w:b/>
          <w:bCs/>
          <w:color w:val="FF0000"/>
        </w:rPr>
      </w:pPr>
    </w:p>
    <w:p w14:paraId="33729A10" w14:textId="30D72F92" w:rsidR="00A37ED8" w:rsidRPr="001A58CE" w:rsidRDefault="00A365DD" w:rsidP="00A365DD">
      <w:pPr>
        <w:pStyle w:val="Body2"/>
        <w:rPr>
          <w:rFonts w:asciiTheme="minorHAnsi" w:hAnsiTheme="minorHAnsi" w:cstheme="minorHAnsi"/>
          <w:szCs w:val="22"/>
          <w:lang w:val="en-GB"/>
        </w:rPr>
      </w:pPr>
      <w:r w:rsidRPr="001A58CE">
        <w:rPr>
          <w:rFonts w:asciiTheme="minorHAnsi" w:hAnsiTheme="minorHAnsi" w:cstheme="minorHAnsi"/>
          <w:szCs w:val="22"/>
          <w:lang w:val="en-GB"/>
        </w:rPr>
        <w:t xml:space="preserve">At a general level we agree that the draft ITS fit the purpose of the underlying directive. However, from the perspective of stimulating and encouraging secondary markets in NPLs the comprehensive nature of the data requirements may, in some cases, be counterproductive if the burden on credit institutions is significantly increased. </w:t>
      </w:r>
      <w:r w:rsidR="00BF1DD2" w:rsidRPr="001A58CE">
        <w:rPr>
          <w:rFonts w:asciiTheme="minorHAnsi" w:hAnsiTheme="minorHAnsi" w:cstheme="minorHAnsi"/>
          <w:szCs w:val="22"/>
          <w:lang w:val="en-GB"/>
        </w:rPr>
        <w:t>From a data purchaser perspective (with a particular focus on unsecured consumer NPLs)</w:t>
      </w:r>
      <w:r w:rsidR="00A37ED8" w:rsidRPr="001A58CE">
        <w:rPr>
          <w:rFonts w:asciiTheme="minorHAnsi" w:hAnsiTheme="minorHAnsi" w:cstheme="minorHAnsi"/>
          <w:szCs w:val="22"/>
          <w:lang w:val="en-GB"/>
        </w:rPr>
        <w:t xml:space="preserve"> we would question the cost v benefit of requiring credit institutions to start collecting such data where many credit purchasers, especially those new to the market, are unlikely to utilise the data for valuation.</w:t>
      </w:r>
      <w:r w:rsidR="001A3C01" w:rsidRPr="001A58CE">
        <w:rPr>
          <w:rFonts w:asciiTheme="minorHAnsi" w:hAnsiTheme="minorHAnsi" w:cstheme="minorHAnsi"/>
          <w:szCs w:val="22"/>
          <w:lang w:val="en-GB"/>
        </w:rPr>
        <w:t xml:space="preserve"> We have identified in our responses in Annex II certain data fields which are of less or no value for valuation purposes and those which </w:t>
      </w:r>
      <w:r w:rsidR="001A58CE" w:rsidRPr="001A58CE">
        <w:rPr>
          <w:rFonts w:asciiTheme="minorHAnsi" w:hAnsiTheme="minorHAnsi" w:cstheme="minorHAnsi"/>
          <w:szCs w:val="22"/>
          <w:lang w:val="en-GB"/>
        </w:rPr>
        <w:t>we believe should be prioritised.</w:t>
      </w:r>
    </w:p>
    <w:p w14:paraId="1E545CB2" w14:textId="77777777" w:rsidR="001A58CE" w:rsidRPr="001A58CE" w:rsidRDefault="001A58CE" w:rsidP="00A365DD">
      <w:pPr>
        <w:pStyle w:val="Body2"/>
        <w:rPr>
          <w:rFonts w:asciiTheme="minorHAnsi" w:hAnsiTheme="minorHAnsi" w:cstheme="minorHAnsi"/>
          <w:szCs w:val="22"/>
          <w:lang w:val="en-GB"/>
        </w:rPr>
      </w:pPr>
    </w:p>
    <w:p w14:paraId="60761EEE" w14:textId="2574CA45" w:rsidR="00BF1DD2" w:rsidRPr="001A58CE" w:rsidRDefault="00A37ED8" w:rsidP="00A365DD">
      <w:pPr>
        <w:pStyle w:val="Body2"/>
        <w:rPr>
          <w:rFonts w:asciiTheme="minorHAnsi" w:hAnsiTheme="minorHAnsi" w:cstheme="minorHAnsi"/>
          <w:szCs w:val="22"/>
          <w:lang w:val="en-GB"/>
        </w:rPr>
      </w:pPr>
      <w:r w:rsidRPr="001A58CE">
        <w:rPr>
          <w:rFonts w:asciiTheme="minorHAnsi" w:hAnsiTheme="minorHAnsi" w:cstheme="minorHAnsi"/>
          <w:szCs w:val="22"/>
          <w:lang w:val="en-GB"/>
        </w:rPr>
        <w:t>Template 5</w:t>
      </w:r>
      <w:r w:rsidR="00DF7E2A" w:rsidRPr="001A58CE">
        <w:rPr>
          <w:rFonts w:asciiTheme="minorHAnsi" w:hAnsiTheme="minorHAnsi" w:cstheme="minorHAnsi"/>
          <w:szCs w:val="22"/>
          <w:lang w:val="en-GB"/>
        </w:rPr>
        <w:t>, as noted below, does not currently meet all requirements of a debt purchaser in terms of valuation and we make further reference below to improvements that may be considered.</w:t>
      </w:r>
    </w:p>
    <w:p w14:paraId="0C8075FD" w14:textId="77777777" w:rsidR="001A58CE" w:rsidRPr="001A58CE" w:rsidRDefault="001A58CE" w:rsidP="00A365DD">
      <w:pPr>
        <w:pStyle w:val="Body2"/>
        <w:rPr>
          <w:rFonts w:asciiTheme="minorHAnsi" w:hAnsiTheme="minorHAnsi" w:cstheme="minorHAnsi"/>
          <w:szCs w:val="22"/>
          <w:lang w:val="en-GB"/>
        </w:rPr>
      </w:pPr>
    </w:p>
    <w:p w14:paraId="334FDE2C" w14:textId="2FA3E86E" w:rsidR="00FD6C46" w:rsidRPr="001A58CE" w:rsidRDefault="00BF1DD2" w:rsidP="00C93304">
      <w:pPr>
        <w:pStyle w:val="Body2"/>
        <w:rPr>
          <w:rFonts w:asciiTheme="minorHAnsi" w:hAnsiTheme="minorHAnsi" w:cstheme="minorHAnsi"/>
          <w:color w:val="FF0000"/>
          <w:szCs w:val="22"/>
          <w:lang w:val="en-US"/>
        </w:rPr>
      </w:pPr>
      <w:r w:rsidRPr="001A58CE">
        <w:rPr>
          <w:rFonts w:asciiTheme="minorHAnsi" w:hAnsiTheme="minorHAnsi" w:cstheme="minorHAnsi"/>
          <w:szCs w:val="22"/>
          <w:lang w:val="en-GB"/>
        </w:rPr>
        <w:t xml:space="preserve">It must also be acknowledged that further data requirements beyond the ITS may be required in some jurisdictions to accommodate the requirements of local laws (such as insolvency). Given the lack of harmonisation in the underlying laws of Member States in this regard it would be impractical and undesirable for the ITS to include all possible requirements </w:t>
      </w:r>
      <w:r w:rsidR="00C93304" w:rsidRPr="001A58CE">
        <w:rPr>
          <w:rFonts w:asciiTheme="minorHAnsi" w:hAnsiTheme="minorHAnsi" w:cstheme="minorHAnsi"/>
          <w:szCs w:val="22"/>
          <w:lang w:val="en-GB"/>
        </w:rPr>
        <w:t xml:space="preserve">but the completeness and effectiveness of the ITS for the purposes of NPL sales is naturally limited as a result. </w:t>
      </w:r>
      <w:r w:rsidR="00A365DD" w:rsidRPr="001A58CE">
        <w:rPr>
          <w:rFonts w:asciiTheme="minorHAnsi" w:hAnsiTheme="minorHAnsi" w:cstheme="minorHAnsi"/>
          <w:szCs w:val="22"/>
          <w:lang w:val="en-GB"/>
        </w:rPr>
        <w:t xml:space="preserve"> </w:t>
      </w:r>
    </w:p>
    <w:p w14:paraId="0988A719" w14:textId="77777777" w:rsidR="00425832" w:rsidRPr="001A58CE" w:rsidRDefault="00425832" w:rsidP="00425832">
      <w:pPr>
        <w:pStyle w:val="ListParagraph"/>
        <w:ind w:left="360"/>
        <w:rPr>
          <w:rFonts w:cstheme="minorHAnsi"/>
          <w:b/>
          <w:bCs/>
        </w:rPr>
      </w:pPr>
    </w:p>
    <w:p w14:paraId="62E84819" w14:textId="2EA6CD96"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the respondents’ views on the content of Template 1? Please provide any specific comment you may have on the data fields in the dedicated columns of the data glossary (Annex II to the draft ITS) added for your feedback. </w:t>
      </w:r>
    </w:p>
    <w:p w14:paraId="5029B44E" w14:textId="6AF6F2BE" w:rsidR="00FD6C46" w:rsidRPr="001A58CE" w:rsidRDefault="00FD6C46" w:rsidP="00FD6C46">
      <w:pPr>
        <w:pStyle w:val="ListParagraph"/>
        <w:ind w:left="360"/>
        <w:rPr>
          <w:rFonts w:cstheme="minorHAnsi"/>
          <w:b/>
          <w:bCs/>
        </w:rPr>
      </w:pPr>
    </w:p>
    <w:p w14:paraId="0B5C06B9" w14:textId="7EE36C98" w:rsidR="00FD6C46" w:rsidRPr="001A58CE" w:rsidRDefault="00DF7E2A" w:rsidP="00FD6C46">
      <w:pPr>
        <w:pStyle w:val="Body2"/>
        <w:rPr>
          <w:rFonts w:asciiTheme="minorHAnsi" w:hAnsiTheme="minorHAnsi" w:cstheme="minorHAnsi"/>
          <w:color w:val="FF0000"/>
          <w:szCs w:val="22"/>
          <w:lang w:val="en-US"/>
        </w:rPr>
      </w:pPr>
      <w:bookmarkStart w:id="0" w:name="_Hlk111820975"/>
      <w:r w:rsidRPr="001A58CE">
        <w:rPr>
          <w:rFonts w:asciiTheme="minorHAnsi" w:hAnsiTheme="minorHAnsi" w:cstheme="minorHAnsi"/>
          <w:szCs w:val="22"/>
          <w:lang w:val="en-US"/>
        </w:rPr>
        <w:t>Please refer to our responses in Annex II.</w:t>
      </w:r>
      <w:r w:rsidR="00FD6C46" w:rsidRPr="001A58CE">
        <w:rPr>
          <w:rFonts w:asciiTheme="minorHAnsi" w:hAnsiTheme="minorHAnsi" w:cstheme="minorHAnsi"/>
          <w:color w:val="FF0000"/>
          <w:szCs w:val="22"/>
          <w:lang w:val="en-US"/>
        </w:rPr>
        <w:t xml:space="preserve"> </w:t>
      </w:r>
    </w:p>
    <w:bookmarkEnd w:id="0"/>
    <w:p w14:paraId="1ECB5E22" w14:textId="77777777" w:rsidR="00FD6C46" w:rsidRPr="001A58CE" w:rsidRDefault="00FD6C46" w:rsidP="00FD6C46">
      <w:pPr>
        <w:pStyle w:val="ListParagraph"/>
        <w:ind w:left="360"/>
        <w:rPr>
          <w:rFonts w:cstheme="minorHAnsi"/>
          <w:b/>
          <w:bCs/>
          <w:lang w:val="en-US"/>
        </w:rPr>
      </w:pPr>
    </w:p>
    <w:p w14:paraId="0422E052" w14:textId="77777777" w:rsidR="00425832" w:rsidRPr="001A58CE" w:rsidRDefault="00425832" w:rsidP="00425832">
      <w:pPr>
        <w:pStyle w:val="ListParagraph"/>
        <w:rPr>
          <w:rFonts w:cstheme="minorHAnsi"/>
          <w:b/>
          <w:bCs/>
        </w:rPr>
      </w:pPr>
    </w:p>
    <w:p w14:paraId="752F1D34" w14:textId="520417B4"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the respondents’ views on the content of Template 3? Please provide any specific comment you may have on the data fields in the dedicated columns of the data glossary (Annex II to the draft ITS) added for your feedback. </w:t>
      </w:r>
    </w:p>
    <w:p w14:paraId="020E3A86" w14:textId="76E7C9E5" w:rsidR="00FD6C46" w:rsidRPr="001A58CE" w:rsidRDefault="00FD6C46" w:rsidP="00FD6C46">
      <w:pPr>
        <w:pStyle w:val="ListParagraph"/>
        <w:ind w:left="360"/>
        <w:rPr>
          <w:rFonts w:cstheme="minorHAnsi"/>
          <w:b/>
          <w:bCs/>
          <w:color w:val="FF0000"/>
        </w:rPr>
      </w:pPr>
    </w:p>
    <w:p w14:paraId="01895703" w14:textId="77777777" w:rsidR="00DF7E2A" w:rsidRPr="001A58CE" w:rsidRDefault="00DF7E2A" w:rsidP="00DF7E2A">
      <w:pPr>
        <w:pStyle w:val="Body2"/>
        <w:rPr>
          <w:rFonts w:asciiTheme="minorHAnsi" w:hAnsiTheme="minorHAnsi" w:cstheme="minorHAnsi"/>
          <w:color w:val="FF0000"/>
          <w:szCs w:val="22"/>
          <w:lang w:val="en-US"/>
        </w:rPr>
      </w:pPr>
      <w:r w:rsidRPr="001A58CE">
        <w:rPr>
          <w:rFonts w:asciiTheme="minorHAnsi" w:hAnsiTheme="minorHAnsi" w:cstheme="minorHAnsi"/>
          <w:szCs w:val="22"/>
          <w:lang w:val="en-US"/>
        </w:rPr>
        <w:t>Please refer to our responses in Annex II.</w:t>
      </w:r>
      <w:r w:rsidRPr="001A58CE">
        <w:rPr>
          <w:rFonts w:asciiTheme="minorHAnsi" w:hAnsiTheme="minorHAnsi" w:cstheme="minorHAnsi"/>
          <w:color w:val="FF0000"/>
          <w:szCs w:val="22"/>
          <w:lang w:val="en-US"/>
        </w:rPr>
        <w:t xml:space="preserve"> </w:t>
      </w:r>
    </w:p>
    <w:p w14:paraId="35393E45" w14:textId="77777777" w:rsidR="00FD6C46" w:rsidRPr="001A58CE" w:rsidRDefault="00FD6C46" w:rsidP="00FD6C46">
      <w:pPr>
        <w:pStyle w:val="ListParagraph"/>
        <w:ind w:left="360"/>
        <w:rPr>
          <w:rFonts w:cstheme="minorHAnsi"/>
          <w:b/>
          <w:bCs/>
          <w:lang w:val="en-US"/>
        </w:rPr>
      </w:pPr>
    </w:p>
    <w:p w14:paraId="2B805166" w14:textId="6D197DAF" w:rsidR="00425832" w:rsidRDefault="00425832" w:rsidP="00425832">
      <w:pPr>
        <w:pStyle w:val="ListParagraph"/>
        <w:rPr>
          <w:rFonts w:cstheme="minorHAnsi"/>
          <w:b/>
          <w:bCs/>
        </w:rPr>
      </w:pPr>
    </w:p>
    <w:p w14:paraId="05F789D4" w14:textId="046F492F" w:rsidR="001A58CE" w:rsidRDefault="001A58CE" w:rsidP="00425832">
      <w:pPr>
        <w:pStyle w:val="ListParagraph"/>
        <w:rPr>
          <w:rFonts w:cstheme="minorHAnsi"/>
          <w:b/>
          <w:bCs/>
        </w:rPr>
      </w:pPr>
    </w:p>
    <w:p w14:paraId="3C574845" w14:textId="7B7C61BE" w:rsidR="001A58CE" w:rsidRDefault="001A58CE" w:rsidP="00425832">
      <w:pPr>
        <w:pStyle w:val="ListParagraph"/>
        <w:rPr>
          <w:rFonts w:cstheme="minorHAnsi"/>
          <w:b/>
          <w:bCs/>
        </w:rPr>
      </w:pPr>
    </w:p>
    <w:p w14:paraId="6DBEBEB1" w14:textId="49A67221" w:rsidR="001A58CE" w:rsidRDefault="001A58CE" w:rsidP="00425832">
      <w:pPr>
        <w:pStyle w:val="ListParagraph"/>
        <w:rPr>
          <w:rFonts w:cstheme="minorHAnsi"/>
          <w:b/>
          <w:bCs/>
        </w:rPr>
      </w:pPr>
    </w:p>
    <w:p w14:paraId="11753023" w14:textId="57C46184" w:rsidR="001A58CE" w:rsidRDefault="001A58CE" w:rsidP="00425832">
      <w:pPr>
        <w:pStyle w:val="ListParagraph"/>
        <w:rPr>
          <w:rFonts w:cstheme="minorHAnsi"/>
          <w:b/>
          <w:bCs/>
        </w:rPr>
      </w:pPr>
    </w:p>
    <w:p w14:paraId="23DDE4A3" w14:textId="77777777" w:rsidR="001A58CE" w:rsidRPr="001A58CE" w:rsidRDefault="001A58CE" w:rsidP="00425832">
      <w:pPr>
        <w:pStyle w:val="ListParagraph"/>
        <w:rPr>
          <w:rFonts w:cstheme="minorHAnsi"/>
          <w:b/>
          <w:bCs/>
        </w:rPr>
      </w:pPr>
    </w:p>
    <w:p w14:paraId="4C2FF2EF" w14:textId="5482245E"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the respondents’ views on the content of Template 4? Please provide any specific comment you may have on the data fields in the dedicated columns of the data glossary (Annex II to the draft ITS) added for your feedback. </w:t>
      </w:r>
    </w:p>
    <w:p w14:paraId="1FBA148D" w14:textId="40B31600" w:rsidR="00FD6C46" w:rsidRPr="001A58CE" w:rsidRDefault="00FD6C46" w:rsidP="00FD6C46">
      <w:pPr>
        <w:pStyle w:val="ListParagraph"/>
        <w:ind w:left="360"/>
        <w:rPr>
          <w:rFonts w:cstheme="minorHAnsi"/>
          <w:b/>
          <w:bCs/>
        </w:rPr>
      </w:pPr>
    </w:p>
    <w:p w14:paraId="25CE8200" w14:textId="77777777" w:rsidR="00DF7E2A" w:rsidRPr="001A58CE" w:rsidRDefault="00DF7E2A" w:rsidP="00DF7E2A">
      <w:pPr>
        <w:pStyle w:val="Body2"/>
        <w:rPr>
          <w:rFonts w:asciiTheme="minorHAnsi" w:hAnsiTheme="minorHAnsi" w:cstheme="minorHAnsi"/>
          <w:color w:val="FF0000"/>
          <w:szCs w:val="22"/>
          <w:lang w:val="en-US"/>
        </w:rPr>
      </w:pPr>
      <w:r w:rsidRPr="001A58CE">
        <w:rPr>
          <w:rFonts w:asciiTheme="minorHAnsi" w:hAnsiTheme="minorHAnsi" w:cstheme="minorHAnsi"/>
          <w:szCs w:val="22"/>
          <w:lang w:val="en-US"/>
        </w:rPr>
        <w:t>Please refer to our responses in Annex II.</w:t>
      </w:r>
      <w:r w:rsidRPr="001A58CE">
        <w:rPr>
          <w:rFonts w:asciiTheme="minorHAnsi" w:hAnsiTheme="minorHAnsi" w:cstheme="minorHAnsi"/>
          <w:color w:val="FF0000"/>
          <w:szCs w:val="22"/>
          <w:lang w:val="en-US"/>
        </w:rPr>
        <w:t xml:space="preserve"> </w:t>
      </w:r>
    </w:p>
    <w:p w14:paraId="315FE15B" w14:textId="77777777" w:rsidR="00FD6C46" w:rsidRPr="001A58CE" w:rsidRDefault="00FD6C46" w:rsidP="00FD6C46">
      <w:pPr>
        <w:pStyle w:val="ListParagraph"/>
        <w:ind w:left="360"/>
        <w:rPr>
          <w:rFonts w:cstheme="minorHAnsi"/>
          <w:b/>
          <w:bCs/>
          <w:lang w:val="en-US"/>
        </w:rPr>
      </w:pPr>
    </w:p>
    <w:p w14:paraId="6687A4FF" w14:textId="77777777" w:rsidR="00425832" w:rsidRPr="001A58CE" w:rsidRDefault="00425832" w:rsidP="00425832">
      <w:pPr>
        <w:pStyle w:val="ListParagraph"/>
        <w:rPr>
          <w:rFonts w:cstheme="minorHAnsi"/>
          <w:b/>
          <w:bCs/>
        </w:rPr>
      </w:pPr>
    </w:p>
    <w:p w14:paraId="2F0FF2E2" w14:textId="7E0554B7" w:rsidR="00425832" w:rsidRPr="001A58CE" w:rsidRDefault="00425832" w:rsidP="00255E32">
      <w:pPr>
        <w:pStyle w:val="ListParagraph"/>
        <w:numPr>
          <w:ilvl w:val="0"/>
          <w:numId w:val="1"/>
        </w:numPr>
        <w:rPr>
          <w:rFonts w:cstheme="minorHAnsi"/>
          <w:b/>
          <w:bCs/>
        </w:rPr>
      </w:pPr>
      <w:r w:rsidRPr="001A58CE">
        <w:rPr>
          <w:rFonts w:cstheme="minorHAnsi"/>
          <w:b/>
          <w:bCs/>
        </w:rPr>
        <w:t xml:space="preserve">What are the respondents’ views on the content of Template 5? Please provide any specific comment you may have on the data fields in the dedicated columns of the data glossary (Annex II to the draft ITS) added for your feedback.? </w:t>
      </w:r>
    </w:p>
    <w:p w14:paraId="2D8FF4CE" w14:textId="06AF5449" w:rsidR="00FD6C46" w:rsidRPr="001A58CE" w:rsidRDefault="00FD6C46" w:rsidP="00FD6C46">
      <w:pPr>
        <w:pStyle w:val="ListParagraph"/>
        <w:ind w:left="360"/>
        <w:rPr>
          <w:rFonts w:cstheme="minorHAnsi"/>
          <w:b/>
          <w:bCs/>
          <w:color w:val="FF0000"/>
        </w:rPr>
      </w:pPr>
    </w:p>
    <w:p w14:paraId="71D922A9" w14:textId="33E14768" w:rsidR="00DF7E2A" w:rsidRPr="001A58CE" w:rsidRDefault="00DF7E2A" w:rsidP="00DF7E2A">
      <w:pPr>
        <w:pStyle w:val="Body2"/>
        <w:rPr>
          <w:rFonts w:asciiTheme="minorHAnsi" w:hAnsiTheme="minorHAnsi" w:cstheme="minorHAnsi"/>
          <w:color w:val="FF0000"/>
          <w:szCs w:val="22"/>
          <w:lang w:val="en-US"/>
        </w:rPr>
      </w:pPr>
      <w:r w:rsidRPr="001A58CE">
        <w:rPr>
          <w:rFonts w:asciiTheme="minorHAnsi" w:hAnsiTheme="minorHAnsi" w:cstheme="minorHAnsi"/>
          <w:szCs w:val="22"/>
          <w:lang w:val="en-US"/>
        </w:rPr>
        <w:t>Please refer to our responses in Annex II.</w:t>
      </w:r>
      <w:r w:rsidRPr="001A58CE">
        <w:rPr>
          <w:rFonts w:asciiTheme="minorHAnsi" w:hAnsiTheme="minorHAnsi" w:cstheme="minorHAnsi"/>
          <w:color w:val="FF0000"/>
          <w:szCs w:val="22"/>
          <w:lang w:val="en-US"/>
        </w:rPr>
        <w:t xml:space="preserve"> </w:t>
      </w:r>
    </w:p>
    <w:p w14:paraId="647D1EAC" w14:textId="77777777" w:rsidR="00DF7E2A" w:rsidRPr="001A58CE" w:rsidRDefault="00DF7E2A" w:rsidP="00DF7E2A">
      <w:pPr>
        <w:pStyle w:val="Body2"/>
        <w:rPr>
          <w:rFonts w:asciiTheme="minorHAnsi" w:hAnsiTheme="minorHAnsi" w:cstheme="minorHAnsi"/>
          <w:color w:val="FF0000"/>
          <w:szCs w:val="22"/>
          <w:lang w:val="en-US"/>
        </w:rPr>
      </w:pPr>
    </w:p>
    <w:p w14:paraId="618A599B" w14:textId="0E99E1EB" w:rsidR="00FD6C46" w:rsidRPr="001A58CE" w:rsidRDefault="005D07BB" w:rsidP="0094141B">
      <w:pPr>
        <w:pStyle w:val="Body2"/>
        <w:ind w:left="720" w:hanging="11"/>
        <w:rPr>
          <w:rFonts w:asciiTheme="minorHAnsi" w:hAnsiTheme="minorHAnsi" w:cstheme="minorHAnsi"/>
          <w:szCs w:val="22"/>
          <w:lang w:val="en-US"/>
        </w:rPr>
      </w:pPr>
      <w:r w:rsidRPr="001A58CE">
        <w:rPr>
          <w:rFonts w:asciiTheme="minorHAnsi" w:hAnsiTheme="minorHAnsi" w:cstheme="minorHAnsi"/>
          <w:szCs w:val="22"/>
          <w:lang w:val="en-US"/>
        </w:rPr>
        <w:t xml:space="preserve">It would be beneficial for template 5 </w:t>
      </w:r>
      <w:r w:rsidR="00C93304" w:rsidRPr="001A58CE">
        <w:rPr>
          <w:rFonts w:asciiTheme="minorHAnsi" w:hAnsiTheme="minorHAnsi" w:cstheme="minorHAnsi"/>
          <w:szCs w:val="22"/>
          <w:lang w:val="en-US"/>
        </w:rPr>
        <w:t>data fields to be made mandatory</w:t>
      </w:r>
      <w:r w:rsidRPr="001A58CE">
        <w:rPr>
          <w:rFonts w:asciiTheme="minorHAnsi" w:hAnsiTheme="minorHAnsi" w:cstheme="minorHAnsi"/>
          <w:szCs w:val="22"/>
          <w:lang w:val="en-US"/>
        </w:rPr>
        <w:t xml:space="preserve"> in all cases. Collection history is very significant in the valuation of NPLs</w:t>
      </w:r>
      <w:r w:rsidR="00C93304" w:rsidRPr="001A58CE">
        <w:rPr>
          <w:rFonts w:asciiTheme="minorHAnsi" w:hAnsiTheme="minorHAnsi" w:cstheme="minorHAnsi"/>
          <w:szCs w:val="22"/>
          <w:lang w:val="en-US"/>
        </w:rPr>
        <w:t>, and will inform the purchaser’s</w:t>
      </w:r>
      <w:r w:rsidRPr="001A58CE">
        <w:rPr>
          <w:rFonts w:asciiTheme="minorHAnsi" w:hAnsiTheme="minorHAnsi" w:cstheme="minorHAnsi"/>
          <w:szCs w:val="22"/>
          <w:lang w:val="en-US"/>
        </w:rPr>
        <w:t xml:space="preserve"> assessment of </w:t>
      </w:r>
      <w:r w:rsidR="00C93304" w:rsidRPr="001A58CE">
        <w:rPr>
          <w:rFonts w:asciiTheme="minorHAnsi" w:hAnsiTheme="minorHAnsi" w:cstheme="minorHAnsi"/>
          <w:szCs w:val="22"/>
          <w:lang w:val="en-US"/>
        </w:rPr>
        <w:t xml:space="preserve">customer treatment </w:t>
      </w:r>
      <w:r w:rsidRPr="001A58CE">
        <w:rPr>
          <w:rFonts w:asciiTheme="minorHAnsi" w:hAnsiTheme="minorHAnsi" w:cstheme="minorHAnsi"/>
          <w:szCs w:val="22"/>
          <w:lang w:val="en-US"/>
        </w:rPr>
        <w:t>strategy post-s</w:t>
      </w:r>
      <w:r w:rsidR="00C93304" w:rsidRPr="001A58CE">
        <w:rPr>
          <w:rFonts w:asciiTheme="minorHAnsi" w:hAnsiTheme="minorHAnsi" w:cstheme="minorHAnsi"/>
          <w:szCs w:val="22"/>
          <w:lang w:val="en-US"/>
        </w:rPr>
        <w:t>ale. F</w:t>
      </w:r>
      <w:r w:rsidRPr="001A58CE">
        <w:rPr>
          <w:rFonts w:asciiTheme="minorHAnsi" w:hAnsiTheme="minorHAnsi" w:cstheme="minorHAnsi"/>
          <w:szCs w:val="22"/>
          <w:lang w:val="en-US"/>
        </w:rPr>
        <w:t>ailure to provide this information would</w:t>
      </w:r>
      <w:r w:rsidR="00C93304" w:rsidRPr="001A58CE">
        <w:rPr>
          <w:rFonts w:asciiTheme="minorHAnsi" w:hAnsiTheme="minorHAnsi" w:cstheme="minorHAnsi"/>
          <w:szCs w:val="22"/>
          <w:lang w:val="en-US"/>
        </w:rPr>
        <w:t xml:space="preserve"> therefore</w:t>
      </w:r>
      <w:r w:rsidRPr="001A58CE">
        <w:rPr>
          <w:rFonts w:asciiTheme="minorHAnsi" w:hAnsiTheme="minorHAnsi" w:cstheme="minorHAnsi"/>
          <w:szCs w:val="22"/>
          <w:lang w:val="en-US"/>
        </w:rPr>
        <w:t xml:space="preserve"> have a detrimental impact on pricing and valuation confidence. </w:t>
      </w:r>
      <w:r w:rsidR="0094141B" w:rsidRPr="001A58CE">
        <w:rPr>
          <w:rFonts w:asciiTheme="minorHAnsi" w:hAnsiTheme="minorHAnsi" w:cstheme="minorHAnsi"/>
          <w:szCs w:val="22"/>
          <w:lang w:val="en-US"/>
        </w:rPr>
        <w:t>Projected cash flow post-sale is not necessary or desirable for the purposes of NPL valuation as debt purchasers will assess this themselves based on assumptions driven by collection history.</w:t>
      </w:r>
    </w:p>
    <w:p w14:paraId="0FF78CD1" w14:textId="26E1F82E" w:rsidR="0094141B" w:rsidRPr="001A58CE" w:rsidRDefault="0094141B" w:rsidP="0094141B">
      <w:pPr>
        <w:pStyle w:val="Body2"/>
        <w:ind w:left="720" w:hanging="11"/>
        <w:rPr>
          <w:rFonts w:asciiTheme="minorHAnsi" w:hAnsiTheme="minorHAnsi" w:cstheme="minorHAnsi"/>
          <w:szCs w:val="22"/>
          <w:lang w:val="en-US"/>
        </w:rPr>
      </w:pPr>
    </w:p>
    <w:p w14:paraId="45FAD6C6" w14:textId="4A48D452" w:rsidR="0094141B" w:rsidRPr="001A58CE" w:rsidRDefault="00C93304" w:rsidP="0094141B">
      <w:pPr>
        <w:pStyle w:val="Body2"/>
        <w:ind w:left="720" w:hanging="11"/>
        <w:rPr>
          <w:rFonts w:asciiTheme="minorHAnsi" w:hAnsiTheme="minorHAnsi" w:cstheme="minorHAnsi"/>
          <w:szCs w:val="22"/>
          <w:lang w:val="en-US"/>
        </w:rPr>
      </w:pPr>
      <w:r w:rsidRPr="001A58CE">
        <w:rPr>
          <w:rFonts w:asciiTheme="minorHAnsi" w:hAnsiTheme="minorHAnsi" w:cstheme="minorHAnsi"/>
          <w:szCs w:val="22"/>
          <w:lang w:val="en-US"/>
        </w:rPr>
        <w:t xml:space="preserve">We suggest that template 5 should go further to incorporate </w:t>
      </w:r>
      <w:r w:rsidR="00AE5033" w:rsidRPr="001A58CE">
        <w:rPr>
          <w:rFonts w:asciiTheme="minorHAnsi" w:hAnsiTheme="minorHAnsi" w:cstheme="minorHAnsi"/>
          <w:szCs w:val="22"/>
          <w:lang w:val="en-US"/>
        </w:rPr>
        <w:t xml:space="preserve">more granular data such as </w:t>
      </w:r>
      <w:r w:rsidR="0094141B" w:rsidRPr="001A58CE">
        <w:rPr>
          <w:rStyle w:val="Heading1Text"/>
          <w:rFonts w:asciiTheme="minorHAnsi" w:hAnsiTheme="minorHAnsi" w:cstheme="minorHAnsi"/>
          <w:b w:val="0"/>
          <w:bCs/>
          <w:caps w:val="0"/>
          <w:szCs w:val="22"/>
          <w:lang w:val="en-US"/>
        </w:rPr>
        <w:t>customer communication</w:t>
      </w:r>
      <w:r w:rsidRPr="001A58CE">
        <w:rPr>
          <w:rStyle w:val="Heading1Text"/>
          <w:rFonts w:asciiTheme="minorHAnsi" w:hAnsiTheme="minorHAnsi" w:cstheme="minorHAnsi"/>
          <w:b w:val="0"/>
          <w:bCs/>
          <w:caps w:val="0"/>
          <w:szCs w:val="22"/>
          <w:lang w:val="en-US"/>
        </w:rPr>
        <w:t xml:space="preserve"> preferences (e.g. </w:t>
      </w:r>
      <w:r w:rsidR="00AE5033" w:rsidRPr="001A58CE">
        <w:rPr>
          <w:rStyle w:val="Heading1Text"/>
          <w:rFonts w:asciiTheme="minorHAnsi" w:hAnsiTheme="minorHAnsi" w:cstheme="minorHAnsi"/>
          <w:b w:val="0"/>
          <w:bCs/>
          <w:caps w:val="0"/>
          <w:szCs w:val="22"/>
          <w:lang w:val="en-US"/>
        </w:rPr>
        <w:t xml:space="preserve">letter, emails, SMS </w:t>
      </w:r>
      <w:proofErr w:type="spellStart"/>
      <w:r w:rsidR="00AE5033" w:rsidRPr="001A58CE">
        <w:rPr>
          <w:rStyle w:val="Heading1Text"/>
          <w:rFonts w:asciiTheme="minorHAnsi" w:hAnsiTheme="minorHAnsi" w:cstheme="minorHAnsi"/>
          <w:b w:val="0"/>
          <w:bCs/>
          <w:caps w:val="0"/>
          <w:szCs w:val="22"/>
          <w:lang w:val="en-US"/>
        </w:rPr>
        <w:t>etc</w:t>
      </w:r>
      <w:proofErr w:type="spellEnd"/>
      <w:r w:rsidR="00AE5033" w:rsidRPr="001A58CE">
        <w:rPr>
          <w:rStyle w:val="Heading1Text"/>
          <w:rFonts w:asciiTheme="minorHAnsi" w:hAnsiTheme="minorHAnsi" w:cstheme="minorHAnsi"/>
          <w:b w:val="0"/>
          <w:bCs/>
          <w:caps w:val="0"/>
          <w:szCs w:val="22"/>
          <w:lang w:val="en-US"/>
        </w:rPr>
        <w:t>)</w:t>
      </w:r>
      <w:r w:rsidRPr="001A58CE">
        <w:rPr>
          <w:rStyle w:val="Heading1Text"/>
          <w:rFonts w:asciiTheme="minorHAnsi" w:hAnsiTheme="minorHAnsi" w:cstheme="minorHAnsi"/>
          <w:b w:val="0"/>
          <w:bCs/>
          <w:caps w:val="0"/>
          <w:szCs w:val="22"/>
          <w:lang w:val="en-US"/>
        </w:rPr>
        <w:t xml:space="preserve">, customer </w:t>
      </w:r>
      <w:proofErr w:type="spellStart"/>
      <w:r w:rsidRPr="001A58CE">
        <w:rPr>
          <w:rStyle w:val="Heading1Text"/>
          <w:rFonts w:asciiTheme="minorHAnsi" w:hAnsiTheme="minorHAnsi" w:cstheme="minorHAnsi"/>
          <w:b w:val="0"/>
          <w:bCs/>
          <w:caps w:val="0"/>
          <w:szCs w:val="22"/>
          <w:lang w:val="en-US"/>
        </w:rPr>
        <w:t>behaviour</w:t>
      </w:r>
      <w:proofErr w:type="spellEnd"/>
      <w:r w:rsidRPr="001A58CE">
        <w:rPr>
          <w:rStyle w:val="Heading1Text"/>
          <w:rFonts w:asciiTheme="minorHAnsi" w:hAnsiTheme="minorHAnsi" w:cstheme="minorHAnsi"/>
          <w:b w:val="0"/>
          <w:bCs/>
          <w:caps w:val="0"/>
          <w:szCs w:val="22"/>
          <w:lang w:val="en-US"/>
        </w:rPr>
        <w:t xml:space="preserve"> markers</w:t>
      </w:r>
      <w:r w:rsidR="00AE5033" w:rsidRPr="001A58CE">
        <w:rPr>
          <w:rStyle w:val="Heading1Text"/>
          <w:rFonts w:asciiTheme="minorHAnsi" w:hAnsiTheme="minorHAnsi" w:cstheme="minorHAnsi"/>
          <w:b w:val="0"/>
          <w:bCs/>
          <w:caps w:val="0"/>
          <w:szCs w:val="22"/>
          <w:lang w:val="en-US"/>
        </w:rPr>
        <w:t xml:space="preserve"> (e.g. email/digital open rate) </w:t>
      </w:r>
      <w:r w:rsidR="0094141B" w:rsidRPr="001A58CE">
        <w:rPr>
          <w:rStyle w:val="Heading1Text"/>
          <w:rFonts w:asciiTheme="minorHAnsi" w:hAnsiTheme="minorHAnsi" w:cstheme="minorHAnsi"/>
          <w:b w:val="0"/>
          <w:bCs/>
          <w:caps w:val="0"/>
          <w:szCs w:val="22"/>
          <w:lang w:val="en-US"/>
        </w:rPr>
        <w:t>and payment channels</w:t>
      </w:r>
      <w:r w:rsidR="00AE5033" w:rsidRPr="001A58CE">
        <w:rPr>
          <w:rStyle w:val="Heading1Text"/>
          <w:rFonts w:asciiTheme="minorHAnsi" w:hAnsiTheme="minorHAnsi" w:cstheme="minorHAnsi"/>
          <w:b w:val="0"/>
          <w:bCs/>
          <w:caps w:val="0"/>
          <w:szCs w:val="22"/>
          <w:lang w:val="en-US"/>
        </w:rPr>
        <w:t xml:space="preserve"> </w:t>
      </w:r>
      <w:proofErr w:type="spellStart"/>
      <w:r w:rsidR="00AE5033" w:rsidRPr="001A58CE">
        <w:rPr>
          <w:rStyle w:val="Heading1Text"/>
          <w:rFonts w:asciiTheme="minorHAnsi" w:hAnsiTheme="minorHAnsi" w:cstheme="minorHAnsi"/>
          <w:b w:val="0"/>
          <w:bCs/>
          <w:caps w:val="0"/>
          <w:szCs w:val="22"/>
          <w:lang w:val="en-US"/>
        </w:rPr>
        <w:t>utilised</w:t>
      </w:r>
      <w:proofErr w:type="spellEnd"/>
      <w:r w:rsidR="00AE5033" w:rsidRPr="001A58CE">
        <w:rPr>
          <w:rStyle w:val="Heading1Text"/>
          <w:rFonts w:asciiTheme="minorHAnsi" w:hAnsiTheme="minorHAnsi" w:cstheme="minorHAnsi"/>
          <w:b w:val="0"/>
          <w:bCs/>
          <w:caps w:val="0"/>
          <w:szCs w:val="22"/>
          <w:lang w:val="en-US"/>
        </w:rPr>
        <w:t xml:space="preserve"> (e.g. direct debit, online payment </w:t>
      </w:r>
      <w:proofErr w:type="spellStart"/>
      <w:r w:rsidR="00AE5033" w:rsidRPr="001A58CE">
        <w:rPr>
          <w:rStyle w:val="Heading1Text"/>
          <w:rFonts w:asciiTheme="minorHAnsi" w:hAnsiTheme="minorHAnsi" w:cstheme="minorHAnsi"/>
          <w:b w:val="0"/>
          <w:bCs/>
          <w:caps w:val="0"/>
          <w:szCs w:val="22"/>
          <w:lang w:val="en-US"/>
        </w:rPr>
        <w:t>etc</w:t>
      </w:r>
      <w:proofErr w:type="spellEnd"/>
      <w:r w:rsidR="00AE5033" w:rsidRPr="001A58CE">
        <w:rPr>
          <w:rStyle w:val="Heading1Text"/>
          <w:rFonts w:asciiTheme="minorHAnsi" w:hAnsiTheme="minorHAnsi" w:cstheme="minorHAnsi"/>
          <w:b w:val="0"/>
          <w:bCs/>
          <w:caps w:val="0"/>
          <w:szCs w:val="22"/>
          <w:lang w:val="en-US"/>
        </w:rPr>
        <w:t>)</w:t>
      </w:r>
      <w:r w:rsidR="0094141B" w:rsidRPr="001A58CE">
        <w:rPr>
          <w:rStyle w:val="Heading1Text"/>
          <w:rFonts w:asciiTheme="minorHAnsi" w:hAnsiTheme="minorHAnsi" w:cstheme="minorHAnsi"/>
          <w:b w:val="0"/>
          <w:bCs/>
          <w:caps w:val="0"/>
          <w:szCs w:val="22"/>
          <w:lang w:val="en-US"/>
        </w:rPr>
        <w:t xml:space="preserve">. Understanding customers’ preferences are key to ensuring a good customer journey and </w:t>
      </w:r>
      <w:r w:rsidR="009E0ADA" w:rsidRPr="001A58CE">
        <w:rPr>
          <w:rStyle w:val="Heading1Text"/>
          <w:rFonts w:asciiTheme="minorHAnsi" w:hAnsiTheme="minorHAnsi" w:cstheme="minorHAnsi"/>
          <w:b w:val="0"/>
          <w:bCs/>
          <w:caps w:val="0"/>
          <w:szCs w:val="22"/>
          <w:lang w:val="en-US"/>
        </w:rPr>
        <w:t xml:space="preserve">allow the purchaser to </w:t>
      </w:r>
      <w:r w:rsidR="0094141B" w:rsidRPr="001A58CE">
        <w:rPr>
          <w:rStyle w:val="Heading1Text"/>
          <w:rFonts w:asciiTheme="minorHAnsi" w:hAnsiTheme="minorHAnsi" w:cstheme="minorHAnsi"/>
          <w:b w:val="0"/>
          <w:bCs/>
          <w:caps w:val="0"/>
          <w:szCs w:val="22"/>
          <w:lang w:val="en-US"/>
        </w:rPr>
        <w:t>determin</w:t>
      </w:r>
      <w:r w:rsidR="009E0ADA" w:rsidRPr="001A58CE">
        <w:rPr>
          <w:rStyle w:val="Heading1Text"/>
          <w:rFonts w:asciiTheme="minorHAnsi" w:hAnsiTheme="minorHAnsi" w:cstheme="minorHAnsi"/>
          <w:b w:val="0"/>
          <w:bCs/>
          <w:caps w:val="0"/>
          <w:szCs w:val="22"/>
          <w:lang w:val="en-US"/>
        </w:rPr>
        <w:t>e</w:t>
      </w:r>
      <w:r w:rsidR="0094141B" w:rsidRPr="001A58CE">
        <w:rPr>
          <w:rStyle w:val="Heading1Text"/>
          <w:rFonts w:asciiTheme="minorHAnsi" w:hAnsiTheme="minorHAnsi" w:cstheme="minorHAnsi"/>
          <w:b w:val="0"/>
          <w:bCs/>
          <w:caps w:val="0"/>
          <w:szCs w:val="22"/>
          <w:lang w:val="en-US"/>
        </w:rPr>
        <w:t xml:space="preserve"> the most appropriate collection strategy</w:t>
      </w:r>
      <w:r w:rsidR="009E0ADA" w:rsidRPr="001A58CE">
        <w:rPr>
          <w:rStyle w:val="Heading1Text"/>
          <w:rFonts w:asciiTheme="minorHAnsi" w:hAnsiTheme="minorHAnsi" w:cstheme="minorHAnsi"/>
          <w:b w:val="0"/>
          <w:bCs/>
          <w:caps w:val="0"/>
          <w:szCs w:val="22"/>
          <w:lang w:val="en-US"/>
        </w:rPr>
        <w:t xml:space="preserve"> post-sale.</w:t>
      </w:r>
    </w:p>
    <w:p w14:paraId="0F413902" w14:textId="77777777" w:rsidR="00FD6C46" w:rsidRPr="001A58CE" w:rsidRDefault="00FD6C46" w:rsidP="00FD6C46">
      <w:pPr>
        <w:pStyle w:val="ListParagraph"/>
        <w:ind w:left="360"/>
        <w:rPr>
          <w:rFonts w:cstheme="minorHAnsi"/>
          <w:b/>
          <w:bCs/>
          <w:lang w:val="en-US"/>
        </w:rPr>
      </w:pPr>
    </w:p>
    <w:p w14:paraId="39070334" w14:textId="1923C928" w:rsidR="00425832" w:rsidRPr="001A58CE" w:rsidRDefault="00425832" w:rsidP="00425832">
      <w:pPr>
        <w:pStyle w:val="ListParagraph"/>
        <w:numPr>
          <w:ilvl w:val="0"/>
          <w:numId w:val="1"/>
        </w:numPr>
        <w:rPr>
          <w:rFonts w:cstheme="minorHAnsi"/>
          <w:b/>
          <w:bCs/>
        </w:rPr>
      </w:pPr>
      <w:r w:rsidRPr="001A58CE">
        <w:rPr>
          <w:rFonts w:cstheme="minorHAnsi"/>
          <w:b/>
          <w:bCs/>
        </w:rPr>
        <w:t xml:space="preserve">Do the respondents agree on the structure of Template 2 to represent the relationship across the templates? If not, do you have any other suggestion of structure? </w:t>
      </w:r>
    </w:p>
    <w:p w14:paraId="0CE8BE94" w14:textId="57E3EC56" w:rsidR="00FD6C46" w:rsidRPr="001A58CE" w:rsidRDefault="00FD6C46" w:rsidP="00FD6C46">
      <w:pPr>
        <w:pStyle w:val="ListParagraph"/>
        <w:ind w:left="360"/>
        <w:rPr>
          <w:rFonts w:cstheme="minorHAnsi"/>
          <w:b/>
          <w:bCs/>
        </w:rPr>
      </w:pPr>
    </w:p>
    <w:p w14:paraId="2174031F" w14:textId="1B2A8893" w:rsidR="00FD6C46" w:rsidRPr="001A58CE" w:rsidRDefault="009E0ADA" w:rsidP="00FD6C46">
      <w:pPr>
        <w:pStyle w:val="Body2"/>
        <w:rPr>
          <w:rFonts w:asciiTheme="minorHAnsi" w:hAnsiTheme="minorHAnsi" w:cstheme="minorHAnsi"/>
          <w:color w:val="FF0000"/>
          <w:szCs w:val="22"/>
          <w:lang w:val="en-US"/>
        </w:rPr>
      </w:pPr>
      <w:r w:rsidRPr="001A58CE">
        <w:rPr>
          <w:rFonts w:asciiTheme="minorHAnsi" w:hAnsiTheme="minorHAnsi" w:cstheme="minorHAnsi"/>
          <w:szCs w:val="22"/>
          <w:lang w:val="en-US"/>
        </w:rPr>
        <w:t>The structure of Template 2 is reasonable and logical. It may prove difficult to read where relationships are particularly complex but in the main it should work well.</w:t>
      </w:r>
    </w:p>
    <w:p w14:paraId="49C628CC" w14:textId="6A52F70A" w:rsidR="009E0ADA" w:rsidRPr="001A58CE" w:rsidRDefault="009E0ADA" w:rsidP="00FD6C46">
      <w:pPr>
        <w:pStyle w:val="Body2"/>
        <w:rPr>
          <w:rFonts w:asciiTheme="minorHAnsi" w:hAnsiTheme="minorHAnsi" w:cstheme="minorHAnsi"/>
          <w:color w:val="FF0000"/>
          <w:szCs w:val="22"/>
          <w:lang w:val="en-US"/>
        </w:rPr>
      </w:pPr>
    </w:p>
    <w:p w14:paraId="5D12C518" w14:textId="76E27733" w:rsidR="00425832" w:rsidRPr="001A58CE" w:rsidRDefault="00AE5033" w:rsidP="00AE5033">
      <w:pPr>
        <w:pStyle w:val="Body2"/>
        <w:rPr>
          <w:rFonts w:asciiTheme="minorHAnsi" w:hAnsiTheme="minorHAnsi" w:cstheme="minorHAnsi"/>
          <w:szCs w:val="22"/>
          <w:lang w:val="en-US"/>
        </w:rPr>
      </w:pPr>
      <w:r w:rsidRPr="001A58CE">
        <w:rPr>
          <w:rFonts w:asciiTheme="minorHAnsi" w:hAnsiTheme="minorHAnsi" w:cstheme="minorHAnsi"/>
          <w:szCs w:val="22"/>
          <w:lang w:val="en-US"/>
        </w:rPr>
        <w:t xml:space="preserve">It would be helpful to include data with respect to legal status of the counterparty e.g. any insolvency proceedings pending. </w:t>
      </w:r>
    </w:p>
    <w:p w14:paraId="6903D490" w14:textId="77777777" w:rsidR="00AE5033" w:rsidRPr="001A58CE" w:rsidRDefault="00AE5033" w:rsidP="00AE5033">
      <w:pPr>
        <w:pStyle w:val="Body2"/>
        <w:rPr>
          <w:rFonts w:asciiTheme="minorHAnsi" w:hAnsiTheme="minorHAnsi" w:cstheme="minorHAnsi"/>
          <w:b/>
          <w:bCs/>
          <w:szCs w:val="22"/>
          <w:lang w:val="en-GB"/>
        </w:rPr>
      </w:pPr>
    </w:p>
    <w:p w14:paraId="199F414E" w14:textId="3823D25E" w:rsidR="00425832" w:rsidRPr="001A58CE" w:rsidRDefault="00425832" w:rsidP="00425832">
      <w:pPr>
        <w:pStyle w:val="ListParagraph"/>
        <w:numPr>
          <w:ilvl w:val="0"/>
          <w:numId w:val="1"/>
        </w:numPr>
        <w:rPr>
          <w:rFonts w:cstheme="minorHAnsi"/>
          <w:b/>
          <w:bCs/>
        </w:rPr>
      </w:pPr>
      <w:r w:rsidRPr="001A58CE">
        <w:rPr>
          <w:rFonts w:cstheme="minorHAnsi"/>
          <w:b/>
          <w:bCs/>
        </w:rPr>
        <w:t xml:space="preserve">Do the respondents agree on the structure and the content of the data glossary? Please provide any specific comment you may have on the data fields in the dedicated columns of the data glossary (Annex II to the draft ITS) added for your feedback. </w:t>
      </w:r>
    </w:p>
    <w:p w14:paraId="514A3AA9" w14:textId="27B94F6B" w:rsidR="00FD6C46" w:rsidRPr="001A58CE" w:rsidRDefault="00FD6C46" w:rsidP="00FD6C46">
      <w:pPr>
        <w:pStyle w:val="ListParagraph"/>
        <w:ind w:left="360"/>
        <w:rPr>
          <w:rFonts w:cstheme="minorHAnsi"/>
          <w:b/>
          <w:bCs/>
          <w:color w:val="FF0000"/>
        </w:rPr>
      </w:pPr>
    </w:p>
    <w:p w14:paraId="2F23D75E" w14:textId="2F861CBF" w:rsidR="00FD6C46" w:rsidRPr="001A58CE" w:rsidRDefault="009E0ADA" w:rsidP="00FD6C46">
      <w:pPr>
        <w:pStyle w:val="Body2"/>
        <w:rPr>
          <w:rFonts w:asciiTheme="minorHAnsi" w:hAnsiTheme="minorHAnsi" w:cstheme="minorHAnsi"/>
          <w:szCs w:val="22"/>
          <w:lang w:val="en-US"/>
        </w:rPr>
      </w:pPr>
      <w:r w:rsidRPr="001A58CE">
        <w:rPr>
          <w:rFonts w:asciiTheme="minorHAnsi" w:hAnsiTheme="minorHAnsi" w:cstheme="minorHAnsi"/>
          <w:szCs w:val="22"/>
          <w:lang w:val="en-US"/>
        </w:rPr>
        <w:t>Please refer to our responses in Annex II</w:t>
      </w:r>
      <w:r w:rsidR="005B1198" w:rsidRPr="001A58CE">
        <w:rPr>
          <w:rFonts w:asciiTheme="minorHAnsi" w:hAnsiTheme="minorHAnsi" w:cstheme="minorHAnsi"/>
          <w:szCs w:val="22"/>
          <w:lang w:val="en-US"/>
        </w:rPr>
        <w:t>.</w:t>
      </w:r>
    </w:p>
    <w:p w14:paraId="0B28968A" w14:textId="77777777" w:rsidR="00FD6C46" w:rsidRPr="001A58CE" w:rsidRDefault="00FD6C46" w:rsidP="00FD6C46">
      <w:pPr>
        <w:pStyle w:val="ListParagraph"/>
        <w:ind w:left="360"/>
        <w:rPr>
          <w:rFonts w:cstheme="minorHAnsi"/>
          <w:b/>
          <w:bCs/>
          <w:lang w:val="en-US"/>
        </w:rPr>
      </w:pPr>
    </w:p>
    <w:p w14:paraId="0D991B0A" w14:textId="77777777" w:rsidR="00425832" w:rsidRPr="001A58CE" w:rsidRDefault="00425832" w:rsidP="00425832">
      <w:pPr>
        <w:pStyle w:val="ListParagraph"/>
        <w:rPr>
          <w:rFonts w:cstheme="minorHAnsi"/>
          <w:b/>
          <w:bCs/>
        </w:rPr>
      </w:pPr>
    </w:p>
    <w:p w14:paraId="6FDDC04C" w14:textId="5993384E"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the respondents’ views on the content of instructions? </w:t>
      </w:r>
    </w:p>
    <w:p w14:paraId="7FE3EE3C" w14:textId="66377532" w:rsidR="00D53A7D" w:rsidRPr="001A58CE" w:rsidRDefault="00D53A7D" w:rsidP="00D53A7D">
      <w:pPr>
        <w:pStyle w:val="ListParagraph"/>
        <w:ind w:left="360"/>
        <w:rPr>
          <w:rFonts w:cstheme="minorHAnsi"/>
          <w:b/>
          <w:bCs/>
        </w:rPr>
      </w:pPr>
    </w:p>
    <w:p w14:paraId="6604D1DD" w14:textId="2EF9C831" w:rsidR="00FD6C46" w:rsidRPr="001A58CE" w:rsidRDefault="00D53A7D" w:rsidP="00D53A7D">
      <w:pPr>
        <w:pStyle w:val="ListParagraph"/>
        <w:rPr>
          <w:rFonts w:cstheme="minorHAnsi"/>
        </w:rPr>
      </w:pPr>
      <w:r w:rsidRPr="001A58CE">
        <w:rPr>
          <w:rFonts w:cstheme="minorHAnsi"/>
        </w:rPr>
        <w:t xml:space="preserve">In the event that template 5 is amended as suggested above to include more detailed collection history and communication/preference data we would recommend that the instructions are updated to reflect the new requirements. </w:t>
      </w:r>
    </w:p>
    <w:p w14:paraId="29270E75" w14:textId="77777777" w:rsidR="00425832" w:rsidRPr="001A58CE" w:rsidRDefault="00425832" w:rsidP="00425832">
      <w:pPr>
        <w:pStyle w:val="ListParagraph"/>
        <w:rPr>
          <w:rFonts w:cstheme="minorHAnsi"/>
          <w:b/>
          <w:bCs/>
        </w:rPr>
      </w:pPr>
    </w:p>
    <w:p w14:paraId="128EC1BA" w14:textId="2A17ECC5" w:rsidR="00425832" w:rsidRPr="001A58CE" w:rsidRDefault="00425832" w:rsidP="00425832">
      <w:pPr>
        <w:pStyle w:val="ListParagraph"/>
        <w:numPr>
          <w:ilvl w:val="0"/>
          <w:numId w:val="1"/>
        </w:numPr>
        <w:rPr>
          <w:rFonts w:cstheme="minorHAnsi"/>
          <w:b/>
          <w:bCs/>
        </w:rPr>
      </w:pPr>
      <w:r w:rsidRPr="001A58CE">
        <w:rPr>
          <w:rFonts w:cstheme="minorHAnsi"/>
          <w:b/>
          <w:bCs/>
        </w:rPr>
        <w:t xml:space="preserve">Do the respondents agree on the use of the ‘No data options’ as set out in the instructions? </w:t>
      </w:r>
    </w:p>
    <w:p w14:paraId="72E31077" w14:textId="0BFB8957" w:rsidR="00FD6C46" w:rsidRPr="001A58CE" w:rsidRDefault="00FD6C46" w:rsidP="00FD6C46">
      <w:pPr>
        <w:pStyle w:val="ListParagraph"/>
        <w:ind w:left="360"/>
        <w:rPr>
          <w:rFonts w:cstheme="minorHAnsi"/>
          <w:b/>
          <w:bCs/>
        </w:rPr>
      </w:pPr>
    </w:p>
    <w:p w14:paraId="4BD0757E" w14:textId="1B5C3B26" w:rsidR="00FD6C46" w:rsidRPr="001A58CE" w:rsidRDefault="00D53A7D" w:rsidP="00B03106">
      <w:pPr>
        <w:pStyle w:val="ListParagraph"/>
        <w:rPr>
          <w:rFonts w:cstheme="minorHAnsi"/>
          <w:lang w:val="en-US"/>
        </w:rPr>
      </w:pPr>
      <w:r w:rsidRPr="001A58CE">
        <w:rPr>
          <w:rFonts w:cstheme="minorHAnsi"/>
          <w:lang w:val="en-US"/>
        </w:rPr>
        <w:t xml:space="preserve">While the </w:t>
      </w:r>
      <w:r w:rsidR="00B03106" w:rsidRPr="001A58CE">
        <w:rPr>
          <w:rFonts w:cstheme="minorHAnsi"/>
          <w:lang w:val="en-US"/>
        </w:rPr>
        <w:t xml:space="preserve">aim of the ‘No data options’ is understood it is important that these options are not open to abuse as a loophole for credit institutions to avoid complying with the data requirements. It’s unclear from the ITS how compliance would be monitored and, if necessary, enforced. </w:t>
      </w:r>
      <w:r w:rsidRPr="001A58CE">
        <w:rPr>
          <w:rFonts w:cstheme="minorHAnsi"/>
          <w:lang w:val="en-US"/>
        </w:rPr>
        <w:t xml:space="preserve"> </w:t>
      </w:r>
    </w:p>
    <w:p w14:paraId="09AAA7F5" w14:textId="77777777" w:rsidR="00425832" w:rsidRPr="001A58CE" w:rsidRDefault="00425832" w:rsidP="00425832">
      <w:pPr>
        <w:pStyle w:val="ListParagraph"/>
        <w:rPr>
          <w:rFonts w:cstheme="minorHAnsi"/>
          <w:b/>
          <w:bCs/>
        </w:rPr>
      </w:pPr>
    </w:p>
    <w:p w14:paraId="047EECF0" w14:textId="258149D4"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respondents’ views on whether the proposed set of templates, data glossary and instructions are enough to achieve the data standardisation in the NPL transactions on secondary markets, or there may be a need for some further technical specifications or tools to support digital processing or efficient processing or use of technology (e.g., by means of the EBA Data Point Model or XBRL taxonomy)? </w:t>
      </w:r>
    </w:p>
    <w:p w14:paraId="6BFA214E" w14:textId="75DC9EA0" w:rsidR="00FD6C46" w:rsidRPr="001A58CE" w:rsidRDefault="00FD6C46" w:rsidP="00FD6C46">
      <w:pPr>
        <w:pStyle w:val="ListParagraph"/>
        <w:ind w:left="360"/>
        <w:rPr>
          <w:rFonts w:cstheme="minorHAnsi"/>
          <w:b/>
          <w:bCs/>
        </w:rPr>
      </w:pPr>
    </w:p>
    <w:p w14:paraId="3F71600F" w14:textId="3EE9D219" w:rsidR="00FD6C46" w:rsidRPr="001A58CE" w:rsidRDefault="00C803E7" w:rsidP="00FD6C46">
      <w:pPr>
        <w:pStyle w:val="Body2"/>
        <w:rPr>
          <w:rFonts w:asciiTheme="minorHAnsi" w:hAnsiTheme="minorHAnsi" w:cstheme="minorHAnsi"/>
          <w:szCs w:val="22"/>
          <w:lang w:val="en-US"/>
        </w:rPr>
      </w:pPr>
      <w:r w:rsidRPr="001A58CE">
        <w:rPr>
          <w:rFonts w:asciiTheme="minorHAnsi" w:hAnsiTheme="minorHAnsi" w:cstheme="minorHAnsi"/>
          <w:szCs w:val="22"/>
          <w:lang w:val="en-US"/>
        </w:rPr>
        <w:t xml:space="preserve">We believe the proposed set of templates, data glossary and instructions would be sufficient to achieve data </w:t>
      </w:r>
      <w:proofErr w:type="spellStart"/>
      <w:r w:rsidRPr="001A58CE">
        <w:rPr>
          <w:rFonts w:asciiTheme="minorHAnsi" w:hAnsiTheme="minorHAnsi" w:cstheme="minorHAnsi"/>
          <w:szCs w:val="22"/>
          <w:lang w:val="en-US"/>
        </w:rPr>
        <w:t>standardi</w:t>
      </w:r>
      <w:r w:rsidR="00B03106" w:rsidRPr="001A58CE">
        <w:rPr>
          <w:rFonts w:asciiTheme="minorHAnsi" w:hAnsiTheme="minorHAnsi" w:cstheme="minorHAnsi"/>
          <w:szCs w:val="22"/>
          <w:lang w:val="en-US"/>
        </w:rPr>
        <w:t>s</w:t>
      </w:r>
      <w:r w:rsidRPr="001A58CE">
        <w:rPr>
          <w:rFonts w:asciiTheme="minorHAnsi" w:hAnsiTheme="minorHAnsi" w:cstheme="minorHAnsi"/>
          <w:szCs w:val="22"/>
          <w:lang w:val="en-US"/>
        </w:rPr>
        <w:t>ation</w:t>
      </w:r>
      <w:proofErr w:type="spellEnd"/>
      <w:r w:rsidRPr="001A58CE">
        <w:rPr>
          <w:rFonts w:asciiTheme="minorHAnsi" w:hAnsiTheme="minorHAnsi" w:cstheme="minorHAnsi"/>
          <w:szCs w:val="22"/>
          <w:lang w:val="en-US"/>
        </w:rPr>
        <w:t xml:space="preserve"> in NPL transactions on secondary markets provided template 5 is revisited to ensure more detailed historical collections data</w:t>
      </w:r>
      <w:r w:rsidR="00B03106" w:rsidRPr="001A58CE">
        <w:rPr>
          <w:rFonts w:asciiTheme="minorHAnsi" w:hAnsiTheme="minorHAnsi" w:cstheme="minorHAnsi"/>
          <w:szCs w:val="22"/>
          <w:lang w:val="en-US"/>
        </w:rPr>
        <w:t>, as noted above</w:t>
      </w:r>
      <w:r w:rsidRPr="001A58CE">
        <w:rPr>
          <w:rFonts w:asciiTheme="minorHAnsi" w:hAnsiTheme="minorHAnsi" w:cstheme="minorHAnsi"/>
          <w:szCs w:val="22"/>
          <w:lang w:val="en-US"/>
        </w:rPr>
        <w:t xml:space="preserve">. This </w:t>
      </w:r>
      <w:r w:rsidR="00B03106" w:rsidRPr="001A58CE">
        <w:rPr>
          <w:rFonts w:asciiTheme="minorHAnsi" w:hAnsiTheme="minorHAnsi" w:cstheme="minorHAnsi"/>
          <w:szCs w:val="22"/>
          <w:lang w:val="en-US"/>
        </w:rPr>
        <w:t>will, in many cases,</w:t>
      </w:r>
      <w:r w:rsidRPr="001A58CE">
        <w:rPr>
          <w:rFonts w:asciiTheme="minorHAnsi" w:hAnsiTheme="minorHAnsi" w:cstheme="minorHAnsi"/>
          <w:szCs w:val="22"/>
          <w:lang w:val="en-US"/>
        </w:rPr>
        <w:t xml:space="preserve"> require credit institutions to increase levels of reporting from external debt collections agencies pre-sale in order to satisfy </w:t>
      </w:r>
      <w:r w:rsidR="00B03106" w:rsidRPr="001A58CE">
        <w:rPr>
          <w:rFonts w:asciiTheme="minorHAnsi" w:hAnsiTheme="minorHAnsi" w:cstheme="minorHAnsi"/>
          <w:szCs w:val="22"/>
          <w:lang w:val="en-US"/>
        </w:rPr>
        <w:t xml:space="preserve">data </w:t>
      </w:r>
      <w:r w:rsidRPr="001A58CE">
        <w:rPr>
          <w:rFonts w:asciiTheme="minorHAnsi" w:hAnsiTheme="minorHAnsi" w:cstheme="minorHAnsi"/>
          <w:szCs w:val="22"/>
          <w:lang w:val="en-US"/>
        </w:rPr>
        <w:t>requirement</w:t>
      </w:r>
      <w:r w:rsidR="00B03106" w:rsidRPr="001A58CE">
        <w:rPr>
          <w:rFonts w:asciiTheme="minorHAnsi" w:hAnsiTheme="minorHAnsi" w:cstheme="minorHAnsi"/>
          <w:szCs w:val="22"/>
          <w:lang w:val="en-US"/>
        </w:rPr>
        <w:t>s</w:t>
      </w:r>
      <w:r w:rsidRPr="001A58CE">
        <w:rPr>
          <w:rFonts w:asciiTheme="minorHAnsi" w:hAnsiTheme="minorHAnsi" w:cstheme="minorHAnsi"/>
          <w:szCs w:val="22"/>
          <w:lang w:val="en-US"/>
        </w:rPr>
        <w:t xml:space="preserve">. </w:t>
      </w:r>
    </w:p>
    <w:p w14:paraId="05E01FE1" w14:textId="77777777" w:rsidR="00114F80" w:rsidRPr="001A58CE" w:rsidRDefault="00114F80" w:rsidP="00FD6C46">
      <w:pPr>
        <w:pStyle w:val="Body2"/>
        <w:rPr>
          <w:rFonts w:asciiTheme="minorHAnsi" w:hAnsiTheme="minorHAnsi" w:cstheme="minorHAnsi"/>
          <w:color w:val="FF0000"/>
          <w:szCs w:val="22"/>
          <w:lang w:val="en-US"/>
        </w:rPr>
      </w:pPr>
    </w:p>
    <w:p w14:paraId="7B7EF6D0" w14:textId="0150C404" w:rsidR="00FD6C46" w:rsidRPr="001A58CE" w:rsidRDefault="00B03106" w:rsidP="00FD6C46">
      <w:pPr>
        <w:pStyle w:val="Body2"/>
        <w:rPr>
          <w:rFonts w:asciiTheme="minorHAnsi" w:hAnsiTheme="minorHAnsi" w:cstheme="minorHAnsi"/>
          <w:szCs w:val="22"/>
          <w:lang w:val="en-US"/>
        </w:rPr>
      </w:pPr>
      <w:r w:rsidRPr="001A58CE">
        <w:rPr>
          <w:rFonts w:asciiTheme="minorHAnsi" w:hAnsiTheme="minorHAnsi" w:cstheme="minorHAnsi"/>
          <w:szCs w:val="22"/>
          <w:lang w:val="en-US"/>
        </w:rPr>
        <w:t>Digital processing of ITS should be supported as the most likely and efficient means of processing in future.</w:t>
      </w:r>
    </w:p>
    <w:p w14:paraId="2BBE528B" w14:textId="77777777" w:rsidR="00FD6C46" w:rsidRPr="001A58CE" w:rsidRDefault="00FD6C46" w:rsidP="00FD6C46">
      <w:pPr>
        <w:pStyle w:val="ListParagraph"/>
        <w:ind w:left="360"/>
        <w:rPr>
          <w:rFonts w:cstheme="minorHAnsi"/>
          <w:b/>
          <w:bCs/>
          <w:lang w:val="en-US"/>
        </w:rPr>
      </w:pPr>
    </w:p>
    <w:p w14:paraId="14545595" w14:textId="77777777" w:rsidR="00425832" w:rsidRPr="001A58CE" w:rsidRDefault="00425832" w:rsidP="00425832">
      <w:pPr>
        <w:pStyle w:val="ListParagraph"/>
        <w:rPr>
          <w:rFonts w:cstheme="minorHAnsi"/>
          <w:b/>
          <w:bCs/>
        </w:rPr>
      </w:pPr>
    </w:p>
    <w:p w14:paraId="598F7AD9" w14:textId="074BEAC7" w:rsidR="00425832" w:rsidRPr="001A58CE" w:rsidRDefault="00425832" w:rsidP="00425832">
      <w:pPr>
        <w:pStyle w:val="ListParagraph"/>
        <w:numPr>
          <w:ilvl w:val="0"/>
          <w:numId w:val="1"/>
        </w:numPr>
        <w:rPr>
          <w:rFonts w:cstheme="minorHAnsi"/>
          <w:b/>
          <w:bCs/>
        </w:rPr>
      </w:pPr>
      <w:r w:rsidRPr="001A58CE">
        <w:rPr>
          <w:rFonts w:cstheme="minorHAnsi"/>
          <w:b/>
          <w:bCs/>
        </w:rPr>
        <w:t xml:space="preserve">What are the respondents' views on the approach to the proportionality, including differentiating mandatory data fields around the threshold? Please provide any specific comment you may have on the data fields in the dedicated columns of the data glossary (Annex II to the draft ITS) added for your feedback. </w:t>
      </w:r>
    </w:p>
    <w:p w14:paraId="067A9AF4" w14:textId="28974122" w:rsidR="00FD6C46" w:rsidRPr="001A58CE" w:rsidRDefault="00FD6C46" w:rsidP="00FD6C46">
      <w:pPr>
        <w:pStyle w:val="ListParagraph"/>
        <w:ind w:left="360"/>
        <w:rPr>
          <w:rFonts w:cstheme="minorHAnsi"/>
          <w:b/>
          <w:bCs/>
        </w:rPr>
      </w:pPr>
    </w:p>
    <w:p w14:paraId="4DAA7B8F" w14:textId="086EC26C" w:rsidR="00FD6C46" w:rsidRPr="001A58CE" w:rsidRDefault="00B03106" w:rsidP="001E6167">
      <w:pPr>
        <w:pStyle w:val="Body2"/>
        <w:rPr>
          <w:rFonts w:asciiTheme="minorHAnsi" w:hAnsiTheme="minorHAnsi" w:cstheme="minorHAnsi"/>
          <w:b/>
          <w:bCs/>
          <w:szCs w:val="22"/>
          <w:lang w:val="en-US"/>
        </w:rPr>
      </w:pPr>
      <w:r w:rsidRPr="001A58CE">
        <w:rPr>
          <w:rFonts w:asciiTheme="minorHAnsi" w:hAnsiTheme="minorHAnsi" w:cstheme="minorHAnsi"/>
          <w:szCs w:val="22"/>
          <w:lang w:val="en-GB"/>
        </w:rPr>
        <w:t xml:space="preserve">As noted in our responses in Annex II </w:t>
      </w:r>
      <w:r w:rsidR="001E6167" w:rsidRPr="001A58CE">
        <w:rPr>
          <w:rFonts w:asciiTheme="minorHAnsi" w:hAnsiTheme="minorHAnsi" w:cstheme="minorHAnsi"/>
          <w:szCs w:val="22"/>
          <w:lang w:val="en-GB"/>
        </w:rPr>
        <w:t>we support the inclusion of further mandatory fields in the sub-EUR 25,000 category in order to increase transparency and improve valuation confidence.</w:t>
      </w:r>
    </w:p>
    <w:p w14:paraId="7068AC2C" w14:textId="77777777" w:rsidR="00425832" w:rsidRPr="001A58CE" w:rsidRDefault="00425832" w:rsidP="00425832">
      <w:pPr>
        <w:pStyle w:val="ListParagraph"/>
        <w:rPr>
          <w:rFonts w:cstheme="minorHAnsi"/>
          <w:b/>
          <w:bCs/>
        </w:rPr>
      </w:pPr>
    </w:p>
    <w:p w14:paraId="5CA756AA" w14:textId="3304778B" w:rsidR="00425832" w:rsidRPr="001A58CE" w:rsidRDefault="00425832" w:rsidP="00854845">
      <w:pPr>
        <w:pStyle w:val="ListParagraph"/>
        <w:numPr>
          <w:ilvl w:val="0"/>
          <w:numId w:val="1"/>
        </w:numPr>
        <w:rPr>
          <w:rFonts w:cstheme="minorHAnsi"/>
          <w:b/>
          <w:bCs/>
        </w:rPr>
      </w:pPr>
      <w:r w:rsidRPr="001A58CE">
        <w:rPr>
          <w:rFonts w:cstheme="minorHAnsi"/>
          <w:b/>
          <w:bCs/>
        </w:rPr>
        <w:t xml:space="preserve">Do the respondents agree with the proposed calibration of 25 000 euros threshold in line with </w:t>
      </w:r>
      <w:proofErr w:type="spellStart"/>
      <w:r w:rsidRPr="001A58CE">
        <w:rPr>
          <w:rFonts w:cstheme="minorHAnsi"/>
          <w:b/>
          <w:bCs/>
        </w:rPr>
        <w:t>AnaCredit</w:t>
      </w:r>
      <w:proofErr w:type="spellEnd"/>
      <w:r w:rsidRPr="001A58CE">
        <w:rPr>
          <w:rFonts w:cstheme="minorHAnsi"/>
          <w:b/>
          <w:bCs/>
        </w:rPr>
        <w:t xml:space="preserve"> Regulation? If not, what alternative threshold should be introduced, and why? </w:t>
      </w:r>
    </w:p>
    <w:p w14:paraId="4D6AE0B8" w14:textId="183BC8CA" w:rsidR="00FD6C46" w:rsidRPr="001A58CE" w:rsidRDefault="00FD6C46" w:rsidP="00FD6C46">
      <w:pPr>
        <w:pStyle w:val="ListParagraph"/>
        <w:ind w:left="360"/>
        <w:rPr>
          <w:rFonts w:cstheme="minorHAnsi"/>
          <w:b/>
          <w:bCs/>
        </w:rPr>
      </w:pPr>
    </w:p>
    <w:p w14:paraId="3E28F2F6" w14:textId="67C0CFE6" w:rsidR="00FD6C46" w:rsidRPr="001A58CE" w:rsidRDefault="001E6167" w:rsidP="001E6167">
      <w:pPr>
        <w:pStyle w:val="Body2"/>
        <w:rPr>
          <w:rFonts w:asciiTheme="minorHAnsi" w:hAnsiTheme="minorHAnsi" w:cstheme="minorHAnsi"/>
          <w:szCs w:val="22"/>
          <w:lang w:val="en-US"/>
        </w:rPr>
      </w:pPr>
      <w:r w:rsidRPr="001A58CE">
        <w:rPr>
          <w:rFonts w:asciiTheme="minorHAnsi" w:hAnsiTheme="minorHAnsi" w:cstheme="minorHAnsi"/>
          <w:szCs w:val="22"/>
          <w:lang w:val="en-US"/>
        </w:rPr>
        <w:t>As noted above we recommend additional mandatory fields below the proposed threshold.</w:t>
      </w:r>
      <w:r w:rsidR="003E3357" w:rsidRPr="001A58CE">
        <w:rPr>
          <w:rFonts w:asciiTheme="minorHAnsi" w:hAnsiTheme="minorHAnsi" w:cstheme="minorHAnsi"/>
          <w:szCs w:val="22"/>
          <w:lang w:val="en-US"/>
        </w:rPr>
        <w:t xml:space="preserve"> The chosen threshold is somewhat arbitrary at any level and we believe it is better to avoid a cliff-edge in terms of data requirements.</w:t>
      </w:r>
    </w:p>
    <w:p w14:paraId="4892ADF9" w14:textId="77777777" w:rsidR="00FD6C46" w:rsidRPr="001A58CE" w:rsidRDefault="00FD6C46" w:rsidP="00FD6C46">
      <w:pPr>
        <w:pStyle w:val="ListParagraph"/>
        <w:ind w:left="360"/>
        <w:rPr>
          <w:rFonts w:cstheme="minorHAnsi"/>
          <w:b/>
          <w:bCs/>
          <w:lang w:val="en-US"/>
        </w:rPr>
      </w:pPr>
    </w:p>
    <w:p w14:paraId="78DF50C0" w14:textId="6EEF40AF" w:rsidR="001B2F28" w:rsidRPr="005624DA" w:rsidRDefault="00425832" w:rsidP="00425832">
      <w:pPr>
        <w:pStyle w:val="ListParagraph"/>
        <w:numPr>
          <w:ilvl w:val="0"/>
          <w:numId w:val="1"/>
        </w:numPr>
        <w:rPr>
          <w:rFonts w:cstheme="minorHAnsi"/>
          <w:b/>
          <w:bCs/>
        </w:rPr>
      </w:pPr>
      <w:r w:rsidRPr="001A58CE">
        <w:rPr>
          <w:rFonts w:cstheme="minorHAnsi"/>
          <w:b/>
          <w:bCs/>
        </w:rPr>
        <w:t xml:space="preserve">What are the </w:t>
      </w:r>
      <w:r w:rsidRPr="005624DA">
        <w:rPr>
          <w:rFonts w:cstheme="minorHAnsi"/>
          <w:b/>
          <w:bCs/>
        </w:rPr>
        <w:t>respondents' views on the operational procedures, confidentiality and data governance requirements set out in the draft ITS?</w:t>
      </w:r>
    </w:p>
    <w:p w14:paraId="6B9177E7" w14:textId="46B1BC59" w:rsidR="00FD6C46" w:rsidRPr="005624DA" w:rsidRDefault="00FD6C46" w:rsidP="00FD6C46">
      <w:pPr>
        <w:pStyle w:val="ListParagraph"/>
        <w:ind w:left="360"/>
        <w:rPr>
          <w:rFonts w:cstheme="minorHAnsi"/>
          <w:b/>
          <w:bCs/>
        </w:rPr>
      </w:pPr>
    </w:p>
    <w:p w14:paraId="26A1D662" w14:textId="0850A2F1" w:rsidR="002767D8" w:rsidRPr="005624DA" w:rsidRDefault="002767D8" w:rsidP="000649F3">
      <w:pPr>
        <w:pStyle w:val="Body1"/>
        <w:ind w:left="709"/>
        <w:rPr>
          <w:rStyle w:val="Heading1Text"/>
          <w:rFonts w:asciiTheme="minorHAnsi" w:hAnsiTheme="minorHAnsi" w:cstheme="minorHAnsi"/>
          <w:b w:val="0"/>
          <w:bCs/>
          <w:caps w:val="0"/>
          <w:szCs w:val="22"/>
          <w:lang w:val="en-US"/>
        </w:rPr>
      </w:pPr>
      <w:r w:rsidRPr="005624DA">
        <w:rPr>
          <w:rFonts w:asciiTheme="minorHAnsi" w:hAnsiTheme="minorHAnsi" w:cstheme="minorHAnsi"/>
          <w:szCs w:val="22"/>
          <w:lang w:val="en-US"/>
        </w:rPr>
        <w:t>We</w:t>
      </w:r>
      <w:r w:rsidR="006B1AC9" w:rsidRPr="005624DA">
        <w:rPr>
          <w:rFonts w:asciiTheme="minorHAnsi" w:hAnsiTheme="minorHAnsi" w:cstheme="minorHAnsi"/>
          <w:szCs w:val="22"/>
          <w:lang w:val="en-US"/>
        </w:rPr>
        <w:t xml:space="preserve"> have no additional comments on the operational procedures, confidentiality or data governance requirements</w:t>
      </w:r>
      <w:r w:rsidRPr="005624DA">
        <w:rPr>
          <w:rFonts w:asciiTheme="minorHAnsi" w:hAnsiTheme="minorHAnsi" w:cstheme="minorHAnsi"/>
          <w:szCs w:val="22"/>
          <w:lang w:val="en-US"/>
        </w:rPr>
        <w:t xml:space="preserve"> set out in Chapter 3</w:t>
      </w:r>
      <w:r w:rsidR="003E3357" w:rsidRPr="005624DA">
        <w:rPr>
          <w:rFonts w:asciiTheme="minorHAnsi" w:hAnsiTheme="minorHAnsi" w:cstheme="minorHAnsi"/>
          <w:szCs w:val="22"/>
          <w:lang w:val="en-US"/>
        </w:rPr>
        <w:t>.</w:t>
      </w:r>
      <w:r w:rsidRPr="005624DA">
        <w:rPr>
          <w:rFonts w:asciiTheme="minorHAnsi" w:hAnsiTheme="minorHAnsi" w:cstheme="minorHAnsi"/>
          <w:szCs w:val="22"/>
          <w:lang w:val="en-US"/>
        </w:rPr>
        <w:t xml:space="preserve"> However, in terms of broader directions set out in Recital (6) we are concerned that </w:t>
      </w:r>
      <w:r w:rsidRPr="005624DA">
        <w:rPr>
          <w:rStyle w:val="Heading1Text"/>
          <w:rFonts w:asciiTheme="minorHAnsi" w:hAnsiTheme="minorHAnsi" w:cstheme="minorHAnsi"/>
          <w:b w:val="0"/>
          <w:bCs/>
          <w:caps w:val="0"/>
          <w:szCs w:val="22"/>
          <w:lang w:val="en-US"/>
        </w:rPr>
        <w:t xml:space="preserve">the imposition of </w:t>
      </w:r>
      <w:proofErr w:type="spellStart"/>
      <w:r w:rsidRPr="005624DA">
        <w:rPr>
          <w:rStyle w:val="Heading1Text"/>
          <w:rFonts w:asciiTheme="minorHAnsi" w:hAnsiTheme="minorHAnsi" w:cstheme="minorHAnsi"/>
          <w:b w:val="0"/>
          <w:bCs/>
          <w:caps w:val="0"/>
          <w:szCs w:val="22"/>
          <w:lang w:val="en-US"/>
        </w:rPr>
        <w:t>standardised</w:t>
      </w:r>
      <w:proofErr w:type="spellEnd"/>
      <w:r w:rsidRPr="005624DA">
        <w:rPr>
          <w:rStyle w:val="Heading1Text"/>
          <w:rFonts w:asciiTheme="minorHAnsi" w:hAnsiTheme="minorHAnsi" w:cstheme="minorHAnsi"/>
          <w:b w:val="0"/>
          <w:bCs/>
          <w:caps w:val="0"/>
          <w:szCs w:val="22"/>
          <w:lang w:val="en-US"/>
        </w:rPr>
        <w:t xml:space="preserve"> requirements of this nature </w:t>
      </w:r>
      <w:r w:rsidR="005624DA" w:rsidRPr="005624DA">
        <w:rPr>
          <w:rStyle w:val="Heading1Text"/>
          <w:rFonts w:asciiTheme="minorHAnsi" w:hAnsiTheme="minorHAnsi" w:cstheme="minorHAnsi"/>
          <w:b w:val="0"/>
          <w:bCs/>
          <w:caps w:val="0"/>
          <w:szCs w:val="22"/>
          <w:lang w:val="en-US"/>
        </w:rPr>
        <w:t>(</w:t>
      </w:r>
      <w:r w:rsidRPr="005624DA">
        <w:rPr>
          <w:rStyle w:val="Heading1Text"/>
          <w:rFonts w:asciiTheme="minorHAnsi" w:hAnsiTheme="minorHAnsi" w:cstheme="minorHAnsi"/>
          <w:b w:val="0"/>
          <w:bCs/>
          <w:caps w:val="0"/>
          <w:szCs w:val="22"/>
          <w:lang w:val="en-US"/>
        </w:rPr>
        <w:t>in terms of the sale process and timing of data provision</w:t>
      </w:r>
      <w:r w:rsidR="005624DA" w:rsidRPr="005624DA">
        <w:rPr>
          <w:rStyle w:val="Heading1Text"/>
          <w:rFonts w:asciiTheme="minorHAnsi" w:hAnsiTheme="minorHAnsi" w:cstheme="minorHAnsi"/>
          <w:b w:val="0"/>
          <w:bCs/>
          <w:caps w:val="0"/>
          <w:szCs w:val="22"/>
          <w:lang w:val="en-US"/>
        </w:rPr>
        <w:t>)</w:t>
      </w:r>
      <w:r w:rsidRPr="005624DA">
        <w:rPr>
          <w:rStyle w:val="Heading1Text"/>
          <w:rFonts w:asciiTheme="minorHAnsi" w:hAnsiTheme="minorHAnsi" w:cstheme="minorHAnsi"/>
          <w:b w:val="0"/>
          <w:bCs/>
          <w:caps w:val="0"/>
          <w:szCs w:val="22"/>
          <w:lang w:val="en-US"/>
        </w:rPr>
        <w:t xml:space="preserve"> across the secondary sale market as a whole</w:t>
      </w:r>
      <w:r w:rsidR="005624DA" w:rsidRPr="005624DA">
        <w:rPr>
          <w:rStyle w:val="Heading1Text"/>
          <w:rFonts w:asciiTheme="minorHAnsi" w:hAnsiTheme="minorHAnsi" w:cstheme="minorHAnsi"/>
          <w:b w:val="0"/>
          <w:bCs/>
          <w:caps w:val="0"/>
          <w:szCs w:val="22"/>
          <w:lang w:val="en-US"/>
        </w:rPr>
        <w:t xml:space="preserve"> would be counterproductive in those parts o</w:t>
      </w:r>
      <w:r w:rsidRPr="005624DA">
        <w:rPr>
          <w:rStyle w:val="Heading1Text"/>
          <w:rFonts w:asciiTheme="minorHAnsi" w:hAnsiTheme="minorHAnsi" w:cstheme="minorHAnsi"/>
          <w:b w:val="0"/>
          <w:bCs/>
          <w:caps w:val="0"/>
          <w:szCs w:val="22"/>
          <w:lang w:val="en-US"/>
        </w:rPr>
        <w:t>f the</w:t>
      </w:r>
      <w:r w:rsidR="005624DA" w:rsidRPr="005624DA">
        <w:rPr>
          <w:rStyle w:val="Heading1Text"/>
          <w:rFonts w:asciiTheme="minorHAnsi" w:hAnsiTheme="minorHAnsi" w:cstheme="minorHAnsi"/>
          <w:b w:val="0"/>
          <w:bCs/>
          <w:caps w:val="0"/>
          <w:szCs w:val="22"/>
          <w:lang w:val="en-US"/>
        </w:rPr>
        <w:t xml:space="preserve"> secondary</w:t>
      </w:r>
      <w:r w:rsidRPr="005624DA">
        <w:rPr>
          <w:rStyle w:val="Heading1Text"/>
          <w:rFonts w:asciiTheme="minorHAnsi" w:hAnsiTheme="minorHAnsi" w:cstheme="minorHAnsi"/>
          <w:b w:val="0"/>
          <w:bCs/>
          <w:caps w:val="0"/>
          <w:szCs w:val="22"/>
          <w:lang w:val="en-US"/>
        </w:rPr>
        <w:t xml:space="preserve"> market which currently operate well. We would recommend that directions given in recital (6) are reviewed to </w:t>
      </w:r>
      <w:r w:rsidR="005624DA">
        <w:rPr>
          <w:rStyle w:val="Heading1Text"/>
          <w:rFonts w:asciiTheme="minorHAnsi" w:hAnsiTheme="minorHAnsi" w:cstheme="minorHAnsi"/>
          <w:b w:val="0"/>
          <w:bCs/>
          <w:caps w:val="0"/>
          <w:szCs w:val="22"/>
          <w:lang w:val="en-US"/>
        </w:rPr>
        <w:t>give</w:t>
      </w:r>
      <w:r w:rsidRPr="005624DA">
        <w:rPr>
          <w:rStyle w:val="Heading1Text"/>
          <w:rFonts w:asciiTheme="minorHAnsi" w:hAnsiTheme="minorHAnsi" w:cstheme="minorHAnsi"/>
          <w:b w:val="0"/>
          <w:bCs/>
          <w:caps w:val="0"/>
          <w:szCs w:val="22"/>
          <w:lang w:val="en-US"/>
        </w:rPr>
        <w:t xml:space="preserve"> credit institutions a level of flexibility to </w:t>
      </w:r>
      <w:r w:rsidR="005624DA">
        <w:rPr>
          <w:rStyle w:val="Heading1Text"/>
          <w:rFonts w:asciiTheme="minorHAnsi" w:hAnsiTheme="minorHAnsi" w:cstheme="minorHAnsi"/>
          <w:b w:val="0"/>
          <w:bCs/>
          <w:caps w:val="0"/>
          <w:szCs w:val="22"/>
          <w:lang w:val="en-US"/>
        </w:rPr>
        <w:t>ensure t</w:t>
      </w:r>
      <w:r w:rsidR="005624DA" w:rsidRPr="005624DA">
        <w:rPr>
          <w:rStyle w:val="Heading1Text"/>
          <w:rFonts w:asciiTheme="minorHAnsi" w:hAnsiTheme="minorHAnsi" w:cstheme="minorHAnsi"/>
          <w:b w:val="0"/>
          <w:bCs/>
          <w:caps w:val="0"/>
          <w:szCs w:val="22"/>
          <w:lang w:val="en-US"/>
        </w:rPr>
        <w:t>he</w:t>
      </w:r>
      <w:r w:rsidRPr="005624DA">
        <w:rPr>
          <w:rStyle w:val="Heading1Text"/>
          <w:rFonts w:asciiTheme="minorHAnsi" w:hAnsiTheme="minorHAnsi" w:cstheme="minorHAnsi"/>
          <w:b w:val="0"/>
          <w:bCs/>
          <w:caps w:val="0"/>
          <w:szCs w:val="22"/>
          <w:lang w:val="en-US"/>
        </w:rPr>
        <w:t xml:space="preserve"> </w:t>
      </w:r>
      <w:r w:rsidR="005624DA" w:rsidRPr="005624DA">
        <w:rPr>
          <w:rStyle w:val="Heading1Text"/>
          <w:rFonts w:asciiTheme="minorHAnsi" w:hAnsiTheme="minorHAnsi" w:cstheme="minorHAnsi"/>
          <w:b w:val="0"/>
          <w:bCs/>
          <w:caps w:val="0"/>
          <w:szCs w:val="22"/>
          <w:lang w:val="en-US"/>
        </w:rPr>
        <w:t xml:space="preserve">continued </w:t>
      </w:r>
      <w:r w:rsidRPr="005624DA">
        <w:rPr>
          <w:rStyle w:val="Heading1Text"/>
          <w:rFonts w:asciiTheme="minorHAnsi" w:hAnsiTheme="minorHAnsi" w:cstheme="minorHAnsi"/>
          <w:b w:val="0"/>
          <w:bCs/>
          <w:caps w:val="0"/>
          <w:szCs w:val="22"/>
          <w:lang w:val="en-US"/>
        </w:rPr>
        <w:t>smooth running</w:t>
      </w:r>
      <w:r w:rsidR="005624DA" w:rsidRPr="005624DA">
        <w:rPr>
          <w:rStyle w:val="Heading1Text"/>
          <w:rFonts w:asciiTheme="minorHAnsi" w:hAnsiTheme="minorHAnsi" w:cstheme="minorHAnsi"/>
          <w:b w:val="0"/>
          <w:bCs/>
          <w:caps w:val="0"/>
          <w:szCs w:val="22"/>
          <w:lang w:val="en-US"/>
        </w:rPr>
        <w:t xml:space="preserve"> of</w:t>
      </w:r>
      <w:r w:rsidRPr="005624DA">
        <w:rPr>
          <w:rStyle w:val="Heading1Text"/>
          <w:rFonts w:asciiTheme="minorHAnsi" w:hAnsiTheme="minorHAnsi" w:cstheme="minorHAnsi"/>
          <w:b w:val="0"/>
          <w:bCs/>
          <w:caps w:val="0"/>
          <w:szCs w:val="22"/>
          <w:lang w:val="en-US"/>
        </w:rPr>
        <w:t xml:space="preserve"> </w:t>
      </w:r>
      <w:r w:rsidR="005624DA" w:rsidRPr="005624DA">
        <w:rPr>
          <w:rStyle w:val="Heading1Text"/>
          <w:rFonts w:asciiTheme="minorHAnsi" w:hAnsiTheme="minorHAnsi" w:cstheme="minorHAnsi"/>
          <w:b w:val="0"/>
          <w:bCs/>
          <w:caps w:val="0"/>
          <w:szCs w:val="22"/>
          <w:lang w:val="en-US"/>
        </w:rPr>
        <w:t xml:space="preserve">those parts of the market that </w:t>
      </w:r>
      <w:r w:rsidRPr="005624DA">
        <w:rPr>
          <w:rStyle w:val="Heading1Text"/>
          <w:rFonts w:asciiTheme="minorHAnsi" w:hAnsiTheme="minorHAnsi" w:cstheme="minorHAnsi"/>
          <w:b w:val="0"/>
          <w:bCs/>
          <w:caps w:val="0"/>
          <w:szCs w:val="22"/>
          <w:lang w:val="en-US"/>
        </w:rPr>
        <w:t xml:space="preserve">are </w:t>
      </w:r>
      <w:r w:rsidR="005624DA" w:rsidRPr="005624DA">
        <w:rPr>
          <w:rStyle w:val="Heading1Text"/>
          <w:rFonts w:asciiTheme="minorHAnsi" w:hAnsiTheme="minorHAnsi" w:cstheme="minorHAnsi"/>
          <w:b w:val="0"/>
          <w:bCs/>
          <w:caps w:val="0"/>
          <w:szCs w:val="22"/>
          <w:lang w:val="en-US"/>
        </w:rPr>
        <w:t>already</w:t>
      </w:r>
      <w:r w:rsidRPr="005624DA">
        <w:rPr>
          <w:rStyle w:val="Heading1Text"/>
          <w:rFonts w:asciiTheme="minorHAnsi" w:hAnsiTheme="minorHAnsi" w:cstheme="minorHAnsi"/>
          <w:b w:val="0"/>
          <w:bCs/>
          <w:caps w:val="0"/>
          <w:szCs w:val="22"/>
          <w:lang w:val="en-US"/>
        </w:rPr>
        <w:t xml:space="preserve"> mature and effective</w:t>
      </w:r>
      <w:r w:rsidR="005624DA" w:rsidRPr="005624DA">
        <w:rPr>
          <w:rStyle w:val="Heading1Text"/>
          <w:rFonts w:asciiTheme="minorHAnsi" w:hAnsiTheme="minorHAnsi" w:cstheme="minorHAnsi"/>
          <w:b w:val="0"/>
          <w:bCs/>
          <w:caps w:val="0"/>
          <w:szCs w:val="22"/>
          <w:lang w:val="en-US"/>
        </w:rPr>
        <w:t xml:space="preserve">, such as </w:t>
      </w:r>
      <w:r w:rsidR="00B30293">
        <w:rPr>
          <w:rStyle w:val="Heading1Text"/>
          <w:rFonts w:asciiTheme="minorHAnsi" w:hAnsiTheme="minorHAnsi" w:cstheme="minorHAnsi"/>
          <w:b w:val="0"/>
          <w:bCs/>
          <w:caps w:val="0"/>
          <w:szCs w:val="22"/>
          <w:lang w:val="en-US"/>
        </w:rPr>
        <w:t xml:space="preserve">the market </w:t>
      </w:r>
      <w:r w:rsidR="000649F3">
        <w:rPr>
          <w:rStyle w:val="Heading1Text"/>
          <w:rFonts w:asciiTheme="minorHAnsi" w:hAnsiTheme="minorHAnsi" w:cstheme="minorHAnsi"/>
          <w:b w:val="0"/>
          <w:bCs/>
          <w:caps w:val="0"/>
          <w:szCs w:val="22"/>
          <w:lang w:val="en-US"/>
        </w:rPr>
        <w:t xml:space="preserve">for </w:t>
      </w:r>
      <w:r w:rsidR="005624DA" w:rsidRPr="005624DA">
        <w:rPr>
          <w:rStyle w:val="Heading1Text"/>
          <w:rFonts w:asciiTheme="minorHAnsi" w:hAnsiTheme="minorHAnsi" w:cstheme="minorHAnsi"/>
          <w:b w:val="0"/>
          <w:bCs/>
          <w:caps w:val="0"/>
          <w:szCs w:val="22"/>
          <w:lang w:val="en-US"/>
        </w:rPr>
        <w:t>unsecured consumer NPLs</w:t>
      </w:r>
      <w:r w:rsidRPr="005624DA">
        <w:rPr>
          <w:rStyle w:val="Heading1Text"/>
          <w:rFonts w:asciiTheme="minorHAnsi" w:hAnsiTheme="minorHAnsi" w:cstheme="minorHAnsi"/>
          <w:b w:val="0"/>
          <w:bCs/>
          <w:caps w:val="0"/>
          <w:szCs w:val="22"/>
          <w:lang w:val="en-US"/>
        </w:rPr>
        <w:t xml:space="preserve">. </w:t>
      </w:r>
    </w:p>
    <w:p w14:paraId="0DA1CD3D" w14:textId="29AA24FA" w:rsidR="00FD6C46" w:rsidRPr="005624DA" w:rsidRDefault="002767D8" w:rsidP="00FD6C46">
      <w:pPr>
        <w:pStyle w:val="Body2"/>
        <w:rPr>
          <w:rFonts w:asciiTheme="minorHAnsi" w:hAnsiTheme="minorHAnsi" w:cstheme="minorHAnsi"/>
          <w:szCs w:val="22"/>
          <w:lang w:val="en-US"/>
        </w:rPr>
      </w:pPr>
      <w:r w:rsidRPr="005624DA">
        <w:rPr>
          <w:rFonts w:asciiTheme="minorHAnsi" w:hAnsiTheme="minorHAnsi" w:cstheme="minorHAnsi"/>
          <w:szCs w:val="22"/>
          <w:lang w:val="en-US"/>
        </w:rPr>
        <w:t xml:space="preserve"> </w:t>
      </w:r>
      <w:r w:rsidR="001F2172" w:rsidRPr="005624DA">
        <w:rPr>
          <w:rFonts w:asciiTheme="minorHAnsi" w:hAnsiTheme="minorHAnsi" w:cstheme="minorHAnsi"/>
          <w:szCs w:val="22"/>
          <w:lang w:val="en-US"/>
        </w:rPr>
        <w:t xml:space="preserve"> </w:t>
      </w:r>
    </w:p>
    <w:p w14:paraId="2B937DAC" w14:textId="77777777" w:rsidR="00FD6C46" w:rsidRPr="00FD6C46" w:rsidRDefault="00FD6C46" w:rsidP="00FD6C46">
      <w:pPr>
        <w:pStyle w:val="ListParagraph"/>
        <w:ind w:left="360"/>
        <w:rPr>
          <w:b/>
          <w:bCs/>
          <w:lang w:val="en-US"/>
        </w:rPr>
      </w:pPr>
    </w:p>
    <w:sectPr w:rsidR="00FD6C46" w:rsidRPr="00FD6C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A0B5" w14:textId="77777777" w:rsidR="0003434F" w:rsidRDefault="0003434F" w:rsidP="001B2F28">
      <w:pPr>
        <w:spacing w:after="0" w:line="240" w:lineRule="auto"/>
      </w:pPr>
      <w:r>
        <w:separator/>
      </w:r>
    </w:p>
  </w:endnote>
  <w:endnote w:type="continuationSeparator" w:id="0">
    <w:p w14:paraId="72809907" w14:textId="77777777" w:rsidR="0003434F" w:rsidRDefault="0003434F" w:rsidP="001B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81D1" w14:textId="77777777" w:rsidR="0003434F" w:rsidRDefault="0003434F" w:rsidP="001B2F28">
      <w:pPr>
        <w:spacing w:after="0" w:line="240" w:lineRule="auto"/>
      </w:pPr>
      <w:r>
        <w:separator/>
      </w:r>
    </w:p>
  </w:footnote>
  <w:footnote w:type="continuationSeparator" w:id="0">
    <w:p w14:paraId="766C730D" w14:textId="77777777" w:rsidR="0003434F" w:rsidRDefault="0003434F" w:rsidP="001B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F1DF" w14:textId="7751EB23" w:rsidR="001B2F28" w:rsidRDefault="001B2F28">
    <w:pPr>
      <w:pStyle w:val="Header"/>
    </w:pPr>
    <w:r>
      <w:rPr>
        <w:noProof/>
        <w:lang w:eastAsia="en-GB"/>
      </w:rPr>
      <w:drawing>
        <wp:anchor distT="0" distB="0" distL="114300" distR="114300" simplePos="0" relativeHeight="251659264" behindDoc="0" locked="0" layoutInCell="1" allowOverlap="1" wp14:anchorId="4295D862" wp14:editId="49B3F2C1">
          <wp:simplePos x="0" y="0"/>
          <wp:positionH relativeFrom="column">
            <wp:posOffset>-523875</wp:posOffset>
          </wp:positionH>
          <wp:positionV relativeFrom="paragraph">
            <wp:posOffset>-229235</wp:posOffset>
          </wp:positionV>
          <wp:extent cx="1828800" cy="799465"/>
          <wp:effectExtent l="0" t="0" r="0" b="63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99465"/>
                  </a:xfrm>
                  <a:prstGeom prst="rect">
                    <a:avLst/>
                  </a:prstGeom>
                </pic:spPr>
              </pic:pic>
            </a:graphicData>
          </a:graphic>
          <wp14:sizeRelH relativeFrom="page">
            <wp14:pctWidth>0</wp14:pctWidth>
          </wp14:sizeRelH>
          <wp14:sizeRelV relativeFrom="page">
            <wp14:pctHeight>0</wp14:pctHeight>
          </wp14:sizeRelV>
        </wp:anchor>
      </w:drawing>
    </w:r>
    <w:r w:rsidR="00425832">
      <w:tab/>
    </w:r>
    <w:r w:rsidR="00425832">
      <w:tab/>
    </w:r>
    <w:r w:rsidR="004258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F83"/>
    <w:multiLevelType w:val="hybridMultilevel"/>
    <w:tmpl w:val="FDC29D0E"/>
    <w:lvl w:ilvl="0" w:tplc="0407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E91F94"/>
    <w:multiLevelType w:val="hybridMultilevel"/>
    <w:tmpl w:val="567C4A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711ED7"/>
    <w:multiLevelType w:val="hybridMultilevel"/>
    <w:tmpl w:val="92C2A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A15338"/>
    <w:multiLevelType w:val="hybridMultilevel"/>
    <w:tmpl w:val="AC8A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74ADB"/>
    <w:multiLevelType w:val="hybridMultilevel"/>
    <w:tmpl w:val="147C3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924E85"/>
    <w:multiLevelType w:val="hybridMultilevel"/>
    <w:tmpl w:val="2692F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8168158">
    <w:abstractNumId w:val="1"/>
  </w:num>
  <w:num w:numId="2" w16cid:durableId="220404935">
    <w:abstractNumId w:val="4"/>
  </w:num>
  <w:num w:numId="3" w16cid:durableId="735208554">
    <w:abstractNumId w:val="0"/>
  </w:num>
  <w:num w:numId="4" w16cid:durableId="127746432">
    <w:abstractNumId w:val="2"/>
  </w:num>
  <w:num w:numId="5" w16cid:durableId="576593120">
    <w:abstractNumId w:val="2"/>
  </w:num>
  <w:num w:numId="6" w16cid:durableId="381440074">
    <w:abstractNumId w:val="5"/>
  </w:num>
  <w:num w:numId="7" w16cid:durableId="2142765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28"/>
    <w:rsid w:val="0003434F"/>
    <w:rsid w:val="000649F3"/>
    <w:rsid w:val="00076EAF"/>
    <w:rsid w:val="00086227"/>
    <w:rsid w:val="000B42A8"/>
    <w:rsid w:val="00114F80"/>
    <w:rsid w:val="0014528C"/>
    <w:rsid w:val="00156AE8"/>
    <w:rsid w:val="001A3C01"/>
    <w:rsid w:val="001A58CE"/>
    <w:rsid w:val="001A7996"/>
    <w:rsid w:val="001B2F28"/>
    <w:rsid w:val="001B36F1"/>
    <w:rsid w:val="001C7D53"/>
    <w:rsid w:val="001E6167"/>
    <w:rsid w:val="001F2172"/>
    <w:rsid w:val="001F7814"/>
    <w:rsid w:val="002767D8"/>
    <w:rsid w:val="002964B9"/>
    <w:rsid w:val="003C28FC"/>
    <w:rsid w:val="003D122A"/>
    <w:rsid w:val="003D7B23"/>
    <w:rsid w:val="003E3357"/>
    <w:rsid w:val="00421000"/>
    <w:rsid w:val="00425832"/>
    <w:rsid w:val="00445024"/>
    <w:rsid w:val="00466F85"/>
    <w:rsid w:val="004703C8"/>
    <w:rsid w:val="00492603"/>
    <w:rsid w:val="00530C31"/>
    <w:rsid w:val="00537E38"/>
    <w:rsid w:val="005624DA"/>
    <w:rsid w:val="005A72B9"/>
    <w:rsid w:val="005B1198"/>
    <w:rsid w:val="005D07BB"/>
    <w:rsid w:val="005D63BC"/>
    <w:rsid w:val="00614237"/>
    <w:rsid w:val="00643699"/>
    <w:rsid w:val="00647E6E"/>
    <w:rsid w:val="006610FE"/>
    <w:rsid w:val="006B1AC9"/>
    <w:rsid w:val="006B3619"/>
    <w:rsid w:val="006E6340"/>
    <w:rsid w:val="00701F95"/>
    <w:rsid w:val="007B3A92"/>
    <w:rsid w:val="007E089F"/>
    <w:rsid w:val="00883B28"/>
    <w:rsid w:val="008F50F1"/>
    <w:rsid w:val="009045DC"/>
    <w:rsid w:val="0094141B"/>
    <w:rsid w:val="009E0ADA"/>
    <w:rsid w:val="00A0741A"/>
    <w:rsid w:val="00A14315"/>
    <w:rsid w:val="00A238D2"/>
    <w:rsid w:val="00A365DD"/>
    <w:rsid w:val="00A37ED8"/>
    <w:rsid w:val="00A41EB8"/>
    <w:rsid w:val="00A65D8B"/>
    <w:rsid w:val="00A818CA"/>
    <w:rsid w:val="00AC261D"/>
    <w:rsid w:val="00AD0133"/>
    <w:rsid w:val="00AD4BF5"/>
    <w:rsid w:val="00AE5033"/>
    <w:rsid w:val="00B03106"/>
    <w:rsid w:val="00B2731D"/>
    <w:rsid w:val="00B30293"/>
    <w:rsid w:val="00B458A0"/>
    <w:rsid w:val="00B53B54"/>
    <w:rsid w:val="00B658CA"/>
    <w:rsid w:val="00BA61BD"/>
    <w:rsid w:val="00BC6169"/>
    <w:rsid w:val="00BF1DD2"/>
    <w:rsid w:val="00C059EC"/>
    <w:rsid w:val="00C26FD5"/>
    <w:rsid w:val="00C803E7"/>
    <w:rsid w:val="00C93304"/>
    <w:rsid w:val="00D53A7D"/>
    <w:rsid w:val="00D632C2"/>
    <w:rsid w:val="00D65EBB"/>
    <w:rsid w:val="00D82434"/>
    <w:rsid w:val="00D85CEF"/>
    <w:rsid w:val="00DB3976"/>
    <w:rsid w:val="00DD5AE8"/>
    <w:rsid w:val="00DF20C6"/>
    <w:rsid w:val="00DF7E2A"/>
    <w:rsid w:val="00E25D3D"/>
    <w:rsid w:val="00E416A3"/>
    <w:rsid w:val="00E8024E"/>
    <w:rsid w:val="00F20236"/>
    <w:rsid w:val="00FA1BDE"/>
    <w:rsid w:val="00FB3310"/>
    <w:rsid w:val="00FD6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CC7B"/>
  <w15:chartTrackingRefBased/>
  <w15:docId w15:val="{90BE3A19-EA1F-4E04-86FA-DED19C99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731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B2731D"/>
    <w:pPr>
      <w:keepNext/>
      <w:spacing w:before="40" w:after="0" w:line="252"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28"/>
  </w:style>
  <w:style w:type="paragraph" w:styleId="Footer">
    <w:name w:val="footer"/>
    <w:basedOn w:val="Normal"/>
    <w:link w:val="FooterChar"/>
    <w:uiPriority w:val="99"/>
    <w:unhideWhenUsed/>
    <w:rsid w:val="001B2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28"/>
  </w:style>
  <w:style w:type="paragraph" w:styleId="ListParagraph">
    <w:name w:val="List Paragraph"/>
    <w:basedOn w:val="Normal"/>
    <w:uiPriority w:val="34"/>
    <w:qFormat/>
    <w:rsid w:val="00425832"/>
    <w:pPr>
      <w:ind w:left="720"/>
      <w:contextualSpacing/>
    </w:pPr>
  </w:style>
  <w:style w:type="paragraph" w:customStyle="1" w:styleId="Body1">
    <w:name w:val="Body 1"/>
    <w:basedOn w:val="Normal"/>
    <w:link w:val="Body1Zchn"/>
    <w:uiPriority w:val="1"/>
    <w:qFormat/>
    <w:rsid w:val="00530C31"/>
    <w:pPr>
      <w:spacing w:after="0" w:line="264" w:lineRule="auto"/>
      <w:jc w:val="both"/>
    </w:pPr>
    <w:rPr>
      <w:rFonts w:ascii="Calibri" w:eastAsia="Times New Roman" w:hAnsi="Calibri" w:cs="Times New Roman"/>
      <w:szCs w:val="21"/>
      <w:lang w:val="de-DE" w:eastAsia="de-DE"/>
    </w:rPr>
  </w:style>
  <w:style w:type="character" w:customStyle="1" w:styleId="Heading1Text">
    <w:name w:val="Heading 1 Text"/>
    <w:uiPriority w:val="2"/>
    <w:qFormat/>
    <w:rsid w:val="00530C31"/>
    <w:rPr>
      <w:rFonts w:ascii="Calibri" w:hAnsi="Calibri"/>
      <w:b/>
      <w:caps/>
      <w:smallCaps w:val="0"/>
      <w:strike w:val="0"/>
      <w:dstrike w:val="0"/>
      <w:vanish w:val="0"/>
      <w:sz w:val="22"/>
      <w:vertAlign w:val="baseline"/>
    </w:rPr>
  </w:style>
  <w:style w:type="character" w:customStyle="1" w:styleId="Body1Zchn">
    <w:name w:val="Body 1 Zchn"/>
    <w:basedOn w:val="DefaultParagraphFont"/>
    <w:link w:val="Body1"/>
    <w:uiPriority w:val="1"/>
    <w:rsid w:val="00530C31"/>
    <w:rPr>
      <w:rFonts w:ascii="Calibri" w:eastAsia="Times New Roman" w:hAnsi="Calibri" w:cs="Times New Roman"/>
      <w:szCs w:val="21"/>
      <w:lang w:val="de-DE" w:eastAsia="de-DE"/>
    </w:rPr>
  </w:style>
  <w:style w:type="character" w:styleId="CommentReference">
    <w:name w:val="annotation reference"/>
    <w:basedOn w:val="DefaultParagraphFont"/>
    <w:semiHidden/>
    <w:unhideWhenUsed/>
    <w:rsid w:val="00530C31"/>
    <w:rPr>
      <w:sz w:val="16"/>
      <w:szCs w:val="16"/>
    </w:rPr>
  </w:style>
  <w:style w:type="paragraph" w:styleId="CommentText">
    <w:name w:val="annotation text"/>
    <w:basedOn w:val="Normal"/>
    <w:link w:val="CommentTextChar"/>
    <w:unhideWhenUsed/>
    <w:rsid w:val="00530C31"/>
    <w:pPr>
      <w:spacing w:after="0" w:line="240" w:lineRule="auto"/>
      <w:jc w:val="both"/>
    </w:pPr>
    <w:rPr>
      <w:rFonts w:ascii="Calibri" w:eastAsia="Times New Roman" w:hAnsi="Calibri" w:cs="Times New Roman"/>
      <w:sz w:val="20"/>
      <w:szCs w:val="20"/>
      <w:lang w:val="de-DE" w:eastAsia="de-DE"/>
    </w:rPr>
  </w:style>
  <w:style w:type="character" w:customStyle="1" w:styleId="CommentTextChar">
    <w:name w:val="Comment Text Char"/>
    <w:basedOn w:val="DefaultParagraphFont"/>
    <w:link w:val="CommentText"/>
    <w:rsid w:val="00530C31"/>
    <w:rPr>
      <w:rFonts w:ascii="Calibri" w:eastAsia="Times New Roman" w:hAnsi="Calibri" w:cs="Times New Roman"/>
      <w:sz w:val="20"/>
      <w:szCs w:val="20"/>
      <w:lang w:val="de-DE" w:eastAsia="de-DE"/>
    </w:rPr>
  </w:style>
  <w:style w:type="character" w:customStyle="1" w:styleId="Heading1Char">
    <w:name w:val="Heading 1 Char"/>
    <w:basedOn w:val="DefaultParagraphFont"/>
    <w:link w:val="Heading1"/>
    <w:uiPriority w:val="9"/>
    <w:rsid w:val="00B2731D"/>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B2731D"/>
    <w:rPr>
      <w:rFonts w:ascii="Calibri Light" w:hAnsi="Calibri Light" w:cs="Calibri Light"/>
      <w:color w:val="2F5496"/>
      <w:sz w:val="26"/>
      <w:szCs w:val="26"/>
    </w:rPr>
  </w:style>
  <w:style w:type="paragraph" w:customStyle="1" w:styleId="Body2">
    <w:name w:val="Body 2"/>
    <w:basedOn w:val="Body1"/>
    <w:link w:val="Body2Zchn"/>
    <w:uiPriority w:val="1"/>
    <w:qFormat/>
    <w:rsid w:val="00FD6C46"/>
    <w:pPr>
      <w:spacing w:after="60"/>
      <w:ind w:left="709"/>
    </w:pPr>
  </w:style>
  <w:style w:type="character" w:customStyle="1" w:styleId="Body2Zchn">
    <w:name w:val="Body 2 Zchn"/>
    <w:basedOn w:val="Body1Zchn"/>
    <w:link w:val="Body2"/>
    <w:uiPriority w:val="1"/>
    <w:rsid w:val="00FD6C46"/>
    <w:rPr>
      <w:rFonts w:ascii="Calibri" w:eastAsia="Times New Roman" w:hAnsi="Calibri" w:cs="Times New Roman"/>
      <w:szCs w:val="21"/>
      <w:lang w:val="de-DE" w:eastAsia="de-DE"/>
    </w:rPr>
  </w:style>
  <w:style w:type="paragraph" w:styleId="CommentSubject">
    <w:name w:val="annotation subject"/>
    <w:basedOn w:val="CommentText"/>
    <w:next w:val="CommentText"/>
    <w:link w:val="CommentSubjectChar"/>
    <w:uiPriority w:val="99"/>
    <w:semiHidden/>
    <w:unhideWhenUsed/>
    <w:rsid w:val="00DF7E2A"/>
    <w:pPr>
      <w:spacing w:after="160"/>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DF7E2A"/>
    <w:rPr>
      <w:rFonts w:ascii="Calibri" w:eastAsia="Times New Roman" w:hAnsi="Calibri" w:cs="Times New Roman"/>
      <w:b/>
      <w:bCs/>
      <w:sz w:val="20"/>
      <w:szCs w:val="20"/>
      <w:lang w:val="de-DE" w:eastAsia="de-DE"/>
    </w:rPr>
  </w:style>
  <w:style w:type="paragraph" w:customStyle="1" w:styleId="pf0">
    <w:name w:val="pf0"/>
    <w:basedOn w:val="Normal"/>
    <w:rsid w:val="00D53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53A7D"/>
    <w:rPr>
      <w:rFonts w:ascii="Segoe UI" w:hAnsi="Segoe UI" w:cs="Segoe UI" w:hint="default"/>
      <w:sz w:val="18"/>
      <w:szCs w:val="18"/>
    </w:rPr>
  </w:style>
  <w:style w:type="paragraph" w:styleId="Revision">
    <w:name w:val="Revision"/>
    <w:hidden/>
    <w:uiPriority w:val="99"/>
    <w:semiHidden/>
    <w:rsid w:val="00470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731">
      <w:bodyDiv w:val="1"/>
      <w:marLeft w:val="0"/>
      <w:marRight w:val="0"/>
      <w:marTop w:val="0"/>
      <w:marBottom w:val="0"/>
      <w:divBdr>
        <w:top w:val="none" w:sz="0" w:space="0" w:color="auto"/>
        <w:left w:val="none" w:sz="0" w:space="0" w:color="auto"/>
        <w:bottom w:val="none" w:sz="0" w:space="0" w:color="auto"/>
        <w:right w:val="none" w:sz="0" w:space="0" w:color="auto"/>
      </w:divBdr>
      <w:divsChild>
        <w:div w:id="638264699">
          <w:marLeft w:val="0"/>
          <w:marRight w:val="0"/>
          <w:marTop w:val="0"/>
          <w:marBottom w:val="0"/>
          <w:divBdr>
            <w:top w:val="none" w:sz="0" w:space="0" w:color="auto"/>
            <w:left w:val="none" w:sz="0" w:space="0" w:color="auto"/>
            <w:bottom w:val="none" w:sz="0" w:space="0" w:color="auto"/>
            <w:right w:val="none" w:sz="0" w:space="0" w:color="auto"/>
          </w:divBdr>
          <w:divsChild>
            <w:div w:id="1012220767">
              <w:marLeft w:val="0"/>
              <w:marRight w:val="0"/>
              <w:marTop w:val="0"/>
              <w:marBottom w:val="0"/>
              <w:divBdr>
                <w:top w:val="none" w:sz="0" w:space="0" w:color="auto"/>
                <w:left w:val="none" w:sz="0" w:space="0" w:color="auto"/>
                <w:bottom w:val="none" w:sz="0" w:space="0" w:color="auto"/>
                <w:right w:val="none" w:sz="0" w:space="0" w:color="auto"/>
              </w:divBdr>
              <w:divsChild>
                <w:div w:id="20621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3296">
      <w:bodyDiv w:val="1"/>
      <w:marLeft w:val="0"/>
      <w:marRight w:val="0"/>
      <w:marTop w:val="0"/>
      <w:marBottom w:val="0"/>
      <w:divBdr>
        <w:top w:val="none" w:sz="0" w:space="0" w:color="auto"/>
        <w:left w:val="none" w:sz="0" w:space="0" w:color="auto"/>
        <w:bottom w:val="none" w:sz="0" w:space="0" w:color="auto"/>
        <w:right w:val="none" w:sz="0" w:space="0" w:color="auto"/>
      </w:divBdr>
    </w:div>
    <w:div w:id="16139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Borthwick</dc:creator>
  <cp:keywords/>
  <dc:description/>
  <cp:lastModifiedBy>Kevin Bowman</cp:lastModifiedBy>
  <cp:revision>2</cp:revision>
  <cp:lastPrinted>2022-08-21T21:33:00Z</cp:lastPrinted>
  <dcterms:created xsi:type="dcterms:W3CDTF">2022-08-30T17:35:00Z</dcterms:created>
  <dcterms:modified xsi:type="dcterms:W3CDTF">2022-08-30T17:35:00Z</dcterms:modified>
</cp:coreProperties>
</file>