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8B75" w14:textId="04C9CFB7" w:rsidR="00152704" w:rsidRPr="00152704" w:rsidRDefault="00121EFB" w:rsidP="00152704">
      <w:pPr>
        <w:pBdr>
          <w:top w:val="single" w:sz="8" w:space="5" w:color="78A22F"/>
        </w:pBdr>
        <w:spacing w:after="0" w:line="320" w:lineRule="atLeast"/>
        <w:rPr>
          <w:rFonts w:ascii="Cambria" w:eastAsia="Calibri" w:hAnsi="Cambria" w:cs="Times New Roman"/>
          <w:b/>
          <w:sz w:val="36"/>
          <w:szCs w:val="36"/>
          <w:lang w:eastAsia="en-GB"/>
        </w:rPr>
      </w:pPr>
      <w:bookmarkStart w:id="0" w:name="_Hlk530998298"/>
      <w:r w:rsidRPr="00152704">
        <w:rPr>
          <w:rFonts w:ascii="Cambria" w:eastAsia="Times New Roman" w:hAnsi="Cambria" w:cs="Times New Roman"/>
          <w:b/>
          <w:color w:val="78A22F"/>
          <w:sz w:val="36"/>
          <w:szCs w:val="36"/>
          <w:lang w:eastAsia="en-GB"/>
        </w:rPr>
        <w:t>AFME C</w:t>
      </w:r>
      <w:r w:rsidR="00152704" w:rsidRPr="00152704">
        <w:rPr>
          <w:rFonts w:ascii="Cambria" w:eastAsia="Times New Roman" w:hAnsi="Cambria" w:cs="Times New Roman"/>
          <w:b/>
          <w:color w:val="78A22F"/>
          <w:sz w:val="36"/>
          <w:szCs w:val="36"/>
          <w:lang w:eastAsia="en-GB"/>
        </w:rPr>
        <w:t xml:space="preserve">onsultation Response: </w:t>
      </w:r>
      <w:r w:rsidRPr="00152704">
        <w:rPr>
          <w:rFonts w:ascii="Cambria" w:eastAsia="Times New Roman" w:hAnsi="Cambria" w:cs="Times New Roman"/>
          <w:b/>
          <w:color w:val="78A22F"/>
          <w:sz w:val="36"/>
          <w:szCs w:val="36"/>
          <w:lang w:eastAsia="en-GB"/>
        </w:rPr>
        <w:t xml:space="preserve"> </w:t>
      </w:r>
      <w:r w:rsidR="00152704" w:rsidRPr="00152704">
        <w:rPr>
          <w:b/>
          <w:sz w:val="36"/>
          <w:szCs w:val="36"/>
        </w:rPr>
        <w:t xml:space="preserve">EBA consultation regarding the supervisory handbook </w:t>
      </w:r>
      <w:r w:rsidR="00152704" w:rsidRPr="00152704">
        <w:rPr>
          <w:rStyle w:val="Strong"/>
          <w:bCs w:val="0"/>
          <w:color w:val="000000"/>
          <w:sz w:val="36"/>
          <w:szCs w:val="36"/>
        </w:rPr>
        <w:t xml:space="preserve">for the validation of internal </w:t>
      </w:r>
      <w:r w:rsidR="00D47E62" w:rsidRPr="00152704">
        <w:rPr>
          <w:rStyle w:val="Strong"/>
          <w:bCs w:val="0"/>
          <w:color w:val="000000"/>
          <w:sz w:val="36"/>
          <w:szCs w:val="36"/>
        </w:rPr>
        <w:t>ratings-based</w:t>
      </w:r>
      <w:r w:rsidR="00152704" w:rsidRPr="00152704">
        <w:rPr>
          <w:rStyle w:val="Strong"/>
          <w:bCs w:val="0"/>
          <w:color w:val="000000"/>
          <w:sz w:val="36"/>
          <w:szCs w:val="36"/>
        </w:rPr>
        <w:t xml:space="preserve"> systems</w:t>
      </w:r>
    </w:p>
    <w:p w14:paraId="49334417" w14:textId="1FDC9816" w:rsidR="00121EFB" w:rsidRPr="00260BA0" w:rsidRDefault="00D36A64" w:rsidP="00121EFB">
      <w:pPr>
        <w:pBdr>
          <w:bottom w:val="single" w:sz="8" w:space="5" w:color="78A22F"/>
        </w:pBdr>
        <w:spacing w:after="0" w:line="260" w:lineRule="atLeast"/>
        <w:rPr>
          <w:rFonts w:ascii="Cambria" w:eastAsia="Calibri" w:hAnsi="Cambria" w:cs="Times New Roman"/>
          <w:lang w:eastAsia="en-GB"/>
        </w:rPr>
      </w:pPr>
      <w:r>
        <w:rPr>
          <w:bCs/>
          <w:color w:val="000000" w:themeColor="text1"/>
        </w:rPr>
        <w:t xml:space="preserve">October </w:t>
      </w:r>
      <w:r w:rsidR="009C5268" w:rsidRPr="00260BA0">
        <w:rPr>
          <w:bCs/>
          <w:color w:val="000000" w:themeColor="text1"/>
        </w:rPr>
        <w:t>2022</w:t>
      </w:r>
    </w:p>
    <w:p w14:paraId="2AA702A8" w14:textId="77777777" w:rsidR="00D376F5" w:rsidRDefault="00D376F5" w:rsidP="00355B3E">
      <w:pPr>
        <w:spacing w:after="120"/>
        <w:rPr>
          <w:b/>
          <w:bCs/>
          <w:sz w:val="22"/>
          <w:szCs w:val="22"/>
          <w:lang w:eastAsia="en-GB"/>
        </w:rPr>
      </w:pPr>
    </w:p>
    <w:bookmarkEnd w:id="0"/>
    <w:p w14:paraId="6E7265AF" w14:textId="1F0B1D53" w:rsidR="00311625" w:rsidRPr="00D36A64" w:rsidRDefault="00311625" w:rsidP="00003882">
      <w:pPr>
        <w:spacing w:after="120"/>
        <w:jc w:val="both"/>
        <w:rPr>
          <w:i/>
          <w:iCs/>
          <w:sz w:val="22"/>
          <w:szCs w:val="22"/>
        </w:rPr>
      </w:pPr>
      <w:r w:rsidRPr="00D36A64">
        <w:rPr>
          <w:i/>
          <w:iCs/>
          <w:sz w:val="22"/>
          <w:szCs w:val="22"/>
        </w:rPr>
        <w:t>Th</w:t>
      </w:r>
      <w:r w:rsidR="00D36A64" w:rsidRPr="00D36A64">
        <w:rPr>
          <w:i/>
          <w:iCs/>
          <w:sz w:val="22"/>
          <w:szCs w:val="22"/>
        </w:rPr>
        <w:t>e</w:t>
      </w:r>
      <w:r w:rsidRPr="00D36A64">
        <w:rPr>
          <w:i/>
          <w:iCs/>
          <w:sz w:val="22"/>
          <w:szCs w:val="22"/>
        </w:rPr>
        <w:t xml:space="preserve"> validation handbook makes multiple references to the different regulatory products of the so called ‘EBA repair program’. Institutions are welcomed to provide feedback on whether there are specific aspects or problems that have arisen in practice on any of the topics described in the handbook in connection with the EBA repair program. </w:t>
      </w:r>
    </w:p>
    <w:p w14:paraId="6827F0CD" w14:textId="77777777" w:rsidR="00D36A64" w:rsidRDefault="00FC2D76" w:rsidP="00B46B65">
      <w:pPr>
        <w:spacing w:after="120"/>
        <w:jc w:val="both"/>
        <w:rPr>
          <w:b/>
          <w:bCs/>
          <w:sz w:val="22"/>
          <w:szCs w:val="22"/>
        </w:rPr>
      </w:pPr>
      <w:r w:rsidRPr="0049524A">
        <w:rPr>
          <w:b/>
          <w:bCs/>
          <w:sz w:val="22"/>
          <w:szCs w:val="22"/>
        </w:rPr>
        <w:t xml:space="preserve">General Comments: </w:t>
      </w:r>
    </w:p>
    <w:p w14:paraId="383D911A" w14:textId="1D1004EA" w:rsidR="00FC2D76" w:rsidRDefault="00FC2D76" w:rsidP="00B46B65">
      <w:pPr>
        <w:spacing w:after="120"/>
        <w:jc w:val="both"/>
        <w:rPr>
          <w:sz w:val="22"/>
          <w:szCs w:val="22"/>
        </w:rPr>
      </w:pPr>
      <w:r w:rsidRPr="0049524A">
        <w:rPr>
          <w:sz w:val="22"/>
          <w:szCs w:val="22"/>
        </w:rPr>
        <w:t xml:space="preserve">AFME welcomes the opportunity to respond to the EBA consultation on the supervisory handbook for the validation of internal </w:t>
      </w:r>
      <w:r w:rsidR="00D47E62" w:rsidRPr="0049524A">
        <w:rPr>
          <w:sz w:val="22"/>
          <w:szCs w:val="22"/>
        </w:rPr>
        <w:t>ratings-based</w:t>
      </w:r>
      <w:r w:rsidRPr="0049524A">
        <w:rPr>
          <w:sz w:val="22"/>
          <w:szCs w:val="22"/>
        </w:rPr>
        <w:t xml:space="preserve"> system</w:t>
      </w:r>
      <w:r w:rsidR="00D0140E">
        <w:rPr>
          <w:sz w:val="22"/>
          <w:szCs w:val="22"/>
        </w:rPr>
        <w:t>s. We would note the following comments which do not directly fall into the questions pos</w:t>
      </w:r>
      <w:r w:rsidR="007201CE">
        <w:rPr>
          <w:sz w:val="22"/>
          <w:szCs w:val="22"/>
        </w:rPr>
        <w:t>ed by the consultation:</w:t>
      </w:r>
    </w:p>
    <w:p w14:paraId="5C883B4A" w14:textId="77777777" w:rsidR="00474006" w:rsidRPr="00B07946" w:rsidRDefault="00474006" w:rsidP="00474006">
      <w:pPr>
        <w:pStyle w:val="ListParagraph"/>
        <w:numPr>
          <w:ilvl w:val="0"/>
          <w:numId w:val="27"/>
        </w:numPr>
        <w:spacing w:after="120" w:line="276" w:lineRule="auto"/>
        <w:jc w:val="both"/>
        <w:rPr>
          <w:rFonts w:asciiTheme="majorHAnsi" w:hAnsiTheme="majorHAnsi" w:cstheme="minorBidi"/>
        </w:rPr>
      </w:pPr>
      <w:r w:rsidRPr="0A0CF55C">
        <w:rPr>
          <w:rFonts w:asciiTheme="majorHAnsi" w:hAnsiTheme="majorHAnsi" w:cstheme="minorBidi"/>
        </w:rPr>
        <w:t xml:space="preserve">With regard to </w:t>
      </w:r>
      <w:r w:rsidRPr="0A0CF55C">
        <w:rPr>
          <w:rFonts w:asciiTheme="majorHAnsi" w:eastAsia="Times New Roman" w:hAnsiTheme="majorHAnsi" w:cstheme="minorBidi"/>
          <w:lang w:val="en-US"/>
        </w:rPr>
        <w:t>paragraph 11 (page 8)</w:t>
      </w:r>
      <w:r w:rsidRPr="0A0CF55C">
        <w:rPr>
          <w:rStyle w:val="FootnoteReference"/>
          <w:rFonts w:asciiTheme="majorHAnsi" w:eastAsia="Times New Roman" w:hAnsiTheme="majorHAnsi" w:cstheme="minorBidi"/>
          <w:lang w:val="en-US"/>
        </w:rPr>
        <w:footnoteReference w:id="2"/>
      </w:r>
      <w:r w:rsidRPr="0A0CF55C">
        <w:rPr>
          <w:rFonts w:asciiTheme="majorHAnsi" w:eastAsia="Times New Roman" w:hAnsiTheme="majorHAnsi" w:cstheme="minorBidi"/>
          <w:i/>
          <w:iCs/>
          <w:lang w:val="en-US"/>
        </w:rPr>
        <w:t xml:space="preserve"> </w:t>
      </w:r>
      <w:r w:rsidRPr="00F83ACF">
        <w:rPr>
          <w:rFonts w:asciiTheme="majorHAnsi" w:eastAsia="Times New Roman" w:hAnsiTheme="majorHAnsi" w:cstheme="minorBidi"/>
          <w:lang w:val="en-US"/>
        </w:rPr>
        <w:t>we as</w:t>
      </w:r>
      <w:r w:rsidRPr="0A0CF55C">
        <w:rPr>
          <w:rFonts w:asciiTheme="majorHAnsi" w:eastAsia="Times New Roman" w:hAnsiTheme="majorHAnsi" w:cstheme="minorBidi"/>
          <w:lang w:val="en-US"/>
        </w:rPr>
        <w:t>sume that the adequate tests performed within RoE (and Model Monitoring) are not expected to be repeated for the subsequent validation</w:t>
      </w:r>
      <w:r>
        <w:rPr>
          <w:rFonts w:asciiTheme="majorHAnsi" w:eastAsia="Times New Roman" w:hAnsiTheme="majorHAnsi" w:cstheme="minorBidi"/>
          <w:lang w:val="en-US"/>
        </w:rPr>
        <w:t xml:space="preserve">. For example on </w:t>
      </w:r>
      <w:r w:rsidRPr="0A0CF55C">
        <w:rPr>
          <w:rFonts w:asciiTheme="majorHAnsi" w:eastAsia="Times New Roman" w:hAnsiTheme="majorHAnsi" w:cstheme="minorBidi"/>
          <w:lang w:val="en-US"/>
        </w:rPr>
        <w:t xml:space="preserve">p.36, Article 42: </w:t>
      </w:r>
      <w:r>
        <w:rPr>
          <w:rFonts w:asciiTheme="majorHAnsi" w:eastAsia="Times New Roman" w:hAnsiTheme="majorHAnsi" w:cstheme="minorBidi"/>
          <w:lang w:val="en-US"/>
        </w:rPr>
        <w:t xml:space="preserve">the requirement to </w:t>
      </w:r>
      <w:r w:rsidRPr="0A0CF55C">
        <w:rPr>
          <w:rFonts w:asciiTheme="majorHAnsi" w:eastAsia="Times New Roman" w:hAnsiTheme="majorHAnsi" w:cstheme="minorBidi"/>
          <w:lang w:val="en-US"/>
        </w:rPr>
        <w:t>‘Assess the materiality of default rating assignments in application sample [number/RWA]’ would not be performed in validation in case already part of RoE/monitoring. It would be useful if the final handbook clarified this.</w:t>
      </w:r>
    </w:p>
    <w:p w14:paraId="71577AFE" w14:textId="77777777" w:rsidR="00474006" w:rsidRPr="00664B6B" w:rsidRDefault="00474006" w:rsidP="00474006">
      <w:pPr>
        <w:pStyle w:val="ListParagraph"/>
        <w:numPr>
          <w:ilvl w:val="0"/>
          <w:numId w:val="27"/>
        </w:numPr>
        <w:spacing w:line="276" w:lineRule="auto"/>
        <w:jc w:val="both"/>
        <w:rPr>
          <w:rFonts w:ascii="Cambria" w:eastAsia="Times New Roman" w:hAnsi="Cambria"/>
          <w:lang w:val="en-US"/>
        </w:rPr>
      </w:pPr>
      <w:r w:rsidRPr="0A0CF55C">
        <w:rPr>
          <w:rFonts w:ascii="Cambria" w:hAnsi="Cambria"/>
          <w:lang w:val="en-US"/>
        </w:rPr>
        <w:t>Communication of the findings and recommendations (Paragraph 19)</w:t>
      </w:r>
      <w:r w:rsidRPr="00C918C6">
        <w:rPr>
          <w:rStyle w:val="FootnoteReference"/>
          <w:rFonts w:ascii="Cambria" w:hAnsi="Cambria"/>
          <w:lang w:val="en-US"/>
        </w:rPr>
        <w:footnoteReference w:id="3"/>
      </w:r>
      <w:r w:rsidRPr="0A0CF55C">
        <w:rPr>
          <w:rFonts w:ascii="Cambria" w:hAnsi="Cambria"/>
          <w:lang w:val="en-US"/>
        </w:rPr>
        <w:t>:</w:t>
      </w:r>
      <w:r w:rsidRPr="0A0CF55C">
        <w:rPr>
          <w:rFonts w:ascii="Cambria" w:hAnsi="Cambria"/>
          <w:b/>
          <w:bCs/>
          <w:lang w:val="en-US"/>
        </w:rPr>
        <w:t xml:space="preserve"> </w:t>
      </w:r>
      <w:r w:rsidRPr="0A0CF55C">
        <w:rPr>
          <w:rFonts w:ascii="Cambria" w:hAnsi="Cambria"/>
          <w:lang w:val="en-US"/>
        </w:rPr>
        <w:t xml:space="preserve">While the requirement that Internal Validation communicates its outcomes through the issuing of findings and recommendations is well established in current regulations and practice, </w:t>
      </w:r>
      <w:r>
        <w:rPr>
          <w:rFonts w:ascii="Cambria" w:hAnsi="Cambria"/>
          <w:lang w:val="en-US"/>
        </w:rPr>
        <w:t>we would welcome clarity on how</w:t>
      </w:r>
      <w:r w:rsidRPr="0A0CF55C">
        <w:rPr>
          <w:rFonts w:ascii="Cambria" w:hAnsi="Cambria"/>
          <w:lang w:val="en-US"/>
        </w:rPr>
        <w:t xml:space="preserve"> the expectation of issuing recommendations differ</w:t>
      </w:r>
      <w:r>
        <w:rPr>
          <w:rFonts w:ascii="Cambria" w:hAnsi="Cambria"/>
          <w:lang w:val="en-US"/>
        </w:rPr>
        <w:t>s</w:t>
      </w:r>
      <w:r w:rsidRPr="0A0CF55C">
        <w:rPr>
          <w:rFonts w:ascii="Cambria" w:hAnsi="Cambria"/>
          <w:lang w:val="en-US"/>
        </w:rPr>
        <w:t xml:space="preserve"> from advising</w:t>
      </w:r>
      <w:r>
        <w:rPr>
          <w:rFonts w:ascii="Cambria" w:hAnsi="Cambria"/>
          <w:lang w:val="en-US"/>
        </w:rPr>
        <w:t xml:space="preserve"> the</w:t>
      </w:r>
      <w:r w:rsidRPr="0A0CF55C">
        <w:rPr>
          <w:rFonts w:ascii="Cambria" w:hAnsi="Cambria"/>
          <w:lang w:val="en-US"/>
        </w:rPr>
        <w:t xml:space="preserve"> CRCU</w:t>
      </w:r>
      <w:r>
        <w:rPr>
          <w:rFonts w:ascii="Cambria" w:hAnsi="Cambria"/>
          <w:lang w:val="en-US"/>
        </w:rPr>
        <w:t xml:space="preserve"> (Credit risk control unit)</w:t>
      </w:r>
      <w:r w:rsidRPr="0A0CF55C">
        <w:rPr>
          <w:rFonts w:ascii="Cambria" w:hAnsi="Cambria"/>
          <w:lang w:val="en-US"/>
        </w:rPr>
        <w:t xml:space="preserve">. We would ask EBA to clarify this point, which we interpret as if the </w:t>
      </w:r>
      <w:r>
        <w:rPr>
          <w:rFonts w:ascii="Cambria" w:hAnsi="Cambria"/>
          <w:lang w:val="en-US"/>
        </w:rPr>
        <w:t xml:space="preserve">Internal Validation </w:t>
      </w:r>
      <w:r w:rsidRPr="0A0CF55C">
        <w:rPr>
          <w:rFonts w:ascii="Cambria" w:hAnsi="Cambria"/>
          <w:lang w:val="en-US"/>
        </w:rPr>
        <w:t>should not have an advisory role towards the CRCU when the letter</w:t>
      </w:r>
      <w:r>
        <w:rPr>
          <w:rFonts w:ascii="Cambria" w:hAnsi="Cambria"/>
          <w:lang w:val="en-US"/>
        </w:rPr>
        <w:t xml:space="preserve"> </w:t>
      </w:r>
      <w:r w:rsidRPr="0A0CF55C">
        <w:rPr>
          <w:rFonts w:ascii="Cambria" w:hAnsi="Cambria"/>
          <w:lang w:val="en-US"/>
        </w:rPr>
        <w:t xml:space="preserve">one is addressing the recommendation issued by </w:t>
      </w:r>
      <w:r>
        <w:rPr>
          <w:rFonts w:ascii="Cambria" w:hAnsi="Cambria"/>
          <w:lang w:val="en-US"/>
        </w:rPr>
        <w:t>Internal Validation</w:t>
      </w:r>
      <w:r w:rsidRPr="0A0CF55C">
        <w:rPr>
          <w:rFonts w:ascii="Cambria" w:hAnsi="Cambria"/>
          <w:lang w:val="en-US"/>
        </w:rPr>
        <w:t xml:space="preserve">. </w:t>
      </w:r>
      <w:r>
        <w:rPr>
          <w:rFonts w:ascii="Cambria" w:hAnsi="Cambria"/>
          <w:lang w:val="en-US"/>
        </w:rPr>
        <w:t>W</w:t>
      </w:r>
      <w:r w:rsidRPr="0A0CF55C">
        <w:rPr>
          <w:rFonts w:ascii="Cambria" w:hAnsi="Cambria"/>
          <w:lang w:val="en-US"/>
        </w:rPr>
        <w:t xml:space="preserve">e believe that it is a good practice that Internal Validation is aware of the implication of issues detected to the point of being able to propose solutions for improvement as non-binding suggestions. Furthermore, in the recent IMI, </w:t>
      </w:r>
      <w:r>
        <w:rPr>
          <w:rFonts w:ascii="Cambria" w:hAnsi="Cambria"/>
          <w:lang w:val="en-US"/>
        </w:rPr>
        <w:t>banks have been incentivised</w:t>
      </w:r>
      <w:r w:rsidRPr="0A0CF55C">
        <w:rPr>
          <w:rFonts w:ascii="Cambria" w:hAnsi="Cambria"/>
          <w:lang w:val="en-US"/>
        </w:rPr>
        <w:t xml:space="preserve"> by the ECB to improve </w:t>
      </w:r>
      <w:r>
        <w:rPr>
          <w:rFonts w:ascii="Cambria" w:hAnsi="Cambria"/>
          <w:lang w:val="en-US"/>
        </w:rPr>
        <w:t>their</w:t>
      </w:r>
      <w:r w:rsidRPr="0A0CF55C">
        <w:rPr>
          <w:rFonts w:ascii="Cambria" w:hAnsi="Cambria"/>
          <w:lang w:val="en-US"/>
        </w:rPr>
        <w:t xml:space="preserve"> validation handbooks introducing, in case of detected deficiencies, the expected remedial actions to be taken by CRCU. </w:t>
      </w:r>
    </w:p>
    <w:p w14:paraId="00DAA357" w14:textId="287DE014" w:rsidR="000C1AD7" w:rsidRPr="00A76253" w:rsidRDefault="00AD2B6A" w:rsidP="00A76253">
      <w:pPr>
        <w:pStyle w:val="ListParagraph"/>
        <w:numPr>
          <w:ilvl w:val="0"/>
          <w:numId w:val="27"/>
        </w:numPr>
        <w:spacing w:after="120" w:line="276" w:lineRule="auto"/>
        <w:jc w:val="both"/>
        <w:rPr>
          <w:rFonts w:asciiTheme="majorHAnsi" w:hAnsiTheme="majorHAnsi" w:cstheme="minorBidi"/>
        </w:rPr>
      </w:pPr>
      <w:r w:rsidRPr="00B46B65">
        <w:rPr>
          <w:rFonts w:asciiTheme="majorHAnsi" w:hAnsiTheme="majorHAnsi" w:cstheme="minorBidi"/>
        </w:rPr>
        <w:t xml:space="preserve">We would appreciate further </w:t>
      </w:r>
      <w:r w:rsidR="006937D3" w:rsidRPr="695B8F44">
        <w:rPr>
          <w:rFonts w:asciiTheme="majorHAnsi" w:hAnsiTheme="majorHAnsi" w:cstheme="minorBidi"/>
        </w:rPr>
        <w:t>clarity</w:t>
      </w:r>
      <w:r w:rsidRPr="00B46B65">
        <w:rPr>
          <w:rFonts w:asciiTheme="majorHAnsi" w:hAnsiTheme="majorHAnsi" w:cstheme="minorBidi"/>
        </w:rPr>
        <w:t xml:space="preserve"> regarding the intra-group outsourcing (</w:t>
      </w:r>
      <w:r w:rsidR="00DD2250" w:rsidRPr="695B8F44">
        <w:rPr>
          <w:rFonts w:asciiTheme="majorHAnsi" w:hAnsiTheme="majorHAnsi" w:cstheme="minorBidi"/>
        </w:rPr>
        <w:t xml:space="preserve">paragraphs </w:t>
      </w:r>
      <w:r w:rsidRPr="00B46B65">
        <w:rPr>
          <w:rFonts w:asciiTheme="majorHAnsi" w:hAnsiTheme="majorHAnsi" w:cstheme="minorBidi"/>
        </w:rPr>
        <w:t>26 &amp; 150</w:t>
      </w:r>
      <w:r w:rsidR="00D47E62" w:rsidRPr="00B46B65">
        <w:rPr>
          <w:rFonts w:asciiTheme="majorHAnsi" w:hAnsiTheme="majorHAnsi" w:cstheme="minorBidi"/>
        </w:rPr>
        <w:t>) when</w:t>
      </w:r>
      <w:r w:rsidRPr="00B46B65">
        <w:rPr>
          <w:rFonts w:asciiTheme="majorHAnsi" w:hAnsiTheme="majorHAnsi" w:cstheme="minorBidi"/>
        </w:rPr>
        <w:t xml:space="preserve"> it comes to Rating Systems approved to be used by local branches. </w:t>
      </w:r>
      <w:r w:rsidR="00D47E62" w:rsidRPr="00B46B65">
        <w:rPr>
          <w:rFonts w:asciiTheme="majorHAnsi" w:hAnsiTheme="majorHAnsi" w:cstheme="minorBidi"/>
        </w:rPr>
        <w:t>We understand</w:t>
      </w:r>
      <w:r w:rsidRPr="00B46B65">
        <w:rPr>
          <w:rFonts w:asciiTheme="majorHAnsi" w:hAnsiTheme="majorHAnsi" w:cstheme="minorBidi"/>
        </w:rPr>
        <w:t xml:space="preserve"> that the EBA expects the validation of such rating systems to be carried out by the local unit located in the branch (even if outside EU). </w:t>
      </w:r>
      <w:r w:rsidR="60DCBE9D" w:rsidRPr="695B8F44">
        <w:rPr>
          <w:rFonts w:asciiTheme="majorHAnsi" w:hAnsiTheme="majorHAnsi" w:cstheme="minorBidi"/>
        </w:rPr>
        <w:t xml:space="preserve">Validation by a local </w:t>
      </w:r>
      <w:r w:rsidR="00D47E62" w:rsidRPr="695B8F44">
        <w:rPr>
          <w:rFonts w:asciiTheme="majorHAnsi" w:hAnsiTheme="majorHAnsi" w:cstheme="minorBidi"/>
        </w:rPr>
        <w:t xml:space="preserve">unit </w:t>
      </w:r>
      <w:r w:rsidR="00D47E62" w:rsidRPr="00B46B65">
        <w:rPr>
          <w:rFonts w:asciiTheme="majorHAnsi" w:hAnsiTheme="majorHAnsi" w:cstheme="minorBidi"/>
        </w:rPr>
        <w:t>is</w:t>
      </w:r>
      <w:r w:rsidRPr="00A76253">
        <w:rPr>
          <w:rFonts w:asciiTheme="majorHAnsi" w:hAnsiTheme="majorHAnsi" w:cstheme="minorBidi"/>
        </w:rPr>
        <w:t xml:space="preserve"> not considered </w:t>
      </w:r>
      <w:r w:rsidR="43B98003" w:rsidRPr="00A76253">
        <w:rPr>
          <w:rFonts w:asciiTheme="majorHAnsi" w:hAnsiTheme="majorHAnsi" w:cstheme="minorBidi"/>
        </w:rPr>
        <w:t>a</w:t>
      </w:r>
      <w:r w:rsidR="77515547" w:rsidRPr="00A76253">
        <w:rPr>
          <w:rFonts w:asciiTheme="majorHAnsi" w:hAnsiTheme="majorHAnsi" w:cstheme="minorBidi"/>
        </w:rPr>
        <w:t>s</w:t>
      </w:r>
      <w:r w:rsidRPr="00A76253">
        <w:rPr>
          <w:rFonts w:asciiTheme="majorHAnsi" w:hAnsiTheme="majorHAnsi" w:cstheme="minorBidi"/>
        </w:rPr>
        <w:t xml:space="preserve"> outso</w:t>
      </w:r>
      <w:r w:rsidR="007C7AED" w:rsidRPr="00A76253">
        <w:rPr>
          <w:rFonts w:asciiTheme="majorHAnsi" w:hAnsiTheme="majorHAnsi" w:cstheme="minorBidi"/>
        </w:rPr>
        <w:t>u</w:t>
      </w:r>
      <w:r w:rsidRPr="00A76253">
        <w:rPr>
          <w:rFonts w:asciiTheme="majorHAnsi" w:hAnsiTheme="majorHAnsi" w:cstheme="minorBidi"/>
        </w:rPr>
        <w:t>rcing even when the outcome of the Rating System is used to calculate the RWA at consolidated level</w:t>
      </w:r>
      <w:r w:rsidR="46886607" w:rsidRPr="00A76253">
        <w:rPr>
          <w:rFonts w:asciiTheme="majorHAnsi" w:hAnsiTheme="majorHAnsi"/>
        </w:rPr>
        <w:t xml:space="preserve">, </w:t>
      </w:r>
      <w:r w:rsidR="009D2C8E" w:rsidRPr="00A76253">
        <w:rPr>
          <w:rFonts w:asciiTheme="majorHAnsi" w:hAnsiTheme="majorHAnsi"/>
        </w:rPr>
        <w:t>while some</w:t>
      </w:r>
      <w:r w:rsidRPr="00A76253">
        <w:rPr>
          <w:rFonts w:asciiTheme="majorHAnsi" w:hAnsiTheme="majorHAnsi"/>
        </w:rPr>
        <w:t xml:space="preserve"> validation </w:t>
      </w:r>
      <w:r w:rsidR="43B98003" w:rsidRPr="00A76253">
        <w:rPr>
          <w:rFonts w:asciiTheme="majorHAnsi" w:hAnsiTheme="majorHAnsi"/>
        </w:rPr>
        <w:t>work</w:t>
      </w:r>
      <w:r w:rsidRPr="00A76253">
        <w:rPr>
          <w:rFonts w:asciiTheme="majorHAnsi" w:hAnsiTheme="majorHAnsi"/>
        </w:rPr>
        <w:t xml:space="preserve"> performed </w:t>
      </w:r>
      <w:r w:rsidR="5FA6CB2B" w:rsidRPr="00A76253">
        <w:rPr>
          <w:rFonts w:asciiTheme="majorHAnsi" w:hAnsiTheme="majorHAnsi"/>
        </w:rPr>
        <w:t>by</w:t>
      </w:r>
      <w:r w:rsidRPr="00A76253">
        <w:rPr>
          <w:rFonts w:asciiTheme="majorHAnsi" w:hAnsiTheme="majorHAnsi"/>
        </w:rPr>
        <w:t xml:space="preserve"> the holding (in EU) it is considered </w:t>
      </w:r>
      <w:r w:rsidR="43B98003" w:rsidRPr="00A76253">
        <w:rPr>
          <w:rFonts w:asciiTheme="majorHAnsi" w:hAnsiTheme="majorHAnsi"/>
        </w:rPr>
        <w:t>a</w:t>
      </w:r>
      <w:r w:rsidR="2DF42190" w:rsidRPr="00A76253">
        <w:rPr>
          <w:rFonts w:asciiTheme="majorHAnsi" w:hAnsiTheme="majorHAnsi"/>
        </w:rPr>
        <w:t>s</w:t>
      </w:r>
      <w:r w:rsidRPr="00A76253">
        <w:rPr>
          <w:rFonts w:asciiTheme="majorHAnsi" w:hAnsiTheme="majorHAnsi"/>
        </w:rPr>
        <w:t xml:space="preserve"> out</w:t>
      </w:r>
      <w:r w:rsidR="007C7AED" w:rsidRPr="00A76253">
        <w:rPr>
          <w:rFonts w:asciiTheme="majorHAnsi" w:hAnsiTheme="majorHAnsi"/>
        </w:rPr>
        <w:t>sou</w:t>
      </w:r>
      <w:r w:rsidRPr="00A76253">
        <w:rPr>
          <w:rFonts w:asciiTheme="majorHAnsi" w:hAnsiTheme="majorHAnsi"/>
        </w:rPr>
        <w:t>rcing</w:t>
      </w:r>
      <w:r w:rsidR="00FF06DF" w:rsidRPr="00A76253">
        <w:rPr>
          <w:rFonts w:asciiTheme="majorHAnsi" w:hAnsiTheme="majorHAnsi"/>
        </w:rPr>
        <w:t>.</w:t>
      </w:r>
    </w:p>
    <w:p w14:paraId="7649C879" w14:textId="1369A7DD" w:rsidR="00632711" w:rsidRPr="00474006" w:rsidRDefault="00632711" w:rsidP="00474006">
      <w:pPr>
        <w:pStyle w:val="ListParagraph"/>
        <w:numPr>
          <w:ilvl w:val="0"/>
          <w:numId w:val="27"/>
        </w:numPr>
        <w:spacing w:line="276" w:lineRule="auto"/>
        <w:jc w:val="both"/>
        <w:rPr>
          <w:rFonts w:ascii="Cambria" w:hAnsi="Cambria"/>
          <w:lang w:val="en-US"/>
        </w:rPr>
      </w:pPr>
      <w:r>
        <w:rPr>
          <w:rFonts w:ascii="Cambria" w:hAnsi="Cambria"/>
          <w:lang w:val="en-US"/>
        </w:rPr>
        <w:t>In this same vein, w</w:t>
      </w:r>
      <w:r w:rsidRPr="00C918C6">
        <w:rPr>
          <w:rFonts w:ascii="Cambria" w:hAnsi="Cambria"/>
          <w:lang w:val="en-US"/>
        </w:rPr>
        <w:t xml:space="preserve">e would support greater materiality and proportionality to be introduced for the requirements related to introducing a local validation function in case of banking </w:t>
      </w:r>
      <w:r w:rsidR="00A76253">
        <w:rPr>
          <w:rFonts w:ascii="Cambria" w:hAnsi="Cambria"/>
          <w:lang w:val="en-US"/>
        </w:rPr>
        <w:t>g</w:t>
      </w:r>
      <w:r w:rsidRPr="00C918C6">
        <w:rPr>
          <w:rFonts w:ascii="Cambria" w:hAnsi="Cambria"/>
          <w:lang w:val="en-US"/>
        </w:rPr>
        <w:t xml:space="preserve">roups where the models are developed and validated in a </w:t>
      </w:r>
      <w:r w:rsidRPr="695B8F44">
        <w:rPr>
          <w:rFonts w:ascii="Cambria" w:hAnsi="Cambria"/>
          <w:lang w:val="en-US"/>
        </w:rPr>
        <w:t>centrali</w:t>
      </w:r>
      <w:r w:rsidR="09802CA8" w:rsidRPr="695B8F44">
        <w:rPr>
          <w:rFonts w:ascii="Cambria" w:hAnsi="Cambria"/>
          <w:lang w:val="en-US"/>
        </w:rPr>
        <w:t>s</w:t>
      </w:r>
      <w:r w:rsidRPr="695B8F44">
        <w:rPr>
          <w:rFonts w:ascii="Cambria" w:hAnsi="Cambria"/>
          <w:lang w:val="en-US"/>
        </w:rPr>
        <w:t>ed</w:t>
      </w:r>
      <w:r w:rsidRPr="00C918C6">
        <w:rPr>
          <w:rFonts w:ascii="Cambria" w:hAnsi="Cambria"/>
          <w:lang w:val="en-US"/>
        </w:rPr>
        <w:t xml:space="preserve"> manner on the whole group portfolio, especially in </w:t>
      </w:r>
      <w:r w:rsidRPr="00C918C6">
        <w:rPr>
          <w:rFonts w:ascii="Cambria" w:hAnsi="Cambria"/>
          <w:lang w:val="en-US"/>
        </w:rPr>
        <w:lastRenderedPageBreak/>
        <w:t>case</w:t>
      </w:r>
      <w:r w:rsidR="009405A8">
        <w:rPr>
          <w:rFonts w:ascii="Cambria" w:hAnsi="Cambria"/>
          <w:lang w:val="en-US"/>
        </w:rPr>
        <w:t>s</w:t>
      </w:r>
      <w:r w:rsidRPr="00C918C6">
        <w:rPr>
          <w:rFonts w:ascii="Cambria" w:hAnsi="Cambria"/>
          <w:lang w:val="en-US"/>
        </w:rPr>
        <w:t xml:space="preserve"> when subsidiaries share small sub-portfolios</w:t>
      </w:r>
      <w:r w:rsidR="009405A8">
        <w:rPr>
          <w:rFonts w:ascii="Cambria" w:hAnsi="Cambria"/>
          <w:lang w:val="en-US"/>
        </w:rPr>
        <w:t xml:space="preserve"> (i.e. not significant for the group)</w:t>
      </w:r>
      <w:r w:rsidRPr="00C918C6">
        <w:rPr>
          <w:rFonts w:ascii="Cambria" w:hAnsi="Cambria"/>
          <w:lang w:val="en-US"/>
        </w:rPr>
        <w:t>, which do not enable   validation activities</w:t>
      </w:r>
      <w:r w:rsidR="099F9186" w:rsidRPr="695B8F44">
        <w:rPr>
          <w:rFonts w:ascii="Cambria" w:hAnsi="Cambria"/>
          <w:lang w:val="en-US"/>
        </w:rPr>
        <w:t xml:space="preserve"> locally</w:t>
      </w:r>
      <w:r w:rsidRPr="695B8F44">
        <w:rPr>
          <w:rFonts w:ascii="Cambria" w:hAnsi="Cambria"/>
          <w:lang w:val="en-US"/>
        </w:rPr>
        <w:t>.</w:t>
      </w:r>
      <w:r w:rsidRPr="00C918C6">
        <w:rPr>
          <w:rFonts w:ascii="Cambria" w:hAnsi="Cambria"/>
          <w:lang w:val="en-US"/>
        </w:rPr>
        <w:t xml:space="preserve"> In particular</w:t>
      </w:r>
      <w:r w:rsidR="4D4EB140" w:rsidRPr="695B8F44">
        <w:rPr>
          <w:rFonts w:ascii="Cambria" w:hAnsi="Cambria"/>
          <w:lang w:val="en-US"/>
        </w:rPr>
        <w:t>,</w:t>
      </w:r>
      <w:r w:rsidRPr="00C918C6">
        <w:rPr>
          <w:rFonts w:ascii="Cambria" w:hAnsi="Cambria"/>
          <w:lang w:val="en-US"/>
        </w:rPr>
        <w:t xml:space="preserve"> we ask if in case of </w:t>
      </w:r>
      <w:r w:rsidR="5EC65CD1" w:rsidRPr="695B8F44">
        <w:rPr>
          <w:rFonts w:ascii="Cambria" w:hAnsi="Cambria"/>
          <w:lang w:val="en-US"/>
        </w:rPr>
        <w:t xml:space="preserve">a </w:t>
      </w:r>
      <w:r w:rsidRPr="695B8F44">
        <w:rPr>
          <w:rFonts w:ascii="Cambria" w:hAnsi="Cambria"/>
          <w:lang w:val="en-US"/>
        </w:rPr>
        <w:t>centrali</w:t>
      </w:r>
      <w:r w:rsidR="6DFF870F" w:rsidRPr="695B8F44">
        <w:rPr>
          <w:rFonts w:ascii="Cambria" w:hAnsi="Cambria"/>
          <w:lang w:val="en-US"/>
        </w:rPr>
        <w:t>s</w:t>
      </w:r>
      <w:r w:rsidRPr="695B8F44">
        <w:rPr>
          <w:rFonts w:ascii="Cambria" w:hAnsi="Cambria"/>
          <w:lang w:val="en-US"/>
        </w:rPr>
        <w:t>ed</w:t>
      </w:r>
      <w:r w:rsidRPr="00C918C6">
        <w:rPr>
          <w:rFonts w:ascii="Cambria" w:hAnsi="Cambria"/>
          <w:lang w:val="en-US"/>
        </w:rPr>
        <w:t xml:space="preserve"> approach, the final responsibility could be assigned to the management/governing bodies of the local bank</w:t>
      </w:r>
      <w:r w:rsidRPr="00C918C6">
        <w:rPr>
          <w:rStyle w:val="FootnoteReference"/>
          <w:rFonts w:ascii="Cambria" w:hAnsi="Cambria"/>
          <w:lang w:val="en-US"/>
        </w:rPr>
        <w:footnoteReference w:id="4"/>
      </w:r>
      <w:r w:rsidRPr="00C918C6">
        <w:rPr>
          <w:rFonts w:ascii="Cambria" w:hAnsi="Cambria"/>
          <w:lang w:val="en-US"/>
        </w:rPr>
        <w:t xml:space="preserve">. </w:t>
      </w:r>
    </w:p>
    <w:p w14:paraId="03996DEB" w14:textId="77777777" w:rsidR="00664B6B" w:rsidRPr="00664B6B" w:rsidRDefault="00664B6B" w:rsidP="00664B6B">
      <w:pPr>
        <w:pStyle w:val="ListParagraph"/>
        <w:spacing w:line="276" w:lineRule="auto"/>
        <w:jc w:val="both"/>
        <w:rPr>
          <w:rFonts w:ascii="Cambria" w:eastAsia="Times New Roman" w:hAnsi="Cambria"/>
          <w:lang w:val="en-US"/>
        </w:rPr>
      </w:pPr>
    </w:p>
    <w:p w14:paraId="3FB37FB3" w14:textId="59B7DE7B" w:rsidR="006E7745" w:rsidRPr="009405A8" w:rsidRDefault="00664B6B" w:rsidP="009405A8">
      <w:pPr>
        <w:pStyle w:val="ListParagraph"/>
        <w:numPr>
          <w:ilvl w:val="0"/>
          <w:numId w:val="27"/>
        </w:numPr>
        <w:spacing w:line="276" w:lineRule="auto"/>
        <w:jc w:val="both"/>
        <w:rPr>
          <w:rFonts w:ascii="Cambria" w:eastAsia="Times New Roman" w:hAnsi="Cambria"/>
          <w:lang w:val="en-US"/>
        </w:rPr>
      </w:pPr>
      <w:r w:rsidRPr="00101DBC">
        <w:rPr>
          <w:rFonts w:ascii="Cambria" w:hAnsi="Cambria"/>
          <w:lang w:val="en-US"/>
        </w:rPr>
        <w:t>Context Box 1: In order to ensure that one material extension or change is not split into several changes or extensions of lower materiality the handbook proposes as good practice “</w:t>
      </w:r>
      <w:r w:rsidRPr="00101DBC">
        <w:rPr>
          <w:rFonts w:ascii="Cambria" w:hAnsi="Cambria"/>
          <w:i/>
          <w:iCs/>
          <w:lang w:val="en-US"/>
        </w:rPr>
        <w:t>to compare the own funds requirements resulting from the updated risk parameter estimates with the ones resulting from the last version of the model authorised by the CA (i.e. the version of the model without taking into account non-material model changes)</w:t>
      </w:r>
      <w:r w:rsidRPr="00101DBC">
        <w:rPr>
          <w:rFonts w:ascii="Cambria" w:hAnsi="Cambria"/>
          <w:lang w:val="en-US"/>
        </w:rPr>
        <w:t>”. In our understanding, this statement may have many severe implications since:</w:t>
      </w:r>
    </w:p>
    <w:p w14:paraId="394FA681" w14:textId="77777777" w:rsidR="006E7745" w:rsidRPr="00101DBC" w:rsidRDefault="006E7745" w:rsidP="006E7745">
      <w:pPr>
        <w:pStyle w:val="ListParagraph"/>
        <w:spacing w:line="276" w:lineRule="auto"/>
        <w:jc w:val="both"/>
        <w:rPr>
          <w:rFonts w:ascii="Cambria" w:eastAsia="Times New Roman" w:hAnsi="Cambria"/>
          <w:lang w:val="en-US"/>
        </w:rPr>
      </w:pPr>
    </w:p>
    <w:p w14:paraId="232F4EA7" w14:textId="77777777" w:rsidR="00664B6B" w:rsidRPr="00101DBC" w:rsidRDefault="00664B6B" w:rsidP="004212C3">
      <w:pPr>
        <w:pStyle w:val="ListParagraph"/>
        <w:numPr>
          <w:ilvl w:val="0"/>
          <w:numId w:val="31"/>
        </w:numPr>
        <w:spacing w:line="276" w:lineRule="auto"/>
        <w:jc w:val="both"/>
        <w:rPr>
          <w:rFonts w:ascii="Cambria" w:hAnsi="Cambria"/>
          <w:lang w:val="en-US"/>
        </w:rPr>
      </w:pPr>
      <w:r w:rsidRPr="00101DBC">
        <w:rPr>
          <w:rFonts w:ascii="Cambria" w:hAnsi="Cambria"/>
          <w:lang w:val="en-US"/>
        </w:rPr>
        <w:t>It requires the institutions to be able to keep an old version of the model (no matter how many non-material changes have been addressed, i.e. versions of the model from the last approved material change) in the systems that may correspond to several years ago. This may be very burdensome in terms of IT infrastructure and maintenance.</w:t>
      </w:r>
    </w:p>
    <w:p w14:paraId="38103733" w14:textId="6664F195" w:rsidR="00664B6B" w:rsidRPr="00101DBC" w:rsidRDefault="00664B6B" w:rsidP="004212C3">
      <w:pPr>
        <w:pStyle w:val="ListParagraph"/>
        <w:numPr>
          <w:ilvl w:val="0"/>
          <w:numId w:val="31"/>
        </w:numPr>
        <w:spacing w:line="276" w:lineRule="auto"/>
        <w:jc w:val="both"/>
        <w:rPr>
          <w:rFonts w:ascii="Cambria" w:hAnsi="Cambria"/>
          <w:lang w:val="en-US"/>
        </w:rPr>
      </w:pPr>
      <w:r w:rsidRPr="00101DBC">
        <w:rPr>
          <w:rFonts w:ascii="Cambria" w:hAnsi="Cambria"/>
          <w:lang w:val="en-US"/>
        </w:rPr>
        <w:t>This impl</w:t>
      </w:r>
      <w:r w:rsidR="00036A0F" w:rsidRPr="00101DBC">
        <w:rPr>
          <w:rFonts w:ascii="Cambria" w:hAnsi="Cambria"/>
          <w:lang w:val="en-US"/>
        </w:rPr>
        <w:t>ies</w:t>
      </w:r>
      <w:r w:rsidRPr="00101DBC">
        <w:rPr>
          <w:rFonts w:ascii="Cambria" w:hAnsi="Cambria"/>
          <w:lang w:val="en-US"/>
        </w:rPr>
        <w:t xml:space="preserve"> that, in accordance with the expectation to recalibrate annually the data windows of the models during several years, addressing the corresponding post-notifications and without performing any other model change, a material change may arise from the application of the proposed analysis/criteria. The same issue would happen in case of addressing other non-material changes as pre-notifications. In our opinion, there might be pre-notification changes which need to be performed on a specific year (e.g. due to business needs) and they are not related at all with other pre-notifications performed in different or some years after. Therefore, we believe that this may </w:t>
      </w:r>
      <w:r w:rsidR="00E600D4">
        <w:rPr>
          <w:rFonts w:ascii="Cambria" w:hAnsi="Cambria"/>
          <w:lang w:val="en-US"/>
        </w:rPr>
        <w:t>make it impossible</w:t>
      </w:r>
      <w:r w:rsidRPr="00101DBC">
        <w:rPr>
          <w:rFonts w:ascii="Cambria" w:hAnsi="Cambria"/>
          <w:lang w:val="en-US"/>
        </w:rPr>
        <w:t xml:space="preserve"> to apply for any non-material change</w:t>
      </w:r>
      <w:r w:rsidR="00E600D4" w:rsidRPr="00E600D4">
        <w:rPr>
          <w:rFonts w:ascii="Cambria" w:hAnsi="Cambria"/>
          <w:lang w:val="en-US"/>
        </w:rPr>
        <w:t xml:space="preserve"> </w:t>
      </w:r>
      <w:r w:rsidR="00E600D4">
        <w:rPr>
          <w:rFonts w:ascii="Cambria" w:hAnsi="Cambria"/>
          <w:lang w:val="en-US"/>
        </w:rPr>
        <w:t>in future</w:t>
      </w:r>
      <w:r w:rsidRPr="00101DBC">
        <w:rPr>
          <w:rFonts w:ascii="Cambria" w:hAnsi="Cambria"/>
          <w:lang w:val="en-US"/>
        </w:rPr>
        <w:t>.</w:t>
      </w:r>
    </w:p>
    <w:p w14:paraId="612261B0" w14:textId="77777777" w:rsidR="00664B6B" w:rsidRPr="00664B6B" w:rsidRDefault="00664B6B" w:rsidP="00664B6B">
      <w:pPr>
        <w:pStyle w:val="ListParagraph"/>
        <w:rPr>
          <w:rFonts w:ascii="Cambria" w:hAnsi="Cambria" w:cstheme="minorBidi"/>
        </w:rPr>
      </w:pPr>
    </w:p>
    <w:p w14:paraId="0D7B82B6" w14:textId="4937E26C" w:rsidR="00B118FA" w:rsidRPr="009405A8" w:rsidRDefault="00EC4834" w:rsidP="009405A8">
      <w:pPr>
        <w:pStyle w:val="ListParagraph"/>
        <w:numPr>
          <w:ilvl w:val="0"/>
          <w:numId w:val="27"/>
        </w:numPr>
        <w:spacing w:after="120" w:line="276" w:lineRule="auto"/>
        <w:jc w:val="both"/>
        <w:rPr>
          <w:rFonts w:ascii="Cambria" w:hAnsi="Cambria" w:cstheme="minorBidi"/>
        </w:rPr>
      </w:pPr>
      <w:r w:rsidRPr="0A0CF55C">
        <w:rPr>
          <w:rFonts w:ascii="Cambria" w:hAnsi="Cambria" w:cstheme="minorBidi"/>
        </w:rPr>
        <w:t>I</w:t>
      </w:r>
      <w:r w:rsidR="002C5090" w:rsidRPr="0A0CF55C">
        <w:rPr>
          <w:rFonts w:ascii="Cambria" w:hAnsi="Cambria" w:cstheme="minorBidi"/>
        </w:rPr>
        <w:t xml:space="preserve">nformation </w:t>
      </w:r>
      <w:r w:rsidRPr="0A0CF55C">
        <w:rPr>
          <w:rFonts w:ascii="Cambria" w:hAnsi="Cambria" w:cstheme="minorBidi"/>
        </w:rPr>
        <w:t>B</w:t>
      </w:r>
      <w:r w:rsidR="00551AD0" w:rsidRPr="0A0CF55C">
        <w:rPr>
          <w:rFonts w:ascii="Cambria" w:hAnsi="Cambria" w:cstheme="minorBidi"/>
        </w:rPr>
        <w:t>ox 7</w:t>
      </w:r>
      <w:r w:rsidR="0049524A" w:rsidRPr="0A0CF55C">
        <w:rPr>
          <w:rFonts w:ascii="Cambria" w:eastAsia="Times New Roman" w:hAnsi="Cambria" w:cstheme="minorBidi"/>
          <w:lang w:val="en-US"/>
        </w:rPr>
        <w:t xml:space="preserve"> </w:t>
      </w:r>
      <w:r w:rsidR="00E600D4">
        <w:rPr>
          <w:rFonts w:ascii="Cambria" w:eastAsia="Times New Roman" w:hAnsi="Cambria" w:cstheme="minorBidi"/>
          <w:lang w:val="en-US"/>
        </w:rPr>
        <w:t>appears</w:t>
      </w:r>
      <w:r w:rsidR="6FDD78D2" w:rsidRPr="0A0CF55C">
        <w:rPr>
          <w:rFonts w:ascii="Cambria" w:eastAsia="Times New Roman" w:hAnsi="Cambria" w:cstheme="minorBidi"/>
          <w:lang w:val="en-US"/>
        </w:rPr>
        <w:t xml:space="preserve"> to </w:t>
      </w:r>
      <w:r w:rsidR="0049524A" w:rsidRPr="0A0CF55C">
        <w:rPr>
          <w:rFonts w:ascii="Cambria" w:eastAsia="Times New Roman" w:hAnsi="Cambria" w:cstheme="minorBidi"/>
          <w:lang w:val="en-US"/>
        </w:rPr>
        <w:t>require 3 years of shadow rating processes (i.e. Situation 2) for models not yet live due to outstanding regulatory approval</w:t>
      </w:r>
      <w:r w:rsidR="3FD59333" w:rsidRPr="0A0CF55C">
        <w:rPr>
          <w:rFonts w:ascii="Cambria" w:eastAsia="Times New Roman" w:hAnsi="Cambria" w:cstheme="minorBidi"/>
          <w:lang w:val="en-US"/>
        </w:rPr>
        <w:t xml:space="preserve">. </w:t>
      </w:r>
      <w:r w:rsidR="00B07946" w:rsidRPr="0A0CF55C">
        <w:rPr>
          <w:rFonts w:ascii="Cambria" w:eastAsia="Times New Roman" w:hAnsi="Cambria" w:cstheme="minorBidi"/>
          <w:lang w:val="en-US"/>
        </w:rPr>
        <w:t>W</w:t>
      </w:r>
      <w:r w:rsidR="0049524A" w:rsidRPr="0A0CF55C">
        <w:rPr>
          <w:rFonts w:ascii="Cambria" w:eastAsia="Times New Roman" w:hAnsi="Cambria" w:cstheme="minorBidi"/>
          <w:lang w:val="en-US"/>
        </w:rPr>
        <w:t>e see this as overly burdensome.</w:t>
      </w:r>
    </w:p>
    <w:p w14:paraId="2380C247" w14:textId="0E5C6C3F" w:rsidR="009E7706" w:rsidRPr="004502BE" w:rsidRDefault="00B118FA" w:rsidP="00A52298">
      <w:pPr>
        <w:pStyle w:val="ListParagraph"/>
        <w:numPr>
          <w:ilvl w:val="0"/>
          <w:numId w:val="27"/>
        </w:numPr>
        <w:spacing w:after="120" w:line="276" w:lineRule="auto"/>
        <w:jc w:val="both"/>
        <w:rPr>
          <w:rFonts w:asciiTheme="majorHAnsi" w:hAnsiTheme="majorHAnsi" w:cstheme="minorHAnsi"/>
        </w:rPr>
      </w:pPr>
      <w:r w:rsidRPr="00101DBC">
        <w:rPr>
          <w:rFonts w:asciiTheme="majorHAnsi" w:hAnsiTheme="majorHAnsi"/>
          <w:bCs/>
        </w:rPr>
        <w:t xml:space="preserve">Furthermore, </w:t>
      </w:r>
      <w:r w:rsidR="007A6F4B" w:rsidRPr="00101DBC">
        <w:rPr>
          <w:rFonts w:asciiTheme="majorHAnsi" w:hAnsiTheme="majorHAnsi"/>
          <w:bCs/>
        </w:rPr>
        <w:t xml:space="preserve">Information </w:t>
      </w:r>
      <w:r w:rsidR="009E7706" w:rsidRPr="00101DBC">
        <w:rPr>
          <w:rFonts w:asciiTheme="majorHAnsi" w:hAnsiTheme="majorHAnsi"/>
          <w:bCs/>
        </w:rPr>
        <w:t>Box 7</w:t>
      </w:r>
      <w:r w:rsidR="009E7706" w:rsidRPr="004502BE">
        <w:rPr>
          <w:rFonts w:asciiTheme="majorHAnsi" w:hAnsiTheme="majorHAnsi"/>
        </w:rPr>
        <w:t xml:space="preserve"> distinguishes between a regular review (conducted at least yearly) and a full review of estimates (conducted with a frequency depending on the materiality of the model, in </w:t>
      </w:r>
      <w:r w:rsidR="00E1629E" w:rsidRPr="004502BE">
        <w:rPr>
          <w:rFonts w:asciiTheme="majorHAnsi" w:hAnsiTheme="majorHAnsi" w:cstheme="minorHAnsi"/>
        </w:rPr>
        <w:t>some cases</w:t>
      </w:r>
      <w:r w:rsidR="009E7706" w:rsidRPr="004502BE">
        <w:rPr>
          <w:rFonts w:asciiTheme="majorHAnsi" w:hAnsiTheme="majorHAnsi" w:cstheme="minorHAnsi"/>
        </w:rPr>
        <w:t xml:space="preserve">, every three years regardless of the materiality of the model). However, </w:t>
      </w:r>
      <w:r w:rsidR="009E7706" w:rsidRPr="004502BE">
        <w:rPr>
          <w:rFonts w:asciiTheme="majorHAnsi" w:hAnsiTheme="majorHAnsi" w:cstheme="minorHAnsi"/>
          <w:b/>
        </w:rPr>
        <w:t>Interaction Box 12</w:t>
      </w:r>
      <w:r w:rsidR="009E7706" w:rsidRPr="004502BE">
        <w:rPr>
          <w:rFonts w:asciiTheme="majorHAnsi" w:hAnsiTheme="majorHAnsi" w:cstheme="minorHAnsi"/>
        </w:rPr>
        <w:t xml:space="preserve"> suggests the following:</w:t>
      </w:r>
    </w:p>
    <w:p w14:paraId="1DA9D11F" w14:textId="77777777" w:rsidR="009E7706" w:rsidRPr="004502BE" w:rsidRDefault="009E7706" w:rsidP="009E7706">
      <w:pPr>
        <w:pStyle w:val="ListParagraph"/>
        <w:numPr>
          <w:ilvl w:val="0"/>
          <w:numId w:val="28"/>
        </w:numPr>
        <w:jc w:val="both"/>
        <w:rPr>
          <w:rFonts w:ascii="Cambria" w:hAnsi="Cambria" w:cstheme="minorHAnsi"/>
          <w:i/>
        </w:rPr>
      </w:pPr>
      <w:r w:rsidRPr="004502BE">
        <w:rPr>
          <w:rFonts w:ascii="Cambria" w:hAnsi="Cambria" w:cstheme="minorHAnsi"/>
          <w:i/>
        </w:rPr>
        <w:t>[Type 1 interaction: Leverage on CRCU analyses with independent conclusions]</w:t>
      </w:r>
    </w:p>
    <w:p w14:paraId="16C85600" w14:textId="77777777" w:rsidR="009E7706" w:rsidRPr="004502BE" w:rsidRDefault="009E7706" w:rsidP="009E7706">
      <w:pPr>
        <w:pStyle w:val="ListParagraph"/>
        <w:numPr>
          <w:ilvl w:val="0"/>
          <w:numId w:val="28"/>
        </w:numPr>
        <w:jc w:val="both"/>
        <w:rPr>
          <w:rFonts w:ascii="Cambria" w:hAnsi="Cambria" w:cstheme="minorHAnsi"/>
          <w:i/>
        </w:rPr>
      </w:pPr>
      <w:r w:rsidRPr="004502BE">
        <w:rPr>
          <w:rFonts w:ascii="Cambria" w:hAnsi="Cambria" w:cstheme="minorHAnsi"/>
          <w:i/>
        </w:rPr>
        <w:t>[</w:t>
      </w:r>
      <w:r w:rsidRPr="004502BE">
        <w:rPr>
          <w:rFonts w:ascii="Cambria" w:hAnsi="Cambria" w:cstheme="minorHAnsi"/>
          <w:b/>
          <w:i/>
        </w:rPr>
        <w:t>Type 2</w:t>
      </w:r>
      <w:r w:rsidRPr="004502BE">
        <w:rPr>
          <w:rFonts w:ascii="Cambria" w:hAnsi="Cambria" w:cstheme="minorHAnsi"/>
          <w:i/>
        </w:rPr>
        <w:t xml:space="preserve"> interaction: CRCU analyses </w:t>
      </w:r>
      <w:r w:rsidRPr="004502BE">
        <w:rPr>
          <w:rFonts w:ascii="Cambria" w:hAnsi="Cambria" w:cstheme="minorHAnsi"/>
          <w:b/>
          <w:i/>
        </w:rPr>
        <w:t>complemented by own analyses</w:t>
      </w:r>
      <w:r w:rsidRPr="004502BE">
        <w:rPr>
          <w:rFonts w:ascii="Cambria" w:hAnsi="Cambria" w:cstheme="minorHAnsi"/>
          <w:i/>
        </w:rPr>
        <w:t>]</w:t>
      </w:r>
    </w:p>
    <w:p w14:paraId="1E97F945" w14:textId="77777777" w:rsidR="009E7706" w:rsidRPr="004502BE" w:rsidRDefault="009E7706" w:rsidP="009E7706">
      <w:pPr>
        <w:ind w:left="720"/>
        <w:jc w:val="both"/>
        <w:rPr>
          <w:rFonts w:ascii="Cambria" w:hAnsi="Cambria" w:cstheme="minorHAnsi"/>
          <w:sz w:val="22"/>
          <w:szCs w:val="22"/>
        </w:rPr>
      </w:pPr>
      <w:r w:rsidRPr="004502BE">
        <w:rPr>
          <w:rFonts w:ascii="Cambria" w:hAnsi="Cambria" w:cstheme="minorHAnsi"/>
          <w:sz w:val="22"/>
          <w:szCs w:val="22"/>
        </w:rPr>
        <w:t>[…]</w:t>
      </w:r>
    </w:p>
    <w:p w14:paraId="4742998B" w14:textId="77777777" w:rsidR="009E7706" w:rsidRPr="004502BE" w:rsidRDefault="009E7706" w:rsidP="009E7706">
      <w:pPr>
        <w:ind w:left="720"/>
        <w:jc w:val="both"/>
        <w:rPr>
          <w:rFonts w:ascii="Cambria" w:hAnsi="Cambria" w:cstheme="minorHAnsi"/>
          <w:i/>
          <w:sz w:val="22"/>
          <w:szCs w:val="22"/>
        </w:rPr>
      </w:pPr>
      <w:r w:rsidRPr="004502BE">
        <w:rPr>
          <w:rFonts w:ascii="Cambria" w:hAnsi="Cambria" w:cstheme="minorHAnsi"/>
          <w:i/>
          <w:sz w:val="22"/>
          <w:szCs w:val="22"/>
        </w:rPr>
        <w:t xml:space="preserve">When it comes to the validation activities and their interaction with </w:t>
      </w:r>
      <w:r w:rsidRPr="004502BE">
        <w:rPr>
          <w:rFonts w:ascii="Cambria" w:hAnsi="Cambria" w:cstheme="minorHAnsi"/>
          <w:b/>
          <w:i/>
          <w:sz w:val="22"/>
          <w:szCs w:val="22"/>
        </w:rPr>
        <w:t>the analyses performed in a recent full review of estimates conducted by the CRCU</w:t>
      </w:r>
      <w:r w:rsidRPr="004502BE">
        <w:rPr>
          <w:rFonts w:ascii="Cambria" w:hAnsi="Cambria" w:cstheme="minorHAnsi"/>
          <w:i/>
          <w:sz w:val="22"/>
          <w:szCs w:val="22"/>
        </w:rPr>
        <w:t>, the validation function is expected to perform two activities:</w:t>
      </w:r>
    </w:p>
    <w:p w14:paraId="61093C4A" w14:textId="77777777" w:rsidR="009E7706" w:rsidRPr="004502BE" w:rsidRDefault="009E7706" w:rsidP="009E7706">
      <w:pPr>
        <w:ind w:left="720"/>
        <w:jc w:val="both"/>
        <w:rPr>
          <w:rFonts w:ascii="Cambria" w:hAnsi="Cambria" w:cstheme="minorHAnsi"/>
          <w:sz w:val="22"/>
          <w:szCs w:val="22"/>
        </w:rPr>
      </w:pPr>
      <w:r w:rsidRPr="004502BE">
        <w:rPr>
          <w:rFonts w:ascii="Cambria" w:hAnsi="Cambria" w:cstheme="minorHAnsi"/>
          <w:sz w:val="22"/>
          <w:szCs w:val="22"/>
        </w:rPr>
        <w:t>[…]</w:t>
      </w:r>
    </w:p>
    <w:p w14:paraId="3A5AD812" w14:textId="77777777" w:rsidR="009E7706" w:rsidRPr="004502BE" w:rsidRDefault="009E7706" w:rsidP="009E7706">
      <w:pPr>
        <w:pStyle w:val="Default"/>
        <w:ind w:left="1440"/>
        <w:jc w:val="both"/>
        <w:rPr>
          <w:rFonts w:cstheme="minorHAnsi"/>
          <w:color w:val="auto"/>
          <w:sz w:val="22"/>
          <w:szCs w:val="22"/>
        </w:rPr>
      </w:pPr>
      <w:r w:rsidRPr="004502BE">
        <w:rPr>
          <w:rFonts w:cstheme="minorHAnsi"/>
          <w:i/>
          <w:iCs/>
          <w:color w:val="auto"/>
          <w:sz w:val="22"/>
          <w:szCs w:val="22"/>
        </w:rPr>
        <w:t xml:space="preserve">2. Perform an </w:t>
      </w:r>
      <w:r w:rsidRPr="004502BE">
        <w:rPr>
          <w:rFonts w:cstheme="minorHAnsi"/>
          <w:b/>
          <w:i/>
          <w:iCs/>
          <w:color w:val="auto"/>
          <w:sz w:val="22"/>
          <w:szCs w:val="22"/>
        </w:rPr>
        <w:t>assessment of the performance</w:t>
      </w:r>
      <w:r w:rsidRPr="004502BE">
        <w:rPr>
          <w:rFonts w:cstheme="minorHAnsi"/>
          <w:i/>
          <w:iCs/>
          <w:color w:val="auto"/>
          <w:sz w:val="22"/>
          <w:szCs w:val="22"/>
        </w:rPr>
        <w:t xml:space="preserve"> of the rating system </w:t>
      </w:r>
      <w:r w:rsidRPr="004502BE">
        <w:rPr>
          <w:rFonts w:cstheme="minorHAnsi"/>
          <w:b/>
          <w:i/>
          <w:iCs/>
          <w:color w:val="auto"/>
          <w:sz w:val="22"/>
          <w:szCs w:val="22"/>
        </w:rPr>
        <w:t>solely based on a Type 2</w:t>
      </w:r>
      <w:r w:rsidRPr="004502BE">
        <w:rPr>
          <w:rFonts w:cstheme="minorHAnsi"/>
          <w:i/>
          <w:iCs/>
          <w:color w:val="auto"/>
          <w:sz w:val="22"/>
          <w:szCs w:val="22"/>
        </w:rPr>
        <w:t xml:space="preserve"> interaction for all the analysis as described in section [4 </w:t>
      </w:r>
      <w:r w:rsidRPr="004502BE">
        <w:rPr>
          <w:rFonts w:cstheme="minorHAnsi"/>
          <w:color w:val="auto"/>
          <w:sz w:val="22"/>
          <w:szCs w:val="22"/>
        </w:rPr>
        <w:t>First validation of newly developed rating systems or changed aspects of a rating system</w:t>
      </w:r>
      <w:r w:rsidRPr="004502BE">
        <w:rPr>
          <w:rFonts w:cstheme="minorHAnsi"/>
          <w:i/>
          <w:iCs/>
          <w:color w:val="auto"/>
          <w:sz w:val="22"/>
          <w:szCs w:val="22"/>
        </w:rPr>
        <w:t xml:space="preserve">]. </w:t>
      </w:r>
    </w:p>
    <w:p w14:paraId="4A2007AD" w14:textId="77777777" w:rsidR="009E7706" w:rsidRPr="004502BE" w:rsidRDefault="009E7706" w:rsidP="009E7706">
      <w:pPr>
        <w:ind w:left="720"/>
        <w:jc w:val="both"/>
        <w:rPr>
          <w:rFonts w:ascii="Cambria" w:hAnsi="Cambria" w:cstheme="minorHAnsi"/>
          <w:sz w:val="22"/>
          <w:szCs w:val="22"/>
        </w:rPr>
      </w:pPr>
      <w:r w:rsidRPr="004502BE">
        <w:rPr>
          <w:rFonts w:ascii="Cambria" w:hAnsi="Cambria" w:cstheme="minorHAnsi"/>
          <w:sz w:val="22"/>
          <w:szCs w:val="22"/>
        </w:rPr>
        <w:t>[…]</w:t>
      </w:r>
    </w:p>
    <w:p w14:paraId="49D34938" w14:textId="53665B0D" w:rsidR="009E7706" w:rsidRDefault="009E7706" w:rsidP="00E1629E">
      <w:pPr>
        <w:ind w:left="720"/>
        <w:jc w:val="both"/>
        <w:rPr>
          <w:rFonts w:ascii="Cambria" w:hAnsi="Cambria" w:cstheme="minorHAnsi"/>
          <w:sz w:val="22"/>
          <w:szCs w:val="22"/>
        </w:rPr>
      </w:pPr>
      <w:r w:rsidRPr="004502BE">
        <w:rPr>
          <w:rFonts w:ascii="Cambria" w:hAnsi="Cambria" w:cstheme="minorHAnsi"/>
          <w:sz w:val="22"/>
          <w:szCs w:val="22"/>
        </w:rPr>
        <w:t xml:space="preserve">Therefore, for a regular (annual) review of estimates nothing is prescribed on the handbook with respect what type of review (Type 1 or Type 2) that should be applied for assessing the performance of the </w:t>
      </w:r>
      <w:r w:rsidRPr="004502BE">
        <w:rPr>
          <w:rFonts w:ascii="Cambria" w:hAnsi="Cambria" w:cstheme="minorHAnsi"/>
          <w:sz w:val="22"/>
          <w:szCs w:val="22"/>
        </w:rPr>
        <w:lastRenderedPageBreak/>
        <w:t xml:space="preserve">models. Since for a full review of estimates a Type 2 review is suggested, it seems that for a regular review a Type 2 would not be required regarding the assessment of model performance. However, according to the “ECB Instructions for reporting the validation results of internal models”, backtesting exercises are requested to be submitted to the ECB annually after performing independently such assessment by the Internal Validation function. For this reason we believe that, although the EBA and ECB indications are not contradictory given that for a regular review of estimates there is no prescription in the Handbook </w:t>
      </w:r>
      <w:r w:rsidR="00CD2EC9">
        <w:rPr>
          <w:rFonts w:ascii="Cambria" w:hAnsi="Cambria" w:cstheme="minorHAnsi"/>
          <w:sz w:val="22"/>
          <w:szCs w:val="22"/>
        </w:rPr>
        <w:t>regarding</w:t>
      </w:r>
      <w:r w:rsidRPr="004502BE">
        <w:rPr>
          <w:rFonts w:ascii="Cambria" w:hAnsi="Cambria" w:cstheme="minorHAnsi"/>
          <w:sz w:val="22"/>
          <w:szCs w:val="22"/>
        </w:rPr>
        <w:t xml:space="preserve"> the </w:t>
      </w:r>
      <w:r w:rsidR="00FF0CF9">
        <w:rPr>
          <w:rFonts w:ascii="Cambria" w:hAnsi="Cambria" w:cstheme="minorHAnsi"/>
          <w:sz w:val="22"/>
          <w:szCs w:val="22"/>
        </w:rPr>
        <w:t>t</w:t>
      </w:r>
      <w:r w:rsidRPr="004502BE">
        <w:rPr>
          <w:rFonts w:ascii="Cambria" w:hAnsi="Cambria" w:cstheme="minorHAnsi"/>
          <w:sz w:val="22"/>
          <w:szCs w:val="22"/>
        </w:rPr>
        <w:t xml:space="preserve">ype of validation that should be considered, </w:t>
      </w:r>
      <w:r w:rsidR="00596FF0">
        <w:rPr>
          <w:rFonts w:ascii="Cambria" w:hAnsi="Cambria" w:cstheme="minorHAnsi"/>
          <w:sz w:val="22"/>
          <w:szCs w:val="22"/>
        </w:rPr>
        <w:t>there seems to be a mis</w:t>
      </w:r>
      <w:r w:rsidRPr="004502BE">
        <w:rPr>
          <w:rFonts w:ascii="Cambria" w:hAnsi="Cambria" w:cstheme="minorHAnsi"/>
          <w:sz w:val="22"/>
          <w:szCs w:val="22"/>
        </w:rPr>
        <w:t>align</w:t>
      </w:r>
      <w:r w:rsidR="00596FF0">
        <w:rPr>
          <w:rFonts w:ascii="Cambria" w:hAnsi="Cambria" w:cstheme="minorHAnsi"/>
          <w:sz w:val="22"/>
          <w:szCs w:val="22"/>
        </w:rPr>
        <w:t>ment</w:t>
      </w:r>
      <w:r w:rsidRPr="004502BE">
        <w:rPr>
          <w:rFonts w:ascii="Cambria" w:hAnsi="Cambria" w:cstheme="minorHAnsi"/>
          <w:sz w:val="22"/>
          <w:szCs w:val="22"/>
        </w:rPr>
        <w:t xml:space="preserve"> since including only prescriptions for a full review of estimates can implicitly suggest that the regular review of estimates may not require a Type 2 validation.</w:t>
      </w:r>
    </w:p>
    <w:p w14:paraId="49ACCD39" w14:textId="1E199F36" w:rsidR="009E7706" w:rsidRPr="009405A8" w:rsidRDefault="001C503A" w:rsidP="00596FF0">
      <w:pPr>
        <w:pStyle w:val="ListParagraph"/>
        <w:numPr>
          <w:ilvl w:val="0"/>
          <w:numId w:val="32"/>
        </w:numPr>
        <w:spacing w:after="120" w:line="276" w:lineRule="auto"/>
        <w:jc w:val="both"/>
        <w:rPr>
          <w:rFonts w:ascii="Cambria" w:eastAsia="Calibri Light" w:hAnsi="Cambria" w:cs="Calibri Light"/>
        </w:rPr>
      </w:pPr>
      <w:r w:rsidRPr="00101DBC">
        <w:rPr>
          <w:rFonts w:ascii="Cambria" w:eastAsia="Calibri Light" w:hAnsi="Cambria" w:cs="Calibri Light"/>
          <w:b/>
          <w:bCs/>
          <w:lang w:val="en-US"/>
        </w:rPr>
        <w:t>Par</w:t>
      </w:r>
      <w:r w:rsidR="00D15F49" w:rsidRPr="00101DBC">
        <w:rPr>
          <w:rFonts w:ascii="Cambria" w:eastAsia="Calibri Light" w:hAnsi="Cambria" w:cs="Calibri Light"/>
          <w:b/>
          <w:bCs/>
          <w:lang w:val="en-US"/>
        </w:rPr>
        <w:t>agraph</w:t>
      </w:r>
      <w:r w:rsidRPr="00101DBC">
        <w:rPr>
          <w:rFonts w:ascii="Cambria" w:eastAsia="Calibri Light" w:hAnsi="Cambria" w:cs="Calibri Light"/>
          <w:b/>
          <w:bCs/>
          <w:lang w:val="en-US"/>
        </w:rPr>
        <w:t xml:space="preserve"> 35</w:t>
      </w:r>
      <w:r w:rsidRPr="00101DBC">
        <w:rPr>
          <w:rFonts w:ascii="Cambria" w:eastAsia="Calibri Light" w:hAnsi="Cambria" w:cs="Calibri Light"/>
          <w:lang w:val="en-US"/>
        </w:rPr>
        <w:t xml:space="preserve"> </w:t>
      </w:r>
      <w:r w:rsidR="00D15F49" w:rsidRPr="00101DBC">
        <w:rPr>
          <w:rFonts w:ascii="Cambria" w:eastAsia="Calibri Light" w:hAnsi="Cambria" w:cs="Calibri Light"/>
          <w:lang w:val="en-US"/>
        </w:rPr>
        <w:t xml:space="preserve">– </w:t>
      </w:r>
      <w:r w:rsidRPr="00101DBC">
        <w:rPr>
          <w:rFonts w:ascii="Cambria" w:eastAsia="Calibri Light" w:hAnsi="Cambria" w:cs="Calibri Light"/>
          <w:lang w:val="en-US"/>
        </w:rPr>
        <w:t xml:space="preserve">Type of analyses to assess the accuracy and consistency of rating systems: With regards to different frequency and depth of the analyses commensurate with the complexity and materiality of the rating systems under the scope of validation, we </w:t>
      </w:r>
      <w:r w:rsidR="00596FF0">
        <w:rPr>
          <w:rFonts w:ascii="Cambria" w:eastAsia="Calibri Light" w:hAnsi="Cambria" w:cs="Calibri Light"/>
          <w:lang w:val="en-US"/>
        </w:rPr>
        <w:t>think it’s</w:t>
      </w:r>
      <w:r w:rsidRPr="00101DBC">
        <w:rPr>
          <w:rFonts w:ascii="Cambria" w:eastAsia="Calibri Light" w:hAnsi="Cambria" w:cs="Calibri Light"/>
          <w:lang w:val="en-US"/>
        </w:rPr>
        <w:t xml:space="preserve"> appropriate </w:t>
      </w:r>
      <w:r w:rsidR="00596FF0">
        <w:rPr>
          <w:rFonts w:ascii="Cambria" w:eastAsia="Calibri Light" w:hAnsi="Cambria" w:cs="Calibri Light"/>
          <w:lang w:val="en-US"/>
        </w:rPr>
        <w:t xml:space="preserve">for the Handbook to consider </w:t>
      </w:r>
      <w:r w:rsidRPr="00101DBC">
        <w:rPr>
          <w:rFonts w:ascii="Cambria" w:eastAsia="Calibri Light" w:hAnsi="Cambria" w:cs="Calibri Light"/>
          <w:lang w:val="en-US"/>
        </w:rPr>
        <w:t xml:space="preserve">the opportunity  to prescribe that every financial institution should implement an internal methodology (e.g. model risk tiering methodology) both to rank and discriminate complexity and materiality of internal models with a </w:t>
      </w:r>
      <w:r w:rsidR="000E5C65">
        <w:rPr>
          <w:rFonts w:ascii="Cambria" w:eastAsia="Calibri Light" w:hAnsi="Cambria" w:cs="Calibri Light"/>
          <w:lang w:val="en-US"/>
        </w:rPr>
        <w:t xml:space="preserve">clear </w:t>
      </w:r>
      <w:r w:rsidRPr="00101DBC">
        <w:rPr>
          <w:rFonts w:ascii="Cambria" w:eastAsia="Calibri Light" w:hAnsi="Cambria" w:cs="Calibri Light"/>
          <w:lang w:val="en-US"/>
        </w:rPr>
        <w:t xml:space="preserve">and objective approach. The implementation of a </w:t>
      </w:r>
      <w:r w:rsidR="004347EA">
        <w:rPr>
          <w:rFonts w:ascii="Cambria" w:eastAsia="Calibri Light" w:hAnsi="Cambria" w:cs="Calibri Light"/>
          <w:lang w:val="en-US"/>
        </w:rPr>
        <w:t>r</w:t>
      </w:r>
      <w:r w:rsidRPr="00101DBC">
        <w:rPr>
          <w:rFonts w:ascii="Cambria" w:eastAsia="Calibri Light" w:hAnsi="Cambria" w:cs="Calibri Light"/>
          <w:lang w:val="en-US"/>
        </w:rPr>
        <w:t>isk inherent attribute will facilitate and allow commensu</w:t>
      </w:r>
      <w:r w:rsidR="000E5C65">
        <w:rPr>
          <w:rFonts w:ascii="Cambria" w:eastAsia="Calibri Light" w:hAnsi="Cambria" w:cs="Calibri Light"/>
          <w:lang w:val="en-US"/>
        </w:rPr>
        <w:t>rate</w:t>
      </w:r>
      <w:r w:rsidRPr="00101DBC">
        <w:rPr>
          <w:rFonts w:ascii="Cambria" w:eastAsia="Calibri Light" w:hAnsi="Cambria" w:cs="Calibri Light"/>
          <w:lang w:val="en-US"/>
        </w:rPr>
        <w:t xml:space="preserve"> analyses with respect to the rating systems under validation.</w:t>
      </w:r>
    </w:p>
    <w:p w14:paraId="663DA961" w14:textId="77777777" w:rsidR="003034D6" w:rsidRDefault="009E7706" w:rsidP="00596FF0">
      <w:pPr>
        <w:pStyle w:val="ListParagraph"/>
        <w:numPr>
          <w:ilvl w:val="0"/>
          <w:numId w:val="29"/>
        </w:numPr>
        <w:spacing w:line="276" w:lineRule="auto"/>
        <w:jc w:val="both"/>
        <w:rPr>
          <w:rFonts w:ascii="Cambria" w:eastAsia="Times New Roman" w:hAnsi="Cambria" w:cstheme="minorHAnsi"/>
        </w:rPr>
      </w:pPr>
      <w:r w:rsidRPr="004502BE">
        <w:rPr>
          <w:rFonts w:ascii="Cambria" w:eastAsia="Times New Roman" w:hAnsi="Cambria" w:cstheme="minorHAnsi"/>
          <w:b/>
        </w:rPr>
        <w:t>Paragraph 88</w:t>
      </w:r>
      <w:r w:rsidRPr="004502BE">
        <w:rPr>
          <w:rFonts w:ascii="Cambria" w:eastAsia="Times New Roman" w:hAnsi="Cambria" w:cstheme="minorHAnsi"/>
        </w:rPr>
        <w:t xml:space="preserve"> states that “</w:t>
      </w:r>
      <w:r w:rsidRPr="004502BE">
        <w:rPr>
          <w:rFonts w:ascii="Cambria" w:eastAsia="Times New Roman" w:hAnsi="Cambria" w:cstheme="minorHAnsi"/>
          <w:i/>
        </w:rPr>
        <w:t>it is expected that the validation function reviews the documentation that will be submitted to CAs</w:t>
      </w:r>
      <w:r w:rsidRPr="004502BE">
        <w:rPr>
          <w:rFonts w:ascii="Cambria" w:eastAsia="Times New Roman" w:hAnsi="Cambria" w:cstheme="minorHAnsi"/>
        </w:rPr>
        <w:t>”. It is</w:t>
      </w:r>
      <w:r w:rsidR="006B2825" w:rsidRPr="004502BE">
        <w:rPr>
          <w:rFonts w:ascii="Cambria" w:eastAsia="Times New Roman" w:hAnsi="Cambria" w:cstheme="minorHAnsi"/>
        </w:rPr>
        <w:t xml:space="preserve"> our</w:t>
      </w:r>
      <w:r w:rsidRPr="004502BE">
        <w:rPr>
          <w:rFonts w:ascii="Cambria" w:eastAsia="Times New Roman" w:hAnsi="Cambria" w:cstheme="minorHAnsi"/>
        </w:rPr>
        <w:t xml:space="preserve"> understanding that the internal validation function should review only the documentation for which they should perform a challenge (methodological and technical documentation, regulatory compliance of methodological choices, rating assignment process, capital impacts, etc) or the documentation for which they are owners (internal validation reports), but not all the documentation submitted to the CAs (e.g. Internal Audit reports, methodological standards, etc).</w:t>
      </w:r>
    </w:p>
    <w:p w14:paraId="67F79808" w14:textId="77777777" w:rsidR="003034D6" w:rsidRPr="003034D6" w:rsidRDefault="003034D6" w:rsidP="00596FF0">
      <w:pPr>
        <w:pStyle w:val="ListParagraph"/>
        <w:spacing w:line="276" w:lineRule="auto"/>
        <w:jc w:val="both"/>
        <w:rPr>
          <w:rFonts w:ascii="Cambria" w:eastAsia="Times New Roman" w:hAnsi="Cambria" w:cstheme="minorHAnsi"/>
        </w:rPr>
      </w:pPr>
    </w:p>
    <w:p w14:paraId="151A3263" w14:textId="5DFFDA53" w:rsidR="00596FF0" w:rsidRPr="00596FF0" w:rsidRDefault="00B46B65" w:rsidP="00596FF0">
      <w:pPr>
        <w:pStyle w:val="ListParagraph"/>
        <w:numPr>
          <w:ilvl w:val="0"/>
          <w:numId w:val="29"/>
        </w:numPr>
        <w:spacing w:line="276" w:lineRule="auto"/>
        <w:jc w:val="both"/>
        <w:rPr>
          <w:rFonts w:asciiTheme="majorHAnsi" w:eastAsia="Times New Roman" w:hAnsiTheme="majorHAnsi" w:cstheme="minorHAnsi"/>
        </w:rPr>
      </w:pPr>
      <w:r w:rsidRPr="0023096D">
        <w:rPr>
          <w:rFonts w:asciiTheme="majorHAnsi" w:eastAsia="Times New Roman" w:hAnsiTheme="majorHAnsi"/>
          <w:lang w:val="en-US"/>
        </w:rPr>
        <w:t xml:space="preserve">In respect of </w:t>
      </w:r>
      <w:r w:rsidR="0049524A" w:rsidRPr="0023096D">
        <w:rPr>
          <w:rFonts w:asciiTheme="majorHAnsi" w:eastAsia="Times New Roman" w:hAnsiTheme="majorHAnsi"/>
          <w:lang w:val="en-US"/>
        </w:rPr>
        <w:t>Article 107 &amp; 133</w:t>
      </w:r>
      <w:r w:rsidRPr="0023096D">
        <w:rPr>
          <w:rFonts w:asciiTheme="majorHAnsi" w:eastAsia="Times New Roman" w:hAnsiTheme="majorHAnsi"/>
          <w:lang w:val="en-US"/>
        </w:rPr>
        <w:t xml:space="preserve"> we note </w:t>
      </w:r>
      <w:r w:rsidR="009705FE" w:rsidRPr="0023096D">
        <w:rPr>
          <w:rFonts w:asciiTheme="majorHAnsi" w:eastAsia="Times New Roman" w:hAnsiTheme="majorHAnsi"/>
          <w:lang w:val="en-US"/>
        </w:rPr>
        <w:t xml:space="preserve">translating </w:t>
      </w:r>
      <w:r w:rsidRPr="0023096D">
        <w:rPr>
          <w:rFonts w:asciiTheme="majorHAnsi" w:eastAsia="Times New Roman" w:hAnsiTheme="majorHAnsi"/>
          <w:lang w:val="en-US"/>
        </w:rPr>
        <w:t>b</w:t>
      </w:r>
      <w:r w:rsidR="0049524A" w:rsidRPr="0023096D">
        <w:rPr>
          <w:rFonts w:asciiTheme="majorHAnsi" w:eastAsia="Times New Roman" w:hAnsiTheme="majorHAnsi"/>
          <w:lang w:val="en-US"/>
        </w:rPr>
        <w:t xml:space="preserve">usiness and functional requirements into IT specifications </w:t>
      </w:r>
      <w:r w:rsidR="009705FE" w:rsidRPr="0023096D">
        <w:rPr>
          <w:rFonts w:asciiTheme="majorHAnsi" w:eastAsia="Times New Roman" w:hAnsiTheme="majorHAnsi"/>
          <w:lang w:val="en-US"/>
        </w:rPr>
        <w:t>is a</w:t>
      </w:r>
      <w:r w:rsidR="0049524A" w:rsidRPr="0023096D">
        <w:rPr>
          <w:rFonts w:asciiTheme="majorHAnsi" w:eastAsia="Times New Roman" w:hAnsiTheme="majorHAnsi"/>
          <w:lang w:val="en-US"/>
        </w:rPr>
        <w:t xml:space="preserve"> very technical task </w:t>
      </w:r>
      <w:r w:rsidR="00D47E62" w:rsidRPr="0023096D">
        <w:rPr>
          <w:rFonts w:asciiTheme="majorHAnsi" w:eastAsia="Times New Roman" w:hAnsiTheme="majorHAnsi"/>
          <w:lang w:val="en-US"/>
        </w:rPr>
        <w:t>and, in our opinion,</w:t>
      </w:r>
      <w:r w:rsidR="0049524A" w:rsidRPr="0023096D">
        <w:rPr>
          <w:rFonts w:asciiTheme="majorHAnsi" w:eastAsia="Times New Roman" w:hAnsiTheme="majorHAnsi"/>
          <w:lang w:val="en-US"/>
        </w:rPr>
        <w:t xml:space="preserve"> too far away from validation work, we see this as a pure IT and Business topic. Furthermore, if for instance a pure IT change was reviewed by e.g. internal audit an additional requirement to validation to check proper reflection in business/functional requirements seem unduly burdensome</w:t>
      </w:r>
      <w:r w:rsidR="00332C8E">
        <w:rPr>
          <w:rFonts w:asciiTheme="majorHAnsi" w:eastAsia="Times New Roman" w:hAnsiTheme="majorHAnsi"/>
          <w:lang w:val="en-US"/>
        </w:rPr>
        <w:t xml:space="preserve"> with limited value add</w:t>
      </w:r>
      <w:r w:rsidR="0049524A" w:rsidRPr="0023096D">
        <w:rPr>
          <w:rFonts w:asciiTheme="majorHAnsi" w:eastAsia="Times New Roman" w:hAnsiTheme="majorHAnsi"/>
          <w:lang w:val="en-US"/>
        </w:rPr>
        <w:t xml:space="preserve"> (</w:t>
      </w:r>
      <w:r w:rsidR="00332C8E">
        <w:rPr>
          <w:rFonts w:asciiTheme="majorHAnsi" w:eastAsia="Times New Roman" w:hAnsiTheme="majorHAnsi"/>
          <w:lang w:val="en-US"/>
        </w:rPr>
        <w:t xml:space="preserve">and </w:t>
      </w:r>
      <w:r w:rsidR="0049524A" w:rsidRPr="0023096D">
        <w:rPr>
          <w:rFonts w:asciiTheme="majorHAnsi" w:eastAsia="Times New Roman" w:hAnsiTheme="majorHAnsi"/>
          <w:lang w:val="en-US"/>
        </w:rPr>
        <w:t>perhaps better placed completely with internal audit as review function).</w:t>
      </w:r>
      <w:r w:rsidR="00332C8E">
        <w:rPr>
          <w:rFonts w:asciiTheme="majorHAnsi" w:eastAsia="Times New Roman" w:hAnsiTheme="majorHAnsi"/>
          <w:lang w:val="en-US"/>
        </w:rPr>
        <w:t xml:space="preserve"> </w:t>
      </w:r>
      <w:r w:rsidR="003034D6" w:rsidRPr="0023096D">
        <w:rPr>
          <w:rFonts w:asciiTheme="majorHAnsi" w:hAnsiTheme="majorHAnsi"/>
          <w:lang w:val="en-US"/>
        </w:rPr>
        <w:t xml:space="preserve">The IT infrastructure and model development and implementation within that infrastructure in banks is subject to detailed governance and security requirements. From our point of view, the guidelines would not need to include additional references for this area as it is seen redundant. </w:t>
      </w:r>
    </w:p>
    <w:p w14:paraId="290BC81F" w14:textId="77777777" w:rsidR="00596FF0" w:rsidRPr="00596FF0" w:rsidRDefault="00596FF0" w:rsidP="00596FF0">
      <w:pPr>
        <w:pStyle w:val="ListParagraph"/>
        <w:rPr>
          <w:rFonts w:ascii="Cambria" w:hAnsi="Cambria"/>
          <w:lang w:val="en-US"/>
        </w:rPr>
      </w:pPr>
    </w:p>
    <w:p w14:paraId="572676FD" w14:textId="0D73E0C8" w:rsidR="00C918C6" w:rsidRPr="00596FF0" w:rsidRDefault="00C918C6" w:rsidP="00596FF0">
      <w:pPr>
        <w:pStyle w:val="ListParagraph"/>
        <w:numPr>
          <w:ilvl w:val="0"/>
          <w:numId w:val="29"/>
        </w:numPr>
        <w:spacing w:line="276" w:lineRule="auto"/>
        <w:jc w:val="both"/>
        <w:rPr>
          <w:rFonts w:asciiTheme="majorHAnsi" w:eastAsia="Times New Roman" w:hAnsiTheme="majorHAnsi" w:cstheme="minorHAnsi"/>
        </w:rPr>
      </w:pPr>
      <w:r w:rsidRPr="00596FF0">
        <w:rPr>
          <w:rFonts w:ascii="Cambria" w:hAnsi="Cambria"/>
          <w:lang w:val="en-US"/>
        </w:rPr>
        <w:t>We would ask the EBA to confirm that the separation between the development sample and the OOT/OOS sample is supposed to reflect the risk differentiation analysis of the model but not for the risk quantification of parameter estimate where all available data / defaults are to be used. We would welcome clarification on the approach to be used for the risk quantification of parameters estimates and validation. (</w:t>
      </w:r>
      <w:r w:rsidR="00D47E62" w:rsidRPr="00596FF0">
        <w:rPr>
          <w:rFonts w:ascii="Cambria" w:hAnsi="Cambria"/>
          <w:lang w:val="en-US"/>
        </w:rPr>
        <w:t>References</w:t>
      </w:r>
      <w:r w:rsidRPr="00596FF0">
        <w:rPr>
          <w:rFonts w:ascii="Cambria" w:hAnsi="Cambria"/>
          <w:lang w:val="en-US"/>
        </w:rPr>
        <w:t>: Interaction Box 5</w:t>
      </w:r>
      <w:r w:rsidRPr="00C918C6">
        <w:rPr>
          <w:rStyle w:val="FootnoteReference"/>
          <w:rFonts w:ascii="Cambria" w:hAnsi="Cambria"/>
          <w:lang w:val="en-US"/>
        </w:rPr>
        <w:footnoteReference w:id="5"/>
      </w:r>
      <w:r w:rsidRPr="00596FF0">
        <w:rPr>
          <w:rFonts w:ascii="Cambria" w:hAnsi="Cambria"/>
          <w:lang w:val="en-US"/>
        </w:rPr>
        <w:t xml:space="preserve"> and Interaction Box 1/ CRR Article 179 (1) c) states that “</w:t>
      </w:r>
      <w:r w:rsidRPr="00596FF0">
        <w:rPr>
          <w:rFonts w:ascii="Cambria" w:hAnsi="Cambria"/>
          <w:i/>
          <w:lang w:val="en-US"/>
        </w:rPr>
        <w:t>An institution's estimates shall reflect the implications of technical advances and new data and other information, as it becomes available. Institutions shall review their estimates when new information comes to light but at least on an annual basis</w:t>
      </w:r>
      <w:r w:rsidRPr="00596FF0">
        <w:rPr>
          <w:rFonts w:ascii="Cambria" w:hAnsi="Cambria"/>
          <w:lang w:val="en-US"/>
        </w:rPr>
        <w:t>” and CRR Article 181 (a) states “</w:t>
      </w:r>
      <w:r w:rsidRPr="00596FF0">
        <w:rPr>
          <w:rFonts w:ascii="Cambria" w:hAnsi="Cambria"/>
          <w:i/>
          <w:lang w:val="en-US"/>
        </w:rPr>
        <w:t>institutions shall estimate LGDs by facility grade or pool on the basis of the average realised LGDs by facility grade or pool using all observed defaults within the data sources</w:t>
      </w:r>
      <w:r w:rsidRPr="00596FF0">
        <w:rPr>
          <w:rFonts w:ascii="Cambria" w:hAnsi="Cambria"/>
          <w:lang w:val="en-US"/>
        </w:rPr>
        <w:t>”.</w:t>
      </w:r>
    </w:p>
    <w:p w14:paraId="79AF99F4" w14:textId="77777777" w:rsidR="00C918C6" w:rsidRPr="00C918C6" w:rsidRDefault="00C918C6" w:rsidP="00C918C6">
      <w:pPr>
        <w:pStyle w:val="ListParagraph"/>
        <w:spacing w:line="276" w:lineRule="auto"/>
        <w:rPr>
          <w:rFonts w:ascii="Cambria" w:hAnsi="Cambria"/>
          <w:lang w:val="en-US"/>
        </w:rPr>
      </w:pPr>
    </w:p>
    <w:p w14:paraId="60B221DF" w14:textId="4DFCE430" w:rsidR="00C918C6" w:rsidRPr="00C918C6" w:rsidRDefault="00C918C6" w:rsidP="00C918C6">
      <w:pPr>
        <w:pStyle w:val="ListParagraph"/>
        <w:numPr>
          <w:ilvl w:val="0"/>
          <w:numId w:val="27"/>
        </w:numPr>
        <w:spacing w:line="276" w:lineRule="auto"/>
        <w:jc w:val="both"/>
        <w:rPr>
          <w:rFonts w:ascii="Cambria" w:hAnsi="Cambria"/>
          <w:lang w:val="en-US"/>
        </w:rPr>
      </w:pPr>
      <w:r w:rsidRPr="0A0CF55C">
        <w:rPr>
          <w:rFonts w:ascii="Cambria" w:hAnsi="Cambria"/>
          <w:lang w:val="en-US"/>
        </w:rPr>
        <w:lastRenderedPageBreak/>
        <w:t xml:space="preserve">We would </w:t>
      </w:r>
      <w:r w:rsidRPr="00A97B95">
        <w:rPr>
          <w:rFonts w:ascii="Cambria" w:hAnsi="Cambria"/>
          <w:lang w:val="en-US"/>
        </w:rPr>
        <w:t xml:space="preserve">also welcome clarification from the EBA on the amount of time/sample that is expected to be left apart for </w:t>
      </w:r>
      <w:r w:rsidR="00D47E62" w:rsidRPr="00A97B95">
        <w:rPr>
          <w:rFonts w:ascii="Cambria" w:hAnsi="Cambria"/>
          <w:lang w:val="en-US"/>
        </w:rPr>
        <w:t xml:space="preserve">the </w:t>
      </w:r>
      <w:r w:rsidR="00D47E62" w:rsidRPr="00A97B95">
        <w:rPr>
          <w:rFonts w:ascii="Cambria" w:hAnsi="Cambria"/>
        </w:rPr>
        <w:t>out</w:t>
      </w:r>
      <w:r w:rsidR="4EE0B2EF" w:rsidRPr="00A97B95">
        <w:rPr>
          <w:rFonts w:ascii="Cambria" w:hAnsi="Cambria"/>
        </w:rPr>
        <w:t>-of-time (OOT) and out-of-sample (OOS)</w:t>
      </w:r>
      <w:r w:rsidRPr="00A97B95">
        <w:rPr>
          <w:rFonts w:ascii="Cambria" w:hAnsi="Cambria"/>
          <w:lang w:val="en-US"/>
        </w:rPr>
        <w:t xml:space="preserve"> analyses</w:t>
      </w:r>
      <w:r w:rsidRPr="0A0CF55C">
        <w:rPr>
          <w:rFonts w:ascii="Cambria" w:hAnsi="Cambria"/>
          <w:lang w:val="en-US"/>
        </w:rPr>
        <w:t xml:space="preserve">. For the OOT analysis, while a 1-year period would be practicable at least for PD (but probably still not sufficient for LGD) both from a validation and a CRCU perspective, longer time period for OOT samples would imply developing the model on older time horizon, with potential shortcomings on representativeness and also the necessity of an update of the time series (through ex-ante or authorization) suddenly after the authorization of the model change itself. For the OOS analysis we ask </w:t>
      </w:r>
      <w:r w:rsidR="000F5FBF">
        <w:rPr>
          <w:rFonts w:ascii="Cambria" w:hAnsi="Cambria"/>
          <w:lang w:val="en-US"/>
        </w:rPr>
        <w:t xml:space="preserve">the EBA </w:t>
      </w:r>
      <w:r w:rsidRPr="0A0CF55C">
        <w:rPr>
          <w:rFonts w:ascii="Cambria" w:hAnsi="Cambria"/>
          <w:lang w:val="en-US"/>
        </w:rPr>
        <w:t xml:space="preserve">to clarify if a statistical approach (such as stratified random sampling approach or bootstrapping techniques) </w:t>
      </w:r>
      <w:r w:rsidR="000F5FBF">
        <w:rPr>
          <w:rFonts w:ascii="Cambria" w:hAnsi="Cambria"/>
          <w:lang w:val="en-US"/>
        </w:rPr>
        <w:t>c</w:t>
      </w:r>
      <w:r w:rsidRPr="0A0CF55C">
        <w:rPr>
          <w:rFonts w:ascii="Cambria" w:hAnsi="Cambria"/>
          <w:lang w:val="en-US"/>
        </w:rPr>
        <w:t xml:space="preserve">ould be considered as appropriate. (References: Art. 50 and 51 state requirements to </w:t>
      </w:r>
      <w:r w:rsidRPr="0A0CF55C">
        <w:rPr>
          <w:rFonts w:ascii="Cambria" w:hAnsi="Cambria"/>
          <w:i/>
          <w:iCs/>
          <w:lang w:val="en-US"/>
        </w:rPr>
        <w:t>challenge the methodological choices used to derive the PD and LGD best estimates)</w:t>
      </w:r>
      <w:r w:rsidRPr="0A0CF55C">
        <w:rPr>
          <w:rFonts w:ascii="Cambria" w:hAnsi="Cambria"/>
          <w:lang w:val="en-US"/>
        </w:rPr>
        <w:t xml:space="preserve">. </w:t>
      </w:r>
    </w:p>
    <w:p w14:paraId="2CCA4825" w14:textId="77777777" w:rsidR="00C918C6" w:rsidRPr="00C918C6" w:rsidRDefault="00C918C6" w:rsidP="00C918C6">
      <w:pPr>
        <w:pStyle w:val="ListParagraph"/>
        <w:spacing w:line="276" w:lineRule="auto"/>
        <w:jc w:val="both"/>
        <w:rPr>
          <w:rFonts w:ascii="Cambria" w:hAnsi="Cambria"/>
          <w:lang w:val="en-US"/>
        </w:rPr>
      </w:pPr>
    </w:p>
    <w:p w14:paraId="673E8F00" w14:textId="48CF855E" w:rsidR="00C918C6" w:rsidRPr="00C918C6" w:rsidRDefault="00C918C6" w:rsidP="00C918C6">
      <w:pPr>
        <w:pStyle w:val="ListParagraph"/>
        <w:numPr>
          <w:ilvl w:val="0"/>
          <w:numId w:val="27"/>
        </w:numPr>
        <w:spacing w:line="276" w:lineRule="auto"/>
        <w:jc w:val="both"/>
        <w:rPr>
          <w:rFonts w:ascii="Cambria" w:hAnsi="Cambria"/>
          <w:lang w:val="en-US"/>
        </w:rPr>
      </w:pPr>
      <w:r w:rsidRPr="00532012">
        <w:rPr>
          <w:rFonts w:ascii="Cambria" w:hAnsi="Cambria"/>
          <w:lang w:val="en-US"/>
        </w:rPr>
        <w:t>Could the EBA</w:t>
      </w:r>
      <w:r w:rsidRPr="00C918C6">
        <w:rPr>
          <w:rFonts w:ascii="Cambria" w:hAnsi="Cambria"/>
          <w:lang w:val="en-US"/>
        </w:rPr>
        <w:t xml:space="preserve"> confirm its expectation regarding “best estimate” parameters is to establish a link between the PD and LGD “best estimate” in IRB modelling with the PD and LGD models for IFRS9. If this link is not an EBA expectation, we would ask for a different terminology to be used for IRB PD and LGD models before prudential correction (e.g. “LRA PD estimates” and “LRA LGD estimates”) in order to avoid any po</w:t>
      </w:r>
      <w:r w:rsidR="003228DD">
        <w:rPr>
          <w:rFonts w:ascii="Cambria" w:hAnsi="Cambria"/>
          <w:lang w:val="en-US"/>
        </w:rPr>
        <w:t>tential</w:t>
      </w:r>
      <w:r w:rsidRPr="00C918C6">
        <w:rPr>
          <w:rFonts w:ascii="Cambria" w:hAnsi="Cambria"/>
          <w:lang w:val="en-US"/>
        </w:rPr>
        <w:t xml:space="preserve"> ambiguity. </w:t>
      </w:r>
      <w:r w:rsidR="003228DD">
        <w:rPr>
          <w:rFonts w:ascii="Cambria" w:hAnsi="Cambria"/>
          <w:lang w:val="en-US"/>
        </w:rPr>
        <w:t>We note</w:t>
      </w:r>
      <w:r w:rsidRPr="00C918C6">
        <w:rPr>
          <w:rFonts w:ascii="Cambria" w:hAnsi="Cambria"/>
          <w:lang w:val="en-US"/>
        </w:rPr>
        <w:t xml:space="preserve"> Internal Validation aims to assure that the risk parameters are adequate and consistent with the RWEA calculation, thus we deem more appropriate to ground the final validation assessment on the quantitative tests performed on the final risk parameters used for the RWEA calculation, in alignment with paragraph 55 and also with the ECB Supervisory Validation Reporting. Furthermore, developing both type</w:t>
      </w:r>
      <w:r w:rsidR="006E798A">
        <w:rPr>
          <w:rFonts w:ascii="Cambria" w:hAnsi="Cambria"/>
          <w:lang w:val="en-US"/>
        </w:rPr>
        <w:t>s</w:t>
      </w:r>
      <w:r w:rsidRPr="00C918C6">
        <w:rPr>
          <w:rFonts w:ascii="Cambria" w:hAnsi="Cambria"/>
          <w:lang w:val="en-US"/>
        </w:rPr>
        <w:t xml:space="preserve"> of analys</w:t>
      </w:r>
      <w:r w:rsidR="002E77FF">
        <w:rPr>
          <w:rFonts w:ascii="Cambria" w:hAnsi="Cambria"/>
          <w:lang w:val="en-US"/>
        </w:rPr>
        <w:t>e</w:t>
      </w:r>
      <w:r w:rsidRPr="00C918C6">
        <w:rPr>
          <w:rFonts w:ascii="Cambria" w:hAnsi="Cambria"/>
          <w:lang w:val="en-US"/>
        </w:rPr>
        <w:t>s (</w:t>
      </w:r>
      <w:r w:rsidR="006E798A">
        <w:rPr>
          <w:rFonts w:ascii="Cambria" w:hAnsi="Cambria"/>
          <w:lang w:val="en-US"/>
        </w:rPr>
        <w:t xml:space="preserve">i.e. </w:t>
      </w:r>
      <w:r w:rsidRPr="00C918C6">
        <w:rPr>
          <w:rFonts w:ascii="Cambria" w:hAnsi="Cambria"/>
          <w:lang w:val="en-US"/>
        </w:rPr>
        <w:t>on “best estimate” parameters and on “LRA estimate” parameters) would add complexity when dealing with non-coherent outcomes between the two analyses</w:t>
      </w:r>
      <w:r w:rsidR="006E798A">
        <w:rPr>
          <w:rFonts w:ascii="Cambria" w:hAnsi="Cambria"/>
          <w:lang w:val="en-US"/>
        </w:rPr>
        <w:t xml:space="preserve"> – </w:t>
      </w:r>
      <w:r w:rsidRPr="00C918C6">
        <w:rPr>
          <w:rFonts w:ascii="Cambria" w:hAnsi="Cambria"/>
          <w:lang w:val="en-US"/>
        </w:rPr>
        <w:t>for example in terms of recommendations and remedial actions.</w:t>
      </w:r>
    </w:p>
    <w:p w14:paraId="6600F1DA" w14:textId="77777777" w:rsidR="00C918C6" w:rsidRPr="00C918C6" w:rsidRDefault="00C918C6" w:rsidP="00C918C6">
      <w:pPr>
        <w:pStyle w:val="ListParagraph"/>
        <w:spacing w:line="276" w:lineRule="auto"/>
        <w:rPr>
          <w:rFonts w:ascii="Cambria" w:hAnsi="Cambria"/>
          <w:lang w:val="en-US"/>
        </w:rPr>
      </w:pPr>
    </w:p>
    <w:p w14:paraId="7B005B0E" w14:textId="7856A847" w:rsidR="00532012" w:rsidRPr="00B46B65" w:rsidRDefault="00532012" w:rsidP="00532012">
      <w:pPr>
        <w:pStyle w:val="ListParagraph"/>
        <w:numPr>
          <w:ilvl w:val="0"/>
          <w:numId w:val="27"/>
        </w:numPr>
        <w:spacing w:after="120" w:line="276" w:lineRule="auto"/>
        <w:jc w:val="both"/>
        <w:rPr>
          <w:rFonts w:asciiTheme="majorHAnsi" w:hAnsiTheme="majorHAnsi" w:cstheme="minorHAnsi"/>
        </w:rPr>
      </w:pPr>
      <w:r w:rsidRPr="0A0CF55C">
        <w:rPr>
          <w:rFonts w:asciiTheme="majorHAnsi" w:hAnsiTheme="majorHAnsi" w:cstheme="minorBidi"/>
        </w:rPr>
        <w:t xml:space="preserve">A clarification of the interrelation between the </w:t>
      </w:r>
      <w:r w:rsidR="002E77FF">
        <w:rPr>
          <w:rFonts w:asciiTheme="majorHAnsi" w:hAnsiTheme="majorHAnsi" w:cstheme="minorBidi"/>
        </w:rPr>
        <w:t>H</w:t>
      </w:r>
      <w:r w:rsidRPr="0A0CF55C">
        <w:rPr>
          <w:rFonts w:asciiTheme="majorHAnsi" w:hAnsiTheme="majorHAnsi" w:cstheme="minorBidi"/>
        </w:rPr>
        <w:t xml:space="preserve">andbook and both the ECB guide to internal models and the ECB instructions for reporting the validation results of internal models would also be appreciated. In particular, although broadly speaking they are all very much aligned, the validation task required in paragraph 65(h)(vi)(a) of the ECB guide (analysis of model design stability) does not seem to be included in the </w:t>
      </w:r>
      <w:r w:rsidR="00ED541E">
        <w:rPr>
          <w:rFonts w:asciiTheme="majorHAnsi" w:hAnsiTheme="majorHAnsi" w:cstheme="minorBidi"/>
        </w:rPr>
        <w:t>H</w:t>
      </w:r>
      <w:r w:rsidRPr="0A0CF55C">
        <w:rPr>
          <w:rFonts w:asciiTheme="majorHAnsi" w:hAnsiTheme="majorHAnsi" w:cstheme="minorBidi"/>
        </w:rPr>
        <w:t xml:space="preserve">andbook. Does this mean that the previously mentioned analysis is no longer required? On the other hand, in relation to the ECB instructions for reporting validation results, these only allow for the possibility of considering model changes that happened within the observation period when these are material, otherwise (i.e. if no changes or only non-material changes have occurred within that period) the parameters to be used in the analysis must be those that were in force at the time of the initial reference date. In contrast, in the </w:t>
      </w:r>
      <w:r w:rsidR="00ED541E">
        <w:rPr>
          <w:rFonts w:asciiTheme="majorHAnsi" w:hAnsiTheme="majorHAnsi" w:cstheme="minorBidi"/>
        </w:rPr>
        <w:t>H</w:t>
      </w:r>
      <w:r w:rsidRPr="0A0CF55C">
        <w:rPr>
          <w:rFonts w:asciiTheme="majorHAnsi" w:hAnsiTheme="majorHAnsi" w:cstheme="minorBidi"/>
        </w:rPr>
        <w:t>andbook it seems that performance tests must be carried out also when non-material changes are presented.</w:t>
      </w:r>
    </w:p>
    <w:p w14:paraId="7F7292F7" w14:textId="77777777" w:rsidR="00B76789" w:rsidRPr="00B46B65" w:rsidRDefault="00B76789" w:rsidP="007629C1">
      <w:pPr>
        <w:pStyle w:val="ListParagraph"/>
        <w:spacing w:after="120" w:line="276" w:lineRule="auto"/>
        <w:jc w:val="both"/>
        <w:rPr>
          <w:rFonts w:asciiTheme="majorHAnsi" w:hAnsiTheme="majorHAnsi" w:cstheme="minorHAnsi"/>
        </w:rPr>
      </w:pPr>
    </w:p>
    <w:p w14:paraId="521A67D9" w14:textId="77777777" w:rsidR="00311625" w:rsidRPr="00FC2D76" w:rsidRDefault="00311625" w:rsidP="00003882">
      <w:pPr>
        <w:spacing w:after="120"/>
        <w:jc w:val="both"/>
        <w:rPr>
          <w:b/>
          <w:bCs/>
        </w:rPr>
      </w:pPr>
      <w:r w:rsidRPr="00FC2D76">
        <w:rPr>
          <w:b/>
          <w:bCs/>
        </w:rPr>
        <w:t xml:space="preserve">Question 1: </w:t>
      </w:r>
    </w:p>
    <w:p w14:paraId="083B508B" w14:textId="77777777" w:rsidR="00311625" w:rsidRDefault="00311625" w:rsidP="00003882">
      <w:pPr>
        <w:spacing w:after="120"/>
        <w:jc w:val="both"/>
        <w:rPr>
          <w:b/>
          <w:bCs/>
        </w:rPr>
      </w:pPr>
      <w:r w:rsidRPr="00FC2D76">
        <w:rPr>
          <w:b/>
          <w:bCs/>
        </w:rPr>
        <w:t xml:space="preserve">1a) How is the split between the first and the subsequent validation implemented in your institution? </w:t>
      </w:r>
    </w:p>
    <w:tbl>
      <w:tblPr>
        <w:tblStyle w:val="TableGrid"/>
        <w:tblW w:w="0" w:type="auto"/>
        <w:tblLook w:val="04A0" w:firstRow="1" w:lastRow="0" w:firstColumn="1" w:lastColumn="0" w:noHBand="0" w:noVBand="1"/>
      </w:tblPr>
      <w:tblGrid>
        <w:gridCol w:w="10457"/>
      </w:tblGrid>
      <w:tr w:rsidR="00FC2D76" w14:paraId="310FDB18" w14:textId="77777777" w:rsidTr="0A0CF55C">
        <w:tc>
          <w:tcPr>
            <w:tcW w:w="10457" w:type="dxa"/>
          </w:tcPr>
          <w:p w14:paraId="14810405" w14:textId="2F820CE2" w:rsidR="00257338" w:rsidRPr="004D79D1" w:rsidRDefault="00826B37" w:rsidP="00257338">
            <w:pPr>
              <w:spacing w:after="120"/>
              <w:jc w:val="both"/>
              <w:rPr>
                <w:sz w:val="22"/>
                <w:szCs w:val="22"/>
              </w:rPr>
            </w:pPr>
            <w:r>
              <w:rPr>
                <w:b/>
                <w:bCs/>
                <w:sz w:val="22"/>
                <w:szCs w:val="22"/>
              </w:rPr>
              <w:t>Members have indicated the following approaches to validation:</w:t>
            </w:r>
          </w:p>
          <w:p w14:paraId="6057FC36" w14:textId="7C582AC7" w:rsidR="00FC2D76" w:rsidRPr="00F709BD" w:rsidRDefault="00F709BD" w:rsidP="00F709BD">
            <w:pPr>
              <w:pStyle w:val="ListParagraph"/>
              <w:numPr>
                <w:ilvl w:val="0"/>
                <w:numId w:val="20"/>
              </w:numPr>
              <w:spacing w:after="120"/>
              <w:jc w:val="both"/>
              <w:rPr>
                <w:rFonts w:ascii="Cambria" w:hAnsi="Cambria"/>
              </w:rPr>
            </w:pPr>
            <w:r w:rsidRPr="00F709BD">
              <w:rPr>
                <w:rFonts w:ascii="Cambria" w:hAnsi="Cambria"/>
              </w:rPr>
              <w:t>A clearly defined two-step approach</w:t>
            </w:r>
            <w:r w:rsidR="00B007D0">
              <w:rPr>
                <w:rFonts w:ascii="Cambria" w:hAnsi="Cambria"/>
              </w:rPr>
              <w:t>,</w:t>
            </w:r>
            <w:r w:rsidRPr="00F709BD">
              <w:rPr>
                <w:rFonts w:ascii="Cambria" w:hAnsi="Cambria"/>
              </w:rPr>
              <w:t xml:space="preserve"> with a</w:t>
            </w:r>
            <w:r w:rsidR="00257338" w:rsidRPr="00F709BD">
              <w:rPr>
                <w:rFonts w:ascii="Cambria" w:hAnsi="Cambria"/>
              </w:rPr>
              <w:t xml:space="preserve">n </w:t>
            </w:r>
            <w:r w:rsidR="00257338" w:rsidRPr="00F709BD">
              <w:rPr>
                <w:rFonts w:ascii="Cambria" w:hAnsi="Cambria"/>
                <w:b/>
                <w:bCs/>
              </w:rPr>
              <w:t>initial validation</w:t>
            </w:r>
            <w:r w:rsidR="00257338" w:rsidRPr="00F709BD">
              <w:rPr>
                <w:rFonts w:ascii="Cambria" w:hAnsi="Cambria"/>
              </w:rPr>
              <w:t xml:space="preserve">, which applies for new models and models on which changes have been carried out. A complete validation is performed over all dimensions, or only over those dimensions or aspects subject to any type of modification. </w:t>
            </w:r>
            <w:r w:rsidRPr="00F709BD">
              <w:rPr>
                <w:rFonts w:ascii="Cambria" w:hAnsi="Cambria"/>
              </w:rPr>
              <w:t xml:space="preserve"> This is followed with a </w:t>
            </w:r>
            <w:r w:rsidR="00257338" w:rsidRPr="00F709BD">
              <w:rPr>
                <w:rFonts w:ascii="Cambria" w:hAnsi="Cambria"/>
                <w:b/>
                <w:bCs/>
              </w:rPr>
              <w:t>recurrent validation</w:t>
            </w:r>
            <w:r w:rsidRPr="00F709BD">
              <w:rPr>
                <w:rFonts w:ascii="Cambria" w:hAnsi="Cambria"/>
                <w:b/>
                <w:bCs/>
              </w:rPr>
              <w:t xml:space="preserve"> which is </w:t>
            </w:r>
            <w:r w:rsidR="00257338" w:rsidRPr="00F709BD">
              <w:rPr>
                <w:rFonts w:ascii="Cambria" w:hAnsi="Cambria"/>
              </w:rPr>
              <w:t>performed over all those previously validated models. For IRB models, this validation occur</w:t>
            </w:r>
            <w:r w:rsidRPr="00F709BD">
              <w:rPr>
                <w:rFonts w:ascii="Cambria" w:hAnsi="Cambria"/>
              </w:rPr>
              <w:t>s</w:t>
            </w:r>
            <w:r w:rsidR="00257338" w:rsidRPr="00F709BD">
              <w:rPr>
                <w:rFonts w:ascii="Cambria" w:hAnsi="Cambria"/>
              </w:rPr>
              <w:t xml:space="preserve"> </w:t>
            </w:r>
            <w:r w:rsidR="00D47E62" w:rsidRPr="00F709BD">
              <w:rPr>
                <w:rFonts w:ascii="Cambria" w:hAnsi="Cambria"/>
              </w:rPr>
              <w:t>annually,</w:t>
            </w:r>
            <w:r w:rsidRPr="00F709BD">
              <w:rPr>
                <w:rFonts w:ascii="Cambria" w:hAnsi="Cambria"/>
              </w:rPr>
              <w:t xml:space="preserve"> and a</w:t>
            </w:r>
            <w:r w:rsidR="00257338" w:rsidRPr="00F709BD">
              <w:rPr>
                <w:rFonts w:ascii="Cambria" w:hAnsi="Cambria"/>
              </w:rPr>
              <w:t>ll dimensions are reviewed in accordance with the regulation in force.</w:t>
            </w:r>
          </w:p>
          <w:p w14:paraId="2A6B5503" w14:textId="60913ADA" w:rsidR="000C1AD7" w:rsidRPr="007A200C" w:rsidRDefault="1599FFDE" w:rsidP="0A0CF55C">
            <w:pPr>
              <w:pStyle w:val="ListParagraph"/>
              <w:numPr>
                <w:ilvl w:val="0"/>
                <w:numId w:val="20"/>
              </w:numPr>
              <w:spacing w:after="120"/>
              <w:jc w:val="both"/>
              <w:rPr>
                <w:rFonts w:asciiTheme="majorHAnsi" w:hAnsiTheme="majorHAnsi"/>
              </w:rPr>
            </w:pPr>
            <w:r w:rsidRPr="0A0CF55C">
              <w:rPr>
                <w:rFonts w:asciiTheme="majorHAnsi" w:eastAsia="Arial" w:hAnsiTheme="majorHAnsi" w:cs="Calibri"/>
                <w:lang w:val="en-US"/>
              </w:rPr>
              <w:t xml:space="preserve">In the </w:t>
            </w:r>
            <w:r w:rsidR="1CD01413" w:rsidRPr="0A0CF55C">
              <w:rPr>
                <w:rFonts w:asciiTheme="majorHAnsi" w:eastAsia="Arial" w:hAnsiTheme="majorHAnsi" w:cs="Calibri"/>
                <w:lang w:val="en-US"/>
              </w:rPr>
              <w:t>second</w:t>
            </w:r>
            <w:r w:rsidRPr="0A0CF55C">
              <w:rPr>
                <w:rFonts w:asciiTheme="majorHAnsi" w:eastAsia="Arial" w:hAnsiTheme="majorHAnsi" w:cs="Calibri"/>
                <w:lang w:val="en-US"/>
              </w:rPr>
              <w:t xml:space="preserve"> approach</w:t>
            </w:r>
            <w:r w:rsidR="59C5FFD4" w:rsidRPr="0A0CF55C">
              <w:rPr>
                <w:rFonts w:asciiTheme="majorHAnsi" w:eastAsia="Arial" w:hAnsiTheme="majorHAnsi" w:cs="Calibri"/>
                <w:lang w:val="en-US"/>
              </w:rPr>
              <w:t xml:space="preserve"> there is no explicit definition for “first” and “subsequent” validation, while the internal framework clearly defines what an “initial” vs “ongoing” validation is. The main difference is the prescription for qualitative tests in the initial validation (e.g., on variable selection or model design), while quantitative tests are performed both in initial and in ongoing validation. In case of </w:t>
            </w:r>
            <w:r w:rsidR="59C5FFD4" w:rsidRPr="0A0CF55C">
              <w:rPr>
                <w:rFonts w:asciiTheme="majorHAnsi" w:eastAsia="Arial" w:hAnsiTheme="majorHAnsi" w:cs="Calibri"/>
                <w:lang w:val="en-US"/>
              </w:rPr>
              <w:lastRenderedPageBreak/>
              <w:t xml:space="preserve">material model change or extension to a rating system, </w:t>
            </w:r>
            <w:r w:rsidR="04C6312D" w:rsidRPr="0A0CF55C">
              <w:rPr>
                <w:rFonts w:asciiTheme="majorHAnsi" w:eastAsia="Arial" w:hAnsiTheme="majorHAnsi" w:cs="Calibri"/>
                <w:lang w:val="en-US"/>
              </w:rPr>
              <w:t>the</w:t>
            </w:r>
            <w:r w:rsidR="59C5FFD4" w:rsidRPr="0A0CF55C">
              <w:rPr>
                <w:rFonts w:asciiTheme="majorHAnsi" w:eastAsia="Arial" w:hAnsiTheme="majorHAnsi" w:cs="Calibri"/>
                <w:lang w:val="en-US"/>
              </w:rPr>
              <w:t xml:space="preserve"> </w:t>
            </w:r>
            <w:r w:rsidR="00D47E62" w:rsidRPr="0A0CF55C">
              <w:rPr>
                <w:rFonts w:asciiTheme="majorHAnsi" w:eastAsia="Arial" w:hAnsiTheme="majorHAnsi" w:cs="Calibri"/>
                <w:lang w:val="en-US"/>
              </w:rPr>
              <w:t>framework foresees</w:t>
            </w:r>
            <w:r w:rsidR="59C5FFD4" w:rsidRPr="0A0CF55C">
              <w:rPr>
                <w:rFonts w:asciiTheme="majorHAnsi" w:eastAsia="Arial" w:hAnsiTheme="majorHAnsi" w:cs="Calibri"/>
                <w:lang w:val="en-US"/>
              </w:rPr>
              <w:t xml:space="preserve"> an initial validation. In case of non-material model change or extension to a rating system, when no report by the independent review or validation is expected to be part of the application package, the framework </w:t>
            </w:r>
            <w:r w:rsidR="00853014">
              <w:rPr>
                <w:rFonts w:asciiTheme="majorHAnsi" w:eastAsia="Arial" w:hAnsiTheme="majorHAnsi" w:cs="Calibri"/>
                <w:lang w:val="en-US"/>
              </w:rPr>
              <w:t>in any case</w:t>
            </w:r>
            <w:r w:rsidR="59C5FFD4" w:rsidRPr="0A0CF55C">
              <w:rPr>
                <w:rFonts w:asciiTheme="majorHAnsi" w:eastAsia="Arial" w:hAnsiTheme="majorHAnsi" w:cs="Calibri"/>
                <w:lang w:val="en-US"/>
              </w:rPr>
              <w:t xml:space="preserve"> foresees in the relevant ongoing validation that qualitative tests must be performed in case of changes in the steps under assessment or in the relevant requirements. </w:t>
            </w:r>
            <w:r w:rsidR="036EA0F6" w:rsidRPr="0A0CF55C">
              <w:rPr>
                <w:rFonts w:asciiTheme="majorHAnsi" w:eastAsia="Arial" w:hAnsiTheme="majorHAnsi" w:cs="Calibri"/>
                <w:lang w:val="en-US"/>
              </w:rPr>
              <w:t>The</w:t>
            </w:r>
            <w:r w:rsidR="59C5FFD4" w:rsidRPr="0A0CF55C">
              <w:rPr>
                <w:rFonts w:asciiTheme="majorHAnsi" w:eastAsia="Arial" w:hAnsiTheme="majorHAnsi" w:cs="Calibri"/>
                <w:lang w:val="en-US"/>
              </w:rPr>
              <w:t xml:space="preserve"> understanding is that th</w:t>
            </w:r>
            <w:r w:rsidR="1CA0C1A2" w:rsidRPr="0A0CF55C">
              <w:rPr>
                <w:rFonts w:asciiTheme="majorHAnsi" w:eastAsia="Arial" w:hAnsiTheme="majorHAnsi" w:cs="Calibri"/>
                <w:lang w:val="en-US"/>
              </w:rPr>
              <w:t xml:space="preserve">is </w:t>
            </w:r>
            <w:r w:rsidR="59C5FFD4" w:rsidRPr="0A0CF55C">
              <w:rPr>
                <w:rFonts w:asciiTheme="majorHAnsi" w:eastAsia="Arial" w:hAnsiTheme="majorHAnsi" w:cs="Calibri"/>
                <w:lang w:val="en-US"/>
              </w:rPr>
              <w:t>framework is already co</w:t>
            </w:r>
            <w:r w:rsidR="62905613" w:rsidRPr="0A0CF55C">
              <w:rPr>
                <w:rFonts w:asciiTheme="majorHAnsi" w:eastAsia="Arial" w:hAnsiTheme="majorHAnsi" w:cs="Calibri"/>
                <w:lang w:val="en-US"/>
              </w:rPr>
              <w:t xml:space="preserve">mpliant </w:t>
            </w:r>
            <w:r w:rsidR="59C5FFD4" w:rsidRPr="0A0CF55C">
              <w:rPr>
                <w:rFonts w:asciiTheme="majorHAnsi" w:eastAsia="Arial" w:hAnsiTheme="majorHAnsi" w:cs="Calibri"/>
                <w:lang w:val="en-US"/>
              </w:rPr>
              <w:t>to footnote 36.</w:t>
            </w:r>
          </w:p>
          <w:p w14:paraId="6EECB442" w14:textId="1B2E3738" w:rsidR="007A200C" w:rsidRPr="007A200C" w:rsidRDefault="007A200C" w:rsidP="007A200C">
            <w:pPr>
              <w:pStyle w:val="ListParagraph"/>
              <w:numPr>
                <w:ilvl w:val="0"/>
                <w:numId w:val="20"/>
              </w:numPr>
              <w:spacing w:after="120"/>
              <w:jc w:val="both"/>
              <w:rPr>
                <w:rFonts w:asciiTheme="majorHAnsi" w:hAnsiTheme="majorHAnsi"/>
              </w:rPr>
            </w:pPr>
            <w:r w:rsidRPr="5A0E9408">
              <w:rPr>
                <w:rFonts w:asciiTheme="majorHAnsi" w:hAnsiTheme="majorHAnsi"/>
              </w:rPr>
              <w:t xml:space="preserve">A framework that provides a differentiation between “full” and “standard” validation, with the latter providing a simplified approach in terms of depth of analysis excluding model design checks. In this regard, starting from 2021 the mentioned Internal Validation framework has been updated implementing the Model Risk Tier as a relevant driver to apply different frequency and depth of the analysis “commensurate with the complexity and materiality of the rating systems under the scope of validation”. The methodology assigns Tier 1 </w:t>
            </w:r>
            <w:r w:rsidR="00920650">
              <w:rPr>
                <w:rFonts w:asciiTheme="majorHAnsi" w:hAnsiTheme="majorHAnsi"/>
              </w:rPr>
              <w:t>and</w:t>
            </w:r>
            <w:r w:rsidRPr="5A0E9408">
              <w:rPr>
                <w:rFonts w:asciiTheme="majorHAnsi" w:hAnsiTheme="majorHAnsi"/>
              </w:rPr>
              <w:t xml:space="preserve"> Tier 2 to the most relevant models of the Group, on the other hand Tier 3 and Tier 4 are assigned to less significant models. The full validation is applied at first adoption, in case of material model changes and extensions and in case of non-material model changes and extensions subject to ex-ante notification for </w:t>
            </w:r>
            <w:r w:rsidR="00920650">
              <w:rPr>
                <w:rFonts w:asciiTheme="majorHAnsi" w:hAnsiTheme="majorHAnsi"/>
              </w:rPr>
              <w:t>T</w:t>
            </w:r>
            <w:r w:rsidRPr="5A0E9408">
              <w:rPr>
                <w:rFonts w:asciiTheme="majorHAnsi" w:hAnsiTheme="majorHAnsi"/>
              </w:rPr>
              <w:t xml:space="preserve">ier 1 models identified as such within the Model Risk Management framework and in particular in the Model Tiering Methodology implemented by the Model Risk Management sub-department since 2019 to classify and rank models allowing the tiers-based streamlining of the main model related processes. Ex-ante notifications for </w:t>
            </w:r>
            <w:r w:rsidR="006274EA">
              <w:rPr>
                <w:rFonts w:asciiTheme="majorHAnsi" w:hAnsiTheme="majorHAnsi"/>
              </w:rPr>
              <w:t>T</w:t>
            </w:r>
            <w:r w:rsidRPr="5A0E9408">
              <w:rPr>
                <w:rFonts w:asciiTheme="majorHAnsi" w:hAnsiTheme="majorHAnsi"/>
              </w:rPr>
              <w:t>ier 2 models are instead supported by a standard validation. Subsequent validations are subject to the standard validation on a regular (annual) basis, but subject to the full validation on a periodical basis as provided within the ECB Guide to Internal Models. In case of model changes, either material or non-material subject to ex-ante notifications, model design checks are limited to those components directly or indirectly effected by the change</w:t>
            </w:r>
            <w:r>
              <w:rPr>
                <w:rFonts w:asciiTheme="majorHAnsi" w:hAnsiTheme="majorHAnsi"/>
              </w:rPr>
              <w:t>.</w:t>
            </w:r>
          </w:p>
          <w:p w14:paraId="414C8ED2" w14:textId="2F9C7E4B" w:rsidR="00A13E1E" w:rsidRPr="00EB513D" w:rsidRDefault="01B99F3F" w:rsidP="004D79D1">
            <w:pPr>
              <w:spacing w:after="120"/>
              <w:jc w:val="both"/>
            </w:pPr>
            <w:r w:rsidRPr="0A0CF55C">
              <w:rPr>
                <w:sz w:val="22"/>
                <w:szCs w:val="22"/>
              </w:rPr>
              <w:t>Furthermore,</w:t>
            </w:r>
            <w:r w:rsidR="354AAEFD" w:rsidRPr="0A0CF55C">
              <w:rPr>
                <w:sz w:val="22"/>
                <w:szCs w:val="22"/>
              </w:rPr>
              <w:t xml:space="preserve"> in respect of the </w:t>
            </w:r>
            <w:r w:rsidR="006274EA">
              <w:rPr>
                <w:sz w:val="22"/>
                <w:szCs w:val="22"/>
              </w:rPr>
              <w:t>H</w:t>
            </w:r>
            <w:r w:rsidR="354AAEFD" w:rsidRPr="0A0CF55C">
              <w:rPr>
                <w:sz w:val="22"/>
                <w:szCs w:val="22"/>
              </w:rPr>
              <w:t>andbook specifically,</w:t>
            </w:r>
            <w:r w:rsidRPr="0A0CF55C">
              <w:rPr>
                <w:sz w:val="22"/>
                <w:szCs w:val="22"/>
              </w:rPr>
              <w:t xml:space="preserve"> it should be noted regarding the first validation of non-material changes (those not requiring approval of the CA), since paragraphs 9 and 26 do not distinguish between material (requiring approval) and non-material (requiring notification, either ex-ante or ex-post) changes, it may be understood that all changes need to be validated prior to the change notification to the CA, while </w:t>
            </w:r>
            <w:r w:rsidR="02ECCBBB" w:rsidRPr="0A0CF55C">
              <w:rPr>
                <w:sz w:val="22"/>
                <w:szCs w:val="22"/>
              </w:rPr>
              <w:t>the</w:t>
            </w:r>
            <w:r w:rsidRPr="0A0CF55C">
              <w:rPr>
                <w:sz w:val="22"/>
                <w:szCs w:val="22"/>
              </w:rPr>
              <w:t xml:space="preserve"> CDR on model changes only requires this for changes requiring approval. Paragraph 105 seem</w:t>
            </w:r>
            <w:r w:rsidR="00C16F37">
              <w:rPr>
                <w:sz w:val="22"/>
                <w:szCs w:val="22"/>
              </w:rPr>
              <w:t>s</w:t>
            </w:r>
            <w:r w:rsidRPr="0A0CF55C">
              <w:rPr>
                <w:sz w:val="22"/>
                <w:szCs w:val="22"/>
              </w:rPr>
              <w:t xml:space="preserve"> to align with this </w:t>
            </w:r>
            <w:r w:rsidR="009D2C8E" w:rsidRPr="0A0CF55C">
              <w:rPr>
                <w:sz w:val="22"/>
                <w:szCs w:val="22"/>
              </w:rPr>
              <w:t>approach,</w:t>
            </w:r>
            <w:r w:rsidRPr="0A0CF55C">
              <w:rPr>
                <w:sz w:val="22"/>
                <w:szCs w:val="22"/>
              </w:rPr>
              <w:t xml:space="preserve"> but it may be useful to include some c</w:t>
            </w:r>
            <w:r w:rsidR="00C16F37">
              <w:rPr>
                <w:sz w:val="22"/>
                <w:szCs w:val="22"/>
              </w:rPr>
              <w:t>larific</w:t>
            </w:r>
            <w:r w:rsidRPr="0A0CF55C">
              <w:rPr>
                <w:sz w:val="22"/>
                <w:szCs w:val="22"/>
              </w:rPr>
              <w:t xml:space="preserve">ation on </w:t>
            </w:r>
            <w:r w:rsidR="00D47E62" w:rsidRPr="0A0CF55C">
              <w:rPr>
                <w:sz w:val="22"/>
                <w:szCs w:val="22"/>
              </w:rPr>
              <w:t>both paragraphs</w:t>
            </w:r>
            <w:r w:rsidRPr="0A0CF55C">
              <w:rPr>
                <w:sz w:val="22"/>
                <w:szCs w:val="22"/>
              </w:rPr>
              <w:t xml:space="preserve"> 9 and 26 to avoid any doubt.</w:t>
            </w:r>
          </w:p>
        </w:tc>
      </w:tr>
    </w:tbl>
    <w:p w14:paraId="56A32880" w14:textId="77777777" w:rsidR="00FC2D76" w:rsidRPr="00FC2D76" w:rsidRDefault="00FC2D76" w:rsidP="00003882">
      <w:pPr>
        <w:spacing w:after="120"/>
        <w:jc w:val="both"/>
        <w:rPr>
          <w:b/>
          <w:bCs/>
        </w:rPr>
      </w:pPr>
    </w:p>
    <w:p w14:paraId="60A1A1EA" w14:textId="77777777" w:rsidR="00311625" w:rsidRDefault="00311625" w:rsidP="00003882">
      <w:pPr>
        <w:spacing w:after="120"/>
        <w:jc w:val="both"/>
        <w:rPr>
          <w:b/>
          <w:bCs/>
        </w:rPr>
      </w:pPr>
      <w:r w:rsidRPr="00FC2D76">
        <w:rPr>
          <w:b/>
          <w:bCs/>
        </w:rPr>
        <w:t xml:space="preserve">1b) Do you see any constraints in implementing the proposed expectations (i) as described in section 4 for the first validation for a) newly developed models; and b) model changes; and (ii) as described in section 5 for the subsequent validation of unchanged models? </w:t>
      </w:r>
    </w:p>
    <w:tbl>
      <w:tblPr>
        <w:tblStyle w:val="TableGrid"/>
        <w:tblW w:w="0" w:type="auto"/>
        <w:tblLook w:val="04A0" w:firstRow="1" w:lastRow="0" w:firstColumn="1" w:lastColumn="0" w:noHBand="0" w:noVBand="1"/>
      </w:tblPr>
      <w:tblGrid>
        <w:gridCol w:w="10457"/>
      </w:tblGrid>
      <w:tr w:rsidR="00FC2D76" w14:paraId="348415AB" w14:textId="77777777" w:rsidTr="0A0CF55C">
        <w:tc>
          <w:tcPr>
            <w:tcW w:w="10457" w:type="dxa"/>
          </w:tcPr>
          <w:p w14:paraId="3218B5BA" w14:textId="3430EC8D" w:rsidR="00257338" w:rsidRPr="00ED4842" w:rsidRDefault="3C3121E5" w:rsidP="00257338">
            <w:pPr>
              <w:spacing w:after="120"/>
              <w:jc w:val="both"/>
              <w:rPr>
                <w:sz w:val="22"/>
                <w:szCs w:val="22"/>
              </w:rPr>
            </w:pPr>
            <w:r w:rsidRPr="0A0CF55C">
              <w:rPr>
                <w:sz w:val="22"/>
                <w:szCs w:val="22"/>
              </w:rPr>
              <w:t>Both in an initial and a recurrent validation, some constraints could be found in the validation or challenge of models where the human judgment or expert criteria play a</w:t>
            </w:r>
            <w:r w:rsidR="770CC8D6" w:rsidRPr="0A0CF55C">
              <w:rPr>
                <w:sz w:val="22"/>
                <w:szCs w:val="22"/>
              </w:rPr>
              <w:t xml:space="preserve">n </w:t>
            </w:r>
            <w:r w:rsidRPr="0A0CF55C">
              <w:rPr>
                <w:sz w:val="22"/>
                <w:szCs w:val="22"/>
              </w:rPr>
              <w:t>important role, since they make it difficult to apply and define homogeneous tests and thresholds (e.g. when analysing the consistent application of the human judgement in the rating assignment).</w:t>
            </w:r>
          </w:p>
          <w:p w14:paraId="790071F0" w14:textId="1FE427CC" w:rsidR="00257338" w:rsidRPr="00ED4842" w:rsidRDefault="00257338" w:rsidP="00257338">
            <w:pPr>
              <w:spacing w:after="120"/>
              <w:jc w:val="both"/>
              <w:rPr>
                <w:sz w:val="22"/>
                <w:szCs w:val="22"/>
              </w:rPr>
            </w:pPr>
            <w:r w:rsidRPr="00ED4842">
              <w:rPr>
                <w:sz w:val="22"/>
                <w:szCs w:val="22"/>
              </w:rPr>
              <w:t>Additionally, there may be constrain</w:t>
            </w:r>
            <w:r w:rsidR="00620D2D" w:rsidRPr="00ED4842">
              <w:rPr>
                <w:sz w:val="22"/>
                <w:szCs w:val="22"/>
              </w:rPr>
              <w:t>t</w:t>
            </w:r>
            <w:r w:rsidRPr="00ED4842">
              <w:rPr>
                <w:sz w:val="22"/>
                <w:szCs w:val="22"/>
              </w:rPr>
              <w:t>s on the validation or challenge of data that are not typically found in standardized databases (e.g. cash flow projections used for specialized lending, intermediate components of the ranking method, qualitative information, etc.) or for which access to databases of portfolio/business management teams are required (e.g. some collateral or guarantee information).</w:t>
            </w:r>
          </w:p>
          <w:p w14:paraId="21200E6F" w14:textId="77777777" w:rsidR="00257338" w:rsidRPr="00ED4842" w:rsidRDefault="00257338" w:rsidP="00257338">
            <w:pPr>
              <w:spacing w:after="120"/>
              <w:jc w:val="both"/>
              <w:rPr>
                <w:sz w:val="22"/>
                <w:szCs w:val="22"/>
              </w:rPr>
            </w:pPr>
            <w:r w:rsidRPr="00ED4842">
              <w:rPr>
                <w:sz w:val="22"/>
                <w:szCs w:val="22"/>
              </w:rPr>
              <w:t>On the other hand, regarding out-of-time (OOT) and out-of-sample (OOS) testing, usually the most recent available information is taken into account in the development of the models and the calculation of the proposed values (especially for credit risk parameters). Therefore, no or few data will be available for the OOT or OOS-testing in these cases.</w:t>
            </w:r>
          </w:p>
          <w:p w14:paraId="791EA603" w14:textId="30716E07" w:rsidR="00FC2D76" w:rsidRPr="00ED4842" w:rsidRDefault="00620D2D" w:rsidP="00257338">
            <w:pPr>
              <w:spacing w:after="120"/>
              <w:jc w:val="both"/>
              <w:rPr>
                <w:sz w:val="22"/>
                <w:szCs w:val="22"/>
              </w:rPr>
            </w:pPr>
            <w:r w:rsidRPr="00ED4842">
              <w:rPr>
                <w:sz w:val="22"/>
                <w:szCs w:val="22"/>
              </w:rPr>
              <w:t>Additionally</w:t>
            </w:r>
            <w:r w:rsidR="00640EA0">
              <w:rPr>
                <w:sz w:val="22"/>
                <w:szCs w:val="22"/>
              </w:rPr>
              <w:t>,</w:t>
            </w:r>
            <w:r w:rsidRPr="00ED4842">
              <w:rPr>
                <w:sz w:val="22"/>
                <w:szCs w:val="22"/>
              </w:rPr>
              <w:t xml:space="preserve"> with</w:t>
            </w:r>
            <w:r w:rsidR="00257338" w:rsidRPr="00ED4842">
              <w:rPr>
                <w:sz w:val="22"/>
                <w:szCs w:val="22"/>
              </w:rPr>
              <w:t xml:space="preserve"> regard</w:t>
            </w:r>
            <w:r w:rsidRPr="00ED4842">
              <w:rPr>
                <w:sz w:val="22"/>
                <w:szCs w:val="22"/>
              </w:rPr>
              <w:t xml:space="preserve"> to</w:t>
            </w:r>
            <w:r w:rsidR="00257338" w:rsidRPr="00ED4842">
              <w:rPr>
                <w:sz w:val="22"/>
                <w:szCs w:val="22"/>
              </w:rPr>
              <w:t xml:space="preserve"> the analysis performed on external data sources, it should be taken into account that in the case of comparisons against benchmarks provided on the EBA benchmarking portfolios, they may be conditioned to structural differences between portfolios, since the entity is not able to ensure the comparability of the portfolios with the public information available.</w:t>
            </w:r>
          </w:p>
          <w:p w14:paraId="67AAD132" w14:textId="12A78CFB" w:rsidR="00A13E1E" w:rsidRPr="00ED4842" w:rsidRDefault="00A13E1E" w:rsidP="00A13E1E">
            <w:pPr>
              <w:autoSpaceDE w:val="0"/>
              <w:autoSpaceDN w:val="0"/>
              <w:adjustRightInd w:val="0"/>
              <w:jc w:val="both"/>
              <w:rPr>
                <w:rFonts w:eastAsia="Arial" w:cs="Calibri"/>
                <w:sz w:val="22"/>
                <w:szCs w:val="22"/>
                <w:lang w:val="en-US"/>
              </w:rPr>
            </w:pPr>
            <w:r w:rsidRPr="00ED4842">
              <w:rPr>
                <w:rFonts w:eastAsia="Arial" w:cs="Calibri"/>
                <w:sz w:val="22"/>
                <w:szCs w:val="22"/>
                <w:lang w:val="en-US"/>
              </w:rPr>
              <w:t>As regards the first validation</w:t>
            </w:r>
            <w:r w:rsidR="00ED4842" w:rsidRPr="00ED4842">
              <w:rPr>
                <w:rFonts w:eastAsia="Arial" w:cs="Calibri"/>
                <w:sz w:val="22"/>
                <w:szCs w:val="22"/>
                <w:lang w:val="en-US"/>
              </w:rPr>
              <w:t xml:space="preserve"> specifically</w:t>
            </w:r>
            <w:r w:rsidRPr="00ED4842">
              <w:rPr>
                <w:rFonts w:eastAsia="Arial" w:cs="Calibri"/>
                <w:sz w:val="22"/>
                <w:szCs w:val="22"/>
                <w:lang w:val="en-US"/>
              </w:rPr>
              <w:t xml:space="preserve">, we see constraints in fulfilling Article 94(a) related to overrides, as the Rating Desk would be required to simulate the usage of the new model before its implementation and while the previous is still in production, to understand whether overrides are needed. This implies an unplanned </w:t>
            </w:r>
            <w:r w:rsidRPr="00ED4842">
              <w:rPr>
                <w:rFonts w:eastAsia="Arial" w:cs="Calibri"/>
                <w:sz w:val="22"/>
                <w:szCs w:val="22"/>
                <w:lang w:val="en-US"/>
              </w:rPr>
              <w:lastRenderedPageBreak/>
              <w:t xml:space="preserve">effort from Rating Desk and, according to the size of the portfolio, the task could need several months, hindering the compliance on the recentness of data. Furthermore, Article 94(b) </w:t>
            </w:r>
            <w:r w:rsidR="00620D2D" w:rsidRPr="00ED4842">
              <w:rPr>
                <w:rFonts w:eastAsia="Arial" w:cs="Calibri"/>
                <w:sz w:val="22"/>
                <w:szCs w:val="22"/>
                <w:lang w:val="en-US"/>
              </w:rPr>
              <w:t>requires</w:t>
            </w:r>
            <w:r w:rsidRPr="00ED4842">
              <w:rPr>
                <w:rFonts w:eastAsia="Arial" w:cs="Calibri"/>
                <w:sz w:val="22"/>
                <w:szCs w:val="22"/>
                <w:lang w:val="en-US"/>
              </w:rPr>
              <w:t xml:space="preserve"> a backward simulation of ratings for testing stability; while to compare the ratings at performance and use test samples is quite straightforward, adding further years would be cumbersome.</w:t>
            </w:r>
          </w:p>
          <w:p w14:paraId="5E7AC706" w14:textId="77777777" w:rsidR="009A22DD" w:rsidRPr="00ED4842" w:rsidRDefault="009A22DD" w:rsidP="00A13E1E">
            <w:pPr>
              <w:autoSpaceDE w:val="0"/>
              <w:autoSpaceDN w:val="0"/>
              <w:adjustRightInd w:val="0"/>
              <w:jc w:val="both"/>
              <w:rPr>
                <w:rFonts w:eastAsia="Arial" w:cs="Calibri"/>
                <w:sz w:val="22"/>
                <w:szCs w:val="22"/>
                <w:lang w:val="en-US"/>
              </w:rPr>
            </w:pPr>
          </w:p>
          <w:p w14:paraId="08AB73BF" w14:textId="221C8C52" w:rsidR="00A13E1E" w:rsidRPr="00AD2B6A" w:rsidRDefault="00ED4842" w:rsidP="00AD2B6A">
            <w:pPr>
              <w:jc w:val="both"/>
              <w:rPr>
                <w:color w:val="8064A2" w:themeColor="accent4"/>
              </w:rPr>
            </w:pPr>
            <w:r w:rsidRPr="00ED4842">
              <w:rPr>
                <w:rFonts w:eastAsia="Arial" w:cs="Calibri"/>
                <w:sz w:val="22"/>
                <w:szCs w:val="22"/>
                <w:lang w:val="en-US"/>
              </w:rPr>
              <w:t>Finally, as</w:t>
            </w:r>
            <w:r w:rsidR="00A13E1E" w:rsidRPr="00ED4842">
              <w:rPr>
                <w:rFonts w:eastAsia="Arial" w:cs="Calibri"/>
                <w:sz w:val="22"/>
                <w:szCs w:val="22"/>
                <w:lang w:val="en-US"/>
              </w:rPr>
              <w:t xml:space="preserve"> regards the subsequent validation, we see that the prescription of Articles 113 and 115 should be part of the review of estimates performed by CRCU, and that the internal validation should leverage on it, as per Type 1 interaction in Interaction Box 12.</w:t>
            </w:r>
            <w:r w:rsidR="00AD2B6A" w:rsidRPr="00ED4842">
              <w:t xml:space="preserve"> </w:t>
            </w:r>
          </w:p>
        </w:tc>
      </w:tr>
    </w:tbl>
    <w:p w14:paraId="74E45BF6" w14:textId="77777777" w:rsidR="00FC2D76" w:rsidRPr="00FC2D76" w:rsidRDefault="00FC2D76" w:rsidP="00003882">
      <w:pPr>
        <w:spacing w:after="120"/>
        <w:jc w:val="both"/>
        <w:rPr>
          <w:b/>
          <w:bCs/>
        </w:rPr>
      </w:pPr>
    </w:p>
    <w:p w14:paraId="76011E0D" w14:textId="77777777" w:rsidR="00FC2D76" w:rsidRDefault="00311625" w:rsidP="00003882">
      <w:pPr>
        <w:spacing w:after="120"/>
        <w:jc w:val="both"/>
        <w:rPr>
          <w:b/>
          <w:bCs/>
        </w:rPr>
      </w:pPr>
      <w:r w:rsidRPr="00FC2D76">
        <w:rPr>
          <w:b/>
          <w:bCs/>
        </w:rPr>
        <w:t xml:space="preserve">Question 2: For rating systems that are used and validated across different entities, do you have a particular process in place to share the findings of all relevant validation functions? Do you apply a singular set of remedial action across all the entities or are there cases where remedial actions are tailor-made to each level of application? </w:t>
      </w:r>
    </w:p>
    <w:tbl>
      <w:tblPr>
        <w:tblStyle w:val="TableGrid"/>
        <w:tblW w:w="0" w:type="auto"/>
        <w:tblLook w:val="04A0" w:firstRow="1" w:lastRow="0" w:firstColumn="1" w:lastColumn="0" w:noHBand="0" w:noVBand="1"/>
      </w:tblPr>
      <w:tblGrid>
        <w:gridCol w:w="10457"/>
      </w:tblGrid>
      <w:tr w:rsidR="00FC2D76" w14:paraId="003DB374" w14:textId="77777777" w:rsidTr="0A0CF55C">
        <w:tc>
          <w:tcPr>
            <w:tcW w:w="10457" w:type="dxa"/>
          </w:tcPr>
          <w:p w14:paraId="088C3275" w14:textId="08095A2D" w:rsidR="001B368D" w:rsidRPr="009405A8" w:rsidRDefault="5DA5CE10" w:rsidP="009405A8">
            <w:pPr>
              <w:spacing w:after="120"/>
              <w:jc w:val="both"/>
              <w:rPr>
                <w:sz w:val="22"/>
                <w:szCs w:val="22"/>
              </w:rPr>
            </w:pPr>
            <w:r w:rsidRPr="0A0CF55C">
              <w:rPr>
                <w:sz w:val="22"/>
                <w:szCs w:val="22"/>
              </w:rPr>
              <w:t>For one member</w:t>
            </w:r>
            <w:r w:rsidR="3C3121E5" w:rsidRPr="0A0CF55C">
              <w:rPr>
                <w:sz w:val="22"/>
                <w:szCs w:val="22"/>
              </w:rPr>
              <w:t xml:space="preserve"> regulatory models with a consolidated use are validated in a centrali</w:t>
            </w:r>
            <w:r w:rsidR="17A9DC3F" w:rsidRPr="0A0CF55C">
              <w:rPr>
                <w:sz w:val="22"/>
                <w:szCs w:val="22"/>
              </w:rPr>
              <w:t>s</w:t>
            </w:r>
            <w:r w:rsidR="3C3121E5" w:rsidRPr="0A0CF55C">
              <w:rPr>
                <w:sz w:val="22"/>
                <w:szCs w:val="22"/>
              </w:rPr>
              <w:t>ed manner, in accordance with the model validation policy. The conclusions and findings resulting from the validation process are transparent and available to all validation teams in the Group.</w:t>
            </w:r>
          </w:p>
          <w:p w14:paraId="4521E7EE" w14:textId="0DCA7EE9" w:rsidR="009405A8" w:rsidRPr="009405A8" w:rsidRDefault="008242DC" w:rsidP="009405A8">
            <w:pPr>
              <w:spacing w:after="120"/>
              <w:jc w:val="both"/>
              <w:rPr>
                <w:sz w:val="22"/>
                <w:szCs w:val="22"/>
              </w:rPr>
            </w:pPr>
            <w:r>
              <w:rPr>
                <w:sz w:val="22"/>
                <w:szCs w:val="22"/>
              </w:rPr>
              <w:t>Similarly f</w:t>
            </w:r>
            <w:r w:rsidR="001B368D">
              <w:rPr>
                <w:sz w:val="22"/>
                <w:szCs w:val="22"/>
              </w:rPr>
              <w:t xml:space="preserve">or </w:t>
            </w:r>
            <w:r w:rsidR="0008324D">
              <w:rPr>
                <w:sz w:val="22"/>
                <w:szCs w:val="22"/>
              </w:rPr>
              <w:t>another</w:t>
            </w:r>
            <w:r w:rsidR="001B368D">
              <w:rPr>
                <w:sz w:val="22"/>
                <w:szCs w:val="22"/>
              </w:rPr>
              <w:t xml:space="preserve"> member a</w:t>
            </w:r>
            <w:r w:rsidR="001B368D" w:rsidRPr="0068444E">
              <w:rPr>
                <w:sz w:val="22"/>
                <w:szCs w:val="22"/>
              </w:rPr>
              <w:t>ll the regulatory models with a consolidated use covering different entities are consistently applied across the group and centrally validated</w:t>
            </w:r>
            <w:r w:rsidR="00035D07">
              <w:rPr>
                <w:sz w:val="22"/>
                <w:szCs w:val="22"/>
              </w:rPr>
              <w:t>.</w:t>
            </w:r>
            <w:r w:rsidR="001B368D" w:rsidRPr="0068444E">
              <w:rPr>
                <w:sz w:val="22"/>
                <w:szCs w:val="22"/>
              </w:rPr>
              <w:t xml:space="preserve"> </w:t>
            </w:r>
            <w:r w:rsidR="00035D07">
              <w:rPr>
                <w:sz w:val="22"/>
                <w:szCs w:val="22"/>
              </w:rPr>
              <w:t>A</w:t>
            </w:r>
            <w:r w:rsidR="001B368D" w:rsidRPr="0068444E">
              <w:rPr>
                <w:sz w:val="22"/>
                <w:szCs w:val="22"/>
              </w:rPr>
              <w:t>s for model design aspects, conclusions and findings resulting from the validation proces</w:t>
            </w:r>
            <w:r w:rsidR="00C07685">
              <w:rPr>
                <w:sz w:val="22"/>
                <w:szCs w:val="22"/>
              </w:rPr>
              <w:t>s</w:t>
            </w:r>
            <w:r w:rsidR="001B368D" w:rsidRPr="0068444E">
              <w:rPr>
                <w:sz w:val="22"/>
                <w:szCs w:val="22"/>
              </w:rPr>
              <w:t xml:space="preserve"> as well as remedial actions, are not tailored to each level of application, unless a </w:t>
            </w:r>
            <w:r w:rsidR="00D47E62" w:rsidRPr="0068444E">
              <w:rPr>
                <w:sz w:val="22"/>
                <w:szCs w:val="22"/>
              </w:rPr>
              <w:t>local remedial action</w:t>
            </w:r>
            <w:r w:rsidR="001B368D" w:rsidRPr="0068444E">
              <w:rPr>
                <w:sz w:val="22"/>
                <w:szCs w:val="22"/>
              </w:rPr>
              <w:t xml:space="preserve"> is required (e.g. a data gap affecting only one legal entity) since the models are centrally developed</w:t>
            </w:r>
            <w:r w:rsidR="00035D07">
              <w:rPr>
                <w:sz w:val="22"/>
                <w:szCs w:val="22"/>
              </w:rPr>
              <w:t>.</w:t>
            </w:r>
            <w:r w:rsidR="001B368D" w:rsidRPr="0068444E">
              <w:rPr>
                <w:sz w:val="22"/>
                <w:szCs w:val="22"/>
              </w:rPr>
              <w:t xml:space="preserve"> </w:t>
            </w:r>
            <w:r w:rsidR="0038067B">
              <w:rPr>
                <w:sz w:val="22"/>
                <w:szCs w:val="22"/>
              </w:rPr>
              <w:t>In the case of</w:t>
            </w:r>
            <w:r w:rsidR="001B368D" w:rsidRPr="0068444E">
              <w:rPr>
                <w:sz w:val="22"/>
                <w:szCs w:val="22"/>
              </w:rPr>
              <w:t xml:space="preserve"> processes and application portfolios specific analyses on the legal entities (if not included in the development samples and with ad-hoc processes)</w:t>
            </w:r>
            <w:r w:rsidR="0038067B">
              <w:rPr>
                <w:sz w:val="22"/>
                <w:szCs w:val="22"/>
              </w:rPr>
              <w:t>, these</w:t>
            </w:r>
            <w:r w:rsidR="001B368D" w:rsidRPr="0068444E">
              <w:rPr>
                <w:sz w:val="22"/>
                <w:szCs w:val="22"/>
              </w:rPr>
              <w:t xml:space="preserve"> are centrally performed by Internal Validation and recommendations are addressed to competent (centralised or local) functions and sh</w:t>
            </w:r>
            <w:r w:rsidR="00155AE9">
              <w:rPr>
                <w:sz w:val="22"/>
                <w:szCs w:val="22"/>
              </w:rPr>
              <w:t>a</w:t>
            </w:r>
            <w:r w:rsidR="001B368D" w:rsidRPr="0068444E">
              <w:rPr>
                <w:sz w:val="22"/>
                <w:szCs w:val="22"/>
              </w:rPr>
              <w:t>red with them to define the proper remedial actions. Gap severity is expressed both at individual and at consolidated level</w:t>
            </w:r>
            <w:r w:rsidR="001B368D">
              <w:rPr>
                <w:sz w:val="22"/>
                <w:szCs w:val="22"/>
              </w:rPr>
              <w:t>.</w:t>
            </w:r>
          </w:p>
          <w:p w14:paraId="5F3B47C8" w14:textId="5931A1D6" w:rsidR="00A13E1E" w:rsidRPr="00945400" w:rsidRDefault="5DA5CE10" w:rsidP="00945400">
            <w:pPr>
              <w:autoSpaceDE w:val="0"/>
              <w:autoSpaceDN w:val="0"/>
              <w:adjustRightInd w:val="0"/>
              <w:jc w:val="both"/>
              <w:rPr>
                <w:rFonts w:eastAsia="Arial" w:cs="Calibri"/>
                <w:sz w:val="22"/>
                <w:szCs w:val="22"/>
                <w:lang w:val="en-US"/>
              </w:rPr>
            </w:pPr>
            <w:r w:rsidRPr="0A0CF55C">
              <w:rPr>
                <w:rFonts w:eastAsia="Arial" w:cs="Calibri"/>
                <w:sz w:val="22"/>
                <w:szCs w:val="22"/>
                <w:lang w:val="en-US"/>
              </w:rPr>
              <w:t>A</w:t>
            </w:r>
            <w:r w:rsidR="0008324D">
              <w:rPr>
                <w:rFonts w:eastAsia="Arial" w:cs="Calibri"/>
                <w:sz w:val="22"/>
                <w:szCs w:val="22"/>
                <w:lang w:val="en-US"/>
              </w:rPr>
              <w:t xml:space="preserve"> third</w:t>
            </w:r>
            <w:r w:rsidRPr="0A0CF55C">
              <w:rPr>
                <w:rFonts w:eastAsia="Arial" w:cs="Calibri"/>
                <w:sz w:val="22"/>
                <w:szCs w:val="22"/>
                <w:lang w:val="en-US"/>
              </w:rPr>
              <w:t xml:space="preserve"> member notes, the </w:t>
            </w:r>
            <w:r w:rsidR="59C5FFD4" w:rsidRPr="0A0CF55C">
              <w:rPr>
                <w:rFonts w:eastAsia="Arial" w:cs="Calibri"/>
                <w:sz w:val="22"/>
                <w:szCs w:val="22"/>
                <w:lang w:val="en-US"/>
              </w:rPr>
              <w:t xml:space="preserve">only situation where single models are applied </w:t>
            </w:r>
            <w:r w:rsidR="25ED07CB" w:rsidRPr="0A0CF55C">
              <w:rPr>
                <w:rFonts w:eastAsia="Arial" w:cs="Calibri"/>
                <w:sz w:val="22"/>
                <w:szCs w:val="22"/>
                <w:lang w:val="en-US"/>
              </w:rPr>
              <w:t xml:space="preserve">differently at the level of their </w:t>
            </w:r>
            <w:r w:rsidR="59C5FFD4" w:rsidRPr="0A0CF55C">
              <w:rPr>
                <w:rFonts w:eastAsia="Arial" w:cs="Calibri"/>
                <w:sz w:val="22"/>
                <w:szCs w:val="22"/>
                <w:lang w:val="en-US"/>
              </w:rPr>
              <w:t xml:space="preserve">legal group Entities for Regulatory purposes </w:t>
            </w:r>
            <w:r w:rsidR="25ED07CB" w:rsidRPr="0A0CF55C">
              <w:rPr>
                <w:rFonts w:eastAsia="Arial" w:cs="Calibri"/>
                <w:sz w:val="22"/>
                <w:szCs w:val="22"/>
                <w:lang w:val="en-US"/>
              </w:rPr>
              <w:t>falls under</w:t>
            </w:r>
            <w:r w:rsidR="59C5FFD4" w:rsidRPr="0A0CF55C">
              <w:rPr>
                <w:rFonts w:eastAsia="Arial" w:cs="Calibri"/>
                <w:sz w:val="22"/>
                <w:szCs w:val="22"/>
                <w:lang w:val="en-US"/>
              </w:rPr>
              <w:t xml:space="preserve"> the so-called “Group-Wide Models”. These models cover customers whose nature goes beyond the domestic dimension and whose risk profile is defined independently from the Legal Entity of the Group</w:t>
            </w:r>
            <w:r w:rsidR="07FCC186" w:rsidRPr="0A0CF55C">
              <w:rPr>
                <w:rFonts w:eastAsia="Arial" w:cs="Calibri"/>
                <w:sz w:val="22"/>
                <w:szCs w:val="22"/>
                <w:lang w:val="en-US"/>
              </w:rPr>
              <w:t xml:space="preserve"> that</w:t>
            </w:r>
            <w:r w:rsidR="59C5FFD4" w:rsidRPr="0A0CF55C">
              <w:rPr>
                <w:rFonts w:eastAsia="Arial" w:cs="Calibri"/>
                <w:sz w:val="22"/>
                <w:szCs w:val="22"/>
                <w:lang w:val="en-US"/>
              </w:rPr>
              <w:t xml:space="preserve"> practically manag</w:t>
            </w:r>
            <w:r w:rsidR="07FCC186" w:rsidRPr="0A0CF55C">
              <w:rPr>
                <w:rFonts w:eastAsia="Arial" w:cs="Calibri"/>
                <w:sz w:val="22"/>
                <w:szCs w:val="22"/>
                <w:lang w:val="en-US"/>
              </w:rPr>
              <w:t>es</w:t>
            </w:r>
            <w:r w:rsidR="59C5FFD4" w:rsidRPr="0A0CF55C">
              <w:rPr>
                <w:rFonts w:eastAsia="Arial" w:cs="Calibri"/>
                <w:sz w:val="22"/>
                <w:szCs w:val="22"/>
                <w:lang w:val="en-US"/>
              </w:rPr>
              <w:t xml:space="preserve"> the relationship. The development of these models is centrali</w:t>
            </w:r>
            <w:r w:rsidR="640C6474" w:rsidRPr="0A0CF55C">
              <w:rPr>
                <w:rFonts w:eastAsia="Arial" w:cs="Calibri"/>
                <w:sz w:val="22"/>
                <w:szCs w:val="22"/>
                <w:lang w:val="en-US"/>
              </w:rPr>
              <w:t>s</w:t>
            </w:r>
            <w:r w:rsidR="59C5FFD4" w:rsidRPr="0A0CF55C">
              <w:rPr>
                <w:rFonts w:eastAsia="Arial" w:cs="Calibri"/>
                <w:sz w:val="22"/>
                <w:szCs w:val="22"/>
                <w:lang w:val="en-US"/>
              </w:rPr>
              <w:t>ed, based on samples covering all the intended application perimeters; the validation is performed consistently, i.e., focusing on the entire scope of application. In case a given model suffers any gap, this is detected at overall level. Additional analyses are foreseen at the level of specific Legal Entities, but these tests have a purely descriptive purpose, and no recommendations are generally issued. Indeed, in case a model shows a good performance at overall level</w:t>
            </w:r>
            <w:r w:rsidR="00A162F0">
              <w:rPr>
                <w:rFonts w:eastAsia="Arial" w:cs="Calibri"/>
                <w:sz w:val="22"/>
                <w:szCs w:val="22"/>
                <w:lang w:val="en-US"/>
              </w:rPr>
              <w:t>,</w:t>
            </w:r>
            <w:r w:rsidR="59C5FFD4" w:rsidRPr="0A0CF55C">
              <w:rPr>
                <w:rFonts w:eastAsia="Arial" w:cs="Calibri"/>
                <w:sz w:val="22"/>
                <w:szCs w:val="22"/>
                <w:lang w:val="en-US"/>
              </w:rPr>
              <w:t xml:space="preserve"> any given issue identified on local sub-portfolios is not related to a methodological deficiency. </w:t>
            </w:r>
            <w:r w:rsidR="20D0CFC3" w:rsidRPr="0A0CF55C">
              <w:rPr>
                <w:rFonts w:eastAsia="Arial" w:cs="Calibri"/>
                <w:sz w:val="22"/>
                <w:szCs w:val="22"/>
              </w:rPr>
              <w:t xml:space="preserve"> </w:t>
            </w:r>
            <w:r w:rsidR="59C5FFD4" w:rsidRPr="0A0CF55C">
              <w:rPr>
                <w:rFonts w:eastAsia="Arial" w:cs="Calibri"/>
                <w:sz w:val="22"/>
                <w:szCs w:val="22"/>
                <w:lang w:val="en-US"/>
              </w:rPr>
              <w:t>In case a correction on the model is needed, this has to be defined and set at overall level: an adjustment driven by a local gap would bias the results on other Legal Entities; the alternative path of defining corrective measures at local level would lead to the violation of the rating uniqueness principle and would introduce the possibility of unwarranted arbitrage among Legal Entities (i.e., the same credit given to the same multinational customer would have different RWs based on the Legal Entities materially disbursing the loan).</w:t>
            </w:r>
          </w:p>
        </w:tc>
      </w:tr>
    </w:tbl>
    <w:p w14:paraId="67952F21" w14:textId="77777777" w:rsidR="00FC2D76" w:rsidRPr="00FC2D76" w:rsidRDefault="00FC2D76" w:rsidP="00003882">
      <w:pPr>
        <w:spacing w:after="120"/>
        <w:jc w:val="both"/>
        <w:rPr>
          <w:b/>
          <w:bCs/>
        </w:rPr>
      </w:pPr>
    </w:p>
    <w:p w14:paraId="02577C05" w14:textId="77777777" w:rsidR="00FC2D76" w:rsidRPr="00FC2D76" w:rsidRDefault="00311625" w:rsidP="00003882">
      <w:pPr>
        <w:spacing w:after="120"/>
        <w:jc w:val="both"/>
        <w:rPr>
          <w:b/>
          <w:bCs/>
        </w:rPr>
      </w:pPr>
      <w:r w:rsidRPr="00FC2D76">
        <w:rPr>
          <w:b/>
          <w:bCs/>
        </w:rPr>
        <w:t xml:space="preserve">Question 3: </w:t>
      </w:r>
    </w:p>
    <w:p w14:paraId="5FA24DE9" w14:textId="77777777" w:rsidR="00FC2D76" w:rsidRDefault="00311625" w:rsidP="00003882">
      <w:pPr>
        <w:spacing w:after="120"/>
        <w:jc w:val="both"/>
        <w:rPr>
          <w:b/>
          <w:bCs/>
        </w:rPr>
      </w:pPr>
      <w:r w:rsidRPr="00FC2D76">
        <w:rPr>
          <w:b/>
          <w:bCs/>
        </w:rPr>
        <w:t xml:space="preserve">3a) Do you deem it preferential to split the review of the definition of default between IRB-related topics and other topics? </w:t>
      </w:r>
    </w:p>
    <w:tbl>
      <w:tblPr>
        <w:tblStyle w:val="TableGrid"/>
        <w:tblW w:w="0" w:type="auto"/>
        <w:tblLook w:val="04A0" w:firstRow="1" w:lastRow="0" w:firstColumn="1" w:lastColumn="0" w:noHBand="0" w:noVBand="1"/>
      </w:tblPr>
      <w:tblGrid>
        <w:gridCol w:w="10457"/>
      </w:tblGrid>
      <w:tr w:rsidR="00FC2D76" w14:paraId="451A8CB5" w14:textId="77777777" w:rsidTr="00FC2D76">
        <w:tc>
          <w:tcPr>
            <w:tcW w:w="10457" w:type="dxa"/>
          </w:tcPr>
          <w:p w14:paraId="37E0C60C" w14:textId="58E5FD1B" w:rsidR="00AD2B6A" w:rsidRPr="006719A9" w:rsidRDefault="00257338" w:rsidP="00003882">
            <w:pPr>
              <w:spacing w:after="120"/>
              <w:jc w:val="both"/>
              <w:rPr>
                <w:color w:val="FF0000"/>
              </w:rPr>
            </w:pPr>
            <w:r w:rsidRPr="00804338">
              <w:rPr>
                <w:sz w:val="22"/>
                <w:szCs w:val="22"/>
              </w:rPr>
              <w:t xml:space="preserve">The scope of the validation activities should be </w:t>
            </w:r>
            <w:r w:rsidR="00787AC1">
              <w:rPr>
                <w:sz w:val="22"/>
                <w:szCs w:val="22"/>
              </w:rPr>
              <w:t>limited</w:t>
            </w:r>
            <w:r w:rsidR="000B0D2A" w:rsidRPr="00804338">
              <w:rPr>
                <w:sz w:val="22"/>
                <w:szCs w:val="22"/>
              </w:rPr>
              <w:t xml:space="preserve"> </w:t>
            </w:r>
            <w:r w:rsidRPr="00804338">
              <w:rPr>
                <w:sz w:val="22"/>
                <w:szCs w:val="22"/>
              </w:rPr>
              <w:t>to any issue regarding the IRB model development or risk quantification (including the corresponding appropriate adjustments and margin of conservatism) related to the definition of default. In this regard, the entity agrees with the division of analyses between Internal Audit and Internal Validation functions as described in interaction Box 3 of the Handbook.</w:t>
            </w:r>
            <w:r w:rsidR="0012258E" w:rsidRPr="00804338">
              <w:rPr>
                <w:sz w:val="22"/>
                <w:szCs w:val="22"/>
              </w:rPr>
              <w:t xml:space="preserve"> The </w:t>
            </w:r>
            <w:r w:rsidR="00A13E1E" w:rsidRPr="00804338">
              <w:rPr>
                <w:sz w:val="22"/>
                <w:szCs w:val="22"/>
              </w:rPr>
              <w:t>I</w:t>
            </w:r>
            <w:r w:rsidR="0012258E" w:rsidRPr="00804338">
              <w:rPr>
                <w:sz w:val="22"/>
                <w:szCs w:val="22"/>
              </w:rPr>
              <w:t xml:space="preserve">nternal </w:t>
            </w:r>
            <w:r w:rsidR="00A13E1E" w:rsidRPr="00804338">
              <w:rPr>
                <w:sz w:val="22"/>
                <w:szCs w:val="22"/>
              </w:rPr>
              <w:t>A</w:t>
            </w:r>
            <w:r w:rsidR="0012258E" w:rsidRPr="00804338">
              <w:rPr>
                <w:sz w:val="22"/>
                <w:szCs w:val="22"/>
              </w:rPr>
              <w:t>udit</w:t>
            </w:r>
            <w:r w:rsidR="00A13E1E" w:rsidRPr="00804338">
              <w:rPr>
                <w:sz w:val="22"/>
                <w:szCs w:val="22"/>
              </w:rPr>
              <w:t xml:space="preserve"> is expected to veri</w:t>
            </w:r>
            <w:r w:rsidR="00CD3DEF" w:rsidRPr="00804338">
              <w:rPr>
                <w:sz w:val="22"/>
                <w:szCs w:val="22"/>
              </w:rPr>
              <w:t>f</w:t>
            </w:r>
            <w:r w:rsidR="00A13E1E" w:rsidRPr="00804338">
              <w:rPr>
                <w:sz w:val="22"/>
                <w:szCs w:val="22"/>
              </w:rPr>
              <w:t xml:space="preserve">y the compliance to external regulation and the IT implementation of default detection, while </w:t>
            </w:r>
            <w:r w:rsidR="00787AC1">
              <w:rPr>
                <w:sz w:val="22"/>
                <w:szCs w:val="22"/>
              </w:rPr>
              <w:t>I</w:t>
            </w:r>
            <w:r w:rsidR="00A13E1E" w:rsidRPr="00804338">
              <w:rPr>
                <w:sz w:val="22"/>
                <w:szCs w:val="22"/>
              </w:rPr>
              <w:t xml:space="preserve">nternal </w:t>
            </w:r>
            <w:r w:rsidR="00787AC1">
              <w:rPr>
                <w:sz w:val="22"/>
                <w:szCs w:val="22"/>
              </w:rPr>
              <w:t>V</w:t>
            </w:r>
            <w:r w:rsidR="00A13E1E" w:rsidRPr="00804338">
              <w:rPr>
                <w:sz w:val="22"/>
                <w:szCs w:val="22"/>
              </w:rPr>
              <w:t>alidation is expected to verify the proper implications on IRB models and relevant RDS. An explicit split would be beneficial</w:t>
            </w:r>
            <w:r w:rsidR="00A13E1E" w:rsidRPr="006719A9">
              <w:t>.</w:t>
            </w:r>
          </w:p>
        </w:tc>
      </w:tr>
    </w:tbl>
    <w:p w14:paraId="65201216" w14:textId="77777777" w:rsidR="00FC2D76" w:rsidRPr="00FC2D76" w:rsidRDefault="00FC2D76" w:rsidP="00003882">
      <w:pPr>
        <w:spacing w:after="120"/>
        <w:jc w:val="both"/>
        <w:rPr>
          <w:b/>
          <w:bCs/>
        </w:rPr>
      </w:pPr>
    </w:p>
    <w:p w14:paraId="70547EA5" w14:textId="77777777" w:rsidR="00FC2D76" w:rsidRDefault="00311625" w:rsidP="00003882">
      <w:pPr>
        <w:spacing w:after="120"/>
        <w:jc w:val="both"/>
        <w:rPr>
          <w:b/>
          <w:bCs/>
        </w:rPr>
      </w:pPr>
      <w:r w:rsidRPr="00FC2D76">
        <w:rPr>
          <w:b/>
          <w:bCs/>
        </w:rPr>
        <w:lastRenderedPageBreak/>
        <w:t xml:space="preserve">3b) If you do prefer a split in question 3a, which topics of the definition of default would you consider to be IRB-related, and hence should be covered by the internal validation function? </w:t>
      </w:r>
    </w:p>
    <w:tbl>
      <w:tblPr>
        <w:tblStyle w:val="TableGrid"/>
        <w:tblW w:w="0" w:type="auto"/>
        <w:tblLook w:val="04A0" w:firstRow="1" w:lastRow="0" w:firstColumn="1" w:lastColumn="0" w:noHBand="0" w:noVBand="1"/>
      </w:tblPr>
      <w:tblGrid>
        <w:gridCol w:w="10457"/>
      </w:tblGrid>
      <w:tr w:rsidR="00FC2D76" w14:paraId="6771FEE4" w14:textId="77777777" w:rsidTr="0A0CF55C">
        <w:tc>
          <w:tcPr>
            <w:tcW w:w="10457" w:type="dxa"/>
          </w:tcPr>
          <w:p w14:paraId="78BA2B7F" w14:textId="77777777" w:rsidR="00FC2D76" w:rsidRPr="00804338" w:rsidRDefault="00257338" w:rsidP="00003882">
            <w:pPr>
              <w:spacing w:after="120"/>
              <w:jc w:val="both"/>
              <w:rPr>
                <w:sz w:val="22"/>
                <w:szCs w:val="22"/>
              </w:rPr>
            </w:pPr>
            <w:r w:rsidRPr="00804338">
              <w:rPr>
                <w:sz w:val="22"/>
                <w:szCs w:val="22"/>
              </w:rPr>
              <w:t>Regarding this division of analyses, non-modelling issues (such as the compliance of the internal criteria used for the identification of defaulted exposures with the regulation and the correct implementation of the default definition) are expected to be assessed by the Internal Audit function, whereas issues in the IRB model development or risk quantification are under the scope of Internal Validation activities.</w:t>
            </w:r>
          </w:p>
          <w:p w14:paraId="40085A49" w14:textId="4F7AF2C4" w:rsidR="00080A19" w:rsidRPr="00804338" w:rsidRDefault="00756A01" w:rsidP="00003882">
            <w:pPr>
              <w:spacing w:after="120"/>
              <w:jc w:val="both"/>
              <w:rPr>
                <w:sz w:val="22"/>
                <w:szCs w:val="22"/>
              </w:rPr>
            </w:pPr>
            <w:r w:rsidRPr="00804338">
              <w:rPr>
                <w:sz w:val="22"/>
                <w:szCs w:val="22"/>
              </w:rPr>
              <w:t xml:space="preserve">In this respect it would be helpful if the </w:t>
            </w:r>
            <w:r w:rsidR="00787AC1">
              <w:rPr>
                <w:sz w:val="22"/>
                <w:szCs w:val="22"/>
              </w:rPr>
              <w:t>H</w:t>
            </w:r>
            <w:r w:rsidRPr="00804338">
              <w:rPr>
                <w:sz w:val="22"/>
                <w:szCs w:val="22"/>
              </w:rPr>
              <w:t>andbook confirmed:</w:t>
            </w:r>
          </w:p>
          <w:p w14:paraId="51FF54F0" w14:textId="1F6E3E53" w:rsidR="00A13E1E" w:rsidRPr="00804338" w:rsidRDefault="59C5FFD4" w:rsidP="00A13E1E">
            <w:pPr>
              <w:numPr>
                <w:ilvl w:val="0"/>
                <w:numId w:val="24"/>
              </w:numPr>
              <w:autoSpaceDE w:val="0"/>
              <w:autoSpaceDN w:val="0"/>
              <w:adjustRightInd w:val="0"/>
              <w:jc w:val="both"/>
              <w:rPr>
                <w:rFonts w:eastAsia="Arial" w:cs="Calibri"/>
                <w:sz w:val="22"/>
                <w:szCs w:val="22"/>
                <w:lang w:val="en-US"/>
              </w:rPr>
            </w:pPr>
            <w:r w:rsidRPr="0A0CF55C">
              <w:rPr>
                <w:rFonts w:eastAsia="Arial" w:cs="Calibri"/>
                <w:sz w:val="22"/>
                <w:szCs w:val="22"/>
                <w:lang w:val="en-US"/>
              </w:rPr>
              <w:t>For changes related to IRB portfolios, but for which the C</w:t>
            </w:r>
            <w:r w:rsidR="00F01276">
              <w:rPr>
                <w:rFonts w:eastAsia="Arial" w:cs="Calibri"/>
                <w:sz w:val="22"/>
                <w:szCs w:val="22"/>
                <w:lang w:val="en-US"/>
              </w:rPr>
              <w:t>r</w:t>
            </w:r>
            <w:r w:rsidR="00F01276">
              <w:rPr>
                <w:rFonts w:eastAsia="Arial" w:cs="Calibri"/>
                <w:lang w:val="en-US"/>
              </w:rPr>
              <w:t>edit Risk Control Unit (CRCU)</w:t>
            </w:r>
            <w:r w:rsidRPr="0A0CF55C">
              <w:rPr>
                <w:rFonts w:eastAsia="Arial" w:cs="Calibri"/>
                <w:sz w:val="22"/>
                <w:szCs w:val="22"/>
                <w:lang w:val="en-US"/>
              </w:rPr>
              <w:t xml:space="preserve"> demonstrate that no change is needed to the rating system, internal validation is expected to verify the CRCU’s assessment and, in case it is confirmed, no further validation activity is needed.</w:t>
            </w:r>
          </w:p>
          <w:p w14:paraId="36430597" w14:textId="77777777" w:rsidR="00A42C5E" w:rsidRPr="00804338" w:rsidRDefault="59C5FFD4" w:rsidP="00A42C5E">
            <w:pPr>
              <w:numPr>
                <w:ilvl w:val="0"/>
                <w:numId w:val="24"/>
              </w:numPr>
              <w:autoSpaceDE w:val="0"/>
              <w:autoSpaceDN w:val="0"/>
              <w:jc w:val="both"/>
              <w:rPr>
                <w:rFonts w:eastAsia="Times New Roman" w:cs="Calibri"/>
                <w:sz w:val="22"/>
                <w:szCs w:val="22"/>
                <w:lang w:val="en-US"/>
              </w:rPr>
            </w:pPr>
            <w:r w:rsidRPr="0A0CF55C">
              <w:rPr>
                <w:rFonts w:eastAsia="Times New Roman" w:cs="Calibri"/>
                <w:sz w:val="22"/>
                <w:szCs w:val="22"/>
                <w:lang w:val="en-US"/>
              </w:rPr>
              <w:t>For changes related to IRB portfolios for which the CRCU identified the need for change to the rating system (recalibration or redevelopment), internal validation activity is expected on the classification of the change and, consequently, on the rating system.</w:t>
            </w:r>
          </w:p>
          <w:p w14:paraId="0D9D527B" w14:textId="3541BED7" w:rsidR="00A13E1E" w:rsidRPr="00A42C5E" w:rsidRDefault="00A13E1E" w:rsidP="00A42C5E">
            <w:pPr>
              <w:numPr>
                <w:ilvl w:val="0"/>
                <w:numId w:val="24"/>
              </w:numPr>
              <w:autoSpaceDE w:val="0"/>
              <w:autoSpaceDN w:val="0"/>
              <w:jc w:val="both"/>
              <w:rPr>
                <w:rFonts w:eastAsia="Times New Roman" w:cs="Calibri"/>
                <w:b/>
                <w:bCs/>
                <w:color w:val="00B050"/>
                <w:lang w:val="en-US"/>
              </w:rPr>
            </w:pPr>
            <w:r w:rsidRPr="00804338">
              <w:rPr>
                <w:rFonts w:eastAsia="Arial" w:cs="Calibri"/>
                <w:sz w:val="22"/>
                <w:szCs w:val="22"/>
                <w:lang w:val="en-US"/>
              </w:rPr>
              <w:t>In both cases, all process-related aspects are expected to be covered by IA as per Content box 1.</w:t>
            </w:r>
          </w:p>
        </w:tc>
      </w:tr>
    </w:tbl>
    <w:p w14:paraId="47832E2A" w14:textId="77777777" w:rsidR="00FC2D76" w:rsidRPr="00FC2D76" w:rsidRDefault="00FC2D76" w:rsidP="00003882">
      <w:pPr>
        <w:spacing w:after="120"/>
        <w:jc w:val="both"/>
        <w:rPr>
          <w:b/>
          <w:bCs/>
        </w:rPr>
      </w:pPr>
    </w:p>
    <w:p w14:paraId="25ABE99B" w14:textId="77777777" w:rsidR="00FC2D76" w:rsidRDefault="00311625" w:rsidP="00003882">
      <w:pPr>
        <w:spacing w:after="120"/>
        <w:jc w:val="both"/>
        <w:rPr>
          <w:b/>
          <w:bCs/>
        </w:rPr>
      </w:pPr>
      <w:r w:rsidRPr="00FC2D76">
        <w:rPr>
          <w:b/>
          <w:bCs/>
        </w:rPr>
        <w:t xml:space="preserve">Question 4: Which approach factoring in the rating philosophy of a model into the back-testing analyses should be considered as best practices? </w:t>
      </w:r>
    </w:p>
    <w:tbl>
      <w:tblPr>
        <w:tblStyle w:val="TableGrid"/>
        <w:tblW w:w="0" w:type="auto"/>
        <w:tblLook w:val="04A0" w:firstRow="1" w:lastRow="0" w:firstColumn="1" w:lastColumn="0" w:noHBand="0" w:noVBand="1"/>
      </w:tblPr>
      <w:tblGrid>
        <w:gridCol w:w="10457"/>
      </w:tblGrid>
      <w:tr w:rsidR="00FC2D76" w14:paraId="5374F7D3" w14:textId="77777777" w:rsidTr="0A0CF55C">
        <w:tc>
          <w:tcPr>
            <w:tcW w:w="10457" w:type="dxa"/>
          </w:tcPr>
          <w:p w14:paraId="41CDDAE1" w14:textId="56DC1CE7" w:rsidR="00612784" w:rsidRPr="00231A07" w:rsidRDefault="3C3121E5" w:rsidP="0A0CF55C">
            <w:pPr>
              <w:spacing w:before="120" w:after="120" w:line="280" w:lineRule="exact"/>
              <w:jc w:val="both"/>
              <w:rPr>
                <w:rFonts w:ascii="Cambria" w:hAnsi="Cambria"/>
                <w:sz w:val="22"/>
                <w:szCs w:val="22"/>
                <w:lang w:val="en-US"/>
              </w:rPr>
            </w:pPr>
            <w:r w:rsidRPr="0A0CF55C">
              <w:rPr>
                <w:rFonts w:ascii="Cambria" w:hAnsi="Cambria"/>
                <w:sz w:val="22"/>
                <w:szCs w:val="22"/>
                <w:lang w:val="en-US"/>
              </w:rPr>
              <w:t>When long-run estimates are back-tested using reali</w:t>
            </w:r>
            <w:r w:rsidR="778D6C92" w:rsidRPr="0A0CF55C">
              <w:rPr>
                <w:rFonts w:ascii="Cambria" w:hAnsi="Cambria"/>
                <w:sz w:val="22"/>
                <w:szCs w:val="22"/>
                <w:lang w:val="en-US"/>
              </w:rPr>
              <w:t>s</w:t>
            </w:r>
            <w:r w:rsidRPr="0A0CF55C">
              <w:rPr>
                <w:rFonts w:ascii="Cambria" w:hAnsi="Cambria"/>
                <w:sz w:val="22"/>
                <w:szCs w:val="22"/>
                <w:lang w:val="en-US"/>
              </w:rPr>
              <w:t xml:space="preserve">ed observed default frequencies (ODFs) in short periods of time, non-representative of the likely range of variability (LRoV), results need to be nuanced considering the economic environment in the chosen period of time and the rating philosophy nature of the model. Isolation of the effects of the changes in the portfolio mix for the chosen period for back-testing </w:t>
            </w:r>
            <w:r w:rsidR="009D2C8E" w:rsidRPr="0A0CF55C">
              <w:rPr>
                <w:rFonts w:ascii="Cambria" w:hAnsi="Cambria"/>
                <w:sz w:val="22"/>
                <w:szCs w:val="22"/>
                <w:lang w:val="en-US"/>
              </w:rPr>
              <w:t>purposes and</w:t>
            </w:r>
            <w:r w:rsidRPr="0A0CF55C">
              <w:rPr>
                <w:rFonts w:ascii="Cambria" w:hAnsi="Cambria"/>
                <w:sz w:val="22"/>
                <w:szCs w:val="22"/>
                <w:lang w:val="en-US"/>
              </w:rPr>
              <w:t xml:space="preserve"> trying to capture only the effect of the economic cycle is advisable. Reali</w:t>
            </w:r>
            <w:r w:rsidR="7DF402F6" w:rsidRPr="0A0CF55C">
              <w:rPr>
                <w:rFonts w:ascii="Cambria" w:hAnsi="Cambria"/>
                <w:sz w:val="22"/>
                <w:szCs w:val="22"/>
                <w:lang w:val="en-US"/>
              </w:rPr>
              <w:t>s</w:t>
            </w:r>
            <w:r w:rsidRPr="0A0CF55C">
              <w:rPr>
                <w:rFonts w:ascii="Cambria" w:hAnsi="Cambria"/>
                <w:sz w:val="22"/>
                <w:szCs w:val="22"/>
                <w:lang w:val="en-US"/>
              </w:rPr>
              <w:t xml:space="preserve">ed migrations between scores and rating grades can be checked for coherence with the expected direction according to the declared rating philosophy and the economic environment in the chosen period. In the same </w:t>
            </w:r>
            <w:r w:rsidR="693C3CA0" w:rsidRPr="0A0CF55C">
              <w:rPr>
                <w:rFonts w:ascii="Cambria" w:hAnsi="Cambria"/>
                <w:sz w:val="22"/>
                <w:szCs w:val="22"/>
                <w:lang w:val="en-US"/>
              </w:rPr>
              <w:t>way</w:t>
            </w:r>
            <w:r w:rsidRPr="0A0CF55C">
              <w:rPr>
                <w:rFonts w:ascii="Cambria" w:hAnsi="Cambria"/>
                <w:sz w:val="22"/>
                <w:szCs w:val="22"/>
                <w:lang w:val="en-US"/>
              </w:rPr>
              <w:t>, results of the comparison of realized ODFs vs estimates can be checked to be coherent with the economic environment.</w:t>
            </w:r>
          </w:p>
          <w:p w14:paraId="405AA629" w14:textId="1E22E011" w:rsidR="00FC2D76" w:rsidRPr="00231A07" w:rsidRDefault="00257338" w:rsidP="00612784">
            <w:pPr>
              <w:spacing w:before="120" w:after="120" w:line="280" w:lineRule="exact"/>
              <w:jc w:val="both"/>
              <w:rPr>
                <w:rFonts w:ascii="Cambria" w:hAnsi="Cambria" w:cstheme="minorHAnsi"/>
                <w:sz w:val="22"/>
                <w:szCs w:val="22"/>
                <w:lang w:val="en-US"/>
              </w:rPr>
            </w:pPr>
            <w:r w:rsidRPr="00231A07">
              <w:rPr>
                <w:rFonts w:ascii="Cambria" w:hAnsi="Cambria" w:cstheme="minorHAnsi"/>
                <w:sz w:val="22"/>
                <w:szCs w:val="22"/>
                <w:lang w:val="en-US"/>
              </w:rPr>
              <w:t>At this stage of development, where standards on metrics on rating philosophy are not broadly defined in the industry, it is very difficult to define and perform pure quantitative tests. It is also hard to define adequate thresholds to determine whether the rating is point-in-time (PiT) or through-the-cycle (TTC).</w:t>
            </w:r>
            <w:r w:rsidR="00800F72" w:rsidRPr="00231A07">
              <w:rPr>
                <w:rFonts w:ascii="Cambria" w:hAnsi="Cambria" w:cstheme="minorHAnsi"/>
                <w:sz w:val="22"/>
                <w:szCs w:val="22"/>
                <w:lang w:val="en-US"/>
              </w:rPr>
              <w:t xml:space="preserve"> Further supervisory guidance on the expectations around this topic would be more welcome</w:t>
            </w:r>
            <w:r w:rsidR="002D0FC9">
              <w:rPr>
                <w:rFonts w:ascii="Cambria" w:hAnsi="Cambria" w:cstheme="minorHAnsi"/>
                <w:sz w:val="22"/>
                <w:szCs w:val="22"/>
                <w:lang w:val="en-US"/>
              </w:rPr>
              <w:t xml:space="preserve"> - </w:t>
            </w:r>
            <w:r w:rsidR="00D27171" w:rsidRPr="00231A07">
              <w:rPr>
                <w:sz w:val="22"/>
                <w:szCs w:val="22"/>
              </w:rPr>
              <w:t>e.g. including a list of the type of approaches that would be expected).</w:t>
            </w:r>
          </w:p>
          <w:p w14:paraId="1C1D4CC5" w14:textId="3C3316AF" w:rsidR="00EF7B7A" w:rsidRDefault="69E51C94" w:rsidP="00A13E1E">
            <w:pPr>
              <w:autoSpaceDE w:val="0"/>
              <w:autoSpaceDN w:val="0"/>
              <w:adjustRightInd w:val="0"/>
              <w:jc w:val="both"/>
              <w:rPr>
                <w:rFonts w:ascii="Cambria" w:eastAsia="Arial" w:hAnsi="Cambria" w:cs="Calibri"/>
                <w:sz w:val="22"/>
                <w:szCs w:val="22"/>
                <w:lang w:val="en-US"/>
              </w:rPr>
            </w:pPr>
            <w:r w:rsidRPr="0A0CF55C">
              <w:rPr>
                <w:rFonts w:ascii="Cambria" w:eastAsia="Arial" w:hAnsi="Cambria" w:cs="Calibri"/>
                <w:sz w:val="22"/>
                <w:szCs w:val="22"/>
                <w:lang w:val="en-US"/>
              </w:rPr>
              <w:t xml:space="preserve">We would also note </w:t>
            </w:r>
            <w:r w:rsidR="00D7779E">
              <w:rPr>
                <w:rFonts w:ascii="Cambria" w:eastAsia="Arial" w:hAnsi="Cambria" w:cs="Calibri"/>
                <w:sz w:val="22"/>
                <w:szCs w:val="22"/>
                <w:lang w:val="en-US"/>
              </w:rPr>
              <w:t>other</w:t>
            </w:r>
            <w:r w:rsidRPr="0A0CF55C">
              <w:rPr>
                <w:rFonts w:ascii="Cambria" w:eastAsia="Arial" w:hAnsi="Cambria" w:cs="Calibri"/>
                <w:sz w:val="22"/>
                <w:szCs w:val="22"/>
                <w:lang w:val="en-US"/>
              </w:rPr>
              <w:t xml:space="preserve"> member</w:t>
            </w:r>
            <w:r w:rsidR="00D7779E">
              <w:rPr>
                <w:rFonts w:ascii="Cambria" w:eastAsia="Arial" w:hAnsi="Cambria" w:cs="Calibri"/>
                <w:sz w:val="22"/>
                <w:szCs w:val="22"/>
                <w:lang w:val="en-US"/>
              </w:rPr>
              <w:t>s</w:t>
            </w:r>
            <w:r w:rsidRPr="0A0CF55C">
              <w:rPr>
                <w:rFonts w:ascii="Cambria" w:eastAsia="Arial" w:hAnsi="Cambria" w:cs="Calibri"/>
                <w:sz w:val="22"/>
                <w:szCs w:val="22"/>
                <w:lang w:val="en-US"/>
              </w:rPr>
              <w:t xml:space="preserve"> </w:t>
            </w:r>
            <w:r w:rsidR="009D2C8E" w:rsidRPr="0A0CF55C">
              <w:rPr>
                <w:rFonts w:ascii="Cambria" w:eastAsia="Arial" w:hAnsi="Cambria" w:cs="Calibri"/>
                <w:sz w:val="22"/>
                <w:szCs w:val="22"/>
                <w:lang w:val="en-US"/>
              </w:rPr>
              <w:t>provided specific</w:t>
            </w:r>
            <w:r w:rsidRPr="0A0CF55C">
              <w:rPr>
                <w:rFonts w:ascii="Cambria" w:eastAsia="Arial" w:hAnsi="Cambria" w:cs="Calibri"/>
                <w:sz w:val="22"/>
                <w:szCs w:val="22"/>
                <w:lang w:val="en-US"/>
              </w:rPr>
              <w:t xml:space="preserve"> feedback </w:t>
            </w:r>
            <w:r w:rsidR="0E03FFC2" w:rsidRPr="0A0CF55C">
              <w:rPr>
                <w:rFonts w:ascii="Cambria" w:eastAsia="Arial" w:hAnsi="Cambria" w:cs="Calibri"/>
                <w:sz w:val="22"/>
                <w:szCs w:val="22"/>
                <w:lang w:val="en-US"/>
              </w:rPr>
              <w:t xml:space="preserve">for consideration (though this is not representative of </w:t>
            </w:r>
            <w:r w:rsidR="391379BD" w:rsidRPr="0A0CF55C">
              <w:rPr>
                <w:rFonts w:ascii="Cambria" w:eastAsia="Arial" w:hAnsi="Cambria" w:cs="Calibri"/>
                <w:sz w:val="22"/>
                <w:szCs w:val="22"/>
                <w:lang w:val="en-US"/>
              </w:rPr>
              <w:t>all members approaches)</w:t>
            </w:r>
            <w:r w:rsidR="0E03FFC2" w:rsidRPr="0A0CF55C">
              <w:rPr>
                <w:rFonts w:ascii="Cambria" w:eastAsia="Arial" w:hAnsi="Cambria" w:cs="Calibri"/>
                <w:sz w:val="22"/>
                <w:szCs w:val="22"/>
                <w:lang w:val="en-US"/>
              </w:rPr>
              <w:t>:</w:t>
            </w:r>
          </w:p>
          <w:p w14:paraId="525585C4" w14:textId="77777777" w:rsidR="007000C7" w:rsidRPr="00027CA4" w:rsidRDefault="007000C7" w:rsidP="00A13E1E">
            <w:pPr>
              <w:autoSpaceDE w:val="0"/>
              <w:autoSpaceDN w:val="0"/>
              <w:adjustRightInd w:val="0"/>
              <w:jc w:val="both"/>
              <w:rPr>
                <w:rFonts w:ascii="Cambria" w:eastAsia="Arial" w:hAnsi="Cambria" w:cs="Calibri"/>
                <w:sz w:val="22"/>
                <w:szCs w:val="22"/>
                <w:lang w:val="en-US"/>
              </w:rPr>
            </w:pPr>
          </w:p>
          <w:p w14:paraId="605CB6E4" w14:textId="77777777" w:rsidR="00626695" w:rsidRDefault="00EF7B7A" w:rsidP="00626695">
            <w:pPr>
              <w:pStyle w:val="ListParagraph"/>
              <w:numPr>
                <w:ilvl w:val="0"/>
                <w:numId w:val="33"/>
              </w:numPr>
              <w:autoSpaceDE w:val="0"/>
              <w:autoSpaceDN w:val="0"/>
              <w:adjustRightInd w:val="0"/>
              <w:jc w:val="both"/>
              <w:rPr>
                <w:rFonts w:ascii="Cambria" w:eastAsia="Arial" w:hAnsi="Cambria" w:cs="Calibri"/>
                <w:i/>
                <w:iCs/>
                <w:lang w:val="en-US"/>
              </w:rPr>
            </w:pPr>
            <w:r w:rsidRPr="007000C7">
              <w:rPr>
                <w:rFonts w:ascii="Cambria" w:eastAsia="Arial" w:hAnsi="Cambria" w:cs="Calibri"/>
                <w:i/>
                <w:iCs/>
                <w:lang w:val="en-US"/>
              </w:rPr>
              <w:t>“</w:t>
            </w:r>
            <w:r w:rsidR="00A13E1E" w:rsidRPr="007000C7">
              <w:rPr>
                <w:rFonts w:ascii="Cambria" w:eastAsia="Arial" w:hAnsi="Cambria" w:cs="Calibri"/>
                <w:i/>
                <w:iCs/>
                <w:lang w:val="en-US"/>
              </w:rPr>
              <w:t>In our opinion the back-testing of estimates for IRB purposes shall follow a T</w:t>
            </w:r>
            <w:r w:rsidR="007000C7" w:rsidRPr="007000C7">
              <w:rPr>
                <w:rFonts w:ascii="Cambria" w:eastAsia="Arial" w:hAnsi="Cambria" w:cs="Calibri"/>
                <w:i/>
                <w:iCs/>
                <w:lang w:val="en-US"/>
              </w:rPr>
              <w:t>h</w:t>
            </w:r>
            <w:r w:rsidR="00A13E1E" w:rsidRPr="007000C7">
              <w:rPr>
                <w:rFonts w:ascii="Cambria" w:eastAsia="Arial" w:hAnsi="Cambria" w:cs="Calibri"/>
                <w:i/>
                <w:iCs/>
                <w:lang w:val="en-US"/>
              </w:rPr>
              <w:t xml:space="preserve">rough-the-cycle calibration philosophy: at each moment in time, PD estimates shall be representative of a quantification of riskiness that reflects an entire economic cycle. In other words, in each and every moment the quantification of the PD shall reflect the LRADR of relevant portfolio. This is to ensure the stability of capital requirements and, in consequence, to limit as much as possible any procyclical effect of the Basel framework. This assumption reflects in the need for a back-testing that is, as a first and most important step, based on the entire portfolio and comparing the PD estimate against the LRADR. Once verified that, at the validation date, the portfolio as a whole has a PD reflecting the LRADR, one can say that the overall quantification is sound and that capital requirements are not distorted by the use of the PD model (of course, limited to the back-testing). It is important to stress, in addition, that generally speaking a series of comparisons between estimates of PD at a given reference date and corresponding 1-year DRs cannot provide a complete assessment of the risk quantification capabilities of a model: this approach, indeed, would return satisfactory results only in case of PIT-calibrated models, returning PD always aligned to most figures current at that date. TTC-calibrated models instead will be aligned with the 1-year DR only on few points of the time series. </w:t>
            </w:r>
          </w:p>
          <w:p w14:paraId="602EAFEA" w14:textId="77777777" w:rsidR="00626695" w:rsidRDefault="00626695" w:rsidP="00626695">
            <w:pPr>
              <w:pStyle w:val="ListParagraph"/>
              <w:autoSpaceDE w:val="0"/>
              <w:autoSpaceDN w:val="0"/>
              <w:adjustRightInd w:val="0"/>
              <w:jc w:val="both"/>
              <w:rPr>
                <w:rFonts w:ascii="Cambria" w:eastAsia="Arial" w:hAnsi="Cambria" w:cs="Calibri"/>
                <w:i/>
                <w:iCs/>
                <w:lang w:val="en-US"/>
              </w:rPr>
            </w:pPr>
          </w:p>
          <w:p w14:paraId="449F4C59" w14:textId="77777777" w:rsidR="00626695" w:rsidRDefault="00A13E1E" w:rsidP="00626695">
            <w:pPr>
              <w:pStyle w:val="ListParagraph"/>
              <w:autoSpaceDE w:val="0"/>
              <w:autoSpaceDN w:val="0"/>
              <w:adjustRightInd w:val="0"/>
              <w:jc w:val="both"/>
              <w:rPr>
                <w:rFonts w:ascii="Cambria" w:eastAsia="Arial" w:hAnsi="Cambria" w:cs="Calibri"/>
                <w:i/>
                <w:iCs/>
                <w:lang w:val="en-US"/>
              </w:rPr>
            </w:pPr>
            <w:r w:rsidRPr="00626695">
              <w:rPr>
                <w:rFonts w:ascii="Cambria" w:eastAsia="Arial" w:hAnsi="Cambria" w:cs="Calibri"/>
                <w:i/>
                <w:iCs/>
                <w:lang w:val="en-US"/>
              </w:rPr>
              <w:t xml:space="preserve">After this preliminary and general assessment, the Validation shall perform additional tests aimed at better understanding and evaluating the risk-quantification capabilities of the model, in particular focusing on the back-testing at rating class level. In this context, the rating philosophy of a model plays a </w:t>
            </w:r>
            <w:r w:rsidRPr="00626695">
              <w:rPr>
                <w:rFonts w:ascii="Cambria" w:eastAsia="Arial" w:hAnsi="Cambria" w:cs="Calibri"/>
                <w:i/>
                <w:iCs/>
                <w:lang w:val="en-US"/>
              </w:rPr>
              <w:lastRenderedPageBreak/>
              <w:t>fundamental role: in case of a PIT rating assignment, the Validation should expect a DR of the given class rather stable through time; in contrast, a TTC rating assignment will reflect in classes showing more volatile DR. In this vein, a failure of a comparison between PD and DR at grade level will give rise to more severe findings in the assessment of a PD model featured by a PIT rating philosophy while in case of a TTC one the misalignment is somehow expected and should be seen as a gap only in case of systematical misalignments observed on several years, typically with the same direction. The results of the comparisons between each 1-year PD and relevant observed DR can also provide additional insight on the rating philosophy, in addition to the analyses required by Article 47(c).</w:t>
            </w:r>
            <w:r w:rsidR="00EF7B7A" w:rsidRPr="00626695">
              <w:rPr>
                <w:rFonts w:ascii="Cambria" w:eastAsia="Arial" w:hAnsi="Cambria" w:cs="Calibri"/>
                <w:i/>
                <w:iCs/>
                <w:lang w:val="en-US"/>
              </w:rPr>
              <w:t>”</w:t>
            </w:r>
          </w:p>
          <w:p w14:paraId="08F94DBC" w14:textId="77777777" w:rsidR="00626695" w:rsidRDefault="00626695" w:rsidP="00626695">
            <w:pPr>
              <w:pStyle w:val="ListParagraph"/>
              <w:autoSpaceDE w:val="0"/>
              <w:autoSpaceDN w:val="0"/>
              <w:adjustRightInd w:val="0"/>
              <w:jc w:val="both"/>
              <w:rPr>
                <w:rFonts w:ascii="Cambria" w:eastAsia="Arial" w:hAnsi="Cambria" w:cs="Calibri"/>
                <w:lang w:val="en-US"/>
              </w:rPr>
            </w:pPr>
          </w:p>
          <w:p w14:paraId="77BD076A" w14:textId="2E40DA09" w:rsidR="00D7779E" w:rsidRPr="00027CA4" w:rsidRDefault="00D7779E" w:rsidP="00626695">
            <w:pPr>
              <w:pStyle w:val="ListParagraph"/>
              <w:numPr>
                <w:ilvl w:val="0"/>
                <w:numId w:val="33"/>
              </w:numPr>
              <w:autoSpaceDE w:val="0"/>
              <w:autoSpaceDN w:val="0"/>
              <w:adjustRightInd w:val="0"/>
              <w:jc w:val="both"/>
              <w:rPr>
                <w:rFonts w:ascii="Cambria" w:eastAsia="Arial" w:hAnsi="Cambria" w:cs="Calibri"/>
                <w:i/>
                <w:iCs/>
                <w:lang w:val="en-US"/>
              </w:rPr>
            </w:pPr>
            <w:r>
              <w:rPr>
                <w:rFonts w:ascii="Cambria" w:eastAsia="Arial" w:hAnsi="Cambria" w:cs="Calibri"/>
                <w:lang w:val="en-US"/>
              </w:rPr>
              <w:t>For another member, b</w:t>
            </w:r>
            <w:r w:rsidRPr="00BC00BA">
              <w:rPr>
                <w:rFonts w:ascii="Cambria" w:eastAsia="Arial" w:hAnsi="Cambria" w:cs="Calibri"/>
                <w:lang w:val="en-US"/>
              </w:rPr>
              <w:t>acktesting PD estimates at rating class level against realised default rates in the short-term is only appropriate for purely point-in-time models, while purely through-the-cycle models would require to be backtested considering the entire likely range of variability across the entire economic cycle.</w:t>
            </w:r>
            <w:r>
              <w:rPr>
                <w:rFonts w:ascii="Cambria" w:eastAsia="Arial" w:hAnsi="Cambria" w:cs="Calibri"/>
                <w:lang w:val="en-US"/>
              </w:rPr>
              <w:t xml:space="preserve"> </w:t>
            </w:r>
            <w:r w:rsidRPr="00BC00BA">
              <w:rPr>
                <w:rFonts w:ascii="Cambria" w:eastAsia="Arial" w:hAnsi="Cambria" w:cs="Calibri"/>
                <w:lang w:val="en-US"/>
              </w:rPr>
              <w:t xml:space="preserve">As a consequence, the timeframe considered </w:t>
            </w:r>
            <w:r>
              <w:rPr>
                <w:rFonts w:ascii="Cambria" w:eastAsia="Arial" w:hAnsi="Cambria" w:cs="Calibri"/>
                <w:lang w:val="en-US"/>
              </w:rPr>
              <w:t xml:space="preserve">for the validation sample used for </w:t>
            </w:r>
            <w:r w:rsidRPr="00BC00BA">
              <w:rPr>
                <w:rFonts w:ascii="Cambria" w:eastAsia="Arial" w:hAnsi="Cambria" w:cs="Calibri"/>
                <w:lang w:val="en-US"/>
              </w:rPr>
              <w:t xml:space="preserve">backtesting </w:t>
            </w:r>
            <w:r>
              <w:rPr>
                <w:rFonts w:ascii="Cambria" w:eastAsia="Arial" w:hAnsi="Cambria" w:cs="Calibri"/>
                <w:lang w:val="en-US"/>
              </w:rPr>
              <w:t xml:space="preserve">analyses </w:t>
            </w:r>
            <w:r w:rsidRPr="00BC00BA">
              <w:rPr>
                <w:rFonts w:ascii="Cambria" w:eastAsia="Arial" w:hAnsi="Cambria" w:cs="Calibri"/>
                <w:lang w:val="en-US"/>
              </w:rPr>
              <w:t>shall be set consistently with the degree of PIT-ness in practical situations, with the effect of potentially making a purely OOT backtesting of limited significance</w:t>
            </w:r>
            <w:r>
              <w:rPr>
                <w:rFonts w:ascii="Cambria" w:eastAsia="Arial" w:hAnsi="Cambria" w:cs="Calibri"/>
                <w:lang w:val="en-US"/>
              </w:rPr>
              <w:t>.</w:t>
            </w:r>
          </w:p>
          <w:p w14:paraId="07F169D0" w14:textId="6D93CCB4" w:rsidR="001475EB" w:rsidRPr="008C54D7" w:rsidRDefault="00FC123D" w:rsidP="002D0FC9">
            <w:pPr>
              <w:spacing w:before="120" w:after="120" w:line="280" w:lineRule="exact"/>
              <w:jc w:val="both"/>
              <w:rPr>
                <w:rFonts w:eastAsia="Arial" w:cs="Calibri"/>
                <w:sz w:val="22"/>
                <w:szCs w:val="22"/>
                <w:lang w:val="en-US"/>
              </w:rPr>
            </w:pPr>
            <w:r w:rsidRPr="00027CA4">
              <w:rPr>
                <w:rFonts w:ascii="Cambria" w:eastAsia="Arial" w:hAnsi="Cambria" w:cs="Calibri"/>
                <w:sz w:val="22"/>
                <w:szCs w:val="22"/>
                <w:lang w:val="en-US"/>
              </w:rPr>
              <w:t xml:space="preserve">Finally, we would note that within </w:t>
            </w:r>
            <w:r w:rsidR="00F27FDA" w:rsidRPr="00027CA4">
              <w:rPr>
                <w:rFonts w:ascii="Cambria" w:eastAsia="Arial" w:hAnsi="Cambria" w:cs="Calibri"/>
                <w:sz w:val="22"/>
                <w:szCs w:val="22"/>
                <w:lang w:val="en-US"/>
              </w:rPr>
              <w:t xml:space="preserve">the present handbook, no mention is made to the calibration philosophy; does </w:t>
            </w:r>
            <w:r w:rsidR="008C54D7" w:rsidRPr="00027CA4">
              <w:rPr>
                <w:rFonts w:ascii="Cambria" w:eastAsia="Arial" w:hAnsi="Cambria" w:cs="Calibri"/>
                <w:sz w:val="22"/>
                <w:szCs w:val="22"/>
                <w:lang w:val="en-US"/>
              </w:rPr>
              <w:t>this</w:t>
            </w:r>
            <w:r w:rsidR="00F27FDA" w:rsidRPr="00027CA4">
              <w:rPr>
                <w:rFonts w:ascii="Cambria" w:eastAsia="Arial" w:hAnsi="Cambria" w:cs="Calibri"/>
                <w:sz w:val="22"/>
                <w:szCs w:val="22"/>
                <w:lang w:val="en-US"/>
              </w:rPr>
              <w:t xml:space="preserve"> mean that the approach to back-testing should depend only on the rating philosophy (and that TTC B-E estimations should be tested in the same way)?</w:t>
            </w:r>
          </w:p>
        </w:tc>
      </w:tr>
    </w:tbl>
    <w:p w14:paraId="36E6F541" w14:textId="77777777" w:rsidR="00FC2D76" w:rsidRPr="00FC2D76" w:rsidRDefault="00FC2D76" w:rsidP="00003882">
      <w:pPr>
        <w:spacing w:after="120"/>
        <w:jc w:val="both"/>
        <w:rPr>
          <w:b/>
          <w:bCs/>
        </w:rPr>
      </w:pPr>
    </w:p>
    <w:p w14:paraId="252DDA9F" w14:textId="77777777" w:rsidR="00FC2D76" w:rsidRDefault="00311625" w:rsidP="00003882">
      <w:pPr>
        <w:spacing w:after="120"/>
        <w:jc w:val="both"/>
        <w:rPr>
          <w:b/>
          <w:bCs/>
        </w:rPr>
      </w:pPr>
      <w:r w:rsidRPr="00FC2D76">
        <w:rPr>
          <w:b/>
          <w:bCs/>
        </w:rPr>
        <w:t xml:space="preserve">Question 5: What analyses do you consider to be best practice to empirically assess the modelling choices in paragraph [76] and, more generally, the performance of the slotting approach used (i.e. the discriminatory power and homogeneity)? </w:t>
      </w:r>
    </w:p>
    <w:tbl>
      <w:tblPr>
        <w:tblStyle w:val="TableGrid"/>
        <w:tblW w:w="0" w:type="auto"/>
        <w:tblLook w:val="04A0" w:firstRow="1" w:lastRow="0" w:firstColumn="1" w:lastColumn="0" w:noHBand="0" w:noVBand="1"/>
      </w:tblPr>
      <w:tblGrid>
        <w:gridCol w:w="10457"/>
      </w:tblGrid>
      <w:tr w:rsidR="00FC2D76" w14:paraId="085F9A25" w14:textId="77777777" w:rsidTr="2C82E4EA">
        <w:tc>
          <w:tcPr>
            <w:tcW w:w="10457" w:type="dxa"/>
          </w:tcPr>
          <w:p w14:paraId="005F0574" w14:textId="77777777" w:rsidR="00257338" w:rsidRPr="0054600B" w:rsidRDefault="00257338" w:rsidP="00257338">
            <w:pPr>
              <w:spacing w:before="120" w:after="120" w:line="280" w:lineRule="exact"/>
              <w:jc w:val="both"/>
              <w:rPr>
                <w:rFonts w:cstheme="minorHAnsi"/>
                <w:sz w:val="22"/>
                <w:szCs w:val="22"/>
                <w:lang w:val="en-US"/>
              </w:rPr>
            </w:pPr>
            <w:r w:rsidRPr="0054600B">
              <w:rPr>
                <w:rFonts w:cstheme="minorHAnsi"/>
                <w:sz w:val="22"/>
                <w:szCs w:val="22"/>
                <w:lang w:val="en-US"/>
              </w:rPr>
              <w:t>The following analyses can be performed to assess either the aggregation methodology or the discriminatory power:</w:t>
            </w:r>
          </w:p>
          <w:p w14:paraId="5860E065" w14:textId="77777777" w:rsidR="00257338" w:rsidRPr="0054600B" w:rsidRDefault="00257338" w:rsidP="00257338">
            <w:pPr>
              <w:numPr>
                <w:ilvl w:val="1"/>
                <w:numId w:val="23"/>
              </w:numPr>
              <w:spacing w:before="120" w:after="120" w:line="280" w:lineRule="exact"/>
              <w:ind w:left="720"/>
              <w:jc w:val="both"/>
              <w:rPr>
                <w:rFonts w:cstheme="minorHAnsi"/>
                <w:sz w:val="22"/>
                <w:szCs w:val="22"/>
                <w:lang w:val="en-US"/>
              </w:rPr>
            </w:pPr>
            <w:r w:rsidRPr="0054600B">
              <w:rPr>
                <w:rFonts w:cstheme="minorHAnsi"/>
                <w:b/>
                <w:bCs/>
                <w:sz w:val="22"/>
                <w:szCs w:val="22"/>
                <w:lang w:val="en-US"/>
              </w:rPr>
              <w:t xml:space="preserve">Qualitative assessment </w:t>
            </w:r>
            <w:r w:rsidRPr="0054600B">
              <w:rPr>
                <w:rFonts w:cstheme="minorHAnsi"/>
                <w:sz w:val="22"/>
                <w:szCs w:val="22"/>
                <w:lang w:val="en-US"/>
              </w:rPr>
              <w:t>on justification provided by the CRCU for the selected sub-factors, their category, sensitivity analysis to the defined weights.</w:t>
            </w:r>
          </w:p>
          <w:p w14:paraId="178D77CF" w14:textId="77777777" w:rsidR="00257338" w:rsidRPr="0054600B" w:rsidRDefault="00257338" w:rsidP="00257338">
            <w:pPr>
              <w:numPr>
                <w:ilvl w:val="1"/>
                <w:numId w:val="23"/>
              </w:numPr>
              <w:spacing w:before="120" w:after="120" w:line="280" w:lineRule="exact"/>
              <w:ind w:left="720"/>
              <w:jc w:val="both"/>
              <w:rPr>
                <w:rFonts w:cstheme="minorHAnsi"/>
                <w:sz w:val="22"/>
                <w:szCs w:val="22"/>
              </w:rPr>
            </w:pPr>
            <w:r w:rsidRPr="0054600B">
              <w:rPr>
                <w:rFonts w:cstheme="minorHAnsi"/>
                <w:b/>
                <w:bCs/>
                <w:sz w:val="22"/>
                <w:szCs w:val="22"/>
                <w:lang w:val="en-US"/>
              </w:rPr>
              <w:t xml:space="preserve">Assessment of distribution of scores </w:t>
            </w:r>
            <w:r w:rsidRPr="0054600B">
              <w:rPr>
                <w:rFonts w:cstheme="minorHAnsi"/>
                <w:sz w:val="22"/>
                <w:szCs w:val="22"/>
                <w:lang w:val="en-US"/>
              </w:rPr>
              <w:t>by most and least relevant factors/sub-factors in each type of specialized lending exposures (potential non expected concentration of scores). Concentration metrics on scores on these risk factors can be computed.</w:t>
            </w:r>
          </w:p>
          <w:p w14:paraId="2939FE64" w14:textId="77777777" w:rsidR="00257338" w:rsidRPr="0054600B" w:rsidRDefault="00257338" w:rsidP="00257338">
            <w:pPr>
              <w:numPr>
                <w:ilvl w:val="1"/>
                <w:numId w:val="23"/>
              </w:numPr>
              <w:spacing w:before="120" w:after="120" w:line="280" w:lineRule="exact"/>
              <w:ind w:left="698"/>
              <w:jc w:val="both"/>
              <w:rPr>
                <w:rFonts w:cstheme="minorHAnsi"/>
                <w:sz w:val="22"/>
                <w:szCs w:val="22"/>
                <w:lang w:val="en-US"/>
              </w:rPr>
            </w:pPr>
            <w:r w:rsidRPr="0054600B">
              <w:rPr>
                <w:rFonts w:cstheme="minorHAnsi"/>
                <w:sz w:val="22"/>
                <w:szCs w:val="22"/>
                <w:lang w:val="en-US"/>
              </w:rPr>
              <w:t>Observed historical relationship between regulatory slot and default/delinquency status or percentage of historical realized losses. Coherent monotonicity should be expected.</w:t>
            </w:r>
          </w:p>
          <w:p w14:paraId="2CCB825D" w14:textId="77777777" w:rsidR="00FC2D76" w:rsidRPr="0054600B" w:rsidRDefault="00257338" w:rsidP="00257338">
            <w:pPr>
              <w:spacing w:before="120" w:after="120" w:line="280" w:lineRule="exact"/>
              <w:jc w:val="both"/>
              <w:rPr>
                <w:rFonts w:cstheme="minorHAnsi"/>
                <w:sz w:val="22"/>
                <w:szCs w:val="22"/>
                <w:lang w:val="en-US"/>
              </w:rPr>
            </w:pPr>
            <w:r w:rsidRPr="0054600B">
              <w:rPr>
                <w:rFonts w:cstheme="minorHAnsi"/>
                <w:sz w:val="22"/>
                <w:szCs w:val="22"/>
                <w:lang w:val="en-US"/>
              </w:rPr>
              <w:t>It has to be highlighted that, although these analyses are conceptually sound, the results are conditioned by the low number of defaults typically observed in many sub-exposures classes in the specialized lending portfolio. In addition, if enough data are available, discriminatory power statistics could be computed and assessed.</w:t>
            </w:r>
          </w:p>
          <w:p w14:paraId="1654EE0C" w14:textId="2BD7B7ED" w:rsidR="00A13E1E" w:rsidRPr="0054600B" w:rsidRDefault="00533A4B" w:rsidP="00A13E1E">
            <w:pPr>
              <w:autoSpaceDE w:val="0"/>
              <w:autoSpaceDN w:val="0"/>
              <w:adjustRightInd w:val="0"/>
              <w:jc w:val="both"/>
              <w:rPr>
                <w:rFonts w:eastAsia="Arial" w:cs="Calibri"/>
                <w:sz w:val="22"/>
                <w:szCs w:val="22"/>
                <w:lang w:val="en-US"/>
              </w:rPr>
            </w:pPr>
            <w:r w:rsidRPr="2C82E4EA">
              <w:rPr>
                <w:rFonts w:eastAsia="Arial" w:cs="Calibri"/>
                <w:sz w:val="22"/>
                <w:szCs w:val="22"/>
                <w:lang w:val="en-US"/>
              </w:rPr>
              <w:t>Furthermore, a</w:t>
            </w:r>
            <w:r w:rsidR="00A13E1E" w:rsidRPr="2C82E4EA">
              <w:rPr>
                <w:rFonts w:eastAsia="Arial" w:cs="Calibri"/>
                <w:sz w:val="22"/>
                <w:szCs w:val="22"/>
                <w:lang w:val="en-US"/>
              </w:rPr>
              <w:t xml:space="preserve">s per Article 76, the validation assessment covers all items from a) to d). In particular, the modelling choices are evaluated considering the regulatory requirements, the adherence to the internal processes, the market conditions, the products characteristics as well as all expert-based evidence reported in the documentation provided by the </w:t>
            </w:r>
            <w:r w:rsidR="00A13E1E" w:rsidRPr="007A6F4B">
              <w:rPr>
                <w:rFonts w:eastAsia="Arial" w:cs="Calibri"/>
                <w:sz w:val="22"/>
                <w:szCs w:val="22"/>
                <w:lang w:val="en-US"/>
              </w:rPr>
              <w:t>CRCU</w:t>
            </w:r>
            <w:r w:rsidR="00A13E1E" w:rsidRPr="2C82E4EA">
              <w:rPr>
                <w:rFonts w:eastAsia="Arial" w:cs="Calibri"/>
                <w:sz w:val="22"/>
                <w:szCs w:val="22"/>
                <w:lang w:val="en-US"/>
              </w:rPr>
              <w:t xml:space="preserve">. In case the cut-off values or the weights (used for aggregation purposes) are obtained by means of statistical/empirical approaches, the appropriateness of the methodology adopted is investigated considering, for example, the size of samples used, the type of target variable. In case the weights have been expertly defined, the adequacy and meaningfulness of the justifications are evaluated from a qualitative point of view. In any case, the validation function requires to have a weight equal to 100% for each level of aggregation (i.e., sub-factor components, sub-factor, factor). </w:t>
            </w:r>
          </w:p>
          <w:p w14:paraId="4131F9BD" w14:textId="77777777" w:rsidR="00FC782D" w:rsidRPr="0054600B" w:rsidRDefault="00FC782D" w:rsidP="00A13E1E">
            <w:pPr>
              <w:autoSpaceDE w:val="0"/>
              <w:autoSpaceDN w:val="0"/>
              <w:adjustRightInd w:val="0"/>
              <w:jc w:val="both"/>
              <w:rPr>
                <w:rFonts w:eastAsia="Arial" w:cs="Calibri"/>
                <w:sz w:val="22"/>
                <w:szCs w:val="22"/>
                <w:lang w:val="en-US"/>
              </w:rPr>
            </w:pPr>
          </w:p>
          <w:p w14:paraId="533D080B" w14:textId="77777777" w:rsidR="00A13E1E" w:rsidRPr="0054600B" w:rsidRDefault="00A13E1E" w:rsidP="00A13E1E">
            <w:pPr>
              <w:autoSpaceDE w:val="0"/>
              <w:autoSpaceDN w:val="0"/>
              <w:adjustRightInd w:val="0"/>
              <w:jc w:val="both"/>
              <w:rPr>
                <w:rFonts w:eastAsia="Arial" w:cs="Calibri"/>
                <w:sz w:val="22"/>
                <w:szCs w:val="22"/>
                <w:lang w:val="en-US"/>
              </w:rPr>
            </w:pPr>
            <w:r w:rsidRPr="0054600B">
              <w:rPr>
                <w:rFonts w:eastAsia="Arial" w:cs="Calibri"/>
                <w:sz w:val="22"/>
                <w:szCs w:val="22"/>
                <w:lang w:val="en-US"/>
              </w:rPr>
              <w:t>With reference to the performance of the slotting approach, the validation function assesses the discriminatory power by means of the Somers’ D metric at different level of analysis (e.g., final score and factor level) considering the default event occurred in the relevant observation period (flag 0/1) as target variable compared to the score obtained at each level of assessment. Also, the representativeness between the modelling samples and the application portfolio is verified by means of the PSI metric considering the most relevant drivers.</w:t>
            </w:r>
          </w:p>
          <w:p w14:paraId="0D2EC1B7" w14:textId="0DD78CC2" w:rsidR="00A13E1E" w:rsidRDefault="00A13E1E" w:rsidP="00A13E1E">
            <w:pPr>
              <w:spacing w:before="120" w:after="120" w:line="280" w:lineRule="exact"/>
              <w:jc w:val="both"/>
              <w:rPr>
                <w:rFonts w:eastAsia="Arial" w:cs="Calibri"/>
                <w:sz w:val="22"/>
                <w:szCs w:val="22"/>
                <w:lang w:val="en-US"/>
              </w:rPr>
            </w:pPr>
            <w:r w:rsidRPr="0054600B">
              <w:rPr>
                <w:rFonts w:eastAsia="Arial" w:cs="Calibri"/>
                <w:sz w:val="22"/>
                <w:szCs w:val="22"/>
                <w:lang w:val="en-US"/>
              </w:rPr>
              <w:lastRenderedPageBreak/>
              <w:t xml:space="preserve">On top of these quantitative assessment, the validation function performs additional qualitative/empirical analyses on ongoing basis in order to verify potential concentration or instability phenomena among the final categories. Moreover, an excessive potential frequency of overrides is verified together with their impact on the final categories. In case of not fully positive results, the validation function deeper investigates the evidence in order to verify if the weaknesses could be related to the weights assignment or to the aggregation methodology at sub-factor/factor levels. Finally, for the default event occurred in the relevant observation period, the validation function back-tests the appropriateness of the categories assigned when the position was in performing (e.g., at the beginning of the observation period), considering the expectation that the worse categories (i.e., average and weak) should have been assigned.  It is worth </w:t>
            </w:r>
            <w:r w:rsidR="00987DA9">
              <w:rPr>
                <w:rFonts w:eastAsia="Arial" w:cs="Calibri"/>
                <w:sz w:val="22"/>
                <w:szCs w:val="22"/>
                <w:lang w:val="en-US"/>
              </w:rPr>
              <w:t>noting</w:t>
            </w:r>
            <w:r w:rsidRPr="0054600B">
              <w:rPr>
                <w:rFonts w:eastAsia="Arial" w:cs="Calibri"/>
                <w:sz w:val="22"/>
                <w:szCs w:val="22"/>
                <w:lang w:val="en-US"/>
              </w:rPr>
              <w:t xml:space="preserve"> that all results from both quantitative tests and empirical analyses are evaluated taking into consideration the potential low size of the samples as well as the availability of the default event within the relevant observation period.</w:t>
            </w:r>
          </w:p>
          <w:p w14:paraId="32B26161" w14:textId="3A53D003" w:rsidR="00E8674A" w:rsidRPr="00F950CD" w:rsidRDefault="0081509D" w:rsidP="00E8674A">
            <w:pPr>
              <w:spacing w:before="120" w:after="120" w:line="280" w:lineRule="exact"/>
              <w:jc w:val="both"/>
              <w:rPr>
                <w:rFonts w:eastAsia="Arial" w:cs="Calibri"/>
                <w:sz w:val="22"/>
                <w:szCs w:val="22"/>
                <w:lang w:val="en-US"/>
              </w:rPr>
            </w:pPr>
            <w:r>
              <w:rPr>
                <w:rFonts w:eastAsia="Arial" w:cs="Calibri"/>
                <w:sz w:val="22"/>
                <w:szCs w:val="22"/>
                <w:lang w:val="en-US"/>
              </w:rPr>
              <w:t>A</w:t>
            </w:r>
            <w:r w:rsidR="00E8674A">
              <w:rPr>
                <w:rFonts w:eastAsia="Arial" w:cs="Calibri"/>
                <w:sz w:val="22"/>
                <w:szCs w:val="22"/>
                <w:lang w:val="en-US"/>
              </w:rPr>
              <w:t>nother member further notes that t</w:t>
            </w:r>
            <w:r w:rsidR="00E8674A" w:rsidRPr="00F950CD">
              <w:rPr>
                <w:rFonts w:eastAsia="Arial" w:cs="Calibri"/>
                <w:sz w:val="22"/>
                <w:szCs w:val="22"/>
                <w:lang w:val="en-US"/>
              </w:rPr>
              <w:t xml:space="preserve">he approach to the validation of slotting approaches covers all the areas provided in par. 76 under model design analyses, assessing the choices done during model development, verifying alignment to regulatory requirements and reviewing critically the choice of aggregation. However, quantitative tests on low-default-portfolios, </w:t>
            </w:r>
            <w:r w:rsidR="009416C2">
              <w:rPr>
                <w:rFonts w:eastAsia="Arial" w:cs="Calibri"/>
                <w:sz w:val="22"/>
                <w:szCs w:val="22"/>
                <w:lang w:val="en-US"/>
              </w:rPr>
              <w:t xml:space="preserve">such </w:t>
            </w:r>
            <w:r w:rsidR="00E8674A" w:rsidRPr="00F950CD">
              <w:rPr>
                <w:rFonts w:eastAsia="Arial" w:cs="Calibri"/>
                <w:sz w:val="22"/>
                <w:szCs w:val="22"/>
                <w:lang w:val="en-US"/>
              </w:rPr>
              <w:t>as portfolios under the slotting approach</w:t>
            </w:r>
            <w:r w:rsidR="009416C2">
              <w:rPr>
                <w:rFonts w:eastAsia="Arial" w:cs="Calibri"/>
                <w:sz w:val="22"/>
                <w:szCs w:val="22"/>
                <w:lang w:val="en-US"/>
              </w:rPr>
              <w:t>,</w:t>
            </w:r>
            <w:r w:rsidR="00E8674A" w:rsidRPr="00F950CD">
              <w:rPr>
                <w:rFonts w:eastAsia="Arial" w:cs="Calibri"/>
                <w:sz w:val="22"/>
                <w:szCs w:val="22"/>
                <w:lang w:val="en-US"/>
              </w:rPr>
              <w:t xml:space="preserve"> typically </w:t>
            </w:r>
            <w:r w:rsidR="00B21C96">
              <w:rPr>
                <w:rFonts w:eastAsia="Arial" w:cs="Calibri"/>
                <w:sz w:val="22"/>
                <w:szCs w:val="22"/>
                <w:lang w:val="en-US"/>
              </w:rPr>
              <w:t>do</w:t>
            </w:r>
            <w:r w:rsidR="00E8674A" w:rsidRPr="00F950CD">
              <w:rPr>
                <w:rFonts w:eastAsia="Arial" w:cs="Calibri"/>
                <w:sz w:val="22"/>
                <w:szCs w:val="22"/>
                <w:lang w:val="en-US"/>
              </w:rPr>
              <w:t xml:space="preserve"> not necessarily provide robust outcomes either for assigning categories at model development stage or for backtesting purposes.</w:t>
            </w:r>
            <w:r w:rsidR="00E8674A">
              <w:rPr>
                <w:rFonts w:eastAsia="Arial" w:cs="Calibri"/>
                <w:sz w:val="22"/>
                <w:szCs w:val="22"/>
                <w:lang w:val="en-US"/>
              </w:rPr>
              <w:t xml:space="preserve"> </w:t>
            </w:r>
            <w:r w:rsidR="00E8674A" w:rsidRPr="00F950CD">
              <w:rPr>
                <w:rFonts w:eastAsia="Arial" w:cs="Calibri"/>
                <w:sz w:val="22"/>
                <w:szCs w:val="22"/>
                <w:lang w:val="en-US"/>
              </w:rPr>
              <w:t>Also, as the SA-scale is pre-defined around broad categories, it is not surprising that the portfolios may concentrate around the class consistent with the risk appetite of the bank towards specialised lending businesses, making an assessment of risk differentiation or homogeneity barely interpretable with standard measures.</w:t>
            </w:r>
          </w:p>
          <w:p w14:paraId="7B3DAE96" w14:textId="4A246D43" w:rsidR="00E8674A" w:rsidRPr="00257338" w:rsidRDefault="00E8674A" w:rsidP="00E8674A">
            <w:pPr>
              <w:spacing w:before="120" w:after="120" w:line="280" w:lineRule="exact"/>
              <w:jc w:val="both"/>
              <w:rPr>
                <w:rFonts w:cstheme="minorHAnsi"/>
                <w:lang w:val="en-US"/>
              </w:rPr>
            </w:pPr>
            <w:r w:rsidRPr="00F950CD">
              <w:rPr>
                <w:rFonts w:eastAsia="Arial" w:cs="Calibri"/>
                <w:sz w:val="22"/>
                <w:szCs w:val="22"/>
                <w:lang w:val="en-US"/>
              </w:rPr>
              <w:t xml:space="preserve">For these reasons, Validation assessment is typically more grounded on a qualitative assessment of the key modelling choices and on justifications/rationales provided by the CRCU, supported by standard quantitative metrics (distribution, concentration, accuracy, representativeness, calibration, etc.) that do not </w:t>
            </w:r>
            <w:r w:rsidR="002C34FC" w:rsidRPr="00F950CD">
              <w:rPr>
                <w:rFonts w:eastAsia="Arial" w:cs="Calibri"/>
                <w:sz w:val="22"/>
                <w:szCs w:val="22"/>
                <w:lang w:val="en-US"/>
              </w:rPr>
              <w:t xml:space="preserve">typically </w:t>
            </w:r>
            <w:r w:rsidRPr="00F950CD">
              <w:rPr>
                <w:rFonts w:eastAsia="Arial" w:cs="Calibri"/>
                <w:sz w:val="22"/>
                <w:szCs w:val="22"/>
                <w:lang w:val="en-US"/>
              </w:rPr>
              <w:t xml:space="preserve">drive </w:t>
            </w:r>
            <w:r w:rsidR="00DA0794">
              <w:rPr>
                <w:rFonts w:eastAsia="Arial" w:cs="Calibri"/>
                <w:sz w:val="22"/>
                <w:szCs w:val="22"/>
                <w:lang w:val="en-US"/>
              </w:rPr>
              <w:t xml:space="preserve">Internal Validation </w:t>
            </w:r>
            <w:r w:rsidRPr="00F950CD">
              <w:rPr>
                <w:rFonts w:eastAsia="Arial" w:cs="Calibri"/>
                <w:sz w:val="22"/>
                <w:szCs w:val="22"/>
                <w:lang w:val="en-US"/>
              </w:rPr>
              <w:t>conclusions</w:t>
            </w:r>
            <w:r>
              <w:rPr>
                <w:rFonts w:eastAsia="Arial" w:cs="Calibri"/>
                <w:sz w:val="22"/>
                <w:szCs w:val="22"/>
                <w:lang w:val="en-US"/>
              </w:rPr>
              <w:t xml:space="preserve">. </w:t>
            </w:r>
            <w:r w:rsidRPr="00F950CD">
              <w:rPr>
                <w:rFonts w:eastAsia="Arial" w:cs="Calibri"/>
                <w:sz w:val="22"/>
                <w:szCs w:val="22"/>
                <w:lang w:val="en-US"/>
              </w:rPr>
              <w:t>In the qualitative assessment, the involvement of business expert and the grounding of the slotting criteria on sound economic rationales is a key element.</w:t>
            </w:r>
          </w:p>
        </w:tc>
      </w:tr>
    </w:tbl>
    <w:p w14:paraId="3CF54E38" w14:textId="77777777" w:rsidR="00FC2D76" w:rsidRPr="00FC2D76" w:rsidRDefault="00FC2D76" w:rsidP="00003882">
      <w:pPr>
        <w:spacing w:after="120"/>
        <w:jc w:val="both"/>
        <w:rPr>
          <w:b/>
          <w:bCs/>
        </w:rPr>
      </w:pPr>
    </w:p>
    <w:p w14:paraId="35A8C3D3" w14:textId="77777777" w:rsidR="00FC2D76" w:rsidRPr="00FC2D76" w:rsidRDefault="00311625" w:rsidP="00003882">
      <w:pPr>
        <w:spacing w:after="120"/>
        <w:jc w:val="both"/>
        <w:rPr>
          <w:b/>
          <w:bCs/>
        </w:rPr>
      </w:pPr>
      <w:r w:rsidRPr="00FC2D76">
        <w:rPr>
          <w:b/>
          <w:bCs/>
        </w:rPr>
        <w:t xml:space="preserve">Question 6: </w:t>
      </w:r>
    </w:p>
    <w:p w14:paraId="49D76EB9" w14:textId="2B2D192A" w:rsidR="00FC2D76" w:rsidRDefault="00311625" w:rsidP="00003882">
      <w:pPr>
        <w:spacing w:after="120"/>
        <w:jc w:val="both"/>
        <w:rPr>
          <w:b/>
          <w:bCs/>
        </w:rPr>
      </w:pPr>
      <w:r w:rsidRPr="00FC2D76">
        <w:rPr>
          <w:b/>
          <w:bCs/>
        </w:rPr>
        <w:t xml:space="preserve">6a) Which of the </w:t>
      </w:r>
      <w:r w:rsidR="009D2C8E" w:rsidRPr="00FC2D76">
        <w:rPr>
          <w:b/>
          <w:bCs/>
        </w:rPr>
        <w:t>above-mentioned</w:t>
      </w:r>
      <w:r w:rsidRPr="00FC2D76">
        <w:rPr>
          <w:b/>
          <w:bCs/>
        </w:rPr>
        <w:t xml:space="preserve"> approaches do you consider as best practices to assess the performance of the model in the context of data scarcity? </w:t>
      </w:r>
    </w:p>
    <w:tbl>
      <w:tblPr>
        <w:tblStyle w:val="TableGrid"/>
        <w:tblW w:w="0" w:type="auto"/>
        <w:tblLook w:val="04A0" w:firstRow="1" w:lastRow="0" w:firstColumn="1" w:lastColumn="0" w:noHBand="0" w:noVBand="1"/>
      </w:tblPr>
      <w:tblGrid>
        <w:gridCol w:w="10457"/>
      </w:tblGrid>
      <w:tr w:rsidR="00FC2D76" w14:paraId="0BB58B14" w14:textId="77777777" w:rsidTr="00FC2D76">
        <w:tc>
          <w:tcPr>
            <w:tcW w:w="10457" w:type="dxa"/>
          </w:tcPr>
          <w:p w14:paraId="5A67F57B" w14:textId="5348D312" w:rsidR="00FC2D76" w:rsidRPr="004F52DB" w:rsidRDefault="00257338" w:rsidP="00003882">
            <w:pPr>
              <w:spacing w:after="120"/>
              <w:jc w:val="both"/>
              <w:rPr>
                <w:rFonts w:cstheme="minorHAnsi"/>
                <w:sz w:val="22"/>
                <w:szCs w:val="22"/>
                <w:lang w:val="en-US"/>
              </w:rPr>
            </w:pPr>
            <w:r w:rsidRPr="004F52DB">
              <w:rPr>
                <w:rFonts w:cstheme="minorHAnsi"/>
                <w:sz w:val="22"/>
                <w:szCs w:val="22"/>
                <w:lang w:val="en-US"/>
              </w:rPr>
              <w:t xml:space="preserve">As a general rule, in the context of data scarcity, the qualitative approach is more adequate and the preferred option, as </w:t>
            </w:r>
            <w:r w:rsidR="00011F2E" w:rsidRPr="00FE67EF">
              <w:rPr>
                <w:rFonts w:ascii="Cambria" w:hAnsi="Cambria" w:cstheme="minorHAnsi"/>
                <w:sz w:val="22"/>
                <w:szCs w:val="22"/>
                <w:lang w:val="en-US"/>
              </w:rPr>
              <w:t xml:space="preserve">it </w:t>
            </w:r>
            <w:r w:rsidR="00011F2E">
              <w:rPr>
                <w:rFonts w:ascii="Cambria" w:hAnsi="Cambria" w:cstheme="minorHAnsi"/>
                <w:sz w:val="22"/>
                <w:szCs w:val="22"/>
                <w:lang w:val="en-US"/>
              </w:rPr>
              <w:t>is more adaptable</w:t>
            </w:r>
            <w:r w:rsidR="00011F2E" w:rsidRPr="00FE67EF">
              <w:rPr>
                <w:rFonts w:ascii="Cambria" w:hAnsi="Cambria" w:cstheme="minorHAnsi"/>
                <w:sz w:val="22"/>
                <w:szCs w:val="22"/>
                <w:lang w:val="en-US"/>
              </w:rPr>
              <w:t xml:space="preserve"> </w:t>
            </w:r>
            <w:r w:rsidRPr="004F52DB">
              <w:rPr>
                <w:rFonts w:cstheme="minorHAnsi"/>
                <w:sz w:val="22"/>
                <w:szCs w:val="22"/>
                <w:lang w:val="en-US"/>
              </w:rPr>
              <w:t>to the particularities of each portfolio.</w:t>
            </w:r>
          </w:p>
          <w:p w14:paraId="5DF5F6AB" w14:textId="21F797ED" w:rsidR="000A0E84" w:rsidRPr="004F52DB" w:rsidRDefault="00257338" w:rsidP="00003882">
            <w:pPr>
              <w:spacing w:after="120"/>
              <w:jc w:val="both"/>
              <w:rPr>
                <w:rFonts w:cstheme="minorHAnsi"/>
                <w:sz w:val="22"/>
                <w:szCs w:val="22"/>
                <w:lang w:val="en-US"/>
              </w:rPr>
            </w:pPr>
            <w:r w:rsidRPr="004F52DB">
              <w:rPr>
                <w:rFonts w:cstheme="minorHAnsi"/>
                <w:sz w:val="22"/>
                <w:szCs w:val="22"/>
                <w:lang w:val="en-US"/>
              </w:rPr>
              <w:t>Quantitative tests can be computed</w:t>
            </w:r>
            <w:r w:rsidR="00011F2E">
              <w:rPr>
                <w:rFonts w:cstheme="minorHAnsi"/>
                <w:sz w:val="22"/>
                <w:szCs w:val="22"/>
                <w:lang w:val="en-US"/>
              </w:rPr>
              <w:t>,</w:t>
            </w:r>
            <w:r w:rsidRPr="004F52DB">
              <w:rPr>
                <w:rFonts w:cstheme="minorHAnsi"/>
                <w:sz w:val="22"/>
                <w:szCs w:val="22"/>
                <w:lang w:val="en-US"/>
              </w:rPr>
              <w:t xml:space="preserve"> however, their results are conditioned by the number of cases, and they have to be put into context of the low number of cases.</w:t>
            </w:r>
          </w:p>
          <w:p w14:paraId="6B753D17" w14:textId="6E4BD898" w:rsidR="00A13E1E" w:rsidRPr="000A0E84" w:rsidRDefault="00136F35" w:rsidP="00003882">
            <w:pPr>
              <w:spacing w:after="120"/>
              <w:jc w:val="both"/>
              <w:rPr>
                <w:rFonts w:cstheme="minorHAnsi"/>
                <w:lang w:val="en-US"/>
              </w:rPr>
            </w:pPr>
            <w:r w:rsidRPr="004F52DB">
              <w:rPr>
                <w:sz w:val="22"/>
                <w:szCs w:val="22"/>
                <w:lang w:val="en-US"/>
              </w:rPr>
              <w:t>Furthermore</w:t>
            </w:r>
            <w:r w:rsidR="004F52DB" w:rsidRPr="004F52DB">
              <w:rPr>
                <w:sz w:val="22"/>
                <w:szCs w:val="22"/>
                <w:lang w:val="en-US"/>
              </w:rPr>
              <w:t>,</w:t>
            </w:r>
            <w:r w:rsidRPr="004F52DB">
              <w:rPr>
                <w:sz w:val="22"/>
                <w:szCs w:val="22"/>
                <w:lang w:val="en-US"/>
              </w:rPr>
              <w:t xml:space="preserve"> consideration for</w:t>
            </w:r>
            <w:r w:rsidR="000A0E84" w:rsidRPr="004F52DB">
              <w:rPr>
                <w:sz w:val="22"/>
                <w:szCs w:val="22"/>
                <w:lang w:val="en-US"/>
              </w:rPr>
              <w:t xml:space="preserve"> </w:t>
            </w:r>
            <w:r w:rsidR="00F27FC5" w:rsidRPr="004F52DB">
              <w:rPr>
                <w:sz w:val="22"/>
                <w:szCs w:val="22"/>
              </w:rPr>
              <w:t>validation</w:t>
            </w:r>
            <w:r w:rsidR="00A13E1E" w:rsidRPr="004F52DB">
              <w:rPr>
                <w:sz w:val="22"/>
                <w:szCs w:val="22"/>
              </w:rPr>
              <w:t xml:space="preserve"> </w:t>
            </w:r>
            <w:r w:rsidR="000A0E84" w:rsidRPr="004F52DB">
              <w:rPr>
                <w:sz w:val="22"/>
                <w:szCs w:val="22"/>
              </w:rPr>
              <w:t>c</w:t>
            </w:r>
            <w:r w:rsidR="00A13E1E" w:rsidRPr="004F52DB">
              <w:rPr>
                <w:sz w:val="22"/>
                <w:szCs w:val="22"/>
              </w:rPr>
              <w:t>ould be conducted on data</w:t>
            </w:r>
            <w:r w:rsidR="004F52DB" w:rsidRPr="004F52DB">
              <w:rPr>
                <w:sz w:val="22"/>
                <w:szCs w:val="22"/>
              </w:rPr>
              <w:t xml:space="preserve"> which is</w:t>
            </w:r>
            <w:r w:rsidR="00A13E1E" w:rsidRPr="004F52DB">
              <w:rPr>
                <w:sz w:val="22"/>
                <w:szCs w:val="22"/>
              </w:rPr>
              <w:t xml:space="preserve"> not used for the purpose of development. In the context of data scarcity, it is common practice to perform OOT analyses leveraging on the additional time series that becomes available between the beginning of development a validation activity. In case, for any give reason, the Validation assessment relies on time series overlapping (even partially) with the samples used for development, quantitative tests will consider a stricter set of thresholds.</w:t>
            </w:r>
          </w:p>
        </w:tc>
      </w:tr>
    </w:tbl>
    <w:p w14:paraId="13C8D746" w14:textId="77777777" w:rsidR="00FC2D76" w:rsidRPr="00FC2D76" w:rsidRDefault="00FC2D76" w:rsidP="00003882">
      <w:pPr>
        <w:spacing w:after="120"/>
        <w:jc w:val="both"/>
        <w:rPr>
          <w:b/>
          <w:bCs/>
        </w:rPr>
      </w:pPr>
    </w:p>
    <w:p w14:paraId="613CF88A" w14:textId="30B90EBF" w:rsidR="00311625" w:rsidRDefault="00311625" w:rsidP="00003882">
      <w:pPr>
        <w:spacing w:after="120"/>
        <w:jc w:val="both"/>
        <w:rPr>
          <w:b/>
          <w:bCs/>
        </w:rPr>
      </w:pPr>
      <w:r w:rsidRPr="00FC2D76">
        <w:rPr>
          <w:b/>
          <w:bCs/>
        </w:rPr>
        <w:t>6b) More in general, which validation approaches do you consider as best practices to assess the performance of the model in the context of data scarcity?</w:t>
      </w:r>
    </w:p>
    <w:tbl>
      <w:tblPr>
        <w:tblStyle w:val="TableGrid"/>
        <w:tblW w:w="0" w:type="auto"/>
        <w:tblLook w:val="04A0" w:firstRow="1" w:lastRow="0" w:firstColumn="1" w:lastColumn="0" w:noHBand="0" w:noVBand="1"/>
      </w:tblPr>
      <w:tblGrid>
        <w:gridCol w:w="10457"/>
      </w:tblGrid>
      <w:tr w:rsidR="00FC2D76" w14:paraId="1030390D" w14:textId="77777777" w:rsidTr="00FC2D76">
        <w:tc>
          <w:tcPr>
            <w:tcW w:w="10457" w:type="dxa"/>
          </w:tcPr>
          <w:p w14:paraId="5BE9569B" w14:textId="5FBC5A86" w:rsidR="00257338" w:rsidRPr="00FE67EF" w:rsidRDefault="00257338" w:rsidP="00257338">
            <w:pPr>
              <w:spacing w:after="120"/>
              <w:jc w:val="both"/>
              <w:rPr>
                <w:rFonts w:ascii="Cambria" w:hAnsi="Cambria" w:cstheme="minorHAnsi"/>
                <w:sz w:val="22"/>
                <w:szCs w:val="22"/>
                <w:lang w:val="en-US"/>
              </w:rPr>
            </w:pPr>
            <w:r w:rsidRPr="00FE67EF">
              <w:rPr>
                <w:rFonts w:ascii="Cambria" w:hAnsi="Cambria" w:cstheme="minorHAnsi"/>
                <w:sz w:val="22"/>
                <w:szCs w:val="22"/>
                <w:lang w:val="en-US"/>
              </w:rPr>
              <w:t xml:space="preserve">As a general rule, in the context of data scarcity, the qualitative approach is more adequate and the preferred option, as it </w:t>
            </w:r>
            <w:r w:rsidR="0016045E">
              <w:rPr>
                <w:rFonts w:ascii="Cambria" w:hAnsi="Cambria" w:cstheme="minorHAnsi"/>
                <w:sz w:val="22"/>
                <w:szCs w:val="22"/>
                <w:lang w:val="en-US"/>
              </w:rPr>
              <w:t>is more adap</w:t>
            </w:r>
            <w:r w:rsidR="00011F2E">
              <w:rPr>
                <w:rFonts w:ascii="Cambria" w:hAnsi="Cambria" w:cstheme="minorHAnsi"/>
                <w:sz w:val="22"/>
                <w:szCs w:val="22"/>
                <w:lang w:val="en-US"/>
              </w:rPr>
              <w:t>table</w:t>
            </w:r>
            <w:r w:rsidRPr="00FE67EF">
              <w:rPr>
                <w:rFonts w:ascii="Cambria" w:hAnsi="Cambria" w:cstheme="minorHAnsi"/>
                <w:sz w:val="22"/>
                <w:szCs w:val="22"/>
                <w:lang w:val="en-US"/>
              </w:rPr>
              <w:t xml:space="preserve"> to the particularities of each portfolio.</w:t>
            </w:r>
          </w:p>
          <w:p w14:paraId="71840FD0" w14:textId="52CBA9ED" w:rsidR="00FC2D76" w:rsidRPr="00FE67EF" w:rsidRDefault="00257338" w:rsidP="00257338">
            <w:pPr>
              <w:spacing w:after="120"/>
              <w:jc w:val="both"/>
              <w:rPr>
                <w:rFonts w:ascii="Cambria" w:hAnsi="Cambria" w:cstheme="minorHAnsi"/>
                <w:sz w:val="22"/>
                <w:szCs w:val="22"/>
                <w:lang w:val="en-US"/>
              </w:rPr>
            </w:pPr>
            <w:r w:rsidRPr="00FE67EF">
              <w:rPr>
                <w:rFonts w:ascii="Cambria" w:hAnsi="Cambria" w:cstheme="minorHAnsi"/>
                <w:sz w:val="22"/>
                <w:szCs w:val="22"/>
                <w:lang w:val="en-US"/>
              </w:rPr>
              <w:t>Quantitative tests can be computed</w:t>
            </w:r>
            <w:r w:rsidR="00011F2E">
              <w:rPr>
                <w:rFonts w:ascii="Cambria" w:hAnsi="Cambria" w:cstheme="minorHAnsi"/>
                <w:sz w:val="22"/>
                <w:szCs w:val="22"/>
                <w:lang w:val="en-US"/>
              </w:rPr>
              <w:t>,</w:t>
            </w:r>
            <w:r w:rsidRPr="00FE67EF">
              <w:rPr>
                <w:rFonts w:ascii="Cambria" w:hAnsi="Cambria" w:cstheme="minorHAnsi"/>
                <w:sz w:val="22"/>
                <w:szCs w:val="22"/>
                <w:lang w:val="en-US"/>
              </w:rPr>
              <w:t xml:space="preserve"> however, their results are conditioned by the number of cases, and they have to be put into context of the low number of cases</w:t>
            </w:r>
            <w:r w:rsidR="00A13E1E" w:rsidRPr="00FE67EF">
              <w:rPr>
                <w:rFonts w:ascii="Cambria" w:hAnsi="Cambria" w:cstheme="minorHAnsi"/>
                <w:sz w:val="22"/>
                <w:szCs w:val="22"/>
                <w:lang w:val="en-US"/>
              </w:rPr>
              <w:t>.</w:t>
            </w:r>
          </w:p>
          <w:p w14:paraId="686E25DF" w14:textId="77777777" w:rsidR="00A13E1E" w:rsidRDefault="00A13E1E" w:rsidP="008B3043">
            <w:pPr>
              <w:pStyle w:val="pf0"/>
              <w:jc w:val="both"/>
              <w:rPr>
                <w:rStyle w:val="cf01"/>
                <w:rFonts w:ascii="Cambria" w:hAnsi="Cambria"/>
                <w:sz w:val="22"/>
                <w:szCs w:val="22"/>
              </w:rPr>
            </w:pPr>
            <w:r w:rsidRPr="00FE67EF">
              <w:rPr>
                <w:rFonts w:ascii="Cambria" w:eastAsia="Arial" w:hAnsi="Cambria" w:cs="Calibri"/>
                <w:sz w:val="22"/>
                <w:szCs w:val="22"/>
                <w:lang w:val="en-US"/>
              </w:rPr>
              <w:t xml:space="preserve">Validation samples based on OOT observations becoming available after the beginning of development activities can be integrated with multi-year samples build by random sampling a given portion of the </w:t>
            </w:r>
            <w:r w:rsidRPr="00FE67EF">
              <w:rPr>
                <w:rFonts w:ascii="Cambria" w:eastAsia="Arial" w:hAnsi="Cambria" w:cs="Calibri"/>
                <w:sz w:val="22"/>
                <w:szCs w:val="22"/>
                <w:lang w:val="en-US"/>
              </w:rPr>
              <w:lastRenderedPageBreak/>
              <w:t>development samples, integrated with the additional year used for validation. For instance, assuming a model developed on the 2010-2020 time series and validated based on 2021 observations, an additional layer of analysis could be the (e.g.) 30% random sample extracted from the overall 2010-2021 time series. This approach could bring additional insight on model performance, of course to be read taking into consideration its overlap with the information underlying estimates.</w:t>
            </w:r>
            <w:r w:rsidR="00FE67EF" w:rsidRPr="00FE67EF">
              <w:rPr>
                <w:rFonts w:ascii="Cambria" w:eastAsia="Arial" w:hAnsi="Cambria" w:cs="Calibri"/>
                <w:sz w:val="22"/>
                <w:szCs w:val="22"/>
                <w:lang w:val="en-US"/>
              </w:rPr>
              <w:t xml:space="preserve"> Nonetheless, </w:t>
            </w:r>
            <w:r w:rsidR="00FE67EF">
              <w:rPr>
                <w:rFonts w:ascii="Cambria" w:eastAsia="Arial" w:hAnsi="Cambria" w:cs="Calibri"/>
                <w:sz w:val="22"/>
                <w:szCs w:val="22"/>
                <w:lang w:val="en-US"/>
              </w:rPr>
              <w:t xml:space="preserve">given data scarcity, it </w:t>
            </w:r>
            <w:r w:rsidR="00FE67EF" w:rsidRPr="00FE67EF">
              <w:rPr>
                <w:rStyle w:val="cf01"/>
                <w:rFonts w:ascii="Cambria" w:hAnsi="Cambria"/>
                <w:sz w:val="22"/>
                <w:szCs w:val="22"/>
              </w:rPr>
              <w:t xml:space="preserve">may not always </w:t>
            </w:r>
            <w:r w:rsidR="001E036F">
              <w:rPr>
                <w:rStyle w:val="cf01"/>
                <w:rFonts w:ascii="Cambria" w:hAnsi="Cambria"/>
                <w:sz w:val="22"/>
                <w:szCs w:val="22"/>
              </w:rPr>
              <w:t xml:space="preserve">be </w:t>
            </w:r>
            <w:r w:rsidR="00FE67EF" w:rsidRPr="00FE67EF">
              <w:rPr>
                <w:rStyle w:val="cf01"/>
                <w:rFonts w:ascii="Cambria" w:hAnsi="Cambria"/>
                <w:sz w:val="22"/>
                <w:szCs w:val="22"/>
              </w:rPr>
              <w:t>feasible to be performed, since given that there is lack of data, extracting a random sample may reduce even more the available information.</w:t>
            </w:r>
          </w:p>
          <w:p w14:paraId="224019F3" w14:textId="21754C09" w:rsidR="000F4498" w:rsidRPr="000F4498" w:rsidRDefault="000F4498" w:rsidP="008B3043">
            <w:pPr>
              <w:spacing w:after="120"/>
              <w:jc w:val="both"/>
              <w:rPr>
                <w:rFonts w:cstheme="minorHAnsi"/>
                <w:sz w:val="22"/>
                <w:szCs w:val="22"/>
                <w:lang w:val="en-US"/>
              </w:rPr>
            </w:pPr>
            <w:r w:rsidRPr="000F4498">
              <w:rPr>
                <w:rFonts w:cstheme="minorHAnsi"/>
                <w:sz w:val="22"/>
                <w:szCs w:val="22"/>
                <w:lang w:val="en-US"/>
              </w:rPr>
              <w:t xml:space="preserve">Indeed, we </w:t>
            </w:r>
            <w:r w:rsidR="00011F2E">
              <w:rPr>
                <w:rFonts w:cstheme="minorHAnsi"/>
                <w:sz w:val="22"/>
                <w:szCs w:val="22"/>
                <w:lang w:val="en-US"/>
              </w:rPr>
              <w:t xml:space="preserve">do not </w:t>
            </w:r>
            <w:r w:rsidRPr="000F4498">
              <w:rPr>
                <w:rFonts w:cstheme="minorHAnsi"/>
                <w:sz w:val="22"/>
                <w:szCs w:val="22"/>
                <w:lang w:val="en-US"/>
              </w:rPr>
              <w:t xml:space="preserve">deem the OOT/OOS framework as depicted in the interaction </w:t>
            </w:r>
            <w:r w:rsidR="00011F2E">
              <w:rPr>
                <w:rFonts w:cstheme="minorHAnsi"/>
                <w:sz w:val="22"/>
                <w:szCs w:val="22"/>
                <w:lang w:val="en-US"/>
              </w:rPr>
              <w:t>B</w:t>
            </w:r>
            <w:r w:rsidRPr="000F4498">
              <w:rPr>
                <w:rFonts w:cstheme="minorHAnsi"/>
                <w:sz w:val="22"/>
                <w:szCs w:val="22"/>
                <w:lang w:val="en-US"/>
              </w:rPr>
              <w:t>ox 5 appropriate in the context of data scarcity</w:t>
            </w:r>
            <w:r w:rsidR="008B3043">
              <w:rPr>
                <w:rFonts w:cstheme="minorHAnsi"/>
                <w:sz w:val="22"/>
                <w:szCs w:val="22"/>
                <w:lang w:val="en-US"/>
              </w:rPr>
              <w:t xml:space="preserve"> - e</w:t>
            </w:r>
            <w:r w:rsidRPr="000F4498">
              <w:rPr>
                <w:rFonts w:cstheme="minorHAnsi"/>
                <w:sz w:val="22"/>
                <w:szCs w:val="22"/>
                <w:lang w:val="en-US"/>
              </w:rPr>
              <w:t>specially when techniques still do not allow to draw conclusive evidence on the performance of the model, the interpretation of the tests</w:t>
            </w:r>
            <w:r w:rsidR="008B3043">
              <w:rPr>
                <w:rFonts w:cstheme="minorHAnsi"/>
                <w:sz w:val="22"/>
                <w:szCs w:val="22"/>
                <w:lang w:val="en-US"/>
              </w:rPr>
              <w:t>,</w:t>
            </w:r>
            <w:r w:rsidRPr="000F4498">
              <w:rPr>
                <w:rFonts w:cstheme="minorHAnsi"/>
                <w:sz w:val="22"/>
                <w:szCs w:val="22"/>
                <w:lang w:val="en-US"/>
              </w:rPr>
              <w:t xml:space="preserve"> as well as the overall performance assessment</w:t>
            </w:r>
            <w:r w:rsidR="00045E31">
              <w:rPr>
                <w:rFonts w:cstheme="minorHAnsi"/>
                <w:sz w:val="22"/>
                <w:szCs w:val="22"/>
                <w:lang w:val="en-US"/>
              </w:rPr>
              <w:t xml:space="preserve"> which</w:t>
            </w:r>
            <w:r w:rsidR="008B3043">
              <w:rPr>
                <w:rFonts w:cstheme="minorHAnsi"/>
                <w:sz w:val="22"/>
                <w:szCs w:val="22"/>
                <w:lang w:val="en-US"/>
              </w:rPr>
              <w:t xml:space="preserve"> should</w:t>
            </w:r>
            <w:r w:rsidRPr="000F4498">
              <w:rPr>
                <w:rFonts w:cstheme="minorHAnsi"/>
                <w:sz w:val="22"/>
                <w:szCs w:val="22"/>
                <w:lang w:val="en-US"/>
              </w:rPr>
              <w:t xml:space="preserve"> mostly leverage on a qualitative approach.</w:t>
            </w:r>
          </w:p>
        </w:tc>
      </w:tr>
    </w:tbl>
    <w:p w14:paraId="114F99B5" w14:textId="77777777" w:rsidR="00854689" w:rsidRDefault="00854689" w:rsidP="007F7451">
      <w:pPr>
        <w:spacing w:after="120"/>
        <w:jc w:val="both"/>
        <w:rPr>
          <w:b/>
          <w:bCs/>
          <w:sz w:val="22"/>
          <w:szCs w:val="22"/>
        </w:rPr>
      </w:pPr>
    </w:p>
    <w:p w14:paraId="10F0797B" w14:textId="7FF5E69C" w:rsidR="006E086A" w:rsidRDefault="006E086A" w:rsidP="007F7451">
      <w:pPr>
        <w:spacing w:after="120"/>
        <w:jc w:val="both"/>
        <w:rPr>
          <w:b/>
          <w:bCs/>
          <w:sz w:val="22"/>
          <w:szCs w:val="22"/>
        </w:rPr>
      </w:pPr>
      <w:r>
        <w:rPr>
          <w:b/>
          <w:bCs/>
          <w:sz w:val="22"/>
          <w:szCs w:val="22"/>
        </w:rPr>
        <w:t>Contact:</w:t>
      </w:r>
    </w:p>
    <w:tbl>
      <w:tblPr>
        <w:tblW w:w="6120" w:type="dxa"/>
        <w:tblCellSpacing w:w="22" w:type="dxa"/>
        <w:tblCellMar>
          <w:left w:w="0" w:type="dxa"/>
          <w:right w:w="0" w:type="dxa"/>
        </w:tblCellMar>
        <w:tblLook w:val="04A0" w:firstRow="1" w:lastRow="0" w:firstColumn="1" w:lastColumn="0" w:noHBand="0" w:noVBand="1"/>
      </w:tblPr>
      <w:tblGrid>
        <w:gridCol w:w="6120"/>
      </w:tblGrid>
      <w:tr w:rsidR="006E086A" w:rsidRPr="006E086A" w14:paraId="0CF40668" w14:textId="77777777" w:rsidTr="006E086A">
        <w:trPr>
          <w:trHeight w:val="300"/>
          <w:tblCellSpacing w:w="22" w:type="dxa"/>
        </w:trPr>
        <w:tc>
          <w:tcPr>
            <w:tcW w:w="9900" w:type="dxa"/>
            <w:tcMar>
              <w:top w:w="15" w:type="dxa"/>
              <w:left w:w="15" w:type="dxa"/>
              <w:bottom w:w="15" w:type="dxa"/>
              <w:right w:w="15" w:type="dxa"/>
            </w:tcMar>
            <w:hideMark/>
          </w:tcPr>
          <w:p w14:paraId="3BA6E6E0" w14:textId="77777777" w:rsidR="006E086A" w:rsidRPr="006E086A" w:rsidRDefault="006E086A">
            <w:pPr>
              <w:rPr>
                <w:rFonts w:ascii="Arial" w:hAnsi="Arial" w:cs="Arial"/>
                <w:sz w:val="20"/>
                <w:szCs w:val="20"/>
                <w:lang w:eastAsia="en-GB"/>
              </w:rPr>
            </w:pPr>
            <w:r w:rsidRPr="006E086A">
              <w:rPr>
                <w:rStyle w:val="Strong"/>
                <w:rFonts w:ascii="Cambria" w:hAnsi="Cambria"/>
                <w:color w:val="9BBB59" w:themeColor="accent3"/>
                <w:lang w:eastAsia="en-GB"/>
              </w:rPr>
              <w:t>Constance Usherwood</w:t>
            </w:r>
          </w:p>
        </w:tc>
      </w:tr>
      <w:tr w:rsidR="006E086A" w:rsidRPr="006E086A" w14:paraId="73D2A0D0" w14:textId="77777777" w:rsidTr="006E086A">
        <w:trPr>
          <w:trHeight w:val="375"/>
          <w:tblCellSpacing w:w="22" w:type="dxa"/>
        </w:trPr>
        <w:tc>
          <w:tcPr>
            <w:tcW w:w="0" w:type="auto"/>
            <w:tcMar>
              <w:top w:w="15" w:type="dxa"/>
              <w:left w:w="15" w:type="dxa"/>
              <w:bottom w:w="15" w:type="dxa"/>
              <w:right w:w="15" w:type="dxa"/>
            </w:tcMar>
            <w:hideMark/>
          </w:tcPr>
          <w:p w14:paraId="79628641" w14:textId="77777777" w:rsidR="006E086A" w:rsidRDefault="006E086A">
            <w:pPr>
              <w:rPr>
                <w:rFonts w:ascii="Cambria" w:hAnsi="Cambria"/>
                <w:sz w:val="20"/>
                <w:szCs w:val="20"/>
                <w:lang w:eastAsia="en-GB"/>
              </w:rPr>
            </w:pPr>
            <w:r w:rsidRPr="006E086A">
              <w:rPr>
                <w:rFonts w:ascii="Cambria" w:hAnsi="Cambria"/>
                <w:sz w:val="20"/>
                <w:szCs w:val="20"/>
                <w:lang w:eastAsia="en-GB"/>
              </w:rPr>
              <w:t>Director Prudential</w:t>
            </w:r>
          </w:p>
          <w:p w14:paraId="08A66DE5" w14:textId="50EA7CA4" w:rsidR="006E086A" w:rsidRPr="006E086A" w:rsidRDefault="006E086A">
            <w:pPr>
              <w:rPr>
                <w:rFonts w:ascii="Ariala" w:hAnsi="Ariala" w:cs="Calibri"/>
                <w:sz w:val="20"/>
                <w:szCs w:val="20"/>
                <w:lang w:eastAsia="en-GB"/>
              </w:rPr>
            </w:pPr>
            <w:hyperlink r:id="rId11" w:history="1">
              <w:r w:rsidRPr="00191B49">
                <w:rPr>
                  <w:rStyle w:val="Hyperlink"/>
                  <w:rFonts w:ascii="Cambria" w:hAnsi="Cambria" w:cs="Calibri"/>
                  <w:sz w:val="20"/>
                  <w:szCs w:val="20"/>
                  <w:lang w:eastAsia="en-GB"/>
                </w:rPr>
                <w:t>Constance.usherwood@afme.eu</w:t>
              </w:r>
            </w:hyperlink>
            <w:r>
              <w:rPr>
                <w:rFonts w:ascii="Cambria" w:hAnsi="Cambria" w:cs="Calibri"/>
                <w:sz w:val="20"/>
                <w:szCs w:val="20"/>
                <w:lang w:eastAsia="en-GB"/>
              </w:rPr>
              <w:t xml:space="preserve"> </w:t>
            </w:r>
          </w:p>
        </w:tc>
      </w:tr>
    </w:tbl>
    <w:p w14:paraId="7270355C" w14:textId="77777777" w:rsidR="006E086A" w:rsidRPr="006E086A" w:rsidRDefault="006E086A" w:rsidP="006E086A">
      <w:pPr>
        <w:rPr>
          <w:rFonts w:ascii="Calibri" w:hAnsi="Calibri" w:cs="Calibri"/>
          <w:vanish/>
          <w:sz w:val="22"/>
          <w:szCs w:val="22"/>
          <w:lang w:eastAsia="en-GB"/>
        </w:rPr>
      </w:pPr>
    </w:p>
    <w:tbl>
      <w:tblPr>
        <w:tblW w:w="6105" w:type="dxa"/>
        <w:tblCellSpacing w:w="22" w:type="dxa"/>
        <w:tblCellMar>
          <w:left w:w="0" w:type="dxa"/>
          <w:right w:w="0" w:type="dxa"/>
        </w:tblCellMar>
        <w:tblLook w:val="04A0" w:firstRow="1" w:lastRow="0" w:firstColumn="1" w:lastColumn="0" w:noHBand="0" w:noVBand="1"/>
      </w:tblPr>
      <w:tblGrid>
        <w:gridCol w:w="1051"/>
        <w:gridCol w:w="5054"/>
      </w:tblGrid>
      <w:tr w:rsidR="006E086A" w:rsidRPr="006E086A" w14:paraId="15FD09AD" w14:textId="77777777" w:rsidTr="006E086A">
        <w:trPr>
          <w:trHeight w:val="150"/>
          <w:tblCellSpacing w:w="22" w:type="dxa"/>
        </w:trPr>
        <w:tc>
          <w:tcPr>
            <w:tcW w:w="1725" w:type="dxa"/>
            <w:tcMar>
              <w:top w:w="15" w:type="dxa"/>
              <w:left w:w="15" w:type="dxa"/>
              <w:bottom w:w="15" w:type="dxa"/>
              <w:right w:w="15" w:type="dxa"/>
            </w:tcMar>
            <w:hideMark/>
          </w:tcPr>
          <w:p w14:paraId="55BBF68B" w14:textId="77777777" w:rsidR="006E086A" w:rsidRPr="006E086A" w:rsidRDefault="006E086A">
            <w:pPr>
              <w:rPr>
                <w:rFonts w:ascii="Arial" w:hAnsi="Arial" w:cs="Arial"/>
                <w:sz w:val="20"/>
                <w:szCs w:val="20"/>
                <w:lang w:eastAsia="en-GB"/>
              </w:rPr>
            </w:pPr>
            <w:r w:rsidRPr="006E086A">
              <w:rPr>
                <w:rFonts w:ascii="Cambria" w:hAnsi="Cambria"/>
                <w:sz w:val="20"/>
                <w:szCs w:val="20"/>
                <w:shd w:val="clear" w:color="auto" w:fill="FFFFFF"/>
                <w:lang w:eastAsia="en-GB"/>
              </w:rPr>
              <w:t>Direct</w:t>
            </w:r>
          </w:p>
        </w:tc>
        <w:tc>
          <w:tcPr>
            <w:tcW w:w="13275" w:type="dxa"/>
            <w:tcMar>
              <w:top w:w="15" w:type="dxa"/>
              <w:left w:w="15" w:type="dxa"/>
              <w:bottom w:w="15" w:type="dxa"/>
              <w:right w:w="15" w:type="dxa"/>
            </w:tcMar>
            <w:hideMark/>
          </w:tcPr>
          <w:p w14:paraId="26EE1088" w14:textId="77777777" w:rsidR="006E086A" w:rsidRPr="006E086A" w:rsidRDefault="006E086A">
            <w:pPr>
              <w:rPr>
                <w:rFonts w:ascii="Arial" w:hAnsi="Arial" w:cs="Arial"/>
                <w:sz w:val="20"/>
                <w:szCs w:val="20"/>
                <w:lang w:eastAsia="en-GB"/>
              </w:rPr>
            </w:pPr>
            <w:r w:rsidRPr="006E086A">
              <w:rPr>
                <w:rFonts w:ascii="Cambria" w:hAnsi="Cambria"/>
                <w:sz w:val="20"/>
                <w:szCs w:val="20"/>
                <w:lang w:eastAsia="en-GB"/>
              </w:rPr>
              <w:t>+44 (0)20 3828 2719</w:t>
            </w:r>
          </w:p>
        </w:tc>
      </w:tr>
      <w:tr w:rsidR="006E086A" w:rsidRPr="006E086A" w14:paraId="7E0A34A2" w14:textId="77777777" w:rsidTr="006E086A">
        <w:trPr>
          <w:trHeight w:val="75"/>
          <w:tblCellSpacing w:w="22" w:type="dxa"/>
        </w:trPr>
        <w:tc>
          <w:tcPr>
            <w:tcW w:w="0" w:type="auto"/>
            <w:gridSpan w:val="2"/>
            <w:tcMar>
              <w:top w:w="15" w:type="dxa"/>
              <w:left w:w="15" w:type="dxa"/>
              <w:bottom w:w="15" w:type="dxa"/>
              <w:right w:w="15" w:type="dxa"/>
            </w:tcMar>
            <w:hideMark/>
          </w:tcPr>
          <w:p w14:paraId="2768E447" w14:textId="77777777" w:rsidR="006E086A" w:rsidRPr="006E086A" w:rsidRDefault="006E086A">
            <w:pPr>
              <w:rPr>
                <w:rFonts w:ascii="Arial" w:hAnsi="Arial" w:cs="Arial"/>
                <w:sz w:val="20"/>
                <w:szCs w:val="20"/>
                <w:lang w:eastAsia="en-GB"/>
              </w:rPr>
            </w:pPr>
            <w:r w:rsidRPr="006E086A">
              <w:rPr>
                <w:rFonts w:ascii="Cambria" w:hAnsi="Cambria"/>
                <w:sz w:val="20"/>
                <w:szCs w:val="20"/>
                <w:shd w:val="clear" w:color="auto" w:fill="FFFFFF"/>
                <w:lang w:eastAsia="en-GB"/>
              </w:rPr>
              <w:t>Mobile         +44 (0) 7785 623 439</w:t>
            </w:r>
          </w:p>
        </w:tc>
      </w:tr>
    </w:tbl>
    <w:p w14:paraId="310E1784" w14:textId="77777777" w:rsidR="006E086A" w:rsidRPr="00FC2D76" w:rsidRDefault="006E086A" w:rsidP="007F7451">
      <w:pPr>
        <w:spacing w:after="120"/>
        <w:jc w:val="both"/>
        <w:rPr>
          <w:b/>
          <w:bCs/>
          <w:sz w:val="22"/>
          <w:szCs w:val="22"/>
        </w:rPr>
      </w:pPr>
    </w:p>
    <w:sectPr w:rsidR="006E086A" w:rsidRPr="00FC2D76" w:rsidSect="003762D8">
      <w:headerReference w:type="default" r:id="rId12"/>
      <w:footerReference w:type="default" r:id="rId13"/>
      <w:headerReference w:type="first" r:id="rId14"/>
      <w:pgSz w:w="11907" w:h="16839" w:code="9"/>
      <w:pgMar w:top="720" w:right="720" w:bottom="720" w:left="720" w:header="706"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B4BD" w14:textId="77777777" w:rsidR="00B9468C" w:rsidRDefault="00B9468C" w:rsidP="00C23A03">
      <w:pPr>
        <w:spacing w:after="0" w:line="240" w:lineRule="auto"/>
      </w:pPr>
      <w:r>
        <w:separator/>
      </w:r>
    </w:p>
  </w:endnote>
  <w:endnote w:type="continuationSeparator" w:id="0">
    <w:p w14:paraId="25D2D1AB" w14:textId="77777777" w:rsidR="00B9468C" w:rsidRDefault="00B9468C" w:rsidP="00C23A03">
      <w:pPr>
        <w:spacing w:after="0" w:line="240" w:lineRule="auto"/>
      </w:pPr>
      <w:r>
        <w:continuationSeparator/>
      </w:r>
    </w:p>
  </w:endnote>
  <w:endnote w:type="continuationNotice" w:id="1">
    <w:p w14:paraId="72DDE995" w14:textId="77777777" w:rsidR="00B9468C" w:rsidRDefault="00B94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Frutiger 45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9688"/>
      <w:docPartObj>
        <w:docPartGallery w:val="Page Numbers (Bottom of Page)"/>
        <w:docPartUnique/>
      </w:docPartObj>
    </w:sdtPr>
    <w:sdtContent>
      <w:p w14:paraId="07A75A2C" w14:textId="79947343" w:rsidR="00FC045C" w:rsidRDefault="00FC045C">
        <w:pPr>
          <w:pStyle w:val="Footer"/>
          <w:jc w:val="center"/>
        </w:pPr>
        <w:r>
          <w:fldChar w:fldCharType="begin"/>
        </w:r>
        <w:r>
          <w:instrText xml:space="preserve"> PAGE   \* MERGEFORMAT </w:instrText>
        </w:r>
        <w:r>
          <w:fldChar w:fldCharType="separate"/>
        </w:r>
        <w:r w:rsidR="00B62DAB">
          <w:rPr>
            <w:noProof/>
          </w:rPr>
          <w:t>2</w:t>
        </w:r>
        <w:r>
          <w:rPr>
            <w:noProof/>
          </w:rPr>
          <w:fldChar w:fldCharType="end"/>
        </w:r>
      </w:p>
    </w:sdtContent>
  </w:sdt>
  <w:p w14:paraId="3A3AF272" w14:textId="77777777" w:rsidR="00FC045C" w:rsidRDefault="00FC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CB7" w14:textId="77777777" w:rsidR="00B9468C" w:rsidRDefault="00B9468C" w:rsidP="00C23A03">
      <w:pPr>
        <w:spacing w:after="0" w:line="240" w:lineRule="auto"/>
      </w:pPr>
      <w:r>
        <w:separator/>
      </w:r>
    </w:p>
  </w:footnote>
  <w:footnote w:type="continuationSeparator" w:id="0">
    <w:p w14:paraId="5BF6372D" w14:textId="77777777" w:rsidR="00B9468C" w:rsidRDefault="00B9468C" w:rsidP="00C23A03">
      <w:pPr>
        <w:spacing w:after="0" w:line="240" w:lineRule="auto"/>
      </w:pPr>
      <w:r>
        <w:continuationSeparator/>
      </w:r>
    </w:p>
  </w:footnote>
  <w:footnote w:type="continuationNotice" w:id="1">
    <w:p w14:paraId="61BC1B6C" w14:textId="77777777" w:rsidR="00B9468C" w:rsidRDefault="00B9468C">
      <w:pPr>
        <w:spacing w:after="0" w:line="240" w:lineRule="auto"/>
      </w:pPr>
    </w:p>
  </w:footnote>
  <w:footnote w:id="2">
    <w:p w14:paraId="44165ECE" w14:textId="77777777" w:rsidR="00474006" w:rsidRPr="00C76E11" w:rsidRDefault="00474006" w:rsidP="00474006">
      <w:pPr>
        <w:pStyle w:val="FootnoteText"/>
      </w:pPr>
      <w:r w:rsidRPr="00C76E11">
        <w:rPr>
          <w:rStyle w:val="FootnoteReference"/>
        </w:rPr>
        <w:footnoteRef/>
      </w:r>
      <w:r w:rsidRPr="00C76E11">
        <w:t xml:space="preserve"> </w:t>
      </w:r>
      <w:r w:rsidRPr="00C76E11">
        <w:rPr>
          <w:b/>
          <w:bCs/>
        </w:rPr>
        <w:t>Specifically:</w:t>
      </w:r>
      <w:r w:rsidRPr="00C76E11">
        <w:t xml:space="preserve"> </w:t>
      </w:r>
      <w:r w:rsidRPr="00C76E11">
        <w:rPr>
          <w:rFonts w:eastAsia="Times New Roman" w:cstheme="minorHAnsi"/>
          <w:i/>
          <w:iCs/>
          <w:lang w:val="en-US"/>
        </w:rPr>
        <w:t>“validation function can review and challenge the analyses performed by the CRCU but, in contrast to the general expectations during the first validation, may decide not to perform additional tests if the CRCU tests are deemed adequate in terms of input data and specifications”</w:t>
      </w:r>
    </w:p>
  </w:footnote>
  <w:footnote w:id="3">
    <w:p w14:paraId="293FDA7B" w14:textId="77777777" w:rsidR="00474006" w:rsidRPr="00321296" w:rsidRDefault="00474006" w:rsidP="00474006">
      <w:pPr>
        <w:pStyle w:val="FootnoteText"/>
      </w:pPr>
      <w:r w:rsidRPr="00C76E11">
        <w:rPr>
          <w:rStyle w:val="FootnoteReference"/>
        </w:rPr>
        <w:footnoteRef/>
      </w:r>
      <w:r w:rsidRPr="00C76E11">
        <w:t xml:space="preserve"> </w:t>
      </w:r>
      <w:r w:rsidRPr="00C76E11">
        <w:rPr>
          <w:b/>
          <w:bCs/>
        </w:rPr>
        <w:t>Specifically in paragraph 192:</w:t>
      </w:r>
      <w:r w:rsidRPr="00C76E11">
        <w:t xml:space="preserve"> </w:t>
      </w:r>
      <w:r w:rsidRPr="00C76E11">
        <w:rPr>
          <w:lang w:val="en-US"/>
        </w:rPr>
        <w:t>“</w:t>
      </w:r>
      <w:r w:rsidRPr="00C76E11">
        <w:rPr>
          <w:i/>
          <w:iCs/>
          <w:lang w:val="en-US"/>
        </w:rPr>
        <w:t>it is nonetheless expected to have a good understanding on the issues detected and on the possibilities on how these might be remediated (findings and recommendations). However, in order to maintain its independence, the validation function is expected not to advise CRCU on how to improve certain aspects or to rectify deficiencies, and in any case should always remain critical on any changes implemented on the rating system</w:t>
      </w:r>
    </w:p>
  </w:footnote>
  <w:footnote w:id="4">
    <w:p w14:paraId="7024AD25" w14:textId="77777777" w:rsidR="00632711" w:rsidRPr="00C76E11" w:rsidRDefault="00632711" w:rsidP="00632711">
      <w:pPr>
        <w:pStyle w:val="FootnoteText"/>
      </w:pPr>
      <w:r w:rsidRPr="00C76E11">
        <w:rPr>
          <w:rStyle w:val="FootnoteReference"/>
        </w:rPr>
        <w:footnoteRef/>
      </w:r>
      <w:r w:rsidRPr="00C76E11">
        <w:t xml:space="preserve"> </w:t>
      </w:r>
      <w:r w:rsidRPr="00C76E11">
        <w:rPr>
          <w:b/>
          <w:bCs/>
        </w:rPr>
        <w:t>Art 142:</w:t>
      </w:r>
      <w:r w:rsidRPr="00C76E11">
        <w:rPr>
          <w:lang w:val="en-US"/>
        </w:rPr>
        <w:t xml:space="preserve"> Non-transferability of the responsibility it is reported as the following: “</w:t>
      </w:r>
      <w:r w:rsidRPr="00C76E11">
        <w:rPr>
          <w:i/>
          <w:iCs/>
          <w:lang w:val="en-US"/>
        </w:rPr>
        <w:t>Hence, the validation function of the respective institution will always retain responsibility for the opinion it should get on the rating system (and the related components of this opinion mentioned in paragraph [2.2]). As such, the validation function remains responsible of its validation policy (in particular its soundness), of the correct implementation of the validation methodology and of the final assessment on the rating system (including the follow-up of the validation function’s findings by the institution and, where relevant, of the findings raised by the CA as mentioned in paragraph [105.c]).</w:t>
      </w:r>
      <w:r w:rsidRPr="00C76E11">
        <w:rPr>
          <w:lang w:val="en-US"/>
        </w:rPr>
        <w:t>”.</w:t>
      </w:r>
    </w:p>
  </w:footnote>
  <w:footnote w:id="5">
    <w:p w14:paraId="3AB0F7F7" w14:textId="77777777" w:rsidR="00C918C6" w:rsidRDefault="00C918C6" w:rsidP="00C918C6">
      <w:pPr>
        <w:pStyle w:val="FootnoteText"/>
      </w:pPr>
      <w:r w:rsidRPr="00321296">
        <w:rPr>
          <w:rStyle w:val="FootnoteReference"/>
        </w:rPr>
        <w:footnoteRef/>
      </w:r>
      <w:r w:rsidRPr="00321296">
        <w:t xml:space="preserve"> </w:t>
      </w:r>
      <w:r>
        <w:t>Specifically in interaction box 5</w:t>
      </w:r>
      <w:r w:rsidRPr="00321296">
        <w:t xml:space="preserve">: </w:t>
      </w:r>
      <w:r w:rsidRPr="00321296">
        <w:rPr>
          <w:lang w:val="en-US"/>
        </w:rPr>
        <w:t>“</w:t>
      </w:r>
      <w:r w:rsidRPr="00321296">
        <w:rPr>
          <w:i/>
          <w:lang w:val="en-US"/>
        </w:rPr>
        <w:t>Institutions shall establish a rigorous statistical process including out-of-time (OOT) and out-of-sample (OOS) performance tests for validating the model. In particular, institutions need to develop robust models to allow for stable model use across time (and thus to a certain extent across potentially changing environment or even economic conditions). As such, these tests are based on two different samples, as illustrated in a schematic view in Figure 2</w:t>
      </w:r>
      <w:r w:rsidRPr="0032129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915F" w14:textId="6434EDEC" w:rsidR="00AF04EE" w:rsidRDefault="00AF04EE">
    <w:pPr>
      <w:pStyle w:val="Header"/>
    </w:pPr>
    <w:r>
      <w:rPr>
        <w:noProof/>
      </w:rPr>
      <mc:AlternateContent>
        <mc:Choice Requires="wps">
          <w:drawing>
            <wp:anchor distT="0" distB="0" distL="114300" distR="114300" simplePos="0" relativeHeight="251658241" behindDoc="0" locked="0" layoutInCell="0" allowOverlap="1" wp14:anchorId="5D986A0C" wp14:editId="4C515134">
              <wp:simplePos x="0" y="0"/>
              <wp:positionH relativeFrom="page">
                <wp:posOffset>0</wp:posOffset>
              </wp:positionH>
              <wp:positionV relativeFrom="page">
                <wp:posOffset>190500</wp:posOffset>
              </wp:positionV>
              <wp:extent cx="7560945" cy="273050"/>
              <wp:effectExtent l="0" t="0" r="0" b="12700"/>
              <wp:wrapNone/>
              <wp:docPr id="1" name="MSIPCM82564c0d8053e1dd5c0ef0d2" descr="{&quot;HashCode&quot;:-6654635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7452B" w14:textId="3DF0F136" w:rsidR="00AF04EE" w:rsidRPr="00AF04EE" w:rsidRDefault="00AF04EE" w:rsidP="00AF04EE">
                          <w:pPr>
                            <w:spacing w:after="0"/>
                            <w:rPr>
                              <w:rFonts w:ascii="Calibri" w:hAnsi="Calibri" w:cs="Calibri"/>
                              <w:color w:val="000000"/>
                              <w:sz w:val="20"/>
                            </w:rPr>
                          </w:pPr>
                          <w:r w:rsidRPr="00AF04E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986A0C" id="_x0000_t202" coordsize="21600,21600" o:spt="202" path="m,l,21600r21600,l21600,xe">
              <v:stroke joinstyle="miter"/>
              <v:path gradientshapeok="t" o:connecttype="rect"/>
            </v:shapetype>
            <v:shape id="MSIPCM82564c0d8053e1dd5c0ef0d2" o:spid="_x0000_s1026" type="#_x0000_t202" alt="{&quot;HashCode&quot;:-665463564,&quot;Height&quot;:841.0,&quot;Width&quot;:595.0,&quot;Placement&quot;:&quot;Header&quot;,&quot;Index&quot;:&quot;Primary&quot;,&quot;Section&quot;:1,&quot;Top&quot;:0.0,&quot;Left&quot;:0.0}" style="position:absolute;margin-left:0;margin-top:1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397452B" w14:textId="3DF0F136" w:rsidR="00AF04EE" w:rsidRPr="00AF04EE" w:rsidRDefault="00AF04EE" w:rsidP="00AF04EE">
                    <w:pPr>
                      <w:spacing w:after="0"/>
                      <w:rPr>
                        <w:rFonts w:ascii="Calibri" w:hAnsi="Calibri" w:cs="Calibri"/>
                        <w:color w:val="000000"/>
                        <w:sz w:val="20"/>
                      </w:rPr>
                    </w:pPr>
                    <w:r w:rsidRPr="00AF04EE">
                      <w:rPr>
                        <w:rFonts w:ascii="Calibri" w:hAnsi="Calibri" w:cs="Calibri"/>
                        <w:color w:val="00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70A1" w14:textId="6746D1DA" w:rsidR="00121EFB" w:rsidRDefault="00AF04EE" w:rsidP="00152704">
    <w:pPr>
      <w:pStyle w:val="Header"/>
      <w:jc w:val="right"/>
      <w:rPr>
        <w:b/>
      </w:rPr>
    </w:pPr>
    <w:r>
      <w:rPr>
        <w:noProof/>
        <w:lang w:eastAsia="en-GB"/>
      </w:rPr>
      <mc:AlternateContent>
        <mc:Choice Requires="wps">
          <w:drawing>
            <wp:anchor distT="0" distB="0" distL="114300" distR="114300" simplePos="0" relativeHeight="251658242" behindDoc="0" locked="0" layoutInCell="0" allowOverlap="1" wp14:anchorId="22ED81D9" wp14:editId="01C02B41">
              <wp:simplePos x="0" y="0"/>
              <wp:positionH relativeFrom="page">
                <wp:posOffset>0</wp:posOffset>
              </wp:positionH>
              <wp:positionV relativeFrom="page">
                <wp:posOffset>190500</wp:posOffset>
              </wp:positionV>
              <wp:extent cx="7560945" cy="273050"/>
              <wp:effectExtent l="0" t="0" r="0" b="12700"/>
              <wp:wrapNone/>
              <wp:docPr id="2" name="MSIPCM437f47bfacfe61e1e0d48c39" descr="{&quot;HashCode&quot;:-6654635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89890" w14:textId="06EFF7D4" w:rsidR="00AF04EE" w:rsidRPr="00AF04EE" w:rsidRDefault="00AF04EE" w:rsidP="00AF04EE">
                          <w:pPr>
                            <w:spacing w:after="0"/>
                            <w:rPr>
                              <w:rFonts w:ascii="Calibri" w:hAnsi="Calibri" w:cs="Calibri"/>
                              <w:color w:val="000000"/>
                              <w:sz w:val="20"/>
                            </w:rPr>
                          </w:pPr>
                          <w:r w:rsidRPr="00AF04E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2ED81D9" id="_x0000_t202" coordsize="21600,21600" o:spt="202" path="m,l,21600r21600,l21600,xe">
              <v:stroke joinstyle="miter"/>
              <v:path gradientshapeok="t" o:connecttype="rect"/>
            </v:shapetype>
            <v:shape id="MSIPCM437f47bfacfe61e1e0d48c39" o:spid="_x0000_s1027" type="#_x0000_t202" alt="{&quot;HashCode&quot;:-665463564,&quot;Height&quot;:841.0,&quot;Width&quot;:595.0,&quot;Placement&quot;:&quot;Header&quot;,&quot;Index&quot;:&quot;FirstPage&quot;,&quot;Section&quot;:1,&quot;Top&quot;:0.0,&quot;Left&quot;:0.0}" style="position:absolute;left:0;text-align:left;margin-left:0;margin-top:1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27389890" w14:textId="06EFF7D4" w:rsidR="00AF04EE" w:rsidRPr="00AF04EE" w:rsidRDefault="00AF04EE" w:rsidP="00AF04EE">
                    <w:pPr>
                      <w:spacing w:after="0"/>
                      <w:rPr>
                        <w:rFonts w:ascii="Calibri" w:hAnsi="Calibri" w:cs="Calibri"/>
                        <w:color w:val="000000"/>
                        <w:sz w:val="20"/>
                      </w:rPr>
                    </w:pPr>
                    <w:r w:rsidRPr="00AF04EE">
                      <w:rPr>
                        <w:rFonts w:ascii="Calibri" w:hAnsi="Calibri" w:cs="Calibri"/>
                        <w:color w:val="000000"/>
                        <w:sz w:val="20"/>
                      </w:rPr>
                      <w:t>Confidential</w:t>
                    </w:r>
                  </w:p>
                </w:txbxContent>
              </v:textbox>
              <w10:wrap anchorx="page" anchory="page"/>
            </v:shape>
          </w:pict>
        </mc:Fallback>
      </mc:AlternateContent>
    </w:r>
    <w:r w:rsidR="00121EFB" w:rsidRPr="00723C68">
      <w:rPr>
        <w:noProof/>
        <w:lang w:eastAsia="en-GB"/>
      </w:rPr>
      <w:drawing>
        <wp:anchor distT="0" distB="0" distL="114300" distR="114300" simplePos="0" relativeHeight="251658240" behindDoc="1" locked="0" layoutInCell="1" allowOverlap="1" wp14:anchorId="558453DC" wp14:editId="554F0B89">
          <wp:simplePos x="0" y="0"/>
          <wp:positionH relativeFrom="column">
            <wp:posOffset>19050</wp:posOffset>
          </wp:positionH>
          <wp:positionV relativeFrom="paragraph">
            <wp:posOffset>2540</wp:posOffset>
          </wp:positionV>
          <wp:extent cx="1676400" cy="664464"/>
          <wp:effectExtent l="0" t="0" r="0" b="2540"/>
          <wp:wrapTight wrapText="bothSides">
            <wp:wrapPolygon edited="0">
              <wp:start x="0" y="0"/>
              <wp:lineTo x="0" y="21063"/>
              <wp:lineTo x="21355" y="21063"/>
              <wp:lineTo x="21355" y="0"/>
              <wp:lineTo x="0" y="0"/>
            </wp:wrapPolygon>
          </wp:wrapTight>
          <wp:docPr id="4" name="Picture 4" descr="AFME_Logo"/>
          <wp:cNvGraphicFramePr/>
          <a:graphic xmlns:a="http://schemas.openxmlformats.org/drawingml/2006/main">
            <a:graphicData uri="http://schemas.openxmlformats.org/drawingml/2006/picture">
              <pic:pic xmlns:pic="http://schemas.openxmlformats.org/drawingml/2006/picture">
                <pic:nvPicPr>
                  <pic:cNvPr id="2051" name="Picture 36" descr="AFME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6400" cy="664464"/>
                  </a:xfrm>
                  <a:prstGeom prst="rect">
                    <a:avLst/>
                  </a:prstGeom>
                  <a:noFill/>
                  <a:ln w="9525">
                    <a:noFill/>
                    <a:miter lim="800000"/>
                    <a:headEnd/>
                    <a:tailEnd/>
                  </a:ln>
                </pic:spPr>
              </pic:pic>
            </a:graphicData>
          </a:graphic>
        </wp:anchor>
      </w:drawing>
    </w:r>
    <w:r w:rsidR="00FC045C">
      <w:t xml:space="preserve">                                                                                                                                                                            </w:t>
    </w:r>
  </w:p>
  <w:p w14:paraId="201C3F4D" w14:textId="76B53F51" w:rsidR="00152704" w:rsidRDefault="00152704" w:rsidP="00152704">
    <w:pPr>
      <w:pStyle w:val="Header"/>
      <w:jc w:val="right"/>
      <w:rPr>
        <w:b/>
      </w:rPr>
    </w:pPr>
  </w:p>
  <w:p w14:paraId="224AF82B" w14:textId="77777777" w:rsidR="00152704" w:rsidRDefault="00152704" w:rsidP="00152704">
    <w:pPr>
      <w:pStyle w:val="Header"/>
      <w:jc w:val="right"/>
      <w:rPr>
        <w:b/>
      </w:rPr>
    </w:pPr>
  </w:p>
  <w:p w14:paraId="74DC1DB9" w14:textId="77777777" w:rsidR="00121EFB" w:rsidRPr="0015015A" w:rsidRDefault="00121EFB" w:rsidP="00121EF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76C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C2592"/>
    <w:multiLevelType w:val="hybridMultilevel"/>
    <w:tmpl w:val="218E8FF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FE55B4"/>
    <w:multiLevelType w:val="hybridMultilevel"/>
    <w:tmpl w:val="9196D3EC"/>
    <w:lvl w:ilvl="0" w:tplc="0C0A0001">
      <w:start w:val="1"/>
      <w:numFmt w:val="bullet"/>
      <w:lvlText w:val=""/>
      <w:lvlJc w:val="left"/>
      <w:pPr>
        <w:tabs>
          <w:tab w:val="num" w:pos="720"/>
        </w:tabs>
        <w:ind w:left="720" w:hanging="360"/>
      </w:pPr>
      <w:rPr>
        <w:rFonts w:ascii="Symbol" w:hAnsi="Symbol" w:hint="default"/>
      </w:rPr>
    </w:lvl>
    <w:lvl w:ilvl="1" w:tplc="A2AC3242">
      <w:start w:val="1"/>
      <w:numFmt w:val="lowerRoman"/>
      <w:lvlText w:val="%2."/>
      <w:lvlJc w:val="right"/>
      <w:pPr>
        <w:tabs>
          <w:tab w:val="num" w:pos="1440"/>
        </w:tabs>
        <w:ind w:left="1440" w:hanging="360"/>
      </w:pPr>
    </w:lvl>
    <w:lvl w:ilvl="2" w:tplc="9CEA428A" w:tentative="1">
      <w:start w:val="1"/>
      <w:numFmt w:val="bullet"/>
      <w:lvlText w:val=""/>
      <w:lvlJc w:val="left"/>
      <w:pPr>
        <w:tabs>
          <w:tab w:val="num" w:pos="2160"/>
        </w:tabs>
        <w:ind w:left="2160" w:hanging="360"/>
      </w:pPr>
      <w:rPr>
        <w:rFonts w:ascii="Wingdings" w:hAnsi="Wingdings" w:hint="default"/>
      </w:rPr>
    </w:lvl>
    <w:lvl w:ilvl="3" w:tplc="FD8C9D72" w:tentative="1">
      <w:start w:val="1"/>
      <w:numFmt w:val="bullet"/>
      <w:lvlText w:val=""/>
      <w:lvlJc w:val="left"/>
      <w:pPr>
        <w:tabs>
          <w:tab w:val="num" w:pos="2880"/>
        </w:tabs>
        <w:ind w:left="2880" w:hanging="360"/>
      </w:pPr>
      <w:rPr>
        <w:rFonts w:ascii="Wingdings" w:hAnsi="Wingdings" w:hint="default"/>
      </w:rPr>
    </w:lvl>
    <w:lvl w:ilvl="4" w:tplc="C6E01864" w:tentative="1">
      <w:start w:val="1"/>
      <w:numFmt w:val="bullet"/>
      <w:lvlText w:val=""/>
      <w:lvlJc w:val="left"/>
      <w:pPr>
        <w:tabs>
          <w:tab w:val="num" w:pos="3600"/>
        </w:tabs>
        <w:ind w:left="3600" w:hanging="360"/>
      </w:pPr>
      <w:rPr>
        <w:rFonts w:ascii="Wingdings" w:hAnsi="Wingdings" w:hint="default"/>
      </w:rPr>
    </w:lvl>
    <w:lvl w:ilvl="5" w:tplc="12302C5C" w:tentative="1">
      <w:start w:val="1"/>
      <w:numFmt w:val="bullet"/>
      <w:lvlText w:val=""/>
      <w:lvlJc w:val="left"/>
      <w:pPr>
        <w:tabs>
          <w:tab w:val="num" w:pos="4320"/>
        </w:tabs>
        <w:ind w:left="4320" w:hanging="360"/>
      </w:pPr>
      <w:rPr>
        <w:rFonts w:ascii="Wingdings" w:hAnsi="Wingdings" w:hint="default"/>
      </w:rPr>
    </w:lvl>
    <w:lvl w:ilvl="6" w:tplc="312E3574" w:tentative="1">
      <w:start w:val="1"/>
      <w:numFmt w:val="bullet"/>
      <w:lvlText w:val=""/>
      <w:lvlJc w:val="left"/>
      <w:pPr>
        <w:tabs>
          <w:tab w:val="num" w:pos="5040"/>
        </w:tabs>
        <w:ind w:left="5040" w:hanging="360"/>
      </w:pPr>
      <w:rPr>
        <w:rFonts w:ascii="Wingdings" w:hAnsi="Wingdings" w:hint="default"/>
      </w:rPr>
    </w:lvl>
    <w:lvl w:ilvl="7" w:tplc="FE187236" w:tentative="1">
      <w:start w:val="1"/>
      <w:numFmt w:val="bullet"/>
      <w:lvlText w:val=""/>
      <w:lvlJc w:val="left"/>
      <w:pPr>
        <w:tabs>
          <w:tab w:val="num" w:pos="5760"/>
        </w:tabs>
        <w:ind w:left="5760" w:hanging="360"/>
      </w:pPr>
      <w:rPr>
        <w:rFonts w:ascii="Wingdings" w:hAnsi="Wingdings" w:hint="default"/>
      </w:rPr>
    </w:lvl>
    <w:lvl w:ilvl="8" w:tplc="DD7694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43B9F"/>
    <w:multiLevelType w:val="hybridMultilevel"/>
    <w:tmpl w:val="F3966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D3B3A"/>
    <w:multiLevelType w:val="hybridMultilevel"/>
    <w:tmpl w:val="0EA8C11E"/>
    <w:lvl w:ilvl="0" w:tplc="5296A2D2">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D54CC"/>
    <w:multiLevelType w:val="hybridMultilevel"/>
    <w:tmpl w:val="5A7EFF68"/>
    <w:lvl w:ilvl="0" w:tplc="07D6F1B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9178F"/>
    <w:multiLevelType w:val="hybridMultilevel"/>
    <w:tmpl w:val="0988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01A1D"/>
    <w:multiLevelType w:val="hybridMultilevel"/>
    <w:tmpl w:val="DBBA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D49EC"/>
    <w:multiLevelType w:val="hybridMultilevel"/>
    <w:tmpl w:val="0CC08052"/>
    <w:lvl w:ilvl="0" w:tplc="21E47B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47202F"/>
    <w:multiLevelType w:val="hybridMultilevel"/>
    <w:tmpl w:val="CDA0F170"/>
    <w:lvl w:ilvl="0" w:tplc="0409000F">
      <w:start w:val="1"/>
      <w:numFmt w:val="decimal"/>
      <w:lvlText w:val="%1."/>
      <w:lvlJc w:val="left"/>
      <w:pPr>
        <w:ind w:left="1125" w:hanging="360"/>
      </w:p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0" w15:restartNumberingAfterBreak="0">
    <w:nsid w:val="1A310266"/>
    <w:multiLevelType w:val="hybridMultilevel"/>
    <w:tmpl w:val="DE4CA2B2"/>
    <w:lvl w:ilvl="0" w:tplc="00344306">
      <w:start w:val="1"/>
      <w:numFmt w:val="decimal"/>
      <w:lvlText w:val="%1)"/>
      <w:lvlJc w:val="left"/>
      <w:pPr>
        <w:ind w:left="720" w:hanging="360"/>
      </w:pPr>
      <w:rPr>
        <w:rFonts w:asciiTheme="majorHAnsi" w:eastAsiaTheme="minorHAnsi" w:hAnsiTheme="majorHAnsi"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7363B5"/>
    <w:multiLevelType w:val="hybridMultilevel"/>
    <w:tmpl w:val="AC8C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53104"/>
    <w:multiLevelType w:val="hybridMultilevel"/>
    <w:tmpl w:val="647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66957"/>
    <w:multiLevelType w:val="multilevel"/>
    <w:tmpl w:val="5B88D666"/>
    <w:name w:val="zzmpLONCORP1UK||LON_CORP1_UK|2|3|1|1|0|41||1|0|32||1|0|32||1|0|32||1|0|32||1|0|32||mpNA||mpNA||mpNA||"/>
    <w:lvl w:ilvl="0">
      <w:start w:val="1"/>
      <w:numFmt w:val="decimal"/>
      <w:lvlRestart w:val="0"/>
      <w:pStyle w:val="LONCORP1UKL1"/>
      <w:isLgl/>
      <w:lvlText w:val="%1."/>
      <w:lvlJc w:val="left"/>
      <w:pPr>
        <w:tabs>
          <w:tab w:val="num" w:pos="720"/>
        </w:tabs>
        <w:ind w:left="720" w:hanging="720"/>
      </w:pPr>
      <w:rPr>
        <w:rFonts w:ascii="Times New Roman" w:hAnsi="Times New Roman" w:cs="Times New Roman"/>
        <w:b w:val="0"/>
        <w:i w:val="0"/>
        <w:caps/>
        <w:smallCaps w:val="0"/>
        <w:color w:val="auto"/>
        <w:sz w:val="24"/>
        <w:u w:val="none"/>
      </w:rPr>
    </w:lvl>
    <w:lvl w:ilvl="1">
      <w:start w:val="1"/>
      <w:numFmt w:val="decimal"/>
      <w:pStyle w:val="LONCORP1UKL2"/>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decimal"/>
      <w:pStyle w:val="LONCORP1UKL3"/>
      <w:lvlText w:val="%1.%2.%3"/>
      <w:lvlJc w:val="left"/>
      <w:pPr>
        <w:tabs>
          <w:tab w:val="num" w:pos="1800"/>
        </w:tabs>
        <w:ind w:left="1800" w:hanging="1080"/>
      </w:pPr>
      <w:rPr>
        <w:rFonts w:ascii="Times New Roman" w:hAnsi="Times New Roman" w:cs="Times New Roman"/>
        <w:b w:val="0"/>
        <w:i w:val="0"/>
        <w:caps w:val="0"/>
        <w:color w:val="auto"/>
        <w:sz w:val="24"/>
        <w:u w:val="none"/>
      </w:rPr>
    </w:lvl>
    <w:lvl w:ilvl="3">
      <w:start w:val="1"/>
      <w:numFmt w:val="lowerLetter"/>
      <w:pStyle w:val="LONCORP1UKL4"/>
      <w:lvlText w:val="(%4)"/>
      <w:lvlJc w:val="left"/>
      <w:pPr>
        <w:tabs>
          <w:tab w:val="num" w:pos="2520"/>
        </w:tabs>
        <w:ind w:left="2520" w:hanging="720"/>
      </w:pPr>
      <w:rPr>
        <w:rFonts w:ascii="Times New Roman" w:hAnsi="Times New Roman" w:cs="Times New Roman"/>
        <w:b w:val="0"/>
        <w:i w:val="0"/>
        <w:caps w:val="0"/>
        <w:color w:val="auto"/>
        <w:sz w:val="24"/>
        <w:u w:val="none"/>
      </w:rPr>
    </w:lvl>
    <w:lvl w:ilvl="4">
      <w:start w:val="1"/>
      <w:numFmt w:val="lowerRoman"/>
      <w:pStyle w:val="LONCORP1UKL5"/>
      <w:lvlText w:val="(%5)"/>
      <w:lvlJc w:val="left"/>
      <w:pPr>
        <w:tabs>
          <w:tab w:val="num" w:pos="3240"/>
        </w:tabs>
        <w:ind w:left="3240" w:hanging="720"/>
      </w:pPr>
      <w:rPr>
        <w:rFonts w:ascii="Times New Roman" w:hAnsi="Times New Roman" w:cs="Times New Roman"/>
        <w:b w:val="0"/>
        <w:i w:val="0"/>
        <w:caps w:val="0"/>
        <w:color w:val="auto"/>
        <w:sz w:val="24"/>
        <w:u w:val="none"/>
      </w:rPr>
    </w:lvl>
    <w:lvl w:ilvl="5">
      <w:start w:val="1"/>
      <w:numFmt w:val="decimal"/>
      <w:pStyle w:val="LONCORP1UKL6"/>
      <w:lvlText w:val="(%6)"/>
      <w:lvlJc w:val="left"/>
      <w:pPr>
        <w:tabs>
          <w:tab w:val="num" w:pos="3960"/>
        </w:tabs>
        <w:ind w:left="3960" w:hanging="720"/>
      </w:pPr>
      <w:rPr>
        <w:rFonts w:ascii="Times New Roman" w:hAnsi="Times New Roman" w:cs="Times New Roman"/>
        <w:b w:val="0"/>
        <w:i w:val="0"/>
        <w:caps w:val="0"/>
        <w:color w:val="auto"/>
        <w:sz w:val="24"/>
        <w:u w:val="none"/>
      </w:rPr>
    </w:lvl>
    <w:lvl w:ilvl="6">
      <w:start w:val="1"/>
      <w:numFmt w:val="decimal"/>
      <w:lvlText w:val="%7."/>
      <w:lvlJc w:val="left"/>
      <w:pPr>
        <w:tabs>
          <w:tab w:val="num" w:pos="720"/>
        </w:tabs>
        <w:ind w:left="0" w:firstLine="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4" w15:restartNumberingAfterBreak="0">
    <w:nsid w:val="2149270F"/>
    <w:multiLevelType w:val="hybridMultilevel"/>
    <w:tmpl w:val="9A9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42D7C"/>
    <w:multiLevelType w:val="hybridMultilevel"/>
    <w:tmpl w:val="4B9E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30F36"/>
    <w:multiLevelType w:val="hybridMultilevel"/>
    <w:tmpl w:val="7392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55909"/>
    <w:multiLevelType w:val="hybridMultilevel"/>
    <w:tmpl w:val="EB469E28"/>
    <w:lvl w:ilvl="0" w:tplc="F760E0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2DFF3FAD"/>
    <w:multiLevelType w:val="hybridMultilevel"/>
    <w:tmpl w:val="19D0B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DF6715"/>
    <w:multiLevelType w:val="multilevel"/>
    <w:tmpl w:val="A14C7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A422F6"/>
    <w:multiLevelType w:val="hybridMultilevel"/>
    <w:tmpl w:val="CEB8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078A1"/>
    <w:multiLevelType w:val="hybridMultilevel"/>
    <w:tmpl w:val="F4F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345B4"/>
    <w:multiLevelType w:val="hybridMultilevel"/>
    <w:tmpl w:val="C1649100"/>
    <w:lvl w:ilvl="0" w:tplc="7968F80E">
      <w:numFmt w:val="bullet"/>
      <w:lvlText w:val="•"/>
      <w:lvlJc w:val="left"/>
      <w:pPr>
        <w:ind w:left="1080" w:hanging="72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D40EAB"/>
    <w:multiLevelType w:val="hybridMultilevel"/>
    <w:tmpl w:val="AEC0ABF4"/>
    <w:lvl w:ilvl="0" w:tplc="30F0DEB6">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4E3A48"/>
    <w:multiLevelType w:val="hybridMultilevel"/>
    <w:tmpl w:val="48429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8A27D1"/>
    <w:multiLevelType w:val="hybridMultilevel"/>
    <w:tmpl w:val="52F8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6C1874"/>
    <w:multiLevelType w:val="hybridMultilevel"/>
    <w:tmpl w:val="27E86266"/>
    <w:lvl w:ilvl="0" w:tplc="48A65CCA">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E0681"/>
    <w:multiLevelType w:val="hybridMultilevel"/>
    <w:tmpl w:val="4B788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820E04"/>
    <w:multiLevelType w:val="hybridMultilevel"/>
    <w:tmpl w:val="50DA2722"/>
    <w:lvl w:ilvl="0" w:tplc="C7A8F2C6">
      <w:start w:val="1"/>
      <w:numFmt w:val="bullet"/>
      <w:lvlText w:val=""/>
      <w:lvlJc w:val="left"/>
      <w:pPr>
        <w:ind w:left="720" w:hanging="360"/>
      </w:pPr>
      <w:rPr>
        <w:rFonts w:ascii="Symbol" w:hAnsi="Symbol" w:hint="default"/>
        <w:color w:val="76923C" w:themeColor="accent3"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DA2EBB"/>
    <w:multiLevelType w:val="hybridMultilevel"/>
    <w:tmpl w:val="1E7A9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3D6A68"/>
    <w:multiLevelType w:val="hybridMultilevel"/>
    <w:tmpl w:val="C78AA61A"/>
    <w:lvl w:ilvl="0" w:tplc="C3427390">
      <w:start w:val="1"/>
      <w:numFmt w:val="bullet"/>
      <w:lvlText w:val="•"/>
      <w:lvlJc w:val="left"/>
      <w:pPr>
        <w:tabs>
          <w:tab w:val="num" w:pos="720"/>
        </w:tabs>
        <w:ind w:left="720" w:hanging="360"/>
      </w:pPr>
      <w:rPr>
        <w:rFonts w:ascii="Arial" w:hAnsi="Arial" w:hint="default"/>
      </w:rPr>
    </w:lvl>
    <w:lvl w:ilvl="1" w:tplc="F6EC6EEC" w:tentative="1">
      <w:start w:val="1"/>
      <w:numFmt w:val="bullet"/>
      <w:lvlText w:val="•"/>
      <w:lvlJc w:val="left"/>
      <w:pPr>
        <w:tabs>
          <w:tab w:val="num" w:pos="1440"/>
        </w:tabs>
        <w:ind w:left="1440" w:hanging="360"/>
      </w:pPr>
      <w:rPr>
        <w:rFonts w:ascii="Arial" w:hAnsi="Arial" w:hint="default"/>
      </w:rPr>
    </w:lvl>
    <w:lvl w:ilvl="2" w:tplc="D21401F4" w:tentative="1">
      <w:start w:val="1"/>
      <w:numFmt w:val="bullet"/>
      <w:lvlText w:val="•"/>
      <w:lvlJc w:val="left"/>
      <w:pPr>
        <w:tabs>
          <w:tab w:val="num" w:pos="2160"/>
        </w:tabs>
        <w:ind w:left="2160" w:hanging="360"/>
      </w:pPr>
      <w:rPr>
        <w:rFonts w:ascii="Arial" w:hAnsi="Arial" w:hint="default"/>
      </w:rPr>
    </w:lvl>
    <w:lvl w:ilvl="3" w:tplc="68842080" w:tentative="1">
      <w:start w:val="1"/>
      <w:numFmt w:val="bullet"/>
      <w:lvlText w:val="•"/>
      <w:lvlJc w:val="left"/>
      <w:pPr>
        <w:tabs>
          <w:tab w:val="num" w:pos="2880"/>
        </w:tabs>
        <w:ind w:left="2880" w:hanging="360"/>
      </w:pPr>
      <w:rPr>
        <w:rFonts w:ascii="Arial" w:hAnsi="Arial" w:hint="default"/>
      </w:rPr>
    </w:lvl>
    <w:lvl w:ilvl="4" w:tplc="48FC799C" w:tentative="1">
      <w:start w:val="1"/>
      <w:numFmt w:val="bullet"/>
      <w:lvlText w:val="•"/>
      <w:lvlJc w:val="left"/>
      <w:pPr>
        <w:tabs>
          <w:tab w:val="num" w:pos="3600"/>
        </w:tabs>
        <w:ind w:left="3600" w:hanging="360"/>
      </w:pPr>
      <w:rPr>
        <w:rFonts w:ascii="Arial" w:hAnsi="Arial" w:hint="default"/>
      </w:rPr>
    </w:lvl>
    <w:lvl w:ilvl="5" w:tplc="F03CB526" w:tentative="1">
      <w:start w:val="1"/>
      <w:numFmt w:val="bullet"/>
      <w:lvlText w:val="•"/>
      <w:lvlJc w:val="left"/>
      <w:pPr>
        <w:tabs>
          <w:tab w:val="num" w:pos="4320"/>
        </w:tabs>
        <w:ind w:left="4320" w:hanging="360"/>
      </w:pPr>
      <w:rPr>
        <w:rFonts w:ascii="Arial" w:hAnsi="Arial" w:hint="default"/>
      </w:rPr>
    </w:lvl>
    <w:lvl w:ilvl="6" w:tplc="E446EB56" w:tentative="1">
      <w:start w:val="1"/>
      <w:numFmt w:val="bullet"/>
      <w:lvlText w:val="•"/>
      <w:lvlJc w:val="left"/>
      <w:pPr>
        <w:tabs>
          <w:tab w:val="num" w:pos="5040"/>
        </w:tabs>
        <w:ind w:left="5040" w:hanging="360"/>
      </w:pPr>
      <w:rPr>
        <w:rFonts w:ascii="Arial" w:hAnsi="Arial" w:hint="default"/>
      </w:rPr>
    </w:lvl>
    <w:lvl w:ilvl="7" w:tplc="C74C4DFA" w:tentative="1">
      <w:start w:val="1"/>
      <w:numFmt w:val="bullet"/>
      <w:lvlText w:val="•"/>
      <w:lvlJc w:val="left"/>
      <w:pPr>
        <w:tabs>
          <w:tab w:val="num" w:pos="5760"/>
        </w:tabs>
        <w:ind w:left="5760" w:hanging="360"/>
      </w:pPr>
      <w:rPr>
        <w:rFonts w:ascii="Arial" w:hAnsi="Arial" w:hint="default"/>
      </w:rPr>
    </w:lvl>
    <w:lvl w:ilvl="8" w:tplc="BFBAE9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270B8D"/>
    <w:multiLevelType w:val="multilevel"/>
    <w:tmpl w:val="C84A393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69451C"/>
    <w:multiLevelType w:val="hybridMultilevel"/>
    <w:tmpl w:val="78805AB4"/>
    <w:lvl w:ilvl="0" w:tplc="81E6DAE8">
      <w:start w:val="3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16cid:durableId="1740203804">
    <w:abstractNumId w:val="13"/>
  </w:num>
  <w:num w:numId="2" w16cid:durableId="1325354177">
    <w:abstractNumId w:val="7"/>
  </w:num>
  <w:num w:numId="3" w16cid:durableId="1709641253">
    <w:abstractNumId w:val="4"/>
  </w:num>
  <w:num w:numId="4" w16cid:durableId="1053309358">
    <w:abstractNumId w:val="30"/>
  </w:num>
  <w:num w:numId="5" w16cid:durableId="1496455358">
    <w:abstractNumId w:val="3"/>
  </w:num>
  <w:num w:numId="6" w16cid:durableId="1087919205">
    <w:abstractNumId w:val="28"/>
  </w:num>
  <w:num w:numId="7" w16cid:durableId="915362767">
    <w:abstractNumId w:val="24"/>
  </w:num>
  <w:num w:numId="8" w16cid:durableId="115610078">
    <w:abstractNumId w:val="8"/>
  </w:num>
  <w:num w:numId="9" w16cid:durableId="1630545858">
    <w:abstractNumId w:val="26"/>
  </w:num>
  <w:num w:numId="10" w16cid:durableId="1959020274">
    <w:abstractNumId w:val="29"/>
  </w:num>
  <w:num w:numId="11" w16cid:durableId="802430675">
    <w:abstractNumId w:val="19"/>
  </w:num>
  <w:num w:numId="12" w16cid:durableId="34426085">
    <w:abstractNumId w:val="31"/>
  </w:num>
  <w:num w:numId="13" w16cid:durableId="23285735">
    <w:abstractNumId w:val="0"/>
  </w:num>
  <w:num w:numId="14" w16cid:durableId="1600865445">
    <w:abstractNumId w:val="9"/>
    <w:lvlOverride w:ilvl="0">
      <w:startOverride w:val="1"/>
    </w:lvlOverride>
    <w:lvlOverride w:ilvl="1"/>
    <w:lvlOverride w:ilvl="2"/>
    <w:lvlOverride w:ilvl="3"/>
    <w:lvlOverride w:ilvl="4"/>
    <w:lvlOverride w:ilvl="5"/>
    <w:lvlOverride w:ilvl="6"/>
    <w:lvlOverride w:ilvl="7"/>
    <w:lvlOverride w:ilvl="8"/>
  </w:num>
  <w:num w:numId="15" w16cid:durableId="1595435549">
    <w:abstractNumId w:val="6"/>
  </w:num>
  <w:num w:numId="16" w16cid:durableId="1073970994">
    <w:abstractNumId w:val="5"/>
  </w:num>
  <w:num w:numId="17" w16cid:durableId="538904127">
    <w:abstractNumId w:val="21"/>
  </w:num>
  <w:num w:numId="18" w16cid:durableId="1448819436">
    <w:abstractNumId w:val="11"/>
  </w:num>
  <w:num w:numId="19" w16cid:durableId="220140776">
    <w:abstractNumId w:val="15"/>
  </w:num>
  <w:num w:numId="20" w16cid:durableId="1820028047">
    <w:abstractNumId w:val="10"/>
  </w:num>
  <w:num w:numId="21" w16cid:durableId="1823042847">
    <w:abstractNumId w:val="22"/>
  </w:num>
  <w:num w:numId="22" w16cid:durableId="234245298">
    <w:abstractNumId w:val="27"/>
  </w:num>
  <w:num w:numId="23" w16cid:durableId="428814245">
    <w:abstractNumId w:val="2"/>
  </w:num>
  <w:num w:numId="24" w16cid:durableId="371737226">
    <w:abstractNumId w:val="23"/>
  </w:num>
  <w:num w:numId="25" w16cid:durableId="1020005572">
    <w:abstractNumId w:val="18"/>
  </w:num>
  <w:num w:numId="26" w16cid:durableId="1665819506">
    <w:abstractNumId w:val="32"/>
  </w:num>
  <w:num w:numId="27" w16cid:durableId="616065221">
    <w:abstractNumId w:val="12"/>
  </w:num>
  <w:num w:numId="28" w16cid:durableId="1069964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3656204">
    <w:abstractNumId w:val="20"/>
  </w:num>
  <w:num w:numId="30" w16cid:durableId="843012383">
    <w:abstractNumId w:val="25"/>
  </w:num>
  <w:num w:numId="31" w16cid:durableId="2061976330">
    <w:abstractNumId w:val="1"/>
  </w:num>
  <w:num w:numId="32" w16cid:durableId="1412851359">
    <w:abstractNumId w:val="16"/>
  </w:num>
  <w:num w:numId="33" w16cid:durableId="172571873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6B"/>
    <w:rsid w:val="00000001"/>
    <w:rsid w:val="00000C38"/>
    <w:rsid w:val="00001D00"/>
    <w:rsid w:val="00001F66"/>
    <w:rsid w:val="000026EF"/>
    <w:rsid w:val="00002F10"/>
    <w:rsid w:val="00003882"/>
    <w:rsid w:val="00003CB2"/>
    <w:rsid w:val="00004974"/>
    <w:rsid w:val="000049D5"/>
    <w:rsid w:val="00005056"/>
    <w:rsid w:val="00005CED"/>
    <w:rsid w:val="00005CF7"/>
    <w:rsid w:val="00005E33"/>
    <w:rsid w:val="0000601C"/>
    <w:rsid w:val="0000631D"/>
    <w:rsid w:val="00010276"/>
    <w:rsid w:val="000102B0"/>
    <w:rsid w:val="000107DA"/>
    <w:rsid w:val="00011F2E"/>
    <w:rsid w:val="00012C53"/>
    <w:rsid w:val="00013035"/>
    <w:rsid w:val="00013911"/>
    <w:rsid w:val="00014061"/>
    <w:rsid w:val="00014285"/>
    <w:rsid w:val="000156A5"/>
    <w:rsid w:val="0001576A"/>
    <w:rsid w:val="00015CF8"/>
    <w:rsid w:val="00020851"/>
    <w:rsid w:val="000208CB"/>
    <w:rsid w:val="000219BF"/>
    <w:rsid w:val="0002236A"/>
    <w:rsid w:val="00022656"/>
    <w:rsid w:val="00022DBB"/>
    <w:rsid w:val="00024184"/>
    <w:rsid w:val="00025678"/>
    <w:rsid w:val="000268C8"/>
    <w:rsid w:val="00027588"/>
    <w:rsid w:val="00027CA4"/>
    <w:rsid w:val="0003041C"/>
    <w:rsid w:val="00030B05"/>
    <w:rsid w:val="00031D7E"/>
    <w:rsid w:val="000320A2"/>
    <w:rsid w:val="00032A3E"/>
    <w:rsid w:val="00033787"/>
    <w:rsid w:val="00035178"/>
    <w:rsid w:val="000357F4"/>
    <w:rsid w:val="00035D07"/>
    <w:rsid w:val="00036A0F"/>
    <w:rsid w:val="00037FD5"/>
    <w:rsid w:val="00040AEB"/>
    <w:rsid w:val="00040BDC"/>
    <w:rsid w:val="0004191D"/>
    <w:rsid w:val="00041B3F"/>
    <w:rsid w:val="00041BDF"/>
    <w:rsid w:val="00042CB7"/>
    <w:rsid w:val="00042D76"/>
    <w:rsid w:val="00043999"/>
    <w:rsid w:val="000448BB"/>
    <w:rsid w:val="00044B4F"/>
    <w:rsid w:val="00045279"/>
    <w:rsid w:val="00045E31"/>
    <w:rsid w:val="000473A3"/>
    <w:rsid w:val="00047EB3"/>
    <w:rsid w:val="00052068"/>
    <w:rsid w:val="00053C37"/>
    <w:rsid w:val="0005503F"/>
    <w:rsid w:val="0005570C"/>
    <w:rsid w:val="00055903"/>
    <w:rsid w:val="00056137"/>
    <w:rsid w:val="00056EB8"/>
    <w:rsid w:val="00060146"/>
    <w:rsid w:val="00060367"/>
    <w:rsid w:val="000620DB"/>
    <w:rsid w:val="000641AA"/>
    <w:rsid w:val="00064CAA"/>
    <w:rsid w:val="0006509B"/>
    <w:rsid w:val="00065732"/>
    <w:rsid w:val="00065872"/>
    <w:rsid w:val="000658A5"/>
    <w:rsid w:val="00065C04"/>
    <w:rsid w:val="000661F2"/>
    <w:rsid w:val="000715A2"/>
    <w:rsid w:val="00071EBE"/>
    <w:rsid w:val="000725BC"/>
    <w:rsid w:val="00072C01"/>
    <w:rsid w:val="00073694"/>
    <w:rsid w:val="0007534B"/>
    <w:rsid w:val="0007564D"/>
    <w:rsid w:val="00075A8B"/>
    <w:rsid w:val="00075C81"/>
    <w:rsid w:val="000764F0"/>
    <w:rsid w:val="000767F3"/>
    <w:rsid w:val="0008045A"/>
    <w:rsid w:val="00080A19"/>
    <w:rsid w:val="000818A2"/>
    <w:rsid w:val="00082EB6"/>
    <w:rsid w:val="0008324D"/>
    <w:rsid w:val="000834D1"/>
    <w:rsid w:val="000846BF"/>
    <w:rsid w:val="000854EE"/>
    <w:rsid w:val="000868A1"/>
    <w:rsid w:val="00086A5E"/>
    <w:rsid w:val="000870BB"/>
    <w:rsid w:val="00087749"/>
    <w:rsid w:val="0009072D"/>
    <w:rsid w:val="00090A2D"/>
    <w:rsid w:val="00091F29"/>
    <w:rsid w:val="000928AF"/>
    <w:rsid w:val="00092A6E"/>
    <w:rsid w:val="0009305D"/>
    <w:rsid w:val="000946C3"/>
    <w:rsid w:val="00095FF8"/>
    <w:rsid w:val="000963FF"/>
    <w:rsid w:val="000968B4"/>
    <w:rsid w:val="00096982"/>
    <w:rsid w:val="00096DB3"/>
    <w:rsid w:val="000A06A6"/>
    <w:rsid w:val="000A08D2"/>
    <w:rsid w:val="000A0E84"/>
    <w:rsid w:val="000A1011"/>
    <w:rsid w:val="000A19F2"/>
    <w:rsid w:val="000A1B03"/>
    <w:rsid w:val="000A2465"/>
    <w:rsid w:val="000A3483"/>
    <w:rsid w:val="000A7433"/>
    <w:rsid w:val="000A7EF7"/>
    <w:rsid w:val="000B0771"/>
    <w:rsid w:val="000B0D2A"/>
    <w:rsid w:val="000B2577"/>
    <w:rsid w:val="000B29DC"/>
    <w:rsid w:val="000B398E"/>
    <w:rsid w:val="000B4ED7"/>
    <w:rsid w:val="000B5482"/>
    <w:rsid w:val="000B5AAF"/>
    <w:rsid w:val="000B5BBD"/>
    <w:rsid w:val="000B6214"/>
    <w:rsid w:val="000B7935"/>
    <w:rsid w:val="000C1415"/>
    <w:rsid w:val="000C1AD7"/>
    <w:rsid w:val="000C2C1E"/>
    <w:rsid w:val="000C31AD"/>
    <w:rsid w:val="000C606D"/>
    <w:rsid w:val="000C6CFF"/>
    <w:rsid w:val="000C720C"/>
    <w:rsid w:val="000C7F66"/>
    <w:rsid w:val="000D037D"/>
    <w:rsid w:val="000D08CB"/>
    <w:rsid w:val="000D2349"/>
    <w:rsid w:val="000D2937"/>
    <w:rsid w:val="000D4030"/>
    <w:rsid w:val="000D49C3"/>
    <w:rsid w:val="000D5E68"/>
    <w:rsid w:val="000D60B7"/>
    <w:rsid w:val="000D667B"/>
    <w:rsid w:val="000D6A52"/>
    <w:rsid w:val="000D6FBE"/>
    <w:rsid w:val="000E00A4"/>
    <w:rsid w:val="000E1D2A"/>
    <w:rsid w:val="000E2681"/>
    <w:rsid w:val="000E28B7"/>
    <w:rsid w:val="000E2E5D"/>
    <w:rsid w:val="000E36E2"/>
    <w:rsid w:val="000E49C7"/>
    <w:rsid w:val="000E5087"/>
    <w:rsid w:val="000E51BA"/>
    <w:rsid w:val="000E5C65"/>
    <w:rsid w:val="000E6821"/>
    <w:rsid w:val="000E703A"/>
    <w:rsid w:val="000E71F2"/>
    <w:rsid w:val="000F051F"/>
    <w:rsid w:val="000F11E1"/>
    <w:rsid w:val="000F1316"/>
    <w:rsid w:val="000F2AE6"/>
    <w:rsid w:val="000F3D01"/>
    <w:rsid w:val="000F4498"/>
    <w:rsid w:val="000F4B7F"/>
    <w:rsid w:val="000F53CE"/>
    <w:rsid w:val="000F5A1C"/>
    <w:rsid w:val="000F5E5E"/>
    <w:rsid w:val="000F5FBF"/>
    <w:rsid w:val="000F6D07"/>
    <w:rsid w:val="000F6FFB"/>
    <w:rsid w:val="000F77B5"/>
    <w:rsid w:val="000F7EDB"/>
    <w:rsid w:val="001000B5"/>
    <w:rsid w:val="00100FDC"/>
    <w:rsid w:val="001012DC"/>
    <w:rsid w:val="00101611"/>
    <w:rsid w:val="00101DBC"/>
    <w:rsid w:val="001024E2"/>
    <w:rsid w:val="0010295B"/>
    <w:rsid w:val="001037B2"/>
    <w:rsid w:val="00103BA0"/>
    <w:rsid w:val="00103C74"/>
    <w:rsid w:val="0010433F"/>
    <w:rsid w:val="00105517"/>
    <w:rsid w:val="00106459"/>
    <w:rsid w:val="001065FE"/>
    <w:rsid w:val="00107E8E"/>
    <w:rsid w:val="00107FE8"/>
    <w:rsid w:val="0011211E"/>
    <w:rsid w:val="00112454"/>
    <w:rsid w:val="00112DB6"/>
    <w:rsid w:val="00113D32"/>
    <w:rsid w:val="001144A1"/>
    <w:rsid w:val="00114CB9"/>
    <w:rsid w:val="00115C93"/>
    <w:rsid w:val="00116B0C"/>
    <w:rsid w:val="00116CBF"/>
    <w:rsid w:val="00120E79"/>
    <w:rsid w:val="001217BA"/>
    <w:rsid w:val="00121A7A"/>
    <w:rsid w:val="00121EFB"/>
    <w:rsid w:val="00122032"/>
    <w:rsid w:val="0012258E"/>
    <w:rsid w:val="00122C20"/>
    <w:rsid w:val="00122E0B"/>
    <w:rsid w:val="00123554"/>
    <w:rsid w:val="0012395C"/>
    <w:rsid w:val="00123BEF"/>
    <w:rsid w:val="00124708"/>
    <w:rsid w:val="001271E5"/>
    <w:rsid w:val="00127C1A"/>
    <w:rsid w:val="001309C7"/>
    <w:rsid w:val="00130B12"/>
    <w:rsid w:val="001310E1"/>
    <w:rsid w:val="00131595"/>
    <w:rsid w:val="001323FC"/>
    <w:rsid w:val="0013242A"/>
    <w:rsid w:val="00132A75"/>
    <w:rsid w:val="00132BF9"/>
    <w:rsid w:val="00133A94"/>
    <w:rsid w:val="00133C83"/>
    <w:rsid w:val="001365C3"/>
    <w:rsid w:val="001368AB"/>
    <w:rsid w:val="00136C3C"/>
    <w:rsid w:val="00136F35"/>
    <w:rsid w:val="0013737F"/>
    <w:rsid w:val="0013751B"/>
    <w:rsid w:val="00137927"/>
    <w:rsid w:val="001408B1"/>
    <w:rsid w:val="001415F9"/>
    <w:rsid w:val="001416D6"/>
    <w:rsid w:val="00141779"/>
    <w:rsid w:val="001425DE"/>
    <w:rsid w:val="001428B0"/>
    <w:rsid w:val="001443D9"/>
    <w:rsid w:val="00144F91"/>
    <w:rsid w:val="0014576A"/>
    <w:rsid w:val="001467BB"/>
    <w:rsid w:val="001475EB"/>
    <w:rsid w:val="00147D6F"/>
    <w:rsid w:val="0015015A"/>
    <w:rsid w:val="0015049C"/>
    <w:rsid w:val="001510DE"/>
    <w:rsid w:val="001512C2"/>
    <w:rsid w:val="001514A0"/>
    <w:rsid w:val="00151C9A"/>
    <w:rsid w:val="00151CAC"/>
    <w:rsid w:val="0015215F"/>
    <w:rsid w:val="00152704"/>
    <w:rsid w:val="00152822"/>
    <w:rsid w:val="00152AC4"/>
    <w:rsid w:val="0015377B"/>
    <w:rsid w:val="001547E5"/>
    <w:rsid w:val="00154801"/>
    <w:rsid w:val="00154E02"/>
    <w:rsid w:val="00154FE1"/>
    <w:rsid w:val="001550BC"/>
    <w:rsid w:val="00155A7F"/>
    <w:rsid w:val="00155AE9"/>
    <w:rsid w:val="00156F6E"/>
    <w:rsid w:val="00157423"/>
    <w:rsid w:val="00157C20"/>
    <w:rsid w:val="001603B0"/>
    <w:rsid w:val="0016045E"/>
    <w:rsid w:val="00160A6B"/>
    <w:rsid w:val="001617AF"/>
    <w:rsid w:val="00161D32"/>
    <w:rsid w:val="00161E22"/>
    <w:rsid w:val="00161F89"/>
    <w:rsid w:val="00162B65"/>
    <w:rsid w:val="00163FF7"/>
    <w:rsid w:val="00164D0B"/>
    <w:rsid w:val="00165307"/>
    <w:rsid w:val="001669CD"/>
    <w:rsid w:val="00166A96"/>
    <w:rsid w:val="00171A34"/>
    <w:rsid w:val="00171D0F"/>
    <w:rsid w:val="00173316"/>
    <w:rsid w:val="0017358E"/>
    <w:rsid w:val="0017674A"/>
    <w:rsid w:val="001775ED"/>
    <w:rsid w:val="001800AA"/>
    <w:rsid w:val="0018107D"/>
    <w:rsid w:val="00181B9D"/>
    <w:rsid w:val="00182305"/>
    <w:rsid w:val="001826FF"/>
    <w:rsid w:val="001830D8"/>
    <w:rsid w:val="0018343D"/>
    <w:rsid w:val="00184246"/>
    <w:rsid w:val="00184608"/>
    <w:rsid w:val="0018580B"/>
    <w:rsid w:val="00185933"/>
    <w:rsid w:val="00185C67"/>
    <w:rsid w:val="00186025"/>
    <w:rsid w:val="00186183"/>
    <w:rsid w:val="00186B76"/>
    <w:rsid w:val="00187010"/>
    <w:rsid w:val="00187018"/>
    <w:rsid w:val="001877DD"/>
    <w:rsid w:val="00187BED"/>
    <w:rsid w:val="00190271"/>
    <w:rsid w:val="00190AD6"/>
    <w:rsid w:val="001917A6"/>
    <w:rsid w:val="0019250B"/>
    <w:rsid w:val="00192B72"/>
    <w:rsid w:val="00192D2F"/>
    <w:rsid w:val="00192FE5"/>
    <w:rsid w:val="00193511"/>
    <w:rsid w:val="001937C5"/>
    <w:rsid w:val="00194431"/>
    <w:rsid w:val="001971F4"/>
    <w:rsid w:val="001A08BF"/>
    <w:rsid w:val="001A0965"/>
    <w:rsid w:val="001A0E15"/>
    <w:rsid w:val="001A1133"/>
    <w:rsid w:val="001A144D"/>
    <w:rsid w:val="001A167D"/>
    <w:rsid w:val="001A1914"/>
    <w:rsid w:val="001A20F3"/>
    <w:rsid w:val="001A2F89"/>
    <w:rsid w:val="001A44E1"/>
    <w:rsid w:val="001A6572"/>
    <w:rsid w:val="001A661D"/>
    <w:rsid w:val="001A6CC3"/>
    <w:rsid w:val="001A727C"/>
    <w:rsid w:val="001B10A9"/>
    <w:rsid w:val="001B1757"/>
    <w:rsid w:val="001B28C2"/>
    <w:rsid w:val="001B328C"/>
    <w:rsid w:val="001B3504"/>
    <w:rsid w:val="001B368D"/>
    <w:rsid w:val="001B4EB5"/>
    <w:rsid w:val="001B5A9E"/>
    <w:rsid w:val="001B7AD5"/>
    <w:rsid w:val="001B7B59"/>
    <w:rsid w:val="001B7DDC"/>
    <w:rsid w:val="001C160C"/>
    <w:rsid w:val="001C2390"/>
    <w:rsid w:val="001C34AC"/>
    <w:rsid w:val="001C3555"/>
    <w:rsid w:val="001C3BC1"/>
    <w:rsid w:val="001C4A3A"/>
    <w:rsid w:val="001C4A8D"/>
    <w:rsid w:val="001C503A"/>
    <w:rsid w:val="001C543B"/>
    <w:rsid w:val="001C7100"/>
    <w:rsid w:val="001C7D07"/>
    <w:rsid w:val="001C7E5B"/>
    <w:rsid w:val="001D09F5"/>
    <w:rsid w:val="001D0AB3"/>
    <w:rsid w:val="001D1171"/>
    <w:rsid w:val="001D1687"/>
    <w:rsid w:val="001D211C"/>
    <w:rsid w:val="001D2E8C"/>
    <w:rsid w:val="001D4127"/>
    <w:rsid w:val="001D4C4B"/>
    <w:rsid w:val="001D4CBF"/>
    <w:rsid w:val="001D7F50"/>
    <w:rsid w:val="001E036F"/>
    <w:rsid w:val="001E17A9"/>
    <w:rsid w:val="001E18A9"/>
    <w:rsid w:val="001E1CE9"/>
    <w:rsid w:val="001E206B"/>
    <w:rsid w:val="001E36D9"/>
    <w:rsid w:val="001E3DE4"/>
    <w:rsid w:val="001E4CE4"/>
    <w:rsid w:val="001E532C"/>
    <w:rsid w:val="001F0986"/>
    <w:rsid w:val="001F2017"/>
    <w:rsid w:val="001F345C"/>
    <w:rsid w:val="001F4202"/>
    <w:rsid w:val="001F429D"/>
    <w:rsid w:val="001F4FBC"/>
    <w:rsid w:val="001F59F1"/>
    <w:rsid w:val="001F60F5"/>
    <w:rsid w:val="001F60FB"/>
    <w:rsid w:val="001F6183"/>
    <w:rsid w:val="001F6C11"/>
    <w:rsid w:val="001F703D"/>
    <w:rsid w:val="002005B0"/>
    <w:rsid w:val="002015B1"/>
    <w:rsid w:val="002016B2"/>
    <w:rsid w:val="00202FA4"/>
    <w:rsid w:val="00203D91"/>
    <w:rsid w:val="002046C6"/>
    <w:rsid w:val="002058FF"/>
    <w:rsid w:val="002060B6"/>
    <w:rsid w:val="00206DCF"/>
    <w:rsid w:val="00206E02"/>
    <w:rsid w:val="00206F05"/>
    <w:rsid w:val="00207429"/>
    <w:rsid w:val="00210211"/>
    <w:rsid w:val="00211E19"/>
    <w:rsid w:val="00212BD1"/>
    <w:rsid w:val="00212C25"/>
    <w:rsid w:val="002134A3"/>
    <w:rsid w:val="00214AF1"/>
    <w:rsid w:val="00214C68"/>
    <w:rsid w:val="00214FD1"/>
    <w:rsid w:val="00215067"/>
    <w:rsid w:val="00215905"/>
    <w:rsid w:val="002160C8"/>
    <w:rsid w:val="00217576"/>
    <w:rsid w:val="00220D17"/>
    <w:rsid w:val="00221847"/>
    <w:rsid w:val="00221A1C"/>
    <w:rsid w:val="00221D38"/>
    <w:rsid w:val="00221D81"/>
    <w:rsid w:val="002241D1"/>
    <w:rsid w:val="00225B23"/>
    <w:rsid w:val="00226794"/>
    <w:rsid w:val="00226B91"/>
    <w:rsid w:val="00226B9D"/>
    <w:rsid w:val="002279CC"/>
    <w:rsid w:val="00230100"/>
    <w:rsid w:val="00230411"/>
    <w:rsid w:val="0023096D"/>
    <w:rsid w:val="002313A2"/>
    <w:rsid w:val="0023188F"/>
    <w:rsid w:val="00231A07"/>
    <w:rsid w:val="00231A47"/>
    <w:rsid w:val="002326B4"/>
    <w:rsid w:val="00232F9D"/>
    <w:rsid w:val="0023323E"/>
    <w:rsid w:val="00233E5C"/>
    <w:rsid w:val="002344FC"/>
    <w:rsid w:val="00234622"/>
    <w:rsid w:val="00235240"/>
    <w:rsid w:val="00235DFA"/>
    <w:rsid w:val="00236968"/>
    <w:rsid w:val="00237709"/>
    <w:rsid w:val="00237A96"/>
    <w:rsid w:val="00237FD7"/>
    <w:rsid w:val="0024194B"/>
    <w:rsid w:val="0024339C"/>
    <w:rsid w:val="00243EA0"/>
    <w:rsid w:val="002445DD"/>
    <w:rsid w:val="00245CE4"/>
    <w:rsid w:val="00251169"/>
    <w:rsid w:val="00251C25"/>
    <w:rsid w:val="002524C5"/>
    <w:rsid w:val="002531E0"/>
    <w:rsid w:val="002537E1"/>
    <w:rsid w:val="00253D8C"/>
    <w:rsid w:val="0025416A"/>
    <w:rsid w:val="00256AD3"/>
    <w:rsid w:val="00256AF1"/>
    <w:rsid w:val="002570A0"/>
    <w:rsid w:val="00257338"/>
    <w:rsid w:val="00257863"/>
    <w:rsid w:val="00257B56"/>
    <w:rsid w:val="00260BA0"/>
    <w:rsid w:val="00261A24"/>
    <w:rsid w:val="00262398"/>
    <w:rsid w:val="002644AC"/>
    <w:rsid w:val="00264FE7"/>
    <w:rsid w:val="002650CF"/>
    <w:rsid w:val="00265CA3"/>
    <w:rsid w:val="002660FB"/>
    <w:rsid w:val="00267542"/>
    <w:rsid w:val="00271DD4"/>
    <w:rsid w:val="00271EF1"/>
    <w:rsid w:val="00272FE6"/>
    <w:rsid w:val="00273485"/>
    <w:rsid w:val="00273914"/>
    <w:rsid w:val="00274830"/>
    <w:rsid w:val="00274D5B"/>
    <w:rsid w:val="00274F3C"/>
    <w:rsid w:val="002754CB"/>
    <w:rsid w:val="0027550B"/>
    <w:rsid w:val="00275F28"/>
    <w:rsid w:val="00277C8E"/>
    <w:rsid w:val="002802AA"/>
    <w:rsid w:val="00280D41"/>
    <w:rsid w:val="00281435"/>
    <w:rsid w:val="00281655"/>
    <w:rsid w:val="00281770"/>
    <w:rsid w:val="00282924"/>
    <w:rsid w:val="002838CE"/>
    <w:rsid w:val="0028395B"/>
    <w:rsid w:val="00284B5D"/>
    <w:rsid w:val="00285C59"/>
    <w:rsid w:val="002861ED"/>
    <w:rsid w:val="002862E1"/>
    <w:rsid w:val="00286973"/>
    <w:rsid w:val="00290DA2"/>
    <w:rsid w:val="00292DB6"/>
    <w:rsid w:val="00293D6B"/>
    <w:rsid w:val="00294F1B"/>
    <w:rsid w:val="00296062"/>
    <w:rsid w:val="0029651E"/>
    <w:rsid w:val="002966E2"/>
    <w:rsid w:val="00297B4C"/>
    <w:rsid w:val="00297C05"/>
    <w:rsid w:val="002A0CF3"/>
    <w:rsid w:val="002A1E11"/>
    <w:rsid w:val="002A21BE"/>
    <w:rsid w:val="002A36A1"/>
    <w:rsid w:val="002A36BD"/>
    <w:rsid w:val="002A58F0"/>
    <w:rsid w:val="002A5E70"/>
    <w:rsid w:val="002A6982"/>
    <w:rsid w:val="002A6CEA"/>
    <w:rsid w:val="002A6F77"/>
    <w:rsid w:val="002A75F6"/>
    <w:rsid w:val="002B00A7"/>
    <w:rsid w:val="002B12D8"/>
    <w:rsid w:val="002B1AFB"/>
    <w:rsid w:val="002B1E8A"/>
    <w:rsid w:val="002B3572"/>
    <w:rsid w:val="002B3914"/>
    <w:rsid w:val="002B411D"/>
    <w:rsid w:val="002B5024"/>
    <w:rsid w:val="002B78B0"/>
    <w:rsid w:val="002C09C1"/>
    <w:rsid w:val="002C0C4A"/>
    <w:rsid w:val="002C173B"/>
    <w:rsid w:val="002C2636"/>
    <w:rsid w:val="002C34FC"/>
    <w:rsid w:val="002C3571"/>
    <w:rsid w:val="002C42E2"/>
    <w:rsid w:val="002C5090"/>
    <w:rsid w:val="002C5D9A"/>
    <w:rsid w:val="002C7C45"/>
    <w:rsid w:val="002D0FC9"/>
    <w:rsid w:val="002D19A4"/>
    <w:rsid w:val="002D1E0F"/>
    <w:rsid w:val="002D3445"/>
    <w:rsid w:val="002D40CD"/>
    <w:rsid w:val="002D46B3"/>
    <w:rsid w:val="002D48DA"/>
    <w:rsid w:val="002D4F50"/>
    <w:rsid w:val="002D56FE"/>
    <w:rsid w:val="002D64EF"/>
    <w:rsid w:val="002D663B"/>
    <w:rsid w:val="002D6CAF"/>
    <w:rsid w:val="002E0B4E"/>
    <w:rsid w:val="002E0C68"/>
    <w:rsid w:val="002E159F"/>
    <w:rsid w:val="002E1AC6"/>
    <w:rsid w:val="002E3542"/>
    <w:rsid w:val="002E3E2F"/>
    <w:rsid w:val="002E49AA"/>
    <w:rsid w:val="002E53A8"/>
    <w:rsid w:val="002E6990"/>
    <w:rsid w:val="002E6CEF"/>
    <w:rsid w:val="002E7232"/>
    <w:rsid w:val="002E77FF"/>
    <w:rsid w:val="002F0C3F"/>
    <w:rsid w:val="002F0F57"/>
    <w:rsid w:val="002F1443"/>
    <w:rsid w:val="002F32D8"/>
    <w:rsid w:val="002F3784"/>
    <w:rsid w:val="002F3C18"/>
    <w:rsid w:val="002F3F41"/>
    <w:rsid w:val="002F4412"/>
    <w:rsid w:val="002F5A56"/>
    <w:rsid w:val="002F6218"/>
    <w:rsid w:val="002F65CB"/>
    <w:rsid w:val="002F72DC"/>
    <w:rsid w:val="00302758"/>
    <w:rsid w:val="003034D6"/>
    <w:rsid w:val="003037AD"/>
    <w:rsid w:val="00305C33"/>
    <w:rsid w:val="00306FAE"/>
    <w:rsid w:val="00307F2C"/>
    <w:rsid w:val="00310304"/>
    <w:rsid w:val="00311625"/>
    <w:rsid w:val="003116DA"/>
    <w:rsid w:val="0031202A"/>
    <w:rsid w:val="003121F9"/>
    <w:rsid w:val="00313D2D"/>
    <w:rsid w:val="00314307"/>
    <w:rsid w:val="003147A5"/>
    <w:rsid w:val="0031726C"/>
    <w:rsid w:val="00321296"/>
    <w:rsid w:val="00321ADC"/>
    <w:rsid w:val="00321B2A"/>
    <w:rsid w:val="00321E58"/>
    <w:rsid w:val="0032213D"/>
    <w:rsid w:val="003228DD"/>
    <w:rsid w:val="00322E36"/>
    <w:rsid w:val="00323C55"/>
    <w:rsid w:val="003249C4"/>
    <w:rsid w:val="00325887"/>
    <w:rsid w:val="00326548"/>
    <w:rsid w:val="003265CE"/>
    <w:rsid w:val="00330D96"/>
    <w:rsid w:val="00331B77"/>
    <w:rsid w:val="00332ABF"/>
    <w:rsid w:val="00332C8E"/>
    <w:rsid w:val="0033400C"/>
    <w:rsid w:val="0033431E"/>
    <w:rsid w:val="003358D7"/>
    <w:rsid w:val="00336617"/>
    <w:rsid w:val="00336683"/>
    <w:rsid w:val="003369C0"/>
    <w:rsid w:val="00336F47"/>
    <w:rsid w:val="003370DE"/>
    <w:rsid w:val="0033785E"/>
    <w:rsid w:val="003378F6"/>
    <w:rsid w:val="0033CC5A"/>
    <w:rsid w:val="0034140A"/>
    <w:rsid w:val="003417AC"/>
    <w:rsid w:val="003423D8"/>
    <w:rsid w:val="00342533"/>
    <w:rsid w:val="003426FA"/>
    <w:rsid w:val="00342737"/>
    <w:rsid w:val="0034328D"/>
    <w:rsid w:val="00343D17"/>
    <w:rsid w:val="0034483C"/>
    <w:rsid w:val="003449E2"/>
    <w:rsid w:val="00344E86"/>
    <w:rsid w:val="003451BE"/>
    <w:rsid w:val="00346A85"/>
    <w:rsid w:val="00347E8A"/>
    <w:rsid w:val="0035022C"/>
    <w:rsid w:val="003506D1"/>
    <w:rsid w:val="00350CE1"/>
    <w:rsid w:val="00352E36"/>
    <w:rsid w:val="00353136"/>
    <w:rsid w:val="003533D1"/>
    <w:rsid w:val="0035400B"/>
    <w:rsid w:val="00354566"/>
    <w:rsid w:val="00355B3E"/>
    <w:rsid w:val="003563DA"/>
    <w:rsid w:val="00356FBC"/>
    <w:rsid w:val="00360269"/>
    <w:rsid w:val="00360B7E"/>
    <w:rsid w:val="003623E6"/>
    <w:rsid w:val="00364850"/>
    <w:rsid w:val="003703BB"/>
    <w:rsid w:val="0037063B"/>
    <w:rsid w:val="0037122F"/>
    <w:rsid w:val="00372060"/>
    <w:rsid w:val="0037246E"/>
    <w:rsid w:val="003739CC"/>
    <w:rsid w:val="00374001"/>
    <w:rsid w:val="0037417E"/>
    <w:rsid w:val="00374DB7"/>
    <w:rsid w:val="00374E91"/>
    <w:rsid w:val="00375249"/>
    <w:rsid w:val="003762D8"/>
    <w:rsid w:val="00376A90"/>
    <w:rsid w:val="00376C2D"/>
    <w:rsid w:val="0037744B"/>
    <w:rsid w:val="003777D4"/>
    <w:rsid w:val="00377AEB"/>
    <w:rsid w:val="0038010D"/>
    <w:rsid w:val="0038067B"/>
    <w:rsid w:val="00380E8A"/>
    <w:rsid w:val="0038118D"/>
    <w:rsid w:val="00381701"/>
    <w:rsid w:val="00381FCC"/>
    <w:rsid w:val="00382258"/>
    <w:rsid w:val="003822B9"/>
    <w:rsid w:val="00382C2E"/>
    <w:rsid w:val="003839EB"/>
    <w:rsid w:val="00384B03"/>
    <w:rsid w:val="00385D97"/>
    <w:rsid w:val="003861C5"/>
    <w:rsid w:val="00386CCC"/>
    <w:rsid w:val="003941DA"/>
    <w:rsid w:val="003948BA"/>
    <w:rsid w:val="003961B1"/>
    <w:rsid w:val="0039745B"/>
    <w:rsid w:val="0039799F"/>
    <w:rsid w:val="00397E5E"/>
    <w:rsid w:val="003A0BC4"/>
    <w:rsid w:val="003A1163"/>
    <w:rsid w:val="003A28AE"/>
    <w:rsid w:val="003A3A73"/>
    <w:rsid w:val="003A3C2F"/>
    <w:rsid w:val="003A4C66"/>
    <w:rsid w:val="003A5EED"/>
    <w:rsid w:val="003A6905"/>
    <w:rsid w:val="003A7588"/>
    <w:rsid w:val="003B0B4F"/>
    <w:rsid w:val="003B1DE7"/>
    <w:rsid w:val="003B3205"/>
    <w:rsid w:val="003B39D6"/>
    <w:rsid w:val="003B3B63"/>
    <w:rsid w:val="003B48F7"/>
    <w:rsid w:val="003B57C6"/>
    <w:rsid w:val="003B5BF2"/>
    <w:rsid w:val="003B71A4"/>
    <w:rsid w:val="003B7ADA"/>
    <w:rsid w:val="003B7B1C"/>
    <w:rsid w:val="003C007A"/>
    <w:rsid w:val="003C07ED"/>
    <w:rsid w:val="003C354F"/>
    <w:rsid w:val="003C3B8C"/>
    <w:rsid w:val="003C4A54"/>
    <w:rsid w:val="003C5088"/>
    <w:rsid w:val="003C51B2"/>
    <w:rsid w:val="003C6202"/>
    <w:rsid w:val="003C6F24"/>
    <w:rsid w:val="003C7B9F"/>
    <w:rsid w:val="003D1620"/>
    <w:rsid w:val="003D1686"/>
    <w:rsid w:val="003D2280"/>
    <w:rsid w:val="003D3542"/>
    <w:rsid w:val="003D357A"/>
    <w:rsid w:val="003D52E6"/>
    <w:rsid w:val="003D5770"/>
    <w:rsid w:val="003D5AB4"/>
    <w:rsid w:val="003D6B54"/>
    <w:rsid w:val="003D6D43"/>
    <w:rsid w:val="003D7886"/>
    <w:rsid w:val="003E2191"/>
    <w:rsid w:val="003E273C"/>
    <w:rsid w:val="003E2B73"/>
    <w:rsid w:val="003E3114"/>
    <w:rsid w:val="003E3692"/>
    <w:rsid w:val="003E4113"/>
    <w:rsid w:val="003E4B53"/>
    <w:rsid w:val="003E5146"/>
    <w:rsid w:val="003E5DA3"/>
    <w:rsid w:val="003E6BC1"/>
    <w:rsid w:val="003E733C"/>
    <w:rsid w:val="003E7A10"/>
    <w:rsid w:val="003F2738"/>
    <w:rsid w:val="003F2B8F"/>
    <w:rsid w:val="003F33B2"/>
    <w:rsid w:val="003F33F1"/>
    <w:rsid w:val="003F371D"/>
    <w:rsid w:val="003F3C00"/>
    <w:rsid w:val="003F665C"/>
    <w:rsid w:val="003F7359"/>
    <w:rsid w:val="004001B5"/>
    <w:rsid w:val="004006BC"/>
    <w:rsid w:val="00400852"/>
    <w:rsid w:val="004018A7"/>
    <w:rsid w:val="00402044"/>
    <w:rsid w:val="0040590D"/>
    <w:rsid w:val="004069AC"/>
    <w:rsid w:val="00406BEB"/>
    <w:rsid w:val="00407375"/>
    <w:rsid w:val="00410773"/>
    <w:rsid w:val="00410B0F"/>
    <w:rsid w:val="004131DF"/>
    <w:rsid w:val="00413618"/>
    <w:rsid w:val="00413722"/>
    <w:rsid w:val="00413942"/>
    <w:rsid w:val="00413C28"/>
    <w:rsid w:val="00413E1D"/>
    <w:rsid w:val="004153C9"/>
    <w:rsid w:val="00415797"/>
    <w:rsid w:val="00415C3E"/>
    <w:rsid w:val="004169A3"/>
    <w:rsid w:val="00416C70"/>
    <w:rsid w:val="004172DE"/>
    <w:rsid w:val="00420E94"/>
    <w:rsid w:val="004212C3"/>
    <w:rsid w:val="004216C3"/>
    <w:rsid w:val="00421AB4"/>
    <w:rsid w:val="004226CE"/>
    <w:rsid w:val="00423871"/>
    <w:rsid w:val="00423AAA"/>
    <w:rsid w:val="00423B34"/>
    <w:rsid w:val="00423F90"/>
    <w:rsid w:val="00424BE7"/>
    <w:rsid w:val="0043019C"/>
    <w:rsid w:val="004302CB"/>
    <w:rsid w:val="0043152B"/>
    <w:rsid w:val="00431C1B"/>
    <w:rsid w:val="004343FC"/>
    <w:rsid w:val="004347EA"/>
    <w:rsid w:val="004348BB"/>
    <w:rsid w:val="00435E64"/>
    <w:rsid w:val="00437791"/>
    <w:rsid w:val="00440CCE"/>
    <w:rsid w:val="00441D6B"/>
    <w:rsid w:val="0044282D"/>
    <w:rsid w:val="0044289B"/>
    <w:rsid w:val="00443276"/>
    <w:rsid w:val="004437EF"/>
    <w:rsid w:val="00444343"/>
    <w:rsid w:val="00444AF9"/>
    <w:rsid w:val="00445ACF"/>
    <w:rsid w:val="0044675C"/>
    <w:rsid w:val="004467E5"/>
    <w:rsid w:val="00447966"/>
    <w:rsid w:val="00447A1C"/>
    <w:rsid w:val="00447F1C"/>
    <w:rsid w:val="004502BE"/>
    <w:rsid w:val="00451F3F"/>
    <w:rsid w:val="004521D7"/>
    <w:rsid w:val="0045370A"/>
    <w:rsid w:val="00453B4E"/>
    <w:rsid w:val="00453DF2"/>
    <w:rsid w:val="004556F9"/>
    <w:rsid w:val="0045661E"/>
    <w:rsid w:val="00456720"/>
    <w:rsid w:val="00456A83"/>
    <w:rsid w:val="0046231F"/>
    <w:rsid w:val="004625CF"/>
    <w:rsid w:val="00464536"/>
    <w:rsid w:val="00464996"/>
    <w:rsid w:val="0046529C"/>
    <w:rsid w:val="00465EB5"/>
    <w:rsid w:val="004666FC"/>
    <w:rsid w:val="00470AE1"/>
    <w:rsid w:val="00470F43"/>
    <w:rsid w:val="004710E1"/>
    <w:rsid w:val="004719A0"/>
    <w:rsid w:val="00473929"/>
    <w:rsid w:val="00474006"/>
    <w:rsid w:val="0047574B"/>
    <w:rsid w:val="00475FAB"/>
    <w:rsid w:val="004761A8"/>
    <w:rsid w:val="00476B52"/>
    <w:rsid w:val="004777E3"/>
    <w:rsid w:val="00480E04"/>
    <w:rsid w:val="004812D6"/>
    <w:rsid w:val="00483310"/>
    <w:rsid w:val="00483970"/>
    <w:rsid w:val="004845DA"/>
    <w:rsid w:val="004849E3"/>
    <w:rsid w:val="00484C59"/>
    <w:rsid w:val="00486D59"/>
    <w:rsid w:val="004877BA"/>
    <w:rsid w:val="004904DC"/>
    <w:rsid w:val="004909DD"/>
    <w:rsid w:val="00490D4C"/>
    <w:rsid w:val="0049264E"/>
    <w:rsid w:val="00492D6F"/>
    <w:rsid w:val="00493DCE"/>
    <w:rsid w:val="004943A2"/>
    <w:rsid w:val="0049524A"/>
    <w:rsid w:val="00496D6F"/>
    <w:rsid w:val="004A1146"/>
    <w:rsid w:val="004A1670"/>
    <w:rsid w:val="004A20CF"/>
    <w:rsid w:val="004A262C"/>
    <w:rsid w:val="004A3A4D"/>
    <w:rsid w:val="004A47B3"/>
    <w:rsid w:val="004A63B6"/>
    <w:rsid w:val="004A6417"/>
    <w:rsid w:val="004A70B6"/>
    <w:rsid w:val="004B02AA"/>
    <w:rsid w:val="004B0783"/>
    <w:rsid w:val="004B105C"/>
    <w:rsid w:val="004B1668"/>
    <w:rsid w:val="004B20AB"/>
    <w:rsid w:val="004B2D8A"/>
    <w:rsid w:val="004B3762"/>
    <w:rsid w:val="004B55C5"/>
    <w:rsid w:val="004B61FB"/>
    <w:rsid w:val="004B74A6"/>
    <w:rsid w:val="004C0E43"/>
    <w:rsid w:val="004C1A42"/>
    <w:rsid w:val="004C1D9A"/>
    <w:rsid w:val="004C2566"/>
    <w:rsid w:val="004C2A2A"/>
    <w:rsid w:val="004C3B78"/>
    <w:rsid w:val="004C3C8F"/>
    <w:rsid w:val="004C3D96"/>
    <w:rsid w:val="004C3FFB"/>
    <w:rsid w:val="004C436B"/>
    <w:rsid w:val="004C60CE"/>
    <w:rsid w:val="004C729B"/>
    <w:rsid w:val="004C7A9F"/>
    <w:rsid w:val="004C7E64"/>
    <w:rsid w:val="004D0704"/>
    <w:rsid w:val="004D0961"/>
    <w:rsid w:val="004D116D"/>
    <w:rsid w:val="004D1807"/>
    <w:rsid w:val="004D1F1E"/>
    <w:rsid w:val="004D2353"/>
    <w:rsid w:val="004D3CC1"/>
    <w:rsid w:val="004D4B04"/>
    <w:rsid w:val="004D552F"/>
    <w:rsid w:val="004D55FC"/>
    <w:rsid w:val="004D614F"/>
    <w:rsid w:val="004D62C0"/>
    <w:rsid w:val="004D77DC"/>
    <w:rsid w:val="004D79D1"/>
    <w:rsid w:val="004E0114"/>
    <w:rsid w:val="004E1164"/>
    <w:rsid w:val="004E1680"/>
    <w:rsid w:val="004E1DE5"/>
    <w:rsid w:val="004E23AE"/>
    <w:rsid w:val="004E2874"/>
    <w:rsid w:val="004E3992"/>
    <w:rsid w:val="004E4269"/>
    <w:rsid w:val="004E4288"/>
    <w:rsid w:val="004E481D"/>
    <w:rsid w:val="004E52AB"/>
    <w:rsid w:val="004E5D68"/>
    <w:rsid w:val="004E6D2B"/>
    <w:rsid w:val="004E70E0"/>
    <w:rsid w:val="004F0E7C"/>
    <w:rsid w:val="004F15AD"/>
    <w:rsid w:val="004F232B"/>
    <w:rsid w:val="004F2C36"/>
    <w:rsid w:val="004F417E"/>
    <w:rsid w:val="004F48EB"/>
    <w:rsid w:val="004F4F22"/>
    <w:rsid w:val="004F52DB"/>
    <w:rsid w:val="004F6702"/>
    <w:rsid w:val="004F68F0"/>
    <w:rsid w:val="00502569"/>
    <w:rsid w:val="00502958"/>
    <w:rsid w:val="00503AAF"/>
    <w:rsid w:val="005044A6"/>
    <w:rsid w:val="00504627"/>
    <w:rsid w:val="005048A6"/>
    <w:rsid w:val="00506F7B"/>
    <w:rsid w:val="00507A38"/>
    <w:rsid w:val="00507DFF"/>
    <w:rsid w:val="005116AB"/>
    <w:rsid w:val="00511A70"/>
    <w:rsid w:val="00511B4C"/>
    <w:rsid w:val="00513175"/>
    <w:rsid w:val="005133BE"/>
    <w:rsid w:val="00514344"/>
    <w:rsid w:val="00515682"/>
    <w:rsid w:val="00515A6F"/>
    <w:rsid w:val="00515CDD"/>
    <w:rsid w:val="00516EA6"/>
    <w:rsid w:val="00517167"/>
    <w:rsid w:val="0051750E"/>
    <w:rsid w:val="00517B33"/>
    <w:rsid w:val="00517CA5"/>
    <w:rsid w:val="0052376C"/>
    <w:rsid w:val="00524ED1"/>
    <w:rsid w:val="00526635"/>
    <w:rsid w:val="00526E29"/>
    <w:rsid w:val="00530F1C"/>
    <w:rsid w:val="00532012"/>
    <w:rsid w:val="005337DD"/>
    <w:rsid w:val="00533A4B"/>
    <w:rsid w:val="00533F3E"/>
    <w:rsid w:val="00534143"/>
    <w:rsid w:val="00534E5D"/>
    <w:rsid w:val="00534E62"/>
    <w:rsid w:val="005363E8"/>
    <w:rsid w:val="0053754A"/>
    <w:rsid w:val="00537969"/>
    <w:rsid w:val="00537AD5"/>
    <w:rsid w:val="00537D94"/>
    <w:rsid w:val="005401DC"/>
    <w:rsid w:val="00540949"/>
    <w:rsid w:val="005413F8"/>
    <w:rsid w:val="0054216E"/>
    <w:rsid w:val="00542903"/>
    <w:rsid w:val="005435AB"/>
    <w:rsid w:val="00543D9C"/>
    <w:rsid w:val="00545750"/>
    <w:rsid w:val="0054600B"/>
    <w:rsid w:val="00546496"/>
    <w:rsid w:val="0054789C"/>
    <w:rsid w:val="00547BF0"/>
    <w:rsid w:val="0055007B"/>
    <w:rsid w:val="00551AD0"/>
    <w:rsid w:val="00552699"/>
    <w:rsid w:val="00552B9B"/>
    <w:rsid w:val="0055368A"/>
    <w:rsid w:val="00554DA5"/>
    <w:rsid w:val="005557A7"/>
    <w:rsid w:val="005562FC"/>
    <w:rsid w:val="00556C5C"/>
    <w:rsid w:val="0055707B"/>
    <w:rsid w:val="00557260"/>
    <w:rsid w:val="0055749A"/>
    <w:rsid w:val="00560367"/>
    <w:rsid w:val="00562F2C"/>
    <w:rsid w:val="00564FDD"/>
    <w:rsid w:val="005669B1"/>
    <w:rsid w:val="005671B4"/>
    <w:rsid w:val="005711B7"/>
    <w:rsid w:val="00572FF6"/>
    <w:rsid w:val="00573154"/>
    <w:rsid w:val="005745AD"/>
    <w:rsid w:val="005747DB"/>
    <w:rsid w:val="00574EDF"/>
    <w:rsid w:val="00575103"/>
    <w:rsid w:val="0057520B"/>
    <w:rsid w:val="00576011"/>
    <w:rsid w:val="0057605C"/>
    <w:rsid w:val="00576209"/>
    <w:rsid w:val="00576331"/>
    <w:rsid w:val="00576E0B"/>
    <w:rsid w:val="0057756F"/>
    <w:rsid w:val="005779BB"/>
    <w:rsid w:val="00577D98"/>
    <w:rsid w:val="0058045F"/>
    <w:rsid w:val="00581516"/>
    <w:rsid w:val="00581EE9"/>
    <w:rsid w:val="00582178"/>
    <w:rsid w:val="00582354"/>
    <w:rsid w:val="00583A6B"/>
    <w:rsid w:val="00583B47"/>
    <w:rsid w:val="00583CD9"/>
    <w:rsid w:val="00585214"/>
    <w:rsid w:val="0058542A"/>
    <w:rsid w:val="0058583D"/>
    <w:rsid w:val="005862A5"/>
    <w:rsid w:val="00586B81"/>
    <w:rsid w:val="00587731"/>
    <w:rsid w:val="005877B3"/>
    <w:rsid w:val="00587842"/>
    <w:rsid w:val="00590D2B"/>
    <w:rsid w:val="005916D7"/>
    <w:rsid w:val="00593342"/>
    <w:rsid w:val="00593B11"/>
    <w:rsid w:val="00593F71"/>
    <w:rsid w:val="00594A82"/>
    <w:rsid w:val="00594ACB"/>
    <w:rsid w:val="00596E8D"/>
    <w:rsid w:val="00596FF0"/>
    <w:rsid w:val="005A0D3F"/>
    <w:rsid w:val="005A0E8E"/>
    <w:rsid w:val="005A11A8"/>
    <w:rsid w:val="005A2F1E"/>
    <w:rsid w:val="005A39BB"/>
    <w:rsid w:val="005A427F"/>
    <w:rsid w:val="005A4300"/>
    <w:rsid w:val="005A526E"/>
    <w:rsid w:val="005A56D3"/>
    <w:rsid w:val="005A6747"/>
    <w:rsid w:val="005A6B1C"/>
    <w:rsid w:val="005B1ED1"/>
    <w:rsid w:val="005B3D3E"/>
    <w:rsid w:val="005B3F87"/>
    <w:rsid w:val="005B4030"/>
    <w:rsid w:val="005B4FB3"/>
    <w:rsid w:val="005B548F"/>
    <w:rsid w:val="005B6720"/>
    <w:rsid w:val="005B71A8"/>
    <w:rsid w:val="005C00CB"/>
    <w:rsid w:val="005C13E0"/>
    <w:rsid w:val="005C1452"/>
    <w:rsid w:val="005C2D20"/>
    <w:rsid w:val="005C4C5B"/>
    <w:rsid w:val="005C4E93"/>
    <w:rsid w:val="005C546B"/>
    <w:rsid w:val="005C5A4F"/>
    <w:rsid w:val="005C7732"/>
    <w:rsid w:val="005D1010"/>
    <w:rsid w:val="005D12F5"/>
    <w:rsid w:val="005D22DF"/>
    <w:rsid w:val="005D352E"/>
    <w:rsid w:val="005D63E7"/>
    <w:rsid w:val="005D6461"/>
    <w:rsid w:val="005D71E9"/>
    <w:rsid w:val="005E04E8"/>
    <w:rsid w:val="005E0C00"/>
    <w:rsid w:val="005E168F"/>
    <w:rsid w:val="005E1896"/>
    <w:rsid w:val="005E1CCB"/>
    <w:rsid w:val="005E1DF0"/>
    <w:rsid w:val="005E240A"/>
    <w:rsid w:val="005E2526"/>
    <w:rsid w:val="005E2ACD"/>
    <w:rsid w:val="005E3129"/>
    <w:rsid w:val="005E3559"/>
    <w:rsid w:val="005E5306"/>
    <w:rsid w:val="005E5DB7"/>
    <w:rsid w:val="005E65D1"/>
    <w:rsid w:val="005E790A"/>
    <w:rsid w:val="005E7B0C"/>
    <w:rsid w:val="005F05AE"/>
    <w:rsid w:val="005F07EE"/>
    <w:rsid w:val="005F1508"/>
    <w:rsid w:val="005F1B66"/>
    <w:rsid w:val="005F2855"/>
    <w:rsid w:val="005F3D78"/>
    <w:rsid w:val="005F41DF"/>
    <w:rsid w:val="005F474F"/>
    <w:rsid w:val="005F4BAF"/>
    <w:rsid w:val="005F53A7"/>
    <w:rsid w:val="005F5A46"/>
    <w:rsid w:val="005F7ABD"/>
    <w:rsid w:val="005F7E34"/>
    <w:rsid w:val="006000C3"/>
    <w:rsid w:val="00600332"/>
    <w:rsid w:val="00600899"/>
    <w:rsid w:val="00602120"/>
    <w:rsid w:val="0060324E"/>
    <w:rsid w:val="006033C1"/>
    <w:rsid w:val="00603918"/>
    <w:rsid w:val="00604793"/>
    <w:rsid w:val="00604B9F"/>
    <w:rsid w:val="00605FCA"/>
    <w:rsid w:val="00606FA4"/>
    <w:rsid w:val="006075E2"/>
    <w:rsid w:val="006100C2"/>
    <w:rsid w:val="00610684"/>
    <w:rsid w:val="00612642"/>
    <w:rsid w:val="00612784"/>
    <w:rsid w:val="00612873"/>
    <w:rsid w:val="00612CE7"/>
    <w:rsid w:val="006134A7"/>
    <w:rsid w:val="00613F2B"/>
    <w:rsid w:val="00614E2F"/>
    <w:rsid w:val="006152FB"/>
    <w:rsid w:val="00615FAF"/>
    <w:rsid w:val="00617745"/>
    <w:rsid w:val="00617944"/>
    <w:rsid w:val="00620D2D"/>
    <w:rsid w:val="00622A3D"/>
    <w:rsid w:val="00622D73"/>
    <w:rsid w:val="00622E61"/>
    <w:rsid w:val="0062346B"/>
    <w:rsid w:val="00623C77"/>
    <w:rsid w:val="00623CB5"/>
    <w:rsid w:val="00623E5D"/>
    <w:rsid w:val="00623F3C"/>
    <w:rsid w:val="006244B3"/>
    <w:rsid w:val="00626547"/>
    <w:rsid w:val="0062665F"/>
    <w:rsid w:val="00626695"/>
    <w:rsid w:val="00627356"/>
    <w:rsid w:val="006274EA"/>
    <w:rsid w:val="006275C6"/>
    <w:rsid w:val="0063079A"/>
    <w:rsid w:val="00632711"/>
    <w:rsid w:val="0063271C"/>
    <w:rsid w:val="00632B18"/>
    <w:rsid w:val="006338D6"/>
    <w:rsid w:val="00633D26"/>
    <w:rsid w:val="00633E49"/>
    <w:rsid w:val="00633ED6"/>
    <w:rsid w:val="00634210"/>
    <w:rsid w:val="00634254"/>
    <w:rsid w:val="00635054"/>
    <w:rsid w:val="00635723"/>
    <w:rsid w:val="00635DAA"/>
    <w:rsid w:val="00635EC2"/>
    <w:rsid w:val="0063605D"/>
    <w:rsid w:val="006376F6"/>
    <w:rsid w:val="00637E68"/>
    <w:rsid w:val="00637EB3"/>
    <w:rsid w:val="00640EA0"/>
    <w:rsid w:val="00641445"/>
    <w:rsid w:val="00641AC3"/>
    <w:rsid w:val="00641C25"/>
    <w:rsid w:val="006427CB"/>
    <w:rsid w:val="00642826"/>
    <w:rsid w:val="00642945"/>
    <w:rsid w:val="00642C00"/>
    <w:rsid w:val="0064320D"/>
    <w:rsid w:val="006437B3"/>
    <w:rsid w:val="00643B24"/>
    <w:rsid w:val="00643C36"/>
    <w:rsid w:val="006452F1"/>
    <w:rsid w:val="00645691"/>
    <w:rsid w:val="00645FC0"/>
    <w:rsid w:val="00646E3E"/>
    <w:rsid w:val="00650536"/>
    <w:rsid w:val="006507DC"/>
    <w:rsid w:val="00653A42"/>
    <w:rsid w:val="006540BD"/>
    <w:rsid w:val="006551E5"/>
    <w:rsid w:val="00656837"/>
    <w:rsid w:val="0065690C"/>
    <w:rsid w:val="006601A3"/>
    <w:rsid w:val="00661405"/>
    <w:rsid w:val="006614ED"/>
    <w:rsid w:val="00661AE2"/>
    <w:rsid w:val="00662FA2"/>
    <w:rsid w:val="00662FE7"/>
    <w:rsid w:val="0066367C"/>
    <w:rsid w:val="0066386C"/>
    <w:rsid w:val="00663920"/>
    <w:rsid w:val="00664B6B"/>
    <w:rsid w:val="0066521D"/>
    <w:rsid w:val="00665E74"/>
    <w:rsid w:val="00666FD3"/>
    <w:rsid w:val="006700C1"/>
    <w:rsid w:val="00670ABA"/>
    <w:rsid w:val="00670B59"/>
    <w:rsid w:val="006716DC"/>
    <w:rsid w:val="0067170B"/>
    <w:rsid w:val="0067184B"/>
    <w:rsid w:val="00671963"/>
    <w:rsid w:val="006719A9"/>
    <w:rsid w:val="00671A4C"/>
    <w:rsid w:val="00671AD2"/>
    <w:rsid w:val="00672F60"/>
    <w:rsid w:val="00673171"/>
    <w:rsid w:val="00673805"/>
    <w:rsid w:val="00674AEB"/>
    <w:rsid w:val="00675237"/>
    <w:rsid w:val="006756A9"/>
    <w:rsid w:val="00675A85"/>
    <w:rsid w:val="00676010"/>
    <w:rsid w:val="00676524"/>
    <w:rsid w:val="00676D2C"/>
    <w:rsid w:val="00677249"/>
    <w:rsid w:val="0067728F"/>
    <w:rsid w:val="00677B89"/>
    <w:rsid w:val="006815BB"/>
    <w:rsid w:val="0068305C"/>
    <w:rsid w:val="00683162"/>
    <w:rsid w:val="00685E9C"/>
    <w:rsid w:val="00687983"/>
    <w:rsid w:val="00687CDC"/>
    <w:rsid w:val="00687FB3"/>
    <w:rsid w:val="006902F7"/>
    <w:rsid w:val="00690345"/>
    <w:rsid w:val="00690723"/>
    <w:rsid w:val="00692190"/>
    <w:rsid w:val="006926D1"/>
    <w:rsid w:val="00692BAC"/>
    <w:rsid w:val="006937D3"/>
    <w:rsid w:val="00694046"/>
    <w:rsid w:val="00695463"/>
    <w:rsid w:val="0069572C"/>
    <w:rsid w:val="006960AF"/>
    <w:rsid w:val="0069632F"/>
    <w:rsid w:val="00696345"/>
    <w:rsid w:val="00696C44"/>
    <w:rsid w:val="00696E28"/>
    <w:rsid w:val="006A079A"/>
    <w:rsid w:val="006A0C67"/>
    <w:rsid w:val="006A11CB"/>
    <w:rsid w:val="006A16BB"/>
    <w:rsid w:val="006A2733"/>
    <w:rsid w:val="006A455A"/>
    <w:rsid w:val="006A4A0B"/>
    <w:rsid w:val="006A5E06"/>
    <w:rsid w:val="006A5E78"/>
    <w:rsid w:val="006A7204"/>
    <w:rsid w:val="006A7CE3"/>
    <w:rsid w:val="006B024E"/>
    <w:rsid w:val="006B0B51"/>
    <w:rsid w:val="006B0EBC"/>
    <w:rsid w:val="006B1365"/>
    <w:rsid w:val="006B17EC"/>
    <w:rsid w:val="006B1A9D"/>
    <w:rsid w:val="006B1E7F"/>
    <w:rsid w:val="006B27FD"/>
    <w:rsid w:val="006B2825"/>
    <w:rsid w:val="006B34BD"/>
    <w:rsid w:val="006B3EC3"/>
    <w:rsid w:val="006B56ED"/>
    <w:rsid w:val="006B57C4"/>
    <w:rsid w:val="006B791A"/>
    <w:rsid w:val="006B7961"/>
    <w:rsid w:val="006B7A47"/>
    <w:rsid w:val="006C0ACE"/>
    <w:rsid w:val="006C0C94"/>
    <w:rsid w:val="006C0E62"/>
    <w:rsid w:val="006C3284"/>
    <w:rsid w:val="006C3AE9"/>
    <w:rsid w:val="006C3CBF"/>
    <w:rsid w:val="006C5984"/>
    <w:rsid w:val="006C7D37"/>
    <w:rsid w:val="006D0926"/>
    <w:rsid w:val="006D10DF"/>
    <w:rsid w:val="006D13C6"/>
    <w:rsid w:val="006D2CC7"/>
    <w:rsid w:val="006D2FFF"/>
    <w:rsid w:val="006D4C6E"/>
    <w:rsid w:val="006D674D"/>
    <w:rsid w:val="006D6D4A"/>
    <w:rsid w:val="006E086A"/>
    <w:rsid w:val="006E1D59"/>
    <w:rsid w:val="006E42DC"/>
    <w:rsid w:val="006E540D"/>
    <w:rsid w:val="006E684F"/>
    <w:rsid w:val="006E6E00"/>
    <w:rsid w:val="006E6F9B"/>
    <w:rsid w:val="006E743F"/>
    <w:rsid w:val="006E7745"/>
    <w:rsid w:val="006E798A"/>
    <w:rsid w:val="006F006E"/>
    <w:rsid w:val="006F018C"/>
    <w:rsid w:val="006F0670"/>
    <w:rsid w:val="006F098F"/>
    <w:rsid w:val="006F1767"/>
    <w:rsid w:val="006F1DF9"/>
    <w:rsid w:val="006F1E74"/>
    <w:rsid w:val="006F364B"/>
    <w:rsid w:val="006F524B"/>
    <w:rsid w:val="006F562E"/>
    <w:rsid w:val="006F7136"/>
    <w:rsid w:val="006F7BE3"/>
    <w:rsid w:val="007000C7"/>
    <w:rsid w:val="00702018"/>
    <w:rsid w:val="00702600"/>
    <w:rsid w:val="00702D05"/>
    <w:rsid w:val="00703282"/>
    <w:rsid w:val="007032A1"/>
    <w:rsid w:val="007061D3"/>
    <w:rsid w:val="007063F5"/>
    <w:rsid w:val="007068AC"/>
    <w:rsid w:val="00706F14"/>
    <w:rsid w:val="007109A5"/>
    <w:rsid w:val="00711AB5"/>
    <w:rsid w:val="0071378A"/>
    <w:rsid w:val="00713C1E"/>
    <w:rsid w:val="007140FD"/>
    <w:rsid w:val="00715855"/>
    <w:rsid w:val="0071658B"/>
    <w:rsid w:val="00716CC0"/>
    <w:rsid w:val="007173FF"/>
    <w:rsid w:val="007201CE"/>
    <w:rsid w:val="007203B5"/>
    <w:rsid w:val="0072139E"/>
    <w:rsid w:val="00723041"/>
    <w:rsid w:val="0072332A"/>
    <w:rsid w:val="007233C5"/>
    <w:rsid w:val="00723A7C"/>
    <w:rsid w:val="00723C68"/>
    <w:rsid w:val="00724DA5"/>
    <w:rsid w:val="00725545"/>
    <w:rsid w:val="007259F7"/>
    <w:rsid w:val="00726AE4"/>
    <w:rsid w:val="00726CEB"/>
    <w:rsid w:val="007316D7"/>
    <w:rsid w:val="00731D35"/>
    <w:rsid w:val="00732C74"/>
    <w:rsid w:val="00732D8A"/>
    <w:rsid w:val="00733102"/>
    <w:rsid w:val="0073451B"/>
    <w:rsid w:val="00734EE4"/>
    <w:rsid w:val="00735338"/>
    <w:rsid w:val="00735389"/>
    <w:rsid w:val="00736660"/>
    <w:rsid w:val="00736683"/>
    <w:rsid w:val="00736F5F"/>
    <w:rsid w:val="00736FBF"/>
    <w:rsid w:val="00737601"/>
    <w:rsid w:val="00744E8C"/>
    <w:rsid w:val="00745C98"/>
    <w:rsid w:val="0074682C"/>
    <w:rsid w:val="00746C30"/>
    <w:rsid w:val="00747A70"/>
    <w:rsid w:val="00751F2F"/>
    <w:rsid w:val="0075257B"/>
    <w:rsid w:val="00753629"/>
    <w:rsid w:val="0075390B"/>
    <w:rsid w:val="00753ECC"/>
    <w:rsid w:val="00754B25"/>
    <w:rsid w:val="00754D27"/>
    <w:rsid w:val="00754F54"/>
    <w:rsid w:val="0075587A"/>
    <w:rsid w:val="007558A4"/>
    <w:rsid w:val="00755A6A"/>
    <w:rsid w:val="00756460"/>
    <w:rsid w:val="00756A01"/>
    <w:rsid w:val="00756B00"/>
    <w:rsid w:val="00757641"/>
    <w:rsid w:val="00757A1E"/>
    <w:rsid w:val="007608FA"/>
    <w:rsid w:val="0076226A"/>
    <w:rsid w:val="00762482"/>
    <w:rsid w:val="007629C1"/>
    <w:rsid w:val="00762C24"/>
    <w:rsid w:val="00762D0C"/>
    <w:rsid w:val="00762FE4"/>
    <w:rsid w:val="007631B9"/>
    <w:rsid w:val="0076496B"/>
    <w:rsid w:val="007652FE"/>
    <w:rsid w:val="00766369"/>
    <w:rsid w:val="007665DF"/>
    <w:rsid w:val="00766863"/>
    <w:rsid w:val="00767F30"/>
    <w:rsid w:val="00770C86"/>
    <w:rsid w:val="00771A43"/>
    <w:rsid w:val="00771B41"/>
    <w:rsid w:val="00771C91"/>
    <w:rsid w:val="0077417E"/>
    <w:rsid w:val="007747A7"/>
    <w:rsid w:val="00774C5F"/>
    <w:rsid w:val="00775C1A"/>
    <w:rsid w:val="00775EBF"/>
    <w:rsid w:val="0077751E"/>
    <w:rsid w:val="00777CE8"/>
    <w:rsid w:val="00780314"/>
    <w:rsid w:val="00780368"/>
    <w:rsid w:val="007810ED"/>
    <w:rsid w:val="007817D5"/>
    <w:rsid w:val="00781920"/>
    <w:rsid w:val="00781C4A"/>
    <w:rsid w:val="00781EDF"/>
    <w:rsid w:val="00782486"/>
    <w:rsid w:val="00782CDE"/>
    <w:rsid w:val="00783A5E"/>
    <w:rsid w:val="007849C6"/>
    <w:rsid w:val="00785B23"/>
    <w:rsid w:val="007866AC"/>
    <w:rsid w:val="0078672B"/>
    <w:rsid w:val="00786B47"/>
    <w:rsid w:val="00786C58"/>
    <w:rsid w:val="007873DE"/>
    <w:rsid w:val="007878E2"/>
    <w:rsid w:val="00787AC1"/>
    <w:rsid w:val="00791002"/>
    <w:rsid w:val="00791463"/>
    <w:rsid w:val="007924F0"/>
    <w:rsid w:val="0079262A"/>
    <w:rsid w:val="007926A7"/>
    <w:rsid w:val="00792A37"/>
    <w:rsid w:val="00792E5E"/>
    <w:rsid w:val="00792E82"/>
    <w:rsid w:val="00793CE0"/>
    <w:rsid w:val="0079411D"/>
    <w:rsid w:val="007948C8"/>
    <w:rsid w:val="00795374"/>
    <w:rsid w:val="00795AFB"/>
    <w:rsid w:val="0079736E"/>
    <w:rsid w:val="00797DA8"/>
    <w:rsid w:val="007A0914"/>
    <w:rsid w:val="007A0C97"/>
    <w:rsid w:val="007A0F63"/>
    <w:rsid w:val="007A1578"/>
    <w:rsid w:val="007A1581"/>
    <w:rsid w:val="007A1CAE"/>
    <w:rsid w:val="007A200C"/>
    <w:rsid w:val="007A25AA"/>
    <w:rsid w:val="007A3085"/>
    <w:rsid w:val="007A4063"/>
    <w:rsid w:val="007A52E7"/>
    <w:rsid w:val="007A54E7"/>
    <w:rsid w:val="007A5A2F"/>
    <w:rsid w:val="007A5EAC"/>
    <w:rsid w:val="007A649B"/>
    <w:rsid w:val="007A6F4B"/>
    <w:rsid w:val="007A716D"/>
    <w:rsid w:val="007B045B"/>
    <w:rsid w:val="007B0D1D"/>
    <w:rsid w:val="007B0FE9"/>
    <w:rsid w:val="007B157B"/>
    <w:rsid w:val="007B31B1"/>
    <w:rsid w:val="007B3734"/>
    <w:rsid w:val="007B3CED"/>
    <w:rsid w:val="007B517B"/>
    <w:rsid w:val="007B56D7"/>
    <w:rsid w:val="007B7A29"/>
    <w:rsid w:val="007B7BFF"/>
    <w:rsid w:val="007B7EBA"/>
    <w:rsid w:val="007C0484"/>
    <w:rsid w:val="007C04BC"/>
    <w:rsid w:val="007C10C5"/>
    <w:rsid w:val="007C1D6B"/>
    <w:rsid w:val="007C21A5"/>
    <w:rsid w:val="007C2531"/>
    <w:rsid w:val="007C2A18"/>
    <w:rsid w:val="007C31C8"/>
    <w:rsid w:val="007C3AE7"/>
    <w:rsid w:val="007C4D13"/>
    <w:rsid w:val="007C6CF4"/>
    <w:rsid w:val="007C7712"/>
    <w:rsid w:val="007C7AED"/>
    <w:rsid w:val="007D279E"/>
    <w:rsid w:val="007D2B64"/>
    <w:rsid w:val="007D2D32"/>
    <w:rsid w:val="007D4382"/>
    <w:rsid w:val="007D5BC4"/>
    <w:rsid w:val="007D5E14"/>
    <w:rsid w:val="007D62C9"/>
    <w:rsid w:val="007D6641"/>
    <w:rsid w:val="007D725B"/>
    <w:rsid w:val="007D7310"/>
    <w:rsid w:val="007E0026"/>
    <w:rsid w:val="007E1090"/>
    <w:rsid w:val="007E2481"/>
    <w:rsid w:val="007E3135"/>
    <w:rsid w:val="007E33B6"/>
    <w:rsid w:val="007E3FCD"/>
    <w:rsid w:val="007E4527"/>
    <w:rsid w:val="007E4A84"/>
    <w:rsid w:val="007E551D"/>
    <w:rsid w:val="007E78A2"/>
    <w:rsid w:val="007F0EA1"/>
    <w:rsid w:val="007F2757"/>
    <w:rsid w:val="007F303D"/>
    <w:rsid w:val="007F3AAE"/>
    <w:rsid w:val="007F45A7"/>
    <w:rsid w:val="007F4B45"/>
    <w:rsid w:val="007F5CDF"/>
    <w:rsid w:val="007F60FE"/>
    <w:rsid w:val="007F6816"/>
    <w:rsid w:val="007F6C78"/>
    <w:rsid w:val="007F6E12"/>
    <w:rsid w:val="007F7050"/>
    <w:rsid w:val="007F72EF"/>
    <w:rsid w:val="007F7451"/>
    <w:rsid w:val="007F7FEE"/>
    <w:rsid w:val="008009DB"/>
    <w:rsid w:val="00800D85"/>
    <w:rsid w:val="00800F72"/>
    <w:rsid w:val="00801541"/>
    <w:rsid w:val="00801C80"/>
    <w:rsid w:val="00801C88"/>
    <w:rsid w:val="00804338"/>
    <w:rsid w:val="00805545"/>
    <w:rsid w:val="00805706"/>
    <w:rsid w:val="008058B8"/>
    <w:rsid w:val="008066CA"/>
    <w:rsid w:val="00810BBF"/>
    <w:rsid w:val="00812DEB"/>
    <w:rsid w:val="00813040"/>
    <w:rsid w:val="00813099"/>
    <w:rsid w:val="0081509D"/>
    <w:rsid w:val="00816BAF"/>
    <w:rsid w:val="00816BB4"/>
    <w:rsid w:val="00820809"/>
    <w:rsid w:val="00820FD5"/>
    <w:rsid w:val="00821282"/>
    <w:rsid w:val="00822602"/>
    <w:rsid w:val="00822614"/>
    <w:rsid w:val="008229CA"/>
    <w:rsid w:val="0082337D"/>
    <w:rsid w:val="00823891"/>
    <w:rsid w:val="00823C31"/>
    <w:rsid w:val="008242DC"/>
    <w:rsid w:val="008245DF"/>
    <w:rsid w:val="00824CC3"/>
    <w:rsid w:val="00826067"/>
    <w:rsid w:val="00826B37"/>
    <w:rsid w:val="00826EDE"/>
    <w:rsid w:val="0083199D"/>
    <w:rsid w:val="0083248A"/>
    <w:rsid w:val="0083273D"/>
    <w:rsid w:val="0083468C"/>
    <w:rsid w:val="00834897"/>
    <w:rsid w:val="008357D2"/>
    <w:rsid w:val="00837709"/>
    <w:rsid w:val="008403B9"/>
    <w:rsid w:val="00840B9C"/>
    <w:rsid w:val="00840E08"/>
    <w:rsid w:val="00841AD5"/>
    <w:rsid w:val="00842EFE"/>
    <w:rsid w:val="0084390C"/>
    <w:rsid w:val="00844147"/>
    <w:rsid w:val="008447F4"/>
    <w:rsid w:val="00844BD2"/>
    <w:rsid w:val="00845774"/>
    <w:rsid w:val="00845A74"/>
    <w:rsid w:val="008463E0"/>
    <w:rsid w:val="00851645"/>
    <w:rsid w:val="00851C87"/>
    <w:rsid w:val="008521F3"/>
    <w:rsid w:val="00852C2E"/>
    <w:rsid w:val="00853014"/>
    <w:rsid w:val="00854689"/>
    <w:rsid w:val="008546B8"/>
    <w:rsid w:val="0085493A"/>
    <w:rsid w:val="00854985"/>
    <w:rsid w:val="00854E96"/>
    <w:rsid w:val="0085501A"/>
    <w:rsid w:val="008566B4"/>
    <w:rsid w:val="008569C3"/>
    <w:rsid w:val="0085723F"/>
    <w:rsid w:val="0085741F"/>
    <w:rsid w:val="008574BB"/>
    <w:rsid w:val="00857AD4"/>
    <w:rsid w:val="00860426"/>
    <w:rsid w:val="00860D05"/>
    <w:rsid w:val="0086111C"/>
    <w:rsid w:val="00862F69"/>
    <w:rsid w:val="00862F95"/>
    <w:rsid w:val="00865D87"/>
    <w:rsid w:val="008660D8"/>
    <w:rsid w:val="0086669C"/>
    <w:rsid w:val="00867518"/>
    <w:rsid w:val="0086769A"/>
    <w:rsid w:val="00871DC1"/>
    <w:rsid w:val="0087243B"/>
    <w:rsid w:val="008730D8"/>
    <w:rsid w:val="00876628"/>
    <w:rsid w:val="00876C90"/>
    <w:rsid w:val="00876FEC"/>
    <w:rsid w:val="00880196"/>
    <w:rsid w:val="00880FBE"/>
    <w:rsid w:val="00881DED"/>
    <w:rsid w:val="008820BC"/>
    <w:rsid w:val="0088233A"/>
    <w:rsid w:val="0088246B"/>
    <w:rsid w:val="00883437"/>
    <w:rsid w:val="00883B79"/>
    <w:rsid w:val="008843DF"/>
    <w:rsid w:val="00886CD2"/>
    <w:rsid w:val="00886D12"/>
    <w:rsid w:val="00887B5E"/>
    <w:rsid w:val="008901D4"/>
    <w:rsid w:val="008916C6"/>
    <w:rsid w:val="00891BB7"/>
    <w:rsid w:val="00892C6E"/>
    <w:rsid w:val="008930A2"/>
    <w:rsid w:val="0089329F"/>
    <w:rsid w:val="00894808"/>
    <w:rsid w:val="00894B28"/>
    <w:rsid w:val="00895BCA"/>
    <w:rsid w:val="00896356"/>
    <w:rsid w:val="0089696C"/>
    <w:rsid w:val="008969B3"/>
    <w:rsid w:val="00896F01"/>
    <w:rsid w:val="0089745C"/>
    <w:rsid w:val="008A0177"/>
    <w:rsid w:val="008A0282"/>
    <w:rsid w:val="008A0D43"/>
    <w:rsid w:val="008A0F69"/>
    <w:rsid w:val="008A1020"/>
    <w:rsid w:val="008A1BE8"/>
    <w:rsid w:val="008A1C52"/>
    <w:rsid w:val="008A230B"/>
    <w:rsid w:val="008A47B8"/>
    <w:rsid w:val="008A598E"/>
    <w:rsid w:val="008A66C3"/>
    <w:rsid w:val="008A6FAE"/>
    <w:rsid w:val="008A6FE1"/>
    <w:rsid w:val="008A7676"/>
    <w:rsid w:val="008A7F57"/>
    <w:rsid w:val="008B1A5F"/>
    <w:rsid w:val="008B243A"/>
    <w:rsid w:val="008B2FC3"/>
    <w:rsid w:val="008B3043"/>
    <w:rsid w:val="008B3585"/>
    <w:rsid w:val="008B3E9B"/>
    <w:rsid w:val="008B4860"/>
    <w:rsid w:val="008B5D00"/>
    <w:rsid w:val="008B5DF2"/>
    <w:rsid w:val="008B69AE"/>
    <w:rsid w:val="008B727E"/>
    <w:rsid w:val="008B7961"/>
    <w:rsid w:val="008C008D"/>
    <w:rsid w:val="008C0209"/>
    <w:rsid w:val="008C12E8"/>
    <w:rsid w:val="008C13F4"/>
    <w:rsid w:val="008C2114"/>
    <w:rsid w:val="008C2492"/>
    <w:rsid w:val="008C3A2F"/>
    <w:rsid w:val="008C3DBA"/>
    <w:rsid w:val="008C418A"/>
    <w:rsid w:val="008C54D7"/>
    <w:rsid w:val="008C5C33"/>
    <w:rsid w:val="008C5CE3"/>
    <w:rsid w:val="008C61BC"/>
    <w:rsid w:val="008C6BC2"/>
    <w:rsid w:val="008C6D10"/>
    <w:rsid w:val="008C72AC"/>
    <w:rsid w:val="008C790B"/>
    <w:rsid w:val="008D088D"/>
    <w:rsid w:val="008D09C1"/>
    <w:rsid w:val="008D16E4"/>
    <w:rsid w:val="008D1BBC"/>
    <w:rsid w:val="008D2685"/>
    <w:rsid w:val="008D272D"/>
    <w:rsid w:val="008D38F9"/>
    <w:rsid w:val="008D3E5D"/>
    <w:rsid w:val="008D41CD"/>
    <w:rsid w:val="008D4232"/>
    <w:rsid w:val="008D501D"/>
    <w:rsid w:val="008D6165"/>
    <w:rsid w:val="008D64DF"/>
    <w:rsid w:val="008D69A0"/>
    <w:rsid w:val="008E005B"/>
    <w:rsid w:val="008E00C4"/>
    <w:rsid w:val="008E024F"/>
    <w:rsid w:val="008E07E4"/>
    <w:rsid w:val="008E0B6A"/>
    <w:rsid w:val="008E154F"/>
    <w:rsid w:val="008E2B87"/>
    <w:rsid w:val="008E2C8C"/>
    <w:rsid w:val="008E2EAD"/>
    <w:rsid w:val="008E43DB"/>
    <w:rsid w:val="008E557E"/>
    <w:rsid w:val="008E64DD"/>
    <w:rsid w:val="008E7787"/>
    <w:rsid w:val="008F1D40"/>
    <w:rsid w:val="008F266B"/>
    <w:rsid w:val="008F3692"/>
    <w:rsid w:val="008F4975"/>
    <w:rsid w:val="00901DC4"/>
    <w:rsid w:val="0090308B"/>
    <w:rsid w:val="0090477C"/>
    <w:rsid w:val="00905BBE"/>
    <w:rsid w:val="00905EF5"/>
    <w:rsid w:val="00906474"/>
    <w:rsid w:val="00906804"/>
    <w:rsid w:val="00906AE1"/>
    <w:rsid w:val="009071F7"/>
    <w:rsid w:val="009072AC"/>
    <w:rsid w:val="00907714"/>
    <w:rsid w:val="00907C89"/>
    <w:rsid w:val="009124B2"/>
    <w:rsid w:val="00912BA5"/>
    <w:rsid w:val="009138D7"/>
    <w:rsid w:val="00914E44"/>
    <w:rsid w:val="00915065"/>
    <w:rsid w:val="0091557C"/>
    <w:rsid w:val="00916E3E"/>
    <w:rsid w:val="00916EFD"/>
    <w:rsid w:val="0091744B"/>
    <w:rsid w:val="00917552"/>
    <w:rsid w:val="00917E19"/>
    <w:rsid w:val="00920406"/>
    <w:rsid w:val="00920650"/>
    <w:rsid w:val="00920AF3"/>
    <w:rsid w:val="009211D0"/>
    <w:rsid w:val="0092193C"/>
    <w:rsid w:val="009246BE"/>
    <w:rsid w:val="00925501"/>
    <w:rsid w:val="009275C1"/>
    <w:rsid w:val="009276C8"/>
    <w:rsid w:val="00927CE5"/>
    <w:rsid w:val="00930793"/>
    <w:rsid w:val="009311B5"/>
    <w:rsid w:val="0093184A"/>
    <w:rsid w:val="00932A62"/>
    <w:rsid w:val="00933D07"/>
    <w:rsid w:val="00935C0C"/>
    <w:rsid w:val="009362A7"/>
    <w:rsid w:val="00936D49"/>
    <w:rsid w:val="009376B5"/>
    <w:rsid w:val="00940276"/>
    <w:rsid w:val="009404FF"/>
    <w:rsid w:val="009405A8"/>
    <w:rsid w:val="00940E8D"/>
    <w:rsid w:val="00941548"/>
    <w:rsid w:val="009416C2"/>
    <w:rsid w:val="00941877"/>
    <w:rsid w:val="00941878"/>
    <w:rsid w:val="00941B3D"/>
    <w:rsid w:val="00942C66"/>
    <w:rsid w:val="00942CAD"/>
    <w:rsid w:val="009433EB"/>
    <w:rsid w:val="009434B8"/>
    <w:rsid w:val="00943EE1"/>
    <w:rsid w:val="00944862"/>
    <w:rsid w:val="00944925"/>
    <w:rsid w:val="00945400"/>
    <w:rsid w:val="0094565C"/>
    <w:rsid w:val="00950CD0"/>
    <w:rsid w:val="00951BAF"/>
    <w:rsid w:val="009530ED"/>
    <w:rsid w:val="00953724"/>
    <w:rsid w:val="00953E41"/>
    <w:rsid w:val="00954AF1"/>
    <w:rsid w:val="00955077"/>
    <w:rsid w:val="009550B8"/>
    <w:rsid w:val="0095695B"/>
    <w:rsid w:val="00957076"/>
    <w:rsid w:val="009578DC"/>
    <w:rsid w:val="00960778"/>
    <w:rsid w:val="00961174"/>
    <w:rsid w:val="00961760"/>
    <w:rsid w:val="0096177F"/>
    <w:rsid w:val="0096221E"/>
    <w:rsid w:val="00965DD8"/>
    <w:rsid w:val="00966161"/>
    <w:rsid w:val="00967CB3"/>
    <w:rsid w:val="009705FE"/>
    <w:rsid w:val="009708F1"/>
    <w:rsid w:val="00970991"/>
    <w:rsid w:val="0097122D"/>
    <w:rsid w:val="00971CDB"/>
    <w:rsid w:val="00973360"/>
    <w:rsid w:val="009738A7"/>
    <w:rsid w:val="00973957"/>
    <w:rsid w:val="00973BBC"/>
    <w:rsid w:val="0097423F"/>
    <w:rsid w:val="00974D21"/>
    <w:rsid w:val="0097560B"/>
    <w:rsid w:val="00975E92"/>
    <w:rsid w:val="00977DA5"/>
    <w:rsid w:val="00977E7E"/>
    <w:rsid w:val="00980A32"/>
    <w:rsid w:val="00980AC2"/>
    <w:rsid w:val="00980E53"/>
    <w:rsid w:val="009819FE"/>
    <w:rsid w:val="00981A36"/>
    <w:rsid w:val="0098318A"/>
    <w:rsid w:val="009836CF"/>
    <w:rsid w:val="00983F48"/>
    <w:rsid w:val="00983F65"/>
    <w:rsid w:val="00983FF5"/>
    <w:rsid w:val="0098420A"/>
    <w:rsid w:val="009844C4"/>
    <w:rsid w:val="0098510E"/>
    <w:rsid w:val="0098511E"/>
    <w:rsid w:val="00985219"/>
    <w:rsid w:val="0098557B"/>
    <w:rsid w:val="00985B77"/>
    <w:rsid w:val="00986791"/>
    <w:rsid w:val="00986CC0"/>
    <w:rsid w:val="00987DA9"/>
    <w:rsid w:val="009908A2"/>
    <w:rsid w:val="00991640"/>
    <w:rsid w:val="00992EEB"/>
    <w:rsid w:val="0099353D"/>
    <w:rsid w:val="00993901"/>
    <w:rsid w:val="00993D8C"/>
    <w:rsid w:val="009945B3"/>
    <w:rsid w:val="00995371"/>
    <w:rsid w:val="0099615F"/>
    <w:rsid w:val="00996323"/>
    <w:rsid w:val="00996895"/>
    <w:rsid w:val="009A0925"/>
    <w:rsid w:val="009A1C9B"/>
    <w:rsid w:val="009A22DD"/>
    <w:rsid w:val="009A4E8A"/>
    <w:rsid w:val="009A5592"/>
    <w:rsid w:val="009A621E"/>
    <w:rsid w:val="009A6775"/>
    <w:rsid w:val="009A6F25"/>
    <w:rsid w:val="009A6F4F"/>
    <w:rsid w:val="009A737C"/>
    <w:rsid w:val="009A77F1"/>
    <w:rsid w:val="009A795D"/>
    <w:rsid w:val="009B173D"/>
    <w:rsid w:val="009B1893"/>
    <w:rsid w:val="009B2E13"/>
    <w:rsid w:val="009B2F2B"/>
    <w:rsid w:val="009B46DA"/>
    <w:rsid w:val="009B677D"/>
    <w:rsid w:val="009B7068"/>
    <w:rsid w:val="009B7677"/>
    <w:rsid w:val="009B7987"/>
    <w:rsid w:val="009C0EA0"/>
    <w:rsid w:val="009C36A2"/>
    <w:rsid w:val="009C5268"/>
    <w:rsid w:val="009C5E27"/>
    <w:rsid w:val="009C639A"/>
    <w:rsid w:val="009C6994"/>
    <w:rsid w:val="009C6A22"/>
    <w:rsid w:val="009C6FC1"/>
    <w:rsid w:val="009D0263"/>
    <w:rsid w:val="009D10A7"/>
    <w:rsid w:val="009D140C"/>
    <w:rsid w:val="009D1F0F"/>
    <w:rsid w:val="009D2C8E"/>
    <w:rsid w:val="009D2EB1"/>
    <w:rsid w:val="009D3115"/>
    <w:rsid w:val="009D48D5"/>
    <w:rsid w:val="009D48E4"/>
    <w:rsid w:val="009D5067"/>
    <w:rsid w:val="009D704D"/>
    <w:rsid w:val="009D74F1"/>
    <w:rsid w:val="009D7F00"/>
    <w:rsid w:val="009E06F1"/>
    <w:rsid w:val="009E0A5B"/>
    <w:rsid w:val="009E0CCC"/>
    <w:rsid w:val="009E0DA3"/>
    <w:rsid w:val="009E133C"/>
    <w:rsid w:val="009E13B1"/>
    <w:rsid w:val="009E1ED6"/>
    <w:rsid w:val="009E2835"/>
    <w:rsid w:val="009E3351"/>
    <w:rsid w:val="009E3F50"/>
    <w:rsid w:val="009E46DF"/>
    <w:rsid w:val="009E4CF3"/>
    <w:rsid w:val="009E4DF1"/>
    <w:rsid w:val="009E515C"/>
    <w:rsid w:val="009E5A90"/>
    <w:rsid w:val="009E5AE7"/>
    <w:rsid w:val="009E7706"/>
    <w:rsid w:val="009E7AD7"/>
    <w:rsid w:val="009F09A2"/>
    <w:rsid w:val="009F0D43"/>
    <w:rsid w:val="009F0E64"/>
    <w:rsid w:val="009F0E7C"/>
    <w:rsid w:val="009F1620"/>
    <w:rsid w:val="009F1658"/>
    <w:rsid w:val="009F1D0E"/>
    <w:rsid w:val="009F228F"/>
    <w:rsid w:val="009F32DD"/>
    <w:rsid w:val="009F4F60"/>
    <w:rsid w:val="009F6082"/>
    <w:rsid w:val="009F6B97"/>
    <w:rsid w:val="009F6FFE"/>
    <w:rsid w:val="009F76A9"/>
    <w:rsid w:val="00A00FF2"/>
    <w:rsid w:val="00A01EC1"/>
    <w:rsid w:val="00A0453A"/>
    <w:rsid w:val="00A054A4"/>
    <w:rsid w:val="00A06C35"/>
    <w:rsid w:val="00A07368"/>
    <w:rsid w:val="00A074E4"/>
    <w:rsid w:val="00A075FA"/>
    <w:rsid w:val="00A11837"/>
    <w:rsid w:val="00A118D5"/>
    <w:rsid w:val="00A11B28"/>
    <w:rsid w:val="00A1212E"/>
    <w:rsid w:val="00A123D3"/>
    <w:rsid w:val="00A12A1B"/>
    <w:rsid w:val="00A12D7A"/>
    <w:rsid w:val="00A13E1E"/>
    <w:rsid w:val="00A1478E"/>
    <w:rsid w:val="00A14D07"/>
    <w:rsid w:val="00A14EB4"/>
    <w:rsid w:val="00A1511C"/>
    <w:rsid w:val="00A15361"/>
    <w:rsid w:val="00A16072"/>
    <w:rsid w:val="00A162F0"/>
    <w:rsid w:val="00A16CFA"/>
    <w:rsid w:val="00A17954"/>
    <w:rsid w:val="00A179F8"/>
    <w:rsid w:val="00A20297"/>
    <w:rsid w:val="00A20F75"/>
    <w:rsid w:val="00A21E28"/>
    <w:rsid w:val="00A22124"/>
    <w:rsid w:val="00A222D0"/>
    <w:rsid w:val="00A22535"/>
    <w:rsid w:val="00A30F0B"/>
    <w:rsid w:val="00A310BC"/>
    <w:rsid w:val="00A319C1"/>
    <w:rsid w:val="00A31CEB"/>
    <w:rsid w:val="00A321B5"/>
    <w:rsid w:val="00A334B7"/>
    <w:rsid w:val="00A337E2"/>
    <w:rsid w:val="00A34FAF"/>
    <w:rsid w:val="00A36F47"/>
    <w:rsid w:val="00A379B9"/>
    <w:rsid w:val="00A400E2"/>
    <w:rsid w:val="00A40ACE"/>
    <w:rsid w:val="00A40F55"/>
    <w:rsid w:val="00A4112E"/>
    <w:rsid w:val="00A4222B"/>
    <w:rsid w:val="00A427F9"/>
    <w:rsid w:val="00A42885"/>
    <w:rsid w:val="00A42C5E"/>
    <w:rsid w:val="00A4587A"/>
    <w:rsid w:val="00A470AC"/>
    <w:rsid w:val="00A4724E"/>
    <w:rsid w:val="00A50555"/>
    <w:rsid w:val="00A5129F"/>
    <w:rsid w:val="00A52298"/>
    <w:rsid w:val="00A5260C"/>
    <w:rsid w:val="00A5433D"/>
    <w:rsid w:val="00A54988"/>
    <w:rsid w:val="00A54ADA"/>
    <w:rsid w:val="00A55A96"/>
    <w:rsid w:val="00A55BE9"/>
    <w:rsid w:val="00A562EC"/>
    <w:rsid w:val="00A56E93"/>
    <w:rsid w:val="00A56F5C"/>
    <w:rsid w:val="00A5761C"/>
    <w:rsid w:val="00A57BFD"/>
    <w:rsid w:val="00A603F3"/>
    <w:rsid w:val="00A61B8E"/>
    <w:rsid w:val="00A63410"/>
    <w:rsid w:val="00A64A01"/>
    <w:rsid w:val="00A64C24"/>
    <w:rsid w:val="00A65F72"/>
    <w:rsid w:val="00A66053"/>
    <w:rsid w:val="00A67AFE"/>
    <w:rsid w:val="00A7049F"/>
    <w:rsid w:val="00A70AB5"/>
    <w:rsid w:val="00A714BD"/>
    <w:rsid w:val="00A71CFF"/>
    <w:rsid w:val="00A741DF"/>
    <w:rsid w:val="00A74ED7"/>
    <w:rsid w:val="00A75548"/>
    <w:rsid w:val="00A7554D"/>
    <w:rsid w:val="00A76253"/>
    <w:rsid w:val="00A774D5"/>
    <w:rsid w:val="00A81A6F"/>
    <w:rsid w:val="00A850DD"/>
    <w:rsid w:val="00A85C54"/>
    <w:rsid w:val="00A86562"/>
    <w:rsid w:val="00A9135F"/>
    <w:rsid w:val="00A93547"/>
    <w:rsid w:val="00A939F8"/>
    <w:rsid w:val="00A94A2E"/>
    <w:rsid w:val="00A958D5"/>
    <w:rsid w:val="00A95A55"/>
    <w:rsid w:val="00A9600E"/>
    <w:rsid w:val="00A96C14"/>
    <w:rsid w:val="00A97B95"/>
    <w:rsid w:val="00A97F52"/>
    <w:rsid w:val="00AA0469"/>
    <w:rsid w:val="00AA1081"/>
    <w:rsid w:val="00AA1D52"/>
    <w:rsid w:val="00AA21F2"/>
    <w:rsid w:val="00AA2887"/>
    <w:rsid w:val="00AA2E1C"/>
    <w:rsid w:val="00AA594B"/>
    <w:rsid w:val="00AA681A"/>
    <w:rsid w:val="00AA6CED"/>
    <w:rsid w:val="00AA7085"/>
    <w:rsid w:val="00AA7484"/>
    <w:rsid w:val="00AB10E8"/>
    <w:rsid w:val="00AB2055"/>
    <w:rsid w:val="00AB2A26"/>
    <w:rsid w:val="00AB3FC7"/>
    <w:rsid w:val="00AB44A1"/>
    <w:rsid w:val="00AB4CD2"/>
    <w:rsid w:val="00AB655A"/>
    <w:rsid w:val="00AC042D"/>
    <w:rsid w:val="00AC1473"/>
    <w:rsid w:val="00AC16D6"/>
    <w:rsid w:val="00AC1BD6"/>
    <w:rsid w:val="00AC30A3"/>
    <w:rsid w:val="00AC3180"/>
    <w:rsid w:val="00AC4A12"/>
    <w:rsid w:val="00AC4B74"/>
    <w:rsid w:val="00AC53FA"/>
    <w:rsid w:val="00AC5443"/>
    <w:rsid w:val="00AC5B1C"/>
    <w:rsid w:val="00AC5C47"/>
    <w:rsid w:val="00AC62D3"/>
    <w:rsid w:val="00AD0284"/>
    <w:rsid w:val="00AD0C75"/>
    <w:rsid w:val="00AD136C"/>
    <w:rsid w:val="00AD19A8"/>
    <w:rsid w:val="00AD2B6A"/>
    <w:rsid w:val="00AD2B81"/>
    <w:rsid w:val="00AD2BE7"/>
    <w:rsid w:val="00AD3358"/>
    <w:rsid w:val="00AD472F"/>
    <w:rsid w:val="00AD4C2F"/>
    <w:rsid w:val="00AD59B1"/>
    <w:rsid w:val="00AD5BC1"/>
    <w:rsid w:val="00AE00B7"/>
    <w:rsid w:val="00AE1359"/>
    <w:rsid w:val="00AE1EA9"/>
    <w:rsid w:val="00AE21FC"/>
    <w:rsid w:val="00AE2F1B"/>
    <w:rsid w:val="00AE32FC"/>
    <w:rsid w:val="00AE35C8"/>
    <w:rsid w:val="00AE4980"/>
    <w:rsid w:val="00AF0404"/>
    <w:rsid w:val="00AF04EE"/>
    <w:rsid w:val="00AF2E41"/>
    <w:rsid w:val="00AF343C"/>
    <w:rsid w:val="00AF3FF1"/>
    <w:rsid w:val="00AF4106"/>
    <w:rsid w:val="00AF5509"/>
    <w:rsid w:val="00AF732A"/>
    <w:rsid w:val="00AF78A8"/>
    <w:rsid w:val="00B007D0"/>
    <w:rsid w:val="00B00DC6"/>
    <w:rsid w:val="00B01293"/>
    <w:rsid w:val="00B01363"/>
    <w:rsid w:val="00B01F9A"/>
    <w:rsid w:val="00B02E62"/>
    <w:rsid w:val="00B03522"/>
    <w:rsid w:val="00B03E2B"/>
    <w:rsid w:val="00B054B3"/>
    <w:rsid w:val="00B055FC"/>
    <w:rsid w:val="00B068F4"/>
    <w:rsid w:val="00B07946"/>
    <w:rsid w:val="00B106DF"/>
    <w:rsid w:val="00B116FF"/>
    <w:rsid w:val="00B118FA"/>
    <w:rsid w:val="00B14FD1"/>
    <w:rsid w:val="00B1712B"/>
    <w:rsid w:val="00B200D0"/>
    <w:rsid w:val="00B201B6"/>
    <w:rsid w:val="00B21C96"/>
    <w:rsid w:val="00B23448"/>
    <w:rsid w:val="00B2357F"/>
    <w:rsid w:val="00B23F2D"/>
    <w:rsid w:val="00B24B24"/>
    <w:rsid w:val="00B25B3E"/>
    <w:rsid w:val="00B26557"/>
    <w:rsid w:val="00B26652"/>
    <w:rsid w:val="00B266CA"/>
    <w:rsid w:val="00B26844"/>
    <w:rsid w:val="00B27498"/>
    <w:rsid w:val="00B279FD"/>
    <w:rsid w:val="00B27C3B"/>
    <w:rsid w:val="00B30AA3"/>
    <w:rsid w:val="00B30C64"/>
    <w:rsid w:val="00B3146E"/>
    <w:rsid w:val="00B31A6A"/>
    <w:rsid w:val="00B31B7A"/>
    <w:rsid w:val="00B327AB"/>
    <w:rsid w:val="00B32ABF"/>
    <w:rsid w:val="00B32D97"/>
    <w:rsid w:val="00B3397F"/>
    <w:rsid w:val="00B33C33"/>
    <w:rsid w:val="00B340EA"/>
    <w:rsid w:val="00B357B7"/>
    <w:rsid w:val="00B37E20"/>
    <w:rsid w:val="00B42012"/>
    <w:rsid w:val="00B420F3"/>
    <w:rsid w:val="00B423EC"/>
    <w:rsid w:val="00B428D3"/>
    <w:rsid w:val="00B43541"/>
    <w:rsid w:val="00B4383D"/>
    <w:rsid w:val="00B45652"/>
    <w:rsid w:val="00B457EF"/>
    <w:rsid w:val="00B458F9"/>
    <w:rsid w:val="00B4590C"/>
    <w:rsid w:val="00B45B03"/>
    <w:rsid w:val="00B4628D"/>
    <w:rsid w:val="00B464D6"/>
    <w:rsid w:val="00B46B65"/>
    <w:rsid w:val="00B46CBF"/>
    <w:rsid w:val="00B46EA5"/>
    <w:rsid w:val="00B47737"/>
    <w:rsid w:val="00B479F4"/>
    <w:rsid w:val="00B511A6"/>
    <w:rsid w:val="00B52827"/>
    <w:rsid w:val="00B5290D"/>
    <w:rsid w:val="00B539F1"/>
    <w:rsid w:val="00B53C04"/>
    <w:rsid w:val="00B5409C"/>
    <w:rsid w:val="00B54E26"/>
    <w:rsid w:val="00B5504A"/>
    <w:rsid w:val="00B563E6"/>
    <w:rsid w:val="00B56E2E"/>
    <w:rsid w:val="00B56FCC"/>
    <w:rsid w:val="00B5709E"/>
    <w:rsid w:val="00B57123"/>
    <w:rsid w:val="00B57D88"/>
    <w:rsid w:val="00B605C6"/>
    <w:rsid w:val="00B60983"/>
    <w:rsid w:val="00B62321"/>
    <w:rsid w:val="00B62BA0"/>
    <w:rsid w:val="00B62C8A"/>
    <w:rsid w:val="00B62DAB"/>
    <w:rsid w:val="00B630BA"/>
    <w:rsid w:val="00B63FFE"/>
    <w:rsid w:val="00B64AB9"/>
    <w:rsid w:val="00B65E05"/>
    <w:rsid w:val="00B65F44"/>
    <w:rsid w:val="00B66C44"/>
    <w:rsid w:val="00B67AEA"/>
    <w:rsid w:val="00B71026"/>
    <w:rsid w:val="00B71158"/>
    <w:rsid w:val="00B713BD"/>
    <w:rsid w:val="00B728D0"/>
    <w:rsid w:val="00B72D33"/>
    <w:rsid w:val="00B73407"/>
    <w:rsid w:val="00B74B19"/>
    <w:rsid w:val="00B751FE"/>
    <w:rsid w:val="00B75784"/>
    <w:rsid w:val="00B76789"/>
    <w:rsid w:val="00B76FFE"/>
    <w:rsid w:val="00B777C4"/>
    <w:rsid w:val="00B8335D"/>
    <w:rsid w:val="00B83445"/>
    <w:rsid w:val="00B855F5"/>
    <w:rsid w:val="00B85BDA"/>
    <w:rsid w:val="00B864BD"/>
    <w:rsid w:val="00B87BA4"/>
    <w:rsid w:val="00B901ED"/>
    <w:rsid w:val="00B91229"/>
    <w:rsid w:val="00B91DCD"/>
    <w:rsid w:val="00B91E97"/>
    <w:rsid w:val="00B9384C"/>
    <w:rsid w:val="00B93F28"/>
    <w:rsid w:val="00B9468C"/>
    <w:rsid w:val="00B95566"/>
    <w:rsid w:val="00B95F76"/>
    <w:rsid w:val="00B95FB7"/>
    <w:rsid w:val="00B9602B"/>
    <w:rsid w:val="00B966C1"/>
    <w:rsid w:val="00BA01F9"/>
    <w:rsid w:val="00BA041E"/>
    <w:rsid w:val="00BA1452"/>
    <w:rsid w:val="00BA19EE"/>
    <w:rsid w:val="00BA2A52"/>
    <w:rsid w:val="00BA4344"/>
    <w:rsid w:val="00BA490E"/>
    <w:rsid w:val="00BA52BE"/>
    <w:rsid w:val="00BA741F"/>
    <w:rsid w:val="00BB0322"/>
    <w:rsid w:val="00BB036E"/>
    <w:rsid w:val="00BB0622"/>
    <w:rsid w:val="00BB1330"/>
    <w:rsid w:val="00BB2778"/>
    <w:rsid w:val="00BB3633"/>
    <w:rsid w:val="00BB37E4"/>
    <w:rsid w:val="00BB3B4F"/>
    <w:rsid w:val="00BB4A64"/>
    <w:rsid w:val="00BB51C8"/>
    <w:rsid w:val="00BB5F05"/>
    <w:rsid w:val="00BB5FFF"/>
    <w:rsid w:val="00BB66A9"/>
    <w:rsid w:val="00BB6D00"/>
    <w:rsid w:val="00BB7675"/>
    <w:rsid w:val="00BC0D60"/>
    <w:rsid w:val="00BC17A6"/>
    <w:rsid w:val="00BC2F99"/>
    <w:rsid w:val="00BC4699"/>
    <w:rsid w:val="00BC47CD"/>
    <w:rsid w:val="00BC50CF"/>
    <w:rsid w:val="00BC5ACB"/>
    <w:rsid w:val="00BC72A1"/>
    <w:rsid w:val="00BD1257"/>
    <w:rsid w:val="00BD1980"/>
    <w:rsid w:val="00BD2711"/>
    <w:rsid w:val="00BD3D5C"/>
    <w:rsid w:val="00BD43F9"/>
    <w:rsid w:val="00BD5A05"/>
    <w:rsid w:val="00BD60C4"/>
    <w:rsid w:val="00BD698B"/>
    <w:rsid w:val="00BD7D07"/>
    <w:rsid w:val="00BE02CC"/>
    <w:rsid w:val="00BE1073"/>
    <w:rsid w:val="00BE1970"/>
    <w:rsid w:val="00BE26C9"/>
    <w:rsid w:val="00BE2734"/>
    <w:rsid w:val="00BE3D6A"/>
    <w:rsid w:val="00BE43DA"/>
    <w:rsid w:val="00BE62F2"/>
    <w:rsid w:val="00BE658F"/>
    <w:rsid w:val="00BE66ED"/>
    <w:rsid w:val="00BE6A7E"/>
    <w:rsid w:val="00BE6CBC"/>
    <w:rsid w:val="00BE785F"/>
    <w:rsid w:val="00BE7D36"/>
    <w:rsid w:val="00BE7EE9"/>
    <w:rsid w:val="00BE7F84"/>
    <w:rsid w:val="00BF02F7"/>
    <w:rsid w:val="00BF0AFE"/>
    <w:rsid w:val="00BF1DF8"/>
    <w:rsid w:val="00BF2432"/>
    <w:rsid w:val="00BF278D"/>
    <w:rsid w:val="00BF2848"/>
    <w:rsid w:val="00BF2C84"/>
    <w:rsid w:val="00BF3184"/>
    <w:rsid w:val="00BF3534"/>
    <w:rsid w:val="00BF3C93"/>
    <w:rsid w:val="00BF413F"/>
    <w:rsid w:val="00BF4829"/>
    <w:rsid w:val="00BF4ED6"/>
    <w:rsid w:val="00BF5538"/>
    <w:rsid w:val="00BF732B"/>
    <w:rsid w:val="00BF77D1"/>
    <w:rsid w:val="00BF7E9F"/>
    <w:rsid w:val="00C00E0E"/>
    <w:rsid w:val="00C00F8E"/>
    <w:rsid w:val="00C0289F"/>
    <w:rsid w:val="00C029E3"/>
    <w:rsid w:val="00C034CC"/>
    <w:rsid w:val="00C03D3A"/>
    <w:rsid w:val="00C04151"/>
    <w:rsid w:val="00C0513B"/>
    <w:rsid w:val="00C05282"/>
    <w:rsid w:val="00C056F8"/>
    <w:rsid w:val="00C06F98"/>
    <w:rsid w:val="00C07160"/>
    <w:rsid w:val="00C07685"/>
    <w:rsid w:val="00C114AB"/>
    <w:rsid w:val="00C12136"/>
    <w:rsid w:val="00C1219B"/>
    <w:rsid w:val="00C13100"/>
    <w:rsid w:val="00C133B1"/>
    <w:rsid w:val="00C1387B"/>
    <w:rsid w:val="00C13C1C"/>
    <w:rsid w:val="00C15D1F"/>
    <w:rsid w:val="00C16F37"/>
    <w:rsid w:val="00C171CC"/>
    <w:rsid w:val="00C20360"/>
    <w:rsid w:val="00C21642"/>
    <w:rsid w:val="00C2199B"/>
    <w:rsid w:val="00C223F3"/>
    <w:rsid w:val="00C224DF"/>
    <w:rsid w:val="00C227A9"/>
    <w:rsid w:val="00C22B49"/>
    <w:rsid w:val="00C23120"/>
    <w:rsid w:val="00C23A03"/>
    <w:rsid w:val="00C24182"/>
    <w:rsid w:val="00C2568D"/>
    <w:rsid w:val="00C25D3F"/>
    <w:rsid w:val="00C26D7B"/>
    <w:rsid w:val="00C273DE"/>
    <w:rsid w:val="00C30FC0"/>
    <w:rsid w:val="00C31EAA"/>
    <w:rsid w:val="00C32186"/>
    <w:rsid w:val="00C329CA"/>
    <w:rsid w:val="00C33ECA"/>
    <w:rsid w:val="00C34E27"/>
    <w:rsid w:val="00C374FC"/>
    <w:rsid w:val="00C376DC"/>
    <w:rsid w:val="00C4227D"/>
    <w:rsid w:val="00C43193"/>
    <w:rsid w:val="00C43A01"/>
    <w:rsid w:val="00C43E1B"/>
    <w:rsid w:val="00C44889"/>
    <w:rsid w:val="00C4505D"/>
    <w:rsid w:val="00C452A2"/>
    <w:rsid w:val="00C458F7"/>
    <w:rsid w:val="00C45C19"/>
    <w:rsid w:val="00C46827"/>
    <w:rsid w:val="00C46D45"/>
    <w:rsid w:val="00C5023E"/>
    <w:rsid w:val="00C51782"/>
    <w:rsid w:val="00C52C22"/>
    <w:rsid w:val="00C52DAC"/>
    <w:rsid w:val="00C52F74"/>
    <w:rsid w:val="00C562DF"/>
    <w:rsid w:val="00C5680F"/>
    <w:rsid w:val="00C57271"/>
    <w:rsid w:val="00C575C2"/>
    <w:rsid w:val="00C57BEE"/>
    <w:rsid w:val="00C60C95"/>
    <w:rsid w:val="00C61021"/>
    <w:rsid w:val="00C613B0"/>
    <w:rsid w:val="00C62D57"/>
    <w:rsid w:val="00C63744"/>
    <w:rsid w:val="00C64103"/>
    <w:rsid w:val="00C642FA"/>
    <w:rsid w:val="00C65712"/>
    <w:rsid w:val="00C663C5"/>
    <w:rsid w:val="00C6646E"/>
    <w:rsid w:val="00C665CE"/>
    <w:rsid w:val="00C66740"/>
    <w:rsid w:val="00C679FE"/>
    <w:rsid w:val="00C70508"/>
    <w:rsid w:val="00C714C9"/>
    <w:rsid w:val="00C719FE"/>
    <w:rsid w:val="00C71EF0"/>
    <w:rsid w:val="00C7296C"/>
    <w:rsid w:val="00C72FFD"/>
    <w:rsid w:val="00C73845"/>
    <w:rsid w:val="00C73F3D"/>
    <w:rsid w:val="00C752FF"/>
    <w:rsid w:val="00C756A9"/>
    <w:rsid w:val="00C758C1"/>
    <w:rsid w:val="00C75941"/>
    <w:rsid w:val="00C76E11"/>
    <w:rsid w:val="00C81239"/>
    <w:rsid w:val="00C8176A"/>
    <w:rsid w:val="00C822ED"/>
    <w:rsid w:val="00C836E3"/>
    <w:rsid w:val="00C847A2"/>
    <w:rsid w:val="00C853EF"/>
    <w:rsid w:val="00C857F0"/>
    <w:rsid w:val="00C85912"/>
    <w:rsid w:val="00C87078"/>
    <w:rsid w:val="00C87318"/>
    <w:rsid w:val="00C8737D"/>
    <w:rsid w:val="00C9034D"/>
    <w:rsid w:val="00C90515"/>
    <w:rsid w:val="00C90EDC"/>
    <w:rsid w:val="00C9162C"/>
    <w:rsid w:val="00C91791"/>
    <w:rsid w:val="00C918C6"/>
    <w:rsid w:val="00C923A6"/>
    <w:rsid w:val="00C92DF0"/>
    <w:rsid w:val="00C9498C"/>
    <w:rsid w:val="00C95465"/>
    <w:rsid w:val="00C960D7"/>
    <w:rsid w:val="00C969CA"/>
    <w:rsid w:val="00C977F0"/>
    <w:rsid w:val="00C97865"/>
    <w:rsid w:val="00CA231C"/>
    <w:rsid w:val="00CA2404"/>
    <w:rsid w:val="00CA29A1"/>
    <w:rsid w:val="00CA2D14"/>
    <w:rsid w:val="00CA2DDF"/>
    <w:rsid w:val="00CA4260"/>
    <w:rsid w:val="00CA4BA7"/>
    <w:rsid w:val="00CA5166"/>
    <w:rsid w:val="00CA5CCC"/>
    <w:rsid w:val="00CA5F4E"/>
    <w:rsid w:val="00CB0C4E"/>
    <w:rsid w:val="00CB1277"/>
    <w:rsid w:val="00CB24AD"/>
    <w:rsid w:val="00CB2E00"/>
    <w:rsid w:val="00CB34CC"/>
    <w:rsid w:val="00CB3AE3"/>
    <w:rsid w:val="00CB41F1"/>
    <w:rsid w:val="00CB48EB"/>
    <w:rsid w:val="00CB631F"/>
    <w:rsid w:val="00CB66BA"/>
    <w:rsid w:val="00CB699F"/>
    <w:rsid w:val="00CC08EA"/>
    <w:rsid w:val="00CC14B0"/>
    <w:rsid w:val="00CC2BE6"/>
    <w:rsid w:val="00CC3F85"/>
    <w:rsid w:val="00CC4B00"/>
    <w:rsid w:val="00CC4B3F"/>
    <w:rsid w:val="00CC4F2B"/>
    <w:rsid w:val="00CC523C"/>
    <w:rsid w:val="00CC586C"/>
    <w:rsid w:val="00CC5C96"/>
    <w:rsid w:val="00CC5D6B"/>
    <w:rsid w:val="00CC5DEF"/>
    <w:rsid w:val="00CC626C"/>
    <w:rsid w:val="00CD06C0"/>
    <w:rsid w:val="00CD13DD"/>
    <w:rsid w:val="00CD1D3E"/>
    <w:rsid w:val="00CD2EC9"/>
    <w:rsid w:val="00CD34FD"/>
    <w:rsid w:val="00CD35D6"/>
    <w:rsid w:val="00CD3DEF"/>
    <w:rsid w:val="00CD40F5"/>
    <w:rsid w:val="00CD46DA"/>
    <w:rsid w:val="00CD48B1"/>
    <w:rsid w:val="00CD536B"/>
    <w:rsid w:val="00CD585F"/>
    <w:rsid w:val="00CD6961"/>
    <w:rsid w:val="00CE12F6"/>
    <w:rsid w:val="00CE6BAF"/>
    <w:rsid w:val="00CE6DD3"/>
    <w:rsid w:val="00CE6F82"/>
    <w:rsid w:val="00CE760D"/>
    <w:rsid w:val="00CE7B78"/>
    <w:rsid w:val="00CF0289"/>
    <w:rsid w:val="00CF16E6"/>
    <w:rsid w:val="00CF1F7F"/>
    <w:rsid w:val="00CF21AA"/>
    <w:rsid w:val="00CF2477"/>
    <w:rsid w:val="00CF3432"/>
    <w:rsid w:val="00CF3A54"/>
    <w:rsid w:val="00CF3F59"/>
    <w:rsid w:val="00CF4BE0"/>
    <w:rsid w:val="00CF5711"/>
    <w:rsid w:val="00CF5DD0"/>
    <w:rsid w:val="00CF673C"/>
    <w:rsid w:val="00CF6DB6"/>
    <w:rsid w:val="00CF701A"/>
    <w:rsid w:val="00CF7060"/>
    <w:rsid w:val="00D00446"/>
    <w:rsid w:val="00D008AC"/>
    <w:rsid w:val="00D0140E"/>
    <w:rsid w:val="00D01994"/>
    <w:rsid w:val="00D01F26"/>
    <w:rsid w:val="00D020E8"/>
    <w:rsid w:val="00D039C0"/>
    <w:rsid w:val="00D03E07"/>
    <w:rsid w:val="00D06BC0"/>
    <w:rsid w:val="00D07271"/>
    <w:rsid w:val="00D12458"/>
    <w:rsid w:val="00D128A6"/>
    <w:rsid w:val="00D129AB"/>
    <w:rsid w:val="00D1332E"/>
    <w:rsid w:val="00D13878"/>
    <w:rsid w:val="00D14848"/>
    <w:rsid w:val="00D14ABB"/>
    <w:rsid w:val="00D15F49"/>
    <w:rsid w:val="00D16036"/>
    <w:rsid w:val="00D20616"/>
    <w:rsid w:val="00D219F6"/>
    <w:rsid w:val="00D2205B"/>
    <w:rsid w:val="00D222F8"/>
    <w:rsid w:val="00D2249C"/>
    <w:rsid w:val="00D22995"/>
    <w:rsid w:val="00D233D1"/>
    <w:rsid w:val="00D24757"/>
    <w:rsid w:val="00D2715B"/>
    <w:rsid w:val="00D27171"/>
    <w:rsid w:val="00D305D5"/>
    <w:rsid w:val="00D308E9"/>
    <w:rsid w:val="00D30F66"/>
    <w:rsid w:val="00D31621"/>
    <w:rsid w:val="00D31863"/>
    <w:rsid w:val="00D3429B"/>
    <w:rsid w:val="00D343A0"/>
    <w:rsid w:val="00D347EA"/>
    <w:rsid w:val="00D3569C"/>
    <w:rsid w:val="00D361FB"/>
    <w:rsid w:val="00D366A3"/>
    <w:rsid w:val="00D36877"/>
    <w:rsid w:val="00D36966"/>
    <w:rsid w:val="00D36A64"/>
    <w:rsid w:val="00D376F5"/>
    <w:rsid w:val="00D406F0"/>
    <w:rsid w:val="00D40DBA"/>
    <w:rsid w:val="00D41C0C"/>
    <w:rsid w:val="00D43035"/>
    <w:rsid w:val="00D43E93"/>
    <w:rsid w:val="00D44272"/>
    <w:rsid w:val="00D448F3"/>
    <w:rsid w:val="00D45F92"/>
    <w:rsid w:val="00D46260"/>
    <w:rsid w:val="00D477A6"/>
    <w:rsid w:val="00D47960"/>
    <w:rsid w:val="00D47E62"/>
    <w:rsid w:val="00D509C9"/>
    <w:rsid w:val="00D52B6C"/>
    <w:rsid w:val="00D56B3D"/>
    <w:rsid w:val="00D57A99"/>
    <w:rsid w:val="00D603E9"/>
    <w:rsid w:val="00D60A39"/>
    <w:rsid w:val="00D61E64"/>
    <w:rsid w:val="00D62ABE"/>
    <w:rsid w:val="00D62D36"/>
    <w:rsid w:val="00D62EF5"/>
    <w:rsid w:val="00D655A6"/>
    <w:rsid w:val="00D65CD9"/>
    <w:rsid w:val="00D65ED3"/>
    <w:rsid w:val="00D65F33"/>
    <w:rsid w:val="00D66910"/>
    <w:rsid w:val="00D675F8"/>
    <w:rsid w:val="00D703DA"/>
    <w:rsid w:val="00D70828"/>
    <w:rsid w:val="00D70833"/>
    <w:rsid w:val="00D71230"/>
    <w:rsid w:val="00D71F5E"/>
    <w:rsid w:val="00D72C8B"/>
    <w:rsid w:val="00D7381A"/>
    <w:rsid w:val="00D73FA6"/>
    <w:rsid w:val="00D74F0A"/>
    <w:rsid w:val="00D75AA1"/>
    <w:rsid w:val="00D765CD"/>
    <w:rsid w:val="00D7779E"/>
    <w:rsid w:val="00D80132"/>
    <w:rsid w:val="00D80843"/>
    <w:rsid w:val="00D80A1B"/>
    <w:rsid w:val="00D8148A"/>
    <w:rsid w:val="00D81980"/>
    <w:rsid w:val="00D81E1E"/>
    <w:rsid w:val="00D81F82"/>
    <w:rsid w:val="00D82064"/>
    <w:rsid w:val="00D822DB"/>
    <w:rsid w:val="00D84418"/>
    <w:rsid w:val="00D848D4"/>
    <w:rsid w:val="00D85508"/>
    <w:rsid w:val="00D85FBE"/>
    <w:rsid w:val="00D872ED"/>
    <w:rsid w:val="00D879D3"/>
    <w:rsid w:val="00D9046C"/>
    <w:rsid w:val="00D90CD8"/>
    <w:rsid w:val="00D9157D"/>
    <w:rsid w:val="00D91C21"/>
    <w:rsid w:val="00D946A3"/>
    <w:rsid w:val="00D94894"/>
    <w:rsid w:val="00D97251"/>
    <w:rsid w:val="00DA0794"/>
    <w:rsid w:val="00DA0D46"/>
    <w:rsid w:val="00DA2080"/>
    <w:rsid w:val="00DA233B"/>
    <w:rsid w:val="00DA2622"/>
    <w:rsid w:val="00DA52DE"/>
    <w:rsid w:val="00DA5ADF"/>
    <w:rsid w:val="00DA6965"/>
    <w:rsid w:val="00DB004C"/>
    <w:rsid w:val="00DB04A9"/>
    <w:rsid w:val="00DB1A78"/>
    <w:rsid w:val="00DB1B49"/>
    <w:rsid w:val="00DB2D6B"/>
    <w:rsid w:val="00DB32E3"/>
    <w:rsid w:val="00DB5C2D"/>
    <w:rsid w:val="00DB74FA"/>
    <w:rsid w:val="00DC0A90"/>
    <w:rsid w:val="00DC1043"/>
    <w:rsid w:val="00DC1A00"/>
    <w:rsid w:val="00DC44DC"/>
    <w:rsid w:val="00DC5EB2"/>
    <w:rsid w:val="00DC6214"/>
    <w:rsid w:val="00DC6438"/>
    <w:rsid w:val="00DC6761"/>
    <w:rsid w:val="00DC6A98"/>
    <w:rsid w:val="00DC75DB"/>
    <w:rsid w:val="00DC7FA7"/>
    <w:rsid w:val="00DD0427"/>
    <w:rsid w:val="00DD04D8"/>
    <w:rsid w:val="00DD0CFA"/>
    <w:rsid w:val="00DD1303"/>
    <w:rsid w:val="00DD175C"/>
    <w:rsid w:val="00DD1CB2"/>
    <w:rsid w:val="00DD2250"/>
    <w:rsid w:val="00DD31D1"/>
    <w:rsid w:val="00DD3275"/>
    <w:rsid w:val="00DD32B4"/>
    <w:rsid w:val="00DD37AF"/>
    <w:rsid w:val="00DD3B84"/>
    <w:rsid w:val="00DD3C38"/>
    <w:rsid w:val="00DD3DF0"/>
    <w:rsid w:val="00DD58C6"/>
    <w:rsid w:val="00DD677B"/>
    <w:rsid w:val="00DD75D3"/>
    <w:rsid w:val="00DD7656"/>
    <w:rsid w:val="00DD7AE1"/>
    <w:rsid w:val="00DD7BCC"/>
    <w:rsid w:val="00DE14E0"/>
    <w:rsid w:val="00DE151C"/>
    <w:rsid w:val="00DE1969"/>
    <w:rsid w:val="00DE1D30"/>
    <w:rsid w:val="00DE2C75"/>
    <w:rsid w:val="00DE51E6"/>
    <w:rsid w:val="00DE54A2"/>
    <w:rsid w:val="00DE57CA"/>
    <w:rsid w:val="00DE6295"/>
    <w:rsid w:val="00DE64BE"/>
    <w:rsid w:val="00DF085E"/>
    <w:rsid w:val="00DF089C"/>
    <w:rsid w:val="00DF09EA"/>
    <w:rsid w:val="00DF0CA1"/>
    <w:rsid w:val="00DF1FF5"/>
    <w:rsid w:val="00DF3598"/>
    <w:rsid w:val="00DF3986"/>
    <w:rsid w:val="00DF42B0"/>
    <w:rsid w:val="00DF4A0F"/>
    <w:rsid w:val="00DF58AE"/>
    <w:rsid w:val="00DF65A1"/>
    <w:rsid w:val="00E004D8"/>
    <w:rsid w:val="00E00810"/>
    <w:rsid w:val="00E0153E"/>
    <w:rsid w:val="00E028AB"/>
    <w:rsid w:val="00E05548"/>
    <w:rsid w:val="00E06A40"/>
    <w:rsid w:val="00E06C68"/>
    <w:rsid w:val="00E06F8F"/>
    <w:rsid w:val="00E076CD"/>
    <w:rsid w:val="00E125D5"/>
    <w:rsid w:val="00E12805"/>
    <w:rsid w:val="00E13048"/>
    <w:rsid w:val="00E1342B"/>
    <w:rsid w:val="00E150A1"/>
    <w:rsid w:val="00E154E6"/>
    <w:rsid w:val="00E157CF"/>
    <w:rsid w:val="00E15E0C"/>
    <w:rsid w:val="00E1629E"/>
    <w:rsid w:val="00E1636A"/>
    <w:rsid w:val="00E1753C"/>
    <w:rsid w:val="00E2156D"/>
    <w:rsid w:val="00E218BC"/>
    <w:rsid w:val="00E229DA"/>
    <w:rsid w:val="00E23278"/>
    <w:rsid w:val="00E24B17"/>
    <w:rsid w:val="00E25352"/>
    <w:rsid w:val="00E25956"/>
    <w:rsid w:val="00E26C17"/>
    <w:rsid w:val="00E26F70"/>
    <w:rsid w:val="00E271FB"/>
    <w:rsid w:val="00E27BEE"/>
    <w:rsid w:val="00E303C5"/>
    <w:rsid w:val="00E30A18"/>
    <w:rsid w:val="00E31860"/>
    <w:rsid w:val="00E34FA5"/>
    <w:rsid w:val="00E35705"/>
    <w:rsid w:val="00E37FDE"/>
    <w:rsid w:val="00E40F48"/>
    <w:rsid w:val="00E413E1"/>
    <w:rsid w:val="00E41F14"/>
    <w:rsid w:val="00E420AD"/>
    <w:rsid w:val="00E4230C"/>
    <w:rsid w:val="00E4360C"/>
    <w:rsid w:val="00E4369C"/>
    <w:rsid w:val="00E44499"/>
    <w:rsid w:val="00E519A6"/>
    <w:rsid w:val="00E51BEF"/>
    <w:rsid w:val="00E51DB9"/>
    <w:rsid w:val="00E5306F"/>
    <w:rsid w:val="00E535DC"/>
    <w:rsid w:val="00E5380F"/>
    <w:rsid w:val="00E53A90"/>
    <w:rsid w:val="00E54FB6"/>
    <w:rsid w:val="00E570E5"/>
    <w:rsid w:val="00E575BA"/>
    <w:rsid w:val="00E5766F"/>
    <w:rsid w:val="00E57A64"/>
    <w:rsid w:val="00E600D4"/>
    <w:rsid w:val="00E60FC1"/>
    <w:rsid w:val="00E612EB"/>
    <w:rsid w:val="00E6170E"/>
    <w:rsid w:val="00E61FF3"/>
    <w:rsid w:val="00E65A69"/>
    <w:rsid w:val="00E6685A"/>
    <w:rsid w:val="00E66F11"/>
    <w:rsid w:val="00E677DA"/>
    <w:rsid w:val="00E6797F"/>
    <w:rsid w:val="00E70838"/>
    <w:rsid w:val="00E71D5B"/>
    <w:rsid w:val="00E73178"/>
    <w:rsid w:val="00E739D4"/>
    <w:rsid w:val="00E7498A"/>
    <w:rsid w:val="00E75156"/>
    <w:rsid w:val="00E75190"/>
    <w:rsid w:val="00E761D8"/>
    <w:rsid w:val="00E7694E"/>
    <w:rsid w:val="00E76D5D"/>
    <w:rsid w:val="00E80F02"/>
    <w:rsid w:val="00E81ED7"/>
    <w:rsid w:val="00E8245E"/>
    <w:rsid w:val="00E825E3"/>
    <w:rsid w:val="00E8271F"/>
    <w:rsid w:val="00E82D57"/>
    <w:rsid w:val="00E8300C"/>
    <w:rsid w:val="00E831C0"/>
    <w:rsid w:val="00E84026"/>
    <w:rsid w:val="00E84407"/>
    <w:rsid w:val="00E853EB"/>
    <w:rsid w:val="00E85BC0"/>
    <w:rsid w:val="00E85F64"/>
    <w:rsid w:val="00E8674A"/>
    <w:rsid w:val="00E870B7"/>
    <w:rsid w:val="00E90DBE"/>
    <w:rsid w:val="00E922C8"/>
    <w:rsid w:val="00E9259C"/>
    <w:rsid w:val="00E93DB0"/>
    <w:rsid w:val="00E94A8B"/>
    <w:rsid w:val="00E95343"/>
    <w:rsid w:val="00E95BB1"/>
    <w:rsid w:val="00E95CBC"/>
    <w:rsid w:val="00E97DA1"/>
    <w:rsid w:val="00EA08EA"/>
    <w:rsid w:val="00EA13DF"/>
    <w:rsid w:val="00EA1AC3"/>
    <w:rsid w:val="00EA28D6"/>
    <w:rsid w:val="00EA373B"/>
    <w:rsid w:val="00EA4034"/>
    <w:rsid w:val="00EA48C8"/>
    <w:rsid w:val="00EA5396"/>
    <w:rsid w:val="00EA6095"/>
    <w:rsid w:val="00EA7411"/>
    <w:rsid w:val="00EB0311"/>
    <w:rsid w:val="00EB2A6D"/>
    <w:rsid w:val="00EB37E3"/>
    <w:rsid w:val="00EB3B28"/>
    <w:rsid w:val="00EB4044"/>
    <w:rsid w:val="00EB4125"/>
    <w:rsid w:val="00EB4B55"/>
    <w:rsid w:val="00EB513D"/>
    <w:rsid w:val="00EB5486"/>
    <w:rsid w:val="00EB5B1E"/>
    <w:rsid w:val="00EB62CB"/>
    <w:rsid w:val="00EB64CA"/>
    <w:rsid w:val="00EB6558"/>
    <w:rsid w:val="00EB681C"/>
    <w:rsid w:val="00EB6D1D"/>
    <w:rsid w:val="00EB70CD"/>
    <w:rsid w:val="00EC0253"/>
    <w:rsid w:val="00EC0C71"/>
    <w:rsid w:val="00EC106E"/>
    <w:rsid w:val="00EC10D8"/>
    <w:rsid w:val="00EC1402"/>
    <w:rsid w:val="00EC2A30"/>
    <w:rsid w:val="00EC4834"/>
    <w:rsid w:val="00EC4E0D"/>
    <w:rsid w:val="00EC522C"/>
    <w:rsid w:val="00EC5BD6"/>
    <w:rsid w:val="00EC6EBF"/>
    <w:rsid w:val="00EC6F78"/>
    <w:rsid w:val="00EC6FCC"/>
    <w:rsid w:val="00EC716B"/>
    <w:rsid w:val="00ED00B2"/>
    <w:rsid w:val="00ED0BDD"/>
    <w:rsid w:val="00ED0C68"/>
    <w:rsid w:val="00ED104A"/>
    <w:rsid w:val="00ED1219"/>
    <w:rsid w:val="00ED152C"/>
    <w:rsid w:val="00ED1846"/>
    <w:rsid w:val="00ED221D"/>
    <w:rsid w:val="00ED2A14"/>
    <w:rsid w:val="00ED310B"/>
    <w:rsid w:val="00ED3595"/>
    <w:rsid w:val="00ED3949"/>
    <w:rsid w:val="00ED3EA9"/>
    <w:rsid w:val="00ED438D"/>
    <w:rsid w:val="00ED449C"/>
    <w:rsid w:val="00ED4842"/>
    <w:rsid w:val="00ED529B"/>
    <w:rsid w:val="00ED53B2"/>
    <w:rsid w:val="00ED541E"/>
    <w:rsid w:val="00ED5F24"/>
    <w:rsid w:val="00ED63B1"/>
    <w:rsid w:val="00ED7107"/>
    <w:rsid w:val="00EE0883"/>
    <w:rsid w:val="00EE0AA2"/>
    <w:rsid w:val="00EE1043"/>
    <w:rsid w:val="00EE1109"/>
    <w:rsid w:val="00EE19DF"/>
    <w:rsid w:val="00EE1A4A"/>
    <w:rsid w:val="00EE1EDD"/>
    <w:rsid w:val="00EE47C1"/>
    <w:rsid w:val="00EE489B"/>
    <w:rsid w:val="00EE5A74"/>
    <w:rsid w:val="00EE6765"/>
    <w:rsid w:val="00EF025D"/>
    <w:rsid w:val="00EF05B5"/>
    <w:rsid w:val="00EF0CD3"/>
    <w:rsid w:val="00EF11FC"/>
    <w:rsid w:val="00EF24B6"/>
    <w:rsid w:val="00EF4039"/>
    <w:rsid w:val="00EF6425"/>
    <w:rsid w:val="00EF6706"/>
    <w:rsid w:val="00EF6D02"/>
    <w:rsid w:val="00EF6D81"/>
    <w:rsid w:val="00EF710D"/>
    <w:rsid w:val="00EF7B7A"/>
    <w:rsid w:val="00EF7E84"/>
    <w:rsid w:val="00F01276"/>
    <w:rsid w:val="00F022BC"/>
    <w:rsid w:val="00F031B1"/>
    <w:rsid w:val="00F037C4"/>
    <w:rsid w:val="00F03B96"/>
    <w:rsid w:val="00F04172"/>
    <w:rsid w:val="00F04186"/>
    <w:rsid w:val="00F043C3"/>
    <w:rsid w:val="00F04F7D"/>
    <w:rsid w:val="00F050B0"/>
    <w:rsid w:val="00F05D18"/>
    <w:rsid w:val="00F07B1D"/>
    <w:rsid w:val="00F11327"/>
    <w:rsid w:val="00F1305B"/>
    <w:rsid w:val="00F13914"/>
    <w:rsid w:val="00F139A4"/>
    <w:rsid w:val="00F14EB4"/>
    <w:rsid w:val="00F1623A"/>
    <w:rsid w:val="00F16D59"/>
    <w:rsid w:val="00F17285"/>
    <w:rsid w:val="00F17A3E"/>
    <w:rsid w:val="00F251CD"/>
    <w:rsid w:val="00F2556F"/>
    <w:rsid w:val="00F25771"/>
    <w:rsid w:val="00F27203"/>
    <w:rsid w:val="00F27367"/>
    <w:rsid w:val="00F27FC5"/>
    <w:rsid w:val="00F27FDA"/>
    <w:rsid w:val="00F302D5"/>
    <w:rsid w:val="00F30D1E"/>
    <w:rsid w:val="00F311AA"/>
    <w:rsid w:val="00F323AE"/>
    <w:rsid w:val="00F32AEC"/>
    <w:rsid w:val="00F32E0C"/>
    <w:rsid w:val="00F3374D"/>
    <w:rsid w:val="00F345CE"/>
    <w:rsid w:val="00F34642"/>
    <w:rsid w:val="00F34C73"/>
    <w:rsid w:val="00F34EB3"/>
    <w:rsid w:val="00F3523B"/>
    <w:rsid w:val="00F355B0"/>
    <w:rsid w:val="00F35F52"/>
    <w:rsid w:val="00F36467"/>
    <w:rsid w:val="00F37900"/>
    <w:rsid w:val="00F40CC8"/>
    <w:rsid w:val="00F419F1"/>
    <w:rsid w:val="00F41A71"/>
    <w:rsid w:val="00F41E99"/>
    <w:rsid w:val="00F41EA5"/>
    <w:rsid w:val="00F41FE6"/>
    <w:rsid w:val="00F42456"/>
    <w:rsid w:val="00F42689"/>
    <w:rsid w:val="00F42B90"/>
    <w:rsid w:val="00F4300D"/>
    <w:rsid w:val="00F435C4"/>
    <w:rsid w:val="00F43B80"/>
    <w:rsid w:val="00F442CD"/>
    <w:rsid w:val="00F4480B"/>
    <w:rsid w:val="00F45384"/>
    <w:rsid w:val="00F4540C"/>
    <w:rsid w:val="00F45B92"/>
    <w:rsid w:val="00F47777"/>
    <w:rsid w:val="00F50901"/>
    <w:rsid w:val="00F5112F"/>
    <w:rsid w:val="00F51475"/>
    <w:rsid w:val="00F51875"/>
    <w:rsid w:val="00F52135"/>
    <w:rsid w:val="00F52A36"/>
    <w:rsid w:val="00F53EB1"/>
    <w:rsid w:val="00F55941"/>
    <w:rsid w:val="00F56A8E"/>
    <w:rsid w:val="00F5757D"/>
    <w:rsid w:val="00F57A94"/>
    <w:rsid w:val="00F600C3"/>
    <w:rsid w:val="00F616A4"/>
    <w:rsid w:val="00F61865"/>
    <w:rsid w:val="00F621C0"/>
    <w:rsid w:val="00F62446"/>
    <w:rsid w:val="00F626C2"/>
    <w:rsid w:val="00F636BF"/>
    <w:rsid w:val="00F64099"/>
    <w:rsid w:val="00F64A7F"/>
    <w:rsid w:val="00F6749C"/>
    <w:rsid w:val="00F67544"/>
    <w:rsid w:val="00F6793E"/>
    <w:rsid w:val="00F7004D"/>
    <w:rsid w:val="00F709BD"/>
    <w:rsid w:val="00F70ABF"/>
    <w:rsid w:val="00F723AC"/>
    <w:rsid w:val="00F724A3"/>
    <w:rsid w:val="00F724D0"/>
    <w:rsid w:val="00F72BD8"/>
    <w:rsid w:val="00F72C6C"/>
    <w:rsid w:val="00F73130"/>
    <w:rsid w:val="00F73CD3"/>
    <w:rsid w:val="00F76E69"/>
    <w:rsid w:val="00F77D20"/>
    <w:rsid w:val="00F82164"/>
    <w:rsid w:val="00F8296D"/>
    <w:rsid w:val="00F832DE"/>
    <w:rsid w:val="00F83ACF"/>
    <w:rsid w:val="00F8420A"/>
    <w:rsid w:val="00F858F3"/>
    <w:rsid w:val="00F8618D"/>
    <w:rsid w:val="00F86501"/>
    <w:rsid w:val="00F8699A"/>
    <w:rsid w:val="00F86B94"/>
    <w:rsid w:val="00F87B92"/>
    <w:rsid w:val="00F90806"/>
    <w:rsid w:val="00F90C25"/>
    <w:rsid w:val="00F91B20"/>
    <w:rsid w:val="00F91B4D"/>
    <w:rsid w:val="00F92EB9"/>
    <w:rsid w:val="00F931B5"/>
    <w:rsid w:val="00F938D0"/>
    <w:rsid w:val="00F93EB8"/>
    <w:rsid w:val="00F96720"/>
    <w:rsid w:val="00F969AC"/>
    <w:rsid w:val="00FA1300"/>
    <w:rsid w:val="00FA1ADB"/>
    <w:rsid w:val="00FA1B68"/>
    <w:rsid w:val="00FA2798"/>
    <w:rsid w:val="00FA27DF"/>
    <w:rsid w:val="00FA2956"/>
    <w:rsid w:val="00FA2F22"/>
    <w:rsid w:val="00FA3BC6"/>
    <w:rsid w:val="00FA432C"/>
    <w:rsid w:val="00FA4C32"/>
    <w:rsid w:val="00FA4CD5"/>
    <w:rsid w:val="00FA5DFB"/>
    <w:rsid w:val="00FA6CF2"/>
    <w:rsid w:val="00FA6FFD"/>
    <w:rsid w:val="00FA7ADC"/>
    <w:rsid w:val="00FB0F15"/>
    <w:rsid w:val="00FB1C3F"/>
    <w:rsid w:val="00FB2584"/>
    <w:rsid w:val="00FB2E02"/>
    <w:rsid w:val="00FB4C19"/>
    <w:rsid w:val="00FB53F4"/>
    <w:rsid w:val="00FB5A72"/>
    <w:rsid w:val="00FB78BF"/>
    <w:rsid w:val="00FC045C"/>
    <w:rsid w:val="00FC123D"/>
    <w:rsid w:val="00FC2D76"/>
    <w:rsid w:val="00FC4245"/>
    <w:rsid w:val="00FC43BA"/>
    <w:rsid w:val="00FC4CC0"/>
    <w:rsid w:val="00FC4FB2"/>
    <w:rsid w:val="00FC6656"/>
    <w:rsid w:val="00FC6795"/>
    <w:rsid w:val="00FC7380"/>
    <w:rsid w:val="00FC73FA"/>
    <w:rsid w:val="00FC782D"/>
    <w:rsid w:val="00FC785A"/>
    <w:rsid w:val="00FD1176"/>
    <w:rsid w:val="00FD1A32"/>
    <w:rsid w:val="00FD1B2B"/>
    <w:rsid w:val="00FD21F0"/>
    <w:rsid w:val="00FD2A56"/>
    <w:rsid w:val="00FD2F83"/>
    <w:rsid w:val="00FD366B"/>
    <w:rsid w:val="00FD4434"/>
    <w:rsid w:val="00FD4593"/>
    <w:rsid w:val="00FD4D1A"/>
    <w:rsid w:val="00FD531F"/>
    <w:rsid w:val="00FD537E"/>
    <w:rsid w:val="00FD5C46"/>
    <w:rsid w:val="00FD6BD0"/>
    <w:rsid w:val="00FD7649"/>
    <w:rsid w:val="00FD7B2A"/>
    <w:rsid w:val="00FE071A"/>
    <w:rsid w:val="00FE0A54"/>
    <w:rsid w:val="00FE0CE4"/>
    <w:rsid w:val="00FE1BF0"/>
    <w:rsid w:val="00FE3879"/>
    <w:rsid w:val="00FE4803"/>
    <w:rsid w:val="00FE5437"/>
    <w:rsid w:val="00FE6296"/>
    <w:rsid w:val="00FE67EF"/>
    <w:rsid w:val="00FE7C83"/>
    <w:rsid w:val="00FF06DF"/>
    <w:rsid w:val="00FF0CF9"/>
    <w:rsid w:val="00FF1C2B"/>
    <w:rsid w:val="00FF2346"/>
    <w:rsid w:val="00FF261C"/>
    <w:rsid w:val="00FF2DF8"/>
    <w:rsid w:val="00FF305F"/>
    <w:rsid w:val="00FF323C"/>
    <w:rsid w:val="00FF3290"/>
    <w:rsid w:val="00FF3B55"/>
    <w:rsid w:val="00FF3C28"/>
    <w:rsid w:val="00FF41EB"/>
    <w:rsid w:val="00FF4643"/>
    <w:rsid w:val="00FF4D08"/>
    <w:rsid w:val="00FF62DE"/>
    <w:rsid w:val="00FF6695"/>
    <w:rsid w:val="00FF6955"/>
    <w:rsid w:val="00FF75F2"/>
    <w:rsid w:val="00FF772E"/>
    <w:rsid w:val="00FF7BB0"/>
    <w:rsid w:val="00FF7F01"/>
    <w:rsid w:val="01B99F3F"/>
    <w:rsid w:val="02C2BE38"/>
    <w:rsid w:val="02ECCBBB"/>
    <w:rsid w:val="036EA0F6"/>
    <w:rsid w:val="03725D88"/>
    <w:rsid w:val="04C6312D"/>
    <w:rsid w:val="0541B730"/>
    <w:rsid w:val="06301D4E"/>
    <w:rsid w:val="070689FF"/>
    <w:rsid w:val="071B8E14"/>
    <w:rsid w:val="07FCC186"/>
    <w:rsid w:val="09802CA8"/>
    <w:rsid w:val="099F9186"/>
    <w:rsid w:val="09F89C5A"/>
    <w:rsid w:val="0A0CF55C"/>
    <w:rsid w:val="0A0DA06F"/>
    <w:rsid w:val="0B7DDDEE"/>
    <w:rsid w:val="0D7C2477"/>
    <w:rsid w:val="0E03FFC2"/>
    <w:rsid w:val="0E229E4E"/>
    <w:rsid w:val="0ED989AE"/>
    <w:rsid w:val="1187D59F"/>
    <w:rsid w:val="147C9FE9"/>
    <w:rsid w:val="1599FFDE"/>
    <w:rsid w:val="17412748"/>
    <w:rsid w:val="1785EB66"/>
    <w:rsid w:val="17A9DC3F"/>
    <w:rsid w:val="1AACDECB"/>
    <w:rsid w:val="1CA0C1A2"/>
    <w:rsid w:val="1CD01413"/>
    <w:rsid w:val="1D4C23F7"/>
    <w:rsid w:val="20D0CFC3"/>
    <w:rsid w:val="21AC0B7D"/>
    <w:rsid w:val="25B9B449"/>
    <w:rsid w:val="25E67EFA"/>
    <w:rsid w:val="25ED07CB"/>
    <w:rsid w:val="264AF73A"/>
    <w:rsid w:val="2893CD37"/>
    <w:rsid w:val="2C82E4EA"/>
    <w:rsid w:val="2D4AB261"/>
    <w:rsid w:val="2DF42190"/>
    <w:rsid w:val="2F14408F"/>
    <w:rsid w:val="3052ED73"/>
    <w:rsid w:val="30A1D609"/>
    <w:rsid w:val="30CE3A7E"/>
    <w:rsid w:val="332ED717"/>
    <w:rsid w:val="34057699"/>
    <w:rsid w:val="354AAEFD"/>
    <w:rsid w:val="391379BD"/>
    <w:rsid w:val="39FAB566"/>
    <w:rsid w:val="3A933D4F"/>
    <w:rsid w:val="3AEDB032"/>
    <w:rsid w:val="3B248040"/>
    <w:rsid w:val="3C3121E5"/>
    <w:rsid w:val="3C54B524"/>
    <w:rsid w:val="3C9750FF"/>
    <w:rsid w:val="3CED6770"/>
    <w:rsid w:val="3E16929B"/>
    <w:rsid w:val="3F594AC5"/>
    <w:rsid w:val="3FD59333"/>
    <w:rsid w:val="40776205"/>
    <w:rsid w:val="4354704B"/>
    <w:rsid w:val="43697460"/>
    <w:rsid w:val="43B98003"/>
    <w:rsid w:val="455B44B1"/>
    <w:rsid w:val="46886607"/>
    <w:rsid w:val="46FE6122"/>
    <w:rsid w:val="4724773B"/>
    <w:rsid w:val="4810B7CE"/>
    <w:rsid w:val="48833B51"/>
    <w:rsid w:val="4923C3BD"/>
    <w:rsid w:val="499D0D41"/>
    <w:rsid w:val="4B76E425"/>
    <w:rsid w:val="4C5BB674"/>
    <w:rsid w:val="4C8F1F9C"/>
    <w:rsid w:val="4D4EB140"/>
    <w:rsid w:val="4EE0B2EF"/>
    <w:rsid w:val="509CFB39"/>
    <w:rsid w:val="5100AAC5"/>
    <w:rsid w:val="566C1BDA"/>
    <w:rsid w:val="572A5C4D"/>
    <w:rsid w:val="59C5FFD4"/>
    <w:rsid w:val="5D732C14"/>
    <w:rsid w:val="5DA5CE10"/>
    <w:rsid w:val="5E2A1774"/>
    <w:rsid w:val="5EC65CD1"/>
    <w:rsid w:val="5FA6CB2B"/>
    <w:rsid w:val="60DCBE9D"/>
    <w:rsid w:val="6168A8A2"/>
    <w:rsid w:val="61A2183D"/>
    <w:rsid w:val="62905613"/>
    <w:rsid w:val="640C6474"/>
    <w:rsid w:val="693C3CA0"/>
    <w:rsid w:val="695B8F44"/>
    <w:rsid w:val="69E51C94"/>
    <w:rsid w:val="6B8773A6"/>
    <w:rsid w:val="6C8AAB08"/>
    <w:rsid w:val="6CD729DB"/>
    <w:rsid w:val="6DFF870F"/>
    <w:rsid w:val="6E69C5C3"/>
    <w:rsid w:val="6E836373"/>
    <w:rsid w:val="6F37F945"/>
    <w:rsid w:val="6FDD78D2"/>
    <w:rsid w:val="72B787E3"/>
    <w:rsid w:val="739220E4"/>
    <w:rsid w:val="73EF1140"/>
    <w:rsid w:val="74535844"/>
    <w:rsid w:val="76E1239B"/>
    <w:rsid w:val="770CC8D6"/>
    <w:rsid w:val="77515547"/>
    <w:rsid w:val="778D6C92"/>
    <w:rsid w:val="78A2CE41"/>
    <w:rsid w:val="79D335F6"/>
    <w:rsid w:val="79F97677"/>
    <w:rsid w:val="7AA9A2A7"/>
    <w:rsid w:val="7B7A4696"/>
    <w:rsid w:val="7BAD0CDA"/>
    <w:rsid w:val="7BD05D07"/>
    <w:rsid w:val="7DF4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7C52A"/>
  <w15:docId w15:val="{64880039-7758-4178-A098-2B459645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3B1"/>
    <w:rPr>
      <w:lang w:val="en-GB"/>
    </w:rPr>
  </w:style>
  <w:style w:type="paragraph" w:styleId="Heading1">
    <w:name w:val="heading 1"/>
    <w:basedOn w:val="Normal"/>
    <w:next w:val="Normal"/>
    <w:link w:val="Heading1Char"/>
    <w:uiPriority w:val="9"/>
    <w:qFormat/>
    <w:rsid w:val="0037246E"/>
    <w:pPr>
      <w:keepNext/>
      <w:keepLines/>
      <w:spacing w:before="480" w:after="0"/>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uiPriority w:val="9"/>
    <w:qFormat/>
    <w:rsid w:val="000F5A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0F051F"/>
    <w:pPr>
      <w:keepNext/>
      <w:keepLines/>
      <w:spacing w:before="40" w:after="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unhideWhenUsed/>
    <w:qFormat/>
    <w:rsid w:val="000F051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71378A"/>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31D1"/>
    <w:pPr>
      <w:autoSpaceDE w:val="0"/>
      <w:autoSpaceDN w:val="0"/>
      <w:adjustRightInd w:val="0"/>
      <w:spacing w:after="0" w:line="240" w:lineRule="auto"/>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CD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Hyperlink">
    <w:name w:val="Hyperlink"/>
    <w:basedOn w:val="DefaultParagraphFont"/>
    <w:uiPriority w:val="99"/>
    <w:unhideWhenUsed/>
    <w:rsid w:val="008B2FC3"/>
    <w:rPr>
      <w:color w:val="0000FF" w:themeColor="hyperlink"/>
      <w:u w:val="single"/>
    </w:rPr>
  </w:style>
  <w:style w:type="paragraph" w:styleId="Header">
    <w:name w:val="header"/>
    <w:basedOn w:val="Normal"/>
    <w:link w:val="HeaderChar"/>
    <w:uiPriority w:val="99"/>
    <w:unhideWhenUsed/>
    <w:rsid w:val="00C23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03"/>
    <w:rPr>
      <w:lang w:val="en-GB"/>
    </w:rPr>
  </w:style>
  <w:style w:type="paragraph" w:styleId="Footer">
    <w:name w:val="footer"/>
    <w:basedOn w:val="Normal"/>
    <w:link w:val="FooterChar"/>
    <w:uiPriority w:val="99"/>
    <w:unhideWhenUsed/>
    <w:rsid w:val="00C23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03"/>
    <w:rPr>
      <w:lang w:val="en-GB"/>
    </w:rPr>
  </w:style>
  <w:style w:type="paragraph" w:styleId="ListParagraph">
    <w:name w:val="List Paragraph"/>
    <w:aliases w:val="Paragraphe EI,Paragraphe de liste1,EC,Cell bullets,Párrafo de lista"/>
    <w:basedOn w:val="Normal"/>
    <w:link w:val="ListParagraphChar"/>
    <w:uiPriority w:val="34"/>
    <w:qFormat/>
    <w:rsid w:val="000F11E1"/>
    <w:pPr>
      <w:spacing w:after="0" w:line="240" w:lineRule="auto"/>
      <w:ind w:left="720"/>
    </w:pPr>
    <w:rPr>
      <w:rFonts w:ascii="Calibri" w:hAnsi="Calibri" w:cs="Times New Roman"/>
      <w:sz w:val="22"/>
      <w:szCs w:val="22"/>
      <w:lang w:eastAsia="en-GB"/>
    </w:rPr>
  </w:style>
  <w:style w:type="paragraph" w:styleId="PlainText">
    <w:name w:val="Plain Text"/>
    <w:basedOn w:val="Normal"/>
    <w:link w:val="PlainTextChar"/>
    <w:uiPriority w:val="99"/>
    <w:unhideWhenUsed/>
    <w:rsid w:val="00702018"/>
    <w:pPr>
      <w:spacing w:after="0" w:line="240" w:lineRule="auto"/>
    </w:pPr>
    <w:rPr>
      <w:rFonts w:ascii="Consolas" w:hAnsi="Consolas" w:cs="Times New Roman"/>
      <w:sz w:val="21"/>
      <w:szCs w:val="21"/>
      <w:lang w:eastAsia="en-GB"/>
    </w:rPr>
  </w:style>
  <w:style w:type="character" w:customStyle="1" w:styleId="PlainTextChar">
    <w:name w:val="Plain Text Char"/>
    <w:basedOn w:val="DefaultParagraphFont"/>
    <w:link w:val="PlainText"/>
    <w:uiPriority w:val="99"/>
    <w:rsid w:val="00702018"/>
    <w:rPr>
      <w:rFonts w:ascii="Consolas" w:hAnsi="Consolas" w:cs="Times New Roman"/>
      <w:sz w:val="21"/>
      <w:szCs w:val="21"/>
      <w:lang w:val="en-GB" w:eastAsia="en-GB"/>
    </w:rPr>
  </w:style>
  <w:style w:type="paragraph" w:customStyle="1" w:styleId="a3520normal">
    <w:name w:val="a___35__20_normal"/>
    <w:basedOn w:val="Normal"/>
    <w:rsid w:val="004C0E43"/>
    <w:pPr>
      <w:spacing w:after="120" w:line="240" w:lineRule="auto"/>
    </w:pPr>
    <w:rPr>
      <w:rFonts w:ascii="Times New Roman" w:hAnsi="Times New Roman" w:cs="Times New Roman"/>
      <w:lang w:eastAsia="en-GB"/>
    </w:rPr>
  </w:style>
  <w:style w:type="paragraph" w:styleId="NoSpacing">
    <w:name w:val="No Spacing"/>
    <w:uiPriority w:val="1"/>
    <w:qFormat/>
    <w:rsid w:val="008820BC"/>
    <w:pPr>
      <w:spacing w:after="0" w:line="240" w:lineRule="auto"/>
    </w:pPr>
    <w:rPr>
      <w:rFonts w:asciiTheme="minorHAnsi" w:hAnsiTheme="minorHAnsi"/>
      <w:sz w:val="22"/>
      <w:szCs w:val="22"/>
      <w:lang w:val="en-GB"/>
    </w:rPr>
  </w:style>
  <w:style w:type="character" w:customStyle="1" w:styleId="Heading2Char">
    <w:name w:val="Heading 2 Char"/>
    <w:basedOn w:val="DefaultParagraphFont"/>
    <w:link w:val="Heading2"/>
    <w:uiPriority w:val="9"/>
    <w:rsid w:val="000F5A1C"/>
    <w:rPr>
      <w:rFonts w:ascii="Times New Roman" w:eastAsia="Times New Roman" w:hAnsi="Times New Roman" w:cs="Times New Roman"/>
      <w:b/>
      <w:bCs/>
      <w:sz w:val="36"/>
      <w:szCs w:val="36"/>
      <w:lang w:val="en-GB" w:eastAsia="en-GB"/>
    </w:rPr>
  </w:style>
  <w:style w:type="character" w:customStyle="1" w:styleId="Heading1Char">
    <w:name w:val="Heading 1 Char"/>
    <w:basedOn w:val="DefaultParagraphFont"/>
    <w:link w:val="Heading1"/>
    <w:uiPriority w:val="9"/>
    <w:rsid w:val="0037246E"/>
    <w:rPr>
      <w:rFonts w:eastAsiaTheme="majorEastAsia" w:cstheme="majorBidi"/>
      <w:b/>
      <w:bCs/>
      <w:color w:val="365F91" w:themeColor="accent1" w:themeShade="BF"/>
      <w:sz w:val="28"/>
      <w:szCs w:val="28"/>
    </w:rPr>
  </w:style>
  <w:style w:type="paragraph" w:customStyle="1" w:styleId="FreeForm">
    <w:name w:val="Free Form"/>
    <w:rsid w:val="00342737"/>
    <w:pPr>
      <w:spacing w:after="0" w:line="240" w:lineRule="auto"/>
    </w:pPr>
    <w:rPr>
      <w:rFonts w:ascii="Helvetica" w:eastAsia="ヒラギノ角ゴ Pro W3" w:hAnsi="Helvetica" w:cs="Times New Roman"/>
      <w:color w:val="000000"/>
      <w:szCs w:val="20"/>
      <w:lang w:eastAsia="en-GB"/>
    </w:rPr>
  </w:style>
  <w:style w:type="paragraph" w:styleId="BodyText">
    <w:name w:val="Body Text"/>
    <w:basedOn w:val="Normal"/>
    <w:link w:val="BodyTextChar"/>
    <w:uiPriority w:val="99"/>
    <w:semiHidden/>
    <w:unhideWhenUsed/>
    <w:rsid w:val="00A074E4"/>
    <w:pPr>
      <w:spacing w:after="0" w:line="240" w:lineRule="auto"/>
      <w:ind w:left="720"/>
      <w:jc w:val="both"/>
    </w:pPr>
    <w:rPr>
      <w:rFonts w:ascii="Calibri" w:hAnsi="Calibri" w:cs="Times New Roman"/>
      <w:color w:val="1F497D"/>
      <w:sz w:val="22"/>
      <w:szCs w:val="22"/>
      <w:lang w:eastAsia="en-GB"/>
    </w:rPr>
  </w:style>
  <w:style w:type="character" w:customStyle="1" w:styleId="BodyTextChar">
    <w:name w:val="Body Text Char"/>
    <w:basedOn w:val="DefaultParagraphFont"/>
    <w:link w:val="BodyText"/>
    <w:uiPriority w:val="99"/>
    <w:semiHidden/>
    <w:rsid w:val="00A074E4"/>
    <w:rPr>
      <w:rFonts w:ascii="Calibri" w:hAnsi="Calibri" w:cs="Times New Roman"/>
      <w:color w:val="1F497D"/>
      <w:sz w:val="22"/>
      <w:szCs w:val="22"/>
      <w:lang w:val="en-GB" w:eastAsia="en-GB"/>
    </w:rPr>
  </w:style>
  <w:style w:type="paragraph" w:customStyle="1" w:styleId="LONCORP1UKL1">
    <w:name w:val="LONCORP1UK_L1"/>
    <w:basedOn w:val="Normal"/>
    <w:rsid w:val="00107FE8"/>
    <w:pPr>
      <w:numPr>
        <w:numId w:val="1"/>
      </w:numPr>
      <w:spacing w:after="240" w:line="240" w:lineRule="auto"/>
      <w:jc w:val="both"/>
      <w:outlineLvl w:val="0"/>
    </w:pPr>
    <w:rPr>
      <w:rFonts w:ascii="Times New Roman" w:eastAsia="Times New Roman" w:hAnsi="Times New Roman" w:cs="Times New Roman"/>
      <w:b/>
      <w:caps/>
      <w:szCs w:val="20"/>
      <w:lang w:val="en-US"/>
    </w:rPr>
  </w:style>
  <w:style w:type="paragraph" w:customStyle="1" w:styleId="LONCORP1UKL2">
    <w:name w:val="LONCORP1UK_L2"/>
    <w:basedOn w:val="LONCORP1UKL1"/>
    <w:rsid w:val="00107FE8"/>
    <w:pPr>
      <w:numPr>
        <w:ilvl w:val="1"/>
      </w:numPr>
      <w:outlineLvl w:val="1"/>
    </w:pPr>
    <w:rPr>
      <w:b w:val="0"/>
      <w:caps w:val="0"/>
    </w:rPr>
  </w:style>
  <w:style w:type="paragraph" w:customStyle="1" w:styleId="LONCORP1UKL3">
    <w:name w:val="LONCORP1UK_L3"/>
    <w:basedOn w:val="LONCORP1UKL2"/>
    <w:rsid w:val="00107FE8"/>
    <w:pPr>
      <w:numPr>
        <w:ilvl w:val="2"/>
      </w:numPr>
      <w:outlineLvl w:val="2"/>
    </w:pPr>
  </w:style>
  <w:style w:type="paragraph" w:customStyle="1" w:styleId="LONCORP1UKL4">
    <w:name w:val="LONCORP1UK_L4"/>
    <w:basedOn w:val="LONCORP1UKL3"/>
    <w:rsid w:val="00107FE8"/>
    <w:pPr>
      <w:numPr>
        <w:ilvl w:val="3"/>
      </w:numPr>
      <w:outlineLvl w:val="3"/>
    </w:pPr>
  </w:style>
  <w:style w:type="paragraph" w:customStyle="1" w:styleId="LONCORP1UKL5">
    <w:name w:val="LONCORP1UK_L5"/>
    <w:basedOn w:val="LONCORP1UKL4"/>
    <w:rsid w:val="00107FE8"/>
    <w:pPr>
      <w:numPr>
        <w:ilvl w:val="4"/>
      </w:numPr>
      <w:outlineLvl w:val="4"/>
    </w:pPr>
  </w:style>
  <w:style w:type="paragraph" w:customStyle="1" w:styleId="LONCORP1UKL6">
    <w:name w:val="LONCORP1UK_L6"/>
    <w:basedOn w:val="Normal"/>
    <w:next w:val="ListParagraph"/>
    <w:rsid w:val="00107FE8"/>
    <w:pPr>
      <w:numPr>
        <w:ilvl w:val="5"/>
        <w:numId w:val="1"/>
      </w:numPr>
      <w:spacing w:after="240" w:line="240" w:lineRule="auto"/>
      <w:ind w:right="720"/>
      <w:outlineLvl w:val="5"/>
    </w:pPr>
    <w:rPr>
      <w:rFonts w:ascii="Times New Roman" w:eastAsia="Times New Roman" w:hAnsi="Times New Roman" w:cs="Times New Roman"/>
      <w:szCs w:val="20"/>
      <w:lang w:val="en-US"/>
    </w:rPr>
  </w:style>
  <w:style w:type="character" w:styleId="Strong">
    <w:name w:val="Strong"/>
    <w:basedOn w:val="DefaultParagraphFont"/>
    <w:uiPriority w:val="22"/>
    <w:qFormat/>
    <w:rsid w:val="00F1623A"/>
    <w:rPr>
      <w:b/>
      <w:bCs/>
    </w:rPr>
  </w:style>
  <w:style w:type="character" w:customStyle="1" w:styleId="apple-style-span">
    <w:name w:val="apple-style-span"/>
    <w:basedOn w:val="DefaultParagraphFont"/>
    <w:rsid w:val="00612642"/>
  </w:style>
  <w:style w:type="character" w:styleId="FollowedHyperlink">
    <w:name w:val="FollowedHyperlink"/>
    <w:basedOn w:val="DefaultParagraphFont"/>
    <w:uiPriority w:val="99"/>
    <w:semiHidden/>
    <w:unhideWhenUsed/>
    <w:rsid w:val="00FD4434"/>
    <w:rPr>
      <w:color w:val="800080" w:themeColor="followedHyperlink"/>
      <w:u w:val="single"/>
    </w:rPr>
  </w:style>
  <w:style w:type="paragraph" w:styleId="FootnoteText">
    <w:name w:val="footnote text"/>
    <w:basedOn w:val="Normal"/>
    <w:link w:val="FootnoteTextChar"/>
    <w:uiPriority w:val="99"/>
    <w:semiHidden/>
    <w:unhideWhenUsed/>
    <w:rsid w:val="00AA2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E1C"/>
    <w:rPr>
      <w:sz w:val="20"/>
      <w:szCs w:val="20"/>
      <w:lang w:val="en-GB"/>
    </w:rPr>
  </w:style>
  <w:style w:type="character" w:styleId="FootnoteReference">
    <w:name w:val="footnote reference"/>
    <w:basedOn w:val="DefaultParagraphFont"/>
    <w:uiPriority w:val="99"/>
    <w:semiHidden/>
    <w:unhideWhenUsed/>
    <w:rsid w:val="00AA2E1C"/>
    <w:rPr>
      <w:vertAlign w:val="superscript"/>
    </w:rPr>
  </w:style>
  <w:style w:type="character" w:customStyle="1" w:styleId="apple-converted-space">
    <w:name w:val="apple-converted-space"/>
    <w:basedOn w:val="DefaultParagraphFont"/>
    <w:rsid w:val="00B64AB9"/>
  </w:style>
  <w:style w:type="paragraph" w:customStyle="1" w:styleId="NormalJustification">
    <w:name w:val="Normal + Justification"/>
    <w:basedOn w:val="Normal"/>
    <w:uiPriority w:val="99"/>
    <w:rsid w:val="0000601C"/>
    <w:pPr>
      <w:spacing w:before="120" w:after="240" w:line="240" w:lineRule="auto"/>
      <w:ind w:right="627"/>
      <w:jc w:val="both"/>
    </w:pPr>
    <w:rPr>
      <w:rFonts w:ascii="Cambria" w:eastAsia="Calibri" w:hAnsi="Cambria" w:cs="Times New Roman"/>
    </w:rPr>
  </w:style>
  <w:style w:type="character" w:customStyle="1" w:styleId="spelle">
    <w:name w:val="spelle"/>
    <w:basedOn w:val="DefaultParagraphFont"/>
    <w:rsid w:val="00C9034D"/>
  </w:style>
  <w:style w:type="character" w:styleId="CommentReference">
    <w:name w:val="annotation reference"/>
    <w:basedOn w:val="DefaultParagraphFont"/>
    <w:uiPriority w:val="99"/>
    <w:semiHidden/>
    <w:unhideWhenUsed/>
    <w:rsid w:val="008245DF"/>
    <w:rPr>
      <w:sz w:val="16"/>
      <w:szCs w:val="16"/>
    </w:rPr>
  </w:style>
  <w:style w:type="paragraph" w:styleId="CommentText">
    <w:name w:val="annotation text"/>
    <w:basedOn w:val="Normal"/>
    <w:link w:val="CommentTextChar"/>
    <w:uiPriority w:val="99"/>
    <w:unhideWhenUsed/>
    <w:rsid w:val="008245DF"/>
    <w:pPr>
      <w:spacing w:line="240" w:lineRule="auto"/>
    </w:pPr>
    <w:rPr>
      <w:sz w:val="20"/>
      <w:szCs w:val="20"/>
    </w:rPr>
  </w:style>
  <w:style w:type="character" w:customStyle="1" w:styleId="CommentTextChar">
    <w:name w:val="Comment Text Char"/>
    <w:basedOn w:val="DefaultParagraphFont"/>
    <w:link w:val="CommentText"/>
    <w:uiPriority w:val="99"/>
    <w:rsid w:val="008245DF"/>
    <w:rPr>
      <w:sz w:val="20"/>
      <w:szCs w:val="20"/>
      <w:lang w:val="en-GB"/>
    </w:rPr>
  </w:style>
  <w:style w:type="paragraph" w:styleId="CommentSubject">
    <w:name w:val="annotation subject"/>
    <w:basedOn w:val="CommentText"/>
    <w:next w:val="CommentText"/>
    <w:link w:val="CommentSubjectChar"/>
    <w:uiPriority w:val="99"/>
    <w:semiHidden/>
    <w:unhideWhenUsed/>
    <w:rsid w:val="008245DF"/>
    <w:rPr>
      <w:b/>
      <w:bCs/>
    </w:rPr>
  </w:style>
  <w:style w:type="character" w:customStyle="1" w:styleId="CommentSubjectChar">
    <w:name w:val="Comment Subject Char"/>
    <w:basedOn w:val="CommentTextChar"/>
    <w:link w:val="CommentSubject"/>
    <w:uiPriority w:val="99"/>
    <w:semiHidden/>
    <w:rsid w:val="008245DF"/>
    <w:rPr>
      <w:b/>
      <w:bCs/>
      <w:sz w:val="20"/>
      <w:szCs w:val="20"/>
      <w:lang w:val="en-GB"/>
    </w:rPr>
  </w:style>
  <w:style w:type="paragraph" w:styleId="Revision">
    <w:name w:val="Revision"/>
    <w:hidden/>
    <w:uiPriority w:val="99"/>
    <w:semiHidden/>
    <w:rsid w:val="00E44499"/>
    <w:pPr>
      <w:spacing w:after="0" w:line="240" w:lineRule="auto"/>
    </w:pPr>
    <w:rPr>
      <w:lang w:val="en-GB"/>
    </w:rPr>
  </w:style>
  <w:style w:type="character" w:customStyle="1" w:styleId="Heading5Char">
    <w:name w:val="Heading 5 Char"/>
    <w:basedOn w:val="DefaultParagraphFont"/>
    <w:link w:val="Heading5"/>
    <w:uiPriority w:val="9"/>
    <w:rsid w:val="0071378A"/>
    <w:rPr>
      <w:rFonts w:eastAsiaTheme="majorEastAsia" w:cstheme="majorBidi"/>
      <w:color w:val="243F60" w:themeColor="accent1" w:themeShade="7F"/>
      <w:lang w:val="en-GB"/>
    </w:rPr>
  </w:style>
  <w:style w:type="character" w:customStyle="1" w:styleId="edittxt">
    <w:name w:val="edit_txt"/>
    <w:basedOn w:val="DefaultParagraphFont"/>
    <w:rsid w:val="0071378A"/>
  </w:style>
  <w:style w:type="character" w:styleId="Emphasis">
    <w:name w:val="Emphasis"/>
    <w:basedOn w:val="DefaultParagraphFont"/>
    <w:uiPriority w:val="20"/>
    <w:qFormat/>
    <w:rsid w:val="008C2114"/>
    <w:rPr>
      <w:b/>
      <w:bCs/>
      <w:i w:val="0"/>
      <w:iCs w:val="0"/>
    </w:rPr>
  </w:style>
  <w:style w:type="paragraph" w:customStyle="1" w:styleId="Body1">
    <w:name w:val="Body 1"/>
    <w:basedOn w:val="Normal"/>
    <w:rsid w:val="00E0153E"/>
    <w:rPr>
      <w:rFonts w:ascii="Helvetica" w:hAnsi="Helvetica" w:cs="Times New Roman"/>
      <w:color w:val="000000"/>
      <w:lang w:eastAsia="en-GB"/>
    </w:rPr>
  </w:style>
  <w:style w:type="character" w:customStyle="1" w:styleId="ListParagraphChar">
    <w:name w:val="List Paragraph Char"/>
    <w:aliases w:val="Paragraphe EI Char,Paragraphe de liste1 Char,EC Char,Cell bullets Char,Párrafo de lista Char"/>
    <w:basedOn w:val="DefaultParagraphFont"/>
    <w:link w:val="ListParagraph"/>
    <w:uiPriority w:val="99"/>
    <w:locked/>
    <w:rsid w:val="001C4A3A"/>
    <w:rPr>
      <w:rFonts w:ascii="Calibri" w:hAnsi="Calibri" w:cs="Times New Roman"/>
      <w:sz w:val="22"/>
      <w:szCs w:val="22"/>
      <w:lang w:val="en-GB" w:eastAsia="en-GB"/>
    </w:rPr>
  </w:style>
  <w:style w:type="paragraph" w:customStyle="1" w:styleId="bullet">
    <w:name w:val="bullet"/>
    <w:basedOn w:val="Normal"/>
    <w:rsid w:val="000E2E5D"/>
    <w:pPr>
      <w:spacing w:after="0" w:line="240" w:lineRule="auto"/>
    </w:pPr>
    <w:rPr>
      <w:rFonts w:ascii="Times New Roman" w:hAnsi="Times New Roman" w:cs="Times New Roman"/>
      <w:sz w:val="20"/>
      <w:szCs w:val="20"/>
      <w:lang w:eastAsia="en-GB"/>
    </w:rPr>
  </w:style>
  <w:style w:type="character" w:customStyle="1" w:styleId="UnresolvedMention1">
    <w:name w:val="Unresolved Mention1"/>
    <w:basedOn w:val="DefaultParagraphFont"/>
    <w:uiPriority w:val="99"/>
    <w:semiHidden/>
    <w:unhideWhenUsed/>
    <w:rsid w:val="001425DE"/>
    <w:rPr>
      <w:color w:val="808080"/>
      <w:shd w:val="clear" w:color="auto" w:fill="E6E6E6"/>
    </w:rPr>
  </w:style>
  <w:style w:type="paragraph" w:customStyle="1" w:styleId="xmsonormal">
    <w:name w:val="x_msonormal"/>
    <w:basedOn w:val="Normal"/>
    <w:rsid w:val="009E4CF3"/>
    <w:pPr>
      <w:spacing w:after="0" w:line="240" w:lineRule="auto"/>
    </w:pPr>
    <w:rPr>
      <w:rFonts w:ascii="Calibri" w:hAnsi="Calibri" w:cs="Calibri"/>
      <w:sz w:val="22"/>
      <w:szCs w:val="22"/>
      <w:lang w:eastAsia="en-GB"/>
    </w:rPr>
  </w:style>
  <w:style w:type="character" w:customStyle="1" w:styleId="Heading3Char">
    <w:name w:val="Heading 3 Char"/>
    <w:basedOn w:val="DefaultParagraphFont"/>
    <w:link w:val="Heading3"/>
    <w:uiPriority w:val="9"/>
    <w:rsid w:val="000F051F"/>
    <w:rPr>
      <w:rFonts w:eastAsiaTheme="majorEastAsia" w:cstheme="majorBidi"/>
      <w:color w:val="243F60" w:themeColor="accent1" w:themeShade="7F"/>
      <w:lang w:val="en-GB"/>
    </w:rPr>
  </w:style>
  <w:style w:type="character" w:customStyle="1" w:styleId="Heading4Char">
    <w:name w:val="Heading 4 Char"/>
    <w:basedOn w:val="DefaultParagraphFont"/>
    <w:link w:val="Heading4"/>
    <w:uiPriority w:val="9"/>
    <w:rsid w:val="000F051F"/>
    <w:rPr>
      <w:rFonts w:eastAsiaTheme="majorEastAsia" w:cstheme="majorBidi"/>
      <w:i/>
      <w:iCs/>
      <w:color w:val="365F91" w:themeColor="accent1" w:themeShade="BF"/>
      <w:lang w:val="en-GB"/>
    </w:rPr>
  </w:style>
  <w:style w:type="character" w:customStyle="1" w:styleId="StyleFrutiger105pt">
    <w:name w:val="Style Frutiger 10.5 pt"/>
    <w:rsid w:val="004812D6"/>
    <w:rPr>
      <w:rFonts w:ascii="Frutiger 45 Light" w:hAnsi="Frutiger 45 Light" w:hint="default"/>
      <w:sz w:val="21"/>
    </w:rPr>
  </w:style>
  <w:style w:type="character" w:styleId="UnresolvedMention">
    <w:name w:val="Unresolved Mention"/>
    <w:basedOn w:val="DefaultParagraphFont"/>
    <w:uiPriority w:val="99"/>
    <w:rsid w:val="00533F3E"/>
    <w:rPr>
      <w:color w:val="605E5C"/>
      <w:shd w:val="clear" w:color="auto" w:fill="E1DFDD"/>
    </w:rPr>
  </w:style>
  <w:style w:type="character" w:customStyle="1" w:styleId="normaltextrun">
    <w:name w:val="normaltextrun"/>
    <w:basedOn w:val="DefaultParagraphFont"/>
    <w:rsid w:val="002E1AC6"/>
  </w:style>
  <w:style w:type="paragraph" w:customStyle="1" w:styleId="pf0">
    <w:name w:val="pf0"/>
    <w:basedOn w:val="Normal"/>
    <w:rsid w:val="00FE67E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FE67EF"/>
    <w:rPr>
      <w:rFonts w:ascii="Segoe UI" w:hAnsi="Segoe UI" w:cs="Segoe UI" w:hint="default"/>
      <w:sz w:val="18"/>
      <w:szCs w:val="18"/>
    </w:rPr>
  </w:style>
  <w:style w:type="character" w:customStyle="1" w:styleId="PrrafodelistaCar">
    <w:name w:val="Párrafo de lista Car"/>
    <w:aliases w:val="Paragraphe EI Car,Paragraphe de liste1 Car,EC Car,Cell bullets Car"/>
    <w:basedOn w:val="DefaultParagraphFont"/>
    <w:uiPriority w:val="34"/>
    <w:locked/>
    <w:rsid w:val="00664B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9">
      <w:bodyDiv w:val="1"/>
      <w:marLeft w:val="0"/>
      <w:marRight w:val="0"/>
      <w:marTop w:val="0"/>
      <w:marBottom w:val="0"/>
      <w:divBdr>
        <w:top w:val="none" w:sz="0" w:space="0" w:color="auto"/>
        <w:left w:val="none" w:sz="0" w:space="0" w:color="auto"/>
        <w:bottom w:val="none" w:sz="0" w:space="0" w:color="auto"/>
        <w:right w:val="none" w:sz="0" w:space="0" w:color="auto"/>
      </w:divBdr>
    </w:div>
    <w:div w:id="4485637">
      <w:bodyDiv w:val="1"/>
      <w:marLeft w:val="0"/>
      <w:marRight w:val="0"/>
      <w:marTop w:val="0"/>
      <w:marBottom w:val="0"/>
      <w:divBdr>
        <w:top w:val="none" w:sz="0" w:space="0" w:color="auto"/>
        <w:left w:val="none" w:sz="0" w:space="0" w:color="auto"/>
        <w:bottom w:val="none" w:sz="0" w:space="0" w:color="auto"/>
        <w:right w:val="none" w:sz="0" w:space="0" w:color="auto"/>
      </w:divBdr>
    </w:div>
    <w:div w:id="8945329">
      <w:bodyDiv w:val="1"/>
      <w:marLeft w:val="0"/>
      <w:marRight w:val="0"/>
      <w:marTop w:val="0"/>
      <w:marBottom w:val="0"/>
      <w:divBdr>
        <w:top w:val="none" w:sz="0" w:space="0" w:color="auto"/>
        <w:left w:val="none" w:sz="0" w:space="0" w:color="auto"/>
        <w:bottom w:val="none" w:sz="0" w:space="0" w:color="auto"/>
        <w:right w:val="none" w:sz="0" w:space="0" w:color="auto"/>
      </w:divBdr>
    </w:div>
    <w:div w:id="10885073">
      <w:bodyDiv w:val="1"/>
      <w:marLeft w:val="0"/>
      <w:marRight w:val="0"/>
      <w:marTop w:val="0"/>
      <w:marBottom w:val="0"/>
      <w:divBdr>
        <w:top w:val="none" w:sz="0" w:space="0" w:color="auto"/>
        <w:left w:val="none" w:sz="0" w:space="0" w:color="auto"/>
        <w:bottom w:val="none" w:sz="0" w:space="0" w:color="auto"/>
        <w:right w:val="none" w:sz="0" w:space="0" w:color="auto"/>
      </w:divBdr>
    </w:div>
    <w:div w:id="14771958">
      <w:bodyDiv w:val="1"/>
      <w:marLeft w:val="0"/>
      <w:marRight w:val="0"/>
      <w:marTop w:val="0"/>
      <w:marBottom w:val="0"/>
      <w:divBdr>
        <w:top w:val="none" w:sz="0" w:space="0" w:color="auto"/>
        <w:left w:val="none" w:sz="0" w:space="0" w:color="auto"/>
        <w:bottom w:val="none" w:sz="0" w:space="0" w:color="auto"/>
        <w:right w:val="none" w:sz="0" w:space="0" w:color="auto"/>
      </w:divBdr>
    </w:div>
    <w:div w:id="21059716">
      <w:bodyDiv w:val="1"/>
      <w:marLeft w:val="0"/>
      <w:marRight w:val="0"/>
      <w:marTop w:val="0"/>
      <w:marBottom w:val="0"/>
      <w:divBdr>
        <w:top w:val="none" w:sz="0" w:space="0" w:color="auto"/>
        <w:left w:val="none" w:sz="0" w:space="0" w:color="auto"/>
        <w:bottom w:val="none" w:sz="0" w:space="0" w:color="auto"/>
        <w:right w:val="none" w:sz="0" w:space="0" w:color="auto"/>
      </w:divBdr>
    </w:div>
    <w:div w:id="23218747">
      <w:bodyDiv w:val="1"/>
      <w:marLeft w:val="0"/>
      <w:marRight w:val="0"/>
      <w:marTop w:val="0"/>
      <w:marBottom w:val="0"/>
      <w:divBdr>
        <w:top w:val="none" w:sz="0" w:space="0" w:color="auto"/>
        <w:left w:val="none" w:sz="0" w:space="0" w:color="auto"/>
        <w:bottom w:val="none" w:sz="0" w:space="0" w:color="auto"/>
        <w:right w:val="none" w:sz="0" w:space="0" w:color="auto"/>
      </w:divBdr>
    </w:div>
    <w:div w:id="23482512">
      <w:bodyDiv w:val="1"/>
      <w:marLeft w:val="0"/>
      <w:marRight w:val="0"/>
      <w:marTop w:val="0"/>
      <w:marBottom w:val="0"/>
      <w:divBdr>
        <w:top w:val="none" w:sz="0" w:space="0" w:color="auto"/>
        <w:left w:val="none" w:sz="0" w:space="0" w:color="auto"/>
        <w:bottom w:val="none" w:sz="0" w:space="0" w:color="auto"/>
        <w:right w:val="none" w:sz="0" w:space="0" w:color="auto"/>
      </w:divBdr>
    </w:div>
    <w:div w:id="23679885">
      <w:bodyDiv w:val="1"/>
      <w:marLeft w:val="0"/>
      <w:marRight w:val="0"/>
      <w:marTop w:val="0"/>
      <w:marBottom w:val="0"/>
      <w:divBdr>
        <w:top w:val="none" w:sz="0" w:space="0" w:color="auto"/>
        <w:left w:val="none" w:sz="0" w:space="0" w:color="auto"/>
        <w:bottom w:val="none" w:sz="0" w:space="0" w:color="auto"/>
        <w:right w:val="none" w:sz="0" w:space="0" w:color="auto"/>
      </w:divBdr>
    </w:div>
    <w:div w:id="26106815">
      <w:bodyDiv w:val="1"/>
      <w:marLeft w:val="0"/>
      <w:marRight w:val="0"/>
      <w:marTop w:val="0"/>
      <w:marBottom w:val="0"/>
      <w:divBdr>
        <w:top w:val="none" w:sz="0" w:space="0" w:color="auto"/>
        <w:left w:val="none" w:sz="0" w:space="0" w:color="auto"/>
        <w:bottom w:val="none" w:sz="0" w:space="0" w:color="auto"/>
        <w:right w:val="none" w:sz="0" w:space="0" w:color="auto"/>
      </w:divBdr>
    </w:div>
    <w:div w:id="46269173">
      <w:bodyDiv w:val="1"/>
      <w:marLeft w:val="0"/>
      <w:marRight w:val="0"/>
      <w:marTop w:val="0"/>
      <w:marBottom w:val="0"/>
      <w:divBdr>
        <w:top w:val="none" w:sz="0" w:space="0" w:color="auto"/>
        <w:left w:val="none" w:sz="0" w:space="0" w:color="auto"/>
        <w:bottom w:val="none" w:sz="0" w:space="0" w:color="auto"/>
        <w:right w:val="none" w:sz="0" w:space="0" w:color="auto"/>
      </w:divBdr>
    </w:div>
    <w:div w:id="51002286">
      <w:bodyDiv w:val="1"/>
      <w:marLeft w:val="0"/>
      <w:marRight w:val="0"/>
      <w:marTop w:val="0"/>
      <w:marBottom w:val="0"/>
      <w:divBdr>
        <w:top w:val="none" w:sz="0" w:space="0" w:color="auto"/>
        <w:left w:val="none" w:sz="0" w:space="0" w:color="auto"/>
        <w:bottom w:val="none" w:sz="0" w:space="0" w:color="auto"/>
        <w:right w:val="none" w:sz="0" w:space="0" w:color="auto"/>
      </w:divBdr>
    </w:div>
    <w:div w:id="57746275">
      <w:bodyDiv w:val="1"/>
      <w:marLeft w:val="0"/>
      <w:marRight w:val="0"/>
      <w:marTop w:val="0"/>
      <w:marBottom w:val="0"/>
      <w:divBdr>
        <w:top w:val="none" w:sz="0" w:space="0" w:color="auto"/>
        <w:left w:val="none" w:sz="0" w:space="0" w:color="auto"/>
        <w:bottom w:val="none" w:sz="0" w:space="0" w:color="auto"/>
        <w:right w:val="none" w:sz="0" w:space="0" w:color="auto"/>
      </w:divBdr>
    </w:div>
    <w:div w:id="65763858">
      <w:bodyDiv w:val="1"/>
      <w:marLeft w:val="0"/>
      <w:marRight w:val="0"/>
      <w:marTop w:val="0"/>
      <w:marBottom w:val="0"/>
      <w:divBdr>
        <w:top w:val="none" w:sz="0" w:space="0" w:color="auto"/>
        <w:left w:val="none" w:sz="0" w:space="0" w:color="auto"/>
        <w:bottom w:val="none" w:sz="0" w:space="0" w:color="auto"/>
        <w:right w:val="none" w:sz="0" w:space="0" w:color="auto"/>
      </w:divBdr>
    </w:div>
    <w:div w:id="90054866">
      <w:bodyDiv w:val="1"/>
      <w:marLeft w:val="0"/>
      <w:marRight w:val="0"/>
      <w:marTop w:val="0"/>
      <w:marBottom w:val="0"/>
      <w:divBdr>
        <w:top w:val="none" w:sz="0" w:space="0" w:color="auto"/>
        <w:left w:val="none" w:sz="0" w:space="0" w:color="auto"/>
        <w:bottom w:val="none" w:sz="0" w:space="0" w:color="auto"/>
        <w:right w:val="none" w:sz="0" w:space="0" w:color="auto"/>
      </w:divBdr>
    </w:div>
    <w:div w:id="116342763">
      <w:bodyDiv w:val="1"/>
      <w:marLeft w:val="0"/>
      <w:marRight w:val="0"/>
      <w:marTop w:val="0"/>
      <w:marBottom w:val="0"/>
      <w:divBdr>
        <w:top w:val="none" w:sz="0" w:space="0" w:color="auto"/>
        <w:left w:val="none" w:sz="0" w:space="0" w:color="auto"/>
        <w:bottom w:val="none" w:sz="0" w:space="0" w:color="auto"/>
        <w:right w:val="none" w:sz="0" w:space="0" w:color="auto"/>
      </w:divBdr>
    </w:div>
    <w:div w:id="119419077">
      <w:bodyDiv w:val="1"/>
      <w:marLeft w:val="0"/>
      <w:marRight w:val="0"/>
      <w:marTop w:val="0"/>
      <w:marBottom w:val="0"/>
      <w:divBdr>
        <w:top w:val="none" w:sz="0" w:space="0" w:color="auto"/>
        <w:left w:val="none" w:sz="0" w:space="0" w:color="auto"/>
        <w:bottom w:val="none" w:sz="0" w:space="0" w:color="auto"/>
        <w:right w:val="none" w:sz="0" w:space="0" w:color="auto"/>
      </w:divBdr>
    </w:div>
    <w:div w:id="120879188">
      <w:bodyDiv w:val="1"/>
      <w:marLeft w:val="0"/>
      <w:marRight w:val="0"/>
      <w:marTop w:val="0"/>
      <w:marBottom w:val="0"/>
      <w:divBdr>
        <w:top w:val="none" w:sz="0" w:space="0" w:color="auto"/>
        <w:left w:val="none" w:sz="0" w:space="0" w:color="auto"/>
        <w:bottom w:val="none" w:sz="0" w:space="0" w:color="auto"/>
        <w:right w:val="none" w:sz="0" w:space="0" w:color="auto"/>
      </w:divBdr>
    </w:div>
    <w:div w:id="126512098">
      <w:bodyDiv w:val="1"/>
      <w:marLeft w:val="0"/>
      <w:marRight w:val="0"/>
      <w:marTop w:val="0"/>
      <w:marBottom w:val="0"/>
      <w:divBdr>
        <w:top w:val="none" w:sz="0" w:space="0" w:color="auto"/>
        <w:left w:val="none" w:sz="0" w:space="0" w:color="auto"/>
        <w:bottom w:val="none" w:sz="0" w:space="0" w:color="auto"/>
        <w:right w:val="none" w:sz="0" w:space="0" w:color="auto"/>
      </w:divBdr>
    </w:div>
    <w:div w:id="165093209">
      <w:bodyDiv w:val="1"/>
      <w:marLeft w:val="0"/>
      <w:marRight w:val="0"/>
      <w:marTop w:val="0"/>
      <w:marBottom w:val="0"/>
      <w:divBdr>
        <w:top w:val="none" w:sz="0" w:space="0" w:color="auto"/>
        <w:left w:val="none" w:sz="0" w:space="0" w:color="auto"/>
        <w:bottom w:val="none" w:sz="0" w:space="0" w:color="auto"/>
        <w:right w:val="none" w:sz="0" w:space="0" w:color="auto"/>
      </w:divBdr>
    </w:div>
    <w:div w:id="165680145">
      <w:bodyDiv w:val="1"/>
      <w:marLeft w:val="0"/>
      <w:marRight w:val="0"/>
      <w:marTop w:val="0"/>
      <w:marBottom w:val="0"/>
      <w:divBdr>
        <w:top w:val="none" w:sz="0" w:space="0" w:color="auto"/>
        <w:left w:val="none" w:sz="0" w:space="0" w:color="auto"/>
        <w:bottom w:val="none" w:sz="0" w:space="0" w:color="auto"/>
        <w:right w:val="none" w:sz="0" w:space="0" w:color="auto"/>
      </w:divBdr>
    </w:div>
    <w:div w:id="169949631">
      <w:bodyDiv w:val="1"/>
      <w:marLeft w:val="0"/>
      <w:marRight w:val="0"/>
      <w:marTop w:val="0"/>
      <w:marBottom w:val="0"/>
      <w:divBdr>
        <w:top w:val="none" w:sz="0" w:space="0" w:color="auto"/>
        <w:left w:val="none" w:sz="0" w:space="0" w:color="auto"/>
        <w:bottom w:val="none" w:sz="0" w:space="0" w:color="auto"/>
        <w:right w:val="none" w:sz="0" w:space="0" w:color="auto"/>
      </w:divBdr>
    </w:div>
    <w:div w:id="180632939">
      <w:bodyDiv w:val="1"/>
      <w:marLeft w:val="0"/>
      <w:marRight w:val="0"/>
      <w:marTop w:val="0"/>
      <w:marBottom w:val="0"/>
      <w:divBdr>
        <w:top w:val="none" w:sz="0" w:space="0" w:color="auto"/>
        <w:left w:val="none" w:sz="0" w:space="0" w:color="auto"/>
        <w:bottom w:val="none" w:sz="0" w:space="0" w:color="auto"/>
        <w:right w:val="none" w:sz="0" w:space="0" w:color="auto"/>
      </w:divBdr>
    </w:div>
    <w:div w:id="183977223">
      <w:bodyDiv w:val="1"/>
      <w:marLeft w:val="0"/>
      <w:marRight w:val="0"/>
      <w:marTop w:val="0"/>
      <w:marBottom w:val="0"/>
      <w:divBdr>
        <w:top w:val="none" w:sz="0" w:space="0" w:color="auto"/>
        <w:left w:val="none" w:sz="0" w:space="0" w:color="auto"/>
        <w:bottom w:val="none" w:sz="0" w:space="0" w:color="auto"/>
        <w:right w:val="none" w:sz="0" w:space="0" w:color="auto"/>
      </w:divBdr>
    </w:div>
    <w:div w:id="184486127">
      <w:bodyDiv w:val="1"/>
      <w:marLeft w:val="0"/>
      <w:marRight w:val="0"/>
      <w:marTop w:val="0"/>
      <w:marBottom w:val="0"/>
      <w:divBdr>
        <w:top w:val="none" w:sz="0" w:space="0" w:color="auto"/>
        <w:left w:val="none" w:sz="0" w:space="0" w:color="auto"/>
        <w:bottom w:val="none" w:sz="0" w:space="0" w:color="auto"/>
        <w:right w:val="none" w:sz="0" w:space="0" w:color="auto"/>
      </w:divBdr>
    </w:div>
    <w:div w:id="186409512">
      <w:bodyDiv w:val="1"/>
      <w:marLeft w:val="0"/>
      <w:marRight w:val="0"/>
      <w:marTop w:val="0"/>
      <w:marBottom w:val="0"/>
      <w:divBdr>
        <w:top w:val="none" w:sz="0" w:space="0" w:color="auto"/>
        <w:left w:val="none" w:sz="0" w:space="0" w:color="auto"/>
        <w:bottom w:val="none" w:sz="0" w:space="0" w:color="auto"/>
        <w:right w:val="none" w:sz="0" w:space="0" w:color="auto"/>
      </w:divBdr>
    </w:div>
    <w:div w:id="189073396">
      <w:bodyDiv w:val="1"/>
      <w:marLeft w:val="0"/>
      <w:marRight w:val="0"/>
      <w:marTop w:val="0"/>
      <w:marBottom w:val="0"/>
      <w:divBdr>
        <w:top w:val="none" w:sz="0" w:space="0" w:color="auto"/>
        <w:left w:val="none" w:sz="0" w:space="0" w:color="auto"/>
        <w:bottom w:val="none" w:sz="0" w:space="0" w:color="auto"/>
        <w:right w:val="none" w:sz="0" w:space="0" w:color="auto"/>
      </w:divBdr>
    </w:div>
    <w:div w:id="210768744">
      <w:bodyDiv w:val="1"/>
      <w:marLeft w:val="0"/>
      <w:marRight w:val="0"/>
      <w:marTop w:val="0"/>
      <w:marBottom w:val="0"/>
      <w:divBdr>
        <w:top w:val="none" w:sz="0" w:space="0" w:color="auto"/>
        <w:left w:val="none" w:sz="0" w:space="0" w:color="auto"/>
        <w:bottom w:val="none" w:sz="0" w:space="0" w:color="auto"/>
        <w:right w:val="none" w:sz="0" w:space="0" w:color="auto"/>
      </w:divBdr>
    </w:div>
    <w:div w:id="212273407">
      <w:bodyDiv w:val="1"/>
      <w:marLeft w:val="0"/>
      <w:marRight w:val="0"/>
      <w:marTop w:val="0"/>
      <w:marBottom w:val="0"/>
      <w:divBdr>
        <w:top w:val="none" w:sz="0" w:space="0" w:color="auto"/>
        <w:left w:val="none" w:sz="0" w:space="0" w:color="auto"/>
        <w:bottom w:val="none" w:sz="0" w:space="0" w:color="auto"/>
        <w:right w:val="none" w:sz="0" w:space="0" w:color="auto"/>
      </w:divBdr>
    </w:div>
    <w:div w:id="214855101">
      <w:bodyDiv w:val="1"/>
      <w:marLeft w:val="0"/>
      <w:marRight w:val="0"/>
      <w:marTop w:val="0"/>
      <w:marBottom w:val="0"/>
      <w:divBdr>
        <w:top w:val="none" w:sz="0" w:space="0" w:color="auto"/>
        <w:left w:val="none" w:sz="0" w:space="0" w:color="auto"/>
        <w:bottom w:val="none" w:sz="0" w:space="0" w:color="auto"/>
        <w:right w:val="none" w:sz="0" w:space="0" w:color="auto"/>
      </w:divBdr>
    </w:div>
    <w:div w:id="217400231">
      <w:bodyDiv w:val="1"/>
      <w:marLeft w:val="0"/>
      <w:marRight w:val="0"/>
      <w:marTop w:val="0"/>
      <w:marBottom w:val="0"/>
      <w:divBdr>
        <w:top w:val="none" w:sz="0" w:space="0" w:color="auto"/>
        <w:left w:val="none" w:sz="0" w:space="0" w:color="auto"/>
        <w:bottom w:val="none" w:sz="0" w:space="0" w:color="auto"/>
        <w:right w:val="none" w:sz="0" w:space="0" w:color="auto"/>
      </w:divBdr>
    </w:div>
    <w:div w:id="225075203">
      <w:bodyDiv w:val="1"/>
      <w:marLeft w:val="0"/>
      <w:marRight w:val="0"/>
      <w:marTop w:val="0"/>
      <w:marBottom w:val="0"/>
      <w:divBdr>
        <w:top w:val="none" w:sz="0" w:space="0" w:color="auto"/>
        <w:left w:val="none" w:sz="0" w:space="0" w:color="auto"/>
        <w:bottom w:val="none" w:sz="0" w:space="0" w:color="auto"/>
        <w:right w:val="none" w:sz="0" w:space="0" w:color="auto"/>
      </w:divBdr>
    </w:div>
    <w:div w:id="230889244">
      <w:bodyDiv w:val="1"/>
      <w:marLeft w:val="0"/>
      <w:marRight w:val="0"/>
      <w:marTop w:val="0"/>
      <w:marBottom w:val="0"/>
      <w:divBdr>
        <w:top w:val="none" w:sz="0" w:space="0" w:color="auto"/>
        <w:left w:val="none" w:sz="0" w:space="0" w:color="auto"/>
        <w:bottom w:val="none" w:sz="0" w:space="0" w:color="auto"/>
        <w:right w:val="none" w:sz="0" w:space="0" w:color="auto"/>
      </w:divBdr>
    </w:div>
    <w:div w:id="238444811">
      <w:bodyDiv w:val="1"/>
      <w:marLeft w:val="0"/>
      <w:marRight w:val="0"/>
      <w:marTop w:val="0"/>
      <w:marBottom w:val="0"/>
      <w:divBdr>
        <w:top w:val="none" w:sz="0" w:space="0" w:color="auto"/>
        <w:left w:val="none" w:sz="0" w:space="0" w:color="auto"/>
        <w:bottom w:val="none" w:sz="0" w:space="0" w:color="auto"/>
        <w:right w:val="none" w:sz="0" w:space="0" w:color="auto"/>
      </w:divBdr>
    </w:div>
    <w:div w:id="256913395">
      <w:bodyDiv w:val="1"/>
      <w:marLeft w:val="0"/>
      <w:marRight w:val="0"/>
      <w:marTop w:val="0"/>
      <w:marBottom w:val="0"/>
      <w:divBdr>
        <w:top w:val="none" w:sz="0" w:space="0" w:color="auto"/>
        <w:left w:val="none" w:sz="0" w:space="0" w:color="auto"/>
        <w:bottom w:val="none" w:sz="0" w:space="0" w:color="auto"/>
        <w:right w:val="none" w:sz="0" w:space="0" w:color="auto"/>
      </w:divBdr>
    </w:div>
    <w:div w:id="259795034">
      <w:bodyDiv w:val="1"/>
      <w:marLeft w:val="0"/>
      <w:marRight w:val="0"/>
      <w:marTop w:val="0"/>
      <w:marBottom w:val="0"/>
      <w:divBdr>
        <w:top w:val="none" w:sz="0" w:space="0" w:color="auto"/>
        <w:left w:val="none" w:sz="0" w:space="0" w:color="auto"/>
        <w:bottom w:val="none" w:sz="0" w:space="0" w:color="auto"/>
        <w:right w:val="none" w:sz="0" w:space="0" w:color="auto"/>
      </w:divBdr>
    </w:div>
    <w:div w:id="264122300">
      <w:bodyDiv w:val="1"/>
      <w:marLeft w:val="0"/>
      <w:marRight w:val="0"/>
      <w:marTop w:val="0"/>
      <w:marBottom w:val="0"/>
      <w:divBdr>
        <w:top w:val="none" w:sz="0" w:space="0" w:color="auto"/>
        <w:left w:val="none" w:sz="0" w:space="0" w:color="auto"/>
        <w:bottom w:val="none" w:sz="0" w:space="0" w:color="auto"/>
        <w:right w:val="none" w:sz="0" w:space="0" w:color="auto"/>
      </w:divBdr>
    </w:div>
    <w:div w:id="289290570">
      <w:bodyDiv w:val="1"/>
      <w:marLeft w:val="0"/>
      <w:marRight w:val="0"/>
      <w:marTop w:val="0"/>
      <w:marBottom w:val="0"/>
      <w:divBdr>
        <w:top w:val="none" w:sz="0" w:space="0" w:color="auto"/>
        <w:left w:val="none" w:sz="0" w:space="0" w:color="auto"/>
        <w:bottom w:val="none" w:sz="0" w:space="0" w:color="auto"/>
        <w:right w:val="none" w:sz="0" w:space="0" w:color="auto"/>
      </w:divBdr>
    </w:div>
    <w:div w:id="291980883">
      <w:bodyDiv w:val="1"/>
      <w:marLeft w:val="0"/>
      <w:marRight w:val="0"/>
      <w:marTop w:val="0"/>
      <w:marBottom w:val="0"/>
      <w:divBdr>
        <w:top w:val="none" w:sz="0" w:space="0" w:color="auto"/>
        <w:left w:val="none" w:sz="0" w:space="0" w:color="auto"/>
        <w:bottom w:val="none" w:sz="0" w:space="0" w:color="auto"/>
        <w:right w:val="none" w:sz="0" w:space="0" w:color="auto"/>
      </w:divBdr>
    </w:div>
    <w:div w:id="292491630">
      <w:bodyDiv w:val="1"/>
      <w:marLeft w:val="0"/>
      <w:marRight w:val="0"/>
      <w:marTop w:val="0"/>
      <w:marBottom w:val="0"/>
      <w:divBdr>
        <w:top w:val="none" w:sz="0" w:space="0" w:color="auto"/>
        <w:left w:val="none" w:sz="0" w:space="0" w:color="auto"/>
        <w:bottom w:val="none" w:sz="0" w:space="0" w:color="auto"/>
        <w:right w:val="none" w:sz="0" w:space="0" w:color="auto"/>
      </w:divBdr>
    </w:div>
    <w:div w:id="300887191">
      <w:bodyDiv w:val="1"/>
      <w:marLeft w:val="0"/>
      <w:marRight w:val="0"/>
      <w:marTop w:val="0"/>
      <w:marBottom w:val="0"/>
      <w:divBdr>
        <w:top w:val="none" w:sz="0" w:space="0" w:color="auto"/>
        <w:left w:val="none" w:sz="0" w:space="0" w:color="auto"/>
        <w:bottom w:val="none" w:sz="0" w:space="0" w:color="auto"/>
        <w:right w:val="none" w:sz="0" w:space="0" w:color="auto"/>
      </w:divBdr>
    </w:div>
    <w:div w:id="304358008">
      <w:bodyDiv w:val="1"/>
      <w:marLeft w:val="0"/>
      <w:marRight w:val="0"/>
      <w:marTop w:val="0"/>
      <w:marBottom w:val="0"/>
      <w:divBdr>
        <w:top w:val="none" w:sz="0" w:space="0" w:color="auto"/>
        <w:left w:val="none" w:sz="0" w:space="0" w:color="auto"/>
        <w:bottom w:val="none" w:sz="0" w:space="0" w:color="auto"/>
        <w:right w:val="none" w:sz="0" w:space="0" w:color="auto"/>
      </w:divBdr>
    </w:div>
    <w:div w:id="306395502">
      <w:bodyDiv w:val="1"/>
      <w:marLeft w:val="0"/>
      <w:marRight w:val="0"/>
      <w:marTop w:val="0"/>
      <w:marBottom w:val="0"/>
      <w:divBdr>
        <w:top w:val="none" w:sz="0" w:space="0" w:color="auto"/>
        <w:left w:val="none" w:sz="0" w:space="0" w:color="auto"/>
        <w:bottom w:val="none" w:sz="0" w:space="0" w:color="auto"/>
        <w:right w:val="none" w:sz="0" w:space="0" w:color="auto"/>
      </w:divBdr>
    </w:div>
    <w:div w:id="310256590">
      <w:bodyDiv w:val="1"/>
      <w:marLeft w:val="0"/>
      <w:marRight w:val="0"/>
      <w:marTop w:val="0"/>
      <w:marBottom w:val="0"/>
      <w:divBdr>
        <w:top w:val="none" w:sz="0" w:space="0" w:color="auto"/>
        <w:left w:val="none" w:sz="0" w:space="0" w:color="auto"/>
        <w:bottom w:val="none" w:sz="0" w:space="0" w:color="auto"/>
        <w:right w:val="none" w:sz="0" w:space="0" w:color="auto"/>
      </w:divBdr>
    </w:div>
    <w:div w:id="316152957">
      <w:bodyDiv w:val="1"/>
      <w:marLeft w:val="0"/>
      <w:marRight w:val="0"/>
      <w:marTop w:val="0"/>
      <w:marBottom w:val="0"/>
      <w:divBdr>
        <w:top w:val="none" w:sz="0" w:space="0" w:color="auto"/>
        <w:left w:val="none" w:sz="0" w:space="0" w:color="auto"/>
        <w:bottom w:val="none" w:sz="0" w:space="0" w:color="auto"/>
        <w:right w:val="none" w:sz="0" w:space="0" w:color="auto"/>
      </w:divBdr>
    </w:div>
    <w:div w:id="327489637">
      <w:bodyDiv w:val="1"/>
      <w:marLeft w:val="0"/>
      <w:marRight w:val="0"/>
      <w:marTop w:val="0"/>
      <w:marBottom w:val="0"/>
      <w:divBdr>
        <w:top w:val="none" w:sz="0" w:space="0" w:color="auto"/>
        <w:left w:val="none" w:sz="0" w:space="0" w:color="auto"/>
        <w:bottom w:val="none" w:sz="0" w:space="0" w:color="auto"/>
        <w:right w:val="none" w:sz="0" w:space="0" w:color="auto"/>
      </w:divBdr>
    </w:div>
    <w:div w:id="329794151">
      <w:bodyDiv w:val="1"/>
      <w:marLeft w:val="0"/>
      <w:marRight w:val="0"/>
      <w:marTop w:val="0"/>
      <w:marBottom w:val="0"/>
      <w:divBdr>
        <w:top w:val="none" w:sz="0" w:space="0" w:color="auto"/>
        <w:left w:val="none" w:sz="0" w:space="0" w:color="auto"/>
        <w:bottom w:val="none" w:sz="0" w:space="0" w:color="auto"/>
        <w:right w:val="none" w:sz="0" w:space="0" w:color="auto"/>
      </w:divBdr>
    </w:div>
    <w:div w:id="342778515">
      <w:bodyDiv w:val="1"/>
      <w:marLeft w:val="0"/>
      <w:marRight w:val="0"/>
      <w:marTop w:val="0"/>
      <w:marBottom w:val="0"/>
      <w:divBdr>
        <w:top w:val="none" w:sz="0" w:space="0" w:color="auto"/>
        <w:left w:val="none" w:sz="0" w:space="0" w:color="auto"/>
        <w:bottom w:val="none" w:sz="0" w:space="0" w:color="auto"/>
        <w:right w:val="none" w:sz="0" w:space="0" w:color="auto"/>
      </w:divBdr>
    </w:div>
    <w:div w:id="345209166">
      <w:bodyDiv w:val="1"/>
      <w:marLeft w:val="0"/>
      <w:marRight w:val="0"/>
      <w:marTop w:val="0"/>
      <w:marBottom w:val="0"/>
      <w:divBdr>
        <w:top w:val="none" w:sz="0" w:space="0" w:color="auto"/>
        <w:left w:val="none" w:sz="0" w:space="0" w:color="auto"/>
        <w:bottom w:val="none" w:sz="0" w:space="0" w:color="auto"/>
        <w:right w:val="none" w:sz="0" w:space="0" w:color="auto"/>
      </w:divBdr>
    </w:div>
    <w:div w:id="353118474">
      <w:bodyDiv w:val="1"/>
      <w:marLeft w:val="0"/>
      <w:marRight w:val="0"/>
      <w:marTop w:val="0"/>
      <w:marBottom w:val="0"/>
      <w:divBdr>
        <w:top w:val="none" w:sz="0" w:space="0" w:color="auto"/>
        <w:left w:val="none" w:sz="0" w:space="0" w:color="auto"/>
        <w:bottom w:val="none" w:sz="0" w:space="0" w:color="auto"/>
        <w:right w:val="none" w:sz="0" w:space="0" w:color="auto"/>
      </w:divBdr>
    </w:div>
    <w:div w:id="368771321">
      <w:bodyDiv w:val="1"/>
      <w:marLeft w:val="0"/>
      <w:marRight w:val="0"/>
      <w:marTop w:val="0"/>
      <w:marBottom w:val="0"/>
      <w:divBdr>
        <w:top w:val="none" w:sz="0" w:space="0" w:color="auto"/>
        <w:left w:val="none" w:sz="0" w:space="0" w:color="auto"/>
        <w:bottom w:val="none" w:sz="0" w:space="0" w:color="auto"/>
        <w:right w:val="none" w:sz="0" w:space="0" w:color="auto"/>
      </w:divBdr>
    </w:div>
    <w:div w:id="378480017">
      <w:bodyDiv w:val="1"/>
      <w:marLeft w:val="0"/>
      <w:marRight w:val="0"/>
      <w:marTop w:val="0"/>
      <w:marBottom w:val="0"/>
      <w:divBdr>
        <w:top w:val="none" w:sz="0" w:space="0" w:color="auto"/>
        <w:left w:val="none" w:sz="0" w:space="0" w:color="auto"/>
        <w:bottom w:val="none" w:sz="0" w:space="0" w:color="auto"/>
        <w:right w:val="none" w:sz="0" w:space="0" w:color="auto"/>
      </w:divBdr>
    </w:div>
    <w:div w:id="381560819">
      <w:bodyDiv w:val="1"/>
      <w:marLeft w:val="0"/>
      <w:marRight w:val="0"/>
      <w:marTop w:val="0"/>
      <w:marBottom w:val="0"/>
      <w:divBdr>
        <w:top w:val="none" w:sz="0" w:space="0" w:color="auto"/>
        <w:left w:val="none" w:sz="0" w:space="0" w:color="auto"/>
        <w:bottom w:val="none" w:sz="0" w:space="0" w:color="auto"/>
        <w:right w:val="none" w:sz="0" w:space="0" w:color="auto"/>
      </w:divBdr>
    </w:div>
    <w:div w:id="384527819">
      <w:bodyDiv w:val="1"/>
      <w:marLeft w:val="0"/>
      <w:marRight w:val="0"/>
      <w:marTop w:val="0"/>
      <w:marBottom w:val="0"/>
      <w:divBdr>
        <w:top w:val="none" w:sz="0" w:space="0" w:color="auto"/>
        <w:left w:val="none" w:sz="0" w:space="0" w:color="auto"/>
        <w:bottom w:val="none" w:sz="0" w:space="0" w:color="auto"/>
        <w:right w:val="none" w:sz="0" w:space="0" w:color="auto"/>
      </w:divBdr>
    </w:div>
    <w:div w:id="387921921">
      <w:bodyDiv w:val="1"/>
      <w:marLeft w:val="0"/>
      <w:marRight w:val="0"/>
      <w:marTop w:val="0"/>
      <w:marBottom w:val="0"/>
      <w:divBdr>
        <w:top w:val="none" w:sz="0" w:space="0" w:color="auto"/>
        <w:left w:val="none" w:sz="0" w:space="0" w:color="auto"/>
        <w:bottom w:val="none" w:sz="0" w:space="0" w:color="auto"/>
        <w:right w:val="none" w:sz="0" w:space="0" w:color="auto"/>
      </w:divBdr>
    </w:div>
    <w:div w:id="394865413">
      <w:bodyDiv w:val="1"/>
      <w:marLeft w:val="0"/>
      <w:marRight w:val="0"/>
      <w:marTop w:val="0"/>
      <w:marBottom w:val="0"/>
      <w:divBdr>
        <w:top w:val="none" w:sz="0" w:space="0" w:color="auto"/>
        <w:left w:val="none" w:sz="0" w:space="0" w:color="auto"/>
        <w:bottom w:val="none" w:sz="0" w:space="0" w:color="auto"/>
        <w:right w:val="none" w:sz="0" w:space="0" w:color="auto"/>
      </w:divBdr>
    </w:div>
    <w:div w:id="400324258">
      <w:bodyDiv w:val="1"/>
      <w:marLeft w:val="0"/>
      <w:marRight w:val="0"/>
      <w:marTop w:val="0"/>
      <w:marBottom w:val="0"/>
      <w:divBdr>
        <w:top w:val="none" w:sz="0" w:space="0" w:color="auto"/>
        <w:left w:val="none" w:sz="0" w:space="0" w:color="auto"/>
        <w:bottom w:val="none" w:sz="0" w:space="0" w:color="auto"/>
        <w:right w:val="none" w:sz="0" w:space="0" w:color="auto"/>
      </w:divBdr>
    </w:div>
    <w:div w:id="401100984">
      <w:bodyDiv w:val="1"/>
      <w:marLeft w:val="0"/>
      <w:marRight w:val="0"/>
      <w:marTop w:val="0"/>
      <w:marBottom w:val="0"/>
      <w:divBdr>
        <w:top w:val="none" w:sz="0" w:space="0" w:color="auto"/>
        <w:left w:val="none" w:sz="0" w:space="0" w:color="auto"/>
        <w:bottom w:val="none" w:sz="0" w:space="0" w:color="auto"/>
        <w:right w:val="none" w:sz="0" w:space="0" w:color="auto"/>
      </w:divBdr>
    </w:div>
    <w:div w:id="402987742">
      <w:bodyDiv w:val="1"/>
      <w:marLeft w:val="0"/>
      <w:marRight w:val="0"/>
      <w:marTop w:val="0"/>
      <w:marBottom w:val="0"/>
      <w:divBdr>
        <w:top w:val="none" w:sz="0" w:space="0" w:color="auto"/>
        <w:left w:val="none" w:sz="0" w:space="0" w:color="auto"/>
        <w:bottom w:val="none" w:sz="0" w:space="0" w:color="auto"/>
        <w:right w:val="none" w:sz="0" w:space="0" w:color="auto"/>
      </w:divBdr>
    </w:div>
    <w:div w:id="408772127">
      <w:bodyDiv w:val="1"/>
      <w:marLeft w:val="0"/>
      <w:marRight w:val="0"/>
      <w:marTop w:val="0"/>
      <w:marBottom w:val="0"/>
      <w:divBdr>
        <w:top w:val="none" w:sz="0" w:space="0" w:color="auto"/>
        <w:left w:val="none" w:sz="0" w:space="0" w:color="auto"/>
        <w:bottom w:val="none" w:sz="0" w:space="0" w:color="auto"/>
        <w:right w:val="none" w:sz="0" w:space="0" w:color="auto"/>
      </w:divBdr>
    </w:div>
    <w:div w:id="419299657">
      <w:bodyDiv w:val="1"/>
      <w:marLeft w:val="0"/>
      <w:marRight w:val="0"/>
      <w:marTop w:val="0"/>
      <w:marBottom w:val="0"/>
      <w:divBdr>
        <w:top w:val="none" w:sz="0" w:space="0" w:color="auto"/>
        <w:left w:val="none" w:sz="0" w:space="0" w:color="auto"/>
        <w:bottom w:val="none" w:sz="0" w:space="0" w:color="auto"/>
        <w:right w:val="none" w:sz="0" w:space="0" w:color="auto"/>
      </w:divBdr>
    </w:div>
    <w:div w:id="429588985">
      <w:bodyDiv w:val="1"/>
      <w:marLeft w:val="0"/>
      <w:marRight w:val="0"/>
      <w:marTop w:val="0"/>
      <w:marBottom w:val="0"/>
      <w:divBdr>
        <w:top w:val="none" w:sz="0" w:space="0" w:color="auto"/>
        <w:left w:val="none" w:sz="0" w:space="0" w:color="auto"/>
        <w:bottom w:val="none" w:sz="0" w:space="0" w:color="auto"/>
        <w:right w:val="none" w:sz="0" w:space="0" w:color="auto"/>
      </w:divBdr>
    </w:div>
    <w:div w:id="441076845">
      <w:bodyDiv w:val="1"/>
      <w:marLeft w:val="0"/>
      <w:marRight w:val="0"/>
      <w:marTop w:val="0"/>
      <w:marBottom w:val="0"/>
      <w:divBdr>
        <w:top w:val="none" w:sz="0" w:space="0" w:color="auto"/>
        <w:left w:val="none" w:sz="0" w:space="0" w:color="auto"/>
        <w:bottom w:val="none" w:sz="0" w:space="0" w:color="auto"/>
        <w:right w:val="none" w:sz="0" w:space="0" w:color="auto"/>
      </w:divBdr>
    </w:div>
    <w:div w:id="459618605">
      <w:bodyDiv w:val="1"/>
      <w:marLeft w:val="0"/>
      <w:marRight w:val="0"/>
      <w:marTop w:val="0"/>
      <w:marBottom w:val="0"/>
      <w:divBdr>
        <w:top w:val="none" w:sz="0" w:space="0" w:color="auto"/>
        <w:left w:val="none" w:sz="0" w:space="0" w:color="auto"/>
        <w:bottom w:val="none" w:sz="0" w:space="0" w:color="auto"/>
        <w:right w:val="none" w:sz="0" w:space="0" w:color="auto"/>
      </w:divBdr>
    </w:div>
    <w:div w:id="462311180">
      <w:bodyDiv w:val="1"/>
      <w:marLeft w:val="0"/>
      <w:marRight w:val="0"/>
      <w:marTop w:val="0"/>
      <w:marBottom w:val="0"/>
      <w:divBdr>
        <w:top w:val="none" w:sz="0" w:space="0" w:color="auto"/>
        <w:left w:val="none" w:sz="0" w:space="0" w:color="auto"/>
        <w:bottom w:val="none" w:sz="0" w:space="0" w:color="auto"/>
        <w:right w:val="none" w:sz="0" w:space="0" w:color="auto"/>
      </w:divBdr>
    </w:div>
    <w:div w:id="464006184">
      <w:bodyDiv w:val="1"/>
      <w:marLeft w:val="0"/>
      <w:marRight w:val="0"/>
      <w:marTop w:val="0"/>
      <w:marBottom w:val="0"/>
      <w:divBdr>
        <w:top w:val="none" w:sz="0" w:space="0" w:color="auto"/>
        <w:left w:val="none" w:sz="0" w:space="0" w:color="auto"/>
        <w:bottom w:val="none" w:sz="0" w:space="0" w:color="auto"/>
        <w:right w:val="none" w:sz="0" w:space="0" w:color="auto"/>
      </w:divBdr>
    </w:div>
    <w:div w:id="464854684">
      <w:bodyDiv w:val="1"/>
      <w:marLeft w:val="0"/>
      <w:marRight w:val="0"/>
      <w:marTop w:val="0"/>
      <w:marBottom w:val="0"/>
      <w:divBdr>
        <w:top w:val="none" w:sz="0" w:space="0" w:color="auto"/>
        <w:left w:val="none" w:sz="0" w:space="0" w:color="auto"/>
        <w:bottom w:val="none" w:sz="0" w:space="0" w:color="auto"/>
        <w:right w:val="none" w:sz="0" w:space="0" w:color="auto"/>
      </w:divBdr>
    </w:div>
    <w:div w:id="474837677">
      <w:bodyDiv w:val="1"/>
      <w:marLeft w:val="0"/>
      <w:marRight w:val="0"/>
      <w:marTop w:val="0"/>
      <w:marBottom w:val="0"/>
      <w:divBdr>
        <w:top w:val="none" w:sz="0" w:space="0" w:color="auto"/>
        <w:left w:val="none" w:sz="0" w:space="0" w:color="auto"/>
        <w:bottom w:val="none" w:sz="0" w:space="0" w:color="auto"/>
        <w:right w:val="none" w:sz="0" w:space="0" w:color="auto"/>
      </w:divBdr>
    </w:div>
    <w:div w:id="476845163">
      <w:bodyDiv w:val="1"/>
      <w:marLeft w:val="0"/>
      <w:marRight w:val="0"/>
      <w:marTop w:val="0"/>
      <w:marBottom w:val="0"/>
      <w:divBdr>
        <w:top w:val="none" w:sz="0" w:space="0" w:color="auto"/>
        <w:left w:val="none" w:sz="0" w:space="0" w:color="auto"/>
        <w:bottom w:val="none" w:sz="0" w:space="0" w:color="auto"/>
        <w:right w:val="none" w:sz="0" w:space="0" w:color="auto"/>
      </w:divBdr>
    </w:div>
    <w:div w:id="490341210">
      <w:bodyDiv w:val="1"/>
      <w:marLeft w:val="0"/>
      <w:marRight w:val="0"/>
      <w:marTop w:val="0"/>
      <w:marBottom w:val="0"/>
      <w:divBdr>
        <w:top w:val="none" w:sz="0" w:space="0" w:color="auto"/>
        <w:left w:val="none" w:sz="0" w:space="0" w:color="auto"/>
        <w:bottom w:val="none" w:sz="0" w:space="0" w:color="auto"/>
        <w:right w:val="none" w:sz="0" w:space="0" w:color="auto"/>
      </w:divBdr>
    </w:div>
    <w:div w:id="492648801">
      <w:bodyDiv w:val="1"/>
      <w:marLeft w:val="0"/>
      <w:marRight w:val="0"/>
      <w:marTop w:val="0"/>
      <w:marBottom w:val="0"/>
      <w:divBdr>
        <w:top w:val="none" w:sz="0" w:space="0" w:color="auto"/>
        <w:left w:val="none" w:sz="0" w:space="0" w:color="auto"/>
        <w:bottom w:val="none" w:sz="0" w:space="0" w:color="auto"/>
        <w:right w:val="none" w:sz="0" w:space="0" w:color="auto"/>
      </w:divBdr>
    </w:div>
    <w:div w:id="497580015">
      <w:bodyDiv w:val="1"/>
      <w:marLeft w:val="0"/>
      <w:marRight w:val="0"/>
      <w:marTop w:val="0"/>
      <w:marBottom w:val="0"/>
      <w:divBdr>
        <w:top w:val="none" w:sz="0" w:space="0" w:color="auto"/>
        <w:left w:val="none" w:sz="0" w:space="0" w:color="auto"/>
        <w:bottom w:val="none" w:sz="0" w:space="0" w:color="auto"/>
        <w:right w:val="none" w:sz="0" w:space="0" w:color="auto"/>
      </w:divBdr>
    </w:div>
    <w:div w:id="514538599">
      <w:bodyDiv w:val="1"/>
      <w:marLeft w:val="0"/>
      <w:marRight w:val="0"/>
      <w:marTop w:val="0"/>
      <w:marBottom w:val="0"/>
      <w:divBdr>
        <w:top w:val="none" w:sz="0" w:space="0" w:color="auto"/>
        <w:left w:val="none" w:sz="0" w:space="0" w:color="auto"/>
        <w:bottom w:val="none" w:sz="0" w:space="0" w:color="auto"/>
        <w:right w:val="none" w:sz="0" w:space="0" w:color="auto"/>
      </w:divBdr>
    </w:div>
    <w:div w:id="520751712">
      <w:bodyDiv w:val="1"/>
      <w:marLeft w:val="0"/>
      <w:marRight w:val="0"/>
      <w:marTop w:val="0"/>
      <w:marBottom w:val="0"/>
      <w:divBdr>
        <w:top w:val="none" w:sz="0" w:space="0" w:color="auto"/>
        <w:left w:val="none" w:sz="0" w:space="0" w:color="auto"/>
        <w:bottom w:val="none" w:sz="0" w:space="0" w:color="auto"/>
        <w:right w:val="none" w:sz="0" w:space="0" w:color="auto"/>
      </w:divBdr>
    </w:div>
    <w:div w:id="521894238">
      <w:bodyDiv w:val="1"/>
      <w:marLeft w:val="0"/>
      <w:marRight w:val="0"/>
      <w:marTop w:val="0"/>
      <w:marBottom w:val="0"/>
      <w:divBdr>
        <w:top w:val="none" w:sz="0" w:space="0" w:color="auto"/>
        <w:left w:val="none" w:sz="0" w:space="0" w:color="auto"/>
        <w:bottom w:val="none" w:sz="0" w:space="0" w:color="auto"/>
        <w:right w:val="none" w:sz="0" w:space="0" w:color="auto"/>
      </w:divBdr>
    </w:div>
    <w:div w:id="543372078">
      <w:bodyDiv w:val="1"/>
      <w:marLeft w:val="0"/>
      <w:marRight w:val="0"/>
      <w:marTop w:val="0"/>
      <w:marBottom w:val="0"/>
      <w:divBdr>
        <w:top w:val="none" w:sz="0" w:space="0" w:color="auto"/>
        <w:left w:val="none" w:sz="0" w:space="0" w:color="auto"/>
        <w:bottom w:val="none" w:sz="0" w:space="0" w:color="auto"/>
        <w:right w:val="none" w:sz="0" w:space="0" w:color="auto"/>
      </w:divBdr>
    </w:div>
    <w:div w:id="543560281">
      <w:bodyDiv w:val="1"/>
      <w:marLeft w:val="0"/>
      <w:marRight w:val="0"/>
      <w:marTop w:val="0"/>
      <w:marBottom w:val="0"/>
      <w:divBdr>
        <w:top w:val="none" w:sz="0" w:space="0" w:color="auto"/>
        <w:left w:val="none" w:sz="0" w:space="0" w:color="auto"/>
        <w:bottom w:val="none" w:sz="0" w:space="0" w:color="auto"/>
        <w:right w:val="none" w:sz="0" w:space="0" w:color="auto"/>
      </w:divBdr>
    </w:div>
    <w:div w:id="548540912">
      <w:bodyDiv w:val="1"/>
      <w:marLeft w:val="0"/>
      <w:marRight w:val="0"/>
      <w:marTop w:val="0"/>
      <w:marBottom w:val="0"/>
      <w:divBdr>
        <w:top w:val="none" w:sz="0" w:space="0" w:color="auto"/>
        <w:left w:val="none" w:sz="0" w:space="0" w:color="auto"/>
        <w:bottom w:val="none" w:sz="0" w:space="0" w:color="auto"/>
        <w:right w:val="none" w:sz="0" w:space="0" w:color="auto"/>
      </w:divBdr>
    </w:div>
    <w:div w:id="554589422">
      <w:bodyDiv w:val="1"/>
      <w:marLeft w:val="0"/>
      <w:marRight w:val="0"/>
      <w:marTop w:val="0"/>
      <w:marBottom w:val="0"/>
      <w:divBdr>
        <w:top w:val="none" w:sz="0" w:space="0" w:color="auto"/>
        <w:left w:val="none" w:sz="0" w:space="0" w:color="auto"/>
        <w:bottom w:val="none" w:sz="0" w:space="0" w:color="auto"/>
        <w:right w:val="none" w:sz="0" w:space="0" w:color="auto"/>
      </w:divBdr>
    </w:div>
    <w:div w:id="570115925">
      <w:bodyDiv w:val="1"/>
      <w:marLeft w:val="0"/>
      <w:marRight w:val="0"/>
      <w:marTop w:val="0"/>
      <w:marBottom w:val="0"/>
      <w:divBdr>
        <w:top w:val="none" w:sz="0" w:space="0" w:color="auto"/>
        <w:left w:val="none" w:sz="0" w:space="0" w:color="auto"/>
        <w:bottom w:val="none" w:sz="0" w:space="0" w:color="auto"/>
        <w:right w:val="none" w:sz="0" w:space="0" w:color="auto"/>
      </w:divBdr>
    </w:div>
    <w:div w:id="573511643">
      <w:bodyDiv w:val="1"/>
      <w:marLeft w:val="0"/>
      <w:marRight w:val="0"/>
      <w:marTop w:val="0"/>
      <w:marBottom w:val="0"/>
      <w:divBdr>
        <w:top w:val="none" w:sz="0" w:space="0" w:color="auto"/>
        <w:left w:val="none" w:sz="0" w:space="0" w:color="auto"/>
        <w:bottom w:val="none" w:sz="0" w:space="0" w:color="auto"/>
        <w:right w:val="none" w:sz="0" w:space="0" w:color="auto"/>
      </w:divBdr>
    </w:div>
    <w:div w:id="585381145">
      <w:bodyDiv w:val="1"/>
      <w:marLeft w:val="0"/>
      <w:marRight w:val="0"/>
      <w:marTop w:val="0"/>
      <w:marBottom w:val="0"/>
      <w:divBdr>
        <w:top w:val="none" w:sz="0" w:space="0" w:color="auto"/>
        <w:left w:val="none" w:sz="0" w:space="0" w:color="auto"/>
        <w:bottom w:val="none" w:sz="0" w:space="0" w:color="auto"/>
        <w:right w:val="none" w:sz="0" w:space="0" w:color="auto"/>
      </w:divBdr>
    </w:div>
    <w:div w:id="592276071">
      <w:bodyDiv w:val="1"/>
      <w:marLeft w:val="0"/>
      <w:marRight w:val="0"/>
      <w:marTop w:val="0"/>
      <w:marBottom w:val="0"/>
      <w:divBdr>
        <w:top w:val="none" w:sz="0" w:space="0" w:color="auto"/>
        <w:left w:val="none" w:sz="0" w:space="0" w:color="auto"/>
        <w:bottom w:val="none" w:sz="0" w:space="0" w:color="auto"/>
        <w:right w:val="none" w:sz="0" w:space="0" w:color="auto"/>
      </w:divBdr>
    </w:div>
    <w:div w:id="594284263">
      <w:bodyDiv w:val="1"/>
      <w:marLeft w:val="0"/>
      <w:marRight w:val="0"/>
      <w:marTop w:val="0"/>
      <w:marBottom w:val="0"/>
      <w:divBdr>
        <w:top w:val="none" w:sz="0" w:space="0" w:color="auto"/>
        <w:left w:val="none" w:sz="0" w:space="0" w:color="auto"/>
        <w:bottom w:val="none" w:sz="0" w:space="0" w:color="auto"/>
        <w:right w:val="none" w:sz="0" w:space="0" w:color="auto"/>
      </w:divBdr>
    </w:div>
    <w:div w:id="605816574">
      <w:bodyDiv w:val="1"/>
      <w:marLeft w:val="0"/>
      <w:marRight w:val="0"/>
      <w:marTop w:val="0"/>
      <w:marBottom w:val="0"/>
      <w:divBdr>
        <w:top w:val="none" w:sz="0" w:space="0" w:color="auto"/>
        <w:left w:val="none" w:sz="0" w:space="0" w:color="auto"/>
        <w:bottom w:val="none" w:sz="0" w:space="0" w:color="auto"/>
        <w:right w:val="none" w:sz="0" w:space="0" w:color="auto"/>
      </w:divBdr>
    </w:div>
    <w:div w:id="614214600">
      <w:bodyDiv w:val="1"/>
      <w:marLeft w:val="0"/>
      <w:marRight w:val="0"/>
      <w:marTop w:val="0"/>
      <w:marBottom w:val="0"/>
      <w:divBdr>
        <w:top w:val="none" w:sz="0" w:space="0" w:color="auto"/>
        <w:left w:val="none" w:sz="0" w:space="0" w:color="auto"/>
        <w:bottom w:val="none" w:sz="0" w:space="0" w:color="auto"/>
        <w:right w:val="none" w:sz="0" w:space="0" w:color="auto"/>
      </w:divBdr>
    </w:div>
    <w:div w:id="614796640">
      <w:bodyDiv w:val="1"/>
      <w:marLeft w:val="0"/>
      <w:marRight w:val="0"/>
      <w:marTop w:val="0"/>
      <w:marBottom w:val="0"/>
      <w:divBdr>
        <w:top w:val="none" w:sz="0" w:space="0" w:color="auto"/>
        <w:left w:val="none" w:sz="0" w:space="0" w:color="auto"/>
        <w:bottom w:val="none" w:sz="0" w:space="0" w:color="auto"/>
        <w:right w:val="none" w:sz="0" w:space="0" w:color="auto"/>
      </w:divBdr>
    </w:div>
    <w:div w:id="616062646">
      <w:bodyDiv w:val="1"/>
      <w:marLeft w:val="0"/>
      <w:marRight w:val="0"/>
      <w:marTop w:val="0"/>
      <w:marBottom w:val="0"/>
      <w:divBdr>
        <w:top w:val="none" w:sz="0" w:space="0" w:color="auto"/>
        <w:left w:val="none" w:sz="0" w:space="0" w:color="auto"/>
        <w:bottom w:val="none" w:sz="0" w:space="0" w:color="auto"/>
        <w:right w:val="none" w:sz="0" w:space="0" w:color="auto"/>
      </w:divBdr>
    </w:div>
    <w:div w:id="619146339">
      <w:bodyDiv w:val="1"/>
      <w:marLeft w:val="0"/>
      <w:marRight w:val="0"/>
      <w:marTop w:val="0"/>
      <w:marBottom w:val="0"/>
      <w:divBdr>
        <w:top w:val="none" w:sz="0" w:space="0" w:color="auto"/>
        <w:left w:val="none" w:sz="0" w:space="0" w:color="auto"/>
        <w:bottom w:val="none" w:sz="0" w:space="0" w:color="auto"/>
        <w:right w:val="none" w:sz="0" w:space="0" w:color="auto"/>
      </w:divBdr>
    </w:div>
    <w:div w:id="625549508">
      <w:bodyDiv w:val="1"/>
      <w:marLeft w:val="0"/>
      <w:marRight w:val="0"/>
      <w:marTop w:val="0"/>
      <w:marBottom w:val="0"/>
      <w:divBdr>
        <w:top w:val="none" w:sz="0" w:space="0" w:color="auto"/>
        <w:left w:val="none" w:sz="0" w:space="0" w:color="auto"/>
        <w:bottom w:val="none" w:sz="0" w:space="0" w:color="auto"/>
        <w:right w:val="none" w:sz="0" w:space="0" w:color="auto"/>
      </w:divBdr>
    </w:div>
    <w:div w:id="632448807">
      <w:bodyDiv w:val="1"/>
      <w:marLeft w:val="0"/>
      <w:marRight w:val="0"/>
      <w:marTop w:val="0"/>
      <w:marBottom w:val="0"/>
      <w:divBdr>
        <w:top w:val="none" w:sz="0" w:space="0" w:color="auto"/>
        <w:left w:val="none" w:sz="0" w:space="0" w:color="auto"/>
        <w:bottom w:val="none" w:sz="0" w:space="0" w:color="auto"/>
        <w:right w:val="none" w:sz="0" w:space="0" w:color="auto"/>
      </w:divBdr>
    </w:div>
    <w:div w:id="654183535">
      <w:bodyDiv w:val="1"/>
      <w:marLeft w:val="0"/>
      <w:marRight w:val="0"/>
      <w:marTop w:val="0"/>
      <w:marBottom w:val="0"/>
      <w:divBdr>
        <w:top w:val="none" w:sz="0" w:space="0" w:color="auto"/>
        <w:left w:val="none" w:sz="0" w:space="0" w:color="auto"/>
        <w:bottom w:val="none" w:sz="0" w:space="0" w:color="auto"/>
        <w:right w:val="none" w:sz="0" w:space="0" w:color="auto"/>
      </w:divBdr>
    </w:div>
    <w:div w:id="664091015">
      <w:bodyDiv w:val="1"/>
      <w:marLeft w:val="0"/>
      <w:marRight w:val="0"/>
      <w:marTop w:val="0"/>
      <w:marBottom w:val="0"/>
      <w:divBdr>
        <w:top w:val="none" w:sz="0" w:space="0" w:color="auto"/>
        <w:left w:val="none" w:sz="0" w:space="0" w:color="auto"/>
        <w:bottom w:val="none" w:sz="0" w:space="0" w:color="auto"/>
        <w:right w:val="none" w:sz="0" w:space="0" w:color="auto"/>
      </w:divBdr>
    </w:div>
    <w:div w:id="664824366">
      <w:bodyDiv w:val="1"/>
      <w:marLeft w:val="0"/>
      <w:marRight w:val="0"/>
      <w:marTop w:val="0"/>
      <w:marBottom w:val="0"/>
      <w:divBdr>
        <w:top w:val="none" w:sz="0" w:space="0" w:color="auto"/>
        <w:left w:val="none" w:sz="0" w:space="0" w:color="auto"/>
        <w:bottom w:val="none" w:sz="0" w:space="0" w:color="auto"/>
        <w:right w:val="none" w:sz="0" w:space="0" w:color="auto"/>
      </w:divBdr>
    </w:div>
    <w:div w:id="675040866">
      <w:bodyDiv w:val="1"/>
      <w:marLeft w:val="0"/>
      <w:marRight w:val="0"/>
      <w:marTop w:val="0"/>
      <w:marBottom w:val="0"/>
      <w:divBdr>
        <w:top w:val="none" w:sz="0" w:space="0" w:color="auto"/>
        <w:left w:val="none" w:sz="0" w:space="0" w:color="auto"/>
        <w:bottom w:val="none" w:sz="0" w:space="0" w:color="auto"/>
        <w:right w:val="none" w:sz="0" w:space="0" w:color="auto"/>
      </w:divBdr>
    </w:div>
    <w:div w:id="679310147">
      <w:bodyDiv w:val="1"/>
      <w:marLeft w:val="0"/>
      <w:marRight w:val="0"/>
      <w:marTop w:val="0"/>
      <w:marBottom w:val="0"/>
      <w:divBdr>
        <w:top w:val="none" w:sz="0" w:space="0" w:color="auto"/>
        <w:left w:val="none" w:sz="0" w:space="0" w:color="auto"/>
        <w:bottom w:val="none" w:sz="0" w:space="0" w:color="auto"/>
        <w:right w:val="none" w:sz="0" w:space="0" w:color="auto"/>
      </w:divBdr>
    </w:div>
    <w:div w:id="704601733">
      <w:bodyDiv w:val="1"/>
      <w:marLeft w:val="0"/>
      <w:marRight w:val="0"/>
      <w:marTop w:val="0"/>
      <w:marBottom w:val="0"/>
      <w:divBdr>
        <w:top w:val="none" w:sz="0" w:space="0" w:color="auto"/>
        <w:left w:val="none" w:sz="0" w:space="0" w:color="auto"/>
        <w:bottom w:val="none" w:sz="0" w:space="0" w:color="auto"/>
        <w:right w:val="none" w:sz="0" w:space="0" w:color="auto"/>
      </w:divBdr>
    </w:div>
    <w:div w:id="724839836">
      <w:bodyDiv w:val="1"/>
      <w:marLeft w:val="0"/>
      <w:marRight w:val="0"/>
      <w:marTop w:val="0"/>
      <w:marBottom w:val="0"/>
      <w:divBdr>
        <w:top w:val="none" w:sz="0" w:space="0" w:color="auto"/>
        <w:left w:val="none" w:sz="0" w:space="0" w:color="auto"/>
        <w:bottom w:val="none" w:sz="0" w:space="0" w:color="auto"/>
        <w:right w:val="none" w:sz="0" w:space="0" w:color="auto"/>
      </w:divBdr>
    </w:div>
    <w:div w:id="730541582">
      <w:bodyDiv w:val="1"/>
      <w:marLeft w:val="0"/>
      <w:marRight w:val="0"/>
      <w:marTop w:val="0"/>
      <w:marBottom w:val="0"/>
      <w:divBdr>
        <w:top w:val="none" w:sz="0" w:space="0" w:color="auto"/>
        <w:left w:val="none" w:sz="0" w:space="0" w:color="auto"/>
        <w:bottom w:val="none" w:sz="0" w:space="0" w:color="auto"/>
        <w:right w:val="none" w:sz="0" w:space="0" w:color="auto"/>
      </w:divBdr>
    </w:div>
    <w:div w:id="735007729">
      <w:bodyDiv w:val="1"/>
      <w:marLeft w:val="0"/>
      <w:marRight w:val="0"/>
      <w:marTop w:val="0"/>
      <w:marBottom w:val="0"/>
      <w:divBdr>
        <w:top w:val="none" w:sz="0" w:space="0" w:color="auto"/>
        <w:left w:val="none" w:sz="0" w:space="0" w:color="auto"/>
        <w:bottom w:val="none" w:sz="0" w:space="0" w:color="auto"/>
        <w:right w:val="none" w:sz="0" w:space="0" w:color="auto"/>
      </w:divBdr>
    </w:div>
    <w:div w:id="744885919">
      <w:bodyDiv w:val="1"/>
      <w:marLeft w:val="0"/>
      <w:marRight w:val="0"/>
      <w:marTop w:val="0"/>
      <w:marBottom w:val="0"/>
      <w:divBdr>
        <w:top w:val="none" w:sz="0" w:space="0" w:color="auto"/>
        <w:left w:val="none" w:sz="0" w:space="0" w:color="auto"/>
        <w:bottom w:val="none" w:sz="0" w:space="0" w:color="auto"/>
        <w:right w:val="none" w:sz="0" w:space="0" w:color="auto"/>
      </w:divBdr>
    </w:div>
    <w:div w:id="751050335">
      <w:bodyDiv w:val="1"/>
      <w:marLeft w:val="0"/>
      <w:marRight w:val="0"/>
      <w:marTop w:val="0"/>
      <w:marBottom w:val="0"/>
      <w:divBdr>
        <w:top w:val="none" w:sz="0" w:space="0" w:color="auto"/>
        <w:left w:val="none" w:sz="0" w:space="0" w:color="auto"/>
        <w:bottom w:val="none" w:sz="0" w:space="0" w:color="auto"/>
        <w:right w:val="none" w:sz="0" w:space="0" w:color="auto"/>
      </w:divBdr>
    </w:div>
    <w:div w:id="751664311">
      <w:bodyDiv w:val="1"/>
      <w:marLeft w:val="0"/>
      <w:marRight w:val="0"/>
      <w:marTop w:val="0"/>
      <w:marBottom w:val="0"/>
      <w:divBdr>
        <w:top w:val="none" w:sz="0" w:space="0" w:color="auto"/>
        <w:left w:val="none" w:sz="0" w:space="0" w:color="auto"/>
        <w:bottom w:val="none" w:sz="0" w:space="0" w:color="auto"/>
        <w:right w:val="none" w:sz="0" w:space="0" w:color="auto"/>
      </w:divBdr>
    </w:div>
    <w:div w:id="757675344">
      <w:bodyDiv w:val="1"/>
      <w:marLeft w:val="0"/>
      <w:marRight w:val="0"/>
      <w:marTop w:val="0"/>
      <w:marBottom w:val="0"/>
      <w:divBdr>
        <w:top w:val="none" w:sz="0" w:space="0" w:color="auto"/>
        <w:left w:val="none" w:sz="0" w:space="0" w:color="auto"/>
        <w:bottom w:val="none" w:sz="0" w:space="0" w:color="auto"/>
        <w:right w:val="none" w:sz="0" w:space="0" w:color="auto"/>
      </w:divBdr>
    </w:div>
    <w:div w:id="772016973">
      <w:bodyDiv w:val="1"/>
      <w:marLeft w:val="0"/>
      <w:marRight w:val="0"/>
      <w:marTop w:val="0"/>
      <w:marBottom w:val="0"/>
      <w:divBdr>
        <w:top w:val="none" w:sz="0" w:space="0" w:color="auto"/>
        <w:left w:val="none" w:sz="0" w:space="0" w:color="auto"/>
        <w:bottom w:val="none" w:sz="0" w:space="0" w:color="auto"/>
        <w:right w:val="none" w:sz="0" w:space="0" w:color="auto"/>
      </w:divBdr>
    </w:div>
    <w:div w:id="775715741">
      <w:bodyDiv w:val="1"/>
      <w:marLeft w:val="0"/>
      <w:marRight w:val="0"/>
      <w:marTop w:val="0"/>
      <w:marBottom w:val="0"/>
      <w:divBdr>
        <w:top w:val="none" w:sz="0" w:space="0" w:color="auto"/>
        <w:left w:val="none" w:sz="0" w:space="0" w:color="auto"/>
        <w:bottom w:val="none" w:sz="0" w:space="0" w:color="auto"/>
        <w:right w:val="none" w:sz="0" w:space="0" w:color="auto"/>
      </w:divBdr>
    </w:div>
    <w:div w:id="779181440">
      <w:bodyDiv w:val="1"/>
      <w:marLeft w:val="0"/>
      <w:marRight w:val="0"/>
      <w:marTop w:val="0"/>
      <w:marBottom w:val="0"/>
      <w:divBdr>
        <w:top w:val="none" w:sz="0" w:space="0" w:color="auto"/>
        <w:left w:val="none" w:sz="0" w:space="0" w:color="auto"/>
        <w:bottom w:val="none" w:sz="0" w:space="0" w:color="auto"/>
        <w:right w:val="none" w:sz="0" w:space="0" w:color="auto"/>
      </w:divBdr>
    </w:div>
    <w:div w:id="784082157">
      <w:bodyDiv w:val="1"/>
      <w:marLeft w:val="0"/>
      <w:marRight w:val="0"/>
      <w:marTop w:val="0"/>
      <w:marBottom w:val="0"/>
      <w:divBdr>
        <w:top w:val="none" w:sz="0" w:space="0" w:color="auto"/>
        <w:left w:val="none" w:sz="0" w:space="0" w:color="auto"/>
        <w:bottom w:val="none" w:sz="0" w:space="0" w:color="auto"/>
        <w:right w:val="none" w:sz="0" w:space="0" w:color="auto"/>
      </w:divBdr>
    </w:div>
    <w:div w:id="784957182">
      <w:bodyDiv w:val="1"/>
      <w:marLeft w:val="0"/>
      <w:marRight w:val="0"/>
      <w:marTop w:val="0"/>
      <w:marBottom w:val="0"/>
      <w:divBdr>
        <w:top w:val="none" w:sz="0" w:space="0" w:color="auto"/>
        <w:left w:val="none" w:sz="0" w:space="0" w:color="auto"/>
        <w:bottom w:val="none" w:sz="0" w:space="0" w:color="auto"/>
        <w:right w:val="none" w:sz="0" w:space="0" w:color="auto"/>
      </w:divBdr>
    </w:div>
    <w:div w:id="795368755">
      <w:bodyDiv w:val="1"/>
      <w:marLeft w:val="0"/>
      <w:marRight w:val="0"/>
      <w:marTop w:val="0"/>
      <w:marBottom w:val="0"/>
      <w:divBdr>
        <w:top w:val="none" w:sz="0" w:space="0" w:color="auto"/>
        <w:left w:val="none" w:sz="0" w:space="0" w:color="auto"/>
        <w:bottom w:val="none" w:sz="0" w:space="0" w:color="auto"/>
        <w:right w:val="none" w:sz="0" w:space="0" w:color="auto"/>
      </w:divBdr>
    </w:div>
    <w:div w:id="796797559">
      <w:bodyDiv w:val="1"/>
      <w:marLeft w:val="0"/>
      <w:marRight w:val="0"/>
      <w:marTop w:val="0"/>
      <w:marBottom w:val="0"/>
      <w:divBdr>
        <w:top w:val="none" w:sz="0" w:space="0" w:color="auto"/>
        <w:left w:val="none" w:sz="0" w:space="0" w:color="auto"/>
        <w:bottom w:val="none" w:sz="0" w:space="0" w:color="auto"/>
        <w:right w:val="none" w:sz="0" w:space="0" w:color="auto"/>
      </w:divBdr>
    </w:div>
    <w:div w:id="801387583">
      <w:bodyDiv w:val="1"/>
      <w:marLeft w:val="0"/>
      <w:marRight w:val="0"/>
      <w:marTop w:val="0"/>
      <w:marBottom w:val="0"/>
      <w:divBdr>
        <w:top w:val="none" w:sz="0" w:space="0" w:color="auto"/>
        <w:left w:val="none" w:sz="0" w:space="0" w:color="auto"/>
        <w:bottom w:val="none" w:sz="0" w:space="0" w:color="auto"/>
        <w:right w:val="none" w:sz="0" w:space="0" w:color="auto"/>
      </w:divBdr>
    </w:div>
    <w:div w:id="807667219">
      <w:bodyDiv w:val="1"/>
      <w:marLeft w:val="0"/>
      <w:marRight w:val="0"/>
      <w:marTop w:val="0"/>
      <w:marBottom w:val="0"/>
      <w:divBdr>
        <w:top w:val="none" w:sz="0" w:space="0" w:color="auto"/>
        <w:left w:val="none" w:sz="0" w:space="0" w:color="auto"/>
        <w:bottom w:val="none" w:sz="0" w:space="0" w:color="auto"/>
        <w:right w:val="none" w:sz="0" w:space="0" w:color="auto"/>
      </w:divBdr>
    </w:div>
    <w:div w:id="827017452">
      <w:bodyDiv w:val="1"/>
      <w:marLeft w:val="0"/>
      <w:marRight w:val="0"/>
      <w:marTop w:val="0"/>
      <w:marBottom w:val="0"/>
      <w:divBdr>
        <w:top w:val="none" w:sz="0" w:space="0" w:color="auto"/>
        <w:left w:val="none" w:sz="0" w:space="0" w:color="auto"/>
        <w:bottom w:val="none" w:sz="0" w:space="0" w:color="auto"/>
        <w:right w:val="none" w:sz="0" w:space="0" w:color="auto"/>
      </w:divBdr>
    </w:div>
    <w:div w:id="834876915">
      <w:bodyDiv w:val="1"/>
      <w:marLeft w:val="0"/>
      <w:marRight w:val="0"/>
      <w:marTop w:val="0"/>
      <w:marBottom w:val="0"/>
      <w:divBdr>
        <w:top w:val="none" w:sz="0" w:space="0" w:color="auto"/>
        <w:left w:val="none" w:sz="0" w:space="0" w:color="auto"/>
        <w:bottom w:val="none" w:sz="0" w:space="0" w:color="auto"/>
        <w:right w:val="none" w:sz="0" w:space="0" w:color="auto"/>
      </w:divBdr>
    </w:div>
    <w:div w:id="840437628">
      <w:bodyDiv w:val="1"/>
      <w:marLeft w:val="0"/>
      <w:marRight w:val="0"/>
      <w:marTop w:val="0"/>
      <w:marBottom w:val="0"/>
      <w:divBdr>
        <w:top w:val="none" w:sz="0" w:space="0" w:color="auto"/>
        <w:left w:val="none" w:sz="0" w:space="0" w:color="auto"/>
        <w:bottom w:val="none" w:sz="0" w:space="0" w:color="auto"/>
        <w:right w:val="none" w:sz="0" w:space="0" w:color="auto"/>
      </w:divBdr>
    </w:div>
    <w:div w:id="847527509">
      <w:bodyDiv w:val="1"/>
      <w:marLeft w:val="0"/>
      <w:marRight w:val="0"/>
      <w:marTop w:val="0"/>
      <w:marBottom w:val="0"/>
      <w:divBdr>
        <w:top w:val="none" w:sz="0" w:space="0" w:color="auto"/>
        <w:left w:val="none" w:sz="0" w:space="0" w:color="auto"/>
        <w:bottom w:val="none" w:sz="0" w:space="0" w:color="auto"/>
        <w:right w:val="none" w:sz="0" w:space="0" w:color="auto"/>
      </w:divBdr>
    </w:div>
    <w:div w:id="851726345">
      <w:bodyDiv w:val="1"/>
      <w:marLeft w:val="0"/>
      <w:marRight w:val="0"/>
      <w:marTop w:val="0"/>
      <w:marBottom w:val="0"/>
      <w:divBdr>
        <w:top w:val="none" w:sz="0" w:space="0" w:color="auto"/>
        <w:left w:val="none" w:sz="0" w:space="0" w:color="auto"/>
        <w:bottom w:val="none" w:sz="0" w:space="0" w:color="auto"/>
        <w:right w:val="none" w:sz="0" w:space="0" w:color="auto"/>
      </w:divBdr>
    </w:div>
    <w:div w:id="865211758">
      <w:bodyDiv w:val="1"/>
      <w:marLeft w:val="0"/>
      <w:marRight w:val="0"/>
      <w:marTop w:val="0"/>
      <w:marBottom w:val="0"/>
      <w:divBdr>
        <w:top w:val="none" w:sz="0" w:space="0" w:color="auto"/>
        <w:left w:val="none" w:sz="0" w:space="0" w:color="auto"/>
        <w:bottom w:val="none" w:sz="0" w:space="0" w:color="auto"/>
        <w:right w:val="none" w:sz="0" w:space="0" w:color="auto"/>
      </w:divBdr>
    </w:div>
    <w:div w:id="875774628">
      <w:bodyDiv w:val="1"/>
      <w:marLeft w:val="0"/>
      <w:marRight w:val="0"/>
      <w:marTop w:val="0"/>
      <w:marBottom w:val="0"/>
      <w:divBdr>
        <w:top w:val="none" w:sz="0" w:space="0" w:color="auto"/>
        <w:left w:val="none" w:sz="0" w:space="0" w:color="auto"/>
        <w:bottom w:val="none" w:sz="0" w:space="0" w:color="auto"/>
        <w:right w:val="none" w:sz="0" w:space="0" w:color="auto"/>
      </w:divBdr>
    </w:div>
    <w:div w:id="878319721">
      <w:bodyDiv w:val="1"/>
      <w:marLeft w:val="0"/>
      <w:marRight w:val="0"/>
      <w:marTop w:val="0"/>
      <w:marBottom w:val="0"/>
      <w:divBdr>
        <w:top w:val="none" w:sz="0" w:space="0" w:color="auto"/>
        <w:left w:val="none" w:sz="0" w:space="0" w:color="auto"/>
        <w:bottom w:val="none" w:sz="0" w:space="0" w:color="auto"/>
        <w:right w:val="none" w:sz="0" w:space="0" w:color="auto"/>
      </w:divBdr>
    </w:div>
    <w:div w:id="880049409">
      <w:bodyDiv w:val="1"/>
      <w:marLeft w:val="0"/>
      <w:marRight w:val="0"/>
      <w:marTop w:val="0"/>
      <w:marBottom w:val="0"/>
      <w:divBdr>
        <w:top w:val="none" w:sz="0" w:space="0" w:color="auto"/>
        <w:left w:val="none" w:sz="0" w:space="0" w:color="auto"/>
        <w:bottom w:val="none" w:sz="0" w:space="0" w:color="auto"/>
        <w:right w:val="none" w:sz="0" w:space="0" w:color="auto"/>
      </w:divBdr>
    </w:div>
    <w:div w:id="880828628">
      <w:bodyDiv w:val="1"/>
      <w:marLeft w:val="0"/>
      <w:marRight w:val="0"/>
      <w:marTop w:val="0"/>
      <w:marBottom w:val="0"/>
      <w:divBdr>
        <w:top w:val="none" w:sz="0" w:space="0" w:color="auto"/>
        <w:left w:val="none" w:sz="0" w:space="0" w:color="auto"/>
        <w:bottom w:val="none" w:sz="0" w:space="0" w:color="auto"/>
        <w:right w:val="none" w:sz="0" w:space="0" w:color="auto"/>
      </w:divBdr>
    </w:div>
    <w:div w:id="888149579">
      <w:bodyDiv w:val="1"/>
      <w:marLeft w:val="0"/>
      <w:marRight w:val="0"/>
      <w:marTop w:val="0"/>
      <w:marBottom w:val="0"/>
      <w:divBdr>
        <w:top w:val="none" w:sz="0" w:space="0" w:color="auto"/>
        <w:left w:val="none" w:sz="0" w:space="0" w:color="auto"/>
        <w:bottom w:val="none" w:sz="0" w:space="0" w:color="auto"/>
        <w:right w:val="none" w:sz="0" w:space="0" w:color="auto"/>
      </w:divBdr>
    </w:div>
    <w:div w:id="891305833">
      <w:bodyDiv w:val="1"/>
      <w:marLeft w:val="0"/>
      <w:marRight w:val="0"/>
      <w:marTop w:val="0"/>
      <w:marBottom w:val="0"/>
      <w:divBdr>
        <w:top w:val="none" w:sz="0" w:space="0" w:color="auto"/>
        <w:left w:val="none" w:sz="0" w:space="0" w:color="auto"/>
        <w:bottom w:val="none" w:sz="0" w:space="0" w:color="auto"/>
        <w:right w:val="none" w:sz="0" w:space="0" w:color="auto"/>
      </w:divBdr>
    </w:div>
    <w:div w:id="891774551">
      <w:bodyDiv w:val="1"/>
      <w:marLeft w:val="0"/>
      <w:marRight w:val="0"/>
      <w:marTop w:val="0"/>
      <w:marBottom w:val="0"/>
      <w:divBdr>
        <w:top w:val="none" w:sz="0" w:space="0" w:color="auto"/>
        <w:left w:val="none" w:sz="0" w:space="0" w:color="auto"/>
        <w:bottom w:val="none" w:sz="0" w:space="0" w:color="auto"/>
        <w:right w:val="none" w:sz="0" w:space="0" w:color="auto"/>
      </w:divBdr>
    </w:div>
    <w:div w:id="897278906">
      <w:bodyDiv w:val="1"/>
      <w:marLeft w:val="0"/>
      <w:marRight w:val="0"/>
      <w:marTop w:val="0"/>
      <w:marBottom w:val="0"/>
      <w:divBdr>
        <w:top w:val="none" w:sz="0" w:space="0" w:color="auto"/>
        <w:left w:val="none" w:sz="0" w:space="0" w:color="auto"/>
        <w:bottom w:val="none" w:sz="0" w:space="0" w:color="auto"/>
        <w:right w:val="none" w:sz="0" w:space="0" w:color="auto"/>
      </w:divBdr>
    </w:div>
    <w:div w:id="898437618">
      <w:bodyDiv w:val="1"/>
      <w:marLeft w:val="0"/>
      <w:marRight w:val="0"/>
      <w:marTop w:val="0"/>
      <w:marBottom w:val="0"/>
      <w:divBdr>
        <w:top w:val="none" w:sz="0" w:space="0" w:color="auto"/>
        <w:left w:val="none" w:sz="0" w:space="0" w:color="auto"/>
        <w:bottom w:val="none" w:sz="0" w:space="0" w:color="auto"/>
        <w:right w:val="none" w:sz="0" w:space="0" w:color="auto"/>
      </w:divBdr>
    </w:div>
    <w:div w:id="903755708">
      <w:bodyDiv w:val="1"/>
      <w:marLeft w:val="0"/>
      <w:marRight w:val="0"/>
      <w:marTop w:val="0"/>
      <w:marBottom w:val="0"/>
      <w:divBdr>
        <w:top w:val="none" w:sz="0" w:space="0" w:color="auto"/>
        <w:left w:val="none" w:sz="0" w:space="0" w:color="auto"/>
        <w:bottom w:val="none" w:sz="0" w:space="0" w:color="auto"/>
        <w:right w:val="none" w:sz="0" w:space="0" w:color="auto"/>
      </w:divBdr>
    </w:div>
    <w:div w:id="911278625">
      <w:bodyDiv w:val="1"/>
      <w:marLeft w:val="0"/>
      <w:marRight w:val="0"/>
      <w:marTop w:val="0"/>
      <w:marBottom w:val="0"/>
      <w:divBdr>
        <w:top w:val="none" w:sz="0" w:space="0" w:color="auto"/>
        <w:left w:val="none" w:sz="0" w:space="0" w:color="auto"/>
        <w:bottom w:val="none" w:sz="0" w:space="0" w:color="auto"/>
        <w:right w:val="none" w:sz="0" w:space="0" w:color="auto"/>
      </w:divBdr>
    </w:div>
    <w:div w:id="911888635">
      <w:bodyDiv w:val="1"/>
      <w:marLeft w:val="0"/>
      <w:marRight w:val="0"/>
      <w:marTop w:val="0"/>
      <w:marBottom w:val="0"/>
      <w:divBdr>
        <w:top w:val="none" w:sz="0" w:space="0" w:color="auto"/>
        <w:left w:val="none" w:sz="0" w:space="0" w:color="auto"/>
        <w:bottom w:val="none" w:sz="0" w:space="0" w:color="auto"/>
        <w:right w:val="none" w:sz="0" w:space="0" w:color="auto"/>
      </w:divBdr>
    </w:div>
    <w:div w:id="916980217">
      <w:bodyDiv w:val="1"/>
      <w:marLeft w:val="0"/>
      <w:marRight w:val="0"/>
      <w:marTop w:val="0"/>
      <w:marBottom w:val="0"/>
      <w:divBdr>
        <w:top w:val="none" w:sz="0" w:space="0" w:color="auto"/>
        <w:left w:val="none" w:sz="0" w:space="0" w:color="auto"/>
        <w:bottom w:val="none" w:sz="0" w:space="0" w:color="auto"/>
        <w:right w:val="none" w:sz="0" w:space="0" w:color="auto"/>
      </w:divBdr>
    </w:div>
    <w:div w:id="922295731">
      <w:bodyDiv w:val="1"/>
      <w:marLeft w:val="0"/>
      <w:marRight w:val="0"/>
      <w:marTop w:val="0"/>
      <w:marBottom w:val="0"/>
      <w:divBdr>
        <w:top w:val="none" w:sz="0" w:space="0" w:color="auto"/>
        <w:left w:val="none" w:sz="0" w:space="0" w:color="auto"/>
        <w:bottom w:val="none" w:sz="0" w:space="0" w:color="auto"/>
        <w:right w:val="none" w:sz="0" w:space="0" w:color="auto"/>
      </w:divBdr>
    </w:div>
    <w:div w:id="922298674">
      <w:bodyDiv w:val="1"/>
      <w:marLeft w:val="0"/>
      <w:marRight w:val="0"/>
      <w:marTop w:val="0"/>
      <w:marBottom w:val="0"/>
      <w:divBdr>
        <w:top w:val="none" w:sz="0" w:space="0" w:color="auto"/>
        <w:left w:val="none" w:sz="0" w:space="0" w:color="auto"/>
        <w:bottom w:val="none" w:sz="0" w:space="0" w:color="auto"/>
        <w:right w:val="none" w:sz="0" w:space="0" w:color="auto"/>
      </w:divBdr>
    </w:div>
    <w:div w:id="924073335">
      <w:bodyDiv w:val="1"/>
      <w:marLeft w:val="0"/>
      <w:marRight w:val="0"/>
      <w:marTop w:val="0"/>
      <w:marBottom w:val="0"/>
      <w:divBdr>
        <w:top w:val="none" w:sz="0" w:space="0" w:color="auto"/>
        <w:left w:val="none" w:sz="0" w:space="0" w:color="auto"/>
        <w:bottom w:val="none" w:sz="0" w:space="0" w:color="auto"/>
        <w:right w:val="none" w:sz="0" w:space="0" w:color="auto"/>
      </w:divBdr>
    </w:div>
    <w:div w:id="933509766">
      <w:bodyDiv w:val="1"/>
      <w:marLeft w:val="0"/>
      <w:marRight w:val="0"/>
      <w:marTop w:val="0"/>
      <w:marBottom w:val="0"/>
      <w:divBdr>
        <w:top w:val="none" w:sz="0" w:space="0" w:color="auto"/>
        <w:left w:val="none" w:sz="0" w:space="0" w:color="auto"/>
        <w:bottom w:val="none" w:sz="0" w:space="0" w:color="auto"/>
        <w:right w:val="none" w:sz="0" w:space="0" w:color="auto"/>
      </w:divBdr>
    </w:div>
    <w:div w:id="946471969">
      <w:bodyDiv w:val="1"/>
      <w:marLeft w:val="0"/>
      <w:marRight w:val="0"/>
      <w:marTop w:val="0"/>
      <w:marBottom w:val="0"/>
      <w:divBdr>
        <w:top w:val="none" w:sz="0" w:space="0" w:color="auto"/>
        <w:left w:val="none" w:sz="0" w:space="0" w:color="auto"/>
        <w:bottom w:val="none" w:sz="0" w:space="0" w:color="auto"/>
        <w:right w:val="none" w:sz="0" w:space="0" w:color="auto"/>
      </w:divBdr>
    </w:div>
    <w:div w:id="952640248">
      <w:bodyDiv w:val="1"/>
      <w:marLeft w:val="0"/>
      <w:marRight w:val="0"/>
      <w:marTop w:val="0"/>
      <w:marBottom w:val="0"/>
      <w:divBdr>
        <w:top w:val="none" w:sz="0" w:space="0" w:color="auto"/>
        <w:left w:val="none" w:sz="0" w:space="0" w:color="auto"/>
        <w:bottom w:val="none" w:sz="0" w:space="0" w:color="auto"/>
        <w:right w:val="none" w:sz="0" w:space="0" w:color="auto"/>
      </w:divBdr>
    </w:div>
    <w:div w:id="959073949">
      <w:bodyDiv w:val="1"/>
      <w:marLeft w:val="0"/>
      <w:marRight w:val="0"/>
      <w:marTop w:val="0"/>
      <w:marBottom w:val="0"/>
      <w:divBdr>
        <w:top w:val="none" w:sz="0" w:space="0" w:color="auto"/>
        <w:left w:val="none" w:sz="0" w:space="0" w:color="auto"/>
        <w:bottom w:val="none" w:sz="0" w:space="0" w:color="auto"/>
        <w:right w:val="none" w:sz="0" w:space="0" w:color="auto"/>
      </w:divBdr>
    </w:div>
    <w:div w:id="966466732">
      <w:bodyDiv w:val="1"/>
      <w:marLeft w:val="0"/>
      <w:marRight w:val="0"/>
      <w:marTop w:val="0"/>
      <w:marBottom w:val="0"/>
      <w:divBdr>
        <w:top w:val="none" w:sz="0" w:space="0" w:color="auto"/>
        <w:left w:val="none" w:sz="0" w:space="0" w:color="auto"/>
        <w:bottom w:val="none" w:sz="0" w:space="0" w:color="auto"/>
        <w:right w:val="none" w:sz="0" w:space="0" w:color="auto"/>
      </w:divBdr>
    </w:div>
    <w:div w:id="970592385">
      <w:bodyDiv w:val="1"/>
      <w:marLeft w:val="0"/>
      <w:marRight w:val="0"/>
      <w:marTop w:val="0"/>
      <w:marBottom w:val="0"/>
      <w:divBdr>
        <w:top w:val="none" w:sz="0" w:space="0" w:color="auto"/>
        <w:left w:val="none" w:sz="0" w:space="0" w:color="auto"/>
        <w:bottom w:val="none" w:sz="0" w:space="0" w:color="auto"/>
        <w:right w:val="none" w:sz="0" w:space="0" w:color="auto"/>
      </w:divBdr>
    </w:div>
    <w:div w:id="978219325">
      <w:bodyDiv w:val="1"/>
      <w:marLeft w:val="0"/>
      <w:marRight w:val="0"/>
      <w:marTop w:val="0"/>
      <w:marBottom w:val="0"/>
      <w:divBdr>
        <w:top w:val="none" w:sz="0" w:space="0" w:color="auto"/>
        <w:left w:val="none" w:sz="0" w:space="0" w:color="auto"/>
        <w:bottom w:val="none" w:sz="0" w:space="0" w:color="auto"/>
        <w:right w:val="none" w:sz="0" w:space="0" w:color="auto"/>
      </w:divBdr>
    </w:div>
    <w:div w:id="985669186">
      <w:bodyDiv w:val="1"/>
      <w:marLeft w:val="0"/>
      <w:marRight w:val="0"/>
      <w:marTop w:val="0"/>
      <w:marBottom w:val="0"/>
      <w:divBdr>
        <w:top w:val="none" w:sz="0" w:space="0" w:color="auto"/>
        <w:left w:val="none" w:sz="0" w:space="0" w:color="auto"/>
        <w:bottom w:val="none" w:sz="0" w:space="0" w:color="auto"/>
        <w:right w:val="none" w:sz="0" w:space="0" w:color="auto"/>
      </w:divBdr>
    </w:div>
    <w:div w:id="996037957">
      <w:bodyDiv w:val="1"/>
      <w:marLeft w:val="0"/>
      <w:marRight w:val="0"/>
      <w:marTop w:val="0"/>
      <w:marBottom w:val="0"/>
      <w:divBdr>
        <w:top w:val="none" w:sz="0" w:space="0" w:color="auto"/>
        <w:left w:val="none" w:sz="0" w:space="0" w:color="auto"/>
        <w:bottom w:val="none" w:sz="0" w:space="0" w:color="auto"/>
        <w:right w:val="none" w:sz="0" w:space="0" w:color="auto"/>
      </w:divBdr>
    </w:div>
    <w:div w:id="1001156715">
      <w:bodyDiv w:val="1"/>
      <w:marLeft w:val="0"/>
      <w:marRight w:val="0"/>
      <w:marTop w:val="0"/>
      <w:marBottom w:val="0"/>
      <w:divBdr>
        <w:top w:val="none" w:sz="0" w:space="0" w:color="auto"/>
        <w:left w:val="none" w:sz="0" w:space="0" w:color="auto"/>
        <w:bottom w:val="none" w:sz="0" w:space="0" w:color="auto"/>
        <w:right w:val="none" w:sz="0" w:space="0" w:color="auto"/>
      </w:divBdr>
    </w:div>
    <w:div w:id="1002972085">
      <w:bodyDiv w:val="1"/>
      <w:marLeft w:val="0"/>
      <w:marRight w:val="0"/>
      <w:marTop w:val="0"/>
      <w:marBottom w:val="0"/>
      <w:divBdr>
        <w:top w:val="none" w:sz="0" w:space="0" w:color="auto"/>
        <w:left w:val="none" w:sz="0" w:space="0" w:color="auto"/>
        <w:bottom w:val="none" w:sz="0" w:space="0" w:color="auto"/>
        <w:right w:val="none" w:sz="0" w:space="0" w:color="auto"/>
      </w:divBdr>
    </w:div>
    <w:div w:id="1008368674">
      <w:bodyDiv w:val="1"/>
      <w:marLeft w:val="0"/>
      <w:marRight w:val="0"/>
      <w:marTop w:val="0"/>
      <w:marBottom w:val="0"/>
      <w:divBdr>
        <w:top w:val="none" w:sz="0" w:space="0" w:color="auto"/>
        <w:left w:val="none" w:sz="0" w:space="0" w:color="auto"/>
        <w:bottom w:val="none" w:sz="0" w:space="0" w:color="auto"/>
        <w:right w:val="none" w:sz="0" w:space="0" w:color="auto"/>
      </w:divBdr>
    </w:div>
    <w:div w:id="1008873739">
      <w:bodyDiv w:val="1"/>
      <w:marLeft w:val="0"/>
      <w:marRight w:val="0"/>
      <w:marTop w:val="0"/>
      <w:marBottom w:val="0"/>
      <w:divBdr>
        <w:top w:val="none" w:sz="0" w:space="0" w:color="auto"/>
        <w:left w:val="none" w:sz="0" w:space="0" w:color="auto"/>
        <w:bottom w:val="none" w:sz="0" w:space="0" w:color="auto"/>
        <w:right w:val="none" w:sz="0" w:space="0" w:color="auto"/>
      </w:divBdr>
    </w:div>
    <w:div w:id="1012607853">
      <w:bodyDiv w:val="1"/>
      <w:marLeft w:val="0"/>
      <w:marRight w:val="0"/>
      <w:marTop w:val="0"/>
      <w:marBottom w:val="0"/>
      <w:divBdr>
        <w:top w:val="none" w:sz="0" w:space="0" w:color="auto"/>
        <w:left w:val="none" w:sz="0" w:space="0" w:color="auto"/>
        <w:bottom w:val="none" w:sz="0" w:space="0" w:color="auto"/>
        <w:right w:val="none" w:sz="0" w:space="0" w:color="auto"/>
      </w:divBdr>
    </w:div>
    <w:div w:id="1019619226">
      <w:bodyDiv w:val="1"/>
      <w:marLeft w:val="0"/>
      <w:marRight w:val="0"/>
      <w:marTop w:val="0"/>
      <w:marBottom w:val="0"/>
      <w:divBdr>
        <w:top w:val="none" w:sz="0" w:space="0" w:color="auto"/>
        <w:left w:val="none" w:sz="0" w:space="0" w:color="auto"/>
        <w:bottom w:val="none" w:sz="0" w:space="0" w:color="auto"/>
        <w:right w:val="none" w:sz="0" w:space="0" w:color="auto"/>
      </w:divBdr>
    </w:div>
    <w:div w:id="1032849198">
      <w:bodyDiv w:val="1"/>
      <w:marLeft w:val="0"/>
      <w:marRight w:val="0"/>
      <w:marTop w:val="0"/>
      <w:marBottom w:val="0"/>
      <w:divBdr>
        <w:top w:val="none" w:sz="0" w:space="0" w:color="auto"/>
        <w:left w:val="none" w:sz="0" w:space="0" w:color="auto"/>
        <w:bottom w:val="none" w:sz="0" w:space="0" w:color="auto"/>
        <w:right w:val="none" w:sz="0" w:space="0" w:color="auto"/>
      </w:divBdr>
    </w:div>
    <w:div w:id="1042442996">
      <w:bodyDiv w:val="1"/>
      <w:marLeft w:val="0"/>
      <w:marRight w:val="0"/>
      <w:marTop w:val="0"/>
      <w:marBottom w:val="0"/>
      <w:divBdr>
        <w:top w:val="none" w:sz="0" w:space="0" w:color="auto"/>
        <w:left w:val="none" w:sz="0" w:space="0" w:color="auto"/>
        <w:bottom w:val="none" w:sz="0" w:space="0" w:color="auto"/>
        <w:right w:val="none" w:sz="0" w:space="0" w:color="auto"/>
      </w:divBdr>
    </w:div>
    <w:div w:id="1050689322">
      <w:bodyDiv w:val="1"/>
      <w:marLeft w:val="0"/>
      <w:marRight w:val="0"/>
      <w:marTop w:val="0"/>
      <w:marBottom w:val="0"/>
      <w:divBdr>
        <w:top w:val="none" w:sz="0" w:space="0" w:color="auto"/>
        <w:left w:val="none" w:sz="0" w:space="0" w:color="auto"/>
        <w:bottom w:val="none" w:sz="0" w:space="0" w:color="auto"/>
        <w:right w:val="none" w:sz="0" w:space="0" w:color="auto"/>
      </w:divBdr>
    </w:div>
    <w:div w:id="1051807603">
      <w:bodyDiv w:val="1"/>
      <w:marLeft w:val="0"/>
      <w:marRight w:val="0"/>
      <w:marTop w:val="0"/>
      <w:marBottom w:val="0"/>
      <w:divBdr>
        <w:top w:val="none" w:sz="0" w:space="0" w:color="auto"/>
        <w:left w:val="none" w:sz="0" w:space="0" w:color="auto"/>
        <w:bottom w:val="none" w:sz="0" w:space="0" w:color="auto"/>
        <w:right w:val="none" w:sz="0" w:space="0" w:color="auto"/>
      </w:divBdr>
    </w:div>
    <w:div w:id="1052465767">
      <w:bodyDiv w:val="1"/>
      <w:marLeft w:val="0"/>
      <w:marRight w:val="0"/>
      <w:marTop w:val="0"/>
      <w:marBottom w:val="0"/>
      <w:divBdr>
        <w:top w:val="none" w:sz="0" w:space="0" w:color="auto"/>
        <w:left w:val="none" w:sz="0" w:space="0" w:color="auto"/>
        <w:bottom w:val="none" w:sz="0" w:space="0" w:color="auto"/>
        <w:right w:val="none" w:sz="0" w:space="0" w:color="auto"/>
      </w:divBdr>
    </w:div>
    <w:div w:id="1054701670">
      <w:bodyDiv w:val="1"/>
      <w:marLeft w:val="0"/>
      <w:marRight w:val="0"/>
      <w:marTop w:val="0"/>
      <w:marBottom w:val="0"/>
      <w:divBdr>
        <w:top w:val="none" w:sz="0" w:space="0" w:color="auto"/>
        <w:left w:val="none" w:sz="0" w:space="0" w:color="auto"/>
        <w:bottom w:val="none" w:sz="0" w:space="0" w:color="auto"/>
        <w:right w:val="none" w:sz="0" w:space="0" w:color="auto"/>
      </w:divBdr>
    </w:div>
    <w:div w:id="1056970371">
      <w:bodyDiv w:val="1"/>
      <w:marLeft w:val="0"/>
      <w:marRight w:val="0"/>
      <w:marTop w:val="0"/>
      <w:marBottom w:val="0"/>
      <w:divBdr>
        <w:top w:val="none" w:sz="0" w:space="0" w:color="auto"/>
        <w:left w:val="none" w:sz="0" w:space="0" w:color="auto"/>
        <w:bottom w:val="none" w:sz="0" w:space="0" w:color="auto"/>
        <w:right w:val="none" w:sz="0" w:space="0" w:color="auto"/>
      </w:divBdr>
    </w:div>
    <w:div w:id="1062142560">
      <w:bodyDiv w:val="1"/>
      <w:marLeft w:val="0"/>
      <w:marRight w:val="0"/>
      <w:marTop w:val="0"/>
      <w:marBottom w:val="0"/>
      <w:divBdr>
        <w:top w:val="none" w:sz="0" w:space="0" w:color="auto"/>
        <w:left w:val="none" w:sz="0" w:space="0" w:color="auto"/>
        <w:bottom w:val="none" w:sz="0" w:space="0" w:color="auto"/>
        <w:right w:val="none" w:sz="0" w:space="0" w:color="auto"/>
      </w:divBdr>
    </w:div>
    <w:div w:id="1081414638">
      <w:bodyDiv w:val="1"/>
      <w:marLeft w:val="0"/>
      <w:marRight w:val="0"/>
      <w:marTop w:val="0"/>
      <w:marBottom w:val="0"/>
      <w:divBdr>
        <w:top w:val="none" w:sz="0" w:space="0" w:color="auto"/>
        <w:left w:val="none" w:sz="0" w:space="0" w:color="auto"/>
        <w:bottom w:val="none" w:sz="0" w:space="0" w:color="auto"/>
        <w:right w:val="none" w:sz="0" w:space="0" w:color="auto"/>
      </w:divBdr>
    </w:div>
    <w:div w:id="1083331448">
      <w:bodyDiv w:val="1"/>
      <w:marLeft w:val="0"/>
      <w:marRight w:val="0"/>
      <w:marTop w:val="0"/>
      <w:marBottom w:val="0"/>
      <w:divBdr>
        <w:top w:val="none" w:sz="0" w:space="0" w:color="auto"/>
        <w:left w:val="none" w:sz="0" w:space="0" w:color="auto"/>
        <w:bottom w:val="none" w:sz="0" w:space="0" w:color="auto"/>
        <w:right w:val="none" w:sz="0" w:space="0" w:color="auto"/>
      </w:divBdr>
    </w:div>
    <w:div w:id="1085763088">
      <w:bodyDiv w:val="1"/>
      <w:marLeft w:val="0"/>
      <w:marRight w:val="0"/>
      <w:marTop w:val="0"/>
      <w:marBottom w:val="0"/>
      <w:divBdr>
        <w:top w:val="none" w:sz="0" w:space="0" w:color="auto"/>
        <w:left w:val="none" w:sz="0" w:space="0" w:color="auto"/>
        <w:bottom w:val="none" w:sz="0" w:space="0" w:color="auto"/>
        <w:right w:val="none" w:sz="0" w:space="0" w:color="auto"/>
      </w:divBdr>
    </w:div>
    <w:div w:id="1088693476">
      <w:bodyDiv w:val="1"/>
      <w:marLeft w:val="0"/>
      <w:marRight w:val="0"/>
      <w:marTop w:val="0"/>
      <w:marBottom w:val="0"/>
      <w:divBdr>
        <w:top w:val="none" w:sz="0" w:space="0" w:color="auto"/>
        <w:left w:val="none" w:sz="0" w:space="0" w:color="auto"/>
        <w:bottom w:val="none" w:sz="0" w:space="0" w:color="auto"/>
        <w:right w:val="none" w:sz="0" w:space="0" w:color="auto"/>
      </w:divBdr>
    </w:div>
    <w:div w:id="1097216445">
      <w:bodyDiv w:val="1"/>
      <w:marLeft w:val="0"/>
      <w:marRight w:val="0"/>
      <w:marTop w:val="0"/>
      <w:marBottom w:val="0"/>
      <w:divBdr>
        <w:top w:val="none" w:sz="0" w:space="0" w:color="auto"/>
        <w:left w:val="none" w:sz="0" w:space="0" w:color="auto"/>
        <w:bottom w:val="none" w:sz="0" w:space="0" w:color="auto"/>
        <w:right w:val="none" w:sz="0" w:space="0" w:color="auto"/>
      </w:divBdr>
    </w:div>
    <w:div w:id="1102997601">
      <w:bodyDiv w:val="1"/>
      <w:marLeft w:val="0"/>
      <w:marRight w:val="0"/>
      <w:marTop w:val="0"/>
      <w:marBottom w:val="0"/>
      <w:divBdr>
        <w:top w:val="none" w:sz="0" w:space="0" w:color="auto"/>
        <w:left w:val="none" w:sz="0" w:space="0" w:color="auto"/>
        <w:bottom w:val="none" w:sz="0" w:space="0" w:color="auto"/>
        <w:right w:val="none" w:sz="0" w:space="0" w:color="auto"/>
      </w:divBdr>
      <w:divsChild>
        <w:div w:id="1980108933">
          <w:marLeft w:val="547"/>
          <w:marRight w:val="0"/>
          <w:marTop w:val="0"/>
          <w:marBottom w:val="0"/>
          <w:divBdr>
            <w:top w:val="none" w:sz="0" w:space="0" w:color="auto"/>
            <w:left w:val="none" w:sz="0" w:space="0" w:color="auto"/>
            <w:bottom w:val="none" w:sz="0" w:space="0" w:color="auto"/>
            <w:right w:val="none" w:sz="0" w:space="0" w:color="auto"/>
          </w:divBdr>
        </w:div>
      </w:divsChild>
    </w:div>
    <w:div w:id="1106316822">
      <w:bodyDiv w:val="1"/>
      <w:marLeft w:val="0"/>
      <w:marRight w:val="0"/>
      <w:marTop w:val="0"/>
      <w:marBottom w:val="0"/>
      <w:divBdr>
        <w:top w:val="none" w:sz="0" w:space="0" w:color="auto"/>
        <w:left w:val="none" w:sz="0" w:space="0" w:color="auto"/>
        <w:bottom w:val="none" w:sz="0" w:space="0" w:color="auto"/>
        <w:right w:val="none" w:sz="0" w:space="0" w:color="auto"/>
      </w:divBdr>
    </w:div>
    <w:div w:id="1121341167">
      <w:bodyDiv w:val="1"/>
      <w:marLeft w:val="0"/>
      <w:marRight w:val="0"/>
      <w:marTop w:val="0"/>
      <w:marBottom w:val="0"/>
      <w:divBdr>
        <w:top w:val="none" w:sz="0" w:space="0" w:color="auto"/>
        <w:left w:val="none" w:sz="0" w:space="0" w:color="auto"/>
        <w:bottom w:val="none" w:sz="0" w:space="0" w:color="auto"/>
        <w:right w:val="none" w:sz="0" w:space="0" w:color="auto"/>
      </w:divBdr>
    </w:div>
    <w:div w:id="1122310872">
      <w:bodyDiv w:val="1"/>
      <w:marLeft w:val="0"/>
      <w:marRight w:val="0"/>
      <w:marTop w:val="0"/>
      <w:marBottom w:val="0"/>
      <w:divBdr>
        <w:top w:val="none" w:sz="0" w:space="0" w:color="auto"/>
        <w:left w:val="none" w:sz="0" w:space="0" w:color="auto"/>
        <w:bottom w:val="none" w:sz="0" w:space="0" w:color="auto"/>
        <w:right w:val="none" w:sz="0" w:space="0" w:color="auto"/>
      </w:divBdr>
    </w:div>
    <w:div w:id="1133598744">
      <w:bodyDiv w:val="1"/>
      <w:marLeft w:val="0"/>
      <w:marRight w:val="0"/>
      <w:marTop w:val="0"/>
      <w:marBottom w:val="0"/>
      <w:divBdr>
        <w:top w:val="none" w:sz="0" w:space="0" w:color="auto"/>
        <w:left w:val="none" w:sz="0" w:space="0" w:color="auto"/>
        <w:bottom w:val="none" w:sz="0" w:space="0" w:color="auto"/>
        <w:right w:val="none" w:sz="0" w:space="0" w:color="auto"/>
      </w:divBdr>
    </w:div>
    <w:div w:id="1144464514">
      <w:bodyDiv w:val="1"/>
      <w:marLeft w:val="0"/>
      <w:marRight w:val="0"/>
      <w:marTop w:val="0"/>
      <w:marBottom w:val="0"/>
      <w:divBdr>
        <w:top w:val="none" w:sz="0" w:space="0" w:color="auto"/>
        <w:left w:val="none" w:sz="0" w:space="0" w:color="auto"/>
        <w:bottom w:val="none" w:sz="0" w:space="0" w:color="auto"/>
        <w:right w:val="none" w:sz="0" w:space="0" w:color="auto"/>
      </w:divBdr>
    </w:div>
    <w:div w:id="1149592629">
      <w:bodyDiv w:val="1"/>
      <w:marLeft w:val="0"/>
      <w:marRight w:val="0"/>
      <w:marTop w:val="0"/>
      <w:marBottom w:val="0"/>
      <w:divBdr>
        <w:top w:val="none" w:sz="0" w:space="0" w:color="auto"/>
        <w:left w:val="none" w:sz="0" w:space="0" w:color="auto"/>
        <w:bottom w:val="none" w:sz="0" w:space="0" w:color="auto"/>
        <w:right w:val="none" w:sz="0" w:space="0" w:color="auto"/>
      </w:divBdr>
    </w:div>
    <w:div w:id="1151943205">
      <w:bodyDiv w:val="1"/>
      <w:marLeft w:val="0"/>
      <w:marRight w:val="0"/>
      <w:marTop w:val="0"/>
      <w:marBottom w:val="0"/>
      <w:divBdr>
        <w:top w:val="none" w:sz="0" w:space="0" w:color="auto"/>
        <w:left w:val="none" w:sz="0" w:space="0" w:color="auto"/>
        <w:bottom w:val="none" w:sz="0" w:space="0" w:color="auto"/>
        <w:right w:val="none" w:sz="0" w:space="0" w:color="auto"/>
      </w:divBdr>
    </w:div>
    <w:div w:id="1167670962">
      <w:bodyDiv w:val="1"/>
      <w:marLeft w:val="0"/>
      <w:marRight w:val="0"/>
      <w:marTop w:val="0"/>
      <w:marBottom w:val="0"/>
      <w:divBdr>
        <w:top w:val="none" w:sz="0" w:space="0" w:color="auto"/>
        <w:left w:val="none" w:sz="0" w:space="0" w:color="auto"/>
        <w:bottom w:val="none" w:sz="0" w:space="0" w:color="auto"/>
        <w:right w:val="none" w:sz="0" w:space="0" w:color="auto"/>
      </w:divBdr>
    </w:div>
    <w:div w:id="1176268970">
      <w:bodyDiv w:val="1"/>
      <w:marLeft w:val="0"/>
      <w:marRight w:val="0"/>
      <w:marTop w:val="0"/>
      <w:marBottom w:val="0"/>
      <w:divBdr>
        <w:top w:val="none" w:sz="0" w:space="0" w:color="auto"/>
        <w:left w:val="none" w:sz="0" w:space="0" w:color="auto"/>
        <w:bottom w:val="none" w:sz="0" w:space="0" w:color="auto"/>
        <w:right w:val="none" w:sz="0" w:space="0" w:color="auto"/>
      </w:divBdr>
    </w:div>
    <w:div w:id="1177160171">
      <w:bodyDiv w:val="1"/>
      <w:marLeft w:val="0"/>
      <w:marRight w:val="0"/>
      <w:marTop w:val="0"/>
      <w:marBottom w:val="0"/>
      <w:divBdr>
        <w:top w:val="none" w:sz="0" w:space="0" w:color="auto"/>
        <w:left w:val="none" w:sz="0" w:space="0" w:color="auto"/>
        <w:bottom w:val="none" w:sz="0" w:space="0" w:color="auto"/>
        <w:right w:val="none" w:sz="0" w:space="0" w:color="auto"/>
      </w:divBdr>
    </w:div>
    <w:div w:id="1182859696">
      <w:bodyDiv w:val="1"/>
      <w:marLeft w:val="0"/>
      <w:marRight w:val="0"/>
      <w:marTop w:val="0"/>
      <w:marBottom w:val="0"/>
      <w:divBdr>
        <w:top w:val="none" w:sz="0" w:space="0" w:color="auto"/>
        <w:left w:val="none" w:sz="0" w:space="0" w:color="auto"/>
        <w:bottom w:val="none" w:sz="0" w:space="0" w:color="auto"/>
        <w:right w:val="none" w:sz="0" w:space="0" w:color="auto"/>
      </w:divBdr>
    </w:div>
    <w:div w:id="1184200247">
      <w:bodyDiv w:val="1"/>
      <w:marLeft w:val="0"/>
      <w:marRight w:val="0"/>
      <w:marTop w:val="0"/>
      <w:marBottom w:val="0"/>
      <w:divBdr>
        <w:top w:val="none" w:sz="0" w:space="0" w:color="auto"/>
        <w:left w:val="none" w:sz="0" w:space="0" w:color="auto"/>
        <w:bottom w:val="none" w:sz="0" w:space="0" w:color="auto"/>
        <w:right w:val="none" w:sz="0" w:space="0" w:color="auto"/>
      </w:divBdr>
    </w:div>
    <w:div w:id="1190148974">
      <w:bodyDiv w:val="1"/>
      <w:marLeft w:val="0"/>
      <w:marRight w:val="0"/>
      <w:marTop w:val="0"/>
      <w:marBottom w:val="0"/>
      <w:divBdr>
        <w:top w:val="none" w:sz="0" w:space="0" w:color="auto"/>
        <w:left w:val="none" w:sz="0" w:space="0" w:color="auto"/>
        <w:bottom w:val="none" w:sz="0" w:space="0" w:color="auto"/>
        <w:right w:val="none" w:sz="0" w:space="0" w:color="auto"/>
      </w:divBdr>
    </w:div>
    <w:div w:id="1190677438">
      <w:bodyDiv w:val="1"/>
      <w:marLeft w:val="0"/>
      <w:marRight w:val="0"/>
      <w:marTop w:val="0"/>
      <w:marBottom w:val="0"/>
      <w:divBdr>
        <w:top w:val="none" w:sz="0" w:space="0" w:color="auto"/>
        <w:left w:val="none" w:sz="0" w:space="0" w:color="auto"/>
        <w:bottom w:val="none" w:sz="0" w:space="0" w:color="auto"/>
        <w:right w:val="none" w:sz="0" w:space="0" w:color="auto"/>
      </w:divBdr>
    </w:div>
    <w:div w:id="1196969230">
      <w:bodyDiv w:val="1"/>
      <w:marLeft w:val="0"/>
      <w:marRight w:val="0"/>
      <w:marTop w:val="0"/>
      <w:marBottom w:val="0"/>
      <w:divBdr>
        <w:top w:val="none" w:sz="0" w:space="0" w:color="auto"/>
        <w:left w:val="none" w:sz="0" w:space="0" w:color="auto"/>
        <w:bottom w:val="none" w:sz="0" w:space="0" w:color="auto"/>
        <w:right w:val="none" w:sz="0" w:space="0" w:color="auto"/>
      </w:divBdr>
    </w:div>
    <w:div w:id="1200434316">
      <w:bodyDiv w:val="1"/>
      <w:marLeft w:val="0"/>
      <w:marRight w:val="0"/>
      <w:marTop w:val="0"/>
      <w:marBottom w:val="0"/>
      <w:divBdr>
        <w:top w:val="none" w:sz="0" w:space="0" w:color="auto"/>
        <w:left w:val="none" w:sz="0" w:space="0" w:color="auto"/>
        <w:bottom w:val="none" w:sz="0" w:space="0" w:color="auto"/>
        <w:right w:val="none" w:sz="0" w:space="0" w:color="auto"/>
      </w:divBdr>
    </w:div>
    <w:div w:id="1201362654">
      <w:bodyDiv w:val="1"/>
      <w:marLeft w:val="0"/>
      <w:marRight w:val="0"/>
      <w:marTop w:val="0"/>
      <w:marBottom w:val="0"/>
      <w:divBdr>
        <w:top w:val="none" w:sz="0" w:space="0" w:color="auto"/>
        <w:left w:val="none" w:sz="0" w:space="0" w:color="auto"/>
        <w:bottom w:val="none" w:sz="0" w:space="0" w:color="auto"/>
        <w:right w:val="none" w:sz="0" w:space="0" w:color="auto"/>
      </w:divBdr>
    </w:div>
    <w:div w:id="1203784734">
      <w:bodyDiv w:val="1"/>
      <w:marLeft w:val="0"/>
      <w:marRight w:val="0"/>
      <w:marTop w:val="0"/>
      <w:marBottom w:val="0"/>
      <w:divBdr>
        <w:top w:val="none" w:sz="0" w:space="0" w:color="auto"/>
        <w:left w:val="none" w:sz="0" w:space="0" w:color="auto"/>
        <w:bottom w:val="none" w:sz="0" w:space="0" w:color="auto"/>
        <w:right w:val="none" w:sz="0" w:space="0" w:color="auto"/>
      </w:divBdr>
    </w:div>
    <w:div w:id="1206530564">
      <w:bodyDiv w:val="1"/>
      <w:marLeft w:val="0"/>
      <w:marRight w:val="0"/>
      <w:marTop w:val="0"/>
      <w:marBottom w:val="0"/>
      <w:divBdr>
        <w:top w:val="none" w:sz="0" w:space="0" w:color="auto"/>
        <w:left w:val="none" w:sz="0" w:space="0" w:color="auto"/>
        <w:bottom w:val="none" w:sz="0" w:space="0" w:color="auto"/>
        <w:right w:val="none" w:sz="0" w:space="0" w:color="auto"/>
      </w:divBdr>
    </w:div>
    <w:div w:id="1217819148">
      <w:bodyDiv w:val="1"/>
      <w:marLeft w:val="0"/>
      <w:marRight w:val="0"/>
      <w:marTop w:val="0"/>
      <w:marBottom w:val="0"/>
      <w:divBdr>
        <w:top w:val="none" w:sz="0" w:space="0" w:color="auto"/>
        <w:left w:val="none" w:sz="0" w:space="0" w:color="auto"/>
        <w:bottom w:val="none" w:sz="0" w:space="0" w:color="auto"/>
        <w:right w:val="none" w:sz="0" w:space="0" w:color="auto"/>
      </w:divBdr>
    </w:div>
    <w:div w:id="1230770148">
      <w:bodyDiv w:val="1"/>
      <w:marLeft w:val="0"/>
      <w:marRight w:val="0"/>
      <w:marTop w:val="0"/>
      <w:marBottom w:val="0"/>
      <w:divBdr>
        <w:top w:val="none" w:sz="0" w:space="0" w:color="auto"/>
        <w:left w:val="none" w:sz="0" w:space="0" w:color="auto"/>
        <w:bottom w:val="none" w:sz="0" w:space="0" w:color="auto"/>
        <w:right w:val="none" w:sz="0" w:space="0" w:color="auto"/>
      </w:divBdr>
    </w:div>
    <w:div w:id="1247302851">
      <w:bodyDiv w:val="1"/>
      <w:marLeft w:val="0"/>
      <w:marRight w:val="0"/>
      <w:marTop w:val="0"/>
      <w:marBottom w:val="0"/>
      <w:divBdr>
        <w:top w:val="none" w:sz="0" w:space="0" w:color="auto"/>
        <w:left w:val="none" w:sz="0" w:space="0" w:color="auto"/>
        <w:bottom w:val="none" w:sz="0" w:space="0" w:color="auto"/>
        <w:right w:val="none" w:sz="0" w:space="0" w:color="auto"/>
      </w:divBdr>
    </w:div>
    <w:div w:id="1249996953">
      <w:bodyDiv w:val="1"/>
      <w:marLeft w:val="0"/>
      <w:marRight w:val="0"/>
      <w:marTop w:val="0"/>
      <w:marBottom w:val="0"/>
      <w:divBdr>
        <w:top w:val="none" w:sz="0" w:space="0" w:color="auto"/>
        <w:left w:val="none" w:sz="0" w:space="0" w:color="auto"/>
        <w:bottom w:val="none" w:sz="0" w:space="0" w:color="auto"/>
        <w:right w:val="none" w:sz="0" w:space="0" w:color="auto"/>
      </w:divBdr>
    </w:div>
    <w:div w:id="1251230153">
      <w:bodyDiv w:val="1"/>
      <w:marLeft w:val="0"/>
      <w:marRight w:val="0"/>
      <w:marTop w:val="0"/>
      <w:marBottom w:val="0"/>
      <w:divBdr>
        <w:top w:val="none" w:sz="0" w:space="0" w:color="auto"/>
        <w:left w:val="none" w:sz="0" w:space="0" w:color="auto"/>
        <w:bottom w:val="none" w:sz="0" w:space="0" w:color="auto"/>
        <w:right w:val="none" w:sz="0" w:space="0" w:color="auto"/>
      </w:divBdr>
    </w:div>
    <w:div w:id="1254515647">
      <w:bodyDiv w:val="1"/>
      <w:marLeft w:val="0"/>
      <w:marRight w:val="0"/>
      <w:marTop w:val="0"/>
      <w:marBottom w:val="0"/>
      <w:divBdr>
        <w:top w:val="none" w:sz="0" w:space="0" w:color="auto"/>
        <w:left w:val="none" w:sz="0" w:space="0" w:color="auto"/>
        <w:bottom w:val="none" w:sz="0" w:space="0" w:color="auto"/>
        <w:right w:val="none" w:sz="0" w:space="0" w:color="auto"/>
      </w:divBdr>
    </w:div>
    <w:div w:id="1256087309">
      <w:bodyDiv w:val="1"/>
      <w:marLeft w:val="0"/>
      <w:marRight w:val="0"/>
      <w:marTop w:val="0"/>
      <w:marBottom w:val="0"/>
      <w:divBdr>
        <w:top w:val="none" w:sz="0" w:space="0" w:color="auto"/>
        <w:left w:val="none" w:sz="0" w:space="0" w:color="auto"/>
        <w:bottom w:val="none" w:sz="0" w:space="0" w:color="auto"/>
        <w:right w:val="none" w:sz="0" w:space="0" w:color="auto"/>
      </w:divBdr>
    </w:div>
    <w:div w:id="1261793414">
      <w:bodyDiv w:val="1"/>
      <w:marLeft w:val="0"/>
      <w:marRight w:val="0"/>
      <w:marTop w:val="0"/>
      <w:marBottom w:val="0"/>
      <w:divBdr>
        <w:top w:val="none" w:sz="0" w:space="0" w:color="auto"/>
        <w:left w:val="none" w:sz="0" w:space="0" w:color="auto"/>
        <w:bottom w:val="none" w:sz="0" w:space="0" w:color="auto"/>
        <w:right w:val="none" w:sz="0" w:space="0" w:color="auto"/>
      </w:divBdr>
    </w:div>
    <w:div w:id="1262446270">
      <w:bodyDiv w:val="1"/>
      <w:marLeft w:val="0"/>
      <w:marRight w:val="0"/>
      <w:marTop w:val="0"/>
      <w:marBottom w:val="0"/>
      <w:divBdr>
        <w:top w:val="none" w:sz="0" w:space="0" w:color="auto"/>
        <w:left w:val="none" w:sz="0" w:space="0" w:color="auto"/>
        <w:bottom w:val="none" w:sz="0" w:space="0" w:color="auto"/>
        <w:right w:val="none" w:sz="0" w:space="0" w:color="auto"/>
      </w:divBdr>
    </w:div>
    <w:div w:id="1262908156">
      <w:bodyDiv w:val="1"/>
      <w:marLeft w:val="0"/>
      <w:marRight w:val="0"/>
      <w:marTop w:val="0"/>
      <w:marBottom w:val="0"/>
      <w:divBdr>
        <w:top w:val="none" w:sz="0" w:space="0" w:color="auto"/>
        <w:left w:val="none" w:sz="0" w:space="0" w:color="auto"/>
        <w:bottom w:val="none" w:sz="0" w:space="0" w:color="auto"/>
        <w:right w:val="none" w:sz="0" w:space="0" w:color="auto"/>
      </w:divBdr>
    </w:div>
    <w:div w:id="1266768973">
      <w:bodyDiv w:val="1"/>
      <w:marLeft w:val="0"/>
      <w:marRight w:val="0"/>
      <w:marTop w:val="0"/>
      <w:marBottom w:val="0"/>
      <w:divBdr>
        <w:top w:val="none" w:sz="0" w:space="0" w:color="auto"/>
        <w:left w:val="none" w:sz="0" w:space="0" w:color="auto"/>
        <w:bottom w:val="none" w:sz="0" w:space="0" w:color="auto"/>
        <w:right w:val="none" w:sz="0" w:space="0" w:color="auto"/>
      </w:divBdr>
    </w:div>
    <w:div w:id="1271282255">
      <w:bodyDiv w:val="1"/>
      <w:marLeft w:val="0"/>
      <w:marRight w:val="0"/>
      <w:marTop w:val="0"/>
      <w:marBottom w:val="0"/>
      <w:divBdr>
        <w:top w:val="none" w:sz="0" w:space="0" w:color="auto"/>
        <w:left w:val="none" w:sz="0" w:space="0" w:color="auto"/>
        <w:bottom w:val="none" w:sz="0" w:space="0" w:color="auto"/>
        <w:right w:val="none" w:sz="0" w:space="0" w:color="auto"/>
      </w:divBdr>
    </w:div>
    <w:div w:id="1295067102">
      <w:bodyDiv w:val="1"/>
      <w:marLeft w:val="0"/>
      <w:marRight w:val="0"/>
      <w:marTop w:val="0"/>
      <w:marBottom w:val="0"/>
      <w:divBdr>
        <w:top w:val="none" w:sz="0" w:space="0" w:color="auto"/>
        <w:left w:val="none" w:sz="0" w:space="0" w:color="auto"/>
        <w:bottom w:val="none" w:sz="0" w:space="0" w:color="auto"/>
        <w:right w:val="none" w:sz="0" w:space="0" w:color="auto"/>
      </w:divBdr>
    </w:div>
    <w:div w:id="1317420544">
      <w:bodyDiv w:val="1"/>
      <w:marLeft w:val="0"/>
      <w:marRight w:val="0"/>
      <w:marTop w:val="0"/>
      <w:marBottom w:val="0"/>
      <w:divBdr>
        <w:top w:val="none" w:sz="0" w:space="0" w:color="auto"/>
        <w:left w:val="none" w:sz="0" w:space="0" w:color="auto"/>
        <w:bottom w:val="none" w:sz="0" w:space="0" w:color="auto"/>
        <w:right w:val="none" w:sz="0" w:space="0" w:color="auto"/>
      </w:divBdr>
    </w:div>
    <w:div w:id="1320887418">
      <w:bodyDiv w:val="1"/>
      <w:marLeft w:val="0"/>
      <w:marRight w:val="0"/>
      <w:marTop w:val="0"/>
      <w:marBottom w:val="0"/>
      <w:divBdr>
        <w:top w:val="none" w:sz="0" w:space="0" w:color="auto"/>
        <w:left w:val="none" w:sz="0" w:space="0" w:color="auto"/>
        <w:bottom w:val="none" w:sz="0" w:space="0" w:color="auto"/>
        <w:right w:val="none" w:sz="0" w:space="0" w:color="auto"/>
      </w:divBdr>
    </w:div>
    <w:div w:id="1326473723">
      <w:bodyDiv w:val="1"/>
      <w:marLeft w:val="0"/>
      <w:marRight w:val="0"/>
      <w:marTop w:val="0"/>
      <w:marBottom w:val="0"/>
      <w:divBdr>
        <w:top w:val="none" w:sz="0" w:space="0" w:color="auto"/>
        <w:left w:val="none" w:sz="0" w:space="0" w:color="auto"/>
        <w:bottom w:val="none" w:sz="0" w:space="0" w:color="auto"/>
        <w:right w:val="none" w:sz="0" w:space="0" w:color="auto"/>
      </w:divBdr>
    </w:div>
    <w:div w:id="1334799058">
      <w:bodyDiv w:val="1"/>
      <w:marLeft w:val="0"/>
      <w:marRight w:val="0"/>
      <w:marTop w:val="0"/>
      <w:marBottom w:val="0"/>
      <w:divBdr>
        <w:top w:val="none" w:sz="0" w:space="0" w:color="auto"/>
        <w:left w:val="none" w:sz="0" w:space="0" w:color="auto"/>
        <w:bottom w:val="none" w:sz="0" w:space="0" w:color="auto"/>
        <w:right w:val="none" w:sz="0" w:space="0" w:color="auto"/>
      </w:divBdr>
    </w:div>
    <w:div w:id="1336616847">
      <w:bodyDiv w:val="1"/>
      <w:marLeft w:val="0"/>
      <w:marRight w:val="0"/>
      <w:marTop w:val="0"/>
      <w:marBottom w:val="0"/>
      <w:divBdr>
        <w:top w:val="none" w:sz="0" w:space="0" w:color="auto"/>
        <w:left w:val="none" w:sz="0" w:space="0" w:color="auto"/>
        <w:bottom w:val="none" w:sz="0" w:space="0" w:color="auto"/>
        <w:right w:val="none" w:sz="0" w:space="0" w:color="auto"/>
      </w:divBdr>
    </w:div>
    <w:div w:id="1341615569">
      <w:bodyDiv w:val="1"/>
      <w:marLeft w:val="0"/>
      <w:marRight w:val="0"/>
      <w:marTop w:val="0"/>
      <w:marBottom w:val="0"/>
      <w:divBdr>
        <w:top w:val="none" w:sz="0" w:space="0" w:color="auto"/>
        <w:left w:val="none" w:sz="0" w:space="0" w:color="auto"/>
        <w:bottom w:val="none" w:sz="0" w:space="0" w:color="auto"/>
        <w:right w:val="none" w:sz="0" w:space="0" w:color="auto"/>
      </w:divBdr>
    </w:div>
    <w:div w:id="1347517106">
      <w:bodyDiv w:val="1"/>
      <w:marLeft w:val="0"/>
      <w:marRight w:val="0"/>
      <w:marTop w:val="0"/>
      <w:marBottom w:val="0"/>
      <w:divBdr>
        <w:top w:val="none" w:sz="0" w:space="0" w:color="auto"/>
        <w:left w:val="none" w:sz="0" w:space="0" w:color="auto"/>
        <w:bottom w:val="none" w:sz="0" w:space="0" w:color="auto"/>
        <w:right w:val="none" w:sz="0" w:space="0" w:color="auto"/>
      </w:divBdr>
    </w:div>
    <w:div w:id="1353720626">
      <w:bodyDiv w:val="1"/>
      <w:marLeft w:val="0"/>
      <w:marRight w:val="0"/>
      <w:marTop w:val="0"/>
      <w:marBottom w:val="0"/>
      <w:divBdr>
        <w:top w:val="none" w:sz="0" w:space="0" w:color="auto"/>
        <w:left w:val="none" w:sz="0" w:space="0" w:color="auto"/>
        <w:bottom w:val="none" w:sz="0" w:space="0" w:color="auto"/>
        <w:right w:val="none" w:sz="0" w:space="0" w:color="auto"/>
      </w:divBdr>
    </w:div>
    <w:div w:id="1356611885">
      <w:bodyDiv w:val="1"/>
      <w:marLeft w:val="0"/>
      <w:marRight w:val="0"/>
      <w:marTop w:val="0"/>
      <w:marBottom w:val="0"/>
      <w:divBdr>
        <w:top w:val="none" w:sz="0" w:space="0" w:color="auto"/>
        <w:left w:val="none" w:sz="0" w:space="0" w:color="auto"/>
        <w:bottom w:val="none" w:sz="0" w:space="0" w:color="auto"/>
        <w:right w:val="none" w:sz="0" w:space="0" w:color="auto"/>
      </w:divBdr>
    </w:div>
    <w:div w:id="1363090260">
      <w:bodyDiv w:val="1"/>
      <w:marLeft w:val="0"/>
      <w:marRight w:val="0"/>
      <w:marTop w:val="0"/>
      <w:marBottom w:val="0"/>
      <w:divBdr>
        <w:top w:val="none" w:sz="0" w:space="0" w:color="auto"/>
        <w:left w:val="none" w:sz="0" w:space="0" w:color="auto"/>
        <w:bottom w:val="none" w:sz="0" w:space="0" w:color="auto"/>
        <w:right w:val="none" w:sz="0" w:space="0" w:color="auto"/>
      </w:divBdr>
    </w:div>
    <w:div w:id="1366829445">
      <w:bodyDiv w:val="1"/>
      <w:marLeft w:val="0"/>
      <w:marRight w:val="0"/>
      <w:marTop w:val="0"/>
      <w:marBottom w:val="0"/>
      <w:divBdr>
        <w:top w:val="none" w:sz="0" w:space="0" w:color="auto"/>
        <w:left w:val="none" w:sz="0" w:space="0" w:color="auto"/>
        <w:bottom w:val="none" w:sz="0" w:space="0" w:color="auto"/>
        <w:right w:val="none" w:sz="0" w:space="0" w:color="auto"/>
      </w:divBdr>
    </w:div>
    <w:div w:id="1377509846">
      <w:bodyDiv w:val="1"/>
      <w:marLeft w:val="0"/>
      <w:marRight w:val="0"/>
      <w:marTop w:val="0"/>
      <w:marBottom w:val="0"/>
      <w:divBdr>
        <w:top w:val="none" w:sz="0" w:space="0" w:color="auto"/>
        <w:left w:val="none" w:sz="0" w:space="0" w:color="auto"/>
        <w:bottom w:val="none" w:sz="0" w:space="0" w:color="auto"/>
        <w:right w:val="none" w:sz="0" w:space="0" w:color="auto"/>
      </w:divBdr>
    </w:div>
    <w:div w:id="1381124071">
      <w:bodyDiv w:val="1"/>
      <w:marLeft w:val="0"/>
      <w:marRight w:val="0"/>
      <w:marTop w:val="0"/>
      <w:marBottom w:val="0"/>
      <w:divBdr>
        <w:top w:val="none" w:sz="0" w:space="0" w:color="auto"/>
        <w:left w:val="none" w:sz="0" w:space="0" w:color="auto"/>
        <w:bottom w:val="none" w:sz="0" w:space="0" w:color="auto"/>
        <w:right w:val="none" w:sz="0" w:space="0" w:color="auto"/>
      </w:divBdr>
    </w:div>
    <w:div w:id="1383554398">
      <w:bodyDiv w:val="1"/>
      <w:marLeft w:val="0"/>
      <w:marRight w:val="0"/>
      <w:marTop w:val="0"/>
      <w:marBottom w:val="0"/>
      <w:divBdr>
        <w:top w:val="none" w:sz="0" w:space="0" w:color="auto"/>
        <w:left w:val="none" w:sz="0" w:space="0" w:color="auto"/>
        <w:bottom w:val="none" w:sz="0" w:space="0" w:color="auto"/>
        <w:right w:val="none" w:sz="0" w:space="0" w:color="auto"/>
      </w:divBdr>
    </w:div>
    <w:div w:id="1386177528">
      <w:bodyDiv w:val="1"/>
      <w:marLeft w:val="0"/>
      <w:marRight w:val="0"/>
      <w:marTop w:val="0"/>
      <w:marBottom w:val="0"/>
      <w:divBdr>
        <w:top w:val="none" w:sz="0" w:space="0" w:color="auto"/>
        <w:left w:val="none" w:sz="0" w:space="0" w:color="auto"/>
        <w:bottom w:val="none" w:sz="0" w:space="0" w:color="auto"/>
        <w:right w:val="none" w:sz="0" w:space="0" w:color="auto"/>
      </w:divBdr>
    </w:div>
    <w:div w:id="1396778560">
      <w:bodyDiv w:val="1"/>
      <w:marLeft w:val="0"/>
      <w:marRight w:val="0"/>
      <w:marTop w:val="0"/>
      <w:marBottom w:val="0"/>
      <w:divBdr>
        <w:top w:val="none" w:sz="0" w:space="0" w:color="auto"/>
        <w:left w:val="none" w:sz="0" w:space="0" w:color="auto"/>
        <w:bottom w:val="none" w:sz="0" w:space="0" w:color="auto"/>
        <w:right w:val="none" w:sz="0" w:space="0" w:color="auto"/>
      </w:divBdr>
    </w:div>
    <w:div w:id="1396855665">
      <w:bodyDiv w:val="1"/>
      <w:marLeft w:val="0"/>
      <w:marRight w:val="0"/>
      <w:marTop w:val="0"/>
      <w:marBottom w:val="0"/>
      <w:divBdr>
        <w:top w:val="none" w:sz="0" w:space="0" w:color="auto"/>
        <w:left w:val="none" w:sz="0" w:space="0" w:color="auto"/>
        <w:bottom w:val="none" w:sz="0" w:space="0" w:color="auto"/>
        <w:right w:val="none" w:sz="0" w:space="0" w:color="auto"/>
      </w:divBdr>
    </w:div>
    <w:div w:id="1398547692">
      <w:bodyDiv w:val="1"/>
      <w:marLeft w:val="0"/>
      <w:marRight w:val="0"/>
      <w:marTop w:val="0"/>
      <w:marBottom w:val="0"/>
      <w:divBdr>
        <w:top w:val="none" w:sz="0" w:space="0" w:color="auto"/>
        <w:left w:val="none" w:sz="0" w:space="0" w:color="auto"/>
        <w:bottom w:val="none" w:sz="0" w:space="0" w:color="auto"/>
        <w:right w:val="none" w:sz="0" w:space="0" w:color="auto"/>
      </w:divBdr>
    </w:div>
    <w:div w:id="1401518996">
      <w:bodyDiv w:val="1"/>
      <w:marLeft w:val="0"/>
      <w:marRight w:val="0"/>
      <w:marTop w:val="0"/>
      <w:marBottom w:val="0"/>
      <w:divBdr>
        <w:top w:val="none" w:sz="0" w:space="0" w:color="auto"/>
        <w:left w:val="none" w:sz="0" w:space="0" w:color="auto"/>
        <w:bottom w:val="none" w:sz="0" w:space="0" w:color="auto"/>
        <w:right w:val="none" w:sz="0" w:space="0" w:color="auto"/>
      </w:divBdr>
    </w:div>
    <w:div w:id="1407268152">
      <w:bodyDiv w:val="1"/>
      <w:marLeft w:val="0"/>
      <w:marRight w:val="0"/>
      <w:marTop w:val="0"/>
      <w:marBottom w:val="0"/>
      <w:divBdr>
        <w:top w:val="none" w:sz="0" w:space="0" w:color="auto"/>
        <w:left w:val="none" w:sz="0" w:space="0" w:color="auto"/>
        <w:bottom w:val="none" w:sz="0" w:space="0" w:color="auto"/>
        <w:right w:val="none" w:sz="0" w:space="0" w:color="auto"/>
      </w:divBdr>
    </w:div>
    <w:div w:id="1409499866">
      <w:bodyDiv w:val="1"/>
      <w:marLeft w:val="0"/>
      <w:marRight w:val="0"/>
      <w:marTop w:val="0"/>
      <w:marBottom w:val="0"/>
      <w:divBdr>
        <w:top w:val="none" w:sz="0" w:space="0" w:color="auto"/>
        <w:left w:val="none" w:sz="0" w:space="0" w:color="auto"/>
        <w:bottom w:val="none" w:sz="0" w:space="0" w:color="auto"/>
        <w:right w:val="none" w:sz="0" w:space="0" w:color="auto"/>
      </w:divBdr>
    </w:div>
    <w:div w:id="1417479849">
      <w:bodyDiv w:val="1"/>
      <w:marLeft w:val="0"/>
      <w:marRight w:val="0"/>
      <w:marTop w:val="0"/>
      <w:marBottom w:val="0"/>
      <w:divBdr>
        <w:top w:val="none" w:sz="0" w:space="0" w:color="auto"/>
        <w:left w:val="none" w:sz="0" w:space="0" w:color="auto"/>
        <w:bottom w:val="none" w:sz="0" w:space="0" w:color="auto"/>
        <w:right w:val="none" w:sz="0" w:space="0" w:color="auto"/>
      </w:divBdr>
    </w:div>
    <w:div w:id="1428235048">
      <w:bodyDiv w:val="1"/>
      <w:marLeft w:val="0"/>
      <w:marRight w:val="0"/>
      <w:marTop w:val="0"/>
      <w:marBottom w:val="0"/>
      <w:divBdr>
        <w:top w:val="none" w:sz="0" w:space="0" w:color="auto"/>
        <w:left w:val="none" w:sz="0" w:space="0" w:color="auto"/>
        <w:bottom w:val="none" w:sz="0" w:space="0" w:color="auto"/>
        <w:right w:val="none" w:sz="0" w:space="0" w:color="auto"/>
      </w:divBdr>
    </w:div>
    <w:div w:id="1435202805">
      <w:bodyDiv w:val="1"/>
      <w:marLeft w:val="0"/>
      <w:marRight w:val="0"/>
      <w:marTop w:val="0"/>
      <w:marBottom w:val="0"/>
      <w:divBdr>
        <w:top w:val="none" w:sz="0" w:space="0" w:color="auto"/>
        <w:left w:val="none" w:sz="0" w:space="0" w:color="auto"/>
        <w:bottom w:val="none" w:sz="0" w:space="0" w:color="auto"/>
        <w:right w:val="none" w:sz="0" w:space="0" w:color="auto"/>
      </w:divBdr>
    </w:div>
    <w:div w:id="1437097867">
      <w:bodyDiv w:val="1"/>
      <w:marLeft w:val="0"/>
      <w:marRight w:val="0"/>
      <w:marTop w:val="0"/>
      <w:marBottom w:val="0"/>
      <w:divBdr>
        <w:top w:val="none" w:sz="0" w:space="0" w:color="auto"/>
        <w:left w:val="none" w:sz="0" w:space="0" w:color="auto"/>
        <w:bottom w:val="none" w:sz="0" w:space="0" w:color="auto"/>
        <w:right w:val="none" w:sz="0" w:space="0" w:color="auto"/>
      </w:divBdr>
    </w:div>
    <w:div w:id="1446997651">
      <w:bodyDiv w:val="1"/>
      <w:marLeft w:val="0"/>
      <w:marRight w:val="0"/>
      <w:marTop w:val="0"/>
      <w:marBottom w:val="0"/>
      <w:divBdr>
        <w:top w:val="none" w:sz="0" w:space="0" w:color="auto"/>
        <w:left w:val="none" w:sz="0" w:space="0" w:color="auto"/>
        <w:bottom w:val="none" w:sz="0" w:space="0" w:color="auto"/>
        <w:right w:val="none" w:sz="0" w:space="0" w:color="auto"/>
      </w:divBdr>
    </w:div>
    <w:div w:id="1447852208">
      <w:bodyDiv w:val="1"/>
      <w:marLeft w:val="0"/>
      <w:marRight w:val="0"/>
      <w:marTop w:val="0"/>
      <w:marBottom w:val="0"/>
      <w:divBdr>
        <w:top w:val="none" w:sz="0" w:space="0" w:color="auto"/>
        <w:left w:val="none" w:sz="0" w:space="0" w:color="auto"/>
        <w:bottom w:val="none" w:sz="0" w:space="0" w:color="auto"/>
        <w:right w:val="none" w:sz="0" w:space="0" w:color="auto"/>
      </w:divBdr>
    </w:div>
    <w:div w:id="1451361970">
      <w:bodyDiv w:val="1"/>
      <w:marLeft w:val="0"/>
      <w:marRight w:val="0"/>
      <w:marTop w:val="0"/>
      <w:marBottom w:val="0"/>
      <w:divBdr>
        <w:top w:val="none" w:sz="0" w:space="0" w:color="auto"/>
        <w:left w:val="none" w:sz="0" w:space="0" w:color="auto"/>
        <w:bottom w:val="none" w:sz="0" w:space="0" w:color="auto"/>
        <w:right w:val="none" w:sz="0" w:space="0" w:color="auto"/>
      </w:divBdr>
    </w:div>
    <w:div w:id="1457597708">
      <w:bodyDiv w:val="1"/>
      <w:marLeft w:val="0"/>
      <w:marRight w:val="0"/>
      <w:marTop w:val="0"/>
      <w:marBottom w:val="0"/>
      <w:divBdr>
        <w:top w:val="none" w:sz="0" w:space="0" w:color="auto"/>
        <w:left w:val="none" w:sz="0" w:space="0" w:color="auto"/>
        <w:bottom w:val="none" w:sz="0" w:space="0" w:color="auto"/>
        <w:right w:val="none" w:sz="0" w:space="0" w:color="auto"/>
      </w:divBdr>
    </w:div>
    <w:div w:id="1459949949">
      <w:bodyDiv w:val="1"/>
      <w:marLeft w:val="0"/>
      <w:marRight w:val="0"/>
      <w:marTop w:val="0"/>
      <w:marBottom w:val="0"/>
      <w:divBdr>
        <w:top w:val="none" w:sz="0" w:space="0" w:color="auto"/>
        <w:left w:val="none" w:sz="0" w:space="0" w:color="auto"/>
        <w:bottom w:val="none" w:sz="0" w:space="0" w:color="auto"/>
        <w:right w:val="none" w:sz="0" w:space="0" w:color="auto"/>
      </w:divBdr>
    </w:div>
    <w:div w:id="1460033724">
      <w:bodyDiv w:val="1"/>
      <w:marLeft w:val="0"/>
      <w:marRight w:val="0"/>
      <w:marTop w:val="0"/>
      <w:marBottom w:val="0"/>
      <w:divBdr>
        <w:top w:val="none" w:sz="0" w:space="0" w:color="auto"/>
        <w:left w:val="none" w:sz="0" w:space="0" w:color="auto"/>
        <w:bottom w:val="none" w:sz="0" w:space="0" w:color="auto"/>
        <w:right w:val="none" w:sz="0" w:space="0" w:color="auto"/>
      </w:divBdr>
    </w:div>
    <w:div w:id="1461074962">
      <w:bodyDiv w:val="1"/>
      <w:marLeft w:val="0"/>
      <w:marRight w:val="0"/>
      <w:marTop w:val="0"/>
      <w:marBottom w:val="0"/>
      <w:divBdr>
        <w:top w:val="none" w:sz="0" w:space="0" w:color="auto"/>
        <w:left w:val="none" w:sz="0" w:space="0" w:color="auto"/>
        <w:bottom w:val="none" w:sz="0" w:space="0" w:color="auto"/>
        <w:right w:val="none" w:sz="0" w:space="0" w:color="auto"/>
      </w:divBdr>
    </w:div>
    <w:div w:id="1464037717">
      <w:bodyDiv w:val="1"/>
      <w:marLeft w:val="0"/>
      <w:marRight w:val="0"/>
      <w:marTop w:val="0"/>
      <w:marBottom w:val="0"/>
      <w:divBdr>
        <w:top w:val="none" w:sz="0" w:space="0" w:color="auto"/>
        <w:left w:val="none" w:sz="0" w:space="0" w:color="auto"/>
        <w:bottom w:val="none" w:sz="0" w:space="0" w:color="auto"/>
        <w:right w:val="none" w:sz="0" w:space="0" w:color="auto"/>
      </w:divBdr>
    </w:div>
    <w:div w:id="1465197723">
      <w:bodyDiv w:val="1"/>
      <w:marLeft w:val="0"/>
      <w:marRight w:val="0"/>
      <w:marTop w:val="0"/>
      <w:marBottom w:val="0"/>
      <w:divBdr>
        <w:top w:val="none" w:sz="0" w:space="0" w:color="auto"/>
        <w:left w:val="none" w:sz="0" w:space="0" w:color="auto"/>
        <w:bottom w:val="none" w:sz="0" w:space="0" w:color="auto"/>
        <w:right w:val="none" w:sz="0" w:space="0" w:color="auto"/>
      </w:divBdr>
    </w:div>
    <w:div w:id="1473446232">
      <w:bodyDiv w:val="1"/>
      <w:marLeft w:val="0"/>
      <w:marRight w:val="0"/>
      <w:marTop w:val="0"/>
      <w:marBottom w:val="0"/>
      <w:divBdr>
        <w:top w:val="none" w:sz="0" w:space="0" w:color="auto"/>
        <w:left w:val="none" w:sz="0" w:space="0" w:color="auto"/>
        <w:bottom w:val="none" w:sz="0" w:space="0" w:color="auto"/>
        <w:right w:val="none" w:sz="0" w:space="0" w:color="auto"/>
      </w:divBdr>
    </w:div>
    <w:div w:id="1477722424">
      <w:bodyDiv w:val="1"/>
      <w:marLeft w:val="0"/>
      <w:marRight w:val="0"/>
      <w:marTop w:val="0"/>
      <w:marBottom w:val="0"/>
      <w:divBdr>
        <w:top w:val="none" w:sz="0" w:space="0" w:color="auto"/>
        <w:left w:val="none" w:sz="0" w:space="0" w:color="auto"/>
        <w:bottom w:val="none" w:sz="0" w:space="0" w:color="auto"/>
        <w:right w:val="none" w:sz="0" w:space="0" w:color="auto"/>
      </w:divBdr>
    </w:div>
    <w:div w:id="1478255019">
      <w:bodyDiv w:val="1"/>
      <w:marLeft w:val="0"/>
      <w:marRight w:val="0"/>
      <w:marTop w:val="0"/>
      <w:marBottom w:val="0"/>
      <w:divBdr>
        <w:top w:val="none" w:sz="0" w:space="0" w:color="auto"/>
        <w:left w:val="none" w:sz="0" w:space="0" w:color="auto"/>
        <w:bottom w:val="none" w:sz="0" w:space="0" w:color="auto"/>
        <w:right w:val="none" w:sz="0" w:space="0" w:color="auto"/>
      </w:divBdr>
    </w:div>
    <w:div w:id="1483086489">
      <w:bodyDiv w:val="1"/>
      <w:marLeft w:val="0"/>
      <w:marRight w:val="0"/>
      <w:marTop w:val="0"/>
      <w:marBottom w:val="0"/>
      <w:divBdr>
        <w:top w:val="none" w:sz="0" w:space="0" w:color="auto"/>
        <w:left w:val="none" w:sz="0" w:space="0" w:color="auto"/>
        <w:bottom w:val="none" w:sz="0" w:space="0" w:color="auto"/>
        <w:right w:val="none" w:sz="0" w:space="0" w:color="auto"/>
      </w:divBdr>
    </w:div>
    <w:div w:id="1485195345">
      <w:bodyDiv w:val="1"/>
      <w:marLeft w:val="0"/>
      <w:marRight w:val="0"/>
      <w:marTop w:val="0"/>
      <w:marBottom w:val="0"/>
      <w:divBdr>
        <w:top w:val="none" w:sz="0" w:space="0" w:color="auto"/>
        <w:left w:val="none" w:sz="0" w:space="0" w:color="auto"/>
        <w:bottom w:val="none" w:sz="0" w:space="0" w:color="auto"/>
        <w:right w:val="none" w:sz="0" w:space="0" w:color="auto"/>
      </w:divBdr>
    </w:div>
    <w:div w:id="1488283566">
      <w:bodyDiv w:val="1"/>
      <w:marLeft w:val="0"/>
      <w:marRight w:val="0"/>
      <w:marTop w:val="0"/>
      <w:marBottom w:val="0"/>
      <w:divBdr>
        <w:top w:val="none" w:sz="0" w:space="0" w:color="auto"/>
        <w:left w:val="none" w:sz="0" w:space="0" w:color="auto"/>
        <w:bottom w:val="none" w:sz="0" w:space="0" w:color="auto"/>
        <w:right w:val="none" w:sz="0" w:space="0" w:color="auto"/>
      </w:divBdr>
    </w:div>
    <w:div w:id="1489009709">
      <w:bodyDiv w:val="1"/>
      <w:marLeft w:val="0"/>
      <w:marRight w:val="0"/>
      <w:marTop w:val="0"/>
      <w:marBottom w:val="0"/>
      <w:divBdr>
        <w:top w:val="none" w:sz="0" w:space="0" w:color="auto"/>
        <w:left w:val="none" w:sz="0" w:space="0" w:color="auto"/>
        <w:bottom w:val="none" w:sz="0" w:space="0" w:color="auto"/>
        <w:right w:val="none" w:sz="0" w:space="0" w:color="auto"/>
      </w:divBdr>
    </w:div>
    <w:div w:id="1491289484">
      <w:bodyDiv w:val="1"/>
      <w:marLeft w:val="0"/>
      <w:marRight w:val="0"/>
      <w:marTop w:val="0"/>
      <w:marBottom w:val="0"/>
      <w:divBdr>
        <w:top w:val="none" w:sz="0" w:space="0" w:color="auto"/>
        <w:left w:val="none" w:sz="0" w:space="0" w:color="auto"/>
        <w:bottom w:val="none" w:sz="0" w:space="0" w:color="auto"/>
        <w:right w:val="none" w:sz="0" w:space="0" w:color="auto"/>
      </w:divBdr>
    </w:div>
    <w:div w:id="1495413824">
      <w:bodyDiv w:val="1"/>
      <w:marLeft w:val="0"/>
      <w:marRight w:val="0"/>
      <w:marTop w:val="0"/>
      <w:marBottom w:val="0"/>
      <w:divBdr>
        <w:top w:val="none" w:sz="0" w:space="0" w:color="auto"/>
        <w:left w:val="none" w:sz="0" w:space="0" w:color="auto"/>
        <w:bottom w:val="none" w:sz="0" w:space="0" w:color="auto"/>
        <w:right w:val="none" w:sz="0" w:space="0" w:color="auto"/>
      </w:divBdr>
    </w:div>
    <w:div w:id="1498643543">
      <w:bodyDiv w:val="1"/>
      <w:marLeft w:val="0"/>
      <w:marRight w:val="0"/>
      <w:marTop w:val="0"/>
      <w:marBottom w:val="0"/>
      <w:divBdr>
        <w:top w:val="none" w:sz="0" w:space="0" w:color="auto"/>
        <w:left w:val="none" w:sz="0" w:space="0" w:color="auto"/>
        <w:bottom w:val="none" w:sz="0" w:space="0" w:color="auto"/>
        <w:right w:val="none" w:sz="0" w:space="0" w:color="auto"/>
      </w:divBdr>
    </w:div>
    <w:div w:id="1503936456">
      <w:bodyDiv w:val="1"/>
      <w:marLeft w:val="0"/>
      <w:marRight w:val="0"/>
      <w:marTop w:val="0"/>
      <w:marBottom w:val="0"/>
      <w:divBdr>
        <w:top w:val="none" w:sz="0" w:space="0" w:color="auto"/>
        <w:left w:val="none" w:sz="0" w:space="0" w:color="auto"/>
        <w:bottom w:val="none" w:sz="0" w:space="0" w:color="auto"/>
        <w:right w:val="none" w:sz="0" w:space="0" w:color="auto"/>
      </w:divBdr>
    </w:div>
    <w:div w:id="1507983778">
      <w:bodyDiv w:val="1"/>
      <w:marLeft w:val="0"/>
      <w:marRight w:val="0"/>
      <w:marTop w:val="0"/>
      <w:marBottom w:val="0"/>
      <w:divBdr>
        <w:top w:val="none" w:sz="0" w:space="0" w:color="auto"/>
        <w:left w:val="none" w:sz="0" w:space="0" w:color="auto"/>
        <w:bottom w:val="none" w:sz="0" w:space="0" w:color="auto"/>
        <w:right w:val="none" w:sz="0" w:space="0" w:color="auto"/>
      </w:divBdr>
    </w:div>
    <w:div w:id="1517232003">
      <w:bodyDiv w:val="1"/>
      <w:marLeft w:val="0"/>
      <w:marRight w:val="0"/>
      <w:marTop w:val="0"/>
      <w:marBottom w:val="0"/>
      <w:divBdr>
        <w:top w:val="none" w:sz="0" w:space="0" w:color="auto"/>
        <w:left w:val="none" w:sz="0" w:space="0" w:color="auto"/>
        <w:bottom w:val="none" w:sz="0" w:space="0" w:color="auto"/>
        <w:right w:val="none" w:sz="0" w:space="0" w:color="auto"/>
      </w:divBdr>
    </w:div>
    <w:div w:id="1517378840">
      <w:bodyDiv w:val="1"/>
      <w:marLeft w:val="0"/>
      <w:marRight w:val="0"/>
      <w:marTop w:val="0"/>
      <w:marBottom w:val="0"/>
      <w:divBdr>
        <w:top w:val="none" w:sz="0" w:space="0" w:color="auto"/>
        <w:left w:val="none" w:sz="0" w:space="0" w:color="auto"/>
        <w:bottom w:val="none" w:sz="0" w:space="0" w:color="auto"/>
        <w:right w:val="none" w:sz="0" w:space="0" w:color="auto"/>
      </w:divBdr>
    </w:div>
    <w:div w:id="1521509321">
      <w:bodyDiv w:val="1"/>
      <w:marLeft w:val="0"/>
      <w:marRight w:val="0"/>
      <w:marTop w:val="0"/>
      <w:marBottom w:val="0"/>
      <w:divBdr>
        <w:top w:val="none" w:sz="0" w:space="0" w:color="auto"/>
        <w:left w:val="none" w:sz="0" w:space="0" w:color="auto"/>
        <w:bottom w:val="none" w:sz="0" w:space="0" w:color="auto"/>
        <w:right w:val="none" w:sz="0" w:space="0" w:color="auto"/>
      </w:divBdr>
    </w:div>
    <w:div w:id="1522359926">
      <w:bodyDiv w:val="1"/>
      <w:marLeft w:val="0"/>
      <w:marRight w:val="0"/>
      <w:marTop w:val="0"/>
      <w:marBottom w:val="0"/>
      <w:divBdr>
        <w:top w:val="none" w:sz="0" w:space="0" w:color="auto"/>
        <w:left w:val="none" w:sz="0" w:space="0" w:color="auto"/>
        <w:bottom w:val="none" w:sz="0" w:space="0" w:color="auto"/>
        <w:right w:val="none" w:sz="0" w:space="0" w:color="auto"/>
      </w:divBdr>
    </w:div>
    <w:div w:id="1527056756">
      <w:bodyDiv w:val="1"/>
      <w:marLeft w:val="0"/>
      <w:marRight w:val="0"/>
      <w:marTop w:val="0"/>
      <w:marBottom w:val="0"/>
      <w:divBdr>
        <w:top w:val="none" w:sz="0" w:space="0" w:color="auto"/>
        <w:left w:val="none" w:sz="0" w:space="0" w:color="auto"/>
        <w:bottom w:val="none" w:sz="0" w:space="0" w:color="auto"/>
        <w:right w:val="none" w:sz="0" w:space="0" w:color="auto"/>
      </w:divBdr>
    </w:div>
    <w:div w:id="1540170247">
      <w:bodyDiv w:val="1"/>
      <w:marLeft w:val="0"/>
      <w:marRight w:val="0"/>
      <w:marTop w:val="0"/>
      <w:marBottom w:val="0"/>
      <w:divBdr>
        <w:top w:val="none" w:sz="0" w:space="0" w:color="auto"/>
        <w:left w:val="none" w:sz="0" w:space="0" w:color="auto"/>
        <w:bottom w:val="none" w:sz="0" w:space="0" w:color="auto"/>
        <w:right w:val="none" w:sz="0" w:space="0" w:color="auto"/>
      </w:divBdr>
    </w:div>
    <w:div w:id="1541745408">
      <w:bodyDiv w:val="1"/>
      <w:marLeft w:val="0"/>
      <w:marRight w:val="0"/>
      <w:marTop w:val="0"/>
      <w:marBottom w:val="0"/>
      <w:divBdr>
        <w:top w:val="none" w:sz="0" w:space="0" w:color="auto"/>
        <w:left w:val="none" w:sz="0" w:space="0" w:color="auto"/>
        <w:bottom w:val="none" w:sz="0" w:space="0" w:color="auto"/>
        <w:right w:val="none" w:sz="0" w:space="0" w:color="auto"/>
      </w:divBdr>
    </w:div>
    <w:div w:id="1542282533">
      <w:bodyDiv w:val="1"/>
      <w:marLeft w:val="0"/>
      <w:marRight w:val="0"/>
      <w:marTop w:val="0"/>
      <w:marBottom w:val="0"/>
      <w:divBdr>
        <w:top w:val="none" w:sz="0" w:space="0" w:color="auto"/>
        <w:left w:val="none" w:sz="0" w:space="0" w:color="auto"/>
        <w:bottom w:val="none" w:sz="0" w:space="0" w:color="auto"/>
        <w:right w:val="none" w:sz="0" w:space="0" w:color="auto"/>
      </w:divBdr>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
    <w:div w:id="1544562227">
      <w:bodyDiv w:val="1"/>
      <w:marLeft w:val="0"/>
      <w:marRight w:val="0"/>
      <w:marTop w:val="0"/>
      <w:marBottom w:val="0"/>
      <w:divBdr>
        <w:top w:val="none" w:sz="0" w:space="0" w:color="auto"/>
        <w:left w:val="none" w:sz="0" w:space="0" w:color="auto"/>
        <w:bottom w:val="none" w:sz="0" w:space="0" w:color="auto"/>
        <w:right w:val="none" w:sz="0" w:space="0" w:color="auto"/>
      </w:divBdr>
    </w:div>
    <w:div w:id="1552424260">
      <w:bodyDiv w:val="1"/>
      <w:marLeft w:val="0"/>
      <w:marRight w:val="0"/>
      <w:marTop w:val="0"/>
      <w:marBottom w:val="0"/>
      <w:divBdr>
        <w:top w:val="none" w:sz="0" w:space="0" w:color="auto"/>
        <w:left w:val="none" w:sz="0" w:space="0" w:color="auto"/>
        <w:bottom w:val="none" w:sz="0" w:space="0" w:color="auto"/>
        <w:right w:val="none" w:sz="0" w:space="0" w:color="auto"/>
      </w:divBdr>
    </w:div>
    <w:div w:id="1558124688">
      <w:bodyDiv w:val="1"/>
      <w:marLeft w:val="0"/>
      <w:marRight w:val="0"/>
      <w:marTop w:val="0"/>
      <w:marBottom w:val="0"/>
      <w:divBdr>
        <w:top w:val="none" w:sz="0" w:space="0" w:color="auto"/>
        <w:left w:val="none" w:sz="0" w:space="0" w:color="auto"/>
        <w:bottom w:val="none" w:sz="0" w:space="0" w:color="auto"/>
        <w:right w:val="none" w:sz="0" w:space="0" w:color="auto"/>
      </w:divBdr>
    </w:div>
    <w:div w:id="1562981098">
      <w:bodyDiv w:val="1"/>
      <w:marLeft w:val="0"/>
      <w:marRight w:val="0"/>
      <w:marTop w:val="0"/>
      <w:marBottom w:val="0"/>
      <w:divBdr>
        <w:top w:val="none" w:sz="0" w:space="0" w:color="auto"/>
        <w:left w:val="none" w:sz="0" w:space="0" w:color="auto"/>
        <w:bottom w:val="none" w:sz="0" w:space="0" w:color="auto"/>
        <w:right w:val="none" w:sz="0" w:space="0" w:color="auto"/>
      </w:divBdr>
    </w:div>
    <w:div w:id="1566338244">
      <w:bodyDiv w:val="1"/>
      <w:marLeft w:val="0"/>
      <w:marRight w:val="0"/>
      <w:marTop w:val="0"/>
      <w:marBottom w:val="0"/>
      <w:divBdr>
        <w:top w:val="none" w:sz="0" w:space="0" w:color="auto"/>
        <w:left w:val="none" w:sz="0" w:space="0" w:color="auto"/>
        <w:bottom w:val="none" w:sz="0" w:space="0" w:color="auto"/>
        <w:right w:val="none" w:sz="0" w:space="0" w:color="auto"/>
      </w:divBdr>
    </w:div>
    <w:div w:id="1574271920">
      <w:bodyDiv w:val="1"/>
      <w:marLeft w:val="0"/>
      <w:marRight w:val="0"/>
      <w:marTop w:val="0"/>
      <w:marBottom w:val="0"/>
      <w:divBdr>
        <w:top w:val="none" w:sz="0" w:space="0" w:color="auto"/>
        <w:left w:val="none" w:sz="0" w:space="0" w:color="auto"/>
        <w:bottom w:val="none" w:sz="0" w:space="0" w:color="auto"/>
        <w:right w:val="none" w:sz="0" w:space="0" w:color="auto"/>
      </w:divBdr>
    </w:div>
    <w:div w:id="1574315040">
      <w:bodyDiv w:val="1"/>
      <w:marLeft w:val="0"/>
      <w:marRight w:val="0"/>
      <w:marTop w:val="0"/>
      <w:marBottom w:val="0"/>
      <w:divBdr>
        <w:top w:val="none" w:sz="0" w:space="0" w:color="auto"/>
        <w:left w:val="none" w:sz="0" w:space="0" w:color="auto"/>
        <w:bottom w:val="none" w:sz="0" w:space="0" w:color="auto"/>
        <w:right w:val="none" w:sz="0" w:space="0" w:color="auto"/>
      </w:divBdr>
    </w:div>
    <w:div w:id="1574702662">
      <w:bodyDiv w:val="1"/>
      <w:marLeft w:val="0"/>
      <w:marRight w:val="0"/>
      <w:marTop w:val="0"/>
      <w:marBottom w:val="0"/>
      <w:divBdr>
        <w:top w:val="none" w:sz="0" w:space="0" w:color="auto"/>
        <w:left w:val="none" w:sz="0" w:space="0" w:color="auto"/>
        <w:bottom w:val="none" w:sz="0" w:space="0" w:color="auto"/>
        <w:right w:val="none" w:sz="0" w:space="0" w:color="auto"/>
      </w:divBdr>
    </w:div>
    <w:div w:id="1578709911">
      <w:bodyDiv w:val="1"/>
      <w:marLeft w:val="0"/>
      <w:marRight w:val="0"/>
      <w:marTop w:val="0"/>
      <w:marBottom w:val="0"/>
      <w:divBdr>
        <w:top w:val="none" w:sz="0" w:space="0" w:color="auto"/>
        <w:left w:val="none" w:sz="0" w:space="0" w:color="auto"/>
        <w:bottom w:val="none" w:sz="0" w:space="0" w:color="auto"/>
        <w:right w:val="none" w:sz="0" w:space="0" w:color="auto"/>
      </w:divBdr>
    </w:div>
    <w:div w:id="1583879946">
      <w:bodyDiv w:val="1"/>
      <w:marLeft w:val="0"/>
      <w:marRight w:val="0"/>
      <w:marTop w:val="0"/>
      <w:marBottom w:val="0"/>
      <w:divBdr>
        <w:top w:val="none" w:sz="0" w:space="0" w:color="auto"/>
        <w:left w:val="none" w:sz="0" w:space="0" w:color="auto"/>
        <w:bottom w:val="none" w:sz="0" w:space="0" w:color="auto"/>
        <w:right w:val="none" w:sz="0" w:space="0" w:color="auto"/>
      </w:divBdr>
    </w:div>
    <w:div w:id="1599483550">
      <w:bodyDiv w:val="1"/>
      <w:marLeft w:val="0"/>
      <w:marRight w:val="0"/>
      <w:marTop w:val="0"/>
      <w:marBottom w:val="0"/>
      <w:divBdr>
        <w:top w:val="none" w:sz="0" w:space="0" w:color="auto"/>
        <w:left w:val="none" w:sz="0" w:space="0" w:color="auto"/>
        <w:bottom w:val="none" w:sz="0" w:space="0" w:color="auto"/>
        <w:right w:val="none" w:sz="0" w:space="0" w:color="auto"/>
      </w:divBdr>
    </w:div>
    <w:div w:id="1603953543">
      <w:bodyDiv w:val="1"/>
      <w:marLeft w:val="0"/>
      <w:marRight w:val="0"/>
      <w:marTop w:val="0"/>
      <w:marBottom w:val="0"/>
      <w:divBdr>
        <w:top w:val="none" w:sz="0" w:space="0" w:color="auto"/>
        <w:left w:val="none" w:sz="0" w:space="0" w:color="auto"/>
        <w:bottom w:val="none" w:sz="0" w:space="0" w:color="auto"/>
        <w:right w:val="none" w:sz="0" w:space="0" w:color="auto"/>
      </w:divBdr>
    </w:div>
    <w:div w:id="1609852450">
      <w:bodyDiv w:val="1"/>
      <w:marLeft w:val="0"/>
      <w:marRight w:val="0"/>
      <w:marTop w:val="0"/>
      <w:marBottom w:val="0"/>
      <w:divBdr>
        <w:top w:val="none" w:sz="0" w:space="0" w:color="auto"/>
        <w:left w:val="none" w:sz="0" w:space="0" w:color="auto"/>
        <w:bottom w:val="none" w:sz="0" w:space="0" w:color="auto"/>
        <w:right w:val="none" w:sz="0" w:space="0" w:color="auto"/>
      </w:divBdr>
    </w:div>
    <w:div w:id="1613125672">
      <w:bodyDiv w:val="1"/>
      <w:marLeft w:val="0"/>
      <w:marRight w:val="0"/>
      <w:marTop w:val="0"/>
      <w:marBottom w:val="0"/>
      <w:divBdr>
        <w:top w:val="none" w:sz="0" w:space="0" w:color="auto"/>
        <w:left w:val="none" w:sz="0" w:space="0" w:color="auto"/>
        <w:bottom w:val="none" w:sz="0" w:space="0" w:color="auto"/>
        <w:right w:val="none" w:sz="0" w:space="0" w:color="auto"/>
      </w:divBdr>
    </w:div>
    <w:div w:id="1617516128">
      <w:bodyDiv w:val="1"/>
      <w:marLeft w:val="0"/>
      <w:marRight w:val="0"/>
      <w:marTop w:val="0"/>
      <w:marBottom w:val="0"/>
      <w:divBdr>
        <w:top w:val="none" w:sz="0" w:space="0" w:color="auto"/>
        <w:left w:val="none" w:sz="0" w:space="0" w:color="auto"/>
        <w:bottom w:val="none" w:sz="0" w:space="0" w:color="auto"/>
        <w:right w:val="none" w:sz="0" w:space="0" w:color="auto"/>
      </w:divBdr>
    </w:div>
    <w:div w:id="1621765676">
      <w:bodyDiv w:val="1"/>
      <w:marLeft w:val="0"/>
      <w:marRight w:val="0"/>
      <w:marTop w:val="0"/>
      <w:marBottom w:val="0"/>
      <w:divBdr>
        <w:top w:val="none" w:sz="0" w:space="0" w:color="auto"/>
        <w:left w:val="none" w:sz="0" w:space="0" w:color="auto"/>
        <w:bottom w:val="none" w:sz="0" w:space="0" w:color="auto"/>
        <w:right w:val="none" w:sz="0" w:space="0" w:color="auto"/>
      </w:divBdr>
    </w:div>
    <w:div w:id="1626499135">
      <w:bodyDiv w:val="1"/>
      <w:marLeft w:val="0"/>
      <w:marRight w:val="0"/>
      <w:marTop w:val="0"/>
      <w:marBottom w:val="0"/>
      <w:divBdr>
        <w:top w:val="none" w:sz="0" w:space="0" w:color="auto"/>
        <w:left w:val="none" w:sz="0" w:space="0" w:color="auto"/>
        <w:bottom w:val="none" w:sz="0" w:space="0" w:color="auto"/>
        <w:right w:val="none" w:sz="0" w:space="0" w:color="auto"/>
      </w:divBdr>
    </w:div>
    <w:div w:id="1628513875">
      <w:bodyDiv w:val="1"/>
      <w:marLeft w:val="0"/>
      <w:marRight w:val="0"/>
      <w:marTop w:val="0"/>
      <w:marBottom w:val="0"/>
      <w:divBdr>
        <w:top w:val="none" w:sz="0" w:space="0" w:color="auto"/>
        <w:left w:val="none" w:sz="0" w:space="0" w:color="auto"/>
        <w:bottom w:val="none" w:sz="0" w:space="0" w:color="auto"/>
        <w:right w:val="none" w:sz="0" w:space="0" w:color="auto"/>
      </w:divBdr>
    </w:div>
    <w:div w:id="1631354050">
      <w:bodyDiv w:val="1"/>
      <w:marLeft w:val="0"/>
      <w:marRight w:val="0"/>
      <w:marTop w:val="0"/>
      <w:marBottom w:val="0"/>
      <w:divBdr>
        <w:top w:val="none" w:sz="0" w:space="0" w:color="auto"/>
        <w:left w:val="none" w:sz="0" w:space="0" w:color="auto"/>
        <w:bottom w:val="none" w:sz="0" w:space="0" w:color="auto"/>
        <w:right w:val="none" w:sz="0" w:space="0" w:color="auto"/>
      </w:divBdr>
    </w:div>
    <w:div w:id="1639533821">
      <w:bodyDiv w:val="1"/>
      <w:marLeft w:val="0"/>
      <w:marRight w:val="0"/>
      <w:marTop w:val="0"/>
      <w:marBottom w:val="0"/>
      <w:divBdr>
        <w:top w:val="none" w:sz="0" w:space="0" w:color="auto"/>
        <w:left w:val="none" w:sz="0" w:space="0" w:color="auto"/>
        <w:bottom w:val="none" w:sz="0" w:space="0" w:color="auto"/>
        <w:right w:val="none" w:sz="0" w:space="0" w:color="auto"/>
      </w:divBdr>
    </w:div>
    <w:div w:id="1644963557">
      <w:bodyDiv w:val="1"/>
      <w:marLeft w:val="0"/>
      <w:marRight w:val="0"/>
      <w:marTop w:val="0"/>
      <w:marBottom w:val="0"/>
      <w:divBdr>
        <w:top w:val="none" w:sz="0" w:space="0" w:color="auto"/>
        <w:left w:val="none" w:sz="0" w:space="0" w:color="auto"/>
        <w:bottom w:val="none" w:sz="0" w:space="0" w:color="auto"/>
        <w:right w:val="none" w:sz="0" w:space="0" w:color="auto"/>
      </w:divBdr>
    </w:div>
    <w:div w:id="1645771996">
      <w:bodyDiv w:val="1"/>
      <w:marLeft w:val="0"/>
      <w:marRight w:val="0"/>
      <w:marTop w:val="0"/>
      <w:marBottom w:val="0"/>
      <w:divBdr>
        <w:top w:val="none" w:sz="0" w:space="0" w:color="auto"/>
        <w:left w:val="none" w:sz="0" w:space="0" w:color="auto"/>
        <w:bottom w:val="none" w:sz="0" w:space="0" w:color="auto"/>
        <w:right w:val="none" w:sz="0" w:space="0" w:color="auto"/>
      </w:divBdr>
    </w:div>
    <w:div w:id="1650472888">
      <w:bodyDiv w:val="1"/>
      <w:marLeft w:val="0"/>
      <w:marRight w:val="0"/>
      <w:marTop w:val="0"/>
      <w:marBottom w:val="0"/>
      <w:divBdr>
        <w:top w:val="none" w:sz="0" w:space="0" w:color="auto"/>
        <w:left w:val="none" w:sz="0" w:space="0" w:color="auto"/>
        <w:bottom w:val="none" w:sz="0" w:space="0" w:color="auto"/>
        <w:right w:val="none" w:sz="0" w:space="0" w:color="auto"/>
      </w:divBdr>
    </w:div>
    <w:div w:id="1651446029">
      <w:bodyDiv w:val="1"/>
      <w:marLeft w:val="0"/>
      <w:marRight w:val="0"/>
      <w:marTop w:val="0"/>
      <w:marBottom w:val="0"/>
      <w:divBdr>
        <w:top w:val="none" w:sz="0" w:space="0" w:color="auto"/>
        <w:left w:val="none" w:sz="0" w:space="0" w:color="auto"/>
        <w:bottom w:val="none" w:sz="0" w:space="0" w:color="auto"/>
        <w:right w:val="none" w:sz="0" w:space="0" w:color="auto"/>
      </w:divBdr>
    </w:div>
    <w:div w:id="1653634567">
      <w:bodyDiv w:val="1"/>
      <w:marLeft w:val="0"/>
      <w:marRight w:val="0"/>
      <w:marTop w:val="0"/>
      <w:marBottom w:val="0"/>
      <w:divBdr>
        <w:top w:val="none" w:sz="0" w:space="0" w:color="auto"/>
        <w:left w:val="none" w:sz="0" w:space="0" w:color="auto"/>
        <w:bottom w:val="none" w:sz="0" w:space="0" w:color="auto"/>
        <w:right w:val="none" w:sz="0" w:space="0" w:color="auto"/>
      </w:divBdr>
    </w:div>
    <w:div w:id="1656764207">
      <w:bodyDiv w:val="1"/>
      <w:marLeft w:val="0"/>
      <w:marRight w:val="0"/>
      <w:marTop w:val="0"/>
      <w:marBottom w:val="0"/>
      <w:divBdr>
        <w:top w:val="none" w:sz="0" w:space="0" w:color="auto"/>
        <w:left w:val="none" w:sz="0" w:space="0" w:color="auto"/>
        <w:bottom w:val="none" w:sz="0" w:space="0" w:color="auto"/>
        <w:right w:val="none" w:sz="0" w:space="0" w:color="auto"/>
      </w:divBdr>
    </w:div>
    <w:div w:id="1664813035">
      <w:bodyDiv w:val="1"/>
      <w:marLeft w:val="0"/>
      <w:marRight w:val="0"/>
      <w:marTop w:val="0"/>
      <w:marBottom w:val="0"/>
      <w:divBdr>
        <w:top w:val="none" w:sz="0" w:space="0" w:color="auto"/>
        <w:left w:val="none" w:sz="0" w:space="0" w:color="auto"/>
        <w:bottom w:val="none" w:sz="0" w:space="0" w:color="auto"/>
        <w:right w:val="none" w:sz="0" w:space="0" w:color="auto"/>
      </w:divBdr>
    </w:div>
    <w:div w:id="1677148421">
      <w:bodyDiv w:val="1"/>
      <w:marLeft w:val="0"/>
      <w:marRight w:val="0"/>
      <w:marTop w:val="0"/>
      <w:marBottom w:val="0"/>
      <w:divBdr>
        <w:top w:val="none" w:sz="0" w:space="0" w:color="auto"/>
        <w:left w:val="none" w:sz="0" w:space="0" w:color="auto"/>
        <w:bottom w:val="none" w:sz="0" w:space="0" w:color="auto"/>
        <w:right w:val="none" w:sz="0" w:space="0" w:color="auto"/>
      </w:divBdr>
    </w:div>
    <w:div w:id="1690178154">
      <w:bodyDiv w:val="1"/>
      <w:marLeft w:val="0"/>
      <w:marRight w:val="0"/>
      <w:marTop w:val="0"/>
      <w:marBottom w:val="0"/>
      <w:divBdr>
        <w:top w:val="none" w:sz="0" w:space="0" w:color="auto"/>
        <w:left w:val="none" w:sz="0" w:space="0" w:color="auto"/>
        <w:bottom w:val="none" w:sz="0" w:space="0" w:color="auto"/>
        <w:right w:val="none" w:sz="0" w:space="0" w:color="auto"/>
      </w:divBdr>
    </w:div>
    <w:div w:id="1691445709">
      <w:bodyDiv w:val="1"/>
      <w:marLeft w:val="0"/>
      <w:marRight w:val="0"/>
      <w:marTop w:val="0"/>
      <w:marBottom w:val="0"/>
      <w:divBdr>
        <w:top w:val="none" w:sz="0" w:space="0" w:color="auto"/>
        <w:left w:val="none" w:sz="0" w:space="0" w:color="auto"/>
        <w:bottom w:val="none" w:sz="0" w:space="0" w:color="auto"/>
        <w:right w:val="none" w:sz="0" w:space="0" w:color="auto"/>
      </w:divBdr>
    </w:div>
    <w:div w:id="1697804627">
      <w:bodyDiv w:val="1"/>
      <w:marLeft w:val="0"/>
      <w:marRight w:val="0"/>
      <w:marTop w:val="0"/>
      <w:marBottom w:val="0"/>
      <w:divBdr>
        <w:top w:val="none" w:sz="0" w:space="0" w:color="auto"/>
        <w:left w:val="none" w:sz="0" w:space="0" w:color="auto"/>
        <w:bottom w:val="none" w:sz="0" w:space="0" w:color="auto"/>
        <w:right w:val="none" w:sz="0" w:space="0" w:color="auto"/>
      </w:divBdr>
    </w:div>
    <w:div w:id="1700202763">
      <w:bodyDiv w:val="1"/>
      <w:marLeft w:val="0"/>
      <w:marRight w:val="0"/>
      <w:marTop w:val="0"/>
      <w:marBottom w:val="0"/>
      <w:divBdr>
        <w:top w:val="none" w:sz="0" w:space="0" w:color="auto"/>
        <w:left w:val="none" w:sz="0" w:space="0" w:color="auto"/>
        <w:bottom w:val="none" w:sz="0" w:space="0" w:color="auto"/>
        <w:right w:val="none" w:sz="0" w:space="0" w:color="auto"/>
      </w:divBdr>
    </w:div>
    <w:div w:id="1703170720">
      <w:bodyDiv w:val="1"/>
      <w:marLeft w:val="0"/>
      <w:marRight w:val="0"/>
      <w:marTop w:val="0"/>
      <w:marBottom w:val="0"/>
      <w:divBdr>
        <w:top w:val="none" w:sz="0" w:space="0" w:color="auto"/>
        <w:left w:val="none" w:sz="0" w:space="0" w:color="auto"/>
        <w:bottom w:val="none" w:sz="0" w:space="0" w:color="auto"/>
        <w:right w:val="none" w:sz="0" w:space="0" w:color="auto"/>
      </w:divBdr>
    </w:div>
    <w:div w:id="1707486925">
      <w:bodyDiv w:val="1"/>
      <w:marLeft w:val="0"/>
      <w:marRight w:val="0"/>
      <w:marTop w:val="0"/>
      <w:marBottom w:val="0"/>
      <w:divBdr>
        <w:top w:val="none" w:sz="0" w:space="0" w:color="auto"/>
        <w:left w:val="none" w:sz="0" w:space="0" w:color="auto"/>
        <w:bottom w:val="none" w:sz="0" w:space="0" w:color="auto"/>
        <w:right w:val="none" w:sz="0" w:space="0" w:color="auto"/>
      </w:divBdr>
    </w:div>
    <w:div w:id="1711227478">
      <w:bodyDiv w:val="1"/>
      <w:marLeft w:val="0"/>
      <w:marRight w:val="0"/>
      <w:marTop w:val="0"/>
      <w:marBottom w:val="0"/>
      <w:divBdr>
        <w:top w:val="none" w:sz="0" w:space="0" w:color="auto"/>
        <w:left w:val="none" w:sz="0" w:space="0" w:color="auto"/>
        <w:bottom w:val="none" w:sz="0" w:space="0" w:color="auto"/>
        <w:right w:val="none" w:sz="0" w:space="0" w:color="auto"/>
      </w:divBdr>
    </w:div>
    <w:div w:id="1713068273">
      <w:bodyDiv w:val="1"/>
      <w:marLeft w:val="0"/>
      <w:marRight w:val="0"/>
      <w:marTop w:val="0"/>
      <w:marBottom w:val="0"/>
      <w:divBdr>
        <w:top w:val="none" w:sz="0" w:space="0" w:color="auto"/>
        <w:left w:val="none" w:sz="0" w:space="0" w:color="auto"/>
        <w:bottom w:val="none" w:sz="0" w:space="0" w:color="auto"/>
        <w:right w:val="none" w:sz="0" w:space="0" w:color="auto"/>
      </w:divBdr>
    </w:div>
    <w:div w:id="1732461723">
      <w:bodyDiv w:val="1"/>
      <w:marLeft w:val="0"/>
      <w:marRight w:val="0"/>
      <w:marTop w:val="0"/>
      <w:marBottom w:val="0"/>
      <w:divBdr>
        <w:top w:val="none" w:sz="0" w:space="0" w:color="auto"/>
        <w:left w:val="none" w:sz="0" w:space="0" w:color="auto"/>
        <w:bottom w:val="none" w:sz="0" w:space="0" w:color="auto"/>
        <w:right w:val="none" w:sz="0" w:space="0" w:color="auto"/>
      </w:divBdr>
    </w:div>
    <w:div w:id="1732775902">
      <w:bodyDiv w:val="1"/>
      <w:marLeft w:val="0"/>
      <w:marRight w:val="0"/>
      <w:marTop w:val="0"/>
      <w:marBottom w:val="0"/>
      <w:divBdr>
        <w:top w:val="none" w:sz="0" w:space="0" w:color="auto"/>
        <w:left w:val="none" w:sz="0" w:space="0" w:color="auto"/>
        <w:bottom w:val="none" w:sz="0" w:space="0" w:color="auto"/>
        <w:right w:val="none" w:sz="0" w:space="0" w:color="auto"/>
      </w:divBdr>
    </w:div>
    <w:div w:id="1734424723">
      <w:bodyDiv w:val="1"/>
      <w:marLeft w:val="0"/>
      <w:marRight w:val="0"/>
      <w:marTop w:val="0"/>
      <w:marBottom w:val="0"/>
      <w:divBdr>
        <w:top w:val="none" w:sz="0" w:space="0" w:color="auto"/>
        <w:left w:val="none" w:sz="0" w:space="0" w:color="auto"/>
        <w:bottom w:val="none" w:sz="0" w:space="0" w:color="auto"/>
        <w:right w:val="none" w:sz="0" w:space="0" w:color="auto"/>
      </w:divBdr>
    </w:div>
    <w:div w:id="1736391950">
      <w:bodyDiv w:val="1"/>
      <w:marLeft w:val="0"/>
      <w:marRight w:val="0"/>
      <w:marTop w:val="0"/>
      <w:marBottom w:val="0"/>
      <w:divBdr>
        <w:top w:val="none" w:sz="0" w:space="0" w:color="auto"/>
        <w:left w:val="none" w:sz="0" w:space="0" w:color="auto"/>
        <w:bottom w:val="none" w:sz="0" w:space="0" w:color="auto"/>
        <w:right w:val="none" w:sz="0" w:space="0" w:color="auto"/>
      </w:divBdr>
    </w:div>
    <w:div w:id="1736539338">
      <w:bodyDiv w:val="1"/>
      <w:marLeft w:val="0"/>
      <w:marRight w:val="0"/>
      <w:marTop w:val="0"/>
      <w:marBottom w:val="0"/>
      <w:divBdr>
        <w:top w:val="none" w:sz="0" w:space="0" w:color="auto"/>
        <w:left w:val="none" w:sz="0" w:space="0" w:color="auto"/>
        <w:bottom w:val="none" w:sz="0" w:space="0" w:color="auto"/>
        <w:right w:val="none" w:sz="0" w:space="0" w:color="auto"/>
      </w:divBdr>
    </w:div>
    <w:div w:id="1745104099">
      <w:bodyDiv w:val="1"/>
      <w:marLeft w:val="0"/>
      <w:marRight w:val="0"/>
      <w:marTop w:val="0"/>
      <w:marBottom w:val="0"/>
      <w:divBdr>
        <w:top w:val="none" w:sz="0" w:space="0" w:color="auto"/>
        <w:left w:val="none" w:sz="0" w:space="0" w:color="auto"/>
        <w:bottom w:val="none" w:sz="0" w:space="0" w:color="auto"/>
        <w:right w:val="none" w:sz="0" w:space="0" w:color="auto"/>
      </w:divBdr>
    </w:div>
    <w:div w:id="1745764465">
      <w:bodyDiv w:val="1"/>
      <w:marLeft w:val="0"/>
      <w:marRight w:val="0"/>
      <w:marTop w:val="0"/>
      <w:marBottom w:val="0"/>
      <w:divBdr>
        <w:top w:val="none" w:sz="0" w:space="0" w:color="auto"/>
        <w:left w:val="none" w:sz="0" w:space="0" w:color="auto"/>
        <w:bottom w:val="none" w:sz="0" w:space="0" w:color="auto"/>
        <w:right w:val="none" w:sz="0" w:space="0" w:color="auto"/>
      </w:divBdr>
    </w:div>
    <w:div w:id="1747219786">
      <w:bodyDiv w:val="1"/>
      <w:marLeft w:val="0"/>
      <w:marRight w:val="0"/>
      <w:marTop w:val="0"/>
      <w:marBottom w:val="0"/>
      <w:divBdr>
        <w:top w:val="none" w:sz="0" w:space="0" w:color="auto"/>
        <w:left w:val="none" w:sz="0" w:space="0" w:color="auto"/>
        <w:bottom w:val="none" w:sz="0" w:space="0" w:color="auto"/>
        <w:right w:val="none" w:sz="0" w:space="0" w:color="auto"/>
      </w:divBdr>
    </w:div>
    <w:div w:id="1749228036">
      <w:bodyDiv w:val="1"/>
      <w:marLeft w:val="0"/>
      <w:marRight w:val="0"/>
      <w:marTop w:val="0"/>
      <w:marBottom w:val="0"/>
      <w:divBdr>
        <w:top w:val="none" w:sz="0" w:space="0" w:color="auto"/>
        <w:left w:val="none" w:sz="0" w:space="0" w:color="auto"/>
        <w:bottom w:val="none" w:sz="0" w:space="0" w:color="auto"/>
        <w:right w:val="none" w:sz="0" w:space="0" w:color="auto"/>
      </w:divBdr>
    </w:div>
    <w:div w:id="1750272468">
      <w:bodyDiv w:val="1"/>
      <w:marLeft w:val="0"/>
      <w:marRight w:val="0"/>
      <w:marTop w:val="0"/>
      <w:marBottom w:val="0"/>
      <w:divBdr>
        <w:top w:val="none" w:sz="0" w:space="0" w:color="auto"/>
        <w:left w:val="none" w:sz="0" w:space="0" w:color="auto"/>
        <w:bottom w:val="none" w:sz="0" w:space="0" w:color="auto"/>
        <w:right w:val="none" w:sz="0" w:space="0" w:color="auto"/>
      </w:divBdr>
    </w:div>
    <w:div w:id="1751005350">
      <w:bodyDiv w:val="1"/>
      <w:marLeft w:val="0"/>
      <w:marRight w:val="0"/>
      <w:marTop w:val="0"/>
      <w:marBottom w:val="0"/>
      <w:divBdr>
        <w:top w:val="none" w:sz="0" w:space="0" w:color="auto"/>
        <w:left w:val="none" w:sz="0" w:space="0" w:color="auto"/>
        <w:bottom w:val="none" w:sz="0" w:space="0" w:color="auto"/>
        <w:right w:val="none" w:sz="0" w:space="0" w:color="auto"/>
      </w:divBdr>
    </w:div>
    <w:div w:id="1751190915">
      <w:bodyDiv w:val="1"/>
      <w:marLeft w:val="0"/>
      <w:marRight w:val="0"/>
      <w:marTop w:val="0"/>
      <w:marBottom w:val="0"/>
      <w:divBdr>
        <w:top w:val="none" w:sz="0" w:space="0" w:color="auto"/>
        <w:left w:val="none" w:sz="0" w:space="0" w:color="auto"/>
        <w:bottom w:val="none" w:sz="0" w:space="0" w:color="auto"/>
        <w:right w:val="none" w:sz="0" w:space="0" w:color="auto"/>
      </w:divBdr>
    </w:div>
    <w:div w:id="1754547083">
      <w:bodyDiv w:val="1"/>
      <w:marLeft w:val="0"/>
      <w:marRight w:val="0"/>
      <w:marTop w:val="0"/>
      <w:marBottom w:val="0"/>
      <w:divBdr>
        <w:top w:val="none" w:sz="0" w:space="0" w:color="auto"/>
        <w:left w:val="none" w:sz="0" w:space="0" w:color="auto"/>
        <w:bottom w:val="none" w:sz="0" w:space="0" w:color="auto"/>
        <w:right w:val="none" w:sz="0" w:space="0" w:color="auto"/>
      </w:divBdr>
    </w:div>
    <w:div w:id="1764180882">
      <w:bodyDiv w:val="1"/>
      <w:marLeft w:val="0"/>
      <w:marRight w:val="0"/>
      <w:marTop w:val="0"/>
      <w:marBottom w:val="0"/>
      <w:divBdr>
        <w:top w:val="none" w:sz="0" w:space="0" w:color="auto"/>
        <w:left w:val="none" w:sz="0" w:space="0" w:color="auto"/>
        <w:bottom w:val="none" w:sz="0" w:space="0" w:color="auto"/>
        <w:right w:val="none" w:sz="0" w:space="0" w:color="auto"/>
      </w:divBdr>
    </w:div>
    <w:div w:id="1776515565">
      <w:bodyDiv w:val="1"/>
      <w:marLeft w:val="0"/>
      <w:marRight w:val="0"/>
      <w:marTop w:val="0"/>
      <w:marBottom w:val="0"/>
      <w:divBdr>
        <w:top w:val="none" w:sz="0" w:space="0" w:color="auto"/>
        <w:left w:val="none" w:sz="0" w:space="0" w:color="auto"/>
        <w:bottom w:val="none" w:sz="0" w:space="0" w:color="auto"/>
        <w:right w:val="none" w:sz="0" w:space="0" w:color="auto"/>
      </w:divBdr>
    </w:div>
    <w:div w:id="1779642946">
      <w:bodyDiv w:val="1"/>
      <w:marLeft w:val="0"/>
      <w:marRight w:val="0"/>
      <w:marTop w:val="0"/>
      <w:marBottom w:val="0"/>
      <w:divBdr>
        <w:top w:val="none" w:sz="0" w:space="0" w:color="auto"/>
        <w:left w:val="none" w:sz="0" w:space="0" w:color="auto"/>
        <w:bottom w:val="none" w:sz="0" w:space="0" w:color="auto"/>
        <w:right w:val="none" w:sz="0" w:space="0" w:color="auto"/>
      </w:divBdr>
    </w:div>
    <w:div w:id="1787701117">
      <w:bodyDiv w:val="1"/>
      <w:marLeft w:val="0"/>
      <w:marRight w:val="0"/>
      <w:marTop w:val="0"/>
      <w:marBottom w:val="0"/>
      <w:divBdr>
        <w:top w:val="none" w:sz="0" w:space="0" w:color="auto"/>
        <w:left w:val="none" w:sz="0" w:space="0" w:color="auto"/>
        <w:bottom w:val="none" w:sz="0" w:space="0" w:color="auto"/>
        <w:right w:val="none" w:sz="0" w:space="0" w:color="auto"/>
      </w:divBdr>
    </w:div>
    <w:div w:id="1791631683">
      <w:bodyDiv w:val="1"/>
      <w:marLeft w:val="0"/>
      <w:marRight w:val="0"/>
      <w:marTop w:val="0"/>
      <w:marBottom w:val="0"/>
      <w:divBdr>
        <w:top w:val="none" w:sz="0" w:space="0" w:color="auto"/>
        <w:left w:val="none" w:sz="0" w:space="0" w:color="auto"/>
        <w:bottom w:val="none" w:sz="0" w:space="0" w:color="auto"/>
        <w:right w:val="none" w:sz="0" w:space="0" w:color="auto"/>
      </w:divBdr>
    </w:div>
    <w:div w:id="1795170258">
      <w:bodyDiv w:val="1"/>
      <w:marLeft w:val="0"/>
      <w:marRight w:val="0"/>
      <w:marTop w:val="0"/>
      <w:marBottom w:val="0"/>
      <w:divBdr>
        <w:top w:val="none" w:sz="0" w:space="0" w:color="auto"/>
        <w:left w:val="none" w:sz="0" w:space="0" w:color="auto"/>
        <w:bottom w:val="none" w:sz="0" w:space="0" w:color="auto"/>
        <w:right w:val="none" w:sz="0" w:space="0" w:color="auto"/>
      </w:divBdr>
    </w:div>
    <w:div w:id="1796635550">
      <w:bodyDiv w:val="1"/>
      <w:marLeft w:val="0"/>
      <w:marRight w:val="0"/>
      <w:marTop w:val="0"/>
      <w:marBottom w:val="0"/>
      <w:divBdr>
        <w:top w:val="none" w:sz="0" w:space="0" w:color="auto"/>
        <w:left w:val="none" w:sz="0" w:space="0" w:color="auto"/>
        <w:bottom w:val="none" w:sz="0" w:space="0" w:color="auto"/>
        <w:right w:val="none" w:sz="0" w:space="0" w:color="auto"/>
      </w:divBdr>
    </w:div>
    <w:div w:id="1806701244">
      <w:bodyDiv w:val="1"/>
      <w:marLeft w:val="0"/>
      <w:marRight w:val="0"/>
      <w:marTop w:val="0"/>
      <w:marBottom w:val="0"/>
      <w:divBdr>
        <w:top w:val="none" w:sz="0" w:space="0" w:color="auto"/>
        <w:left w:val="none" w:sz="0" w:space="0" w:color="auto"/>
        <w:bottom w:val="none" w:sz="0" w:space="0" w:color="auto"/>
        <w:right w:val="none" w:sz="0" w:space="0" w:color="auto"/>
      </w:divBdr>
    </w:div>
    <w:div w:id="1818456435">
      <w:bodyDiv w:val="1"/>
      <w:marLeft w:val="0"/>
      <w:marRight w:val="0"/>
      <w:marTop w:val="0"/>
      <w:marBottom w:val="0"/>
      <w:divBdr>
        <w:top w:val="none" w:sz="0" w:space="0" w:color="auto"/>
        <w:left w:val="none" w:sz="0" w:space="0" w:color="auto"/>
        <w:bottom w:val="none" w:sz="0" w:space="0" w:color="auto"/>
        <w:right w:val="none" w:sz="0" w:space="0" w:color="auto"/>
      </w:divBdr>
    </w:div>
    <w:div w:id="1821267022">
      <w:bodyDiv w:val="1"/>
      <w:marLeft w:val="0"/>
      <w:marRight w:val="0"/>
      <w:marTop w:val="0"/>
      <w:marBottom w:val="0"/>
      <w:divBdr>
        <w:top w:val="none" w:sz="0" w:space="0" w:color="auto"/>
        <w:left w:val="none" w:sz="0" w:space="0" w:color="auto"/>
        <w:bottom w:val="none" w:sz="0" w:space="0" w:color="auto"/>
        <w:right w:val="none" w:sz="0" w:space="0" w:color="auto"/>
      </w:divBdr>
    </w:div>
    <w:div w:id="1826122427">
      <w:bodyDiv w:val="1"/>
      <w:marLeft w:val="0"/>
      <w:marRight w:val="0"/>
      <w:marTop w:val="0"/>
      <w:marBottom w:val="0"/>
      <w:divBdr>
        <w:top w:val="none" w:sz="0" w:space="0" w:color="auto"/>
        <w:left w:val="none" w:sz="0" w:space="0" w:color="auto"/>
        <w:bottom w:val="none" w:sz="0" w:space="0" w:color="auto"/>
        <w:right w:val="none" w:sz="0" w:space="0" w:color="auto"/>
      </w:divBdr>
    </w:div>
    <w:div w:id="1826823753">
      <w:bodyDiv w:val="1"/>
      <w:marLeft w:val="0"/>
      <w:marRight w:val="0"/>
      <w:marTop w:val="0"/>
      <w:marBottom w:val="0"/>
      <w:divBdr>
        <w:top w:val="none" w:sz="0" w:space="0" w:color="auto"/>
        <w:left w:val="none" w:sz="0" w:space="0" w:color="auto"/>
        <w:bottom w:val="none" w:sz="0" w:space="0" w:color="auto"/>
        <w:right w:val="none" w:sz="0" w:space="0" w:color="auto"/>
      </w:divBdr>
    </w:div>
    <w:div w:id="1827697248">
      <w:bodyDiv w:val="1"/>
      <w:marLeft w:val="0"/>
      <w:marRight w:val="0"/>
      <w:marTop w:val="0"/>
      <w:marBottom w:val="0"/>
      <w:divBdr>
        <w:top w:val="none" w:sz="0" w:space="0" w:color="auto"/>
        <w:left w:val="none" w:sz="0" w:space="0" w:color="auto"/>
        <w:bottom w:val="none" w:sz="0" w:space="0" w:color="auto"/>
        <w:right w:val="none" w:sz="0" w:space="0" w:color="auto"/>
      </w:divBdr>
    </w:div>
    <w:div w:id="1827819992">
      <w:bodyDiv w:val="1"/>
      <w:marLeft w:val="0"/>
      <w:marRight w:val="0"/>
      <w:marTop w:val="0"/>
      <w:marBottom w:val="0"/>
      <w:divBdr>
        <w:top w:val="none" w:sz="0" w:space="0" w:color="auto"/>
        <w:left w:val="none" w:sz="0" w:space="0" w:color="auto"/>
        <w:bottom w:val="none" w:sz="0" w:space="0" w:color="auto"/>
        <w:right w:val="none" w:sz="0" w:space="0" w:color="auto"/>
      </w:divBdr>
    </w:div>
    <w:div w:id="1850098203">
      <w:bodyDiv w:val="1"/>
      <w:marLeft w:val="0"/>
      <w:marRight w:val="0"/>
      <w:marTop w:val="0"/>
      <w:marBottom w:val="0"/>
      <w:divBdr>
        <w:top w:val="none" w:sz="0" w:space="0" w:color="auto"/>
        <w:left w:val="none" w:sz="0" w:space="0" w:color="auto"/>
        <w:bottom w:val="none" w:sz="0" w:space="0" w:color="auto"/>
        <w:right w:val="none" w:sz="0" w:space="0" w:color="auto"/>
      </w:divBdr>
    </w:div>
    <w:div w:id="1850412193">
      <w:bodyDiv w:val="1"/>
      <w:marLeft w:val="0"/>
      <w:marRight w:val="0"/>
      <w:marTop w:val="0"/>
      <w:marBottom w:val="0"/>
      <w:divBdr>
        <w:top w:val="none" w:sz="0" w:space="0" w:color="auto"/>
        <w:left w:val="none" w:sz="0" w:space="0" w:color="auto"/>
        <w:bottom w:val="none" w:sz="0" w:space="0" w:color="auto"/>
        <w:right w:val="none" w:sz="0" w:space="0" w:color="auto"/>
      </w:divBdr>
    </w:div>
    <w:div w:id="1865245546">
      <w:bodyDiv w:val="1"/>
      <w:marLeft w:val="0"/>
      <w:marRight w:val="0"/>
      <w:marTop w:val="0"/>
      <w:marBottom w:val="0"/>
      <w:divBdr>
        <w:top w:val="none" w:sz="0" w:space="0" w:color="auto"/>
        <w:left w:val="none" w:sz="0" w:space="0" w:color="auto"/>
        <w:bottom w:val="none" w:sz="0" w:space="0" w:color="auto"/>
        <w:right w:val="none" w:sz="0" w:space="0" w:color="auto"/>
      </w:divBdr>
    </w:div>
    <w:div w:id="1870333206">
      <w:bodyDiv w:val="1"/>
      <w:marLeft w:val="0"/>
      <w:marRight w:val="0"/>
      <w:marTop w:val="0"/>
      <w:marBottom w:val="0"/>
      <w:divBdr>
        <w:top w:val="none" w:sz="0" w:space="0" w:color="auto"/>
        <w:left w:val="none" w:sz="0" w:space="0" w:color="auto"/>
        <w:bottom w:val="none" w:sz="0" w:space="0" w:color="auto"/>
        <w:right w:val="none" w:sz="0" w:space="0" w:color="auto"/>
      </w:divBdr>
    </w:div>
    <w:div w:id="1871726104">
      <w:bodyDiv w:val="1"/>
      <w:marLeft w:val="0"/>
      <w:marRight w:val="0"/>
      <w:marTop w:val="0"/>
      <w:marBottom w:val="0"/>
      <w:divBdr>
        <w:top w:val="none" w:sz="0" w:space="0" w:color="auto"/>
        <w:left w:val="none" w:sz="0" w:space="0" w:color="auto"/>
        <w:bottom w:val="none" w:sz="0" w:space="0" w:color="auto"/>
        <w:right w:val="none" w:sz="0" w:space="0" w:color="auto"/>
      </w:divBdr>
    </w:div>
    <w:div w:id="1880623887">
      <w:bodyDiv w:val="1"/>
      <w:marLeft w:val="0"/>
      <w:marRight w:val="0"/>
      <w:marTop w:val="0"/>
      <w:marBottom w:val="0"/>
      <w:divBdr>
        <w:top w:val="none" w:sz="0" w:space="0" w:color="auto"/>
        <w:left w:val="none" w:sz="0" w:space="0" w:color="auto"/>
        <w:bottom w:val="none" w:sz="0" w:space="0" w:color="auto"/>
        <w:right w:val="none" w:sz="0" w:space="0" w:color="auto"/>
      </w:divBdr>
    </w:div>
    <w:div w:id="1882160811">
      <w:bodyDiv w:val="1"/>
      <w:marLeft w:val="0"/>
      <w:marRight w:val="0"/>
      <w:marTop w:val="0"/>
      <w:marBottom w:val="0"/>
      <w:divBdr>
        <w:top w:val="none" w:sz="0" w:space="0" w:color="auto"/>
        <w:left w:val="none" w:sz="0" w:space="0" w:color="auto"/>
        <w:bottom w:val="none" w:sz="0" w:space="0" w:color="auto"/>
        <w:right w:val="none" w:sz="0" w:space="0" w:color="auto"/>
      </w:divBdr>
    </w:div>
    <w:div w:id="1887444347">
      <w:bodyDiv w:val="1"/>
      <w:marLeft w:val="0"/>
      <w:marRight w:val="0"/>
      <w:marTop w:val="0"/>
      <w:marBottom w:val="0"/>
      <w:divBdr>
        <w:top w:val="none" w:sz="0" w:space="0" w:color="auto"/>
        <w:left w:val="none" w:sz="0" w:space="0" w:color="auto"/>
        <w:bottom w:val="none" w:sz="0" w:space="0" w:color="auto"/>
        <w:right w:val="none" w:sz="0" w:space="0" w:color="auto"/>
      </w:divBdr>
    </w:div>
    <w:div w:id="1906259547">
      <w:bodyDiv w:val="1"/>
      <w:marLeft w:val="0"/>
      <w:marRight w:val="0"/>
      <w:marTop w:val="0"/>
      <w:marBottom w:val="0"/>
      <w:divBdr>
        <w:top w:val="none" w:sz="0" w:space="0" w:color="auto"/>
        <w:left w:val="none" w:sz="0" w:space="0" w:color="auto"/>
        <w:bottom w:val="none" w:sz="0" w:space="0" w:color="auto"/>
        <w:right w:val="none" w:sz="0" w:space="0" w:color="auto"/>
      </w:divBdr>
    </w:div>
    <w:div w:id="1910264136">
      <w:bodyDiv w:val="1"/>
      <w:marLeft w:val="0"/>
      <w:marRight w:val="0"/>
      <w:marTop w:val="0"/>
      <w:marBottom w:val="0"/>
      <w:divBdr>
        <w:top w:val="none" w:sz="0" w:space="0" w:color="auto"/>
        <w:left w:val="none" w:sz="0" w:space="0" w:color="auto"/>
        <w:bottom w:val="none" w:sz="0" w:space="0" w:color="auto"/>
        <w:right w:val="none" w:sz="0" w:space="0" w:color="auto"/>
      </w:divBdr>
    </w:div>
    <w:div w:id="1914118350">
      <w:bodyDiv w:val="1"/>
      <w:marLeft w:val="0"/>
      <w:marRight w:val="0"/>
      <w:marTop w:val="0"/>
      <w:marBottom w:val="0"/>
      <w:divBdr>
        <w:top w:val="none" w:sz="0" w:space="0" w:color="auto"/>
        <w:left w:val="none" w:sz="0" w:space="0" w:color="auto"/>
        <w:bottom w:val="none" w:sz="0" w:space="0" w:color="auto"/>
        <w:right w:val="none" w:sz="0" w:space="0" w:color="auto"/>
      </w:divBdr>
    </w:div>
    <w:div w:id="1915430487">
      <w:bodyDiv w:val="1"/>
      <w:marLeft w:val="0"/>
      <w:marRight w:val="0"/>
      <w:marTop w:val="0"/>
      <w:marBottom w:val="0"/>
      <w:divBdr>
        <w:top w:val="none" w:sz="0" w:space="0" w:color="auto"/>
        <w:left w:val="none" w:sz="0" w:space="0" w:color="auto"/>
        <w:bottom w:val="none" w:sz="0" w:space="0" w:color="auto"/>
        <w:right w:val="none" w:sz="0" w:space="0" w:color="auto"/>
      </w:divBdr>
    </w:div>
    <w:div w:id="1924144609">
      <w:bodyDiv w:val="1"/>
      <w:marLeft w:val="0"/>
      <w:marRight w:val="0"/>
      <w:marTop w:val="0"/>
      <w:marBottom w:val="0"/>
      <w:divBdr>
        <w:top w:val="none" w:sz="0" w:space="0" w:color="auto"/>
        <w:left w:val="none" w:sz="0" w:space="0" w:color="auto"/>
        <w:bottom w:val="none" w:sz="0" w:space="0" w:color="auto"/>
        <w:right w:val="none" w:sz="0" w:space="0" w:color="auto"/>
      </w:divBdr>
    </w:div>
    <w:div w:id="1924758739">
      <w:bodyDiv w:val="1"/>
      <w:marLeft w:val="0"/>
      <w:marRight w:val="0"/>
      <w:marTop w:val="0"/>
      <w:marBottom w:val="0"/>
      <w:divBdr>
        <w:top w:val="none" w:sz="0" w:space="0" w:color="auto"/>
        <w:left w:val="none" w:sz="0" w:space="0" w:color="auto"/>
        <w:bottom w:val="none" w:sz="0" w:space="0" w:color="auto"/>
        <w:right w:val="none" w:sz="0" w:space="0" w:color="auto"/>
      </w:divBdr>
    </w:div>
    <w:div w:id="1927574409">
      <w:bodyDiv w:val="1"/>
      <w:marLeft w:val="0"/>
      <w:marRight w:val="0"/>
      <w:marTop w:val="0"/>
      <w:marBottom w:val="0"/>
      <w:divBdr>
        <w:top w:val="none" w:sz="0" w:space="0" w:color="auto"/>
        <w:left w:val="none" w:sz="0" w:space="0" w:color="auto"/>
        <w:bottom w:val="none" w:sz="0" w:space="0" w:color="auto"/>
        <w:right w:val="none" w:sz="0" w:space="0" w:color="auto"/>
      </w:divBdr>
    </w:div>
    <w:div w:id="1928728971">
      <w:bodyDiv w:val="1"/>
      <w:marLeft w:val="0"/>
      <w:marRight w:val="0"/>
      <w:marTop w:val="0"/>
      <w:marBottom w:val="0"/>
      <w:divBdr>
        <w:top w:val="none" w:sz="0" w:space="0" w:color="auto"/>
        <w:left w:val="none" w:sz="0" w:space="0" w:color="auto"/>
        <w:bottom w:val="none" w:sz="0" w:space="0" w:color="auto"/>
        <w:right w:val="none" w:sz="0" w:space="0" w:color="auto"/>
      </w:divBdr>
    </w:div>
    <w:div w:id="1937445776">
      <w:bodyDiv w:val="1"/>
      <w:marLeft w:val="0"/>
      <w:marRight w:val="0"/>
      <w:marTop w:val="0"/>
      <w:marBottom w:val="0"/>
      <w:divBdr>
        <w:top w:val="none" w:sz="0" w:space="0" w:color="auto"/>
        <w:left w:val="none" w:sz="0" w:space="0" w:color="auto"/>
        <w:bottom w:val="none" w:sz="0" w:space="0" w:color="auto"/>
        <w:right w:val="none" w:sz="0" w:space="0" w:color="auto"/>
      </w:divBdr>
    </w:div>
    <w:div w:id="1941520164">
      <w:bodyDiv w:val="1"/>
      <w:marLeft w:val="0"/>
      <w:marRight w:val="0"/>
      <w:marTop w:val="0"/>
      <w:marBottom w:val="0"/>
      <w:divBdr>
        <w:top w:val="none" w:sz="0" w:space="0" w:color="auto"/>
        <w:left w:val="none" w:sz="0" w:space="0" w:color="auto"/>
        <w:bottom w:val="none" w:sz="0" w:space="0" w:color="auto"/>
        <w:right w:val="none" w:sz="0" w:space="0" w:color="auto"/>
      </w:divBdr>
    </w:div>
    <w:div w:id="1952591639">
      <w:bodyDiv w:val="1"/>
      <w:marLeft w:val="0"/>
      <w:marRight w:val="0"/>
      <w:marTop w:val="0"/>
      <w:marBottom w:val="0"/>
      <w:divBdr>
        <w:top w:val="none" w:sz="0" w:space="0" w:color="auto"/>
        <w:left w:val="none" w:sz="0" w:space="0" w:color="auto"/>
        <w:bottom w:val="none" w:sz="0" w:space="0" w:color="auto"/>
        <w:right w:val="none" w:sz="0" w:space="0" w:color="auto"/>
      </w:divBdr>
    </w:div>
    <w:div w:id="1953589649">
      <w:bodyDiv w:val="1"/>
      <w:marLeft w:val="0"/>
      <w:marRight w:val="0"/>
      <w:marTop w:val="0"/>
      <w:marBottom w:val="0"/>
      <w:divBdr>
        <w:top w:val="none" w:sz="0" w:space="0" w:color="auto"/>
        <w:left w:val="none" w:sz="0" w:space="0" w:color="auto"/>
        <w:bottom w:val="none" w:sz="0" w:space="0" w:color="auto"/>
        <w:right w:val="none" w:sz="0" w:space="0" w:color="auto"/>
      </w:divBdr>
    </w:div>
    <w:div w:id="1967080598">
      <w:bodyDiv w:val="1"/>
      <w:marLeft w:val="0"/>
      <w:marRight w:val="0"/>
      <w:marTop w:val="0"/>
      <w:marBottom w:val="0"/>
      <w:divBdr>
        <w:top w:val="none" w:sz="0" w:space="0" w:color="auto"/>
        <w:left w:val="none" w:sz="0" w:space="0" w:color="auto"/>
        <w:bottom w:val="none" w:sz="0" w:space="0" w:color="auto"/>
        <w:right w:val="none" w:sz="0" w:space="0" w:color="auto"/>
      </w:divBdr>
    </w:div>
    <w:div w:id="1967463073">
      <w:bodyDiv w:val="1"/>
      <w:marLeft w:val="0"/>
      <w:marRight w:val="0"/>
      <w:marTop w:val="0"/>
      <w:marBottom w:val="0"/>
      <w:divBdr>
        <w:top w:val="none" w:sz="0" w:space="0" w:color="auto"/>
        <w:left w:val="none" w:sz="0" w:space="0" w:color="auto"/>
        <w:bottom w:val="none" w:sz="0" w:space="0" w:color="auto"/>
        <w:right w:val="none" w:sz="0" w:space="0" w:color="auto"/>
      </w:divBdr>
    </w:div>
    <w:div w:id="1968780146">
      <w:bodyDiv w:val="1"/>
      <w:marLeft w:val="0"/>
      <w:marRight w:val="0"/>
      <w:marTop w:val="0"/>
      <w:marBottom w:val="0"/>
      <w:divBdr>
        <w:top w:val="none" w:sz="0" w:space="0" w:color="auto"/>
        <w:left w:val="none" w:sz="0" w:space="0" w:color="auto"/>
        <w:bottom w:val="none" w:sz="0" w:space="0" w:color="auto"/>
        <w:right w:val="none" w:sz="0" w:space="0" w:color="auto"/>
      </w:divBdr>
    </w:div>
    <w:div w:id="1973291240">
      <w:bodyDiv w:val="1"/>
      <w:marLeft w:val="0"/>
      <w:marRight w:val="0"/>
      <w:marTop w:val="0"/>
      <w:marBottom w:val="0"/>
      <w:divBdr>
        <w:top w:val="none" w:sz="0" w:space="0" w:color="auto"/>
        <w:left w:val="none" w:sz="0" w:space="0" w:color="auto"/>
        <w:bottom w:val="none" w:sz="0" w:space="0" w:color="auto"/>
        <w:right w:val="none" w:sz="0" w:space="0" w:color="auto"/>
      </w:divBdr>
    </w:div>
    <w:div w:id="1974821917">
      <w:bodyDiv w:val="1"/>
      <w:marLeft w:val="0"/>
      <w:marRight w:val="0"/>
      <w:marTop w:val="0"/>
      <w:marBottom w:val="0"/>
      <w:divBdr>
        <w:top w:val="none" w:sz="0" w:space="0" w:color="auto"/>
        <w:left w:val="none" w:sz="0" w:space="0" w:color="auto"/>
        <w:bottom w:val="none" w:sz="0" w:space="0" w:color="auto"/>
        <w:right w:val="none" w:sz="0" w:space="0" w:color="auto"/>
      </w:divBdr>
    </w:div>
    <w:div w:id="1984693316">
      <w:bodyDiv w:val="1"/>
      <w:marLeft w:val="0"/>
      <w:marRight w:val="0"/>
      <w:marTop w:val="0"/>
      <w:marBottom w:val="0"/>
      <w:divBdr>
        <w:top w:val="none" w:sz="0" w:space="0" w:color="auto"/>
        <w:left w:val="none" w:sz="0" w:space="0" w:color="auto"/>
        <w:bottom w:val="none" w:sz="0" w:space="0" w:color="auto"/>
        <w:right w:val="none" w:sz="0" w:space="0" w:color="auto"/>
      </w:divBdr>
    </w:div>
    <w:div w:id="1985114160">
      <w:bodyDiv w:val="1"/>
      <w:marLeft w:val="0"/>
      <w:marRight w:val="0"/>
      <w:marTop w:val="0"/>
      <w:marBottom w:val="0"/>
      <w:divBdr>
        <w:top w:val="none" w:sz="0" w:space="0" w:color="auto"/>
        <w:left w:val="none" w:sz="0" w:space="0" w:color="auto"/>
        <w:bottom w:val="none" w:sz="0" w:space="0" w:color="auto"/>
        <w:right w:val="none" w:sz="0" w:space="0" w:color="auto"/>
      </w:divBdr>
    </w:div>
    <w:div w:id="1988389157">
      <w:bodyDiv w:val="1"/>
      <w:marLeft w:val="0"/>
      <w:marRight w:val="0"/>
      <w:marTop w:val="0"/>
      <w:marBottom w:val="0"/>
      <w:divBdr>
        <w:top w:val="none" w:sz="0" w:space="0" w:color="auto"/>
        <w:left w:val="none" w:sz="0" w:space="0" w:color="auto"/>
        <w:bottom w:val="none" w:sz="0" w:space="0" w:color="auto"/>
        <w:right w:val="none" w:sz="0" w:space="0" w:color="auto"/>
      </w:divBdr>
    </w:div>
    <w:div w:id="2007593171">
      <w:bodyDiv w:val="1"/>
      <w:marLeft w:val="0"/>
      <w:marRight w:val="0"/>
      <w:marTop w:val="0"/>
      <w:marBottom w:val="0"/>
      <w:divBdr>
        <w:top w:val="none" w:sz="0" w:space="0" w:color="auto"/>
        <w:left w:val="none" w:sz="0" w:space="0" w:color="auto"/>
        <w:bottom w:val="none" w:sz="0" w:space="0" w:color="auto"/>
        <w:right w:val="none" w:sz="0" w:space="0" w:color="auto"/>
      </w:divBdr>
    </w:div>
    <w:div w:id="2012171043">
      <w:bodyDiv w:val="1"/>
      <w:marLeft w:val="0"/>
      <w:marRight w:val="0"/>
      <w:marTop w:val="0"/>
      <w:marBottom w:val="0"/>
      <w:divBdr>
        <w:top w:val="none" w:sz="0" w:space="0" w:color="auto"/>
        <w:left w:val="none" w:sz="0" w:space="0" w:color="auto"/>
        <w:bottom w:val="none" w:sz="0" w:space="0" w:color="auto"/>
        <w:right w:val="none" w:sz="0" w:space="0" w:color="auto"/>
      </w:divBdr>
    </w:div>
    <w:div w:id="2012951799">
      <w:bodyDiv w:val="1"/>
      <w:marLeft w:val="0"/>
      <w:marRight w:val="0"/>
      <w:marTop w:val="0"/>
      <w:marBottom w:val="0"/>
      <w:divBdr>
        <w:top w:val="none" w:sz="0" w:space="0" w:color="auto"/>
        <w:left w:val="none" w:sz="0" w:space="0" w:color="auto"/>
        <w:bottom w:val="none" w:sz="0" w:space="0" w:color="auto"/>
        <w:right w:val="none" w:sz="0" w:space="0" w:color="auto"/>
      </w:divBdr>
    </w:div>
    <w:div w:id="2019499615">
      <w:bodyDiv w:val="1"/>
      <w:marLeft w:val="0"/>
      <w:marRight w:val="0"/>
      <w:marTop w:val="0"/>
      <w:marBottom w:val="0"/>
      <w:divBdr>
        <w:top w:val="none" w:sz="0" w:space="0" w:color="auto"/>
        <w:left w:val="none" w:sz="0" w:space="0" w:color="auto"/>
        <w:bottom w:val="none" w:sz="0" w:space="0" w:color="auto"/>
        <w:right w:val="none" w:sz="0" w:space="0" w:color="auto"/>
      </w:divBdr>
    </w:div>
    <w:div w:id="2021151749">
      <w:bodyDiv w:val="1"/>
      <w:marLeft w:val="0"/>
      <w:marRight w:val="0"/>
      <w:marTop w:val="0"/>
      <w:marBottom w:val="0"/>
      <w:divBdr>
        <w:top w:val="none" w:sz="0" w:space="0" w:color="auto"/>
        <w:left w:val="none" w:sz="0" w:space="0" w:color="auto"/>
        <w:bottom w:val="none" w:sz="0" w:space="0" w:color="auto"/>
        <w:right w:val="none" w:sz="0" w:space="0" w:color="auto"/>
      </w:divBdr>
    </w:div>
    <w:div w:id="2023238368">
      <w:bodyDiv w:val="1"/>
      <w:marLeft w:val="0"/>
      <w:marRight w:val="0"/>
      <w:marTop w:val="0"/>
      <w:marBottom w:val="0"/>
      <w:divBdr>
        <w:top w:val="none" w:sz="0" w:space="0" w:color="auto"/>
        <w:left w:val="none" w:sz="0" w:space="0" w:color="auto"/>
        <w:bottom w:val="none" w:sz="0" w:space="0" w:color="auto"/>
        <w:right w:val="none" w:sz="0" w:space="0" w:color="auto"/>
      </w:divBdr>
    </w:div>
    <w:div w:id="2024241023">
      <w:bodyDiv w:val="1"/>
      <w:marLeft w:val="0"/>
      <w:marRight w:val="0"/>
      <w:marTop w:val="0"/>
      <w:marBottom w:val="0"/>
      <w:divBdr>
        <w:top w:val="none" w:sz="0" w:space="0" w:color="auto"/>
        <w:left w:val="none" w:sz="0" w:space="0" w:color="auto"/>
        <w:bottom w:val="none" w:sz="0" w:space="0" w:color="auto"/>
        <w:right w:val="none" w:sz="0" w:space="0" w:color="auto"/>
      </w:divBdr>
    </w:div>
    <w:div w:id="2026397783">
      <w:bodyDiv w:val="1"/>
      <w:marLeft w:val="0"/>
      <w:marRight w:val="0"/>
      <w:marTop w:val="0"/>
      <w:marBottom w:val="0"/>
      <w:divBdr>
        <w:top w:val="none" w:sz="0" w:space="0" w:color="auto"/>
        <w:left w:val="none" w:sz="0" w:space="0" w:color="auto"/>
        <w:bottom w:val="none" w:sz="0" w:space="0" w:color="auto"/>
        <w:right w:val="none" w:sz="0" w:space="0" w:color="auto"/>
      </w:divBdr>
    </w:div>
    <w:div w:id="2032025107">
      <w:bodyDiv w:val="1"/>
      <w:marLeft w:val="0"/>
      <w:marRight w:val="0"/>
      <w:marTop w:val="0"/>
      <w:marBottom w:val="0"/>
      <w:divBdr>
        <w:top w:val="none" w:sz="0" w:space="0" w:color="auto"/>
        <w:left w:val="none" w:sz="0" w:space="0" w:color="auto"/>
        <w:bottom w:val="none" w:sz="0" w:space="0" w:color="auto"/>
        <w:right w:val="none" w:sz="0" w:space="0" w:color="auto"/>
      </w:divBdr>
    </w:div>
    <w:div w:id="2040203175">
      <w:bodyDiv w:val="1"/>
      <w:marLeft w:val="0"/>
      <w:marRight w:val="0"/>
      <w:marTop w:val="0"/>
      <w:marBottom w:val="0"/>
      <w:divBdr>
        <w:top w:val="none" w:sz="0" w:space="0" w:color="auto"/>
        <w:left w:val="none" w:sz="0" w:space="0" w:color="auto"/>
        <w:bottom w:val="none" w:sz="0" w:space="0" w:color="auto"/>
        <w:right w:val="none" w:sz="0" w:space="0" w:color="auto"/>
      </w:divBdr>
    </w:div>
    <w:div w:id="2043745449">
      <w:bodyDiv w:val="1"/>
      <w:marLeft w:val="0"/>
      <w:marRight w:val="0"/>
      <w:marTop w:val="0"/>
      <w:marBottom w:val="0"/>
      <w:divBdr>
        <w:top w:val="none" w:sz="0" w:space="0" w:color="auto"/>
        <w:left w:val="none" w:sz="0" w:space="0" w:color="auto"/>
        <w:bottom w:val="none" w:sz="0" w:space="0" w:color="auto"/>
        <w:right w:val="none" w:sz="0" w:space="0" w:color="auto"/>
      </w:divBdr>
    </w:div>
    <w:div w:id="2044936540">
      <w:bodyDiv w:val="1"/>
      <w:marLeft w:val="0"/>
      <w:marRight w:val="0"/>
      <w:marTop w:val="0"/>
      <w:marBottom w:val="0"/>
      <w:divBdr>
        <w:top w:val="none" w:sz="0" w:space="0" w:color="auto"/>
        <w:left w:val="none" w:sz="0" w:space="0" w:color="auto"/>
        <w:bottom w:val="none" w:sz="0" w:space="0" w:color="auto"/>
        <w:right w:val="none" w:sz="0" w:space="0" w:color="auto"/>
      </w:divBdr>
    </w:div>
    <w:div w:id="2044939238">
      <w:bodyDiv w:val="1"/>
      <w:marLeft w:val="0"/>
      <w:marRight w:val="0"/>
      <w:marTop w:val="0"/>
      <w:marBottom w:val="0"/>
      <w:divBdr>
        <w:top w:val="none" w:sz="0" w:space="0" w:color="auto"/>
        <w:left w:val="none" w:sz="0" w:space="0" w:color="auto"/>
        <w:bottom w:val="none" w:sz="0" w:space="0" w:color="auto"/>
        <w:right w:val="none" w:sz="0" w:space="0" w:color="auto"/>
      </w:divBdr>
    </w:div>
    <w:div w:id="2046711344">
      <w:bodyDiv w:val="1"/>
      <w:marLeft w:val="0"/>
      <w:marRight w:val="0"/>
      <w:marTop w:val="0"/>
      <w:marBottom w:val="0"/>
      <w:divBdr>
        <w:top w:val="none" w:sz="0" w:space="0" w:color="auto"/>
        <w:left w:val="none" w:sz="0" w:space="0" w:color="auto"/>
        <w:bottom w:val="none" w:sz="0" w:space="0" w:color="auto"/>
        <w:right w:val="none" w:sz="0" w:space="0" w:color="auto"/>
      </w:divBdr>
    </w:div>
    <w:div w:id="2055543451">
      <w:bodyDiv w:val="1"/>
      <w:marLeft w:val="0"/>
      <w:marRight w:val="0"/>
      <w:marTop w:val="0"/>
      <w:marBottom w:val="0"/>
      <w:divBdr>
        <w:top w:val="none" w:sz="0" w:space="0" w:color="auto"/>
        <w:left w:val="none" w:sz="0" w:space="0" w:color="auto"/>
        <w:bottom w:val="none" w:sz="0" w:space="0" w:color="auto"/>
        <w:right w:val="none" w:sz="0" w:space="0" w:color="auto"/>
      </w:divBdr>
    </w:div>
    <w:div w:id="2067147390">
      <w:bodyDiv w:val="1"/>
      <w:marLeft w:val="0"/>
      <w:marRight w:val="0"/>
      <w:marTop w:val="0"/>
      <w:marBottom w:val="0"/>
      <w:divBdr>
        <w:top w:val="none" w:sz="0" w:space="0" w:color="auto"/>
        <w:left w:val="none" w:sz="0" w:space="0" w:color="auto"/>
        <w:bottom w:val="none" w:sz="0" w:space="0" w:color="auto"/>
        <w:right w:val="none" w:sz="0" w:space="0" w:color="auto"/>
      </w:divBdr>
    </w:div>
    <w:div w:id="2067531446">
      <w:bodyDiv w:val="1"/>
      <w:marLeft w:val="0"/>
      <w:marRight w:val="0"/>
      <w:marTop w:val="0"/>
      <w:marBottom w:val="0"/>
      <w:divBdr>
        <w:top w:val="none" w:sz="0" w:space="0" w:color="auto"/>
        <w:left w:val="none" w:sz="0" w:space="0" w:color="auto"/>
        <w:bottom w:val="none" w:sz="0" w:space="0" w:color="auto"/>
        <w:right w:val="none" w:sz="0" w:space="0" w:color="auto"/>
      </w:divBdr>
    </w:div>
    <w:div w:id="2068064068">
      <w:bodyDiv w:val="1"/>
      <w:marLeft w:val="0"/>
      <w:marRight w:val="0"/>
      <w:marTop w:val="0"/>
      <w:marBottom w:val="0"/>
      <w:divBdr>
        <w:top w:val="none" w:sz="0" w:space="0" w:color="auto"/>
        <w:left w:val="none" w:sz="0" w:space="0" w:color="auto"/>
        <w:bottom w:val="none" w:sz="0" w:space="0" w:color="auto"/>
        <w:right w:val="none" w:sz="0" w:space="0" w:color="auto"/>
      </w:divBdr>
    </w:div>
    <w:div w:id="2078744733">
      <w:bodyDiv w:val="1"/>
      <w:marLeft w:val="0"/>
      <w:marRight w:val="0"/>
      <w:marTop w:val="0"/>
      <w:marBottom w:val="0"/>
      <w:divBdr>
        <w:top w:val="none" w:sz="0" w:space="0" w:color="auto"/>
        <w:left w:val="none" w:sz="0" w:space="0" w:color="auto"/>
        <w:bottom w:val="none" w:sz="0" w:space="0" w:color="auto"/>
        <w:right w:val="none" w:sz="0" w:space="0" w:color="auto"/>
      </w:divBdr>
    </w:div>
    <w:div w:id="2080638974">
      <w:bodyDiv w:val="1"/>
      <w:marLeft w:val="0"/>
      <w:marRight w:val="0"/>
      <w:marTop w:val="0"/>
      <w:marBottom w:val="0"/>
      <w:divBdr>
        <w:top w:val="none" w:sz="0" w:space="0" w:color="auto"/>
        <w:left w:val="none" w:sz="0" w:space="0" w:color="auto"/>
        <w:bottom w:val="none" w:sz="0" w:space="0" w:color="auto"/>
        <w:right w:val="none" w:sz="0" w:space="0" w:color="auto"/>
      </w:divBdr>
    </w:div>
    <w:div w:id="2083022677">
      <w:bodyDiv w:val="1"/>
      <w:marLeft w:val="0"/>
      <w:marRight w:val="0"/>
      <w:marTop w:val="0"/>
      <w:marBottom w:val="0"/>
      <w:divBdr>
        <w:top w:val="none" w:sz="0" w:space="0" w:color="auto"/>
        <w:left w:val="none" w:sz="0" w:space="0" w:color="auto"/>
        <w:bottom w:val="none" w:sz="0" w:space="0" w:color="auto"/>
        <w:right w:val="none" w:sz="0" w:space="0" w:color="auto"/>
      </w:divBdr>
    </w:div>
    <w:div w:id="2089842346">
      <w:bodyDiv w:val="1"/>
      <w:marLeft w:val="0"/>
      <w:marRight w:val="0"/>
      <w:marTop w:val="0"/>
      <w:marBottom w:val="0"/>
      <w:divBdr>
        <w:top w:val="none" w:sz="0" w:space="0" w:color="auto"/>
        <w:left w:val="none" w:sz="0" w:space="0" w:color="auto"/>
        <w:bottom w:val="none" w:sz="0" w:space="0" w:color="auto"/>
        <w:right w:val="none" w:sz="0" w:space="0" w:color="auto"/>
      </w:divBdr>
    </w:div>
    <w:div w:id="2095081417">
      <w:bodyDiv w:val="1"/>
      <w:marLeft w:val="0"/>
      <w:marRight w:val="0"/>
      <w:marTop w:val="0"/>
      <w:marBottom w:val="0"/>
      <w:divBdr>
        <w:top w:val="none" w:sz="0" w:space="0" w:color="auto"/>
        <w:left w:val="none" w:sz="0" w:space="0" w:color="auto"/>
        <w:bottom w:val="none" w:sz="0" w:space="0" w:color="auto"/>
        <w:right w:val="none" w:sz="0" w:space="0" w:color="auto"/>
      </w:divBdr>
    </w:div>
    <w:div w:id="2095398016">
      <w:bodyDiv w:val="1"/>
      <w:marLeft w:val="0"/>
      <w:marRight w:val="0"/>
      <w:marTop w:val="0"/>
      <w:marBottom w:val="0"/>
      <w:divBdr>
        <w:top w:val="none" w:sz="0" w:space="0" w:color="auto"/>
        <w:left w:val="none" w:sz="0" w:space="0" w:color="auto"/>
        <w:bottom w:val="none" w:sz="0" w:space="0" w:color="auto"/>
        <w:right w:val="none" w:sz="0" w:space="0" w:color="auto"/>
      </w:divBdr>
    </w:div>
    <w:div w:id="2099978771">
      <w:bodyDiv w:val="1"/>
      <w:marLeft w:val="0"/>
      <w:marRight w:val="0"/>
      <w:marTop w:val="0"/>
      <w:marBottom w:val="0"/>
      <w:divBdr>
        <w:top w:val="none" w:sz="0" w:space="0" w:color="auto"/>
        <w:left w:val="none" w:sz="0" w:space="0" w:color="auto"/>
        <w:bottom w:val="none" w:sz="0" w:space="0" w:color="auto"/>
        <w:right w:val="none" w:sz="0" w:space="0" w:color="auto"/>
      </w:divBdr>
    </w:div>
    <w:div w:id="2101368275">
      <w:bodyDiv w:val="1"/>
      <w:marLeft w:val="0"/>
      <w:marRight w:val="0"/>
      <w:marTop w:val="0"/>
      <w:marBottom w:val="0"/>
      <w:divBdr>
        <w:top w:val="none" w:sz="0" w:space="0" w:color="auto"/>
        <w:left w:val="none" w:sz="0" w:space="0" w:color="auto"/>
        <w:bottom w:val="none" w:sz="0" w:space="0" w:color="auto"/>
        <w:right w:val="none" w:sz="0" w:space="0" w:color="auto"/>
      </w:divBdr>
    </w:div>
    <w:div w:id="2107144663">
      <w:bodyDiv w:val="1"/>
      <w:marLeft w:val="0"/>
      <w:marRight w:val="0"/>
      <w:marTop w:val="0"/>
      <w:marBottom w:val="0"/>
      <w:divBdr>
        <w:top w:val="none" w:sz="0" w:space="0" w:color="auto"/>
        <w:left w:val="none" w:sz="0" w:space="0" w:color="auto"/>
        <w:bottom w:val="none" w:sz="0" w:space="0" w:color="auto"/>
        <w:right w:val="none" w:sz="0" w:space="0" w:color="auto"/>
      </w:divBdr>
    </w:div>
    <w:div w:id="2107270051">
      <w:bodyDiv w:val="1"/>
      <w:marLeft w:val="0"/>
      <w:marRight w:val="0"/>
      <w:marTop w:val="0"/>
      <w:marBottom w:val="0"/>
      <w:divBdr>
        <w:top w:val="none" w:sz="0" w:space="0" w:color="auto"/>
        <w:left w:val="none" w:sz="0" w:space="0" w:color="auto"/>
        <w:bottom w:val="none" w:sz="0" w:space="0" w:color="auto"/>
        <w:right w:val="none" w:sz="0" w:space="0" w:color="auto"/>
      </w:divBdr>
    </w:div>
    <w:div w:id="2109960990">
      <w:bodyDiv w:val="1"/>
      <w:marLeft w:val="0"/>
      <w:marRight w:val="0"/>
      <w:marTop w:val="0"/>
      <w:marBottom w:val="0"/>
      <w:divBdr>
        <w:top w:val="none" w:sz="0" w:space="0" w:color="auto"/>
        <w:left w:val="none" w:sz="0" w:space="0" w:color="auto"/>
        <w:bottom w:val="none" w:sz="0" w:space="0" w:color="auto"/>
        <w:right w:val="none" w:sz="0" w:space="0" w:color="auto"/>
      </w:divBdr>
    </w:div>
    <w:div w:id="2113084843">
      <w:bodyDiv w:val="1"/>
      <w:marLeft w:val="0"/>
      <w:marRight w:val="0"/>
      <w:marTop w:val="0"/>
      <w:marBottom w:val="0"/>
      <w:divBdr>
        <w:top w:val="none" w:sz="0" w:space="0" w:color="auto"/>
        <w:left w:val="none" w:sz="0" w:space="0" w:color="auto"/>
        <w:bottom w:val="none" w:sz="0" w:space="0" w:color="auto"/>
        <w:right w:val="none" w:sz="0" w:space="0" w:color="auto"/>
      </w:divBdr>
    </w:div>
    <w:div w:id="2117406859">
      <w:bodyDiv w:val="1"/>
      <w:marLeft w:val="0"/>
      <w:marRight w:val="0"/>
      <w:marTop w:val="0"/>
      <w:marBottom w:val="0"/>
      <w:divBdr>
        <w:top w:val="none" w:sz="0" w:space="0" w:color="auto"/>
        <w:left w:val="none" w:sz="0" w:space="0" w:color="auto"/>
        <w:bottom w:val="none" w:sz="0" w:space="0" w:color="auto"/>
        <w:right w:val="none" w:sz="0" w:space="0" w:color="auto"/>
      </w:divBdr>
    </w:div>
    <w:div w:id="2121409978">
      <w:bodyDiv w:val="1"/>
      <w:marLeft w:val="0"/>
      <w:marRight w:val="0"/>
      <w:marTop w:val="0"/>
      <w:marBottom w:val="0"/>
      <w:divBdr>
        <w:top w:val="none" w:sz="0" w:space="0" w:color="auto"/>
        <w:left w:val="none" w:sz="0" w:space="0" w:color="auto"/>
        <w:bottom w:val="none" w:sz="0" w:space="0" w:color="auto"/>
        <w:right w:val="none" w:sz="0" w:space="0" w:color="auto"/>
      </w:divBdr>
    </w:div>
    <w:div w:id="2122995957">
      <w:bodyDiv w:val="1"/>
      <w:marLeft w:val="0"/>
      <w:marRight w:val="0"/>
      <w:marTop w:val="0"/>
      <w:marBottom w:val="0"/>
      <w:divBdr>
        <w:top w:val="none" w:sz="0" w:space="0" w:color="auto"/>
        <w:left w:val="none" w:sz="0" w:space="0" w:color="auto"/>
        <w:bottom w:val="none" w:sz="0" w:space="0" w:color="auto"/>
        <w:right w:val="none" w:sz="0" w:space="0" w:color="auto"/>
      </w:divBdr>
    </w:div>
    <w:div w:id="2133817780">
      <w:bodyDiv w:val="1"/>
      <w:marLeft w:val="0"/>
      <w:marRight w:val="0"/>
      <w:marTop w:val="0"/>
      <w:marBottom w:val="0"/>
      <w:divBdr>
        <w:top w:val="none" w:sz="0" w:space="0" w:color="auto"/>
        <w:left w:val="none" w:sz="0" w:space="0" w:color="auto"/>
        <w:bottom w:val="none" w:sz="0" w:space="0" w:color="auto"/>
        <w:right w:val="none" w:sz="0" w:space="0" w:color="auto"/>
      </w:divBdr>
    </w:div>
    <w:div w:id="2134671325">
      <w:bodyDiv w:val="1"/>
      <w:marLeft w:val="0"/>
      <w:marRight w:val="0"/>
      <w:marTop w:val="0"/>
      <w:marBottom w:val="0"/>
      <w:divBdr>
        <w:top w:val="none" w:sz="0" w:space="0" w:color="auto"/>
        <w:left w:val="none" w:sz="0" w:space="0" w:color="auto"/>
        <w:bottom w:val="none" w:sz="0" w:space="0" w:color="auto"/>
        <w:right w:val="none" w:sz="0" w:space="0" w:color="auto"/>
      </w:divBdr>
    </w:div>
    <w:div w:id="2138259354">
      <w:bodyDiv w:val="1"/>
      <w:marLeft w:val="0"/>
      <w:marRight w:val="0"/>
      <w:marTop w:val="0"/>
      <w:marBottom w:val="0"/>
      <w:divBdr>
        <w:top w:val="none" w:sz="0" w:space="0" w:color="auto"/>
        <w:left w:val="none" w:sz="0" w:space="0" w:color="auto"/>
        <w:bottom w:val="none" w:sz="0" w:space="0" w:color="auto"/>
        <w:right w:val="none" w:sz="0" w:space="0" w:color="auto"/>
      </w:divBdr>
    </w:div>
    <w:div w:id="21384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tance.usherwood@afme.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73ECF6C751A4098465AC8F534C294" ma:contentTypeVersion="16" ma:contentTypeDescription="Create a new document." ma:contentTypeScope="" ma:versionID="ab6f71e0badfa64ce068d54ddc6eff63">
  <xsd:schema xmlns:xsd="http://www.w3.org/2001/XMLSchema" xmlns:xs="http://www.w3.org/2001/XMLSchema" xmlns:p="http://schemas.microsoft.com/office/2006/metadata/properties" xmlns:ns2="b67ce1f5-2c56-47ad-b749-5bb5591f77e2" xmlns:ns3="d1b8dd77-ed2a-4c1e-b97c-212b9deaab20" targetNamespace="http://schemas.microsoft.com/office/2006/metadata/properties" ma:root="true" ma:fieldsID="7640612f3d1e6002e5eae1378e1bbbdf" ns2:_="" ns3:_="">
    <xsd:import namespace="b67ce1f5-2c56-47ad-b749-5bb5591f77e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e1f5-2c56-47ad-b749-5bb5591f7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7ba114-990e-42ed-b636-daed5a22fb37}" ma:internalName="TaxCatchAll" ma:showField="CatchAllData" ma:web="d1b8dd77-ed2a-4c1e-b97c-212b9deaa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1b8dd77-ed2a-4c1e-b97c-212b9deaab20" xsi:nil="true"/>
    <lcf76f155ced4ddcb4097134ff3c332f xmlns="b67ce1f5-2c56-47ad-b749-5bb5591f77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F8DAD-5517-472C-8BB4-D2F701D4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e1f5-2c56-47ad-b749-5bb5591f77e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8DD7D-C1C8-46F0-8436-256D3B2379FF}">
  <ds:schemaRefs>
    <ds:schemaRef ds:uri="http://schemas.openxmlformats.org/officeDocument/2006/bibliography"/>
  </ds:schemaRefs>
</ds:datastoreItem>
</file>

<file path=customXml/itemProps3.xml><?xml version="1.0" encoding="utf-8"?>
<ds:datastoreItem xmlns:ds="http://schemas.openxmlformats.org/officeDocument/2006/customXml" ds:itemID="{51BEA3E6-3BBB-44D6-8284-68E3695EDEEB}">
  <ds:schemaRefs>
    <ds:schemaRef ds:uri="http://schemas.microsoft.com/office/2006/metadata/properties"/>
    <ds:schemaRef ds:uri="http://schemas.microsoft.com/office/infopath/2007/PartnerControls"/>
    <ds:schemaRef ds:uri="d1b8dd77-ed2a-4c1e-b97c-212b9deaab20"/>
    <ds:schemaRef ds:uri="b67ce1f5-2c56-47ad-b749-5bb5591f77e2"/>
  </ds:schemaRefs>
</ds:datastoreItem>
</file>

<file path=customXml/itemProps4.xml><?xml version="1.0" encoding="utf-8"?>
<ds:datastoreItem xmlns:ds="http://schemas.openxmlformats.org/officeDocument/2006/customXml" ds:itemID="{CDD16C3A-213C-4E17-BDCE-F63233E91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5800</Words>
  <Characters>33062</Characters>
  <Application>Microsoft Office Word</Application>
  <DocSecurity>0</DocSecurity>
  <Lines>275</Lines>
  <Paragraphs>77</Paragraphs>
  <ScaleCrop>false</ScaleCrop>
  <Company>SIFMA</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Tricia</dc:creator>
  <cp:keywords/>
  <dc:description/>
  <cp:lastModifiedBy>Constance Usherwood</cp:lastModifiedBy>
  <cp:revision>5</cp:revision>
  <cp:lastPrinted>2019-06-07T11:48:00Z</cp:lastPrinted>
  <dcterms:created xsi:type="dcterms:W3CDTF">2022-10-28T09:27:00Z</dcterms:created>
  <dcterms:modified xsi:type="dcterms:W3CDTF">2022-10-28T09:54:00Z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0x010100ABD73ECF6C751A4098465AC8F534C294</vt:lpwstr>
  </property>
  <property fmtid="{D5CDD505-2E9C-101B-9397-08002B2CF9AE}" pid="3" name="Order">
    <vt:r8>486400</vt:r8>
  </property>
  <property fmtid="{D5CDD505-2E9C-101B-9397-08002B2CF9AE}" pid="4" name="MediaServiceImageTags">
    <vt:lpwstr/>
  </property>
  <property fmtid="{D5CDD505-2E9C-101B-9397-08002B2CF9AE}" pid="5" name="MSIP_Label_3c41c091-3cbc-4dba-8b59-ce62f19500db_Enabled">
    <vt:lpwstr>true</vt:lpwstr>
  </property>
  <property fmtid="{D5CDD505-2E9C-101B-9397-08002B2CF9AE}" pid="6" name="MSIP_Label_3c41c091-3cbc-4dba-8b59-ce62f19500db_SetDate">
    <vt:lpwstr>2022-09-15T16:40:08Z</vt:lpwstr>
  </property>
  <property fmtid="{D5CDD505-2E9C-101B-9397-08002B2CF9AE}" pid="7" name="MSIP_Label_3c41c091-3cbc-4dba-8b59-ce62f19500db_Method">
    <vt:lpwstr>Privileged</vt:lpwstr>
  </property>
  <property fmtid="{D5CDD505-2E9C-101B-9397-08002B2CF9AE}" pid="8" name="MSIP_Label_3c41c091-3cbc-4dba-8b59-ce62f19500db_Name">
    <vt:lpwstr>Confidential_0_1</vt:lpwstr>
  </property>
  <property fmtid="{D5CDD505-2E9C-101B-9397-08002B2CF9AE}" pid="9" name="MSIP_Label_3c41c091-3cbc-4dba-8b59-ce62f19500db_SiteId">
    <vt:lpwstr>35595a02-4d6d-44ac-99e1-f9ab4cd872db</vt:lpwstr>
  </property>
  <property fmtid="{D5CDD505-2E9C-101B-9397-08002B2CF9AE}" pid="10" name="MSIP_Label_3c41c091-3cbc-4dba-8b59-ce62f19500db_ActionId">
    <vt:lpwstr>8d63e0f8-85ce-4ab2-8533-6823182801d4</vt:lpwstr>
  </property>
  <property fmtid="{D5CDD505-2E9C-101B-9397-08002B2CF9AE}" pid="11" name="MSIP_Label_3c41c091-3cbc-4dba-8b59-ce62f19500db_ContentBits">
    <vt:lpwstr>1</vt:lpwstr>
  </property>
</Properties>
</file>