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0"/>
        <w:gridCol w:w="4110"/>
      </w:tblGrid>
      <w:tr w:rsidR="00F71141" w:rsidRPr="00F5551F">
        <w:trPr>
          <w:cantSplit/>
          <w:trHeight w:val="13870"/>
        </w:trPr>
        <w:tc>
          <w:tcPr>
            <w:tcW w:w="10030" w:type="dxa"/>
            <w:gridSpan w:val="2"/>
          </w:tcPr>
          <w:p w:rsidR="00BC4D9A" w:rsidRPr="00F5551F" w:rsidRDefault="00FC70C5" w:rsidP="00305E20">
            <w:pPr>
              <w:pStyle w:val="NoSpacing"/>
              <w:rPr>
                <w:rFonts w:cs="Arial"/>
                <w:color w:val="FF0000"/>
                <w:sz w:val="28"/>
                <w:szCs w:val="28"/>
              </w:rPr>
            </w:pPr>
            <w:r w:rsidRPr="00F5551F">
              <w:rPr>
                <w:rFonts w:cs="Arial"/>
                <w:sz w:val="28"/>
                <w:szCs w:val="28"/>
              </w:rPr>
              <w:br/>
            </w:r>
          </w:p>
          <w:p w:rsidR="00BC4D9A" w:rsidRPr="00F5551F" w:rsidRDefault="00BC4D9A" w:rsidP="00305E20">
            <w:pPr>
              <w:pStyle w:val="NoSpacing"/>
              <w:rPr>
                <w:rFonts w:cs="Arial"/>
                <w:color w:val="FF0000"/>
                <w:sz w:val="28"/>
                <w:szCs w:val="28"/>
              </w:rPr>
            </w:pPr>
          </w:p>
          <w:p w:rsidR="005F42C7" w:rsidRPr="00F5551F" w:rsidRDefault="007B473F" w:rsidP="00305E20">
            <w:pPr>
              <w:pStyle w:val="NoSpacing"/>
            </w:pPr>
            <w:r w:rsidRPr="00F5551F">
              <w:rPr>
                <w:rFonts w:cs="Arial"/>
                <w:noProof/>
                <w:color w:val="FF0000"/>
                <w:sz w:val="28"/>
                <w:szCs w:val="28"/>
                <w:lang w:eastAsia="en-GB"/>
              </w:rPr>
              <w:drawing>
                <wp:anchor distT="0" distB="0" distL="114300" distR="114300" simplePos="0" relativeHeight="251657728" behindDoc="0" locked="0" layoutInCell="0" allowOverlap="1" wp14:anchorId="63D2FCC3" wp14:editId="3037B921">
                  <wp:simplePos x="0" y="0"/>
                  <wp:positionH relativeFrom="page">
                    <wp:posOffset>3749040</wp:posOffset>
                  </wp:positionH>
                  <wp:positionV relativeFrom="page">
                    <wp:posOffset>640080</wp:posOffset>
                  </wp:positionV>
                  <wp:extent cx="2966085" cy="507365"/>
                  <wp:effectExtent l="0" t="0" r="5715" b="6985"/>
                  <wp:wrapNone/>
                  <wp:docPr id="4" name="Picture 4" descr="clearstream_DBG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stream_DBG_schwar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6085"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42C7" w:rsidRPr="00F5551F" w:rsidRDefault="005F42C7" w:rsidP="00305E20">
            <w:pPr>
              <w:pStyle w:val="NoSpacing"/>
            </w:pPr>
          </w:p>
          <w:p w:rsidR="00F373F7" w:rsidRPr="00F5551F" w:rsidRDefault="00F373F7" w:rsidP="00305E20">
            <w:pPr>
              <w:pStyle w:val="NoSpacing"/>
            </w:pPr>
          </w:p>
          <w:p w:rsidR="00F373F7" w:rsidRPr="00F5551F" w:rsidRDefault="00F373F7" w:rsidP="00305E20">
            <w:pPr>
              <w:pStyle w:val="NoSpacing"/>
            </w:pPr>
          </w:p>
          <w:p w:rsidR="00F373F7" w:rsidRPr="00F5551F" w:rsidRDefault="00F373F7" w:rsidP="00305E20">
            <w:pPr>
              <w:pStyle w:val="NoSpacing"/>
            </w:pPr>
          </w:p>
          <w:p w:rsidR="00F373F7" w:rsidRPr="00F5551F" w:rsidRDefault="00F373F7" w:rsidP="00305E20">
            <w:pPr>
              <w:pStyle w:val="NoSpacing"/>
            </w:pPr>
          </w:p>
          <w:p w:rsidR="00F373F7" w:rsidRPr="00F5551F" w:rsidRDefault="00F373F7" w:rsidP="00305E20">
            <w:pPr>
              <w:pStyle w:val="NoSpacing"/>
            </w:pPr>
          </w:p>
          <w:p w:rsidR="00C6447D" w:rsidRPr="00F5551F" w:rsidRDefault="00C6447D" w:rsidP="00305E20">
            <w:pPr>
              <w:pStyle w:val="NoSpacing"/>
            </w:pPr>
          </w:p>
          <w:p w:rsidR="00C6447D" w:rsidRPr="00F5551F" w:rsidRDefault="00C6447D" w:rsidP="00305E20">
            <w:pPr>
              <w:pStyle w:val="NoSpacing"/>
            </w:pPr>
          </w:p>
          <w:p w:rsidR="00C6447D" w:rsidRPr="00F5551F" w:rsidRDefault="00C6447D" w:rsidP="00305E20">
            <w:pPr>
              <w:pStyle w:val="NoSpacing"/>
            </w:pPr>
          </w:p>
          <w:p w:rsidR="00C6447D" w:rsidRPr="00F5551F" w:rsidRDefault="00C6447D" w:rsidP="00305E20">
            <w:pPr>
              <w:pStyle w:val="NoSpacing"/>
            </w:pPr>
          </w:p>
          <w:p w:rsidR="00C6447D" w:rsidRPr="00F5551F" w:rsidRDefault="00C6447D" w:rsidP="00305E20">
            <w:pPr>
              <w:pStyle w:val="NoSpacing"/>
            </w:pPr>
          </w:p>
          <w:p w:rsidR="00C6447D" w:rsidRPr="00F5551F" w:rsidRDefault="00C6447D" w:rsidP="00305E20">
            <w:pPr>
              <w:pStyle w:val="NoSpacing"/>
            </w:pPr>
          </w:p>
          <w:p w:rsidR="00C6447D" w:rsidRPr="00F5551F" w:rsidRDefault="00C6447D" w:rsidP="00305E20">
            <w:pPr>
              <w:pStyle w:val="NoSpacing"/>
            </w:pPr>
          </w:p>
          <w:p w:rsidR="00C6447D" w:rsidRPr="00F5551F" w:rsidRDefault="00C6447D" w:rsidP="00305E20">
            <w:pPr>
              <w:pStyle w:val="NoSpacing"/>
            </w:pPr>
          </w:p>
          <w:p w:rsidR="00F373F7" w:rsidRPr="00F5551F" w:rsidRDefault="00F373F7" w:rsidP="00305E20">
            <w:pPr>
              <w:pStyle w:val="NoSpacing"/>
            </w:pPr>
          </w:p>
          <w:p w:rsidR="00F71141" w:rsidRPr="00F5551F" w:rsidRDefault="006A0FC7" w:rsidP="00305E20">
            <w:pPr>
              <w:spacing w:before="240" w:after="120"/>
              <w:jc w:val="center"/>
              <w:rPr>
                <w:rFonts w:cs="Arial"/>
                <w:sz w:val="36"/>
                <w:szCs w:val="36"/>
              </w:rPr>
            </w:pPr>
            <w:bookmarkStart w:id="0" w:name="mrkThema1"/>
            <w:bookmarkEnd w:id="0"/>
            <w:r w:rsidRPr="00F5551F">
              <w:rPr>
                <w:rFonts w:cs="Arial"/>
                <w:sz w:val="36"/>
                <w:szCs w:val="36"/>
              </w:rPr>
              <w:t>European Banking Authority consul</w:t>
            </w:r>
            <w:r w:rsidR="00395CDE" w:rsidRPr="00F5551F">
              <w:rPr>
                <w:rFonts w:cs="Arial"/>
                <w:sz w:val="36"/>
                <w:szCs w:val="36"/>
              </w:rPr>
              <w:t>t</w:t>
            </w:r>
            <w:r w:rsidRPr="00F5551F">
              <w:rPr>
                <w:rFonts w:cs="Arial"/>
                <w:sz w:val="36"/>
                <w:szCs w:val="36"/>
              </w:rPr>
              <w:t>ation on</w:t>
            </w:r>
          </w:p>
          <w:p w:rsidR="00F71141" w:rsidRPr="00F5551F" w:rsidRDefault="006A0FC7" w:rsidP="00F373F7">
            <w:pPr>
              <w:jc w:val="center"/>
              <w:rPr>
                <w:rFonts w:cs="Arial"/>
                <w:sz w:val="36"/>
                <w:szCs w:val="36"/>
              </w:rPr>
            </w:pPr>
            <w:r w:rsidRPr="00F5551F">
              <w:rPr>
                <w:rFonts w:cs="Arial"/>
                <w:sz w:val="36"/>
                <w:szCs w:val="36"/>
              </w:rPr>
              <w:t>the CSD Regulation tech</w:t>
            </w:r>
            <w:r w:rsidR="00395CDE" w:rsidRPr="00F5551F">
              <w:rPr>
                <w:rFonts w:cs="Arial"/>
                <w:sz w:val="36"/>
                <w:szCs w:val="36"/>
              </w:rPr>
              <w:t>n</w:t>
            </w:r>
            <w:r w:rsidRPr="00F5551F">
              <w:rPr>
                <w:rFonts w:cs="Arial"/>
                <w:sz w:val="36"/>
                <w:szCs w:val="36"/>
              </w:rPr>
              <w:t>ical standards proposal</w:t>
            </w:r>
          </w:p>
          <w:p w:rsidR="00F71141" w:rsidRPr="00F5551F" w:rsidRDefault="00F71141">
            <w:pPr>
              <w:jc w:val="center"/>
              <w:rPr>
                <w:rFonts w:cs="Arial"/>
                <w:sz w:val="28"/>
                <w:szCs w:val="28"/>
              </w:rPr>
            </w:pPr>
          </w:p>
          <w:p w:rsidR="00F71141" w:rsidRPr="00F5551F" w:rsidRDefault="00F71141">
            <w:pPr>
              <w:jc w:val="center"/>
              <w:rPr>
                <w:rFonts w:cs="Arial"/>
                <w:sz w:val="28"/>
                <w:szCs w:val="28"/>
              </w:rPr>
            </w:pPr>
          </w:p>
          <w:p w:rsidR="00F71141" w:rsidRPr="00F5551F" w:rsidRDefault="00F71141">
            <w:pPr>
              <w:jc w:val="center"/>
              <w:rPr>
                <w:rFonts w:cs="Arial"/>
                <w:sz w:val="28"/>
                <w:szCs w:val="28"/>
              </w:rPr>
            </w:pPr>
          </w:p>
          <w:p w:rsidR="00F71141" w:rsidRPr="00F5551F" w:rsidRDefault="00F71141">
            <w:pPr>
              <w:jc w:val="center"/>
              <w:rPr>
                <w:rFonts w:cs="Arial"/>
                <w:sz w:val="28"/>
                <w:szCs w:val="28"/>
              </w:rPr>
            </w:pPr>
          </w:p>
          <w:p w:rsidR="00F71141" w:rsidRPr="00F5551F" w:rsidRDefault="00F71141">
            <w:pPr>
              <w:jc w:val="center"/>
              <w:rPr>
                <w:rFonts w:cs="Arial"/>
                <w:sz w:val="28"/>
                <w:szCs w:val="28"/>
              </w:rPr>
            </w:pPr>
          </w:p>
          <w:p w:rsidR="00F71141" w:rsidRPr="00F5551F" w:rsidRDefault="00F71141">
            <w:pPr>
              <w:jc w:val="center"/>
              <w:rPr>
                <w:rFonts w:cs="Arial"/>
                <w:sz w:val="28"/>
                <w:szCs w:val="28"/>
              </w:rPr>
            </w:pPr>
          </w:p>
          <w:p w:rsidR="00F71141" w:rsidRPr="00F5551F" w:rsidRDefault="00F71141">
            <w:pPr>
              <w:jc w:val="center"/>
              <w:rPr>
                <w:rFonts w:cs="Arial"/>
                <w:sz w:val="28"/>
                <w:szCs w:val="28"/>
              </w:rPr>
            </w:pPr>
          </w:p>
          <w:p w:rsidR="00F71141" w:rsidRPr="00F5551F" w:rsidRDefault="00F71141">
            <w:pPr>
              <w:jc w:val="center"/>
              <w:rPr>
                <w:rFonts w:cs="Arial"/>
                <w:sz w:val="28"/>
                <w:szCs w:val="28"/>
              </w:rPr>
            </w:pPr>
          </w:p>
          <w:p w:rsidR="00F71141" w:rsidRPr="00F5551F" w:rsidRDefault="00F71141">
            <w:pPr>
              <w:rPr>
                <w:rFonts w:cs="Arial"/>
                <w:sz w:val="28"/>
                <w:szCs w:val="28"/>
              </w:rPr>
            </w:pPr>
            <w:bookmarkStart w:id="1" w:name="mrkTextanfang"/>
            <w:bookmarkEnd w:id="1"/>
          </w:p>
        </w:tc>
      </w:tr>
      <w:tr w:rsidR="00F71141" w:rsidRPr="00F5551F">
        <w:trPr>
          <w:cantSplit/>
          <w:trHeight w:val="567"/>
        </w:trPr>
        <w:tc>
          <w:tcPr>
            <w:tcW w:w="5920" w:type="dxa"/>
          </w:tcPr>
          <w:p w:rsidR="00F71141" w:rsidRPr="00F5551F" w:rsidRDefault="00F71141">
            <w:pPr>
              <w:pStyle w:val="Header"/>
              <w:ind w:left="397"/>
              <w:rPr>
                <w:rFonts w:cs="Arial"/>
                <w:szCs w:val="24"/>
              </w:rPr>
            </w:pPr>
            <w:bookmarkStart w:id="2" w:name="mrkAbteilung"/>
            <w:bookmarkEnd w:id="2"/>
          </w:p>
        </w:tc>
        <w:tc>
          <w:tcPr>
            <w:tcW w:w="4110" w:type="dxa"/>
          </w:tcPr>
          <w:p w:rsidR="00F71141" w:rsidRPr="00F5551F" w:rsidRDefault="006A0FC7">
            <w:pPr>
              <w:ind w:right="408"/>
              <w:jc w:val="right"/>
              <w:rPr>
                <w:rFonts w:cs="Arial"/>
                <w:szCs w:val="24"/>
              </w:rPr>
            </w:pPr>
            <w:bookmarkStart w:id="3" w:name="mrkDatum"/>
            <w:bookmarkEnd w:id="3"/>
            <w:r w:rsidRPr="00F5551F">
              <w:rPr>
                <w:rFonts w:cs="Arial"/>
                <w:szCs w:val="24"/>
              </w:rPr>
              <w:t>27 April 2015</w:t>
            </w:r>
          </w:p>
        </w:tc>
      </w:tr>
    </w:tbl>
    <w:p w:rsidR="00F71141" w:rsidRPr="00F5551F" w:rsidRDefault="00F71141">
      <w:pPr>
        <w:rPr>
          <w:rFonts w:cs="Arial"/>
          <w:szCs w:val="24"/>
        </w:rPr>
      </w:pPr>
    </w:p>
    <w:p w:rsidR="00DA6980" w:rsidRPr="00F5551F" w:rsidRDefault="00DA6980" w:rsidP="00DA6980">
      <w:pPr>
        <w:pStyle w:val="Default"/>
        <w:contextualSpacing/>
        <w:rPr>
          <w:rFonts w:ascii="DIN-Regular" w:hAnsi="DIN-Regular" w:cs="Arial"/>
          <w:b/>
          <w:color w:val="auto"/>
          <w:sz w:val="22"/>
          <w:szCs w:val="22"/>
        </w:rPr>
      </w:pPr>
    </w:p>
    <w:p w:rsidR="006A0FC7" w:rsidRPr="00F5551F" w:rsidRDefault="006A0FC7" w:rsidP="00DA6980">
      <w:pPr>
        <w:pStyle w:val="Default"/>
        <w:contextualSpacing/>
        <w:rPr>
          <w:rFonts w:ascii="DIN-Regular" w:hAnsi="DIN-Regular" w:cs="Arial"/>
          <w:b/>
          <w:color w:val="auto"/>
          <w:szCs w:val="22"/>
        </w:rPr>
      </w:pPr>
      <w:r w:rsidRPr="00F5551F">
        <w:rPr>
          <w:rFonts w:ascii="DIN-Regular" w:hAnsi="DIN-Regular" w:cs="Arial"/>
          <w:b/>
          <w:color w:val="auto"/>
          <w:szCs w:val="22"/>
        </w:rPr>
        <w:t>A. Introduction</w:t>
      </w:r>
    </w:p>
    <w:p w:rsidR="006A0FC7" w:rsidRPr="00F5551F" w:rsidRDefault="006A0FC7" w:rsidP="00DA6980">
      <w:pPr>
        <w:pStyle w:val="Default"/>
        <w:contextualSpacing/>
        <w:jc w:val="center"/>
        <w:rPr>
          <w:rFonts w:ascii="DIN-Regular" w:hAnsi="DIN-Regular" w:cs="Arial"/>
          <w:b/>
          <w:color w:val="auto"/>
          <w:sz w:val="22"/>
          <w:szCs w:val="22"/>
        </w:rPr>
      </w:pPr>
    </w:p>
    <w:p w:rsidR="006A0FC7" w:rsidRPr="00F5551F" w:rsidRDefault="006A0FC7" w:rsidP="00DA6980">
      <w:pPr>
        <w:pStyle w:val="Default"/>
        <w:jc w:val="both"/>
        <w:rPr>
          <w:rFonts w:ascii="DIN-Regular" w:eastAsia="Arial Unicode MS" w:hAnsi="DIN-Regular" w:cs="Arial"/>
          <w:color w:val="auto"/>
          <w:sz w:val="22"/>
          <w:szCs w:val="22"/>
        </w:rPr>
      </w:pPr>
      <w:proofErr w:type="spellStart"/>
      <w:r w:rsidRPr="00F5551F">
        <w:rPr>
          <w:rFonts w:ascii="DIN-Regular" w:eastAsia="Arial Unicode MS" w:hAnsi="DIN-Regular" w:cs="Arial"/>
          <w:color w:val="auto"/>
          <w:sz w:val="22"/>
          <w:szCs w:val="22"/>
        </w:rPr>
        <w:t>Clearstream</w:t>
      </w:r>
      <w:proofErr w:type="spellEnd"/>
      <w:r w:rsidRPr="00F5551F">
        <w:rPr>
          <w:rFonts w:ascii="DIN-Regular" w:eastAsia="Arial Unicode MS" w:hAnsi="DIN-Regular" w:cs="Arial"/>
          <w:color w:val="auto"/>
          <w:sz w:val="22"/>
          <w:szCs w:val="22"/>
        </w:rPr>
        <w:t xml:space="preserve"> welcomes the opportunity to comment on EBA’s Consultation Paper “Draft Regulatory Technical Standards (in the following draft RTS) on prudential requirements for central securities depositories under Regulation (EU) No 909/2014 (‘Central Securities Depositories Regulation’ – CSD-R)” issued on 27 February 2015.</w:t>
      </w:r>
    </w:p>
    <w:p w:rsidR="006A0FC7" w:rsidRPr="00F5551F" w:rsidRDefault="006A0FC7" w:rsidP="00DA6980">
      <w:pPr>
        <w:pStyle w:val="Default"/>
        <w:contextualSpacing/>
        <w:jc w:val="both"/>
        <w:rPr>
          <w:rFonts w:ascii="DIN-Regular" w:eastAsia="Arial Unicode MS" w:hAnsi="DIN-Regular" w:cs="Arial"/>
          <w:color w:val="auto"/>
          <w:sz w:val="22"/>
          <w:szCs w:val="22"/>
        </w:rPr>
      </w:pPr>
    </w:p>
    <w:p w:rsidR="006A0FC7" w:rsidRPr="00F5551F" w:rsidRDefault="00AC0B4F"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 xml:space="preserve">The </w:t>
      </w:r>
      <w:proofErr w:type="spellStart"/>
      <w:r w:rsidRPr="00F5551F">
        <w:rPr>
          <w:rFonts w:ascii="DIN-Regular" w:eastAsia="Arial Unicode MS" w:hAnsi="DIN-Regular" w:cs="Arial"/>
          <w:color w:val="auto"/>
          <w:sz w:val="22"/>
          <w:szCs w:val="22"/>
        </w:rPr>
        <w:t>Clearstream</w:t>
      </w:r>
      <w:proofErr w:type="spellEnd"/>
      <w:r w:rsidRPr="00F5551F">
        <w:rPr>
          <w:rFonts w:ascii="DIN-Regular" w:eastAsia="Arial Unicode MS" w:hAnsi="DIN-Regular" w:cs="Arial"/>
          <w:color w:val="auto"/>
          <w:sz w:val="22"/>
          <w:szCs w:val="22"/>
        </w:rPr>
        <w:t xml:space="preserve"> group of companies are headed by the </w:t>
      </w:r>
      <w:proofErr w:type="spellStart"/>
      <w:r w:rsidR="006A0FC7" w:rsidRPr="00F5551F">
        <w:rPr>
          <w:rFonts w:ascii="DIN-Regular" w:eastAsia="Arial Unicode MS" w:hAnsi="DIN-Regular" w:cs="Arial"/>
          <w:color w:val="auto"/>
          <w:sz w:val="22"/>
          <w:szCs w:val="22"/>
        </w:rPr>
        <w:t>Clearstream</w:t>
      </w:r>
      <w:proofErr w:type="spellEnd"/>
      <w:r w:rsidR="006A0FC7" w:rsidRPr="00F5551F">
        <w:rPr>
          <w:rFonts w:ascii="DIN-Regular" w:eastAsia="Arial Unicode MS" w:hAnsi="DIN-Regular" w:cs="Arial"/>
          <w:color w:val="auto"/>
          <w:sz w:val="22"/>
          <w:szCs w:val="22"/>
        </w:rPr>
        <w:t xml:space="preserve"> Holding AG </w:t>
      </w:r>
      <w:r w:rsidRPr="00F5551F">
        <w:rPr>
          <w:rFonts w:ascii="DIN-Regular" w:eastAsia="Arial Unicode MS" w:hAnsi="DIN-Regular" w:cs="Arial"/>
          <w:color w:val="auto"/>
          <w:sz w:val="22"/>
          <w:szCs w:val="22"/>
        </w:rPr>
        <w:t xml:space="preserve">which </w:t>
      </w:r>
      <w:r w:rsidR="006A0FC7" w:rsidRPr="00F5551F">
        <w:rPr>
          <w:rFonts w:ascii="DIN-Regular" w:eastAsia="Arial Unicode MS" w:hAnsi="DIN-Regular" w:cs="Arial"/>
          <w:color w:val="auto"/>
          <w:sz w:val="22"/>
          <w:szCs w:val="22"/>
        </w:rPr>
        <w:t>is the mother company of three (I</w:t>
      </w:r>
      <w:proofErr w:type="gramStart"/>
      <w:r w:rsidR="006A0FC7" w:rsidRPr="00F5551F">
        <w:rPr>
          <w:rFonts w:ascii="DIN-Regular" w:eastAsia="Arial Unicode MS" w:hAnsi="DIN-Regular" w:cs="Arial"/>
          <w:color w:val="auto"/>
          <w:sz w:val="22"/>
          <w:szCs w:val="22"/>
        </w:rPr>
        <w:t>)CSDs</w:t>
      </w:r>
      <w:proofErr w:type="gramEnd"/>
      <w:r w:rsidR="006A0FC7" w:rsidRPr="00F5551F">
        <w:rPr>
          <w:rFonts w:ascii="DIN-Regular" w:eastAsia="Arial Unicode MS" w:hAnsi="DIN-Regular" w:cs="Arial"/>
          <w:color w:val="auto"/>
          <w:sz w:val="22"/>
          <w:szCs w:val="22"/>
        </w:rPr>
        <w:t xml:space="preserve"> operating in Luxembourg and Germany. Due to the banking activities of two of these (I)CSDs, </w:t>
      </w:r>
      <w:proofErr w:type="spellStart"/>
      <w:r w:rsidR="006A0FC7" w:rsidRPr="00F5551F">
        <w:rPr>
          <w:rFonts w:ascii="DIN-Regular" w:eastAsia="Arial Unicode MS" w:hAnsi="DIN-Regular" w:cs="Arial"/>
          <w:color w:val="auto"/>
          <w:sz w:val="22"/>
          <w:szCs w:val="22"/>
        </w:rPr>
        <w:t>Clearstream</w:t>
      </w:r>
      <w:proofErr w:type="spellEnd"/>
      <w:r w:rsidR="006A0FC7" w:rsidRPr="00F5551F">
        <w:rPr>
          <w:rFonts w:ascii="DIN-Regular" w:eastAsia="Arial Unicode MS" w:hAnsi="DIN-Regular" w:cs="Arial"/>
          <w:color w:val="auto"/>
          <w:sz w:val="22"/>
          <w:szCs w:val="22"/>
        </w:rPr>
        <w:t xml:space="preserve"> Holding AG is classified as a financial holding company under Regulation (EU) No. 575/2013 (CRR) and is acting as the </w:t>
      </w:r>
      <w:proofErr w:type="spellStart"/>
      <w:r w:rsidR="006A0FC7" w:rsidRPr="00F5551F">
        <w:rPr>
          <w:rFonts w:ascii="DIN-Regular" w:eastAsia="Arial Unicode MS" w:hAnsi="DIN-Regular" w:cs="Arial"/>
          <w:color w:val="auto"/>
          <w:sz w:val="22"/>
          <w:szCs w:val="22"/>
        </w:rPr>
        <w:t>superordinated</w:t>
      </w:r>
      <w:proofErr w:type="spellEnd"/>
      <w:r w:rsidR="006A0FC7" w:rsidRPr="00F5551F">
        <w:rPr>
          <w:rFonts w:ascii="DIN-Regular" w:eastAsia="Arial Unicode MS" w:hAnsi="DIN-Regular" w:cs="Arial"/>
          <w:color w:val="auto"/>
          <w:sz w:val="22"/>
          <w:szCs w:val="22"/>
        </w:rPr>
        <w:t xml:space="preserve"> company for the </w:t>
      </w:r>
      <w:proofErr w:type="spellStart"/>
      <w:r w:rsidR="006A0FC7" w:rsidRPr="00F5551F">
        <w:rPr>
          <w:rFonts w:ascii="DIN-Regular" w:eastAsia="Arial Unicode MS" w:hAnsi="DIN-Regular" w:cs="Arial"/>
          <w:color w:val="auto"/>
          <w:sz w:val="22"/>
          <w:szCs w:val="22"/>
        </w:rPr>
        <w:t>Clearstream</w:t>
      </w:r>
      <w:proofErr w:type="spellEnd"/>
      <w:r w:rsidR="006A0FC7" w:rsidRPr="00F5551F">
        <w:rPr>
          <w:rFonts w:ascii="DIN-Regular" w:eastAsia="Arial Unicode MS" w:hAnsi="DIN-Regular" w:cs="Arial"/>
          <w:color w:val="auto"/>
          <w:sz w:val="22"/>
          <w:szCs w:val="22"/>
        </w:rPr>
        <w:t xml:space="preserve"> Holding group according to the German Banking Act.</w:t>
      </w:r>
    </w:p>
    <w:p w:rsidR="006A0FC7" w:rsidRPr="00F5551F" w:rsidRDefault="006A0FC7" w:rsidP="00DA6980">
      <w:pPr>
        <w:pStyle w:val="Default"/>
        <w:contextualSpacing/>
        <w:jc w:val="both"/>
        <w:rPr>
          <w:rFonts w:ascii="DIN-Regular" w:eastAsia="Arial Unicode MS" w:hAnsi="DIN-Regular" w:cs="Arial"/>
          <w:color w:val="auto"/>
          <w:sz w:val="22"/>
          <w:szCs w:val="22"/>
        </w:rPr>
      </w:pPr>
    </w:p>
    <w:p w:rsidR="006A0FC7" w:rsidRPr="00F5551F" w:rsidRDefault="006A0FC7"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 xml:space="preserve">The three (I)CSDs being part of the group are: </w:t>
      </w:r>
      <w:proofErr w:type="spellStart"/>
      <w:r w:rsidRPr="00F5551F">
        <w:rPr>
          <w:rFonts w:ascii="DIN-Regular" w:eastAsia="Arial Unicode MS" w:hAnsi="DIN-Regular" w:cs="Arial"/>
          <w:color w:val="auto"/>
          <w:sz w:val="22"/>
          <w:szCs w:val="22"/>
        </w:rPr>
        <w:t>Clearstream</w:t>
      </w:r>
      <w:proofErr w:type="spellEnd"/>
      <w:r w:rsidRPr="00F5551F">
        <w:rPr>
          <w:rFonts w:ascii="DIN-Regular" w:eastAsia="Arial Unicode MS" w:hAnsi="DIN-Regular" w:cs="Arial"/>
          <w:color w:val="auto"/>
          <w:sz w:val="22"/>
          <w:szCs w:val="22"/>
        </w:rPr>
        <w:t xml:space="preserve"> Banking S.A., Luxembourg</w:t>
      </w:r>
      <w:r w:rsidR="004E04A6" w:rsidRPr="00F5551F">
        <w:rPr>
          <w:rFonts w:ascii="DIN-Regular" w:eastAsia="Arial Unicode MS" w:hAnsi="DIN-Regular" w:cs="Arial"/>
          <w:color w:val="auto"/>
          <w:sz w:val="22"/>
          <w:szCs w:val="22"/>
        </w:rPr>
        <w:t xml:space="preserve"> (CBL)</w:t>
      </w:r>
      <w:r w:rsidRPr="00F5551F">
        <w:rPr>
          <w:rFonts w:ascii="DIN-Regular" w:eastAsia="Arial Unicode MS" w:hAnsi="DIN-Regular" w:cs="Arial"/>
          <w:color w:val="auto"/>
          <w:sz w:val="22"/>
          <w:szCs w:val="22"/>
        </w:rPr>
        <w:t xml:space="preserve">, </w:t>
      </w:r>
      <w:proofErr w:type="spellStart"/>
      <w:r w:rsidRPr="00F5551F">
        <w:rPr>
          <w:rFonts w:ascii="DIN-Regular" w:eastAsia="Arial Unicode MS" w:hAnsi="DIN-Regular" w:cs="Arial"/>
          <w:color w:val="auto"/>
          <w:sz w:val="22"/>
          <w:szCs w:val="22"/>
        </w:rPr>
        <w:t>Clearstream</w:t>
      </w:r>
      <w:proofErr w:type="spellEnd"/>
      <w:r w:rsidRPr="00F5551F">
        <w:rPr>
          <w:rFonts w:ascii="DIN-Regular" w:eastAsia="Arial Unicode MS" w:hAnsi="DIN-Regular" w:cs="Arial"/>
          <w:color w:val="auto"/>
          <w:sz w:val="22"/>
          <w:szCs w:val="22"/>
        </w:rPr>
        <w:t xml:space="preserve"> Banking AG</w:t>
      </w:r>
      <w:r w:rsidR="004E04A6" w:rsidRPr="00F5551F">
        <w:rPr>
          <w:rFonts w:ascii="DIN-Regular" w:eastAsia="Arial Unicode MS" w:hAnsi="DIN-Regular" w:cs="Arial"/>
          <w:color w:val="auto"/>
          <w:sz w:val="22"/>
          <w:szCs w:val="22"/>
        </w:rPr>
        <w:t xml:space="preserve"> (CBF)</w:t>
      </w:r>
      <w:r w:rsidRPr="00F5551F">
        <w:rPr>
          <w:rFonts w:ascii="DIN-Regular" w:eastAsia="Arial Unicode MS" w:hAnsi="DIN-Regular" w:cs="Arial"/>
          <w:color w:val="auto"/>
          <w:sz w:val="22"/>
          <w:szCs w:val="22"/>
        </w:rPr>
        <w:t xml:space="preserve">, Frankfurt/Main (both offering banking type of services and are currently authorised as credit institutions in the sense of CRR) and </w:t>
      </w:r>
      <w:proofErr w:type="spellStart"/>
      <w:r w:rsidRPr="00F5551F">
        <w:rPr>
          <w:rFonts w:ascii="DIN-Regular" w:eastAsia="Arial Unicode MS" w:hAnsi="DIN-Regular" w:cs="Arial"/>
          <w:color w:val="auto"/>
          <w:sz w:val="22"/>
          <w:szCs w:val="22"/>
        </w:rPr>
        <w:t>LuxCSD</w:t>
      </w:r>
      <w:proofErr w:type="spellEnd"/>
      <w:r w:rsidRPr="00F5551F">
        <w:rPr>
          <w:rFonts w:ascii="DIN-Regular" w:eastAsia="Arial Unicode MS" w:hAnsi="DIN-Regular" w:cs="Arial"/>
          <w:color w:val="auto"/>
          <w:sz w:val="22"/>
          <w:szCs w:val="22"/>
        </w:rPr>
        <w:t xml:space="preserve"> S.A., Luxembourg. </w:t>
      </w:r>
    </w:p>
    <w:p w:rsidR="006A0FC7" w:rsidRPr="00F5551F" w:rsidRDefault="006A0FC7" w:rsidP="00DA6980">
      <w:pPr>
        <w:pStyle w:val="Default"/>
        <w:contextualSpacing/>
        <w:jc w:val="both"/>
        <w:rPr>
          <w:rFonts w:ascii="DIN-Regular" w:eastAsia="Arial Unicode MS" w:hAnsi="DIN-Regular" w:cs="Arial"/>
          <w:color w:val="auto"/>
          <w:sz w:val="22"/>
          <w:szCs w:val="22"/>
        </w:rPr>
      </w:pPr>
    </w:p>
    <w:p w:rsidR="006A0FC7" w:rsidRPr="00F5551F" w:rsidRDefault="006A0FC7"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Already currently the banking type of services offered by the (I</w:t>
      </w:r>
      <w:proofErr w:type="gramStart"/>
      <w:r w:rsidRPr="00F5551F">
        <w:rPr>
          <w:rFonts w:ascii="DIN-Regular" w:eastAsia="Arial Unicode MS" w:hAnsi="DIN-Regular" w:cs="Arial"/>
          <w:color w:val="auto"/>
          <w:sz w:val="22"/>
          <w:szCs w:val="22"/>
        </w:rPr>
        <w:t>)CSDs</w:t>
      </w:r>
      <w:proofErr w:type="gramEnd"/>
      <w:r w:rsidRPr="00F5551F">
        <w:rPr>
          <w:rFonts w:ascii="DIN-Regular" w:eastAsia="Arial Unicode MS" w:hAnsi="DIN-Regular" w:cs="Arial"/>
          <w:color w:val="auto"/>
          <w:sz w:val="22"/>
          <w:szCs w:val="22"/>
        </w:rPr>
        <w:t xml:space="preserve"> of the group are limited to services being ancillary to the core (CSD) business. The banking activities are not only subject to the rules of CRR (and of directive 2013/36/EU [CRD IV] as implemented in national law) but also by other legislative frameworks which are either already in place or about to come into effective in the near future. This includes directive 2014/59/EU (BRRD), directive 2014/49/EU (DGSD), Council Regulation (EU) No 1024/2013 (SSM-regulation) and respective level 2 texts. Additionally, the implementation of directive 98/26/EC as amended is part of the legal framework for (I</w:t>
      </w:r>
      <w:proofErr w:type="gramStart"/>
      <w:r w:rsidRPr="00F5551F">
        <w:rPr>
          <w:rFonts w:ascii="DIN-Regular" w:eastAsia="Arial Unicode MS" w:hAnsi="DIN-Regular" w:cs="Arial"/>
          <w:color w:val="auto"/>
          <w:sz w:val="22"/>
          <w:szCs w:val="22"/>
        </w:rPr>
        <w:t>)CSDs</w:t>
      </w:r>
      <w:proofErr w:type="gramEnd"/>
      <w:r w:rsidRPr="00F5551F">
        <w:rPr>
          <w:rFonts w:ascii="DIN-Regular" w:eastAsia="Arial Unicode MS" w:hAnsi="DIN-Regular" w:cs="Arial"/>
          <w:color w:val="auto"/>
          <w:sz w:val="22"/>
          <w:szCs w:val="22"/>
        </w:rPr>
        <w:t xml:space="preserve">. All the mentioned legal acts including their national implementations need to be taken into account when further specifying the prudential requirements under CSD-R. </w:t>
      </w:r>
    </w:p>
    <w:p w:rsidR="006A0FC7" w:rsidRPr="00F5551F" w:rsidRDefault="006A0FC7" w:rsidP="00DA6980">
      <w:pPr>
        <w:pStyle w:val="Default"/>
        <w:contextualSpacing/>
        <w:jc w:val="both"/>
        <w:rPr>
          <w:rFonts w:ascii="DIN-Regular" w:eastAsia="Arial Unicode MS" w:hAnsi="DIN-Regular" w:cs="Arial"/>
          <w:color w:val="auto"/>
          <w:sz w:val="22"/>
          <w:szCs w:val="22"/>
        </w:rPr>
      </w:pPr>
    </w:p>
    <w:p w:rsidR="006A0FC7" w:rsidRPr="00F5551F" w:rsidRDefault="006A0FC7" w:rsidP="00DA6980">
      <w:pPr>
        <w:pStyle w:val="Default"/>
        <w:contextualSpacing/>
        <w:jc w:val="both"/>
        <w:rPr>
          <w:rFonts w:ascii="DIN-Regular" w:eastAsia="Arial Unicode MS" w:hAnsi="DIN-Regular" w:cs="Arial"/>
          <w:color w:val="auto"/>
          <w:sz w:val="22"/>
          <w:szCs w:val="22"/>
        </w:rPr>
      </w:pPr>
    </w:p>
    <w:p w:rsidR="006A0FC7" w:rsidRPr="00F5551F" w:rsidRDefault="006A0FC7" w:rsidP="00DA6980">
      <w:pPr>
        <w:rPr>
          <w:rFonts w:cs="Arial"/>
          <w:b/>
          <w:sz w:val="22"/>
          <w:szCs w:val="22"/>
          <w:lang w:eastAsia="en-GB"/>
        </w:rPr>
      </w:pPr>
    </w:p>
    <w:p w:rsidR="002E662A" w:rsidRPr="00F5551F" w:rsidRDefault="002E662A" w:rsidP="00DA6980">
      <w:pPr>
        <w:pStyle w:val="Default"/>
        <w:contextualSpacing/>
        <w:rPr>
          <w:rFonts w:ascii="DIN-Regular" w:hAnsi="DIN-Regular" w:cs="Arial"/>
          <w:b/>
          <w:color w:val="auto"/>
        </w:rPr>
      </w:pPr>
      <w:r w:rsidRPr="00F5551F">
        <w:rPr>
          <w:rFonts w:ascii="DIN-Regular" w:hAnsi="DIN-Regular" w:cs="Arial"/>
          <w:b/>
          <w:color w:val="auto"/>
        </w:rPr>
        <w:t>B. Executive summary</w:t>
      </w:r>
    </w:p>
    <w:p w:rsidR="002E662A" w:rsidRPr="00F5551F" w:rsidRDefault="002E662A" w:rsidP="00DA6980">
      <w:pPr>
        <w:pStyle w:val="Default"/>
        <w:contextualSpacing/>
        <w:rPr>
          <w:rFonts w:ascii="DIN-Regular" w:hAnsi="DIN-Regular" w:cs="Arial"/>
          <w:b/>
          <w:color w:val="auto"/>
          <w:sz w:val="22"/>
          <w:szCs w:val="22"/>
        </w:rPr>
      </w:pPr>
    </w:p>
    <w:p w:rsidR="00E655AE" w:rsidRDefault="00AF3734" w:rsidP="00AF3734">
      <w:pPr>
        <w:pStyle w:val="ListParagraph"/>
        <w:numPr>
          <w:ilvl w:val="0"/>
          <w:numId w:val="17"/>
        </w:numPr>
        <w:autoSpaceDE w:val="0"/>
        <w:autoSpaceDN w:val="0"/>
        <w:adjustRightInd w:val="0"/>
        <w:rPr>
          <w:rFonts w:ascii="DIN-Regular" w:hAnsi="DIN-Regular"/>
          <w:szCs w:val="22"/>
          <w:lang w:eastAsia="en-GB"/>
        </w:rPr>
      </w:pPr>
      <w:r w:rsidRPr="00AF3734">
        <w:rPr>
          <w:rFonts w:ascii="DIN-Regular" w:hAnsi="DIN-Regular"/>
          <w:szCs w:val="22"/>
          <w:lang w:eastAsia="en-GB"/>
        </w:rPr>
        <w:t xml:space="preserve">The International CSDs are unique European and global market infrastructures. They operate in over 50 currencies supporting extensive cross-border activities, and this in competition with other financial intermediaries internationally. The 2 CSDs are attracting a large number of international customers and they are unique in their business model. Both are domiciled in Europe and their competitive nature should not be deliberately weakened by EU regulation. International customers have the choice to move their assets to any other custodian bank acting on a global level. This would shift substantial business away from regulated market infrastructures into the non-regulated sphere of custodians outside of Europe. </w:t>
      </w:r>
      <w:proofErr w:type="gramStart"/>
      <w:r w:rsidRPr="00AF3734">
        <w:rPr>
          <w:rFonts w:ascii="DIN-Regular" w:hAnsi="DIN-Regular"/>
          <w:szCs w:val="22"/>
          <w:lang w:eastAsia="en-GB"/>
        </w:rPr>
        <w:t>Which will finally result in the circumventing of the Settlement Discipline Regime and or CSDR provisions, which clearly cannot be in the interest of the EU Commission’s legislative aims</w:t>
      </w:r>
      <w:r w:rsidR="00E655AE">
        <w:rPr>
          <w:rFonts w:ascii="DIN-Regular" w:hAnsi="DIN-Regular"/>
          <w:szCs w:val="22"/>
          <w:lang w:eastAsia="en-GB"/>
        </w:rPr>
        <w:t>.</w:t>
      </w:r>
      <w:proofErr w:type="gramEnd"/>
    </w:p>
    <w:p w:rsidR="00AF3734" w:rsidRPr="00AF3734" w:rsidRDefault="00AF3734" w:rsidP="00AF3734">
      <w:pPr>
        <w:pStyle w:val="ListParagraph"/>
        <w:numPr>
          <w:ilvl w:val="0"/>
          <w:numId w:val="17"/>
        </w:numPr>
        <w:autoSpaceDE w:val="0"/>
        <w:autoSpaceDN w:val="0"/>
        <w:adjustRightInd w:val="0"/>
        <w:rPr>
          <w:rFonts w:ascii="DIN-Regular" w:hAnsi="DIN-Regular"/>
          <w:szCs w:val="22"/>
          <w:lang w:eastAsia="en-GB"/>
        </w:rPr>
      </w:pPr>
      <w:r w:rsidRPr="00AF3734">
        <w:rPr>
          <w:rFonts w:ascii="DIN-Regular" w:hAnsi="DIN-Regular"/>
          <w:szCs w:val="22"/>
          <w:lang w:eastAsia="en-GB"/>
        </w:rPr>
        <w:t xml:space="preserve">ICSDs are gateways for foreign investment in European domestic securities and are unique European and global champions with a proven track record of dealing with extreme turmoil in financial markets (e.g. resolving post-9/11 operations, the Lehman bankruptcy without service interruption, without credit loss or liquidity strains). They are key market infrastructures in the </w:t>
      </w:r>
      <w:proofErr w:type="gramStart"/>
      <w:r w:rsidRPr="00AF3734">
        <w:rPr>
          <w:rFonts w:ascii="DIN-Regular" w:hAnsi="DIN-Regular"/>
          <w:szCs w:val="22"/>
          <w:lang w:eastAsia="en-GB"/>
        </w:rPr>
        <w:lastRenderedPageBreak/>
        <w:t>area</w:t>
      </w:r>
      <w:proofErr w:type="gramEnd"/>
      <w:r w:rsidRPr="00AF3734">
        <w:rPr>
          <w:rFonts w:ascii="DIN-Regular" w:hAnsi="DIN-Regular"/>
          <w:szCs w:val="22"/>
          <w:lang w:eastAsia="en-GB"/>
        </w:rPr>
        <w:t xml:space="preserve"> of collateral management and the (fixed income) repo markets. As systemically important financial market infrastructures, the ICSDs have since their creation employed strict risk policies. </w:t>
      </w:r>
    </w:p>
    <w:p w:rsidR="00AF3734" w:rsidRPr="00AF3734" w:rsidRDefault="00AF3734" w:rsidP="00AF3734">
      <w:pPr>
        <w:pStyle w:val="ListParagraph"/>
        <w:numPr>
          <w:ilvl w:val="0"/>
          <w:numId w:val="17"/>
        </w:numPr>
        <w:autoSpaceDE w:val="0"/>
        <w:autoSpaceDN w:val="0"/>
        <w:adjustRightInd w:val="0"/>
        <w:rPr>
          <w:rFonts w:ascii="DIN-Regular" w:hAnsi="DIN-Regular"/>
          <w:szCs w:val="22"/>
          <w:lang w:eastAsia="en-GB"/>
        </w:rPr>
      </w:pPr>
      <w:r w:rsidRPr="00AF3734">
        <w:rPr>
          <w:rFonts w:ascii="DIN-Regular" w:hAnsi="DIN-Regular"/>
          <w:szCs w:val="22"/>
          <w:lang w:eastAsia="en-GB"/>
        </w:rPr>
        <w:t xml:space="preserve">The CSD-R level-1 applies consistently a functional approach of regulation. For the sake of level-playing field concerns, these technical standards should equally apply across all institutions performing similar functions; otherwise it will result in an unequal competition situation where CSDs providing banking services will be severely disadvantaged against other competitors providing same banking services ancillary to settlement and not being subject to the same rules. “Same </w:t>
      </w:r>
      <w:proofErr w:type="gramStart"/>
      <w:r w:rsidRPr="00AF3734">
        <w:rPr>
          <w:rFonts w:ascii="DIN-Regular" w:hAnsi="DIN-Regular"/>
          <w:szCs w:val="22"/>
          <w:lang w:eastAsia="en-GB"/>
        </w:rPr>
        <w:t>service ,</w:t>
      </w:r>
      <w:proofErr w:type="gramEnd"/>
      <w:r w:rsidRPr="00AF3734">
        <w:rPr>
          <w:rFonts w:ascii="DIN-Regular" w:hAnsi="DIN-Regular"/>
          <w:szCs w:val="22"/>
          <w:lang w:eastAsia="en-GB"/>
        </w:rPr>
        <w:t xml:space="preserve"> same rules” should consistently be applied. </w:t>
      </w:r>
    </w:p>
    <w:p w:rsidR="00AF3734" w:rsidRPr="00AF3734" w:rsidRDefault="00AF3734" w:rsidP="00AF3734">
      <w:pPr>
        <w:pStyle w:val="ListParagraph"/>
        <w:numPr>
          <w:ilvl w:val="0"/>
          <w:numId w:val="17"/>
        </w:numPr>
        <w:autoSpaceDE w:val="0"/>
        <w:autoSpaceDN w:val="0"/>
        <w:adjustRightInd w:val="0"/>
        <w:rPr>
          <w:rFonts w:ascii="DIN-Regular" w:hAnsi="DIN-Regular"/>
          <w:szCs w:val="22"/>
          <w:lang w:eastAsia="en-GB"/>
        </w:rPr>
      </w:pPr>
      <w:r w:rsidRPr="00AF3734">
        <w:rPr>
          <w:rFonts w:ascii="DIN-Regular" w:hAnsi="DIN-Regular"/>
          <w:szCs w:val="22"/>
          <w:lang w:eastAsia="en-GB"/>
        </w:rPr>
        <w:t xml:space="preserve">The EBA proposal on the CSD-R technical </w:t>
      </w:r>
      <w:proofErr w:type="gramStart"/>
      <w:r w:rsidRPr="00AF3734">
        <w:rPr>
          <w:rFonts w:ascii="DIN-Regular" w:hAnsi="DIN-Regular"/>
          <w:szCs w:val="22"/>
          <w:lang w:eastAsia="en-GB"/>
        </w:rPr>
        <w:t>standards,</w:t>
      </w:r>
      <w:proofErr w:type="gramEnd"/>
      <w:r w:rsidRPr="00AF3734">
        <w:rPr>
          <w:rFonts w:ascii="DIN-Regular" w:hAnsi="DIN-Regular"/>
          <w:szCs w:val="22"/>
          <w:lang w:eastAsia="en-GB"/>
        </w:rPr>
        <w:t xml:space="preserve"> is too closely inspired from the EMIR requirements. It is crucial to recognise the key differences in the business concepts and associated risks of CCPs and CSD when transferring rules of CCPs into CSDs. CSDs are much closer to specialised banks (such as custodian banks) than to CCPs. Failing to recognise this difference will lead to serious market disruptions.</w:t>
      </w:r>
    </w:p>
    <w:p w:rsidR="00AF3734" w:rsidRPr="00AF3734" w:rsidRDefault="00AF3734" w:rsidP="00AF3734">
      <w:pPr>
        <w:pStyle w:val="ListParagraph"/>
        <w:numPr>
          <w:ilvl w:val="0"/>
          <w:numId w:val="17"/>
        </w:numPr>
        <w:autoSpaceDE w:val="0"/>
        <w:autoSpaceDN w:val="0"/>
        <w:adjustRightInd w:val="0"/>
        <w:rPr>
          <w:rFonts w:ascii="DIN-Regular" w:hAnsi="DIN-Regular"/>
          <w:szCs w:val="22"/>
          <w:lang w:eastAsia="en-GB"/>
        </w:rPr>
      </w:pPr>
      <w:r w:rsidRPr="00AF3734">
        <w:rPr>
          <w:rFonts w:ascii="DIN-Regular" w:hAnsi="DIN-Regular"/>
          <w:szCs w:val="22"/>
          <w:lang w:eastAsia="en-GB"/>
        </w:rPr>
        <w:t xml:space="preserve">The CSD-R level-1 found a lengthy compromise under Art 54 by which all models for the provision of banking-type ancillary services would be subject to equivalent requirements, the level-2 text should adhere to this compromise found, and avoid setting overshooting requirements for the offering of banking services in relation to CSD activities. This may harm, if not prohibit, the future offering of banking type of ancillary services and create market disruptions. </w:t>
      </w:r>
    </w:p>
    <w:p w:rsidR="00AF3734" w:rsidRPr="00AF3734" w:rsidRDefault="00AF3734" w:rsidP="00AF3734">
      <w:pPr>
        <w:pStyle w:val="ListParagraph"/>
        <w:numPr>
          <w:ilvl w:val="0"/>
          <w:numId w:val="17"/>
        </w:numPr>
        <w:autoSpaceDE w:val="0"/>
        <w:autoSpaceDN w:val="0"/>
        <w:adjustRightInd w:val="0"/>
        <w:rPr>
          <w:rFonts w:ascii="DIN-Regular" w:hAnsi="DIN-Regular"/>
          <w:szCs w:val="22"/>
          <w:lang w:eastAsia="en-GB"/>
        </w:rPr>
      </w:pPr>
      <w:r w:rsidRPr="00AF3734">
        <w:rPr>
          <w:rFonts w:ascii="DIN-Regular" w:hAnsi="DIN-Regular"/>
          <w:szCs w:val="22"/>
          <w:lang w:eastAsia="en-GB"/>
        </w:rPr>
        <w:t>The implementation of custody risk capital charge should not come as an additional element on top of the banking framework used for “operational risk” capital charge. Normal bank use the same type of activities (i.e. having assets in custody at other custodians and using CSDs and CSD-links) and the necessary capital charge resulting from that is captures in the banking framework under “operational risk”. An additional capital charge for that purpose is therefore charging twice and should be withdrawn.</w:t>
      </w:r>
    </w:p>
    <w:p w:rsidR="00AF3734" w:rsidRPr="00AF3734" w:rsidRDefault="00AF3734" w:rsidP="00AF3734">
      <w:pPr>
        <w:pStyle w:val="ListParagraph"/>
        <w:numPr>
          <w:ilvl w:val="0"/>
          <w:numId w:val="17"/>
        </w:numPr>
        <w:autoSpaceDE w:val="0"/>
        <w:autoSpaceDN w:val="0"/>
        <w:adjustRightInd w:val="0"/>
        <w:rPr>
          <w:rFonts w:ascii="DIN-Regular" w:hAnsi="DIN-Regular"/>
          <w:szCs w:val="22"/>
          <w:lang w:eastAsia="en-GB"/>
        </w:rPr>
      </w:pPr>
      <w:r w:rsidRPr="00AF3734">
        <w:rPr>
          <w:rFonts w:ascii="DIN-Regular" w:hAnsi="DIN-Regular"/>
          <w:szCs w:val="22"/>
          <w:lang w:eastAsia="en-GB"/>
        </w:rPr>
        <w:t>Strong credit ratings of CSDs providing banking services (AA for CBL), are evidence of its sound and very low risk profile. These ratings are higher than those of most European banks;</w:t>
      </w:r>
    </w:p>
    <w:p w:rsidR="00AF3734" w:rsidRPr="00AF3734" w:rsidRDefault="00AF3734" w:rsidP="00AF3734">
      <w:pPr>
        <w:pStyle w:val="ListParagraph"/>
        <w:numPr>
          <w:ilvl w:val="0"/>
          <w:numId w:val="17"/>
        </w:numPr>
        <w:autoSpaceDE w:val="0"/>
        <w:autoSpaceDN w:val="0"/>
        <w:adjustRightInd w:val="0"/>
        <w:rPr>
          <w:rFonts w:ascii="DIN-Regular" w:hAnsi="DIN-Regular"/>
          <w:szCs w:val="22"/>
          <w:lang w:eastAsia="en-GB"/>
        </w:rPr>
      </w:pPr>
      <w:r w:rsidRPr="00AF3734">
        <w:rPr>
          <w:rFonts w:ascii="DIN-Regular" w:hAnsi="DIN-Regular"/>
          <w:szCs w:val="22"/>
          <w:lang w:eastAsia="en-GB"/>
        </w:rPr>
        <w:t>The provision of intraday credit to participants is an integral part of the (I</w:t>
      </w:r>
      <w:proofErr w:type="gramStart"/>
      <w:r w:rsidRPr="00AF3734">
        <w:rPr>
          <w:rFonts w:ascii="DIN-Regular" w:hAnsi="DIN-Regular"/>
          <w:szCs w:val="22"/>
          <w:lang w:eastAsia="en-GB"/>
        </w:rPr>
        <w:t>)CSDs'</w:t>
      </w:r>
      <w:proofErr w:type="gramEnd"/>
      <w:r w:rsidRPr="00AF3734">
        <w:rPr>
          <w:rFonts w:ascii="DIN-Regular" w:hAnsi="DIN-Regular"/>
          <w:szCs w:val="22"/>
          <w:lang w:eastAsia="en-GB"/>
        </w:rPr>
        <w:t xml:space="preserve"> business model and the market benefits hugely from it. The additional costs to the market of a forced change in their business model and the costs to the market of liquidity fragmentation should be taken</w:t>
      </w:r>
      <w:r>
        <w:rPr>
          <w:rFonts w:ascii="DIN-Regular" w:hAnsi="DIN-Regular"/>
          <w:szCs w:val="22"/>
          <w:lang w:eastAsia="en-GB"/>
        </w:rPr>
        <w:t xml:space="preserve"> into account for this exercise.</w:t>
      </w:r>
    </w:p>
    <w:p w:rsidR="00AF3734" w:rsidRPr="00AF3734" w:rsidRDefault="00AF3734" w:rsidP="00AF3734">
      <w:pPr>
        <w:pStyle w:val="ListParagraph"/>
        <w:numPr>
          <w:ilvl w:val="0"/>
          <w:numId w:val="17"/>
        </w:numPr>
        <w:autoSpaceDE w:val="0"/>
        <w:autoSpaceDN w:val="0"/>
        <w:adjustRightInd w:val="0"/>
        <w:rPr>
          <w:rFonts w:ascii="DIN-Regular" w:hAnsi="DIN-Regular"/>
          <w:szCs w:val="22"/>
          <w:lang w:eastAsia="en-GB"/>
        </w:rPr>
      </w:pPr>
      <w:proofErr w:type="spellStart"/>
      <w:r w:rsidRPr="00AF3734">
        <w:rPr>
          <w:rFonts w:ascii="DIN-Regular" w:hAnsi="DIN-Regular"/>
          <w:szCs w:val="22"/>
          <w:lang w:eastAsia="en-GB"/>
        </w:rPr>
        <w:t>Clearstream</w:t>
      </w:r>
      <w:proofErr w:type="spellEnd"/>
      <w:r w:rsidRPr="00AF3734">
        <w:rPr>
          <w:rFonts w:ascii="DIN-Regular" w:hAnsi="DIN-Regular"/>
          <w:szCs w:val="22"/>
          <w:lang w:eastAsia="en-GB"/>
        </w:rPr>
        <w:t xml:space="preserve"> is of the opinion that its collateral management policies, procedures and systems already ensure compliance with Article 59 (3) (a) through (e) of Regulation (EU) No. 909/2014 (“CSD-R”) and are generally in line with the provisions of Article 18, paragraph 1 of the RTS. </w:t>
      </w:r>
    </w:p>
    <w:p w:rsidR="00AF3734" w:rsidRPr="00AF3734" w:rsidRDefault="00AF3734" w:rsidP="00AF3734">
      <w:pPr>
        <w:pStyle w:val="ListParagraph"/>
        <w:numPr>
          <w:ilvl w:val="0"/>
          <w:numId w:val="17"/>
        </w:numPr>
        <w:autoSpaceDE w:val="0"/>
        <w:autoSpaceDN w:val="0"/>
        <w:adjustRightInd w:val="0"/>
        <w:rPr>
          <w:rFonts w:ascii="DIN-Regular" w:hAnsi="DIN-Regular"/>
          <w:szCs w:val="22"/>
          <w:lang w:eastAsia="en-GB"/>
        </w:rPr>
      </w:pPr>
      <w:r w:rsidRPr="00AF3734">
        <w:rPr>
          <w:rFonts w:ascii="DIN-Regular" w:hAnsi="DIN-Regular"/>
          <w:szCs w:val="22"/>
          <w:lang w:eastAsia="en-GB"/>
        </w:rPr>
        <w:t>However, Articles 18 to 23 of the RTS introduce certain monitoring and reporting requirements that are incompatible with the current collateral management concept used by the (I)CSDs i.e. the pooling of collateral in the participants’ accounts. In addition, Article 18 (1) (b) introduces a hierarchy of collateral which will require the development of a sequencing algorithm capable of allocating collateral according to pre-determined quality criteria. Such mechanism cannot be supported by the existing “collateral pool” concept and will require significant IT development. We are deeply concerned that the new requirements will force the (I</w:t>
      </w:r>
      <w:proofErr w:type="gramStart"/>
      <w:r w:rsidRPr="00AF3734">
        <w:rPr>
          <w:rFonts w:ascii="DIN-Regular" w:hAnsi="DIN-Regular"/>
          <w:szCs w:val="22"/>
          <w:lang w:eastAsia="en-GB"/>
        </w:rPr>
        <w:t>)CSDs</w:t>
      </w:r>
      <w:proofErr w:type="gramEnd"/>
      <w:r w:rsidRPr="00AF3734">
        <w:rPr>
          <w:rFonts w:ascii="DIN-Regular" w:hAnsi="DIN-Regular"/>
          <w:szCs w:val="22"/>
          <w:lang w:eastAsia="en-GB"/>
        </w:rPr>
        <w:t xml:space="preserve"> to identify and </w:t>
      </w:r>
      <w:r w:rsidRPr="00AF3734">
        <w:rPr>
          <w:rFonts w:ascii="DIN-Regular" w:hAnsi="DIN-Regular"/>
          <w:szCs w:val="22"/>
          <w:lang w:eastAsia="en-GB"/>
        </w:rPr>
        <w:lastRenderedPageBreak/>
        <w:t xml:space="preserve">segregate (possibly from the participant’s pledged account to another account) individual securities for the amount of the cash loan. In addition, we at </w:t>
      </w:r>
      <w:proofErr w:type="spellStart"/>
      <w:r w:rsidRPr="00AF3734">
        <w:rPr>
          <w:rFonts w:ascii="DIN-Regular" w:hAnsi="DIN-Regular"/>
          <w:szCs w:val="22"/>
          <w:lang w:eastAsia="en-GB"/>
        </w:rPr>
        <w:t>Clearstream</w:t>
      </w:r>
      <w:proofErr w:type="spellEnd"/>
      <w:r w:rsidRPr="00AF3734">
        <w:rPr>
          <w:rFonts w:ascii="DIN-Regular" w:hAnsi="DIN-Regular"/>
          <w:szCs w:val="22"/>
          <w:lang w:eastAsia="en-GB"/>
        </w:rPr>
        <w:t xml:space="preserve"> are concerned that, in order to maintain equivalent levels of settlement efficiency as those achieved today by the (I</w:t>
      </w:r>
      <w:proofErr w:type="gramStart"/>
      <w:r w:rsidRPr="00AF3734">
        <w:rPr>
          <w:rFonts w:ascii="DIN-Regular" w:hAnsi="DIN-Regular"/>
          <w:szCs w:val="22"/>
          <w:lang w:eastAsia="en-GB"/>
        </w:rPr>
        <w:t>)CSDs</w:t>
      </w:r>
      <w:proofErr w:type="gramEnd"/>
      <w:r w:rsidRPr="00AF3734">
        <w:rPr>
          <w:rFonts w:ascii="DIN-Regular" w:hAnsi="DIN-Regular"/>
          <w:szCs w:val="22"/>
          <w:lang w:eastAsia="en-GB"/>
        </w:rPr>
        <w:t>, participants might have to immobilize at the (I)CSDs a significant amount of securities of the highest quality. This could worsen the already reduced supply of high-quality securities available for collateral purposes. On liquidity risk, we support the approach of the EBA to link the requirements for CSDs to the BCBS principles for the monitoring of intraday liquidity. However, CSD requirements that go beyond the requirements for banks are likely to cause significant issues for CSDs - and for the market - in two respects: First, CSDs may be unable to collect the required data from its correspondent banks and no tools may be available to process this data. Secondly, the draft RTS, if implemented, may impair the service offering of the CSD in certain currencies. If, for example, a CSD is required to provide real time information for exotic currencies, where this information is not available, and if the CSD is forced to establish committed credit lines to cover potential liquidity needs in these currencies, it may decide not to offer services in that currency.</w:t>
      </w:r>
    </w:p>
    <w:p w:rsidR="00AF3734" w:rsidRPr="00AF3734" w:rsidRDefault="00AF3734" w:rsidP="00AF3734">
      <w:pPr>
        <w:pStyle w:val="ListParagraph"/>
        <w:numPr>
          <w:ilvl w:val="0"/>
          <w:numId w:val="17"/>
        </w:numPr>
        <w:autoSpaceDE w:val="0"/>
        <w:autoSpaceDN w:val="0"/>
        <w:adjustRightInd w:val="0"/>
        <w:rPr>
          <w:rFonts w:ascii="DIN-Regular" w:hAnsi="DIN-Regular"/>
          <w:szCs w:val="22"/>
          <w:lang w:eastAsia="en-GB"/>
        </w:rPr>
      </w:pPr>
      <w:r w:rsidRPr="00AF3734">
        <w:rPr>
          <w:rFonts w:ascii="DIN-Regular" w:hAnsi="DIN-Regular"/>
          <w:szCs w:val="22"/>
          <w:lang w:eastAsia="en-GB"/>
        </w:rPr>
        <w:t xml:space="preserve">On liquidity risk, we support the approach of the EBA to link the requirements for CSDs to the BCBS principles for the monitoring of intraday liquidity. However, CSD requirements that go beyond the requirements for banks are likely to cause significant issues for CSDs - and for the market - in two respects: First, CSDs may be unable to collect the required data from its correspondent banks and no tools may be available to process this data. Secondly, the draft RTS, if implemented, may impair the service offering of the CSD in certain currencies. If, for example, a CSD is required to provide real time information for exotic currencies, where this information is not available, and if the CSD is forced to establish committed credit lines to cover potential liquidity needs in these currencies, it may decide not to offer services in that currency. </w:t>
      </w:r>
    </w:p>
    <w:p w:rsidR="000019C6" w:rsidRPr="00AF3734" w:rsidRDefault="000019C6" w:rsidP="00DA6980">
      <w:pPr>
        <w:ind w:right="0"/>
        <w:rPr>
          <w:rFonts w:cs="Arial"/>
          <w:b/>
          <w:sz w:val="22"/>
          <w:szCs w:val="22"/>
          <w:lang w:eastAsia="en-GB"/>
        </w:rPr>
      </w:pPr>
    </w:p>
    <w:p w:rsidR="00C2608B" w:rsidRPr="00AF3734" w:rsidRDefault="00C2608B" w:rsidP="00DA6980">
      <w:pPr>
        <w:ind w:right="0"/>
        <w:rPr>
          <w:rFonts w:cs="Arial"/>
          <w:b/>
          <w:sz w:val="22"/>
          <w:szCs w:val="22"/>
          <w:lang w:eastAsia="en-GB"/>
        </w:rPr>
      </w:pPr>
    </w:p>
    <w:p w:rsidR="006A0FC7" w:rsidRPr="00F5551F" w:rsidRDefault="002E662A" w:rsidP="00DA6980">
      <w:pPr>
        <w:pStyle w:val="Default"/>
        <w:contextualSpacing/>
        <w:rPr>
          <w:rFonts w:ascii="DIN-Regular" w:hAnsi="DIN-Regular" w:cs="Arial"/>
          <w:b/>
          <w:color w:val="auto"/>
        </w:rPr>
      </w:pPr>
      <w:r w:rsidRPr="00F5551F">
        <w:rPr>
          <w:rFonts w:ascii="DIN-Regular" w:hAnsi="DIN-Regular" w:cs="Arial"/>
          <w:b/>
          <w:color w:val="auto"/>
        </w:rPr>
        <w:t>C</w:t>
      </w:r>
      <w:r w:rsidR="006A0FC7" w:rsidRPr="00F5551F">
        <w:rPr>
          <w:rFonts w:ascii="DIN-Regular" w:hAnsi="DIN-Regular" w:cs="Arial"/>
          <w:b/>
          <w:color w:val="auto"/>
        </w:rPr>
        <w:t>. General comments</w:t>
      </w:r>
    </w:p>
    <w:p w:rsidR="006A0FC7" w:rsidRPr="00F5551F" w:rsidRDefault="006A0FC7" w:rsidP="00DA6980">
      <w:pPr>
        <w:pStyle w:val="Default"/>
        <w:contextualSpacing/>
        <w:jc w:val="center"/>
        <w:rPr>
          <w:rFonts w:ascii="DIN-Regular" w:hAnsi="DIN-Regular" w:cs="Arial"/>
          <w:b/>
          <w:color w:val="auto"/>
          <w:sz w:val="22"/>
          <w:szCs w:val="22"/>
        </w:rPr>
      </w:pPr>
    </w:p>
    <w:p w:rsidR="006A0FC7" w:rsidRPr="00F5551F" w:rsidRDefault="006A0FC7"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Overall, we support the approach of the EBA to link the capital requirements for CSDs to the extent possible and adequate to the general requirements </w:t>
      </w:r>
      <w:r w:rsidR="00AC5C23">
        <w:rPr>
          <w:rFonts w:ascii="DIN-Regular" w:eastAsia="Arial Unicode MS" w:hAnsi="DIN-Regular" w:cs="Arial"/>
          <w:szCs w:val="22"/>
          <w:lang w:eastAsia="en-GB"/>
        </w:rPr>
        <w:t xml:space="preserve">for </w:t>
      </w:r>
      <w:r w:rsidRPr="00F5551F">
        <w:rPr>
          <w:rFonts w:ascii="DIN-Regular" w:eastAsia="Arial Unicode MS" w:hAnsi="DIN-Regular" w:cs="Arial"/>
          <w:szCs w:val="22"/>
          <w:lang w:eastAsia="en-GB"/>
        </w:rPr>
        <w:t xml:space="preserve">credit institutions as specified in CRR, to refer to the respective rules for CCPs under EMIR (regulation (EU) No 648/2012 and Commission Delegated Regulation (EU) No 152/2013), to incorporate the BCBS principles for the monitoring of intraday liquidity </w:t>
      </w:r>
      <w:r w:rsidR="00AC5C23">
        <w:rPr>
          <w:rFonts w:ascii="DIN-Regular" w:eastAsia="Arial Unicode MS" w:hAnsi="DIN-Regular" w:cs="Arial"/>
          <w:szCs w:val="22"/>
          <w:lang w:eastAsia="en-GB"/>
        </w:rPr>
        <w:t xml:space="preserve">(BCBS 248) </w:t>
      </w:r>
      <w:r w:rsidRPr="00F5551F">
        <w:rPr>
          <w:rFonts w:ascii="DIN-Regular" w:eastAsia="Arial Unicode MS" w:hAnsi="DIN-Regular" w:cs="Arial"/>
          <w:szCs w:val="22"/>
          <w:lang w:eastAsia="en-GB"/>
        </w:rPr>
        <w:t xml:space="preserve">as well as to use in general the CPSS-IOSCO principles </w:t>
      </w:r>
      <w:r w:rsidR="00CF67E8" w:rsidRPr="00F5551F">
        <w:rPr>
          <w:rFonts w:ascii="DIN-Regular" w:eastAsia="Arial Unicode MS" w:hAnsi="DIN-Regular" w:cs="Arial"/>
          <w:szCs w:val="22"/>
          <w:lang w:eastAsia="en-GB"/>
        </w:rPr>
        <w:t xml:space="preserve">for Financial Market </w:t>
      </w:r>
      <w:r w:rsidR="00BD3A07" w:rsidRPr="00F5551F">
        <w:rPr>
          <w:rFonts w:ascii="DIN-Regular" w:eastAsia="Arial Unicode MS" w:hAnsi="DIN-Regular" w:cs="Arial"/>
          <w:szCs w:val="22"/>
          <w:lang w:eastAsia="en-GB"/>
        </w:rPr>
        <w:t>Infrastructures</w:t>
      </w:r>
      <w:r w:rsidR="00CF67E8" w:rsidRPr="00F5551F">
        <w:rPr>
          <w:rFonts w:ascii="DIN-Regular" w:eastAsia="Arial Unicode MS" w:hAnsi="DIN-Regular" w:cs="Arial"/>
          <w:szCs w:val="22"/>
          <w:lang w:eastAsia="en-GB"/>
        </w:rPr>
        <w:t xml:space="preserve"> </w:t>
      </w:r>
      <w:r w:rsidRPr="00F5551F">
        <w:rPr>
          <w:rFonts w:ascii="DIN-Regular" w:eastAsia="Arial Unicode MS" w:hAnsi="DIN-Regular" w:cs="Arial"/>
          <w:szCs w:val="22"/>
          <w:lang w:eastAsia="en-GB"/>
        </w:rPr>
        <w:t xml:space="preserve">as a guideline. However, we do have some reservations towards the BCBS principles which our mother company Deutsche </w:t>
      </w:r>
      <w:proofErr w:type="spellStart"/>
      <w:r w:rsidRPr="00F5551F">
        <w:rPr>
          <w:rFonts w:ascii="DIN-Regular" w:eastAsia="Arial Unicode MS" w:hAnsi="DIN-Regular" w:cs="Arial"/>
          <w:szCs w:val="22"/>
          <w:lang w:eastAsia="en-GB"/>
        </w:rPr>
        <w:t>Börse</w:t>
      </w:r>
      <w:proofErr w:type="spellEnd"/>
      <w:r w:rsidRPr="00F5551F">
        <w:rPr>
          <w:rFonts w:ascii="DIN-Regular" w:eastAsia="Arial Unicode MS" w:hAnsi="DIN-Regular" w:cs="Arial"/>
          <w:szCs w:val="22"/>
          <w:lang w:eastAsia="en-GB"/>
        </w:rPr>
        <w:t xml:space="preserve"> AG already raised in the consultation process towards BCBS (we refer in this regard to our comments on the BCBS consultation on “Monitoring indicators for intraday liquidity management - BCBS 225”</w:t>
      </w:r>
      <w:r w:rsidRPr="00F5551F">
        <w:rPr>
          <w:rStyle w:val="FootnoteReference"/>
          <w:rFonts w:ascii="DIN-Regular" w:eastAsia="Arial Unicode MS" w:hAnsi="DIN-Regular" w:cs="Arial"/>
          <w:sz w:val="22"/>
          <w:szCs w:val="22"/>
          <w:lang w:eastAsia="en-GB"/>
        </w:rPr>
        <w:footnoteReference w:id="1"/>
      </w:r>
      <w:r w:rsidRPr="00F5551F">
        <w:rPr>
          <w:rFonts w:ascii="DIN-Regular" w:eastAsia="Arial Unicode MS" w:hAnsi="DIN-Regular" w:cs="Arial"/>
          <w:szCs w:val="22"/>
          <w:lang w:eastAsia="en-GB"/>
        </w:rPr>
        <w:t>)</w:t>
      </w:r>
      <w:r w:rsidR="00CF67E8" w:rsidRPr="00F5551F">
        <w:rPr>
          <w:rFonts w:ascii="DIN-Regular" w:eastAsia="Arial Unicode MS" w:hAnsi="DIN-Regular" w:cs="Arial"/>
          <w:szCs w:val="22"/>
          <w:lang w:eastAsia="en-GB"/>
        </w:rPr>
        <w:t xml:space="preserve">, we see the need to take the different roles of CSDs and CCPs into account when taking EMIR-rules </w:t>
      </w:r>
      <w:r w:rsidR="00D647C5" w:rsidRPr="00F5551F">
        <w:rPr>
          <w:rFonts w:ascii="DIN-Regular" w:eastAsia="Arial Unicode MS" w:hAnsi="DIN-Regular" w:cs="Arial"/>
          <w:szCs w:val="22"/>
          <w:lang w:eastAsia="en-GB"/>
        </w:rPr>
        <w:t xml:space="preserve">as reference </w:t>
      </w:r>
      <w:r w:rsidR="00CF67E8" w:rsidRPr="00F5551F">
        <w:rPr>
          <w:rFonts w:ascii="DIN-Regular" w:eastAsia="Arial Unicode MS" w:hAnsi="DIN-Regular" w:cs="Arial"/>
          <w:szCs w:val="22"/>
          <w:lang w:eastAsia="en-GB"/>
        </w:rPr>
        <w:t xml:space="preserve">(we do want to point out that the German CCPs belong to Deutsche </w:t>
      </w:r>
      <w:proofErr w:type="spellStart"/>
      <w:r w:rsidR="00CF67E8" w:rsidRPr="00F5551F">
        <w:rPr>
          <w:rFonts w:ascii="DIN-Regular" w:eastAsia="Arial Unicode MS" w:hAnsi="DIN-Regular" w:cs="Arial"/>
          <w:szCs w:val="22"/>
          <w:lang w:eastAsia="en-GB"/>
        </w:rPr>
        <w:t>Börse</w:t>
      </w:r>
      <w:proofErr w:type="spellEnd"/>
      <w:r w:rsidR="00CF67E8" w:rsidRPr="00F5551F">
        <w:rPr>
          <w:rFonts w:ascii="DIN-Regular" w:eastAsia="Arial Unicode MS" w:hAnsi="DIN-Regular" w:cs="Arial"/>
          <w:szCs w:val="22"/>
          <w:lang w:eastAsia="en-GB"/>
        </w:rPr>
        <w:t xml:space="preserve"> Group and therefore we have taken the advantage to take their knowledge and experience with the EMIR capital rules into </w:t>
      </w:r>
      <w:r w:rsidR="00D647C5" w:rsidRPr="00F5551F">
        <w:rPr>
          <w:rFonts w:ascii="DIN-Regular" w:eastAsia="Arial Unicode MS" w:hAnsi="DIN-Regular" w:cs="Arial"/>
          <w:szCs w:val="22"/>
          <w:lang w:eastAsia="en-GB"/>
        </w:rPr>
        <w:t>consideration</w:t>
      </w:r>
      <w:r w:rsidR="00CF67E8" w:rsidRPr="00F5551F">
        <w:rPr>
          <w:rFonts w:ascii="DIN-Regular" w:eastAsia="Arial Unicode MS" w:hAnsi="DIN-Regular" w:cs="Arial"/>
          <w:szCs w:val="22"/>
          <w:lang w:eastAsia="en-GB"/>
        </w:rPr>
        <w:t>) and we clearly disagree to going substantially beyond the principles laid down in the stated “reference” frameworks.</w:t>
      </w:r>
      <w:r w:rsidRPr="00F5551F">
        <w:rPr>
          <w:rFonts w:ascii="DIN-Regular" w:eastAsia="Arial Unicode MS" w:hAnsi="DIN-Regular" w:cs="Arial"/>
          <w:szCs w:val="22"/>
          <w:lang w:eastAsia="en-GB"/>
        </w:rPr>
        <w:t xml:space="preserve">. </w:t>
      </w:r>
    </w:p>
    <w:p w:rsidR="006A0FC7" w:rsidRPr="00F5551F" w:rsidRDefault="006A0FC7" w:rsidP="00DA6980">
      <w:pPr>
        <w:pStyle w:val="ListParagraph"/>
        <w:spacing w:line="240" w:lineRule="auto"/>
        <w:ind w:left="0"/>
        <w:jc w:val="both"/>
        <w:rPr>
          <w:rFonts w:ascii="DIN-Regular" w:eastAsia="Arial Unicode MS" w:hAnsi="DIN-Regular" w:cs="Arial"/>
          <w:szCs w:val="22"/>
          <w:lang w:eastAsia="en-GB"/>
        </w:rPr>
      </w:pPr>
    </w:p>
    <w:p w:rsidR="004D300D" w:rsidRPr="00F5551F" w:rsidRDefault="004D300D"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lastRenderedPageBreak/>
        <w:t>It is crucial to understand key differences in the business concepts and associated risks of CCPs and CSD when transferring rules of CCPs onto CSDs. CSDs are much closer to specialised banks than to CCPs</w:t>
      </w:r>
      <w:r w:rsidR="00636F7C" w:rsidRPr="00F5551F">
        <w:rPr>
          <w:rFonts w:ascii="DIN-Regular" w:eastAsia="Arial Unicode MS" w:hAnsi="DIN-Regular" w:cs="Arial"/>
          <w:szCs w:val="22"/>
          <w:lang w:eastAsia="en-GB"/>
        </w:rPr>
        <w:t>. Many differences between CCPs and CSDs with relevance for the current draft RTS can be summarised on a high level as follows</w:t>
      </w:r>
      <w:r w:rsidRPr="00F5551F">
        <w:rPr>
          <w:rFonts w:ascii="DIN-Regular" w:eastAsia="Arial Unicode MS" w:hAnsi="DIN-Regular" w:cs="Arial"/>
          <w:szCs w:val="22"/>
          <w:lang w:eastAsia="en-GB"/>
        </w:rPr>
        <w:t>:</w:t>
      </w:r>
    </w:p>
    <w:p w:rsidR="004D300D" w:rsidRPr="00F5551F" w:rsidRDefault="004D300D" w:rsidP="00DA6980">
      <w:pPr>
        <w:pStyle w:val="ListParagraph"/>
        <w:spacing w:line="240" w:lineRule="auto"/>
        <w:ind w:left="0"/>
        <w:jc w:val="both"/>
        <w:rPr>
          <w:rFonts w:ascii="DIN-Regular" w:eastAsia="Arial Unicode MS" w:hAnsi="DIN-Regular" w:cs="Arial"/>
          <w:szCs w:val="22"/>
          <w:lang w:eastAsia="en-GB"/>
        </w:rPr>
      </w:pPr>
    </w:p>
    <w:tbl>
      <w:tblPr>
        <w:tblStyle w:val="TableGrid"/>
        <w:tblW w:w="0" w:type="auto"/>
        <w:tblLook w:val="04A0" w:firstRow="1" w:lastRow="0" w:firstColumn="1" w:lastColumn="0" w:noHBand="0" w:noVBand="1"/>
      </w:tblPr>
      <w:tblGrid>
        <w:gridCol w:w="3447"/>
        <w:gridCol w:w="3448"/>
        <w:gridCol w:w="3448"/>
      </w:tblGrid>
      <w:tr w:rsidR="004D300D" w:rsidRPr="00F5551F" w:rsidTr="004D300D">
        <w:tc>
          <w:tcPr>
            <w:tcW w:w="3447" w:type="dxa"/>
          </w:tcPr>
          <w:p w:rsidR="004D300D" w:rsidRPr="00F5551F" w:rsidRDefault="004D300D" w:rsidP="00DA6980">
            <w:pPr>
              <w:pStyle w:val="ListParagraph"/>
              <w:spacing w:line="240" w:lineRule="auto"/>
              <w:ind w:left="0"/>
              <w:jc w:val="both"/>
              <w:rPr>
                <w:rFonts w:ascii="DIN-Regular" w:eastAsia="Arial Unicode MS" w:hAnsi="DIN-Regular" w:cs="Arial"/>
                <w:b/>
                <w:szCs w:val="22"/>
                <w:lang w:eastAsia="en-GB"/>
              </w:rPr>
            </w:pPr>
            <w:r w:rsidRPr="00F5551F">
              <w:rPr>
                <w:rFonts w:ascii="DIN-Regular" w:eastAsia="Arial Unicode MS" w:hAnsi="DIN-Regular" w:cs="Arial"/>
                <w:b/>
                <w:szCs w:val="22"/>
                <w:lang w:eastAsia="en-GB"/>
              </w:rPr>
              <w:t>Topic</w:t>
            </w:r>
          </w:p>
        </w:tc>
        <w:tc>
          <w:tcPr>
            <w:tcW w:w="3448" w:type="dxa"/>
          </w:tcPr>
          <w:p w:rsidR="004D300D" w:rsidRPr="00F5551F" w:rsidRDefault="004D300D" w:rsidP="00DA6980">
            <w:pPr>
              <w:pStyle w:val="ListParagraph"/>
              <w:spacing w:line="240" w:lineRule="auto"/>
              <w:ind w:left="0"/>
              <w:jc w:val="both"/>
              <w:rPr>
                <w:rFonts w:ascii="DIN-Regular" w:eastAsia="Arial Unicode MS" w:hAnsi="DIN-Regular" w:cs="Arial"/>
                <w:b/>
                <w:szCs w:val="22"/>
                <w:lang w:eastAsia="en-GB"/>
              </w:rPr>
            </w:pPr>
            <w:r w:rsidRPr="00F5551F">
              <w:rPr>
                <w:rFonts w:ascii="DIN-Regular" w:eastAsia="Arial Unicode MS" w:hAnsi="DIN-Regular" w:cs="Arial"/>
                <w:b/>
                <w:szCs w:val="22"/>
                <w:lang w:eastAsia="en-GB"/>
              </w:rPr>
              <w:t>CCP</w:t>
            </w:r>
          </w:p>
        </w:tc>
        <w:tc>
          <w:tcPr>
            <w:tcW w:w="3448" w:type="dxa"/>
          </w:tcPr>
          <w:p w:rsidR="004D300D" w:rsidRPr="00F5551F" w:rsidRDefault="004D300D" w:rsidP="00DA6980">
            <w:pPr>
              <w:pStyle w:val="ListParagraph"/>
              <w:spacing w:line="240" w:lineRule="auto"/>
              <w:ind w:left="0"/>
              <w:jc w:val="both"/>
              <w:rPr>
                <w:rFonts w:ascii="DIN-Regular" w:eastAsia="Arial Unicode MS" w:hAnsi="DIN-Regular" w:cs="Arial"/>
                <w:b/>
                <w:szCs w:val="22"/>
                <w:lang w:eastAsia="en-GB"/>
              </w:rPr>
            </w:pPr>
            <w:r w:rsidRPr="00F5551F">
              <w:rPr>
                <w:rFonts w:ascii="DIN-Regular" w:eastAsia="Arial Unicode MS" w:hAnsi="DIN-Regular" w:cs="Arial"/>
                <w:b/>
                <w:szCs w:val="22"/>
                <w:lang w:eastAsia="en-GB"/>
              </w:rPr>
              <w:t>CSD</w:t>
            </w:r>
          </w:p>
        </w:tc>
      </w:tr>
      <w:tr w:rsidR="004D300D" w:rsidRPr="00F5551F" w:rsidTr="004D300D">
        <w:tc>
          <w:tcPr>
            <w:tcW w:w="3447" w:type="dxa"/>
          </w:tcPr>
          <w:p w:rsidR="004D300D" w:rsidRPr="00F5551F" w:rsidRDefault="004D300D"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Involvement in transactions</w:t>
            </w:r>
          </w:p>
        </w:tc>
        <w:tc>
          <w:tcPr>
            <w:tcW w:w="3448" w:type="dxa"/>
          </w:tcPr>
          <w:p w:rsidR="004D300D" w:rsidRPr="00F5551F" w:rsidRDefault="004D300D"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The CCP interposes itself between the counterparties to the contracts traded on one or more financial markets, becoming the buyer to every seller and the seller to every buyer</w:t>
            </w:r>
          </w:p>
        </w:tc>
        <w:tc>
          <w:tcPr>
            <w:tcW w:w="3448" w:type="dxa"/>
          </w:tcPr>
          <w:p w:rsidR="004D300D" w:rsidRPr="00F5551F" w:rsidRDefault="004D300D" w:rsidP="0068486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A CSD is not part of a </w:t>
            </w:r>
            <w:r w:rsidR="00464DDB" w:rsidRPr="00F5551F">
              <w:rPr>
                <w:rFonts w:ascii="DIN-Regular" w:eastAsia="Arial Unicode MS" w:hAnsi="DIN-Regular" w:cs="Arial"/>
                <w:szCs w:val="22"/>
                <w:lang w:eastAsia="en-GB"/>
              </w:rPr>
              <w:t xml:space="preserve">trade </w:t>
            </w:r>
            <w:r w:rsidRPr="00F5551F">
              <w:rPr>
                <w:rFonts w:ascii="DIN-Regular" w:eastAsia="Arial Unicode MS" w:hAnsi="DIN-Regular" w:cs="Arial"/>
                <w:szCs w:val="22"/>
                <w:lang w:eastAsia="en-GB"/>
              </w:rPr>
              <w:t>transaction but rather taking care to fulfil settlement and to operationally safeguard and reach settlement finality</w:t>
            </w:r>
          </w:p>
        </w:tc>
      </w:tr>
      <w:tr w:rsidR="004D300D" w:rsidRPr="00F5551F" w:rsidTr="004D300D">
        <w:tc>
          <w:tcPr>
            <w:tcW w:w="3447" w:type="dxa"/>
          </w:tcPr>
          <w:p w:rsidR="004D300D" w:rsidRPr="00F5551F" w:rsidRDefault="00BD3A07"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Ongoing</w:t>
            </w:r>
            <w:r w:rsidR="004D300D" w:rsidRPr="00F5551F">
              <w:rPr>
                <w:rFonts w:ascii="DIN-Regular" w:eastAsia="Arial Unicode MS" w:hAnsi="DIN-Regular" w:cs="Arial"/>
                <w:szCs w:val="22"/>
                <w:lang w:eastAsia="en-GB"/>
              </w:rPr>
              <w:t xml:space="preserve"> position management</w:t>
            </w:r>
          </w:p>
        </w:tc>
        <w:tc>
          <w:tcPr>
            <w:tcW w:w="3448" w:type="dxa"/>
          </w:tcPr>
          <w:p w:rsidR="004D300D" w:rsidRPr="00F5551F" w:rsidRDefault="004D300D"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A CCP continues to be part of the position during the lifetime of the financial contract until its final settlement and takes multiple lines of </w:t>
            </w:r>
            <w:r w:rsidR="00BD3A07" w:rsidRPr="00F5551F">
              <w:rPr>
                <w:rFonts w:ascii="DIN-Regular" w:eastAsia="Arial Unicode MS" w:hAnsi="DIN-Regular" w:cs="Arial"/>
                <w:szCs w:val="22"/>
                <w:lang w:eastAsia="en-GB"/>
              </w:rPr>
              <w:t>defence</w:t>
            </w:r>
            <w:r w:rsidRPr="00F5551F">
              <w:rPr>
                <w:rFonts w:ascii="DIN-Regular" w:eastAsia="Arial Unicode MS" w:hAnsi="DIN-Regular" w:cs="Arial"/>
                <w:szCs w:val="22"/>
                <w:lang w:eastAsia="en-GB"/>
              </w:rPr>
              <w:t xml:space="preserve"> in order to safeguard the other participants and itself from the consequences of the default of any participant. A default waterfall is used and the CCP remains partially at risk if the safeguards taken are not sufficient. As such, collateral taken needs to be carefully monitored with regards to market price movements</w:t>
            </w:r>
            <w:r w:rsidR="004A6447" w:rsidRPr="00F5551F">
              <w:rPr>
                <w:rFonts w:ascii="DIN-Regular" w:eastAsia="Arial Unicode MS" w:hAnsi="DIN-Regular" w:cs="Arial"/>
                <w:szCs w:val="22"/>
                <w:lang w:eastAsia="en-GB"/>
              </w:rPr>
              <w:t>.</w:t>
            </w:r>
          </w:p>
        </w:tc>
        <w:tc>
          <w:tcPr>
            <w:tcW w:w="3448" w:type="dxa"/>
          </w:tcPr>
          <w:p w:rsidR="004D300D" w:rsidRPr="00F5551F" w:rsidRDefault="004A6447"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The CSD is at no point in time part of the</w:t>
            </w:r>
            <w:r w:rsidR="00464DDB" w:rsidRPr="00F5551F">
              <w:rPr>
                <w:rFonts w:ascii="DIN-Regular" w:eastAsia="Arial Unicode MS" w:hAnsi="DIN-Regular" w:cs="Arial"/>
                <w:szCs w:val="22"/>
                <w:lang w:eastAsia="en-GB"/>
              </w:rPr>
              <w:t xml:space="preserve"> trade</w:t>
            </w:r>
            <w:r w:rsidRPr="00F5551F">
              <w:rPr>
                <w:rFonts w:ascii="DIN-Regular" w:eastAsia="Arial Unicode MS" w:hAnsi="DIN-Regular" w:cs="Arial"/>
                <w:szCs w:val="22"/>
                <w:lang w:eastAsia="en-GB"/>
              </w:rPr>
              <w:t xml:space="preserve"> transactions. Once settled, there is no position left. In case a CSD is granting cash loans for settlement purposes or in prefunding custody events, the open position is short term</w:t>
            </w:r>
            <w:r w:rsidR="00D647C5" w:rsidRPr="00F5551F">
              <w:rPr>
                <w:rFonts w:ascii="DIN-Regular" w:eastAsia="Arial Unicode MS" w:hAnsi="DIN-Regular" w:cs="Arial"/>
                <w:szCs w:val="22"/>
                <w:lang w:eastAsia="en-GB"/>
              </w:rPr>
              <w:t>,</w:t>
            </w:r>
            <w:r w:rsidRPr="00F5551F">
              <w:rPr>
                <w:rFonts w:ascii="DIN-Regular" w:eastAsia="Arial Unicode MS" w:hAnsi="DIN-Regular" w:cs="Arial"/>
                <w:szCs w:val="22"/>
                <w:lang w:eastAsia="en-GB"/>
              </w:rPr>
              <w:t xml:space="preserve"> in principle only intraday. Settlement takes place in a variety of currencies and being short in one currency is often accompanied by being long in others. Available collateral value is usually big due to the possibility of using all or substantial parts of the proprietary assets deposited with the CSD as a pool of collateral.</w:t>
            </w:r>
          </w:p>
        </w:tc>
      </w:tr>
      <w:tr w:rsidR="004D300D" w:rsidRPr="00F5551F" w:rsidTr="004D300D">
        <w:tc>
          <w:tcPr>
            <w:tcW w:w="3447" w:type="dxa"/>
          </w:tcPr>
          <w:p w:rsidR="004D300D" w:rsidRPr="00F5551F" w:rsidRDefault="004A6447"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Liquidity peaks</w:t>
            </w:r>
          </w:p>
        </w:tc>
        <w:tc>
          <w:tcPr>
            <w:tcW w:w="3448" w:type="dxa"/>
          </w:tcPr>
          <w:p w:rsidR="004D300D" w:rsidRPr="00F5551F" w:rsidRDefault="004A6447"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CCPs may be faced to pay out substantial amounts within dedicated settlement cycles which needs to be covered by the CCP due to its legal role as counterparty and may not be refunded (at the same time) by a (defaulting) counterparty. Necessary “liquidation” of collateral may take some time which make the “cover 2” requirement useful</w:t>
            </w:r>
          </w:p>
        </w:tc>
        <w:tc>
          <w:tcPr>
            <w:tcW w:w="3448" w:type="dxa"/>
          </w:tcPr>
          <w:p w:rsidR="004D300D" w:rsidRPr="00F5551F" w:rsidRDefault="004A6447"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CSDs are in general not obliged to pay on their own behalf at a certain point in time. If participants do not deliver sufficient funds, their settlement will not occur. In case settlement is performed out of (collateralised) cash credits, the CSD is using excess cash available from other sources and is not relying on a dedicated counterparty.</w:t>
            </w:r>
          </w:p>
        </w:tc>
      </w:tr>
    </w:tbl>
    <w:p w:rsidR="004D300D" w:rsidRPr="00F5551F" w:rsidRDefault="004D300D" w:rsidP="00DA6980">
      <w:pPr>
        <w:pStyle w:val="ListParagraph"/>
        <w:spacing w:line="240" w:lineRule="auto"/>
        <w:ind w:left="0"/>
        <w:jc w:val="both"/>
        <w:rPr>
          <w:rFonts w:ascii="DIN-Regular" w:eastAsia="Arial Unicode MS" w:hAnsi="DIN-Regular" w:cs="Arial"/>
          <w:szCs w:val="22"/>
          <w:lang w:eastAsia="en-GB"/>
        </w:rPr>
      </w:pPr>
    </w:p>
    <w:p w:rsidR="004D300D" w:rsidRPr="00F5551F" w:rsidRDefault="004D300D" w:rsidP="00DA6980">
      <w:pPr>
        <w:pStyle w:val="ListParagraph"/>
        <w:spacing w:line="240" w:lineRule="auto"/>
        <w:ind w:left="0"/>
        <w:jc w:val="both"/>
        <w:rPr>
          <w:rFonts w:ascii="DIN-Regular" w:eastAsia="Arial Unicode MS" w:hAnsi="DIN-Regular" w:cs="Arial"/>
          <w:szCs w:val="22"/>
          <w:lang w:eastAsia="en-GB"/>
        </w:rPr>
      </w:pPr>
    </w:p>
    <w:p w:rsidR="00E82D18" w:rsidRPr="00F5551F" w:rsidRDefault="006A0FC7"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We are agreeing to the approach of allowing internal models for the purposes of fulfilling CSD-R requirements. We furthermore agree to the inclusion of </w:t>
      </w:r>
      <w:r w:rsidRPr="00F5551F">
        <w:rPr>
          <w:rFonts w:ascii="DIN-Regular" w:eastAsia="Arial Unicode MS" w:hAnsi="DIN-Regular" w:cs="Arial"/>
          <w:b/>
          <w:szCs w:val="22"/>
          <w:bdr w:val="single" w:sz="4" w:space="0" w:color="auto"/>
          <w:lang w:eastAsia="en-GB"/>
        </w:rPr>
        <w:t>custody risk</w:t>
      </w:r>
      <w:r w:rsidRPr="00F5551F">
        <w:rPr>
          <w:rFonts w:ascii="DIN-Regular" w:eastAsia="Arial Unicode MS" w:hAnsi="DIN-Regular" w:cs="Arial"/>
          <w:szCs w:val="22"/>
          <w:lang w:eastAsia="en-GB"/>
        </w:rPr>
        <w:t xml:space="preserve"> </w:t>
      </w:r>
      <w:r w:rsidR="0053093D" w:rsidRPr="00F5551F">
        <w:rPr>
          <w:rFonts w:ascii="DIN-Regular" w:eastAsia="Arial Unicode MS" w:hAnsi="DIN-Regular" w:cs="Arial"/>
          <w:szCs w:val="22"/>
          <w:lang w:eastAsia="en-GB"/>
        </w:rPr>
        <w:t xml:space="preserve"> </w:t>
      </w:r>
      <w:r w:rsidRPr="00F5551F">
        <w:rPr>
          <w:rFonts w:ascii="DIN-Regular" w:eastAsia="Arial Unicode MS" w:hAnsi="DIN-Regular" w:cs="Arial"/>
          <w:b/>
          <w:szCs w:val="22"/>
          <w:u w:val="single"/>
          <w:lang w:eastAsia="en-GB"/>
        </w:rPr>
        <w:t>as part</w:t>
      </w:r>
      <w:r w:rsidRPr="00F5551F">
        <w:rPr>
          <w:rFonts w:ascii="DIN-Regular" w:eastAsia="Arial Unicode MS" w:hAnsi="DIN-Regular" w:cs="Arial"/>
          <w:szCs w:val="22"/>
          <w:lang w:eastAsia="en-GB"/>
        </w:rPr>
        <w:t xml:space="preserve"> of the capital charges </w:t>
      </w:r>
      <w:r w:rsidRPr="00F5551F">
        <w:rPr>
          <w:rFonts w:ascii="DIN-Regular" w:eastAsia="Arial Unicode MS" w:hAnsi="DIN-Regular" w:cs="Arial"/>
          <w:szCs w:val="22"/>
          <w:lang w:eastAsia="en-GB"/>
        </w:rPr>
        <w:lastRenderedPageBreak/>
        <w:t xml:space="preserve">under the operational risk charge as specified by CRR and consequently </w:t>
      </w:r>
      <w:r w:rsidRPr="00F5551F">
        <w:rPr>
          <w:rFonts w:ascii="DIN-Regular" w:eastAsia="Arial Unicode MS" w:hAnsi="DIN-Regular" w:cs="Arial"/>
          <w:b/>
          <w:szCs w:val="22"/>
          <w:u w:val="single"/>
          <w:lang w:eastAsia="en-GB"/>
        </w:rPr>
        <w:t>not adding additional elements on top of the banking framework</w:t>
      </w:r>
      <w:r w:rsidRPr="00F5551F">
        <w:rPr>
          <w:rFonts w:ascii="DIN-Regular" w:eastAsia="Arial Unicode MS" w:hAnsi="DIN-Regular" w:cs="Arial"/>
          <w:szCs w:val="22"/>
          <w:lang w:eastAsia="en-GB"/>
        </w:rPr>
        <w:t xml:space="preserve"> for that purpose. However, although the reference in </w:t>
      </w:r>
      <w:r w:rsidR="00157FD6" w:rsidRPr="00F5551F">
        <w:rPr>
          <w:rFonts w:ascii="DIN-Regular" w:eastAsia="Arial Unicode MS" w:hAnsi="DIN-Regular" w:cs="Arial"/>
          <w:szCs w:val="22"/>
          <w:lang w:eastAsia="en-GB"/>
        </w:rPr>
        <w:t>A</w:t>
      </w:r>
      <w:r w:rsidRPr="00F5551F">
        <w:rPr>
          <w:rFonts w:ascii="DIN-Regular" w:eastAsia="Arial Unicode MS" w:hAnsi="DIN-Regular" w:cs="Arial"/>
          <w:szCs w:val="22"/>
          <w:lang w:eastAsia="en-GB"/>
        </w:rPr>
        <w:t>rticle 3</w:t>
      </w:r>
      <w:r w:rsidR="00157FD6" w:rsidRPr="00F5551F">
        <w:rPr>
          <w:rFonts w:ascii="DIN-Regular" w:eastAsia="Arial Unicode MS" w:hAnsi="DIN-Regular" w:cs="Arial"/>
          <w:szCs w:val="22"/>
          <w:lang w:eastAsia="en-GB"/>
        </w:rPr>
        <w:t xml:space="preserve"> (</w:t>
      </w:r>
      <w:r w:rsidRPr="00F5551F">
        <w:rPr>
          <w:rFonts w:ascii="DIN-Regular" w:eastAsia="Arial Unicode MS" w:hAnsi="DIN-Regular" w:cs="Arial"/>
          <w:szCs w:val="22"/>
          <w:lang w:eastAsia="en-GB"/>
        </w:rPr>
        <w:t>1</w:t>
      </w:r>
      <w:r w:rsidR="00157FD6" w:rsidRPr="00F5551F">
        <w:rPr>
          <w:rFonts w:ascii="DIN-Regular" w:eastAsia="Arial Unicode MS" w:hAnsi="DIN-Regular" w:cs="Arial"/>
          <w:szCs w:val="22"/>
          <w:lang w:eastAsia="en-GB"/>
        </w:rPr>
        <w:t>)</w:t>
      </w:r>
      <w:r w:rsidR="00684860" w:rsidRPr="00F5551F">
        <w:rPr>
          <w:rFonts w:ascii="DIN-Regular" w:eastAsia="Arial Unicode MS" w:hAnsi="DIN-Regular" w:cs="Arial"/>
          <w:szCs w:val="22"/>
          <w:lang w:eastAsia="en-GB"/>
        </w:rPr>
        <w:t xml:space="preserve"> (</w:t>
      </w:r>
      <w:r w:rsidRPr="00F5551F">
        <w:rPr>
          <w:rFonts w:ascii="DIN-Regular" w:eastAsia="Arial Unicode MS" w:hAnsi="DIN-Regular" w:cs="Arial"/>
          <w:szCs w:val="22"/>
          <w:lang w:eastAsia="en-GB"/>
        </w:rPr>
        <w:t>a</w:t>
      </w:r>
      <w:r w:rsidR="00684860" w:rsidRPr="00F5551F">
        <w:rPr>
          <w:rFonts w:ascii="DIN-Regular" w:eastAsia="Arial Unicode MS" w:hAnsi="DIN-Regular" w:cs="Arial"/>
          <w:szCs w:val="22"/>
          <w:lang w:eastAsia="en-GB"/>
        </w:rPr>
        <w:t>)</w:t>
      </w:r>
      <w:r w:rsidRPr="00F5551F">
        <w:rPr>
          <w:rFonts w:ascii="DIN-Regular" w:eastAsia="Arial Unicode MS" w:hAnsi="DIN-Regular" w:cs="Arial"/>
          <w:szCs w:val="22"/>
          <w:lang w:eastAsia="en-GB"/>
        </w:rPr>
        <w:t xml:space="preserve"> draft RTS and the header of </w:t>
      </w:r>
      <w:r w:rsidR="00157FD6" w:rsidRPr="00F5551F">
        <w:rPr>
          <w:rFonts w:ascii="DIN-Regular" w:eastAsia="Arial Unicode MS" w:hAnsi="DIN-Regular" w:cs="Arial"/>
          <w:szCs w:val="22"/>
          <w:lang w:eastAsia="en-GB"/>
        </w:rPr>
        <w:t>A</w:t>
      </w:r>
      <w:r w:rsidRPr="00F5551F">
        <w:rPr>
          <w:rFonts w:ascii="DIN-Regular" w:eastAsia="Arial Unicode MS" w:hAnsi="DIN-Regular" w:cs="Arial"/>
          <w:szCs w:val="22"/>
          <w:lang w:eastAsia="en-GB"/>
        </w:rPr>
        <w:t xml:space="preserve">rticle 4 draft RTS are referring to “custody risk”, the text of Article 4 (1) draft RTS does not include custody risk. We think that this has been done by mistake and kindly ask to include “custody risk” in the wording of </w:t>
      </w:r>
      <w:r w:rsidR="00157FD6" w:rsidRPr="00F5551F">
        <w:rPr>
          <w:rFonts w:ascii="DIN-Regular" w:eastAsia="Arial Unicode MS" w:hAnsi="DIN-Regular" w:cs="Arial"/>
          <w:szCs w:val="22"/>
          <w:lang w:eastAsia="en-GB"/>
        </w:rPr>
        <w:t>A</w:t>
      </w:r>
      <w:r w:rsidRPr="00F5551F">
        <w:rPr>
          <w:rFonts w:ascii="DIN-Regular" w:eastAsia="Arial Unicode MS" w:hAnsi="DIN-Regular" w:cs="Arial"/>
          <w:szCs w:val="22"/>
          <w:lang w:eastAsia="en-GB"/>
        </w:rPr>
        <w:t xml:space="preserve">rticle 4 (1) in the final version of the RTS. </w:t>
      </w:r>
    </w:p>
    <w:p w:rsidR="00E82D18" w:rsidRPr="00F5551F" w:rsidRDefault="00E82D18" w:rsidP="00DA6980">
      <w:pPr>
        <w:pStyle w:val="ListParagraph"/>
        <w:spacing w:line="240" w:lineRule="auto"/>
        <w:ind w:left="0"/>
        <w:jc w:val="both"/>
        <w:rPr>
          <w:rFonts w:ascii="DIN-Regular" w:eastAsia="Arial Unicode MS" w:hAnsi="DIN-Regular" w:cs="Arial"/>
          <w:szCs w:val="22"/>
          <w:lang w:eastAsia="en-GB"/>
        </w:rPr>
      </w:pPr>
    </w:p>
    <w:p w:rsidR="00E82D18" w:rsidRPr="00F5551F" w:rsidRDefault="00E82D18"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However, as neither level 1 text nor the draft RTS clearly specify what is meant by custody risk, we currently </w:t>
      </w:r>
      <w:r w:rsidR="005B2929" w:rsidRPr="00F5551F">
        <w:rPr>
          <w:rFonts w:ascii="DIN-Regular" w:eastAsia="Arial Unicode MS" w:hAnsi="DIN-Regular" w:cs="Arial"/>
          <w:szCs w:val="22"/>
          <w:lang w:eastAsia="en-GB"/>
        </w:rPr>
        <w:t xml:space="preserve">understand this is seen as the operational risk related with the (sub-)custody to a third party including the operations of any CSD link. This understanding is </w:t>
      </w:r>
      <w:r w:rsidRPr="00F5551F">
        <w:rPr>
          <w:rFonts w:ascii="DIN-Regular" w:eastAsia="Arial Unicode MS" w:hAnsi="DIN-Regular" w:cs="Arial"/>
          <w:szCs w:val="22"/>
          <w:lang w:eastAsia="en-GB"/>
        </w:rPr>
        <w:t xml:space="preserve">based on the wording of the draft RTS </w:t>
      </w:r>
      <w:r w:rsidR="005B2929" w:rsidRPr="00F5551F">
        <w:rPr>
          <w:rFonts w:ascii="DIN-Regular" w:eastAsia="Arial Unicode MS" w:hAnsi="DIN-Regular" w:cs="Arial"/>
          <w:szCs w:val="22"/>
          <w:lang w:eastAsia="en-GB"/>
        </w:rPr>
        <w:t xml:space="preserve">in </w:t>
      </w:r>
      <w:r w:rsidR="00FD4804" w:rsidRPr="00F5551F">
        <w:rPr>
          <w:rFonts w:ascii="DIN-Regular" w:eastAsia="Arial Unicode MS" w:hAnsi="DIN-Regular" w:cs="Arial"/>
          <w:szCs w:val="22"/>
          <w:lang w:eastAsia="en-GB"/>
        </w:rPr>
        <w:t>Recital</w:t>
      </w:r>
      <w:r w:rsidR="005B2929" w:rsidRPr="00F5551F">
        <w:rPr>
          <w:rFonts w:ascii="DIN-Regular" w:eastAsia="Arial Unicode MS" w:hAnsi="DIN-Regular" w:cs="Arial"/>
          <w:szCs w:val="22"/>
          <w:lang w:eastAsia="en-GB"/>
        </w:rPr>
        <w:t xml:space="preserve"> 10 (which </w:t>
      </w:r>
      <w:r w:rsidR="00F5551F" w:rsidRPr="00F5551F">
        <w:rPr>
          <w:rFonts w:ascii="DIN-Regular" w:eastAsia="Arial Unicode MS" w:hAnsi="DIN-Regular" w:cs="Arial"/>
          <w:szCs w:val="22"/>
          <w:lang w:eastAsia="en-GB"/>
        </w:rPr>
        <w:t>specifically</w:t>
      </w:r>
      <w:r w:rsidR="005B2929" w:rsidRPr="00F5551F">
        <w:rPr>
          <w:rFonts w:ascii="DIN-Regular" w:eastAsia="Arial Unicode MS" w:hAnsi="DIN-Regular" w:cs="Arial"/>
          <w:szCs w:val="22"/>
          <w:lang w:eastAsia="en-GB"/>
        </w:rPr>
        <w:t xml:space="preserve"> argues that general </w:t>
      </w:r>
      <w:r w:rsidR="005B2929" w:rsidRPr="00F5551F">
        <w:rPr>
          <w:rFonts w:ascii="DIN-Regular" w:eastAsia="Arial Unicode MS" w:hAnsi="DIN-Regular" w:cs="Arial"/>
          <w:b/>
          <w:szCs w:val="22"/>
          <w:lang w:eastAsia="en-GB"/>
        </w:rPr>
        <w:t>operational risk</w:t>
      </w:r>
      <w:r w:rsidR="005B2929" w:rsidRPr="00F5551F">
        <w:rPr>
          <w:rFonts w:ascii="DIN-Regular" w:eastAsia="Arial Unicode MS" w:hAnsi="DIN-Regular" w:cs="Arial"/>
          <w:szCs w:val="22"/>
          <w:lang w:eastAsia="en-GB"/>
        </w:rPr>
        <w:t xml:space="preserve"> is only covering the risk related to securities “owned” by the CSD itself but not  related to the risk of custody at third parties. Note that we do in this context not understand what the term “owned” is targeting for and we have general doubt on the meaningfulness of </w:t>
      </w:r>
      <w:r w:rsidR="00FD4804" w:rsidRPr="00F5551F">
        <w:rPr>
          <w:rFonts w:ascii="DIN-Regular" w:eastAsia="Arial Unicode MS" w:hAnsi="DIN-Regular" w:cs="Arial"/>
          <w:szCs w:val="22"/>
          <w:lang w:eastAsia="en-GB"/>
        </w:rPr>
        <w:t>Recital</w:t>
      </w:r>
      <w:r w:rsidR="005B2929" w:rsidRPr="00F5551F">
        <w:rPr>
          <w:rFonts w:ascii="DIN-Regular" w:eastAsia="Arial Unicode MS" w:hAnsi="DIN-Regular" w:cs="Arial"/>
          <w:szCs w:val="22"/>
          <w:lang w:eastAsia="en-GB"/>
        </w:rPr>
        <w:t xml:space="preserve"> 10 as a whole) and the rules in Article 3 (1) </w:t>
      </w:r>
      <w:r w:rsidR="00D677D3">
        <w:rPr>
          <w:rFonts w:ascii="DIN-Regular" w:eastAsia="Arial Unicode MS" w:hAnsi="DIN-Regular" w:cs="Arial"/>
          <w:szCs w:val="22"/>
          <w:lang w:eastAsia="en-GB"/>
        </w:rPr>
        <w:t>(</w:t>
      </w:r>
      <w:r w:rsidR="005B2929" w:rsidRPr="00F5551F">
        <w:rPr>
          <w:rFonts w:ascii="DIN-Regular" w:eastAsia="Arial Unicode MS" w:hAnsi="DIN-Regular" w:cs="Arial"/>
          <w:szCs w:val="22"/>
          <w:lang w:eastAsia="en-GB"/>
        </w:rPr>
        <w:t>a</w:t>
      </w:r>
      <w:r w:rsidR="00D677D3">
        <w:rPr>
          <w:rFonts w:ascii="DIN-Regular" w:eastAsia="Arial Unicode MS" w:hAnsi="DIN-Regular" w:cs="Arial"/>
          <w:szCs w:val="22"/>
          <w:lang w:eastAsia="en-GB"/>
        </w:rPr>
        <w:t>)</w:t>
      </w:r>
      <w:r w:rsidR="005B2929" w:rsidRPr="00F5551F">
        <w:rPr>
          <w:rFonts w:ascii="DIN-Regular" w:eastAsia="Arial Unicode MS" w:hAnsi="DIN-Regular" w:cs="Arial"/>
          <w:szCs w:val="22"/>
          <w:lang w:eastAsia="en-GB"/>
        </w:rPr>
        <w:t xml:space="preserve"> </w:t>
      </w:r>
      <w:r w:rsidR="00684860" w:rsidRPr="00F5551F">
        <w:rPr>
          <w:rFonts w:ascii="DIN-Regular" w:eastAsia="Arial Unicode MS" w:hAnsi="DIN-Regular" w:cs="Arial"/>
          <w:szCs w:val="22"/>
          <w:lang w:eastAsia="en-GB"/>
        </w:rPr>
        <w:t>(</w:t>
      </w:r>
      <w:r w:rsidR="005B2929" w:rsidRPr="00F5551F">
        <w:rPr>
          <w:rFonts w:ascii="DIN-Regular" w:eastAsia="Arial Unicode MS" w:hAnsi="DIN-Regular" w:cs="Arial"/>
          <w:szCs w:val="22"/>
          <w:lang w:eastAsia="en-GB"/>
        </w:rPr>
        <w:t xml:space="preserve">including the naming of </w:t>
      </w:r>
      <w:r w:rsidR="00157FD6" w:rsidRPr="00F5551F">
        <w:rPr>
          <w:rFonts w:ascii="DIN-Regular" w:eastAsia="Arial Unicode MS" w:hAnsi="DIN-Regular" w:cs="Arial"/>
          <w:szCs w:val="22"/>
          <w:lang w:eastAsia="en-GB"/>
        </w:rPr>
        <w:t>A</w:t>
      </w:r>
      <w:r w:rsidR="005B2929" w:rsidRPr="00F5551F">
        <w:rPr>
          <w:rFonts w:ascii="DIN-Regular" w:eastAsia="Arial Unicode MS" w:hAnsi="DIN-Regular" w:cs="Arial"/>
          <w:szCs w:val="22"/>
          <w:lang w:eastAsia="en-GB"/>
        </w:rPr>
        <w:t>rticle 4</w:t>
      </w:r>
      <w:r w:rsidR="00684860" w:rsidRPr="00F5551F">
        <w:rPr>
          <w:rFonts w:ascii="DIN-Regular" w:eastAsia="Arial Unicode MS" w:hAnsi="DIN-Regular" w:cs="Arial"/>
          <w:szCs w:val="22"/>
          <w:lang w:eastAsia="en-GB"/>
        </w:rPr>
        <w:t>)</w:t>
      </w:r>
      <w:r w:rsidR="005B2929" w:rsidRPr="00F5551F">
        <w:rPr>
          <w:rFonts w:ascii="DIN-Regular" w:eastAsia="Arial Unicode MS" w:hAnsi="DIN-Regular" w:cs="Arial"/>
          <w:szCs w:val="22"/>
          <w:lang w:eastAsia="en-GB"/>
        </w:rPr>
        <w:t xml:space="preserve"> which is clearly outspoken that custody risk is covered by the capital charge for operational risk under the banking framework.</w:t>
      </w:r>
    </w:p>
    <w:p w:rsidR="00E82D18" w:rsidRPr="00F5551F" w:rsidRDefault="00E82D18" w:rsidP="00DA6980">
      <w:pPr>
        <w:pStyle w:val="ListParagraph"/>
        <w:spacing w:line="240" w:lineRule="auto"/>
        <w:ind w:left="0"/>
        <w:jc w:val="both"/>
        <w:rPr>
          <w:rFonts w:ascii="DIN-Regular" w:eastAsia="Arial Unicode MS" w:hAnsi="DIN-Regular" w:cs="Arial"/>
          <w:szCs w:val="22"/>
          <w:lang w:eastAsia="en-GB"/>
        </w:rPr>
      </w:pPr>
    </w:p>
    <w:p w:rsidR="005B2929" w:rsidRPr="00F5551F" w:rsidRDefault="005B2929"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We therefore </w:t>
      </w:r>
      <w:r w:rsidR="006A0FC7" w:rsidRPr="00F5551F">
        <w:rPr>
          <w:rFonts w:ascii="DIN-Regular" w:eastAsia="Arial Unicode MS" w:hAnsi="DIN-Regular" w:cs="Arial"/>
          <w:szCs w:val="22"/>
          <w:lang w:eastAsia="en-GB"/>
        </w:rPr>
        <w:t xml:space="preserve">clearly disagree to set up a dedicated capital requirement for the risk of sub-custody and custody for own securities as proposed in </w:t>
      </w:r>
      <w:r w:rsidR="00157FD6" w:rsidRPr="00F5551F">
        <w:rPr>
          <w:rFonts w:ascii="DIN-Regular" w:eastAsia="Arial Unicode MS" w:hAnsi="DIN-Regular" w:cs="Arial"/>
          <w:szCs w:val="22"/>
          <w:lang w:eastAsia="en-GB"/>
        </w:rPr>
        <w:t>A</w:t>
      </w:r>
      <w:r w:rsidR="006A0FC7" w:rsidRPr="00F5551F">
        <w:rPr>
          <w:rFonts w:ascii="DIN-Regular" w:eastAsia="Arial Unicode MS" w:hAnsi="DIN-Regular" w:cs="Arial"/>
          <w:szCs w:val="22"/>
          <w:lang w:eastAsia="en-GB"/>
        </w:rPr>
        <w:t xml:space="preserve">rticle 5 draft RTS. We cannot see </w:t>
      </w:r>
      <w:r w:rsidR="006A0FC7" w:rsidRPr="00F5551F">
        <w:rPr>
          <w:rFonts w:ascii="DIN-Regular" w:eastAsia="Arial Unicode MS" w:hAnsi="DIN-Regular" w:cs="Arial"/>
          <w:b/>
          <w:szCs w:val="22"/>
          <w:u w:val="single"/>
          <w:lang w:eastAsia="en-GB"/>
        </w:rPr>
        <w:t>any additional risk</w:t>
      </w:r>
      <w:r w:rsidR="006A0FC7" w:rsidRPr="00F5551F">
        <w:rPr>
          <w:rFonts w:ascii="DIN-Regular" w:eastAsia="Arial Unicode MS" w:hAnsi="DIN-Regular" w:cs="Arial"/>
          <w:szCs w:val="22"/>
          <w:lang w:eastAsia="en-GB"/>
        </w:rPr>
        <w:t xml:space="preserve"> coming from </w:t>
      </w:r>
      <w:r w:rsidR="00BD3A07" w:rsidRPr="00F5551F">
        <w:rPr>
          <w:rFonts w:ascii="DIN-Regular" w:eastAsia="Arial Unicode MS" w:hAnsi="DIN-Regular" w:cs="Arial"/>
          <w:szCs w:val="22"/>
          <w:lang w:eastAsia="en-GB"/>
        </w:rPr>
        <w:t>those services</w:t>
      </w:r>
      <w:r w:rsidR="006A0FC7" w:rsidRPr="00F5551F">
        <w:rPr>
          <w:rFonts w:ascii="DIN-Regular" w:eastAsia="Arial Unicode MS" w:hAnsi="DIN-Regular" w:cs="Arial"/>
          <w:szCs w:val="22"/>
          <w:lang w:eastAsia="en-GB"/>
        </w:rPr>
        <w:t xml:space="preserve"> </w:t>
      </w:r>
      <w:r w:rsidR="006A0FC7" w:rsidRPr="00F5551F">
        <w:rPr>
          <w:rFonts w:ascii="DIN-Regular" w:eastAsia="Arial Unicode MS" w:hAnsi="DIN-Regular" w:cs="Arial"/>
          <w:b/>
          <w:szCs w:val="22"/>
          <w:u w:val="single"/>
          <w:lang w:eastAsia="en-GB"/>
        </w:rPr>
        <w:t>in comparison with</w:t>
      </w:r>
      <w:r w:rsidR="006A0FC7" w:rsidRPr="00F5551F">
        <w:rPr>
          <w:rFonts w:ascii="DIN-Regular" w:eastAsia="Arial Unicode MS" w:hAnsi="DIN-Regular" w:cs="Arial"/>
          <w:szCs w:val="22"/>
          <w:lang w:eastAsia="en-GB"/>
        </w:rPr>
        <w:t xml:space="preserve"> custody / sub-custody of </w:t>
      </w:r>
      <w:r w:rsidR="006A0FC7" w:rsidRPr="00F5551F">
        <w:rPr>
          <w:rFonts w:ascii="DIN-Regular" w:eastAsia="Arial Unicode MS" w:hAnsi="DIN-Regular" w:cs="Arial"/>
          <w:b/>
          <w:szCs w:val="22"/>
          <w:u w:val="single"/>
          <w:lang w:eastAsia="en-GB"/>
        </w:rPr>
        <w:t>a “normal” credit institution / investment firm</w:t>
      </w:r>
      <w:r w:rsidR="006A0FC7" w:rsidRPr="00F5551F">
        <w:rPr>
          <w:rFonts w:ascii="DIN-Regular" w:eastAsia="Arial Unicode MS" w:hAnsi="DIN-Regular" w:cs="Arial"/>
          <w:szCs w:val="22"/>
          <w:lang w:eastAsia="en-GB"/>
        </w:rPr>
        <w:t xml:space="preserve"> where </w:t>
      </w:r>
      <w:r w:rsidR="006A0FC7" w:rsidRPr="00F5551F">
        <w:rPr>
          <w:rFonts w:ascii="DIN-Regular" w:eastAsia="Arial Unicode MS" w:hAnsi="DIN-Regular" w:cs="Arial"/>
          <w:b/>
          <w:szCs w:val="22"/>
          <w:u w:val="single"/>
          <w:lang w:eastAsia="en-GB"/>
        </w:rPr>
        <w:t>this is part of the capital charges for operational risk</w:t>
      </w:r>
      <w:r w:rsidR="006A0FC7" w:rsidRPr="00F5551F">
        <w:rPr>
          <w:rFonts w:ascii="DIN-Regular" w:eastAsia="Arial Unicode MS" w:hAnsi="DIN-Regular" w:cs="Arial"/>
          <w:szCs w:val="22"/>
          <w:lang w:eastAsia="en-GB"/>
        </w:rPr>
        <w:t>. Especially in the case of using an AMA a CSD will have to include all business activities in the model and as such, we clearly see the risk of double charging for the same activity. In addition, for the proposed Standardised Approach we see the practical impossibility to derive a “relevant indicator” as (sub-</w:t>
      </w:r>
      <w:proofErr w:type="gramStart"/>
      <w:r w:rsidR="006A0FC7" w:rsidRPr="00F5551F">
        <w:rPr>
          <w:rFonts w:ascii="DIN-Regular" w:eastAsia="Arial Unicode MS" w:hAnsi="DIN-Regular" w:cs="Arial"/>
          <w:szCs w:val="22"/>
          <w:lang w:eastAsia="en-GB"/>
        </w:rPr>
        <w:t>)custody</w:t>
      </w:r>
      <w:proofErr w:type="gramEnd"/>
      <w:r w:rsidR="006A0FC7" w:rsidRPr="00F5551F">
        <w:rPr>
          <w:rFonts w:ascii="DIN-Regular" w:eastAsia="Arial Unicode MS" w:hAnsi="DIN-Regular" w:cs="Arial"/>
          <w:szCs w:val="22"/>
          <w:lang w:eastAsia="en-GB"/>
        </w:rPr>
        <w:t xml:space="preserve"> as such is only creating cost but no revenue. This is included in the relevant gross indicator for the general capital charges for operational risk. Consequently, we urge the EBA to drop the dedicated requirements for custody risk as proposed with </w:t>
      </w:r>
      <w:r w:rsidR="00157FD6" w:rsidRPr="00F5551F">
        <w:rPr>
          <w:rFonts w:ascii="DIN-Regular" w:eastAsia="Arial Unicode MS" w:hAnsi="DIN-Regular" w:cs="Arial"/>
          <w:szCs w:val="22"/>
          <w:lang w:eastAsia="en-GB"/>
        </w:rPr>
        <w:t>A</w:t>
      </w:r>
      <w:r w:rsidR="006A0FC7" w:rsidRPr="00F5551F">
        <w:rPr>
          <w:rFonts w:ascii="DIN-Regular" w:eastAsia="Arial Unicode MS" w:hAnsi="DIN-Regular" w:cs="Arial"/>
          <w:szCs w:val="22"/>
          <w:lang w:eastAsia="en-GB"/>
        </w:rPr>
        <w:t>rticle 5 draft RTS (see also our reply to question 1 below).</w:t>
      </w:r>
    </w:p>
    <w:p w:rsidR="005B2929" w:rsidRPr="00F5551F" w:rsidRDefault="005B2929"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Having said this we also want to point out that even if “custody risk” in the sense of being the risk of depositing own or participants assets with third party would looking to capture any other risk category (especially counterparty risk or legal risk) this would be again same risk a</w:t>
      </w:r>
      <w:r w:rsidR="00E655AE">
        <w:rPr>
          <w:rFonts w:ascii="DIN-Regular" w:eastAsia="Arial Unicode MS" w:hAnsi="DIN-Regular" w:cs="Arial"/>
          <w:szCs w:val="22"/>
          <w:lang w:eastAsia="en-GB"/>
        </w:rPr>
        <w:t>s for any bank deposits</w:t>
      </w:r>
      <w:r w:rsidRPr="00F5551F">
        <w:rPr>
          <w:rFonts w:ascii="DIN-Regular" w:eastAsia="Arial Unicode MS" w:hAnsi="DIN-Regular" w:cs="Arial"/>
          <w:szCs w:val="22"/>
          <w:lang w:eastAsia="en-GB"/>
        </w:rPr>
        <w:t xml:space="preserve"> with CSDs or other third parties and therefore be included in either the operational risk capital charge (legal risk) or the credit risk charge (counterparty risk) which</w:t>
      </w:r>
      <w:r w:rsidR="00AC5C23">
        <w:rPr>
          <w:rFonts w:ascii="DIN-Regular" w:eastAsia="Arial Unicode MS" w:hAnsi="DIN-Regular" w:cs="Arial"/>
          <w:szCs w:val="22"/>
          <w:lang w:eastAsia="en-GB"/>
        </w:rPr>
        <w:t xml:space="preserve"> consequently would</w:t>
      </w:r>
      <w:r w:rsidRPr="00F5551F">
        <w:rPr>
          <w:rFonts w:ascii="DIN-Regular" w:eastAsia="Arial Unicode MS" w:hAnsi="DIN-Regular" w:cs="Arial"/>
          <w:szCs w:val="22"/>
          <w:lang w:eastAsia="en-GB"/>
        </w:rPr>
        <w:t xml:space="preserve"> not require a dedicated capital charge for CSDs in case the banking framework is used. Moreover, we clearly disagree on the </w:t>
      </w:r>
      <w:r w:rsidR="00F5551F" w:rsidRPr="00F5551F">
        <w:rPr>
          <w:rFonts w:ascii="DIN-Regular" w:eastAsia="Arial Unicode MS" w:hAnsi="DIN-Regular" w:cs="Arial"/>
          <w:szCs w:val="22"/>
          <w:lang w:eastAsia="en-GB"/>
        </w:rPr>
        <w:t>existence</w:t>
      </w:r>
      <w:r w:rsidRPr="00F5551F">
        <w:rPr>
          <w:rFonts w:ascii="DIN-Regular" w:eastAsia="Arial Unicode MS" w:hAnsi="DIN-Regular" w:cs="Arial"/>
          <w:szCs w:val="22"/>
          <w:lang w:eastAsia="en-GB"/>
        </w:rPr>
        <w:t xml:space="preserve"> of any financial risk as (</w:t>
      </w:r>
      <w:proofErr w:type="spellStart"/>
      <w:r w:rsidRPr="00F5551F">
        <w:rPr>
          <w:rFonts w:ascii="DIN-Regular" w:eastAsia="Arial Unicode MS" w:hAnsi="DIN-Regular" w:cs="Arial"/>
          <w:szCs w:val="22"/>
          <w:lang w:eastAsia="en-GB"/>
        </w:rPr>
        <w:t>i</w:t>
      </w:r>
      <w:proofErr w:type="spellEnd"/>
      <w:r w:rsidRPr="00F5551F">
        <w:rPr>
          <w:rFonts w:ascii="DIN-Regular" w:eastAsia="Arial Unicode MS" w:hAnsi="DIN-Regular" w:cs="Arial"/>
          <w:szCs w:val="22"/>
          <w:lang w:eastAsia="en-GB"/>
        </w:rPr>
        <w:t>) client assets do not belong to the CSD, are segregated according to CSD</w:t>
      </w:r>
      <w:r w:rsidR="00BC4D9A" w:rsidRPr="00F5551F">
        <w:rPr>
          <w:rFonts w:ascii="DIN-Regular" w:eastAsia="Arial Unicode MS" w:hAnsi="DIN-Regular" w:cs="Arial"/>
          <w:szCs w:val="22"/>
          <w:lang w:eastAsia="en-GB"/>
        </w:rPr>
        <w:t>-</w:t>
      </w:r>
      <w:r w:rsidRPr="00F5551F">
        <w:rPr>
          <w:rFonts w:ascii="DIN-Regular" w:eastAsia="Arial Unicode MS" w:hAnsi="DIN-Regular" w:cs="Arial"/>
          <w:szCs w:val="22"/>
          <w:lang w:eastAsia="en-GB"/>
        </w:rPr>
        <w:t xml:space="preserve">R rules </w:t>
      </w:r>
      <w:r w:rsidR="00FB5341" w:rsidRPr="00F5551F">
        <w:rPr>
          <w:rFonts w:ascii="DIN-Regular" w:eastAsia="Arial Unicode MS" w:hAnsi="DIN-Regular" w:cs="Arial"/>
          <w:szCs w:val="22"/>
          <w:lang w:eastAsia="en-GB"/>
        </w:rPr>
        <w:t xml:space="preserve">and therefore any loss due to a default of any kind of custodian or a temporary blocking of access to these securities can only be related to operational risk including legal risk </w:t>
      </w:r>
      <w:r w:rsidRPr="00F5551F">
        <w:rPr>
          <w:rFonts w:ascii="DIN-Regular" w:eastAsia="Arial Unicode MS" w:hAnsi="DIN-Regular" w:cs="Arial"/>
          <w:szCs w:val="22"/>
          <w:lang w:eastAsia="en-GB"/>
        </w:rPr>
        <w:t xml:space="preserve">and </w:t>
      </w:r>
      <w:r w:rsidR="00FB5341" w:rsidRPr="00F5551F">
        <w:rPr>
          <w:rFonts w:ascii="DIN-Regular" w:eastAsia="Arial Unicode MS" w:hAnsi="DIN-Regular" w:cs="Arial"/>
          <w:szCs w:val="22"/>
          <w:lang w:eastAsia="en-GB"/>
        </w:rPr>
        <w:t xml:space="preserve">(ii) </w:t>
      </w:r>
      <w:r w:rsidRPr="00F5551F">
        <w:rPr>
          <w:rFonts w:ascii="DIN-Regular" w:eastAsia="Arial Unicode MS" w:hAnsi="DIN-Regular" w:cs="Arial"/>
          <w:szCs w:val="22"/>
          <w:lang w:eastAsia="en-GB"/>
        </w:rPr>
        <w:t xml:space="preserve">the counterparty risk </w:t>
      </w:r>
      <w:r w:rsidR="00FB5341" w:rsidRPr="00F5551F">
        <w:rPr>
          <w:rFonts w:ascii="DIN-Regular" w:eastAsia="Arial Unicode MS" w:hAnsi="DIN-Regular" w:cs="Arial"/>
          <w:szCs w:val="22"/>
          <w:lang w:eastAsia="en-GB"/>
        </w:rPr>
        <w:t>of an investment lies towards the issuer of the instrument and not towards any agent acting as any kind of custodian (again only operational risk including legal risk).</w:t>
      </w:r>
    </w:p>
    <w:p w:rsidR="006A0FC7" w:rsidRPr="00F5551F" w:rsidRDefault="006A0FC7" w:rsidP="00DA6980">
      <w:pPr>
        <w:pStyle w:val="ListParagraph"/>
        <w:spacing w:line="240" w:lineRule="auto"/>
        <w:ind w:left="0"/>
        <w:jc w:val="both"/>
        <w:rPr>
          <w:rFonts w:ascii="DIN-Regular" w:eastAsia="Arial Unicode MS" w:hAnsi="DIN-Regular" w:cs="Arial"/>
          <w:szCs w:val="22"/>
          <w:lang w:eastAsia="en-GB"/>
        </w:rPr>
      </w:pPr>
    </w:p>
    <w:p w:rsidR="006A0FC7" w:rsidRPr="00F5551F" w:rsidRDefault="006A0FC7"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b/>
          <w:szCs w:val="22"/>
          <w:bdr w:val="single" w:sz="4" w:space="0" w:color="auto"/>
          <w:lang w:eastAsia="en-GB"/>
        </w:rPr>
        <w:t>Business risk</w:t>
      </w:r>
      <w:r w:rsidRPr="00F5551F">
        <w:rPr>
          <w:rFonts w:ascii="DIN-Regular" w:eastAsia="Arial Unicode MS" w:hAnsi="DIN-Regular" w:cs="Arial"/>
          <w:szCs w:val="22"/>
          <w:lang w:eastAsia="en-GB"/>
        </w:rPr>
        <w:t xml:space="preserve"> may result in a lower income or even a loss. While losses are to be covered from equity, lower income is covered out of income and not from equity. It is therefore questionable, why current or planned income cannot be taken into account – at least to some degree – to cover business risk. At least when determining the own estimates of business risk, the (planned) income of the year should be allowed to be used as a cover measure. In this line, Annex II point b clearly shows that income needs to be taken into account when covering business risk as a loss of 30 % of income still leaves 70 % of income and would not lead to any coverage by capital. As such, such a scenario would not make sense! (Similarly this </w:t>
      </w:r>
      <w:r w:rsidR="005F639E">
        <w:rPr>
          <w:rFonts w:ascii="DIN-Regular" w:eastAsia="Arial Unicode MS" w:hAnsi="DIN-Regular" w:cs="Arial"/>
          <w:szCs w:val="22"/>
          <w:lang w:eastAsia="en-GB"/>
        </w:rPr>
        <w:t xml:space="preserve">is </w:t>
      </w:r>
      <w:r w:rsidRPr="00F5551F">
        <w:rPr>
          <w:rFonts w:ascii="DIN-Regular" w:eastAsia="Arial Unicode MS" w:hAnsi="DIN-Regular" w:cs="Arial"/>
          <w:szCs w:val="22"/>
          <w:lang w:eastAsia="en-GB"/>
        </w:rPr>
        <w:t xml:space="preserve">true for the planned contribution of </w:t>
      </w:r>
      <w:proofErr w:type="gramStart"/>
      <w:r w:rsidRPr="00F5551F">
        <w:rPr>
          <w:rFonts w:ascii="DIN-Regular" w:eastAsia="Arial Unicode MS" w:hAnsi="DIN-Regular" w:cs="Arial"/>
          <w:szCs w:val="22"/>
          <w:lang w:eastAsia="en-GB"/>
        </w:rPr>
        <w:t>pensions</w:t>
      </w:r>
      <w:proofErr w:type="gramEnd"/>
      <w:r w:rsidRPr="00F5551F">
        <w:rPr>
          <w:rFonts w:ascii="DIN-Regular" w:eastAsia="Arial Unicode MS" w:hAnsi="DIN-Regular" w:cs="Arial"/>
          <w:szCs w:val="22"/>
          <w:lang w:eastAsia="en-GB"/>
        </w:rPr>
        <w:t xml:space="preserve"> plans. They will impact current income first. However, the scenario cannot exclude to go beyond total current income).</w:t>
      </w:r>
    </w:p>
    <w:p w:rsidR="006A0FC7" w:rsidRPr="00F5551F" w:rsidRDefault="006A0FC7" w:rsidP="00DA6980">
      <w:pPr>
        <w:pStyle w:val="ListParagraph"/>
        <w:spacing w:line="240" w:lineRule="auto"/>
        <w:ind w:left="0"/>
        <w:jc w:val="both"/>
        <w:rPr>
          <w:rFonts w:ascii="DIN-Regular" w:eastAsia="Arial Unicode MS" w:hAnsi="DIN-Regular" w:cs="Arial"/>
          <w:szCs w:val="22"/>
          <w:lang w:eastAsia="en-GB"/>
        </w:rPr>
      </w:pPr>
    </w:p>
    <w:p w:rsidR="00EF4B2D" w:rsidRPr="00F5551F" w:rsidRDefault="001A6CED"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lastRenderedPageBreak/>
        <w:t>With regards to the additional requirements for CSDs being authorised to offer banking type of ancillary services, it is necessary to clarify the scope of the various rules</w:t>
      </w:r>
      <w:r w:rsidR="008C21E2" w:rsidRPr="00F5551F">
        <w:rPr>
          <w:rFonts w:ascii="DIN-Regular" w:eastAsia="Arial Unicode MS" w:hAnsi="DIN-Regular" w:cs="Arial"/>
          <w:szCs w:val="22"/>
          <w:lang w:eastAsia="en-GB"/>
        </w:rPr>
        <w:t xml:space="preserve">. While </w:t>
      </w:r>
      <w:r w:rsidR="003130ED" w:rsidRPr="00F5551F">
        <w:rPr>
          <w:rFonts w:ascii="DIN-Regular" w:eastAsia="Arial Unicode MS" w:hAnsi="DIN-Regular" w:cs="Arial"/>
          <w:szCs w:val="22"/>
          <w:lang w:eastAsia="en-GB"/>
        </w:rPr>
        <w:t>R</w:t>
      </w:r>
      <w:r w:rsidR="008C21E2" w:rsidRPr="00F5551F">
        <w:rPr>
          <w:rFonts w:ascii="DIN-Regular" w:eastAsia="Arial Unicode MS" w:hAnsi="DIN-Regular" w:cs="Arial"/>
          <w:szCs w:val="22"/>
          <w:lang w:eastAsia="en-GB"/>
        </w:rPr>
        <w:t xml:space="preserve">ecital 13 and </w:t>
      </w:r>
      <w:r w:rsidR="003130ED" w:rsidRPr="00F5551F">
        <w:rPr>
          <w:rFonts w:ascii="DIN-Regular" w:eastAsia="Arial Unicode MS" w:hAnsi="DIN-Regular" w:cs="Arial"/>
          <w:szCs w:val="22"/>
          <w:lang w:eastAsia="en-GB"/>
        </w:rPr>
        <w:t>A</w:t>
      </w:r>
      <w:r w:rsidR="008C21E2" w:rsidRPr="00F5551F">
        <w:rPr>
          <w:rFonts w:ascii="DIN-Regular" w:eastAsia="Arial Unicode MS" w:hAnsi="DIN-Regular" w:cs="Arial"/>
          <w:szCs w:val="22"/>
          <w:lang w:eastAsia="en-GB"/>
        </w:rPr>
        <w:t>rticle 9 draft RTS more or less clearly limit to exposures resulting from dedicated intraday credit provisioning to participants or other CSD users (i.e. in general cash credits only), the scope of the rules for (1) credit risk (</w:t>
      </w:r>
      <w:r w:rsidR="003130ED" w:rsidRPr="00F5551F">
        <w:rPr>
          <w:rFonts w:ascii="DIN-Regular" w:eastAsia="Arial Unicode MS" w:hAnsi="DIN-Regular" w:cs="Arial"/>
          <w:szCs w:val="22"/>
          <w:lang w:eastAsia="en-GB"/>
        </w:rPr>
        <w:t>A</w:t>
      </w:r>
      <w:r w:rsidR="008C21E2" w:rsidRPr="00F5551F">
        <w:rPr>
          <w:rFonts w:ascii="DIN-Regular" w:eastAsia="Arial Unicode MS" w:hAnsi="DIN-Regular" w:cs="Arial"/>
          <w:szCs w:val="22"/>
          <w:lang w:eastAsia="en-GB"/>
        </w:rPr>
        <w:t xml:space="preserve">rticles 11 to 29, especially </w:t>
      </w:r>
      <w:r w:rsidR="00157FD6" w:rsidRPr="00F5551F">
        <w:rPr>
          <w:rFonts w:ascii="DIN-Regular" w:eastAsia="Arial Unicode MS" w:hAnsi="DIN-Regular" w:cs="Arial"/>
          <w:szCs w:val="22"/>
          <w:lang w:eastAsia="en-GB"/>
        </w:rPr>
        <w:t>A</w:t>
      </w:r>
      <w:r w:rsidR="008C21E2" w:rsidRPr="00F5551F">
        <w:rPr>
          <w:rFonts w:ascii="DIN-Regular" w:eastAsia="Arial Unicode MS" w:hAnsi="DIN-Regular" w:cs="Arial"/>
          <w:szCs w:val="22"/>
          <w:lang w:eastAsia="en-GB"/>
        </w:rPr>
        <w:t xml:space="preserve">rticles </w:t>
      </w:r>
      <w:r w:rsidR="00EF4B2D" w:rsidRPr="00F5551F">
        <w:rPr>
          <w:rFonts w:ascii="DIN-Regular" w:eastAsia="Arial Unicode MS" w:hAnsi="DIN-Regular" w:cs="Arial"/>
          <w:szCs w:val="22"/>
          <w:lang w:eastAsia="en-GB"/>
        </w:rPr>
        <w:t xml:space="preserve">12, </w:t>
      </w:r>
      <w:r w:rsidR="00656BDE" w:rsidRPr="00F5551F">
        <w:rPr>
          <w:rFonts w:ascii="DIN-Regular" w:eastAsia="Arial Unicode MS" w:hAnsi="DIN-Regular" w:cs="Arial"/>
          <w:szCs w:val="22"/>
          <w:lang w:eastAsia="en-GB"/>
        </w:rPr>
        <w:t xml:space="preserve">17, 18 </w:t>
      </w:r>
      <w:r w:rsidR="00636BE9" w:rsidRPr="00F5551F">
        <w:rPr>
          <w:rFonts w:ascii="DIN-Regular" w:eastAsia="Arial Unicode MS" w:hAnsi="DIN-Regular" w:cs="Arial"/>
          <w:szCs w:val="22"/>
          <w:lang w:eastAsia="en-GB"/>
        </w:rPr>
        <w:t>–</w:t>
      </w:r>
      <w:r w:rsidR="00656BDE" w:rsidRPr="00F5551F">
        <w:rPr>
          <w:rFonts w:ascii="DIN-Regular" w:eastAsia="Arial Unicode MS" w:hAnsi="DIN-Regular" w:cs="Arial"/>
          <w:szCs w:val="22"/>
          <w:lang w:eastAsia="en-GB"/>
        </w:rPr>
        <w:t xml:space="preserve"> 20</w:t>
      </w:r>
      <w:r w:rsidR="00636BE9" w:rsidRPr="00F5551F">
        <w:rPr>
          <w:rFonts w:ascii="DIN-Regular" w:eastAsia="Arial Unicode MS" w:hAnsi="DIN-Regular" w:cs="Arial"/>
          <w:szCs w:val="22"/>
          <w:lang w:eastAsia="en-GB"/>
        </w:rPr>
        <w:t>, 21 and subsequent</w:t>
      </w:r>
      <w:r w:rsidR="00656BDE" w:rsidRPr="00F5551F">
        <w:rPr>
          <w:rFonts w:ascii="DIN-Regular" w:eastAsia="Arial Unicode MS" w:hAnsi="DIN-Regular" w:cs="Arial"/>
          <w:szCs w:val="22"/>
          <w:lang w:eastAsia="en-GB"/>
        </w:rPr>
        <w:t xml:space="preserve"> </w:t>
      </w:r>
      <w:r w:rsidR="008C21E2" w:rsidRPr="00F5551F">
        <w:rPr>
          <w:rFonts w:ascii="DIN-Regular" w:eastAsia="Arial Unicode MS" w:hAnsi="DIN-Regular" w:cs="Arial"/>
          <w:szCs w:val="22"/>
          <w:lang w:eastAsia="en-GB"/>
        </w:rPr>
        <w:t>draft RTS) and (2) Liquidity risk (</w:t>
      </w:r>
      <w:r w:rsidR="003130ED" w:rsidRPr="00F5551F">
        <w:rPr>
          <w:rFonts w:ascii="DIN-Regular" w:eastAsia="Arial Unicode MS" w:hAnsi="DIN-Regular" w:cs="Arial"/>
          <w:szCs w:val="22"/>
          <w:lang w:eastAsia="en-GB"/>
        </w:rPr>
        <w:t>A</w:t>
      </w:r>
      <w:r w:rsidR="008C21E2" w:rsidRPr="00F5551F">
        <w:rPr>
          <w:rFonts w:ascii="DIN-Regular" w:eastAsia="Arial Unicode MS" w:hAnsi="DIN-Regular" w:cs="Arial"/>
          <w:szCs w:val="22"/>
          <w:lang w:eastAsia="en-GB"/>
        </w:rPr>
        <w:t xml:space="preserve">rticle 30 </w:t>
      </w:r>
      <w:r w:rsidR="008C4CA0" w:rsidRPr="00F5551F">
        <w:rPr>
          <w:rFonts w:ascii="DIN-Regular" w:eastAsia="Arial Unicode MS" w:hAnsi="DIN-Regular" w:cs="Arial"/>
          <w:szCs w:val="22"/>
          <w:lang w:eastAsia="en-GB"/>
        </w:rPr>
        <w:t>–</w:t>
      </w:r>
      <w:r w:rsidR="008C21E2" w:rsidRPr="00F5551F">
        <w:rPr>
          <w:rFonts w:ascii="DIN-Regular" w:eastAsia="Arial Unicode MS" w:hAnsi="DIN-Regular" w:cs="Arial"/>
          <w:szCs w:val="22"/>
          <w:lang w:eastAsia="en-GB"/>
        </w:rPr>
        <w:t xml:space="preserve"> </w:t>
      </w:r>
      <w:r w:rsidR="008C4CA0" w:rsidRPr="00F5551F">
        <w:rPr>
          <w:rFonts w:ascii="DIN-Regular" w:eastAsia="Arial Unicode MS" w:hAnsi="DIN-Regular" w:cs="Arial"/>
          <w:szCs w:val="22"/>
          <w:lang w:eastAsia="en-GB"/>
        </w:rPr>
        <w:t xml:space="preserve">41, especially </w:t>
      </w:r>
      <w:r w:rsidR="00157FD6" w:rsidRPr="00F5551F">
        <w:rPr>
          <w:rFonts w:ascii="DIN-Regular" w:eastAsia="Arial Unicode MS" w:hAnsi="DIN-Regular" w:cs="Arial"/>
          <w:szCs w:val="22"/>
          <w:lang w:eastAsia="en-GB"/>
        </w:rPr>
        <w:t>A</w:t>
      </w:r>
      <w:r w:rsidR="008C4CA0" w:rsidRPr="00F5551F">
        <w:rPr>
          <w:rFonts w:ascii="DIN-Regular" w:eastAsia="Arial Unicode MS" w:hAnsi="DIN-Regular" w:cs="Arial"/>
          <w:szCs w:val="22"/>
          <w:lang w:eastAsia="en-GB"/>
        </w:rPr>
        <w:t xml:space="preserve">rticle </w:t>
      </w:r>
      <w:r w:rsidR="00636BE9" w:rsidRPr="00F5551F">
        <w:rPr>
          <w:rFonts w:ascii="DIN-Regular" w:eastAsia="Arial Unicode MS" w:hAnsi="DIN-Regular" w:cs="Arial"/>
          <w:szCs w:val="22"/>
          <w:lang w:eastAsia="en-GB"/>
        </w:rPr>
        <w:t xml:space="preserve">31 (3) </w:t>
      </w:r>
      <w:r w:rsidR="008C4CA0" w:rsidRPr="00F5551F">
        <w:rPr>
          <w:rFonts w:ascii="DIN-Regular" w:eastAsia="Arial Unicode MS" w:hAnsi="DIN-Regular" w:cs="Arial"/>
          <w:szCs w:val="22"/>
          <w:lang w:eastAsia="en-GB"/>
        </w:rPr>
        <w:t>draft RTS) are not that precise.</w:t>
      </w:r>
      <w:r w:rsidRPr="00F5551F">
        <w:rPr>
          <w:rFonts w:ascii="DIN-Regular" w:eastAsia="Arial Unicode MS" w:hAnsi="DIN-Regular" w:cs="Arial"/>
          <w:szCs w:val="22"/>
          <w:lang w:eastAsia="en-GB"/>
        </w:rPr>
        <w:t xml:space="preserve"> In our reading, item (1)  is limited to credit risk coming from </w:t>
      </w:r>
      <w:r w:rsidRPr="00F5551F">
        <w:rPr>
          <w:rFonts w:ascii="DIN-Regular" w:eastAsia="Arial Unicode MS" w:hAnsi="DIN-Regular" w:cs="Arial"/>
          <w:b/>
          <w:szCs w:val="22"/>
          <w:u w:val="single"/>
          <w:lang w:eastAsia="en-GB"/>
        </w:rPr>
        <w:t>any kind of credit</w:t>
      </w:r>
      <w:r w:rsidRPr="00F5551F">
        <w:rPr>
          <w:rFonts w:ascii="DIN-Regular" w:eastAsia="Arial Unicode MS" w:hAnsi="DIN-Regular" w:cs="Arial"/>
          <w:szCs w:val="22"/>
          <w:lang w:eastAsia="en-GB"/>
        </w:rPr>
        <w:t xml:space="preserve"> </w:t>
      </w:r>
      <w:r w:rsidRPr="00F5551F">
        <w:rPr>
          <w:rFonts w:ascii="DIN-Regular" w:eastAsia="Arial Unicode MS" w:hAnsi="DIN-Regular" w:cs="Arial"/>
          <w:b/>
          <w:szCs w:val="22"/>
          <w:u w:val="single"/>
          <w:lang w:eastAsia="en-GB"/>
        </w:rPr>
        <w:t>towards participants / clients</w:t>
      </w:r>
      <w:r w:rsidRPr="00F5551F">
        <w:rPr>
          <w:rFonts w:ascii="DIN-Regular" w:eastAsia="Arial Unicode MS" w:hAnsi="DIN-Regular" w:cs="Arial"/>
          <w:szCs w:val="22"/>
          <w:lang w:eastAsia="en-GB"/>
        </w:rPr>
        <w:t xml:space="preserve"> of the CSD </w:t>
      </w:r>
      <w:r w:rsidR="00D647C5" w:rsidRPr="00F5551F">
        <w:rPr>
          <w:rFonts w:ascii="DIN-Regular" w:eastAsia="Arial Unicode MS" w:hAnsi="DIN-Regular" w:cs="Arial"/>
          <w:szCs w:val="22"/>
          <w:lang w:eastAsia="en-GB"/>
        </w:rPr>
        <w:t>(</w:t>
      </w:r>
      <w:r w:rsidR="00EF4B2D" w:rsidRPr="00F5551F">
        <w:rPr>
          <w:rFonts w:ascii="DIN-Regular" w:eastAsia="Arial Unicode MS" w:hAnsi="DIN-Regular" w:cs="Arial"/>
          <w:szCs w:val="22"/>
          <w:lang w:eastAsia="en-GB"/>
        </w:rPr>
        <w:t xml:space="preserve">see wording of </w:t>
      </w:r>
      <w:r w:rsidR="00157FD6" w:rsidRPr="00F5551F">
        <w:rPr>
          <w:rFonts w:ascii="DIN-Regular" w:eastAsia="Arial Unicode MS" w:hAnsi="DIN-Regular" w:cs="Arial"/>
          <w:szCs w:val="22"/>
          <w:lang w:eastAsia="en-GB"/>
        </w:rPr>
        <w:t>A</w:t>
      </w:r>
      <w:r w:rsidR="00EF4B2D" w:rsidRPr="00F5551F">
        <w:rPr>
          <w:rFonts w:ascii="DIN-Regular" w:eastAsia="Arial Unicode MS" w:hAnsi="DIN-Regular" w:cs="Arial"/>
          <w:szCs w:val="22"/>
          <w:lang w:eastAsia="en-GB"/>
        </w:rPr>
        <w:t xml:space="preserve">rticle 12 </w:t>
      </w:r>
      <w:r w:rsidR="0032011A" w:rsidRPr="00F5551F">
        <w:rPr>
          <w:rFonts w:ascii="DIN-Regular" w:eastAsia="Arial Unicode MS" w:hAnsi="DIN-Regular" w:cs="Arial"/>
          <w:szCs w:val="22"/>
          <w:lang w:eastAsia="en-GB"/>
        </w:rPr>
        <w:t>(</w:t>
      </w:r>
      <w:r w:rsidR="00EF4B2D" w:rsidRPr="00F5551F">
        <w:rPr>
          <w:rFonts w:ascii="DIN-Regular" w:eastAsia="Arial Unicode MS" w:hAnsi="DIN-Regular" w:cs="Arial"/>
          <w:szCs w:val="22"/>
          <w:lang w:eastAsia="en-GB"/>
        </w:rPr>
        <w:t>b</w:t>
      </w:r>
      <w:r w:rsidR="0032011A" w:rsidRPr="00F5551F">
        <w:rPr>
          <w:rFonts w:ascii="DIN-Regular" w:eastAsia="Arial Unicode MS" w:hAnsi="DIN-Regular" w:cs="Arial"/>
          <w:szCs w:val="22"/>
          <w:lang w:eastAsia="en-GB"/>
        </w:rPr>
        <w:t>)</w:t>
      </w:r>
      <w:r w:rsidR="00EF4B2D" w:rsidRPr="00F5551F">
        <w:rPr>
          <w:rFonts w:ascii="DIN-Regular" w:eastAsia="Arial Unicode MS" w:hAnsi="DIN-Regular" w:cs="Arial"/>
          <w:szCs w:val="22"/>
          <w:lang w:eastAsia="en-GB"/>
        </w:rPr>
        <w:t xml:space="preserve"> “borrowing participant”; </w:t>
      </w:r>
      <w:r w:rsidR="00D647C5" w:rsidRPr="00F5551F">
        <w:rPr>
          <w:rFonts w:ascii="DIN-Regular" w:eastAsia="Arial Unicode MS" w:hAnsi="DIN-Regular" w:cs="Arial"/>
          <w:szCs w:val="22"/>
          <w:lang w:eastAsia="en-GB"/>
        </w:rPr>
        <w:t xml:space="preserve">however, securities lending as principal may require dedicated treatment) </w:t>
      </w:r>
      <w:r w:rsidRPr="00F5551F">
        <w:rPr>
          <w:rFonts w:ascii="DIN-Regular" w:eastAsia="Arial Unicode MS" w:hAnsi="DIN-Regular" w:cs="Arial"/>
          <w:szCs w:val="22"/>
          <w:lang w:eastAsia="en-GB"/>
        </w:rPr>
        <w:t>and (</w:t>
      </w:r>
      <w:r w:rsidR="008C4CA0" w:rsidRPr="00F5551F">
        <w:rPr>
          <w:rFonts w:ascii="DIN-Regular" w:eastAsia="Arial Unicode MS" w:hAnsi="DIN-Regular" w:cs="Arial"/>
          <w:szCs w:val="22"/>
          <w:lang w:eastAsia="en-GB"/>
        </w:rPr>
        <w:t>2</w:t>
      </w:r>
      <w:r w:rsidRPr="00F5551F">
        <w:rPr>
          <w:rFonts w:ascii="DIN-Regular" w:eastAsia="Arial Unicode MS" w:hAnsi="DIN-Regular" w:cs="Arial"/>
          <w:szCs w:val="22"/>
          <w:lang w:eastAsia="en-GB"/>
        </w:rPr>
        <w:t xml:space="preserve">) is covering </w:t>
      </w:r>
      <w:r w:rsidRPr="00F5551F">
        <w:rPr>
          <w:rFonts w:ascii="DIN-Regular" w:eastAsia="Arial Unicode MS" w:hAnsi="DIN-Regular" w:cs="Arial"/>
          <w:b/>
          <w:szCs w:val="22"/>
          <w:u w:val="single"/>
          <w:lang w:eastAsia="en-GB"/>
        </w:rPr>
        <w:t>all kinds of liquidity risk</w:t>
      </w:r>
      <w:r w:rsidR="00D647C5" w:rsidRPr="00F5551F">
        <w:rPr>
          <w:rFonts w:ascii="DIN-Regular" w:eastAsia="Arial Unicode MS" w:hAnsi="DIN-Regular" w:cs="Arial"/>
          <w:b/>
          <w:szCs w:val="22"/>
          <w:u w:val="single"/>
          <w:lang w:eastAsia="en-GB"/>
        </w:rPr>
        <w:t xml:space="preserve"> regardless of the kind of counterparty</w:t>
      </w:r>
      <w:r w:rsidRPr="00F5551F">
        <w:rPr>
          <w:rFonts w:ascii="DIN-Regular" w:eastAsia="Arial Unicode MS" w:hAnsi="DIN-Regular" w:cs="Arial"/>
          <w:szCs w:val="22"/>
          <w:lang w:eastAsia="en-GB"/>
        </w:rPr>
        <w:t xml:space="preserve">. </w:t>
      </w:r>
      <w:r w:rsidR="00692C25" w:rsidRPr="00F5551F">
        <w:rPr>
          <w:rFonts w:ascii="DIN-Regular" w:eastAsia="Arial Unicode MS" w:hAnsi="DIN-Regular" w:cs="Arial"/>
          <w:szCs w:val="22"/>
          <w:lang w:eastAsia="en-GB"/>
        </w:rPr>
        <w:t>However</w:t>
      </w:r>
      <w:r w:rsidR="00656BDE" w:rsidRPr="00F5551F">
        <w:rPr>
          <w:rFonts w:ascii="DIN-Regular" w:eastAsia="Arial Unicode MS" w:hAnsi="DIN-Regular" w:cs="Arial"/>
          <w:szCs w:val="22"/>
          <w:lang w:eastAsia="en-GB"/>
        </w:rPr>
        <w:t>, without the attempt to be complete, quite some open topics exist like:</w:t>
      </w:r>
    </w:p>
    <w:p w:rsidR="00EF4B2D" w:rsidRPr="00F5551F" w:rsidRDefault="00F5551F" w:rsidP="00CE0924">
      <w:pPr>
        <w:pStyle w:val="ListParagraph"/>
        <w:numPr>
          <w:ilvl w:val="0"/>
          <w:numId w:val="20"/>
        </w:numPr>
        <w:spacing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Regarding</w:t>
      </w:r>
      <w:r w:rsidR="00692C25" w:rsidRPr="00F5551F">
        <w:rPr>
          <w:rFonts w:ascii="DIN-Regular" w:eastAsia="Arial Unicode MS" w:hAnsi="DIN-Regular" w:cs="Arial"/>
          <w:szCs w:val="22"/>
          <w:lang w:eastAsia="en-GB"/>
        </w:rPr>
        <w:t xml:space="preserve"> (2) Recital 16 of draft RTS is limiting the identification of liquidity risk to the providing of banking-type ancillary services and is asking for a </w:t>
      </w:r>
      <w:r w:rsidRPr="00F5551F">
        <w:rPr>
          <w:rFonts w:ascii="DIN-Regular" w:eastAsia="Arial Unicode MS" w:hAnsi="DIN-Regular" w:cs="Arial"/>
          <w:szCs w:val="22"/>
          <w:lang w:eastAsia="en-GB"/>
        </w:rPr>
        <w:t>distinction</w:t>
      </w:r>
      <w:r w:rsidR="00692C25" w:rsidRPr="00F5551F">
        <w:rPr>
          <w:rFonts w:ascii="DIN-Regular" w:eastAsia="Arial Unicode MS" w:hAnsi="DIN-Regular" w:cs="Arial"/>
          <w:szCs w:val="22"/>
          <w:lang w:eastAsia="en-GB"/>
        </w:rPr>
        <w:t xml:space="preserve"> if appropriate. Liquidity management however cannot be done on a fully segregated product by product basis and in principle net liquidity position may be the result of the (various) banking activities and held in a treasury position which in itself is not a banking-type of ancillary services. </w:t>
      </w:r>
    </w:p>
    <w:p w:rsidR="00EF4B2D" w:rsidRPr="00F5551F" w:rsidRDefault="00EF4B2D" w:rsidP="00CE0924">
      <w:pPr>
        <w:pStyle w:val="ListParagraph"/>
        <w:numPr>
          <w:ilvl w:val="0"/>
          <w:numId w:val="20"/>
        </w:numPr>
        <w:spacing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Regarding (1) Article 12 </w:t>
      </w:r>
      <w:r w:rsidR="0032011A" w:rsidRPr="00F5551F">
        <w:rPr>
          <w:rFonts w:ascii="DIN-Regular" w:eastAsia="Arial Unicode MS" w:hAnsi="DIN-Regular" w:cs="Arial"/>
          <w:szCs w:val="22"/>
          <w:lang w:eastAsia="en-GB"/>
        </w:rPr>
        <w:t>(</w:t>
      </w:r>
      <w:r w:rsidRPr="00F5551F">
        <w:rPr>
          <w:rFonts w:ascii="DIN-Regular" w:eastAsia="Arial Unicode MS" w:hAnsi="DIN-Regular" w:cs="Arial"/>
          <w:szCs w:val="22"/>
          <w:lang w:eastAsia="en-GB"/>
        </w:rPr>
        <w:t>a</w:t>
      </w:r>
      <w:r w:rsidR="0032011A" w:rsidRPr="00F5551F">
        <w:rPr>
          <w:rFonts w:ascii="DIN-Regular" w:eastAsia="Arial Unicode MS" w:hAnsi="DIN-Regular" w:cs="Arial"/>
          <w:szCs w:val="22"/>
          <w:lang w:eastAsia="en-GB"/>
        </w:rPr>
        <w:t>)</w:t>
      </w:r>
      <w:r w:rsidR="00AC5C23">
        <w:rPr>
          <w:rFonts w:ascii="DIN-Regular" w:eastAsia="Arial Unicode MS" w:hAnsi="DIN-Regular" w:cs="Arial"/>
          <w:szCs w:val="22"/>
          <w:lang w:eastAsia="en-GB"/>
        </w:rPr>
        <w:t xml:space="preserve"> of draft RTS</w:t>
      </w:r>
      <w:r w:rsidRPr="00F5551F">
        <w:rPr>
          <w:rFonts w:ascii="DIN-Regular" w:eastAsia="Arial Unicode MS" w:hAnsi="DIN-Regular" w:cs="Arial"/>
          <w:szCs w:val="22"/>
          <w:lang w:eastAsia="en-GB"/>
        </w:rPr>
        <w:t xml:space="preserve"> is looking for peaks and average intraday exposure monitoring of all banking-type of ancillary services not reflecting the same level of focus related to explicit “provision of intraday credit” as stated in </w:t>
      </w:r>
      <w:r w:rsidR="00FD4804" w:rsidRPr="00F5551F">
        <w:rPr>
          <w:rFonts w:ascii="DIN-Regular" w:eastAsia="Arial Unicode MS" w:hAnsi="DIN-Regular" w:cs="Arial"/>
          <w:szCs w:val="22"/>
          <w:lang w:eastAsia="en-GB"/>
        </w:rPr>
        <w:t>Recital</w:t>
      </w:r>
      <w:r w:rsidRPr="00F5551F">
        <w:rPr>
          <w:rFonts w:ascii="DIN-Regular" w:eastAsia="Arial Unicode MS" w:hAnsi="DIN-Regular" w:cs="Arial"/>
          <w:szCs w:val="22"/>
          <w:lang w:eastAsia="en-GB"/>
        </w:rPr>
        <w:t xml:space="preserve"> 13 and 14 </w:t>
      </w:r>
      <w:r w:rsidR="00AC5C23">
        <w:rPr>
          <w:rFonts w:ascii="DIN-Regular" w:eastAsia="Arial Unicode MS" w:hAnsi="DIN-Regular" w:cs="Arial"/>
          <w:szCs w:val="22"/>
          <w:lang w:eastAsia="en-GB"/>
        </w:rPr>
        <w:t xml:space="preserve">of draft RTS </w:t>
      </w:r>
      <w:r w:rsidRPr="00F5551F">
        <w:rPr>
          <w:rFonts w:ascii="DIN-Regular" w:eastAsia="Arial Unicode MS" w:hAnsi="DIN-Regular" w:cs="Arial"/>
          <w:szCs w:val="22"/>
          <w:lang w:eastAsia="en-GB"/>
        </w:rPr>
        <w:t xml:space="preserve">and therefore this would include </w:t>
      </w:r>
      <w:r w:rsidR="00F5551F" w:rsidRPr="00F5551F">
        <w:rPr>
          <w:rFonts w:ascii="DIN-Regular" w:eastAsia="Arial Unicode MS" w:hAnsi="DIN-Regular" w:cs="Arial"/>
          <w:szCs w:val="22"/>
          <w:lang w:eastAsia="en-GB"/>
        </w:rPr>
        <w:t>exposures</w:t>
      </w:r>
      <w:r w:rsidRPr="00F5551F">
        <w:rPr>
          <w:rFonts w:ascii="DIN-Regular" w:eastAsia="Arial Unicode MS" w:hAnsi="DIN-Regular" w:cs="Arial"/>
          <w:szCs w:val="22"/>
          <w:lang w:eastAsia="en-GB"/>
        </w:rPr>
        <w:t xml:space="preserve"> during the day from overnight products.</w:t>
      </w:r>
    </w:p>
    <w:p w:rsidR="00EF4B2D" w:rsidRPr="00F5551F" w:rsidRDefault="00EF4B2D" w:rsidP="00CE0924">
      <w:pPr>
        <w:pStyle w:val="ListParagraph"/>
        <w:numPr>
          <w:ilvl w:val="0"/>
          <w:numId w:val="20"/>
        </w:numPr>
        <w:spacing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Regarding (1) Article 12 </w:t>
      </w:r>
      <w:r w:rsidR="0032011A" w:rsidRPr="00F5551F">
        <w:rPr>
          <w:rFonts w:ascii="DIN-Regular" w:eastAsia="Arial Unicode MS" w:hAnsi="DIN-Regular" w:cs="Arial"/>
          <w:szCs w:val="22"/>
          <w:lang w:eastAsia="en-GB"/>
        </w:rPr>
        <w:t>(</w:t>
      </w:r>
      <w:r w:rsidRPr="00F5551F">
        <w:rPr>
          <w:rFonts w:ascii="DIN-Regular" w:eastAsia="Arial Unicode MS" w:hAnsi="DIN-Regular" w:cs="Arial"/>
          <w:szCs w:val="22"/>
          <w:lang w:eastAsia="en-GB"/>
        </w:rPr>
        <w:t>c</w:t>
      </w:r>
      <w:r w:rsidR="0032011A" w:rsidRPr="00F5551F">
        <w:rPr>
          <w:rFonts w:ascii="DIN-Regular" w:eastAsia="Arial Unicode MS" w:hAnsi="DIN-Regular" w:cs="Arial"/>
          <w:szCs w:val="22"/>
          <w:lang w:eastAsia="en-GB"/>
        </w:rPr>
        <w:t>)</w:t>
      </w:r>
      <w:r w:rsidRPr="00F5551F">
        <w:rPr>
          <w:rFonts w:ascii="DIN-Regular" w:eastAsia="Arial Unicode MS" w:hAnsi="DIN-Regular" w:cs="Arial"/>
          <w:szCs w:val="22"/>
          <w:lang w:eastAsia="en-GB"/>
        </w:rPr>
        <w:t xml:space="preserve"> </w:t>
      </w:r>
      <w:r w:rsidR="00AC5C23">
        <w:rPr>
          <w:rFonts w:ascii="DIN-Regular" w:eastAsia="Arial Unicode MS" w:hAnsi="DIN-Regular" w:cs="Arial"/>
          <w:szCs w:val="22"/>
          <w:lang w:eastAsia="en-GB"/>
        </w:rPr>
        <w:t xml:space="preserve">of draft RTS </w:t>
      </w:r>
      <w:r w:rsidRPr="00F5551F">
        <w:rPr>
          <w:rFonts w:ascii="DIN-Regular" w:eastAsia="Arial Unicode MS" w:hAnsi="DIN-Regular" w:cs="Arial"/>
          <w:szCs w:val="22"/>
          <w:lang w:eastAsia="en-GB"/>
        </w:rPr>
        <w:t xml:space="preserve">(“other counterparties”) is yielding to include </w:t>
      </w:r>
      <w:r w:rsidR="00656BDE" w:rsidRPr="00F5551F">
        <w:rPr>
          <w:rFonts w:ascii="DIN-Regular" w:eastAsia="Arial Unicode MS" w:hAnsi="DIN-Regular" w:cs="Arial"/>
          <w:szCs w:val="22"/>
          <w:lang w:eastAsia="en-GB"/>
        </w:rPr>
        <w:t xml:space="preserve">not just activities from the banking activities itself but also rather any other kind of activity and as such going beyond the scope assumed above. As this cannot be in scope of the credit activities as listed in </w:t>
      </w:r>
      <w:r w:rsidR="00F5551F">
        <w:rPr>
          <w:rFonts w:ascii="DIN-Regular" w:eastAsia="Arial Unicode MS" w:hAnsi="DIN-Regular" w:cs="Arial"/>
          <w:szCs w:val="22"/>
          <w:lang w:eastAsia="en-GB"/>
        </w:rPr>
        <w:t>(</w:t>
      </w:r>
      <w:r w:rsidR="00656BDE" w:rsidRPr="00F5551F">
        <w:rPr>
          <w:rFonts w:ascii="DIN-Regular" w:eastAsia="Arial Unicode MS" w:hAnsi="DIN-Regular" w:cs="Arial"/>
          <w:szCs w:val="22"/>
          <w:lang w:eastAsia="en-GB"/>
        </w:rPr>
        <w:t>b</w:t>
      </w:r>
      <w:r w:rsidR="00F5551F">
        <w:rPr>
          <w:rFonts w:ascii="DIN-Regular" w:eastAsia="Arial Unicode MS" w:hAnsi="DIN-Regular" w:cs="Arial"/>
          <w:szCs w:val="22"/>
          <w:lang w:eastAsia="en-GB"/>
        </w:rPr>
        <w:t>)</w:t>
      </w:r>
      <w:r w:rsidR="00656BDE" w:rsidRPr="00F5551F">
        <w:rPr>
          <w:rFonts w:ascii="DIN-Regular" w:eastAsia="Arial Unicode MS" w:hAnsi="DIN-Regular" w:cs="Arial"/>
          <w:szCs w:val="22"/>
          <w:lang w:eastAsia="en-GB"/>
        </w:rPr>
        <w:t xml:space="preserve"> and </w:t>
      </w:r>
      <w:r w:rsidR="00F5551F">
        <w:rPr>
          <w:rFonts w:ascii="DIN-Regular" w:eastAsia="Arial Unicode MS" w:hAnsi="DIN-Regular" w:cs="Arial"/>
          <w:szCs w:val="22"/>
          <w:lang w:eastAsia="en-GB"/>
        </w:rPr>
        <w:t>(</w:t>
      </w:r>
      <w:r w:rsidR="00656BDE" w:rsidRPr="00F5551F">
        <w:rPr>
          <w:rFonts w:ascii="DIN-Regular" w:eastAsia="Arial Unicode MS" w:hAnsi="DIN-Regular" w:cs="Arial"/>
          <w:szCs w:val="22"/>
          <w:lang w:eastAsia="en-GB"/>
        </w:rPr>
        <w:t>d</w:t>
      </w:r>
      <w:r w:rsidR="00F5551F">
        <w:rPr>
          <w:rFonts w:ascii="DIN-Regular" w:eastAsia="Arial Unicode MS" w:hAnsi="DIN-Regular" w:cs="Arial"/>
          <w:szCs w:val="22"/>
          <w:lang w:eastAsia="en-GB"/>
        </w:rPr>
        <w:t>)</w:t>
      </w:r>
      <w:r w:rsidR="00656BDE" w:rsidRPr="00F5551F">
        <w:rPr>
          <w:rFonts w:ascii="DIN-Regular" w:eastAsia="Arial Unicode MS" w:hAnsi="DIN-Regular" w:cs="Arial"/>
          <w:szCs w:val="22"/>
          <w:lang w:eastAsia="en-GB"/>
        </w:rPr>
        <w:t xml:space="preserve"> of section C of the Annex of CSD</w:t>
      </w:r>
      <w:r w:rsidR="00BC4D9A" w:rsidRPr="00F5551F">
        <w:rPr>
          <w:rFonts w:ascii="DIN-Regular" w:eastAsia="Arial Unicode MS" w:hAnsi="DIN-Regular" w:cs="Arial"/>
          <w:szCs w:val="22"/>
          <w:lang w:eastAsia="en-GB"/>
        </w:rPr>
        <w:t>-</w:t>
      </w:r>
      <w:r w:rsidR="00656BDE" w:rsidRPr="00F5551F">
        <w:rPr>
          <w:rFonts w:ascii="DIN-Regular" w:eastAsia="Arial Unicode MS" w:hAnsi="DIN-Regular" w:cs="Arial"/>
          <w:szCs w:val="22"/>
          <w:lang w:eastAsia="en-GB"/>
        </w:rPr>
        <w:t xml:space="preserve">R, we assume that </w:t>
      </w:r>
      <w:r w:rsidR="003130ED" w:rsidRPr="00F5551F">
        <w:rPr>
          <w:rFonts w:ascii="DIN-Regular" w:eastAsia="Arial Unicode MS" w:hAnsi="DIN-Regular" w:cs="Arial"/>
          <w:szCs w:val="22"/>
          <w:lang w:eastAsia="en-GB"/>
        </w:rPr>
        <w:t>A</w:t>
      </w:r>
      <w:r w:rsidR="00656BDE" w:rsidRPr="00F5551F">
        <w:rPr>
          <w:rFonts w:ascii="DIN-Regular" w:eastAsia="Arial Unicode MS" w:hAnsi="DIN-Regular" w:cs="Arial"/>
          <w:szCs w:val="22"/>
          <w:lang w:eastAsia="en-GB"/>
        </w:rPr>
        <w:t xml:space="preserve">rticle 12 </w:t>
      </w:r>
      <w:r w:rsidR="0032011A" w:rsidRPr="00F5551F">
        <w:rPr>
          <w:rFonts w:ascii="DIN-Regular" w:eastAsia="Arial Unicode MS" w:hAnsi="DIN-Regular" w:cs="Arial"/>
          <w:szCs w:val="22"/>
          <w:lang w:eastAsia="en-GB"/>
        </w:rPr>
        <w:t>(</w:t>
      </w:r>
      <w:r w:rsidR="00656BDE" w:rsidRPr="00F5551F">
        <w:rPr>
          <w:rFonts w:ascii="DIN-Regular" w:eastAsia="Arial Unicode MS" w:hAnsi="DIN-Regular" w:cs="Arial"/>
          <w:szCs w:val="22"/>
          <w:lang w:eastAsia="en-GB"/>
        </w:rPr>
        <w:t>c</w:t>
      </w:r>
      <w:r w:rsidR="0032011A" w:rsidRPr="00F5551F">
        <w:rPr>
          <w:rFonts w:ascii="DIN-Regular" w:eastAsia="Arial Unicode MS" w:hAnsi="DIN-Regular" w:cs="Arial"/>
          <w:szCs w:val="22"/>
          <w:lang w:eastAsia="en-GB"/>
        </w:rPr>
        <w:t>)</w:t>
      </w:r>
      <w:r w:rsidR="00656BDE" w:rsidRPr="00F5551F">
        <w:rPr>
          <w:rFonts w:ascii="DIN-Regular" w:eastAsia="Arial Unicode MS" w:hAnsi="DIN-Regular" w:cs="Arial"/>
          <w:szCs w:val="22"/>
          <w:lang w:eastAsia="en-GB"/>
        </w:rPr>
        <w:t xml:space="preserve"> goes beyond level 1 text.</w:t>
      </w:r>
    </w:p>
    <w:p w:rsidR="00656BDE" w:rsidRPr="00F5551F" w:rsidRDefault="00656BDE" w:rsidP="00CE0924">
      <w:pPr>
        <w:pStyle w:val="ListParagraph"/>
        <w:numPr>
          <w:ilvl w:val="0"/>
          <w:numId w:val="20"/>
        </w:numPr>
        <w:spacing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Regarding (1), Article 17 is </w:t>
      </w:r>
      <w:r w:rsidR="00F5551F" w:rsidRPr="00F5551F">
        <w:rPr>
          <w:rFonts w:ascii="DIN-Regular" w:eastAsia="Arial Unicode MS" w:hAnsi="DIN-Regular" w:cs="Arial"/>
          <w:szCs w:val="22"/>
          <w:lang w:eastAsia="en-GB"/>
        </w:rPr>
        <w:t>restricted</w:t>
      </w:r>
      <w:r w:rsidRPr="00F5551F">
        <w:rPr>
          <w:rFonts w:ascii="DIN-Regular" w:eastAsia="Arial Unicode MS" w:hAnsi="DIN-Regular" w:cs="Arial"/>
          <w:szCs w:val="22"/>
          <w:lang w:eastAsia="en-GB"/>
        </w:rPr>
        <w:t xml:space="preserve"> to credit limits to “participants” and is referring to </w:t>
      </w:r>
      <w:r w:rsidR="00157FD6" w:rsidRPr="00F5551F">
        <w:rPr>
          <w:rFonts w:ascii="DIN-Regular" w:eastAsia="Arial Unicode MS" w:hAnsi="DIN-Regular" w:cs="Arial"/>
          <w:szCs w:val="22"/>
          <w:lang w:eastAsia="en-GB"/>
        </w:rPr>
        <w:t>A</w:t>
      </w:r>
      <w:r w:rsidRPr="00F5551F">
        <w:rPr>
          <w:rFonts w:ascii="DIN-Regular" w:eastAsia="Arial Unicode MS" w:hAnsi="DIN-Regular" w:cs="Arial"/>
          <w:szCs w:val="22"/>
          <w:lang w:eastAsia="en-GB"/>
        </w:rPr>
        <w:t xml:space="preserve">rticle 11 (1) which may or may not be contradicting depending on the targeted reach of </w:t>
      </w:r>
      <w:r w:rsidR="00157FD6" w:rsidRPr="00F5551F">
        <w:rPr>
          <w:rFonts w:ascii="DIN-Regular" w:eastAsia="Arial Unicode MS" w:hAnsi="DIN-Regular" w:cs="Arial"/>
          <w:szCs w:val="22"/>
          <w:lang w:eastAsia="en-GB"/>
        </w:rPr>
        <w:t>A</w:t>
      </w:r>
      <w:r w:rsidRPr="00F5551F">
        <w:rPr>
          <w:rFonts w:ascii="DIN-Regular" w:eastAsia="Arial Unicode MS" w:hAnsi="DIN-Regular" w:cs="Arial"/>
          <w:szCs w:val="22"/>
          <w:lang w:eastAsia="en-GB"/>
        </w:rPr>
        <w:t>rticle 11 draft RTS.</w:t>
      </w:r>
    </w:p>
    <w:p w:rsidR="00656BDE" w:rsidRPr="00F5551F" w:rsidRDefault="00656BDE" w:rsidP="00CE0924">
      <w:pPr>
        <w:pStyle w:val="ListParagraph"/>
        <w:numPr>
          <w:ilvl w:val="0"/>
          <w:numId w:val="20"/>
        </w:numPr>
        <w:spacing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Regarding (1), Articles 18 to 20 seem to clearly focus on credits to participants and do not include collateral taken from collateralised money market investments</w:t>
      </w:r>
    </w:p>
    <w:p w:rsidR="00EF4B2D" w:rsidRPr="00F5551F" w:rsidRDefault="00EF4B2D" w:rsidP="00DA6980">
      <w:pPr>
        <w:pStyle w:val="ListParagraph"/>
        <w:spacing w:line="240" w:lineRule="auto"/>
        <w:ind w:left="0"/>
        <w:jc w:val="both"/>
        <w:rPr>
          <w:rFonts w:ascii="DIN-Regular" w:eastAsia="Arial Unicode MS" w:hAnsi="DIN-Regular" w:cs="Arial"/>
          <w:szCs w:val="22"/>
          <w:lang w:eastAsia="en-GB"/>
        </w:rPr>
      </w:pPr>
    </w:p>
    <w:p w:rsidR="001A6CED" w:rsidRPr="00F5551F" w:rsidRDefault="001A6CED"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We </w:t>
      </w:r>
      <w:r w:rsidR="00CE0924" w:rsidRPr="00F5551F">
        <w:rPr>
          <w:rFonts w:ascii="DIN-Regular" w:eastAsia="Arial Unicode MS" w:hAnsi="DIN-Regular" w:cs="Arial"/>
          <w:szCs w:val="22"/>
          <w:lang w:eastAsia="en-GB"/>
        </w:rPr>
        <w:t xml:space="preserve">therefore </w:t>
      </w:r>
      <w:r w:rsidRPr="00F5551F">
        <w:rPr>
          <w:rFonts w:ascii="DIN-Regular" w:eastAsia="Arial Unicode MS" w:hAnsi="DIN-Regular" w:cs="Arial"/>
          <w:szCs w:val="22"/>
          <w:lang w:eastAsia="en-GB"/>
        </w:rPr>
        <w:t>urge the EBA to clarify</w:t>
      </w:r>
      <w:r w:rsidR="00CE0924" w:rsidRPr="00F5551F">
        <w:rPr>
          <w:rFonts w:ascii="DIN-Regular" w:eastAsia="Arial Unicode MS" w:hAnsi="DIN-Regular" w:cs="Arial"/>
          <w:szCs w:val="22"/>
          <w:lang w:eastAsia="en-GB"/>
        </w:rPr>
        <w:t xml:space="preserve"> the</w:t>
      </w:r>
      <w:r w:rsidRPr="00F5551F">
        <w:rPr>
          <w:rFonts w:ascii="DIN-Regular" w:eastAsia="Arial Unicode MS" w:hAnsi="DIN-Regular" w:cs="Arial"/>
          <w:szCs w:val="22"/>
          <w:lang w:eastAsia="en-GB"/>
        </w:rPr>
        <w:t xml:space="preserve"> </w:t>
      </w:r>
      <w:r w:rsidR="00692C25" w:rsidRPr="00F5551F">
        <w:rPr>
          <w:rFonts w:ascii="DIN-Regular" w:eastAsia="Arial Unicode MS" w:hAnsi="DIN-Regular" w:cs="Arial"/>
          <w:szCs w:val="22"/>
          <w:lang w:eastAsia="en-GB"/>
        </w:rPr>
        <w:t>respective scope</w:t>
      </w:r>
      <w:r w:rsidRPr="00F5551F">
        <w:rPr>
          <w:rFonts w:ascii="DIN-Regular" w:eastAsia="Arial Unicode MS" w:hAnsi="DIN-Regular" w:cs="Arial"/>
          <w:szCs w:val="22"/>
          <w:lang w:eastAsia="en-GB"/>
        </w:rPr>
        <w:t xml:space="preserve">, e.g. by stating the targets </w:t>
      </w:r>
      <w:r w:rsidR="00692C25" w:rsidRPr="00F5551F">
        <w:rPr>
          <w:rFonts w:ascii="DIN-Regular" w:eastAsia="Arial Unicode MS" w:hAnsi="DIN-Regular" w:cs="Arial"/>
          <w:szCs w:val="22"/>
          <w:lang w:eastAsia="en-GB"/>
        </w:rPr>
        <w:t xml:space="preserve">clearly </w:t>
      </w:r>
      <w:r w:rsidRPr="00F5551F">
        <w:rPr>
          <w:rFonts w:ascii="DIN-Regular" w:eastAsia="Arial Unicode MS" w:hAnsi="DIN-Regular" w:cs="Arial"/>
          <w:szCs w:val="22"/>
          <w:lang w:eastAsia="en-GB"/>
        </w:rPr>
        <w:t xml:space="preserve">in the </w:t>
      </w:r>
      <w:r w:rsidR="00FD4804" w:rsidRPr="00F5551F">
        <w:rPr>
          <w:rFonts w:ascii="DIN-Regular" w:eastAsia="Arial Unicode MS" w:hAnsi="DIN-Regular" w:cs="Arial"/>
          <w:szCs w:val="22"/>
          <w:lang w:eastAsia="en-GB"/>
        </w:rPr>
        <w:t>Recital</w:t>
      </w:r>
      <w:r w:rsidRPr="00F5551F">
        <w:rPr>
          <w:rFonts w:ascii="DIN-Regular" w:eastAsia="Arial Unicode MS" w:hAnsi="DIN-Regular" w:cs="Arial"/>
          <w:szCs w:val="22"/>
          <w:lang w:eastAsia="en-GB"/>
        </w:rPr>
        <w:t>s</w:t>
      </w:r>
      <w:r w:rsidR="00692C25" w:rsidRPr="00F5551F">
        <w:rPr>
          <w:rFonts w:ascii="DIN-Regular" w:eastAsia="Arial Unicode MS" w:hAnsi="DIN-Regular" w:cs="Arial"/>
          <w:szCs w:val="22"/>
          <w:lang w:eastAsia="en-GB"/>
        </w:rPr>
        <w:t xml:space="preserve"> </w:t>
      </w:r>
      <w:r w:rsidR="00636BE9" w:rsidRPr="00F5551F">
        <w:rPr>
          <w:rFonts w:ascii="DIN-Regular" w:eastAsia="Arial Unicode MS" w:hAnsi="DIN-Regular" w:cs="Arial"/>
          <w:szCs w:val="22"/>
          <w:lang w:eastAsia="en-GB"/>
        </w:rPr>
        <w:t xml:space="preserve">for (1) </w:t>
      </w:r>
      <w:r w:rsidR="00692C25" w:rsidRPr="00F5551F">
        <w:rPr>
          <w:rFonts w:ascii="DIN-Regular" w:eastAsia="Arial Unicode MS" w:hAnsi="DIN-Regular" w:cs="Arial"/>
          <w:szCs w:val="22"/>
          <w:lang w:eastAsia="en-GB"/>
        </w:rPr>
        <w:t xml:space="preserve">and by updating </w:t>
      </w:r>
      <w:r w:rsidR="00FD4804" w:rsidRPr="00F5551F">
        <w:rPr>
          <w:rFonts w:ascii="DIN-Regular" w:eastAsia="Arial Unicode MS" w:hAnsi="DIN-Regular" w:cs="Arial"/>
          <w:szCs w:val="22"/>
          <w:lang w:eastAsia="en-GB"/>
        </w:rPr>
        <w:t>Recital</w:t>
      </w:r>
      <w:r w:rsidR="00692C25" w:rsidRPr="00F5551F">
        <w:rPr>
          <w:rFonts w:ascii="DIN-Regular" w:eastAsia="Arial Unicode MS" w:hAnsi="DIN-Regular" w:cs="Arial"/>
          <w:szCs w:val="22"/>
          <w:lang w:eastAsia="en-GB"/>
        </w:rPr>
        <w:t xml:space="preserve"> 16</w:t>
      </w:r>
      <w:r w:rsidR="00636BE9" w:rsidRPr="00F5551F">
        <w:rPr>
          <w:rFonts w:ascii="DIN-Regular" w:eastAsia="Arial Unicode MS" w:hAnsi="DIN-Regular" w:cs="Arial"/>
          <w:szCs w:val="22"/>
          <w:lang w:eastAsia="en-GB"/>
        </w:rPr>
        <w:t xml:space="preserve"> related to (2)</w:t>
      </w:r>
      <w:r w:rsidR="00692C25" w:rsidRPr="00F5551F">
        <w:rPr>
          <w:rFonts w:ascii="DIN-Regular" w:eastAsia="Arial Unicode MS" w:hAnsi="DIN-Regular" w:cs="Arial"/>
          <w:szCs w:val="22"/>
          <w:lang w:eastAsia="en-GB"/>
        </w:rPr>
        <w:t>.</w:t>
      </w:r>
    </w:p>
    <w:p w:rsidR="00684860" w:rsidRPr="00F5551F" w:rsidRDefault="00684860" w:rsidP="00DA6980">
      <w:pPr>
        <w:pStyle w:val="ListParagraph"/>
        <w:spacing w:line="240" w:lineRule="auto"/>
        <w:ind w:left="0"/>
        <w:jc w:val="both"/>
        <w:rPr>
          <w:rFonts w:ascii="DIN-Regular" w:eastAsia="Arial Unicode MS" w:hAnsi="DIN-Regular" w:cs="Arial"/>
          <w:szCs w:val="22"/>
          <w:lang w:eastAsia="en-GB"/>
        </w:rPr>
      </w:pPr>
    </w:p>
    <w:p w:rsidR="006A0FC7" w:rsidRDefault="006A0FC7"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While we see benefits for the general approach to calculate the </w:t>
      </w:r>
      <w:r w:rsidRPr="00F5551F">
        <w:rPr>
          <w:rFonts w:ascii="DIN-Regular" w:eastAsia="Arial Unicode MS" w:hAnsi="DIN-Regular" w:cs="Arial"/>
          <w:b/>
          <w:szCs w:val="22"/>
          <w:bdr w:val="single" w:sz="4" w:space="0" w:color="auto"/>
          <w:lang w:eastAsia="en-GB"/>
        </w:rPr>
        <w:t xml:space="preserve">capital </w:t>
      </w:r>
      <w:r w:rsidR="00C443D4" w:rsidRPr="00F5551F">
        <w:rPr>
          <w:rFonts w:ascii="DIN-Regular" w:eastAsia="Arial Unicode MS" w:hAnsi="DIN-Regular" w:cs="Arial"/>
          <w:b/>
          <w:szCs w:val="22"/>
          <w:bdr w:val="single" w:sz="4" w:space="0" w:color="auto"/>
          <w:lang w:eastAsia="en-GB"/>
        </w:rPr>
        <w:t>sur</w:t>
      </w:r>
      <w:r w:rsidRPr="00F5551F">
        <w:rPr>
          <w:rFonts w:ascii="DIN-Regular" w:eastAsia="Arial Unicode MS" w:hAnsi="DIN-Regular" w:cs="Arial"/>
          <w:b/>
          <w:szCs w:val="22"/>
          <w:bdr w:val="single" w:sz="4" w:space="0" w:color="auto"/>
          <w:lang w:eastAsia="en-GB"/>
        </w:rPr>
        <w:t xml:space="preserve">charge for intraday </w:t>
      </w:r>
      <w:r w:rsidR="00C443D4" w:rsidRPr="00F5551F">
        <w:rPr>
          <w:rFonts w:ascii="DIN-Regular" w:eastAsia="Arial Unicode MS" w:hAnsi="DIN-Regular" w:cs="Arial"/>
          <w:b/>
          <w:szCs w:val="22"/>
          <w:bdr w:val="single" w:sz="4" w:space="0" w:color="auto"/>
          <w:lang w:eastAsia="en-GB"/>
        </w:rPr>
        <w:t>credits</w:t>
      </w:r>
      <w:r w:rsidRPr="00F5551F">
        <w:rPr>
          <w:rFonts w:ascii="DIN-Regular" w:eastAsia="Arial Unicode MS" w:hAnsi="DIN-Regular" w:cs="Arial"/>
          <w:szCs w:val="22"/>
          <w:lang w:eastAsia="en-GB"/>
        </w:rPr>
        <w:t xml:space="preserve"> based on a </w:t>
      </w:r>
      <w:r w:rsidR="00D647C5" w:rsidRPr="00F5551F">
        <w:rPr>
          <w:rFonts w:ascii="DIN-Regular" w:eastAsia="Arial Unicode MS" w:hAnsi="DIN-Regular" w:cs="Arial"/>
          <w:szCs w:val="22"/>
          <w:lang w:eastAsia="en-GB"/>
        </w:rPr>
        <w:t>“</w:t>
      </w:r>
      <w:r w:rsidRPr="00F5551F">
        <w:rPr>
          <w:rFonts w:ascii="DIN-Regular" w:eastAsia="Arial Unicode MS" w:hAnsi="DIN-Regular" w:cs="Arial"/>
          <w:szCs w:val="22"/>
          <w:lang w:eastAsia="en-GB"/>
        </w:rPr>
        <w:t>peak</w:t>
      </w:r>
      <w:r w:rsidR="00D647C5" w:rsidRPr="00F5551F">
        <w:rPr>
          <w:rFonts w:ascii="DIN-Regular" w:eastAsia="Arial Unicode MS" w:hAnsi="DIN-Regular" w:cs="Arial"/>
          <w:szCs w:val="22"/>
          <w:lang w:eastAsia="en-GB"/>
        </w:rPr>
        <w:t>”</w:t>
      </w:r>
      <w:r w:rsidRPr="00F5551F">
        <w:rPr>
          <w:rFonts w:ascii="DIN-Regular" w:eastAsia="Arial Unicode MS" w:hAnsi="DIN-Regular" w:cs="Arial"/>
          <w:szCs w:val="22"/>
          <w:lang w:eastAsia="en-GB"/>
        </w:rPr>
        <w:t xml:space="preserve"> situation and using the general CRR rules for overnight exposures</w:t>
      </w:r>
      <w:r w:rsidR="00D647C5" w:rsidRPr="00F5551F">
        <w:rPr>
          <w:rFonts w:ascii="DIN-Regular" w:eastAsia="Arial Unicode MS" w:hAnsi="DIN-Regular" w:cs="Arial"/>
          <w:szCs w:val="22"/>
          <w:lang w:eastAsia="en-GB"/>
        </w:rPr>
        <w:t xml:space="preserve"> for that purpose</w:t>
      </w:r>
      <w:r w:rsidR="00E655AE">
        <w:rPr>
          <w:rFonts w:ascii="DIN-Regular" w:eastAsia="Arial Unicode MS" w:hAnsi="DIN-Regular" w:cs="Arial"/>
          <w:szCs w:val="22"/>
          <w:lang w:eastAsia="en-GB"/>
        </w:rPr>
        <w:t>, we disagree with</w:t>
      </w:r>
      <w:r w:rsidRPr="00F5551F">
        <w:rPr>
          <w:rFonts w:ascii="DIN-Regular" w:eastAsia="Arial Unicode MS" w:hAnsi="DIN-Regular" w:cs="Arial"/>
          <w:szCs w:val="22"/>
          <w:lang w:eastAsia="en-GB"/>
        </w:rPr>
        <w:t xml:space="preserve"> a number of elements of the concrete proposal</w:t>
      </w:r>
      <w:r w:rsidR="00A41EA5" w:rsidRPr="00F5551F">
        <w:rPr>
          <w:rFonts w:ascii="DIN-Regular" w:eastAsia="Arial Unicode MS" w:hAnsi="DIN-Regular" w:cs="Arial"/>
          <w:szCs w:val="22"/>
          <w:lang w:eastAsia="en-GB"/>
        </w:rPr>
        <w:t>.</w:t>
      </w:r>
    </w:p>
    <w:p w:rsidR="00AC5C23" w:rsidRPr="00F5551F" w:rsidRDefault="00AC5C23" w:rsidP="00DA6980">
      <w:pPr>
        <w:pStyle w:val="ListParagraph"/>
        <w:spacing w:line="240" w:lineRule="auto"/>
        <w:ind w:left="0"/>
        <w:jc w:val="both"/>
        <w:rPr>
          <w:rFonts w:ascii="DIN-Regular" w:eastAsia="Arial Unicode MS" w:hAnsi="DIN-Regular" w:cs="Arial"/>
          <w:szCs w:val="22"/>
          <w:lang w:eastAsia="en-GB"/>
        </w:rPr>
      </w:pPr>
    </w:p>
    <w:p w:rsidR="006A0FC7" w:rsidRPr="00F5551F" w:rsidRDefault="006A0FC7"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Our concerns centre to the following areas:</w:t>
      </w:r>
    </w:p>
    <w:p w:rsidR="00992B10" w:rsidRPr="00F5551F" w:rsidRDefault="00992B10" w:rsidP="00992B10">
      <w:pPr>
        <w:pStyle w:val="ListParagraph"/>
        <w:numPr>
          <w:ilvl w:val="0"/>
          <w:numId w:val="4"/>
        </w:numPr>
        <w:spacing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Peak intraday exposures at the </w:t>
      </w:r>
      <w:r w:rsidR="00FD4804" w:rsidRPr="00F5551F">
        <w:rPr>
          <w:rFonts w:ascii="DIN-Regular" w:eastAsia="Arial Unicode MS" w:hAnsi="DIN-Regular" w:cs="Arial"/>
          <w:szCs w:val="22"/>
          <w:lang w:eastAsia="en-GB"/>
        </w:rPr>
        <w:t>(I</w:t>
      </w:r>
      <w:proofErr w:type="gramStart"/>
      <w:r w:rsidR="00FD4804" w:rsidRPr="00F5551F">
        <w:rPr>
          <w:rFonts w:ascii="DIN-Regular" w:eastAsia="Arial Unicode MS" w:hAnsi="DIN-Regular" w:cs="Arial"/>
          <w:szCs w:val="22"/>
          <w:lang w:eastAsia="en-GB"/>
        </w:rPr>
        <w:t>)CSD</w:t>
      </w:r>
      <w:r w:rsidRPr="00F5551F">
        <w:rPr>
          <w:rFonts w:ascii="DIN-Regular" w:eastAsia="Arial Unicode MS" w:hAnsi="DIN-Regular" w:cs="Arial"/>
          <w:szCs w:val="22"/>
          <w:lang w:eastAsia="en-GB"/>
        </w:rPr>
        <w:t>s</w:t>
      </w:r>
      <w:proofErr w:type="gramEnd"/>
      <w:r w:rsidRPr="00F5551F">
        <w:rPr>
          <w:rFonts w:ascii="DIN-Regular" w:eastAsia="Arial Unicode MS" w:hAnsi="DIN-Regular" w:cs="Arial"/>
          <w:szCs w:val="22"/>
          <w:lang w:eastAsia="en-GB"/>
        </w:rPr>
        <w:t xml:space="preserve"> may last for a couple of minutes only and are not necessarily representative of the intraday credit-granting activities of the </w:t>
      </w:r>
      <w:r w:rsidR="00FD4804" w:rsidRPr="00F5551F">
        <w:rPr>
          <w:rFonts w:ascii="DIN-Regular" w:eastAsia="Arial Unicode MS" w:hAnsi="DIN-Regular" w:cs="Arial"/>
          <w:szCs w:val="22"/>
          <w:lang w:eastAsia="en-GB"/>
        </w:rPr>
        <w:t>(I)CSD</w:t>
      </w:r>
      <w:r w:rsidRPr="00F5551F">
        <w:rPr>
          <w:rFonts w:ascii="DIN-Regular" w:eastAsia="Arial Unicode MS" w:hAnsi="DIN-Regular" w:cs="Arial"/>
          <w:szCs w:val="22"/>
          <w:lang w:eastAsia="en-GB"/>
        </w:rPr>
        <w:t xml:space="preserve">s.  As a consequence, and in our opinion, “the highest intraday credit exposure” observed in the course of the “most recent calendar year” (as per Article 9 (1) a)) is not a valid proxy for the </w:t>
      </w:r>
      <w:r w:rsidR="00FD4804" w:rsidRPr="00F5551F">
        <w:rPr>
          <w:rFonts w:ascii="DIN-Regular" w:eastAsia="Arial Unicode MS" w:hAnsi="DIN-Regular" w:cs="Arial"/>
          <w:szCs w:val="22"/>
          <w:lang w:eastAsia="en-GB"/>
        </w:rPr>
        <w:t>(I</w:t>
      </w:r>
      <w:proofErr w:type="gramStart"/>
      <w:r w:rsidR="00FD4804" w:rsidRPr="00F5551F">
        <w:rPr>
          <w:rFonts w:ascii="DIN-Regular" w:eastAsia="Arial Unicode MS" w:hAnsi="DIN-Regular" w:cs="Arial"/>
          <w:szCs w:val="22"/>
          <w:lang w:eastAsia="en-GB"/>
        </w:rPr>
        <w:t>)CSD</w:t>
      </w:r>
      <w:r w:rsidRPr="00F5551F">
        <w:rPr>
          <w:rFonts w:ascii="DIN-Regular" w:eastAsia="Arial Unicode MS" w:hAnsi="DIN-Regular" w:cs="Arial"/>
          <w:szCs w:val="22"/>
          <w:lang w:eastAsia="en-GB"/>
        </w:rPr>
        <w:t>s</w:t>
      </w:r>
      <w:proofErr w:type="gramEnd"/>
      <w:r w:rsidRPr="00F5551F">
        <w:rPr>
          <w:rFonts w:ascii="DIN-Regular" w:eastAsia="Arial Unicode MS" w:hAnsi="DIN-Regular" w:cs="Arial"/>
          <w:szCs w:val="22"/>
          <w:lang w:eastAsia="en-GB"/>
        </w:rPr>
        <w:t xml:space="preserve"> credit granting activities and, hence, should not be used as a basis for the capital surcharge.</w:t>
      </w:r>
    </w:p>
    <w:p w:rsidR="00992B10" w:rsidRPr="00F5551F" w:rsidRDefault="00992B10" w:rsidP="00992B10">
      <w:pPr>
        <w:pStyle w:val="ListParagraph"/>
        <w:numPr>
          <w:ilvl w:val="0"/>
          <w:numId w:val="4"/>
        </w:numPr>
        <w:spacing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The intraday exposures may continue overnight and are in such cases technically included twice in the capital charge.</w:t>
      </w:r>
    </w:p>
    <w:p w:rsidR="00992B10" w:rsidRPr="00F5551F" w:rsidRDefault="00992B10" w:rsidP="00992B10">
      <w:pPr>
        <w:pStyle w:val="ListParagraph"/>
        <w:numPr>
          <w:ilvl w:val="0"/>
          <w:numId w:val="4"/>
        </w:numPr>
        <w:spacing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The calculation of the capital charge for credit risk based on CRR already includes risk weights and specifically haircuts. The haircuts foreseen in CRR take into account quality of the collateral, remaining maturity of the collateral and any potential currency mismatch. Moreover, </w:t>
      </w:r>
      <w:r w:rsidRPr="00F5551F">
        <w:rPr>
          <w:rFonts w:ascii="DIN-Regular" w:eastAsia="Arial Unicode MS" w:hAnsi="DIN-Regular" w:cs="Arial"/>
          <w:szCs w:val="22"/>
          <w:lang w:eastAsia="en-GB"/>
        </w:rPr>
        <w:lastRenderedPageBreak/>
        <w:t>the haircuts are using liquidation periods of up to 20 days and are in general substantially lower than the proposed 10 percent haircut for very short liquidation periods. As such, we disagree to such a flat haircut which is not taking care of the underlying market risks.</w:t>
      </w:r>
    </w:p>
    <w:p w:rsidR="00992B10" w:rsidRPr="00F5551F" w:rsidRDefault="00992B10" w:rsidP="00992B10">
      <w:pPr>
        <w:pStyle w:val="ListParagraph"/>
        <w:numPr>
          <w:ilvl w:val="0"/>
          <w:numId w:val="4"/>
        </w:numPr>
        <w:spacing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In addition to the flat and very high proposed haircut, the proposal foresees to use the complete CRR model, i.e. to have the CRR haircuts </w:t>
      </w:r>
      <w:r w:rsidRPr="00F5551F">
        <w:rPr>
          <w:rFonts w:ascii="DIN-Regular" w:eastAsia="Arial Unicode MS" w:hAnsi="DIN-Regular" w:cs="Arial"/>
          <w:b/>
          <w:szCs w:val="22"/>
          <w:u w:val="single"/>
          <w:lang w:eastAsia="en-GB"/>
        </w:rPr>
        <w:t>on top</w:t>
      </w:r>
      <w:r w:rsidRPr="00F5551F">
        <w:rPr>
          <w:rFonts w:ascii="DIN-Regular" w:eastAsia="Arial Unicode MS" w:hAnsi="DIN-Regular" w:cs="Arial"/>
          <w:szCs w:val="22"/>
          <w:lang w:eastAsia="en-GB"/>
        </w:rPr>
        <w:t xml:space="preserve"> of the proposed haircut of 10 percent. We clearly reject the double haircutting here as it may lead the </w:t>
      </w:r>
      <w:r w:rsidR="00FD4804" w:rsidRPr="00F5551F">
        <w:rPr>
          <w:rFonts w:ascii="DIN-Regular" w:eastAsia="Arial Unicode MS" w:hAnsi="DIN-Regular" w:cs="Arial"/>
          <w:szCs w:val="22"/>
          <w:lang w:eastAsia="en-GB"/>
        </w:rPr>
        <w:t>(I</w:t>
      </w:r>
      <w:proofErr w:type="gramStart"/>
      <w:r w:rsidR="00FD4804" w:rsidRPr="00F5551F">
        <w:rPr>
          <w:rFonts w:ascii="DIN-Regular" w:eastAsia="Arial Unicode MS" w:hAnsi="DIN-Regular" w:cs="Arial"/>
          <w:szCs w:val="22"/>
          <w:lang w:eastAsia="en-GB"/>
        </w:rPr>
        <w:t>)CSD</w:t>
      </w:r>
      <w:r w:rsidRPr="00F5551F">
        <w:rPr>
          <w:rFonts w:ascii="DIN-Regular" w:eastAsia="Arial Unicode MS" w:hAnsi="DIN-Regular" w:cs="Arial"/>
          <w:szCs w:val="22"/>
          <w:lang w:eastAsia="en-GB"/>
        </w:rPr>
        <w:t>s</w:t>
      </w:r>
      <w:proofErr w:type="gramEnd"/>
      <w:r w:rsidRPr="00F5551F">
        <w:rPr>
          <w:rFonts w:ascii="DIN-Regular" w:eastAsia="Arial Unicode MS" w:hAnsi="DIN-Regular" w:cs="Arial"/>
          <w:szCs w:val="22"/>
          <w:lang w:eastAsia="en-GB"/>
        </w:rPr>
        <w:t xml:space="preserve"> to impose higher collateral costs on participants or, alternatively, reduce the provision of settlement liquidity.</w:t>
      </w:r>
    </w:p>
    <w:p w:rsidR="00992B10" w:rsidRPr="00F5551F" w:rsidRDefault="00992B10" w:rsidP="00992B10">
      <w:pPr>
        <w:pStyle w:val="ListParagraph"/>
        <w:numPr>
          <w:ilvl w:val="0"/>
          <w:numId w:val="4"/>
        </w:numPr>
        <w:spacing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Overall, we urge the EBA, </w:t>
      </w:r>
      <w:r w:rsidRPr="00F5551F">
        <w:rPr>
          <w:rFonts w:ascii="DIN-Regular" w:eastAsia="Arial Unicode MS" w:hAnsi="DIN-Regular" w:cs="Arial"/>
          <w:b/>
          <w:szCs w:val="22"/>
          <w:u w:val="single"/>
          <w:lang w:eastAsia="en-GB"/>
        </w:rPr>
        <w:t>not to set</w:t>
      </w:r>
      <w:r w:rsidRPr="00F5551F">
        <w:rPr>
          <w:rFonts w:ascii="DIN-Regular" w:eastAsia="Arial Unicode MS" w:hAnsi="DIN-Regular" w:cs="Arial"/>
          <w:szCs w:val="22"/>
          <w:lang w:eastAsia="en-GB"/>
        </w:rPr>
        <w:t xml:space="preserve"> haircuts </w:t>
      </w:r>
      <w:r w:rsidRPr="00F5551F">
        <w:rPr>
          <w:rFonts w:ascii="DIN-Regular" w:eastAsia="Arial Unicode MS" w:hAnsi="DIN-Regular" w:cs="Arial"/>
          <w:b/>
          <w:szCs w:val="22"/>
          <w:u w:val="single"/>
          <w:lang w:eastAsia="en-GB"/>
        </w:rPr>
        <w:t>in addition</w:t>
      </w:r>
      <w:r w:rsidRPr="00F5551F">
        <w:rPr>
          <w:rFonts w:ascii="DIN-Regular" w:eastAsia="Arial Unicode MS" w:hAnsi="DIN-Regular" w:cs="Arial"/>
          <w:szCs w:val="22"/>
          <w:lang w:eastAsia="en-GB"/>
        </w:rPr>
        <w:t xml:space="preserve"> or </w:t>
      </w:r>
      <w:r w:rsidRPr="00F5551F">
        <w:rPr>
          <w:rFonts w:ascii="DIN-Regular" w:eastAsia="Arial Unicode MS" w:hAnsi="DIN-Regular" w:cs="Arial"/>
          <w:b/>
          <w:szCs w:val="22"/>
          <w:u w:val="single"/>
          <w:lang w:eastAsia="en-GB"/>
        </w:rPr>
        <w:t>instead</w:t>
      </w:r>
      <w:r w:rsidRPr="00F5551F">
        <w:rPr>
          <w:rFonts w:ascii="DIN-Regular" w:eastAsia="Arial Unicode MS" w:hAnsi="DIN-Regular" w:cs="Arial"/>
          <w:szCs w:val="22"/>
          <w:lang w:eastAsia="en-GB"/>
        </w:rPr>
        <w:t xml:space="preserve"> of the CRR haircuts but to foresee the </w:t>
      </w:r>
      <w:r w:rsidRPr="00F5551F">
        <w:rPr>
          <w:rFonts w:ascii="DIN-Regular" w:eastAsia="Arial Unicode MS" w:hAnsi="DIN-Regular" w:cs="Arial"/>
          <w:b/>
          <w:szCs w:val="22"/>
          <w:u w:val="single"/>
          <w:lang w:eastAsia="en-GB"/>
        </w:rPr>
        <w:t>standard haircuts under CRR only</w:t>
      </w:r>
      <w:r w:rsidRPr="00F5551F">
        <w:rPr>
          <w:rFonts w:ascii="DIN-Regular" w:eastAsia="Arial Unicode MS" w:hAnsi="DIN-Regular" w:cs="Arial"/>
          <w:szCs w:val="22"/>
          <w:lang w:eastAsia="en-GB"/>
        </w:rPr>
        <w:t xml:space="preserve"> (which may exclude internal haircuts under the standardised method).</w:t>
      </w:r>
    </w:p>
    <w:p w:rsidR="00A451AF" w:rsidRPr="00F5551F" w:rsidRDefault="00A451AF" w:rsidP="00A451AF">
      <w:pPr>
        <w:pStyle w:val="ListParagraph"/>
        <w:numPr>
          <w:ilvl w:val="0"/>
          <w:numId w:val="4"/>
        </w:numPr>
        <w:spacing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The proposed method to our understanding looks to </w:t>
      </w:r>
      <w:r w:rsidRPr="00F5551F">
        <w:rPr>
          <w:rFonts w:ascii="DIN-Regular" w:eastAsia="Arial Unicode MS" w:hAnsi="DIN-Regular" w:cs="Arial"/>
          <w:b/>
          <w:szCs w:val="22"/>
          <w:u w:val="single"/>
          <w:lang w:eastAsia="en-GB"/>
        </w:rPr>
        <w:t>used</w:t>
      </w:r>
      <w:r w:rsidRPr="00F5551F">
        <w:rPr>
          <w:rFonts w:ascii="DIN-Regular" w:eastAsia="Arial Unicode MS" w:hAnsi="DIN-Regular" w:cs="Arial"/>
          <w:b/>
          <w:szCs w:val="22"/>
          <w:lang w:eastAsia="en-GB"/>
        </w:rPr>
        <w:t xml:space="preserve"> </w:t>
      </w:r>
      <w:r w:rsidRPr="00F5551F">
        <w:rPr>
          <w:rFonts w:ascii="DIN-Regular" w:eastAsia="Arial Unicode MS" w:hAnsi="DIN-Regular" w:cs="Arial"/>
          <w:szCs w:val="22"/>
          <w:lang w:eastAsia="en-GB"/>
        </w:rPr>
        <w:t>credits only and leaves aside any given line.</w:t>
      </w:r>
    </w:p>
    <w:p w:rsidR="00610C2D" w:rsidRPr="00F5551F" w:rsidRDefault="00610C2D" w:rsidP="00610C2D">
      <w:pPr>
        <w:pStyle w:val="ListParagraph"/>
        <w:numPr>
          <w:ilvl w:val="0"/>
          <w:numId w:val="4"/>
        </w:numPr>
        <w:spacing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Should the definition of peak exposure refer to the maximum amount of intraday credit registered during the day at a specific point in time (total of all clients), this definition would assume the simultaneous default of all customers precisely at that point during the day.  Conversely, should the definition of peak exposure refer to the sum of all peaks per individual client registered during the day, at multiple points in time, this definition would reconstruct a total exposure situation which, in reality, never occurred.</w:t>
      </w:r>
    </w:p>
    <w:p w:rsidR="00A451AF" w:rsidRPr="00F5551F" w:rsidRDefault="00A451AF" w:rsidP="00A451AF">
      <w:pPr>
        <w:pStyle w:val="ListParagraph"/>
        <w:numPr>
          <w:ilvl w:val="0"/>
          <w:numId w:val="4"/>
        </w:numPr>
        <w:spacing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The combination of credit risk resulting from cash credits for settlement and related purposes with the credit risk for securities lending including commitments and guarantees related to this for the purpose of intraday credit risk capital charge does not seem to be appropriate. Securities lending activities may be intraday only. However, the purpose of Securities lending is not reduced to this purpose. As such, we clearly see the target of the rules in Article 54</w:t>
      </w:r>
      <w:r w:rsidR="003130ED" w:rsidRPr="00F5551F">
        <w:rPr>
          <w:rFonts w:ascii="DIN-Regular" w:eastAsia="Arial Unicode MS" w:hAnsi="DIN-Regular" w:cs="Arial"/>
          <w:szCs w:val="22"/>
          <w:lang w:eastAsia="en-GB"/>
        </w:rPr>
        <w:t xml:space="preserve"> (3) (</w:t>
      </w:r>
      <w:r w:rsidRPr="00F5551F">
        <w:rPr>
          <w:rFonts w:ascii="DIN-Regular" w:eastAsia="Arial Unicode MS" w:hAnsi="DIN-Regular" w:cs="Arial"/>
          <w:szCs w:val="22"/>
          <w:lang w:eastAsia="en-GB"/>
        </w:rPr>
        <w:t>d</w:t>
      </w:r>
      <w:r w:rsidR="003130ED" w:rsidRPr="00F5551F">
        <w:rPr>
          <w:rFonts w:ascii="DIN-Regular" w:eastAsia="Arial Unicode MS" w:hAnsi="DIN-Regular" w:cs="Arial"/>
          <w:szCs w:val="22"/>
          <w:lang w:eastAsia="en-GB"/>
        </w:rPr>
        <w:t>)</w:t>
      </w:r>
      <w:r w:rsidRPr="00F5551F">
        <w:rPr>
          <w:rFonts w:ascii="DIN-Regular" w:eastAsia="Arial Unicode MS" w:hAnsi="DIN-Regular" w:cs="Arial"/>
          <w:szCs w:val="22"/>
          <w:lang w:eastAsia="en-GB"/>
        </w:rPr>
        <w:t xml:space="preserve"> and 54.4.e </w:t>
      </w:r>
      <w:r w:rsidRPr="00F5551F">
        <w:rPr>
          <w:rFonts w:ascii="DIN-Regular" w:eastAsia="Arial Unicode MS" w:hAnsi="DIN-Regular" w:cs="Arial"/>
          <w:b/>
          <w:szCs w:val="22"/>
          <w:u w:val="single"/>
          <w:lang w:eastAsia="en-GB"/>
        </w:rPr>
        <w:t>respectively to be on cash credits only</w:t>
      </w:r>
      <w:r w:rsidRPr="00F5551F">
        <w:rPr>
          <w:rFonts w:ascii="DIN-Regular" w:eastAsia="Arial Unicode MS" w:hAnsi="DIN-Regular" w:cs="Arial"/>
          <w:szCs w:val="22"/>
          <w:lang w:eastAsia="en-GB"/>
        </w:rPr>
        <w:t>. This needs to be clar</w:t>
      </w:r>
      <w:r w:rsidR="00157FD6" w:rsidRPr="00F5551F">
        <w:rPr>
          <w:rFonts w:ascii="DIN-Regular" w:eastAsia="Arial Unicode MS" w:hAnsi="DIN-Regular" w:cs="Arial"/>
          <w:szCs w:val="22"/>
          <w:lang w:eastAsia="en-GB"/>
        </w:rPr>
        <w:t>ified and clearly expressed in A</w:t>
      </w:r>
      <w:r w:rsidRPr="00F5551F">
        <w:rPr>
          <w:rFonts w:ascii="DIN-Regular" w:eastAsia="Arial Unicode MS" w:hAnsi="DIN-Regular" w:cs="Arial"/>
          <w:szCs w:val="22"/>
          <w:lang w:eastAsia="en-GB"/>
        </w:rPr>
        <w:t>rticle 9 of the draft RTS. Furthermore, already from a practical perspective, the possibilities to measure peak exposures intraday for the total of cash credits plus securities lending positions is practical impossible. We refer to our dedicated remarks on the securities lending business below.</w:t>
      </w:r>
    </w:p>
    <w:p w:rsidR="006A0FC7" w:rsidRPr="00F5551F" w:rsidRDefault="006A0FC7" w:rsidP="00DA6980">
      <w:pPr>
        <w:pStyle w:val="ListParagraph"/>
        <w:spacing w:line="240" w:lineRule="auto"/>
        <w:ind w:left="0"/>
        <w:jc w:val="both"/>
        <w:rPr>
          <w:rFonts w:ascii="DIN-Regular" w:eastAsia="Arial Unicode MS" w:hAnsi="DIN-Regular" w:cs="Arial"/>
          <w:szCs w:val="22"/>
          <w:lang w:eastAsia="en-GB"/>
        </w:rPr>
      </w:pPr>
    </w:p>
    <w:p w:rsidR="006A0FC7" w:rsidRPr="00F5551F" w:rsidRDefault="006A0FC7"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Taking these concerns into account, we clearly see alternative measures to the proposed treatment as being superior. This includes measures based on granted (intraday) lines and general collateral criteria by using nevertheless to a large degree the general approach for Credit risk under CRR with some slight modifications (see our response to question 3)</w:t>
      </w:r>
      <w:r w:rsidR="00C443D4" w:rsidRPr="00F5551F">
        <w:rPr>
          <w:rFonts w:ascii="DIN-Regular" w:eastAsia="Arial Unicode MS" w:hAnsi="DIN-Regular" w:cs="Arial"/>
          <w:szCs w:val="22"/>
          <w:lang w:eastAsia="en-GB"/>
        </w:rPr>
        <w:t>.</w:t>
      </w:r>
    </w:p>
    <w:p w:rsidR="006A0FC7" w:rsidRPr="00F5551F" w:rsidRDefault="006A0FC7" w:rsidP="00DA6980">
      <w:pPr>
        <w:pStyle w:val="ListParagraph"/>
        <w:spacing w:line="240" w:lineRule="auto"/>
        <w:ind w:left="0"/>
        <w:jc w:val="both"/>
        <w:rPr>
          <w:rFonts w:ascii="DIN-Regular" w:eastAsia="Arial Unicode MS" w:hAnsi="DIN-Regular" w:cs="Arial"/>
          <w:szCs w:val="22"/>
          <w:lang w:eastAsia="en-GB"/>
        </w:rPr>
      </w:pPr>
    </w:p>
    <w:p w:rsidR="006A0FC7" w:rsidRPr="00F5551F" w:rsidRDefault="006A0FC7"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Securities lending and related guarantees in scope of the allowed activities (Annex C </w:t>
      </w:r>
      <w:r w:rsidR="00D677D3">
        <w:rPr>
          <w:rFonts w:ascii="DIN-Regular" w:eastAsia="Arial Unicode MS" w:hAnsi="DIN-Regular" w:cs="Arial"/>
          <w:szCs w:val="22"/>
          <w:lang w:eastAsia="en-GB"/>
        </w:rPr>
        <w:t>(</w:t>
      </w:r>
      <w:r w:rsidRPr="00F5551F">
        <w:rPr>
          <w:rFonts w:ascii="DIN-Regular" w:eastAsia="Arial Unicode MS" w:hAnsi="DIN-Regular" w:cs="Arial"/>
          <w:szCs w:val="22"/>
          <w:lang w:eastAsia="en-GB"/>
        </w:rPr>
        <w:t>b</w:t>
      </w:r>
      <w:r w:rsidR="00D677D3">
        <w:rPr>
          <w:rFonts w:ascii="DIN-Regular" w:eastAsia="Arial Unicode MS" w:hAnsi="DIN-Regular" w:cs="Arial"/>
          <w:szCs w:val="22"/>
          <w:lang w:eastAsia="en-GB"/>
        </w:rPr>
        <w:t>)</w:t>
      </w:r>
      <w:r w:rsidRPr="00F5551F">
        <w:rPr>
          <w:rFonts w:ascii="DIN-Regular" w:eastAsia="Arial Unicode MS" w:hAnsi="DIN-Regular" w:cs="Arial"/>
          <w:szCs w:val="22"/>
          <w:lang w:eastAsia="en-GB"/>
        </w:rPr>
        <w:t xml:space="preserve">) and d) of CSD-R) will have varying values throughout the day which does not impact the liquidity situation of the CSD. As such, these impacts are not part of the </w:t>
      </w:r>
      <w:r w:rsidRPr="00F5551F">
        <w:rPr>
          <w:rFonts w:ascii="DIN-Regular" w:eastAsia="Arial Unicode MS" w:hAnsi="DIN-Regular" w:cs="Arial"/>
          <w:b/>
          <w:szCs w:val="22"/>
          <w:bdr w:val="single" w:sz="4" w:space="0" w:color="auto"/>
          <w:lang w:eastAsia="en-GB"/>
        </w:rPr>
        <w:t>liquidity monitoring metrics</w:t>
      </w:r>
      <w:r w:rsidRPr="00F5551F">
        <w:rPr>
          <w:rFonts w:ascii="DIN-Regular" w:eastAsia="Arial Unicode MS" w:hAnsi="DIN-Regular" w:cs="Arial"/>
          <w:szCs w:val="22"/>
          <w:lang w:eastAsia="en-GB"/>
        </w:rPr>
        <w:t xml:space="preserve"> as proposed in the BCBS principles. Although, credit monitoring is done looking into all sources of credit, the total of cash credits and securities loan</w:t>
      </w:r>
      <w:r w:rsidR="00E655AE">
        <w:rPr>
          <w:rFonts w:ascii="DIN-Regular" w:eastAsia="Arial Unicode MS" w:hAnsi="DIN-Regular" w:cs="Arial"/>
          <w:szCs w:val="22"/>
          <w:lang w:eastAsia="en-GB"/>
        </w:rPr>
        <w:t>s</w:t>
      </w:r>
      <w:r w:rsidRPr="00F5551F">
        <w:rPr>
          <w:rFonts w:ascii="DIN-Regular" w:eastAsia="Arial Unicode MS" w:hAnsi="DIN-Regular" w:cs="Arial"/>
          <w:szCs w:val="22"/>
          <w:lang w:eastAsia="en-GB"/>
        </w:rPr>
        <w:t xml:space="preserve"> / guarantees and commitments for securities lending usually is not done in a combined manner but rather via dedicated systems with dedicated limits and using net values (after internal rules to recognise collaterals) for securities lending business. From an overall perspective to manage credit risk this approach seems us to be appropriate. Consequently, any approach to </w:t>
      </w:r>
      <w:r w:rsidRPr="00F5551F">
        <w:rPr>
          <w:rFonts w:ascii="DIN-Regular" w:eastAsia="Arial Unicode MS" w:hAnsi="DIN-Regular" w:cs="Arial"/>
          <w:b/>
          <w:szCs w:val="22"/>
          <w:bdr w:val="single" w:sz="4" w:space="0" w:color="auto"/>
          <w:lang w:eastAsia="en-GB"/>
        </w:rPr>
        <w:t>monitor intraday credits</w:t>
      </w:r>
      <w:r w:rsidRPr="00F5551F">
        <w:rPr>
          <w:rFonts w:ascii="DIN-Regular" w:eastAsia="Arial Unicode MS" w:hAnsi="DIN-Regular" w:cs="Arial"/>
          <w:szCs w:val="22"/>
          <w:lang w:eastAsia="en-GB"/>
        </w:rPr>
        <w:t xml:space="preserve"> on the total outstanding including </w:t>
      </w:r>
      <w:proofErr w:type="spellStart"/>
      <w:r w:rsidRPr="00F5551F">
        <w:rPr>
          <w:rFonts w:ascii="DIN-Regular" w:eastAsia="Arial Unicode MS" w:hAnsi="DIN-Regular" w:cs="Arial"/>
          <w:szCs w:val="22"/>
          <w:lang w:eastAsia="en-GB"/>
        </w:rPr>
        <w:t>outstandings</w:t>
      </w:r>
      <w:proofErr w:type="spellEnd"/>
      <w:r w:rsidRPr="00F5551F">
        <w:rPr>
          <w:rFonts w:ascii="DIN-Regular" w:eastAsia="Arial Unicode MS" w:hAnsi="DIN-Regular" w:cs="Arial"/>
          <w:szCs w:val="22"/>
          <w:lang w:eastAsia="en-GB"/>
        </w:rPr>
        <w:t xml:space="preserve"> from securities lending and related guarantees / commitments is clearly rejected. Furthermore, securities lending </w:t>
      </w:r>
      <w:proofErr w:type="spellStart"/>
      <w:r w:rsidRPr="00F5551F">
        <w:rPr>
          <w:rFonts w:ascii="DIN-Regular" w:eastAsia="Arial Unicode MS" w:hAnsi="DIN-Regular" w:cs="Arial"/>
          <w:szCs w:val="22"/>
          <w:lang w:eastAsia="en-GB"/>
        </w:rPr>
        <w:t>outstandings</w:t>
      </w:r>
      <w:proofErr w:type="spellEnd"/>
      <w:r w:rsidRPr="00F5551F">
        <w:rPr>
          <w:rFonts w:ascii="DIN-Regular" w:eastAsia="Arial Unicode MS" w:hAnsi="DIN-Regular" w:cs="Arial"/>
          <w:szCs w:val="22"/>
          <w:lang w:eastAsia="en-GB"/>
        </w:rPr>
        <w:t xml:space="preserve"> are monitored mainly on a counterparty by counterparty modus net of collateral and not on a (gross) total exposure level over all counterparties. As such, the requ</w:t>
      </w:r>
      <w:r w:rsidR="00AC5C23">
        <w:rPr>
          <w:rFonts w:ascii="DIN-Regular" w:eastAsia="Arial Unicode MS" w:hAnsi="DIN-Regular" w:cs="Arial"/>
          <w:szCs w:val="22"/>
          <w:lang w:eastAsia="en-GB"/>
        </w:rPr>
        <w:t>irements</w:t>
      </w:r>
      <w:r w:rsidRPr="00F5551F">
        <w:rPr>
          <w:rFonts w:ascii="DIN-Regular" w:eastAsia="Arial Unicode MS" w:hAnsi="DIN-Regular" w:cs="Arial"/>
          <w:szCs w:val="22"/>
          <w:lang w:eastAsia="en-GB"/>
        </w:rPr>
        <w:t xml:space="preserve"> in Article 12</w:t>
      </w:r>
      <w:r w:rsidR="00AC5C23">
        <w:rPr>
          <w:rFonts w:ascii="DIN-Regular" w:eastAsia="Arial Unicode MS" w:hAnsi="DIN-Regular" w:cs="Arial"/>
          <w:szCs w:val="22"/>
          <w:lang w:eastAsia="en-GB"/>
        </w:rPr>
        <w:t xml:space="preserve"> draft RTS</w:t>
      </w:r>
      <w:r w:rsidRPr="00F5551F">
        <w:rPr>
          <w:rFonts w:ascii="DIN-Regular" w:eastAsia="Arial Unicode MS" w:hAnsi="DIN-Regular" w:cs="Arial"/>
          <w:szCs w:val="22"/>
          <w:lang w:eastAsia="en-GB"/>
        </w:rPr>
        <w:t xml:space="preserve"> do not seem appropriate to this kind of business in our view</w:t>
      </w:r>
      <w:r w:rsidR="00AC5C23">
        <w:rPr>
          <w:rFonts w:ascii="DIN-Regular" w:eastAsia="Arial Unicode MS" w:hAnsi="DIN-Regular" w:cs="Arial"/>
          <w:szCs w:val="22"/>
          <w:lang w:eastAsia="en-GB"/>
        </w:rPr>
        <w:t>.</w:t>
      </w:r>
      <w:r w:rsidR="00482296" w:rsidRPr="00F5551F">
        <w:rPr>
          <w:rFonts w:ascii="DIN-Regular" w:eastAsia="Arial Unicode MS" w:hAnsi="DIN-Regular" w:cs="Arial"/>
          <w:szCs w:val="22"/>
          <w:lang w:eastAsia="en-GB"/>
        </w:rPr>
        <w:t xml:space="preserve"> </w:t>
      </w:r>
    </w:p>
    <w:p w:rsidR="006A0FC7" w:rsidRPr="00F5551F" w:rsidRDefault="006A0FC7" w:rsidP="00DA6980">
      <w:pPr>
        <w:pStyle w:val="ListParagraph"/>
        <w:spacing w:line="240" w:lineRule="auto"/>
        <w:ind w:left="0"/>
        <w:jc w:val="both"/>
        <w:rPr>
          <w:rFonts w:ascii="DIN-Regular" w:eastAsia="Arial Unicode MS" w:hAnsi="DIN-Regular" w:cs="Arial"/>
          <w:szCs w:val="22"/>
          <w:lang w:eastAsia="en-GB"/>
        </w:rPr>
      </w:pPr>
    </w:p>
    <w:p w:rsidR="006A0FC7" w:rsidRPr="00F5551F" w:rsidRDefault="006A0FC7"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lastRenderedPageBreak/>
        <w:t xml:space="preserve">Overall the level of detail as requested in </w:t>
      </w:r>
      <w:r w:rsidR="00157FD6" w:rsidRPr="00F5551F">
        <w:rPr>
          <w:rFonts w:ascii="DIN-Regular" w:eastAsia="Arial Unicode MS" w:hAnsi="DIN-Regular" w:cs="Arial"/>
          <w:szCs w:val="22"/>
          <w:lang w:eastAsia="en-GB"/>
        </w:rPr>
        <w:t>A</w:t>
      </w:r>
      <w:r w:rsidRPr="00F5551F">
        <w:rPr>
          <w:rFonts w:ascii="DIN-Regular" w:eastAsia="Arial Unicode MS" w:hAnsi="DIN-Regular" w:cs="Arial"/>
          <w:szCs w:val="22"/>
          <w:lang w:eastAsia="en-GB"/>
        </w:rPr>
        <w:t xml:space="preserve">rticle 12 </w:t>
      </w:r>
      <w:r w:rsidR="0032011A" w:rsidRPr="00F5551F">
        <w:rPr>
          <w:rFonts w:ascii="DIN-Regular" w:eastAsia="Arial Unicode MS" w:hAnsi="DIN-Regular" w:cs="Arial"/>
          <w:szCs w:val="22"/>
          <w:lang w:eastAsia="en-GB"/>
        </w:rPr>
        <w:t>(</w:t>
      </w:r>
      <w:r w:rsidR="00C443D4" w:rsidRPr="00F5551F">
        <w:rPr>
          <w:rFonts w:ascii="DIN-Regular" w:eastAsia="Arial Unicode MS" w:hAnsi="DIN-Regular" w:cs="Arial"/>
          <w:szCs w:val="22"/>
          <w:lang w:eastAsia="en-GB"/>
        </w:rPr>
        <w:t>b</w:t>
      </w:r>
      <w:r w:rsidR="0032011A" w:rsidRPr="00F5551F">
        <w:rPr>
          <w:rFonts w:ascii="DIN-Regular" w:eastAsia="Arial Unicode MS" w:hAnsi="DIN-Regular" w:cs="Arial"/>
          <w:szCs w:val="22"/>
          <w:lang w:eastAsia="en-GB"/>
        </w:rPr>
        <w:t>)</w:t>
      </w:r>
      <w:r w:rsidR="00C443D4" w:rsidRPr="00F5551F">
        <w:rPr>
          <w:rFonts w:ascii="DIN-Regular" w:eastAsia="Arial Unicode MS" w:hAnsi="DIN-Regular" w:cs="Arial"/>
          <w:szCs w:val="22"/>
          <w:lang w:eastAsia="en-GB"/>
        </w:rPr>
        <w:t xml:space="preserve"> (but also </w:t>
      </w:r>
      <w:r w:rsidR="00D677D3">
        <w:rPr>
          <w:rFonts w:ascii="DIN-Regular" w:eastAsia="Arial Unicode MS" w:hAnsi="DIN-Regular" w:cs="Arial"/>
          <w:szCs w:val="22"/>
          <w:lang w:eastAsia="en-GB"/>
        </w:rPr>
        <w:t>(</w:t>
      </w:r>
      <w:r w:rsidR="00C443D4" w:rsidRPr="00F5551F">
        <w:rPr>
          <w:rFonts w:ascii="DIN-Regular" w:eastAsia="Arial Unicode MS" w:hAnsi="DIN-Regular" w:cs="Arial"/>
          <w:szCs w:val="22"/>
          <w:lang w:eastAsia="en-GB"/>
        </w:rPr>
        <w:t>c</w:t>
      </w:r>
      <w:r w:rsidR="00D677D3">
        <w:rPr>
          <w:rFonts w:ascii="DIN-Regular" w:eastAsia="Arial Unicode MS" w:hAnsi="DIN-Regular" w:cs="Arial"/>
          <w:szCs w:val="22"/>
          <w:lang w:eastAsia="en-GB"/>
        </w:rPr>
        <w:t>)</w:t>
      </w:r>
      <w:r w:rsidR="00C443D4" w:rsidRPr="00F5551F">
        <w:rPr>
          <w:rFonts w:ascii="DIN-Regular" w:eastAsia="Arial Unicode MS" w:hAnsi="DIN-Regular" w:cs="Arial"/>
          <w:szCs w:val="22"/>
          <w:lang w:eastAsia="en-GB"/>
        </w:rPr>
        <w:t xml:space="preserve"> which we think should be dropped in its entirety, see above) </w:t>
      </w:r>
      <w:r w:rsidRPr="00F5551F">
        <w:rPr>
          <w:rFonts w:ascii="DIN-Regular" w:eastAsia="Arial Unicode MS" w:hAnsi="DIN-Regular" w:cs="Arial"/>
          <w:szCs w:val="22"/>
          <w:lang w:eastAsia="en-GB"/>
        </w:rPr>
        <w:t xml:space="preserve">in our mind goes by far beyond reasonable control metrics especially as in general settlement </w:t>
      </w:r>
      <w:r w:rsidR="00AC5C23">
        <w:rPr>
          <w:rFonts w:ascii="DIN-Regular" w:eastAsia="Arial Unicode MS" w:hAnsi="DIN-Regular" w:cs="Arial"/>
          <w:szCs w:val="22"/>
          <w:lang w:eastAsia="en-GB"/>
        </w:rPr>
        <w:t xml:space="preserve">cash </w:t>
      </w:r>
      <w:r w:rsidRPr="00F5551F">
        <w:rPr>
          <w:rFonts w:ascii="DIN-Regular" w:eastAsia="Arial Unicode MS" w:hAnsi="DIN-Regular" w:cs="Arial"/>
          <w:szCs w:val="22"/>
          <w:lang w:eastAsia="en-GB"/>
        </w:rPr>
        <w:t xml:space="preserve">credit lines are covered by collateral pools which are in principle even substantially larger than the actual portion needed. As such, any artificial combination of cash lend by currency with any given collateral does not show actual risk situation and does not take into account the possibility of using remaining bits of the collateral pool in case market price movements reduce the collateral / market value of current </w:t>
      </w:r>
      <w:r w:rsidR="00D31C04" w:rsidRPr="00F5551F">
        <w:rPr>
          <w:rFonts w:ascii="DIN-Regular" w:eastAsia="Arial Unicode MS" w:hAnsi="DIN-Regular" w:cs="Arial"/>
          <w:szCs w:val="22"/>
          <w:lang w:eastAsia="en-GB"/>
        </w:rPr>
        <w:t>“</w:t>
      </w:r>
      <w:r w:rsidRPr="00F5551F">
        <w:rPr>
          <w:rFonts w:ascii="DIN-Regular" w:eastAsia="Arial Unicode MS" w:hAnsi="DIN-Regular" w:cs="Arial"/>
          <w:szCs w:val="22"/>
          <w:lang w:eastAsia="en-GB"/>
        </w:rPr>
        <w:t>allocated</w:t>
      </w:r>
      <w:r w:rsidR="00D31C04" w:rsidRPr="00F5551F">
        <w:rPr>
          <w:rFonts w:ascii="DIN-Regular" w:eastAsia="Arial Unicode MS" w:hAnsi="DIN-Regular" w:cs="Arial"/>
          <w:szCs w:val="22"/>
          <w:lang w:eastAsia="en-GB"/>
        </w:rPr>
        <w:t>”</w:t>
      </w:r>
      <w:r w:rsidRPr="00F5551F">
        <w:rPr>
          <w:rFonts w:ascii="DIN-Regular" w:eastAsia="Arial Unicode MS" w:hAnsi="DIN-Regular" w:cs="Arial"/>
          <w:szCs w:val="22"/>
          <w:lang w:eastAsia="en-GB"/>
        </w:rPr>
        <w:t xml:space="preserve"> collateral portions.</w:t>
      </w:r>
    </w:p>
    <w:p w:rsidR="006A0FC7" w:rsidRPr="00F5551F" w:rsidRDefault="006A0FC7" w:rsidP="00DA6980">
      <w:pPr>
        <w:pStyle w:val="ListParagraph"/>
        <w:spacing w:line="240" w:lineRule="auto"/>
        <w:ind w:left="0"/>
        <w:jc w:val="both"/>
        <w:rPr>
          <w:rFonts w:ascii="DIN-Regular" w:eastAsia="Arial Unicode MS" w:hAnsi="DIN-Regular" w:cs="Arial"/>
          <w:szCs w:val="22"/>
        </w:rPr>
      </w:pPr>
    </w:p>
    <w:p w:rsidR="006A0FC7" w:rsidRPr="00F5551F" w:rsidRDefault="006A0FC7"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The provisions for intra-day credit and liquidity management, measurement and monitoring go way beyond general rules for banks. This is true also for the collateral management. While we understand the need for a sound framework for this, we nevertheless want to point out that we are talking on short-term if not intraday risk only. As such, market developments with </w:t>
      </w:r>
      <w:r w:rsidR="00C443D4" w:rsidRPr="00F5551F">
        <w:rPr>
          <w:rFonts w:ascii="DIN-Regular" w:eastAsia="Arial Unicode MS" w:hAnsi="DIN-Regular" w:cs="Arial"/>
          <w:szCs w:val="22"/>
          <w:lang w:eastAsia="en-GB"/>
        </w:rPr>
        <w:t xml:space="preserve">only mid- to long-term </w:t>
      </w:r>
      <w:r w:rsidRPr="00F5551F">
        <w:rPr>
          <w:rFonts w:ascii="DIN-Regular" w:eastAsia="Arial Unicode MS" w:hAnsi="DIN-Regular" w:cs="Arial"/>
          <w:szCs w:val="22"/>
          <w:lang w:eastAsia="en-GB"/>
        </w:rPr>
        <w:t>impacts to the value of collateral are irrelevant</w:t>
      </w:r>
      <w:r w:rsidR="00395CDE" w:rsidRPr="00F5551F">
        <w:rPr>
          <w:rFonts w:ascii="DIN-Regular" w:eastAsia="Arial Unicode MS" w:hAnsi="DIN-Regular" w:cs="Arial"/>
          <w:szCs w:val="22"/>
          <w:lang w:eastAsia="en-GB"/>
        </w:rPr>
        <w:t>. D</w:t>
      </w:r>
      <w:r w:rsidRPr="00F5551F">
        <w:rPr>
          <w:rFonts w:ascii="DIN-Regular" w:eastAsia="Arial Unicode MS" w:hAnsi="DIN-Regular" w:cs="Arial"/>
          <w:szCs w:val="22"/>
          <w:lang w:eastAsia="en-GB"/>
        </w:rPr>
        <w:t xml:space="preserve">ue </w:t>
      </w:r>
      <w:r w:rsidR="00395CDE" w:rsidRPr="00F5551F">
        <w:rPr>
          <w:rFonts w:ascii="DIN-Regular" w:eastAsia="Arial Unicode MS" w:hAnsi="DIN-Regular" w:cs="Arial"/>
          <w:szCs w:val="22"/>
          <w:lang w:eastAsia="en-GB"/>
        </w:rPr>
        <w:t xml:space="preserve">to </w:t>
      </w:r>
      <w:r w:rsidRPr="00F5551F">
        <w:rPr>
          <w:rFonts w:ascii="DIN-Regular" w:eastAsia="Arial Unicode MS" w:hAnsi="DIN-Regular" w:cs="Arial"/>
          <w:szCs w:val="22"/>
          <w:lang w:eastAsia="en-GB"/>
        </w:rPr>
        <w:t xml:space="preserve">the short term nature of the credit business, CSDs or the linked credit institutions can react on very short notice on market developments. Furthermore, there is a high </w:t>
      </w:r>
      <w:r w:rsidR="00BD3A07" w:rsidRPr="00F5551F">
        <w:rPr>
          <w:rFonts w:ascii="DIN-Regular" w:eastAsia="Arial Unicode MS" w:hAnsi="DIN-Regular" w:cs="Arial"/>
          <w:szCs w:val="22"/>
          <w:lang w:eastAsia="en-GB"/>
        </w:rPr>
        <w:t>turnover</w:t>
      </w:r>
      <w:r w:rsidRPr="00F5551F">
        <w:rPr>
          <w:rFonts w:ascii="DIN-Regular" w:eastAsia="Arial Unicode MS" w:hAnsi="DIN-Regular" w:cs="Arial"/>
          <w:szCs w:val="22"/>
          <w:lang w:eastAsia="en-GB"/>
        </w:rPr>
        <w:t xml:space="preserve"> of the collateral as the securities deposited with the CSD for general business purposes are used as collateral for the underlying transactions and in general the loans granted by CSDs do not have a different purpose. As such, the requirements need to be clearly </w:t>
      </w:r>
      <w:r w:rsidR="00BD3A07" w:rsidRPr="00F5551F">
        <w:rPr>
          <w:rFonts w:ascii="DIN-Regular" w:eastAsia="Arial Unicode MS" w:hAnsi="DIN-Regular" w:cs="Arial"/>
          <w:szCs w:val="22"/>
          <w:lang w:eastAsia="en-GB"/>
        </w:rPr>
        <w:t>adapted</w:t>
      </w:r>
      <w:r w:rsidRPr="00F5551F">
        <w:rPr>
          <w:rFonts w:ascii="DIN-Regular" w:eastAsia="Arial Unicode MS" w:hAnsi="DIN-Regular" w:cs="Arial"/>
          <w:szCs w:val="22"/>
          <w:lang w:eastAsia="en-GB"/>
        </w:rPr>
        <w:t xml:space="preserve"> to a reasonable level. This is also true with regards to reporting obligations as the related positions will be outdated very quickly as they do last in general only minutes. A too detailed reporting therefore is creating enormous effort but no real added value. </w:t>
      </w:r>
    </w:p>
    <w:p w:rsidR="00622552" w:rsidRPr="00F5551F" w:rsidRDefault="00622552" w:rsidP="00DA6980">
      <w:pPr>
        <w:pStyle w:val="ListParagraph"/>
        <w:spacing w:line="240" w:lineRule="auto"/>
        <w:ind w:left="0"/>
        <w:jc w:val="both"/>
        <w:rPr>
          <w:rFonts w:ascii="DIN-Regular" w:eastAsia="Arial Unicode MS" w:hAnsi="DIN-Regular" w:cs="Arial"/>
          <w:szCs w:val="22"/>
          <w:lang w:eastAsia="en-GB"/>
        </w:rPr>
      </w:pPr>
    </w:p>
    <w:p w:rsidR="00622552" w:rsidRPr="00F5551F" w:rsidRDefault="00F1016A"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On </w:t>
      </w:r>
      <w:r w:rsidRPr="00F5551F">
        <w:rPr>
          <w:rFonts w:ascii="DIN-Regular" w:eastAsia="Arial Unicode MS" w:hAnsi="DIN-Regular" w:cs="Arial"/>
          <w:b/>
          <w:szCs w:val="22"/>
          <w:bdr w:val="single" w:sz="4" w:space="0" w:color="auto"/>
          <w:lang w:eastAsia="en-GB"/>
        </w:rPr>
        <w:t>c</w:t>
      </w:r>
      <w:r w:rsidR="00622552" w:rsidRPr="00F5551F">
        <w:rPr>
          <w:rFonts w:ascii="DIN-Regular" w:eastAsia="Arial Unicode MS" w:hAnsi="DIN-Regular" w:cs="Arial"/>
          <w:b/>
          <w:szCs w:val="22"/>
          <w:bdr w:val="single" w:sz="4" w:space="0" w:color="auto"/>
          <w:lang w:eastAsia="en-GB"/>
        </w:rPr>
        <w:t>ollateral and other equivalent financial resources</w:t>
      </w:r>
      <w:r w:rsidRPr="00F5551F">
        <w:rPr>
          <w:rFonts w:ascii="DIN-Regular" w:eastAsia="Arial Unicode MS" w:hAnsi="DIN-Regular" w:cs="Arial"/>
          <w:szCs w:val="22"/>
          <w:lang w:eastAsia="en-GB"/>
        </w:rPr>
        <w:t xml:space="preserve">, </w:t>
      </w:r>
      <w:r w:rsidR="00622552" w:rsidRPr="00F5551F">
        <w:rPr>
          <w:rFonts w:ascii="DIN-Regular" w:eastAsia="Arial Unicode MS" w:hAnsi="DIN-Regular" w:cs="Arial"/>
          <w:szCs w:val="22"/>
          <w:lang w:eastAsia="en-GB"/>
        </w:rPr>
        <w:t>Article 18</w:t>
      </w:r>
      <w:r w:rsidR="00C443D4" w:rsidRPr="00F5551F">
        <w:rPr>
          <w:rFonts w:ascii="DIN-Regular" w:eastAsia="Arial Unicode MS" w:hAnsi="DIN-Regular" w:cs="Arial"/>
          <w:szCs w:val="22"/>
          <w:lang w:eastAsia="en-GB"/>
        </w:rPr>
        <w:t xml:space="preserve"> (</w:t>
      </w:r>
      <w:r w:rsidR="00622552" w:rsidRPr="00F5551F">
        <w:rPr>
          <w:rFonts w:ascii="DIN-Regular" w:eastAsia="Arial Unicode MS" w:hAnsi="DIN-Regular" w:cs="Arial"/>
          <w:szCs w:val="22"/>
          <w:lang w:eastAsia="en-GB"/>
        </w:rPr>
        <w:t>1</w:t>
      </w:r>
      <w:r w:rsidR="00C443D4" w:rsidRPr="00F5551F">
        <w:rPr>
          <w:rFonts w:ascii="DIN-Regular" w:eastAsia="Arial Unicode MS" w:hAnsi="DIN-Regular" w:cs="Arial"/>
          <w:szCs w:val="22"/>
          <w:lang w:eastAsia="en-GB"/>
        </w:rPr>
        <w:t xml:space="preserve">) </w:t>
      </w:r>
      <w:r w:rsidR="0032011A" w:rsidRPr="00F5551F">
        <w:rPr>
          <w:rFonts w:ascii="DIN-Regular" w:eastAsia="Arial Unicode MS" w:hAnsi="DIN-Regular" w:cs="Arial"/>
          <w:szCs w:val="22"/>
          <w:lang w:eastAsia="en-GB"/>
        </w:rPr>
        <w:t>(</w:t>
      </w:r>
      <w:r w:rsidR="00622552" w:rsidRPr="00F5551F">
        <w:rPr>
          <w:rFonts w:ascii="DIN-Regular" w:eastAsia="Arial Unicode MS" w:hAnsi="DIN-Regular" w:cs="Arial"/>
          <w:szCs w:val="22"/>
          <w:lang w:eastAsia="en-GB"/>
        </w:rPr>
        <w:t>d</w:t>
      </w:r>
      <w:r w:rsidR="0032011A" w:rsidRPr="00F5551F">
        <w:rPr>
          <w:rFonts w:ascii="DIN-Regular" w:eastAsia="Arial Unicode MS" w:hAnsi="DIN-Regular" w:cs="Arial"/>
          <w:szCs w:val="22"/>
          <w:lang w:eastAsia="en-GB"/>
        </w:rPr>
        <w:t>)</w:t>
      </w:r>
      <w:r w:rsidR="00622552" w:rsidRPr="00F5551F">
        <w:rPr>
          <w:rFonts w:ascii="DIN-Regular" w:eastAsia="Arial Unicode MS" w:hAnsi="DIN-Regular" w:cs="Arial"/>
          <w:szCs w:val="22"/>
          <w:lang w:eastAsia="en-GB"/>
        </w:rPr>
        <w:t xml:space="preserve"> of the </w:t>
      </w:r>
      <w:r w:rsidR="00C443D4" w:rsidRPr="00F5551F">
        <w:rPr>
          <w:rFonts w:ascii="DIN-Regular" w:eastAsia="Arial Unicode MS" w:hAnsi="DIN-Regular" w:cs="Arial"/>
          <w:szCs w:val="22"/>
          <w:lang w:eastAsia="en-GB"/>
        </w:rPr>
        <w:t xml:space="preserve">draft </w:t>
      </w:r>
      <w:r w:rsidR="00622552" w:rsidRPr="00F5551F">
        <w:rPr>
          <w:rFonts w:ascii="DIN-Regular" w:eastAsia="Arial Unicode MS" w:hAnsi="DIN-Regular" w:cs="Arial"/>
          <w:szCs w:val="22"/>
          <w:lang w:eastAsia="en-GB"/>
        </w:rPr>
        <w:t>RTS requires CSDs to "monitor on near real-time basis the credit quality, market liquidity and price volatility of each security....</w:t>
      </w:r>
      <w:proofErr w:type="gramStart"/>
      <w:r w:rsidR="00622552" w:rsidRPr="00F5551F">
        <w:rPr>
          <w:rFonts w:ascii="DIN-Regular" w:eastAsia="Arial Unicode MS" w:hAnsi="DIN-Regular" w:cs="Arial"/>
          <w:szCs w:val="22"/>
          <w:lang w:eastAsia="en-GB"/>
        </w:rPr>
        <w:t>".</w:t>
      </w:r>
      <w:proofErr w:type="gramEnd"/>
      <w:r w:rsidR="00622552" w:rsidRPr="00F5551F">
        <w:rPr>
          <w:rFonts w:ascii="DIN-Regular" w:eastAsia="Arial Unicode MS" w:hAnsi="DIN-Regular" w:cs="Arial"/>
          <w:szCs w:val="22"/>
          <w:lang w:eastAsia="en-GB"/>
        </w:rPr>
        <w:t xml:space="preserve">  Considering the very strict eligibility requirements imposed by Articles 18, 19 and 20, the need for "real-time" monitoring appears disproportionate.  In addition, the RTS would need to provide further clarification on the concept of “market liquidity” and on which metrics will be required to be monitored.</w:t>
      </w:r>
    </w:p>
    <w:p w:rsidR="00622552" w:rsidRPr="00F5551F" w:rsidRDefault="00622552" w:rsidP="00DA6980">
      <w:pPr>
        <w:pStyle w:val="ListParagraph"/>
        <w:spacing w:line="240" w:lineRule="auto"/>
        <w:ind w:left="0"/>
        <w:jc w:val="both"/>
        <w:rPr>
          <w:rFonts w:ascii="DIN-Regular" w:eastAsia="Arial Unicode MS" w:hAnsi="DIN-Regular" w:cs="Arial"/>
          <w:szCs w:val="22"/>
          <w:lang w:eastAsia="en-GB"/>
        </w:rPr>
      </w:pPr>
    </w:p>
    <w:p w:rsidR="005D5ED1" w:rsidRPr="00F5551F" w:rsidRDefault="005D5ED1" w:rsidP="00DA6980">
      <w:pPr>
        <w:spacing w:after="240"/>
        <w:jc w:val="both"/>
        <w:rPr>
          <w:rFonts w:eastAsia="Arial Unicode MS" w:cs="Arial"/>
          <w:sz w:val="22"/>
          <w:szCs w:val="22"/>
          <w:highlight w:val="yellow"/>
          <w:lang w:eastAsia="en-GB"/>
        </w:rPr>
      </w:pPr>
      <w:r w:rsidRPr="00F5551F">
        <w:rPr>
          <w:rFonts w:eastAsia="Arial Unicode MS" w:cs="Arial"/>
          <w:sz w:val="22"/>
          <w:szCs w:val="22"/>
          <w:lang w:eastAsia="en-GB"/>
        </w:rPr>
        <w:t xml:space="preserve">The financial industry is currently preparing solutions to comply with the requirements on </w:t>
      </w:r>
      <w:r w:rsidRPr="00F5551F">
        <w:rPr>
          <w:rFonts w:eastAsia="Arial Unicode MS" w:cs="Arial"/>
          <w:b/>
          <w:sz w:val="22"/>
          <w:szCs w:val="22"/>
          <w:bdr w:val="single" w:sz="4" w:space="0" w:color="auto"/>
          <w:lang w:eastAsia="en-GB"/>
        </w:rPr>
        <w:t>intraday liquidity monitoring</w:t>
      </w:r>
      <w:r w:rsidRPr="00F5551F">
        <w:rPr>
          <w:rFonts w:eastAsia="Arial Unicode MS" w:cs="Arial"/>
          <w:color w:val="FF0000"/>
          <w:sz w:val="22"/>
          <w:szCs w:val="22"/>
          <w:lang w:eastAsia="en-GB"/>
        </w:rPr>
        <w:t xml:space="preserve"> </w:t>
      </w:r>
      <w:r w:rsidRPr="00F5551F">
        <w:rPr>
          <w:rFonts w:eastAsia="Arial Unicode MS" w:cs="Arial"/>
          <w:sz w:val="22"/>
          <w:szCs w:val="22"/>
          <w:lang w:eastAsia="en-GB"/>
        </w:rPr>
        <w:t xml:space="preserve">set out in BCBS 248. For any requirements out of the RTS going beyond the scope of BCBS 248, there is a risk that the industry will not deliver a solution, making it impossible for CSDs to comply. It is therefore of critical importance that the requirements of the RTS are in line with the BCBS 248 </w:t>
      </w:r>
      <w:r w:rsidR="00BD3A07" w:rsidRPr="00F5551F">
        <w:rPr>
          <w:rFonts w:eastAsia="Arial Unicode MS" w:cs="Arial"/>
          <w:sz w:val="22"/>
          <w:szCs w:val="22"/>
          <w:lang w:eastAsia="en-GB"/>
        </w:rPr>
        <w:t>requirements</w:t>
      </w:r>
      <w:r w:rsidRPr="00F5551F">
        <w:rPr>
          <w:rFonts w:eastAsia="Arial Unicode MS" w:cs="Arial"/>
          <w:sz w:val="22"/>
          <w:szCs w:val="22"/>
          <w:lang w:eastAsia="en-GB"/>
        </w:rPr>
        <w:t xml:space="preserve">. While </w:t>
      </w:r>
      <w:r w:rsidR="00AE401C" w:rsidRPr="00F5551F">
        <w:rPr>
          <w:rFonts w:eastAsia="Arial Unicode MS" w:cs="Arial"/>
          <w:sz w:val="22"/>
          <w:szCs w:val="22"/>
          <w:lang w:eastAsia="en-GB"/>
        </w:rPr>
        <w:t xml:space="preserve">the European </w:t>
      </w:r>
      <w:r w:rsidRPr="00F5551F">
        <w:rPr>
          <w:rFonts w:eastAsia="Arial Unicode MS" w:cs="Arial"/>
          <w:sz w:val="22"/>
          <w:szCs w:val="22"/>
          <w:lang w:eastAsia="en-GB"/>
        </w:rPr>
        <w:t>bank</w:t>
      </w:r>
      <w:r w:rsidR="00AE401C" w:rsidRPr="00F5551F">
        <w:rPr>
          <w:rFonts w:eastAsia="Arial Unicode MS" w:cs="Arial"/>
          <w:sz w:val="22"/>
          <w:szCs w:val="22"/>
          <w:lang w:eastAsia="en-GB"/>
        </w:rPr>
        <w:t>ing</w:t>
      </w:r>
      <w:r w:rsidRPr="00F5551F">
        <w:rPr>
          <w:rFonts w:eastAsia="Arial Unicode MS" w:cs="Arial"/>
          <w:sz w:val="22"/>
          <w:szCs w:val="22"/>
          <w:lang w:eastAsia="en-GB"/>
        </w:rPr>
        <w:t xml:space="preserve"> regulators have not yet published</w:t>
      </w:r>
      <w:r w:rsidR="00AE401C" w:rsidRPr="00F5551F">
        <w:rPr>
          <w:rFonts w:eastAsia="Arial Unicode MS" w:cs="Arial"/>
          <w:sz w:val="22"/>
          <w:szCs w:val="22"/>
          <w:lang w:eastAsia="en-GB"/>
        </w:rPr>
        <w:t xml:space="preserve"> any</w:t>
      </w:r>
      <w:r w:rsidRPr="00F5551F">
        <w:rPr>
          <w:rFonts w:eastAsia="Arial Unicode MS" w:cs="Arial"/>
          <w:sz w:val="22"/>
          <w:szCs w:val="22"/>
          <w:lang w:eastAsia="en-GB"/>
        </w:rPr>
        <w:t xml:space="preserve"> guidance on the applicability of the BCBS 248</w:t>
      </w:r>
      <w:r w:rsidR="00AE401C" w:rsidRPr="00F5551F">
        <w:rPr>
          <w:rFonts w:eastAsia="Arial Unicode MS" w:cs="Arial"/>
          <w:sz w:val="22"/>
          <w:szCs w:val="22"/>
          <w:lang w:eastAsia="en-GB"/>
        </w:rPr>
        <w:t xml:space="preserve">, nor incorporated into EU legislation the </w:t>
      </w:r>
      <w:r w:rsidRPr="00F5551F">
        <w:rPr>
          <w:rFonts w:eastAsia="Arial Unicode MS" w:cs="Arial"/>
          <w:sz w:val="22"/>
          <w:szCs w:val="22"/>
          <w:lang w:eastAsia="en-GB"/>
        </w:rPr>
        <w:t>provisions</w:t>
      </w:r>
      <w:r w:rsidR="00F46BA8" w:rsidRPr="00F5551F">
        <w:rPr>
          <w:rFonts w:eastAsia="Arial Unicode MS" w:cs="Arial"/>
          <w:sz w:val="22"/>
          <w:szCs w:val="22"/>
          <w:lang w:eastAsia="en-GB"/>
        </w:rPr>
        <w:t xml:space="preserve"> </w:t>
      </w:r>
      <w:r w:rsidR="00AE401C" w:rsidRPr="00F5551F">
        <w:rPr>
          <w:rFonts w:eastAsia="Arial Unicode MS" w:cs="Arial"/>
          <w:sz w:val="22"/>
          <w:szCs w:val="22"/>
          <w:lang w:eastAsia="en-GB"/>
        </w:rPr>
        <w:t xml:space="preserve">of </w:t>
      </w:r>
      <w:r w:rsidR="00F46BA8" w:rsidRPr="00F5551F">
        <w:rPr>
          <w:rFonts w:eastAsia="Arial Unicode MS" w:cs="Arial"/>
          <w:sz w:val="22"/>
          <w:szCs w:val="22"/>
          <w:lang w:eastAsia="en-GB"/>
        </w:rPr>
        <w:t>BCBS 248</w:t>
      </w:r>
      <w:r w:rsidR="00AC5C23">
        <w:rPr>
          <w:rStyle w:val="FootnoteReference"/>
          <w:rFonts w:eastAsia="Arial Unicode MS" w:cs="Arial"/>
          <w:szCs w:val="22"/>
          <w:lang w:eastAsia="en-GB"/>
        </w:rPr>
        <w:footnoteReference w:id="2"/>
      </w:r>
      <w:r w:rsidRPr="00F5551F">
        <w:rPr>
          <w:rFonts w:eastAsia="Arial Unicode MS" w:cs="Arial"/>
          <w:sz w:val="22"/>
          <w:szCs w:val="22"/>
          <w:lang w:eastAsia="en-GB"/>
        </w:rPr>
        <w:t xml:space="preserve">, the provision </w:t>
      </w:r>
      <w:r w:rsidR="00AE401C" w:rsidRPr="00F5551F">
        <w:rPr>
          <w:rFonts w:eastAsia="Arial Unicode MS" w:cs="Arial"/>
          <w:sz w:val="22"/>
          <w:szCs w:val="22"/>
          <w:lang w:eastAsia="en-GB"/>
        </w:rPr>
        <w:t xml:space="preserve">proposed by EBA </w:t>
      </w:r>
      <w:r w:rsidRPr="00F5551F">
        <w:rPr>
          <w:rFonts w:eastAsia="Arial Unicode MS" w:cs="Arial"/>
          <w:sz w:val="22"/>
          <w:szCs w:val="22"/>
          <w:lang w:eastAsia="en-GB"/>
        </w:rPr>
        <w:t>in the draft RTS seem to go far beyond the</w:t>
      </w:r>
      <w:r w:rsidR="00AE401C" w:rsidRPr="00F5551F">
        <w:rPr>
          <w:rFonts w:eastAsia="Arial Unicode MS" w:cs="Arial"/>
          <w:sz w:val="22"/>
          <w:szCs w:val="22"/>
          <w:lang w:eastAsia="en-GB"/>
        </w:rPr>
        <w:t>se</w:t>
      </w:r>
      <w:r w:rsidRPr="00F5551F">
        <w:rPr>
          <w:rFonts w:eastAsia="Arial Unicode MS" w:cs="Arial"/>
          <w:sz w:val="22"/>
          <w:szCs w:val="22"/>
          <w:lang w:eastAsia="en-GB"/>
        </w:rPr>
        <w:t xml:space="preserve"> </w:t>
      </w:r>
      <w:r w:rsidR="00AE401C" w:rsidRPr="00F5551F">
        <w:rPr>
          <w:rFonts w:eastAsia="Arial Unicode MS" w:cs="Arial"/>
          <w:sz w:val="22"/>
          <w:szCs w:val="22"/>
          <w:lang w:eastAsia="en-GB"/>
        </w:rPr>
        <w:t xml:space="preserve">global </w:t>
      </w:r>
      <w:r w:rsidRPr="00F5551F">
        <w:rPr>
          <w:rFonts w:eastAsia="Arial Unicode MS" w:cs="Arial"/>
          <w:sz w:val="22"/>
          <w:szCs w:val="22"/>
          <w:lang w:eastAsia="en-GB"/>
        </w:rPr>
        <w:t>BCBS 248 requirements. In the same context, an implementation of the RTS requirements before BCBS 248 (and their national transposition) may mean that the industry is not yet prepared to provide the required information. To ensure that CSDs are able to comply, the implementation date must be aligned with the bank requirements or a sufficiently long transition period must be available.</w:t>
      </w:r>
    </w:p>
    <w:p w:rsidR="005D5ED1" w:rsidRPr="00F5551F" w:rsidRDefault="005D5ED1" w:rsidP="00DA6980">
      <w:pPr>
        <w:spacing w:after="240"/>
        <w:jc w:val="both"/>
        <w:rPr>
          <w:rFonts w:eastAsia="Arial Unicode MS" w:cs="Arial"/>
          <w:sz w:val="22"/>
          <w:szCs w:val="22"/>
          <w:highlight w:val="yellow"/>
          <w:lang w:eastAsia="en-GB"/>
        </w:rPr>
      </w:pPr>
      <w:r w:rsidRPr="00F5551F">
        <w:rPr>
          <w:rFonts w:eastAsia="Arial Unicode MS" w:cs="Arial"/>
          <w:b/>
          <w:sz w:val="22"/>
          <w:szCs w:val="22"/>
          <w:bdr w:val="single" w:sz="4" w:space="0" w:color="auto"/>
          <w:lang w:eastAsia="en-GB"/>
        </w:rPr>
        <w:t>(Uncommitted) money market credit lines</w:t>
      </w:r>
      <w:r w:rsidRPr="00F5551F">
        <w:rPr>
          <w:rFonts w:eastAsia="Arial Unicode MS" w:cs="Arial"/>
          <w:sz w:val="22"/>
          <w:szCs w:val="22"/>
          <w:lang w:eastAsia="en-GB"/>
        </w:rPr>
        <w:t xml:space="preserve"> provided by cash correspondent banks, depositories and money market counterparties form a major source of liquidity for CSDs, in particular for intraday liquidity management. Not taking these into account </w:t>
      </w:r>
      <w:r w:rsidR="00A10390" w:rsidRPr="00F5551F">
        <w:rPr>
          <w:rFonts w:eastAsia="Arial Unicode MS" w:cs="Arial"/>
          <w:sz w:val="22"/>
          <w:szCs w:val="22"/>
          <w:lang w:eastAsia="en-GB"/>
        </w:rPr>
        <w:t xml:space="preserve">in the </w:t>
      </w:r>
      <w:r w:rsidR="00F5551F" w:rsidRPr="00F5551F">
        <w:rPr>
          <w:rFonts w:eastAsia="Arial Unicode MS" w:cs="Arial"/>
          <w:sz w:val="22"/>
          <w:szCs w:val="22"/>
          <w:lang w:eastAsia="en-GB"/>
        </w:rPr>
        <w:t>context</w:t>
      </w:r>
      <w:r w:rsidR="00A10390" w:rsidRPr="00F5551F">
        <w:rPr>
          <w:rFonts w:eastAsia="Arial Unicode MS" w:cs="Arial"/>
          <w:sz w:val="22"/>
          <w:szCs w:val="22"/>
          <w:lang w:eastAsia="en-GB"/>
        </w:rPr>
        <w:t xml:space="preserve"> of Article 31</w:t>
      </w:r>
      <w:r w:rsidR="00F5551F">
        <w:rPr>
          <w:rFonts w:eastAsia="Arial Unicode MS" w:cs="Arial"/>
          <w:sz w:val="22"/>
          <w:szCs w:val="22"/>
          <w:lang w:eastAsia="en-GB"/>
        </w:rPr>
        <w:t xml:space="preserve"> </w:t>
      </w:r>
      <w:r w:rsidR="00A10390" w:rsidRPr="00F5551F">
        <w:rPr>
          <w:rFonts w:eastAsia="Arial Unicode MS" w:cs="Arial"/>
          <w:sz w:val="22"/>
          <w:szCs w:val="22"/>
          <w:lang w:eastAsia="en-GB"/>
        </w:rPr>
        <w:t>(2)</w:t>
      </w:r>
      <w:r w:rsidR="00F5551F">
        <w:rPr>
          <w:rFonts w:eastAsia="Arial Unicode MS" w:cs="Arial"/>
          <w:sz w:val="22"/>
          <w:szCs w:val="22"/>
          <w:lang w:eastAsia="en-GB"/>
        </w:rPr>
        <w:t xml:space="preserve"> (</w:t>
      </w:r>
      <w:r w:rsidR="00A10390" w:rsidRPr="00F5551F">
        <w:rPr>
          <w:rFonts w:eastAsia="Arial Unicode MS" w:cs="Arial"/>
          <w:sz w:val="22"/>
          <w:szCs w:val="22"/>
          <w:lang w:eastAsia="en-GB"/>
        </w:rPr>
        <w:t>b</w:t>
      </w:r>
      <w:r w:rsidR="00F5551F">
        <w:rPr>
          <w:rFonts w:eastAsia="Arial Unicode MS" w:cs="Arial"/>
          <w:sz w:val="22"/>
          <w:szCs w:val="22"/>
          <w:lang w:eastAsia="en-GB"/>
        </w:rPr>
        <w:t>)</w:t>
      </w:r>
      <w:r w:rsidR="00A10390" w:rsidRPr="00F5551F">
        <w:rPr>
          <w:rFonts w:eastAsia="Arial Unicode MS" w:cs="Arial"/>
          <w:sz w:val="22"/>
          <w:szCs w:val="22"/>
          <w:lang w:eastAsia="en-GB"/>
        </w:rPr>
        <w:t xml:space="preserve"> draft RTS </w:t>
      </w:r>
      <w:r w:rsidRPr="00F5551F">
        <w:rPr>
          <w:rFonts w:eastAsia="Arial Unicode MS" w:cs="Arial"/>
          <w:sz w:val="22"/>
          <w:szCs w:val="22"/>
          <w:lang w:eastAsia="en-GB"/>
        </w:rPr>
        <w:t xml:space="preserve">distorts the actual liquidity situation of </w:t>
      </w:r>
      <w:r w:rsidR="00A10390" w:rsidRPr="00F5551F">
        <w:rPr>
          <w:rFonts w:eastAsia="Arial Unicode MS" w:cs="Arial"/>
          <w:sz w:val="22"/>
          <w:szCs w:val="22"/>
          <w:lang w:eastAsia="en-GB"/>
        </w:rPr>
        <w:t>a</w:t>
      </w:r>
      <w:r w:rsidRPr="00F5551F">
        <w:rPr>
          <w:rFonts w:eastAsia="Arial Unicode MS" w:cs="Arial"/>
          <w:sz w:val="22"/>
          <w:szCs w:val="22"/>
          <w:lang w:eastAsia="en-GB"/>
        </w:rPr>
        <w:t xml:space="preserve"> CSD. We consider it appropriate to take such credit lines into account, while applying conservative haircuts for stress testing, in particular when stressing </w:t>
      </w:r>
      <w:proofErr w:type="gramStart"/>
      <w:r w:rsidRPr="00F5551F">
        <w:rPr>
          <w:rFonts w:eastAsia="Arial Unicode MS" w:cs="Arial"/>
          <w:sz w:val="22"/>
          <w:szCs w:val="22"/>
          <w:lang w:eastAsia="en-GB"/>
        </w:rPr>
        <w:t>an impairment</w:t>
      </w:r>
      <w:proofErr w:type="gramEnd"/>
      <w:r w:rsidRPr="00F5551F">
        <w:rPr>
          <w:rFonts w:eastAsia="Arial Unicode MS" w:cs="Arial"/>
          <w:sz w:val="22"/>
          <w:szCs w:val="22"/>
          <w:lang w:eastAsia="en-GB"/>
        </w:rPr>
        <w:t xml:space="preserve"> in the credit quality of the CSD or a market disruption event. Uncommitted credit lines are explicitly </w:t>
      </w:r>
      <w:r w:rsidRPr="00F5551F">
        <w:rPr>
          <w:rFonts w:eastAsia="Arial Unicode MS" w:cs="Arial"/>
          <w:sz w:val="22"/>
          <w:szCs w:val="22"/>
          <w:lang w:eastAsia="en-GB"/>
        </w:rPr>
        <w:lastRenderedPageBreak/>
        <w:t>included in the qualifying liquidity sources under BCBS 248.</w:t>
      </w:r>
      <w:r w:rsidR="00D31C04" w:rsidRPr="00F5551F">
        <w:rPr>
          <w:rFonts w:eastAsia="Arial Unicode MS" w:cs="Arial"/>
          <w:sz w:val="22"/>
          <w:szCs w:val="22"/>
          <w:lang w:eastAsia="en-GB"/>
        </w:rPr>
        <w:t xml:space="preserve"> Beside our strong demand to include such uncommitted interbank credit lin</w:t>
      </w:r>
      <w:r w:rsidR="00F46BA8" w:rsidRPr="00F5551F">
        <w:rPr>
          <w:rFonts w:eastAsia="Arial Unicode MS" w:cs="Arial"/>
          <w:sz w:val="22"/>
          <w:szCs w:val="22"/>
          <w:lang w:eastAsia="en-GB"/>
        </w:rPr>
        <w:t>es, it is doubtful i</w:t>
      </w:r>
      <w:r w:rsidR="00D31C04" w:rsidRPr="00F5551F">
        <w:rPr>
          <w:rFonts w:eastAsia="Arial Unicode MS" w:cs="Arial"/>
          <w:sz w:val="22"/>
          <w:szCs w:val="22"/>
          <w:lang w:eastAsia="en-GB"/>
        </w:rPr>
        <w:t>f sufficient committe</w:t>
      </w:r>
      <w:r w:rsidR="00ED05F6" w:rsidRPr="00F5551F">
        <w:rPr>
          <w:rFonts w:eastAsia="Arial Unicode MS" w:cs="Arial"/>
          <w:sz w:val="22"/>
          <w:szCs w:val="22"/>
          <w:lang w:eastAsia="en-GB"/>
        </w:rPr>
        <w:t>d</w:t>
      </w:r>
      <w:r w:rsidR="00D31C04" w:rsidRPr="00F5551F">
        <w:rPr>
          <w:rFonts w:eastAsia="Arial Unicode MS" w:cs="Arial"/>
          <w:sz w:val="22"/>
          <w:szCs w:val="22"/>
          <w:lang w:eastAsia="en-GB"/>
        </w:rPr>
        <w:t xml:space="preserve"> credit lines can be </w:t>
      </w:r>
      <w:r w:rsidR="00F46BA8" w:rsidRPr="00F5551F">
        <w:rPr>
          <w:rFonts w:eastAsia="Arial Unicode MS" w:cs="Arial"/>
          <w:sz w:val="22"/>
          <w:szCs w:val="22"/>
          <w:lang w:eastAsia="en-GB"/>
        </w:rPr>
        <w:t>received</w:t>
      </w:r>
      <w:r w:rsidR="00D31C04" w:rsidRPr="00F5551F">
        <w:rPr>
          <w:rFonts w:eastAsia="Arial Unicode MS" w:cs="Arial"/>
          <w:sz w:val="22"/>
          <w:szCs w:val="22"/>
          <w:lang w:eastAsia="en-GB"/>
        </w:rPr>
        <w:t>. Committe</w:t>
      </w:r>
      <w:r w:rsidR="00ED05F6" w:rsidRPr="00F5551F">
        <w:rPr>
          <w:rFonts w:eastAsia="Arial Unicode MS" w:cs="Arial"/>
          <w:sz w:val="22"/>
          <w:szCs w:val="22"/>
          <w:lang w:eastAsia="en-GB"/>
        </w:rPr>
        <w:t>d</w:t>
      </w:r>
      <w:r w:rsidR="00D31C04" w:rsidRPr="00F5551F">
        <w:rPr>
          <w:rFonts w:eastAsia="Arial Unicode MS" w:cs="Arial"/>
          <w:sz w:val="22"/>
          <w:szCs w:val="22"/>
          <w:lang w:eastAsia="en-GB"/>
        </w:rPr>
        <w:t xml:space="preserve"> credit lines </w:t>
      </w:r>
      <w:proofErr w:type="gramStart"/>
      <w:r w:rsidR="00ED05F6" w:rsidRPr="00F5551F">
        <w:rPr>
          <w:rFonts w:eastAsia="Arial Unicode MS" w:cs="Arial"/>
          <w:sz w:val="22"/>
          <w:szCs w:val="22"/>
          <w:lang w:eastAsia="en-GB"/>
        </w:rPr>
        <w:t>cause</w:t>
      </w:r>
      <w:proofErr w:type="gramEnd"/>
      <w:r w:rsidR="00D31C04" w:rsidRPr="00F5551F">
        <w:rPr>
          <w:rFonts w:eastAsia="Arial Unicode MS" w:cs="Arial"/>
          <w:sz w:val="22"/>
          <w:szCs w:val="22"/>
          <w:lang w:eastAsia="en-GB"/>
        </w:rPr>
        <w:t xml:space="preserve"> additional regulatory charges for solvency, large exposure and also LCR purposes which make the banks currently reluctant to grant such lines (</w:t>
      </w:r>
      <w:r w:rsidR="00ED05F6" w:rsidRPr="00F5551F">
        <w:rPr>
          <w:rFonts w:eastAsia="Arial Unicode MS" w:cs="Arial"/>
          <w:sz w:val="22"/>
          <w:szCs w:val="22"/>
          <w:lang w:eastAsia="en-GB"/>
        </w:rPr>
        <w:t>W</w:t>
      </w:r>
      <w:r w:rsidR="00D31C04" w:rsidRPr="00F5551F">
        <w:rPr>
          <w:rFonts w:eastAsia="Arial Unicode MS" w:cs="Arial"/>
          <w:sz w:val="22"/>
          <w:szCs w:val="22"/>
          <w:lang w:eastAsia="en-GB"/>
        </w:rPr>
        <w:t xml:space="preserve">e are not arguing on commercial terms. However, the cost of such lines would have to be recharged to the markets and would make settlement for end-investors more expensive). </w:t>
      </w:r>
      <w:r w:rsidR="004D300D" w:rsidRPr="00F5551F">
        <w:rPr>
          <w:rFonts w:eastAsia="Arial Unicode MS" w:cs="Arial"/>
          <w:sz w:val="22"/>
          <w:szCs w:val="22"/>
          <w:lang w:eastAsia="en-GB"/>
        </w:rPr>
        <w:t>In addi</w:t>
      </w:r>
      <w:r w:rsidR="00ED05F6" w:rsidRPr="00F5551F">
        <w:rPr>
          <w:rFonts w:eastAsia="Arial Unicode MS" w:cs="Arial"/>
          <w:sz w:val="22"/>
          <w:szCs w:val="22"/>
          <w:lang w:eastAsia="en-GB"/>
        </w:rPr>
        <w:t>ti</w:t>
      </w:r>
      <w:r w:rsidR="004D300D" w:rsidRPr="00F5551F">
        <w:rPr>
          <w:rFonts w:eastAsia="Arial Unicode MS" w:cs="Arial"/>
          <w:sz w:val="22"/>
          <w:szCs w:val="22"/>
          <w:lang w:eastAsia="en-GB"/>
        </w:rPr>
        <w:t xml:space="preserve">on, under stressed market conditions counterparties may – despite legal commitments – not want or not be in the position to fulfil their commitments and as such, the credit lines are to a substantial degree not “safer” due to the </w:t>
      </w:r>
      <w:r w:rsidR="00BD3A07" w:rsidRPr="00F5551F">
        <w:rPr>
          <w:rFonts w:eastAsia="Arial Unicode MS" w:cs="Arial"/>
          <w:sz w:val="22"/>
          <w:szCs w:val="22"/>
          <w:lang w:eastAsia="en-GB"/>
        </w:rPr>
        <w:t>commitments</w:t>
      </w:r>
      <w:r w:rsidR="004D300D" w:rsidRPr="00F5551F">
        <w:rPr>
          <w:rFonts w:eastAsia="Arial Unicode MS" w:cs="Arial"/>
          <w:sz w:val="22"/>
          <w:szCs w:val="22"/>
          <w:lang w:eastAsia="en-GB"/>
        </w:rPr>
        <w:t xml:space="preserve"> received.</w:t>
      </w:r>
    </w:p>
    <w:p w:rsidR="005D5ED1" w:rsidRPr="00F5551F" w:rsidRDefault="005D5ED1" w:rsidP="00DA6980">
      <w:pPr>
        <w:spacing w:after="240"/>
        <w:jc w:val="both"/>
        <w:rPr>
          <w:rFonts w:eastAsia="Arial Unicode MS" w:cs="Arial"/>
          <w:sz w:val="22"/>
          <w:szCs w:val="22"/>
          <w:lang w:eastAsia="en-GB"/>
        </w:rPr>
      </w:pPr>
      <w:r w:rsidRPr="00F5551F">
        <w:rPr>
          <w:rFonts w:eastAsia="Arial Unicode MS" w:cs="Arial"/>
          <w:b/>
          <w:sz w:val="22"/>
          <w:szCs w:val="22"/>
          <w:bdr w:val="single" w:sz="4" w:space="0" w:color="auto"/>
          <w:lang w:eastAsia="en-GB"/>
        </w:rPr>
        <w:t>Payment obligations</w:t>
      </w:r>
      <w:r w:rsidRPr="00F5551F">
        <w:rPr>
          <w:rFonts w:eastAsia="Arial Unicode MS" w:cs="Arial"/>
          <w:sz w:val="22"/>
          <w:szCs w:val="22"/>
          <w:lang w:eastAsia="en-GB"/>
        </w:rPr>
        <w:t xml:space="preserve"> of the CSD, as long as they are not time specific, are due at the end of the business day. A</w:t>
      </w:r>
      <w:r w:rsidR="004D300D" w:rsidRPr="00F5551F">
        <w:rPr>
          <w:rFonts w:eastAsia="Arial Unicode MS" w:cs="Arial"/>
          <w:sz w:val="22"/>
          <w:szCs w:val="22"/>
          <w:lang w:eastAsia="en-GB"/>
        </w:rPr>
        <w:t xml:space="preserve">n </w:t>
      </w:r>
      <w:r w:rsidRPr="00F5551F">
        <w:rPr>
          <w:rFonts w:eastAsia="Arial Unicode MS" w:cs="Arial"/>
          <w:sz w:val="22"/>
          <w:szCs w:val="22"/>
          <w:lang w:eastAsia="en-GB"/>
        </w:rPr>
        <w:t xml:space="preserve">execution of such payments </w:t>
      </w:r>
      <w:r w:rsidR="004D300D" w:rsidRPr="00F5551F">
        <w:rPr>
          <w:rFonts w:eastAsia="Arial Unicode MS" w:cs="Arial"/>
          <w:sz w:val="22"/>
          <w:szCs w:val="22"/>
          <w:lang w:eastAsia="en-GB"/>
        </w:rPr>
        <w:t xml:space="preserve">not immediately but at a later point during the same day </w:t>
      </w:r>
      <w:r w:rsidRPr="00F5551F">
        <w:rPr>
          <w:rFonts w:eastAsia="Arial Unicode MS" w:cs="Arial"/>
          <w:sz w:val="22"/>
          <w:szCs w:val="22"/>
          <w:lang w:eastAsia="en-GB"/>
        </w:rPr>
        <w:t>does not give rise to claims by customers and is therefore not considered critical. The concept of a dedicated expectation on the timing of expected payments during the day is artificial</w:t>
      </w:r>
      <w:r w:rsidR="00A10390" w:rsidRPr="00F5551F">
        <w:rPr>
          <w:rFonts w:eastAsia="Arial Unicode MS" w:cs="Arial"/>
          <w:sz w:val="22"/>
          <w:szCs w:val="22"/>
          <w:lang w:eastAsia="en-GB"/>
        </w:rPr>
        <w:t xml:space="preserve"> </w:t>
      </w:r>
      <w:r w:rsidR="00682FB7" w:rsidRPr="00F5551F">
        <w:rPr>
          <w:rFonts w:eastAsia="Arial Unicode MS" w:cs="Arial"/>
          <w:sz w:val="22"/>
          <w:szCs w:val="22"/>
          <w:lang w:eastAsia="en-GB"/>
        </w:rPr>
        <w:t xml:space="preserve">(Article 31 (1) </w:t>
      </w:r>
      <w:r w:rsidR="00D677D3">
        <w:rPr>
          <w:rFonts w:eastAsia="Arial Unicode MS" w:cs="Arial"/>
          <w:sz w:val="22"/>
          <w:szCs w:val="22"/>
          <w:lang w:eastAsia="en-GB"/>
        </w:rPr>
        <w:t>(</w:t>
      </w:r>
      <w:r w:rsidR="00682FB7" w:rsidRPr="00F5551F">
        <w:rPr>
          <w:rFonts w:eastAsia="Arial Unicode MS" w:cs="Arial"/>
          <w:sz w:val="22"/>
          <w:szCs w:val="22"/>
          <w:lang w:eastAsia="en-GB"/>
        </w:rPr>
        <w:t>b</w:t>
      </w:r>
      <w:r w:rsidR="00D677D3">
        <w:rPr>
          <w:rFonts w:eastAsia="Arial Unicode MS" w:cs="Arial"/>
          <w:sz w:val="22"/>
          <w:szCs w:val="22"/>
          <w:lang w:eastAsia="en-GB"/>
        </w:rPr>
        <w:t>)</w:t>
      </w:r>
      <w:r w:rsidR="00682FB7" w:rsidRPr="00F5551F">
        <w:rPr>
          <w:rFonts w:eastAsia="Arial Unicode MS" w:cs="Arial"/>
          <w:sz w:val="22"/>
          <w:szCs w:val="22"/>
          <w:lang w:eastAsia="en-GB"/>
        </w:rPr>
        <w:t xml:space="preserve"> and </w:t>
      </w:r>
      <w:r w:rsidR="00D677D3">
        <w:rPr>
          <w:rFonts w:eastAsia="Arial Unicode MS" w:cs="Arial"/>
          <w:sz w:val="22"/>
          <w:szCs w:val="22"/>
          <w:lang w:eastAsia="en-GB"/>
        </w:rPr>
        <w:t>(</w:t>
      </w:r>
      <w:r w:rsidR="00682FB7" w:rsidRPr="00F5551F">
        <w:rPr>
          <w:rFonts w:eastAsia="Arial Unicode MS" w:cs="Arial"/>
          <w:sz w:val="22"/>
          <w:szCs w:val="22"/>
          <w:lang w:eastAsia="en-GB"/>
        </w:rPr>
        <w:t>c</w:t>
      </w:r>
      <w:r w:rsidR="00D677D3">
        <w:rPr>
          <w:rFonts w:eastAsia="Arial Unicode MS" w:cs="Arial"/>
          <w:sz w:val="22"/>
          <w:szCs w:val="22"/>
          <w:lang w:eastAsia="en-GB"/>
        </w:rPr>
        <w:t>)</w:t>
      </w:r>
      <w:r w:rsidR="00682FB7" w:rsidRPr="00F5551F">
        <w:rPr>
          <w:rFonts w:eastAsia="Arial Unicode MS" w:cs="Arial"/>
          <w:sz w:val="22"/>
          <w:szCs w:val="22"/>
          <w:lang w:eastAsia="en-GB"/>
        </w:rPr>
        <w:t>, draft RTS)</w:t>
      </w:r>
      <w:r w:rsidRPr="00F5551F">
        <w:rPr>
          <w:rFonts w:eastAsia="Arial Unicode MS" w:cs="Arial"/>
          <w:sz w:val="22"/>
          <w:szCs w:val="22"/>
          <w:lang w:eastAsia="en-GB"/>
        </w:rPr>
        <w:t>. Treasury management targets to have sufficient funds to cover all expected and foreseeable cash outflows during the day. Delaying the execution of a payment which is due on that date - but not at a certain time - to a later point in time on the same day is neither a breach of legal obligations nor a liquidity shortage. We therefore ask to clarify that any expected outgoing payment which is not due at a dedicated time is expected to be paid out by the end of the day.</w:t>
      </w:r>
    </w:p>
    <w:p w:rsidR="005D5ED1" w:rsidRPr="00F5551F" w:rsidRDefault="005D5ED1" w:rsidP="00BA048F">
      <w:pPr>
        <w:pStyle w:val="NoSpacing"/>
        <w:rPr>
          <w:rFonts w:eastAsia="Arial Unicode MS"/>
          <w:sz w:val="22"/>
          <w:szCs w:val="22"/>
          <w:lang w:eastAsia="en-GB"/>
        </w:rPr>
      </w:pPr>
      <w:r w:rsidRPr="00F5551F">
        <w:rPr>
          <w:rFonts w:eastAsia="Arial Unicode MS"/>
          <w:sz w:val="22"/>
          <w:szCs w:val="22"/>
          <w:lang w:eastAsia="en-GB"/>
        </w:rPr>
        <w:t>The requirement to hold assets covering the default of the two largest participants (“</w:t>
      </w:r>
      <w:r w:rsidRPr="00F5551F">
        <w:rPr>
          <w:rFonts w:eastAsia="Arial Unicode MS"/>
          <w:b/>
          <w:sz w:val="22"/>
          <w:szCs w:val="22"/>
          <w:bdr w:val="single" w:sz="4" w:space="0" w:color="auto"/>
          <w:lang w:eastAsia="en-GB"/>
        </w:rPr>
        <w:t>Cover 2</w:t>
      </w:r>
      <w:r w:rsidRPr="00F5551F">
        <w:rPr>
          <w:rFonts w:eastAsia="Arial Unicode MS"/>
          <w:sz w:val="22"/>
          <w:szCs w:val="22"/>
          <w:lang w:eastAsia="en-GB"/>
        </w:rPr>
        <w:t>”</w:t>
      </w:r>
      <w:r w:rsidR="00682FB7" w:rsidRPr="00F5551F">
        <w:rPr>
          <w:rFonts w:eastAsia="Arial Unicode MS"/>
          <w:sz w:val="22"/>
          <w:szCs w:val="22"/>
          <w:lang w:eastAsia="en-GB"/>
        </w:rPr>
        <w:t>, Article 35 (4) and 35 (11</w:t>
      </w:r>
      <w:proofErr w:type="gramStart"/>
      <w:r w:rsidR="00682FB7" w:rsidRPr="00F5551F">
        <w:rPr>
          <w:rFonts w:eastAsia="Arial Unicode MS"/>
          <w:sz w:val="22"/>
          <w:szCs w:val="22"/>
          <w:lang w:eastAsia="en-GB"/>
        </w:rPr>
        <w:t>)</w:t>
      </w:r>
      <w:r w:rsidR="00D677D3">
        <w:rPr>
          <w:rFonts w:eastAsia="Arial Unicode MS"/>
          <w:sz w:val="22"/>
          <w:szCs w:val="22"/>
          <w:lang w:eastAsia="en-GB"/>
        </w:rPr>
        <w:t>(</w:t>
      </w:r>
      <w:proofErr w:type="gramEnd"/>
      <w:r w:rsidR="00682FB7" w:rsidRPr="00F5551F">
        <w:rPr>
          <w:rFonts w:eastAsia="Arial Unicode MS"/>
          <w:sz w:val="22"/>
          <w:szCs w:val="22"/>
          <w:lang w:eastAsia="en-GB"/>
        </w:rPr>
        <w:t xml:space="preserve"> a</w:t>
      </w:r>
      <w:r w:rsidR="00D677D3">
        <w:rPr>
          <w:rFonts w:eastAsia="Arial Unicode MS"/>
          <w:sz w:val="22"/>
          <w:szCs w:val="22"/>
          <w:lang w:eastAsia="en-GB"/>
        </w:rPr>
        <w:t>)</w:t>
      </w:r>
      <w:r w:rsidR="00682FB7" w:rsidRPr="00F5551F">
        <w:rPr>
          <w:rFonts w:eastAsia="Arial Unicode MS"/>
          <w:sz w:val="22"/>
          <w:szCs w:val="22"/>
          <w:lang w:eastAsia="en-GB"/>
        </w:rPr>
        <w:t xml:space="preserve"> draft RTS</w:t>
      </w:r>
      <w:r w:rsidRPr="00F5551F">
        <w:rPr>
          <w:rFonts w:eastAsia="Arial Unicode MS"/>
          <w:sz w:val="22"/>
          <w:szCs w:val="22"/>
          <w:lang w:eastAsia="en-GB"/>
        </w:rPr>
        <w:t xml:space="preserve">) seems to be adopted from EMIR. While this makes sense for a CCP, who guarantees the fulfilment of all obligations of the defaulting participant, there is no such obligation for a CSD. In case of a customer default, the CSD would simply not execute any further settlement transactions for the defaulted customer. We therefore do not think that a “Cover 2” requirement </w:t>
      </w:r>
      <w:r w:rsidR="00F46BA8" w:rsidRPr="00F5551F">
        <w:rPr>
          <w:rFonts w:eastAsia="Arial Unicode MS"/>
          <w:sz w:val="22"/>
          <w:szCs w:val="22"/>
          <w:lang w:eastAsia="en-GB"/>
        </w:rPr>
        <w:t xml:space="preserve">should be </w:t>
      </w:r>
      <w:r w:rsidRPr="00F5551F">
        <w:rPr>
          <w:rFonts w:eastAsia="Arial Unicode MS"/>
          <w:sz w:val="22"/>
          <w:szCs w:val="22"/>
          <w:lang w:eastAsia="en-GB"/>
        </w:rPr>
        <w:t>applicable for a CSD.</w:t>
      </w:r>
    </w:p>
    <w:p w:rsidR="004D4246" w:rsidRPr="00F5551F" w:rsidRDefault="004D4246" w:rsidP="00BA048F">
      <w:pPr>
        <w:pStyle w:val="NoSpacing"/>
        <w:rPr>
          <w:rFonts w:eastAsia="Arial Unicode MS"/>
          <w:sz w:val="22"/>
          <w:szCs w:val="22"/>
          <w:lang w:eastAsia="en-GB"/>
        </w:rPr>
      </w:pPr>
      <w:r w:rsidRPr="00F5551F">
        <w:rPr>
          <w:rFonts w:eastAsia="Arial Unicode MS"/>
          <w:sz w:val="22"/>
          <w:szCs w:val="22"/>
          <w:lang w:eastAsia="en-GB"/>
        </w:rPr>
        <w:t>The implementation of the proposed rules requires significant conceptual and IT effort. We expect that implementation will take at least 24 months and therefore urge the regulators to foresee a respective transitional period.</w:t>
      </w:r>
    </w:p>
    <w:p w:rsidR="00682FB7" w:rsidRPr="00F5551F" w:rsidRDefault="004D4246" w:rsidP="00BA048F">
      <w:pPr>
        <w:pStyle w:val="NoSpacing"/>
        <w:rPr>
          <w:rFonts w:eastAsia="Arial Unicode MS"/>
          <w:sz w:val="22"/>
          <w:szCs w:val="22"/>
          <w:lang w:eastAsia="en-GB"/>
        </w:rPr>
      </w:pPr>
      <w:r w:rsidRPr="00F5551F">
        <w:rPr>
          <w:rFonts w:eastAsia="Arial Unicode MS"/>
          <w:sz w:val="22"/>
          <w:szCs w:val="22"/>
          <w:lang w:eastAsia="en-GB"/>
        </w:rPr>
        <w:t xml:space="preserve">Finally, on the overall provision of Banking Services by CSDs this regulation is building CSDs as strongholds of the most stringent regulatory requirements and most </w:t>
      </w:r>
      <w:proofErr w:type="gramStart"/>
      <w:r w:rsidRPr="00F5551F">
        <w:rPr>
          <w:rFonts w:eastAsia="Arial Unicode MS"/>
          <w:sz w:val="22"/>
          <w:szCs w:val="22"/>
          <w:lang w:eastAsia="en-GB"/>
        </w:rPr>
        <w:t>heightened  systemic</w:t>
      </w:r>
      <w:proofErr w:type="gramEnd"/>
      <w:r w:rsidRPr="00F5551F">
        <w:rPr>
          <w:rFonts w:eastAsia="Arial Unicode MS"/>
          <w:sz w:val="22"/>
          <w:szCs w:val="22"/>
          <w:lang w:eastAsia="en-GB"/>
        </w:rPr>
        <w:t xml:space="preserve"> risk protection models. We fear that this protection will work as a new barrier for new entrants for the provision of such banking services. </w:t>
      </w:r>
      <w:r w:rsidRPr="00F5551F">
        <w:rPr>
          <w:rFonts w:eastAsia="Arial Unicode MS"/>
          <w:sz w:val="22"/>
          <w:szCs w:val="22"/>
          <w:lang w:eastAsia="en-GB"/>
        </w:rPr>
        <w:tab/>
      </w:r>
    </w:p>
    <w:p w:rsidR="004D4246" w:rsidRPr="00F5551F" w:rsidRDefault="004D4246" w:rsidP="00BA048F">
      <w:pPr>
        <w:pStyle w:val="NoSpacing"/>
        <w:rPr>
          <w:rFonts w:eastAsia="Arial Unicode MS"/>
          <w:sz w:val="22"/>
          <w:szCs w:val="22"/>
          <w:lang w:eastAsia="en-GB"/>
        </w:rPr>
      </w:pPr>
      <w:r w:rsidRPr="00F5551F">
        <w:rPr>
          <w:rFonts w:eastAsia="Arial Unicode MS"/>
          <w:sz w:val="22"/>
          <w:szCs w:val="22"/>
          <w:lang w:eastAsia="en-GB"/>
        </w:rPr>
        <w:br/>
        <w:t>As anticipated during the CSD</w:t>
      </w:r>
      <w:r w:rsidR="00BC4D9A" w:rsidRPr="00F5551F">
        <w:rPr>
          <w:rFonts w:eastAsia="Arial Unicode MS"/>
          <w:sz w:val="22"/>
          <w:szCs w:val="22"/>
          <w:lang w:eastAsia="en-GB"/>
        </w:rPr>
        <w:t>-</w:t>
      </w:r>
      <w:r w:rsidRPr="00F5551F">
        <w:rPr>
          <w:rFonts w:eastAsia="Arial Unicode MS"/>
          <w:sz w:val="22"/>
          <w:szCs w:val="22"/>
          <w:lang w:eastAsia="en-GB"/>
        </w:rPr>
        <w:t xml:space="preserve">R legislative process, to this dates no credit institution has succeeded in its attempt to </w:t>
      </w:r>
      <w:r w:rsidR="00F5551F" w:rsidRPr="00F5551F">
        <w:rPr>
          <w:rFonts w:eastAsia="Arial Unicode MS"/>
          <w:sz w:val="22"/>
          <w:szCs w:val="22"/>
          <w:lang w:eastAsia="en-GB"/>
        </w:rPr>
        <w:t>reach</w:t>
      </w:r>
      <w:r w:rsidRPr="00F5551F">
        <w:rPr>
          <w:rFonts w:eastAsia="Arial Unicode MS"/>
          <w:sz w:val="22"/>
          <w:szCs w:val="22"/>
          <w:lang w:eastAsia="en-GB"/>
        </w:rPr>
        <w:t xml:space="preserve"> the status of “designated credit institution to provide any banking-type ancillary services” as from Article 54</w:t>
      </w:r>
      <w:r w:rsidR="00157FD6" w:rsidRPr="00F5551F">
        <w:rPr>
          <w:rFonts w:eastAsia="Arial Unicode MS"/>
          <w:sz w:val="22"/>
          <w:szCs w:val="22"/>
          <w:lang w:eastAsia="en-GB"/>
        </w:rPr>
        <w:t>(</w:t>
      </w:r>
      <w:r w:rsidRPr="00F5551F">
        <w:rPr>
          <w:rFonts w:eastAsia="Arial Unicode MS"/>
          <w:sz w:val="22"/>
          <w:szCs w:val="22"/>
          <w:lang w:eastAsia="en-GB"/>
        </w:rPr>
        <w:t>4</w:t>
      </w:r>
      <w:r w:rsidR="00157FD6" w:rsidRPr="00F5551F">
        <w:rPr>
          <w:rFonts w:eastAsia="Arial Unicode MS"/>
          <w:sz w:val="22"/>
          <w:szCs w:val="22"/>
          <w:lang w:eastAsia="en-GB"/>
        </w:rPr>
        <w:t>)</w:t>
      </w:r>
      <w:r w:rsidRPr="00F5551F">
        <w:rPr>
          <w:rFonts w:eastAsia="Arial Unicode MS"/>
          <w:sz w:val="22"/>
          <w:szCs w:val="22"/>
          <w:lang w:eastAsia="en-GB"/>
        </w:rPr>
        <w:t xml:space="preserve"> of the CSD</w:t>
      </w:r>
      <w:r w:rsidR="00BC4D9A" w:rsidRPr="00F5551F">
        <w:rPr>
          <w:rFonts w:eastAsia="Arial Unicode MS"/>
          <w:sz w:val="22"/>
          <w:szCs w:val="22"/>
          <w:lang w:eastAsia="en-GB"/>
        </w:rPr>
        <w:t>-</w:t>
      </w:r>
      <w:r w:rsidRPr="00F5551F">
        <w:rPr>
          <w:rFonts w:eastAsia="Arial Unicode MS"/>
          <w:sz w:val="22"/>
          <w:szCs w:val="22"/>
          <w:lang w:eastAsia="en-GB"/>
        </w:rPr>
        <w:t xml:space="preserve">R, and CSDs will find it very unlikely to receive such ancillary banking services from an authorised third party. </w:t>
      </w:r>
      <w:r w:rsidR="003F5B17" w:rsidRPr="00F5551F">
        <w:rPr>
          <w:rFonts w:eastAsia="Arial Unicode MS"/>
          <w:sz w:val="22"/>
          <w:szCs w:val="22"/>
          <w:lang w:eastAsia="en-GB"/>
        </w:rPr>
        <w:t>For the sake of barrier-building, f</w:t>
      </w:r>
      <w:r w:rsidRPr="00F5551F">
        <w:rPr>
          <w:rFonts w:eastAsia="Arial Unicode MS"/>
          <w:sz w:val="22"/>
          <w:szCs w:val="22"/>
          <w:lang w:eastAsia="en-GB"/>
        </w:rPr>
        <w:t xml:space="preserve">urther flexibility should be </w:t>
      </w:r>
      <w:r w:rsidR="003F5B17" w:rsidRPr="00F5551F">
        <w:rPr>
          <w:rFonts w:eastAsia="Arial Unicode MS"/>
          <w:sz w:val="22"/>
          <w:szCs w:val="22"/>
          <w:lang w:eastAsia="en-GB"/>
        </w:rPr>
        <w:t xml:space="preserve">allowed from the EBA RTS to allow to those CSDs wishing to provide banking services to other CSDs in compliance with Art 54 to any CSDs wishing to receive such services. </w:t>
      </w:r>
    </w:p>
    <w:p w:rsidR="006A0FC7" w:rsidRPr="00F5551F" w:rsidRDefault="006A0FC7" w:rsidP="00BA048F">
      <w:pPr>
        <w:pStyle w:val="NoSpacing"/>
        <w:rPr>
          <w:rFonts w:eastAsia="Arial Unicode MS"/>
          <w:sz w:val="22"/>
          <w:szCs w:val="22"/>
          <w:lang w:eastAsia="en-GB"/>
        </w:rPr>
      </w:pPr>
    </w:p>
    <w:p w:rsidR="00BF56CB" w:rsidRPr="00F5551F" w:rsidRDefault="00BF56CB" w:rsidP="00BA048F">
      <w:pPr>
        <w:pStyle w:val="NoSpacing"/>
        <w:rPr>
          <w:b/>
          <w:sz w:val="22"/>
          <w:szCs w:val="22"/>
        </w:rPr>
      </w:pPr>
    </w:p>
    <w:p w:rsidR="006A0FC7" w:rsidRPr="00F5551F" w:rsidRDefault="002E662A" w:rsidP="00BA048F">
      <w:pPr>
        <w:pStyle w:val="NoSpacing"/>
        <w:rPr>
          <w:b/>
          <w:szCs w:val="24"/>
        </w:rPr>
      </w:pPr>
      <w:r w:rsidRPr="00F5551F">
        <w:rPr>
          <w:b/>
          <w:szCs w:val="24"/>
        </w:rPr>
        <w:t>D</w:t>
      </w:r>
      <w:r w:rsidR="006A0FC7" w:rsidRPr="00F5551F">
        <w:rPr>
          <w:b/>
          <w:szCs w:val="24"/>
        </w:rPr>
        <w:t>. Responses to the questions for consultation</w:t>
      </w:r>
    </w:p>
    <w:p w:rsidR="006A0FC7" w:rsidRPr="00F5551F" w:rsidRDefault="006A0FC7" w:rsidP="00BA048F">
      <w:pPr>
        <w:pStyle w:val="NoSpacing"/>
        <w:rPr>
          <w:b/>
          <w:sz w:val="22"/>
          <w:szCs w:val="22"/>
        </w:rPr>
      </w:pPr>
    </w:p>
    <w:p w:rsidR="00BA2A95" w:rsidRPr="00F5551F" w:rsidRDefault="00BA2A95" w:rsidP="00DA6980">
      <w:pPr>
        <w:pStyle w:val="Default"/>
        <w:contextualSpacing/>
        <w:rPr>
          <w:rFonts w:ascii="DIN-Regular" w:hAnsi="DIN-Regular" w:cs="Arial"/>
          <w:b/>
          <w:color w:val="auto"/>
          <w:sz w:val="22"/>
          <w:szCs w:val="22"/>
        </w:rPr>
      </w:pPr>
    </w:p>
    <w:p w:rsidR="006A0FC7" w:rsidRPr="00F5551F" w:rsidRDefault="006A0FC7" w:rsidP="00DA6980">
      <w:pPr>
        <w:pStyle w:val="Default"/>
        <w:numPr>
          <w:ilvl w:val="0"/>
          <w:numId w:val="1"/>
        </w:numPr>
        <w:pBdr>
          <w:top w:val="single" w:sz="4" w:space="1" w:color="auto"/>
          <w:left w:val="single" w:sz="4" w:space="4" w:color="auto"/>
          <w:bottom w:val="single" w:sz="4" w:space="1" w:color="auto"/>
          <w:right w:val="single" w:sz="4" w:space="4" w:color="auto"/>
        </w:pBdr>
        <w:contextualSpacing/>
        <w:jc w:val="both"/>
        <w:rPr>
          <w:rFonts w:ascii="DIN-Regular" w:eastAsia="Arial Unicode MS" w:hAnsi="DIN-Regular" w:cs="Arial"/>
          <w:color w:val="0070C0"/>
          <w:sz w:val="22"/>
          <w:szCs w:val="22"/>
        </w:rPr>
      </w:pPr>
      <w:r w:rsidRPr="00F5551F">
        <w:rPr>
          <w:rFonts w:ascii="DIN-Regular" w:eastAsia="Arial Unicode MS" w:hAnsi="DIN-Regular" w:cs="Arial"/>
          <w:color w:val="0070C0"/>
          <w:sz w:val="22"/>
          <w:szCs w:val="22"/>
        </w:rPr>
        <w:t xml:space="preserve">What are the practical impediments of calculating capital requirements for custody risk as set out in this </w:t>
      </w:r>
      <w:r w:rsidR="0032011A" w:rsidRPr="00F5551F">
        <w:rPr>
          <w:rFonts w:ascii="DIN-Regular" w:eastAsia="Arial Unicode MS" w:hAnsi="DIN-Regular" w:cs="Arial"/>
          <w:color w:val="0070C0"/>
          <w:sz w:val="22"/>
          <w:szCs w:val="22"/>
        </w:rPr>
        <w:t>a</w:t>
      </w:r>
      <w:r w:rsidRPr="00F5551F">
        <w:rPr>
          <w:rFonts w:ascii="DIN-Regular" w:eastAsia="Arial Unicode MS" w:hAnsi="DIN-Regular" w:cs="Arial"/>
          <w:color w:val="0070C0"/>
          <w:sz w:val="22"/>
          <w:szCs w:val="22"/>
        </w:rPr>
        <w:t>rticle? (Article 5 draft RTS)</w:t>
      </w:r>
    </w:p>
    <w:p w:rsidR="00BA2A95" w:rsidRPr="00F5551F" w:rsidRDefault="00BA2A95" w:rsidP="00DA6980">
      <w:pPr>
        <w:pStyle w:val="Default"/>
        <w:ind w:left="720"/>
        <w:contextualSpacing/>
        <w:jc w:val="both"/>
        <w:rPr>
          <w:rFonts w:ascii="DIN-Regular" w:eastAsia="Arial Unicode MS" w:hAnsi="DIN-Regular" w:cs="Arial"/>
          <w:color w:val="0070C0"/>
          <w:sz w:val="22"/>
          <w:szCs w:val="22"/>
        </w:rPr>
      </w:pPr>
    </w:p>
    <w:p w:rsidR="006A0FC7" w:rsidRPr="00F5551F" w:rsidRDefault="006A0FC7" w:rsidP="00DA6980">
      <w:pPr>
        <w:pStyle w:val="Default"/>
        <w:ind w:left="720"/>
        <w:contextualSpacing/>
        <w:jc w:val="both"/>
        <w:rPr>
          <w:rFonts w:ascii="DIN-Regular" w:eastAsia="Arial Unicode MS" w:hAnsi="DIN-Regular" w:cs="Arial"/>
          <w:color w:val="0070C0"/>
          <w:sz w:val="22"/>
          <w:szCs w:val="22"/>
        </w:rPr>
      </w:pPr>
      <w:r w:rsidRPr="00F5551F">
        <w:rPr>
          <w:rFonts w:ascii="DIN-Regular" w:eastAsia="Arial Unicode MS" w:hAnsi="DIN-Regular" w:cs="Arial"/>
          <w:color w:val="0070C0"/>
          <w:sz w:val="22"/>
          <w:szCs w:val="22"/>
        </w:rPr>
        <w:lastRenderedPageBreak/>
        <w:t xml:space="preserve"> </w:t>
      </w:r>
    </w:p>
    <w:p w:rsidR="006A0FC7" w:rsidRPr="00F5551F" w:rsidRDefault="006A0FC7"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 xml:space="preserve">The proposed approach refers to a capital charge for </w:t>
      </w:r>
      <w:r w:rsidRPr="00F5551F">
        <w:rPr>
          <w:rFonts w:ascii="DIN-Regular" w:eastAsia="Arial Unicode MS" w:hAnsi="DIN-Regular" w:cs="Arial"/>
          <w:b/>
          <w:color w:val="auto"/>
          <w:sz w:val="22"/>
          <w:szCs w:val="22"/>
          <w:u w:val="single"/>
        </w:rPr>
        <w:t>operational risk</w:t>
      </w:r>
      <w:r w:rsidRPr="00F5551F">
        <w:rPr>
          <w:rFonts w:ascii="DIN-Regular" w:eastAsia="Arial Unicode MS" w:hAnsi="DIN-Regular" w:cs="Arial"/>
          <w:color w:val="auto"/>
          <w:sz w:val="22"/>
          <w:szCs w:val="22"/>
        </w:rPr>
        <w:t xml:space="preserve">. The method proposed would require </w:t>
      </w:r>
      <w:r w:rsidR="00BD3A07" w:rsidRPr="00F5551F">
        <w:rPr>
          <w:rFonts w:ascii="DIN-Regular" w:eastAsia="Arial Unicode MS" w:hAnsi="DIN-Regular" w:cs="Arial"/>
          <w:color w:val="auto"/>
          <w:sz w:val="22"/>
          <w:szCs w:val="22"/>
        </w:rPr>
        <w:t>splitting the total business into pre-defined business lines and allocating</w:t>
      </w:r>
      <w:r w:rsidRPr="00F5551F">
        <w:rPr>
          <w:rFonts w:ascii="DIN-Regular" w:eastAsia="Arial Unicode MS" w:hAnsi="DIN-Regular" w:cs="Arial"/>
          <w:color w:val="auto"/>
          <w:sz w:val="22"/>
          <w:szCs w:val="22"/>
        </w:rPr>
        <w:t xml:space="preserve"> all income to any one of those. The business lines are fully pre-described in </w:t>
      </w:r>
      <w:r w:rsidR="00157FD6" w:rsidRPr="00F5551F">
        <w:rPr>
          <w:rFonts w:ascii="DIN-Regular" w:eastAsia="Arial Unicode MS" w:hAnsi="DIN-Regular" w:cs="Arial"/>
          <w:color w:val="auto"/>
          <w:sz w:val="22"/>
          <w:szCs w:val="22"/>
        </w:rPr>
        <w:t>A</w:t>
      </w:r>
      <w:r w:rsidRPr="00F5551F">
        <w:rPr>
          <w:rFonts w:ascii="DIN-Regular" w:eastAsia="Arial Unicode MS" w:hAnsi="DIN-Regular" w:cs="Arial"/>
          <w:color w:val="auto"/>
          <w:sz w:val="22"/>
          <w:szCs w:val="22"/>
        </w:rPr>
        <w:t>rticle 317 (4) CRR which does not include a business line “third party custody” but rather refers to “Agency services”.</w:t>
      </w:r>
    </w:p>
    <w:p w:rsidR="006A0FC7" w:rsidRPr="00F5551F" w:rsidRDefault="006A0FC7"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As such, all custody service income would have to be allocated to th</w:t>
      </w:r>
      <w:r w:rsidR="00682FB7" w:rsidRPr="00F5551F">
        <w:rPr>
          <w:rFonts w:ascii="DIN-Regular" w:eastAsia="Arial Unicode MS" w:hAnsi="DIN-Regular" w:cs="Arial"/>
          <w:color w:val="auto"/>
          <w:sz w:val="22"/>
          <w:szCs w:val="22"/>
        </w:rPr>
        <w:t>at</w:t>
      </w:r>
      <w:r w:rsidRPr="00F5551F">
        <w:rPr>
          <w:rFonts w:ascii="DIN-Regular" w:eastAsia="Arial Unicode MS" w:hAnsi="DIN-Regular" w:cs="Arial"/>
          <w:color w:val="auto"/>
          <w:sz w:val="22"/>
          <w:szCs w:val="22"/>
        </w:rPr>
        <w:t xml:space="preserve"> business line. This, however, would put the income from custody for clients a second time under capital charge which cannot be intended. Moreover, third party custody is not creating income but rather cost. All in all, the proposed method does not seem to fit at all. It further needs to be </w:t>
      </w:r>
      <w:proofErr w:type="gramStart"/>
      <w:r w:rsidRPr="00F5551F">
        <w:rPr>
          <w:rFonts w:ascii="DIN-Regular" w:eastAsia="Arial Unicode MS" w:hAnsi="DIN-Regular" w:cs="Arial"/>
          <w:color w:val="auto"/>
          <w:sz w:val="22"/>
          <w:szCs w:val="22"/>
        </w:rPr>
        <w:t>noted,</w:t>
      </w:r>
      <w:proofErr w:type="gramEnd"/>
      <w:r w:rsidRPr="00F5551F">
        <w:rPr>
          <w:rFonts w:ascii="DIN-Regular" w:eastAsia="Arial Unicode MS" w:hAnsi="DIN-Regular" w:cs="Arial"/>
          <w:color w:val="auto"/>
          <w:sz w:val="22"/>
          <w:szCs w:val="22"/>
        </w:rPr>
        <w:t xml:space="preserve"> that the BCBS has already proposed to withdraw the current standard method as is has not demonstrated to correctly reflect the various business lines.</w:t>
      </w:r>
      <w:r w:rsidRPr="00F5551F">
        <w:rPr>
          <w:rStyle w:val="FootnoteReference"/>
          <w:rFonts w:ascii="DIN-Regular" w:eastAsia="Arial Unicode MS" w:hAnsi="DIN-Regular" w:cs="Arial"/>
          <w:color w:val="auto"/>
          <w:sz w:val="22"/>
          <w:szCs w:val="22"/>
        </w:rPr>
        <w:footnoteReference w:id="3"/>
      </w:r>
      <w:r w:rsidRPr="00F5551F">
        <w:rPr>
          <w:rFonts w:ascii="DIN-Regular" w:eastAsia="Arial Unicode MS" w:hAnsi="DIN-Regular" w:cs="Arial"/>
          <w:color w:val="auto"/>
          <w:sz w:val="22"/>
          <w:szCs w:val="22"/>
        </w:rPr>
        <w:t xml:space="preserve"> We therefore reject the proposal.</w:t>
      </w:r>
    </w:p>
    <w:p w:rsidR="006A0FC7" w:rsidRPr="00F5551F" w:rsidRDefault="006A0FC7" w:rsidP="00DA6980">
      <w:pPr>
        <w:pStyle w:val="Default"/>
        <w:contextualSpacing/>
        <w:jc w:val="both"/>
        <w:rPr>
          <w:rFonts w:ascii="DIN-Regular" w:eastAsia="Arial Unicode MS" w:hAnsi="DIN-Regular" w:cs="Arial"/>
          <w:color w:val="auto"/>
          <w:sz w:val="22"/>
          <w:szCs w:val="22"/>
        </w:rPr>
      </w:pPr>
    </w:p>
    <w:p w:rsidR="006A0FC7" w:rsidRPr="00F5551F" w:rsidRDefault="006A0FC7"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More generally, we reject to add a dedicated charge for custody risk in whatever form on top of its coverage within the general framework of the operational risk capital charge. To our understanding</w:t>
      </w:r>
      <w:r w:rsidR="00F20FDD" w:rsidRPr="00F5551F">
        <w:rPr>
          <w:rFonts w:ascii="DIN-Regular" w:eastAsia="Arial Unicode MS" w:hAnsi="DIN-Regular" w:cs="Arial"/>
          <w:color w:val="auto"/>
          <w:sz w:val="22"/>
          <w:szCs w:val="22"/>
        </w:rPr>
        <w:t xml:space="preserve"> derived from the consultation paper itself</w:t>
      </w:r>
      <w:r w:rsidRPr="00F5551F">
        <w:rPr>
          <w:rFonts w:ascii="DIN-Regular" w:eastAsia="Arial Unicode MS" w:hAnsi="DIN-Regular" w:cs="Arial"/>
          <w:color w:val="auto"/>
          <w:sz w:val="22"/>
          <w:szCs w:val="22"/>
        </w:rPr>
        <w:t>, even EBA in general agrees to this approach for client custody. Consequently, a separate charge for any (sub-</w:t>
      </w:r>
      <w:proofErr w:type="gramStart"/>
      <w:r w:rsidRPr="00F5551F">
        <w:rPr>
          <w:rFonts w:ascii="DIN-Regular" w:eastAsia="Arial Unicode MS" w:hAnsi="DIN-Regular" w:cs="Arial"/>
          <w:color w:val="auto"/>
          <w:sz w:val="22"/>
          <w:szCs w:val="22"/>
        </w:rPr>
        <w:t>)custody</w:t>
      </w:r>
      <w:proofErr w:type="gramEnd"/>
      <w:r w:rsidRPr="00F5551F">
        <w:rPr>
          <w:rFonts w:ascii="DIN-Regular" w:eastAsia="Arial Unicode MS" w:hAnsi="DIN-Regular" w:cs="Arial"/>
          <w:color w:val="auto"/>
          <w:sz w:val="22"/>
          <w:szCs w:val="22"/>
        </w:rPr>
        <w:t xml:space="preserve"> with third parties does not make sense:</w:t>
      </w:r>
    </w:p>
    <w:p w:rsidR="006A0FC7" w:rsidRPr="00F5551F" w:rsidRDefault="006A0FC7" w:rsidP="00DA6980">
      <w:pPr>
        <w:pStyle w:val="Default"/>
        <w:numPr>
          <w:ilvl w:val="0"/>
          <w:numId w:val="5"/>
        </w:numPr>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Any income form own securities is included in the relevant indicator for the Basi</w:t>
      </w:r>
      <w:r w:rsidR="00F46BA8" w:rsidRPr="00F5551F">
        <w:rPr>
          <w:rFonts w:ascii="DIN-Regular" w:eastAsia="Arial Unicode MS" w:hAnsi="DIN-Regular" w:cs="Arial"/>
          <w:color w:val="auto"/>
          <w:sz w:val="22"/>
          <w:szCs w:val="22"/>
        </w:rPr>
        <w:t>c</w:t>
      </w:r>
      <w:r w:rsidRPr="00F5551F">
        <w:rPr>
          <w:rFonts w:ascii="DIN-Regular" w:eastAsia="Arial Unicode MS" w:hAnsi="DIN-Regular" w:cs="Arial"/>
          <w:color w:val="auto"/>
          <w:sz w:val="22"/>
          <w:szCs w:val="22"/>
        </w:rPr>
        <w:t xml:space="preserve"> Indicator and Standardised Approach and the risks related to the investments are to be captures appropriately under the AMA.</w:t>
      </w:r>
    </w:p>
    <w:p w:rsidR="00AC5C23" w:rsidRDefault="006A0FC7" w:rsidP="00AC5C23">
      <w:pPr>
        <w:pStyle w:val="Default"/>
        <w:numPr>
          <w:ilvl w:val="0"/>
          <w:numId w:val="5"/>
        </w:numPr>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 xml:space="preserve">Any income from client custody business is to be captured </w:t>
      </w:r>
      <w:r w:rsidR="00F20FDD" w:rsidRPr="00F5551F">
        <w:rPr>
          <w:rFonts w:ascii="DIN-Regular" w:eastAsia="Arial Unicode MS" w:hAnsi="DIN-Regular" w:cs="Arial"/>
          <w:color w:val="auto"/>
          <w:sz w:val="22"/>
          <w:szCs w:val="22"/>
        </w:rPr>
        <w:t>NET</w:t>
      </w:r>
      <w:r w:rsidR="00F20FDD" w:rsidRPr="00F5551F">
        <w:rPr>
          <w:rStyle w:val="FootnoteReference"/>
          <w:rFonts w:ascii="DIN-Regular" w:eastAsia="Arial Unicode MS" w:hAnsi="DIN-Regular" w:cs="Arial"/>
          <w:color w:val="auto"/>
          <w:sz w:val="22"/>
          <w:szCs w:val="22"/>
        </w:rPr>
        <w:footnoteReference w:id="4"/>
      </w:r>
      <w:r w:rsidRPr="00F5551F">
        <w:rPr>
          <w:rFonts w:ascii="DIN-Regular" w:eastAsia="Arial Unicode MS" w:hAnsi="DIN-Regular" w:cs="Arial"/>
          <w:color w:val="auto"/>
          <w:sz w:val="22"/>
          <w:szCs w:val="22"/>
        </w:rPr>
        <w:t xml:space="preserve"> for the relevant indicator under the Basis Indicator or Standardised Approach. </w:t>
      </w:r>
      <w:r w:rsidR="00F46BA8" w:rsidRPr="00F5551F">
        <w:rPr>
          <w:rFonts w:ascii="DIN-Regular" w:eastAsia="Arial Unicode MS" w:hAnsi="DIN-Regular" w:cs="Arial"/>
          <w:color w:val="auto"/>
          <w:sz w:val="22"/>
          <w:szCs w:val="22"/>
        </w:rPr>
        <w:t>Moreover</w:t>
      </w:r>
      <w:r w:rsidRPr="00F5551F">
        <w:rPr>
          <w:rFonts w:ascii="DIN-Regular" w:eastAsia="Arial Unicode MS" w:hAnsi="DIN-Regular" w:cs="Arial"/>
          <w:color w:val="auto"/>
          <w:sz w:val="22"/>
          <w:szCs w:val="22"/>
        </w:rPr>
        <w:t>, under certain conditions as specified in Article 316 (1) CRR even some outsourcing expenses can be used to reduce the relevant indicator</w:t>
      </w:r>
      <w:r w:rsidR="00F46BA8" w:rsidRPr="00F5551F">
        <w:rPr>
          <w:rFonts w:ascii="DIN-Regular" w:eastAsia="Arial Unicode MS" w:hAnsi="DIN-Regular" w:cs="Arial"/>
          <w:color w:val="auto"/>
          <w:sz w:val="22"/>
          <w:szCs w:val="22"/>
        </w:rPr>
        <w:t xml:space="preserve"> </w:t>
      </w:r>
      <w:r w:rsidR="00F20FDD" w:rsidRPr="00F5551F">
        <w:rPr>
          <w:rFonts w:ascii="DIN-Regular" w:eastAsia="Arial Unicode MS" w:hAnsi="DIN-Regular" w:cs="Arial"/>
          <w:color w:val="auto"/>
          <w:sz w:val="22"/>
          <w:szCs w:val="22"/>
        </w:rPr>
        <w:t>in addition</w:t>
      </w:r>
      <w:r w:rsidRPr="00F5551F">
        <w:rPr>
          <w:rFonts w:ascii="DIN-Regular" w:eastAsia="Arial Unicode MS" w:hAnsi="DIN-Regular" w:cs="Arial"/>
          <w:color w:val="auto"/>
          <w:sz w:val="22"/>
          <w:szCs w:val="22"/>
        </w:rPr>
        <w:t>.</w:t>
      </w:r>
    </w:p>
    <w:p w:rsidR="00AC5C23" w:rsidRDefault="006A0FC7" w:rsidP="00AC5C23">
      <w:pPr>
        <w:pStyle w:val="Default"/>
        <w:numPr>
          <w:ilvl w:val="0"/>
          <w:numId w:val="5"/>
        </w:numPr>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Any related risk for (sub-</w:t>
      </w:r>
      <w:proofErr w:type="gramStart"/>
      <w:r w:rsidRPr="00F5551F">
        <w:rPr>
          <w:rFonts w:ascii="DIN-Regular" w:eastAsia="Arial Unicode MS" w:hAnsi="DIN-Regular" w:cs="Arial"/>
          <w:color w:val="auto"/>
          <w:sz w:val="22"/>
          <w:szCs w:val="22"/>
        </w:rPr>
        <w:t>)custody</w:t>
      </w:r>
      <w:proofErr w:type="gramEnd"/>
      <w:r w:rsidRPr="00F5551F">
        <w:rPr>
          <w:rFonts w:ascii="DIN-Regular" w:eastAsia="Arial Unicode MS" w:hAnsi="DIN-Regular" w:cs="Arial"/>
          <w:color w:val="auto"/>
          <w:sz w:val="22"/>
          <w:szCs w:val="22"/>
        </w:rPr>
        <w:t xml:space="preserve"> of assets is to be captures under the AMA.</w:t>
      </w:r>
    </w:p>
    <w:p w:rsidR="00AC5C23" w:rsidRPr="00AC5C23" w:rsidRDefault="00AC5C23" w:rsidP="00AC5C23">
      <w:pPr>
        <w:pStyle w:val="Default"/>
        <w:ind w:left="720"/>
        <w:contextualSpacing/>
        <w:jc w:val="both"/>
        <w:rPr>
          <w:rFonts w:ascii="DIN-Regular" w:eastAsia="Arial Unicode MS" w:hAnsi="DIN-Regular" w:cs="Arial"/>
          <w:color w:val="auto"/>
          <w:sz w:val="22"/>
          <w:szCs w:val="22"/>
        </w:rPr>
      </w:pPr>
    </w:p>
    <w:p w:rsidR="006A0FC7" w:rsidRPr="00F5551F" w:rsidRDefault="006A0FC7"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 xml:space="preserve">All in all, this demonstrates that an additional charge is not justified. </w:t>
      </w:r>
      <w:r w:rsidR="00F20FDD" w:rsidRPr="00F5551F">
        <w:rPr>
          <w:rFonts w:ascii="DIN-Regular" w:eastAsia="Arial Unicode MS" w:hAnsi="DIN-Regular" w:cs="Arial"/>
          <w:color w:val="auto"/>
          <w:sz w:val="22"/>
          <w:szCs w:val="22"/>
        </w:rPr>
        <w:t>The level 1 requirements to include (not just) operational risk but also legal and custody risk in our mind is immanently embedded in the operational risk charge of the banking framework and as such does not require any add on for CSDs.</w:t>
      </w:r>
    </w:p>
    <w:p w:rsidR="00EB3782" w:rsidRPr="00F5551F" w:rsidRDefault="00EB3782" w:rsidP="00DA6980">
      <w:pPr>
        <w:pStyle w:val="Default"/>
        <w:contextualSpacing/>
        <w:jc w:val="both"/>
        <w:rPr>
          <w:rFonts w:ascii="DIN-Regular" w:eastAsia="Arial Unicode MS" w:hAnsi="DIN-Regular" w:cs="Arial"/>
          <w:color w:val="0070C0"/>
          <w:sz w:val="22"/>
          <w:szCs w:val="22"/>
        </w:rPr>
      </w:pPr>
    </w:p>
    <w:p w:rsidR="00A451AF" w:rsidRPr="00F5551F" w:rsidRDefault="00A451AF" w:rsidP="00A451AF">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sz w:val="22"/>
          <w:szCs w:val="22"/>
        </w:rPr>
        <w:t xml:space="preserve">In addition to the general comments made above and the answers to the specific question raised, we do want to comment on </w:t>
      </w:r>
      <w:r w:rsidR="00157FD6" w:rsidRPr="00F5551F">
        <w:rPr>
          <w:rFonts w:ascii="DIN-Regular" w:eastAsia="Arial Unicode MS" w:hAnsi="DIN-Regular" w:cs="Arial"/>
          <w:color w:val="auto"/>
          <w:sz w:val="22"/>
          <w:szCs w:val="22"/>
        </w:rPr>
        <w:t>dedicated topics regarding A</w:t>
      </w:r>
      <w:r w:rsidRPr="00F5551F">
        <w:rPr>
          <w:rFonts w:ascii="DIN-Regular" w:eastAsia="Arial Unicode MS" w:hAnsi="DIN-Regular" w:cs="Arial"/>
          <w:color w:val="auto"/>
          <w:sz w:val="22"/>
          <w:szCs w:val="22"/>
        </w:rPr>
        <w:t>rticles 1 to 5 the EBA draft RTS proposal as follows:</w:t>
      </w:r>
    </w:p>
    <w:p w:rsidR="00A451AF" w:rsidRPr="00F5551F" w:rsidRDefault="00A451AF" w:rsidP="00DA6980">
      <w:pPr>
        <w:pStyle w:val="Default"/>
        <w:contextualSpacing/>
        <w:jc w:val="both"/>
        <w:rPr>
          <w:rFonts w:ascii="DIN-Regular" w:eastAsia="Arial Unicode MS" w:hAnsi="DIN-Regular" w:cs="Arial"/>
          <w:color w:val="0070C0"/>
          <w:sz w:val="22"/>
          <w:szCs w:val="22"/>
        </w:rPr>
      </w:pPr>
    </w:p>
    <w:p w:rsidR="00345121" w:rsidRPr="00F5551F" w:rsidRDefault="00345121" w:rsidP="00622B5A">
      <w:pPr>
        <w:pStyle w:val="NoSpacing"/>
        <w:rPr>
          <w:rFonts w:eastAsia="Arial Unicode MS"/>
          <w:b/>
          <w:sz w:val="22"/>
          <w:szCs w:val="22"/>
          <w:lang w:eastAsia="en-GB"/>
        </w:rPr>
      </w:pPr>
      <w:r w:rsidRPr="00F5551F">
        <w:rPr>
          <w:rFonts w:eastAsia="Arial Unicode MS"/>
          <w:b/>
          <w:sz w:val="22"/>
          <w:szCs w:val="22"/>
          <w:lang w:eastAsia="en-GB"/>
        </w:rPr>
        <w:t>Capital definition (Recital 4 / Article 2</w:t>
      </w:r>
      <w:r w:rsidR="00622B5A" w:rsidRPr="00F5551F">
        <w:rPr>
          <w:rFonts w:eastAsia="Arial Unicode MS"/>
          <w:b/>
          <w:sz w:val="22"/>
          <w:szCs w:val="22"/>
          <w:lang w:eastAsia="en-GB"/>
        </w:rPr>
        <w:t>)</w:t>
      </w:r>
    </w:p>
    <w:p w:rsidR="00622B5A" w:rsidRPr="00F5551F" w:rsidRDefault="00345121" w:rsidP="00622B5A">
      <w:pPr>
        <w:pStyle w:val="NoSpacing"/>
        <w:rPr>
          <w:rFonts w:eastAsia="Arial Unicode MS"/>
          <w:sz w:val="22"/>
          <w:szCs w:val="22"/>
          <w:lang w:eastAsia="en-GB"/>
        </w:rPr>
      </w:pPr>
      <w:r w:rsidRPr="00F5551F">
        <w:rPr>
          <w:rFonts w:eastAsia="Arial Unicode MS"/>
          <w:sz w:val="22"/>
          <w:szCs w:val="22"/>
          <w:lang w:eastAsia="en-GB"/>
        </w:rPr>
        <w:t xml:space="preserve">The proposed regulation refers – like the delegated regulation (EU) No. 152/2013 – with regards to the capital requirements for “investment risk” to the capital rules for credit (and market) risk as defined in the regulation (EU) No. 575/2013 (CRR) and also defines operational risk based on CRR rules. However, CRR defines capital and in addition positions to be deducted from capital. Consequently, either the same capital definitions should be used and therefore the treatment of the required capital deductions would be the same or a dedicated treatment of such items under the “investment risk” should be given. Furthermore, </w:t>
      </w:r>
      <w:r w:rsidR="00157FD6" w:rsidRPr="00F5551F">
        <w:rPr>
          <w:rFonts w:eastAsia="Arial Unicode MS"/>
          <w:sz w:val="22"/>
          <w:szCs w:val="22"/>
          <w:lang w:eastAsia="en-GB"/>
        </w:rPr>
        <w:t>A</w:t>
      </w:r>
      <w:r w:rsidRPr="00F5551F">
        <w:rPr>
          <w:rFonts w:eastAsia="Arial Unicode MS"/>
          <w:sz w:val="22"/>
          <w:szCs w:val="22"/>
          <w:lang w:eastAsia="en-GB"/>
        </w:rPr>
        <w:t xml:space="preserve">rticle 46 (4) of CSD-R foresees an element of deduction from capital on its own which needs to be incorporated in the framework. For the majority of CSDs capital may </w:t>
      </w:r>
      <w:proofErr w:type="gramStart"/>
      <w:r w:rsidRPr="00F5551F">
        <w:rPr>
          <w:rFonts w:eastAsia="Arial Unicode MS"/>
          <w:sz w:val="22"/>
          <w:szCs w:val="22"/>
          <w:lang w:eastAsia="en-GB"/>
        </w:rPr>
        <w:t>only consist of paid-in capital, retained earnings and reserves and neither</w:t>
      </w:r>
      <w:proofErr w:type="gramEnd"/>
      <w:r w:rsidRPr="00F5551F">
        <w:rPr>
          <w:rFonts w:eastAsia="Arial Unicode MS"/>
          <w:sz w:val="22"/>
          <w:szCs w:val="22"/>
          <w:lang w:eastAsia="en-GB"/>
        </w:rPr>
        <w:t xml:space="preserve"> additional capital components nor (complex) </w:t>
      </w:r>
      <w:r w:rsidRPr="00F5551F">
        <w:rPr>
          <w:rFonts w:eastAsia="Arial Unicode MS"/>
          <w:sz w:val="22"/>
          <w:szCs w:val="22"/>
          <w:lang w:eastAsia="en-GB"/>
        </w:rPr>
        <w:lastRenderedPageBreak/>
        <w:t xml:space="preserve">deductibles are to be recognised. As such we clearly favour an approach to use the capital definitions from CRR only modified by a rule to reflect </w:t>
      </w:r>
      <w:r w:rsidR="00157FD6" w:rsidRPr="00F5551F">
        <w:rPr>
          <w:rFonts w:eastAsia="Arial Unicode MS"/>
          <w:sz w:val="22"/>
          <w:szCs w:val="22"/>
          <w:lang w:eastAsia="en-GB"/>
        </w:rPr>
        <w:t>A</w:t>
      </w:r>
      <w:r w:rsidRPr="00F5551F">
        <w:rPr>
          <w:rFonts w:eastAsia="Arial Unicode MS"/>
          <w:sz w:val="22"/>
          <w:szCs w:val="22"/>
          <w:lang w:eastAsia="en-GB"/>
        </w:rPr>
        <w:t xml:space="preserve">rticle 46 (4) CSD-R </w:t>
      </w:r>
      <w:r w:rsidRPr="00F5551F">
        <w:rPr>
          <w:rFonts w:eastAsia="Arial Unicode MS"/>
          <w:sz w:val="22"/>
          <w:szCs w:val="22"/>
          <w:u w:val="single"/>
          <w:lang w:eastAsia="en-GB"/>
        </w:rPr>
        <w:t>for all CSDs</w:t>
      </w:r>
      <w:r w:rsidRPr="00F5551F">
        <w:rPr>
          <w:rFonts w:eastAsia="Arial Unicode MS"/>
          <w:sz w:val="22"/>
          <w:szCs w:val="22"/>
          <w:lang w:eastAsia="en-GB"/>
        </w:rPr>
        <w:t xml:space="preserve">. </w:t>
      </w:r>
    </w:p>
    <w:p w:rsidR="00622B5A" w:rsidRPr="00F5551F" w:rsidRDefault="00622B5A" w:rsidP="00622B5A">
      <w:pPr>
        <w:pStyle w:val="NoSpacing"/>
        <w:rPr>
          <w:rFonts w:eastAsia="Arial Unicode MS"/>
          <w:sz w:val="22"/>
          <w:szCs w:val="22"/>
          <w:lang w:eastAsia="en-GB"/>
        </w:rPr>
      </w:pPr>
    </w:p>
    <w:p w:rsidR="00BA048F" w:rsidRPr="00F5551F" w:rsidRDefault="00BA048F" w:rsidP="00622B5A">
      <w:pPr>
        <w:pStyle w:val="NoSpacing"/>
        <w:rPr>
          <w:rFonts w:eastAsia="Arial Unicode MS"/>
          <w:sz w:val="22"/>
          <w:szCs w:val="22"/>
          <w:lang w:eastAsia="en-GB"/>
        </w:rPr>
      </w:pPr>
      <w:r w:rsidRPr="00F5551F">
        <w:rPr>
          <w:rFonts w:eastAsia="Arial Unicode MS"/>
          <w:sz w:val="22"/>
          <w:szCs w:val="22"/>
          <w:lang w:eastAsia="en-GB"/>
        </w:rPr>
        <w:t>We therefore propose to reword Recital 4 / Article 2 as follows:</w:t>
      </w:r>
    </w:p>
    <w:p w:rsidR="00BA048F" w:rsidRPr="00F5551F" w:rsidRDefault="00BA048F" w:rsidP="00622B5A">
      <w:pPr>
        <w:pStyle w:val="NoSpacing"/>
        <w:rPr>
          <w:rFonts w:eastAsia="Arial Unicode MS"/>
          <w:sz w:val="22"/>
          <w:szCs w:val="22"/>
          <w:lang w:eastAsia="en-GB"/>
        </w:rPr>
      </w:pPr>
    </w:p>
    <w:p w:rsidR="00345121" w:rsidRPr="00F5551F" w:rsidRDefault="00345121" w:rsidP="0004392B">
      <w:pPr>
        <w:pBdr>
          <w:top w:val="single" w:sz="4" w:space="1" w:color="auto"/>
          <w:left w:val="single" w:sz="4" w:space="4" w:color="auto"/>
          <w:bottom w:val="single" w:sz="4" w:space="1" w:color="auto"/>
          <w:right w:val="single" w:sz="4" w:space="4" w:color="auto"/>
        </w:pBdr>
        <w:autoSpaceDE w:val="0"/>
        <w:autoSpaceDN w:val="0"/>
        <w:adjustRightInd w:val="0"/>
        <w:rPr>
          <w:b/>
          <w:i/>
          <w:color w:val="000000"/>
          <w:sz w:val="22"/>
          <w:szCs w:val="22"/>
          <w:lang w:eastAsia="de-DE"/>
        </w:rPr>
      </w:pPr>
      <w:r w:rsidRPr="00F5551F">
        <w:rPr>
          <w:b/>
          <w:i/>
          <w:color w:val="000000"/>
          <w:sz w:val="22"/>
          <w:szCs w:val="22"/>
          <w:lang w:eastAsia="de-DE"/>
        </w:rPr>
        <w:t>Recital 4:</w:t>
      </w:r>
    </w:p>
    <w:p w:rsidR="00345121" w:rsidRPr="00F5551F" w:rsidRDefault="00345121" w:rsidP="0004392B">
      <w:pPr>
        <w:pBdr>
          <w:top w:val="single" w:sz="4" w:space="1" w:color="auto"/>
          <w:left w:val="single" w:sz="4" w:space="4" w:color="auto"/>
          <w:bottom w:val="single" w:sz="4" w:space="1" w:color="auto"/>
          <w:right w:val="single" w:sz="4" w:space="4" w:color="auto"/>
        </w:pBdr>
        <w:autoSpaceDE w:val="0"/>
        <w:autoSpaceDN w:val="0"/>
        <w:adjustRightInd w:val="0"/>
        <w:rPr>
          <w:i/>
          <w:color w:val="000000"/>
          <w:sz w:val="22"/>
          <w:szCs w:val="22"/>
          <w:lang w:eastAsia="de-DE"/>
        </w:rPr>
      </w:pPr>
    </w:p>
    <w:p w:rsidR="00345121" w:rsidRPr="00F5551F" w:rsidRDefault="00345121" w:rsidP="0004392B">
      <w:pPr>
        <w:pBdr>
          <w:top w:val="single" w:sz="4" w:space="1" w:color="auto"/>
          <w:left w:val="single" w:sz="4" w:space="4" w:color="auto"/>
          <w:bottom w:val="single" w:sz="4" w:space="1" w:color="auto"/>
          <w:right w:val="single" w:sz="4" w:space="4" w:color="auto"/>
        </w:pBdr>
        <w:autoSpaceDE w:val="0"/>
        <w:autoSpaceDN w:val="0"/>
        <w:adjustRightInd w:val="0"/>
        <w:rPr>
          <w:i/>
          <w:color w:val="000000"/>
          <w:sz w:val="22"/>
          <w:szCs w:val="22"/>
          <w:lang w:eastAsia="de-DE"/>
        </w:rPr>
      </w:pPr>
      <w:r w:rsidRPr="00F5551F">
        <w:rPr>
          <w:i/>
          <w:color w:val="000000"/>
          <w:sz w:val="22"/>
          <w:szCs w:val="22"/>
          <w:lang w:eastAsia="de-DE"/>
        </w:rPr>
        <w:t>(4)</w:t>
      </w:r>
      <w:r w:rsidR="00D65895">
        <w:rPr>
          <w:i/>
          <w:color w:val="000000"/>
          <w:sz w:val="22"/>
          <w:szCs w:val="22"/>
          <w:lang w:eastAsia="de-DE"/>
        </w:rPr>
        <w:t xml:space="preserve"> </w:t>
      </w:r>
      <w:r w:rsidRPr="00F5551F">
        <w:rPr>
          <w:i/>
          <w:color w:val="000000"/>
          <w:sz w:val="22"/>
          <w:szCs w:val="22"/>
          <w:lang w:eastAsia="de-DE"/>
        </w:rPr>
        <w:t xml:space="preserve">[Definition Capital] </w:t>
      </w:r>
      <w:proofErr w:type="gramStart"/>
      <w:r w:rsidRPr="00F5551F">
        <w:rPr>
          <w:i/>
          <w:color w:val="000000"/>
          <w:sz w:val="22"/>
          <w:szCs w:val="22"/>
          <w:lang w:eastAsia="de-DE"/>
        </w:rPr>
        <w:t>The</w:t>
      </w:r>
      <w:proofErr w:type="gramEnd"/>
      <w:r w:rsidRPr="00F5551F">
        <w:rPr>
          <w:i/>
          <w:color w:val="000000"/>
          <w:sz w:val="22"/>
          <w:szCs w:val="22"/>
          <w:lang w:eastAsia="de-DE"/>
        </w:rPr>
        <w:t xml:space="preserve"> definition of capital in this Regulation should follow the definition provided in Regulation (EU) No </w:t>
      </w:r>
      <w:r w:rsidRPr="00F5551F">
        <w:rPr>
          <w:i/>
          <w:strike/>
          <w:color w:val="000000"/>
          <w:sz w:val="22"/>
          <w:szCs w:val="22"/>
          <w:lang w:eastAsia="de-DE"/>
        </w:rPr>
        <w:t>648/2012 (EMIR). Such a definition appears to be the most suitable in relation to the regulatory requirements given that the definition of capital in Regulation (EU) 648/2012 was specifically designed for market infrastructures. However, the CSDs authorised to provide banking services under Regulation (EU) No 909/2014  are required to meet capital requirements under this Regulation and own funds requirements under Regulation 575/2013 at the same time. They are required to meet the own funds requirements provided for in Regulation EU (EU) (No,)</w:t>
      </w:r>
      <w:r w:rsidRPr="00F5551F">
        <w:rPr>
          <w:i/>
          <w:color w:val="000000"/>
          <w:sz w:val="22"/>
          <w:szCs w:val="22"/>
          <w:lang w:eastAsia="de-DE"/>
        </w:rPr>
        <w:t xml:space="preserve"> 575/2013</w:t>
      </w:r>
      <w:r w:rsidR="00622B5A" w:rsidRPr="00F5551F">
        <w:rPr>
          <w:i/>
          <w:color w:val="000000"/>
          <w:sz w:val="22"/>
          <w:szCs w:val="22"/>
          <w:lang w:eastAsia="de-DE"/>
        </w:rPr>
        <w:t xml:space="preserve">. </w:t>
      </w:r>
      <w:r w:rsidRPr="00F5551F">
        <w:rPr>
          <w:b/>
          <w:i/>
          <w:sz w:val="22"/>
          <w:szCs w:val="22"/>
          <w:lang w:eastAsia="de-DE"/>
        </w:rPr>
        <w:t>As it is foreseen to use the banking framework of that regulation to define the capital requirements for market and credit risk (to cover the category of investment risk) as well as those for operational risk (to cover the categories of operational, legal and custody risks), it seems to be adequate to also cover those risks</w:t>
      </w:r>
      <w:r w:rsidRPr="00F5551F">
        <w:rPr>
          <w:i/>
          <w:sz w:val="22"/>
          <w:szCs w:val="22"/>
          <w:u w:val="single"/>
          <w:lang w:eastAsia="de-DE"/>
        </w:rPr>
        <w:t xml:space="preserve"> </w:t>
      </w:r>
      <w:r w:rsidRPr="00F5551F">
        <w:rPr>
          <w:i/>
          <w:color w:val="000000"/>
          <w:sz w:val="22"/>
          <w:szCs w:val="22"/>
          <w:lang w:eastAsia="de-DE"/>
        </w:rPr>
        <w:t xml:space="preserve">with instruments that meet the definition of capital of that regulation. </w:t>
      </w:r>
      <w:r w:rsidRPr="00F5551F">
        <w:rPr>
          <w:b/>
          <w:i/>
          <w:sz w:val="22"/>
          <w:szCs w:val="22"/>
          <w:lang w:eastAsia="de-DE"/>
        </w:rPr>
        <w:t xml:space="preserve">For CSDs not being authorized to provide banking services under Regulation (EU) No. 909/2014 the use of the capital definition given under Regulation (EU) No. 648/2012 (EMIR) which is subscribed capital, retained earnings and reserves, should not deviate substantially from the definition of capital given under Regulation (EU) No. 575/2013. However, Regulation (EU) No. 575/2013 gives the option to include further instruments in the capital definition. Moreover, the handling of certain positions which are to be deducted in the banking framework would be properly applied for all CSDs. As such, the definition of Regulation (EU) No. 575/2013 seems to be adequate also for CSDs not being authorised to provide banking services. CSDs authorised to provide banking services under Regulation (EU) No. 909/2014 would have only one set of capital definition to be fulfilled. Finally, for any type of CSD a deduction from capital needs to be foreseen in order to reflect </w:t>
      </w:r>
      <w:r w:rsidR="00157FD6" w:rsidRPr="00F5551F">
        <w:rPr>
          <w:b/>
          <w:i/>
          <w:sz w:val="22"/>
          <w:szCs w:val="22"/>
          <w:lang w:eastAsia="de-DE"/>
        </w:rPr>
        <w:t>A</w:t>
      </w:r>
      <w:r w:rsidRPr="00F5551F">
        <w:rPr>
          <w:b/>
          <w:i/>
          <w:sz w:val="22"/>
          <w:szCs w:val="22"/>
          <w:lang w:eastAsia="de-DE"/>
        </w:rPr>
        <w:t>rticle 46 (4) of Regulation (EU) No. 909/2014 in case this is to be applied.</w:t>
      </w:r>
      <w:r w:rsidRPr="00F5551F">
        <w:rPr>
          <w:i/>
          <w:sz w:val="22"/>
          <w:szCs w:val="22"/>
          <w:u w:val="single"/>
          <w:lang w:eastAsia="de-DE"/>
        </w:rPr>
        <w:t xml:space="preserve"> </w:t>
      </w:r>
      <w:r w:rsidRPr="00F5551F">
        <w:rPr>
          <w:i/>
          <w:strike/>
          <w:color w:val="000000"/>
          <w:sz w:val="22"/>
          <w:szCs w:val="22"/>
          <w:lang w:eastAsia="de-DE"/>
        </w:rPr>
        <w:t>However, they should be allowed to meet the additional capital requirements of this Regulation with instruments meeting the requirements of either Regulation.</w:t>
      </w:r>
    </w:p>
    <w:p w:rsidR="00622B5A" w:rsidRPr="00F5551F" w:rsidRDefault="0004392B" w:rsidP="0004392B">
      <w:pPr>
        <w:pBdr>
          <w:top w:val="single" w:sz="4" w:space="1" w:color="auto"/>
          <w:left w:val="single" w:sz="4" w:space="4" w:color="auto"/>
          <w:bottom w:val="single" w:sz="4" w:space="1" w:color="auto"/>
          <w:right w:val="single" w:sz="4" w:space="4" w:color="auto"/>
        </w:pBdr>
        <w:autoSpaceDE w:val="0"/>
        <w:autoSpaceDN w:val="0"/>
        <w:adjustRightInd w:val="0"/>
        <w:rPr>
          <w:b/>
          <w:i/>
          <w:color w:val="000000"/>
          <w:sz w:val="22"/>
          <w:szCs w:val="22"/>
          <w:lang w:eastAsia="de-DE"/>
        </w:rPr>
      </w:pPr>
      <w:r w:rsidRPr="00F5551F">
        <w:rPr>
          <w:b/>
          <w:i/>
          <w:color w:val="000000"/>
          <w:sz w:val="22"/>
          <w:szCs w:val="22"/>
          <w:lang w:eastAsia="de-DE"/>
        </w:rPr>
        <w:t xml:space="preserve"> </w:t>
      </w:r>
    </w:p>
    <w:p w:rsidR="0004392B" w:rsidRPr="00F5551F" w:rsidRDefault="0004392B" w:rsidP="0004392B">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2"/>
          <w:szCs w:val="22"/>
          <w:lang w:eastAsia="de-DE"/>
        </w:rPr>
      </w:pPr>
      <w:r w:rsidRPr="00F5551F">
        <w:rPr>
          <w:b/>
          <w:i/>
          <w:color w:val="000000"/>
          <w:sz w:val="22"/>
          <w:szCs w:val="22"/>
          <w:lang w:eastAsia="de-DE"/>
        </w:rPr>
        <w:t xml:space="preserve">Article 2 - </w:t>
      </w:r>
      <w:r w:rsidRPr="00F5551F">
        <w:rPr>
          <w:i/>
          <w:iCs/>
          <w:color w:val="000000"/>
          <w:sz w:val="22"/>
          <w:szCs w:val="22"/>
          <w:lang w:eastAsia="de-DE"/>
        </w:rPr>
        <w:t xml:space="preserve">Definition of capital of a CSD </w:t>
      </w:r>
    </w:p>
    <w:p w:rsidR="0004392B" w:rsidRPr="00F5551F" w:rsidRDefault="0004392B" w:rsidP="0004392B">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2"/>
          <w:szCs w:val="22"/>
          <w:lang w:eastAsia="de-DE"/>
        </w:rPr>
      </w:pPr>
    </w:p>
    <w:p w:rsidR="0004392B" w:rsidRPr="00F5551F" w:rsidRDefault="0004392B" w:rsidP="0004392B">
      <w:pPr>
        <w:pBdr>
          <w:top w:val="single" w:sz="4" w:space="1" w:color="auto"/>
          <w:left w:val="single" w:sz="4" w:space="4" w:color="auto"/>
          <w:bottom w:val="single" w:sz="4" w:space="1" w:color="auto"/>
          <w:right w:val="single" w:sz="4" w:space="4" w:color="auto"/>
        </w:pBdr>
        <w:autoSpaceDE w:val="0"/>
        <w:autoSpaceDN w:val="0"/>
        <w:adjustRightInd w:val="0"/>
        <w:rPr>
          <w:i/>
          <w:strike/>
          <w:color w:val="000000"/>
          <w:sz w:val="22"/>
          <w:szCs w:val="22"/>
          <w:lang w:eastAsia="de-DE"/>
        </w:rPr>
      </w:pPr>
      <w:r w:rsidRPr="00F5551F">
        <w:rPr>
          <w:i/>
          <w:strike/>
          <w:color w:val="000000"/>
          <w:sz w:val="22"/>
          <w:szCs w:val="22"/>
          <w:lang w:eastAsia="de-DE"/>
        </w:rPr>
        <w:t xml:space="preserve">1. </w:t>
      </w:r>
      <w:r w:rsidRPr="00F5551F">
        <w:rPr>
          <w:i/>
          <w:color w:val="000000"/>
          <w:sz w:val="22"/>
          <w:szCs w:val="22"/>
          <w:lang w:eastAsia="de-DE"/>
        </w:rPr>
        <w:t>For the purposes of Article 1</w:t>
      </w:r>
      <w:r w:rsidRPr="00F5551F">
        <w:rPr>
          <w:i/>
          <w:strike/>
          <w:color w:val="000000"/>
          <w:sz w:val="22"/>
          <w:szCs w:val="22"/>
          <w:lang w:eastAsia="de-DE"/>
        </w:rPr>
        <w:t>, and without prejudice to the requirements of Article 1.46(4) of Regulation (EU) No 909/2014,</w:t>
      </w:r>
      <w:r w:rsidRPr="00F5551F">
        <w:rPr>
          <w:i/>
          <w:color w:val="000000"/>
          <w:sz w:val="22"/>
          <w:szCs w:val="22"/>
          <w:lang w:eastAsia="de-DE"/>
        </w:rPr>
        <w:t xml:space="preserve"> a CSD shall hold </w:t>
      </w:r>
      <w:r w:rsidRPr="00F5551F">
        <w:rPr>
          <w:i/>
          <w:strike/>
          <w:color w:val="000000"/>
          <w:sz w:val="22"/>
          <w:szCs w:val="22"/>
          <w:lang w:eastAsia="de-DE"/>
        </w:rPr>
        <w:t xml:space="preserve">capital instruments that meet all of the following conditions: </w:t>
      </w:r>
    </w:p>
    <w:p w:rsidR="0004392B" w:rsidRPr="00F5551F" w:rsidRDefault="0004392B" w:rsidP="0004392B">
      <w:pPr>
        <w:pBdr>
          <w:top w:val="single" w:sz="4" w:space="1" w:color="auto"/>
          <w:left w:val="single" w:sz="4" w:space="4" w:color="auto"/>
          <w:bottom w:val="single" w:sz="4" w:space="1" w:color="auto"/>
          <w:right w:val="single" w:sz="4" w:space="4" w:color="auto"/>
        </w:pBdr>
        <w:autoSpaceDE w:val="0"/>
        <w:autoSpaceDN w:val="0"/>
        <w:adjustRightInd w:val="0"/>
        <w:rPr>
          <w:i/>
          <w:strike/>
          <w:color w:val="000000"/>
          <w:sz w:val="22"/>
          <w:szCs w:val="22"/>
          <w:lang w:eastAsia="de-DE"/>
        </w:rPr>
      </w:pPr>
      <w:r w:rsidRPr="00F5551F">
        <w:rPr>
          <w:i/>
          <w:strike/>
          <w:color w:val="000000"/>
          <w:sz w:val="22"/>
          <w:szCs w:val="22"/>
          <w:lang w:eastAsia="de-DE"/>
        </w:rPr>
        <w:t xml:space="preserve">(a) </w:t>
      </w:r>
      <w:proofErr w:type="gramStart"/>
      <w:r w:rsidRPr="00F5551F">
        <w:rPr>
          <w:i/>
          <w:strike/>
          <w:color w:val="000000"/>
          <w:sz w:val="22"/>
          <w:szCs w:val="22"/>
          <w:lang w:eastAsia="de-DE"/>
        </w:rPr>
        <w:t>they</w:t>
      </w:r>
      <w:proofErr w:type="gramEnd"/>
      <w:r w:rsidRPr="00F5551F">
        <w:rPr>
          <w:i/>
          <w:strike/>
          <w:color w:val="000000"/>
          <w:sz w:val="22"/>
          <w:szCs w:val="22"/>
          <w:lang w:eastAsia="de-DE"/>
        </w:rPr>
        <w:t xml:space="preserve"> are subscribed capital within the meaning of Article 22 of Council Directive 86/635/EEC of 8 December 1986 on the annual accounts and consolidated accounts of banks and other financial institutions; </w:t>
      </w:r>
    </w:p>
    <w:p w:rsidR="0004392B" w:rsidRPr="00F5551F" w:rsidRDefault="0004392B" w:rsidP="0004392B">
      <w:pPr>
        <w:pBdr>
          <w:top w:val="single" w:sz="4" w:space="1" w:color="auto"/>
          <w:left w:val="single" w:sz="4" w:space="4" w:color="auto"/>
          <w:bottom w:val="single" w:sz="4" w:space="1" w:color="auto"/>
          <w:right w:val="single" w:sz="4" w:space="4" w:color="auto"/>
        </w:pBdr>
        <w:autoSpaceDE w:val="0"/>
        <w:autoSpaceDN w:val="0"/>
        <w:adjustRightInd w:val="0"/>
        <w:rPr>
          <w:i/>
          <w:strike/>
          <w:color w:val="000000"/>
          <w:sz w:val="22"/>
          <w:szCs w:val="22"/>
          <w:lang w:eastAsia="de-DE"/>
        </w:rPr>
      </w:pPr>
      <w:r w:rsidRPr="00F5551F">
        <w:rPr>
          <w:i/>
          <w:strike/>
          <w:color w:val="000000"/>
          <w:sz w:val="22"/>
          <w:szCs w:val="22"/>
          <w:lang w:eastAsia="de-DE"/>
        </w:rPr>
        <w:t xml:space="preserve">(b) </w:t>
      </w:r>
      <w:proofErr w:type="gramStart"/>
      <w:r w:rsidRPr="00F5551F">
        <w:rPr>
          <w:i/>
          <w:strike/>
          <w:color w:val="000000"/>
          <w:sz w:val="22"/>
          <w:szCs w:val="22"/>
          <w:lang w:eastAsia="de-DE"/>
        </w:rPr>
        <w:t>they</w:t>
      </w:r>
      <w:proofErr w:type="gramEnd"/>
      <w:r w:rsidRPr="00F5551F">
        <w:rPr>
          <w:i/>
          <w:strike/>
          <w:color w:val="000000"/>
          <w:sz w:val="22"/>
          <w:szCs w:val="22"/>
          <w:lang w:eastAsia="de-DE"/>
        </w:rPr>
        <w:t xml:space="preserve"> have been paid up, including the related share premium accounts; </w:t>
      </w:r>
    </w:p>
    <w:p w:rsidR="0004392B" w:rsidRPr="00F5551F" w:rsidRDefault="0004392B" w:rsidP="0004392B">
      <w:pPr>
        <w:pBdr>
          <w:top w:val="single" w:sz="4" w:space="1" w:color="auto"/>
          <w:left w:val="single" w:sz="4" w:space="4" w:color="auto"/>
          <w:bottom w:val="single" w:sz="4" w:space="1" w:color="auto"/>
          <w:right w:val="single" w:sz="4" w:space="4" w:color="auto"/>
        </w:pBdr>
        <w:autoSpaceDE w:val="0"/>
        <w:autoSpaceDN w:val="0"/>
        <w:adjustRightInd w:val="0"/>
        <w:rPr>
          <w:i/>
          <w:strike/>
          <w:color w:val="000000"/>
          <w:sz w:val="22"/>
          <w:szCs w:val="22"/>
          <w:lang w:eastAsia="de-DE"/>
        </w:rPr>
      </w:pPr>
      <w:r w:rsidRPr="00F5551F">
        <w:rPr>
          <w:i/>
          <w:strike/>
          <w:color w:val="000000"/>
          <w:sz w:val="22"/>
          <w:szCs w:val="22"/>
          <w:lang w:eastAsia="de-DE"/>
        </w:rPr>
        <w:t xml:space="preserve">(c) </w:t>
      </w:r>
      <w:proofErr w:type="gramStart"/>
      <w:r w:rsidRPr="00F5551F">
        <w:rPr>
          <w:i/>
          <w:strike/>
          <w:color w:val="000000"/>
          <w:sz w:val="22"/>
          <w:szCs w:val="22"/>
          <w:lang w:eastAsia="de-DE"/>
        </w:rPr>
        <w:t>they</w:t>
      </w:r>
      <w:proofErr w:type="gramEnd"/>
      <w:r w:rsidRPr="00F5551F">
        <w:rPr>
          <w:i/>
          <w:strike/>
          <w:color w:val="000000"/>
          <w:sz w:val="22"/>
          <w:szCs w:val="22"/>
          <w:lang w:eastAsia="de-DE"/>
        </w:rPr>
        <w:t xml:space="preserve"> fully absorb losses in going concern situations; </w:t>
      </w:r>
    </w:p>
    <w:p w:rsidR="0004392B" w:rsidRPr="00F5551F" w:rsidRDefault="0004392B" w:rsidP="0004392B">
      <w:pPr>
        <w:pBdr>
          <w:top w:val="single" w:sz="4" w:space="1" w:color="auto"/>
          <w:left w:val="single" w:sz="4" w:space="4" w:color="auto"/>
          <w:bottom w:val="single" w:sz="4" w:space="1" w:color="auto"/>
          <w:right w:val="single" w:sz="4" w:space="4" w:color="auto"/>
        </w:pBdr>
        <w:autoSpaceDE w:val="0"/>
        <w:autoSpaceDN w:val="0"/>
        <w:adjustRightInd w:val="0"/>
        <w:rPr>
          <w:i/>
          <w:strike/>
          <w:color w:val="000000"/>
          <w:sz w:val="22"/>
          <w:szCs w:val="22"/>
          <w:lang w:eastAsia="de-DE"/>
        </w:rPr>
      </w:pPr>
      <w:r w:rsidRPr="00F5551F">
        <w:rPr>
          <w:i/>
          <w:strike/>
          <w:color w:val="000000"/>
          <w:sz w:val="22"/>
          <w:szCs w:val="22"/>
          <w:lang w:eastAsia="de-DE"/>
        </w:rPr>
        <w:t xml:space="preserve">(d) </w:t>
      </w:r>
      <w:proofErr w:type="gramStart"/>
      <w:r w:rsidRPr="00F5551F">
        <w:rPr>
          <w:i/>
          <w:strike/>
          <w:color w:val="000000"/>
          <w:sz w:val="22"/>
          <w:szCs w:val="22"/>
          <w:lang w:eastAsia="de-DE"/>
        </w:rPr>
        <w:t>in</w:t>
      </w:r>
      <w:proofErr w:type="gramEnd"/>
      <w:r w:rsidRPr="00F5551F">
        <w:rPr>
          <w:i/>
          <w:strike/>
          <w:color w:val="000000"/>
          <w:sz w:val="22"/>
          <w:szCs w:val="22"/>
          <w:lang w:eastAsia="de-DE"/>
        </w:rPr>
        <w:t xml:space="preserve"> the event of bankruptcy or liquidation, they rank after all other claims. </w:t>
      </w:r>
    </w:p>
    <w:p w:rsidR="0004392B" w:rsidRPr="00F5551F" w:rsidRDefault="0004392B" w:rsidP="0004392B">
      <w:pPr>
        <w:pBdr>
          <w:top w:val="single" w:sz="4" w:space="1" w:color="auto"/>
          <w:left w:val="single" w:sz="4" w:space="4" w:color="auto"/>
          <w:bottom w:val="single" w:sz="4" w:space="1" w:color="auto"/>
          <w:right w:val="single" w:sz="4" w:space="4" w:color="auto"/>
        </w:pBdr>
        <w:autoSpaceDE w:val="0"/>
        <w:autoSpaceDN w:val="0"/>
        <w:adjustRightInd w:val="0"/>
        <w:rPr>
          <w:i/>
          <w:strike/>
          <w:color w:val="000000"/>
          <w:sz w:val="22"/>
          <w:szCs w:val="22"/>
          <w:lang w:eastAsia="de-DE"/>
        </w:rPr>
      </w:pPr>
      <w:r w:rsidRPr="00F5551F">
        <w:rPr>
          <w:i/>
          <w:strike/>
          <w:color w:val="000000"/>
          <w:sz w:val="22"/>
          <w:szCs w:val="22"/>
          <w:lang w:eastAsia="de-DE"/>
        </w:rPr>
        <w:t>2. A CSD authorised in accordance with point (a) of Article 54(2) of Regulation (EU) 2.No 909/2014 to provide banking-type ancillary services may, for the purposes of paragraph 1, hold</w:t>
      </w:r>
      <w:r w:rsidRPr="00F5551F">
        <w:rPr>
          <w:i/>
          <w:color w:val="000000"/>
          <w:sz w:val="22"/>
          <w:szCs w:val="22"/>
          <w:lang w:eastAsia="de-DE"/>
        </w:rPr>
        <w:t xml:space="preserve"> capital instruments that qualify as own funds instruments as referred to in point 119 of Article 4(1) of Regulation (EU) No 575/2013</w:t>
      </w:r>
      <w:r w:rsidRPr="00F5551F">
        <w:rPr>
          <w:b/>
          <w:i/>
          <w:sz w:val="22"/>
          <w:szCs w:val="22"/>
          <w:lang w:eastAsia="de-DE"/>
        </w:rPr>
        <w:t>. The amount of any investment which falls in scope of Article 46 (4) of Regulation (EU) No. 909/2014 and which is not deducted from the capital according to the definition of Regulation (EU) No. 575/2013 shall be deducted from the capital.</w:t>
      </w:r>
    </w:p>
    <w:p w:rsidR="0004392B" w:rsidRPr="00F5551F" w:rsidRDefault="0004392B" w:rsidP="0004392B">
      <w:pPr>
        <w:pBdr>
          <w:top w:val="single" w:sz="4" w:space="1" w:color="auto"/>
          <w:left w:val="single" w:sz="4" w:space="4" w:color="auto"/>
          <w:bottom w:val="single" w:sz="4" w:space="1" w:color="auto"/>
          <w:right w:val="single" w:sz="4" w:space="4" w:color="auto"/>
        </w:pBdr>
        <w:autoSpaceDE w:val="0"/>
        <w:autoSpaceDN w:val="0"/>
        <w:adjustRightInd w:val="0"/>
        <w:rPr>
          <w:i/>
          <w:color w:val="000000"/>
          <w:sz w:val="22"/>
          <w:szCs w:val="22"/>
          <w:lang w:eastAsia="de-DE"/>
        </w:rPr>
      </w:pPr>
    </w:p>
    <w:p w:rsidR="0004392B" w:rsidRPr="00F5551F" w:rsidRDefault="0004392B" w:rsidP="009C7F58">
      <w:pPr>
        <w:rPr>
          <w:sz w:val="22"/>
          <w:szCs w:val="22"/>
          <w:lang w:eastAsia="de-DE"/>
        </w:rPr>
      </w:pPr>
    </w:p>
    <w:p w:rsidR="0004392B" w:rsidRPr="00F5551F" w:rsidRDefault="00345121" w:rsidP="009C7F58">
      <w:pPr>
        <w:rPr>
          <w:rFonts w:eastAsia="Arial Unicode MS" w:cs="Courier New"/>
          <w:b/>
          <w:sz w:val="22"/>
          <w:szCs w:val="22"/>
          <w:lang w:eastAsia="en-GB"/>
        </w:rPr>
      </w:pPr>
      <w:r w:rsidRPr="00F5551F">
        <w:rPr>
          <w:rFonts w:eastAsia="Arial Unicode MS" w:cs="Courier New"/>
          <w:b/>
          <w:sz w:val="22"/>
          <w:szCs w:val="22"/>
          <w:lang w:eastAsia="en-GB"/>
        </w:rPr>
        <w:t xml:space="preserve">Capital requirements for operational, legal and custody risk </w:t>
      </w:r>
    </w:p>
    <w:p w:rsidR="0004392B" w:rsidRPr="00F5551F" w:rsidRDefault="00345121" w:rsidP="009C7F58">
      <w:pPr>
        <w:rPr>
          <w:rFonts w:eastAsia="Arial Unicode MS" w:cs="Courier New"/>
          <w:b/>
          <w:sz w:val="22"/>
          <w:szCs w:val="22"/>
          <w:lang w:eastAsia="en-GB"/>
        </w:rPr>
      </w:pPr>
      <w:r w:rsidRPr="00F5551F">
        <w:rPr>
          <w:rFonts w:eastAsia="Arial Unicode MS" w:cs="Courier New"/>
          <w:b/>
          <w:sz w:val="22"/>
          <w:szCs w:val="22"/>
          <w:lang w:eastAsia="en-GB"/>
        </w:rPr>
        <w:t>(Re</w:t>
      </w:r>
      <w:r w:rsidR="0004392B" w:rsidRPr="00F5551F">
        <w:rPr>
          <w:rFonts w:eastAsia="Arial Unicode MS" w:cs="Courier New"/>
          <w:b/>
          <w:sz w:val="22"/>
          <w:szCs w:val="22"/>
          <w:lang w:eastAsia="en-GB"/>
        </w:rPr>
        <w:t>citals 9 and 10, Articles 3- 5)</w:t>
      </w:r>
    </w:p>
    <w:p w:rsidR="00345121" w:rsidRPr="00F5551F" w:rsidRDefault="00345121" w:rsidP="009C7F58">
      <w:pPr>
        <w:rPr>
          <w:rFonts w:eastAsia="Arial Unicode MS" w:cs="Arial"/>
          <w:sz w:val="22"/>
          <w:szCs w:val="22"/>
          <w:lang w:eastAsia="en-GB"/>
        </w:rPr>
      </w:pPr>
      <w:r w:rsidRPr="00F5551F">
        <w:rPr>
          <w:rFonts w:eastAsia="Arial Unicode MS" w:cs="Arial"/>
          <w:sz w:val="22"/>
          <w:szCs w:val="22"/>
          <w:lang w:eastAsia="en-GB"/>
        </w:rPr>
        <w:t xml:space="preserve">We clearly </w:t>
      </w:r>
      <w:r w:rsidRPr="00F5551F">
        <w:rPr>
          <w:rFonts w:eastAsia="Arial Unicode MS" w:cs="Arial"/>
          <w:b/>
          <w:sz w:val="22"/>
          <w:szCs w:val="22"/>
          <w:u w:val="single"/>
          <w:lang w:eastAsia="en-GB"/>
        </w:rPr>
        <w:t>agree</w:t>
      </w:r>
      <w:r w:rsidRPr="00F5551F">
        <w:rPr>
          <w:rFonts w:eastAsia="Arial Unicode MS" w:cs="Arial"/>
          <w:sz w:val="22"/>
          <w:szCs w:val="22"/>
          <w:lang w:eastAsia="en-GB"/>
        </w:rPr>
        <w:t xml:space="preserve"> to the usage of the operational risk capital charge method as derived from the banking framework. CSD-R does not give a definition of “operational risk” but adds the need to cover also legal and custody risk to the requirements. Delegated Regulation (EU) No. 152/2013 includes under similar considerations the “legal” risk as part of the operational risk capital charge for CCPs. We therefore also clearly agree to the same for legal risk in the draft RTS for CSDs. </w:t>
      </w:r>
    </w:p>
    <w:p w:rsidR="00345121" w:rsidRPr="00F5551F" w:rsidRDefault="00345121" w:rsidP="009C7F58">
      <w:pPr>
        <w:rPr>
          <w:rFonts w:eastAsia="Arial Unicode MS" w:cs="Arial"/>
          <w:sz w:val="22"/>
          <w:szCs w:val="22"/>
          <w:lang w:eastAsia="en-GB"/>
        </w:rPr>
      </w:pPr>
      <w:r w:rsidRPr="00F5551F">
        <w:rPr>
          <w:rFonts w:eastAsia="Arial Unicode MS" w:cs="Arial"/>
          <w:sz w:val="22"/>
          <w:szCs w:val="22"/>
          <w:lang w:eastAsia="en-GB"/>
        </w:rPr>
        <w:t>Related to the custody risk and potentially sub-categories of custody risk, the draft RTS however is not following a consistent approach and we clearly disagree to the approach proposed. The management of any (potentially) additional risk of CSD links is part of the respective rules on CSD-links (</w:t>
      </w:r>
      <w:r w:rsidR="00157FD6" w:rsidRPr="00F5551F">
        <w:rPr>
          <w:rFonts w:eastAsia="Arial Unicode MS" w:cs="Arial"/>
          <w:sz w:val="22"/>
          <w:szCs w:val="22"/>
          <w:lang w:eastAsia="en-GB"/>
        </w:rPr>
        <w:t>A</w:t>
      </w:r>
      <w:r w:rsidRPr="00F5551F">
        <w:rPr>
          <w:rFonts w:eastAsia="Arial Unicode MS" w:cs="Arial"/>
          <w:sz w:val="22"/>
          <w:szCs w:val="22"/>
          <w:lang w:eastAsia="en-GB"/>
        </w:rPr>
        <w:t>rticles 50 to 52 CSD-R and related provisions in the ESMA RTS). However, we do not regard risks from CSD-links to be different from those of general sub-custody. Any “normal” credit institution or investment firm subject to CRR / Basel III offering custody services is using sub-custody and finally h</w:t>
      </w:r>
      <w:r w:rsidR="00AC5C23">
        <w:rPr>
          <w:rFonts w:eastAsia="Arial Unicode MS" w:cs="Arial"/>
          <w:sz w:val="22"/>
          <w:szCs w:val="22"/>
          <w:lang w:eastAsia="en-GB"/>
        </w:rPr>
        <w:t>ol</w:t>
      </w:r>
      <w:r w:rsidR="00E01344">
        <w:rPr>
          <w:rFonts w:eastAsia="Arial Unicode MS" w:cs="Arial"/>
          <w:sz w:val="22"/>
          <w:szCs w:val="22"/>
          <w:lang w:eastAsia="en-GB"/>
        </w:rPr>
        <w:t>ds</w:t>
      </w:r>
      <w:r w:rsidRPr="00F5551F">
        <w:rPr>
          <w:rFonts w:eastAsia="Arial Unicode MS" w:cs="Arial"/>
          <w:sz w:val="22"/>
          <w:szCs w:val="22"/>
          <w:lang w:eastAsia="en-GB"/>
        </w:rPr>
        <w:t xml:space="preserve"> the client assets in custody with the CSD at the upper end of the custody chain. As there is no dedicated capital charge for this sub-custody, we cannot see a different treatment for the same activity being performed by a CSD. The same argument is true also for the custody of proprietary assets of any credit institution or investment firm. Any such risk is covered in the Basic Indicator Approach (BIA) or with dedicated risks if deemed necessary in the Advanced Measurement Approach (AMA). </w:t>
      </w:r>
    </w:p>
    <w:p w:rsidR="00345121" w:rsidRPr="00F5551F" w:rsidRDefault="00345121" w:rsidP="009C7F58">
      <w:pPr>
        <w:rPr>
          <w:rFonts w:eastAsia="Arial Unicode MS" w:cs="Arial"/>
          <w:sz w:val="22"/>
          <w:szCs w:val="22"/>
          <w:lang w:eastAsia="en-GB"/>
        </w:rPr>
      </w:pPr>
      <w:r w:rsidRPr="00F5551F">
        <w:rPr>
          <w:rFonts w:eastAsia="Arial Unicode MS" w:cs="Arial"/>
          <w:sz w:val="22"/>
          <w:szCs w:val="22"/>
          <w:lang w:eastAsia="en-GB"/>
        </w:rPr>
        <w:t xml:space="preserve">In the BIA as well as in the Standardised Approach (TSA) revenues are used as relevant indicator and even some external costs (e.g. commission expenses like the ones for sub-custody and custody for own securities) </w:t>
      </w:r>
      <w:r w:rsidRPr="00F5551F">
        <w:rPr>
          <w:rFonts w:eastAsia="Arial Unicode MS" w:cs="Arial"/>
          <w:b/>
          <w:sz w:val="22"/>
          <w:szCs w:val="22"/>
          <w:u w:val="single"/>
          <w:lang w:eastAsia="en-GB"/>
        </w:rPr>
        <w:t>are deducted</w:t>
      </w:r>
      <w:r w:rsidRPr="00F5551F">
        <w:rPr>
          <w:rFonts w:eastAsia="Arial Unicode MS" w:cs="Arial"/>
          <w:sz w:val="22"/>
          <w:szCs w:val="22"/>
          <w:lang w:eastAsia="en-GB"/>
        </w:rPr>
        <w:t xml:space="preserve"> from the relevant indicator. It is therefore the custody margin which is included in the relevant indicator. </w:t>
      </w:r>
    </w:p>
    <w:p w:rsidR="00345121" w:rsidRPr="00F5551F" w:rsidRDefault="00345121" w:rsidP="009C7F58">
      <w:pPr>
        <w:rPr>
          <w:rFonts w:eastAsia="Arial Unicode MS" w:cs="Arial"/>
          <w:sz w:val="22"/>
          <w:szCs w:val="22"/>
          <w:lang w:eastAsia="en-GB"/>
        </w:rPr>
      </w:pPr>
      <w:r w:rsidRPr="00F5551F">
        <w:rPr>
          <w:rFonts w:eastAsia="Arial Unicode MS" w:cs="Arial"/>
          <w:sz w:val="22"/>
          <w:szCs w:val="22"/>
          <w:lang w:eastAsia="en-GB"/>
        </w:rPr>
        <w:t xml:space="preserve">In summary, already the banking framework is covering any risk of third party custody and this should not be added once more. </w:t>
      </w:r>
      <w:r w:rsidRPr="00F5551F">
        <w:rPr>
          <w:rFonts w:eastAsia="Arial Unicode MS" w:cs="Arial"/>
          <w:b/>
          <w:sz w:val="22"/>
          <w:szCs w:val="22"/>
          <w:u w:val="single"/>
          <w:lang w:eastAsia="en-GB"/>
        </w:rPr>
        <w:t>Custody risk is – like legal risk – part of the operational risk capital charge under CRR</w:t>
      </w:r>
      <w:r w:rsidR="009C7F58" w:rsidRPr="00F5551F">
        <w:rPr>
          <w:rFonts w:eastAsia="Arial Unicode MS" w:cs="Arial"/>
          <w:b/>
          <w:sz w:val="22"/>
          <w:szCs w:val="22"/>
          <w:u w:val="single"/>
          <w:lang w:eastAsia="en-GB"/>
        </w:rPr>
        <w:t>,</w:t>
      </w:r>
      <w:r w:rsidRPr="00F5551F">
        <w:rPr>
          <w:rFonts w:eastAsia="Arial Unicode MS" w:cs="Arial"/>
          <w:sz w:val="22"/>
          <w:szCs w:val="22"/>
          <w:lang w:eastAsia="en-GB"/>
        </w:rPr>
        <w:t xml:space="preserve"> </w:t>
      </w:r>
      <w:r w:rsidR="009C7F58" w:rsidRPr="00F5551F">
        <w:rPr>
          <w:rFonts w:eastAsia="Arial Unicode MS" w:cs="Arial"/>
          <w:sz w:val="22"/>
          <w:szCs w:val="22"/>
          <w:lang w:eastAsia="en-GB"/>
        </w:rPr>
        <w:t>consequently</w:t>
      </w:r>
      <w:r w:rsidRPr="00F5551F">
        <w:rPr>
          <w:rFonts w:eastAsia="Arial Unicode MS" w:cs="Arial"/>
          <w:sz w:val="22"/>
          <w:szCs w:val="22"/>
          <w:lang w:eastAsia="en-GB"/>
        </w:rPr>
        <w:t xml:space="preserve">, we disagree to </w:t>
      </w:r>
      <w:r w:rsidRPr="00F5551F">
        <w:rPr>
          <w:rFonts w:eastAsia="Arial Unicode MS" w:cs="Arial"/>
          <w:b/>
          <w:sz w:val="22"/>
          <w:szCs w:val="22"/>
          <w:u w:val="single"/>
          <w:lang w:eastAsia="en-GB"/>
        </w:rPr>
        <w:t>adding additional elements on top of the banking framework</w:t>
      </w:r>
      <w:r w:rsidRPr="00F5551F">
        <w:rPr>
          <w:rFonts w:eastAsia="Arial Unicode MS" w:cs="Arial"/>
          <w:sz w:val="22"/>
          <w:szCs w:val="22"/>
          <w:lang w:eastAsia="en-GB"/>
        </w:rPr>
        <w:t xml:space="preserve"> for that purpose. However, although the reference in </w:t>
      </w:r>
      <w:r w:rsidR="00157FD6" w:rsidRPr="00F5551F">
        <w:rPr>
          <w:rFonts w:eastAsia="Arial Unicode MS" w:cs="Arial"/>
          <w:sz w:val="22"/>
          <w:szCs w:val="22"/>
          <w:lang w:eastAsia="en-GB"/>
        </w:rPr>
        <w:t>A</w:t>
      </w:r>
      <w:r w:rsidRPr="00F5551F">
        <w:rPr>
          <w:rFonts w:eastAsia="Arial Unicode MS" w:cs="Arial"/>
          <w:sz w:val="22"/>
          <w:szCs w:val="22"/>
          <w:lang w:eastAsia="en-GB"/>
        </w:rPr>
        <w:t>rticle 3</w:t>
      </w:r>
      <w:r w:rsidR="00FC70C5" w:rsidRPr="00F5551F">
        <w:rPr>
          <w:rFonts w:eastAsia="Arial Unicode MS" w:cs="Arial"/>
          <w:sz w:val="22"/>
          <w:szCs w:val="22"/>
          <w:lang w:eastAsia="en-GB"/>
        </w:rPr>
        <w:t xml:space="preserve"> (</w:t>
      </w:r>
      <w:r w:rsidRPr="00F5551F">
        <w:rPr>
          <w:rFonts w:eastAsia="Arial Unicode MS" w:cs="Arial"/>
          <w:sz w:val="22"/>
          <w:szCs w:val="22"/>
          <w:lang w:eastAsia="en-GB"/>
        </w:rPr>
        <w:t>1</w:t>
      </w:r>
      <w:r w:rsidR="00FC70C5" w:rsidRPr="00F5551F">
        <w:rPr>
          <w:rFonts w:eastAsia="Arial Unicode MS" w:cs="Arial"/>
          <w:sz w:val="22"/>
          <w:szCs w:val="22"/>
          <w:lang w:eastAsia="en-GB"/>
        </w:rPr>
        <w:t xml:space="preserve">) </w:t>
      </w:r>
      <w:r w:rsidR="00F5551F">
        <w:rPr>
          <w:rFonts w:eastAsia="Arial Unicode MS" w:cs="Arial"/>
          <w:sz w:val="22"/>
          <w:szCs w:val="22"/>
          <w:lang w:eastAsia="en-GB"/>
        </w:rPr>
        <w:t>(</w:t>
      </w:r>
      <w:r w:rsidRPr="00F5551F">
        <w:rPr>
          <w:rFonts w:eastAsia="Arial Unicode MS" w:cs="Arial"/>
          <w:sz w:val="22"/>
          <w:szCs w:val="22"/>
          <w:lang w:eastAsia="en-GB"/>
        </w:rPr>
        <w:t>a</w:t>
      </w:r>
      <w:r w:rsidR="00F5551F">
        <w:rPr>
          <w:rFonts w:eastAsia="Arial Unicode MS" w:cs="Arial"/>
          <w:sz w:val="22"/>
          <w:szCs w:val="22"/>
          <w:lang w:eastAsia="en-GB"/>
        </w:rPr>
        <w:t>)</w:t>
      </w:r>
      <w:r w:rsidRPr="00F5551F">
        <w:rPr>
          <w:rFonts w:eastAsia="Arial Unicode MS" w:cs="Arial"/>
          <w:sz w:val="22"/>
          <w:szCs w:val="22"/>
          <w:lang w:eastAsia="en-GB"/>
        </w:rPr>
        <w:t xml:space="preserve"> draft RTS and the header of </w:t>
      </w:r>
      <w:r w:rsidR="00157FD6" w:rsidRPr="00F5551F">
        <w:rPr>
          <w:rFonts w:eastAsia="Arial Unicode MS" w:cs="Arial"/>
          <w:sz w:val="22"/>
          <w:szCs w:val="22"/>
          <w:lang w:eastAsia="en-GB"/>
        </w:rPr>
        <w:t>A</w:t>
      </w:r>
      <w:r w:rsidRPr="00F5551F">
        <w:rPr>
          <w:rFonts w:eastAsia="Arial Unicode MS" w:cs="Arial"/>
          <w:sz w:val="22"/>
          <w:szCs w:val="22"/>
          <w:lang w:eastAsia="en-GB"/>
        </w:rPr>
        <w:t>rticle 4 draft RTS are referring to “custody risk”, the text of Article 4</w:t>
      </w:r>
      <w:r w:rsidR="00FC70C5" w:rsidRPr="00F5551F">
        <w:rPr>
          <w:rFonts w:eastAsia="Arial Unicode MS" w:cs="Arial"/>
          <w:sz w:val="22"/>
          <w:szCs w:val="22"/>
          <w:lang w:eastAsia="en-GB"/>
        </w:rPr>
        <w:t xml:space="preserve"> (</w:t>
      </w:r>
      <w:r w:rsidRPr="00F5551F">
        <w:rPr>
          <w:rFonts w:eastAsia="Arial Unicode MS" w:cs="Arial"/>
          <w:sz w:val="22"/>
          <w:szCs w:val="22"/>
          <w:lang w:eastAsia="en-GB"/>
        </w:rPr>
        <w:t>1</w:t>
      </w:r>
      <w:r w:rsidR="00FC70C5" w:rsidRPr="00F5551F">
        <w:rPr>
          <w:rFonts w:eastAsia="Arial Unicode MS" w:cs="Arial"/>
          <w:sz w:val="22"/>
          <w:szCs w:val="22"/>
          <w:lang w:eastAsia="en-GB"/>
        </w:rPr>
        <w:t>)</w:t>
      </w:r>
      <w:r w:rsidRPr="00F5551F">
        <w:rPr>
          <w:rFonts w:eastAsia="Arial Unicode MS" w:cs="Arial"/>
          <w:sz w:val="22"/>
          <w:szCs w:val="22"/>
          <w:lang w:eastAsia="en-GB"/>
        </w:rPr>
        <w:t xml:space="preserve"> draft RTS does not include custody risk. We think that this has been done by mistake and kindly ask to include “custody risk” in the wording of </w:t>
      </w:r>
      <w:r w:rsidR="00157FD6" w:rsidRPr="00F5551F">
        <w:rPr>
          <w:rFonts w:eastAsia="Arial Unicode MS" w:cs="Arial"/>
          <w:sz w:val="22"/>
          <w:szCs w:val="22"/>
          <w:lang w:eastAsia="en-GB"/>
        </w:rPr>
        <w:t>A</w:t>
      </w:r>
      <w:r w:rsidRPr="00F5551F">
        <w:rPr>
          <w:rFonts w:eastAsia="Arial Unicode MS" w:cs="Arial"/>
          <w:sz w:val="22"/>
          <w:szCs w:val="22"/>
          <w:lang w:eastAsia="en-GB"/>
        </w:rPr>
        <w:t xml:space="preserve">rticle 4 (1) in the final version of the RTS. Moreover, we clearly disagree to set up a dedicated capital requirement for the risk of sub-custody and custody for own securities (see above) as proposed in </w:t>
      </w:r>
      <w:r w:rsidR="00157FD6" w:rsidRPr="00F5551F">
        <w:rPr>
          <w:rFonts w:eastAsia="Arial Unicode MS" w:cs="Arial"/>
          <w:sz w:val="22"/>
          <w:szCs w:val="22"/>
          <w:lang w:eastAsia="en-GB"/>
        </w:rPr>
        <w:t>A</w:t>
      </w:r>
      <w:r w:rsidRPr="00F5551F">
        <w:rPr>
          <w:rFonts w:eastAsia="Arial Unicode MS" w:cs="Arial"/>
          <w:sz w:val="22"/>
          <w:szCs w:val="22"/>
          <w:lang w:eastAsia="en-GB"/>
        </w:rPr>
        <w:t xml:space="preserve">rticle 5 draft RTS. </w:t>
      </w:r>
    </w:p>
    <w:p w:rsidR="00345121" w:rsidRPr="00F5551F" w:rsidRDefault="00345121" w:rsidP="009C7F58">
      <w:pPr>
        <w:rPr>
          <w:color w:val="000000"/>
          <w:sz w:val="22"/>
          <w:szCs w:val="22"/>
          <w:lang w:eastAsia="de-DE"/>
        </w:rPr>
      </w:pPr>
    </w:p>
    <w:p w:rsidR="00FC70C5" w:rsidRPr="00F5551F" w:rsidRDefault="00FC70C5" w:rsidP="009C7F58">
      <w:pPr>
        <w:rPr>
          <w:rFonts w:eastAsia="Arial Unicode MS" w:cs="Arial"/>
          <w:sz w:val="22"/>
          <w:szCs w:val="22"/>
          <w:lang w:eastAsia="en-GB"/>
        </w:rPr>
      </w:pPr>
      <w:r w:rsidRPr="00F5551F">
        <w:rPr>
          <w:rFonts w:eastAsia="Arial Unicode MS" w:cs="Arial"/>
          <w:sz w:val="22"/>
          <w:szCs w:val="22"/>
          <w:lang w:eastAsia="en-GB"/>
        </w:rPr>
        <w:t>The Basel Committee (BCBS) is currently discussing the introduction of floor rules for the advanced / internal approaches based on the relevant standardised methods.</w:t>
      </w:r>
      <w:r w:rsidRPr="00F5551F">
        <w:rPr>
          <w:rStyle w:val="FootnoteReference"/>
          <w:rFonts w:eastAsia="Arial Unicode MS" w:cs="Arial"/>
          <w:sz w:val="22"/>
          <w:szCs w:val="22"/>
          <w:lang w:eastAsia="en-GB"/>
        </w:rPr>
        <w:t xml:space="preserve"> </w:t>
      </w:r>
      <w:r w:rsidRPr="00F5551F">
        <w:rPr>
          <w:rStyle w:val="FootnoteReference"/>
          <w:rFonts w:eastAsia="Arial Unicode MS" w:cs="Arial"/>
          <w:sz w:val="22"/>
          <w:szCs w:val="22"/>
          <w:lang w:eastAsia="en-GB"/>
        </w:rPr>
        <w:footnoteReference w:id="5"/>
      </w:r>
      <w:r w:rsidRPr="00F5551F">
        <w:rPr>
          <w:rFonts w:eastAsia="Arial Unicode MS" w:cs="Arial"/>
          <w:sz w:val="22"/>
          <w:szCs w:val="22"/>
          <w:lang w:eastAsia="en-GB"/>
        </w:rPr>
        <w:t xml:space="preserve"> </w:t>
      </w:r>
      <w:r w:rsidR="00345121" w:rsidRPr="00F5551F">
        <w:rPr>
          <w:rFonts w:eastAsia="Arial Unicode MS" w:cs="Arial"/>
          <w:sz w:val="22"/>
          <w:szCs w:val="22"/>
          <w:lang w:eastAsia="en-GB"/>
        </w:rPr>
        <w:t xml:space="preserve">BCBS d306 is proposing a general floor for model based approaches based on the standardised approaches of the same risk category. With regards to operational risk that would be the Basic Indicator Approach (BIA). The Basel Committee has not proposed yet any level of the floor and also has not come up with a final framework as the BCBS d306 consultation only closed on 27 March 2015 and has received various comments raising strong concerns. </w:t>
      </w:r>
      <w:r w:rsidRPr="00F5551F">
        <w:rPr>
          <w:rFonts w:eastAsia="Arial Unicode MS" w:cs="Arial"/>
          <w:sz w:val="22"/>
          <w:szCs w:val="22"/>
          <w:lang w:eastAsia="en-GB"/>
        </w:rPr>
        <w:t xml:space="preserve"> While we in general oppose these floor rules and rather urge regulators to calibrate the internal models</w:t>
      </w:r>
      <w:r w:rsidRPr="00F5551F">
        <w:rPr>
          <w:rStyle w:val="FootnoteReference"/>
          <w:rFonts w:eastAsia="Arial Unicode MS" w:cs="Arial"/>
          <w:sz w:val="22"/>
          <w:szCs w:val="22"/>
          <w:lang w:eastAsia="en-GB"/>
        </w:rPr>
        <w:footnoteReference w:id="6"/>
      </w:r>
      <w:r w:rsidRPr="00F5551F">
        <w:rPr>
          <w:rFonts w:eastAsia="Arial Unicode MS" w:cs="Arial"/>
          <w:sz w:val="22"/>
          <w:szCs w:val="22"/>
          <w:lang w:eastAsia="en-GB"/>
        </w:rPr>
        <w:t xml:space="preserve">, we clearly oppose an introduction of a floor by the draft RTS being different from the BCBS ones in case introduced.  </w:t>
      </w:r>
      <w:r w:rsidR="00345121" w:rsidRPr="00F5551F">
        <w:rPr>
          <w:rFonts w:eastAsia="Arial Unicode MS" w:cs="Arial"/>
          <w:sz w:val="22"/>
          <w:szCs w:val="22"/>
          <w:lang w:eastAsia="en-GB"/>
        </w:rPr>
        <w:t xml:space="preserve">Any floor finally set by the BCBS is supposed to be </w:t>
      </w:r>
      <w:r w:rsidR="00345121" w:rsidRPr="00F5551F">
        <w:rPr>
          <w:rFonts w:eastAsia="Arial Unicode MS" w:cs="Arial"/>
          <w:sz w:val="22"/>
          <w:szCs w:val="22"/>
          <w:lang w:eastAsia="en-GB"/>
        </w:rPr>
        <w:lastRenderedPageBreak/>
        <w:t xml:space="preserve">taken over by the EU banking framework (CRD / CRR), which is currently proposed to be used for CSDs as well. As such, in case any floor is implemented, it will be applicable for CSDs as well. Furthermore, the current Basel I floor which is – correctly – not proposed to be put in place for CSDs had been designed to take care that the “new” Basel II rules for differentiated credit risk and newly introduced operational risk (at the time in 2004) do not fall short compared to former rules </w:t>
      </w:r>
      <w:r w:rsidRPr="00F5551F">
        <w:rPr>
          <w:rFonts w:eastAsia="Arial Unicode MS" w:cs="Arial"/>
          <w:sz w:val="22"/>
          <w:szCs w:val="22"/>
          <w:lang w:eastAsia="en-GB"/>
        </w:rPr>
        <w:t xml:space="preserve">(Basel I) </w:t>
      </w:r>
      <w:r w:rsidR="00345121" w:rsidRPr="00F5551F">
        <w:rPr>
          <w:rFonts w:eastAsia="Arial Unicode MS" w:cs="Arial"/>
          <w:sz w:val="22"/>
          <w:szCs w:val="22"/>
          <w:lang w:eastAsia="en-GB"/>
        </w:rPr>
        <w:t xml:space="preserve">for credit risk only. </w:t>
      </w:r>
      <w:r w:rsidR="00940DB2" w:rsidRPr="00F5551F">
        <w:rPr>
          <w:rFonts w:eastAsia="Arial Unicode MS" w:cs="Arial"/>
          <w:sz w:val="22"/>
          <w:szCs w:val="22"/>
          <w:lang w:eastAsia="en-GB"/>
        </w:rPr>
        <w:t>Therefore</w:t>
      </w:r>
      <w:r w:rsidR="00345121" w:rsidRPr="00F5551F">
        <w:rPr>
          <w:rFonts w:eastAsia="Arial Unicode MS" w:cs="Arial"/>
          <w:sz w:val="22"/>
          <w:szCs w:val="22"/>
          <w:lang w:eastAsia="en-GB"/>
        </w:rPr>
        <w:t xml:space="preserve">, it does not make sense to introduce a floor on operational risk in order to comply with non-existing past rules for credit risk for CSDs. As such, for the reasons explained above we clearly favour to remove Article 4 (5) from the proposed RTS. </w:t>
      </w:r>
    </w:p>
    <w:p w:rsidR="00940DB2" w:rsidRPr="00F5551F" w:rsidRDefault="00940DB2" w:rsidP="009C7F58">
      <w:pPr>
        <w:rPr>
          <w:rFonts w:eastAsia="Arial Unicode MS" w:cs="Arial"/>
          <w:sz w:val="22"/>
          <w:szCs w:val="22"/>
          <w:lang w:eastAsia="en-GB"/>
        </w:rPr>
      </w:pPr>
    </w:p>
    <w:p w:rsidR="00345121" w:rsidRPr="00F5551F" w:rsidRDefault="00345121" w:rsidP="009C7F58">
      <w:pPr>
        <w:rPr>
          <w:rFonts w:eastAsia="Arial Unicode MS" w:cs="Arial"/>
          <w:sz w:val="22"/>
          <w:szCs w:val="22"/>
          <w:lang w:eastAsia="en-GB"/>
        </w:rPr>
      </w:pPr>
      <w:r w:rsidRPr="00F5551F">
        <w:rPr>
          <w:rFonts w:eastAsia="Arial Unicode MS" w:cs="Arial"/>
          <w:sz w:val="22"/>
          <w:szCs w:val="22"/>
          <w:lang w:eastAsia="en-GB"/>
        </w:rPr>
        <w:t>In this context, it is to be noted that due to a market wide increase of legal and compliance matters, we observe a sharp increase of capital charges under the AMA for th</w:t>
      </w:r>
      <w:r w:rsidR="00AC5C23">
        <w:rPr>
          <w:rFonts w:eastAsia="Arial Unicode MS" w:cs="Arial"/>
          <w:sz w:val="22"/>
          <w:szCs w:val="22"/>
          <w:lang w:eastAsia="en-GB"/>
        </w:rPr>
        <w:t>e</w:t>
      </w:r>
      <w:r w:rsidRPr="00F5551F">
        <w:rPr>
          <w:rFonts w:eastAsia="Arial Unicode MS" w:cs="Arial"/>
          <w:sz w:val="22"/>
          <w:szCs w:val="22"/>
          <w:lang w:eastAsia="en-GB"/>
        </w:rPr>
        <w:t>s</w:t>
      </w:r>
      <w:r w:rsidR="00AC5C23">
        <w:rPr>
          <w:rFonts w:eastAsia="Arial Unicode MS" w:cs="Arial"/>
          <w:sz w:val="22"/>
          <w:szCs w:val="22"/>
          <w:lang w:eastAsia="en-GB"/>
        </w:rPr>
        <w:t>e</w:t>
      </w:r>
      <w:r w:rsidRPr="00F5551F">
        <w:rPr>
          <w:rFonts w:eastAsia="Arial Unicode MS" w:cs="Arial"/>
          <w:sz w:val="22"/>
          <w:szCs w:val="22"/>
          <w:lang w:eastAsia="en-GB"/>
        </w:rPr>
        <w:t xml:space="preserve"> types of risk. Contrary, due to the low levels of interest, net interest income is become less a driver for the relevant indicator under both the BIA and the TSA. These two movements clearly contribute to </w:t>
      </w:r>
      <w:r w:rsidR="00F5551F">
        <w:rPr>
          <w:rFonts w:eastAsia="Arial Unicode MS" w:cs="Arial"/>
          <w:sz w:val="22"/>
          <w:szCs w:val="22"/>
          <w:lang w:eastAsia="en-GB"/>
        </w:rPr>
        <w:t>disproportionate</w:t>
      </w:r>
      <w:r w:rsidR="00F5551F" w:rsidRPr="00F5551F">
        <w:rPr>
          <w:rFonts w:eastAsia="Arial Unicode MS" w:cs="Arial"/>
          <w:sz w:val="22"/>
          <w:szCs w:val="22"/>
          <w:lang w:eastAsia="en-GB"/>
        </w:rPr>
        <w:t xml:space="preserve"> </w:t>
      </w:r>
      <w:r w:rsidRPr="00F5551F">
        <w:rPr>
          <w:rFonts w:eastAsia="Arial Unicode MS" w:cs="Arial"/>
          <w:sz w:val="22"/>
          <w:szCs w:val="22"/>
          <w:lang w:eastAsia="en-GB"/>
        </w:rPr>
        <w:t xml:space="preserve">levels of capital requirements for CSDs under the AMA compared to the BIA. However, even without these current drivers, the AMA for CSDs is leading to far higher requirements than the BIA would. In the case of </w:t>
      </w:r>
      <w:proofErr w:type="spellStart"/>
      <w:r w:rsidRPr="00F5551F">
        <w:rPr>
          <w:rFonts w:eastAsia="Arial Unicode MS" w:cs="Arial"/>
          <w:sz w:val="22"/>
          <w:szCs w:val="22"/>
          <w:lang w:eastAsia="en-GB"/>
        </w:rPr>
        <w:t>Clearstream’s</w:t>
      </w:r>
      <w:proofErr w:type="spellEnd"/>
      <w:r w:rsidRPr="00F5551F">
        <w:rPr>
          <w:rFonts w:eastAsia="Arial Unicode MS" w:cs="Arial"/>
          <w:sz w:val="22"/>
          <w:szCs w:val="22"/>
          <w:lang w:eastAsia="en-GB"/>
        </w:rPr>
        <w:t xml:space="preserve"> the two CSDs and the Financial Holding Group falling currently in scope of CRR, a rough calculation of BIA as comparison to the current AMA shows – based on different allocation consequences between the two methods – levels of 30 to 45 % under BIA compared to the current AMA capital charge. As such, the introduction of the mandatory operational requirement to calculate the BIA capital charge while the AMA will most likely generate much higher capital charges seems not to be justified.  </w:t>
      </w:r>
    </w:p>
    <w:p w:rsidR="00940DB2" w:rsidRPr="00F5551F" w:rsidRDefault="00940DB2" w:rsidP="009C7F58">
      <w:pPr>
        <w:rPr>
          <w:rFonts w:eastAsia="Arial Unicode MS" w:cs="Arial"/>
          <w:sz w:val="22"/>
          <w:szCs w:val="22"/>
          <w:lang w:eastAsia="en-GB"/>
        </w:rPr>
      </w:pPr>
    </w:p>
    <w:p w:rsidR="00345121" w:rsidRPr="00F5551F" w:rsidRDefault="00345121" w:rsidP="009C7F58">
      <w:pPr>
        <w:rPr>
          <w:rFonts w:eastAsia="Arial Unicode MS" w:cs="Arial"/>
          <w:sz w:val="22"/>
          <w:szCs w:val="22"/>
          <w:lang w:eastAsia="en-GB"/>
        </w:rPr>
      </w:pPr>
      <w:r w:rsidRPr="00F5551F">
        <w:rPr>
          <w:rFonts w:eastAsia="Arial Unicode MS" w:cs="Arial"/>
          <w:sz w:val="22"/>
          <w:szCs w:val="22"/>
          <w:lang w:eastAsia="en-GB"/>
        </w:rPr>
        <w:t>Finally, we do want to point out that currently both the BIA and the TSA are under review by the BCBS and a proposal to merge the two towards a modified BIA only has been issued in 2014. We also expect a review of the AMA in the near future. As such, any modification / addition to the banking framework may have to be revised once the new rules are implemented in the EU which could be avoided by refereeing to the complete banking framework only.</w:t>
      </w:r>
    </w:p>
    <w:p w:rsidR="00BA048F" w:rsidRPr="00F5551F" w:rsidRDefault="00BA048F" w:rsidP="009C7F58">
      <w:pPr>
        <w:rPr>
          <w:rFonts w:eastAsia="Arial Unicode MS" w:cs="Arial"/>
          <w:sz w:val="22"/>
          <w:szCs w:val="22"/>
          <w:lang w:eastAsia="en-GB"/>
        </w:rPr>
      </w:pPr>
    </w:p>
    <w:p w:rsidR="00BA048F" w:rsidRPr="00F5551F" w:rsidRDefault="00BA048F" w:rsidP="00BA048F">
      <w:pPr>
        <w:rPr>
          <w:rFonts w:eastAsia="Arial Unicode MS"/>
          <w:sz w:val="22"/>
          <w:szCs w:val="22"/>
          <w:lang w:eastAsia="en-GB"/>
        </w:rPr>
      </w:pPr>
      <w:r w:rsidRPr="00F5551F">
        <w:rPr>
          <w:rFonts w:eastAsia="Arial Unicode MS"/>
          <w:sz w:val="22"/>
          <w:szCs w:val="22"/>
          <w:lang w:eastAsia="en-GB"/>
        </w:rPr>
        <w:t>As such, we propose the following amendments to the Recitals and the draft Articles:</w:t>
      </w:r>
    </w:p>
    <w:p w:rsidR="00BA048F" w:rsidRPr="00F5551F" w:rsidRDefault="00BA048F" w:rsidP="00345121">
      <w:pPr>
        <w:pStyle w:val="ListParagraph"/>
        <w:spacing w:line="360" w:lineRule="auto"/>
        <w:ind w:left="0"/>
        <w:jc w:val="both"/>
        <w:rPr>
          <w:rFonts w:ascii="DIN-Regular" w:eastAsia="Arial Unicode MS" w:hAnsi="DIN-Regular" w:cs="Arial"/>
          <w:i/>
          <w:szCs w:val="22"/>
          <w:lang w:eastAsia="en-GB"/>
        </w:rPr>
      </w:pPr>
    </w:p>
    <w:p w:rsidR="00345121" w:rsidRPr="00C2608B" w:rsidRDefault="00345121" w:rsidP="006D0363">
      <w:pPr>
        <w:pBdr>
          <w:top w:val="single" w:sz="4" w:space="1" w:color="auto"/>
          <w:left w:val="single" w:sz="4" w:space="4" w:color="auto"/>
          <w:bottom w:val="single" w:sz="4" w:space="1" w:color="auto"/>
          <w:right w:val="single" w:sz="4" w:space="4" w:color="auto"/>
        </w:pBdr>
        <w:rPr>
          <w:i/>
          <w:strike/>
          <w:color w:val="000000"/>
          <w:sz w:val="22"/>
          <w:szCs w:val="22"/>
          <w:lang w:eastAsia="de-DE"/>
        </w:rPr>
      </w:pPr>
      <w:r w:rsidRPr="00C2608B">
        <w:rPr>
          <w:rFonts w:eastAsia="Arial Unicode MS" w:cs="Courier New"/>
          <w:b/>
          <w:i/>
          <w:sz w:val="22"/>
          <w:szCs w:val="22"/>
          <w:lang w:eastAsia="en-GB"/>
        </w:rPr>
        <w:t>Recital 10</w:t>
      </w:r>
      <w:r w:rsidR="00BA18B7" w:rsidRPr="00C2608B">
        <w:rPr>
          <w:rFonts w:eastAsia="Arial Unicode MS" w:cs="Courier New"/>
          <w:b/>
          <w:i/>
          <w:sz w:val="22"/>
          <w:szCs w:val="22"/>
          <w:lang w:eastAsia="en-GB"/>
        </w:rPr>
        <w:tab/>
      </w:r>
      <w:r w:rsidR="00BA18B7" w:rsidRPr="00C2608B">
        <w:rPr>
          <w:rFonts w:eastAsia="Arial Unicode MS" w:cs="Courier New"/>
          <w:b/>
          <w:i/>
          <w:sz w:val="22"/>
          <w:szCs w:val="22"/>
          <w:lang w:eastAsia="en-GB"/>
        </w:rPr>
        <w:br/>
      </w:r>
      <w:r w:rsidRPr="00C2608B">
        <w:rPr>
          <w:i/>
          <w:color w:val="000000"/>
          <w:sz w:val="22"/>
          <w:szCs w:val="22"/>
          <w:lang w:eastAsia="de-DE"/>
        </w:rPr>
        <w:t>(10)</w:t>
      </w:r>
      <w:r w:rsidR="00D65895">
        <w:rPr>
          <w:i/>
          <w:color w:val="000000"/>
          <w:sz w:val="22"/>
          <w:szCs w:val="22"/>
          <w:lang w:eastAsia="de-DE"/>
        </w:rPr>
        <w:t xml:space="preserve"> </w:t>
      </w:r>
      <w:r w:rsidRPr="00C2608B">
        <w:rPr>
          <w:i/>
          <w:color w:val="000000"/>
          <w:sz w:val="22"/>
          <w:szCs w:val="22"/>
          <w:lang w:eastAsia="de-DE"/>
        </w:rPr>
        <w:t xml:space="preserve">[custody risk] </w:t>
      </w:r>
      <w:r w:rsidRPr="00C2608B">
        <w:rPr>
          <w:b/>
          <w:i/>
          <w:sz w:val="22"/>
          <w:szCs w:val="22"/>
          <w:lang w:eastAsia="de-DE"/>
        </w:rPr>
        <w:t xml:space="preserve">Like for legal risk, also custody risk is covered within the banking framework of Regulation (EU) No. 575/2013. There is no material difference in the risk of a credit institution or investment firm putting client securities or proprietary securities under custody with a third party including a CSD. Also these securities may be deposited via a CSD link and their settlement may also take place using the CSD-links. Consequently, no dedicated charge for custody risk in addition to the operational risk charge under the banking framework is </w:t>
      </w:r>
      <w:r w:rsidR="00BD3A07" w:rsidRPr="00C2608B">
        <w:rPr>
          <w:b/>
          <w:i/>
          <w:sz w:val="22"/>
          <w:szCs w:val="22"/>
          <w:lang w:eastAsia="de-DE"/>
        </w:rPr>
        <w:t>proposed.</w:t>
      </w:r>
      <w:r w:rsidR="00BD3A07" w:rsidRPr="00C2608B">
        <w:rPr>
          <w:i/>
          <w:strike/>
          <w:color w:val="000000"/>
          <w:sz w:val="22"/>
          <w:szCs w:val="22"/>
          <w:lang w:eastAsia="de-DE"/>
        </w:rPr>
        <w:t xml:space="preserve"> While</w:t>
      </w:r>
      <w:r w:rsidRPr="00C2608B">
        <w:rPr>
          <w:i/>
          <w:strike/>
          <w:color w:val="000000"/>
          <w:sz w:val="22"/>
          <w:szCs w:val="22"/>
          <w:lang w:eastAsia="de-DE"/>
        </w:rPr>
        <w:t xml:space="preserve"> operational risk generally covers risks relating to securities owned by the same CSD, specific provisions are necessary as concerns custody risk as these refer to the risk of custody of securities in another CSD or in an intermediary in the case of indirect links. </w:t>
      </w:r>
    </w:p>
    <w:p w:rsidR="00BA048F" w:rsidRPr="00C2608B" w:rsidRDefault="00BA048F" w:rsidP="006D0363">
      <w:pPr>
        <w:pBdr>
          <w:top w:val="single" w:sz="4" w:space="1" w:color="auto"/>
          <w:left w:val="single" w:sz="4" w:space="4" w:color="auto"/>
          <w:bottom w:val="single" w:sz="4" w:space="1" w:color="auto"/>
          <w:right w:val="single" w:sz="4" w:space="4" w:color="auto"/>
        </w:pBdr>
        <w:rPr>
          <w:rFonts w:eastAsia="Arial Unicode MS" w:cs="Courier New"/>
          <w:b/>
          <w:i/>
          <w:sz w:val="22"/>
          <w:szCs w:val="22"/>
          <w:lang w:eastAsia="en-GB"/>
        </w:rPr>
      </w:pPr>
    </w:p>
    <w:p w:rsidR="00345121" w:rsidRPr="00C2608B" w:rsidRDefault="0004392B" w:rsidP="006D0363">
      <w:pPr>
        <w:pBdr>
          <w:top w:val="single" w:sz="4" w:space="1" w:color="auto"/>
          <w:left w:val="single" w:sz="4" w:space="4" w:color="auto"/>
          <w:bottom w:val="single" w:sz="4" w:space="1" w:color="auto"/>
          <w:right w:val="single" w:sz="4" w:space="4" w:color="auto"/>
        </w:pBdr>
        <w:rPr>
          <w:i/>
          <w:sz w:val="22"/>
          <w:szCs w:val="22"/>
          <w:lang w:eastAsia="de-DE"/>
        </w:rPr>
      </w:pPr>
      <w:r w:rsidRPr="00C2608B">
        <w:rPr>
          <w:rFonts w:eastAsia="Arial Unicode MS" w:cs="Courier New"/>
          <w:b/>
          <w:i/>
          <w:sz w:val="22"/>
          <w:szCs w:val="22"/>
          <w:lang w:eastAsia="en-GB"/>
        </w:rPr>
        <w:t xml:space="preserve">Article 3 - </w:t>
      </w:r>
      <w:r w:rsidR="00345121" w:rsidRPr="00C2608B">
        <w:rPr>
          <w:i/>
          <w:sz w:val="22"/>
          <w:szCs w:val="22"/>
          <w:lang w:eastAsia="de-DE"/>
        </w:rPr>
        <w:t xml:space="preserve">Level of capital requirements for a CSD </w:t>
      </w:r>
    </w:p>
    <w:p w:rsidR="00345121" w:rsidRPr="00C2608B" w:rsidRDefault="0004392B" w:rsidP="006D0363">
      <w:pPr>
        <w:pBdr>
          <w:top w:val="single" w:sz="4" w:space="1" w:color="auto"/>
          <w:left w:val="single" w:sz="4" w:space="4" w:color="auto"/>
          <w:bottom w:val="single" w:sz="4" w:space="1" w:color="auto"/>
          <w:right w:val="single" w:sz="4" w:space="4" w:color="auto"/>
        </w:pBdr>
        <w:rPr>
          <w:i/>
          <w:sz w:val="22"/>
          <w:szCs w:val="22"/>
          <w:lang w:eastAsia="de-DE"/>
        </w:rPr>
      </w:pPr>
      <w:r w:rsidRPr="00C2608B">
        <w:rPr>
          <w:i/>
          <w:sz w:val="22"/>
          <w:szCs w:val="22"/>
          <w:lang w:eastAsia="de-DE"/>
        </w:rPr>
        <w:t xml:space="preserve">1. </w:t>
      </w:r>
      <w:r w:rsidR="00345121" w:rsidRPr="00C2608B">
        <w:rPr>
          <w:i/>
          <w:sz w:val="22"/>
          <w:szCs w:val="22"/>
          <w:lang w:eastAsia="de-DE"/>
        </w:rPr>
        <w:t xml:space="preserve">For the purposes of Article 1, a CSD shall hold capital </w:t>
      </w:r>
      <w:r w:rsidR="00345121" w:rsidRPr="00C2608B">
        <w:rPr>
          <w:b/>
          <w:i/>
          <w:sz w:val="22"/>
          <w:szCs w:val="22"/>
          <w:lang w:eastAsia="de-DE"/>
        </w:rPr>
        <w:t>as defined in Article 2</w:t>
      </w:r>
      <w:r w:rsidR="00345121" w:rsidRPr="00C2608B">
        <w:rPr>
          <w:i/>
          <w:strike/>
          <w:sz w:val="22"/>
          <w:szCs w:val="22"/>
          <w:lang w:eastAsia="de-DE"/>
        </w:rPr>
        <w:t>, together with retained earnings and reserves,</w:t>
      </w:r>
      <w:r w:rsidR="00345121" w:rsidRPr="00C2608B">
        <w:rPr>
          <w:i/>
          <w:sz w:val="22"/>
          <w:szCs w:val="22"/>
          <w:lang w:eastAsia="de-DE"/>
        </w:rPr>
        <w:t xml:space="preserve"> which shall be at all times more than or equal to the sum of: </w:t>
      </w:r>
    </w:p>
    <w:p w:rsidR="00345121" w:rsidRPr="00C2608B" w:rsidRDefault="0004392B" w:rsidP="00BA18B7">
      <w:pPr>
        <w:pBdr>
          <w:top w:val="single" w:sz="4" w:space="1" w:color="auto"/>
          <w:left w:val="single" w:sz="4" w:space="4" w:color="auto"/>
          <w:bottom w:val="single" w:sz="4" w:space="1" w:color="auto"/>
          <w:right w:val="single" w:sz="4" w:space="4" w:color="auto"/>
        </w:pBdr>
        <w:autoSpaceDE w:val="0"/>
        <w:autoSpaceDN w:val="0"/>
        <w:adjustRightInd w:val="0"/>
        <w:spacing w:after="230"/>
        <w:rPr>
          <w:i/>
          <w:color w:val="000000"/>
          <w:sz w:val="22"/>
          <w:szCs w:val="22"/>
          <w:lang w:eastAsia="de-DE"/>
        </w:rPr>
      </w:pPr>
      <w:r w:rsidRPr="00C2608B">
        <w:rPr>
          <w:i/>
          <w:color w:val="000000"/>
          <w:sz w:val="22"/>
          <w:szCs w:val="22"/>
          <w:lang w:eastAsia="de-DE"/>
        </w:rPr>
        <w:t xml:space="preserve">(a) </w:t>
      </w:r>
      <w:r w:rsidR="00345121" w:rsidRPr="00C2608B">
        <w:rPr>
          <w:i/>
          <w:color w:val="000000"/>
          <w:sz w:val="22"/>
          <w:szCs w:val="22"/>
          <w:lang w:eastAsia="de-DE"/>
        </w:rPr>
        <w:t xml:space="preserve">the CSD’s capital requirements for operational, legal and custody </w:t>
      </w:r>
      <w:r w:rsidRPr="00C2608B">
        <w:rPr>
          <w:i/>
          <w:color w:val="000000"/>
          <w:sz w:val="22"/>
          <w:szCs w:val="22"/>
          <w:lang w:eastAsia="de-DE"/>
        </w:rPr>
        <w:t xml:space="preserve">risks, referred to in point (a) </w:t>
      </w:r>
      <w:r w:rsidR="00345121" w:rsidRPr="00C2608B">
        <w:rPr>
          <w:i/>
          <w:color w:val="000000"/>
          <w:sz w:val="22"/>
          <w:szCs w:val="22"/>
          <w:lang w:eastAsia="de-DE"/>
        </w:rPr>
        <w:t xml:space="preserve">of Article 47(1) of Regulation (EU) No 909/2014, calculated in accordance with Article 4; </w:t>
      </w:r>
      <w:r w:rsidRPr="00C2608B">
        <w:rPr>
          <w:i/>
          <w:color w:val="000000"/>
          <w:sz w:val="22"/>
          <w:szCs w:val="22"/>
          <w:lang w:eastAsia="de-DE"/>
        </w:rPr>
        <w:br/>
      </w:r>
      <w:r w:rsidRPr="00C2608B">
        <w:rPr>
          <w:i/>
          <w:strike/>
          <w:color w:val="000000"/>
          <w:sz w:val="22"/>
          <w:szCs w:val="22"/>
          <w:lang w:eastAsia="de-DE"/>
        </w:rPr>
        <w:t xml:space="preserve">(b) </w:t>
      </w:r>
      <w:r w:rsidR="00345121" w:rsidRPr="00C2608B">
        <w:rPr>
          <w:i/>
          <w:strike/>
          <w:color w:val="000000"/>
          <w:sz w:val="22"/>
          <w:szCs w:val="22"/>
          <w:lang w:eastAsia="de-DE"/>
        </w:rPr>
        <w:t xml:space="preserve">the CSD’s capital requirements for custody risks, referred to in point (a) of Article 47(1) of </w:t>
      </w:r>
      <w:r w:rsidR="00345121" w:rsidRPr="00C2608B">
        <w:rPr>
          <w:i/>
          <w:strike/>
          <w:color w:val="000000"/>
          <w:sz w:val="22"/>
          <w:szCs w:val="22"/>
          <w:lang w:eastAsia="de-DE"/>
        </w:rPr>
        <w:lastRenderedPageBreak/>
        <w:t xml:space="preserve">Regulation (EU) No 909/2014, calculated in accordance with Article 5 where it has its securities or its clients’ securities under custody by another CSD or an intermediary within a CSD link; </w:t>
      </w:r>
      <w:r w:rsidRPr="00C2608B">
        <w:rPr>
          <w:i/>
          <w:color w:val="000000"/>
          <w:sz w:val="22"/>
          <w:szCs w:val="22"/>
          <w:lang w:eastAsia="de-DE"/>
        </w:rPr>
        <w:br/>
      </w:r>
      <w:r w:rsidRPr="00C2608B">
        <w:rPr>
          <w:b/>
          <w:i/>
          <w:color w:val="000000"/>
          <w:sz w:val="22"/>
          <w:szCs w:val="22"/>
          <w:lang w:eastAsia="de-DE"/>
        </w:rPr>
        <w:t xml:space="preserve">(b) </w:t>
      </w:r>
      <w:r w:rsidR="00345121" w:rsidRPr="00C2608B">
        <w:rPr>
          <w:b/>
          <w:i/>
          <w:color w:val="000000"/>
          <w:sz w:val="22"/>
          <w:szCs w:val="22"/>
          <w:lang w:eastAsia="de-DE"/>
        </w:rPr>
        <w:t xml:space="preserve">the CSD’s capital requirements for investment risks, referred to in point (a) of Article 47(1) of Regulation (EU) No 909/2014, calculated in accordance with Article 6; </w:t>
      </w:r>
      <w:r w:rsidRPr="00C2608B">
        <w:rPr>
          <w:b/>
          <w:i/>
          <w:color w:val="000000"/>
          <w:sz w:val="22"/>
          <w:szCs w:val="22"/>
          <w:lang w:eastAsia="de-DE"/>
        </w:rPr>
        <w:br/>
        <w:t xml:space="preserve">(c) </w:t>
      </w:r>
      <w:r w:rsidR="00345121" w:rsidRPr="00C2608B">
        <w:rPr>
          <w:b/>
          <w:i/>
          <w:color w:val="000000"/>
          <w:sz w:val="22"/>
          <w:szCs w:val="22"/>
          <w:lang w:eastAsia="de-DE"/>
        </w:rPr>
        <w:t xml:space="preserve">the CSD’s capital requirements for business risks, referred to in point (a) of Article 47(1) of Regulation (EU) No 909/2014, calculated in accordance with Article 7; </w:t>
      </w:r>
      <w:r w:rsidRPr="00C2608B">
        <w:rPr>
          <w:b/>
          <w:i/>
          <w:color w:val="000000"/>
          <w:sz w:val="22"/>
          <w:szCs w:val="22"/>
          <w:lang w:eastAsia="de-DE"/>
        </w:rPr>
        <w:br/>
        <w:t xml:space="preserve">(d) </w:t>
      </w:r>
      <w:r w:rsidR="00345121" w:rsidRPr="00C2608B">
        <w:rPr>
          <w:b/>
          <w:i/>
          <w:color w:val="000000"/>
          <w:sz w:val="22"/>
          <w:szCs w:val="22"/>
          <w:lang w:eastAsia="de-DE"/>
        </w:rPr>
        <w:t>the CSD’s capital requirements for winding-down or restructuring its activities, referred to in point (b) of Article 47(1) of Regulation (EU) No 909/2014, calculated in accordance with Article 8.</w:t>
      </w:r>
      <w:r w:rsidR="00345121" w:rsidRPr="00C2608B">
        <w:rPr>
          <w:i/>
          <w:color w:val="000000"/>
          <w:sz w:val="22"/>
          <w:szCs w:val="22"/>
          <w:lang w:eastAsia="de-DE"/>
        </w:rPr>
        <w:t xml:space="preserve"> </w:t>
      </w:r>
      <w:r w:rsidR="00BA18B7" w:rsidRPr="00C2608B">
        <w:rPr>
          <w:i/>
          <w:color w:val="000000"/>
          <w:sz w:val="22"/>
          <w:szCs w:val="22"/>
          <w:lang w:eastAsia="de-DE"/>
        </w:rPr>
        <w:br/>
      </w:r>
      <w:r w:rsidR="00BA18B7" w:rsidRPr="00C2608B">
        <w:rPr>
          <w:i/>
          <w:color w:val="000000"/>
          <w:sz w:val="22"/>
          <w:szCs w:val="22"/>
          <w:lang w:eastAsia="de-DE"/>
        </w:rPr>
        <w:br/>
      </w:r>
      <w:r w:rsidR="00BA048F" w:rsidRPr="00C2608B">
        <w:rPr>
          <w:rFonts w:eastAsia="Arial Unicode MS" w:cs="Arial"/>
          <w:i/>
          <w:sz w:val="22"/>
          <w:szCs w:val="22"/>
          <w:lang w:eastAsia="en-GB"/>
        </w:rPr>
        <w:t>N</w:t>
      </w:r>
      <w:r w:rsidR="00345121" w:rsidRPr="00C2608B">
        <w:rPr>
          <w:rFonts w:eastAsia="Arial Unicode MS" w:cs="Arial"/>
          <w:i/>
          <w:sz w:val="22"/>
          <w:szCs w:val="22"/>
          <w:lang w:eastAsia="en-GB"/>
        </w:rPr>
        <w:t>o changes for paragraphs 2 to 4.</w:t>
      </w:r>
    </w:p>
    <w:p w:rsidR="00345121" w:rsidRPr="00C2608B" w:rsidRDefault="00345121" w:rsidP="006D0363">
      <w:pPr>
        <w:pBdr>
          <w:top w:val="single" w:sz="4" w:space="1" w:color="auto"/>
          <w:left w:val="single" w:sz="4" w:space="4" w:color="auto"/>
          <w:bottom w:val="single" w:sz="4" w:space="1" w:color="auto"/>
          <w:right w:val="single" w:sz="4" w:space="4" w:color="auto"/>
        </w:pBdr>
        <w:rPr>
          <w:i/>
          <w:sz w:val="22"/>
          <w:szCs w:val="22"/>
          <w:lang w:eastAsia="de-DE"/>
        </w:rPr>
      </w:pPr>
      <w:r w:rsidRPr="00C2608B">
        <w:rPr>
          <w:rFonts w:eastAsia="Arial Unicode MS" w:cs="Courier New"/>
          <w:b/>
          <w:i/>
          <w:sz w:val="22"/>
          <w:szCs w:val="22"/>
          <w:lang w:eastAsia="en-GB"/>
        </w:rPr>
        <w:t>Article 4</w:t>
      </w:r>
      <w:r w:rsidR="006D0363" w:rsidRPr="00C2608B">
        <w:rPr>
          <w:rFonts w:eastAsia="Arial Unicode MS" w:cs="Courier New"/>
          <w:b/>
          <w:i/>
          <w:sz w:val="22"/>
          <w:szCs w:val="22"/>
          <w:lang w:eastAsia="en-GB"/>
        </w:rPr>
        <w:t xml:space="preserve"> </w:t>
      </w:r>
      <w:r w:rsidRPr="00C2608B">
        <w:rPr>
          <w:i/>
          <w:sz w:val="22"/>
          <w:szCs w:val="22"/>
          <w:lang w:eastAsia="de-DE"/>
        </w:rPr>
        <w:t xml:space="preserve">Level of capital requirements for operational, legal and custody risks </w:t>
      </w:r>
    </w:p>
    <w:p w:rsidR="00345121" w:rsidRPr="00C2608B" w:rsidRDefault="00BA18B7" w:rsidP="006D0363">
      <w:pPr>
        <w:pBdr>
          <w:top w:val="single" w:sz="4" w:space="1" w:color="auto"/>
          <w:left w:val="single" w:sz="4" w:space="4" w:color="auto"/>
          <w:bottom w:val="single" w:sz="4" w:space="1" w:color="auto"/>
          <w:right w:val="single" w:sz="4" w:space="4" w:color="auto"/>
        </w:pBdr>
        <w:rPr>
          <w:i/>
          <w:sz w:val="22"/>
          <w:szCs w:val="22"/>
          <w:lang w:eastAsia="de-DE"/>
        </w:rPr>
      </w:pPr>
      <w:r w:rsidRPr="00C2608B">
        <w:rPr>
          <w:i/>
          <w:sz w:val="22"/>
          <w:szCs w:val="22"/>
          <w:lang w:eastAsia="de-DE"/>
        </w:rPr>
        <w:t xml:space="preserve">1. </w:t>
      </w:r>
      <w:r w:rsidR="00345121" w:rsidRPr="00C2608B">
        <w:rPr>
          <w:i/>
          <w:sz w:val="22"/>
          <w:szCs w:val="22"/>
          <w:lang w:eastAsia="de-DE"/>
        </w:rPr>
        <w:t xml:space="preserve">For the purposes of point (a) of Article 3(1), a CSD shall calculate its capital requirements for </w:t>
      </w:r>
      <w:proofErr w:type="gramStart"/>
      <w:r w:rsidR="00345121" w:rsidRPr="00C2608B">
        <w:rPr>
          <w:i/>
          <w:sz w:val="22"/>
          <w:szCs w:val="22"/>
          <w:lang w:eastAsia="de-DE"/>
        </w:rPr>
        <w:t>operational</w:t>
      </w:r>
      <w:r w:rsidR="00345121" w:rsidRPr="00C2608B">
        <w:rPr>
          <w:b/>
          <w:i/>
          <w:sz w:val="22"/>
          <w:szCs w:val="22"/>
          <w:u w:val="single"/>
          <w:lang w:eastAsia="de-DE"/>
        </w:rPr>
        <w:t>,</w:t>
      </w:r>
      <w:proofErr w:type="gramEnd"/>
      <w:r w:rsidR="00345121" w:rsidRPr="00C2608B">
        <w:rPr>
          <w:i/>
          <w:sz w:val="22"/>
          <w:szCs w:val="22"/>
          <w:lang w:eastAsia="de-DE"/>
        </w:rPr>
        <w:t xml:space="preserve"> </w:t>
      </w:r>
      <w:r w:rsidR="00345121" w:rsidRPr="00C2608B">
        <w:rPr>
          <w:i/>
          <w:strike/>
          <w:sz w:val="22"/>
          <w:szCs w:val="22"/>
          <w:lang w:eastAsia="de-DE"/>
        </w:rPr>
        <w:t xml:space="preserve">and </w:t>
      </w:r>
      <w:r w:rsidR="00345121" w:rsidRPr="00C2608B">
        <w:rPr>
          <w:i/>
          <w:sz w:val="22"/>
          <w:szCs w:val="22"/>
          <w:lang w:eastAsia="de-DE"/>
        </w:rPr>
        <w:t xml:space="preserve">legal </w:t>
      </w:r>
      <w:r w:rsidR="00345121" w:rsidRPr="00C2608B">
        <w:rPr>
          <w:b/>
          <w:i/>
          <w:sz w:val="22"/>
          <w:szCs w:val="22"/>
          <w:lang w:eastAsia="de-DE"/>
        </w:rPr>
        <w:t>and custody</w:t>
      </w:r>
      <w:r w:rsidR="00345121" w:rsidRPr="00C2608B">
        <w:rPr>
          <w:i/>
          <w:sz w:val="22"/>
          <w:szCs w:val="22"/>
          <w:lang w:eastAsia="de-DE"/>
        </w:rPr>
        <w:t xml:space="preserve"> risks, in accordance with paragraphs 2 to </w:t>
      </w:r>
      <w:r w:rsidR="00345121" w:rsidRPr="00C2608B">
        <w:rPr>
          <w:b/>
          <w:i/>
          <w:sz w:val="22"/>
          <w:szCs w:val="22"/>
          <w:lang w:eastAsia="de-DE"/>
        </w:rPr>
        <w:t>4</w:t>
      </w:r>
      <w:r w:rsidR="00345121" w:rsidRPr="00C2608B">
        <w:rPr>
          <w:i/>
          <w:strike/>
          <w:sz w:val="22"/>
          <w:szCs w:val="22"/>
          <w:lang w:eastAsia="de-DE"/>
        </w:rPr>
        <w:t>5</w:t>
      </w:r>
      <w:r w:rsidR="00345121" w:rsidRPr="00C2608B">
        <w:rPr>
          <w:i/>
          <w:sz w:val="22"/>
          <w:szCs w:val="22"/>
          <w:lang w:eastAsia="de-DE"/>
        </w:rPr>
        <w:t xml:space="preserve">. </w:t>
      </w:r>
    </w:p>
    <w:p w:rsidR="006D0363" w:rsidRPr="00C2608B" w:rsidRDefault="00BA18B7" w:rsidP="006D0363">
      <w:pPr>
        <w:pBdr>
          <w:top w:val="single" w:sz="4" w:space="1" w:color="auto"/>
          <w:left w:val="single" w:sz="4" w:space="4" w:color="auto"/>
          <w:bottom w:val="single" w:sz="4" w:space="1" w:color="auto"/>
          <w:right w:val="single" w:sz="4" w:space="4" w:color="auto"/>
        </w:pBdr>
        <w:rPr>
          <w:i/>
          <w:sz w:val="22"/>
          <w:szCs w:val="22"/>
          <w:lang w:eastAsia="de-DE"/>
        </w:rPr>
      </w:pPr>
      <w:r w:rsidRPr="00C2608B">
        <w:rPr>
          <w:i/>
          <w:sz w:val="22"/>
          <w:szCs w:val="22"/>
          <w:lang w:eastAsia="de-DE"/>
        </w:rPr>
        <w:t xml:space="preserve">2. </w:t>
      </w:r>
      <w:r w:rsidR="00345121" w:rsidRPr="00C2608B">
        <w:rPr>
          <w:i/>
          <w:sz w:val="22"/>
          <w:szCs w:val="22"/>
          <w:lang w:eastAsia="de-DE"/>
        </w:rPr>
        <w:t xml:space="preserve">A CSD authorised in accordance with point (a) of Article 54(2) of Regulation (EU) No 909/2014 to provide banking-type ancillary services and with permission to use the Advanced Measurement Approaches (‘AMA’) as referred to in Articles 321 to 324 of Regulation (EU) No 575/2013, </w:t>
      </w:r>
      <w:r w:rsidR="00345121" w:rsidRPr="00C2608B">
        <w:rPr>
          <w:b/>
          <w:i/>
          <w:sz w:val="22"/>
          <w:szCs w:val="22"/>
          <w:lang w:eastAsia="de-DE"/>
        </w:rPr>
        <w:t xml:space="preserve">may </w:t>
      </w:r>
      <w:r w:rsidR="00345121" w:rsidRPr="00C2608B">
        <w:rPr>
          <w:i/>
          <w:strike/>
          <w:sz w:val="22"/>
          <w:szCs w:val="22"/>
          <w:lang w:eastAsia="de-DE"/>
        </w:rPr>
        <w:t xml:space="preserve">shall </w:t>
      </w:r>
      <w:r w:rsidR="00345121" w:rsidRPr="00C2608B">
        <w:rPr>
          <w:i/>
          <w:sz w:val="22"/>
          <w:szCs w:val="22"/>
          <w:lang w:eastAsia="de-DE"/>
        </w:rPr>
        <w:t>calculate its capital requirements for operational</w:t>
      </w:r>
      <w:r w:rsidR="00345121" w:rsidRPr="00C2608B">
        <w:rPr>
          <w:b/>
          <w:i/>
          <w:sz w:val="22"/>
          <w:szCs w:val="22"/>
          <w:lang w:eastAsia="de-DE"/>
        </w:rPr>
        <w:t>,</w:t>
      </w:r>
      <w:r w:rsidR="00345121" w:rsidRPr="00C2608B">
        <w:rPr>
          <w:i/>
          <w:sz w:val="22"/>
          <w:szCs w:val="22"/>
          <w:lang w:eastAsia="de-DE"/>
        </w:rPr>
        <w:t xml:space="preserve"> </w:t>
      </w:r>
      <w:r w:rsidR="00345121" w:rsidRPr="00C2608B">
        <w:rPr>
          <w:i/>
          <w:strike/>
          <w:sz w:val="22"/>
          <w:szCs w:val="22"/>
          <w:lang w:eastAsia="de-DE"/>
        </w:rPr>
        <w:t xml:space="preserve">and </w:t>
      </w:r>
      <w:r w:rsidR="00345121" w:rsidRPr="00C2608B">
        <w:rPr>
          <w:i/>
          <w:sz w:val="22"/>
          <w:szCs w:val="22"/>
          <w:lang w:eastAsia="de-DE"/>
        </w:rPr>
        <w:t xml:space="preserve">legal </w:t>
      </w:r>
      <w:r w:rsidR="00345121" w:rsidRPr="00C2608B">
        <w:rPr>
          <w:b/>
          <w:i/>
          <w:sz w:val="22"/>
          <w:szCs w:val="22"/>
          <w:lang w:eastAsia="de-DE"/>
        </w:rPr>
        <w:t>and custody</w:t>
      </w:r>
      <w:r w:rsidR="00345121" w:rsidRPr="00C2608B">
        <w:rPr>
          <w:i/>
          <w:sz w:val="22"/>
          <w:szCs w:val="22"/>
          <w:u w:val="single"/>
          <w:lang w:eastAsia="de-DE"/>
        </w:rPr>
        <w:t xml:space="preserve"> </w:t>
      </w:r>
      <w:r w:rsidR="00345121" w:rsidRPr="00C2608B">
        <w:rPr>
          <w:i/>
          <w:sz w:val="22"/>
          <w:szCs w:val="22"/>
          <w:lang w:eastAsia="de-DE"/>
        </w:rPr>
        <w:t xml:space="preserve">risks in accordance with the provisions of that Regulation relating to the AMA. </w:t>
      </w:r>
    </w:p>
    <w:p w:rsidR="00345121" w:rsidRPr="00C2608B" w:rsidRDefault="00BA18B7" w:rsidP="006D0363">
      <w:pPr>
        <w:pBdr>
          <w:top w:val="single" w:sz="4" w:space="1" w:color="auto"/>
          <w:left w:val="single" w:sz="4" w:space="4" w:color="auto"/>
          <w:bottom w:val="single" w:sz="4" w:space="1" w:color="auto"/>
          <w:right w:val="single" w:sz="4" w:space="4" w:color="auto"/>
        </w:pBdr>
        <w:rPr>
          <w:i/>
          <w:sz w:val="22"/>
          <w:szCs w:val="22"/>
          <w:lang w:eastAsia="de-DE"/>
        </w:rPr>
      </w:pPr>
      <w:r w:rsidRPr="00C2608B">
        <w:rPr>
          <w:i/>
          <w:sz w:val="22"/>
          <w:szCs w:val="22"/>
          <w:lang w:eastAsia="de-DE"/>
        </w:rPr>
        <w:t xml:space="preserve">3. </w:t>
      </w:r>
      <w:r w:rsidR="00345121" w:rsidRPr="00C2608B">
        <w:rPr>
          <w:i/>
          <w:sz w:val="22"/>
          <w:szCs w:val="22"/>
          <w:lang w:eastAsia="de-DE"/>
        </w:rPr>
        <w:t xml:space="preserve">A CSD authorised in accordance with point (a) of Article 54(2) of Regulation (EU) No 909/2014 to provide banking-type ancillary services and using the Standardised Approach (‘TSA’) as referred to in Articles 317 to 319 of Regulation (EU) No 575/2013, </w:t>
      </w:r>
      <w:r w:rsidR="00345121" w:rsidRPr="00C2608B">
        <w:rPr>
          <w:b/>
          <w:i/>
          <w:sz w:val="22"/>
          <w:szCs w:val="22"/>
          <w:lang w:eastAsia="de-DE"/>
        </w:rPr>
        <w:t xml:space="preserve">may </w:t>
      </w:r>
      <w:r w:rsidR="00345121" w:rsidRPr="00C2608B">
        <w:rPr>
          <w:i/>
          <w:strike/>
          <w:sz w:val="22"/>
          <w:szCs w:val="22"/>
          <w:lang w:eastAsia="de-DE"/>
        </w:rPr>
        <w:t xml:space="preserve">shall </w:t>
      </w:r>
      <w:r w:rsidR="00345121" w:rsidRPr="00C2608B">
        <w:rPr>
          <w:i/>
          <w:sz w:val="22"/>
          <w:szCs w:val="22"/>
          <w:lang w:eastAsia="de-DE"/>
        </w:rPr>
        <w:t>calculate its capital requirements for operational</w:t>
      </w:r>
      <w:proofErr w:type="gramStart"/>
      <w:r w:rsidR="00345121" w:rsidRPr="00C2608B">
        <w:rPr>
          <w:b/>
          <w:i/>
          <w:sz w:val="22"/>
          <w:szCs w:val="22"/>
          <w:lang w:eastAsia="de-DE"/>
        </w:rPr>
        <w:t xml:space="preserve">, </w:t>
      </w:r>
      <w:r w:rsidR="00345121" w:rsidRPr="00C2608B">
        <w:rPr>
          <w:b/>
          <w:i/>
          <w:strike/>
          <w:sz w:val="22"/>
          <w:szCs w:val="22"/>
          <w:lang w:eastAsia="de-DE"/>
        </w:rPr>
        <w:t xml:space="preserve"> </w:t>
      </w:r>
      <w:r w:rsidR="00345121" w:rsidRPr="00C2608B">
        <w:rPr>
          <w:i/>
          <w:strike/>
          <w:sz w:val="22"/>
          <w:szCs w:val="22"/>
          <w:lang w:eastAsia="de-DE"/>
        </w:rPr>
        <w:t>and</w:t>
      </w:r>
      <w:proofErr w:type="gramEnd"/>
      <w:r w:rsidR="00345121" w:rsidRPr="00C2608B">
        <w:rPr>
          <w:i/>
          <w:strike/>
          <w:sz w:val="22"/>
          <w:szCs w:val="22"/>
          <w:lang w:eastAsia="de-DE"/>
        </w:rPr>
        <w:t xml:space="preserve"> </w:t>
      </w:r>
      <w:r w:rsidR="00345121" w:rsidRPr="00C2608B">
        <w:rPr>
          <w:i/>
          <w:sz w:val="22"/>
          <w:szCs w:val="22"/>
          <w:lang w:eastAsia="de-DE"/>
        </w:rPr>
        <w:t xml:space="preserve">legal </w:t>
      </w:r>
      <w:r w:rsidR="00345121" w:rsidRPr="00C2608B">
        <w:rPr>
          <w:b/>
          <w:i/>
          <w:sz w:val="22"/>
          <w:szCs w:val="22"/>
          <w:lang w:eastAsia="de-DE"/>
        </w:rPr>
        <w:t>and custody</w:t>
      </w:r>
      <w:r w:rsidR="00345121" w:rsidRPr="00C2608B">
        <w:rPr>
          <w:i/>
          <w:sz w:val="22"/>
          <w:szCs w:val="22"/>
          <w:lang w:eastAsia="de-DE"/>
        </w:rPr>
        <w:t xml:space="preserve"> risks in accordance with the provisions of that Regulation relating to TSA. </w:t>
      </w:r>
    </w:p>
    <w:p w:rsidR="00345121" w:rsidRPr="00C2608B" w:rsidRDefault="00BA18B7" w:rsidP="006D0363">
      <w:pPr>
        <w:pBdr>
          <w:top w:val="single" w:sz="4" w:space="1" w:color="auto"/>
          <w:left w:val="single" w:sz="4" w:space="4" w:color="auto"/>
          <w:bottom w:val="single" w:sz="4" w:space="1" w:color="auto"/>
          <w:right w:val="single" w:sz="4" w:space="4" w:color="auto"/>
        </w:pBdr>
        <w:rPr>
          <w:i/>
          <w:sz w:val="22"/>
          <w:szCs w:val="22"/>
          <w:lang w:eastAsia="de-DE"/>
        </w:rPr>
      </w:pPr>
      <w:r w:rsidRPr="00C2608B">
        <w:rPr>
          <w:i/>
          <w:sz w:val="22"/>
          <w:szCs w:val="22"/>
          <w:lang w:eastAsia="de-DE"/>
        </w:rPr>
        <w:t xml:space="preserve">4. </w:t>
      </w:r>
      <w:r w:rsidR="00345121" w:rsidRPr="00C2608B">
        <w:rPr>
          <w:i/>
          <w:sz w:val="22"/>
          <w:szCs w:val="22"/>
          <w:lang w:eastAsia="de-DE"/>
        </w:rPr>
        <w:t>A CSD that is not authorised in accordance with Article 54(2) of Regulation (EU) No 909/2014 or a CSD that is authorised in accordance with point (a) of Article 54(2) of Regulation (EU) No 909/2014 but which does not have permission to use either the AMA as referred to in Articles 321 and 324 of Regulation (EU) No 575/2013, or TSA as referred to in Articles 317 to 320 of that Regulation, shall calculate its capital requirements for operational</w:t>
      </w:r>
      <w:r w:rsidR="00345121" w:rsidRPr="00C2608B">
        <w:rPr>
          <w:b/>
          <w:i/>
          <w:sz w:val="22"/>
          <w:szCs w:val="22"/>
          <w:lang w:eastAsia="de-DE"/>
        </w:rPr>
        <w:t xml:space="preserve">, </w:t>
      </w:r>
      <w:r w:rsidR="00345121" w:rsidRPr="00C2608B">
        <w:rPr>
          <w:i/>
          <w:strike/>
          <w:sz w:val="22"/>
          <w:szCs w:val="22"/>
          <w:lang w:eastAsia="de-DE"/>
        </w:rPr>
        <w:t xml:space="preserve">and </w:t>
      </w:r>
      <w:r w:rsidR="00345121" w:rsidRPr="00C2608B">
        <w:rPr>
          <w:i/>
          <w:sz w:val="22"/>
          <w:szCs w:val="22"/>
          <w:lang w:eastAsia="de-DE"/>
        </w:rPr>
        <w:t xml:space="preserve">legal </w:t>
      </w:r>
      <w:r w:rsidR="00345121" w:rsidRPr="00C2608B">
        <w:rPr>
          <w:b/>
          <w:i/>
          <w:sz w:val="22"/>
          <w:szCs w:val="22"/>
          <w:lang w:eastAsia="de-DE"/>
        </w:rPr>
        <w:t>and custody</w:t>
      </w:r>
      <w:r w:rsidR="00345121" w:rsidRPr="00C2608B">
        <w:rPr>
          <w:i/>
          <w:sz w:val="22"/>
          <w:szCs w:val="22"/>
          <w:u w:val="single"/>
          <w:lang w:eastAsia="de-DE"/>
        </w:rPr>
        <w:t xml:space="preserve"> </w:t>
      </w:r>
      <w:r w:rsidR="00345121" w:rsidRPr="00C2608B">
        <w:rPr>
          <w:i/>
          <w:sz w:val="22"/>
          <w:szCs w:val="22"/>
          <w:lang w:eastAsia="de-DE"/>
        </w:rPr>
        <w:t xml:space="preserve">risks in accordance with the provisions of the Basic Indicator Approach as referred to in Articles 315 and 316 of that Regulation. </w:t>
      </w:r>
    </w:p>
    <w:p w:rsidR="00345121" w:rsidRPr="00C2608B" w:rsidRDefault="00BA18B7" w:rsidP="006D0363">
      <w:pPr>
        <w:pBdr>
          <w:top w:val="single" w:sz="4" w:space="1" w:color="auto"/>
          <w:left w:val="single" w:sz="4" w:space="4" w:color="auto"/>
          <w:bottom w:val="single" w:sz="4" w:space="1" w:color="auto"/>
          <w:right w:val="single" w:sz="4" w:space="4" w:color="auto"/>
        </w:pBdr>
        <w:rPr>
          <w:i/>
          <w:strike/>
          <w:sz w:val="22"/>
          <w:szCs w:val="22"/>
          <w:lang w:eastAsia="de-DE"/>
        </w:rPr>
      </w:pPr>
      <w:r w:rsidRPr="00C2608B">
        <w:rPr>
          <w:i/>
          <w:strike/>
          <w:sz w:val="22"/>
          <w:szCs w:val="22"/>
          <w:lang w:eastAsia="de-DE"/>
        </w:rPr>
        <w:t xml:space="preserve">5. </w:t>
      </w:r>
      <w:r w:rsidR="00345121" w:rsidRPr="00C2608B">
        <w:rPr>
          <w:i/>
          <w:strike/>
          <w:sz w:val="22"/>
          <w:szCs w:val="22"/>
          <w:lang w:eastAsia="de-DE"/>
        </w:rPr>
        <w:t xml:space="preserve">A CSD that calculates its capital requirements for operational and legal risk in accordance with the AMA, as referred to in paragraph 1, shall hold capital which shall be at all times more than or equal to 80% of the capital that would be required in accordance with the Basic Indicator Approach referred to in Articles 315 and 316 of Regulation (EU) No 575/2013. </w:t>
      </w:r>
    </w:p>
    <w:p w:rsidR="00345121" w:rsidRPr="00C2608B" w:rsidRDefault="00345121" w:rsidP="006D0363">
      <w:pPr>
        <w:pBdr>
          <w:top w:val="single" w:sz="4" w:space="1" w:color="auto"/>
          <w:left w:val="single" w:sz="4" w:space="4" w:color="auto"/>
          <w:bottom w:val="single" w:sz="4" w:space="1" w:color="auto"/>
          <w:right w:val="single" w:sz="4" w:space="4" w:color="auto"/>
        </w:pBdr>
        <w:rPr>
          <w:i/>
          <w:color w:val="000000"/>
          <w:sz w:val="22"/>
          <w:szCs w:val="22"/>
          <w:lang w:eastAsia="de-DE"/>
        </w:rPr>
      </w:pPr>
    </w:p>
    <w:p w:rsidR="00345121" w:rsidRPr="00C2608B" w:rsidRDefault="00345121" w:rsidP="006D0363">
      <w:pPr>
        <w:pBdr>
          <w:top w:val="single" w:sz="4" w:space="1" w:color="auto"/>
          <w:left w:val="single" w:sz="4" w:space="4" w:color="auto"/>
          <w:bottom w:val="single" w:sz="4" w:space="1" w:color="auto"/>
          <w:right w:val="single" w:sz="4" w:space="4" w:color="auto"/>
        </w:pBdr>
        <w:rPr>
          <w:rFonts w:eastAsia="Arial Unicode MS" w:cs="Courier New"/>
          <w:b/>
          <w:i/>
          <w:sz w:val="22"/>
          <w:szCs w:val="22"/>
          <w:lang w:eastAsia="en-GB"/>
        </w:rPr>
      </w:pPr>
      <w:r w:rsidRPr="00C2608B">
        <w:rPr>
          <w:rFonts w:eastAsia="Arial Unicode MS" w:cs="Courier New"/>
          <w:b/>
          <w:i/>
          <w:sz w:val="22"/>
          <w:szCs w:val="22"/>
          <w:lang w:eastAsia="en-GB"/>
        </w:rPr>
        <w:t>Article 5</w:t>
      </w:r>
    </w:p>
    <w:p w:rsidR="00345121" w:rsidRPr="00C2608B" w:rsidRDefault="00345121" w:rsidP="006D0363">
      <w:pPr>
        <w:pBdr>
          <w:top w:val="single" w:sz="4" w:space="1" w:color="auto"/>
          <w:left w:val="single" w:sz="4" w:space="4" w:color="auto"/>
          <w:bottom w:val="single" w:sz="4" w:space="1" w:color="auto"/>
          <w:right w:val="single" w:sz="4" w:space="4" w:color="auto"/>
        </w:pBdr>
        <w:rPr>
          <w:i/>
          <w:strike/>
          <w:color w:val="000000"/>
          <w:sz w:val="22"/>
          <w:szCs w:val="22"/>
          <w:lang w:eastAsia="de-DE"/>
        </w:rPr>
      </w:pPr>
      <w:r w:rsidRPr="00C2608B">
        <w:rPr>
          <w:i/>
          <w:iCs/>
          <w:strike/>
          <w:color w:val="000000"/>
          <w:sz w:val="22"/>
          <w:szCs w:val="22"/>
          <w:lang w:eastAsia="de-DE"/>
        </w:rPr>
        <w:t xml:space="preserve">Level of capital requirements for custody risks </w:t>
      </w:r>
    </w:p>
    <w:p w:rsidR="00345121" w:rsidRPr="00C2608B" w:rsidRDefault="00345121" w:rsidP="006D0363">
      <w:pPr>
        <w:pBdr>
          <w:top w:val="single" w:sz="4" w:space="1" w:color="auto"/>
          <w:left w:val="single" w:sz="4" w:space="4" w:color="auto"/>
          <w:bottom w:val="single" w:sz="4" w:space="1" w:color="auto"/>
          <w:right w:val="single" w:sz="4" w:space="4" w:color="auto"/>
        </w:pBdr>
        <w:rPr>
          <w:i/>
          <w:strike/>
          <w:color w:val="000000"/>
          <w:sz w:val="22"/>
          <w:szCs w:val="22"/>
          <w:lang w:eastAsia="de-DE"/>
        </w:rPr>
      </w:pPr>
    </w:p>
    <w:p w:rsidR="00345121" w:rsidRPr="00C2608B" w:rsidRDefault="00345121" w:rsidP="006D0363">
      <w:pPr>
        <w:pBdr>
          <w:top w:val="single" w:sz="4" w:space="1" w:color="auto"/>
          <w:left w:val="single" w:sz="4" w:space="4" w:color="auto"/>
          <w:bottom w:val="single" w:sz="4" w:space="1" w:color="auto"/>
          <w:right w:val="single" w:sz="4" w:space="4" w:color="auto"/>
        </w:pBdr>
        <w:rPr>
          <w:i/>
          <w:strike/>
          <w:color w:val="000000"/>
          <w:sz w:val="22"/>
          <w:szCs w:val="22"/>
          <w:lang w:eastAsia="de-DE"/>
        </w:rPr>
      </w:pPr>
      <w:r w:rsidRPr="00C2608B">
        <w:rPr>
          <w:i/>
          <w:strike/>
          <w:color w:val="000000"/>
          <w:sz w:val="22"/>
          <w:szCs w:val="22"/>
          <w:lang w:eastAsia="de-DE"/>
        </w:rPr>
        <w:t xml:space="preserve">For the purposes of point (b) of Article 3(1), a CSD shall calculate its capital requirements for custody risks where it has its securities or its clients’ securities under custody by another CSD or an intermediary within a CSD link. It shall do so in accordance with the methodology referred to in Articles 317 to 319 of Regulation (EU) No 575/2013 on the standardised approach for operational risk. </w:t>
      </w:r>
    </w:p>
    <w:p w:rsidR="00345121" w:rsidRPr="00C2608B" w:rsidRDefault="00345121" w:rsidP="006D0363">
      <w:pPr>
        <w:pBdr>
          <w:top w:val="single" w:sz="4" w:space="1" w:color="auto"/>
          <w:left w:val="single" w:sz="4" w:space="4" w:color="auto"/>
          <w:bottom w:val="single" w:sz="4" w:space="1" w:color="auto"/>
          <w:right w:val="single" w:sz="4" w:space="4" w:color="auto"/>
        </w:pBdr>
        <w:rPr>
          <w:rFonts w:eastAsia="Arial Unicode MS"/>
          <w:i/>
          <w:sz w:val="22"/>
          <w:szCs w:val="22"/>
          <w:lang w:eastAsia="en-GB"/>
        </w:rPr>
      </w:pPr>
    </w:p>
    <w:p w:rsidR="00345121" w:rsidRPr="00C2608B" w:rsidRDefault="00345121" w:rsidP="006D0363">
      <w:pPr>
        <w:pBdr>
          <w:top w:val="single" w:sz="4" w:space="1" w:color="auto"/>
          <w:left w:val="single" w:sz="4" w:space="4" w:color="auto"/>
          <w:bottom w:val="single" w:sz="4" w:space="1" w:color="auto"/>
          <w:right w:val="single" w:sz="4" w:space="4" w:color="auto"/>
        </w:pBdr>
        <w:rPr>
          <w:rFonts w:eastAsia="Arial Unicode MS"/>
          <w:i/>
          <w:sz w:val="22"/>
          <w:szCs w:val="22"/>
          <w:lang w:eastAsia="en-GB"/>
        </w:rPr>
      </w:pPr>
      <w:proofErr w:type="gramStart"/>
      <w:r w:rsidRPr="00C2608B">
        <w:rPr>
          <w:rFonts w:eastAsia="Arial Unicode MS"/>
          <w:i/>
          <w:sz w:val="22"/>
          <w:szCs w:val="22"/>
          <w:lang w:eastAsia="en-GB"/>
        </w:rPr>
        <w:t>Article to be deleted.</w:t>
      </w:r>
      <w:proofErr w:type="gramEnd"/>
    </w:p>
    <w:p w:rsidR="00345121" w:rsidRPr="00F5551F" w:rsidRDefault="00345121" w:rsidP="00DA6980">
      <w:pPr>
        <w:pStyle w:val="Default"/>
        <w:contextualSpacing/>
        <w:jc w:val="both"/>
        <w:rPr>
          <w:rFonts w:ascii="DIN-Regular" w:eastAsia="Arial Unicode MS" w:hAnsi="DIN-Regular" w:cs="Arial"/>
          <w:color w:val="0070C0"/>
          <w:sz w:val="22"/>
          <w:szCs w:val="22"/>
        </w:rPr>
      </w:pPr>
    </w:p>
    <w:p w:rsidR="00345121" w:rsidRPr="00F5551F" w:rsidRDefault="00345121" w:rsidP="00DA6980">
      <w:pPr>
        <w:pStyle w:val="Default"/>
        <w:contextualSpacing/>
        <w:jc w:val="both"/>
        <w:rPr>
          <w:rFonts w:ascii="DIN-Regular" w:eastAsia="Arial Unicode MS" w:hAnsi="DIN-Regular" w:cs="Arial"/>
          <w:color w:val="0070C0"/>
          <w:sz w:val="22"/>
          <w:szCs w:val="22"/>
        </w:rPr>
      </w:pPr>
    </w:p>
    <w:p w:rsidR="00345121" w:rsidRPr="00F5551F" w:rsidRDefault="00345121" w:rsidP="00DA6980">
      <w:pPr>
        <w:pStyle w:val="Default"/>
        <w:contextualSpacing/>
        <w:jc w:val="both"/>
        <w:rPr>
          <w:rFonts w:ascii="DIN-Regular" w:eastAsia="Arial Unicode MS" w:hAnsi="DIN-Regular" w:cs="Arial"/>
          <w:color w:val="0070C0"/>
          <w:sz w:val="22"/>
          <w:szCs w:val="22"/>
        </w:rPr>
      </w:pPr>
    </w:p>
    <w:p w:rsidR="006A0FC7" w:rsidRPr="00F5551F" w:rsidRDefault="006A0FC7" w:rsidP="00DA6980">
      <w:pPr>
        <w:pStyle w:val="Default"/>
        <w:numPr>
          <w:ilvl w:val="0"/>
          <w:numId w:val="1"/>
        </w:numPr>
        <w:pBdr>
          <w:top w:val="single" w:sz="4" w:space="1" w:color="auto"/>
          <w:left w:val="single" w:sz="4" w:space="4" w:color="auto"/>
          <w:bottom w:val="single" w:sz="4" w:space="1" w:color="auto"/>
          <w:right w:val="single" w:sz="4" w:space="4" w:color="auto"/>
        </w:pBdr>
        <w:contextualSpacing/>
        <w:jc w:val="both"/>
        <w:rPr>
          <w:rFonts w:ascii="DIN-Regular" w:eastAsia="Arial Unicode MS" w:hAnsi="DIN-Regular" w:cs="Arial"/>
          <w:color w:val="0070C0"/>
          <w:sz w:val="22"/>
          <w:szCs w:val="22"/>
        </w:rPr>
      </w:pPr>
      <w:r w:rsidRPr="00F5551F">
        <w:rPr>
          <w:rFonts w:ascii="DIN-Regular" w:eastAsia="Arial Unicode MS" w:hAnsi="DIN-Regular" w:cs="Arial"/>
          <w:color w:val="0070C0"/>
          <w:sz w:val="22"/>
          <w:szCs w:val="22"/>
        </w:rPr>
        <w:lastRenderedPageBreak/>
        <w:t>Is the level of capital requirements as proposed in these draft RTS adequate to capture all the risks arising from the activities of a CSD? Are they proportionate for all the CSD’s business models? Please justify your answer.</w:t>
      </w:r>
    </w:p>
    <w:p w:rsidR="006A0FC7" w:rsidRPr="00F5551F" w:rsidRDefault="006A0FC7" w:rsidP="00DA6980">
      <w:pPr>
        <w:pStyle w:val="Default"/>
        <w:ind w:left="720"/>
        <w:contextualSpacing/>
        <w:jc w:val="both"/>
        <w:rPr>
          <w:rFonts w:ascii="DIN-Regular" w:eastAsia="Arial Unicode MS" w:hAnsi="DIN-Regular" w:cs="Arial"/>
          <w:color w:val="0070C0"/>
          <w:sz w:val="22"/>
          <w:szCs w:val="22"/>
        </w:rPr>
      </w:pPr>
    </w:p>
    <w:p w:rsidR="00BA2A95" w:rsidRPr="00F5551F" w:rsidRDefault="00BA2A95" w:rsidP="00DA6980">
      <w:pPr>
        <w:pStyle w:val="Default"/>
        <w:ind w:left="720"/>
        <w:contextualSpacing/>
        <w:jc w:val="both"/>
        <w:rPr>
          <w:rFonts w:ascii="DIN-Regular" w:eastAsia="Arial Unicode MS" w:hAnsi="DIN-Regular" w:cs="Arial"/>
          <w:color w:val="0070C0"/>
          <w:sz w:val="22"/>
          <w:szCs w:val="22"/>
        </w:rPr>
      </w:pPr>
    </w:p>
    <w:p w:rsidR="006A0FC7" w:rsidRPr="00F5551F" w:rsidRDefault="006A0FC7"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 xml:space="preserve">We </w:t>
      </w:r>
      <w:r w:rsidR="00CE0924" w:rsidRPr="00F5551F">
        <w:rPr>
          <w:rFonts w:ascii="DIN-Regular" w:eastAsia="Arial Unicode MS" w:hAnsi="DIN-Regular" w:cs="Arial"/>
          <w:b/>
          <w:color w:val="auto"/>
          <w:sz w:val="22"/>
          <w:szCs w:val="22"/>
          <w:u w:val="single"/>
        </w:rPr>
        <w:t>agree</w:t>
      </w:r>
      <w:r w:rsidR="00CE0924" w:rsidRPr="00F5551F">
        <w:rPr>
          <w:rFonts w:ascii="DIN-Regular" w:eastAsia="Arial Unicode MS" w:hAnsi="DIN-Regular" w:cs="Arial"/>
          <w:color w:val="auto"/>
          <w:sz w:val="22"/>
          <w:szCs w:val="22"/>
          <w:u w:val="single"/>
        </w:rPr>
        <w:t xml:space="preserve"> </w:t>
      </w:r>
      <w:r w:rsidRPr="00F5551F">
        <w:rPr>
          <w:rFonts w:ascii="DIN-Regular" w:eastAsia="Arial Unicode MS" w:hAnsi="DIN-Regular" w:cs="Arial"/>
          <w:b/>
          <w:color w:val="auto"/>
          <w:sz w:val="22"/>
          <w:szCs w:val="22"/>
          <w:u w:val="single"/>
        </w:rPr>
        <w:t>in general</w:t>
      </w:r>
      <w:r w:rsidRPr="00F5551F">
        <w:rPr>
          <w:rFonts w:ascii="DIN-Regular" w:eastAsia="Arial Unicode MS" w:hAnsi="DIN-Regular" w:cs="Arial"/>
          <w:b/>
          <w:color w:val="auto"/>
          <w:sz w:val="22"/>
          <w:szCs w:val="22"/>
        </w:rPr>
        <w:t xml:space="preserve"> </w:t>
      </w:r>
      <w:r w:rsidRPr="00F5551F">
        <w:rPr>
          <w:rFonts w:ascii="DIN-Regular" w:eastAsia="Arial Unicode MS" w:hAnsi="DIN-Regular" w:cs="Arial"/>
          <w:color w:val="auto"/>
          <w:sz w:val="22"/>
          <w:szCs w:val="22"/>
        </w:rPr>
        <w:t>to the proposed elements of the draft RTS with the following exceptions:</w:t>
      </w:r>
    </w:p>
    <w:p w:rsidR="006A0FC7" w:rsidRPr="00F5551F" w:rsidRDefault="006A0FC7" w:rsidP="00DA6980">
      <w:pPr>
        <w:pStyle w:val="Default"/>
        <w:numPr>
          <w:ilvl w:val="0"/>
          <w:numId w:val="6"/>
        </w:numPr>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The introduction of a capital charge for custody risk limited to items given to third part</w:t>
      </w:r>
      <w:r w:rsidR="00F46BA8" w:rsidRPr="00F5551F">
        <w:rPr>
          <w:rFonts w:ascii="DIN-Regular" w:eastAsia="Arial Unicode MS" w:hAnsi="DIN-Regular" w:cs="Arial"/>
          <w:color w:val="auto"/>
          <w:sz w:val="22"/>
          <w:szCs w:val="22"/>
        </w:rPr>
        <w:t>ies</w:t>
      </w:r>
      <w:r w:rsidRPr="00F5551F">
        <w:rPr>
          <w:rFonts w:ascii="DIN-Regular" w:eastAsia="Arial Unicode MS" w:hAnsi="DIN-Regular" w:cs="Arial"/>
          <w:color w:val="auto"/>
          <w:sz w:val="22"/>
          <w:szCs w:val="22"/>
        </w:rPr>
        <w:t xml:space="preserve"> in (sub-)</w:t>
      </w:r>
      <w:r w:rsidR="00940DB2" w:rsidRPr="00F5551F">
        <w:rPr>
          <w:rFonts w:ascii="DIN-Regular" w:eastAsia="Arial Unicode MS" w:hAnsi="DIN-Regular" w:cs="Arial"/>
          <w:color w:val="auto"/>
          <w:sz w:val="22"/>
          <w:szCs w:val="22"/>
        </w:rPr>
        <w:t xml:space="preserve"> </w:t>
      </w:r>
      <w:r w:rsidRPr="00F5551F">
        <w:rPr>
          <w:rFonts w:ascii="DIN-Regular" w:eastAsia="Arial Unicode MS" w:hAnsi="DIN-Regular" w:cs="Arial"/>
          <w:color w:val="auto"/>
          <w:sz w:val="22"/>
          <w:szCs w:val="22"/>
        </w:rPr>
        <w:t>custody does not make sense. The general CRR approaches towards operational risk cover in our view custody risk in full.</w:t>
      </w:r>
      <w:r w:rsidR="00F20FDD" w:rsidRPr="00F5551F">
        <w:rPr>
          <w:rFonts w:ascii="DIN-Regular" w:eastAsia="Arial Unicode MS" w:hAnsi="DIN-Regular" w:cs="Arial"/>
          <w:color w:val="auto"/>
          <w:sz w:val="22"/>
          <w:szCs w:val="22"/>
        </w:rPr>
        <w:t xml:space="preserve"> (see above)</w:t>
      </w:r>
    </w:p>
    <w:p w:rsidR="006A0FC7" w:rsidRPr="00F5551F" w:rsidRDefault="006A0FC7" w:rsidP="00DA6980">
      <w:pPr>
        <w:pStyle w:val="Default"/>
        <w:numPr>
          <w:ilvl w:val="0"/>
          <w:numId w:val="6"/>
        </w:numPr>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We see the need to cover business risk not only with capital but also with (expected) income. At least with regards to the estimation of business risk impact, the related (expected) income needs to be deducted from the gross estimated risk costs.</w:t>
      </w:r>
    </w:p>
    <w:p w:rsidR="006A0FC7" w:rsidRPr="00F5551F" w:rsidRDefault="00F20FDD" w:rsidP="00DA6980">
      <w:pPr>
        <w:pStyle w:val="Default"/>
        <w:numPr>
          <w:ilvl w:val="0"/>
          <w:numId w:val="6"/>
        </w:numPr>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We disagree to the proposed floor to capture the capital requirements for winding down or restructuring. Here once more the alignment with the EMIR rules for CCPs does not seem to be appropriate. Especially f</w:t>
      </w:r>
      <w:r w:rsidR="006A0FC7" w:rsidRPr="00F5551F">
        <w:rPr>
          <w:rFonts w:ascii="DIN-Regular" w:eastAsia="Arial Unicode MS" w:hAnsi="DIN-Regular" w:cs="Arial"/>
          <w:color w:val="auto"/>
          <w:sz w:val="22"/>
          <w:szCs w:val="22"/>
        </w:rPr>
        <w:t>or smaller CSDs the floor of 6 months operation cost for winding down or restructuring may be too high and EBA should consider lowering this. Especially in markets where more than one CSD is available, the period of 6 months seems to be too pessimistic.</w:t>
      </w:r>
      <w:r w:rsidRPr="00F5551F">
        <w:rPr>
          <w:rFonts w:ascii="DIN-Regular" w:eastAsia="Arial Unicode MS" w:hAnsi="DIN-Regular" w:cs="Arial"/>
          <w:color w:val="auto"/>
          <w:sz w:val="22"/>
          <w:szCs w:val="22"/>
        </w:rPr>
        <w:t xml:space="preserve"> </w:t>
      </w:r>
      <w:r w:rsidR="00940DB2" w:rsidRPr="00F5551F">
        <w:rPr>
          <w:rFonts w:ascii="DIN-Regular" w:eastAsia="Arial Unicode MS" w:hAnsi="DIN-Regular" w:cs="Arial"/>
          <w:color w:val="auto"/>
          <w:sz w:val="22"/>
          <w:szCs w:val="22"/>
        </w:rPr>
        <w:t xml:space="preserve">We however acknowledge the limitation of the level 1 text in this regards. </w:t>
      </w:r>
      <w:r w:rsidRPr="00F5551F">
        <w:rPr>
          <w:rFonts w:ascii="DIN-Regular" w:eastAsia="Arial Unicode MS" w:hAnsi="DIN-Regular" w:cs="Arial"/>
          <w:color w:val="auto"/>
          <w:sz w:val="22"/>
          <w:szCs w:val="22"/>
        </w:rPr>
        <w:t xml:space="preserve">In addition, we doubt that continuing for the full period of restructuring or winding with the average cost of the past is also </w:t>
      </w:r>
      <w:r w:rsidR="00BD3A07" w:rsidRPr="00F5551F">
        <w:rPr>
          <w:rFonts w:ascii="DIN-Regular" w:eastAsia="Arial Unicode MS" w:hAnsi="DIN-Regular" w:cs="Arial"/>
          <w:color w:val="auto"/>
          <w:sz w:val="22"/>
          <w:szCs w:val="22"/>
        </w:rPr>
        <w:t>too</w:t>
      </w:r>
      <w:r w:rsidRPr="00F5551F">
        <w:rPr>
          <w:rFonts w:ascii="DIN-Regular" w:eastAsia="Arial Unicode MS" w:hAnsi="DIN-Regular" w:cs="Arial"/>
          <w:color w:val="auto"/>
          <w:sz w:val="22"/>
          <w:szCs w:val="22"/>
        </w:rPr>
        <w:t xml:space="preserve"> pessimistic as the changed business is supposed to be as a general rule of thumb less costly (strategic costs and IT development is supposed to be reduced and general operations in a supposed declining business is also supposed to be lower). As such, the cost base as of the 4</w:t>
      </w:r>
      <w:r w:rsidRPr="00F5551F">
        <w:rPr>
          <w:rFonts w:ascii="DIN-Regular" w:eastAsia="Arial Unicode MS" w:hAnsi="DIN-Regular" w:cs="Arial"/>
          <w:color w:val="auto"/>
          <w:sz w:val="22"/>
          <w:szCs w:val="22"/>
          <w:vertAlign w:val="superscript"/>
        </w:rPr>
        <w:t>th</w:t>
      </w:r>
      <w:r w:rsidRPr="00F5551F">
        <w:rPr>
          <w:rFonts w:ascii="DIN-Regular" w:eastAsia="Arial Unicode MS" w:hAnsi="DIN-Regular" w:cs="Arial"/>
          <w:color w:val="auto"/>
          <w:sz w:val="22"/>
          <w:szCs w:val="22"/>
        </w:rPr>
        <w:t xml:space="preserve"> month (in case winding down / restructuring is supposed to take that long) should be assumed to be lower than 100 % of the pa</w:t>
      </w:r>
      <w:r w:rsidR="00F46BA8" w:rsidRPr="00F5551F">
        <w:rPr>
          <w:rFonts w:ascii="DIN-Regular" w:eastAsia="Arial Unicode MS" w:hAnsi="DIN-Regular" w:cs="Arial"/>
          <w:color w:val="auto"/>
          <w:sz w:val="22"/>
          <w:szCs w:val="22"/>
        </w:rPr>
        <w:t>s</w:t>
      </w:r>
      <w:r w:rsidRPr="00F5551F">
        <w:rPr>
          <w:rFonts w:ascii="DIN-Regular" w:eastAsia="Arial Unicode MS" w:hAnsi="DIN-Regular" w:cs="Arial"/>
          <w:color w:val="auto"/>
          <w:sz w:val="22"/>
          <w:szCs w:val="22"/>
        </w:rPr>
        <w:t>t (e.g. 80 %).</w:t>
      </w:r>
    </w:p>
    <w:p w:rsidR="00F20FDD" w:rsidRPr="00F5551F" w:rsidRDefault="00F20FDD" w:rsidP="00DA6980">
      <w:pPr>
        <w:pStyle w:val="Default"/>
        <w:numPr>
          <w:ilvl w:val="0"/>
          <w:numId w:val="6"/>
        </w:numPr>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 xml:space="preserve">The proposed floor on operational risk charges when using the AMA is rejected as it does not make sense to introduce it at all and especially not for CSDs only in </w:t>
      </w:r>
      <w:r w:rsidR="00BD3A07" w:rsidRPr="00F5551F">
        <w:rPr>
          <w:rFonts w:ascii="DIN-Regular" w:eastAsia="Arial Unicode MS" w:hAnsi="DIN-Regular" w:cs="Arial"/>
          <w:color w:val="auto"/>
          <w:sz w:val="22"/>
          <w:szCs w:val="22"/>
        </w:rPr>
        <w:t>advance</w:t>
      </w:r>
      <w:r w:rsidRPr="00F5551F">
        <w:rPr>
          <w:rFonts w:ascii="DIN-Regular" w:eastAsia="Arial Unicode MS" w:hAnsi="DIN-Regular" w:cs="Arial"/>
          <w:color w:val="auto"/>
          <w:sz w:val="22"/>
          <w:szCs w:val="22"/>
        </w:rPr>
        <w:t xml:space="preserve"> of any (possible different) floor for banks which is currently in discussion.</w:t>
      </w:r>
    </w:p>
    <w:p w:rsidR="006A0FC7" w:rsidRPr="00F5551F" w:rsidRDefault="006A0FC7" w:rsidP="00DA6980">
      <w:pPr>
        <w:pStyle w:val="Default"/>
        <w:ind w:left="720"/>
        <w:contextualSpacing/>
        <w:jc w:val="both"/>
        <w:rPr>
          <w:rFonts w:ascii="DIN-Regular" w:eastAsia="Arial Unicode MS" w:hAnsi="DIN-Regular" w:cs="Arial"/>
          <w:color w:val="auto"/>
          <w:sz w:val="22"/>
          <w:szCs w:val="22"/>
        </w:rPr>
      </w:pPr>
    </w:p>
    <w:p w:rsidR="006A0FC7" w:rsidRPr="00F5551F" w:rsidRDefault="006A0FC7"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 xml:space="preserve">All in all, it needs to be noted that currently CSDs not operating under a banking license in general have limited rules for capital requirements. Often only a minimum amount is fixed </w:t>
      </w:r>
      <w:r w:rsidR="001A6CED" w:rsidRPr="00F5551F">
        <w:rPr>
          <w:rFonts w:ascii="DIN-Regular" w:eastAsia="Arial Unicode MS" w:hAnsi="DIN-Regular" w:cs="Arial"/>
          <w:color w:val="auto"/>
          <w:sz w:val="22"/>
          <w:szCs w:val="22"/>
        </w:rPr>
        <w:t xml:space="preserve">(sometimes as a portion of annual costs) </w:t>
      </w:r>
      <w:r w:rsidRPr="00F5551F">
        <w:rPr>
          <w:rFonts w:ascii="DIN-Regular" w:eastAsia="Arial Unicode MS" w:hAnsi="DIN-Regular" w:cs="Arial"/>
          <w:color w:val="auto"/>
          <w:sz w:val="22"/>
          <w:szCs w:val="22"/>
        </w:rPr>
        <w:t>without setting any risk related requirement. As such, EBA needs to consider a phase</w:t>
      </w:r>
      <w:r w:rsidR="005F639E">
        <w:rPr>
          <w:rFonts w:ascii="DIN-Regular" w:eastAsia="Arial Unicode MS" w:hAnsi="DIN-Regular" w:cs="Arial"/>
          <w:color w:val="auto"/>
          <w:sz w:val="22"/>
          <w:szCs w:val="22"/>
        </w:rPr>
        <w:t>-</w:t>
      </w:r>
      <w:r w:rsidRPr="00F5551F">
        <w:rPr>
          <w:rFonts w:ascii="DIN-Regular" w:eastAsia="Arial Unicode MS" w:hAnsi="DIN-Regular" w:cs="Arial"/>
          <w:color w:val="auto"/>
          <w:sz w:val="22"/>
          <w:szCs w:val="22"/>
        </w:rPr>
        <w:t>in approach for such CSDs not offering banking type of ancillary services currently to implement the necessary tools for the calculation of the requirements and its fulfilments. We propose to have a phase in period of 30 months at least. During that period a simple approach to calculate the capital requirement based on</w:t>
      </w:r>
      <w:r w:rsidR="00F46BA8" w:rsidRPr="00F5551F">
        <w:rPr>
          <w:rFonts w:ascii="DIN-Regular" w:eastAsia="Arial Unicode MS" w:hAnsi="DIN-Regular" w:cs="Arial"/>
          <w:color w:val="auto"/>
          <w:sz w:val="22"/>
          <w:szCs w:val="22"/>
        </w:rPr>
        <w:t xml:space="preserve"> total cost or</w:t>
      </w:r>
      <w:r w:rsidRPr="00F5551F">
        <w:rPr>
          <w:rFonts w:ascii="DIN-Regular" w:eastAsia="Arial Unicode MS" w:hAnsi="DIN-Regular" w:cs="Arial"/>
          <w:color w:val="auto"/>
          <w:sz w:val="22"/>
          <w:szCs w:val="22"/>
        </w:rPr>
        <w:t xml:space="preserve"> the volume of assets under custody is proposed. This simple ratio should be fulfilled at least with 60 % at the point in time the application is filled, with at least 80 % six month after application is granted and in full one year after application is granted. Such an approach would allow smaller CSDs to collect any needed capital with sufficient lead time. Of course the application should clearly indicate how the CSD is (a) going to increase the level of capital based on the interim rule in case it falls short at the time of application and (b) how and when it is going to implement the necessary calculation tools. The tools have to be available for </w:t>
      </w:r>
      <w:r w:rsidR="00AC5C23">
        <w:rPr>
          <w:rFonts w:ascii="DIN-Regular" w:eastAsia="Arial Unicode MS" w:hAnsi="DIN-Regular" w:cs="Arial"/>
          <w:color w:val="auto"/>
          <w:sz w:val="22"/>
          <w:szCs w:val="22"/>
        </w:rPr>
        <w:t>calculati</w:t>
      </w:r>
      <w:r w:rsidR="00F1172D">
        <w:rPr>
          <w:rFonts w:ascii="DIN-Regular" w:eastAsia="Arial Unicode MS" w:hAnsi="DIN-Regular" w:cs="Arial"/>
          <w:color w:val="auto"/>
          <w:sz w:val="22"/>
          <w:szCs w:val="22"/>
        </w:rPr>
        <w:t>o</w:t>
      </w:r>
      <w:r w:rsidR="00AC5C23">
        <w:rPr>
          <w:rFonts w:ascii="DIN-Regular" w:eastAsia="Arial Unicode MS" w:hAnsi="DIN-Regular" w:cs="Arial"/>
          <w:color w:val="auto"/>
          <w:sz w:val="22"/>
          <w:szCs w:val="22"/>
        </w:rPr>
        <w:t xml:space="preserve">n </w:t>
      </w:r>
      <w:r w:rsidRPr="00F5551F">
        <w:rPr>
          <w:rFonts w:ascii="DIN-Regular" w:eastAsia="Arial Unicode MS" w:hAnsi="DIN-Regular" w:cs="Arial"/>
          <w:color w:val="auto"/>
          <w:sz w:val="22"/>
          <w:szCs w:val="22"/>
        </w:rPr>
        <w:t>purposes at least 18 months after application is granted in order to give additional 12 months for any needed additional capital measure on top of the interim rules.</w:t>
      </w:r>
    </w:p>
    <w:p w:rsidR="00EB3782" w:rsidRPr="00F5551F" w:rsidRDefault="00EB3782" w:rsidP="00DA6980">
      <w:pPr>
        <w:pStyle w:val="Default"/>
        <w:contextualSpacing/>
        <w:jc w:val="both"/>
        <w:rPr>
          <w:rFonts w:ascii="DIN-Regular" w:eastAsia="Arial Unicode MS" w:hAnsi="DIN-Regular" w:cs="Arial"/>
          <w:color w:val="auto"/>
          <w:sz w:val="22"/>
          <w:szCs w:val="22"/>
        </w:rPr>
      </w:pPr>
    </w:p>
    <w:p w:rsidR="0065462C" w:rsidRPr="00F5551F" w:rsidRDefault="0065462C"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sz w:val="22"/>
          <w:szCs w:val="22"/>
        </w:rPr>
        <w:t xml:space="preserve">In addition to the general comments made above and the answers to the specific question raised, we do want to comment on quite a few items in more detail and raise some questions </w:t>
      </w:r>
      <w:r w:rsidRPr="00F5551F">
        <w:rPr>
          <w:rFonts w:ascii="DIN-Regular" w:eastAsia="Arial Unicode MS" w:hAnsi="DIN-Regular" w:cs="Arial"/>
          <w:color w:val="auto"/>
          <w:sz w:val="22"/>
          <w:szCs w:val="22"/>
        </w:rPr>
        <w:t>on dedicated topics regarding Articles 6 to 8 of the EBA draft RTS proposal as follows:</w:t>
      </w:r>
    </w:p>
    <w:p w:rsidR="009C7F58" w:rsidRPr="00F5551F" w:rsidRDefault="009C7F58" w:rsidP="009C7F58">
      <w:pPr>
        <w:rPr>
          <w:rFonts w:eastAsia="Arial Unicode MS"/>
          <w:sz w:val="22"/>
          <w:szCs w:val="22"/>
        </w:rPr>
      </w:pPr>
    </w:p>
    <w:p w:rsidR="009C7F58" w:rsidRPr="00F5551F" w:rsidRDefault="009C7F58" w:rsidP="009C7F58">
      <w:pPr>
        <w:rPr>
          <w:rFonts w:eastAsia="Arial Unicode MS" w:cs="Courier New"/>
          <w:b/>
          <w:sz w:val="22"/>
          <w:szCs w:val="22"/>
          <w:lang w:eastAsia="en-GB"/>
        </w:rPr>
      </w:pPr>
      <w:r w:rsidRPr="00F5551F">
        <w:rPr>
          <w:rFonts w:eastAsia="Arial Unicode MS" w:cs="Courier New"/>
          <w:b/>
          <w:sz w:val="22"/>
          <w:szCs w:val="22"/>
          <w:lang w:eastAsia="en-GB"/>
        </w:rPr>
        <w:lastRenderedPageBreak/>
        <w:t>Capital requirements for investment risk (Recital 11, Article 6):</w:t>
      </w:r>
    </w:p>
    <w:p w:rsidR="009C7F58" w:rsidRPr="00F5551F" w:rsidRDefault="009C7F58" w:rsidP="009C7F58">
      <w:pPr>
        <w:rPr>
          <w:rFonts w:eastAsia="Arial Unicode MS"/>
          <w:sz w:val="22"/>
          <w:szCs w:val="22"/>
          <w:lang w:eastAsia="en-GB"/>
        </w:rPr>
      </w:pPr>
      <w:r w:rsidRPr="00F5551F">
        <w:rPr>
          <w:rFonts w:eastAsia="Arial Unicode MS"/>
          <w:sz w:val="22"/>
          <w:szCs w:val="22"/>
          <w:lang w:eastAsia="en-GB"/>
        </w:rPr>
        <w:t xml:space="preserve">In general a CSD does not take assets of its clients onto its balance sheet on a trustee basis. Securities taken as collateral or into custody are not shown in the balance sheet of a CSD and remain in the ownership of the clients. However, CSDs offering banking services are taking cash deposits in order to perform settlement and custody activities and all CSDs (may) take to a small extent also cash as collateral for various purposes (though securities collateral is the majority of any collateral taken). Any such client cash taken as deposit or collateral is placed by the CSDs </w:t>
      </w:r>
      <w:r w:rsidRPr="00F5551F">
        <w:rPr>
          <w:rFonts w:eastAsia="Arial Unicode MS"/>
          <w:b/>
          <w:sz w:val="22"/>
          <w:szCs w:val="22"/>
          <w:u w:val="single"/>
          <w:lang w:eastAsia="en-GB"/>
        </w:rPr>
        <w:t>in their own name</w:t>
      </w:r>
      <w:r w:rsidRPr="00F5551F">
        <w:rPr>
          <w:rFonts w:eastAsia="Arial Unicode MS"/>
          <w:sz w:val="22"/>
          <w:szCs w:val="22"/>
          <w:lang w:eastAsia="en-GB"/>
        </w:rPr>
        <w:t xml:space="preserve"> and never “on behalf” of the clients as cash becomes part of the CSDs assets and is not segregated as a client position. In case a CSD would act as a trustee for its clients, it would not bear the underlying investment risk. As such, the wording of </w:t>
      </w:r>
      <w:r w:rsidR="00FD4804" w:rsidRPr="00F5551F">
        <w:rPr>
          <w:rFonts w:eastAsia="Arial Unicode MS"/>
          <w:sz w:val="22"/>
          <w:szCs w:val="22"/>
          <w:lang w:eastAsia="en-GB"/>
        </w:rPr>
        <w:t>Recital</w:t>
      </w:r>
      <w:r w:rsidRPr="00F5551F">
        <w:rPr>
          <w:rFonts w:eastAsia="Arial Unicode MS"/>
          <w:sz w:val="22"/>
          <w:szCs w:val="22"/>
          <w:lang w:eastAsia="en-GB"/>
        </w:rPr>
        <w:t xml:space="preserve"> 11 needs to be adjusted accordingly. In addition, also loans to clients/Participants and other assets should be subject to the “investment risk”.</w:t>
      </w:r>
    </w:p>
    <w:p w:rsidR="003C71A0" w:rsidRPr="00F5551F" w:rsidRDefault="009C7F58" w:rsidP="003C71A0">
      <w:pPr>
        <w:rPr>
          <w:rFonts w:eastAsia="Arial Unicode MS"/>
          <w:sz w:val="22"/>
          <w:szCs w:val="22"/>
          <w:lang w:eastAsia="en-GB"/>
        </w:rPr>
      </w:pPr>
      <w:r w:rsidRPr="00F5551F">
        <w:rPr>
          <w:rFonts w:eastAsia="Arial Unicode MS"/>
          <w:sz w:val="22"/>
          <w:szCs w:val="22"/>
          <w:lang w:eastAsia="en-GB"/>
        </w:rPr>
        <w:t xml:space="preserve">Regardless of the authorisation to offer banking type of ancillary services, a CSD should be allowed to use all available methods for Credit Risk Mitigation as offered by CRR. </w:t>
      </w:r>
    </w:p>
    <w:p w:rsidR="003C71A0" w:rsidRPr="00F5551F" w:rsidRDefault="003C71A0" w:rsidP="003C71A0">
      <w:pPr>
        <w:rPr>
          <w:rFonts w:eastAsia="Arial Unicode MS"/>
          <w:sz w:val="22"/>
          <w:szCs w:val="22"/>
          <w:lang w:eastAsia="en-GB"/>
        </w:rPr>
      </w:pPr>
    </w:p>
    <w:p w:rsidR="003C71A0" w:rsidRPr="00F5551F" w:rsidRDefault="003C71A0" w:rsidP="003C71A0">
      <w:pPr>
        <w:rPr>
          <w:rFonts w:eastAsia="Arial Unicode MS"/>
          <w:sz w:val="22"/>
          <w:szCs w:val="22"/>
          <w:lang w:eastAsia="en-GB"/>
        </w:rPr>
      </w:pPr>
      <w:r w:rsidRPr="00F5551F">
        <w:rPr>
          <w:rFonts w:eastAsia="Arial Unicode MS"/>
          <w:sz w:val="22"/>
          <w:szCs w:val="22"/>
          <w:lang w:eastAsia="en-GB"/>
        </w:rPr>
        <w:t xml:space="preserve">As such, </w:t>
      </w:r>
      <w:r w:rsidR="00FD4804" w:rsidRPr="00F5551F">
        <w:rPr>
          <w:rFonts w:eastAsia="Arial Unicode MS"/>
          <w:sz w:val="22"/>
          <w:szCs w:val="22"/>
          <w:lang w:eastAsia="en-GB"/>
        </w:rPr>
        <w:t>Recital</w:t>
      </w:r>
      <w:r w:rsidRPr="00F5551F">
        <w:rPr>
          <w:rFonts w:eastAsia="Arial Unicode MS"/>
          <w:sz w:val="22"/>
          <w:szCs w:val="22"/>
          <w:lang w:eastAsia="en-GB"/>
        </w:rPr>
        <w:t xml:space="preserve"> 11 and Article 6 (2) of the draft RTS should be amended accordingly.</w:t>
      </w:r>
    </w:p>
    <w:p w:rsidR="00AC5C23" w:rsidRPr="00F5551F" w:rsidRDefault="00AC5C23" w:rsidP="009C7F58">
      <w:pPr>
        <w:rPr>
          <w:rFonts w:eastAsia="Arial Unicode MS"/>
          <w:sz w:val="22"/>
          <w:szCs w:val="22"/>
          <w:lang w:eastAsia="en-GB"/>
        </w:rPr>
      </w:pPr>
    </w:p>
    <w:p w:rsidR="009C7F58" w:rsidRPr="00C2608B" w:rsidRDefault="009C7F58" w:rsidP="009C7F58">
      <w:pPr>
        <w:pBdr>
          <w:top w:val="single" w:sz="4" w:space="1" w:color="auto"/>
          <w:left w:val="single" w:sz="4" w:space="4" w:color="auto"/>
          <w:bottom w:val="single" w:sz="4" w:space="1" w:color="auto"/>
          <w:right w:val="single" w:sz="4" w:space="4" w:color="auto"/>
        </w:pBdr>
        <w:rPr>
          <w:rFonts w:eastAsia="Arial Unicode MS" w:cs="Courier New"/>
          <w:b/>
          <w:i/>
          <w:sz w:val="22"/>
          <w:szCs w:val="22"/>
          <w:lang w:eastAsia="en-GB"/>
        </w:rPr>
      </w:pPr>
      <w:r w:rsidRPr="00C2608B">
        <w:rPr>
          <w:rFonts w:eastAsia="Arial Unicode MS" w:cs="Courier New"/>
          <w:b/>
          <w:i/>
          <w:sz w:val="22"/>
          <w:szCs w:val="22"/>
          <w:lang w:eastAsia="en-GB"/>
        </w:rPr>
        <w:t>Recital 11</w:t>
      </w:r>
    </w:p>
    <w:p w:rsidR="009C7F58" w:rsidRPr="00C2608B" w:rsidRDefault="009C7F58" w:rsidP="009C7F58">
      <w:pPr>
        <w:pBdr>
          <w:top w:val="single" w:sz="4" w:space="1" w:color="auto"/>
          <w:left w:val="single" w:sz="4" w:space="4" w:color="auto"/>
          <w:bottom w:val="single" w:sz="4" w:space="1" w:color="auto"/>
          <w:right w:val="single" w:sz="4" w:space="4" w:color="auto"/>
        </w:pBdr>
        <w:rPr>
          <w:i/>
          <w:color w:val="000000"/>
          <w:sz w:val="22"/>
          <w:szCs w:val="22"/>
          <w:lang w:eastAsia="de-DE"/>
        </w:rPr>
      </w:pPr>
      <w:r w:rsidRPr="00C2608B">
        <w:rPr>
          <w:i/>
          <w:color w:val="000000"/>
          <w:sz w:val="22"/>
          <w:szCs w:val="22"/>
          <w:lang w:eastAsia="de-DE"/>
        </w:rPr>
        <w:t>(11)</w:t>
      </w:r>
      <w:r w:rsidR="00D65895">
        <w:rPr>
          <w:i/>
          <w:color w:val="000000"/>
          <w:sz w:val="22"/>
          <w:szCs w:val="22"/>
          <w:lang w:eastAsia="de-DE"/>
        </w:rPr>
        <w:t xml:space="preserve"> </w:t>
      </w:r>
      <w:r w:rsidRPr="00C2608B">
        <w:rPr>
          <w:i/>
          <w:color w:val="000000"/>
          <w:sz w:val="22"/>
          <w:szCs w:val="22"/>
          <w:lang w:eastAsia="de-DE"/>
        </w:rPr>
        <w:t xml:space="preserve">[investment risk] A CSD may also face investment risks on the assets that it owns and those </w:t>
      </w:r>
      <w:r w:rsidRPr="00C2608B">
        <w:rPr>
          <w:b/>
          <w:i/>
          <w:sz w:val="22"/>
          <w:szCs w:val="22"/>
          <w:lang w:eastAsia="de-DE"/>
        </w:rPr>
        <w:t>that are the counter value of participants’ deposits or collateral or from loans of any kind under the allowed banking services towards the participants or any other exposure</w:t>
      </w:r>
      <w:r w:rsidRPr="00C2608B">
        <w:rPr>
          <w:i/>
          <w:color w:val="000000"/>
          <w:sz w:val="22"/>
          <w:szCs w:val="22"/>
          <w:lang w:eastAsia="de-DE"/>
        </w:rPr>
        <w:t>.</w:t>
      </w:r>
      <w:r w:rsidRPr="00C2608B">
        <w:rPr>
          <w:i/>
          <w:strike/>
          <w:color w:val="000000"/>
          <w:sz w:val="22"/>
          <w:szCs w:val="22"/>
          <w:lang w:eastAsia="de-DE"/>
        </w:rPr>
        <w:t xml:space="preserve"> </w:t>
      </w:r>
      <w:proofErr w:type="gramStart"/>
      <w:r w:rsidRPr="00C2608B">
        <w:rPr>
          <w:i/>
          <w:strike/>
          <w:color w:val="000000"/>
          <w:sz w:val="22"/>
          <w:szCs w:val="22"/>
          <w:lang w:eastAsia="de-DE"/>
        </w:rPr>
        <w:t>it</w:t>
      </w:r>
      <w:proofErr w:type="gramEnd"/>
      <w:r w:rsidRPr="00C2608B">
        <w:rPr>
          <w:i/>
          <w:strike/>
          <w:color w:val="000000"/>
          <w:sz w:val="22"/>
          <w:szCs w:val="22"/>
          <w:lang w:eastAsia="de-DE"/>
        </w:rPr>
        <w:t xml:space="preserve"> holds on behalf of its participants</w:t>
      </w:r>
      <w:r w:rsidRPr="00C2608B">
        <w:rPr>
          <w:i/>
          <w:color w:val="000000"/>
          <w:sz w:val="22"/>
          <w:szCs w:val="22"/>
          <w:lang w:eastAsia="de-DE"/>
        </w:rPr>
        <w:t xml:space="preserve">. Investment risk is the risk of loss faced by a CSD when it invests its own or its participants’ resources, such as collateral. Directive </w:t>
      </w:r>
      <w:r w:rsidRPr="00C2608B">
        <w:rPr>
          <w:i/>
          <w:strike/>
          <w:color w:val="000000"/>
          <w:sz w:val="22"/>
          <w:szCs w:val="22"/>
          <w:lang w:eastAsia="de-DE"/>
        </w:rPr>
        <w:t>EC/</w:t>
      </w:r>
      <w:r w:rsidRPr="00C2608B">
        <w:rPr>
          <w:i/>
          <w:color w:val="000000"/>
          <w:sz w:val="22"/>
          <w:szCs w:val="22"/>
          <w:lang w:eastAsia="de-DE"/>
        </w:rPr>
        <w:t>2013/36</w:t>
      </w:r>
      <w:r w:rsidRPr="00C2608B">
        <w:rPr>
          <w:b/>
          <w:i/>
          <w:sz w:val="22"/>
          <w:szCs w:val="22"/>
          <w:lang w:eastAsia="de-DE"/>
        </w:rPr>
        <w:t xml:space="preserve">/EC </w:t>
      </w:r>
      <w:r w:rsidRPr="00C2608B">
        <w:rPr>
          <w:i/>
          <w:color w:val="000000"/>
          <w:sz w:val="22"/>
          <w:szCs w:val="22"/>
          <w:lang w:eastAsia="de-DE"/>
        </w:rPr>
        <w:t>(‘CRDIV’), Regulation (EU) No 575/2013 (‘CRR’) and Regulation (EU) No 152/2013</w:t>
      </w:r>
      <w:r w:rsidRPr="00C2608B">
        <w:rPr>
          <w:rFonts w:cs="Calibri"/>
          <w:i/>
          <w:color w:val="000000"/>
          <w:sz w:val="22"/>
          <w:szCs w:val="22"/>
          <w:vertAlign w:val="superscript"/>
          <w:lang w:eastAsia="de-DE"/>
        </w:rPr>
        <w:t>10</w:t>
      </w:r>
      <w:r w:rsidRPr="00C2608B">
        <w:rPr>
          <w:rFonts w:cs="Calibri"/>
          <w:i/>
          <w:color w:val="000000"/>
          <w:sz w:val="22"/>
          <w:szCs w:val="22"/>
          <w:lang w:eastAsia="de-DE"/>
        </w:rPr>
        <w:t xml:space="preserve">  </w:t>
      </w:r>
      <w:r w:rsidRPr="00C2608B">
        <w:rPr>
          <w:i/>
          <w:color w:val="000000"/>
          <w:sz w:val="22"/>
          <w:szCs w:val="22"/>
          <w:lang w:eastAsia="de-DE"/>
        </w:rPr>
        <w:t xml:space="preserve">[Capital requirements for CCPs] should be an appropriate benchmark for the purpose of establishing capital requirements to cover credit risk, counterparty credit risk and market risks that may arise from the investments of a CSD. In particular, counterparty credit and market risks are not expected to be the major sources of risk for CSDs and the complexity of the investments allowed by the requirements on the investment policy under Regulation (EU) No 909/2014 justify the use of advanced methods provided for in Regulation (EU) No 575/2013. For the purposes of this Regulation, capital requirements for investment risk means the sum of the capital requirements for credit risk and counterparty credit risk and market risk stemming from the CSD’s investments of the assets that it owns and those </w:t>
      </w:r>
      <w:r w:rsidRPr="00C2608B">
        <w:rPr>
          <w:b/>
          <w:i/>
          <w:sz w:val="22"/>
          <w:szCs w:val="22"/>
          <w:lang w:eastAsia="de-DE"/>
        </w:rPr>
        <w:t>coming from the investment of participants’ deposits or collateral or resulting out of loans towards participants as well as any other exposure as defined in Regulation (EU) No. 575/2013</w:t>
      </w:r>
      <w:r w:rsidRPr="00C2608B">
        <w:rPr>
          <w:i/>
          <w:color w:val="000000"/>
          <w:sz w:val="22"/>
          <w:szCs w:val="22"/>
          <w:lang w:eastAsia="de-DE"/>
        </w:rPr>
        <w:t xml:space="preserve">. </w:t>
      </w:r>
      <w:proofErr w:type="gramStart"/>
      <w:r w:rsidRPr="00C2608B">
        <w:rPr>
          <w:i/>
          <w:strike/>
          <w:color w:val="000000"/>
          <w:sz w:val="22"/>
          <w:szCs w:val="22"/>
          <w:lang w:eastAsia="de-DE"/>
        </w:rPr>
        <w:t>that</w:t>
      </w:r>
      <w:proofErr w:type="gramEnd"/>
      <w:r w:rsidRPr="00C2608B">
        <w:rPr>
          <w:i/>
          <w:strike/>
          <w:color w:val="000000"/>
          <w:sz w:val="22"/>
          <w:szCs w:val="22"/>
          <w:lang w:eastAsia="de-DE"/>
        </w:rPr>
        <w:t xml:space="preserve"> it holds on behalf of its participants</w:t>
      </w:r>
      <w:r w:rsidRPr="00C2608B">
        <w:rPr>
          <w:i/>
          <w:color w:val="000000"/>
          <w:sz w:val="22"/>
          <w:szCs w:val="22"/>
          <w:lang w:eastAsia="de-DE"/>
        </w:rPr>
        <w:t xml:space="preserve">. </w:t>
      </w:r>
    </w:p>
    <w:p w:rsidR="009C7F58" w:rsidRPr="00C2608B" w:rsidRDefault="009C7F58" w:rsidP="009C7F58">
      <w:pPr>
        <w:pBdr>
          <w:top w:val="single" w:sz="4" w:space="1" w:color="auto"/>
          <w:left w:val="single" w:sz="4" w:space="4" w:color="auto"/>
          <w:bottom w:val="single" w:sz="4" w:space="1" w:color="auto"/>
          <w:right w:val="single" w:sz="4" w:space="4" w:color="auto"/>
        </w:pBdr>
        <w:rPr>
          <w:rFonts w:eastAsia="Arial Unicode MS" w:cs="Courier New"/>
          <w:b/>
          <w:i/>
          <w:sz w:val="22"/>
          <w:szCs w:val="22"/>
          <w:lang w:eastAsia="en-GB"/>
        </w:rPr>
      </w:pPr>
    </w:p>
    <w:p w:rsidR="009C7F58" w:rsidRPr="00C2608B" w:rsidRDefault="009C7F58" w:rsidP="009C7F58">
      <w:pPr>
        <w:pBdr>
          <w:top w:val="single" w:sz="4" w:space="1" w:color="auto"/>
          <w:left w:val="single" w:sz="4" w:space="4" w:color="auto"/>
          <w:bottom w:val="single" w:sz="4" w:space="1" w:color="auto"/>
          <w:right w:val="single" w:sz="4" w:space="4" w:color="auto"/>
        </w:pBdr>
        <w:rPr>
          <w:rFonts w:eastAsia="Arial Unicode MS" w:cs="Courier New"/>
          <w:b/>
          <w:i/>
          <w:sz w:val="22"/>
          <w:szCs w:val="22"/>
          <w:lang w:eastAsia="en-GB"/>
        </w:rPr>
      </w:pPr>
      <w:r w:rsidRPr="00C2608B">
        <w:rPr>
          <w:rFonts w:eastAsia="Arial Unicode MS" w:cs="Courier New"/>
          <w:b/>
          <w:i/>
          <w:sz w:val="22"/>
          <w:szCs w:val="22"/>
          <w:lang w:eastAsia="en-GB"/>
        </w:rPr>
        <w:t>Article 6</w:t>
      </w:r>
    </w:p>
    <w:p w:rsidR="009C7F58" w:rsidRPr="00C2608B" w:rsidRDefault="009C7F58" w:rsidP="009C7F58">
      <w:pPr>
        <w:pBdr>
          <w:top w:val="single" w:sz="4" w:space="1" w:color="auto"/>
          <w:left w:val="single" w:sz="4" w:space="4" w:color="auto"/>
          <w:bottom w:val="single" w:sz="4" w:space="1" w:color="auto"/>
          <w:right w:val="single" w:sz="4" w:space="4" w:color="auto"/>
        </w:pBdr>
        <w:rPr>
          <w:rFonts w:eastAsia="Arial Unicode MS"/>
          <w:i/>
          <w:sz w:val="22"/>
          <w:szCs w:val="22"/>
          <w:lang w:eastAsia="en-GB"/>
        </w:rPr>
      </w:pPr>
      <w:r w:rsidRPr="00C2608B">
        <w:rPr>
          <w:rFonts w:eastAsia="Arial Unicode MS"/>
          <w:i/>
          <w:sz w:val="22"/>
          <w:szCs w:val="22"/>
          <w:lang w:eastAsia="en-GB"/>
        </w:rPr>
        <w:t>(</w:t>
      </w:r>
      <w:proofErr w:type="gramStart"/>
      <w:r w:rsidRPr="00C2608B">
        <w:rPr>
          <w:rFonts w:eastAsia="Arial Unicode MS"/>
          <w:i/>
          <w:sz w:val="22"/>
          <w:szCs w:val="22"/>
          <w:lang w:eastAsia="en-GB"/>
        </w:rPr>
        <w:t>no</w:t>
      </w:r>
      <w:proofErr w:type="gramEnd"/>
      <w:r w:rsidRPr="00C2608B">
        <w:rPr>
          <w:rFonts w:eastAsia="Arial Unicode MS"/>
          <w:i/>
          <w:sz w:val="22"/>
          <w:szCs w:val="22"/>
          <w:lang w:eastAsia="en-GB"/>
        </w:rPr>
        <w:t xml:space="preserve"> changes for paragraphs 1, 3 and 4. Paragraph 2 should be rephrased as </w:t>
      </w:r>
      <w:proofErr w:type="gramStart"/>
      <w:r w:rsidRPr="00C2608B">
        <w:rPr>
          <w:rFonts w:eastAsia="Arial Unicode MS"/>
          <w:i/>
          <w:sz w:val="22"/>
          <w:szCs w:val="22"/>
          <w:lang w:eastAsia="en-GB"/>
        </w:rPr>
        <w:t>follows:</w:t>
      </w:r>
      <w:proofErr w:type="gramEnd"/>
      <w:r w:rsidRPr="00C2608B">
        <w:rPr>
          <w:rFonts w:eastAsia="Arial Unicode MS"/>
          <w:i/>
          <w:sz w:val="22"/>
          <w:szCs w:val="22"/>
          <w:lang w:eastAsia="en-GB"/>
        </w:rPr>
        <w:t>)</w:t>
      </w:r>
    </w:p>
    <w:p w:rsidR="009C7F58" w:rsidRPr="00C2608B" w:rsidRDefault="009C7F58" w:rsidP="009C7F58">
      <w:pPr>
        <w:pBdr>
          <w:top w:val="single" w:sz="4" w:space="1" w:color="auto"/>
          <w:left w:val="single" w:sz="4" w:space="4" w:color="auto"/>
          <w:bottom w:val="single" w:sz="4" w:space="1" w:color="auto"/>
          <w:right w:val="single" w:sz="4" w:space="4" w:color="auto"/>
        </w:pBdr>
        <w:rPr>
          <w:i/>
          <w:color w:val="000000"/>
          <w:sz w:val="22"/>
          <w:szCs w:val="22"/>
          <w:lang w:eastAsia="de-DE"/>
        </w:rPr>
      </w:pPr>
    </w:p>
    <w:p w:rsidR="009C7F58" w:rsidRPr="00C2608B" w:rsidRDefault="009C7F58" w:rsidP="009C7F58">
      <w:pPr>
        <w:pBdr>
          <w:top w:val="single" w:sz="4" w:space="1" w:color="auto"/>
          <w:left w:val="single" w:sz="4" w:space="4" w:color="auto"/>
          <w:bottom w:val="single" w:sz="4" w:space="1" w:color="auto"/>
          <w:right w:val="single" w:sz="4" w:space="4" w:color="auto"/>
        </w:pBdr>
        <w:rPr>
          <w:i/>
          <w:color w:val="000000"/>
          <w:sz w:val="22"/>
          <w:szCs w:val="22"/>
          <w:lang w:eastAsia="de-DE"/>
        </w:rPr>
      </w:pPr>
      <w:r w:rsidRPr="00C2608B">
        <w:rPr>
          <w:i/>
          <w:color w:val="000000"/>
          <w:sz w:val="22"/>
          <w:szCs w:val="22"/>
          <w:lang w:eastAsia="de-DE"/>
        </w:rPr>
        <w:t xml:space="preserve">2. </w:t>
      </w:r>
      <w:proofErr w:type="gramStart"/>
      <w:r w:rsidRPr="00C2608B">
        <w:rPr>
          <w:i/>
          <w:color w:val="000000"/>
          <w:sz w:val="22"/>
          <w:szCs w:val="22"/>
          <w:lang w:eastAsia="de-DE"/>
        </w:rPr>
        <w:t>For</w:t>
      </w:r>
      <w:proofErr w:type="gramEnd"/>
      <w:r w:rsidRPr="00C2608B">
        <w:rPr>
          <w:i/>
          <w:color w:val="000000"/>
          <w:sz w:val="22"/>
          <w:szCs w:val="22"/>
          <w:lang w:eastAsia="de-DE"/>
        </w:rPr>
        <w:t xml:space="preserve"> the calculation of a CSD’s risk-weighted exposure amounts for credit risk, as </w:t>
      </w:r>
    </w:p>
    <w:p w:rsidR="009C7F58" w:rsidRPr="00C2608B" w:rsidRDefault="009C7F58" w:rsidP="009C7F58">
      <w:pPr>
        <w:pBdr>
          <w:top w:val="single" w:sz="4" w:space="1" w:color="auto"/>
          <w:left w:val="single" w:sz="4" w:space="4" w:color="auto"/>
          <w:bottom w:val="single" w:sz="4" w:space="1" w:color="auto"/>
          <w:right w:val="single" w:sz="4" w:space="4" w:color="auto"/>
        </w:pBdr>
        <w:rPr>
          <w:i/>
          <w:color w:val="000000"/>
          <w:sz w:val="22"/>
          <w:szCs w:val="22"/>
          <w:lang w:eastAsia="de-DE"/>
        </w:rPr>
      </w:pPr>
      <w:proofErr w:type="gramStart"/>
      <w:r w:rsidRPr="00C2608B">
        <w:rPr>
          <w:i/>
          <w:color w:val="000000"/>
          <w:sz w:val="22"/>
          <w:szCs w:val="22"/>
          <w:lang w:eastAsia="de-DE"/>
        </w:rPr>
        <w:t>referred</w:t>
      </w:r>
      <w:proofErr w:type="gramEnd"/>
      <w:r w:rsidRPr="00C2608B">
        <w:rPr>
          <w:i/>
          <w:color w:val="000000"/>
          <w:sz w:val="22"/>
          <w:szCs w:val="22"/>
          <w:lang w:eastAsia="de-DE"/>
        </w:rPr>
        <w:t xml:space="preserve"> to in point (</w:t>
      </w:r>
      <w:proofErr w:type="spellStart"/>
      <w:r w:rsidRPr="00C2608B">
        <w:rPr>
          <w:i/>
          <w:color w:val="000000"/>
          <w:sz w:val="22"/>
          <w:szCs w:val="22"/>
          <w:lang w:eastAsia="de-DE"/>
        </w:rPr>
        <w:t>i</w:t>
      </w:r>
      <w:proofErr w:type="spellEnd"/>
      <w:r w:rsidRPr="00C2608B">
        <w:rPr>
          <w:i/>
          <w:color w:val="000000"/>
          <w:sz w:val="22"/>
          <w:szCs w:val="22"/>
          <w:lang w:eastAsia="de-DE"/>
        </w:rPr>
        <w:t xml:space="preserve">) of paragraph 1(a), the following shall apply: </w:t>
      </w:r>
    </w:p>
    <w:p w:rsidR="009C7F58" w:rsidRPr="00C2608B" w:rsidRDefault="009C7F58" w:rsidP="009C7F58">
      <w:pPr>
        <w:pBdr>
          <w:top w:val="single" w:sz="4" w:space="1" w:color="auto"/>
          <w:left w:val="single" w:sz="4" w:space="4" w:color="auto"/>
          <w:bottom w:val="single" w:sz="4" w:space="1" w:color="auto"/>
          <w:right w:val="single" w:sz="4" w:space="4" w:color="auto"/>
        </w:pBdr>
        <w:rPr>
          <w:i/>
          <w:color w:val="000000"/>
          <w:sz w:val="22"/>
          <w:szCs w:val="22"/>
          <w:lang w:eastAsia="de-DE"/>
        </w:rPr>
      </w:pPr>
      <w:r w:rsidRPr="00C2608B">
        <w:rPr>
          <w:i/>
          <w:color w:val="000000"/>
          <w:sz w:val="22"/>
          <w:szCs w:val="22"/>
          <w:lang w:eastAsia="de-DE"/>
        </w:rPr>
        <w:t xml:space="preserve">(a) where the CSD is not authorised in accordance with point (a) of Article 54(2) of Regulation (EU) No 909/2014 to provide banking-type ancillary services, the CSD shall apply the Standardised Approach for credit risk referred to in Articles 107 to 141 </w:t>
      </w:r>
      <w:r w:rsidRPr="00C2608B">
        <w:rPr>
          <w:b/>
          <w:i/>
          <w:sz w:val="22"/>
          <w:szCs w:val="22"/>
          <w:lang w:eastAsia="de-DE"/>
        </w:rPr>
        <w:t>in combination with Article 192 to 241 on Credit Risk Mitigation</w:t>
      </w:r>
      <w:r w:rsidRPr="00C2608B">
        <w:rPr>
          <w:i/>
          <w:sz w:val="22"/>
          <w:szCs w:val="22"/>
          <w:u w:val="single"/>
          <w:lang w:eastAsia="de-DE"/>
        </w:rPr>
        <w:t xml:space="preserve"> </w:t>
      </w:r>
      <w:r w:rsidRPr="00C2608B">
        <w:rPr>
          <w:i/>
          <w:color w:val="000000"/>
          <w:sz w:val="22"/>
          <w:szCs w:val="22"/>
          <w:lang w:eastAsia="de-DE"/>
        </w:rPr>
        <w:t xml:space="preserve">of Regulation (EU) No 575/2013; </w:t>
      </w:r>
    </w:p>
    <w:p w:rsidR="009C7F58" w:rsidRPr="00C2608B" w:rsidRDefault="009C7F58" w:rsidP="009C7F58">
      <w:pPr>
        <w:pBdr>
          <w:top w:val="single" w:sz="4" w:space="1" w:color="auto"/>
          <w:left w:val="single" w:sz="4" w:space="4" w:color="auto"/>
          <w:bottom w:val="single" w:sz="4" w:space="1" w:color="auto"/>
          <w:right w:val="single" w:sz="4" w:space="4" w:color="auto"/>
        </w:pBdr>
        <w:rPr>
          <w:i/>
          <w:color w:val="000000"/>
          <w:sz w:val="22"/>
          <w:szCs w:val="22"/>
          <w:lang w:eastAsia="de-DE"/>
        </w:rPr>
      </w:pPr>
      <w:r w:rsidRPr="00C2608B">
        <w:rPr>
          <w:i/>
          <w:color w:val="000000"/>
          <w:sz w:val="22"/>
          <w:szCs w:val="22"/>
          <w:lang w:eastAsia="de-DE"/>
        </w:rPr>
        <w:t xml:space="preserve">(b) where a CSD is authorised under point (a) of Article 54(2) of Regulation (EU) No 909/2014 to provide banking-type ancillary services but does not have permission to use the Internal Ratings Based Approach (IRB) referred to in Articles 142 to 191 of Regulation (EU) No 575/2013, the CSD shall apply the Standardised Approach for credit risk referred to in Articles 107 to 141 </w:t>
      </w:r>
      <w:r w:rsidRPr="00C2608B">
        <w:rPr>
          <w:b/>
          <w:i/>
          <w:sz w:val="22"/>
          <w:szCs w:val="22"/>
          <w:lang w:eastAsia="de-DE"/>
        </w:rPr>
        <w:t>in combination with Article 192 to 241 on Credit Risk Mitigation</w:t>
      </w:r>
      <w:r w:rsidRPr="00C2608B">
        <w:rPr>
          <w:i/>
          <w:sz w:val="22"/>
          <w:szCs w:val="22"/>
          <w:u w:val="single"/>
          <w:lang w:eastAsia="de-DE"/>
        </w:rPr>
        <w:t xml:space="preserve"> </w:t>
      </w:r>
      <w:r w:rsidRPr="00C2608B">
        <w:rPr>
          <w:i/>
          <w:color w:val="000000"/>
          <w:sz w:val="22"/>
          <w:szCs w:val="22"/>
          <w:lang w:eastAsia="de-DE"/>
        </w:rPr>
        <w:t xml:space="preserve">of that Regulation; </w:t>
      </w:r>
    </w:p>
    <w:p w:rsidR="009C7F58" w:rsidRPr="00C2608B" w:rsidRDefault="009C7F58" w:rsidP="009C7F58">
      <w:pPr>
        <w:pBdr>
          <w:top w:val="single" w:sz="4" w:space="1" w:color="auto"/>
          <w:left w:val="single" w:sz="4" w:space="4" w:color="auto"/>
          <w:bottom w:val="single" w:sz="4" w:space="1" w:color="auto"/>
          <w:right w:val="single" w:sz="4" w:space="4" w:color="auto"/>
        </w:pBdr>
        <w:rPr>
          <w:i/>
          <w:color w:val="000000"/>
          <w:sz w:val="22"/>
          <w:szCs w:val="22"/>
          <w:lang w:eastAsia="de-DE"/>
        </w:rPr>
      </w:pPr>
      <w:r w:rsidRPr="00C2608B">
        <w:rPr>
          <w:i/>
          <w:color w:val="000000"/>
          <w:sz w:val="22"/>
          <w:szCs w:val="22"/>
          <w:lang w:eastAsia="de-DE"/>
        </w:rPr>
        <w:lastRenderedPageBreak/>
        <w:t xml:space="preserve">(c) where a CSD is authorised in accordance with point (a) of Article 54(2) of Regulation (EU) No 909/2014 to provide banking-type ancillary services and has a permission to use the IRB Approach, the CSD shall apply the IRB Approach for credit risk provided for in Articles 142 to 191 of Regulation </w:t>
      </w:r>
      <w:r w:rsidRPr="00C2608B">
        <w:rPr>
          <w:b/>
          <w:i/>
          <w:sz w:val="22"/>
          <w:szCs w:val="22"/>
          <w:lang w:eastAsia="de-DE"/>
        </w:rPr>
        <w:t xml:space="preserve">in combination with Article 192 to 241 on Credit Risk Mitigation </w:t>
      </w:r>
      <w:r w:rsidRPr="00C2608B">
        <w:rPr>
          <w:i/>
          <w:color w:val="000000"/>
          <w:sz w:val="22"/>
          <w:szCs w:val="22"/>
          <w:lang w:eastAsia="de-DE"/>
        </w:rPr>
        <w:t xml:space="preserve">(EU) No 575/2013. </w:t>
      </w:r>
    </w:p>
    <w:p w:rsidR="003B22E2" w:rsidRPr="00F5551F" w:rsidRDefault="003B22E2" w:rsidP="009C7F58">
      <w:pPr>
        <w:rPr>
          <w:color w:val="000000"/>
          <w:sz w:val="22"/>
          <w:szCs w:val="22"/>
          <w:lang w:eastAsia="de-DE"/>
        </w:rPr>
      </w:pPr>
    </w:p>
    <w:p w:rsidR="009C7F58" w:rsidRPr="00F5551F" w:rsidRDefault="009C7F58" w:rsidP="009C7F58">
      <w:pPr>
        <w:rPr>
          <w:rFonts w:eastAsia="Arial Unicode MS" w:cs="Courier New"/>
          <w:b/>
          <w:sz w:val="22"/>
          <w:szCs w:val="22"/>
          <w:lang w:eastAsia="en-GB"/>
        </w:rPr>
      </w:pPr>
      <w:r w:rsidRPr="00F5551F">
        <w:rPr>
          <w:rFonts w:eastAsia="Arial Unicode MS" w:cs="Courier New"/>
          <w:b/>
          <w:sz w:val="22"/>
          <w:szCs w:val="22"/>
          <w:lang w:eastAsia="en-GB"/>
        </w:rPr>
        <w:t xml:space="preserve">Capital requirements for business risk (Recital 12, Articles 7, </w:t>
      </w:r>
      <w:proofErr w:type="gramStart"/>
      <w:r w:rsidRPr="00F5551F">
        <w:rPr>
          <w:rFonts w:eastAsia="Arial Unicode MS" w:cs="Courier New"/>
          <w:b/>
          <w:sz w:val="22"/>
          <w:szCs w:val="22"/>
          <w:lang w:eastAsia="en-GB"/>
        </w:rPr>
        <w:t>Annex</w:t>
      </w:r>
      <w:proofErr w:type="gramEnd"/>
      <w:r w:rsidRPr="00F5551F">
        <w:rPr>
          <w:rFonts w:eastAsia="Arial Unicode MS" w:cs="Courier New"/>
          <w:b/>
          <w:sz w:val="22"/>
          <w:szCs w:val="22"/>
          <w:lang w:eastAsia="en-GB"/>
        </w:rPr>
        <w:t xml:space="preserve"> II):</w:t>
      </w:r>
    </w:p>
    <w:p w:rsidR="009C7F58" w:rsidRPr="00F5551F" w:rsidRDefault="009C7F58" w:rsidP="009C7F58">
      <w:pPr>
        <w:rPr>
          <w:rFonts w:eastAsia="Arial Unicode MS"/>
          <w:sz w:val="22"/>
          <w:szCs w:val="22"/>
          <w:lang w:eastAsia="en-GB"/>
        </w:rPr>
      </w:pPr>
      <w:r w:rsidRPr="00F5551F">
        <w:rPr>
          <w:rFonts w:eastAsia="Arial Unicode MS"/>
          <w:sz w:val="22"/>
          <w:szCs w:val="22"/>
          <w:lang w:eastAsia="en-GB"/>
        </w:rPr>
        <w:t xml:space="preserve">As stated in </w:t>
      </w:r>
      <w:r w:rsidR="00FD4804" w:rsidRPr="00F5551F">
        <w:rPr>
          <w:rFonts w:eastAsia="Arial Unicode MS"/>
          <w:sz w:val="22"/>
          <w:szCs w:val="22"/>
          <w:lang w:eastAsia="en-GB"/>
        </w:rPr>
        <w:t>Recital</w:t>
      </w:r>
      <w:r w:rsidRPr="00F5551F">
        <w:rPr>
          <w:rFonts w:eastAsia="Arial Unicode MS"/>
          <w:sz w:val="22"/>
          <w:szCs w:val="22"/>
          <w:lang w:eastAsia="en-GB"/>
        </w:rPr>
        <w:t xml:space="preserve"> 12</w:t>
      </w:r>
      <w:r w:rsidR="00FB4E79" w:rsidRPr="00F5551F">
        <w:rPr>
          <w:rFonts w:eastAsia="Arial Unicode MS"/>
          <w:sz w:val="22"/>
          <w:szCs w:val="22"/>
          <w:lang w:eastAsia="en-GB"/>
        </w:rPr>
        <w:t xml:space="preserve"> draft RTS</w:t>
      </w:r>
      <w:r w:rsidRPr="00F5551F">
        <w:rPr>
          <w:rFonts w:eastAsia="Arial Unicode MS"/>
          <w:sz w:val="22"/>
          <w:szCs w:val="22"/>
          <w:lang w:eastAsia="en-GB"/>
        </w:rPr>
        <w:t xml:space="preserve">, business risk can lead to reduced revenues or increased cost and subsequently in a reduced net income which may lead even to a loss. However, only in case the business risk is severe or net income is very low, a loss to be borne by equity may be the consequence. As such, a large portion or even all of the business risk is covered by current income and any floor to be covered by equity seems to be more than artificial (in this regards our criticism is already valid for the respective rules on CCPs in Delegated Regulation (EU) No. 152/2013). As such, this clearly needs to be stated in </w:t>
      </w:r>
      <w:r w:rsidR="00FD4804" w:rsidRPr="00F5551F">
        <w:rPr>
          <w:rFonts w:eastAsia="Arial Unicode MS"/>
          <w:sz w:val="22"/>
          <w:szCs w:val="22"/>
          <w:lang w:eastAsia="en-GB"/>
        </w:rPr>
        <w:t>Recital</w:t>
      </w:r>
      <w:r w:rsidRPr="00F5551F">
        <w:rPr>
          <w:rFonts w:eastAsia="Arial Unicode MS"/>
          <w:sz w:val="22"/>
          <w:szCs w:val="22"/>
          <w:lang w:eastAsia="en-GB"/>
        </w:rPr>
        <w:t xml:space="preserve"> 12 </w:t>
      </w:r>
      <w:r w:rsidR="00FB4E79" w:rsidRPr="00F5551F">
        <w:rPr>
          <w:rFonts w:eastAsia="Arial Unicode MS"/>
          <w:sz w:val="22"/>
          <w:szCs w:val="22"/>
          <w:lang w:eastAsia="en-GB"/>
        </w:rPr>
        <w:t xml:space="preserve">draft RTS </w:t>
      </w:r>
      <w:r w:rsidRPr="00F5551F">
        <w:rPr>
          <w:rFonts w:eastAsia="Arial Unicode MS"/>
          <w:sz w:val="22"/>
          <w:szCs w:val="22"/>
          <w:lang w:eastAsia="en-GB"/>
        </w:rPr>
        <w:t xml:space="preserve">and no floor should be introduced in </w:t>
      </w:r>
      <w:r w:rsidR="00FD4804" w:rsidRPr="00F5551F">
        <w:rPr>
          <w:rFonts w:eastAsia="Arial Unicode MS"/>
          <w:sz w:val="22"/>
          <w:szCs w:val="22"/>
          <w:lang w:eastAsia="en-GB"/>
        </w:rPr>
        <w:t>Article</w:t>
      </w:r>
      <w:r w:rsidRPr="00F5551F">
        <w:rPr>
          <w:rFonts w:eastAsia="Arial Unicode MS"/>
          <w:sz w:val="22"/>
          <w:szCs w:val="22"/>
          <w:lang w:eastAsia="en-GB"/>
        </w:rPr>
        <w:t xml:space="preserve"> 7</w:t>
      </w:r>
      <w:r w:rsidR="00FB4E79" w:rsidRPr="00F5551F">
        <w:rPr>
          <w:rFonts w:eastAsia="Arial Unicode MS"/>
          <w:sz w:val="22"/>
          <w:szCs w:val="22"/>
          <w:lang w:eastAsia="en-GB"/>
        </w:rPr>
        <w:t xml:space="preserve"> draft RTS</w:t>
      </w:r>
      <w:r w:rsidRPr="00F5551F">
        <w:rPr>
          <w:rFonts w:eastAsia="Arial Unicode MS"/>
          <w:sz w:val="22"/>
          <w:szCs w:val="22"/>
          <w:lang w:eastAsia="en-GB"/>
        </w:rPr>
        <w:t>.</w:t>
      </w:r>
    </w:p>
    <w:p w:rsidR="00FB4E79" w:rsidRPr="00F5551F" w:rsidRDefault="009C7F58" w:rsidP="009C7F58">
      <w:pPr>
        <w:rPr>
          <w:rFonts w:eastAsia="Arial Unicode MS"/>
          <w:sz w:val="22"/>
          <w:szCs w:val="22"/>
          <w:lang w:eastAsia="en-GB"/>
        </w:rPr>
      </w:pPr>
      <w:r w:rsidRPr="00F5551F">
        <w:rPr>
          <w:rFonts w:eastAsia="Arial Unicode MS"/>
          <w:sz w:val="22"/>
          <w:szCs w:val="22"/>
          <w:lang w:eastAsia="en-GB"/>
        </w:rPr>
        <w:t xml:space="preserve">Our argumentation is further substantiated also in the scenarios proposed in Annex II which refer to “a loss of </w:t>
      </w:r>
      <w:r w:rsidR="00FB4E79" w:rsidRPr="00F5551F">
        <w:rPr>
          <w:rFonts w:eastAsia="Arial Unicode MS"/>
          <w:sz w:val="22"/>
          <w:szCs w:val="22"/>
          <w:lang w:eastAsia="en-GB"/>
        </w:rPr>
        <w:t>3</w:t>
      </w:r>
      <w:r w:rsidRPr="00F5551F">
        <w:rPr>
          <w:rFonts w:eastAsia="Arial Unicode MS"/>
          <w:sz w:val="22"/>
          <w:szCs w:val="22"/>
          <w:lang w:eastAsia="en-GB"/>
        </w:rPr>
        <w:t xml:space="preserve">0 % income” (note, it is not clear what is </w:t>
      </w:r>
      <w:proofErr w:type="gramStart"/>
      <w:r w:rsidRPr="00F5551F">
        <w:rPr>
          <w:rFonts w:eastAsia="Arial Unicode MS"/>
          <w:sz w:val="22"/>
          <w:szCs w:val="22"/>
          <w:lang w:eastAsia="en-GB"/>
        </w:rPr>
        <w:t>meant  by</w:t>
      </w:r>
      <w:proofErr w:type="gramEnd"/>
      <w:r w:rsidRPr="00F5551F">
        <w:rPr>
          <w:rFonts w:eastAsia="Arial Unicode MS"/>
          <w:sz w:val="22"/>
          <w:szCs w:val="22"/>
          <w:lang w:eastAsia="en-GB"/>
        </w:rPr>
        <w:t xml:space="preserve"> “income” and this should be further specified. </w:t>
      </w:r>
      <w:r w:rsidR="00B02B38" w:rsidRPr="00F5551F">
        <w:rPr>
          <w:rFonts w:eastAsia="Arial Unicode MS"/>
          <w:sz w:val="22"/>
          <w:szCs w:val="22"/>
          <w:lang w:eastAsia="en-GB"/>
        </w:rPr>
        <w:t>We believe</w:t>
      </w:r>
      <w:r w:rsidRPr="00F5551F">
        <w:rPr>
          <w:rFonts w:eastAsia="Arial Unicode MS"/>
          <w:sz w:val="22"/>
          <w:szCs w:val="22"/>
          <w:lang w:eastAsia="en-GB"/>
        </w:rPr>
        <w:t xml:space="preserve"> here gross revenues are in scope), “unexpected increase of funding cost of 10 %” etc. which all may or may not be covered in full or parts out of current / forecasted income.</w:t>
      </w:r>
    </w:p>
    <w:p w:rsidR="009C7F58" w:rsidRPr="00F5551F" w:rsidRDefault="009C7F58" w:rsidP="009C7F58">
      <w:pPr>
        <w:rPr>
          <w:rFonts w:eastAsia="Arial Unicode MS"/>
          <w:sz w:val="22"/>
          <w:szCs w:val="22"/>
          <w:lang w:eastAsia="en-GB"/>
        </w:rPr>
      </w:pPr>
    </w:p>
    <w:p w:rsidR="009C7F58" w:rsidRPr="00F5551F" w:rsidRDefault="009C7F58" w:rsidP="009C7F58">
      <w:pPr>
        <w:rPr>
          <w:rFonts w:eastAsia="Arial Unicode MS"/>
          <w:sz w:val="22"/>
          <w:szCs w:val="22"/>
          <w:lang w:eastAsia="en-GB"/>
        </w:rPr>
      </w:pPr>
      <w:r w:rsidRPr="00F5551F">
        <w:rPr>
          <w:rFonts w:eastAsia="Arial Unicode MS"/>
          <w:sz w:val="22"/>
          <w:szCs w:val="22"/>
          <w:lang w:eastAsia="en-GB"/>
        </w:rPr>
        <w:t>Beside (</w:t>
      </w:r>
      <w:proofErr w:type="spellStart"/>
      <w:r w:rsidRPr="00F5551F">
        <w:rPr>
          <w:rFonts w:eastAsia="Arial Unicode MS"/>
          <w:sz w:val="22"/>
          <w:szCs w:val="22"/>
          <w:lang w:eastAsia="en-GB"/>
        </w:rPr>
        <w:t>i</w:t>
      </w:r>
      <w:proofErr w:type="spellEnd"/>
      <w:r w:rsidRPr="00F5551F">
        <w:rPr>
          <w:rFonts w:eastAsia="Arial Unicode MS"/>
          <w:sz w:val="22"/>
          <w:szCs w:val="22"/>
          <w:lang w:eastAsia="en-GB"/>
        </w:rPr>
        <w:t xml:space="preserve">) Delegated Regulation (EU) No. 2015/488 as regards to own funds requirements for investment firms based on fixed overheads for the purpose of Article 97 (4) CRR and (ii) Article 4 (2) of Delegated Regulation (EU) No. 152/2013 for CCPs, </w:t>
      </w:r>
      <w:r w:rsidR="00FB4E79" w:rsidRPr="00F5551F">
        <w:rPr>
          <w:rFonts w:eastAsia="Arial Unicode MS"/>
          <w:sz w:val="22"/>
          <w:szCs w:val="22"/>
          <w:lang w:eastAsia="en-GB"/>
        </w:rPr>
        <w:t>A</w:t>
      </w:r>
      <w:r w:rsidRPr="00F5551F">
        <w:rPr>
          <w:rFonts w:eastAsia="Arial Unicode MS"/>
          <w:sz w:val="22"/>
          <w:szCs w:val="22"/>
          <w:lang w:eastAsia="en-GB"/>
        </w:rPr>
        <w:t xml:space="preserve">rticle 7 </w:t>
      </w:r>
      <w:r w:rsidR="00FB4E79" w:rsidRPr="00F5551F">
        <w:rPr>
          <w:rFonts w:eastAsia="Arial Unicode MS"/>
          <w:sz w:val="22"/>
          <w:szCs w:val="22"/>
          <w:lang w:eastAsia="en-GB"/>
        </w:rPr>
        <w:t xml:space="preserve">draft RTS </w:t>
      </w:r>
      <w:r w:rsidRPr="00F5551F">
        <w:rPr>
          <w:rFonts w:eastAsia="Arial Unicode MS"/>
          <w:sz w:val="22"/>
          <w:szCs w:val="22"/>
          <w:lang w:eastAsia="en-GB"/>
        </w:rPr>
        <w:t xml:space="preserve">is introducing yet another definition of an “appropriate cost base” for more or less the same purpose. We clearly urge the EBA and the EU Commission to come up with a consistent and coherent approach across all areas of capital requirements (i.e. at least CRR, CSD-R and EMIR). As we disagree to have a capital floor for business risk, also the definition of “annual gross expenses” needs to be removed from Article 7 </w:t>
      </w:r>
      <w:r w:rsidR="00FB4E79" w:rsidRPr="00F5551F">
        <w:rPr>
          <w:rFonts w:eastAsia="Arial Unicode MS"/>
          <w:sz w:val="22"/>
          <w:szCs w:val="22"/>
          <w:lang w:eastAsia="en-GB"/>
        </w:rPr>
        <w:t xml:space="preserve">draft RTS </w:t>
      </w:r>
      <w:r w:rsidRPr="00F5551F">
        <w:rPr>
          <w:rFonts w:eastAsia="Arial Unicode MS"/>
          <w:sz w:val="22"/>
          <w:szCs w:val="22"/>
          <w:lang w:eastAsia="en-GB"/>
        </w:rPr>
        <w:t xml:space="preserve">and needs to be included in Article 8 </w:t>
      </w:r>
      <w:r w:rsidR="00FB4E79" w:rsidRPr="00F5551F">
        <w:rPr>
          <w:rFonts w:eastAsia="Arial Unicode MS"/>
          <w:sz w:val="22"/>
          <w:szCs w:val="22"/>
          <w:lang w:eastAsia="en-GB"/>
        </w:rPr>
        <w:t xml:space="preserve">draft RTS </w:t>
      </w:r>
      <w:r w:rsidRPr="00F5551F">
        <w:rPr>
          <w:rFonts w:eastAsia="Arial Unicode MS"/>
          <w:sz w:val="22"/>
          <w:szCs w:val="22"/>
          <w:lang w:eastAsia="en-GB"/>
        </w:rPr>
        <w:t xml:space="preserve">instead. We therefore propose a unique approach to be implemented consistent for all financial market regulations as an adjustment to Article 8 </w:t>
      </w:r>
      <w:r w:rsidR="00FB4E79" w:rsidRPr="00F5551F">
        <w:rPr>
          <w:rFonts w:eastAsia="Arial Unicode MS"/>
          <w:sz w:val="22"/>
          <w:szCs w:val="22"/>
          <w:lang w:eastAsia="en-GB"/>
        </w:rPr>
        <w:t xml:space="preserve">draft RTS </w:t>
      </w:r>
      <w:r w:rsidRPr="00F5551F">
        <w:rPr>
          <w:rFonts w:eastAsia="Arial Unicode MS"/>
          <w:sz w:val="22"/>
          <w:szCs w:val="22"/>
          <w:lang w:eastAsia="en-GB"/>
        </w:rPr>
        <w:t>as specified below</w:t>
      </w:r>
      <w:r w:rsidR="00FB4E79" w:rsidRPr="00F5551F">
        <w:rPr>
          <w:rFonts w:eastAsia="Arial Unicode MS"/>
          <w:sz w:val="22"/>
          <w:szCs w:val="22"/>
          <w:lang w:eastAsia="en-GB"/>
        </w:rPr>
        <w:t xml:space="preserve"> (in the proposed rewording of Article 8)</w:t>
      </w:r>
      <w:r w:rsidRPr="00F5551F">
        <w:rPr>
          <w:rFonts w:eastAsia="Arial Unicode MS"/>
          <w:sz w:val="22"/>
          <w:szCs w:val="22"/>
          <w:lang w:eastAsia="en-GB"/>
        </w:rPr>
        <w:t xml:space="preserve">. As such, we clearly favour a definition which is not referencing to IFRS as IFRS does not specify certain categories of expenditure </w:t>
      </w:r>
      <w:r w:rsidR="00FB4E79" w:rsidRPr="00F5551F">
        <w:rPr>
          <w:rFonts w:eastAsia="Arial Unicode MS"/>
          <w:sz w:val="22"/>
          <w:szCs w:val="22"/>
          <w:lang w:eastAsia="en-GB"/>
        </w:rPr>
        <w:t xml:space="preserve">but to refer to </w:t>
      </w:r>
      <w:r w:rsidRPr="00F5551F">
        <w:rPr>
          <w:rFonts w:eastAsia="Arial Unicode MS"/>
          <w:sz w:val="22"/>
          <w:szCs w:val="22"/>
          <w:lang w:eastAsia="en-GB"/>
        </w:rPr>
        <w:t xml:space="preserve">directive 86/635/EC </w:t>
      </w:r>
      <w:r w:rsidR="00FB4E79" w:rsidRPr="00F5551F">
        <w:rPr>
          <w:rFonts w:eastAsia="Arial Unicode MS"/>
          <w:sz w:val="22"/>
          <w:szCs w:val="22"/>
          <w:lang w:eastAsia="en-GB"/>
        </w:rPr>
        <w:t xml:space="preserve">which </w:t>
      </w:r>
      <w:r w:rsidRPr="00F5551F">
        <w:rPr>
          <w:rFonts w:eastAsia="Arial Unicode MS"/>
          <w:sz w:val="22"/>
          <w:szCs w:val="22"/>
          <w:lang w:eastAsia="en-GB"/>
        </w:rPr>
        <w:t xml:space="preserve">does </w:t>
      </w:r>
      <w:r w:rsidR="00FB4E79" w:rsidRPr="00F5551F">
        <w:rPr>
          <w:rFonts w:eastAsia="Arial Unicode MS"/>
          <w:sz w:val="22"/>
          <w:szCs w:val="22"/>
          <w:lang w:eastAsia="en-GB"/>
        </w:rPr>
        <w:t xml:space="preserve">define categories of expenditure </w:t>
      </w:r>
      <w:r w:rsidRPr="00F5551F">
        <w:rPr>
          <w:rFonts w:eastAsia="Arial Unicode MS"/>
          <w:sz w:val="22"/>
          <w:szCs w:val="22"/>
          <w:lang w:eastAsia="en-GB"/>
        </w:rPr>
        <w:t>– to our understanding – to a sufficient degree. Such an approach would be in line with the general approach of Article 316 CRR for the relevant indicator for operational risk.</w:t>
      </w:r>
    </w:p>
    <w:p w:rsidR="005B047F" w:rsidRPr="00F5551F" w:rsidRDefault="005B047F" w:rsidP="00B17212">
      <w:pPr>
        <w:tabs>
          <w:tab w:val="left" w:pos="991"/>
        </w:tabs>
        <w:rPr>
          <w:rFonts w:eastAsia="Arial Unicode MS"/>
          <w:sz w:val="22"/>
          <w:szCs w:val="22"/>
          <w:lang w:eastAsia="en-GB"/>
        </w:rPr>
      </w:pPr>
    </w:p>
    <w:p w:rsidR="005755D7" w:rsidRPr="00F5551F" w:rsidRDefault="005755D7" w:rsidP="005755D7">
      <w:pPr>
        <w:rPr>
          <w:rFonts w:eastAsia="Arial Unicode MS"/>
          <w:sz w:val="22"/>
          <w:szCs w:val="22"/>
          <w:lang w:eastAsia="en-GB"/>
        </w:rPr>
      </w:pPr>
      <w:r w:rsidRPr="00F5551F">
        <w:rPr>
          <w:rFonts w:eastAsia="Arial Unicode MS"/>
          <w:sz w:val="22"/>
          <w:szCs w:val="22"/>
          <w:lang w:eastAsia="en-GB"/>
        </w:rPr>
        <w:t>As such, we propose the following changes to the draft RTS:</w:t>
      </w:r>
    </w:p>
    <w:p w:rsidR="009C7F58" w:rsidRPr="00F5551F" w:rsidRDefault="009C7F58" w:rsidP="009C7F58">
      <w:pPr>
        <w:rPr>
          <w:rFonts w:eastAsia="Arial Unicode MS"/>
          <w:sz w:val="22"/>
          <w:szCs w:val="22"/>
          <w:lang w:eastAsia="en-GB"/>
        </w:rPr>
      </w:pPr>
    </w:p>
    <w:p w:rsidR="009C7F58" w:rsidRPr="00F5551F" w:rsidRDefault="009C7F58" w:rsidP="003B22E2">
      <w:pPr>
        <w:pBdr>
          <w:top w:val="single" w:sz="4" w:space="1" w:color="auto"/>
          <w:left w:val="single" w:sz="4" w:space="4" w:color="auto"/>
          <w:bottom w:val="single" w:sz="4" w:space="1" w:color="auto"/>
          <w:right w:val="single" w:sz="4" w:space="4" w:color="auto"/>
        </w:pBdr>
        <w:rPr>
          <w:rFonts w:eastAsia="Arial Unicode MS" w:cs="Courier New"/>
          <w:b/>
          <w:i/>
          <w:sz w:val="22"/>
          <w:szCs w:val="22"/>
          <w:lang w:eastAsia="en-GB"/>
        </w:rPr>
      </w:pPr>
      <w:r w:rsidRPr="00F5551F">
        <w:rPr>
          <w:rFonts w:eastAsia="Arial Unicode MS" w:cs="Courier New"/>
          <w:b/>
          <w:i/>
          <w:sz w:val="22"/>
          <w:szCs w:val="22"/>
          <w:lang w:eastAsia="en-GB"/>
        </w:rPr>
        <w:t>Recital 12</w:t>
      </w:r>
    </w:p>
    <w:p w:rsidR="009C7F58" w:rsidRPr="00F5551F" w:rsidRDefault="009C7F58" w:rsidP="003B22E2">
      <w:pPr>
        <w:pBdr>
          <w:top w:val="single" w:sz="4" w:space="1" w:color="auto"/>
          <w:left w:val="single" w:sz="4" w:space="4" w:color="auto"/>
          <w:bottom w:val="single" w:sz="4" w:space="1" w:color="auto"/>
          <w:right w:val="single" w:sz="4" w:space="4" w:color="auto"/>
        </w:pBdr>
        <w:rPr>
          <w:i/>
          <w:color w:val="000000"/>
          <w:sz w:val="22"/>
          <w:szCs w:val="22"/>
          <w:lang w:eastAsia="de-DE"/>
        </w:rPr>
      </w:pPr>
      <w:r w:rsidRPr="00F5551F">
        <w:rPr>
          <w:i/>
          <w:color w:val="000000"/>
          <w:sz w:val="22"/>
          <w:szCs w:val="22"/>
          <w:lang w:eastAsia="de-DE"/>
        </w:rPr>
        <w:t>(12)</w:t>
      </w:r>
      <w:r w:rsidR="00D65895">
        <w:rPr>
          <w:i/>
          <w:color w:val="000000"/>
          <w:sz w:val="22"/>
          <w:szCs w:val="22"/>
          <w:lang w:eastAsia="de-DE"/>
        </w:rPr>
        <w:t xml:space="preserve"> </w:t>
      </w:r>
      <w:r w:rsidRPr="00F5551F">
        <w:rPr>
          <w:i/>
          <w:color w:val="000000"/>
          <w:sz w:val="22"/>
          <w:szCs w:val="22"/>
          <w:lang w:eastAsia="de-DE"/>
        </w:rPr>
        <w:t xml:space="preserve">[business risk] Business risk should refer to the risk that a CSD assumes due to potential changes in general business conditions that are likely to impair its financial position as a consequence of decline in its revenues or an increase in its expense </w:t>
      </w:r>
      <w:r w:rsidRPr="00F5551F">
        <w:rPr>
          <w:b/>
          <w:i/>
          <w:sz w:val="22"/>
          <w:szCs w:val="22"/>
          <w:lang w:eastAsia="de-DE"/>
        </w:rPr>
        <w:t>resulting in a decline in net revenue and potentially in a net loss which would have to be covered by its capital</w:t>
      </w:r>
      <w:r w:rsidRPr="00F5551F">
        <w:rPr>
          <w:i/>
          <w:strike/>
          <w:sz w:val="22"/>
          <w:szCs w:val="22"/>
          <w:lang w:eastAsia="de-DE"/>
        </w:rPr>
        <w:t xml:space="preserve"> </w:t>
      </w:r>
      <w:r w:rsidRPr="00F5551F">
        <w:rPr>
          <w:i/>
          <w:strike/>
          <w:color w:val="000000"/>
          <w:sz w:val="22"/>
          <w:szCs w:val="22"/>
          <w:lang w:eastAsia="de-DE"/>
        </w:rPr>
        <w:t>and that result in a loss that should be charged against its capital</w:t>
      </w:r>
      <w:r w:rsidRPr="00F5551F">
        <w:rPr>
          <w:i/>
          <w:color w:val="000000"/>
          <w:sz w:val="22"/>
          <w:szCs w:val="22"/>
          <w:lang w:eastAsia="de-DE"/>
        </w:rPr>
        <w:t xml:space="preserve">. Given that the level of business risk is highly dependent on the individual situation of each CSD and can be caused by various factors, the </w:t>
      </w:r>
      <w:r w:rsidRPr="00F5551F">
        <w:rPr>
          <w:b/>
          <w:i/>
          <w:sz w:val="22"/>
          <w:szCs w:val="22"/>
          <w:lang w:eastAsia="de-DE"/>
        </w:rPr>
        <w:t xml:space="preserve">business risk calculation and any possible </w:t>
      </w:r>
      <w:r w:rsidRPr="00F5551F">
        <w:rPr>
          <w:i/>
          <w:color w:val="000000"/>
          <w:sz w:val="22"/>
          <w:szCs w:val="22"/>
          <w:lang w:eastAsia="de-DE"/>
        </w:rPr>
        <w:t xml:space="preserve">capital requirement of this Regulation should be based on a CSD’s own estimate and the methodology used for such an estimate should be proportional to the scale and complexity of the CSD. A CSD should develop its own estimate </w:t>
      </w:r>
      <w:r w:rsidRPr="00F5551F">
        <w:rPr>
          <w:b/>
          <w:i/>
          <w:sz w:val="22"/>
          <w:szCs w:val="22"/>
          <w:lang w:eastAsia="de-DE"/>
        </w:rPr>
        <w:t>of the amount of business risk to be covered by income based on the lower of prior year net result and forecasted current year net result and any resulting net loss to be covered by</w:t>
      </w:r>
      <w:r w:rsidRPr="00F5551F">
        <w:rPr>
          <w:i/>
          <w:sz w:val="22"/>
          <w:szCs w:val="22"/>
          <w:u w:val="single"/>
          <w:lang w:eastAsia="de-DE"/>
        </w:rPr>
        <w:t xml:space="preserve"> </w:t>
      </w:r>
      <w:r w:rsidRPr="00F5551F">
        <w:rPr>
          <w:i/>
          <w:color w:val="000000"/>
          <w:sz w:val="22"/>
          <w:szCs w:val="22"/>
          <w:lang w:eastAsia="de-DE"/>
        </w:rPr>
        <w:t xml:space="preserve">capital </w:t>
      </w:r>
      <w:r w:rsidRPr="00F5551F">
        <w:rPr>
          <w:i/>
          <w:strike/>
          <w:color w:val="000000"/>
          <w:sz w:val="22"/>
          <w:szCs w:val="22"/>
          <w:lang w:eastAsia="de-DE"/>
        </w:rPr>
        <w:t xml:space="preserve">required against business risk </w:t>
      </w:r>
      <w:r w:rsidRPr="00F5551F">
        <w:rPr>
          <w:i/>
          <w:color w:val="000000"/>
          <w:sz w:val="22"/>
          <w:szCs w:val="22"/>
          <w:lang w:eastAsia="de-DE"/>
        </w:rPr>
        <w:t xml:space="preserve">under a set of stress scenarios provided in this </w:t>
      </w:r>
      <w:r w:rsidRPr="00F5551F">
        <w:rPr>
          <w:i/>
          <w:color w:val="000000"/>
          <w:sz w:val="22"/>
          <w:szCs w:val="22"/>
          <w:lang w:eastAsia="de-DE"/>
        </w:rPr>
        <w:lastRenderedPageBreak/>
        <w:t xml:space="preserve">Regulation in order to cover the risks that are not already captured by the methodology used for covering the operational risk. </w:t>
      </w:r>
      <w:r w:rsidRPr="00F5551F">
        <w:rPr>
          <w:i/>
          <w:strike/>
          <w:color w:val="000000"/>
          <w:sz w:val="22"/>
          <w:szCs w:val="22"/>
          <w:lang w:eastAsia="de-DE"/>
        </w:rPr>
        <w:t>When a CSD produces its own estimates, a minimum level of capital should be introduced in order to ensure a prudent level of the capital requirements.</w:t>
      </w:r>
      <w:r w:rsidRPr="00F5551F">
        <w:rPr>
          <w:i/>
          <w:color w:val="000000"/>
          <w:sz w:val="22"/>
          <w:szCs w:val="22"/>
          <w:lang w:eastAsia="de-DE"/>
        </w:rPr>
        <w:t xml:space="preserve"> </w:t>
      </w:r>
    </w:p>
    <w:p w:rsidR="009C7F58" w:rsidRPr="00F5551F" w:rsidRDefault="009C7F58" w:rsidP="003B22E2">
      <w:pPr>
        <w:pBdr>
          <w:top w:val="single" w:sz="4" w:space="1" w:color="auto"/>
          <w:left w:val="single" w:sz="4" w:space="4" w:color="auto"/>
          <w:bottom w:val="single" w:sz="4" w:space="1" w:color="auto"/>
          <w:right w:val="single" w:sz="4" w:space="4" w:color="auto"/>
        </w:pBdr>
        <w:rPr>
          <w:i/>
          <w:color w:val="000000"/>
          <w:sz w:val="22"/>
          <w:szCs w:val="22"/>
          <w:lang w:eastAsia="de-DE"/>
        </w:rPr>
      </w:pPr>
    </w:p>
    <w:p w:rsidR="009C7F58" w:rsidRPr="00F5551F" w:rsidRDefault="009C7F58" w:rsidP="003B22E2">
      <w:pPr>
        <w:pBdr>
          <w:top w:val="single" w:sz="4" w:space="1" w:color="auto"/>
          <w:left w:val="single" w:sz="4" w:space="4" w:color="auto"/>
          <w:bottom w:val="single" w:sz="4" w:space="1" w:color="auto"/>
          <w:right w:val="single" w:sz="4" w:space="4" w:color="auto"/>
        </w:pBdr>
        <w:rPr>
          <w:i/>
          <w:iCs/>
          <w:color w:val="000000"/>
          <w:sz w:val="22"/>
          <w:szCs w:val="22"/>
          <w:lang w:eastAsia="de-DE"/>
        </w:rPr>
      </w:pPr>
      <w:r w:rsidRPr="00F5551F">
        <w:rPr>
          <w:rFonts w:eastAsia="Arial Unicode MS" w:cs="Courier New"/>
          <w:b/>
          <w:i/>
          <w:sz w:val="22"/>
          <w:szCs w:val="22"/>
          <w:lang w:eastAsia="en-GB"/>
        </w:rPr>
        <w:t>Article 7</w:t>
      </w:r>
      <w:r w:rsidR="003B22E2" w:rsidRPr="00F5551F">
        <w:rPr>
          <w:rFonts w:eastAsia="Arial Unicode MS" w:cs="Courier New"/>
          <w:b/>
          <w:i/>
          <w:sz w:val="22"/>
          <w:szCs w:val="22"/>
          <w:lang w:eastAsia="en-GB"/>
        </w:rPr>
        <w:t xml:space="preserve"> - </w:t>
      </w:r>
      <w:r w:rsidRPr="00F5551F">
        <w:rPr>
          <w:i/>
          <w:iCs/>
          <w:color w:val="000000"/>
          <w:sz w:val="22"/>
          <w:szCs w:val="22"/>
          <w:lang w:eastAsia="de-DE"/>
        </w:rPr>
        <w:t xml:space="preserve">Capital requirements for business risk </w:t>
      </w:r>
    </w:p>
    <w:p w:rsidR="009C7F58" w:rsidRPr="00F5551F" w:rsidRDefault="009C7F58" w:rsidP="003B22E2">
      <w:pPr>
        <w:pBdr>
          <w:top w:val="single" w:sz="4" w:space="1" w:color="auto"/>
          <w:left w:val="single" w:sz="4" w:space="4" w:color="auto"/>
          <w:bottom w:val="single" w:sz="4" w:space="1" w:color="auto"/>
          <w:right w:val="single" w:sz="4" w:space="4" w:color="auto"/>
        </w:pBdr>
        <w:rPr>
          <w:i/>
          <w:color w:val="000000"/>
          <w:sz w:val="22"/>
          <w:szCs w:val="22"/>
          <w:lang w:eastAsia="de-DE"/>
        </w:rPr>
      </w:pPr>
    </w:p>
    <w:p w:rsidR="009C7F58" w:rsidRPr="00F5551F" w:rsidRDefault="003B22E2" w:rsidP="003B22E2">
      <w:pPr>
        <w:pBdr>
          <w:top w:val="single" w:sz="4" w:space="1" w:color="auto"/>
          <w:left w:val="single" w:sz="4" w:space="4" w:color="auto"/>
          <w:bottom w:val="single" w:sz="4" w:space="1" w:color="auto"/>
          <w:right w:val="single" w:sz="4" w:space="4" w:color="auto"/>
        </w:pBdr>
        <w:rPr>
          <w:i/>
          <w:color w:val="000000"/>
          <w:sz w:val="22"/>
          <w:szCs w:val="22"/>
          <w:lang w:eastAsia="de-DE"/>
        </w:rPr>
      </w:pPr>
      <w:r w:rsidRPr="00F5551F">
        <w:rPr>
          <w:i/>
          <w:color w:val="000000"/>
          <w:sz w:val="22"/>
          <w:szCs w:val="22"/>
          <w:lang w:eastAsia="de-DE"/>
        </w:rPr>
        <w:t xml:space="preserve">1. </w:t>
      </w:r>
      <w:r w:rsidR="009C7F58" w:rsidRPr="00F5551F">
        <w:rPr>
          <w:i/>
          <w:color w:val="000000"/>
          <w:sz w:val="22"/>
          <w:szCs w:val="22"/>
          <w:lang w:eastAsia="de-DE"/>
        </w:rPr>
        <w:t xml:space="preserve">For the purposes of point (d) of Article 3(1), the capital requirements of a CSD </w:t>
      </w:r>
      <w:proofErr w:type="gramStart"/>
      <w:r w:rsidR="009C7F58" w:rsidRPr="00F5551F">
        <w:rPr>
          <w:i/>
          <w:color w:val="000000"/>
          <w:sz w:val="22"/>
          <w:szCs w:val="22"/>
          <w:lang w:eastAsia="de-DE"/>
        </w:rPr>
        <w:t>for  business</w:t>
      </w:r>
      <w:proofErr w:type="gramEnd"/>
      <w:r w:rsidR="009C7F58" w:rsidRPr="00F5551F">
        <w:rPr>
          <w:i/>
          <w:color w:val="000000"/>
          <w:sz w:val="22"/>
          <w:szCs w:val="22"/>
          <w:lang w:eastAsia="de-DE"/>
        </w:rPr>
        <w:t xml:space="preserve"> risk shall be the higher of the following: </w:t>
      </w:r>
    </w:p>
    <w:p w:rsidR="009C7F58" w:rsidRPr="00F5551F" w:rsidRDefault="003B22E2" w:rsidP="003B22E2">
      <w:pPr>
        <w:pBdr>
          <w:top w:val="single" w:sz="4" w:space="1" w:color="auto"/>
          <w:left w:val="single" w:sz="4" w:space="4" w:color="auto"/>
          <w:bottom w:val="single" w:sz="4" w:space="1" w:color="auto"/>
          <w:right w:val="single" w:sz="4" w:space="4" w:color="auto"/>
        </w:pBdr>
        <w:rPr>
          <w:b/>
          <w:i/>
          <w:sz w:val="22"/>
          <w:szCs w:val="22"/>
          <w:lang w:eastAsia="de-DE"/>
        </w:rPr>
      </w:pPr>
      <w:r w:rsidRPr="00F5551F">
        <w:rPr>
          <w:i/>
          <w:color w:val="000000"/>
          <w:sz w:val="22"/>
          <w:szCs w:val="22"/>
          <w:lang w:eastAsia="de-DE"/>
        </w:rPr>
        <w:t xml:space="preserve">(a) </w:t>
      </w:r>
      <w:proofErr w:type="gramStart"/>
      <w:r w:rsidR="009C7F58" w:rsidRPr="00F5551F">
        <w:rPr>
          <w:i/>
          <w:color w:val="000000"/>
          <w:sz w:val="22"/>
          <w:szCs w:val="22"/>
          <w:lang w:eastAsia="de-DE"/>
        </w:rPr>
        <w:t>the</w:t>
      </w:r>
      <w:proofErr w:type="gramEnd"/>
      <w:r w:rsidR="009C7F58" w:rsidRPr="00F5551F">
        <w:rPr>
          <w:i/>
          <w:color w:val="000000"/>
          <w:sz w:val="22"/>
          <w:szCs w:val="22"/>
          <w:lang w:eastAsia="de-DE"/>
        </w:rPr>
        <w:t xml:space="preserve"> sum of all estimates resulting from the application of paragraph 2 </w:t>
      </w:r>
      <w:r w:rsidR="009C7F58" w:rsidRPr="00F5551F">
        <w:rPr>
          <w:b/>
          <w:i/>
          <w:sz w:val="22"/>
          <w:szCs w:val="22"/>
          <w:lang w:eastAsia="de-DE"/>
        </w:rPr>
        <w:t xml:space="preserve">exceeding the net income after tax of the last audited financial year;  </w:t>
      </w:r>
    </w:p>
    <w:p w:rsidR="009C7F58" w:rsidRPr="00F5551F" w:rsidRDefault="003B22E2" w:rsidP="003B22E2">
      <w:pPr>
        <w:pBdr>
          <w:top w:val="single" w:sz="4" w:space="1" w:color="auto"/>
          <w:left w:val="single" w:sz="4" w:space="4" w:color="auto"/>
          <w:bottom w:val="single" w:sz="4" w:space="1" w:color="auto"/>
          <w:right w:val="single" w:sz="4" w:space="4" w:color="auto"/>
        </w:pBdr>
        <w:rPr>
          <w:i/>
          <w:color w:val="000000"/>
          <w:sz w:val="22"/>
          <w:szCs w:val="22"/>
          <w:lang w:eastAsia="de-DE"/>
        </w:rPr>
      </w:pPr>
      <w:r w:rsidRPr="00F5551F">
        <w:rPr>
          <w:b/>
          <w:i/>
          <w:sz w:val="22"/>
          <w:szCs w:val="22"/>
          <w:lang w:eastAsia="de-DE"/>
        </w:rPr>
        <w:t xml:space="preserve">(b) </w:t>
      </w:r>
      <w:r w:rsidR="009C7F58" w:rsidRPr="00F5551F">
        <w:rPr>
          <w:b/>
          <w:i/>
          <w:sz w:val="22"/>
          <w:szCs w:val="22"/>
          <w:lang w:eastAsia="de-DE"/>
        </w:rPr>
        <w:t>the sum of all estimates resulting from the application of paragraph 2 exceeding the expected net income after tax for the current financial year</w:t>
      </w:r>
      <w:r w:rsidR="009C7F58" w:rsidRPr="00F5551F">
        <w:rPr>
          <w:i/>
          <w:sz w:val="22"/>
          <w:szCs w:val="22"/>
          <w:lang w:eastAsia="de-DE"/>
        </w:rPr>
        <w:t xml:space="preserve"> </w:t>
      </w:r>
      <w:r w:rsidR="009C7F58" w:rsidRPr="00F5551F">
        <w:rPr>
          <w:i/>
          <w:strike/>
          <w:color w:val="000000"/>
          <w:sz w:val="22"/>
          <w:szCs w:val="22"/>
          <w:lang w:eastAsia="de-DE"/>
        </w:rPr>
        <w:t>25% of the CSD’s annual gross operational expenses</w:t>
      </w:r>
      <w:r w:rsidR="009C7F58" w:rsidRPr="00F5551F">
        <w:rPr>
          <w:i/>
          <w:color w:val="000000"/>
          <w:sz w:val="22"/>
          <w:szCs w:val="22"/>
          <w:lang w:eastAsia="de-DE"/>
        </w:rPr>
        <w:t xml:space="preserve">. </w:t>
      </w:r>
      <w:r w:rsidR="009C7F58" w:rsidRPr="00F5551F">
        <w:rPr>
          <w:i/>
          <w:color w:val="000000"/>
          <w:sz w:val="22"/>
          <w:szCs w:val="22"/>
          <w:lang w:eastAsia="de-DE"/>
        </w:rPr>
        <w:br/>
      </w:r>
      <w:r w:rsidR="009C7F58" w:rsidRPr="00F5551F">
        <w:rPr>
          <w:b/>
          <w:i/>
          <w:color w:val="000000"/>
          <w:sz w:val="22"/>
          <w:szCs w:val="22"/>
          <w:lang w:eastAsia="de-DE"/>
        </w:rPr>
        <w:t>Where a CSD has not completed business for one year from the date it starts its operations, a CSD shall use the expected net income after tax as projected in its business plan in order to determine any needed capital to cover business risks exceeding the expected income.</w:t>
      </w:r>
    </w:p>
    <w:p w:rsidR="009C7F58" w:rsidRPr="00F5551F" w:rsidRDefault="003B22E2" w:rsidP="003B22E2">
      <w:pPr>
        <w:pBdr>
          <w:top w:val="single" w:sz="4" w:space="1" w:color="auto"/>
          <w:left w:val="single" w:sz="4" w:space="4" w:color="auto"/>
          <w:bottom w:val="single" w:sz="4" w:space="1" w:color="auto"/>
          <w:right w:val="single" w:sz="4" w:space="4" w:color="auto"/>
        </w:pBdr>
        <w:rPr>
          <w:i/>
          <w:color w:val="000000"/>
          <w:sz w:val="22"/>
          <w:szCs w:val="22"/>
          <w:lang w:eastAsia="de-DE"/>
        </w:rPr>
      </w:pPr>
      <w:r w:rsidRPr="00F5551F">
        <w:rPr>
          <w:i/>
          <w:color w:val="000000"/>
          <w:sz w:val="22"/>
          <w:szCs w:val="22"/>
          <w:lang w:eastAsia="de-DE"/>
        </w:rPr>
        <w:t xml:space="preserve">2. </w:t>
      </w:r>
      <w:r w:rsidR="009C7F58" w:rsidRPr="00F5551F">
        <w:rPr>
          <w:i/>
          <w:color w:val="000000"/>
          <w:sz w:val="22"/>
          <w:szCs w:val="22"/>
          <w:lang w:eastAsia="de-DE"/>
        </w:rPr>
        <w:t xml:space="preserve">For the purposes of </w:t>
      </w:r>
      <w:r w:rsidR="009C7F58" w:rsidRPr="00F5551F">
        <w:rPr>
          <w:i/>
          <w:strike/>
          <w:color w:val="000000"/>
          <w:sz w:val="22"/>
          <w:szCs w:val="22"/>
          <w:lang w:eastAsia="de-DE"/>
        </w:rPr>
        <w:t>point (a) of</w:t>
      </w:r>
      <w:r w:rsidR="009C7F58" w:rsidRPr="00F5551F">
        <w:rPr>
          <w:i/>
          <w:color w:val="000000"/>
          <w:sz w:val="22"/>
          <w:szCs w:val="22"/>
          <w:lang w:eastAsia="de-DE"/>
        </w:rPr>
        <w:t xml:space="preserve"> paragraph 1, a CSD shall:</w:t>
      </w:r>
    </w:p>
    <w:p w:rsidR="009C7F58" w:rsidRPr="00F5551F" w:rsidRDefault="003B22E2" w:rsidP="003B22E2">
      <w:pPr>
        <w:pBdr>
          <w:top w:val="single" w:sz="4" w:space="1" w:color="auto"/>
          <w:left w:val="single" w:sz="4" w:space="4" w:color="auto"/>
          <w:bottom w:val="single" w:sz="4" w:space="1" w:color="auto"/>
          <w:right w:val="single" w:sz="4" w:space="4" w:color="auto"/>
        </w:pBdr>
        <w:rPr>
          <w:i/>
          <w:color w:val="000000"/>
          <w:sz w:val="22"/>
          <w:szCs w:val="22"/>
          <w:lang w:eastAsia="de-DE"/>
        </w:rPr>
      </w:pPr>
      <w:r w:rsidRPr="00F5551F">
        <w:rPr>
          <w:i/>
          <w:color w:val="000000"/>
          <w:sz w:val="22"/>
          <w:szCs w:val="22"/>
          <w:lang w:eastAsia="de-DE"/>
        </w:rPr>
        <w:t xml:space="preserve">(a) </w:t>
      </w:r>
      <w:r w:rsidR="009C7F58" w:rsidRPr="00F5551F">
        <w:rPr>
          <w:i/>
          <w:color w:val="000000"/>
          <w:sz w:val="22"/>
          <w:szCs w:val="22"/>
          <w:lang w:eastAsia="de-DE"/>
        </w:rPr>
        <w:t xml:space="preserve">calculate an estimate of the </w:t>
      </w:r>
      <w:r w:rsidR="009C7F58" w:rsidRPr="00F5551F">
        <w:rPr>
          <w:b/>
          <w:i/>
          <w:sz w:val="22"/>
          <w:szCs w:val="22"/>
          <w:lang w:eastAsia="de-DE"/>
        </w:rPr>
        <w:t>amount</w:t>
      </w:r>
      <w:r w:rsidR="009C7F58" w:rsidRPr="00F5551F">
        <w:rPr>
          <w:i/>
          <w:sz w:val="22"/>
          <w:szCs w:val="22"/>
          <w:lang w:eastAsia="de-DE"/>
        </w:rPr>
        <w:t xml:space="preserve"> </w:t>
      </w:r>
      <w:r w:rsidR="009C7F58" w:rsidRPr="00F5551F">
        <w:rPr>
          <w:i/>
          <w:strike/>
          <w:sz w:val="22"/>
          <w:szCs w:val="22"/>
          <w:lang w:eastAsia="de-DE"/>
        </w:rPr>
        <w:t xml:space="preserve">capital </w:t>
      </w:r>
      <w:r w:rsidR="009C7F58" w:rsidRPr="00F5551F">
        <w:rPr>
          <w:i/>
          <w:color w:val="000000"/>
          <w:sz w:val="22"/>
          <w:szCs w:val="22"/>
          <w:lang w:eastAsia="de-DE"/>
        </w:rPr>
        <w:t xml:space="preserve">required to cover for all the losses resulting from applying each of the business risk scenarios referred to in Annex II of this Regulation; </w:t>
      </w:r>
    </w:p>
    <w:p w:rsidR="009C7F58" w:rsidRPr="00F5551F" w:rsidRDefault="003B22E2" w:rsidP="003B22E2">
      <w:pPr>
        <w:pBdr>
          <w:top w:val="single" w:sz="4" w:space="1" w:color="auto"/>
          <w:left w:val="single" w:sz="4" w:space="4" w:color="auto"/>
          <w:bottom w:val="single" w:sz="4" w:space="1" w:color="auto"/>
          <w:right w:val="single" w:sz="4" w:space="4" w:color="auto"/>
        </w:pBdr>
        <w:rPr>
          <w:i/>
          <w:color w:val="000000"/>
          <w:sz w:val="22"/>
          <w:szCs w:val="22"/>
          <w:lang w:eastAsia="de-DE"/>
        </w:rPr>
      </w:pPr>
      <w:r w:rsidRPr="00F5551F">
        <w:rPr>
          <w:i/>
          <w:color w:val="000000"/>
          <w:sz w:val="22"/>
          <w:szCs w:val="22"/>
          <w:lang w:eastAsia="de-DE"/>
        </w:rPr>
        <w:t xml:space="preserve">(b) </w:t>
      </w:r>
      <w:proofErr w:type="gramStart"/>
      <w:r w:rsidR="009C7F58" w:rsidRPr="00F5551F">
        <w:rPr>
          <w:i/>
          <w:color w:val="000000"/>
          <w:sz w:val="22"/>
          <w:szCs w:val="22"/>
          <w:lang w:eastAsia="de-DE"/>
        </w:rPr>
        <w:t>document</w:t>
      </w:r>
      <w:proofErr w:type="gramEnd"/>
      <w:r w:rsidR="009C7F58" w:rsidRPr="00F5551F">
        <w:rPr>
          <w:i/>
          <w:color w:val="000000"/>
          <w:sz w:val="22"/>
          <w:szCs w:val="22"/>
          <w:lang w:eastAsia="de-DE"/>
        </w:rPr>
        <w:t xml:space="preserve"> the assumptions and the methodologies used to estimate the expected losses referred to in point (a); </w:t>
      </w:r>
    </w:p>
    <w:p w:rsidR="009C7F58" w:rsidRPr="00F5551F" w:rsidRDefault="003B22E2" w:rsidP="003B22E2">
      <w:pPr>
        <w:pBdr>
          <w:top w:val="single" w:sz="4" w:space="1" w:color="auto"/>
          <w:left w:val="single" w:sz="4" w:space="4" w:color="auto"/>
          <w:bottom w:val="single" w:sz="4" w:space="1" w:color="auto"/>
          <w:right w:val="single" w:sz="4" w:space="4" w:color="auto"/>
        </w:pBdr>
        <w:rPr>
          <w:i/>
          <w:color w:val="000000"/>
          <w:sz w:val="22"/>
          <w:szCs w:val="22"/>
          <w:lang w:eastAsia="de-DE"/>
        </w:rPr>
      </w:pPr>
      <w:r w:rsidRPr="00F5551F">
        <w:rPr>
          <w:i/>
          <w:color w:val="000000"/>
          <w:sz w:val="22"/>
          <w:szCs w:val="22"/>
          <w:lang w:eastAsia="de-DE"/>
        </w:rPr>
        <w:t xml:space="preserve">(c) </w:t>
      </w:r>
      <w:proofErr w:type="gramStart"/>
      <w:r w:rsidR="009C7F58" w:rsidRPr="00F5551F">
        <w:rPr>
          <w:i/>
          <w:color w:val="000000"/>
          <w:sz w:val="22"/>
          <w:szCs w:val="22"/>
          <w:lang w:eastAsia="de-DE"/>
        </w:rPr>
        <w:t>shall</w:t>
      </w:r>
      <w:proofErr w:type="gramEnd"/>
      <w:r w:rsidR="009C7F58" w:rsidRPr="00F5551F">
        <w:rPr>
          <w:i/>
          <w:color w:val="000000"/>
          <w:sz w:val="22"/>
          <w:szCs w:val="22"/>
          <w:lang w:eastAsia="de-DE"/>
        </w:rPr>
        <w:t xml:space="preserve"> review and update the scenarios referred to in Annex II at least annually. </w:t>
      </w:r>
    </w:p>
    <w:p w:rsidR="009C7F58" w:rsidRPr="00F5551F" w:rsidRDefault="003B22E2" w:rsidP="003B22E2">
      <w:pPr>
        <w:pBdr>
          <w:top w:val="single" w:sz="4" w:space="1" w:color="auto"/>
          <w:left w:val="single" w:sz="4" w:space="4" w:color="auto"/>
          <w:bottom w:val="single" w:sz="4" w:space="1" w:color="auto"/>
          <w:right w:val="single" w:sz="4" w:space="4" w:color="auto"/>
        </w:pBdr>
        <w:rPr>
          <w:i/>
          <w:strike/>
          <w:color w:val="000000"/>
          <w:sz w:val="22"/>
          <w:szCs w:val="22"/>
          <w:lang w:eastAsia="de-DE"/>
        </w:rPr>
      </w:pPr>
      <w:r w:rsidRPr="00F5551F">
        <w:rPr>
          <w:i/>
          <w:color w:val="000000"/>
          <w:sz w:val="22"/>
          <w:szCs w:val="22"/>
          <w:lang w:eastAsia="de-DE"/>
        </w:rPr>
        <w:t xml:space="preserve">3. </w:t>
      </w:r>
      <w:r w:rsidR="009C7F58" w:rsidRPr="00F5551F">
        <w:rPr>
          <w:i/>
          <w:strike/>
          <w:color w:val="000000"/>
          <w:sz w:val="22"/>
          <w:szCs w:val="22"/>
          <w:lang w:eastAsia="de-DE"/>
        </w:rPr>
        <w:t>For the purposes of point (b) of paragraph 1, the following shall apply:</w:t>
      </w:r>
    </w:p>
    <w:p w:rsidR="009C7F58" w:rsidRPr="00F5551F" w:rsidRDefault="003B22E2" w:rsidP="003B22E2">
      <w:pPr>
        <w:pBdr>
          <w:top w:val="single" w:sz="4" w:space="1" w:color="auto"/>
          <w:left w:val="single" w:sz="4" w:space="4" w:color="auto"/>
          <w:bottom w:val="single" w:sz="4" w:space="1" w:color="auto"/>
          <w:right w:val="single" w:sz="4" w:space="4" w:color="auto"/>
        </w:pBdr>
        <w:rPr>
          <w:i/>
          <w:strike/>
          <w:color w:val="000000"/>
          <w:sz w:val="22"/>
          <w:szCs w:val="22"/>
          <w:lang w:eastAsia="de-DE"/>
        </w:rPr>
      </w:pPr>
      <w:r w:rsidRPr="00F5551F">
        <w:rPr>
          <w:i/>
          <w:strike/>
          <w:color w:val="000000"/>
          <w:sz w:val="22"/>
          <w:szCs w:val="22"/>
          <w:lang w:eastAsia="de-DE"/>
        </w:rPr>
        <w:t xml:space="preserve">(a) </w:t>
      </w:r>
      <w:r w:rsidR="009C7F58" w:rsidRPr="00F5551F">
        <w:rPr>
          <w:i/>
          <w:strike/>
          <w:color w:val="000000"/>
          <w:sz w:val="22"/>
          <w:szCs w:val="22"/>
          <w:lang w:eastAsia="de-DE"/>
        </w:rPr>
        <w:t xml:space="preserve">the CSD’s annual gross operational expenses shall consist of at least total personnel expenses including wages, salaries, bonuses and social costs; total general administrative expenses, and, in particular, marketing and representation expenses; insurance; other employees’ expenses and travelling; real estate expenses; IT support; telecommunications; postage and data transfer; external consultancy and other services; tangible and intangible assets’ depreciation and amortisation; impairment and disposal of fixed assets and be determined in accordance with one of the following: </w:t>
      </w:r>
    </w:p>
    <w:p w:rsidR="009C7F58" w:rsidRPr="00F5551F" w:rsidRDefault="003B22E2" w:rsidP="003B22E2">
      <w:pPr>
        <w:pBdr>
          <w:top w:val="single" w:sz="4" w:space="1" w:color="auto"/>
          <w:left w:val="single" w:sz="4" w:space="4" w:color="auto"/>
          <w:bottom w:val="single" w:sz="4" w:space="1" w:color="auto"/>
          <w:right w:val="single" w:sz="4" w:space="4" w:color="auto"/>
        </w:pBdr>
        <w:rPr>
          <w:i/>
          <w:strike/>
          <w:color w:val="000000"/>
          <w:sz w:val="22"/>
          <w:szCs w:val="22"/>
          <w:lang w:eastAsia="de-DE"/>
        </w:rPr>
      </w:pPr>
      <w:r w:rsidRPr="00F5551F">
        <w:rPr>
          <w:i/>
          <w:strike/>
          <w:color w:val="000000"/>
          <w:sz w:val="22"/>
          <w:szCs w:val="22"/>
          <w:lang w:eastAsia="de-DE"/>
        </w:rPr>
        <w:t>(</w:t>
      </w:r>
      <w:proofErr w:type="spellStart"/>
      <w:r w:rsidRPr="00F5551F">
        <w:rPr>
          <w:i/>
          <w:strike/>
          <w:color w:val="000000"/>
          <w:sz w:val="22"/>
          <w:szCs w:val="22"/>
          <w:lang w:eastAsia="de-DE"/>
        </w:rPr>
        <w:t>i</w:t>
      </w:r>
      <w:proofErr w:type="spellEnd"/>
      <w:r w:rsidRPr="00F5551F">
        <w:rPr>
          <w:i/>
          <w:strike/>
          <w:color w:val="000000"/>
          <w:sz w:val="22"/>
          <w:szCs w:val="22"/>
          <w:lang w:eastAsia="de-DE"/>
        </w:rPr>
        <w:t xml:space="preserve">) </w:t>
      </w:r>
      <w:proofErr w:type="gramStart"/>
      <w:r w:rsidR="009C7F58" w:rsidRPr="00F5551F">
        <w:rPr>
          <w:i/>
          <w:strike/>
          <w:color w:val="000000"/>
          <w:sz w:val="22"/>
          <w:szCs w:val="22"/>
          <w:lang w:eastAsia="de-DE"/>
        </w:rPr>
        <w:t>the</w:t>
      </w:r>
      <w:proofErr w:type="gramEnd"/>
      <w:r w:rsidR="009C7F58" w:rsidRPr="00F5551F">
        <w:rPr>
          <w:i/>
          <w:strike/>
          <w:color w:val="000000"/>
          <w:sz w:val="22"/>
          <w:szCs w:val="22"/>
          <w:lang w:eastAsia="de-DE"/>
        </w:rPr>
        <w:t xml:space="preserve"> International Financial Reporting Standards (IFRS) adopted pursuant to Regulation (EC) No 1606/2002</w:t>
      </w:r>
      <w:r w:rsidR="009C7F58" w:rsidRPr="00F5551F">
        <w:rPr>
          <w:rFonts w:cs="Calibri"/>
          <w:i/>
          <w:strike/>
          <w:color w:val="000000"/>
          <w:sz w:val="22"/>
          <w:szCs w:val="22"/>
          <w:lang w:eastAsia="de-DE"/>
        </w:rPr>
        <w:t>12</w:t>
      </w:r>
      <w:r w:rsidR="009C7F58" w:rsidRPr="00F5551F">
        <w:rPr>
          <w:i/>
          <w:strike/>
          <w:color w:val="000000"/>
          <w:sz w:val="22"/>
          <w:szCs w:val="22"/>
          <w:lang w:eastAsia="de-DE"/>
        </w:rPr>
        <w:t xml:space="preserve">; </w:t>
      </w:r>
    </w:p>
    <w:p w:rsidR="009C7F58" w:rsidRPr="00F5551F" w:rsidRDefault="003B22E2" w:rsidP="003B22E2">
      <w:pPr>
        <w:pBdr>
          <w:top w:val="single" w:sz="4" w:space="1" w:color="auto"/>
          <w:left w:val="single" w:sz="4" w:space="4" w:color="auto"/>
          <w:bottom w:val="single" w:sz="4" w:space="1" w:color="auto"/>
          <w:right w:val="single" w:sz="4" w:space="4" w:color="auto"/>
        </w:pBdr>
        <w:rPr>
          <w:i/>
          <w:strike/>
          <w:color w:val="000000"/>
          <w:sz w:val="22"/>
          <w:szCs w:val="22"/>
          <w:lang w:eastAsia="de-DE"/>
        </w:rPr>
      </w:pPr>
      <w:r w:rsidRPr="00F5551F">
        <w:rPr>
          <w:i/>
          <w:strike/>
          <w:color w:val="000000"/>
          <w:sz w:val="22"/>
          <w:szCs w:val="22"/>
          <w:lang w:eastAsia="de-DE"/>
        </w:rPr>
        <w:t xml:space="preserve">(ii) </w:t>
      </w:r>
      <w:r w:rsidR="009C7F58" w:rsidRPr="00F5551F">
        <w:rPr>
          <w:i/>
          <w:strike/>
          <w:color w:val="000000"/>
          <w:sz w:val="22"/>
          <w:szCs w:val="22"/>
          <w:lang w:eastAsia="de-DE"/>
        </w:rPr>
        <w:t>Council Directives 78/660/EEC</w:t>
      </w:r>
      <w:r w:rsidR="009C7F58" w:rsidRPr="00F5551F">
        <w:rPr>
          <w:rFonts w:cs="Calibri"/>
          <w:i/>
          <w:strike/>
          <w:color w:val="000000"/>
          <w:sz w:val="22"/>
          <w:szCs w:val="22"/>
          <w:lang w:eastAsia="de-DE"/>
        </w:rPr>
        <w:t>13</w:t>
      </w:r>
      <w:r w:rsidR="009C7F58" w:rsidRPr="00F5551F">
        <w:rPr>
          <w:i/>
          <w:strike/>
          <w:color w:val="000000"/>
          <w:sz w:val="22"/>
          <w:szCs w:val="22"/>
          <w:lang w:eastAsia="de-DE"/>
        </w:rPr>
        <w:t>, 83/349/EEC</w:t>
      </w:r>
      <w:r w:rsidR="009C7F58" w:rsidRPr="00F5551F">
        <w:rPr>
          <w:rFonts w:cs="Calibri"/>
          <w:i/>
          <w:strike/>
          <w:color w:val="000000"/>
          <w:sz w:val="22"/>
          <w:szCs w:val="22"/>
          <w:lang w:eastAsia="de-DE"/>
        </w:rPr>
        <w:t xml:space="preserve">14 </w:t>
      </w:r>
      <w:r w:rsidR="009C7F58" w:rsidRPr="00F5551F">
        <w:rPr>
          <w:i/>
          <w:strike/>
          <w:color w:val="000000"/>
          <w:sz w:val="22"/>
          <w:szCs w:val="22"/>
          <w:lang w:eastAsia="de-DE"/>
        </w:rPr>
        <w:t>and 86/635/EC</w:t>
      </w:r>
      <w:r w:rsidR="009C7F58" w:rsidRPr="00F5551F">
        <w:rPr>
          <w:rFonts w:cs="Calibri"/>
          <w:i/>
          <w:strike/>
          <w:color w:val="000000"/>
          <w:sz w:val="22"/>
          <w:szCs w:val="22"/>
          <w:lang w:eastAsia="de-DE"/>
        </w:rPr>
        <w:t>15</w:t>
      </w:r>
      <w:r w:rsidR="009C7F58" w:rsidRPr="00F5551F">
        <w:rPr>
          <w:i/>
          <w:strike/>
          <w:color w:val="000000"/>
          <w:sz w:val="22"/>
          <w:szCs w:val="22"/>
          <w:lang w:eastAsia="de-DE"/>
        </w:rPr>
        <w:t xml:space="preserve">; </w:t>
      </w:r>
    </w:p>
    <w:p w:rsidR="009C7F58" w:rsidRPr="00F5551F" w:rsidRDefault="003B22E2" w:rsidP="003B22E2">
      <w:pPr>
        <w:pBdr>
          <w:top w:val="single" w:sz="4" w:space="1" w:color="auto"/>
          <w:left w:val="single" w:sz="4" w:space="4" w:color="auto"/>
          <w:bottom w:val="single" w:sz="4" w:space="1" w:color="auto"/>
          <w:right w:val="single" w:sz="4" w:space="4" w:color="auto"/>
        </w:pBdr>
        <w:rPr>
          <w:i/>
          <w:strike/>
          <w:color w:val="000000"/>
          <w:sz w:val="22"/>
          <w:szCs w:val="22"/>
          <w:lang w:eastAsia="de-DE"/>
        </w:rPr>
      </w:pPr>
      <w:r w:rsidRPr="00F5551F">
        <w:rPr>
          <w:i/>
          <w:strike/>
          <w:color w:val="000000"/>
          <w:sz w:val="22"/>
          <w:szCs w:val="22"/>
          <w:lang w:eastAsia="de-DE"/>
        </w:rPr>
        <w:t xml:space="preserve">(iii) </w:t>
      </w:r>
      <w:r w:rsidR="009C7F58" w:rsidRPr="00F5551F">
        <w:rPr>
          <w:i/>
          <w:strike/>
          <w:color w:val="000000"/>
          <w:sz w:val="22"/>
          <w:szCs w:val="22"/>
          <w:lang w:eastAsia="de-DE"/>
        </w:rPr>
        <w:t>generally accepted accounting principles of a third country determined to be equivalent to IFRS in accordance with Commission Regulation (EC) No 1569/2007</w:t>
      </w:r>
      <w:r w:rsidR="009C7F58" w:rsidRPr="00F5551F">
        <w:rPr>
          <w:rFonts w:cs="Calibri"/>
          <w:i/>
          <w:strike/>
          <w:color w:val="000000"/>
          <w:sz w:val="22"/>
          <w:szCs w:val="22"/>
          <w:lang w:eastAsia="de-DE"/>
        </w:rPr>
        <w:t xml:space="preserve">16 </w:t>
      </w:r>
      <w:r w:rsidR="009C7F58" w:rsidRPr="00F5551F">
        <w:rPr>
          <w:i/>
          <w:strike/>
          <w:color w:val="000000"/>
          <w:sz w:val="22"/>
          <w:szCs w:val="22"/>
          <w:lang w:eastAsia="de-DE"/>
        </w:rPr>
        <w:t xml:space="preserve">or accounting standards of a third country the use of which is permitted in accordance with Article 4 of that Regulation; </w:t>
      </w:r>
    </w:p>
    <w:p w:rsidR="009C7F58" w:rsidRPr="00F5551F" w:rsidRDefault="003B22E2" w:rsidP="003B22E2">
      <w:pPr>
        <w:pBdr>
          <w:top w:val="single" w:sz="4" w:space="1" w:color="auto"/>
          <w:left w:val="single" w:sz="4" w:space="4" w:color="auto"/>
          <w:bottom w:val="single" w:sz="4" w:space="1" w:color="auto"/>
          <w:right w:val="single" w:sz="4" w:space="4" w:color="auto"/>
        </w:pBdr>
        <w:rPr>
          <w:i/>
          <w:strike/>
          <w:color w:val="000000"/>
          <w:sz w:val="22"/>
          <w:szCs w:val="22"/>
          <w:lang w:eastAsia="de-DE"/>
        </w:rPr>
      </w:pPr>
      <w:r w:rsidRPr="00F5551F">
        <w:rPr>
          <w:i/>
          <w:strike/>
          <w:color w:val="000000"/>
          <w:sz w:val="22"/>
          <w:szCs w:val="22"/>
          <w:lang w:eastAsia="de-DE"/>
        </w:rPr>
        <w:t xml:space="preserve">(b) </w:t>
      </w:r>
      <w:proofErr w:type="gramStart"/>
      <w:r w:rsidR="009C7F58" w:rsidRPr="00F5551F">
        <w:rPr>
          <w:i/>
          <w:strike/>
          <w:color w:val="000000"/>
          <w:sz w:val="22"/>
          <w:szCs w:val="22"/>
          <w:lang w:eastAsia="de-DE"/>
        </w:rPr>
        <w:t>the</w:t>
      </w:r>
      <w:proofErr w:type="gramEnd"/>
      <w:r w:rsidR="009C7F58" w:rsidRPr="00F5551F">
        <w:rPr>
          <w:i/>
          <w:strike/>
          <w:color w:val="000000"/>
          <w:sz w:val="22"/>
          <w:szCs w:val="22"/>
          <w:lang w:eastAsia="de-DE"/>
        </w:rPr>
        <w:t xml:space="preserve"> CSD shall use the most recent audited information from their annual financial statement; </w:t>
      </w:r>
    </w:p>
    <w:p w:rsidR="009C7F58" w:rsidRPr="00F5551F" w:rsidRDefault="003B22E2" w:rsidP="003B22E2">
      <w:pPr>
        <w:pBdr>
          <w:top w:val="single" w:sz="4" w:space="1" w:color="auto"/>
          <w:left w:val="single" w:sz="4" w:space="4" w:color="auto"/>
          <w:bottom w:val="single" w:sz="4" w:space="1" w:color="auto"/>
          <w:right w:val="single" w:sz="4" w:space="4" w:color="auto"/>
        </w:pBdr>
        <w:rPr>
          <w:i/>
          <w:strike/>
          <w:color w:val="000000"/>
          <w:sz w:val="22"/>
          <w:szCs w:val="22"/>
          <w:lang w:eastAsia="de-DE"/>
        </w:rPr>
      </w:pPr>
      <w:r w:rsidRPr="00F5551F">
        <w:rPr>
          <w:i/>
          <w:strike/>
          <w:color w:val="000000"/>
          <w:sz w:val="22"/>
          <w:szCs w:val="22"/>
          <w:lang w:eastAsia="de-DE"/>
        </w:rPr>
        <w:t xml:space="preserve">(c) </w:t>
      </w:r>
      <w:r w:rsidR="009C7F58" w:rsidRPr="00F5551F">
        <w:rPr>
          <w:i/>
          <w:strike/>
          <w:color w:val="000000"/>
          <w:sz w:val="22"/>
          <w:szCs w:val="22"/>
          <w:lang w:eastAsia="de-DE"/>
        </w:rPr>
        <w:t xml:space="preserve">Where a CSD has not completed business for one year from the date it starts its operations, a CSD shall apply gross operational expenses projected in its business plan. </w:t>
      </w:r>
    </w:p>
    <w:p w:rsidR="009C7F58" w:rsidRPr="00F5551F" w:rsidRDefault="009C7F58" w:rsidP="003B22E2">
      <w:pPr>
        <w:pBdr>
          <w:top w:val="single" w:sz="4" w:space="1" w:color="auto"/>
          <w:left w:val="single" w:sz="4" w:space="4" w:color="auto"/>
          <w:bottom w:val="single" w:sz="4" w:space="1" w:color="auto"/>
          <w:right w:val="single" w:sz="4" w:space="4" w:color="auto"/>
        </w:pBdr>
        <w:rPr>
          <w:i/>
          <w:color w:val="000000"/>
          <w:sz w:val="22"/>
          <w:szCs w:val="22"/>
          <w:lang w:eastAsia="de-DE"/>
        </w:rPr>
      </w:pPr>
    </w:p>
    <w:p w:rsidR="009C7F58" w:rsidRPr="00F5551F" w:rsidRDefault="009C7F58" w:rsidP="003B22E2">
      <w:pPr>
        <w:pBdr>
          <w:top w:val="single" w:sz="4" w:space="1" w:color="auto"/>
          <w:left w:val="single" w:sz="4" w:space="4" w:color="auto"/>
          <w:bottom w:val="single" w:sz="4" w:space="1" w:color="auto"/>
          <w:right w:val="single" w:sz="4" w:space="4" w:color="auto"/>
        </w:pBdr>
        <w:rPr>
          <w:i/>
          <w:color w:val="000000"/>
          <w:sz w:val="22"/>
          <w:szCs w:val="22"/>
          <w:lang w:eastAsia="de-DE"/>
        </w:rPr>
      </w:pPr>
      <w:r w:rsidRPr="00F5551F">
        <w:rPr>
          <w:i/>
          <w:color w:val="000000"/>
          <w:sz w:val="22"/>
          <w:szCs w:val="22"/>
          <w:lang w:eastAsia="de-DE"/>
        </w:rPr>
        <w:t xml:space="preserve">Paragraph 3 </w:t>
      </w:r>
      <w:r w:rsidR="005755D7" w:rsidRPr="00F5551F">
        <w:rPr>
          <w:i/>
          <w:color w:val="000000"/>
          <w:sz w:val="22"/>
          <w:szCs w:val="22"/>
          <w:lang w:eastAsia="de-DE"/>
        </w:rPr>
        <w:t xml:space="preserve">is proposed for </w:t>
      </w:r>
      <w:r w:rsidRPr="00F5551F">
        <w:rPr>
          <w:i/>
          <w:color w:val="000000"/>
          <w:sz w:val="22"/>
          <w:szCs w:val="22"/>
          <w:lang w:eastAsia="de-DE"/>
        </w:rPr>
        <w:t>delet</w:t>
      </w:r>
      <w:r w:rsidR="005755D7" w:rsidRPr="00F5551F">
        <w:rPr>
          <w:i/>
          <w:color w:val="000000"/>
          <w:sz w:val="22"/>
          <w:szCs w:val="22"/>
          <w:lang w:eastAsia="de-DE"/>
        </w:rPr>
        <w:t xml:space="preserve">ion </w:t>
      </w:r>
      <w:r w:rsidRPr="00F5551F">
        <w:rPr>
          <w:i/>
          <w:color w:val="000000"/>
          <w:sz w:val="22"/>
          <w:szCs w:val="22"/>
          <w:lang w:eastAsia="de-DE"/>
        </w:rPr>
        <w:t xml:space="preserve">and included in an appropriate manner </w:t>
      </w:r>
      <w:r w:rsidR="005755D7" w:rsidRPr="00F5551F">
        <w:rPr>
          <w:i/>
          <w:color w:val="000000"/>
          <w:sz w:val="22"/>
          <w:szCs w:val="22"/>
          <w:lang w:eastAsia="de-DE"/>
        </w:rPr>
        <w:t xml:space="preserve">under </w:t>
      </w:r>
      <w:r w:rsidRPr="00F5551F">
        <w:rPr>
          <w:i/>
          <w:color w:val="000000"/>
          <w:sz w:val="22"/>
          <w:szCs w:val="22"/>
          <w:lang w:eastAsia="de-DE"/>
        </w:rPr>
        <w:t>Article 8</w:t>
      </w:r>
      <w:r w:rsidR="00117EBC" w:rsidRPr="00F5551F">
        <w:rPr>
          <w:i/>
          <w:color w:val="000000"/>
          <w:sz w:val="22"/>
          <w:szCs w:val="22"/>
          <w:lang w:eastAsia="de-DE"/>
        </w:rPr>
        <w:t>.</w:t>
      </w:r>
      <w:r w:rsidR="00FB4E79" w:rsidRPr="00F5551F">
        <w:rPr>
          <w:i/>
          <w:color w:val="000000"/>
          <w:sz w:val="22"/>
          <w:szCs w:val="22"/>
          <w:lang w:eastAsia="de-DE"/>
        </w:rPr>
        <w:br/>
      </w:r>
    </w:p>
    <w:p w:rsidR="009C7F58" w:rsidRPr="00F5551F" w:rsidRDefault="009C7F58" w:rsidP="008C02A9">
      <w:pPr>
        <w:rPr>
          <w:rFonts w:eastAsia="Arial Unicode MS"/>
          <w:sz w:val="22"/>
          <w:szCs w:val="22"/>
        </w:rPr>
      </w:pPr>
    </w:p>
    <w:p w:rsidR="00AE2F66" w:rsidRPr="00F5551F" w:rsidRDefault="00AE2F66" w:rsidP="00AE2F66">
      <w:pPr>
        <w:rPr>
          <w:sz w:val="22"/>
          <w:szCs w:val="22"/>
        </w:rPr>
      </w:pPr>
      <w:r w:rsidRPr="00F5551F">
        <w:rPr>
          <w:sz w:val="22"/>
          <w:szCs w:val="22"/>
        </w:rPr>
        <w:t xml:space="preserve">As regards Annex II (p.68) on business risk scenarios, </w:t>
      </w:r>
      <w:r w:rsidR="005755D7" w:rsidRPr="00F5551F">
        <w:rPr>
          <w:sz w:val="22"/>
          <w:szCs w:val="22"/>
        </w:rPr>
        <w:t xml:space="preserve">whereas we agree with the requirement for regular stress tests of business risks, we are of the opinion that the stress scenarios outlined in Annex II are too prescriptive and do not address the main business risk drivers of </w:t>
      </w:r>
      <w:r w:rsidR="00FD4804" w:rsidRPr="00F5551F">
        <w:rPr>
          <w:sz w:val="22"/>
          <w:szCs w:val="22"/>
        </w:rPr>
        <w:t>(I)CSD</w:t>
      </w:r>
      <w:r w:rsidR="005755D7" w:rsidRPr="00F5551F">
        <w:rPr>
          <w:sz w:val="22"/>
          <w:szCs w:val="22"/>
        </w:rPr>
        <w:t xml:space="preserve">s.  Consequently, this requirement will create additional workload for the CSDs having to perform such tests without tangible benefit in terms of risk management. </w:t>
      </w:r>
      <w:r w:rsidR="005755D7" w:rsidRPr="00F5551F">
        <w:rPr>
          <w:sz w:val="22"/>
          <w:szCs w:val="22"/>
        </w:rPr>
        <w:br/>
        <w:t xml:space="preserve">Moreover, </w:t>
      </w:r>
      <w:r w:rsidRPr="00F5551F">
        <w:rPr>
          <w:sz w:val="22"/>
          <w:szCs w:val="22"/>
        </w:rPr>
        <w:t xml:space="preserve">we are not convinced that predefined business risk scenarios are the most appropriate </w:t>
      </w:r>
      <w:r w:rsidRPr="00F5551F">
        <w:rPr>
          <w:sz w:val="22"/>
          <w:szCs w:val="22"/>
        </w:rPr>
        <w:lastRenderedPageBreak/>
        <w:t xml:space="preserve">means to calculate capital requirements for business risk, and we believe that a more flexible approach, similar to that in EMIR, </w:t>
      </w:r>
      <w:r w:rsidR="005755D7" w:rsidRPr="00F5551F">
        <w:rPr>
          <w:sz w:val="22"/>
          <w:szCs w:val="22"/>
        </w:rPr>
        <w:t xml:space="preserve">which prefers the adoption </w:t>
      </w:r>
      <w:r w:rsidRPr="00F5551F">
        <w:rPr>
          <w:sz w:val="22"/>
          <w:szCs w:val="22"/>
        </w:rPr>
        <w:t>of reasonably foreseeable adverse scenarios relevant to the CSD’s business model, as approved by the competent authority, could be more efficient and proportionate.</w:t>
      </w:r>
    </w:p>
    <w:p w:rsidR="00AE2F66" w:rsidRPr="00F5551F" w:rsidRDefault="00AE2F66" w:rsidP="008C02A9">
      <w:pPr>
        <w:rPr>
          <w:rFonts w:eastAsia="Arial Unicode MS"/>
          <w:sz w:val="22"/>
          <w:szCs w:val="22"/>
        </w:rPr>
      </w:pPr>
    </w:p>
    <w:p w:rsidR="008C02A9" w:rsidRPr="00F5551F" w:rsidRDefault="008C02A9" w:rsidP="008C02A9">
      <w:pPr>
        <w:rPr>
          <w:rFonts w:eastAsia="Arial Unicode MS" w:cs="Courier New"/>
          <w:b/>
          <w:sz w:val="22"/>
          <w:szCs w:val="22"/>
          <w:lang w:eastAsia="en-GB"/>
        </w:rPr>
      </w:pPr>
      <w:r w:rsidRPr="00F5551F">
        <w:rPr>
          <w:rFonts w:eastAsia="Arial Unicode MS" w:cs="Courier New"/>
          <w:b/>
          <w:sz w:val="22"/>
          <w:szCs w:val="22"/>
          <w:lang w:eastAsia="en-GB"/>
        </w:rPr>
        <w:t>Capital requirements for winding-down or restructuring (Recitals 6 – 8, Article 8):</w:t>
      </w:r>
    </w:p>
    <w:p w:rsidR="008C02A9" w:rsidRPr="00F5551F" w:rsidRDefault="008C02A9" w:rsidP="008C02A9">
      <w:pPr>
        <w:rPr>
          <w:rFonts w:eastAsia="Arial Unicode MS" w:cs="Courier New"/>
          <w:sz w:val="22"/>
          <w:szCs w:val="22"/>
          <w:lang w:eastAsia="en-GB"/>
        </w:rPr>
      </w:pPr>
      <w:r w:rsidRPr="00F5551F">
        <w:rPr>
          <w:rFonts w:eastAsia="Arial Unicode MS" w:cs="Courier New"/>
          <w:sz w:val="22"/>
          <w:szCs w:val="22"/>
          <w:lang w:eastAsia="en-GB"/>
        </w:rPr>
        <w:t>As during a restructuring or wind-down of a CSD quite some expenses (IT-development, strategic initiatives, declining activities) may well lead to (substantial) decreased cost, the wording of Recital 6 is in our mind wrongly only indicating in an upwards direction but not taking (the more likely) downwards development of costs into account. The wording therefore should be adjusted.</w:t>
      </w:r>
    </w:p>
    <w:p w:rsidR="00F31510" w:rsidRPr="00F5551F" w:rsidRDefault="00F31510" w:rsidP="008C02A9">
      <w:pPr>
        <w:rPr>
          <w:rFonts w:eastAsia="Arial Unicode MS" w:cs="Courier New"/>
          <w:sz w:val="22"/>
          <w:szCs w:val="22"/>
          <w:lang w:eastAsia="en-GB"/>
        </w:rPr>
      </w:pPr>
    </w:p>
    <w:p w:rsidR="008C02A9" w:rsidRPr="00F5551F" w:rsidRDefault="008C02A9" w:rsidP="008C02A9">
      <w:pPr>
        <w:rPr>
          <w:rFonts w:eastAsia="Arial Unicode MS" w:cs="Courier New"/>
          <w:sz w:val="22"/>
          <w:szCs w:val="22"/>
          <w:lang w:eastAsia="en-GB"/>
        </w:rPr>
      </w:pPr>
      <w:r w:rsidRPr="00F5551F">
        <w:rPr>
          <w:rFonts w:eastAsia="Arial Unicode MS" w:cs="Courier New"/>
          <w:sz w:val="22"/>
          <w:szCs w:val="22"/>
          <w:lang w:eastAsia="en-GB"/>
        </w:rPr>
        <w:t xml:space="preserve">Furthermore, as CSDs are in general not parties of any given settlement transaction, there is no need to close out pending transactions / open (derivative) positions for CSD’s participants like in the case of a CCP. As such, the winding down / restructuring process for CSDs is totally different from those of any CCP. Consequently also the minimum winding down period should in principle be lower compared to CCPs. Especially within the T2S environment, participants should be in a position – also taking their mandatory business continuity and restructuring plans into account – to move their assets quickly via free of payment transactions to another CSD in case of a winding down event. As it is the duty of the CSD to develop a proper restructuring / winding down plan and it also needs to determine in this plan an appropriate schedule for its implementation in case needed, we do not see the need to define any minimum timeframe for the capital charge. The plans as such are in addition subject to review and agreement of the relevant authority. </w:t>
      </w:r>
    </w:p>
    <w:p w:rsidR="00F31510" w:rsidRPr="00F5551F" w:rsidRDefault="00F31510" w:rsidP="008C02A9">
      <w:pPr>
        <w:rPr>
          <w:rFonts w:eastAsia="Arial Unicode MS" w:cs="Courier New"/>
          <w:sz w:val="22"/>
          <w:szCs w:val="22"/>
          <w:lang w:eastAsia="en-GB"/>
        </w:rPr>
      </w:pPr>
    </w:p>
    <w:p w:rsidR="008C02A9" w:rsidRPr="00F5551F" w:rsidRDefault="008C02A9" w:rsidP="008C02A9">
      <w:pPr>
        <w:rPr>
          <w:rFonts w:eastAsia="Arial Unicode MS" w:cs="Courier New"/>
          <w:sz w:val="22"/>
          <w:szCs w:val="22"/>
          <w:lang w:eastAsia="en-GB"/>
        </w:rPr>
      </w:pPr>
      <w:r w:rsidRPr="00F5551F">
        <w:rPr>
          <w:rFonts w:eastAsia="Arial Unicode MS" w:cs="Courier New"/>
          <w:sz w:val="22"/>
          <w:szCs w:val="22"/>
          <w:lang w:eastAsia="en-GB"/>
        </w:rPr>
        <w:t xml:space="preserve">However, a timespan of at least 6 months is referred to in CSD-R itself. In order to reflect our arguments above, EBA therefore should at least consider reducing the cost basis for any month beyond a three month period to 80 % of the general cost basis and take into account even lower percentages for longer winding down periods </w:t>
      </w:r>
      <w:r w:rsidR="00F1172D">
        <w:rPr>
          <w:rFonts w:eastAsia="Arial Unicode MS" w:cs="Courier New"/>
          <w:sz w:val="22"/>
          <w:szCs w:val="22"/>
          <w:lang w:eastAsia="en-GB"/>
        </w:rPr>
        <w:t>–</w:t>
      </w:r>
      <w:r w:rsidR="00AC5C23">
        <w:rPr>
          <w:rFonts w:eastAsia="Arial Unicode MS" w:cs="Courier New"/>
          <w:sz w:val="22"/>
          <w:szCs w:val="22"/>
          <w:lang w:eastAsia="en-GB"/>
        </w:rPr>
        <w:t xml:space="preserve"> i</w:t>
      </w:r>
      <w:r w:rsidR="00F1172D">
        <w:rPr>
          <w:rFonts w:eastAsia="Arial Unicode MS" w:cs="Courier New"/>
          <w:sz w:val="22"/>
          <w:szCs w:val="22"/>
          <w:lang w:eastAsia="en-GB"/>
        </w:rPr>
        <w:t xml:space="preserve">f </w:t>
      </w:r>
      <w:r w:rsidR="00AC5C23">
        <w:rPr>
          <w:rFonts w:eastAsia="Arial Unicode MS" w:cs="Courier New"/>
          <w:sz w:val="22"/>
          <w:szCs w:val="22"/>
          <w:lang w:eastAsia="en-GB"/>
        </w:rPr>
        <w:t xml:space="preserve">applicable - </w:t>
      </w:r>
      <w:r w:rsidRPr="00F5551F">
        <w:rPr>
          <w:rFonts w:eastAsia="Arial Unicode MS" w:cs="Courier New"/>
          <w:sz w:val="22"/>
          <w:szCs w:val="22"/>
          <w:lang w:eastAsia="en-GB"/>
        </w:rPr>
        <w:t xml:space="preserve">as also income will flow during that period. Furthermore, the timespan for winding-down or restructuring </w:t>
      </w:r>
      <w:r w:rsidRPr="00F5551F">
        <w:rPr>
          <w:rFonts w:eastAsia="Arial Unicode MS" w:cs="Courier New"/>
          <w:b/>
          <w:sz w:val="22"/>
          <w:szCs w:val="22"/>
          <w:u w:val="single"/>
          <w:lang w:eastAsia="en-GB"/>
        </w:rPr>
        <w:t>is not strictly depending</w:t>
      </w:r>
      <w:r w:rsidRPr="00F5551F">
        <w:rPr>
          <w:rFonts w:eastAsia="Arial Unicode MS" w:cs="Courier New"/>
          <w:sz w:val="22"/>
          <w:szCs w:val="22"/>
          <w:lang w:eastAsia="en-GB"/>
        </w:rPr>
        <w:t xml:space="preserve"> on the services provided but mainly on the volumes of assets under custody, number of participants and securities administered at the upper tier of the custody chain. Finally, it is also dependent on the possibilities of alternative CSDs being able to offer same kind </w:t>
      </w:r>
      <w:r w:rsidRPr="00F5551F">
        <w:rPr>
          <w:rFonts w:eastAsia="Arial Unicode MS" w:cs="Courier New"/>
          <w:b/>
          <w:sz w:val="22"/>
          <w:szCs w:val="22"/>
          <w:u w:val="single"/>
          <w:lang w:eastAsia="en-GB"/>
        </w:rPr>
        <w:t>of core services</w:t>
      </w:r>
      <w:r w:rsidRPr="00F5551F">
        <w:rPr>
          <w:rFonts w:eastAsia="Arial Unicode MS" w:cs="Courier New"/>
          <w:sz w:val="22"/>
          <w:szCs w:val="22"/>
          <w:lang w:eastAsia="en-GB"/>
        </w:rPr>
        <w:t>. Any additional service which does not belong to the core CSD activities may also be stopped without the mandatory need of (immediate) replacement by another services provider.</w:t>
      </w:r>
    </w:p>
    <w:p w:rsidR="00F31510" w:rsidRPr="00F5551F" w:rsidRDefault="00F31510" w:rsidP="008C02A9">
      <w:pPr>
        <w:rPr>
          <w:rFonts w:eastAsia="Arial Unicode MS" w:cs="Courier New"/>
          <w:sz w:val="22"/>
          <w:szCs w:val="22"/>
          <w:lang w:eastAsia="en-GB"/>
        </w:rPr>
      </w:pPr>
    </w:p>
    <w:p w:rsidR="008C02A9" w:rsidRPr="00F5551F" w:rsidRDefault="008C02A9" w:rsidP="008C02A9">
      <w:pPr>
        <w:rPr>
          <w:rFonts w:eastAsia="Arial Unicode MS" w:cs="Courier New"/>
          <w:sz w:val="22"/>
          <w:szCs w:val="22"/>
          <w:lang w:eastAsia="en-GB"/>
        </w:rPr>
      </w:pPr>
      <w:r w:rsidRPr="00F5551F">
        <w:rPr>
          <w:rFonts w:eastAsia="Arial Unicode MS" w:cs="Courier New"/>
          <w:sz w:val="22"/>
          <w:szCs w:val="22"/>
          <w:lang w:eastAsia="en-GB"/>
        </w:rPr>
        <w:t>While we agree on some common guidelines for the estimation of the winding-down or restructuring period and the underlying scenarios, we disagree to set too detailed requirements.</w:t>
      </w:r>
    </w:p>
    <w:p w:rsidR="008C02A9" w:rsidRPr="00F5551F" w:rsidRDefault="008C02A9" w:rsidP="008C02A9">
      <w:pPr>
        <w:rPr>
          <w:rFonts w:eastAsia="Arial Unicode MS" w:cs="Courier New"/>
          <w:sz w:val="22"/>
          <w:szCs w:val="22"/>
          <w:lang w:eastAsia="en-GB"/>
        </w:rPr>
      </w:pPr>
      <w:r w:rsidRPr="00F5551F">
        <w:rPr>
          <w:rFonts w:eastAsia="Arial Unicode MS" w:cs="Courier New"/>
          <w:sz w:val="22"/>
          <w:szCs w:val="22"/>
          <w:lang w:eastAsia="en-GB"/>
        </w:rPr>
        <w:t xml:space="preserve">We recommend sorting the </w:t>
      </w:r>
      <w:r w:rsidR="00FD4804" w:rsidRPr="00F5551F">
        <w:rPr>
          <w:rFonts w:eastAsia="Arial Unicode MS" w:cs="Courier New"/>
          <w:sz w:val="22"/>
          <w:szCs w:val="22"/>
          <w:lang w:eastAsia="en-GB"/>
        </w:rPr>
        <w:t>Recital</w:t>
      </w:r>
      <w:r w:rsidRPr="00F5551F">
        <w:rPr>
          <w:rFonts w:eastAsia="Arial Unicode MS" w:cs="Courier New"/>
          <w:sz w:val="22"/>
          <w:szCs w:val="22"/>
          <w:lang w:eastAsia="en-GB"/>
        </w:rPr>
        <w:t xml:space="preserve">s in the sequence of the topics raised in the legal text itself. Therefore we propose to shift </w:t>
      </w:r>
      <w:r w:rsidR="00FD4804" w:rsidRPr="00F5551F">
        <w:rPr>
          <w:rFonts w:eastAsia="Arial Unicode MS" w:cs="Courier New"/>
          <w:sz w:val="22"/>
          <w:szCs w:val="22"/>
          <w:lang w:eastAsia="en-GB"/>
        </w:rPr>
        <w:t>Recital</w:t>
      </w:r>
      <w:r w:rsidRPr="00F5551F">
        <w:rPr>
          <w:rFonts w:eastAsia="Arial Unicode MS" w:cs="Courier New"/>
          <w:sz w:val="22"/>
          <w:szCs w:val="22"/>
          <w:lang w:eastAsia="en-GB"/>
        </w:rPr>
        <w:t xml:space="preserve">s 6 to 8 after </w:t>
      </w:r>
      <w:r w:rsidR="00FD4804" w:rsidRPr="00F5551F">
        <w:rPr>
          <w:rFonts w:eastAsia="Arial Unicode MS" w:cs="Courier New"/>
          <w:sz w:val="22"/>
          <w:szCs w:val="22"/>
          <w:lang w:eastAsia="en-GB"/>
        </w:rPr>
        <w:t>Recital</w:t>
      </w:r>
      <w:r w:rsidRPr="00F5551F">
        <w:rPr>
          <w:rFonts w:eastAsia="Arial Unicode MS" w:cs="Courier New"/>
          <w:sz w:val="22"/>
          <w:szCs w:val="22"/>
          <w:lang w:eastAsia="en-GB"/>
        </w:rPr>
        <w:t xml:space="preserve"> 12.</w:t>
      </w:r>
    </w:p>
    <w:p w:rsidR="00BA048F" w:rsidRPr="00F5551F" w:rsidRDefault="00BA048F" w:rsidP="00BA048F">
      <w:pPr>
        <w:rPr>
          <w:rFonts w:eastAsia="Arial Unicode MS" w:cs="Courier New"/>
          <w:sz w:val="22"/>
          <w:szCs w:val="22"/>
          <w:lang w:eastAsia="en-GB"/>
        </w:rPr>
      </w:pPr>
    </w:p>
    <w:p w:rsidR="00BA048F" w:rsidRPr="00F5551F" w:rsidRDefault="00BA048F" w:rsidP="00BA048F">
      <w:pPr>
        <w:rPr>
          <w:rFonts w:eastAsia="Arial Unicode MS" w:cs="Courier New"/>
          <w:sz w:val="22"/>
          <w:szCs w:val="22"/>
          <w:lang w:eastAsia="en-GB"/>
        </w:rPr>
      </w:pPr>
      <w:r w:rsidRPr="00F5551F">
        <w:rPr>
          <w:rFonts w:eastAsia="Arial Unicode MS" w:cs="Courier New"/>
          <w:sz w:val="22"/>
          <w:szCs w:val="22"/>
          <w:lang w:eastAsia="en-GB"/>
        </w:rPr>
        <w:t>Subsequently, we propose a re-wording as follows:</w:t>
      </w:r>
    </w:p>
    <w:p w:rsidR="005B047F" w:rsidRPr="00F5551F" w:rsidRDefault="005B047F" w:rsidP="008C02A9">
      <w:pPr>
        <w:rPr>
          <w:rFonts w:eastAsia="Arial Unicode MS" w:cs="Courier New"/>
          <w:sz w:val="22"/>
          <w:szCs w:val="22"/>
          <w:lang w:eastAsia="en-GB"/>
        </w:rPr>
      </w:pPr>
    </w:p>
    <w:p w:rsidR="008C02A9" w:rsidRPr="00F5551F" w:rsidRDefault="008C02A9" w:rsidP="00305E20">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rFonts w:eastAsia="Arial Unicode MS" w:cs="Courier New"/>
          <w:b/>
          <w:i/>
          <w:sz w:val="22"/>
          <w:szCs w:val="22"/>
          <w:lang w:eastAsia="en-GB"/>
        </w:rPr>
        <w:t>Recital 6</w:t>
      </w:r>
    </w:p>
    <w:p w:rsidR="008C02A9" w:rsidRPr="00F5551F" w:rsidRDefault="008C02A9" w:rsidP="00305E20">
      <w:pPr>
        <w:pBdr>
          <w:top w:val="single" w:sz="4" w:space="1" w:color="auto"/>
          <w:left w:val="single" w:sz="4" w:space="1" w:color="auto"/>
          <w:bottom w:val="single" w:sz="4" w:space="1" w:color="auto"/>
          <w:right w:val="single" w:sz="4" w:space="1" w:color="auto"/>
        </w:pBdr>
        <w:rPr>
          <w:i/>
          <w:sz w:val="22"/>
          <w:szCs w:val="22"/>
        </w:rPr>
      </w:pPr>
      <w:r w:rsidRPr="00F5551F">
        <w:rPr>
          <w:i/>
          <w:sz w:val="22"/>
          <w:szCs w:val="22"/>
          <w:lang w:eastAsia="de-DE"/>
        </w:rPr>
        <w:t>(6)</w:t>
      </w:r>
      <w:r w:rsidR="00221C39">
        <w:rPr>
          <w:i/>
          <w:sz w:val="22"/>
          <w:szCs w:val="22"/>
          <w:lang w:eastAsia="de-DE"/>
        </w:rPr>
        <w:t xml:space="preserve"> </w:t>
      </w:r>
      <w:r w:rsidRPr="00F5551F">
        <w:rPr>
          <w:i/>
          <w:sz w:val="22"/>
          <w:szCs w:val="22"/>
          <w:lang w:eastAsia="de-DE"/>
        </w:rPr>
        <w:t>[</w:t>
      </w:r>
      <w:proofErr w:type="spellStart"/>
      <w:r w:rsidRPr="00F5551F">
        <w:rPr>
          <w:i/>
          <w:sz w:val="22"/>
          <w:szCs w:val="22"/>
          <w:lang w:eastAsia="de-DE"/>
        </w:rPr>
        <w:t>wd</w:t>
      </w:r>
      <w:proofErr w:type="spellEnd"/>
      <w:r w:rsidRPr="00F5551F">
        <w:rPr>
          <w:i/>
          <w:sz w:val="22"/>
          <w:szCs w:val="22"/>
          <w:lang w:eastAsia="de-DE"/>
        </w:rPr>
        <w:t>-restructuring expenses] In order to ensure that a CSD would be able to organise an orderly winding-down or restructuring of its activities if required, a CSD should hold capital together with retained earnings and reserves that are sufficient at all times to withstand operational expenses over a period of time during which the CSD is able to reorganise its critical operations, including by recapitalising, replacing management, revising its business strategies, revising cost or fee structures and restructuring the services that it provides.</w:t>
      </w:r>
      <w:r w:rsidRPr="00F5551F">
        <w:rPr>
          <w:i/>
          <w:color w:val="FF0000"/>
          <w:sz w:val="22"/>
          <w:szCs w:val="22"/>
          <w:lang w:eastAsia="de-DE"/>
        </w:rPr>
        <w:t xml:space="preserve"> </w:t>
      </w:r>
      <w:r w:rsidRPr="00F5551F">
        <w:rPr>
          <w:b/>
          <w:i/>
          <w:sz w:val="22"/>
          <w:szCs w:val="22"/>
          <w:lang w:eastAsia="de-DE"/>
        </w:rPr>
        <w:t xml:space="preserve">During the winding-down or restructuring of its activities </w:t>
      </w:r>
      <w:r w:rsidRPr="00F5551F">
        <w:rPr>
          <w:b/>
          <w:i/>
          <w:sz w:val="22"/>
          <w:szCs w:val="22"/>
          <w:lang w:eastAsia="de-DE"/>
        </w:rPr>
        <w:lastRenderedPageBreak/>
        <w:t>the cost of a CSD are impacted by these activities. Most likely lower cost due to reduced level of activities, reduced IT-development and strategic activities will have a bigger impact than additional cost of the restructuring or winding-down activities.</w:t>
      </w:r>
      <w:r w:rsidRPr="00F5551F">
        <w:rPr>
          <w:i/>
          <w:sz w:val="22"/>
          <w:szCs w:val="22"/>
          <w:u w:val="single"/>
          <w:lang w:eastAsia="de-DE"/>
        </w:rPr>
        <w:t xml:space="preserve"> </w:t>
      </w:r>
      <w:r w:rsidRPr="00F5551F">
        <w:rPr>
          <w:i/>
          <w:strike/>
          <w:sz w:val="22"/>
          <w:szCs w:val="22"/>
          <w:lang w:eastAsia="de-DE"/>
        </w:rPr>
        <w:t>Given that during the winding-down or restructuring of its activities, a CSD still needs to continue its usual operations and even though the actual expenses during a wind-down or restructuring of the operations of a CSD may be significantly higher than the gross annual operational expenses because of the restructuring or wind-down costs,</w:t>
      </w:r>
      <w:r w:rsidRPr="00F5551F">
        <w:rPr>
          <w:i/>
          <w:sz w:val="22"/>
          <w:szCs w:val="22"/>
          <w:lang w:eastAsia="de-DE"/>
        </w:rPr>
        <w:t xml:space="preserve"> </w:t>
      </w:r>
      <w:r w:rsidRPr="00F5551F">
        <w:rPr>
          <w:b/>
          <w:i/>
          <w:sz w:val="22"/>
          <w:szCs w:val="22"/>
          <w:lang w:eastAsia="de-DE"/>
        </w:rPr>
        <w:t xml:space="preserve">As the concrete direction of the development of the cost cannot be predicted as a general rule and revenues are expected to continue to flow to some extent, </w:t>
      </w:r>
      <w:r w:rsidRPr="00F5551F">
        <w:rPr>
          <w:i/>
          <w:sz w:val="22"/>
          <w:szCs w:val="22"/>
          <w:lang w:eastAsia="de-DE"/>
        </w:rPr>
        <w:t xml:space="preserve">the use of the gross annual operational expenses as a benchmark for calculating the capital required should </w:t>
      </w:r>
      <w:r w:rsidRPr="00F5551F">
        <w:rPr>
          <w:b/>
          <w:i/>
          <w:sz w:val="22"/>
          <w:szCs w:val="22"/>
          <w:lang w:eastAsia="de-DE"/>
        </w:rPr>
        <w:t>nevertheless</w:t>
      </w:r>
      <w:r w:rsidR="00D65895">
        <w:rPr>
          <w:b/>
          <w:i/>
          <w:sz w:val="22"/>
          <w:szCs w:val="22"/>
          <w:lang w:eastAsia="de-DE"/>
        </w:rPr>
        <w:t xml:space="preserve"> </w:t>
      </w:r>
      <w:r w:rsidRPr="00F5551F">
        <w:rPr>
          <w:i/>
          <w:sz w:val="22"/>
          <w:szCs w:val="22"/>
          <w:lang w:eastAsia="de-DE"/>
        </w:rPr>
        <w:t xml:space="preserve">be an appropriate approximation of the actual expenses during the winding-down or restructuring of the operations of a CSD. </w:t>
      </w:r>
      <w:r w:rsidRPr="00F5551F">
        <w:rPr>
          <w:b/>
          <w:i/>
          <w:sz w:val="22"/>
          <w:szCs w:val="22"/>
          <w:lang w:eastAsia="de-DE"/>
        </w:rPr>
        <w:t>However, as a general rule it is expected that the longer the process takes, the higher is the likelihood of reduced cost which has been taken into account.</w:t>
      </w:r>
    </w:p>
    <w:p w:rsidR="008C02A9" w:rsidRPr="00F5551F" w:rsidRDefault="008C02A9" w:rsidP="00305E20">
      <w:pPr>
        <w:pBdr>
          <w:top w:val="single" w:sz="4" w:space="1" w:color="auto"/>
          <w:left w:val="single" w:sz="4" w:space="1" w:color="auto"/>
          <w:bottom w:val="single" w:sz="4" w:space="1" w:color="auto"/>
          <w:right w:val="single" w:sz="4" w:space="1" w:color="auto"/>
        </w:pBdr>
        <w:rPr>
          <w:i/>
          <w:color w:val="000000"/>
          <w:sz w:val="22"/>
          <w:szCs w:val="22"/>
          <w:lang w:eastAsia="de-DE"/>
        </w:rPr>
      </w:pPr>
    </w:p>
    <w:p w:rsidR="008C02A9" w:rsidRPr="00F5551F" w:rsidRDefault="008C02A9" w:rsidP="00305E20">
      <w:pPr>
        <w:pBdr>
          <w:top w:val="single" w:sz="4" w:space="1" w:color="auto"/>
          <w:left w:val="single" w:sz="4" w:space="1" w:color="auto"/>
          <w:bottom w:val="single" w:sz="4" w:space="1" w:color="auto"/>
          <w:right w:val="single" w:sz="4" w:space="1" w:color="auto"/>
        </w:pBdr>
        <w:rPr>
          <w:rFonts w:eastAsia="Arial Unicode MS" w:cs="Courier New"/>
          <w:b/>
          <w:i/>
          <w:sz w:val="22"/>
          <w:szCs w:val="22"/>
          <w:lang w:eastAsia="en-GB"/>
        </w:rPr>
      </w:pPr>
      <w:r w:rsidRPr="00F5551F">
        <w:rPr>
          <w:rFonts w:eastAsia="Arial Unicode MS" w:cs="Courier New"/>
          <w:b/>
          <w:i/>
          <w:sz w:val="22"/>
          <w:szCs w:val="22"/>
          <w:lang w:eastAsia="en-GB"/>
        </w:rPr>
        <w:t>Recital 7</w:t>
      </w:r>
    </w:p>
    <w:p w:rsidR="008C02A9" w:rsidRPr="00F5551F" w:rsidRDefault="008C02A9" w:rsidP="00305E20">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i/>
          <w:color w:val="000000"/>
          <w:sz w:val="22"/>
          <w:szCs w:val="22"/>
          <w:lang w:eastAsia="de-DE"/>
        </w:rPr>
        <w:t>(7)</w:t>
      </w:r>
      <w:r w:rsidR="00221C39">
        <w:rPr>
          <w:i/>
          <w:color w:val="000000"/>
          <w:sz w:val="22"/>
          <w:szCs w:val="22"/>
          <w:lang w:eastAsia="de-DE"/>
        </w:rPr>
        <w:t xml:space="preserve"> </w:t>
      </w:r>
      <w:r w:rsidRPr="00F5551F">
        <w:rPr>
          <w:i/>
          <w:color w:val="000000"/>
          <w:sz w:val="22"/>
          <w:szCs w:val="22"/>
          <w:lang w:eastAsia="de-DE"/>
        </w:rPr>
        <w:t>[</w:t>
      </w:r>
      <w:proofErr w:type="spellStart"/>
      <w:r w:rsidRPr="00F5551F">
        <w:rPr>
          <w:i/>
          <w:color w:val="000000"/>
          <w:sz w:val="22"/>
          <w:szCs w:val="22"/>
          <w:lang w:eastAsia="de-DE"/>
        </w:rPr>
        <w:t>wd</w:t>
      </w:r>
      <w:proofErr w:type="spellEnd"/>
      <w:r w:rsidRPr="00F5551F">
        <w:rPr>
          <w:i/>
          <w:color w:val="000000"/>
          <w:sz w:val="22"/>
          <w:szCs w:val="22"/>
          <w:lang w:eastAsia="de-DE"/>
        </w:rPr>
        <w:t xml:space="preserve">-restructuring period] Since the time necessary for an orderly winding-down or restructuring </w:t>
      </w:r>
      <w:r w:rsidRPr="00F5551F">
        <w:rPr>
          <w:i/>
          <w:strike/>
          <w:color w:val="000000"/>
          <w:sz w:val="22"/>
          <w:szCs w:val="22"/>
          <w:lang w:eastAsia="de-DE"/>
        </w:rPr>
        <w:t xml:space="preserve">strictly </w:t>
      </w:r>
      <w:r w:rsidRPr="00F5551F">
        <w:rPr>
          <w:i/>
          <w:color w:val="000000"/>
          <w:sz w:val="22"/>
          <w:szCs w:val="22"/>
          <w:lang w:eastAsia="de-DE"/>
        </w:rPr>
        <w:t>depends</w:t>
      </w:r>
      <w:r w:rsidRPr="00F5551F">
        <w:rPr>
          <w:b/>
          <w:i/>
          <w:sz w:val="22"/>
          <w:szCs w:val="22"/>
          <w:lang w:eastAsia="de-DE"/>
        </w:rPr>
        <w:t xml:space="preserve"> mainly</w:t>
      </w:r>
      <w:r w:rsidRPr="00F5551F">
        <w:rPr>
          <w:i/>
          <w:color w:val="000000"/>
          <w:sz w:val="22"/>
          <w:szCs w:val="22"/>
          <w:lang w:eastAsia="de-DE"/>
        </w:rPr>
        <w:t xml:space="preserve"> on the </w:t>
      </w:r>
      <w:r w:rsidRPr="00F5551F">
        <w:rPr>
          <w:b/>
          <w:i/>
          <w:sz w:val="22"/>
          <w:szCs w:val="22"/>
          <w:lang w:eastAsia="de-DE"/>
        </w:rPr>
        <w:t>size of core CSD</w:t>
      </w:r>
      <w:r w:rsidRPr="00F5551F">
        <w:rPr>
          <w:i/>
          <w:sz w:val="22"/>
          <w:szCs w:val="22"/>
          <w:u w:val="single"/>
          <w:lang w:eastAsia="de-DE"/>
        </w:rPr>
        <w:t xml:space="preserve"> </w:t>
      </w:r>
      <w:r w:rsidRPr="00F5551F">
        <w:rPr>
          <w:i/>
          <w:color w:val="000000"/>
          <w:sz w:val="22"/>
          <w:szCs w:val="22"/>
          <w:lang w:eastAsia="de-DE"/>
        </w:rPr>
        <w:t xml:space="preserve">services provided by any individual CSD and on the market environment in which it operates, in particular on the possibility that another CSD can take on part or all of its </w:t>
      </w:r>
      <w:r w:rsidRPr="00F5551F">
        <w:rPr>
          <w:b/>
          <w:i/>
          <w:sz w:val="22"/>
          <w:szCs w:val="22"/>
          <w:lang w:eastAsia="de-DE"/>
        </w:rPr>
        <w:t>core</w:t>
      </w:r>
      <w:r w:rsidRPr="00F5551F">
        <w:rPr>
          <w:i/>
          <w:sz w:val="22"/>
          <w:szCs w:val="22"/>
          <w:u w:val="single"/>
          <w:lang w:eastAsia="de-DE"/>
        </w:rPr>
        <w:t xml:space="preserve"> </w:t>
      </w:r>
      <w:r w:rsidRPr="00F5551F">
        <w:rPr>
          <w:i/>
          <w:color w:val="000000"/>
          <w:sz w:val="22"/>
          <w:szCs w:val="22"/>
          <w:lang w:eastAsia="de-DE"/>
        </w:rPr>
        <w:t xml:space="preserve">services, the number of months required for winding-down or restructuring of its activities should be based on the CSD’s own estimate. However, this timeline should not be lower than a conservative minimum number of months required for winding-down or restructuring introduced by Regulation (EU) No 909/2014 in order to ensure a prudent level of the capital requirements. </w:t>
      </w:r>
    </w:p>
    <w:p w:rsidR="008C02A9" w:rsidRPr="00F5551F" w:rsidRDefault="008C02A9" w:rsidP="00305E20">
      <w:pPr>
        <w:pBdr>
          <w:top w:val="single" w:sz="4" w:space="1" w:color="auto"/>
          <w:left w:val="single" w:sz="4" w:space="1" w:color="auto"/>
          <w:bottom w:val="single" w:sz="4" w:space="1" w:color="auto"/>
          <w:right w:val="single" w:sz="4" w:space="1" w:color="auto"/>
        </w:pBdr>
        <w:rPr>
          <w:i/>
          <w:color w:val="000000"/>
          <w:sz w:val="22"/>
          <w:szCs w:val="22"/>
          <w:lang w:eastAsia="de-DE"/>
        </w:rPr>
      </w:pPr>
    </w:p>
    <w:p w:rsidR="008C02A9" w:rsidRPr="00F5551F" w:rsidRDefault="008C02A9" w:rsidP="00305E20">
      <w:pPr>
        <w:pBdr>
          <w:top w:val="single" w:sz="4" w:space="1" w:color="auto"/>
          <w:left w:val="single" w:sz="4" w:space="1" w:color="auto"/>
          <w:bottom w:val="single" w:sz="4" w:space="1" w:color="auto"/>
          <w:right w:val="single" w:sz="4" w:space="1" w:color="auto"/>
        </w:pBdr>
        <w:rPr>
          <w:rFonts w:eastAsia="Arial Unicode MS" w:cs="Courier New"/>
          <w:b/>
          <w:i/>
          <w:sz w:val="22"/>
          <w:szCs w:val="22"/>
          <w:lang w:eastAsia="en-GB"/>
        </w:rPr>
      </w:pPr>
      <w:r w:rsidRPr="00F5551F">
        <w:rPr>
          <w:rFonts w:eastAsia="Arial Unicode MS" w:cs="Courier New"/>
          <w:b/>
          <w:i/>
          <w:sz w:val="22"/>
          <w:szCs w:val="22"/>
          <w:lang w:eastAsia="en-GB"/>
        </w:rPr>
        <w:t>Recital 8</w:t>
      </w:r>
    </w:p>
    <w:p w:rsidR="008C02A9" w:rsidRPr="00F5551F" w:rsidRDefault="008C02A9" w:rsidP="00305E20">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i/>
          <w:color w:val="000000"/>
          <w:sz w:val="22"/>
          <w:szCs w:val="22"/>
          <w:lang w:eastAsia="de-DE"/>
        </w:rPr>
        <w:t>(8)</w:t>
      </w:r>
      <w:r w:rsidR="00221C39">
        <w:rPr>
          <w:i/>
          <w:color w:val="000000"/>
          <w:sz w:val="22"/>
          <w:szCs w:val="22"/>
          <w:lang w:eastAsia="de-DE"/>
        </w:rPr>
        <w:t xml:space="preserve"> </w:t>
      </w:r>
      <w:r w:rsidRPr="00F5551F">
        <w:rPr>
          <w:i/>
          <w:color w:val="000000"/>
          <w:sz w:val="22"/>
          <w:szCs w:val="22"/>
          <w:lang w:eastAsia="de-DE"/>
        </w:rPr>
        <w:t>[</w:t>
      </w:r>
      <w:proofErr w:type="spellStart"/>
      <w:r w:rsidRPr="00F5551F">
        <w:rPr>
          <w:i/>
          <w:color w:val="000000"/>
          <w:sz w:val="22"/>
          <w:szCs w:val="22"/>
          <w:lang w:eastAsia="de-DE"/>
        </w:rPr>
        <w:t>wd</w:t>
      </w:r>
      <w:proofErr w:type="spellEnd"/>
      <w:r w:rsidRPr="00F5551F">
        <w:rPr>
          <w:i/>
          <w:color w:val="000000"/>
          <w:sz w:val="22"/>
          <w:szCs w:val="22"/>
          <w:lang w:eastAsia="de-DE"/>
        </w:rPr>
        <w:t xml:space="preserve">-restructuring scenarios] Notwithstanding the need for each CSD to elaborate scenarios for winding-down or restructuring of CSD’s activities adapted to their business model, a </w:t>
      </w:r>
      <w:r w:rsidRPr="00F5551F">
        <w:rPr>
          <w:i/>
          <w:strike/>
          <w:color w:val="000000"/>
          <w:sz w:val="22"/>
          <w:szCs w:val="22"/>
          <w:lang w:eastAsia="de-DE"/>
        </w:rPr>
        <w:t xml:space="preserve">detailed </w:t>
      </w:r>
      <w:r w:rsidRPr="00F5551F">
        <w:rPr>
          <w:i/>
          <w:color w:val="000000"/>
          <w:sz w:val="22"/>
          <w:szCs w:val="22"/>
          <w:lang w:eastAsia="de-DE"/>
        </w:rPr>
        <w:t xml:space="preserve">set of </w:t>
      </w:r>
      <w:r w:rsidRPr="00F5551F">
        <w:rPr>
          <w:b/>
          <w:i/>
          <w:sz w:val="22"/>
          <w:szCs w:val="22"/>
          <w:lang w:eastAsia="de-DE"/>
        </w:rPr>
        <w:t>common minimum</w:t>
      </w:r>
      <w:r w:rsidRPr="00F5551F">
        <w:rPr>
          <w:i/>
          <w:sz w:val="22"/>
          <w:szCs w:val="22"/>
          <w:u w:val="single"/>
          <w:lang w:eastAsia="de-DE"/>
        </w:rPr>
        <w:t xml:space="preserve"> </w:t>
      </w:r>
      <w:r w:rsidRPr="00F5551F">
        <w:rPr>
          <w:i/>
          <w:color w:val="000000"/>
          <w:sz w:val="22"/>
          <w:szCs w:val="22"/>
          <w:lang w:eastAsia="de-DE"/>
        </w:rPr>
        <w:t>requirements should limit the discretion on the definition of such scenarios in order to obtain a harmonised approach.</w:t>
      </w:r>
    </w:p>
    <w:p w:rsidR="00221C39" w:rsidRPr="00F5551F" w:rsidRDefault="00221C39" w:rsidP="00305E20">
      <w:pPr>
        <w:pBdr>
          <w:top w:val="single" w:sz="4" w:space="1" w:color="auto"/>
          <w:left w:val="single" w:sz="4" w:space="1" w:color="auto"/>
          <w:bottom w:val="single" w:sz="4" w:space="1" w:color="auto"/>
          <w:right w:val="single" w:sz="4" w:space="1" w:color="auto"/>
        </w:pBdr>
        <w:rPr>
          <w:i/>
          <w:color w:val="000000"/>
          <w:sz w:val="22"/>
          <w:szCs w:val="22"/>
          <w:lang w:eastAsia="de-DE"/>
        </w:rPr>
      </w:pPr>
    </w:p>
    <w:p w:rsidR="008C02A9" w:rsidRPr="00F5551F" w:rsidRDefault="008C02A9" w:rsidP="00305E20">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rFonts w:eastAsia="Arial Unicode MS" w:cs="Courier New"/>
          <w:b/>
          <w:i/>
          <w:sz w:val="22"/>
          <w:szCs w:val="22"/>
          <w:lang w:eastAsia="en-GB"/>
        </w:rPr>
        <w:t xml:space="preserve">Article 8 - </w:t>
      </w:r>
      <w:r w:rsidRPr="00F5551F">
        <w:rPr>
          <w:i/>
          <w:color w:val="000000"/>
          <w:sz w:val="22"/>
          <w:szCs w:val="22"/>
          <w:lang w:eastAsia="de-DE"/>
        </w:rPr>
        <w:t>Capital requirements for winding-down or restructuring</w:t>
      </w:r>
    </w:p>
    <w:p w:rsidR="008C02A9" w:rsidRPr="00F5551F" w:rsidRDefault="008C02A9" w:rsidP="00305E20">
      <w:pPr>
        <w:pBdr>
          <w:top w:val="single" w:sz="4" w:space="1" w:color="auto"/>
          <w:left w:val="single" w:sz="4" w:space="1" w:color="auto"/>
          <w:bottom w:val="single" w:sz="4" w:space="1" w:color="auto"/>
          <w:right w:val="single" w:sz="4" w:space="1" w:color="auto"/>
        </w:pBdr>
        <w:rPr>
          <w:i/>
          <w:color w:val="000000"/>
          <w:sz w:val="22"/>
          <w:szCs w:val="22"/>
          <w:lang w:eastAsia="de-DE"/>
        </w:rPr>
      </w:pPr>
    </w:p>
    <w:p w:rsidR="008C02A9" w:rsidRPr="00F5551F" w:rsidRDefault="008C02A9" w:rsidP="00305E20">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i/>
          <w:color w:val="000000"/>
          <w:sz w:val="22"/>
          <w:szCs w:val="22"/>
          <w:lang w:eastAsia="de-DE"/>
        </w:rPr>
        <w:t>1. For the purposes of point (e) of Article 3, a CSD shall calculate its capital requirements for winding</w:t>
      </w:r>
      <w:r w:rsidRPr="00F5551F">
        <w:rPr>
          <w:i/>
          <w:color w:val="FF0000"/>
          <w:sz w:val="22"/>
          <w:szCs w:val="22"/>
          <w:u w:val="single"/>
          <w:lang w:eastAsia="de-DE"/>
        </w:rPr>
        <w:t>-</w:t>
      </w:r>
      <w:r w:rsidRPr="00F5551F">
        <w:rPr>
          <w:i/>
          <w:color w:val="000000"/>
          <w:sz w:val="22"/>
          <w:szCs w:val="22"/>
          <w:lang w:eastAsia="de-DE"/>
        </w:rPr>
        <w:t>down or restructuring by applying the following steps in sequence:</w:t>
      </w:r>
    </w:p>
    <w:p w:rsidR="008C02A9" w:rsidRPr="00F5551F" w:rsidRDefault="008C02A9" w:rsidP="00305E20">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i/>
          <w:color w:val="000000"/>
          <w:sz w:val="22"/>
          <w:szCs w:val="22"/>
          <w:lang w:eastAsia="de-DE"/>
        </w:rPr>
        <w:t xml:space="preserve">(a) estimate the time span required for winding-down or restructuring for </w:t>
      </w:r>
      <w:r w:rsidRPr="00F5551F">
        <w:rPr>
          <w:i/>
          <w:color w:val="000000"/>
          <w:sz w:val="22"/>
          <w:szCs w:val="22"/>
          <w:u w:val="single"/>
          <w:lang w:eastAsia="de-DE"/>
        </w:rPr>
        <w:t xml:space="preserve">at least </w:t>
      </w:r>
      <w:r w:rsidRPr="00F5551F">
        <w:rPr>
          <w:i/>
          <w:color w:val="000000"/>
          <w:sz w:val="22"/>
          <w:szCs w:val="22"/>
          <w:lang w:eastAsia="de-DE"/>
        </w:rPr>
        <w:t>all of the stress scenarios referred to in Annex I, consistently with the plan referred to in Article 47(2) of Regulation (EU) No 909/2014</w:t>
      </w:r>
      <w:r w:rsidR="00274AF4">
        <w:rPr>
          <w:i/>
          <w:color w:val="000000"/>
          <w:sz w:val="22"/>
          <w:szCs w:val="22"/>
          <w:lang w:eastAsia="de-DE"/>
        </w:rPr>
        <w:t xml:space="preserve"> </w:t>
      </w:r>
      <w:r w:rsidR="00274AF4" w:rsidRPr="00F1172D">
        <w:rPr>
          <w:b/>
          <w:i/>
          <w:color w:val="000000"/>
          <w:sz w:val="22"/>
          <w:szCs w:val="22"/>
          <w:lang w:eastAsia="de-DE"/>
        </w:rPr>
        <w:t>rounded to full months</w:t>
      </w:r>
      <w:r w:rsidRPr="00F1172D">
        <w:rPr>
          <w:b/>
          <w:i/>
          <w:color w:val="000000"/>
          <w:sz w:val="22"/>
          <w:szCs w:val="22"/>
          <w:lang w:eastAsia="de-DE"/>
        </w:rPr>
        <w:t>;</w:t>
      </w:r>
    </w:p>
    <w:p w:rsidR="008C02A9" w:rsidRPr="00F5551F" w:rsidRDefault="008C02A9" w:rsidP="00305E20">
      <w:pPr>
        <w:pBdr>
          <w:top w:val="single" w:sz="4" w:space="1" w:color="auto"/>
          <w:left w:val="single" w:sz="4" w:space="1" w:color="auto"/>
          <w:bottom w:val="single" w:sz="4" w:space="1" w:color="auto"/>
          <w:right w:val="single" w:sz="4" w:space="1" w:color="auto"/>
        </w:pBdr>
        <w:rPr>
          <w:b/>
          <w:i/>
          <w:sz w:val="22"/>
          <w:szCs w:val="22"/>
          <w:lang w:eastAsia="de-DE"/>
        </w:rPr>
      </w:pPr>
      <w:r w:rsidRPr="00F5551F">
        <w:rPr>
          <w:b/>
          <w:i/>
          <w:sz w:val="22"/>
          <w:szCs w:val="22"/>
          <w:lang w:eastAsia="de-DE"/>
        </w:rPr>
        <w:t xml:space="preserve">(b) </w:t>
      </w:r>
      <w:proofErr w:type="gramStart"/>
      <w:r w:rsidRPr="00F5551F">
        <w:rPr>
          <w:b/>
          <w:i/>
          <w:sz w:val="22"/>
          <w:szCs w:val="22"/>
          <w:lang w:eastAsia="de-DE"/>
        </w:rPr>
        <w:t>determine</w:t>
      </w:r>
      <w:proofErr w:type="gramEnd"/>
      <w:r w:rsidRPr="00F5551F">
        <w:rPr>
          <w:b/>
          <w:i/>
          <w:sz w:val="22"/>
          <w:szCs w:val="22"/>
          <w:lang w:eastAsia="de-DE"/>
        </w:rPr>
        <w:t xml:space="preserve"> the relevant period for the capital requirements by the longer period of </w:t>
      </w:r>
    </w:p>
    <w:p w:rsidR="008C02A9" w:rsidRPr="00F5551F" w:rsidRDefault="008C02A9" w:rsidP="00305E20">
      <w:pPr>
        <w:pBdr>
          <w:top w:val="single" w:sz="4" w:space="1" w:color="auto"/>
          <w:left w:val="single" w:sz="4" w:space="1" w:color="auto"/>
          <w:bottom w:val="single" w:sz="4" w:space="1" w:color="auto"/>
          <w:right w:val="single" w:sz="4" w:space="1" w:color="auto"/>
        </w:pBdr>
        <w:rPr>
          <w:b/>
          <w:i/>
          <w:sz w:val="22"/>
          <w:szCs w:val="22"/>
          <w:lang w:eastAsia="de-DE"/>
        </w:rPr>
      </w:pPr>
      <w:r w:rsidRPr="00F5551F">
        <w:rPr>
          <w:b/>
          <w:i/>
          <w:sz w:val="22"/>
          <w:szCs w:val="22"/>
          <w:lang w:eastAsia="de-DE"/>
        </w:rPr>
        <w:t>(</w:t>
      </w:r>
      <w:proofErr w:type="spellStart"/>
      <w:r w:rsidRPr="00F5551F">
        <w:rPr>
          <w:b/>
          <w:i/>
          <w:sz w:val="22"/>
          <w:szCs w:val="22"/>
          <w:lang w:eastAsia="de-DE"/>
        </w:rPr>
        <w:t>i</w:t>
      </w:r>
      <w:proofErr w:type="spellEnd"/>
      <w:r w:rsidRPr="00F5551F">
        <w:rPr>
          <w:b/>
          <w:i/>
          <w:sz w:val="22"/>
          <w:szCs w:val="22"/>
          <w:lang w:eastAsia="de-DE"/>
        </w:rPr>
        <w:t xml:space="preserve">) </w:t>
      </w:r>
      <w:proofErr w:type="gramStart"/>
      <w:r w:rsidRPr="00F5551F">
        <w:rPr>
          <w:b/>
          <w:i/>
          <w:sz w:val="22"/>
          <w:szCs w:val="22"/>
          <w:lang w:eastAsia="de-DE"/>
        </w:rPr>
        <w:t>the</w:t>
      </w:r>
      <w:proofErr w:type="gramEnd"/>
      <w:r w:rsidRPr="00F5551F">
        <w:rPr>
          <w:b/>
          <w:i/>
          <w:sz w:val="22"/>
          <w:szCs w:val="22"/>
          <w:lang w:eastAsia="de-DE"/>
        </w:rPr>
        <w:t xml:space="preserve"> time span referred to in point (a);</w:t>
      </w:r>
    </w:p>
    <w:p w:rsidR="008C02A9" w:rsidRPr="00F5551F" w:rsidRDefault="008C02A9" w:rsidP="00305E20">
      <w:pPr>
        <w:pBdr>
          <w:top w:val="single" w:sz="4" w:space="1" w:color="auto"/>
          <w:left w:val="single" w:sz="4" w:space="1" w:color="auto"/>
          <w:bottom w:val="single" w:sz="4" w:space="1" w:color="auto"/>
          <w:right w:val="single" w:sz="4" w:space="1" w:color="auto"/>
        </w:pBdr>
        <w:rPr>
          <w:i/>
          <w:color w:val="FF0000"/>
          <w:sz w:val="22"/>
          <w:szCs w:val="22"/>
          <w:u w:val="single"/>
          <w:lang w:eastAsia="de-DE"/>
        </w:rPr>
      </w:pPr>
      <w:r w:rsidRPr="00F5551F">
        <w:rPr>
          <w:b/>
          <w:i/>
          <w:sz w:val="22"/>
          <w:szCs w:val="22"/>
          <w:lang w:eastAsia="de-DE"/>
        </w:rPr>
        <w:t>(ii) six months.</w:t>
      </w:r>
    </w:p>
    <w:p w:rsidR="008C02A9" w:rsidRPr="00F5551F" w:rsidRDefault="008C02A9" w:rsidP="00305E20">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i/>
          <w:color w:val="000000"/>
          <w:sz w:val="22"/>
          <w:szCs w:val="22"/>
          <w:lang w:eastAsia="de-DE"/>
        </w:rPr>
        <w:t xml:space="preserve">(c) </w:t>
      </w:r>
      <w:proofErr w:type="gramStart"/>
      <w:r w:rsidRPr="00F5551F">
        <w:rPr>
          <w:i/>
          <w:color w:val="000000"/>
          <w:sz w:val="22"/>
          <w:szCs w:val="22"/>
          <w:lang w:eastAsia="de-DE"/>
        </w:rPr>
        <w:t>divide</w:t>
      </w:r>
      <w:proofErr w:type="gramEnd"/>
      <w:r w:rsidRPr="00F5551F">
        <w:rPr>
          <w:i/>
          <w:color w:val="000000"/>
          <w:sz w:val="22"/>
          <w:szCs w:val="22"/>
          <w:lang w:eastAsia="de-DE"/>
        </w:rPr>
        <w:t xml:space="preserve"> the CSD’s annual gross operational expenses, determined in accordance with </w:t>
      </w:r>
      <w:r w:rsidRPr="00F5551F">
        <w:rPr>
          <w:b/>
          <w:i/>
          <w:sz w:val="22"/>
          <w:szCs w:val="22"/>
          <w:lang w:eastAsia="de-DE"/>
        </w:rPr>
        <w:t>paragraph 2</w:t>
      </w:r>
      <w:r w:rsidRPr="00F5551F">
        <w:rPr>
          <w:i/>
          <w:sz w:val="22"/>
          <w:szCs w:val="22"/>
          <w:u w:val="single"/>
          <w:lang w:eastAsia="de-DE"/>
        </w:rPr>
        <w:t xml:space="preserve"> </w:t>
      </w:r>
      <w:r w:rsidRPr="00F5551F">
        <w:rPr>
          <w:i/>
          <w:strike/>
          <w:color w:val="000000"/>
          <w:sz w:val="22"/>
          <w:szCs w:val="22"/>
          <w:lang w:eastAsia="de-DE"/>
        </w:rPr>
        <w:t>Article 7(3)</w:t>
      </w:r>
      <w:r w:rsidRPr="00F5551F">
        <w:rPr>
          <w:i/>
          <w:color w:val="000000"/>
          <w:sz w:val="22"/>
          <w:szCs w:val="22"/>
          <w:lang w:eastAsia="de-DE"/>
        </w:rPr>
        <w:t>, by twelve (‘monthly gross operational expenses’);</w:t>
      </w:r>
    </w:p>
    <w:p w:rsidR="008C02A9" w:rsidRPr="00F5551F" w:rsidRDefault="008C02A9" w:rsidP="00305E20">
      <w:pPr>
        <w:pBdr>
          <w:top w:val="single" w:sz="4" w:space="1" w:color="auto"/>
          <w:left w:val="single" w:sz="4" w:space="1" w:color="auto"/>
          <w:bottom w:val="single" w:sz="4" w:space="1" w:color="auto"/>
          <w:right w:val="single" w:sz="4" w:space="1" w:color="auto"/>
        </w:pBdr>
        <w:rPr>
          <w:b/>
          <w:i/>
          <w:sz w:val="22"/>
          <w:szCs w:val="22"/>
          <w:lang w:eastAsia="de-DE"/>
        </w:rPr>
      </w:pPr>
      <w:r w:rsidRPr="00F5551F">
        <w:rPr>
          <w:i/>
          <w:color w:val="000000"/>
          <w:sz w:val="22"/>
          <w:szCs w:val="22"/>
          <w:lang w:eastAsia="de-DE"/>
        </w:rPr>
        <w:t>(d) multiply the monthly gross operational expenses resulting from point (</w:t>
      </w:r>
      <w:proofErr w:type="spellStart"/>
      <w:r w:rsidRPr="00F5551F">
        <w:rPr>
          <w:b/>
          <w:i/>
          <w:sz w:val="22"/>
          <w:szCs w:val="22"/>
          <w:lang w:eastAsia="de-DE"/>
        </w:rPr>
        <w:t>c</w:t>
      </w:r>
      <w:r w:rsidRPr="00F5551F">
        <w:rPr>
          <w:i/>
          <w:strike/>
          <w:color w:val="000000"/>
          <w:sz w:val="22"/>
          <w:szCs w:val="22"/>
          <w:lang w:eastAsia="de-DE"/>
        </w:rPr>
        <w:t>b</w:t>
      </w:r>
      <w:proofErr w:type="spellEnd"/>
      <w:r w:rsidRPr="00F5551F">
        <w:rPr>
          <w:i/>
          <w:color w:val="000000"/>
          <w:sz w:val="22"/>
          <w:szCs w:val="22"/>
          <w:lang w:eastAsia="de-DE"/>
        </w:rPr>
        <w:t xml:space="preserve">) by </w:t>
      </w:r>
      <w:r w:rsidRPr="00F5551F">
        <w:rPr>
          <w:i/>
          <w:color w:val="000000"/>
          <w:sz w:val="22"/>
          <w:szCs w:val="22"/>
          <w:lang w:eastAsia="de-DE"/>
        </w:rPr>
        <w:br/>
      </w:r>
      <w:r w:rsidRPr="00F5551F">
        <w:rPr>
          <w:b/>
          <w:i/>
          <w:sz w:val="22"/>
          <w:szCs w:val="22"/>
          <w:lang w:eastAsia="de-DE"/>
        </w:rPr>
        <w:t>(</w:t>
      </w:r>
      <w:proofErr w:type="spellStart"/>
      <w:r w:rsidRPr="00F5551F">
        <w:rPr>
          <w:b/>
          <w:i/>
          <w:sz w:val="22"/>
          <w:szCs w:val="22"/>
          <w:lang w:eastAsia="de-DE"/>
        </w:rPr>
        <w:t>i</w:t>
      </w:r>
      <w:proofErr w:type="spellEnd"/>
      <w:r w:rsidRPr="00F5551F">
        <w:rPr>
          <w:b/>
          <w:i/>
          <w:sz w:val="22"/>
          <w:szCs w:val="22"/>
          <w:lang w:eastAsia="de-DE"/>
        </w:rPr>
        <w:t>) 100 % for the first 3 months of the period determined in point (b</w:t>
      </w:r>
      <w:proofErr w:type="gramStart"/>
      <w:r w:rsidRPr="00F5551F">
        <w:rPr>
          <w:b/>
          <w:i/>
          <w:sz w:val="22"/>
          <w:szCs w:val="22"/>
          <w:lang w:eastAsia="de-DE"/>
        </w:rPr>
        <w:t>)</w:t>
      </w:r>
      <w:proofErr w:type="gramEnd"/>
      <w:r w:rsidRPr="00F5551F">
        <w:rPr>
          <w:b/>
          <w:i/>
          <w:sz w:val="22"/>
          <w:szCs w:val="22"/>
          <w:lang w:eastAsia="de-DE"/>
        </w:rPr>
        <w:br/>
        <w:t>(ii) 80 % for the 4</w:t>
      </w:r>
      <w:r w:rsidRPr="00F5551F">
        <w:rPr>
          <w:b/>
          <w:i/>
          <w:sz w:val="22"/>
          <w:szCs w:val="22"/>
          <w:vertAlign w:val="superscript"/>
          <w:lang w:eastAsia="de-DE"/>
        </w:rPr>
        <w:t>th</w:t>
      </w:r>
      <w:r w:rsidRPr="00F5551F">
        <w:rPr>
          <w:b/>
          <w:i/>
          <w:sz w:val="22"/>
          <w:szCs w:val="22"/>
          <w:lang w:eastAsia="de-DE"/>
        </w:rPr>
        <w:t xml:space="preserve"> to 9</w:t>
      </w:r>
      <w:r w:rsidRPr="00F5551F">
        <w:rPr>
          <w:b/>
          <w:i/>
          <w:sz w:val="22"/>
          <w:szCs w:val="22"/>
          <w:vertAlign w:val="superscript"/>
          <w:lang w:eastAsia="de-DE"/>
        </w:rPr>
        <w:t>th</w:t>
      </w:r>
      <w:r w:rsidRPr="00F5551F">
        <w:rPr>
          <w:b/>
          <w:i/>
          <w:sz w:val="22"/>
          <w:szCs w:val="22"/>
          <w:lang w:eastAsia="de-DE"/>
        </w:rPr>
        <w:t xml:space="preserve"> month of the period determined in point (b)</w:t>
      </w:r>
      <w:r w:rsidRPr="00F5551F">
        <w:rPr>
          <w:b/>
          <w:i/>
          <w:sz w:val="22"/>
          <w:szCs w:val="22"/>
          <w:lang w:eastAsia="de-DE"/>
        </w:rPr>
        <w:br/>
        <w:t>(iii) 50 % for the 10</w:t>
      </w:r>
      <w:r w:rsidRPr="00F5551F">
        <w:rPr>
          <w:b/>
          <w:i/>
          <w:sz w:val="22"/>
          <w:szCs w:val="22"/>
          <w:vertAlign w:val="superscript"/>
          <w:lang w:eastAsia="de-DE"/>
        </w:rPr>
        <w:t>th</w:t>
      </w:r>
      <w:r w:rsidRPr="00F5551F">
        <w:rPr>
          <w:b/>
          <w:i/>
          <w:sz w:val="22"/>
          <w:szCs w:val="22"/>
          <w:lang w:eastAsia="de-DE"/>
        </w:rPr>
        <w:t xml:space="preserve"> to 12</w:t>
      </w:r>
      <w:r w:rsidRPr="00F5551F">
        <w:rPr>
          <w:b/>
          <w:i/>
          <w:sz w:val="22"/>
          <w:szCs w:val="22"/>
          <w:vertAlign w:val="superscript"/>
          <w:lang w:eastAsia="de-DE"/>
        </w:rPr>
        <w:t>th</w:t>
      </w:r>
      <w:r w:rsidRPr="00F5551F">
        <w:rPr>
          <w:b/>
          <w:i/>
          <w:sz w:val="22"/>
          <w:szCs w:val="22"/>
          <w:lang w:eastAsia="de-DE"/>
        </w:rPr>
        <w:t xml:space="preserve"> month of the period determined in point (b)</w:t>
      </w:r>
      <w:r w:rsidRPr="00F5551F">
        <w:rPr>
          <w:b/>
          <w:i/>
          <w:sz w:val="22"/>
          <w:szCs w:val="22"/>
          <w:lang w:eastAsia="de-DE"/>
        </w:rPr>
        <w:br/>
        <w:t>(iv) 0 % as of the 13</w:t>
      </w:r>
      <w:r w:rsidRPr="00F5551F">
        <w:rPr>
          <w:b/>
          <w:i/>
          <w:sz w:val="22"/>
          <w:szCs w:val="22"/>
          <w:vertAlign w:val="superscript"/>
          <w:lang w:eastAsia="de-DE"/>
        </w:rPr>
        <w:t>th</w:t>
      </w:r>
      <w:r w:rsidRPr="00F5551F">
        <w:rPr>
          <w:b/>
          <w:i/>
          <w:sz w:val="22"/>
          <w:szCs w:val="22"/>
          <w:lang w:eastAsia="de-DE"/>
        </w:rPr>
        <w:t xml:space="preserve"> month of the period determined in point (b)</w:t>
      </w:r>
    </w:p>
    <w:p w:rsidR="008C02A9" w:rsidRPr="00F5551F" w:rsidRDefault="008C02A9" w:rsidP="00305E20">
      <w:pPr>
        <w:pBdr>
          <w:top w:val="single" w:sz="4" w:space="1" w:color="auto"/>
          <w:left w:val="single" w:sz="4" w:space="1" w:color="auto"/>
          <w:bottom w:val="single" w:sz="4" w:space="1" w:color="auto"/>
          <w:right w:val="single" w:sz="4" w:space="1" w:color="auto"/>
        </w:pBdr>
        <w:rPr>
          <w:i/>
          <w:strike/>
          <w:color w:val="000000"/>
          <w:sz w:val="22"/>
          <w:szCs w:val="22"/>
          <w:lang w:eastAsia="de-DE"/>
        </w:rPr>
      </w:pPr>
      <w:r w:rsidRPr="00F5551F">
        <w:rPr>
          <w:i/>
          <w:sz w:val="22"/>
          <w:szCs w:val="22"/>
          <w:lang w:eastAsia="de-DE"/>
        </w:rPr>
        <w:t xml:space="preserve">(e) </w:t>
      </w:r>
      <w:proofErr w:type="gramStart"/>
      <w:r w:rsidRPr="00F5551F">
        <w:rPr>
          <w:b/>
          <w:i/>
          <w:sz w:val="22"/>
          <w:szCs w:val="22"/>
          <w:lang w:eastAsia="de-DE"/>
        </w:rPr>
        <w:t>add</w:t>
      </w:r>
      <w:proofErr w:type="gramEnd"/>
      <w:r w:rsidRPr="00F5551F">
        <w:rPr>
          <w:b/>
          <w:i/>
          <w:sz w:val="22"/>
          <w:szCs w:val="22"/>
          <w:lang w:eastAsia="de-DE"/>
        </w:rPr>
        <w:t xml:space="preserve"> up the components calculated in point (d) </w:t>
      </w:r>
      <w:r w:rsidRPr="00F5551F">
        <w:rPr>
          <w:i/>
          <w:color w:val="FF0000"/>
          <w:sz w:val="22"/>
          <w:szCs w:val="22"/>
          <w:u w:val="single"/>
          <w:lang w:eastAsia="de-DE"/>
        </w:rPr>
        <w:br/>
      </w:r>
      <w:r w:rsidRPr="00F5551F">
        <w:rPr>
          <w:i/>
          <w:strike/>
          <w:color w:val="000000"/>
          <w:sz w:val="22"/>
          <w:szCs w:val="22"/>
          <w:lang w:eastAsia="de-DE"/>
        </w:rPr>
        <w:t>the longer between (</w:t>
      </w:r>
      <w:proofErr w:type="spellStart"/>
      <w:r w:rsidRPr="00F5551F">
        <w:rPr>
          <w:i/>
          <w:strike/>
          <w:color w:val="000000"/>
          <w:sz w:val="22"/>
          <w:szCs w:val="22"/>
          <w:lang w:eastAsia="de-DE"/>
        </w:rPr>
        <w:t>i</w:t>
      </w:r>
      <w:proofErr w:type="spellEnd"/>
      <w:r w:rsidRPr="00F5551F">
        <w:rPr>
          <w:i/>
          <w:strike/>
          <w:color w:val="000000"/>
          <w:sz w:val="22"/>
          <w:szCs w:val="22"/>
          <w:lang w:eastAsia="de-DE"/>
        </w:rPr>
        <w:t>) and (ii):</w:t>
      </w:r>
    </w:p>
    <w:p w:rsidR="008C02A9" w:rsidRPr="00F5551F" w:rsidRDefault="008C02A9" w:rsidP="00305E20">
      <w:pPr>
        <w:pBdr>
          <w:top w:val="single" w:sz="4" w:space="1" w:color="auto"/>
          <w:left w:val="single" w:sz="4" w:space="1" w:color="auto"/>
          <w:bottom w:val="single" w:sz="4" w:space="1" w:color="auto"/>
          <w:right w:val="single" w:sz="4" w:space="1" w:color="auto"/>
        </w:pBdr>
        <w:rPr>
          <w:i/>
          <w:strike/>
          <w:color w:val="000000"/>
          <w:sz w:val="22"/>
          <w:szCs w:val="22"/>
          <w:lang w:eastAsia="de-DE"/>
        </w:rPr>
      </w:pPr>
      <w:r w:rsidRPr="00F5551F">
        <w:rPr>
          <w:i/>
          <w:strike/>
          <w:color w:val="000000"/>
          <w:sz w:val="22"/>
          <w:szCs w:val="22"/>
          <w:lang w:eastAsia="de-DE"/>
        </w:rPr>
        <w:t>(</w:t>
      </w:r>
      <w:proofErr w:type="spellStart"/>
      <w:r w:rsidRPr="00F5551F">
        <w:rPr>
          <w:i/>
          <w:strike/>
          <w:color w:val="000000"/>
          <w:sz w:val="22"/>
          <w:szCs w:val="22"/>
          <w:lang w:eastAsia="de-DE"/>
        </w:rPr>
        <w:t>i</w:t>
      </w:r>
      <w:proofErr w:type="spellEnd"/>
      <w:r w:rsidRPr="00F5551F">
        <w:rPr>
          <w:i/>
          <w:strike/>
          <w:color w:val="000000"/>
          <w:sz w:val="22"/>
          <w:szCs w:val="22"/>
          <w:lang w:eastAsia="de-DE"/>
        </w:rPr>
        <w:t xml:space="preserve">) </w:t>
      </w:r>
      <w:proofErr w:type="gramStart"/>
      <w:r w:rsidRPr="00F5551F">
        <w:rPr>
          <w:i/>
          <w:strike/>
          <w:color w:val="000000"/>
          <w:sz w:val="22"/>
          <w:szCs w:val="22"/>
          <w:lang w:eastAsia="de-DE"/>
        </w:rPr>
        <w:t>the</w:t>
      </w:r>
      <w:proofErr w:type="gramEnd"/>
      <w:r w:rsidRPr="00F5551F">
        <w:rPr>
          <w:i/>
          <w:strike/>
          <w:color w:val="000000"/>
          <w:sz w:val="22"/>
          <w:szCs w:val="22"/>
          <w:lang w:eastAsia="de-DE"/>
        </w:rPr>
        <w:t xml:space="preserve"> time span referred to in point (a);</w:t>
      </w:r>
    </w:p>
    <w:p w:rsidR="008C02A9" w:rsidRPr="00F5551F" w:rsidRDefault="008C02A9" w:rsidP="00305E20">
      <w:pPr>
        <w:pBdr>
          <w:top w:val="single" w:sz="4" w:space="1" w:color="auto"/>
          <w:left w:val="single" w:sz="4" w:space="1" w:color="auto"/>
          <w:bottom w:val="single" w:sz="4" w:space="1" w:color="auto"/>
          <w:right w:val="single" w:sz="4" w:space="1" w:color="auto"/>
        </w:pBdr>
        <w:rPr>
          <w:b/>
          <w:i/>
          <w:sz w:val="22"/>
          <w:szCs w:val="22"/>
          <w:lang w:eastAsia="de-DE"/>
        </w:rPr>
      </w:pPr>
      <w:r w:rsidRPr="00F5551F">
        <w:rPr>
          <w:i/>
          <w:strike/>
          <w:color w:val="000000"/>
          <w:sz w:val="22"/>
          <w:szCs w:val="22"/>
          <w:lang w:eastAsia="de-DE"/>
        </w:rPr>
        <w:lastRenderedPageBreak/>
        <w:t>(ii) six months.</w:t>
      </w:r>
      <w:r w:rsidRPr="00F5551F">
        <w:rPr>
          <w:i/>
          <w:color w:val="000000"/>
          <w:sz w:val="22"/>
          <w:szCs w:val="22"/>
          <w:lang w:eastAsia="de-DE"/>
        </w:rPr>
        <w:t xml:space="preserve">  </w:t>
      </w:r>
      <w:r w:rsidRPr="00F5551F">
        <w:rPr>
          <w:i/>
          <w:color w:val="000000"/>
          <w:sz w:val="22"/>
          <w:szCs w:val="22"/>
          <w:lang w:eastAsia="de-DE"/>
        </w:rPr>
        <w:br/>
      </w:r>
      <w:r w:rsidRPr="00F5551F">
        <w:rPr>
          <w:b/>
          <w:i/>
          <w:sz w:val="22"/>
          <w:szCs w:val="22"/>
          <w:lang w:eastAsia="de-DE"/>
        </w:rPr>
        <w:t>2. For the purposes of point (c) of paragraph 1, the following shall apply:</w:t>
      </w:r>
    </w:p>
    <w:p w:rsidR="008C02A9" w:rsidRPr="00F5551F" w:rsidRDefault="008C02A9" w:rsidP="00305E20">
      <w:pPr>
        <w:pBdr>
          <w:top w:val="single" w:sz="4" w:space="1" w:color="auto"/>
          <w:left w:val="single" w:sz="4" w:space="1" w:color="auto"/>
          <w:bottom w:val="single" w:sz="4" w:space="1" w:color="auto"/>
          <w:right w:val="single" w:sz="4" w:space="1" w:color="auto"/>
        </w:pBdr>
        <w:rPr>
          <w:b/>
          <w:i/>
          <w:sz w:val="22"/>
          <w:szCs w:val="22"/>
          <w:lang w:eastAsia="de-DE"/>
        </w:rPr>
      </w:pPr>
      <w:r w:rsidRPr="00F5551F">
        <w:rPr>
          <w:b/>
          <w:i/>
          <w:sz w:val="22"/>
          <w:szCs w:val="22"/>
          <w:lang w:eastAsia="de-DE"/>
        </w:rPr>
        <w:t xml:space="preserve">(a) </w:t>
      </w:r>
      <w:proofErr w:type="gramStart"/>
      <w:r w:rsidRPr="00F5551F">
        <w:rPr>
          <w:b/>
          <w:i/>
          <w:sz w:val="22"/>
          <w:szCs w:val="22"/>
          <w:lang w:eastAsia="de-DE"/>
        </w:rPr>
        <w:t>the</w:t>
      </w:r>
      <w:proofErr w:type="gramEnd"/>
      <w:r w:rsidRPr="00F5551F">
        <w:rPr>
          <w:b/>
          <w:i/>
          <w:sz w:val="22"/>
          <w:szCs w:val="22"/>
          <w:lang w:eastAsia="de-DE"/>
        </w:rPr>
        <w:t xml:space="preserve"> CSD’s annual gross operational expenses shall consist of the elements 8 to 14 of Article 27 of Council directive 86/635/EC</w:t>
      </w:r>
      <w:r w:rsidRPr="00F5551F">
        <w:rPr>
          <w:rFonts w:cs="Calibri"/>
          <w:b/>
          <w:i/>
          <w:sz w:val="22"/>
          <w:szCs w:val="22"/>
          <w:lang w:eastAsia="de-DE"/>
        </w:rPr>
        <w:t>.</w:t>
      </w:r>
    </w:p>
    <w:p w:rsidR="008C02A9" w:rsidRPr="00F5551F" w:rsidRDefault="008C02A9" w:rsidP="00305E20">
      <w:pPr>
        <w:pBdr>
          <w:top w:val="single" w:sz="4" w:space="1" w:color="auto"/>
          <w:left w:val="single" w:sz="4" w:space="1" w:color="auto"/>
          <w:bottom w:val="single" w:sz="4" w:space="1" w:color="auto"/>
          <w:right w:val="single" w:sz="4" w:space="1" w:color="auto"/>
        </w:pBdr>
        <w:rPr>
          <w:b/>
          <w:i/>
          <w:sz w:val="22"/>
          <w:szCs w:val="22"/>
          <w:lang w:eastAsia="de-DE"/>
        </w:rPr>
      </w:pPr>
      <w:r w:rsidRPr="00F5551F">
        <w:rPr>
          <w:b/>
          <w:i/>
          <w:sz w:val="22"/>
          <w:szCs w:val="22"/>
          <w:lang w:eastAsia="de-DE"/>
        </w:rPr>
        <w:t xml:space="preserve">(b) </w:t>
      </w:r>
      <w:proofErr w:type="gramStart"/>
      <w:r w:rsidRPr="00F5551F">
        <w:rPr>
          <w:b/>
          <w:i/>
          <w:sz w:val="22"/>
          <w:szCs w:val="22"/>
          <w:lang w:eastAsia="de-DE"/>
        </w:rPr>
        <w:t>in</w:t>
      </w:r>
      <w:proofErr w:type="gramEnd"/>
      <w:r w:rsidRPr="00F5551F">
        <w:rPr>
          <w:b/>
          <w:i/>
          <w:sz w:val="22"/>
          <w:szCs w:val="22"/>
          <w:lang w:eastAsia="de-DE"/>
        </w:rPr>
        <w:t xml:space="preserve"> case the CSD is not subject to setting up accounts in line with that directive, it expenses shall be mapped to the above stated categories of that directive. </w:t>
      </w:r>
    </w:p>
    <w:p w:rsidR="008C02A9" w:rsidRPr="00F5551F" w:rsidRDefault="008C02A9" w:rsidP="00305E20">
      <w:pPr>
        <w:pBdr>
          <w:top w:val="single" w:sz="4" w:space="1" w:color="auto"/>
          <w:left w:val="single" w:sz="4" w:space="1" w:color="auto"/>
          <w:bottom w:val="single" w:sz="4" w:space="1" w:color="auto"/>
          <w:right w:val="single" w:sz="4" w:space="1" w:color="auto"/>
        </w:pBdr>
        <w:rPr>
          <w:b/>
          <w:i/>
          <w:sz w:val="22"/>
          <w:szCs w:val="22"/>
          <w:lang w:eastAsia="de-DE"/>
        </w:rPr>
      </w:pPr>
      <w:r w:rsidRPr="00F5551F">
        <w:rPr>
          <w:b/>
          <w:i/>
          <w:sz w:val="22"/>
          <w:szCs w:val="22"/>
          <w:lang w:eastAsia="de-DE"/>
        </w:rPr>
        <w:t xml:space="preserve">(c) </w:t>
      </w:r>
      <w:proofErr w:type="gramStart"/>
      <w:r w:rsidRPr="00F5551F">
        <w:rPr>
          <w:b/>
          <w:i/>
          <w:sz w:val="22"/>
          <w:szCs w:val="22"/>
          <w:lang w:eastAsia="de-DE"/>
        </w:rPr>
        <w:t>the</w:t>
      </w:r>
      <w:proofErr w:type="gramEnd"/>
      <w:r w:rsidRPr="00F5551F">
        <w:rPr>
          <w:b/>
          <w:i/>
          <w:sz w:val="22"/>
          <w:szCs w:val="22"/>
          <w:lang w:eastAsia="de-DE"/>
        </w:rPr>
        <w:t xml:space="preserve"> CSD shall use the most recent audited information from their annual financial statement; </w:t>
      </w:r>
    </w:p>
    <w:p w:rsidR="008C02A9" w:rsidRPr="00F5551F" w:rsidRDefault="008C02A9" w:rsidP="00305E20">
      <w:pPr>
        <w:pBdr>
          <w:top w:val="single" w:sz="4" w:space="1" w:color="auto"/>
          <w:left w:val="single" w:sz="4" w:space="1" w:color="auto"/>
          <w:bottom w:val="single" w:sz="4" w:space="1" w:color="auto"/>
          <w:right w:val="single" w:sz="4" w:space="1" w:color="auto"/>
        </w:pBdr>
        <w:rPr>
          <w:b/>
          <w:i/>
          <w:sz w:val="22"/>
          <w:szCs w:val="22"/>
          <w:lang w:eastAsia="de-DE"/>
        </w:rPr>
      </w:pPr>
      <w:r w:rsidRPr="00F5551F">
        <w:rPr>
          <w:b/>
          <w:i/>
          <w:sz w:val="22"/>
          <w:szCs w:val="22"/>
          <w:lang w:eastAsia="de-DE"/>
        </w:rPr>
        <w:t xml:space="preserve">(d) Where a CSD has not completed business for one year from the date it starts its operations, a CSD shall apply gross operational expenses projected in its business plan. </w:t>
      </w:r>
    </w:p>
    <w:p w:rsidR="00BA048F" w:rsidRPr="00F5551F" w:rsidRDefault="00BA048F" w:rsidP="00305E20">
      <w:pPr>
        <w:pBdr>
          <w:top w:val="single" w:sz="4" w:space="1" w:color="auto"/>
          <w:left w:val="single" w:sz="4" w:space="1" w:color="auto"/>
          <w:bottom w:val="single" w:sz="4" w:space="1" w:color="auto"/>
          <w:right w:val="single" w:sz="4" w:space="1" w:color="auto"/>
        </w:pBdr>
        <w:rPr>
          <w:rFonts w:eastAsia="Arial Unicode MS" w:cs="Courier New"/>
          <w:b/>
          <w:i/>
          <w:sz w:val="22"/>
          <w:szCs w:val="22"/>
          <w:lang w:eastAsia="en-GB"/>
        </w:rPr>
      </w:pPr>
    </w:p>
    <w:p w:rsidR="008C02A9" w:rsidRPr="00F5551F" w:rsidRDefault="008C02A9" w:rsidP="00DA6980">
      <w:pPr>
        <w:pStyle w:val="Default"/>
        <w:contextualSpacing/>
        <w:jc w:val="both"/>
        <w:rPr>
          <w:rFonts w:ascii="DIN-Regular" w:eastAsia="Arial Unicode MS" w:hAnsi="DIN-Regular" w:cs="Arial"/>
          <w:color w:val="0070C0"/>
          <w:sz w:val="22"/>
          <w:szCs w:val="22"/>
        </w:rPr>
      </w:pPr>
    </w:p>
    <w:p w:rsidR="009C7F58" w:rsidRPr="00F5551F" w:rsidRDefault="009C7F58" w:rsidP="00DA6980">
      <w:pPr>
        <w:pStyle w:val="Default"/>
        <w:contextualSpacing/>
        <w:jc w:val="both"/>
        <w:rPr>
          <w:rFonts w:ascii="DIN-Regular" w:eastAsia="Arial Unicode MS" w:hAnsi="DIN-Regular" w:cs="Arial"/>
          <w:color w:val="0070C0"/>
          <w:sz w:val="22"/>
          <w:szCs w:val="22"/>
        </w:rPr>
      </w:pPr>
    </w:p>
    <w:p w:rsidR="00EB3782" w:rsidRPr="00F5551F" w:rsidRDefault="00EB3782" w:rsidP="00DA6980">
      <w:pPr>
        <w:pStyle w:val="Default"/>
        <w:ind w:left="720"/>
        <w:contextualSpacing/>
        <w:jc w:val="both"/>
        <w:rPr>
          <w:rFonts w:ascii="DIN-Regular" w:eastAsia="Arial Unicode MS" w:hAnsi="DIN-Regular" w:cs="Arial"/>
          <w:color w:val="0070C0"/>
          <w:sz w:val="22"/>
          <w:szCs w:val="22"/>
        </w:rPr>
      </w:pPr>
    </w:p>
    <w:p w:rsidR="006A0FC7" w:rsidRPr="00F5551F" w:rsidRDefault="006A0FC7" w:rsidP="00DA6980">
      <w:pPr>
        <w:pStyle w:val="Default"/>
        <w:numPr>
          <w:ilvl w:val="0"/>
          <w:numId w:val="1"/>
        </w:numPr>
        <w:pBdr>
          <w:top w:val="single" w:sz="4" w:space="1" w:color="auto"/>
          <w:left w:val="single" w:sz="4" w:space="4" w:color="auto"/>
          <w:bottom w:val="single" w:sz="4" w:space="1" w:color="auto"/>
          <w:right w:val="single" w:sz="4" w:space="4" w:color="auto"/>
        </w:pBdr>
        <w:contextualSpacing/>
        <w:jc w:val="both"/>
        <w:rPr>
          <w:rFonts w:ascii="DIN-Regular" w:eastAsia="Arial Unicode MS" w:hAnsi="DIN-Regular" w:cs="Arial"/>
          <w:color w:val="0070C0"/>
          <w:sz w:val="22"/>
          <w:szCs w:val="22"/>
        </w:rPr>
      </w:pPr>
      <w:r w:rsidRPr="00F5551F">
        <w:rPr>
          <w:rFonts w:ascii="DIN-Regular" w:eastAsia="Arial Unicode MS" w:hAnsi="DIN-Regular" w:cs="Arial"/>
          <w:color w:val="0070C0"/>
          <w:sz w:val="22"/>
          <w:szCs w:val="22"/>
        </w:rPr>
        <w:t>What are the operational or practical impediments of the proposed methodology for the calculation of the capital surcharge? Do you envisage any amendment to the proposed methodology that might lead to a better measurement and management of those risks?</w:t>
      </w:r>
    </w:p>
    <w:p w:rsidR="006A0FC7" w:rsidRPr="00F5551F" w:rsidRDefault="006A0FC7" w:rsidP="00DA6980">
      <w:pPr>
        <w:pStyle w:val="Default"/>
        <w:contextualSpacing/>
        <w:jc w:val="both"/>
        <w:rPr>
          <w:rFonts w:ascii="DIN-Regular" w:hAnsi="DIN-Regular" w:cs="Arial"/>
          <w:sz w:val="22"/>
          <w:szCs w:val="22"/>
        </w:rPr>
      </w:pPr>
    </w:p>
    <w:p w:rsidR="00BA2A95" w:rsidRPr="00F5551F" w:rsidRDefault="00BA2A95" w:rsidP="00DA6980">
      <w:pPr>
        <w:pStyle w:val="Default"/>
        <w:contextualSpacing/>
        <w:jc w:val="both"/>
        <w:rPr>
          <w:rFonts w:ascii="DIN-Regular" w:hAnsi="DIN-Regular" w:cs="Arial"/>
          <w:sz w:val="22"/>
          <w:szCs w:val="22"/>
        </w:rPr>
      </w:pPr>
    </w:p>
    <w:p w:rsidR="006A0FC7" w:rsidRPr="00F5551F" w:rsidRDefault="006A0FC7"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As explained in section </w:t>
      </w:r>
      <w:r w:rsidR="00B02B38" w:rsidRPr="00F5551F">
        <w:rPr>
          <w:rFonts w:ascii="DIN-Regular" w:eastAsia="Arial Unicode MS" w:hAnsi="DIN-Regular" w:cs="Arial"/>
          <w:szCs w:val="22"/>
          <w:lang w:eastAsia="en-GB"/>
        </w:rPr>
        <w:t>C</w:t>
      </w:r>
      <w:r w:rsidRPr="00F5551F">
        <w:rPr>
          <w:rFonts w:ascii="DIN-Regular" w:eastAsia="Arial Unicode MS" w:hAnsi="DIN-Regular" w:cs="Arial"/>
          <w:szCs w:val="22"/>
          <w:lang w:eastAsia="en-GB"/>
        </w:rPr>
        <w:t xml:space="preserve"> of </w:t>
      </w:r>
      <w:r w:rsidR="00274AF4">
        <w:rPr>
          <w:rFonts w:ascii="DIN-Regular" w:eastAsia="Arial Unicode MS" w:hAnsi="DIN-Regular" w:cs="Arial"/>
          <w:szCs w:val="22"/>
          <w:lang w:eastAsia="en-GB"/>
        </w:rPr>
        <w:t xml:space="preserve">our </w:t>
      </w:r>
      <w:r w:rsidR="00F1172D">
        <w:rPr>
          <w:rFonts w:ascii="DIN-Regular" w:eastAsia="Arial Unicode MS" w:hAnsi="DIN-Regular" w:cs="Arial"/>
          <w:szCs w:val="22"/>
          <w:lang w:eastAsia="en-GB"/>
        </w:rPr>
        <w:t xml:space="preserve">comprehensive response to the </w:t>
      </w:r>
      <w:proofErr w:type="spellStart"/>
      <w:r w:rsidR="00F1172D">
        <w:rPr>
          <w:rFonts w:ascii="DIN-Regular" w:eastAsia="Arial Unicode MS" w:hAnsi="DIN-Regular" w:cs="Arial"/>
          <w:szCs w:val="22"/>
          <w:lang w:eastAsia="en-GB"/>
        </w:rPr>
        <w:t>consulation</w:t>
      </w:r>
      <w:proofErr w:type="spellEnd"/>
      <w:r w:rsidRPr="00F5551F">
        <w:rPr>
          <w:rFonts w:ascii="DIN-Regular" w:eastAsia="Arial Unicode MS" w:hAnsi="DIN-Regular" w:cs="Arial"/>
          <w:szCs w:val="22"/>
          <w:lang w:eastAsia="en-GB"/>
        </w:rPr>
        <w:t xml:space="preserve">, there are several open questions which are in our mind not properly specified in the proposed approach. Furthermore, we see a lot of weaknesses in the approach and overall we clearly see a tendency to massively overcharge capital needs for intraday credits. </w:t>
      </w:r>
    </w:p>
    <w:p w:rsidR="006A0FC7" w:rsidRPr="00F5551F" w:rsidRDefault="006A0FC7"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As such, we do not agree to the proposed approach.</w:t>
      </w:r>
    </w:p>
    <w:p w:rsidR="006A0FC7" w:rsidRDefault="006A0FC7"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In case the approach is implemented nevertheless, CSDs already operating today need to get an appropriate phase in time to be compliant with the massive operational requirements and the additional capital needed. In this case, we propose a similar phase in approach as proposed in question 2 with regards to the capital charges for smaller CSDs as follows:</w:t>
      </w:r>
    </w:p>
    <w:p w:rsidR="00D65895" w:rsidRPr="00F5551F" w:rsidRDefault="00D65895" w:rsidP="00DA6980">
      <w:pPr>
        <w:pStyle w:val="ListParagraph"/>
        <w:spacing w:line="240" w:lineRule="auto"/>
        <w:ind w:left="0"/>
        <w:jc w:val="both"/>
        <w:rPr>
          <w:rFonts w:ascii="DIN-Regular" w:eastAsia="Arial Unicode MS" w:hAnsi="DIN-Regular" w:cs="Arial"/>
          <w:szCs w:val="22"/>
          <w:lang w:eastAsia="en-GB"/>
        </w:rPr>
      </w:pPr>
    </w:p>
    <w:p w:rsidR="006A0FC7" w:rsidRPr="00F5551F" w:rsidRDefault="006A0FC7" w:rsidP="00DA6980">
      <w:pPr>
        <w:pStyle w:val="ListParagraph"/>
        <w:numPr>
          <w:ilvl w:val="0"/>
          <w:numId w:val="7"/>
        </w:numPr>
        <w:spacing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Grant a general phase in time of 30 months after granting the authorisation for full compliance with the rules.</w:t>
      </w:r>
    </w:p>
    <w:p w:rsidR="006A0FC7" w:rsidRPr="00F5551F" w:rsidRDefault="006A0FC7" w:rsidP="00DA6980">
      <w:pPr>
        <w:pStyle w:val="ListParagraph"/>
        <w:numPr>
          <w:ilvl w:val="0"/>
          <w:numId w:val="7"/>
        </w:numPr>
        <w:spacing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Put in place an interim </w:t>
      </w:r>
      <w:r w:rsidR="00F46BA8" w:rsidRPr="00F5551F">
        <w:rPr>
          <w:rFonts w:ascii="DIN-Regular" w:eastAsia="Arial Unicode MS" w:hAnsi="DIN-Regular" w:cs="Arial"/>
          <w:szCs w:val="22"/>
          <w:lang w:eastAsia="en-GB"/>
        </w:rPr>
        <w:t>add on</w:t>
      </w:r>
      <w:r w:rsidRPr="00F5551F">
        <w:rPr>
          <w:rFonts w:ascii="DIN-Regular" w:eastAsia="Arial Unicode MS" w:hAnsi="DIN-Regular" w:cs="Arial"/>
          <w:szCs w:val="22"/>
          <w:lang w:eastAsia="en-GB"/>
        </w:rPr>
        <w:t xml:space="preserve"> of </w:t>
      </w:r>
      <w:r w:rsidR="00F46BA8" w:rsidRPr="00F5551F">
        <w:rPr>
          <w:rFonts w:ascii="DIN-Regular" w:eastAsia="Arial Unicode MS" w:hAnsi="DIN-Regular" w:cs="Arial"/>
          <w:szCs w:val="22"/>
          <w:lang w:eastAsia="en-GB"/>
        </w:rPr>
        <w:t>5</w:t>
      </w:r>
      <w:r w:rsidRPr="00F5551F">
        <w:rPr>
          <w:rFonts w:ascii="DIN-Regular" w:eastAsia="Arial Unicode MS" w:hAnsi="DIN-Regular" w:cs="Arial"/>
          <w:szCs w:val="22"/>
          <w:lang w:eastAsia="en-GB"/>
        </w:rPr>
        <w:t xml:space="preserve">0 % of the capital charge for overnight credit risk to be reached latest by </w:t>
      </w:r>
      <w:r w:rsidR="00F46BA8" w:rsidRPr="00F5551F">
        <w:rPr>
          <w:rFonts w:ascii="DIN-Regular" w:eastAsia="Arial Unicode MS" w:hAnsi="DIN-Regular" w:cs="Arial"/>
          <w:szCs w:val="22"/>
          <w:lang w:eastAsia="en-GB"/>
        </w:rPr>
        <w:t>6</w:t>
      </w:r>
      <w:r w:rsidRPr="00F5551F">
        <w:rPr>
          <w:rFonts w:ascii="DIN-Regular" w:eastAsia="Arial Unicode MS" w:hAnsi="DIN-Regular" w:cs="Arial"/>
          <w:szCs w:val="22"/>
          <w:lang w:eastAsia="en-GB"/>
        </w:rPr>
        <w:t xml:space="preserve"> months after granting the authorisation and </w:t>
      </w:r>
      <w:r w:rsidR="00F46BA8" w:rsidRPr="00F5551F">
        <w:rPr>
          <w:rFonts w:ascii="DIN-Regular" w:eastAsia="Arial Unicode MS" w:hAnsi="DIN-Regular" w:cs="Arial"/>
          <w:szCs w:val="22"/>
          <w:lang w:eastAsia="en-GB"/>
        </w:rPr>
        <w:t>10</w:t>
      </w:r>
      <w:r w:rsidRPr="00F5551F">
        <w:rPr>
          <w:rFonts w:ascii="DIN-Regular" w:eastAsia="Arial Unicode MS" w:hAnsi="DIN-Regular" w:cs="Arial"/>
          <w:szCs w:val="22"/>
          <w:lang w:eastAsia="en-GB"/>
        </w:rPr>
        <w:t xml:space="preserve">0 % of the capital charge for overnight credit risk to be reached latest by </w:t>
      </w:r>
      <w:r w:rsidR="00F46BA8" w:rsidRPr="00F5551F">
        <w:rPr>
          <w:rFonts w:ascii="DIN-Regular" w:eastAsia="Arial Unicode MS" w:hAnsi="DIN-Regular" w:cs="Arial"/>
          <w:szCs w:val="22"/>
          <w:lang w:eastAsia="en-GB"/>
        </w:rPr>
        <w:t>12</w:t>
      </w:r>
      <w:r w:rsidRPr="00F5551F">
        <w:rPr>
          <w:rFonts w:ascii="DIN-Regular" w:eastAsia="Arial Unicode MS" w:hAnsi="DIN-Regular" w:cs="Arial"/>
          <w:szCs w:val="22"/>
          <w:lang w:eastAsia="en-GB"/>
        </w:rPr>
        <w:t xml:space="preserve"> months after granting the authorisation.</w:t>
      </w:r>
    </w:p>
    <w:p w:rsidR="006A0FC7" w:rsidRPr="00F5551F" w:rsidRDefault="006A0FC7" w:rsidP="00DA6980">
      <w:pPr>
        <w:pStyle w:val="ListParagraph"/>
        <w:numPr>
          <w:ilvl w:val="0"/>
          <w:numId w:val="7"/>
        </w:numPr>
        <w:spacing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Put an obligation to start </w:t>
      </w:r>
      <w:r w:rsidR="00F31510" w:rsidRPr="00F5551F">
        <w:rPr>
          <w:rFonts w:ascii="DIN-Regular" w:eastAsia="Arial Unicode MS" w:hAnsi="DIN-Regular" w:cs="Arial"/>
          <w:szCs w:val="22"/>
          <w:lang w:eastAsia="en-GB"/>
        </w:rPr>
        <w:t>calculat</w:t>
      </w:r>
      <w:r w:rsidR="00CE0924" w:rsidRPr="00F5551F">
        <w:rPr>
          <w:rFonts w:ascii="DIN-Regular" w:eastAsia="Arial Unicode MS" w:hAnsi="DIN-Regular" w:cs="Arial"/>
          <w:szCs w:val="22"/>
          <w:lang w:eastAsia="en-GB"/>
        </w:rPr>
        <w:t>ing</w:t>
      </w:r>
      <w:r w:rsidRPr="00F5551F">
        <w:rPr>
          <w:rFonts w:ascii="DIN-Regular" w:eastAsia="Arial Unicode MS" w:hAnsi="DIN-Regular" w:cs="Arial"/>
          <w:szCs w:val="22"/>
          <w:lang w:eastAsia="en-GB"/>
        </w:rPr>
        <w:t xml:space="preserve"> the capital requirements not later than 18 months after granting the authorisation.</w:t>
      </w:r>
    </w:p>
    <w:p w:rsidR="006A0FC7" w:rsidRPr="00F5551F" w:rsidRDefault="006A0FC7" w:rsidP="00DA6980">
      <w:pPr>
        <w:pStyle w:val="ListParagraph"/>
        <w:numPr>
          <w:ilvl w:val="0"/>
          <w:numId w:val="7"/>
        </w:numPr>
        <w:spacing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Request a clear plan with the application on how the requirements will be implemented and how capital shortages – if any –will be filled.</w:t>
      </w:r>
    </w:p>
    <w:p w:rsidR="006A0FC7" w:rsidRPr="00F5551F" w:rsidRDefault="006A0FC7" w:rsidP="00DA6980">
      <w:pPr>
        <w:pStyle w:val="ListParagraph"/>
        <w:spacing w:line="240" w:lineRule="auto"/>
        <w:ind w:left="0"/>
        <w:jc w:val="both"/>
        <w:rPr>
          <w:rFonts w:ascii="DIN-Regular" w:eastAsia="Arial Unicode MS" w:hAnsi="DIN-Regular" w:cs="Arial"/>
          <w:szCs w:val="22"/>
          <w:lang w:eastAsia="en-GB"/>
        </w:rPr>
      </w:pPr>
    </w:p>
    <w:p w:rsidR="006A0FC7" w:rsidRPr="00F5551F" w:rsidRDefault="006A0FC7" w:rsidP="00305E20">
      <w:pPr>
        <w:jc w:val="both"/>
        <w:rPr>
          <w:rFonts w:eastAsia="Arial Unicode MS" w:cs="Arial"/>
          <w:sz w:val="22"/>
          <w:szCs w:val="22"/>
          <w:lang w:eastAsia="en-GB"/>
        </w:rPr>
      </w:pPr>
      <w:r w:rsidRPr="00F5551F">
        <w:rPr>
          <w:rFonts w:eastAsia="Arial Unicode MS" w:cs="Arial"/>
          <w:sz w:val="22"/>
          <w:szCs w:val="22"/>
          <w:lang w:eastAsia="en-GB"/>
        </w:rPr>
        <w:t xml:space="preserve">Moreover, we would prefer a totally different approach to calculate credit risks from intraday credits </w:t>
      </w:r>
      <w:r w:rsidR="006D3953" w:rsidRPr="00F5551F">
        <w:rPr>
          <w:rFonts w:eastAsia="Arial Unicode MS" w:cs="Arial"/>
          <w:sz w:val="22"/>
          <w:szCs w:val="22"/>
          <w:lang w:eastAsia="en-GB"/>
        </w:rPr>
        <w:t>as explained further along this document.</w:t>
      </w:r>
    </w:p>
    <w:p w:rsidR="006D3953" w:rsidRPr="00F5551F" w:rsidRDefault="006D3953" w:rsidP="00305E20">
      <w:pPr>
        <w:jc w:val="both"/>
        <w:rPr>
          <w:rFonts w:eastAsia="Arial Unicode MS" w:cs="Arial"/>
          <w:sz w:val="22"/>
          <w:szCs w:val="22"/>
          <w:lang w:eastAsia="en-GB"/>
        </w:rPr>
      </w:pPr>
    </w:p>
    <w:p w:rsidR="006A0FC7" w:rsidRPr="00F5551F" w:rsidRDefault="00B02B38"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We believe</w:t>
      </w:r>
      <w:r w:rsidR="006A0FC7" w:rsidRPr="00F5551F">
        <w:rPr>
          <w:rFonts w:ascii="DIN-Regular" w:eastAsia="Arial Unicode MS" w:hAnsi="DIN-Regular" w:cs="Arial"/>
          <w:szCs w:val="22"/>
          <w:lang w:eastAsia="en-GB"/>
        </w:rPr>
        <w:t xml:space="preserve"> that such a model is reflecting the intraday credit risk, is generating a reasonable level of capital charge and it is also reflecting the collateralisation appropriately. Furthermore it has the benefit of being easier to implement than the complex proposal of EBA. However, also this method will need some time for implementation.</w:t>
      </w:r>
    </w:p>
    <w:p w:rsidR="006A0FC7" w:rsidRPr="00F5551F" w:rsidRDefault="006A0FC7" w:rsidP="00DA6980">
      <w:pPr>
        <w:pStyle w:val="ListParagraph"/>
        <w:spacing w:line="240" w:lineRule="auto"/>
        <w:ind w:left="0"/>
        <w:jc w:val="both"/>
        <w:rPr>
          <w:rFonts w:ascii="DIN-Regular" w:eastAsia="Arial Unicode MS" w:hAnsi="DIN-Regular" w:cs="Arial"/>
          <w:szCs w:val="22"/>
          <w:lang w:eastAsia="en-GB"/>
        </w:rPr>
      </w:pPr>
    </w:p>
    <w:p w:rsidR="006A0FC7" w:rsidRPr="00F5551F" w:rsidRDefault="006A0FC7"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We therefore propose also in this case a phase in approach:</w:t>
      </w:r>
    </w:p>
    <w:p w:rsidR="006A0FC7" w:rsidRPr="00F5551F" w:rsidRDefault="006A0FC7" w:rsidP="00DA6980">
      <w:pPr>
        <w:pStyle w:val="ListParagraph"/>
        <w:numPr>
          <w:ilvl w:val="0"/>
          <w:numId w:val="9"/>
        </w:numPr>
        <w:spacing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lastRenderedPageBreak/>
        <w:t xml:space="preserve">Implementation </w:t>
      </w:r>
      <w:r w:rsidR="00F46BA8" w:rsidRPr="00F5551F">
        <w:rPr>
          <w:rFonts w:ascii="DIN-Regular" w:eastAsia="Arial Unicode MS" w:hAnsi="DIN-Regular" w:cs="Arial"/>
          <w:szCs w:val="22"/>
          <w:lang w:eastAsia="en-GB"/>
        </w:rPr>
        <w:t xml:space="preserve">and fulfilment latest </w:t>
      </w:r>
      <w:r w:rsidRPr="00F5551F">
        <w:rPr>
          <w:rFonts w:ascii="DIN-Regular" w:eastAsia="Arial Unicode MS" w:hAnsi="DIN-Regular" w:cs="Arial"/>
          <w:szCs w:val="22"/>
          <w:lang w:eastAsia="en-GB"/>
        </w:rPr>
        <w:t xml:space="preserve">12 months after granting </w:t>
      </w:r>
      <w:r w:rsidR="00F46BA8" w:rsidRPr="00F5551F">
        <w:rPr>
          <w:rFonts w:ascii="DIN-Regular" w:eastAsia="Arial Unicode MS" w:hAnsi="DIN-Regular" w:cs="Arial"/>
          <w:szCs w:val="22"/>
          <w:lang w:eastAsia="en-GB"/>
        </w:rPr>
        <w:t xml:space="preserve">the </w:t>
      </w:r>
      <w:r w:rsidRPr="00F5551F">
        <w:rPr>
          <w:rFonts w:ascii="DIN-Regular" w:eastAsia="Arial Unicode MS" w:hAnsi="DIN-Regular" w:cs="Arial"/>
          <w:szCs w:val="22"/>
          <w:lang w:eastAsia="en-GB"/>
        </w:rPr>
        <w:t>authorisation.</w:t>
      </w:r>
    </w:p>
    <w:p w:rsidR="006A0FC7" w:rsidRPr="00F5551F" w:rsidRDefault="006A0FC7" w:rsidP="00DA6980">
      <w:pPr>
        <w:pStyle w:val="ListParagraph"/>
        <w:numPr>
          <w:ilvl w:val="0"/>
          <w:numId w:val="9"/>
        </w:numPr>
        <w:spacing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Additional capital surcharge of </w:t>
      </w:r>
      <w:r w:rsidR="00F46BA8" w:rsidRPr="00F5551F">
        <w:rPr>
          <w:rFonts w:ascii="DIN-Regular" w:eastAsia="Arial Unicode MS" w:hAnsi="DIN-Regular" w:cs="Arial"/>
          <w:szCs w:val="22"/>
          <w:lang w:eastAsia="en-GB"/>
        </w:rPr>
        <w:t xml:space="preserve">50 </w:t>
      </w:r>
      <w:r w:rsidRPr="00F5551F">
        <w:rPr>
          <w:rFonts w:ascii="DIN-Regular" w:eastAsia="Arial Unicode MS" w:hAnsi="DIN-Regular" w:cs="Arial"/>
          <w:szCs w:val="22"/>
          <w:lang w:eastAsia="en-GB"/>
        </w:rPr>
        <w:t xml:space="preserve">% on the capital requirements for (overnight) credit risk </w:t>
      </w:r>
      <w:r w:rsidR="00F46BA8" w:rsidRPr="00F5551F">
        <w:rPr>
          <w:rFonts w:ascii="DIN-Regular" w:eastAsia="Arial Unicode MS" w:hAnsi="DIN-Regular" w:cs="Arial"/>
          <w:szCs w:val="22"/>
          <w:lang w:eastAsia="en-GB"/>
        </w:rPr>
        <w:t>to be reached latest 6 months after granting the authorisation</w:t>
      </w:r>
      <w:r w:rsidRPr="00F5551F">
        <w:rPr>
          <w:rFonts w:ascii="DIN-Regular" w:eastAsia="Arial Unicode MS" w:hAnsi="DIN-Regular" w:cs="Arial"/>
          <w:szCs w:val="22"/>
          <w:lang w:eastAsia="en-GB"/>
        </w:rPr>
        <w:t>.</w:t>
      </w:r>
    </w:p>
    <w:p w:rsidR="00EB3782" w:rsidRPr="00F5551F" w:rsidRDefault="00EB3782" w:rsidP="00DA6980">
      <w:pPr>
        <w:pStyle w:val="ListParagraph"/>
        <w:spacing w:line="240" w:lineRule="auto"/>
        <w:jc w:val="both"/>
        <w:rPr>
          <w:rFonts w:ascii="DIN-Regular" w:eastAsia="Arial Unicode MS" w:hAnsi="DIN-Regular" w:cs="Arial"/>
          <w:szCs w:val="22"/>
          <w:lang w:eastAsia="en-GB"/>
        </w:rPr>
      </w:pPr>
    </w:p>
    <w:p w:rsidR="008C02A9" w:rsidRPr="00F5551F" w:rsidRDefault="008C02A9" w:rsidP="008C02A9">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sz w:val="22"/>
          <w:szCs w:val="22"/>
        </w:rPr>
        <w:t xml:space="preserve">In addition to the general comments made above and the answers to the specific question raised, we do want to comment on </w:t>
      </w:r>
      <w:r w:rsidRPr="00F5551F">
        <w:rPr>
          <w:rFonts w:ascii="DIN-Regular" w:eastAsia="Arial Unicode MS" w:hAnsi="DIN-Regular" w:cs="Arial"/>
          <w:color w:val="auto"/>
          <w:sz w:val="22"/>
          <w:szCs w:val="22"/>
        </w:rPr>
        <w:t>dedicated topics regarding Articles 9 to 13 of the EBA draft RTS proposal as follows:</w:t>
      </w:r>
    </w:p>
    <w:p w:rsidR="008C02A9" w:rsidRPr="00F5551F" w:rsidRDefault="008C02A9" w:rsidP="00B02B38">
      <w:pPr>
        <w:rPr>
          <w:rFonts w:eastAsia="Arial Unicode MS"/>
          <w:sz w:val="22"/>
          <w:szCs w:val="22"/>
          <w:lang w:eastAsia="en-GB"/>
        </w:rPr>
      </w:pPr>
    </w:p>
    <w:p w:rsidR="008C02A9" w:rsidRPr="00F5551F" w:rsidRDefault="008C02A9" w:rsidP="00B02B38">
      <w:pPr>
        <w:rPr>
          <w:rFonts w:eastAsia="Arial Unicode MS"/>
          <w:b/>
          <w:sz w:val="22"/>
          <w:szCs w:val="22"/>
          <w:lang w:eastAsia="en-GB"/>
        </w:rPr>
      </w:pPr>
      <w:r w:rsidRPr="00F5551F">
        <w:rPr>
          <w:rFonts w:eastAsia="Arial Unicode MS"/>
          <w:b/>
          <w:sz w:val="22"/>
          <w:szCs w:val="22"/>
          <w:lang w:eastAsia="en-GB"/>
        </w:rPr>
        <w:t>Capital surcharge for intraday credits (Recital 13 -15, Artic</w:t>
      </w:r>
      <w:r w:rsidR="00B02B38" w:rsidRPr="00F5551F">
        <w:rPr>
          <w:rFonts w:eastAsia="Arial Unicode MS"/>
          <w:b/>
          <w:sz w:val="22"/>
          <w:szCs w:val="22"/>
          <w:lang w:eastAsia="en-GB"/>
        </w:rPr>
        <w:t>le 9)</w:t>
      </w:r>
    </w:p>
    <w:p w:rsidR="008C02A9" w:rsidRPr="00F5551F" w:rsidRDefault="008C02A9" w:rsidP="00B02B38">
      <w:pPr>
        <w:rPr>
          <w:rFonts w:eastAsia="Arial Unicode MS" w:cs="Arial"/>
          <w:sz w:val="22"/>
          <w:szCs w:val="22"/>
          <w:lang w:eastAsia="en-GB"/>
        </w:rPr>
      </w:pPr>
      <w:r w:rsidRPr="00F5551F">
        <w:rPr>
          <w:rFonts w:eastAsia="Arial Unicode MS" w:cs="Arial"/>
          <w:sz w:val="22"/>
          <w:szCs w:val="22"/>
          <w:lang w:eastAsia="en-GB"/>
        </w:rPr>
        <w:t xml:space="preserve">Article 54 (3) </w:t>
      </w:r>
      <w:r w:rsidR="00D677D3">
        <w:rPr>
          <w:rFonts w:eastAsia="Arial Unicode MS" w:cs="Arial"/>
          <w:sz w:val="22"/>
          <w:szCs w:val="22"/>
          <w:lang w:eastAsia="en-GB"/>
        </w:rPr>
        <w:t>(</w:t>
      </w:r>
      <w:r w:rsidRPr="00F5551F">
        <w:rPr>
          <w:rFonts w:eastAsia="Arial Unicode MS" w:cs="Arial"/>
          <w:sz w:val="22"/>
          <w:szCs w:val="22"/>
          <w:lang w:eastAsia="en-GB"/>
        </w:rPr>
        <w:t>d</w:t>
      </w:r>
      <w:r w:rsidR="00D677D3">
        <w:rPr>
          <w:rFonts w:eastAsia="Arial Unicode MS" w:cs="Arial"/>
          <w:sz w:val="22"/>
          <w:szCs w:val="22"/>
          <w:lang w:eastAsia="en-GB"/>
        </w:rPr>
        <w:t>)</w:t>
      </w:r>
      <w:r w:rsidRPr="00F5551F">
        <w:rPr>
          <w:rFonts w:eastAsia="Arial Unicode MS" w:cs="Arial"/>
          <w:sz w:val="22"/>
          <w:szCs w:val="22"/>
          <w:lang w:eastAsia="en-GB"/>
        </w:rPr>
        <w:t xml:space="preserve"> and Article 54 (4) </w:t>
      </w:r>
      <w:r w:rsidR="00D677D3">
        <w:rPr>
          <w:rFonts w:eastAsia="Arial Unicode MS" w:cs="Arial"/>
          <w:sz w:val="22"/>
          <w:szCs w:val="22"/>
          <w:lang w:eastAsia="en-GB"/>
        </w:rPr>
        <w:t>(</w:t>
      </w:r>
      <w:r w:rsidRPr="00F5551F">
        <w:rPr>
          <w:rFonts w:eastAsia="Arial Unicode MS" w:cs="Arial"/>
          <w:sz w:val="22"/>
          <w:szCs w:val="22"/>
          <w:lang w:eastAsia="en-GB"/>
        </w:rPr>
        <w:t>e</w:t>
      </w:r>
      <w:r w:rsidR="00D677D3">
        <w:rPr>
          <w:rFonts w:eastAsia="Arial Unicode MS" w:cs="Arial"/>
          <w:sz w:val="22"/>
          <w:szCs w:val="22"/>
          <w:lang w:eastAsia="en-GB"/>
        </w:rPr>
        <w:t>)</w:t>
      </w:r>
      <w:r w:rsidRPr="00F5551F">
        <w:rPr>
          <w:rFonts w:eastAsia="Arial Unicode MS" w:cs="Arial"/>
          <w:sz w:val="22"/>
          <w:szCs w:val="22"/>
          <w:lang w:eastAsia="en-GB"/>
        </w:rPr>
        <w:t xml:space="preserve"> CSD-R respectively ask for an capital surcharge to cover the risk including credit and liquidity risk for the provision of intra-day credits to the participants in its securities settlement systems or other users of CSD services. It is important to note, that </w:t>
      </w:r>
      <w:r w:rsidRPr="00F5551F">
        <w:rPr>
          <w:rFonts w:eastAsia="Arial Unicode MS" w:cs="Arial"/>
          <w:sz w:val="22"/>
          <w:szCs w:val="22"/>
          <w:u w:val="single"/>
          <w:lang w:eastAsia="en-GB"/>
        </w:rPr>
        <w:t xml:space="preserve">only </w:t>
      </w:r>
      <w:r w:rsidRPr="00F5551F">
        <w:rPr>
          <w:rFonts w:eastAsia="Arial Unicode MS" w:cs="Arial"/>
          <w:sz w:val="22"/>
          <w:szCs w:val="22"/>
          <w:lang w:eastAsia="en-GB"/>
        </w:rPr>
        <w:t xml:space="preserve">risks coming for (a) </w:t>
      </w:r>
      <w:r w:rsidRPr="00F5551F">
        <w:rPr>
          <w:rFonts w:eastAsia="Arial Unicode MS" w:cs="Arial"/>
          <w:sz w:val="22"/>
          <w:szCs w:val="22"/>
          <w:u w:val="single"/>
          <w:lang w:eastAsia="en-GB"/>
        </w:rPr>
        <w:t>the provision of intra-day credits</w:t>
      </w:r>
      <w:r w:rsidRPr="00F5551F">
        <w:rPr>
          <w:rFonts w:eastAsia="Arial Unicode MS" w:cs="Arial"/>
          <w:sz w:val="22"/>
          <w:szCs w:val="22"/>
          <w:lang w:eastAsia="en-GB"/>
        </w:rPr>
        <w:t xml:space="preserve"> and (b) </w:t>
      </w:r>
      <w:r w:rsidRPr="00F5551F">
        <w:rPr>
          <w:rFonts w:eastAsia="Arial Unicode MS" w:cs="Arial"/>
          <w:sz w:val="22"/>
          <w:szCs w:val="22"/>
          <w:u w:val="single"/>
          <w:lang w:eastAsia="en-GB"/>
        </w:rPr>
        <w:t>coming from the active offering of a CSD</w:t>
      </w:r>
      <w:r w:rsidRPr="00F5551F">
        <w:rPr>
          <w:rFonts w:eastAsia="Arial Unicode MS" w:cs="Arial"/>
          <w:sz w:val="22"/>
          <w:szCs w:val="22"/>
          <w:lang w:eastAsia="en-GB"/>
        </w:rPr>
        <w:t xml:space="preserve"> in our reading of the text are covered by this rule and any other exposure which is not subject to these two conditions is not in scope. </w:t>
      </w:r>
      <w:r w:rsidRPr="00F5551F">
        <w:rPr>
          <w:rFonts w:eastAsia="Arial Unicode MS" w:cs="Arial"/>
          <w:sz w:val="22"/>
          <w:szCs w:val="22"/>
          <w:u w:val="single"/>
          <w:lang w:eastAsia="en-GB"/>
        </w:rPr>
        <w:t>In practise this is focussing on if not limited to cash credits towards participants</w:t>
      </w:r>
      <w:r w:rsidR="00274AF4">
        <w:rPr>
          <w:rFonts w:eastAsia="Arial Unicode MS" w:cs="Arial"/>
          <w:sz w:val="22"/>
          <w:szCs w:val="22"/>
          <w:u w:val="single"/>
          <w:lang w:eastAsia="en-GB"/>
        </w:rPr>
        <w:t xml:space="preserve"> including advances for custody payments</w:t>
      </w:r>
      <w:r w:rsidRPr="00F5551F">
        <w:rPr>
          <w:rFonts w:eastAsia="Arial Unicode MS" w:cs="Arial"/>
          <w:sz w:val="22"/>
          <w:szCs w:val="22"/>
          <w:u w:val="single"/>
          <w:lang w:eastAsia="en-GB"/>
        </w:rPr>
        <w:t>.</w:t>
      </w:r>
    </w:p>
    <w:p w:rsidR="008C02A9" w:rsidRPr="00F5551F" w:rsidRDefault="008C02A9" w:rsidP="00B02B38">
      <w:pPr>
        <w:rPr>
          <w:rFonts w:eastAsia="Arial Unicode MS" w:cs="Arial"/>
          <w:sz w:val="22"/>
          <w:szCs w:val="22"/>
          <w:lang w:eastAsia="en-GB"/>
        </w:rPr>
      </w:pPr>
    </w:p>
    <w:p w:rsidR="008C02A9" w:rsidRPr="00F5551F" w:rsidRDefault="008C02A9" w:rsidP="00B02B38">
      <w:pPr>
        <w:rPr>
          <w:rFonts w:eastAsia="Arial Unicode MS" w:cs="Arial"/>
          <w:sz w:val="22"/>
          <w:szCs w:val="22"/>
          <w:lang w:eastAsia="en-GB"/>
        </w:rPr>
      </w:pPr>
      <w:r w:rsidRPr="00F5551F">
        <w:rPr>
          <w:rFonts w:eastAsia="Arial Unicode MS" w:cs="Arial"/>
          <w:sz w:val="22"/>
          <w:szCs w:val="22"/>
          <w:lang w:eastAsia="en-GB"/>
        </w:rPr>
        <w:t xml:space="preserve">The view expressed above is reflected in </w:t>
      </w:r>
      <w:r w:rsidR="00FD4804" w:rsidRPr="00F5551F">
        <w:rPr>
          <w:rFonts w:eastAsia="Arial Unicode MS" w:cs="Arial"/>
          <w:sz w:val="22"/>
          <w:szCs w:val="22"/>
          <w:lang w:eastAsia="en-GB"/>
        </w:rPr>
        <w:t>Recital</w:t>
      </w:r>
      <w:r w:rsidRPr="00F5551F">
        <w:rPr>
          <w:rFonts w:eastAsia="Arial Unicode MS" w:cs="Arial"/>
          <w:sz w:val="22"/>
          <w:szCs w:val="22"/>
          <w:lang w:eastAsia="en-GB"/>
        </w:rPr>
        <w:t xml:space="preserve"> 13 </w:t>
      </w:r>
      <w:r w:rsidR="00274AF4">
        <w:rPr>
          <w:rFonts w:eastAsia="Arial Unicode MS" w:cs="Arial"/>
          <w:sz w:val="22"/>
          <w:szCs w:val="22"/>
          <w:lang w:eastAsia="en-GB"/>
        </w:rPr>
        <w:t xml:space="preserve">draft RTS </w:t>
      </w:r>
      <w:r w:rsidRPr="00F5551F">
        <w:rPr>
          <w:rFonts w:eastAsia="Arial Unicode MS" w:cs="Arial"/>
          <w:sz w:val="22"/>
          <w:szCs w:val="22"/>
          <w:lang w:eastAsia="en-GB"/>
        </w:rPr>
        <w:t>but not taken over in full in Article 9</w:t>
      </w:r>
      <w:r w:rsidR="00274AF4">
        <w:rPr>
          <w:rFonts w:eastAsia="Arial Unicode MS" w:cs="Arial"/>
          <w:sz w:val="22"/>
          <w:szCs w:val="22"/>
          <w:lang w:eastAsia="en-GB"/>
        </w:rPr>
        <w:t xml:space="preserve"> draft RTS</w:t>
      </w:r>
      <w:r w:rsidRPr="00F5551F">
        <w:rPr>
          <w:rFonts w:eastAsia="Arial Unicode MS" w:cs="Arial"/>
          <w:sz w:val="22"/>
          <w:szCs w:val="22"/>
          <w:lang w:eastAsia="en-GB"/>
        </w:rPr>
        <w:t xml:space="preserve">. </w:t>
      </w:r>
    </w:p>
    <w:p w:rsidR="008C02A9" w:rsidRPr="00F5551F" w:rsidRDefault="008C02A9" w:rsidP="00B02B38">
      <w:pPr>
        <w:rPr>
          <w:rFonts w:eastAsia="Arial Unicode MS" w:cs="Arial"/>
          <w:sz w:val="22"/>
          <w:szCs w:val="22"/>
          <w:lang w:eastAsia="en-GB"/>
        </w:rPr>
      </w:pPr>
    </w:p>
    <w:p w:rsidR="008C02A9" w:rsidRPr="00F5551F" w:rsidRDefault="008C02A9" w:rsidP="00B02B38">
      <w:pPr>
        <w:rPr>
          <w:rFonts w:eastAsia="Arial Unicode MS" w:cs="Arial"/>
          <w:sz w:val="22"/>
          <w:szCs w:val="22"/>
          <w:lang w:eastAsia="en-GB"/>
        </w:rPr>
      </w:pPr>
      <w:r w:rsidRPr="00F5551F">
        <w:rPr>
          <w:rFonts w:eastAsia="Arial Unicode MS" w:cs="Arial"/>
          <w:sz w:val="22"/>
          <w:szCs w:val="22"/>
          <w:lang w:eastAsia="en-GB"/>
        </w:rPr>
        <w:t>Furthermore, CSD-R does not define on what basis the capital surcharge for the intraday credit risk is to be calculated. Therefore, EBA has some freedom in the way the rules are defined.</w:t>
      </w:r>
    </w:p>
    <w:p w:rsidR="008C02A9" w:rsidRPr="00F5551F" w:rsidRDefault="008C02A9" w:rsidP="00B02B38">
      <w:pPr>
        <w:rPr>
          <w:rFonts w:eastAsia="Arial Unicode MS" w:cs="Arial"/>
          <w:sz w:val="22"/>
          <w:szCs w:val="22"/>
          <w:lang w:eastAsia="en-GB"/>
        </w:rPr>
      </w:pPr>
    </w:p>
    <w:p w:rsidR="008C02A9" w:rsidRPr="00F5551F" w:rsidRDefault="008C02A9" w:rsidP="00B02B38">
      <w:pPr>
        <w:rPr>
          <w:rFonts w:eastAsia="Arial Unicode MS" w:cs="Arial"/>
          <w:sz w:val="22"/>
          <w:szCs w:val="22"/>
          <w:lang w:eastAsia="en-GB"/>
        </w:rPr>
      </w:pPr>
      <w:r w:rsidRPr="00F5551F">
        <w:rPr>
          <w:rFonts w:eastAsia="Arial Unicode MS" w:cs="Arial"/>
          <w:sz w:val="22"/>
          <w:szCs w:val="22"/>
          <w:lang w:eastAsia="en-GB"/>
        </w:rPr>
        <w:t xml:space="preserve">Currently, intraday credits provided to participants are managed by CSD using collateral pools per client (or even per dedicated accounts of a client, i.e. there may be several loans and collateral pools per client). </w:t>
      </w:r>
    </w:p>
    <w:p w:rsidR="008C02A9" w:rsidRPr="00F5551F" w:rsidRDefault="008C02A9" w:rsidP="00B02B38">
      <w:pPr>
        <w:rPr>
          <w:rFonts w:eastAsia="Arial Unicode MS" w:cs="Arial"/>
          <w:sz w:val="22"/>
          <w:szCs w:val="22"/>
          <w:lang w:eastAsia="en-GB"/>
        </w:rPr>
      </w:pPr>
    </w:p>
    <w:p w:rsidR="008C02A9" w:rsidRPr="00F5551F" w:rsidRDefault="008C02A9" w:rsidP="00B02B38">
      <w:pPr>
        <w:rPr>
          <w:rFonts w:eastAsia="Arial Unicode MS" w:cs="Arial"/>
          <w:sz w:val="22"/>
          <w:szCs w:val="22"/>
          <w:lang w:eastAsia="en-GB"/>
        </w:rPr>
      </w:pPr>
      <w:r w:rsidRPr="00F5551F">
        <w:rPr>
          <w:rFonts w:eastAsia="Arial Unicode MS" w:cs="Arial"/>
          <w:sz w:val="22"/>
          <w:szCs w:val="22"/>
          <w:lang w:eastAsia="en-GB"/>
        </w:rPr>
        <w:t>Credits are granted giving maximum external communicated amounts and (higher) internally approved lines. The</w:t>
      </w:r>
      <w:r w:rsidR="005508D2">
        <w:rPr>
          <w:rFonts w:eastAsia="Arial Unicode MS" w:cs="Arial"/>
          <w:sz w:val="22"/>
          <w:szCs w:val="22"/>
          <w:lang w:eastAsia="en-GB"/>
        </w:rPr>
        <w:t>ir</w:t>
      </w:r>
      <w:r w:rsidRPr="00F5551F">
        <w:rPr>
          <w:rFonts w:eastAsia="Arial Unicode MS" w:cs="Arial"/>
          <w:sz w:val="22"/>
          <w:szCs w:val="22"/>
          <w:lang w:eastAsia="en-GB"/>
        </w:rPr>
        <w:t xml:space="preserve"> usage is however limited to the collateral value of eligible collateral (market value less haircuts defined on internal rules).</w:t>
      </w:r>
    </w:p>
    <w:p w:rsidR="008C02A9" w:rsidRPr="00F5551F" w:rsidRDefault="008C02A9" w:rsidP="00B02B38">
      <w:pPr>
        <w:rPr>
          <w:rFonts w:eastAsia="Arial Unicode MS" w:cs="Arial"/>
          <w:sz w:val="22"/>
          <w:szCs w:val="22"/>
          <w:lang w:eastAsia="en-GB"/>
        </w:rPr>
      </w:pPr>
    </w:p>
    <w:p w:rsidR="008C02A9" w:rsidRPr="00F5551F" w:rsidRDefault="008C02A9" w:rsidP="00B02B38">
      <w:pPr>
        <w:rPr>
          <w:rFonts w:eastAsia="Arial Unicode MS" w:cs="Arial"/>
          <w:sz w:val="22"/>
          <w:szCs w:val="22"/>
          <w:lang w:eastAsia="en-GB"/>
        </w:rPr>
      </w:pPr>
      <w:r w:rsidRPr="00F5551F">
        <w:rPr>
          <w:rFonts w:eastAsia="Arial Unicode MS" w:cs="Arial"/>
          <w:sz w:val="22"/>
          <w:szCs w:val="22"/>
          <w:lang w:eastAsia="en-GB"/>
        </w:rPr>
        <w:t xml:space="preserve">The respective exposure of a given client is monitored real time against the limits and the collateral value which needs any time at least to be equal to but in general exceeds the exposure value substantially. In order to assess this, only the total collateral value of the dedicated collateral pool is assessed and no dedicated allocation of specific collateral occurs and also no structural requirements on the content of the pool (of in principle high liquid assets) exist. As such, the mandatory collateral allocation of </w:t>
      </w:r>
      <w:r w:rsidR="00157FD6" w:rsidRPr="00F5551F">
        <w:rPr>
          <w:rFonts w:eastAsia="Arial Unicode MS" w:cs="Arial"/>
          <w:sz w:val="22"/>
          <w:szCs w:val="22"/>
          <w:lang w:eastAsia="en-GB"/>
        </w:rPr>
        <w:t>A</w:t>
      </w:r>
      <w:r w:rsidRPr="00F5551F">
        <w:rPr>
          <w:rFonts w:eastAsia="Arial Unicode MS" w:cs="Arial"/>
          <w:sz w:val="22"/>
          <w:szCs w:val="22"/>
          <w:lang w:eastAsia="en-GB"/>
        </w:rPr>
        <w:t xml:space="preserve">rticle 18 (1) </w:t>
      </w:r>
      <w:r w:rsidR="00D677D3">
        <w:rPr>
          <w:rFonts w:eastAsia="Arial Unicode MS" w:cs="Arial"/>
          <w:sz w:val="22"/>
          <w:szCs w:val="22"/>
          <w:lang w:eastAsia="en-GB"/>
        </w:rPr>
        <w:t>(</w:t>
      </w:r>
      <w:r w:rsidRPr="00F5551F">
        <w:rPr>
          <w:rFonts w:eastAsia="Arial Unicode MS" w:cs="Arial"/>
          <w:sz w:val="22"/>
          <w:szCs w:val="22"/>
          <w:lang w:eastAsia="en-GB"/>
        </w:rPr>
        <w:t>a</w:t>
      </w:r>
      <w:r w:rsidR="00D677D3">
        <w:rPr>
          <w:rFonts w:eastAsia="Arial Unicode MS" w:cs="Arial"/>
          <w:sz w:val="22"/>
          <w:szCs w:val="22"/>
          <w:lang w:eastAsia="en-GB"/>
        </w:rPr>
        <w:t>)</w:t>
      </w:r>
      <w:r w:rsidRPr="00F5551F">
        <w:rPr>
          <w:rFonts w:eastAsia="Arial Unicode MS" w:cs="Arial"/>
          <w:sz w:val="22"/>
          <w:szCs w:val="22"/>
          <w:lang w:eastAsia="en-GB"/>
        </w:rPr>
        <w:t xml:space="preserve"> </w:t>
      </w:r>
      <w:r w:rsidR="00C615CE" w:rsidRPr="00F5551F">
        <w:rPr>
          <w:rFonts w:eastAsia="Arial Unicode MS" w:cs="Arial"/>
          <w:sz w:val="22"/>
          <w:szCs w:val="22"/>
          <w:lang w:eastAsia="en-GB"/>
        </w:rPr>
        <w:t xml:space="preserve">draft RTS </w:t>
      </w:r>
      <w:r w:rsidRPr="00F5551F">
        <w:rPr>
          <w:rFonts w:eastAsia="Arial Unicode MS" w:cs="Arial"/>
          <w:sz w:val="22"/>
          <w:szCs w:val="22"/>
          <w:lang w:eastAsia="en-GB"/>
        </w:rPr>
        <w:t xml:space="preserve">(“maintain collateral segregated from the other securities of the borrowing participant”) in combination with </w:t>
      </w:r>
      <w:r w:rsidR="00FD4804" w:rsidRPr="00F5551F">
        <w:rPr>
          <w:rFonts w:eastAsia="Arial Unicode MS" w:cs="Arial"/>
          <w:sz w:val="22"/>
          <w:szCs w:val="22"/>
          <w:lang w:eastAsia="en-GB"/>
        </w:rPr>
        <w:t>Article</w:t>
      </w:r>
      <w:r w:rsidRPr="00F5551F">
        <w:rPr>
          <w:rFonts w:eastAsia="Arial Unicode MS" w:cs="Arial"/>
          <w:sz w:val="22"/>
          <w:szCs w:val="22"/>
          <w:lang w:eastAsia="en-GB"/>
        </w:rPr>
        <w:t xml:space="preserve"> 18 (1) </w:t>
      </w:r>
      <w:r w:rsidR="00D677D3">
        <w:rPr>
          <w:rFonts w:eastAsia="Arial Unicode MS" w:cs="Arial"/>
          <w:sz w:val="22"/>
          <w:szCs w:val="22"/>
          <w:lang w:eastAsia="en-GB"/>
        </w:rPr>
        <w:t>(</w:t>
      </w:r>
      <w:r w:rsidRPr="00F5551F">
        <w:rPr>
          <w:rFonts w:eastAsia="Arial Unicode MS" w:cs="Arial"/>
          <w:sz w:val="22"/>
          <w:szCs w:val="22"/>
          <w:lang w:eastAsia="en-GB"/>
        </w:rPr>
        <w:t>b</w:t>
      </w:r>
      <w:r w:rsidR="00D677D3">
        <w:rPr>
          <w:rFonts w:eastAsia="Arial Unicode MS" w:cs="Arial"/>
          <w:sz w:val="22"/>
          <w:szCs w:val="22"/>
          <w:lang w:eastAsia="en-GB"/>
        </w:rPr>
        <w:t>)</w:t>
      </w:r>
      <w:r w:rsidRPr="00F5551F">
        <w:rPr>
          <w:rFonts w:eastAsia="Arial Unicode MS" w:cs="Arial"/>
          <w:sz w:val="22"/>
          <w:szCs w:val="22"/>
          <w:lang w:eastAsia="en-GB"/>
        </w:rPr>
        <w:t xml:space="preserve">, 19 and 20 </w:t>
      </w:r>
      <w:r w:rsidR="00C615CE" w:rsidRPr="00F5551F">
        <w:rPr>
          <w:rFonts w:eastAsia="Arial Unicode MS" w:cs="Arial"/>
          <w:sz w:val="22"/>
          <w:szCs w:val="22"/>
          <w:lang w:eastAsia="en-GB"/>
        </w:rPr>
        <w:t xml:space="preserve">draft RTS </w:t>
      </w:r>
      <w:r w:rsidRPr="00F5551F">
        <w:rPr>
          <w:rFonts w:eastAsia="Arial Unicode MS" w:cs="Arial"/>
          <w:sz w:val="22"/>
          <w:szCs w:val="22"/>
          <w:lang w:eastAsia="en-GB"/>
        </w:rPr>
        <w:t>(clear sequence of collateral used and limitation for other collaterals only in cases where the highest quality is not available any longer) of the draft RTS</w:t>
      </w:r>
      <w:r w:rsidR="00C615CE" w:rsidRPr="00F5551F">
        <w:rPr>
          <w:rStyle w:val="FootnoteReference"/>
          <w:rFonts w:eastAsia="Arial Unicode MS" w:cs="Arial"/>
          <w:sz w:val="22"/>
          <w:szCs w:val="22"/>
          <w:lang w:eastAsia="en-GB"/>
        </w:rPr>
        <w:footnoteReference w:id="7"/>
      </w:r>
      <w:r w:rsidRPr="00F5551F">
        <w:rPr>
          <w:rFonts w:eastAsia="Arial Unicode MS" w:cs="Arial"/>
          <w:sz w:val="22"/>
          <w:szCs w:val="22"/>
          <w:lang w:eastAsia="en-GB"/>
        </w:rPr>
        <w:t xml:space="preserve"> would not allow using the total collateral pool any longer but require dedicated collateral (with only the value necessary to cover the current exposure and therefore losing the collateral value of available collateral exceeding the allocated portion). We reject such an approach (see our comments to Articles 18 and subsequent</w:t>
      </w:r>
      <w:r w:rsidR="00C615CE" w:rsidRPr="00F5551F">
        <w:rPr>
          <w:rFonts w:eastAsia="Arial Unicode MS" w:cs="Arial"/>
          <w:sz w:val="22"/>
          <w:szCs w:val="22"/>
          <w:lang w:eastAsia="en-GB"/>
        </w:rPr>
        <w:t xml:space="preserve"> draft RTS</w:t>
      </w:r>
      <w:r w:rsidRPr="00F5551F">
        <w:rPr>
          <w:rFonts w:eastAsia="Arial Unicode MS" w:cs="Arial"/>
          <w:sz w:val="22"/>
          <w:szCs w:val="22"/>
          <w:lang w:eastAsia="en-GB"/>
        </w:rPr>
        <w:t xml:space="preserve">) as impact on the calculation of </w:t>
      </w:r>
      <w:r w:rsidRPr="00F5551F">
        <w:rPr>
          <w:rFonts w:eastAsia="Arial Unicode MS" w:cs="Arial"/>
          <w:sz w:val="22"/>
          <w:szCs w:val="22"/>
          <w:lang w:eastAsia="en-GB"/>
        </w:rPr>
        <w:lastRenderedPageBreak/>
        <w:t>the intraday credit risk capital surcharge is severe. This is true for technical considerations but also with regards to the result of the calculation as such.</w:t>
      </w:r>
    </w:p>
    <w:p w:rsidR="008C02A9" w:rsidRPr="00F5551F" w:rsidRDefault="008C02A9" w:rsidP="00B02B38">
      <w:pPr>
        <w:rPr>
          <w:rFonts w:eastAsia="Arial Unicode MS" w:cs="Arial"/>
          <w:sz w:val="22"/>
          <w:szCs w:val="22"/>
          <w:lang w:eastAsia="en-GB"/>
        </w:rPr>
      </w:pPr>
    </w:p>
    <w:p w:rsidR="008C02A9" w:rsidRPr="00F5551F" w:rsidRDefault="008C02A9" w:rsidP="00B02B38">
      <w:pPr>
        <w:rPr>
          <w:rFonts w:eastAsia="Arial Unicode MS" w:cs="Arial"/>
          <w:sz w:val="22"/>
          <w:szCs w:val="22"/>
          <w:lang w:eastAsia="en-GB"/>
        </w:rPr>
      </w:pPr>
      <w:r w:rsidRPr="00F5551F">
        <w:rPr>
          <w:rFonts w:eastAsia="Arial Unicode MS" w:cs="Arial"/>
          <w:sz w:val="22"/>
          <w:szCs w:val="22"/>
          <w:lang w:eastAsia="en-GB"/>
        </w:rPr>
        <w:t xml:space="preserve">In addition, the calculation of the capital charge for credit risk based on CRR already includes risk weights and specifically haircuts. The haircuts foreseen in CRR take into account quality of the collateral, remaining maturity of the collateral and any potential currency mismatch. Moreover, the haircuts are using liquidation periods of up to 20 days and are in general substantially lower than the proposed 10 percent haircut for very short liquidation periods. Especially for the short term duration (intraday only) the standard liquidation period of 5 days would be most appropriate and would be by far lower. As such, we disagree to such a flat haircut which is not taking care of the underlying market risks. </w:t>
      </w:r>
    </w:p>
    <w:p w:rsidR="008C02A9" w:rsidRPr="00F5551F" w:rsidRDefault="008C02A9" w:rsidP="00B02B38">
      <w:pPr>
        <w:rPr>
          <w:rFonts w:eastAsia="Arial Unicode MS" w:cs="Arial"/>
          <w:sz w:val="22"/>
          <w:szCs w:val="22"/>
          <w:lang w:eastAsia="en-GB"/>
        </w:rPr>
      </w:pPr>
    </w:p>
    <w:p w:rsidR="008C02A9" w:rsidRPr="00F5551F" w:rsidRDefault="008C02A9" w:rsidP="00B02B38">
      <w:pPr>
        <w:rPr>
          <w:rFonts w:eastAsia="Arial Unicode MS" w:cs="Arial"/>
          <w:sz w:val="22"/>
          <w:szCs w:val="22"/>
          <w:lang w:eastAsia="en-GB"/>
        </w:rPr>
      </w:pPr>
      <w:r w:rsidRPr="00F5551F">
        <w:rPr>
          <w:rFonts w:eastAsia="Arial Unicode MS" w:cs="Arial"/>
          <w:sz w:val="22"/>
          <w:szCs w:val="22"/>
          <w:lang w:eastAsia="en-GB"/>
        </w:rPr>
        <w:t xml:space="preserve">In addition to the flat and very high proposed haircut, the proposal foresees to use the complete CRR model, i.e. to have the CRR haircuts </w:t>
      </w:r>
      <w:r w:rsidRPr="00F5551F">
        <w:rPr>
          <w:rFonts w:eastAsia="Arial Unicode MS" w:cs="Arial"/>
          <w:sz w:val="22"/>
          <w:szCs w:val="22"/>
          <w:u w:val="single"/>
          <w:lang w:eastAsia="en-GB"/>
        </w:rPr>
        <w:t>on top</w:t>
      </w:r>
      <w:r w:rsidRPr="00F5551F">
        <w:rPr>
          <w:rFonts w:eastAsia="Arial Unicode MS" w:cs="Arial"/>
          <w:sz w:val="22"/>
          <w:szCs w:val="22"/>
          <w:lang w:eastAsia="en-GB"/>
        </w:rPr>
        <w:t xml:space="preserve"> of the proposed haircut of 10 percent</w:t>
      </w:r>
      <w:r w:rsidR="006D3953" w:rsidRPr="00F5551F">
        <w:rPr>
          <w:rFonts w:eastAsia="Arial Unicode MS" w:cs="Arial"/>
          <w:sz w:val="22"/>
          <w:szCs w:val="22"/>
          <w:lang w:eastAsia="en-GB"/>
        </w:rPr>
        <w:t>, which represent a double haircut w</w:t>
      </w:r>
      <w:r w:rsidRPr="00F5551F">
        <w:rPr>
          <w:rFonts w:eastAsia="Arial Unicode MS" w:cs="Arial"/>
          <w:sz w:val="22"/>
          <w:szCs w:val="22"/>
          <w:lang w:eastAsia="en-GB"/>
        </w:rPr>
        <w:t>e clearly reject</w:t>
      </w:r>
      <w:r w:rsidR="006D3953" w:rsidRPr="00F5551F">
        <w:rPr>
          <w:rFonts w:eastAsia="Arial Unicode MS" w:cs="Arial"/>
          <w:sz w:val="22"/>
          <w:szCs w:val="22"/>
          <w:lang w:eastAsia="en-GB"/>
        </w:rPr>
        <w:t xml:space="preserve">. </w:t>
      </w:r>
      <w:r w:rsidR="00992B10" w:rsidRPr="00F5551F">
        <w:rPr>
          <w:rFonts w:eastAsia="Arial Unicode MS" w:cs="Arial"/>
          <w:sz w:val="22"/>
          <w:szCs w:val="22"/>
          <w:lang w:eastAsia="en-GB"/>
        </w:rPr>
        <w:t xml:space="preserve">In our opinion, </w:t>
      </w:r>
      <w:r w:rsidR="006D3953" w:rsidRPr="00F5551F">
        <w:rPr>
          <w:rFonts w:eastAsia="Arial Unicode MS" w:cs="Arial"/>
          <w:sz w:val="22"/>
          <w:szCs w:val="22"/>
          <w:lang w:eastAsia="en-GB"/>
        </w:rPr>
        <w:t xml:space="preserve">this </w:t>
      </w:r>
      <w:r w:rsidR="00992B10" w:rsidRPr="00F5551F">
        <w:rPr>
          <w:rFonts w:eastAsia="Arial Unicode MS" w:cs="Arial"/>
          <w:sz w:val="22"/>
          <w:szCs w:val="22"/>
          <w:lang w:eastAsia="en-GB"/>
        </w:rPr>
        <w:t>10% add-on is excessive</w:t>
      </w:r>
      <w:r w:rsidR="006D3953" w:rsidRPr="00F5551F">
        <w:rPr>
          <w:rFonts w:eastAsia="Arial Unicode MS" w:cs="Arial"/>
          <w:sz w:val="22"/>
          <w:szCs w:val="22"/>
          <w:lang w:eastAsia="en-GB"/>
        </w:rPr>
        <w:t xml:space="preserve"> since</w:t>
      </w:r>
      <w:r w:rsidR="00992B10" w:rsidRPr="00F5551F">
        <w:rPr>
          <w:rFonts w:eastAsia="Arial Unicode MS" w:cs="Arial"/>
          <w:sz w:val="22"/>
          <w:szCs w:val="22"/>
          <w:lang w:eastAsia="en-GB"/>
        </w:rPr>
        <w:t>: haircuts already incorporate credit, market and liquidity risk factors – among others – and on average, far exceed the proposed stress factor.  Therefore, we are of the opinion that the stress factor should be eliminated.  Should the collateral stress factor be applied as proposed, it may force CSDs to further increase the haircuts applied to collateral securities, which will have a negative impact on participants – either by higher collateral costs or by reduced settlement efficiency.</w:t>
      </w:r>
    </w:p>
    <w:p w:rsidR="008C02A9" w:rsidRPr="00F5551F" w:rsidRDefault="008C02A9" w:rsidP="00B02B38">
      <w:pPr>
        <w:rPr>
          <w:rFonts w:eastAsia="Arial Unicode MS" w:cs="Arial"/>
          <w:sz w:val="22"/>
          <w:szCs w:val="22"/>
          <w:lang w:eastAsia="en-GB"/>
        </w:rPr>
      </w:pPr>
    </w:p>
    <w:p w:rsidR="008C02A9" w:rsidRPr="00F5551F" w:rsidRDefault="008C02A9" w:rsidP="00B02B38">
      <w:pPr>
        <w:rPr>
          <w:rFonts w:eastAsia="Arial Unicode MS" w:cs="Arial"/>
          <w:sz w:val="22"/>
          <w:szCs w:val="22"/>
          <w:lang w:eastAsia="en-GB"/>
        </w:rPr>
      </w:pPr>
      <w:r w:rsidRPr="00F5551F">
        <w:rPr>
          <w:rFonts w:eastAsia="Arial Unicode MS" w:cs="Arial"/>
          <w:sz w:val="22"/>
          <w:szCs w:val="22"/>
          <w:lang w:eastAsia="en-GB"/>
        </w:rPr>
        <w:t xml:space="preserve">While we see benefits for the general approach to calculate the capital charge for intraday exposures based on a “peak” situation and using the general CRR rules for overnight exposures for that purpose, we disagree to a number of elements of the concrete proposal. On top of that, the definition of “peak exposure” lacks clarity in at least </w:t>
      </w:r>
      <w:r w:rsidR="00B02B38" w:rsidRPr="00F5551F">
        <w:rPr>
          <w:rFonts w:eastAsia="Arial Unicode MS" w:cs="Arial"/>
          <w:sz w:val="22"/>
          <w:szCs w:val="22"/>
          <w:lang w:eastAsia="en-GB"/>
        </w:rPr>
        <w:t xml:space="preserve">the following </w:t>
      </w:r>
      <w:r w:rsidRPr="00F5551F">
        <w:rPr>
          <w:rFonts w:eastAsia="Arial Unicode MS" w:cs="Arial"/>
          <w:sz w:val="22"/>
          <w:szCs w:val="22"/>
          <w:lang w:eastAsia="en-GB"/>
        </w:rPr>
        <w:t>elements:</w:t>
      </w:r>
    </w:p>
    <w:p w:rsidR="008C02A9" w:rsidRPr="00F5551F" w:rsidRDefault="008C02A9" w:rsidP="00B02B38">
      <w:pPr>
        <w:pStyle w:val="ListParagraph"/>
        <w:numPr>
          <w:ilvl w:val="0"/>
          <w:numId w:val="18"/>
        </w:numPr>
        <w:rPr>
          <w:rFonts w:ascii="DIN-Regular" w:eastAsia="Arial Unicode MS" w:hAnsi="DIN-Regular" w:cs="Arial"/>
          <w:szCs w:val="22"/>
          <w:lang w:eastAsia="en-GB"/>
        </w:rPr>
      </w:pPr>
      <w:r w:rsidRPr="00F5551F">
        <w:rPr>
          <w:rFonts w:ascii="DIN-Regular" w:eastAsia="Arial Unicode MS" w:hAnsi="DIN-Regular" w:cs="Arial"/>
          <w:szCs w:val="22"/>
          <w:lang w:eastAsia="en-GB"/>
        </w:rPr>
        <w:t>Should exposures or risk weighted exposures be used?</w:t>
      </w:r>
    </w:p>
    <w:p w:rsidR="008C02A9" w:rsidRPr="00F5551F" w:rsidRDefault="008C02A9" w:rsidP="00B02B38">
      <w:pPr>
        <w:pStyle w:val="ListParagraph"/>
        <w:numPr>
          <w:ilvl w:val="0"/>
          <w:numId w:val="18"/>
        </w:numPr>
        <w:rPr>
          <w:rFonts w:ascii="DIN-Regular" w:eastAsia="Arial Unicode MS" w:hAnsi="DIN-Regular" w:cs="Arial"/>
          <w:szCs w:val="22"/>
          <w:lang w:eastAsia="en-GB"/>
        </w:rPr>
      </w:pPr>
      <w:r w:rsidRPr="00F5551F">
        <w:rPr>
          <w:rFonts w:ascii="DIN-Regular" w:eastAsia="Arial Unicode MS" w:hAnsi="DIN-Regular" w:cs="Arial"/>
          <w:szCs w:val="22"/>
          <w:lang w:eastAsia="en-GB"/>
        </w:rPr>
        <w:t>Should exposures / risk weighted exposures be used prior or after taking credit risk mitigation into account?</w:t>
      </w:r>
    </w:p>
    <w:p w:rsidR="008C02A9" w:rsidRPr="00F5551F" w:rsidRDefault="008C02A9" w:rsidP="00B02B38">
      <w:pPr>
        <w:pStyle w:val="ListParagraph"/>
        <w:numPr>
          <w:ilvl w:val="0"/>
          <w:numId w:val="18"/>
        </w:numPr>
        <w:rPr>
          <w:rFonts w:ascii="DIN-Regular" w:eastAsia="Arial Unicode MS" w:hAnsi="DIN-Regular" w:cs="Arial"/>
          <w:szCs w:val="22"/>
          <w:lang w:eastAsia="en-GB"/>
        </w:rPr>
      </w:pPr>
      <w:r w:rsidRPr="00F5551F">
        <w:rPr>
          <w:rFonts w:ascii="DIN-Regular" w:eastAsia="Arial Unicode MS" w:hAnsi="DIN-Regular" w:cs="Arial"/>
          <w:szCs w:val="22"/>
          <w:lang w:eastAsia="en-GB"/>
        </w:rPr>
        <w:t>How are “peak exposures” taking the difficulties of clearly timing in- and outflows into account (we refer in this regards to our comments on the BCBS consultation on “Monitoring indicators for intraday liquidity management - BCBS 225”</w:t>
      </w:r>
      <w:r w:rsidRPr="00F5551F">
        <w:rPr>
          <w:rStyle w:val="FootnoteReference"/>
          <w:rFonts w:ascii="DIN-Regular" w:eastAsia="Arial Unicode MS" w:hAnsi="DIN-Regular" w:cs="Arial"/>
          <w:sz w:val="22"/>
          <w:szCs w:val="22"/>
          <w:lang w:eastAsia="en-GB"/>
        </w:rPr>
        <w:footnoteReference w:id="8"/>
      </w:r>
      <w:r w:rsidRPr="00F5551F">
        <w:rPr>
          <w:rFonts w:ascii="DIN-Regular" w:eastAsia="Arial Unicode MS" w:hAnsi="DIN-Regular" w:cs="Arial"/>
          <w:szCs w:val="22"/>
          <w:lang w:eastAsia="en-GB"/>
        </w:rPr>
        <w:t>)? Based on the ability of cash correspondents to deliver an exact time stamp of any payment (i.e. an income payment to the account of the CSD’s participant), the exact timing of settlements and the related cash flows (the technical settlement and the legal settlement may occur at different times with up to several hours difference), the different technical cycles to process cash movements (real time, near time, rapid batch, few daily batches only) of CSDs counterparties, the real cash position of a client may not be derived properly. While for credit monitoring and measurement the current book position is usually taken into account, for a capital charge in principle only the real legal risk should be considered. This is difficult – if at all – to be determined at any given time during the day (however, can be easily derived as per end of any given day). In this context we also want to mention back valuations and corrections as well as cancelations of payments.</w:t>
      </w:r>
    </w:p>
    <w:p w:rsidR="008C02A9" w:rsidRPr="00F5551F" w:rsidRDefault="008C02A9" w:rsidP="00B02B38">
      <w:pPr>
        <w:pStyle w:val="ListParagraph"/>
        <w:numPr>
          <w:ilvl w:val="0"/>
          <w:numId w:val="18"/>
        </w:numPr>
        <w:rPr>
          <w:rFonts w:ascii="DIN-Regular" w:eastAsia="Arial Unicode MS" w:hAnsi="DIN-Regular" w:cs="Arial"/>
          <w:szCs w:val="22"/>
          <w:lang w:eastAsia="en-GB"/>
        </w:rPr>
      </w:pPr>
      <w:r w:rsidRPr="00F5551F">
        <w:rPr>
          <w:rFonts w:ascii="DIN-Regular" w:eastAsia="Arial Unicode MS" w:hAnsi="DIN-Regular" w:cs="Arial"/>
          <w:szCs w:val="22"/>
          <w:lang w:eastAsia="en-GB"/>
        </w:rPr>
        <w:t>Is this the value of the peak credits used by all clients (total of all clients) at any given point during the day or the total of all peaks per clients (total peaks) of that day?</w:t>
      </w:r>
    </w:p>
    <w:p w:rsidR="008C02A9" w:rsidRPr="00F5551F" w:rsidRDefault="008C02A9" w:rsidP="00B02B38">
      <w:pPr>
        <w:rPr>
          <w:rFonts w:eastAsia="Arial Unicode MS" w:cs="Arial"/>
          <w:b/>
          <w:sz w:val="22"/>
          <w:szCs w:val="22"/>
          <w:lang w:eastAsia="en-GB"/>
        </w:rPr>
      </w:pPr>
    </w:p>
    <w:p w:rsidR="008C02A9" w:rsidRPr="00F5551F" w:rsidRDefault="008C02A9" w:rsidP="00B02B38">
      <w:pPr>
        <w:rPr>
          <w:rFonts w:eastAsia="Arial Unicode MS" w:cs="Arial"/>
          <w:sz w:val="22"/>
          <w:szCs w:val="22"/>
          <w:lang w:eastAsia="en-GB"/>
        </w:rPr>
      </w:pPr>
      <w:r w:rsidRPr="00F5551F">
        <w:rPr>
          <w:rFonts w:eastAsia="Arial Unicode MS" w:cs="Arial"/>
          <w:sz w:val="22"/>
          <w:szCs w:val="22"/>
          <w:lang w:eastAsia="en-GB"/>
        </w:rPr>
        <w:t>We see an alternative measure to the proposed treatment as being superior although simpler. This is based on granted / approved (intraday) lines and general collateral criteria by using nevertheless to a large degree the general approach for credit risk under CRR with some slight modifications. This approach is similar to the one used for exposures to investment funds (Article 132 (5) CRR) when looking through based on the mandate as well as the conversion of off balance sheet items base on Credit Conversion Factors (CFFs) as defined in Article 111 (1) in conjunction with Annex I and Article 166 (8) of CRR respectively:</w:t>
      </w:r>
    </w:p>
    <w:p w:rsidR="00392499" w:rsidRPr="00F5551F" w:rsidRDefault="00392499" w:rsidP="00B02B38">
      <w:pPr>
        <w:rPr>
          <w:rFonts w:eastAsia="Arial Unicode MS" w:cs="Arial"/>
          <w:sz w:val="22"/>
          <w:szCs w:val="22"/>
          <w:lang w:eastAsia="en-GB"/>
        </w:rPr>
      </w:pPr>
    </w:p>
    <w:p w:rsidR="008C02A9" w:rsidRPr="00F5551F" w:rsidRDefault="008C02A9" w:rsidP="00B02B38">
      <w:pPr>
        <w:rPr>
          <w:rFonts w:eastAsia="Arial Unicode MS" w:cs="Arial"/>
          <w:sz w:val="22"/>
          <w:szCs w:val="22"/>
          <w:lang w:eastAsia="en-GB"/>
        </w:rPr>
      </w:pPr>
      <w:r w:rsidRPr="00F5551F">
        <w:rPr>
          <w:rFonts w:eastAsia="Arial Unicode MS" w:cs="Arial"/>
          <w:sz w:val="22"/>
          <w:szCs w:val="22"/>
          <w:lang w:eastAsia="en-GB"/>
        </w:rPr>
        <w:t xml:space="preserve">Total amount of (approved) [cash] credit lines being available for intraday usage are converted into exposures using the credit conversion factor for committed but unconditionally cancellable credit lines (currently 0 % as per Article 111 (1) in combination with Annex I and Article 166 (8) </w:t>
      </w:r>
      <w:r w:rsidR="00D677D3">
        <w:rPr>
          <w:rFonts w:eastAsia="Arial Unicode MS" w:cs="Arial"/>
          <w:sz w:val="22"/>
          <w:szCs w:val="22"/>
          <w:lang w:eastAsia="en-GB"/>
        </w:rPr>
        <w:t>(</w:t>
      </w:r>
      <w:r w:rsidRPr="00F5551F">
        <w:rPr>
          <w:rFonts w:eastAsia="Arial Unicode MS" w:cs="Arial"/>
          <w:sz w:val="22"/>
          <w:szCs w:val="22"/>
          <w:lang w:eastAsia="en-GB"/>
        </w:rPr>
        <w:t>a</w:t>
      </w:r>
      <w:r w:rsidR="00D677D3">
        <w:rPr>
          <w:rFonts w:eastAsia="Arial Unicode MS" w:cs="Arial"/>
          <w:sz w:val="22"/>
          <w:szCs w:val="22"/>
          <w:lang w:eastAsia="en-GB"/>
        </w:rPr>
        <w:t>)</w:t>
      </w:r>
      <w:r w:rsidRPr="00F5551F">
        <w:rPr>
          <w:rFonts w:eastAsia="Arial Unicode MS" w:cs="Arial"/>
          <w:sz w:val="22"/>
          <w:szCs w:val="22"/>
          <w:lang w:eastAsia="en-GB"/>
        </w:rPr>
        <w:t xml:space="preserve"> CRR respectively; however, we propose to use 5</w:t>
      </w:r>
      <w:r w:rsidR="00D13334" w:rsidRPr="00F5551F">
        <w:rPr>
          <w:rFonts w:eastAsia="Arial Unicode MS" w:cs="Arial"/>
          <w:sz w:val="22"/>
          <w:szCs w:val="22"/>
          <w:lang w:eastAsia="en-GB"/>
        </w:rPr>
        <w:t xml:space="preserve">, maximum 10 </w:t>
      </w:r>
      <w:r w:rsidRPr="00F5551F">
        <w:rPr>
          <w:rFonts w:eastAsia="Arial Unicode MS" w:cs="Arial"/>
          <w:sz w:val="22"/>
          <w:szCs w:val="22"/>
          <w:lang w:eastAsia="en-GB"/>
        </w:rPr>
        <w:t>% for the time being as a floor).</w:t>
      </w:r>
    </w:p>
    <w:p w:rsidR="00442B7A" w:rsidRPr="00F5551F" w:rsidRDefault="00442B7A" w:rsidP="00B02B38">
      <w:pPr>
        <w:rPr>
          <w:rFonts w:eastAsia="Arial Unicode MS" w:cs="Arial"/>
          <w:sz w:val="22"/>
          <w:szCs w:val="22"/>
          <w:lang w:eastAsia="en-GB"/>
        </w:rPr>
      </w:pPr>
    </w:p>
    <w:p w:rsidR="008C02A9" w:rsidRPr="00F5551F" w:rsidRDefault="008C02A9" w:rsidP="00B02B38">
      <w:pPr>
        <w:rPr>
          <w:rFonts w:eastAsia="Arial Unicode MS" w:cs="Arial"/>
          <w:sz w:val="22"/>
          <w:szCs w:val="22"/>
          <w:lang w:eastAsia="en-GB"/>
        </w:rPr>
      </w:pPr>
      <w:r w:rsidRPr="00F5551F">
        <w:rPr>
          <w:rFonts w:eastAsia="Arial Unicode MS" w:cs="Arial"/>
          <w:sz w:val="22"/>
          <w:szCs w:val="22"/>
          <w:lang w:eastAsia="en-GB"/>
        </w:rPr>
        <w:t xml:space="preserve">Apply haircuts </w:t>
      </w:r>
      <w:r w:rsidR="00D13334" w:rsidRPr="00F5551F">
        <w:rPr>
          <w:rFonts w:eastAsia="Arial Unicode MS" w:cs="Arial"/>
          <w:sz w:val="22"/>
          <w:szCs w:val="22"/>
          <w:lang w:eastAsia="en-GB"/>
        </w:rPr>
        <w:t xml:space="preserve">according to CRR Article 224 </w:t>
      </w:r>
      <w:r w:rsidRPr="00F5551F">
        <w:rPr>
          <w:rFonts w:eastAsia="Arial Unicode MS" w:cs="Arial"/>
          <w:sz w:val="22"/>
          <w:szCs w:val="22"/>
          <w:lang w:eastAsia="en-GB"/>
        </w:rPr>
        <w:t>on collateral expected (market value to be assumed in the amount of the line granted, no access market value corresponding to haircuts taken to be assumed) according to the internal rules for collateral eligibility whereby the lowest quality and longest maturity is to be assumed and a 5 day liquidation period is to be assumed (note: The EBA proposal does not take undrawn lines into account. We regard this as being appropriate as lines which are not properly collateralised will not allow to be drawn and lines which are collateralised should receive a net exposure value close to zero or even zero).</w:t>
      </w:r>
    </w:p>
    <w:p w:rsidR="008C02A9" w:rsidRPr="00F5551F" w:rsidRDefault="008C02A9" w:rsidP="00B02B38">
      <w:pPr>
        <w:rPr>
          <w:rFonts w:eastAsia="Arial Unicode MS" w:cs="Arial"/>
          <w:sz w:val="22"/>
          <w:szCs w:val="22"/>
          <w:lang w:eastAsia="en-GB"/>
        </w:rPr>
      </w:pPr>
      <w:r w:rsidRPr="00F5551F">
        <w:rPr>
          <w:rFonts w:eastAsia="Arial Unicode MS" w:cs="Arial"/>
          <w:sz w:val="22"/>
          <w:szCs w:val="22"/>
          <w:lang w:eastAsia="en-GB"/>
        </w:rPr>
        <w:t>As collateral taken will have internally set haircuts, the real market values will exceed the credit lines given. As such, we propose not to apply any cross currency haircut.</w:t>
      </w:r>
    </w:p>
    <w:p w:rsidR="008C02A9" w:rsidRPr="00F5551F" w:rsidRDefault="008C02A9" w:rsidP="00B02B38">
      <w:pPr>
        <w:rPr>
          <w:rFonts w:eastAsia="Arial Unicode MS" w:cs="Arial"/>
          <w:sz w:val="22"/>
          <w:szCs w:val="22"/>
          <w:lang w:eastAsia="en-GB"/>
        </w:rPr>
      </w:pPr>
      <w:r w:rsidRPr="00F5551F">
        <w:rPr>
          <w:rFonts w:eastAsia="Arial Unicode MS" w:cs="Arial"/>
          <w:sz w:val="22"/>
          <w:szCs w:val="22"/>
          <w:lang w:eastAsia="en-GB"/>
        </w:rPr>
        <w:t xml:space="preserve">It is to be noted, that overnight drawn lines will receive </w:t>
      </w:r>
      <w:r w:rsidRPr="00F5551F">
        <w:rPr>
          <w:rFonts w:eastAsia="Arial Unicode MS" w:cs="Arial"/>
          <w:sz w:val="22"/>
          <w:szCs w:val="22"/>
          <w:u w:val="single"/>
          <w:lang w:eastAsia="en-GB"/>
        </w:rPr>
        <w:t xml:space="preserve">in addition </w:t>
      </w:r>
      <w:r w:rsidRPr="00F5551F">
        <w:rPr>
          <w:rFonts w:eastAsia="Arial Unicode MS" w:cs="Arial"/>
          <w:sz w:val="22"/>
          <w:szCs w:val="22"/>
          <w:lang w:eastAsia="en-GB"/>
        </w:rPr>
        <w:t>the standard capital charge for credit risk. (</w:t>
      </w:r>
      <w:proofErr w:type="gramStart"/>
      <w:r w:rsidRPr="00F5551F">
        <w:rPr>
          <w:rFonts w:eastAsia="Arial Unicode MS" w:cs="Arial"/>
          <w:sz w:val="22"/>
          <w:szCs w:val="22"/>
          <w:lang w:eastAsia="en-GB"/>
        </w:rPr>
        <w:t>double</w:t>
      </w:r>
      <w:proofErr w:type="gramEnd"/>
      <w:r w:rsidRPr="00F5551F">
        <w:rPr>
          <w:rFonts w:eastAsia="Arial Unicode MS" w:cs="Arial"/>
          <w:sz w:val="22"/>
          <w:szCs w:val="22"/>
          <w:lang w:eastAsia="en-GB"/>
        </w:rPr>
        <w:t xml:space="preserve"> counting accepted in this approach but also included in the EBA approach).</w:t>
      </w:r>
    </w:p>
    <w:p w:rsidR="008C02A9" w:rsidRPr="00F5551F" w:rsidRDefault="008C02A9" w:rsidP="00B02B38">
      <w:pPr>
        <w:rPr>
          <w:rFonts w:eastAsia="Arial Unicode MS" w:cs="Arial"/>
          <w:sz w:val="22"/>
          <w:szCs w:val="22"/>
          <w:lang w:eastAsia="en-GB"/>
        </w:rPr>
      </w:pPr>
    </w:p>
    <w:p w:rsidR="008C02A9" w:rsidRPr="00F5551F" w:rsidRDefault="00B02B38" w:rsidP="00B02B38">
      <w:pPr>
        <w:rPr>
          <w:rFonts w:eastAsia="Arial Unicode MS" w:cs="Arial"/>
          <w:sz w:val="22"/>
          <w:szCs w:val="22"/>
          <w:lang w:eastAsia="en-GB"/>
        </w:rPr>
      </w:pPr>
      <w:r w:rsidRPr="00F5551F">
        <w:rPr>
          <w:rFonts w:eastAsia="Arial Unicode MS" w:cs="Arial"/>
          <w:sz w:val="22"/>
          <w:szCs w:val="22"/>
          <w:lang w:eastAsia="en-GB"/>
        </w:rPr>
        <w:t>We believe</w:t>
      </w:r>
      <w:r w:rsidR="008C02A9" w:rsidRPr="00F5551F">
        <w:rPr>
          <w:rFonts w:eastAsia="Arial Unicode MS" w:cs="Arial"/>
          <w:sz w:val="22"/>
          <w:szCs w:val="22"/>
          <w:lang w:eastAsia="en-GB"/>
        </w:rPr>
        <w:t xml:space="preserve"> that such a model is reflecting the intraday credit risk consistent with the generic requirement as set in the level 1 text, is generating a reasonable level of capital charge and it is also reflecting the collateralisation appropriately. Furthermore it has the benefit of being easier to implement than the complex proposal of EBA. However, also this method will need some time for implementation.</w:t>
      </w:r>
    </w:p>
    <w:p w:rsidR="008C02A9" w:rsidRPr="00F5551F" w:rsidRDefault="008C02A9" w:rsidP="00B02B38">
      <w:pPr>
        <w:rPr>
          <w:rFonts w:eastAsia="Arial Unicode MS" w:cs="Arial"/>
          <w:sz w:val="22"/>
          <w:szCs w:val="22"/>
          <w:lang w:eastAsia="en-GB"/>
        </w:rPr>
      </w:pPr>
    </w:p>
    <w:p w:rsidR="008C02A9" w:rsidRPr="00F5551F" w:rsidRDefault="008C02A9" w:rsidP="00B02B38">
      <w:pPr>
        <w:rPr>
          <w:rFonts w:eastAsia="Arial Unicode MS" w:cs="Arial"/>
          <w:sz w:val="22"/>
          <w:szCs w:val="22"/>
          <w:lang w:eastAsia="en-GB"/>
        </w:rPr>
      </w:pPr>
      <w:r w:rsidRPr="00F5551F">
        <w:rPr>
          <w:rFonts w:eastAsia="Arial Unicode MS" w:cs="Arial"/>
          <w:sz w:val="22"/>
          <w:szCs w:val="22"/>
          <w:lang w:eastAsia="en-GB"/>
        </w:rPr>
        <w:t xml:space="preserve">It is to be noted that counterparty risk weights are given for any kind of counterparty in the CRR. As such, the dedicated mentioning of certain counterparties in </w:t>
      </w:r>
      <w:r w:rsidR="00FD4804" w:rsidRPr="00F5551F">
        <w:rPr>
          <w:rFonts w:eastAsia="Arial Unicode MS" w:cs="Arial"/>
          <w:sz w:val="22"/>
          <w:szCs w:val="22"/>
          <w:lang w:eastAsia="en-GB"/>
        </w:rPr>
        <w:t>Recital</w:t>
      </w:r>
      <w:r w:rsidRPr="00F5551F">
        <w:rPr>
          <w:rFonts w:eastAsia="Arial Unicode MS" w:cs="Arial"/>
          <w:sz w:val="22"/>
          <w:szCs w:val="22"/>
          <w:lang w:eastAsia="en-GB"/>
        </w:rPr>
        <w:t xml:space="preserve"> 15 in our understanding does not make sense. A general reference to the CRR should be sufficient for that purpose.</w:t>
      </w:r>
    </w:p>
    <w:p w:rsidR="008C02A9" w:rsidRPr="00F5551F" w:rsidRDefault="008C02A9" w:rsidP="00B02B38">
      <w:pPr>
        <w:rPr>
          <w:rFonts w:eastAsia="Arial Unicode MS" w:cs="Arial"/>
          <w:sz w:val="22"/>
          <w:szCs w:val="22"/>
          <w:lang w:eastAsia="en-GB"/>
        </w:rPr>
      </w:pPr>
    </w:p>
    <w:p w:rsidR="008C02A9" w:rsidRPr="00F5551F" w:rsidRDefault="008C02A9" w:rsidP="00B02B38">
      <w:pPr>
        <w:rPr>
          <w:rFonts w:eastAsia="Arial Unicode MS" w:cs="Arial"/>
          <w:sz w:val="22"/>
          <w:szCs w:val="22"/>
          <w:lang w:eastAsia="en-GB"/>
        </w:rPr>
      </w:pPr>
      <w:r w:rsidRPr="00F5551F">
        <w:rPr>
          <w:rFonts w:eastAsia="Arial Unicode MS" w:cs="Arial"/>
          <w:sz w:val="22"/>
          <w:szCs w:val="22"/>
          <w:lang w:eastAsia="en-GB"/>
        </w:rPr>
        <w:t>While the EBA proposal is referring to the most recent calendar year</w:t>
      </w:r>
      <w:r w:rsidR="00D13334" w:rsidRPr="00F5551F">
        <w:rPr>
          <w:rStyle w:val="FootnoteReference"/>
          <w:rFonts w:eastAsia="Arial Unicode MS" w:cs="Arial"/>
          <w:sz w:val="22"/>
          <w:szCs w:val="22"/>
          <w:lang w:eastAsia="en-GB"/>
        </w:rPr>
        <w:footnoteReference w:id="9"/>
      </w:r>
      <w:r w:rsidRPr="00F5551F">
        <w:rPr>
          <w:rFonts w:eastAsia="Arial Unicode MS" w:cs="Arial"/>
          <w:sz w:val="22"/>
          <w:szCs w:val="22"/>
          <w:lang w:eastAsia="en-GB"/>
        </w:rPr>
        <w:t>, an approach based on authorised credit lines could capture most recent data and would be far closer to current situations also with regards to collateral arrangements.</w:t>
      </w:r>
      <w:r w:rsidR="00D13334" w:rsidRPr="00F5551F">
        <w:rPr>
          <w:rFonts w:eastAsia="Arial Unicode MS" w:cs="Arial"/>
          <w:sz w:val="22"/>
          <w:szCs w:val="22"/>
          <w:lang w:eastAsia="en-GB"/>
        </w:rPr>
        <w:t xml:space="preserve"> </w:t>
      </w:r>
    </w:p>
    <w:p w:rsidR="005B047F" w:rsidRPr="00F5551F" w:rsidRDefault="005B047F" w:rsidP="00B02B38">
      <w:pPr>
        <w:rPr>
          <w:rFonts w:eastAsia="Arial Unicode MS" w:cs="Arial"/>
          <w:sz w:val="22"/>
          <w:szCs w:val="22"/>
          <w:lang w:eastAsia="en-GB"/>
        </w:rPr>
      </w:pPr>
    </w:p>
    <w:p w:rsidR="001A72A5" w:rsidRPr="00F5551F" w:rsidRDefault="00A371C5" w:rsidP="00B02B38">
      <w:pPr>
        <w:rPr>
          <w:rFonts w:eastAsia="Arial Unicode MS" w:cs="Arial"/>
          <w:sz w:val="22"/>
          <w:szCs w:val="22"/>
          <w:lang w:eastAsia="en-GB"/>
        </w:rPr>
      </w:pPr>
      <w:r w:rsidRPr="00F5551F">
        <w:rPr>
          <w:rFonts w:eastAsia="Arial Unicode MS" w:cs="Arial"/>
          <w:sz w:val="22"/>
          <w:szCs w:val="22"/>
          <w:lang w:eastAsia="en-GB"/>
        </w:rPr>
        <w:t xml:space="preserve">Following our proposal, the </w:t>
      </w:r>
      <w:r w:rsidR="00FD4804" w:rsidRPr="00F5551F">
        <w:rPr>
          <w:rFonts w:eastAsia="Arial Unicode MS" w:cs="Arial"/>
          <w:sz w:val="22"/>
          <w:szCs w:val="22"/>
          <w:lang w:eastAsia="en-GB"/>
        </w:rPr>
        <w:t xml:space="preserve">relevant Recitals </w:t>
      </w:r>
      <w:r w:rsidRPr="00F5551F">
        <w:rPr>
          <w:rFonts w:eastAsia="Arial Unicode MS" w:cs="Arial"/>
          <w:sz w:val="22"/>
          <w:szCs w:val="22"/>
          <w:lang w:eastAsia="en-GB"/>
        </w:rPr>
        <w:t xml:space="preserve">and </w:t>
      </w:r>
      <w:r w:rsidR="00FD4804" w:rsidRPr="00F5551F">
        <w:rPr>
          <w:rFonts w:eastAsia="Arial Unicode MS" w:cs="Arial"/>
          <w:sz w:val="22"/>
          <w:szCs w:val="22"/>
          <w:lang w:eastAsia="en-GB"/>
        </w:rPr>
        <w:t>Article</w:t>
      </w:r>
      <w:r w:rsidRPr="00F5551F">
        <w:rPr>
          <w:rFonts w:eastAsia="Arial Unicode MS" w:cs="Arial"/>
          <w:sz w:val="22"/>
          <w:szCs w:val="22"/>
          <w:lang w:eastAsia="en-GB"/>
        </w:rPr>
        <w:t>s should be modified, based on two possible options as follows:</w:t>
      </w:r>
    </w:p>
    <w:p w:rsidR="00A371C5" w:rsidRDefault="00A371C5" w:rsidP="00A371C5">
      <w:pPr>
        <w:rPr>
          <w:rFonts w:eastAsia="Arial Unicode MS" w:cs="Arial"/>
          <w:sz w:val="22"/>
          <w:szCs w:val="22"/>
          <w:lang w:eastAsia="en-GB"/>
        </w:rPr>
      </w:pPr>
    </w:p>
    <w:p w:rsidR="00786CB4" w:rsidRPr="00F5551F" w:rsidRDefault="00786CB4" w:rsidP="00A371C5">
      <w:pPr>
        <w:rPr>
          <w:rFonts w:eastAsia="Arial Unicode MS" w:cs="Arial"/>
          <w:sz w:val="22"/>
          <w:szCs w:val="22"/>
          <w:lang w:eastAsia="en-GB"/>
        </w:rPr>
      </w:pPr>
    </w:p>
    <w:p w:rsidR="00A371C5" w:rsidRPr="00F5551F" w:rsidRDefault="00A371C5" w:rsidP="00A371C5">
      <w:pPr>
        <w:pBdr>
          <w:top w:val="single" w:sz="4" w:space="1" w:color="auto"/>
          <w:left w:val="single" w:sz="4" w:space="1" w:color="auto"/>
          <w:bottom w:val="single" w:sz="4" w:space="1" w:color="auto"/>
          <w:right w:val="single" w:sz="4" w:space="1" w:color="auto"/>
        </w:pBdr>
        <w:rPr>
          <w:rFonts w:eastAsia="Arial Unicode MS"/>
          <w:b/>
          <w:i/>
          <w:sz w:val="22"/>
          <w:szCs w:val="22"/>
          <w:lang w:eastAsia="en-GB"/>
        </w:rPr>
      </w:pPr>
      <w:r w:rsidRPr="00F5551F">
        <w:rPr>
          <w:rFonts w:eastAsia="Arial Unicode MS"/>
          <w:b/>
          <w:i/>
          <w:sz w:val="22"/>
          <w:szCs w:val="22"/>
          <w:lang w:eastAsia="en-GB"/>
        </w:rPr>
        <w:lastRenderedPageBreak/>
        <w:t>Recital 13</w:t>
      </w:r>
    </w:p>
    <w:p w:rsidR="00A371C5" w:rsidRPr="00F5551F" w:rsidRDefault="00A371C5" w:rsidP="00A371C5">
      <w:pPr>
        <w:pBdr>
          <w:top w:val="single" w:sz="4" w:space="1" w:color="auto"/>
          <w:left w:val="single" w:sz="4" w:space="1" w:color="auto"/>
          <w:bottom w:val="single" w:sz="4" w:space="1" w:color="auto"/>
          <w:right w:val="single" w:sz="4" w:space="1" w:color="auto"/>
        </w:pBdr>
        <w:rPr>
          <w:i/>
          <w:sz w:val="22"/>
          <w:szCs w:val="22"/>
          <w:lang w:eastAsia="de-DE"/>
        </w:rPr>
      </w:pPr>
      <w:r w:rsidRPr="00F5551F">
        <w:rPr>
          <w:i/>
          <w:sz w:val="22"/>
          <w:szCs w:val="22"/>
          <w:lang w:eastAsia="de-DE"/>
        </w:rPr>
        <w:t>(13)</w:t>
      </w:r>
      <w:r w:rsidR="00221C39">
        <w:rPr>
          <w:i/>
          <w:sz w:val="22"/>
          <w:szCs w:val="22"/>
          <w:lang w:eastAsia="de-DE"/>
        </w:rPr>
        <w:t xml:space="preserve"> </w:t>
      </w:r>
      <w:r w:rsidRPr="00F5551F">
        <w:rPr>
          <w:i/>
          <w:sz w:val="22"/>
          <w:szCs w:val="22"/>
          <w:lang w:eastAsia="de-DE"/>
        </w:rPr>
        <w:t xml:space="preserve">[Recitals on Article 54 CSD-R: Capital surcharge] The additional capital surcharge for risks related to banking-type ancillary services should cover all of the risks related to the provision of intraday credit to participants or other CSD users. Where overnight or longer credit exposures result from the provision of intraday credit, the corresponding risks should be measured and addressed with the methodologies already provided by the Regulation (EU) No 575/2013, which is well adapted for this purpose. Intraday credit risks, however, require a special treatment since they are not explicitly covered by the Regulation (EU) No 575/2013 or other Union legislation concerning the banking sector. The methodology to cover specifically intraday credit risk should be sufficiently risk sensitive to take into account the quality of the collateral, the credit quality assessment of the participants and the </w:t>
      </w:r>
      <w:r w:rsidRPr="00F5551F">
        <w:rPr>
          <w:b/>
          <w:i/>
          <w:sz w:val="22"/>
          <w:szCs w:val="22"/>
          <w:lang w:eastAsia="de-DE"/>
        </w:rPr>
        <w:t>possible exposure at default.</w:t>
      </w:r>
      <w:r w:rsidRPr="00F5551F">
        <w:rPr>
          <w:i/>
          <w:sz w:val="22"/>
          <w:szCs w:val="22"/>
          <w:lang w:eastAsia="de-DE"/>
        </w:rPr>
        <w:t xml:space="preserve"> </w:t>
      </w:r>
      <w:proofErr w:type="gramStart"/>
      <w:r w:rsidRPr="00F5551F">
        <w:rPr>
          <w:i/>
          <w:strike/>
          <w:sz w:val="22"/>
          <w:szCs w:val="22"/>
          <w:lang w:eastAsia="de-DE"/>
        </w:rPr>
        <w:t>actual</w:t>
      </w:r>
      <w:proofErr w:type="gramEnd"/>
      <w:r w:rsidRPr="00F5551F">
        <w:rPr>
          <w:i/>
          <w:strike/>
          <w:sz w:val="22"/>
          <w:szCs w:val="22"/>
          <w:lang w:eastAsia="de-DE"/>
        </w:rPr>
        <w:t xml:space="preserve"> observed intraday exposure</w:t>
      </w:r>
      <w:r w:rsidRPr="00F5551F">
        <w:rPr>
          <w:i/>
          <w:sz w:val="22"/>
          <w:szCs w:val="22"/>
          <w:lang w:eastAsia="de-DE"/>
        </w:rPr>
        <w:t xml:space="preserve">. At the same time, the methodology should give the proper incentives to the providers of banking-type ancillary services, including the incentive to collect the highest quality of collateral, </w:t>
      </w:r>
      <w:r w:rsidRPr="00F5551F">
        <w:rPr>
          <w:b/>
          <w:i/>
          <w:sz w:val="22"/>
          <w:szCs w:val="22"/>
          <w:lang w:eastAsia="de-DE"/>
        </w:rPr>
        <w:t>limit the extent of intraday credit offering to a reasonable level</w:t>
      </w:r>
      <w:r w:rsidRPr="00F5551F">
        <w:rPr>
          <w:i/>
          <w:sz w:val="22"/>
          <w:szCs w:val="22"/>
          <w:lang w:eastAsia="de-DE"/>
        </w:rPr>
        <w:t xml:space="preserve"> and select creditworthy counterparties. </w:t>
      </w:r>
      <w:r w:rsidRPr="00F5551F">
        <w:rPr>
          <w:i/>
          <w:strike/>
          <w:sz w:val="22"/>
          <w:szCs w:val="22"/>
          <w:lang w:eastAsia="de-DE"/>
        </w:rPr>
        <w:t>Notwithstanding the obligation for the providers of banking-type ancillary services to properly assess and test the level and value of collateral and the haircuts, the methodology used to determine the additional capital surcharge for intraday credit risk should consider the case that a sudden decrease in the value of the collateral exceeds estimates and results in partially uncollateralised residual credit exposures</w:t>
      </w:r>
      <w:r w:rsidRPr="00F5551F">
        <w:rPr>
          <w:i/>
          <w:sz w:val="22"/>
          <w:szCs w:val="22"/>
          <w:lang w:eastAsia="de-DE"/>
        </w:rPr>
        <w:t xml:space="preserve"> </w:t>
      </w:r>
      <w:r w:rsidRPr="00F5551F">
        <w:rPr>
          <w:b/>
          <w:i/>
          <w:sz w:val="22"/>
          <w:szCs w:val="22"/>
          <w:lang w:eastAsia="de-DE"/>
        </w:rPr>
        <w:t xml:space="preserve">As intraday credits are very short time and exact measurement is difficult if possible at all due to operational processes and differences in actual bookings compared to the legal status and timing of transactions, the capital surcharge for intraday credit risk is derived from the estimated intraday exposures based on credit lines approved by the CSD management and taking credit conversion factors into account. Collateral is linked to the approved lines using lowest allowed regulatory quality of the collateral and taking market values in the amount of the approved lines in same currency into account. Regulatory haircuts are applied on these market values using longest possible remaining maturity and 5 days liquidation period. By doing so, the approach of credit conversion factors of article 111 in conjunction with Annex I CRR is combined with the mandate based look through approach for investment funds of article 132 (5) CRR is followed. </w:t>
      </w:r>
    </w:p>
    <w:p w:rsidR="00A371C5" w:rsidRPr="00F5551F" w:rsidRDefault="00A371C5" w:rsidP="00A371C5">
      <w:pPr>
        <w:pBdr>
          <w:top w:val="single" w:sz="4" w:space="1" w:color="auto"/>
          <w:left w:val="single" w:sz="4" w:space="1" w:color="auto"/>
          <w:bottom w:val="single" w:sz="4" w:space="1" w:color="auto"/>
          <w:right w:val="single" w:sz="4" w:space="1" w:color="auto"/>
        </w:pBdr>
        <w:rPr>
          <w:i/>
          <w:color w:val="000000"/>
          <w:sz w:val="22"/>
          <w:szCs w:val="22"/>
          <w:lang w:eastAsia="de-DE"/>
        </w:rPr>
      </w:pPr>
    </w:p>
    <w:p w:rsidR="00A371C5" w:rsidRPr="00F5551F" w:rsidRDefault="00A371C5" w:rsidP="00A371C5">
      <w:pPr>
        <w:pBdr>
          <w:top w:val="single" w:sz="4" w:space="1" w:color="auto"/>
          <w:left w:val="single" w:sz="4" w:space="1" w:color="auto"/>
          <w:bottom w:val="single" w:sz="4" w:space="1" w:color="auto"/>
          <w:right w:val="single" w:sz="4" w:space="1" w:color="auto"/>
        </w:pBdr>
        <w:rPr>
          <w:rFonts w:eastAsia="Arial Unicode MS"/>
          <w:b/>
          <w:i/>
          <w:sz w:val="22"/>
          <w:szCs w:val="22"/>
          <w:lang w:eastAsia="en-GB"/>
        </w:rPr>
      </w:pPr>
      <w:r w:rsidRPr="00F5551F">
        <w:rPr>
          <w:rFonts w:eastAsia="Arial Unicode MS"/>
          <w:b/>
          <w:i/>
          <w:sz w:val="22"/>
          <w:szCs w:val="22"/>
          <w:lang w:eastAsia="en-GB"/>
        </w:rPr>
        <w:t>Recital 15</w:t>
      </w:r>
    </w:p>
    <w:p w:rsidR="00A371C5" w:rsidRPr="00F5551F" w:rsidRDefault="00A371C5" w:rsidP="00A371C5">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i/>
          <w:color w:val="000000"/>
          <w:sz w:val="22"/>
          <w:szCs w:val="22"/>
          <w:lang w:eastAsia="de-DE"/>
        </w:rPr>
        <w:t>(15)</w:t>
      </w:r>
      <w:r w:rsidR="00221C39">
        <w:rPr>
          <w:i/>
          <w:color w:val="000000"/>
          <w:sz w:val="22"/>
          <w:szCs w:val="22"/>
          <w:lang w:eastAsia="de-DE"/>
        </w:rPr>
        <w:t xml:space="preserve"> </w:t>
      </w:r>
      <w:r w:rsidRPr="00F5551F">
        <w:rPr>
          <w:i/>
          <w:color w:val="000000"/>
          <w:sz w:val="22"/>
          <w:szCs w:val="22"/>
          <w:lang w:eastAsia="de-DE"/>
        </w:rPr>
        <w:t xml:space="preserve">Given that Regulation (EU) No 575/2013 establishes, in Title II of Part Three the risk weights to be applied to exposures </w:t>
      </w:r>
      <w:r w:rsidRPr="00F5551F">
        <w:rPr>
          <w:b/>
          <w:i/>
          <w:sz w:val="22"/>
          <w:szCs w:val="22"/>
          <w:lang w:eastAsia="de-DE"/>
        </w:rPr>
        <w:t>to any kind of counterparty</w:t>
      </w:r>
      <w:r w:rsidRPr="00F5551F">
        <w:rPr>
          <w:i/>
          <w:sz w:val="22"/>
          <w:szCs w:val="22"/>
          <w:lang w:eastAsia="de-DE"/>
        </w:rPr>
        <w:t xml:space="preserve"> </w:t>
      </w:r>
      <w:r w:rsidRPr="00F5551F">
        <w:rPr>
          <w:i/>
          <w:strike/>
          <w:color w:val="000000"/>
          <w:sz w:val="22"/>
          <w:szCs w:val="22"/>
          <w:lang w:eastAsia="de-DE"/>
        </w:rPr>
        <w:t>the European Central Bank, as well as to central governments and central banks of Union Member States</w:t>
      </w:r>
      <w:r w:rsidRPr="00F5551F">
        <w:rPr>
          <w:i/>
          <w:color w:val="000000"/>
          <w:sz w:val="22"/>
          <w:szCs w:val="22"/>
          <w:lang w:eastAsia="de-DE"/>
        </w:rPr>
        <w:t>, the same risk weights should apply to the intraday credit exposures assuming that those exposures are end-of-day exposures. Similarly, the rules on credit risk mitigation as defined in the same Title of Regulation (EU) No. 575/2013 should apply.</w:t>
      </w:r>
    </w:p>
    <w:p w:rsidR="00A371C5" w:rsidRPr="00F5551F" w:rsidRDefault="00A371C5" w:rsidP="00A371C5">
      <w:pPr>
        <w:pBdr>
          <w:top w:val="single" w:sz="4" w:space="1" w:color="auto"/>
          <w:left w:val="single" w:sz="4" w:space="1" w:color="auto"/>
          <w:bottom w:val="single" w:sz="4" w:space="1" w:color="auto"/>
          <w:right w:val="single" w:sz="4" w:space="1" w:color="auto"/>
        </w:pBdr>
        <w:rPr>
          <w:rFonts w:eastAsia="Arial Unicode MS" w:cs="Arial"/>
          <w:i/>
          <w:sz w:val="22"/>
          <w:szCs w:val="22"/>
          <w:lang w:eastAsia="en-GB"/>
        </w:rPr>
      </w:pPr>
    </w:p>
    <w:p w:rsidR="00A371C5" w:rsidRPr="00F5551F" w:rsidRDefault="00A371C5" w:rsidP="00A371C5">
      <w:pPr>
        <w:pBdr>
          <w:top w:val="single" w:sz="4" w:space="1" w:color="auto"/>
          <w:left w:val="single" w:sz="4" w:space="1" w:color="auto"/>
          <w:bottom w:val="single" w:sz="4" w:space="1" w:color="auto"/>
          <w:right w:val="single" w:sz="4" w:space="1" w:color="auto"/>
        </w:pBdr>
        <w:rPr>
          <w:i/>
          <w:iCs/>
          <w:color w:val="000000"/>
          <w:sz w:val="22"/>
          <w:szCs w:val="22"/>
          <w:lang w:eastAsia="de-DE"/>
        </w:rPr>
      </w:pPr>
      <w:r w:rsidRPr="00F5551F">
        <w:rPr>
          <w:rFonts w:eastAsia="Arial Unicode MS"/>
          <w:b/>
          <w:i/>
          <w:sz w:val="22"/>
          <w:szCs w:val="22"/>
          <w:lang w:eastAsia="en-GB"/>
        </w:rPr>
        <w:t>Article 9 -</w:t>
      </w:r>
      <w:r w:rsidRPr="00F5551F">
        <w:rPr>
          <w:rFonts w:eastAsia="Arial Unicode MS"/>
          <w:i/>
          <w:sz w:val="22"/>
          <w:szCs w:val="22"/>
          <w:lang w:eastAsia="en-GB"/>
        </w:rPr>
        <w:t xml:space="preserve"> </w:t>
      </w:r>
      <w:r w:rsidRPr="00F5551F">
        <w:rPr>
          <w:i/>
          <w:iCs/>
          <w:color w:val="000000"/>
          <w:sz w:val="22"/>
          <w:szCs w:val="22"/>
          <w:lang w:eastAsia="de-DE"/>
        </w:rPr>
        <w:t xml:space="preserve">Capital surcharge resulting from the provision of intra-day credit </w:t>
      </w:r>
    </w:p>
    <w:p w:rsidR="00A371C5" w:rsidRPr="00F5551F" w:rsidRDefault="00A371C5" w:rsidP="00A371C5">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i/>
          <w:color w:val="000000"/>
          <w:sz w:val="22"/>
          <w:szCs w:val="22"/>
          <w:lang w:eastAsia="de-DE"/>
        </w:rPr>
        <w:t xml:space="preserve">1. For the purposes of calculating the additional capital surcharge related to intraday exposures, as referred to in point (d) of Article 54(3) of Regulation (EU) No 909/2014, and in point (e) of Article 54(4) of that Regulation, a CSD authorised in accordance with point (a) of Article 54(2) of Regulation (EU) No 909/2014 to provide banking-type ancillary services and a credit institution designated by a CSD to provide banking-type ancillary services in accordance with point (b) of Article 54(2) of Regulation (EU) No 909/2014 (‘CSD-banking service provider’) shall apply the following steps in sequence: </w:t>
      </w:r>
    </w:p>
    <w:p w:rsidR="00A371C5" w:rsidRPr="00F5551F" w:rsidRDefault="00A371C5" w:rsidP="00A371C5">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i/>
          <w:color w:val="000000"/>
          <w:sz w:val="22"/>
          <w:szCs w:val="22"/>
          <w:lang w:eastAsia="de-DE"/>
        </w:rPr>
        <w:t xml:space="preserve">(a) it shall identify </w:t>
      </w:r>
      <w:r w:rsidRPr="00F5551F">
        <w:rPr>
          <w:b/>
          <w:i/>
          <w:sz w:val="22"/>
          <w:szCs w:val="22"/>
          <w:lang w:eastAsia="de-DE"/>
        </w:rPr>
        <w:t>the current authorised credit lines usable for intraday credit exposures towards its participants</w:t>
      </w:r>
      <w:r w:rsidRPr="00F5551F">
        <w:rPr>
          <w:i/>
          <w:strike/>
          <w:color w:val="000000"/>
          <w:sz w:val="22"/>
          <w:szCs w:val="22"/>
          <w:lang w:eastAsia="de-DE"/>
        </w:rPr>
        <w:t>, over the most recent calendar year, the date with the highest intraday credit exposure (‘peak exposure’)</w:t>
      </w:r>
      <w:r w:rsidRPr="00F5551F">
        <w:rPr>
          <w:i/>
          <w:color w:val="000000"/>
          <w:sz w:val="22"/>
          <w:szCs w:val="22"/>
          <w:lang w:eastAsia="de-DE"/>
        </w:rPr>
        <w:t xml:space="preserve"> resulting from providing the services set out in Section C of Annex 1 of Regulation 909/2014 </w:t>
      </w:r>
      <w:r w:rsidRPr="00F5551F">
        <w:rPr>
          <w:b/>
          <w:i/>
          <w:sz w:val="22"/>
          <w:szCs w:val="22"/>
          <w:lang w:eastAsia="de-DE"/>
        </w:rPr>
        <w:t>(‘maximum contingent exposures’)</w:t>
      </w:r>
      <w:r w:rsidRPr="00F5551F">
        <w:rPr>
          <w:i/>
          <w:color w:val="000000"/>
          <w:sz w:val="22"/>
          <w:szCs w:val="22"/>
          <w:lang w:eastAsia="de-DE"/>
        </w:rPr>
        <w:t xml:space="preserve">; </w:t>
      </w:r>
    </w:p>
    <w:p w:rsidR="00A371C5" w:rsidRPr="00F5551F" w:rsidRDefault="00A371C5" w:rsidP="00A371C5">
      <w:pPr>
        <w:pBdr>
          <w:top w:val="single" w:sz="4" w:space="1" w:color="auto"/>
          <w:left w:val="single" w:sz="4" w:space="1" w:color="auto"/>
          <w:bottom w:val="single" w:sz="4" w:space="1" w:color="auto"/>
          <w:right w:val="single" w:sz="4" w:space="1" w:color="auto"/>
        </w:pBdr>
        <w:rPr>
          <w:b/>
          <w:i/>
          <w:sz w:val="22"/>
          <w:szCs w:val="22"/>
          <w:lang w:eastAsia="de-DE"/>
        </w:rPr>
      </w:pPr>
      <w:r w:rsidRPr="00F5551F">
        <w:rPr>
          <w:i/>
          <w:strike/>
          <w:color w:val="000000"/>
          <w:sz w:val="22"/>
          <w:szCs w:val="22"/>
          <w:lang w:eastAsia="de-DE"/>
        </w:rPr>
        <w:lastRenderedPageBreak/>
        <w:t xml:space="preserve">(b) it shall assume that all the collateral collected in relation to the peak exposure, after the application of the haircuts, loses 10% of its </w:t>
      </w:r>
      <w:r w:rsidRPr="00F5551F">
        <w:rPr>
          <w:i/>
          <w:strike/>
          <w:sz w:val="22"/>
          <w:szCs w:val="22"/>
          <w:lang w:eastAsia="de-DE"/>
        </w:rPr>
        <w:t>market value</w:t>
      </w:r>
      <w:r w:rsidRPr="00F5551F">
        <w:rPr>
          <w:b/>
          <w:i/>
          <w:sz w:val="22"/>
          <w:szCs w:val="22"/>
          <w:lang w:eastAsia="de-DE"/>
        </w:rPr>
        <w:t xml:space="preserve"> it shall transform the authorized lines as per (a) into exposure values using the credit conversion factors of Article 111 (1) of Regulation (EU) No. 575/2013. In case of credit lines being unconditionally cancellable at any time by the institution without prior notice the credit conversion factor shall not be lower than 5 % (‘assumed intraday exposure’);</w:t>
      </w:r>
    </w:p>
    <w:p w:rsidR="00A371C5" w:rsidRPr="00F5551F" w:rsidRDefault="00A371C5" w:rsidP="00A371C5">
      <w:pPr>
        <w:pBdr>
          <w:top w:val="single" w:sz="4" w:space="1" w:color="auto"/>
          <w:left w:val="single" w:sz="4" w:space="1" w:color="auto"/>
          <w:bottom w:val="single" w:sz="4" w:space="1" w:color="auto"/>
          <w:right w:val="single" w:sz="4" w:space="1" w:color="auto"/>
        </w:pBdr>
        <w:rPr>
          <w:b/>
          <w:i/>
          <w:sz w:val="22"/>
          <w:szCs w:val="22"/>
          <w:lang w:eastAsia="de-DE"/>
        </w:rPr>
      </w:pPr>
      <w:r w:rsidRPr="00F5551F">
        <w:rPr>
          <w:b/>
          <w:i/>
          <w:sz w:val="22"/>
          <w:szCs w:val="22"/>
          <w:lang w:eastAsia="de-DE"/>
        </w:rPr>
        <w:t xml:space="preserve">(c) it shall estimate the market value of collateral for collateralized exposures using the collateral agreements made with the participant related to the dedicated loans </w:t>
      </w:r>
      <w:r w:rsidR="00274AF4">
        <w:rPr>
          <w:b/>
          <w:i/>
          <w:sz w:val="22"/>
          <w:szCs w:val="22"/>
          <w:lang w:eastAsia="de-DE"/>
        </w:rPr>
        <w:t xml:space="preserve">or the collateral policy in case the loan is granted based on internal decision but without an client agreement </w:t>
      </w:r>
      <w:r w:rsidRPr="00F5551F">
        <w:rPr>
          <w:b/>
          <w:i/>
          <w:sz w:val="22"/>
          <w:szCs w:val="22"/>
          <w:lang w:eastAsia="de-DE"/>
        </w:rPr>
        <w:t>assuming a general market value of the collateral being the amount of the authorized loan in the same currency (‘collateral market value’);</w:t>
      </w:r>
    </w:p>
    <w:p w:rsidR="00A371C5" w:rsidRPr="00F5551F" w:rsidRDefault="00A371C5" w:rsidP="00A371C5">
      <w:pPr>
        <w:pBdr>
          <w:top w:val="single" w:sz="4" w:space="1" w:color="auto"/>
          <w:left w:val="single" w:sz="4" w:space="1" w:color="auto"/>
          <w:bottom w:val="single" w:sz="4" w:space="1" w:color="auto"/>
          <w:right w:val="single" w:sz="4" w:space="1" w:color="auto"/>
        </w:pBdr>
        <w:rPr>
          <w:i/>
          <w:color w:val="FF0000"/>
          <w:sz w:val="22"/>
          <w:szCs w:val="22"/>
          <w:u w:val="single"/>
          <w:lang w:eastAsia="de-DE"/>
        </w:rPr>
      </w:pPr>
      <w:r w:rsidRPr="00F5551F">
        <w:rPr>
          <w:b/>
          <w:i/>
          <w:sz w:val="22"/>
          <w:szCs w:val="22"/>
          <w:lang w:eastAsia="de-DE"/>
        </w:rPr>
        <w:t xml:space="preserve">(d) </w:t>
      </w:r>
      <w:proofErr w:type="gramStart"/>
      <w:r w:rsidRPr="00F5551F">
        <w:rPr>
          <w:b/>
          <w:i/>
          <w:sz w:val="22"/>
          <w:szCs w:val="22"/>
          <w:lang w:eastAsia="de-DE"/>
        </w:rPr>
        <w:t>it</w:t>
      </w:r>
      <w:proofErr w:type="gramEnd"/>
      <w:r w:rsidRPr="00F5551F">
        <w:rPr>
          <w:b/>
          <w:i/>
          <w:sz w:val="22"/>
          <w:szCs w:val="22"/>
          <w:lang w:eastAsia="de-DE"/>
        </w:rPr>
        <w:t xml:space="preserve"> shall derive the collateral characteristics assuming lowest allowed collateral quality and longest allowed remaining maturity and a liquidation period of 5 days. The level of collateral quality is derived from the percentage of the volatility adjustments as defined in article 224 of Regulation (EU) No. 575/2013 whereby a higher volatility adjustment is translated into a lower collateral quality (‘collateral quality’).</w:t>
      </w:r>
    </w:p>
    <w:p w:rsidR="00A371C5" w:rsidRPr="00F5551F" w:rsidRDefault="00A371C5" w:rsidP="00A371C5">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i/>
          <w:color w:val="000000"/>
          <w:sz w:val="22"/>
          <w:szCs w:val="22"/>
          <w:lang w:eastAsia="de-DE"/>
        </w:rPr>
        <w:t xml:space="preserve">(e) it shall calculate for the assumed intraday exposure the own funds requirements for credit risk in accordance with paragraph 2 assuming that those exposures are end-of-the-day exposures </w:t>
      </w:r>
      <w:r w:rsidRPr="00F5551F">
        <w:rPr>
          <w:b/>
          <w:i/>
          <w:sz w:val="22"/>
          <w:szCs w:val="22"/>
          <w:lang w:eastAsia="de-DE"/>
        </w:rPr>
        <w:t>and taking the collateral market value and collateral quality as defined in (c) and (d) into account for the purpose of paragraph 3 sentence 2</w:t>
      </w:r>
      <w:r w:rsidRPr="00F5551F">
        <w:rPr>
          <w:i/>
          <w:sz w:val="22"/>
          <w:szCs w:val="22"/>
          <w:lang w:eastAsia="de-DE"/>
        </w:rPr>
        <w:t xml:space="preserve"> </w:t>
      </w:r>
      <w:r w:rsidRPr="00F5551F">
        <w:rPr>
          <w:i/>
          <w:color w:val="000000"/>
          <w:sz w:val="22"/>
          <w:szCs w:val="22"/>
          <w:lang w:eastAsia="de-DE"/>
        </w:rPr>
        <w:t xml:space="preserve">(‘capital surcharge’). </w:t>
      </w:r>
    </w:p>
    <w:p w:rsidR="00A371C5" w:rsidRPr="00F5551F" w:rsidRDefault="00A371C5" w:rsidP="00A371C5">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i/>
          <w:color w:val="000000"/>
          <w:sz w:val="22"/>
          <w:szCs w:val="22"/>
          <w:lang w:eastAsia="de-DE"/>
        </w:rPr>
        <w:t xml:space="preserve">2. For the calculation of the capital surcharge referred to in paragraph 1, institutions </w:t>
      </w:r>
    </w:p>
    <w:p w:rsidR="00A371C5" w:rsidRPr="00F5551F" w:rsidRDefault="00A371C5" w:rsidP="00A371C5">
      <w:pPr>
        <w:pBdr>
          <w:top w:val="single" w:sz="4" w:space="1" w:color="auto"/>
          <w:left w:val="single" w:sz="4" w:space="1" w:color="auto"/>
          <w:bottom w:val="single" w:sz="4" w:space="1" w:color="auto"/>
          <w:right w:val="single" w:sz="4" w:space="1" w:color="auto"/>
        </w:pBdr>
        <w:rPr>
          <w:i/>
          <w:color w:val="000000"/>
          <w:sz w:val="22"/>
          <w:szCs w:val="22"/>
          <w:lang w:eastAsia="de-DE"/>
        </w:rPr>
      </w:pPr>
      <w:proofErr w:type="gramStart"/>
      <w:r w:rsidRPr="00F5551F">
        <w:rPr>
          <w:i/>
          <w:color w:val="000000"/>
          <w:sz w:val="22"/>
          <w:szCs w:val="22"/>
          <w:lang w:eastAsia="de-DE"/>
        </w:rPr>
        <w:t>shall</w:t>
      </w:r>
      <w:proofErr w:type="gramEnd"/>
      <w:r w:rsidRPr="00F5551F">
        <w:rPr>
          <w:i/>
          <w:color w:val="000000"/>
          <w:sz w:val="22"/>
          <w:szCs w:val="22"/>
          <w:lang w:eastAsia="de-DE"/>
        </w:rPr>
        <w:t xml:space="preserve"> apply one of the following approaches: </w:t>
      </w:r>
    </w:p>
    <w:p w:rsidR="00A371C5" w:rsidRPr="00F5551F" w:rsidRDefault="00A371C5" w:rsidP="00A371C5">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i/>
          <w:color w:val="000000"/>
          <w:sz w:val="22"/>
          <w:szCs w:val="22"/>
          <w:lang w:eastAsia="de-DE"/>
        </w:rPr>
        <w:t xml:space="preserve">(a) </w:t>
      </w:r>
      <w:proofErr w:type="gramStart"/>
      <w:r w:rsidRPr="00F5551F">
        <w:rPr>
          <w:i/>
          <w:color w:val="000000"/>
          <w:sz w:val="22"/>
          <w:szCs w:val="22"/>
          <w:lang w:eastAsia="de-DE"/>
        </w:rPr>
        <w:t>the</w:t>
      </w:r>
      <w:proofErr w:type="gramEnd"/>
      <w:r w:rsidRPr="00F5551F">
        <w:rPr>
          <w:i/>
          <w:color w:val="000000"/>
          <w:sz w:val="22"/>
          <w:szCs w:val="22"/>
          <w:lang w:eastAsia="de-DE"/>
        </w:rPr>
        <w:t xml:space="preserve"> Standardised Approach for credit risk referred to in Part Three, Title II, Chapter 2 of Regulation (EU) No 575/2013, where they do not have permission to use the IRB approach; </w:t>
      </w:r>
    </w:p>
    <w:p w:rsidR="00A371C5" w:rsidRPr="00F5551F" w:rsidRDefault="00A371C5" w:rsidP="00A371C5">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i/>
          <w:color w:val="000000"/>
          <w:sz w:val="22"/>
          <w:szCs w:val="22"/>
          <w:lang w:eastAsia="de-DE"/>
        </w:rPr>
        <w:t xml:space="preserve">(b) </w:t>
      </w:r>
      <w:proofErr w:type="gramStart"/>
      <w:r w:rsidRPr="00F5551F">
        <w:rPr>
          <w:i/>
          <w:color w:val="000000"/>
          <w:sz w:val="22"/>
          <w:szCs w:val="22"/>
          <w:lang w:eastAsia="de-DE"/>
        </w:rPr>
        <w:t>the</w:t>
      </w:r>
      <w:proofErr w:type="gramEnd"/>
      <w:r w:rsidRPr="00F5551F">
        <w:rPr>
          <w:i/>
          <w:color w:val="000000"/>
          <w:sz w:val="22"/>
          <w:szCs w:val="22"/>
          <w:lang w:eastAsia="de-DE"/>
        </w:rPr>
        <w:t xml:space="preserve"> IRB approach and the requirements of Part Three, Title II, Chapter 3 of Regulation (EU) No 575/2013, where they have permission to use the IRB approach. </w:t>
      </w:r>
    </w:p>
    <w:p w:rsidR="00A371C5" w:rsidRPr="00F5551F" w:rsidRDefault="00A371C5" w:rsidP="00A371C5">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i/>
          <w:color w:val="000000"/>
          <w:sz w:val="22"/>
          <w:szCs w:val="22"/>
          <w:lang w:eastAsia="de-DE"/>
        </w:rPr>
        <w:t xml:space="preserve">3. The </w:t>
      </w:r>
      <w:r w:rsidRPr="00F5551F">
        <w:rPr>
          <w:b/>
          <w:i/>
          <w:sz w:val="22"/>
          <w:szCs w:val="22"/>
          <w:lang w:eastAsia="de-DE"/>
        </w:rPr>
        <w:t>assumed intraday exposure</w:t>
      </w:r>
      <w:r w:rsidRPr="00F5551F">
        <w:rPr>
          <w:i/>
          <w:sz w:val="22"/>
          <w:szCs w:val="22"/>
          <w:lang w:eastAsia="de-DE"/>
        </w:rPr>
        <w:t xml:space="preserve"> </w:t>
      </w:r>
      <w:r w:rsidRPr="00F5551F">
        <w:rPr>
          <w:i/>
          <w:strike/>
          <w:color w:val="000000"/>
          <w:sz w:val="22"/>
          <w:szCs w:val="22"/>
          <w:lang w:eastAsia="de-DE"/>
        </w:rPr>
        <w:t>outstanding amount of the peak exposure</w:t>
      </w:r>
      <w:r w:rsidRPr="00F5551F">
        <w:rPr>
          <w:i/>
          <w:color w:val="000000"/>
          <w:sz w:val="22"/>
          <w:szCs w:val="22"/>
          <w:lang w:eastAsia="de-DE"/>
        </w:rPr>
        <w:t xml:space="preserve"> as referred to in paragraph 1 shall be considered an exposure value in the meaning of Article 111 of Regulation (EU) No 575/2013 for the purpose of paragraph 2(a) and an exposure value in the meaning of Article 166 of that regulation for the purpose of paragraph 2(b). Relevant requirements of Part Three, Title II, </w:t>
      </w:r>
      <w:proofErr w:type="gramStart"/>
      <w:r w:rsidRPr="00F5551F">
        <w:rPr>
          <w:i/>
          <w:color w:val="000000"/>
          <w:sz w:val="22"/>
          <w:szCs w:val="22"/>
          <w:lang w:eastAsia="de-DE"/>
        </w:rPr>
        <w:t>Chapter</w:t>
      </w:r>
      <w:proofErr w:type="gramEnd"/>
      <w:r w:rsidRPr="00F5551F">
        <w:rPr>
          <w:i/>
          <w:color w:val="000000"/>
          <w:sz w:val="22"/>
          <w:szCs w:val="22"/>
          <w:lang w:eastAsia="de-DE"/>
        </w:rPr>
        <w:t xml:space="preserve"> 4 of Regulation (EU) No 575/2013 apply accordingly. </w:t>
      </w:r>
    </w:p>
    <w:p w:rsidR="00A371C5" w:rsidRPr="00F5551F" w:rsidRDefault="00A371C5" w:rsidP="00A371C5">
      <w:pPr>
        <w:pBdr>
          <w:top w:val="single" w:sz="4" w:space="1" w:color="auto"/>
          <w:left w:val="single" w:sz="4" w:space="1" w:color="auto"/>
          <w:bottom w:val="single" w:sz="4" w:space="1" w:color="auto"/>
          <w:right w:val="single" w:sz="4" w:space="1" w:color="auto"/>
        </w:pBdr>
        <w:rPr>
          <w:rFonts w:eastAsia="Arial Unicode MS" w:cs="Arial"/>
          <w:i/>
          <w:sz w:val="22"/>
          <w:szCs w:val="22"/>
          <w:lang w:eastAsia="en-GB"/>
        </w:rPr>
      </w:pPr>
    </w:p>
    <w:p w:rsidR="00A371C5" w:rsidRPr="00F5551F" w:rsidRDefault="00A371C5" w:rsidP="00A371C5">
      <w:pPr>
        <w:ind w:right="0"/>
        <w:rPr>
          <w:rFonts w:eastAsia="Arial Unicode MS" w:cs="Arial"/>
          <w:sz w:val="22"/>
          <w:szCs w:val="22"/>
          <w:lang w:eastAsia="en-GB"/>
        </w:rPr>
      </w:pPr>
    </w:p>
    <w:p w:rsidR="00A371C5" w:rsidRPr="00F5551F" w:rsidRDefault="00A371C5" w:rsidP="00A371C5">
      <w:pPr>
        <w:ind w:right="0"/>
        <w:rPr>
          <w:rFonts w:eastAsia="Arial Unicode MS" w:cs="Arial"/>
          <w:sz w:val="22"/>
          <w:szCs w:val="22"/>
          <w:lang w:eastAsia="en-GB"/>
        </w:rPr>
      </w:pPr>
    </w:p>
    <w:p w:rsidR="00A371C5" w:rsidRPr="00F5551F" w:rsidRDefault="00A371C5" w:rsidP="00A371C5">
      <w:pPr>
        <w:rPr>
          <w:rFonts w:eastAsia="Arial Unicode MS" w:cs="Arial"/>
          <w:sz w:val="22"/>
          <w:szCs w:val="22"/>
          <w:lang w:eastAsia="en-GB"/>
        </w:rPr>
      </w:pPr>
      <w:r w:rsidRPr="00F5551F">
        <w:rPr>
          <w:rFonts w:eastAsia="Arial Unicode MS" w:cs="Arial"/>
          <w:sz w:val="22"/>
          <w:szCs w:val="22"/>
          <w:lang w:eastAsia="en-GB"/>
        </w:rPr>
        <w:t xml:space="preserve">In case our proposal for an alternative treatment is not followed we propose to modify the respective rules as stated below in order to overcome at least the major deficits. In this case it is crucial that no allocation algorithm is pre-determines as currently understood by us in the context of </w:t>
      </w:r>
      <w:r w:rsidR="00FD4804" w:rsidRPr="00F5551F">
        <w:rPr>
          <w:rFonts w:eastAsia="Arial Unicode MS" w:cs="Arial"/>
          <w:sz w:val="22"/>
          <w:szCs w:val="22"/>
          <w:lang w:eastAsia="en-GB"/>
        </w:rPr>
        <w:t>Article</w:t>
      </w:r>
      <w:r w:rsidRPr="00F5551F">
        <w:rPr>
          <w:rFonts w:eastAsia="Arial Unicode MS" w:cs="Arial"/>
          <w:sz w:val="22"/>
          <w:szCs w:val="22"/>
          <w:lang w:eastAsia="en-GB"/>
        </w:rPr>
        <w:t>s 18-20 draft RTS:</w:t>
      </w:r>
    </w:p>
    <w:p w:rsidR="00A371C5" w:rsidRPr="00F5551F" w:rsidRDefault="00A371C5" w:rsidP="00A371C5">
      <w:pPr>
        <w:rPr>
          <w:rFonts w:eastAsia="Arial Unicode MS" w:cs="Arial"/>
          <w:sz w:val="22"/>
          <w:szCs w:val="22"/>
          <w:lang w:eastAsia="en-GB"/>
        </w:rPr>
      </w:pPr>
    </w:p>
    <w:p w:rsidR="00A371C5" w:rsidRPr="00F5551F" w:rsidRDefault="00A371C5" w:rsidP="00A371C5">
      <w:pPr>
        <w:pBdr>
          <w:top w:val="single" w:sz="4" w:space="1" w:color="auto"/>
          <w:left w:val="single" w:sz="4" w:space="1" w:color="auto"/>
          <w:bottom w:val="single" w:sz="4" w:space="1" w:color="auto"/>
          <w:right w:val="single" w:sz="4" w:space="1" w:color="auto"/>
        </w:pBdr>
        <w:rPr>
          <w:rFonts w:eastAsia="Arial Unicode MS"/>
          <w:b/>
          <w:i/>
          <w:sz w:val="22"/>
          <w:szCs w:val="22"/>
          <w:lang w:eastAsia="en-GB"/>
        </w:rPr>
      </w:pPr>
      <w:r w:rsidRPr="00F5551F">
        <w:rPr>
          <w:rFonts w:eastAsia="Arial Unicode MS"/>
          <w:b/>
          <w:i/>
          <w:sz w:val="22"/>
          <w:szCs w:val="22"/>
          <w:lang w:eastAsia="en-GB"/>
        </w:rPr>
        <w:t>Alternative Recital 13</w:t>
      </w:r>
    </w:p>
    <w:p w:rsidR="00A371C5" w:rsidRPr="00F5551F" w:rsidRDefault="00A371C5" w:rsidP="00A371C5">
      <w:pPr>
        <w:pBdr>
          <w:top w:val="single" w:sz="4" w:space="1" w:color="auto"/>
          <w:left w:val="single" w:sz="4" w:space="1" w:color="auto"/>
          <w:bottom w:val="single" w:sz="4" w:space="1" w:color="auto"/>
          <w:right w:val="single" w:sz="4" w:space="1" w:color="auto"/>
        </w:pBdr>
        <w:rPr>
          <w:i/>
          <w:sz w:val="22"/>
          <w:szCs w:val="22"/>
          <w:lang w:eastAsia="de-DE"/>
        </w:rPr>
      </w:pPr>
      <w:r w:rsidRPr="00F5551F">
        <w:rPr>
          <w:i/>
          <w:sz w:val="22"/>
          <w:szCs w:val="22"/>
          <w:lang w:eastAsia="de-DE"/>
        </w:rPr>
        <w:t>(13)</w:t>
      </w:r>
      <w:r w:rsidR="00221C39">
        <w:rPr>
          <w:i/>
          <w:sz w:val="22"/>
          <w:szCs w:val="22"/>
          <w:lang w:eastAsia="de-DE"/>
        </w:rPr>
        <w:t xml:space="preserve"> </w:t>
      </w:r>
      <w:r w:rsidRPr="00F5551F">
        <w:rPr>
          <w:i/>
          <w:sz w:val="22"/>
          <w:szCs w:val="22"/>
          <w:lang w:eastAsia="de-DE"/>
        </w:rPr>
        <w:t xml:space="preserve">[Recitals on Article 54 CSD-R: Capital surcharge] The additional capital surcharge for risks related to banking-type ancillary services should cover all of the risks related to the provision of intraday credit to participants or other CSD users. Where overnight or longer credit exposures result from the provision of intraday credit, the corresponding risks should be measured and addressed with the methodologies already provided by the Regulation (EU) No 575/2013, which is well adapted for this purpose. Intraday credit risks, however, require a special treatment since they are not explicitly covered by the Regulation (EU) No 575/2013 or other Union legislation concerning the banking sector. The methodology to cover specifically intraday credit risk should be sufficiently risk sensitive to take </w:t>
      </w:r>
      <w:r w:rsidRPr="00F5551F">
        <w:rPr>
          <w:i/>
          <w:sz w:val="22"/>
          <w:szCs w:val="22"/>
          <w:lang w:eastAsia="de-DE"/>
        </w:rPr>
        <w:lastRenderedPageBreak/>
        <w:t xml:space="preserve">into account the quality of the collateral, the credit quality assessment of the participants and the actual observed intraday exposure. At the same time, the methodology should give the proper incentives to the providers of banking-type ancillary services, including the incentive to collect the highest quality of collateral, and select creditworthy counterparties. </w:t>
      </w:r>
      <w:r w:rsidRPr="00F5551F">
        <w:rPr>
          <w:i/>
          <w:strike/>
          <w:sz w:val="22"/>
          <w:szCs w:val="22"/>
          <w:lang w:eastAsia="de-DE"/>
        </w:rPr>
        <w:t>Notwithstanding the obligation for the providers of banking-type ancillary services to properly assess and test the level and value of collateral and the haircuts, the methodology used to determine the additional capital surcharge for intraday credit risk should consider the case that a sudden decrease in the value of the collateral exceeds estimates and results in partially uncollateralised residual credit exposures</w:t>
      </w:r>
      <w:r w:rsidRPr="00F5551F">
        <w:rPr>
          <w:i/>
          <w:sz w:val="22"/>
          <w:szCs w:val="22"/>
          <w:lang w:eastAsia="de-DE"/>
        </w:rPr>
        <w:t xml:space="preserve"> </w:t>
      </w:r>
    </w:p>
    <w:p w:rsidR="00A371C5" w:rsidRPr="00F5551F" w:rsidRDefault="00A371C5" w:rsidP="00A371C5">
      <w:pPr>
        <w:pBdr>
          <w:top w:val="single" w:sz="4" w:space="1" w:color="auto"/>
          <w:left w:val="single" w:sz="4" w:space="1" w:color="auto"/>
          <w:bottom w:val="single" w:sz="4" w:space="1" w:color="auto"/>
          <w:right w:val="single" w:sz="4" w:space="1" w:color="auto"/>
        </w:pBdr>
        <w:rPr>
          <w:i/>
          <w:color w:val="000000"/>
          <w:sz w:val="22"/>
          <w:szCs w:val="22"/>
          <w:lang w:eastAsia="de-DE"/>
        </w:rPr>
      </w:pPr>
    </w:p>
    <w:p w:rsidR="00A371C5" w:rsidRPr="00F5551F" w:rsidRDefault="00A371C5" w:rsidP="00A371C5">
      <w:pPr>
        <w:pBdr>
          <w:top w:val="single" w:sz="4" w:space="1" w:color="auto"/>
          <w:left w:val="single" w:sz="4" w:space="1" w:color="auto"/>
          <w:bottom w:val="single" w:sz="4" w:space="1" w:color="auto"/>
          <w:right w:val="single" w:sz="4" w:space="1" w:color="auto"/>
        </w:pBdr>
        <w:rPr>
          <w:rFonts w:eastAsia="Arial Unicode MS"/>
          <w:b/>
          <w:i/>
          <w:sz w:val="22"/>
          <w:szCs w:val="22"/>
          <w:lang w:eastAsia="en-GB"/>
        </w:rPr>
      </w:pPr>
      <w:r w:rsidRPr="00F5551F">
        <w:rPr>
          <w:rFonts w:eastAsia="Arial Unicode MS"/>
          <w:b/>
          <w:i/>
          <w:sz w:val="22"/>
          <w:szCs w:val="22"/>
          <w:lang w:eastAsia="en-GB"/>
        </w:rPr>
        <w:t>Alternative Recital 15</w:t>
      </w:r>
    </w:p>
    <w:p w:rsidR="00A371C5" w:rsidRPr="00F5551F" w:rsidRDefault="00A371C5" w:rsidP="00A371C5">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i/>
          <w:color w:val="000000"/>
          <w:sz w:val="22"/>
          <w:szCs w:val="22"/>
          <w:lang w:eastAsia="de-DE"/>
        </w:rPr>
        <w:t>(15)</w:t>
      </w:r>
      <w:r w:rsidR="00221C39">
        <w:rPr>
          <w:i/>
          <w:color w:val="000000"/>
          <w:sz w:val="22"/>
          <w:szCs w:val="22"/>
          <w:lang w:eastAsia="de-DE"/>
        </w:rPr>
        <w:t xml:space="preserve"> </w:t>
      </w:r>
      <w:r w:rsidRPr="00F5551F">
        <w:rPr>
          <w:i/>
          <w:color w:val="000000"/>
          <w:sz w:val="22"/>
          <w:szCs w:val="22"/>
          <w:lang w:eastAsia="de-DE"/>
        </w:rPr>
        <w:t xml:space="preserve">Given that Regulation (EU) No 575/2013 establishes, in Title II of Part Three the risk weights to be applied to exposures </w:t>
      </w:r>
      <w:r w:rsidRPr="00F5551F">
        <w:rPr>
          <w:b/>
          <w:i/>
          <w:sz w:val="22"/>
          <w:szCs w:val="22"/>
          <w:lang w:eastAsia="de-DE"/>
        </w:rPr>
        <w:t>to any kind of counterparty</w:t>
      </w:r>
      <w:r w:rsidRPr="00F5551F">
        <w:rPr>
          <w:i/>
          <w:sz w:val="22"/>
          <w:szCs w:val="22"/>
          <w:lang w:eastAsia="de-DE"/>
        </w:rPr>
        <w:t xml:space="preserve"> </w:t>
      </w:r>
      <w:r w:rsidRPr="00F5551F">
        <w:rPr>
          <w:i/>
          <w:strike/>
          <w:color w:val="000000"/>
          <w:sz w:val="22"/>
          <w:szCs w:val="22"/>
          <w:lang w:eastAsia="de-DE"/>
        </w:rPr>
        <w:t>the European Central Bank, as well as to central governments and central banks of Union Member States</w:t>
      </w:r>
      <w:r w:rsidRPr="00F5551F">
        <w:rPr>
          <w:i/>
          <w:color w:val="000000"/>
          <w:sz w:val="22"/>
          <w:szCs w:val="22"/>
          <w:lang w:eastAsia="de-DE"/>
        </w:rPr>
        <w:t>, the same risk weights should apply to the intraday credit exposures assuming that those exposures are end-of-day exposures. Similarly, the rules on credit risk mitigation as defined in the same Title of Regulation (EU) No. 575/2013should apply.</w:t>
      </w:r>
    </w:p>
    <w:p w:rsidR="00221C39" w:rsidRPr="00F5551F" w:rsidRDefault="00221C39" w:rsidP="00A371C5">
      <w:pPr>
        <w:pBdr>
          <w:top w:val="single" w:sz="4" w:space="1" w:color="auto"/>
          <w:left w:val="single" w:sz="4" w:space="1" w:color="auto"/>
          <w:bottom w:val="single" w:sz="4" w:space="1" w:color="auto"/>
          <w:right w:val="single" w:sz="4" w:space="1" w:color="auto"/>
        </w:pBdr>
        <w:rPr>
          <w:rFonts w:eastAsia="Arial Unicode MS" w:cs="Arial"/>
          <w:i/>
          <w:sz w:val="22"/>
          <w:szCs w:val="22"/>
          <w:lang w:eastAsia="en-GB"/>
        </w:rPr>
      </w:pPr>
    </w:p>
    <w:p w:rsidR="00A371C5" w:rsidRPr="00F5551F" w:rsidRDefault="00A371C5" w:rsidP="00A371C5">
      <w:pPr>
        <w:pBdr>
          <w:top w:val="single" w:sz="4" w:space="1" w:color="auto"/>
          <w:left w:val="single" w:sz="4" w:space="1" w:color="auto"/>
          <w:bottom w:val="single" w:sz="4" w:space="1" w:color="auto"/>
          <w:right w:val="single" w:sz="4" w:space="1" w:color="auto"/>
        </w:pBdr>
        <w:rPr>
          <w:i/>
          <w:iCs/>
          <w:color w:val="000000"/>
          <w:sz w:val="22"/>
          <w:szCs w:val="22"/>
          <w:lang w:eastAsia="de-DE"/>
        </w:rPr>
      </w:pPr>
      <w:r w:rsidRPr="00F5551F">
        <w:rPr>
          <w:rFonts w:eastAsia="Arial Unicode MS"/>
          <w:b/>
          <w:i/>
          <w:sz w:val="22"/>
          <w:szCs w:val="22"/>
          <w:lang w:eastAsia="en-GB"/>
        </w:rPr>
        <w:t>Alternative Article 9</w:t>
      </w:r>
      <w:r w:rsidRPr="00F5551F">
        <w:rPr>
          <w:rFonts w:eastAsia="Arial Unicode MS"/>
          <w:i/>
          <w:sz w:val="22"/>
          <w:szCs w:val="22"/>
          <w:lang w:eastAsia="en-GB"/>
        </w:rPr>
        <w:t xml:space="preserve"> - </w:t>
      </w:r>
      <w:r w:rsidRPr="00F5551F">
        <w:rPr>
          <w:i/>
          <w:iCs/>
          <w:color w:val="000000"/>
          <w:sz w:val="22"/>
          <w:szCs w:val="22"/>
          <w:lang w:eastAsia="de-DE"/>
        </w:rPr>
        <w:t xml:space="preserve">Capital surcharge resulting from the provision of intra-day credit </w:t>
      </w:r>
    </w:p>
    <w:p w:rsidR="00A371C5" w:rsidRPr="00F5551F" w:rsidRDefault="00A371C5" w:rsidP="00A371C5">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i/>
          <w:color w:val="000000"/>
          <w:sz w:val="22"/>
          <w:szCs w:val="22"/>
          <w:lang w:eastAsia="de-DE"/>
        </w:rPr>
        <w:t xml:space="preserve">1. For the purposes of calculating the additional capital surcharge related to intraday exposures, as referred to in point (d) of Article 54(3) of Regulation (EU) No 909/2014, and in point (e) of Article 54(4) of that Regulation, a CSD authorised in accordance with point (a) of Article 54(2) of Regulation (EU) No 909/2014 to provide banking-type ancillary services and a credit institution designated by a CSD to provide banking-type ancillary services in accordance with point (b) of Article 54(2) of Regulation (EU) No 909/2014 (‘CSD-banking service provider’) shall apply the following steps in sequence: </w:t>
      </w:r>
    </w:p>
    <w:p w:rsidR="00A371C5" w:rsidRPr="00F5551F" w:rsidRDefault="00A371C5" w:rsidP="00A371C5">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i/>
          <w:color w:val="000000"/>
          <w:sz w:val="22"/>
          <w:szCs w:val="22"/>
          <w:lang w:eastAsia="de-DE"/>
        </w:rPr>
        <w:t xml:space="preserve">(a) it shall identify, over the most recent calendar year, the date with the highest intraday gross credit exposure </w:t>
      </w:r>
      <w:r w:rsidRPr="00F5551F">
        <w:rPr>
          <w:b/>
          <w:i/>
          <w:sz w:val="22"/>
          <w:szCs w:val="22"/>
          <w:lang w:eastAsia="de-DE"/>
        </w:rPr>
        <w:t>to all its participants in all currencies at any given time</w:t>
      </w:r>
      <w:r w:rsidRPr="00F5551F">
        <w:rPr>
          <w:i/>
          <w:sz w:val="22"/>
          <w:szCs w:val="22"/>
          <w:lang w:eastAsia="de-DE"/>
        </w:rPr>
        <w:t xml:space="preserve"> </w:t>
      </w:r>
      <w:r w:rsidRPr="00F5551F">
        <w:rPr>
          <w:i/>
          <w:color w:val="000000"/>
          <w:sz w:val="22"/>
          <w:szCs w:val="22"/>
          <w:lang w:eastAsia="de-DE"/>
        </w:rPr>
        <w:t xml:space="preserve">(‘peak exposure’) resulting from providing </w:t>
      </w:r>
      <w:r w:rsidRPr="00F5551F">
        <w:rPr>
          <w:b/>
          <w:i/>
          <w:sz w:val="22"/>
          <w:szCs w:val="22"/>
          <w:lang w:eastAsia="de-DE"/>
        </w:rPr>
        <w:t>intraday credit as part of</w:t>
      </w:r>
      <w:r w:rsidRPr="00F5551F">
        <w:rPr>
          <w:i/>
          <w:sz w:val="22"/>
          <w:szCs w:val="22"/>
          <w:lang w:eastAsia="de-DE"/>
        </w:rPr>
        <w:t xml:space="preserve"> </w:t>
      </w:r>
      <w:r w:rsidRPr="00F5551F">
        <w:rPr>
          <w:i/>
          <w:color w:val="000000"/>
          <w:sz w:val="22"/>
          <w:szCs w:val="22"/>
          <w:lang w:eastAsia="de-DE"/>
        </w:rPr>
        <w:t xml:space="preserve">the services set out in Section C of Annex 1 of Regulation 909/2014; </w:t>
      </w:r>
    </w:p>
    <w:p w:rsidR="00A371C5" w:rsidRPr="00F5551F" w:rsidRDefault="00A371C5" w:rsidP="00A371C5">
      <w:pPr>
        <w:pBdr>
          <w:top w:val="single" w:sz="4" w:space="1" w:color="auto"/>
          <w:left w:val="single" w:sz="4" w:space="1" w:color="auto"/>
          <w:bottom w:val="single" w:sz="4" w:space="1" w:color="auto"/>
          <w:right w:val="single" w:sz="4" w:space="1" w:color="auto"/>
        </w:pBdr>
        <w:rPr>
          <w:i/>
          <w:strike/>
          <w:sz w:val="22"/>
          <w:szCs w:val="22"/>
          <w:lang w:eastAsia="de-DE"/>
        </w:rPr>
      </w:pPr>
      <w:r w:rsidRPr="00F5551F">
        <w:rPr>
          <w:i/>
          <w:strike/>
          <w:sz w:val="22"/>
          <w:szCs w:val="22"/>
          <w:lang w:eastAsia="de-DE"/>
        </w:rPr>
        <w:t xml:space="preserve">(b) </w:t>
      </w:r>
      <w:proofErr w:type="gramStart"/>
      <w:r w:rsidRPr="00F5551F">
        <w:rPr>
          <w:i/>
          <w:strike/>
          <w:sz w:val="22"/>
          <w:szCs w:val="22"/>
          <w:lang w:eastAsia="de-DE"/>
        </w:rPr>
        <w:t>it</w:t>
      </w:r>
      <w:proofErr w:type="gramEnd"/>
      <w:r w:rsidRPr="00F5551F">
        <w:rPr>
          <w:i/>
          <w:strike/>
          <w:sz w:val="22"/>
          <w:szCs w:val="22"/>
          <w:lang w:eastAsia="de-DE"/>
        </w:rPr>
        <w:t xml:space="preserve"> shall assume that all the collateral collected in relation to the peak exposure, after the application of the haircuts, loses 10% of its market value;</w:t>
      </w:r>
    </w:p>
    <w:p w:rsidR="00A371C5" w:rsidRDefault="00A371C5" w:rsidP="00A371C5">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i/>
          <w:color w:val="000000"/>
          <w:sz w:val="22"/>
          <w:szCs w:val="22"/>
          <w:lang w:eastAsia="de-DE"/>
        </w:rPr>
        <w:t xml:space="preserve">(b) it shall calculate for the assumed intraday exposure the own funds requirements for credit risk in accordance with paragraph 2 assuming that those exposures are end-of-the-day exposures (‘capital surcharge’). </w:t>
      </w:r>
    </w:p>
    <w:p w:rsidR="00221C39" w:rsidRPr="00F5551F" w:rsidRDefault="00221C39" w:rsidP="00A371C5">
      <w:pPr>
        <w:pBdr>
          <w:top w:val="single" w:sz="4" w:space="1" w:color="auto"/>
          <w:left w:val="single" w:sz="4" w:space="1" w:color="auto"/>
          <w:bottom w:val="single" w:sz="4" w:space="1" w:color="auto"/>
          <w:right w:val="single" w:sz="4" w:space="1" w:color="auto"/>
        </w:pBdr>
        <w:rPr>
          <w:i/>
          <w:color w:val="000000"/>
          <w:sz w:val="22"/>
          <w:szCs w:val="22"/>
          <w:lang w:eastAsia="de-DE"/>
        </w:rPr>
      </w:pPr>
    </w:p>
    <w:p w:rsidR="00A371C5" w:rsidRPr="00F5551F" w:rsidRDefault="00A371C5" w:rsidP="00A371C5">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i/>
          <w:color w:val="000000"/>
          <w:sz w:val="22"/>
          <w:szCs w:val="22"/>
          <w:lang w:eastAsia="de-DE"/>
        </w:rPr>
        <w:t xml:space="preserve">2. For the calculation of the capital surcharge referred to in paragraph 1, institutions </w:t>
      </w:r>
    </w:p>
    <w:p w:rsidR="00A371C5" w:rsidRPr="00F5551F" w:rsidRDefault="00A371C5" w:rsidP="00A371C5">
      <w:pPr>
        <w:pBdr>
          <w:top w:val="single" w:sz="4" w:space="1" w:color="auto"/>
          <w:left w:val="single" w:sz="4" w:space="1" w:color="auto"/>
          <w:bottom w:val="single" w:sz="4" w:space="1" w:color="auto"/>
          <w:right w:val="single" w:sz="4" w:space="1" w:color="auto"/>
        </w:pBdr>
        <w:rPr>
          <w:i/>
          <w:color w:val="000000"/>
          <w:sz w:val="22"/>
          <w:szCs w:val="22"/>
          <w:lang w:eastAsia="de-DE"/>
        </w:rPr>
      </w:pPr>
      <w:proofErr w:type="gramStart"/>
      <w:r w:rsidRPr="00F5551F">
        <w:rPr>
          <w:i/>
          <w:color w:val="000000"/>
          <w:sz w:val="22"/>
          <w:szCs w:val="22"/>
          <w:lang w:eastAsia="de-DE"/>
        </w:rPr>
        <w:t>shall</w:t>
      </w:r>
      <w:proofErr w:type="gramEnd"/>
      <w:r w:rsidRPr="00F5551F">
        <w:rPr>
          <w:i/>
          <w:color w:val="000000"/>
          <w:sz w:val="22"/>
          <w:szCs w:val="22"/>
          <w:lang w:eastAsia="de-DE"/>
        </w:rPr>
        <w:t xml:space="preserve"> apply one of the following approaches: </w:t>
      </w:r>
    </w:p>
    <w:p w:rsidR="00A371C5" w:rsidRPr="00F5551F" w:rsidRDefault="00A371C5" w:rsidP="00A371C5">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i/>
          <w:color w:val="000000"/>
          <w:sz w:val="22"/>
          <w:szCs w:val="22"/>
          <w:lang w:eastAsia="de-DE"/>
        </w:rPr>
        <w:t xml:space="preserve">(a) </w:t>
      </w:r>
      <w:proofErr w:type="gramStart"/>
      <w:r w:rsidRPr="00F5551F">
        <w:rPr>
          <w:i/>
          <w:color w:val="000000"/>
          <w:sz w:val="22"/>
          <w:szCs w:val="22"/>
          <w:lang w:eastAsia="de-DE"/>
        </w:rPr>
        <w:t>the</w:t>
      </w:r>
      <w:proofErr w:type="gramEnd"/>
      <w:r w:rsidRPr="00F5551F">
        <w:rPr>
          <w:i/>
          <w:color w:val="000000"/>
          <w:sz w:val="22"/>
          <w:szCs w:val="22"/>
          <w:lang w:eastAsia="de-DE"/>
        </w:rPr>
        <w:t xml:space="preserve"> Standardised Approach for credit risk referred to in Part Three, Title II, Chapter 2 of Regulation (EU) No 575/2013, where they do not have permission to use the IRB approach; </w:t>
      </w:r>
    </w:p>
    <w:p w:rsidR="00A371C5" w:rsidRPr="00F5551F" w:rsidRDefault="00A371C5" w:rsidP="00A371C5">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i/>
          <w:color w:val="000000"/>
          <w:sz w:val="22"/>
          <w:szCs w:val="22"/>
          <w:lang w:eastAsia="de-DE"/>
        </w:rPr>
        <w:t xml:space="preserve">(b) </w:t>
      </w:r>
      <w:proofErr w:type="gramStart"/>
      <w:r w:rsidRPr="00F5551F">
        <w:rPr>
          <w:i/>
          <w:color w:val="000000"/>
          <w:sz w:val="22"/>
          <w:szCs w:val="22"/>
          <w:lang w:eastAsia="de-DE"/>
        </w:rPr>
        <w:t>the</w:t>
      </w:r>
      <w:proofErr w:type="gramEnd"/>
      <w:r w:rsidRPr="00F5551F">
        <w:rPr>
          <w:i/>
          <w:color w:val="000000"/>
          <w:sz w:val="22"/>
          <w:szCs w:val="22"/>
          <w:lang w:eastAsia="de-DE"/>
        </w:rPr>
        <w:t xml:space="preserve"> IRB approach and the requirements of Part Three, Title II, Chapter 3 of Regulation (EU) No 575/2013, where they have permission to use the IRB approach. </w:t>
      </w:r>
    </w:p>
    <w:p w:rsidR="00A371C5" w:rsidRPr="00F5551F" w:rsidRDefault="00A371C5" w:rsidP="00A371C5">
      <w:pPr>
        <w:pBdr>
          <w:top w:val="single" w:sz="4" w:space="1" w:color="auto"/>
          <w:left w:val="single" w:sz="4" w:space="1" w:color="auto"/>
          <w:bottom w:val="single" w:sz="4" w:space="1" w:color="auto"/>
          <w:right w:val="single" w:sz="4" w:space="1" w:color="auto"/>
        </w:pBdr>
        <w:rPr>
          <w:i/>
          <w:color w:val="000000"/>
          <w:sz w:val="22"/>
          <w:szCs w:val="22"/>
          <w:lang w:eastAsia="de-DE"/>
        </w:rPr>
      </w:pPr>
    </w:p>
    <w:p w:rsidR="00A371C5" w:rsidRPr="00F5551F" w:rsidRDefault="00A371C5" w:rsidP="00A371C5">
      <w:pPr>
        <w:pBdr>
          <w:top w:val="single" w:sz="4" w:space="1" w:color="auto"/>
          <w:left w:val="single" w:sz="4" w:space="1" w:color="auto"/>
          <w:bottom w:val="single" w:sz="4" w:space="1" w:color="auto"/>
          <w:right w:val="single" w:sz="4" w:space="1" w:color="auto"/>
        </w:pBdr>
        <w:rPr>
          <w:i/>
          <w:color w:val="000000"/>
          <w:sz w:val="22"/>
          <w:szCs w:val="22"/>
          <w:lang w:eastAsia="de-DE"/>
        </w:rPr>
      </w:pPr>
      <w:r w:rsidRPr="00F5551F">
        <w:rPr>
          <w:i/>
          <w:color w:val="000000"/>
          <w:sz w:val="22"/>
          <w:szCs w:val="22"/>
          <w:lang w:eastAsia="de-DE"/>
        </w:rPr>
        <w:t xml:space="preserve">3. The outstanding amount of the peak exposure as referred to in paragraph 1 shall be considered an exposure value in the meaning of Article 111 of Regulation (EU) No 575/2013 for the purpose of paragraph 2(a) and an exposure value in the meaning of Article 166 of that regulation for the purpose of paragraph 2(b). Relevant requirements of Part Three, Title II, </w:t>
      </w:r>
      <w:proofErr w:type="gramStart"/>
      <w:r w:rsidRPr="00F5551F">
        <w:rPr>
          <w:i/>
          <w:color w:val="000000"/>
          <w:sz w:val="22"/>
          <w:szCs w:val="22"/>
          <w:lang w:eastAsia="de-DE"/>
        </w:rPr>
        <w:t>Chapter</w:t>
      </w:r>
      <w:proofErr w:type="gramEnd"/>
      <w:r w:rsidRPr="00F5551F">
        <w:rPr>
          <w:i/>
          <w:color w:val="000000"/>
          <w:sz w:val="22"/>
          <w:szCs w:val="22"/>
          <w:lang w:eastAsia="de-DE"/>
        </w:rPr>
        <w:t xml:space="preserve"> 4 of Regulation (EU) No 575/2013 apply accordingly. </w:t>
      </w:r>
    </w:p>
    <w:p w:rsidR="00A371C5" w:rsidRPr="00F5551F" w:rsidRDefault="00A371C5" w:rsidP="00A371C5">
      <w:pPr>
        <w:rPr>
          <w:rFonts w:eastAsia="Arial Unicode MS" w:cs="Arial"/>
          <w:sz w:val="22"/>
          <w:szCs w:val="22"/>
          <w:lang w:eastAsia="en-GB"/>
        </w:rPr>
      </w:pPr>
    </w:p>
    <w:p w:rsidR="00A371C5" w:rsidRPr="00F5551F" w:rsidRDefault="00A371C5" w:rsidP="00A371C5">
      <w:pPr>
        <w:rPr>
          <w:rFonts w:eastAsia="Arial Unicode MS" w:cs="Arial"/>
          <w:sz w:val="22"/>
          <w:szCs w:val="22"/>
          <w:lang w:eastAsia="en-GB"/>
        </w:rPr>
      </w:pPr>
      <w:r w:rsidRPr="00F5551F">
        <w:rPr>
          <w:rFonts w:eastAsia="Arial Unicode MS" w:cs="Arial"/>
          <w:sz w:val="22"/>
          <w:szCs w:val="22"/>
          <w:lang w:eastAsia="en-GB"/>
        </w:rPr>
        <w:t xml:space="preserve">Finally, EBA should also duly consider a proper time for implementations of these proposal in this RTS </w:t>
      </w:r>
      <w:proofErr w:type="gramStart"/>
      <w:r w:rsidRPr="00F5551F">
        <w:rPr>
          <w:rFonts w:eastAsia="Arial Unicode MS" w:cs="Arial"/>
          <w:sz w:val="22"/>
          <w:szCs w:val="22"/>
          <w:lang w:eastAsia="en-GB"/>
        </w:rPr>
        <w:t>by  the</w:t>
      </w:r>
      <w:proofErr w:type="gramEnd"/>
      <w:r w:rsidRPr="00F5551F">
        <w:rPr>
          <w:rFonts w:eastAsia="Arial Unicode MS" w:cs="Arial"/>
          <w:sz w:val="22"/>
          <w:szCs w:val="22"/>
          <w:lang w:eastAsia="en-GB"/>
        </w:rPr>
        <w:t xml:space="preserve"> inclusion of dedicated and reasonably adapted “transitional </w:t>
      </w:r>
      <w:r w:rsidR="00FD4804" w:rsidRPr="00F5551F">
        <w:rPr>
          <w:rFonts w:eastAsia="Arial Unicode MS" w:cs="Arial"/>
          <w:sz w:val="22"/>
          <w:szCs w:val="22"/>
          <w:lang w:eastAsia="en-GB"/>
        </w:rPr>
        <w:t>Article</w:t>
      </w:r>
      <w:r w:rsidRPr="00F5551F">
        <w:rPr>
          <w:rFonts w:eastAsia="Arial Unicode MS" w:cs="Arial"/>
          <w:sz w:val="22"/>
          <w:szCs w:val="22"/>
          <w:lang w:eastAsia="en-GB"/>
        </w:rPr>
        <w:t xml:space="preserve">s”. </w:t>
      </w:r>
    </w:p>
    <w:p w:rsidR="008C02A9" w:rsidRPr="00F5551F" w:rsidRDefault="008C02A9" w:rsidP="00DA6980">
      <w:pPr>
        <w:pStyle w:val="ListParagraph"/>
        <w:spacing w:line="240" w:lineRule="auto"/>
        <w:jc w:val="both"/>
        <w:rPr>
          <w:rFonts w:ascii="DIN-Regular" w:eastAsia="Arial Unicode MS" w:hAnsi="DIN-Regular" w:cs="Arial"/>
          <w:szCs w:val="22"/>
          <w:lang w:eastAsia="en-GB"/>
        </w:rPr>
      </w:pPr>
    </w:p>
    <w:p w:rsidR="008C02A9" w:rsidRPr="00274AF4" w:rsidRDefault="008C02A9" w:rsidP="00274AF4">
      <w:pPr>
        <w:jc w:val="both"/>
        <w:rPr>
          <w:rFonts w:eastAsia="Arial Unicode MS" w:cs="Arial"/>
          <w:szCs w:val="22"/>
          <w:lang w:eastAsia="en-GB"/>
        </w:rPr>
      </w:pPr>
    </w:p>
    <w:p w:rsidR="006A0FC7" w:rsidRPr="00F5551F" w:rsidRDefault="006A0FC7" w:rsidP="00DA6980">
      <w:pPr>
        <w:pStyle w:val="Default"/>
        <w:numPr>
          <w:ilvl w:val="0"/>
          <w:numId w:val="1"/>
        </w:numPr>
        <w:pBdr>
          <w:top w:val="single" w:sz="4" w:space="1" w:color="auto"/>
          <w:left w:val="single" w:sz="4" w:space="4" w:color="auto"/>
          <w:bottom w:val="single" w:sz="4" w:space="1" w:color="auto"/>
          <w:right w:val="single" w:sz="4" w:space="4" w:color="auto"/>
        </w:pBdr>
        <w:contextualSpacing/>
        <w:jc w:val="both"/>
        <w:rPr>
          <w:rFonts w:ascii="DIN-Regular" w:eastAsia="Arial Unicode MS" w:hAnsi="DIN-Regular" w:cs="Arial"/>
          <w:color w:val="0070C0"/>
          <w:sz w:val="22"/>
          <w:szCs w:val="22"/>
        </w:rPr>
      </w:pPr>
      <w:r w:rsidRPr="00F5551F">
        <w:rPr>
          <w:rFonts w:ascii="DIN-Regular" w:eastAsia="Arial Unicode MS" w:hAnsi="DIN-Regular" w:cs="Arial"/>
          <w:color w:val="0070C0"/>
          <w:sz w:val="22"/>
          <w:szCs w:val="22"/>
        </w:rPr>
        <w:t>To what extent do CSD-banking service providers have the capability to have a real-time view on their positions with their cash correspondents, based on compulsory information provide by those cash correspondents (Article 14)?</w:t>
      </w:r>
    </w:p>
    <w:p w:rsidR="006A0FC7" w:rsidRPr="00F5551F" w:rsidRDefault="006A0FC7" w:rsidP="00DA6980">
      <w:pPr>
        <w:pStyle w:val="Default"/>
        <w:contextualSpacing/>
        <w:jc w:val="both"/>
        <w:rPr>
          <w:rFonts w:ascii="DIN-Regular" w:eastAsia="Arial Unicode MS" w:hAnsi="DIN-Regular" w:cs="Arial"/>
          <w:color w:val="0070C0"/>
          <w:sz w:val="22"/>
          <w:szCs w:val="22"/>
        </w:rPr>
      </w:pPr>
    </w:p>
    <w:p w:rsidR="00BA048F" w:rsidRPr="00F5551F" w:rsidRDefault="00BA048F" w:rsidP="00DA6980">
      <w:pPr>
        <w:pStyle w:val="Default"/>
        <w:contextualSpacing/>
        <w:jc w:val="both"/>
        <w:rPr>
          <w:rFonts w:ascii="DIN-Regular" w:eastAsia="Arial Unicode MS" w:hAnsi="DIN-Regular" w:cs="Arial"/>
          <w:color w:val="0070C0"/>
          <w:sz w:val="22"/>
          <w:szCs w:val="22"/>
        </w:rPr>
      </w:pPr>
    </w:p>
    <w:p w:rsidR="00301562" w:rsidRPr="00F5551F" w:rsidRDefault="00301562" w:rsidP="00DA6980">
      <w:pPr>
        <w:pStyle w:val="Default"/>
        <w:contextualSpacing/>
        <w:jc w:val="both"/>
        <w:rPr>
          <w:rFonts w:ascii="DIN-Regular" w:eastAsia="Arial Unicode MS" w:hAnsi="DIN-Regular" w:cs="Arial"/>
          <w:sz w:val="22"/>
          <w:szCs w:val="22"/>
        </w:rPr>
      </w:pPr>
      <w:r w:rsidRPr="00F5551F">
        <w:rPr>
          <w:rFonts w:ascii="DIN-Regular" w:eastAsia="Arial Unicode MS" w:hAnsi="DIN-Regular" w:cs="Arial"/>
          <w:sz w:val="22"/>
          <w:szCs w:val="22"/>
        </w:rPr>
        <w:t>The financial industry is currently preparing solutions to comply with the requirements on intraday liquidity monitoring set out in BCBS 248. Once these are in place, we expect to be able to have a near time view on our positions with our key cash correspondents. An important feature of BCBS 248 is a materiality threshold, which we think is critically important. While we expect our key cash correspondents to be able to provide real time transaction data, providers in less developed markets (without corresponding regulatory requirements) may not be able or willing to provide the required data.</w:t>
      </w:r>
    </w:p>
    <w:p w:rsidR="00A0414E" w:rsidRPr="00F5551F" w:rsidRDefault="00A0414E" w:rsidP="00DA6980">
      <w:pPr>
        <w:pStyle w:val="Default"/>
        <w:contextualSpacing/>
        <w:jc w:val="both"/>
        <w:rPr>
          <w:rFonts w:ascii="DIN-Regular" w:eastAsia="Arial Unicode MS" w:hAnsi="DIN-Regular" w:cs="Arial"/>
          <w:sz w:val="22"/>
          <w:szCs w:val="22"/>
        </w:rPr>
      </w:pPr>
    </w:p>
    <w:p w:rsidR="005119EC" w:rsidRPr="00F5551F" w:rsidRDefault="005119EC"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In addition to the general comments made above and the answers to the specific question raised, we do want to comment on quite a few items in more detail and raise some questions on dedicated topics regarding Articles 10 to 17 of the EBA draft RTS proposal as follows:</w:t>
      </w:r>
    </w:p>
    <w:p w:rsidR="00A0414E" w:rsidRPr="00F5551F" w:rsidRDefault="00A0414E" w:rsidP="00DA6980">
      <w:pPr>
        <w:pStyle w:val="Default"/>
        <w:contextualSpacing/>
        <w:jc w:val="both"/>
        <w:rPr>
          <w:rFonts w:ascii="DIN-Regular" w:eastAsia="Arial Unicode MS" w:hAnsi="DIN-Regular" w:cs="Arial"/>
          <w:color w:val="auto"/>
          <w:sz w:val="22"/>
          <w:szCs w:val="22"/>
        </w:rPr>
      </w:pPr>
    </w:p>
    <w:p w:rsidR="005119EC" w:rsidRPr="00F5551F" w:rsidRDefault="005119EC" w:rsidP="00DA6980">
      <w:pPr>
        <w:pStyle w:val="ListParagraph"/>
        <w:numPr>
          <w:ilvl w:val="0"/>
          <w:numId w:val="2"/>
        </w:numPr>
        <w:spacing w:after="240" w:line="240" w:lineRule="auto"/>
        <w:ind w:left="357" w:hanging="357"/>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There is to our knowledge no requirement in the CSD-R or the (draft) ESMA technical standard requiring monthly meetings of the risk committees. As such, we disagree to the requirement of sending monthly reports to the risk committees for review as requested in Article 11 (4) as well as Article 33 (2) of the draft RTS. We consider in addition, that the frequency should be proportionate to the business of the CSD and / or the credit institution nominated in accordance with point (b) of Article 54 (2) CSD-R. Moreover, </w:t>
      </w:r>
      <w:r w:rsidR="00157FD6" w:rsidRPr="00F5551F">
        <w:rPr>
          <w:rFonts w:ascii="DIN-Regular" w:eastAsia="Arial Unicode MS" w:hAnsi="DIN-Regular" w:cs="Arial"/>
          <w:szCs w:val="22"/>
          <w:lang w:eastAsia="en-GB"/>
        </w:rPr>
        <w:t>A</w:t>
      </w:r>
      <w:r w:rsidRPr="00F5551F">
        <w:rPr>
          <w:rFonts w:ascii="DIN-Regular" w:eastAsia="Arial Unicode MS" w:hAnsi="DIN-Regular" w:cs="Arial"/>
          <w:szCs w:val="22"/>
          <w:lang w:eastAsia="en-GB"/>
        </w:rPr>
        <w:t>rticle 11 (1) – (3)</w:t>
      </w:r>
      <w:r w:rsidR="00274AF4">
        <w:rPr>
          <w:rFonts w:ascii="DIN-Regular" w:eastAsia="Arial Unicode MS" w:hAnsi="DIN-Regular" w:cs="Arial"/>
          <w:szCs w:val="22"/>
          <w:lang w:eastAsia="en-GB"/>
        </w:rPr>
        <w:t xml:space="preserve"> draft RTS</w:t>
      </w:r>
      <w:r w:rsidRPr="00F5551F">
        <w:rPr>
          <w:rFonts w:ascii="DIN-Regular" w:eastAsia="Arial Unicode MS" w:hAnsi="DIN-Regular" w:cs="Arial"/>
          <w:szCs w:val="22"/>
          <w:lang w:eastAsia="en-GB"/>
        </w:rPr>
        <w:t xml:space="preserve"> do not specify any frequency of that report. However, based on the wording in Article 11 (2)</w:t>
      </w:r>
      <w:r w:rsidR="00274AF4">
        <w:rPr>
          <w:rFonts w:ascii="DIN-Regular" w:eastAsia="Arial Unicode MS" w:hAnsi="DIN-Regular" w:cs="Arial"/>
          <w:szCs w:val="22"/>
          <w:lang w:eastAsia="en-GB"/>
        </w:rPr>
        <w:t xml:space="preserve"> draft RTS</w:t>
      </w:r>
      <w:r w:rsidRPr="00F5551F">
        <w:rPr>
          <w:rFonts w:ascii="DIN-Regular" w:eastAsia="Arial Unicode MS" w:hAnsi="DIN-Regular" w:cs="Arial"/>
          <w:szCs w:val="22"/>
          <w:lang w:eastAsia="en-GB"/>
        </w:rPr>
        <w:t xml:space="preserve"> the frequency of at least annually may be assumed. We therefore propose to include an additional sentence to add that the policy should also define the frequency of the report to be prepared which should be subject to the risk profile of the CSD and should be “at least quarterly”. Subsequently, the reference to the timing (“monthly”) can be completely taken out form </w:t>
      </w:r>
      <w:r w:rsidR="00157FD6" w:rsidRPr="00F5551F">
        <w:rPr>
          <w:rFonts w:ascii="DIN-Regular" w:eastAsia="Arial Unicode MS" w:hAnsi="DIN-Regular" w:cs="Arial"/>
          <w:szCs w:val="22"/>
          <w:lang w:eastAsia="en-GB"/>
        </w:rPr>
        <w:t>A</w:t>
      </w:r>
      <w:r w:rsidRPr="00F5551F">
        <w:rPr>
          <w:rFonts w:ascii="DIN-Regular" w:eastAsia="Arial Unicode MS" w:hAnsi="DIN-Regular" w:cs="Arial"/>
          <w:szCs w:val="22"/>
          <w:lang w:eastAsia="en-GB"/>
        </w:rPr>
        <w:t xml:space="preserve">rticle 11 (4) of the draft RTS. </w:t>
      </w:r>
    </w:p>
    <w:p w:rsidR="005119EC" w:rsidRPr="00F5551F" w:rsidRDefault="005119EC" w:rsidP="00DA6980">
      <w:pPr>
        <w:pStyle w:val="ListParagraph"/>
        <w:numPr>
          <w:ilvl w:val="0"/>
          <w:numId w:val="2"/>
        </w:numPr>
        <w:spacing w:after="240" w:line="240" w:lineRule="auto"/>
        <w:ind w:left="357" w:hanging="357"/>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With regards to the measurement on monitoring of overnight credit risk, the question arises if the data to be used and stored is to be value date corrected or not. We propose to leave this to the discretion of the CSD.</w:t>
      </w:r>
    </w:p>
    <w:p w:rsidR="00F1172D" w:rsidRDefault="00396283" w:rsidP="003C4B0E">
      <w:pPr>
        <w:pStyle w:val="ListParagraph"/>
        <w:numPr>
          <w:ilvl w:val="0"/>
          <w:numId w:val="2"/>
        </w:numPr>
        <w:spacing w:after="240" w:line="240" w:lineRule="auto"/>
        <w:ind w:left="357" w:hanging="357"/>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In certain jurisdictions, collateral can only be taken based on written agreements. As any written agreement contains a certain level of commitment, in this circumstance we cannot agree to the term “granting only uncommitted credit lines” as a </w:t>
      </w:r>
      <w:r w:rsidRPr="00F5551F">
        <w:rPr>
          <w:rFonts w:ascii="DIN-Regular" w:eastAsia="Arial Unicode MS" w:hAnsi="DIN-Regular" w:cs="Arial"/>
          <w:b/>
          <w:szCs w:val="22"/>
          <w:u w:val="single"/>
          <w:lang w:eastAsia="en-GB"/>
        </w:rPr>
        <w:t>granting</w:t>
      </w:r>
      <w:r w:rsidRPr="00F5551F">
        <w:rPr>
          <w:rFonts w:ascii="DIN-Regular" w:eastAsia="Arial Unicode MS" w:hAnsi="DIN-Regular" w:cs="Arial"/>
          <w:szCs w:val="22"/>
          <w:lang w:eastAsia="en-GB"/>
        </w:rPr>
        <w:t xml:space="preserve"> of a line in such circumstances would always contain a commitment.</w:t>
      </w:r>
    </w:p>
    <w:p w:rsidR="00F1172D" w:rsidRDefault="00F1172D" w:rsidP="00F1172D">
      <w:pPr>
        <w:pStyle w:val="ListParagraph"/>
        <w:spacing w:after="240" w:line="240" w:lineRule="auto"/>
        <w:ind w:left="357"/>
        <w:jc w:val="both"/>
        <w:rPr>
          <w:rFonts w:ascii="DIN-Regular" w:eastAsia="Arial Unicode MS" w:hAnsi="DIN-Regular" w:cs="Arial"/>
          <w:szCs w:val="22"/>
          <w:lang w:eastAsia="en-GB"/>
        </w:rPr>
      </w:pPr>
    </w:p>
    <w:p w:rsidR="003C4B0E" w:rsidRDefault="00396283" w:rsidP="00F1172D">
      <w:pPr>
        <w:pStyle w:val="ListParagraph"/>
        <w:spacing w:after="240" w:line="240" w:lineRule="auto"/>
        <w:ind w:left="357"/>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As such, we kindly ask to rephrase </w:t>
      </w:r>
      <w:r w:rsidR="00FD4804" w:rsidRPr="00F5551F">
        <w:rPr>
          <w:rFonts w:ascii="DIN-Regular" w:eastAsia="Arial Unicode MS" w:hAnsi="DIN-Regular" w:cs="Arial"/>
          <w:szCs w:val="22"/>
          <w:lang w:eastAsia="en-GB"/>
        </w:rPr>
        <w:t>Recital</w:t>
      </w:r>
      <w:r w:rsidRPr="00F5551F">
        <w:rPr>
          <w:rFonts w:ascii="DIN-Regular" w:eastAsia="Arial Unicode MS" w:hAnsi="DIN-Regular" w:cs="Arial"/>
          <w:szCs w:val="22"/>
          <w:lang w:eastAsia="en-GB"/>
        </w:rPr>
        <w:t xml:space="preserve"> 21 as follows:</w:t>
      </w:r>
    </w:p>
    <w:p w:rsidR="003C4B0E" w:rsidRDefault="003C4B0E" w:rsidP="00F1172D">
      <w:pPr>
        <w:pStyle w:val="ListParagraph"/>
        <w:spacing w:after="240" w:line="240" w:lineRule="auto"/>
        <w:ind w:left="357"/>
        <w:jc w:val="both"/>
        <w:rPr>
          <w:rFonts w:ascii="DIN-Regular" w:eastAsia="Arial Unicode MS" w:hAnsi="DIN-Regular" w:cs="Arial"/>
          <w:szCs w:val="22"/>
          <w:lang w:eastAsia="en-GB"/>
        </w:rPr>
      </w:pPr>
    </w:p>
    <w:p w:rsidR="00F1172D" w:rsidRPr="00F1172D" w:rsidRDefault="00F1172D" w:rsidP="00F1172D">
      <w:pPr>
        <w:pStyle w:val="ListParagraph"/>
        <w:pBdr>
          <w:top w:val="single" w:sz="4" w:space="1" w:color="auto"/>
          <w:left w:val="single" w:sz="4" w:space="4" w:color="auto"/>
          <w:bottom w:val="single" w:sz="4" w:space="1" w:color="auto"/>
          <w:right w:val="single" w:sz="4" w:space="4" w:color="auto"/>
        </w:pBdr>
        <w:spacing w:after="240" w:line="240" w:lineRule="auto"/>
        <w:ind w:left="357"/>
        <w:jc w:val="both"/>
        <w:rPr>
          <w:rFonts w:ascii="DIN-Regular" w:eastAsia="Arial Unicode MS" w:hAnsi="DIN-Regular" w:cs="Arial"/>
          <w:i/>
          <w:szCs w:val="22"/>
          <w:lang w:eastAsia="en-GB"/>
        </w:rPr>
      </w:pPr>
      <w:r w:rsidRPr="00F1172D">
        <w:rPr>
          <w:rFonts w:ascii="DIN-Regular" w:eastAsia="Arial Unicode MS" w:hAnsi="DIN-Regular" w:cs="Arial"/>
          <w:i/>
          <w:szCs w:val="22"/>
          <w:lang w:eastAsia="en-GB"/>
        </w:rPr>
        <w:t>Recital 21</w:t>
      </w:r>
    </w:p>
    <w:p w:rsidR="003C4B0E" w:rsidRPr="00F1172D" w:rsidRDefault="00396283" w:rsidP="00F1172D">
      <w:pPr>
        <w:pStyle w:val="ListParagraph"/>
        <w:pBdr>
          <w:top w:val="single" w:sz="4" w:space="1" w:color="auto"/>
          <w:left w:val="single" w:sz="4" w:space="4" w:color="auto"/>
          <w:bottom w:val="single" w:sz="4" w:space="1" w:color="auto"/>
          <w:right w:val="single" w:sz="4" w:space="4" w:color="auto"/>
        </w:pBdr>
        <w:spacing w:after="240" w:line="240" w:lineRule="auto"/>
        <w:ind w:left="357"/>
        <w:jc w:val="both"/>
        <w:rPr>
          <w:rFonts w:ascii="DIN-Regular" w:eastAsia="Arial Unicode MS" w:hAnsi="DIN-Regular" w:cs="Arial"/>
          <w:i/>
          <w:szCs w:val="22"/>
          <w:lang w:eastAsia="en-GB"/>
        </w:rPr>
      </w:pPr>
      <w:r w:rsidRPr="00F1172D">
        <w:rPr>
          <w:rFonts w:ascii="DIN-Regular" w:eastAsia="Arial Unicode MS" w:hAnsi="DIN-Regular" w:cs="Arial"/>
          <w:i/>
          <w:szCs w:val="22"/>
          <w:lang w:eastAsia="en-GB"/>
        </w:rPr>
        <w:t xml:space="preserve">As a result, a CSD-banking service provider should be permitted to grant committed lines only on the basis of unconditional revocability at any time to borrowing </w:t>
      </w:r>
      <w:r w:rsidR="00F1172D">
        <w:rPr>
          <w:rFonts w:ascii="DIN-Regular" w:eastAsia="Arial Unicode MS" w:hAnsi="DIN-Regular" w:cs="Arial"/>
          <w:i/>
          <w:szCs w:val="22"/>
          <w:lang w:eastAsia="en-GB"/>
        </w:rPr>
        <w:t>participants in the course of …</w:t>
      </w:r>
    </w:p>
    <w:p w:rsidR="003C4B0E" w:rsidRDefault="003C4B0E" w:rsidP="00F1172D">
      <w:pPr>
        <w:pStyle w:val="ListParagraph"/>
        <w:pBdr>
          <w:top w:val="single" w:sz="4" w:space="1" w:color="auto"/>
          <w:left w:val="single" w:sz="4" w:space="4" w:color="auto"/>
          <w:bottom w:val="single" w:sz="4" w:space="1" w:color="auto"/>
          <w:right w:val="single" w:sz="4" w:space="4" w:color="auto"/>
        </w:pBdr>
        <w:spacing w:after="240" w:line="240" w:lineRule="auto"/>
        <w:ind w:left="357"/>
        <w:jc w:val="both"/>
        <w:rPr>
          <w:rFonts w:ascii="DIN-Regular" w:eastAsia="Arial Unicode MS" w:hAnsi="DIN-Regular" w:cs="Arial"/>
          <w:szCs w:val="22"/>
          <w:lang w:eastAsia="en-GB"/>
        </w:rPr>
      </w:pPr>
    </w:p>
    <w:p w:rsidR="00F1172D" w:rsidRDefault="00F1172D" w:rsidP="00F1172D">
      <w:pPr>
        <w:pStyle w:val="ListParagraph"/>
        <w:spacing w:after="240" w:line="240" w:lineRule="auto"/>
        <w:ind w:left="357"/>
        <w:jc w:val="both"/>
        <w:rPr>
          <w:rFonts w:ascii="DIN-Regular" w:eastAsia="Arial Unicode MS" w:hAnsi="DIN-Regular" w:cs="Arial"/>
          <w:szCs w:val="22"/>
          <w:lang w:eastAsia="en-GB"/>
        </w:rPr>
      </w:pPr>
    </w:p>
    <w:p w:rsidR="005119EC" w:rsidRPr="00F1172D" w:rsidRDefault="00396283" w:rsidP="00F1172D">
      <w:pPr>
        <w:pStyle w:val="ListParagraph"/>
        <w:spacing w:after="240" w:line="240" w:lineRule="auto"/>
        <w:ind w:left="357"/>
        <w:jc w:val="both"/>
        <w:rPr>
          <w:rFonts w:ascii="DIN-Regular" w:eastAsia="Arial Unicode MS" w:hAnsi="DIN-Regular" w:cs="Arial"/>
          <w:szCs w:val="22"/>
          <w:lang w:eastAsia="en-GB"/>
        </w:rPr>
      </w:pPr>
      <w:r w:rsidRPr="00F1172D">
        <w:rPr>
          <w:rFonts w:ascii="DIN-Regular" w:eastAsia="Arial Unicode MS" w:hAnsi="DIN-Regular" w:cs="Arial"/>
          <w:szCs w:val="22"/>
          <w:lang w:eastAsia="en-GB"/>
        </w:rPr>
        <w:t>In this context, w</w:t>
      </w:r>
      <w:r w:rsidR="005119EC" w:rsidRPr="00F1172D">
        <w:rPr>
          <w:rFonts w:ascii="DIN-Regular" w:eastAsia="Arial Unicode MS" w:hAnsi="DIN-Regular" w:cs="Arial"/>
          <w:szCs w:val="22"/>
          <w:lang w:eastAsia="en-GB"/>
        </w:rPr>
        <w:t xml:space="preserve">e strongly oppose to the limitation of granting only uncommitted credit lines as requested by Article 16 </w:t>
      </w:r>
      <w:r w:rsidR="009463DD" w:rsidRPr="00F1172D">
        <w:rPr>
          <w:rFonts w:ascii="DIN-Regular" w:eastAsia="Arial Unicode MS" w:hAnsi="DIN-Regular" w:cs="Arial"/>
          <w:szCs w:val="22"/>
          <w:lang w:eastAsia="en-GB"/>
        </w:rPr>
        <w:t>(</w:t>
      </w:r>
      <w:r w:rsidR="005119EC" w:rsidRPr="00F1172D">
        <w:rPr>
          <w:rFonts w:ascii="DIN-Regular" w:eastAsia="Arial Unicode MS" w:hAnsi="DIN-Regular" w:cs="Arial"/>
          <w:szCs w:val="22"/>
          <w:lang w:eastAsia="en-GB"/>
        </w:rPr>
        <w:t>c</w:t>
      </w:r>
      <w:r w:rsidR="009463DD" w:rsidRPr="00F1172D">
        <w:rPr>
          <w:rFonts w:ascii="DIN-Regular" w:eastAsia="Arial Unicode MS" w:hAnsi="DIN-Regular" w:cs="Arial"/>
          <w:szCs w:val="22"/>
          <w:lang w:eastAsia="en-GB"/>
        </w:rPr>
        <w:t>)</w:t>
      </w:r>
      <w:r w:rsidR="005119EC" w:rsidRPr="00F1172D">
        <w:rPr>
          <w:rFonts w:ascii="DIN-Regular" w:eastAsia="Arial Unicode MS" w:hAnsi="DIN-Regular" w:cs="Arial"/>
          <w:szCs w:val="22"/>
          <w:lang w:eastAsia="en-GB"/>
        </w:rPr>
        <w:t xml:space="preserve"> draft RTS. We however propose to refer to the need to grant only credit lines which can be cancelled unconditionally at any time.</w:t>
      </w:r>
    </w:p>
    <w:p w:rsidR="005119EC" w:rsidRPr="00F5551F" w:rsidRDefault="005119EC" w:rsidP="00DA6980">
      <w:pPr>
        <w:pStyle w:val="ListParagraph"/>
        <w:numPr>
          <w:ilvl w:val="0"/>
          <w:numId w:val="2"/>
        </w:numPr>
        <w:spacing w:after="240" w:line="240" w:lineRule="auto"/>
        <w:ind w:left="357" w:hanging="357"/>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lastRenderedPageBreak/>
        <w:t xml:space="preserve">Credit limits for secured credits – which is the standard towards participants as also required by Article 59 (3) </w:t>
      </w:r>
      <w:r w:rsidR="009463DD" w:rsidRPr="00F5551F">
        <w:rPr>
          <w:rFonts w:ascii="DIN-Regular" w:eastAsia="Arial Unicode MS" w:hAnsi="DIN-Regular" w:cs="Arial"/>
          <w:szCs w:val="22"/>
          <w:lang w:eastAsia="en-GB"/>
        </w:rPr>
        <w:t>(</w:t>
      </w:r>
      <w:r w:rsidRPr="00F5551F">
        <w:rPr>
          <w:rFonts w:ascii="DIN-Regular" w:eastAsia="Arial Unicode MS" w:hAnsi="DIN-Regular" w:cs="Arial"/>
          <w:szCs w:val="22"/>
          <w:lang w:eastAsia="en-GB"/>
        </w:rPr>
        <w:t>c) CSD</w:t>
      </w:r>
      <w:r w:rsidR="00BC4D9A" w:rsidRPr="00F5551F">
        <w:rPr>
          <w:rFonts w:ascii="DIN-Regular" w:eastAsia="Arial Unicode MS" w:hAnsi="DIN-Regular" w:cs="Arial"/>
          <w:szCs w:val="22"/>
          <w:lang w:eastAsia="en-GB"/>
        </w:rPr>
        <w:t>-</w:t>
      </w:r>
      <w:r w:rsidRPr="00F5551F">
        <w:rPr>
          <w:rFonts w:ascii="DIN-Regular" w:eastAsia="Arial Unicode MS" w:hAnsi="DIN-Regular" w:cs="Arial"/>
          <w:szCs w:val="22"/>
          <w:lang w:eastAsia="en-GB"/>
        </w:rPr>
        <w:t xml:space="preserve">R – are only valid up until the amount of available collateral value (i.e. market </w:t>
      </w:r>
      <w:r w:rsidRPr="00F5551F">
        <w:rPr>
          <w:rFonts w:ascii="DIN-Regular" w:eastAsia="Arial Unicode MS" w:hAnsi="DIN-Regular" w:cs="Arial"/>
          <w:szCs w:val="22"/>
          <w:lang w:eastAsia="en-GB"/>
        </w:rPr>
        <w:t xml:space="preserve">value less haircut). As such, </w:t>
      </w:r>
      <w:r w:rsidR="00157FD6" w:rsidRPr="00F5551F">
        <w:rPr>
          <w:rFonts w:ascii="DIN-Regular" w:eastAsia="Arial Unicode MS" w:hAnsi="DIN-Regular" w:cs="Arial"/>
          <w:szCs w:val="22"/>
          <w:lang w:eastAsia="en-GB"/>
        </w:rPr>
        <w:t>A</w:t>
      </w:r>
      <w:r w:rsidRPr="00F5551F">
        <w:rPr>
          <w:rFonts w:ascii="DIN-Regular" w:eastAsia="Arial Unicode MS" w:hAnsi="DIN-Regular" w:cs="Arial"/>
          <w:szCs w:val="22"/>
          <w:lang w:eastAsia="en-GB"/>
        </w:rPr>
        <w:t xml:space="preserve">rticle 17 </w:t>
      </w:r>
      <w:r w:rsidR="009463DD" w:rsidRPr="00F5551F">
        <w:rPr>
          <w:rFonts w:ascii="DIN-Regular" w:eastAsia="Arial Unicode MS" w:hAnsi="DIN-Regular" w:cs="Arial"/>
          <w:szCs w:val="22"/>
          <w:lang w:eastAsia="en-GB"/>
        </w:rPr>
        <w:t>(</w:t>
      </w:r>
      <w:r w:rsidRPr="00F5551F">
        <w:rPr>
          <w:rFonts w:ascii="DIN-Regular" w:eastAsia="Arial Unicode MS" w:hAnsi="DIN-Regular" w:cs="Arial"/>
          <w:szCs w:val="22"/>
          <w:lang w:eastAsia="en-GB"/>
        </w:rPr>
        <w:t>e</w:t>
      </w:r>
      <w:r w:rsidR="009463DD" w:rsidRPr="00F5551F">
        <w:rPr>
          <w:rFonts w:ascii="DIN-Regular" w:eastAsia="Arial Unicode MS" w:hAnsi="DIN-Regular" w:cs="Arial"/>
          <w:szCs w:val="22"/>
          <w:lang w:eastAsia="en-GB"/>
        </w:rPr>
        <w:t>)</w:t>
      </w:r>
      <w:r w:rsidRPr="00F5551F">
        <w:rPr>
          <w:rFonts w:ascii="DIN-Regular" w:eastAsia="Arial Unicode MS" w:hAnsi="DIN-Regular" w:cs="Arial"/>
          <w:szCs w:val="22"/>
          <w:lang w:eastAsia="en-GB"/>
        </w:rPr>
        <w:t xml:space="preserve"> (ii) in this context is not meaningful as the credit limit does not need to be reduced if it is “dynamically” capped on the collateral value of collateral available.</w:t>
      </w:r>
    </w:p>
    <w:p w:rsidR="005119EC" w:rsidRPr="00F5551F" w:rsidRDefault="005119EC" w:rsidP="00DA6980">
      <w:pPr>
        <w:pStyle w:val="Default"/>
        <w:contextualSpacing/>
        <w:jc w:val="both"/>
        <w:rPr>
          <w:rFonts w:ascii="DIN-Regular" w:eastAsia="Arial Unicode MS" w:hAnsi="DIN-Regular" w:cs="Arial"/>
          <w:color w:val="auto"/>
          <w:sz w:val="22"/>
          <w:szCs w:val="22"/>
        </w:rPr>
      </w:pPr>
    </w:p>
    <w:p w:rsidR="006A0FC7" w:rsidRPr="00F5551F" w:rsidRDefault="006A0FC7" w:rsidP="00DA6980">
      <w:pPr>
        <w:pStyle w:val="Default"/>
        <w:contextualSpacing/>
        <w:jc w:val="both"/>
        <w:rPr>
          <w:rFonts w:ascii="DIN-Regular" w:hAnsi="DIN-Regular" w:cs="Arial"/>
          <w:sz w:val="22"/>
          <w:szCs w:val="22"/>
        </w:rPr>
      </w:pPr>
    </w:p>
    <w:p w:rsidR="006A0FC7" w:rsidRPr="00F5551F" w:rsidRDefault="006A0FC7" w:rsidP="00DA6980">
      <w:pPr>
        <w:pStyle w:val="Default"/>
        <w:numPr>
          <w:ilvl w:val="0"/>
          <w:numId w:val="1"/>
        </w:numPr>
        <w:pBdr>
          <w:top w:val="single" w:sz="4" w:space="1" w:color="auto"/>
          <w:left w:val="single" w:sz="4" w:space="4" w:color="auto"/>
          <w:bottom w:val="single" w:sz="4" w:space="1" w:color="auto"/>
          <w:right w:val="single" w:sz="4" w:space="4" w:color="auto"/>
        </w:pBdr>
        <w:contextualSpacing/>
        <w:jc w:val="both"/>
        <w:rPr>
          <w:rFonts w:ascii="DIN-Regular" w:eastAsia="Arial Unicode MS" w:hAnsi="DIN-Regular" w:cs="Arial"/>
          <w:color w:val="0070C0"/>
          <w:sz w:val="22"/>
          <w:szCs w:val="22"/>
        </w:rPr>
      </w:pPr>
      <w:r w:rsidRPr="00F5551F">
        <w:rPr>
          <w:rFonts w:ascii="DIN-Regular" w:eastAsia="Arial Unicode MS" w:hAnsi="DIN-Regular" w:cs="Arial"/>
          <w:color w:val="0070C0"/>
          <w:sz w:val="22"/>
          <w:szCs w:val="22"/>
        </w:rPr>
        <w:t>What might be the practical, legal or operational impediments to the methodology set out in this Sub-section? (Article 18)</w:t>
      </w:r>
    </w:p>
    <w:p w:rsidR="006A0FC7" w:rsidRPr="00F5551F" w:rsidRDefault="006A0FC7" w:rsidP="00DA6980">
      <w:pPr>
        <w:pStyle w:val="Default"/>
        <w:contextualSpacing/>
        <w:jc w:val="both"/>
        <w:rPr>
          <w:rFonts w:ascii="DIN-Regular" w:hAnsi="DIN-Regular" w:cs="Arial"/>
          <w:sz w:val="22"/>
          <w:szCs w:val="22"/>
          <w:lang w:eastAsia="de-DE"/>
        </w:rPr>
      </w:pPr>
    </w:p>
    <w:p w:rsidR="00BA2A95" w:rsidRPr="00F5551F" w:rsidRDefault="00BA2A95" w:rsidP="00DA6980">
      <w:pPr>
        <w:pStyle w:val="Default"/>
        <w:contextualSpacing/>
        <w:jc w:val="both"/>
        <w:rPr>
          <w:rFonts w:ascii="DIN-Regular" w:hAnsi="DIN-Regular" w:cs="Arial"/>
          <w:sz w:val="22"/>
          <w:szCs w:val="22"/>
          <w:lang w:eastAsia="de-DE"/>
        </w:rPr>
      </w:pPr>
    </w:p>
    <w:p w:rsidR="006A0FC7" w:rsidRPr="00F5551F" w:rsidRDefault="006A0FC7"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 xml:space="preserve">The participant decides on the securities being made </w:t>
      </w:r>
      <w:r w:rsidR="00FF6FFC" w:rsidRPr="00F5551F">
        <w:rPr>
          <w:rFonts w:ascii="DIN-Regular" w:eastAsia="Arial Unicode MS" w:hAnsi="DIN-Regular" w:cs="Arial"/>
          <w:color w:val="auto"/>
          <w:sz w:val="22"/>
          <w:szCs w:val="22"/>
        </w:rPr>
        <w:t>available</w:t>
      </w:r>
      <w:r w:rsidRPr="00F5551F">
        <w:rPr>
          <w:rFonts w:ascii="DIN-Regular" w:eastAsia="Arial Unicode MS" w:hAnsi="DIN-Regular" w:cs="Arial"/>
          <w:color w:val="auto"/>
          <w:sz w:val="22"/>
          <w:szCs w:val="22"/>
        </w:rPr>
        <w:t xml:space="preserve"> for collateralisation purposes. In general only those securities can be used by the CSD based on its eligibility criteria for collateral purposes. Usually the use of collateral is depending on a written agreement. </w:t>
      </w:r>
      <w:r w:rsidR="00F5551F" w:rsidRPr="00F5551F">
        <w:rPr>
          <w:rFonts w:ascii="DIN-Regular" w:eastAsia="Arial Unicode MS" w:hAnsi="DIN-Regular" w:cs="Arial"/>
          <w:color w:val="auto"/>
          <w:sz w:val="22"/>
          <w:szCs w:val="22"/>
        </w:rPr>
        <w:t xml:space="preserve">As such, this should exclude participants’ client assets (unless the use is for the purpose of the participants’ clients) and may be limited only to a part of the whole portfolio of participants’ assets. </w:t>
      </w:r>
      <w:r w:rsidRPr="00F5551F">
        <w:rPr>
          <w:rFonts w:ascii="DIN-Regular" w:eastAsia="Arial Unicode MS" w:hAnsi="DIN-Regular" w:cs="Arial"/>
          <w:color w:val="auto"/>
          <w:sz w:val="22"/>
          <w:szCs w:val="22"/>
        </w:rPr>
        <w:t>Therefore it needs to be clarified how the status of “all securities in the account of the borrowing participant” is to be determined. We ask to change this to “all securities of the borrowing participant being available for collateral purposes …</w:t>
      </w:r>
      <w:proofErr w:type="gramStart"/>
      <w:r w:rsidRPr="00F5551F">
        <w:rPr>
          <w:rFonts w:ascii="DIN-Regular" w:eastAsia="Arial Unicode MS" w:hAnsi="DIN-Regular" w:cs="Arial"/>
          <w:color w:val="auto"/>
          <w:sz w:val="22"/>
          <w:szCs w:val="22"/>
        </w:rPr>
        <w:t>”.</w:t>
      </w:r>
      <w:proofErr w:type="gramEnd"/>
      <w:r w:rsidRPr="00F5551F">
        <w:rPr>
          <w:rFonts w:ascii="DIN-Regular" w:eastAsia="Arial Unicode MS" w:hAnsi="DIN-Regular" w:cs="Arial"/>
          <w:color w:val="auto"/>
          <w:sz w:val="22"/>
          <w:szCs w:val="22"/>
        </w:rPr>
        <w:t xml:space="preserve"> </w:t>
      </w:r>
      <w:r w:rsidR="00BD3A07" w:rsidRPr="00F5551F">
        <w:rPr>
          <w:rFonts w:ascii="DIN-Regular" w:eastAsia="Arial Unicode MS" w:hAnsi="DIN-Regular" w:cs="Arial"/>
          <w:color w:val="auto"/>
          <w:sz w:val="22"/>
          <w:szCs w:val="22"/>
        </w:rPr>
        <w:t>Furthermore</w:t>
      </w:r>
      <w:r w:rsidRPr="00F5551F">
        <w:rPr>
          <w:rFonts w:ascii="DIN-Regular" w:eastAsia="Arial Unicode MS" w:hAnsi="DIN-Regular" w:cs="Arial"/>
          <w:color w:val="auto"/>
          <w:sz w:val="22"/>
          <w:szCs w:val="22"/>
        </w:rPr>
        <w:t>, the sequence of Article 19 (1), 19 (2), 20 (1) and 20 (2) in its current form is not clear.</w:t>
      </w:r>
    </w:p>
    <w:p w:rsidR="00C2608B" w:rsidRPr="00F5551F" w:rsidRDefault="00C2608B" w:rsidP="00DA6980">
      <w:pPr>
        <w:pStyle w:val="Default"/>
        <w:contextualSpacing/>
        <w:jc w:val="both"/>
        <w:rPr>
          <w:rFonts w:ascii="DIN-Regular" w:eastAsia="Arial Unicode MS" w:hAnsi="DIN-Regular" w:cs="Arial"/>
          <w:color w:val="auto"/>
          <w:sz w:val="22"/>
          <w:szCs w:val="22"/>
        </w:rPr>
      </w:pPr>
    </w:p>
    <w:p w:rsidR="00ED20A8" w:rsidRPr="00F5551F" w:rsidRDefault="00ED20A8" w:rsidP="00DA6980">
      <w:pPr>
        <w:pStyle w:val="Default"/>
        <w:contextualSpacing/>
        <w:jc w:val="both"/>
        <w:rPr>
          <w:rFonts w:ascii="DIN-Regular" w:eastAsia="Arial Unicode MS" w:hAnsi="DIN-Regular" w:cs="Arial"/>
          <w:b/>
          <w:color w:val="auto"/>
          <w:sz w:val="22"/>
          <w:szCs w:val="22"/>
        </w:rPr>
      </w:pPr>
      <w:r w:rsidRPr="00F5551F">
        <w:rPr>
          <w:rFonts w:ascii="DIN-Regular" w:eastAsia="Arial Unicode MS" w:hAnsi="DIN-Regular" w:cs="Arial"/>
          <w:b/>
          <w:color w:val="auto"/>
          <w:sz w:val="22"/>
          <w:szCs w:val="22"/>
        </w:rPr>
        <w:t>Article 18</w:t>
      </w:r>
    </w:p>
    <w:p w:rsidR="00622552" w:rsidRPr="00F5551F" w:rsidRDefault="00622552" w:rsidP="00DA6980">
      <w:pPr>
        <w:pStyle w:val="Default"/>
        <w:contextualSpacing/>
        <w:jc w:val="both"/>
        <w:rPr>
          <w:rFonts w:ascii="DIN-Regular" w:eastAsia="Arial Unicode MS" w:hAnsi="DIN-Regular" w:cs="Arial"/>
          <w:color w:val="auto"/>
          <w:sz w:val="22"/>
          <w:szCs w:val="22"/>
        </w:rPr>
      </w:pPr>
      <w:proofErr w:type="spellStart"/>
      <w:r w:rsidRPr="00F5551F">
        <w:rPr>
          <w:rFonts w:ascii="DIN-Regular" w:eastAsia="Arial Unicode MS" w:hAnsi="DIN-Regular" w:cs="Arial"/>
          <w:color w:val="auto"/>
          <w:sz w:val="22"/>
          <w:szCs w:val="22"/>
        </w:rPr>
        <w:t>Clearstream</w:t>
      </w:r>
      <w:proofErr w:type="spellEnd"/>
      <w:r w:rsidRPr="00F5551F">
        <w:rPr>
          <w:rFonts w:ascii="DIN-Regular" w:eastAsia="Arial Unicode MS" w:hAnsi="DIN-Regular" w:cs="Arial"/>
          <w:color w:val="auto"/>
          <w:sz w:val="22"/>
          <w:szCs w:val="22"/>
        </w:rPr>
        <w:t xml:space="preserve"> is of the opinion that its collateral management policies, procedures and systems already ensure compliance with Article 59</w:t>
      </w:r>
      <w:r w:rsidR="00396283" w:rsidRPr="00F5551F">
        <w:rPr>
          <w:rFonts w:ascii="DIN-Regular" w:eastAsia="Arial Unicode MS" w:hAnsi="DIN-Regular" w:cs="Arial"/>
          <w:color w:val="auto"/>
          <w:sz w:val="22"/>
          <w:szCs w:val="22"/>
        </w:rPr>
        <w:t xml:space="preserve"> (</w:t>
      </w:r>
      <w:r w:rsidRPr="00F5551F">
        <w:rPr>
          <w:rFonts w:ascii="DIN-Regular" w:eastAsia="Arial Unicode MS" w:hAnsi="DIN-Regular" w:cs="Arial"/>
          <w:color w:val="auto"/>
          <w:sz w:val="22"/>
          <w:szCs w:val="22"/>
        </w:rPr>
        <w:t>3</w:t>
      </w:r>
      <w:r w:rsidR="00396283" w:rsidRPr="00F5551F">
        <w:rPr>
          <w:rFonts w:ascii="DIN-Regular" w:eastAsia="Arial Unicode MS" w:hAnsi="DIN-Regular" w:cs="Arial"/>
          <w:color w:val="auto"/>
          <w:sz w:val="22"/>
          <w:szCs w:val="22"/>
        </w:rPr>
        <w:t xml:space="preserve">) </w:t>
      </w:r>
      <w:r w:rsidR="00D677D3">
        <w:rPr>
          <w:rFonts w:ascii="DIN-Regular" w:eastAsia="Arial Unicode MS" w:hAnsi="DIN-Regular" w:cs="Arial"/>
          <w:color w:val="auto"/>
          <w:sz w:val="22"/>
          <w:szCs w:val="22"/>
        </w:rPr>
        <w:t>(</w:t>
      </w:r>
      <w:r w:rsidRPr="00F5551F">
        <w:rPr>
          <w:rFonts w:ascii="DIN-Regular" w:eastAsia="Arial Unicode MS" w:hAnsi="DIN-Regular" w:cs="Arial"/>
          <w:color w:val="auto"/>
          <w:sz w:val="22"/>
          <w:szCs w:val="22"/>
        </w:rPr>
        <w:t>a</w:t>
      </w:r>
      <w:r w:rsidR="00D677D3">
        <w:rPr>
          <w:rFonts w:ascii="DIN-Regular" w:eastAsia="Arial Unicode MS" w:hAnsi="DIN-Regular" w:cs="Arial"/>
          <w:color w:val="auto"/>
          <w:sz w:val="22"/>
          <w:szCs w:val="22"/>
        </w:rPr>
        <w:t>)</w:t>
      </w:r>
      <w:r w:rsidRPr="00F5551F">
        <w:rPr>
          <w:rFonts w:ascii="DIN-Regular" w:eastAsia="Arial Unicode MS" w:hAnsi="DIN-Regular" w:cs="Arial"/>
          <w:color w:val="auto"/>
          <w:sz w:val="22"/>
          <w:szCs w:val="22"/>
        </w:rPr>
        <w:t xml:space="preserve"> through </w:t>
      </w:r>
      <w:r w:rsidR="00D677D3">
        <w:rPr>
          <w:rFonts w:ascii="DIN-Regular" w:eastAsia="Arial Unicode MS" w:hAnsi="DIN-Regular" w:cs="Arial"/>
          <w:color w:val="auto"/>
          <w:sz w:val="22"/>
          <w:szCs w:val="22"/>
        </w:rPr>
        <w:t>(</w:t>
      </w:r>
      <w:r w:rsidRPr="00F5551F">
        <w:rPr>
          <w:rFonts w:ascii="DIN-Regular" w:eastAsia="Arial Unicode MS" w:hAnsi="DIN-Regular" w:cs="Arial"/>
          <w:color w:val="auto"/>
          <w:sz w:val="22"/>
          <w:szCs w:val="22"/>
        </w:rPr>
        <w:t>e</w:t>
      </w:r>
      <w:r w:rsidR="00D677D3">
        <w:rPr>
          <w:rFonts w:ascii="DIN-Regular" w:eastAsia="Arial Unicode MS" w:hAnsi="DIN-Regular" w:cs="Arial"/>
          <w:color w:val="auto"/>
          <w:sz w:val="22"/>
          <w:szCs w:val="22"/>
        </w:rPr>
        <w:t>)</w:t>
      </w:r>
      <w:r w:rsidRPr="00F5551F">
        <w:rPr>
          <w:rFonts w:ascii="DIN-Regular" w:eastAsia="Arial Unicode MS" w:hAnsi="DIN-Regular" w:cs="Arial"/>
          <w:color w:val="auto"/>
          <w:sz w:val="22"/>
          <w:szCs w:val="22"/>
        </w:rPr>
        <w:t xml:space="preserve"> of Regulation (EU) No. 909/2014 (“CSD-R”) and are generally in line with the provisions of Article 18</w:t>
      </w:r>
      <w:r w:rsidR="00387E7C">
        <w:rPr>
          <w:rFonts w:ascii="DIN-Regular" w:eastAsia="Arial Unicode MS" w:hAnsi="DIN-Regular" w:cs="Arial"/>
          <w:color w:val="auto"/>
          <w:sz w:val="22"/>
          <w:szCs w:val="22"/>
        </w:rPr>
        <w:t xml:space="preserve"> (1)</w:t>
      </w:r>
      <w:r w:rsidRPr="00F5551F">
        <w:rPr>
          <w:rFonts w:ascii="DIN-Regular" w:eastAsia="Arial Unicode MS" w:hAnsi="DIN-Regular" w:cs="Arial"/>
          <w:color w:val="auto"/>
          <w:sz w:val="22"/>
          <w:szCs w:val="22"/>
        </w:rPr>
        <w:t xml:space="preserve"> 1 of the </w:t>
      </w:r>
      <w:r w:rsidR="00387E7C">
        <w:rPr>
          <w:rFonts w:ascii="DIN-Regular" w:eastAsia="Arial Unicode MS" w:hAnsi="DIN-Regular" w:cs="Arial"/>
          <w:color w:val="auto"/>
          <w:sz w:val="22"/>
          <w:szCs w:val="22"/>
        </w:rPr>
        <w:t xml:space="preserve">draft </w:t>
      </w:r>
      <w:r w:rsidRPr="00F5551F">
        <w:rPr>
          <w:rFonts w:ascii="DIN-Regular" w:eastAsia="Arial Unicode MS" w:hAnsi="DIN-Regular" w:cs="Arial"/>
          <w:color w:val="auto"/>
          <w:sz w:val="22"/>
          <w:szCs w:val="22"/>
        </w:rPr>
        <w:t xml:space="preserve">RTS.  </w:t>
      </w:r>
    </w:p>
    <w:p w:rsidR="00622552" w:rsidRPr="00F5551F" w:rsidRDefault="00622552"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However, Articles 18 to 23 of the</w:t>
      </w:r>
      <w:r w:rsidR="00387E7C">
        <w:rPr>
          <w:rFonts w:ascii="DIN-Regular" w:eastAsia="Arial Unicode MS" w:hAnsi="DIN-Regular" w:cs="Arial"/>
          <w:color w:val="auto"/>
          <w:sz w:val="22"/>
          <w:szCs w:val="22"/>
        </w:rPr>
        <w:t xml:space="preserve"> draft</w:t>
      </w:r>
      <w:r w:rsidRPr="00F5551F">
        <w:rPr>
          <w:rFonts w:ascii="DIN-Regular" w:eastAsia="Arial Unicode MS" w:hAnsi="DIN-Regular" w:cs="Arial"/>
          <w:color w:val="auto"/>
          <w:sz w:val="22"/>
          <w:szCs w:val="22"/>
        </w:rPr>
        <w:t xml:space="preserve"> RTS introduce certain monitoring and reporting requirements that are incompatible with the current collateral management concept used by the </w:t>
      </w:r>
      <w:r w:rsidR="00FD4804" w:rsidRPr="00F5551F">
        <w:rPr>
          <w:rFonts w:ascii="DIN-Regular" w:eastAsia="Arial Unicode MS" w:hAnsi="DIN-Regular" w:cs="Arial"/>
          <w:color w:val="auto"/>
          <w:sz w:val="22"/>
          <w:szCs w:val="22"/>
        </w:rPr>
        <w:t>(I)CSD</w:t>
      </w:r>
      <w:r w:rsidRPr="00F5551F">
        <w:rPr>
          <w:rFonts w:ascii="DIN-Regular" w:eastAsia="Arial Unicode MS" w:hAnsi="DIN-Regular" w:cs="Arial"/>
          <w:color w:val="auto"/>
          <w:sz w:val="22"/>
          <w:szCs w:val="22"/>
        </w:rPr>
        <w:t>s i.e. the pooling of collateral in the participants’ accounts.  In addition, Article 18</w:t>
      </w:r>
      <w:r w:rsidR="00396283" w:rsidRPr="00F5551F">
        <w:rPr>
          <w:rFonts w:ascii="DIN-Regular" w:eastAsia="Arial Unicode MS" w:hAnsi="DIN-Regular" w:cs="Arial"/>
          <w:color w:val="auto"/>
          <w:sz w:val="22"/>
          <w:szCs w:val="22"/>
        </w:rPr>
        <w:t xml:space="preserve"> (</w:t>
      </w:r>
      <w:r w:rsidRPr="00F5551F">
        <w:rPr>
          <w:rFonts w:ascii="DIN-Regular" w:eastAsia="Arial Unicode MS" w:hAnsi="DIN-Regular" w:cs="Arial"/>
          <w:color w:val="auto"/>
          <w:sz w:val="22"/>
          <w:szCs w:val="22"/>
        </w:rPr>
        <w:t>1</w:t>
      </w:r>
      <w:r w:rsidR="00396283" w:rsidRPr="00F5551F">
        <w:rPr>
          <w:rFonts w:ascii="DIN-Regular" w:eastAsia="Arial Unicode MS" w:hAnsi="DIN-Regular" w:cs="Arial"/>
          <w:color w:val="auto"/>
          <w:sz w:val="22"/>
          <w:szCs w:val="22"/>
        </w:rPr>
        <w:t xml:space="preserve">) </w:t>
      </w:r>
      <w:r w:rsidR="00D677D3">
        <w:rPr>
          <w:rFonts w:ascii="DIN-Regular" w:eastAsia="Arial Unicode MS" w:hAnsi="DIN-Regular" w:cs="Arial"/>
          <w:color w:val="auto"/>
          <w:sz w:val="22"/>
          <w:szCs w:val="22"/>
        </w:rPr>
        <w:t>(</w:t>
      </w:r>
      <w:r w:rsidRPr="00F5551F">
        <w:rPr>
          <w:rFonts w:ascii="DIN-Regular" w:eastAsia="Arial Unicode MS" w:hAnsi="DIN-Regular" w:cs="Arial"/>
          <w:color w:val="auto"/>
          <w:sz w:val="22"/>
          <w:szCs w:val="22"/>
        </w:rPr>
        <w:t>b</w:t>
      </w:r>
      <w:r w:rsidR="00D677D3">
        <w:rPr>
          <w:rFonts w:ascii="DIN-Regular" w:eastAsia="Arial Unicode MS" w:hAnsi="DIN-Regular" w:cs="Arial"/>
          <w:color w:val="auto"/>
          <w:sz w:val="22"/>
          <w:szCs w:val="22"/>
        </w:rPr>
        <w:t>)</w:t>
      </w:r>
      <w:r w:rsidR="00387E7C">
        <w:rPr>
          <w:rFonts w:ascii="DIN-Regular" w:eastAsia="Arial Unicode MS" w:hAnsi="DIN-Regular" w:cs="Arial"/>
          <w:color w:val="auto"/>
          <w:sz w:val="22"/>
          <w:szCs w:val="22"/>
        </w:rPr>
        <w:t xml:space="preserve"> draft RTS</w:t>
      </w:r>
      <w:r w:rsidRPr="00F5551F">
        <w:rPr>
          <w:rFonts w:ascii="DIN-Regular" w:eastAsia="Arial Unicode MS" w:hAnsi="DIN-Regular" w:cs="Arial"/>
          <w:color w:val="auto"/>
          <w:sz w:val="22"/>
          <w:szCs w:val="22"/>
        </w:rPr>
        <w:t xml:space="preserve"> introduces a hierarchy of collateral which will require the development of a sequencing algorithm capable of allocating collateral according to pre-determined quality criteria.  Such mechanism cannot be supported by the existing “collateral pool” concept and will require significant IT development.</w:t>
      </w:r>
    </w:p>
    <w:p w:rsidR="00622552" w:rsidRPr="00F5551F" w:rsidRDefault="00622552" w:rsidP="00DA6980">
      <w:pPr>
        <w:pStyle w:val="Default"/>
        <w:contextualSpacing/>
        <w:jc w:val="both"/>
        <w:rPr>
          <w:rFonts w:ascii="DIN-Regular" w:eastAsia="Arial Unicode MS" w:hAnsi="DIN-Regular" w:cs="Arial"/>
          <w:color w:val="auto"/>
          <w:sz w:val="22"/>
          <w:szCs w:val="22"/>
        </w:rPr>
      </w:pPr>
    </w:p>
    <w:p w:rsidR="00622552" w:rsidRPr="00F5551F" w:rsidRDefault="00622552"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 xml:space="preserve">According to </w:t>
      </w:r>
      <w:proofErr w:type="spellStart"/>
      <w:r w:rsidRPr="00F5551F">
        <w:rPr>
          <w:rFonts w:ascii="DIN-Regular" w:eastAsia="Arial Unicode MS" w:hAnsi="DIN-Regular" w:cs="Arial"/>
          <w:color w:val="auto"/>
          <w:sz w:val="22"/>
          <w:szCs w:val="22"/>
        </w:rPr>
        <w:t>Clearstream’s</w:t>
      </w:r>
      <w:proofErr w:type="spellEnd"/>
      <w:r w:rsidRPr="00F5551F">
        <w:rPr>
          <w:rFonts w:ascii="DIN-Regular" w:eastAsia="Arial Unicode MS" w:hAnsi="DIN-Regular" w:cs="Arial"/>
          <w:color w:val="auto"/>
          <w:sz w:val="22"/>
          <w:szCs w:val="22"/>
        </w:rPr>
        <w:t xml:space="preserve"> current collateral management system, when </w:t>
      </w:r>
      <w:proofErr w:type="spellStart"/>
      <w:r w:rsidRPr="00F5551F">
        <w:rPr>
          <w:rFonts w:ascii="DIN-Regular" w:eastAsia="Arial Unicode MS" w:hAnsi="DIN-Regular" w:cs="Arial"/>
          <w:color w:val="auto"/>
          <w:sz w:val="22"/>
          <w:szCs w:val="22"/>
        </w:rPr>
        <w:t>Clearstream</w:t>
      </w:r>
      <w:proofErr w:type="spellEnd"/>
      <w:r w:rsidRPr="00F5551F">
        <w:rPr>
          <w:rFonts w:ascii="DIN-Regular" w:eastAsia="Arial Unicode MS" w:hAnsi="DIN-Regular" w:cs="Arial"/>
          <w:color w:val="auto"/>
          <w:sz w:val="22"/>
          <w:szCs w:val="22"/>
        </w:rPr>
        <w:t xml:space="preserve"> extends a cash loan to a participant, the amount required to fully secure the loan is reduced from the participant’s collateral pool (after a haircut has been applied to the market value of the securities comprising the pool).  Conversely, when a cash loan is repaid, the equivalent amount is made available as collateral to the participant.  If the participant has not enough collateral to secure the cash loan, the transaction fails.  This flexible methodology – which was </w:t>
      </w:r>
      <w:proofErr w:type="gramStart"/>
      <w:r w:rsidRPr="00F5551F">
        <w:rPr>
          <w:rFonts w:ascii="DIN-Regular" w:eastAsia="Arial Unicode MS" w:hAnsi="DIN-Regular" w:cs="Arial"/>
          <w:color w:val="auto"/>
          <w:sz w:val="22"/>
          <w:szCs w:val="22"/>
        </w:rPr>
        <w:t>designed</w:t>
      </w:r>
      <w:proofErr w:type="gramEnd"/>
      <w:r w:rsidRPr="00F5551F">
        <w:rPr>
          <w:rFonts w:ascii="DIN-Regular" w:eastAsia="Arial Unicode MS" w:hAnsi="DIN-Regular" w:cs="Arial"/>
          <w:color w:val="auto"/>
          <w:sz w:val="22"/>
          <w:szCs w:val="22"/>
        </w:rPr>
        <w:t xml:space="preserve"> taking into account the role of </w:t>
      </w:r>
      <w:proofErr w:type="spellStart"/>
      <w:r w:rsidRPr="00F5551F">
        <w:rPr>
          <w:rFonts w:ascii="DIN-Regular" w:eastAsia="Arial Unicode MS" w:hAnsi="DIN-Regular" w:cs="Arial"/>
          <w:color w:val="auto"/>
          <w:sz w:val="22"/>
          <w:szCs w:val="22"/>
        </w:rPr>
        <w:t>Clearstream</w:t>
      </w:r>
      <w:proofErr w:type="spellEnd"/>
      <w:r w:rsidRPr="00F5551F">
        <w:rPr>
          <w:rFonts w:ascii="DIN-Regular" w:eastAsia="Arial Unicode MS" w:hAnsi="DIN-Regular" w:cs="Arial"/>
          <w:color w:val="auto"/>
          <w:sz w:val="22"/>
          <w:szCs w:val="22"/>
        </w:rPr>
        <w:t xml:space="preserve"> as a securities settlement system – ensures that no particular security is segregated or blocked from the collateral pool of the participant.  As a result, as long as the participant has a sufficient collateral value in the account(s) pledged to </w:t>
      </w:r>
      <w:proofErr w:type="spellStart"/>
      <w:r w:rsidRPr="00F5551F">
        <w:rPr>
          <w:rFonts w:ascii="DIN-Regular" w:eastAsia="Arial Unicode MS" w:hAnsi="DIN-Regular" w:cs="Arial"/>
          <w:color w:val="auto"/>
          <w:sz w:val="22"/>
          <w:szCs w:val="22"/>
        </w:rPr>
        <w:t>Clearstream</w:t>
      </w:r>
      <w:proofErr w:type="spellEnd"/>
      <w:r w:rsidRPr="00F5551F">
        <w:rPr>
          <w:rFonts w:ascii="DIN-Regular" w:eastAsia="Arial Unicode MS" w:hAnsi="DIN-Regular" w:cs="Arial"/>
          <w:color w:val="auto"/>
          <w:sz w:val="22"/>
          <w:szCs w:val="22"/>
        </w:rPr>
        <w:t>, it is free to deliver any security from the pool.</w:t>
      </w:r>
    </w:p>
    <w:p w:rsidR="00622552" w:rsidRPr="00F5551F" w:rsidRDefault="00622552" w:rsidP="00DA6980">
      <w:pPr>
        <w:pStyle w:val="Default"/>
        <w:contextualSpacing/>
        <w:jc w:val="both"/>
        <w:rPr>
          <w:rFonts w:ascii="DIN-Regular" w:eastAsia="Arial Unicode MS" w:hAnsi="DIN-Regular" w:cs="Arial"/>
          <w:color w:val="auto"/>
          <w:sz w:val="22"/>
          <w:szCs w:val="22"/>
        </w:rPr>
      </w:pPr>
    </w:p>
    <w:p w:rsidR="00622552" w:rsidRPr="00F5551F" w:rsidRDefault="00622552"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 xml:space="preserve">As an example, assume that a participant has a collateral pool valued at 1,000€ (after haircuts) and that the pool is comprised of 500€ of German government bonds, 250€ (equivalent) of UK Gilts and €250 (equivalent) of US Treasury bills.  Should the participant require a loan of, say, 700€, </w:t>
      </w:r>
      <w:proofErr w:type="spellStart"/>
      <w:r w:rsidRPr="00F5551F">
        <w:rPr>
          <w:rFonts w:ascii="DIN-Regular" w:eastAsia="Arial Unicode MS" w:hAnsi="DIN-Regular" w:cs="Arial"/>
          <w:color w:val="auto"/>
          <w:sz w:val="22"/>
          <w:szCs w:val="22"/>
        </w:rPr>
        <w:t>Clearstream’s</w:t>
      </w:r>
      <w:proofErr w:type="spellEnd"/>
      <w:r w:rsidRPr="00F5551F">
        <w:rPr>
          <w:rFonts w:ascii="DIN-Regular" w:eastAsia="Arial Unicode MS" w:hAnsi="DIN-Regular" w:cs="Arial"/>
          <w:color w:val="auto"/>
          <w:sz w:val="22"/>
          <w:szCs w:val="22"/>
        </w:rPr>
        <w:t xml:space="preserve"> collateral management system would reduce the value of the participant’s collateral pool to 300€.  However, no specific security would be blocked from the participant’s account.  This means the participant would be able to sell / deliver up to 300€ of a combination of the securities – at the participant’s choice – as long as the amount sold / delivered is equal to or lower than 300€.  The </w:t>
      </w:r>
      <w:r w:rsidRPr="00F5551F">
        <w:rPr>
          <w:rFonts w:ascii="DIN-Regular" w:eastAsia="Arial Unicode MS" w:hAnsi="DIN-Regular" w:cs="Arial"/>
          <w:color w:val="auto"/>
          <w:sz w:val="22"/>
          <w:szCs w:val="22"/>
        </w:rPr>
        <w:lastRenderedPageBreak/>
        <w:t>operational flexibility provided by the concept of “collateral pool” is highly valued by participants and ensures very high levels of settlement efficiency.</w:t>
      </w:r>
    </w:p>
    <w:p w:rsidR="00622552" w:rsidRPr="00F5551F" w:rsidRDefault="00622552" w:rsidP="00DA6980">
      <w:pPr>
        <w:pStyle w:val="Default"/>
        <w:contextualSpacing/>
        <w:jc w:val="both"/>
        <w:rPr>
          <w:rFonts w:ascii="DIN-Regular" w:eastAsia="Arial Unicode MS" w:hAnsi="DIN-Regular" w:cs="Arial"/>
          <w:color w:val="auto"/>
          <w:sz w:val="22"/>
          <w:szCs w:val="22"/>
        </w:rPr>
      </w:pPr>
    </w:p>
    <w:p w:rsidR="00622552" w:rsidRPr="00F5551F" w:rsidRDefault="00622552"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 xml:space="preserve">We are deeply concerned that the new requirements will force the </w:t>
      </w:r>
      <w:r w:rsidR="00FD4804" w:rsidRPr="00F5551F">
        <w:rPr>
          <w:rFonts w:ascii="DIN-Regular" w:eastAsia="Arial Unicode MS" w:hAnsi="DIN-Regular" w:cs="Arial"/>
          <w:color w:val="auto"/>
          <w:sz w:val="22"/>
          <w:szCs w:val="22"/>
        </w:rPr>
        <w:t>(I</w:t>
      </w:r>
      <w:proofErr w:type="gramStart"/>
      <w:r w:rsidR="00FD4804" w:rsidRPr="00F5551F">
        <w:rPr>
          <w:rFonts w:ascii="DIN-Regular" w:eastAsia="Arial Unicode MS" w:hAnsi="DIN-Regular" w:cs="Arial"/>
          <w:color w:val="auto"/>
          <w:sz w:val="22"/>
          <w:szCs w:val="22"/>
        </w:rPr>
        <w:t>)CSD</w:t>
      </w:r>
      <w:r w:rsidRPr="00F5551F">
        <w:rPr>
          <w:rFonts w:ascii="DIN-Regular" w:eastAsia="Arial Unicode MS" w:hAnsi="DIN-Regular" w:cs="Arial"/>
          <w:color w:val="auto"/>
          <w:sz w:val="22"/>
          <w:szCs w:val="22"/>
        </w:rPr>
        <w:t>s</w:t>
      </w:r>
      <w:proofErr w:type="gramEnd"/>
      <w:r w:rsidRPr="00F5551F">
        <w:rPr>
          <w:rFonts w:ascii="DIN-Regular" w:eastAsia="Arial Unicode MS" w:hAnsi="DIN-Regular" w:cs="Arial"/>
          <w:color w:val="auto"/>
          <w:sz w:val="22"/>
          <w:szCs w:val="22"/>
        </w:rPr>
        <w:t xml:space="preserve"> to identify and segregate (possibly from the participant’s pledged account to another account) individual securities for the amount of the cash loan.  This will require significant IT development to re-design the </w:t>
      </w:r>
      <w:r w:rsidR="00FD4804" w:rsidRPr="00F5551F">
        <w:rPr>
          <w:rFonts w:ascii="DIN-Regular" w:eastAsia="Arial Unicode MS" w:hAnsi="DIN-Regular" w:cs="Arial"/>
          <w:color w:val="auto"/>
          <w:sz w:val="22"/>
          <w:szCs w:val="22"/>
        </w:rPr>
        <w:t>(I</w:t>
      </w:r>
      <w:proofErr w:type="gramStart"/>
      <w:r w:rsidR="00FD4804" w:rsidRPr="00F5551F">
        <w:rPr>
          <w:rFonts w:ascii="DIN-Regular" w:eastAsia="Arial Unicode MS" w:hAnsi="DIN-Regular" w:cs="Arial"/>
          <w:color w:val="auto"/>
          <w:sz w:val="22"/>
          <w:szCs w:val="22"/>
        </w:rPr>
        <w:t>)CSD</w:t>
      </w:r>
      <w:r w:rsidRPr="00F5551F">
        <w:rPr>
          <w:rFonts w:ascii="DIN-Regular" w:eastAsia="Arial Unicode MS" w:hAnsi="DIN-Regular" w:cs="Arial"/>
          <w:color w:val="auto"/>
          <w:sz w:val="22"/>
          <w:szCs w:val="22"/>
        </w:rPr>
        <w:t>s</w:t>
      </w:r>
      <w:proofErr w:type="gramEnd"/>
      <w:r w:rsidRPr="00F5551F">
        <w:rPr>
          <w:rFonts w:ascii="DIN-Regular" w:eastAsia="Arial Unicode MS" w:hAnsi="DIN-Regular" w:cs="Arial"/>
          <w:color w:val="auto"/>
          <w:sz w:val="22"/>
          <w:szCs w:val="22"/>
        </w:rPr>
        <w:t xml:space="preserve"> collateral </w:t>
      </w:r>
      <w:r w:rsidR="00FF6FFC" w:rsidRPr="00F5551F">
        <w:rPr>
          <w:rFonts w:ascii="DIN-Regular" w:eastAsia="Arial Unicode MS" w:hAnsi="DIN-Regular" w:cs="Arial"/>
          <w:color w:val="auto"/>
          <w:sz w:val="22"/>
          <w:szCs w:val="22"/>
        </w:rPr>
        <w:t>system</w:t>
      </w:r>
      <w:r w:rsidRPr="00F5551F">
        <w:rPr>
          <w:rFonts w:ascii="DIN-Regular" w:eastAsia="Arial Unicode MS" w:hAnsi="DIN-Regular" w:cs="Arial"/>
          <w:color w:val="auto"/>
          <w:sz w:val="22"/>
          <w:szCs w:val="22"/>
        </w:rPr>
        <w:t xml:space="preserve">.  In addition, we at </w:t>
      </w:r>
      <w:proofErr w:type="spellStart"/>
      <w:r w:rsidRPr="00F5551F">
        <w:rPr>
          <w:rFonts w:ascii="DIN-Regular" w:eastAsia="Arial Unicode MS" w:hAnsi="DIN-Regular" w:cs="Arial"/>
          <w:color w:val="auto"/>
          <w:sz w:val="22"/>
          <w:szCs w:val="22"/>
        </w:rPr>
        <w:t>Clearstream</w:t>
      </w:r>
      <w:proofErr w:type="spellEnd"/>
      <w:r w:rsidRPr="00F5551F">
        <w:rPr>
          <w:rFonts w:ascii="DIN-Regular" w:eastAsia="Arial Unicode MS" w:hAnsi="DIN-Regular" w:cs="Arial"/>
          <w:color w:val="auto"/>
          <w:sz w:val="22"/>
          <w:szCs w:val="22"/>
        </w:rPr>
        <w:t xml:space="preserve"> are concerned that, in order to maintain equivalent levels of settlement efficiency as those achieved today by the </w:t>
      </w:r>
      <w:r w:rsidR="00FD4804" w:rsidRPr="00F5551F">
        <w:rPr>
          <w:rFonts w:ascii="DIN-Regular" w:eastAsia="Arial Unicode MS" w:hAnsi="DIN-Regular" w:cs="Arial"/>
          <w:color w:val="auto"/>
          <w:sz w:val="22"/>
          <w:szCs w:val="22"/>
        </w:rPr>
        <w:t>(I</w:t>
      </w:r>
      <w:proofErr w:type="gramStart"/>
      <w:r w:rsidR="00FD4804" w:rsidRPr="00F5551F">
        <w:rPr>
          <w:rFonts w:ascii="DIN-Regular" w:eastAsia="Arial Unicode MS" w:hAnsi="DIN-Regular" w:cs="Arial"/>
          <w:color w:val="auto"/>
          <w:sz w:val="22"/>
          <w:szCs w:val="22"/>
        </w:rPr>
        <w:t>)CSD</w:t>
      </w:r>
      <w:r w:rsidRPr="00F5551F">
        <w:rPr>
          <w:rFonts w:ascii="DIN-Regular" w:eastAsia="Arial Unicode MS" w:hAnsi="DIN-Regular" w:cs="Arial"/>
          <w:color w:val="auto"/>
          <w:sz w:val="22"/>
          <w:szCs w:val="22"/>
        </w:rPr>
        <w:t>s</w:t>
      </w:r>
      <w:proofErr w:type="gramEnd"/>
      <w:r w:rsidRPr="00F5551F">
        <w:rPr>
          <w:rFonts w:ascii="DIN-Regular" w:eastAsia="Arial Unicode MS" w:hAnsi="DIN-Regular" w:cs="Arial"/>
          <w:color w:val="auto"/>
          <w:sz w:val="22"/>
          <w:szCs w:val="22"/>
        </w:rPr>
        <w:t xml:space="preserve">, participants might have to immobilize at the </w:t>
      </w:r>
      <w:r w:rsidR="00FD4804" w:rsidRPr="00F5551F">
        <w:rPr>
          <w:rFonts w:ascii="DIN-Regular" w:eastAsia="Arial Unicode MS" w:hAnsi="DIN-Regular" w:cs="Arial"/>
          <w:color w:val="auto"/>
          <w:sz w:val="22"/>
          <w:szCs w:val="22"/>
        </w:rPr>
        <w:t>(I)CSD</w:t>
      </w:r>
      <w:r w:rsidRPr="00F5551F">
        <w:rPr>
          <w:rFonts w:ascii="DIN-Regular" w:eastAsia="Arial Unicode MS" w:hAnsi="DIN-Regular" w:cs="Arial"/>
          <w:color w:val="auto"/>
          <w:sz w:val="22"/>
          <w:szCs w:val="22"/>
        </w:rPr>
        <w:t>s a significant amount of securities of the highest quality.  This could worsen the already reduced supply of high-quality securities available for collateral purposes</w:t>
      </w:r>
      <w:r w:rsidRPr="00F5551F">
        <w:rPr>
          <w:rStyle w:val="FootnoteReference"/>
          <w:rFonts w:ascii="DIN-Regular" w:hAnsi="DIN-Regular" w:cs="Arial"/>
          <w:sz w:val="22"/>
          <w:szCs w:val="22"/>
        </w:rPr>
        <w:footnoteReference w:id="10"/>
      </w:r>
      <w:r w:rsidRPr="00F5551F">
        <w:rPr>
          <w:rFonts w:ascii="DIN-Regular" w:eastAsia="Arial Unicode MS" w:hAnsi="DIN-Regular" w:cs="Arial"/>
          <w:color w:val="auto"/>
          <w:sz w:val="22"/>
          <w:szCs w:val="22"/>
        </w:rPr>
        <w:t xml:space="preserve"> .</w:t>
      </w:r>
    </w:p>
    <w:p w:rsidR="00622552" w:rsidRPr="00F5551F" w:rsidRDefault="00622552" w:rsidP="00DA6980">
      <w:pPr>
        <w:pStyle w:val="Default"/>
        <w:contextualSpacing/>
        <w:jc w:val="both"/>
        <w:rPr>
          <w:rFonts w:ascii="DIN-Regular" w:eastAsia="Arial Unicode MS" w:hAnsi="DIN-Regular" w:cs="Arial"/>
          <w:color w:val="auto"/>
          <w:sz w:val="22"/>
          <w:szCs w:val="22"/>
        </w:rPr>
      </w:pPr>
    </w:p>
    <w:p w:rsidR="006A0FC7" w:rsidRPr="00F5551F" w:rsidRDefault="006A0FC7"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As the proposed way is deviating from current processes, technical implementation is necessary which takes approx. 24 month time to be implemented. As such, the draft RTS needs to foresee for existing CSDs a phase-in solution to be compliant with the requirements.</w:t>
      </w:r>
      <w:r w:rsidR="00334A02" w:rsidRPr="00F5551F">
        <w:rPr>
          <w:rFonts w:ascii="DIN-Regular" w:eastAsia="Arial Unicode MS" w:hAnsi="DIN-Regular" w:cs="Arial"/>
          <w:color w:val="auto"/>
          <w:sz w:val="22"/>
          <w:szCs w:val="22"/>
        </w:rPr>
        <w:t xml:space="preserve"> We would strongly suggest EBA to consider adding an </w:t>
      </w:r>
      <w:r w:rsidR="00FD4804" w:rsidRPr="00F5551F">
        <w:rPr>
          <w:rFonts w:ascii="DIN-Regular" w:eastAsia="Arial Unicode MS" w:hAnsi="DIN-Regular" w:cs="Arial"/>
          <w:color w:val="auto"/>
          <w:sz w:val="22"/>
          <w:szCs w:val="22"/>
        </w:rPr>
        <w:t>Article</w:t>
      </w:r>
      <w:r w:rsidR="00334A02" w:rsidRPr="00F5551F">
        <w:rPr>
          <w:rFonts w:ascii="DIN-Regular" w:eastAsia="Arial Unicode MS" w:hAnsi="DIN-Regular" w:cs="Arial"/>
          <w:color w:val="auto"/>
          <w:sz w:val="22"/>
          <w:szCs w:val="22"/>
        </w:rPr>
        <w:t xml:space="preserve"> with transitional provisions that would consider the implementation times for the different provisions.</w:t>
      </w:r>
    </w:p>
    <w:p w:rsidR="00622552" w:rsidRPr="00F5551F" w:rsidRDefault="00622552" w:rsidP="00DA6980">
      <w:pPr>
        <w:pStyle w:val="Default"/>
        <w:contextualSpacing/>
        <w:jc w:val="both"/>
        <w:rPr>
          <w:rFonts w:ascii="DIN-Regular" w:eastAsia="Arial Unicode MS" w:hAnsi="DIN-Regular" w:cs="Arial"/>
          <w:color w:val="auto"/>
          <w:sz w:val="22"/>
          <w:szCs w:val="22"/>
        </w:rPr>
      </w:pPr>
    </w:p>
    <w:p w:rsidR="00FB2C06" w:rsidRPr="00F5551F" w:rsidRDefault="00FB2C06" w:rsidP="00DA6980">
      <w:pPr>
        <w:spacing w:after="240"/>
        <w:jc w:val="both"/>
        <w:rPr>
          <w:rFonts w:eastAsia="Arial Unicode MS" w:cs="Arial"/>
          <w:sz w:val="22"/>
          <w:szCs w:val="22"/>
        </w:rPr>
      </w:pPr>
      <w:r w:rsidRPr="00F5551F">
        <w:rPr>
          <w:rFonts w:eastAsia="Arial Unicode MS" w:cs="Arial"/>
          <w:sz w:val="22"/>
          <w:szCs w:val="22"/>
          <w:lang w:eastAsia="en-GB"/>
        </w:rPr>
        <w:t>Firstly the requirement under Article 18</w:t>
      </w:r>
      <w:r w:rsidR="009463DD" w:rsidRPr="00F5551F">
        <w:rPr>
          <w:rFonts w:eastAsia="Arial Unicode MS" w:cs="Arial"/>
          <w:sz w:val="22"/>
          <w:szCs w:val="22"/>
          <w:lang w:eastAsia="en-GB"/>
        </w:rPr>
        <w:t xml:space="preserve"> (</w:t>
      </w:r>
      <w:r w:rsidRPr="00F5551F">
        <w:rPr>
          <w:rFonts w:eastAsia="Arial Unicode MS" w:cs="Arial"/>
          <w:sz w:val="22"/>
          <w:szCs w:val="22"/>
          <w:lang w:eastAsia="en-GB"/>
        </w:rPr>
        <w:t>1</w:t>
      </w:r>
      <w:r w:rsidR="009463DD" w:rsidRPr="00F5551F">
        <w:rPr>
          <w:rFonts w:eastAsia="Arial Unicode MS" w:cs="Arial"/>
          <w:sz w:val="22"/>
          <w:szCs w:val="22"/>
          <w:lang w:eastAsia="en-GB"/>
        </w:rPr>
        <w:t>) (</w:t>
      </w:r>
      <w:r w:rsidRPr="00F5551F">
        <w:rPr>
          <w:rFonts w:eastAsia="Arial Unicode MS" w:cs="Arial"/>
          <w:sz w:val="22"/>
          <w:szCs w:val="22"/>
          <w:lang w:eastAsia="en-GB"/>
        </w:rPr>
        <w:t>c</w:t>
      </w:r>
      <w:r w:rsidR="009463DD" w:rsidRPr="00F5551F">
        <w:rPr>
          <w:rFonts w:eastAsia="Arial Unicode MS" w:cs="Arial"/>
          <w:sz w:val="22"/>
          <w:szCs w:val="22"/>
          <w:lang w:eastAsia="en-GB"/>
        </w:rPr>
        <w:t>) (</w:t>
      </w:r>
      <w:r w:rsidRPr="00F5551F">
        <w:rPr>
          <w:rFonts w:eastAsia="Arial Unicode MS" w:cs="Arial"/>
          <w:sz w:val="22"/>
          <w:szCs w:val="22"/>
          <w:lang w:eastAsia="en-GB"/>
        </w:rPr>
        <w:t>ii</w:t>
      </w:r>
      <w:r w:rsidR="009463DD" w:rsidRPr="00F5551F">
        <w:rPr>
          <w:rFonts w:eastAsia="Arial Unicode MS" w:cs="Arial"/>
          <w:sz w:val="22"/>
          <w:szCs w:val="22"/>
          <w:lang w:eastAsia="en-GB"/>
        </w:rPr>
        <w:t>)</w:t>
      </w:r>
      <w:r w:rsidRPr="00F5551F">
        <w:rPr>
          <w:rFonts w:eastAsia="Arial Unicode MS" w:cs="Arial"/>
          <w:sz w:val="22"/>
          <w:szCs w:val="22"/>
          <w:lang w:eastAsia="en-GB"/>
        </w:rPr>
        <w:t xml:space="preserve"> draft RTS in our understanding does not make sense. In case all collateral as referred to in Article 19 and 20 draft RTS are used (requirement of Article 18</w:t>
      </w:r>
      <w:r w:rsidR="00F1172D">
        <w:rPr>
          <w:rFonts w:eastAsia="Arial Unicode MS" w:cs="Arial"/>
          <w:sz w:val="22"/>
          <w:szCs w:val="22"/>
          <w:lang w:eastAsia="en-GB"/>
        </w:rPr>
        <w:t>(</w:t>
      </w:r>
      <w:r w:rsidRPr="00F5551F">
        <w:rPr>
          <w:rFonts w:eastAsia="Arial Unicode MS" w:cs="Arial"/>
          <w:sz w:val="22"/>
          <w:szCs w:val="22"/>
          <w:lang w:eastAsia="en-GB"/>
        </w:rPr>
        <w:t>1</w:t>
      </w:r>
      <w:r w:rsidR="00F1172D">
        <w:rPr>
          <w:rFonts w:eastAsia="Arial Unicode MS" w:cs="Arial"/>
          <w:sz w:val="22"/>
          <w:szCs w:val="22"/>
          <w:lang w:eastAsia="en-GB"/>
        </w:rPr>
        <w:t>) (</w:t>
      </w:r>
      <w:r w:rsidRPr="00F5551F">
        <w:rPr>
          <w:rFonts w:eastAsia="Arial Unicode MS" w:cs="Arial"/>
          <w:sz w:val="22"/>
          <w:szCs w:val="22"/>
          <w:lang w:eastAsia="en-GB"/>
        </w:rPr>
        <w:t>b</w:t>
      </w:r>
      <w:r w:rsidR="00F1172D">
        <w:rPr>
          <w:rFonts w:eastAsia="Arial Unicode MS" w:cs="Arial"/>
          <w:sz w:val="22"/>
          <w:szCs w:val="22"/>
          <w:lang w:eastAsia="en-GB"/>
        </w:rPr>
        <w:t>)(</w:t>
      </w:r>
      <w:r w:rsidRPr="00F5551F">
        <w:rPr>
          <w:rFonts w:eastAsia="Arial Unicode MS" w:cs="Arial"/>
          <w:sz w:val="22"/>
          <w:szCs w:val="22"/>
          <w:lang w:eastAsia="en-GB"/>
        </w:rPr>
        <w:t>ii</w:t>
      </w:r>
      <w:r w:rsidR="00F1172D">
        <w:rPr>
          <w:rFonts w:eastAsia="Arial Unicode MS" w:cs="Arial"/>
          <w:sz w:val="22"/>
          <w:szCs w:val="22"/>
          <w:lang w:eastAsia="en-GB"/>
        </w:rPr>
        <w:t xml:space="preserve">) </w:t>
      </w:r>
      <w:r w:rsidR="00387E7C">
        <w:rPr>
          <w:rFonts w:eastAsia="Arial Unicode MS" w:cs="Arial"/>
          <w:sz w:val="22"/>
          <w:szCs w:val="22"/>
          <w:lang w:eastAsia="en-GB"/>
        </w:rPr>
        <w:t>draft RTS</w:t>
      </w:r>
      <w:r w:rsidRPr="00F5551F">
        <w:rPr>
          <w:rFonts w:eastAsia="Arial Unicode MS" w:cs="Arial"/>
          <w:sz w:val="22"/>
          <w:szCs w:val="22"/>
          <w:lang w:eastAsia="en-GB"/>
        </w:rPr>
        <w:t>) this includes collateral as defined in Article 20</w:t>
      </w:r>
      <w:r w:rsidR="00D677D3">
        <w:rPr>
          <w:rFonts w:eastAsia="Arial Unicode MS" w:cs="Arial"/>
          <w:sz w:val="22"/>
          <w:szCs w:val="22"/>
          <w:lang w:eastAsia="en-GB"/>
        </w:rPr>
        <w:t>(</w:t>
      </w:r>
      <w:r w:rsidRPr="00F5551F">
        <w:rPr>
          <w:rFonts w:eastAsia="Arial Unicode MS" w:cs="Arial"/>
          <w:sz w:val="22"/>
          <w:szCs w:val="22"/>
          <w:lang w:eastAsia="en-GB"/>
        </w:rPr>
        <w:t>2</w:t>
      </w:r>
      <w:r w:rsidR="00D677D3">
        <w:rPr>
          <w:rFonts w:eastAsia="Arial Unicode MS" w:cs="Arial"/>
          <w:sz w:val="22"/>
          <w:szCs w:val="22"/>
          <w:lang w:eastAsia="en-GB"/>
        </w:rPr>
        <w:t>)</w:t>
      </w:r>
      <w:r w:rsidRPr="00F5551F">
        <w:rPr>
          <w:rFonts w:eastAsia="Arial Unicode MS" w:cs="Arial"/>
          <w:sz w:val="22"/>
          <w:szCs w:val="22"/>
          <w:lang w:eastAsia="en-GB"/>
        </w:rPr>
        <w:t xml:space="preserve"> draft RTS and as such, they are not available in addition as they are already used. We kindly ask the EBA to look into that text and clarify the intention. Possibly, </w:t>
      </w:r>
      <w:r w:rsidR="00157FD6" w:rsidRPr="00F5551F">
        <w:rPr>
          <w:rFonts w:eastAsia="Arial Unicode MS" w:cs="Arial"/>
          <w:sz w:val="22"/>
          <w:szCs w:val="22"/>
          <w:lang w:eastAsia="en-GB"/>
        </w:rPr>
        <w:t>A</w:t>
      </w:r>
      <w:r w:rsidRPr="00F5551F">
        <w:rPr>
          <w:rFonts w:eastAsia="Arial Unicode MS" w:cs="Arial"/>
          <w:sz w:val="22"/>
          <w:szCs w:val="22"/>
          <w:lang w:eastAsia="en-GB"/>
        </w:rPr>
        <w:t>rticle 18</w:t>
      </w:r>
      <w:r w:rsidR="00157FD6" w:rsidRPr="00F5551F">
        <w:rPr>
          <w:rFonts w:eastAsia="Arial Unicode MS" w:cs="Arial"/>
          <w:sz w:val="22"/>
          <w:szCs w:val="22"/>
          <w:lang w:eastAsia="en-GB"/>
        </w:rPr>
        <w:t xml:space="preserve"> (</w:t>
      </w:r>
      <w:r w:rsidRPr="00F5551F">
        <w:rPr>
          <w:rFonts w:eastAsia="Arial Unicode MS" w:cs="Arial"/>
          <w:sz w:val="22"/>
          <w:szCs w:val="22"/>
          <w:lang w:eastAsia="en-GB"/>
        </w:rPr>
        <w:t>1</w:t>
      </w:r>
      <w:r w:rsidR="00157FD6" w:rsidRPr="00F5551F">
        <w:rPr>
          <w:rFonts w:eastAsia="Arial Unicode MS" w:cs="Arial"/>
          <w:sz w:val="22"/>
          <w:szCs w:val="22"/>
          <w:lang w:eastAsia="en-GB"/>
        </w:rPr>
        <w:t>) (</w:t>
      </w:r>
      <w:r w:rsidRPr="00F5551F">
        <w:rPr>
          <w:rFonts w:eastAsia="Arial Unicode MS" w:cs="Arial"/>
          <w:sz w:val="22"/>
          <w:szCs w:val="22"/>
          <w:lang w:eastAsia="en-GB"/>
        </w:rPr>
        <w:t>b</w:t>
      </w:r>
      <w:r w:rsidR="00157FD6" w:rsidRPr="00F5551F">
        <w:rPr>
          <w:rFonts w:eastAsia="Arial Unicode MS" w:cs="Arial"/>
          <w:sz w:val="22"/>
          <w:szCs w:val="22"/>
          <w:lang w:eastAsia="en-GB"/>
        </w:rPr>
        <w:t>) (</w:t>
      </w:r>
      <w:r w:rsidRPr="00F5551F">
        <w:rPr>
          <w:rFonts w:eastAsia="Arial Unicode MS" w:cs="Arial"/>
          <w:sz w:val="22"/>
          <w:szCs w:val="22"/>
          <w:lang w:eastAsia="en-GB"/>
        </w:rPr>
        <w:t>ii</w:t>
      </w:r>
      <w:r w:rsidR="00157FD6" w:rsidRPr="00F5551F">
        <w:rPr>
          <w:rFonts w:eastAsia="Arial Unicode MS" w:cs="Arial"/>
          <w:sz w:val="22"/>
          <w:szCs w:val="22"/>
          <w:lang w:eastAsia="en-GB"/>
        </w:rPr>
        <w:t>)</w:t>
      </w:r>
      <w:r w:rsidRPr="00F5551F">
        <w:rPr>
          <w:rFonts w:eastAsia="Arial Unicode MS" w:cs="Arial"/>
          <w:sz w:val="22"/>
          <w:szCs w:val="22"/>
          <w:lang w:eastAsia="en-GB"/>
        </w:rPr>
        <w:t xml:space="preserve"> should only refer to Article 20</w:t>
      </w:r>
      <w:r w:rsidR="00D677D3">
        <w:rPr>
          <w:rFonts w:eastAsia="Arial Unicode MS" w:cs="Arial"/>
          <w:sz w:val="22"/>
          <w:szCs w:val="22"/>
          <w:lang w:eastAsia="en-GB"/>
        </w:rPr>
        <w:t>(</w:t>
      </w:r>
      <w:r w:rsidRPr="00F5551F">
        <w:rPr>
          <w:rFonts w:eastAsia="Arial Unicode MS" w:cs="Arial"/>
          <w:sz w:val="22"/>
          <w:szCs w:val="22"/>
          <w:lang w:eastAsia="en-GB"/>
        </w:rPr>
        <w:t>1</w:t>
      </w:r>
      <w:r w:rsidR="00D677D3">
        <w:rPr>
          <w:rFonts w:eastAsia="Arial Unicode MS" w:cs="Arial"/>
          <w:sz w:val="22"/>
          <w:szCs w:val="22"/>
          <w:lang w:eastAsia="en-GB"/>
        </w:rPr>
        <w:t>)</w:t>
      </w:r>
      <w:r w:rsidRPr="00F5551F">
        <w:rPr>
          <w:rFonts w:eastAsia="Arial Unicode MS" w:cs="Arial"/>
          <w:sz w:val="22"/>
          <w:szCs w:val="22"/>
          <w:lang w:eastAsia="en-GB"/>
        </w:rPr>
        <w:t xml:space="preserve"> instead of Article 20. </w:t>
      </w:r>
    </w:p>
    <w:p w:rsidR="00622552" w:rsidRPr="00F5551F" w:rsidRDefault="00622552"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In particular, Article 18</w:t>
      </w:r>
      <w:r w:rsidR="00D677D3">
        <w:rPr>
          <w:rFonts w:ascii="DIN-Regular" w:eastAsia="Arial Unicode MS" w:hAnsi="DIN-Regular" w:cs="Arial"/>
          <w:color w:val="auto"/>
          <w:sz w:val="22"/>
          <w:szCs w:val="22"/>
        </w:rPr>
        <w:t>(</w:t>
      </w:r>
      <w:r w:rsidRPr="00F5551F">
        <w:rPr>
          <w:rFonts w:ascii="DIN-Regular" w:eastAsia="Arial Unicode MS" w:hAnsi="DIN-Regular" w:cs="Arial"/>
          <w:color w:val="auto"/>
          <w:sz w:val="22"/>
          <w:szCs w:val="22"/>
        </w:rPr>
        <w:t>1</w:t>
      </w:r>
      <w:proofErr w:type="gramStart"/>
      <w:r w:rsidR="00D677D3">
        <w:rPr>
          <w:rFonts w:ascii="DIN-Regular" w:eastAsia="Arial Unicode MS" w:hAnsi="DIN-Regular" w:cs="Arial"/>
          <w:color w:val="auto"/>
          <w:sz w:val="22"/>
          <w:szCs w:val="22"/>
        </w:rPr>
        <w:t>)(</w:t>
      </w:r>
      <w:proofErr w:type="gramEnd"/>
      <w:r w:rsidRPr="00F5551F">
        <w:rPr>
          <w:rFonts w:ascii="DIN-Regular" w:eastAsia="Arial Unicode MS" w:hAnsi="DIN-Regular" w:cs="Arial"/>
          <w:color w:val="auto"/>
          <w:sz w:val="22"/>
          <w:szCs w:val="22"/>
        </w:rPr>
        <w:t>d</w:t>
      </w:r>
      <w:r w:rsidR="00D677D3">
        <w:rPr>
          <w:rFonts w:ascii="DIN-Regular" w:eastAsia="Arial Unicode MS" w:hAnsi="DIN-Regular" w:cs="Arial"/>
          <w:color w:val="auto"/>
          <w:sz w:val="22"/>
          <w:szCs w:val="22"/>
        </w:rPr>
        <w:t>)</w:t>
      </w:r>
      <w:r w:rsidRPr="00F5551F">
        <w:rPr>
          <w:rFonts w:ascii="DIN-Regular" w:eastAsia="Arial Unicode MS" w:hAnsi="DIN-Regular" w:cs="Arial"/>
          <w:color w:val="auto"/>
          <w:sz w:val="22"/>
          <w:szCs w:val="22"/>
        </w:rPr>
        <w:t xml:space="preserve"> of the RTS requires CSDs to "monitor on near real-time basis the credit quality, market liquidity and price volatility of each security....".  Considering the very strict eligibility requirements imposed by Articles 19 and 20</w:t>
      </w:r>
      <w:r w:rsidR="00387E7C">
        <w:rPr>
          <w:rFonts w:ascii="DIN-Regular" w:eastAsia="Arial Unicode MS" w:hAnsi="DIN-Regular" w:cs="Arial"/>
          <w:color w:val="auto"/>
          <w:sz w:val="22"/>
          <w:szCs w:val="22"/>
        </w:rPr>
        <w:t xml:space="preserve"> draft RTS</w:t>
      </w:r>
      <w:r w:rsidRPr="00F5551F">
        <w:rPr>
          <w:rFonts w:ascii="DIN-Regular" w:eastAsia="Arial Unicode MS" w:hAnsi="DIN-Regular" w:cs="Arial"/>
          <w:color w:val="auto"/>
          <w:sz w:val="22"/>
          <w:szCs w:val="22"/>
        </w:rPr>
        <w:t>, the need for "real-time" monitoring appears disproportionate.  In addition, the RTS would need to provide further clarification on the concept of “market liquidity” and on which metrics will be required to be monitored.  Alternatively, and considering the difficulty in establishing one or more metrics for the monitoring of market liquidity, the EBA could consider deleting the requirement for the monitoring of “market liquidity”</w:t>
      </w:r>
      <w:r w:rsidR="00ED20A8" w:rsidRPr="00F5551F">
        <w:rPr>
          <w:rFonts w:ascii="DIN-Regular" w:eastAsia="Arial Unicode MS" w:hAnsi="DIN-Regular" w:cs="Arial"/>
          <w:color w:val="auto"/>
          <w:sz w:val="22"/>
          <w:szCs w:val="22"/>
        </w:rPr>
        <w:t>, as we propose in our review of Article 18 hereunder</w:t>
      </w:r>
      <w:r w:rsidRPr="00F5551F">
        <w:rPr>
          <w:rFonts w:ascii="DIN-Regular" w:eastAsia="Arial Unicode MS" w:hAnsi="DIN-Regular" w:cs="Arial"/>
          <w:color w:val="auto"/>
          <w:sz w:val="22"/>
          <w:szCs w:val="22"/>
        </w:rPr>
        <w:t>.</w:t>
      </w:r>
    </w:p>
    <w:p w:rsidR="00BA2A95" w:rsidRPr="00F5551F" w:rsidRDefault="00BA2A95" w:rsidP="00DA6980">
      <w:pPr>
        <w:pStyle w:val="Default"/>
        <w:contextualSpacing/>
        <w:jc w:val="both"/>
        <w:rPr>
          <w:rFonts w:ascii="DIN-Regular" w:hAnsi="DIN-Regular" w:cs="Arial"/>
          <w:sz w:val="22"/>
          <w:szCs w:val="22"/>
          <w:lang w:eastAsia="de-DE"/>
        </w:rPr>
      </w:pPr>
    </w:p>
    <w:p w:rsidR="00897116" w:rsidRPr="00F5551F" w:rsidRDefault="00546107" w:rsidP="00DA6980">
      <w:pPr>
        <w:pStyle w:val="Default"/>
        <w:contextualSpacing/>
        <w:jc w:val="both"/>
        <w:rPr>
          <w:rFonts w:ascii="DIN-Regular" w:hAnsi="DIN-Regular" w:cs="Arial"/>
          <w:b/>
          <w:sz w:val="22"/>
          <w:szCs w:val="22"/>
          <w:lang w:eastAsia="de-DE"/>
        </w:rPr>
      </w:pPr>
      <w:r w:rsidRPr="00F5551F">
        <w:rPr>
          <w:rFonts w:ascii="DIN-Regular" w:hAnsi="DIN-Regular" w:cs="Arial"/>
          <w:b/>
          <w:sz w:val="22"/>
          <w:szCs w:val="22"/>
          <w:lang w:eastAsia="de-DE"/>
        </w:rPr>
        <w:t xml:space="preserve">Article 19 </w:t>
      </w:r>
    </w:p>
    <w:p w:rsidR="003C0864" w:rsidRPr="00F5551F" w:rsidRDefault="003C0864" w:rsidP="00DA6980">
      <w:pPr>
        <w:pStyle w:val="Default"/>
        <w:contextualSpacing/>
        <w:jc w:val="both"/>
        <w:rPr>
          <w:rFonts w:ascii="DIN-Regular" w:hAnsi="DIN-Regular" w:cs="Arial"/>
          <w:sz w:val="22"/>
          <w:szCs w:val="22"/>
          <w:lang w:eastAsia="de-DE"/>
        </w:rPr>
      </w:pPr>
      <w:r w:rsidRPr="00F5551F">
        <w:rPr>
          <w:rFonts w:ascii="DIN-Regular" w:hAnsi="DIN-Regular" w:cs="Arial"/>
          <w:sz w:val="22"/>
          <w:szCs w:val="22"/>
          <w:lang w:eastAsia="de-DE"/>
        </w:rPr>
        <w:t xml:space="preserve">As mentioned above, </w:t>
      </w:r>
      <w:proofErr w:type="spellStart"/>
      <w:r w:rsidRPr="00F5551F">
        <w:rPr>
          <w:rFonts w:ascii="DIN-Regular" w:hAnsi="DIN-Regular" w:cs="Arial"/>
          <w:sz w:val="22"/>
          <w:szCs w:val="22"/>
          <w:lang w:eastAsia="de-DE"/>
        </w:rPr>
        <w:t>Clearstream</w:t>
      </w:r>
      <w:proofErr w:type="spellEnd"/>
      <w:r w:rsidRPr="00F5551F">
        <w:rPr>
          <w:rFonts w:ascii="DIN-Regular" w:hAnsi="DIN-Regular" w:cs="Arial"/>
          <w:sz w:val="22"/>
          <w:szCs w:val="22"/>
          <w:lang w:eastAsia="de-DE"/>
        </w:rPr>
        <w:t xml:space="preserve"> does not agree with the quality-driven hierarchy of collateral introduced by Article 18</w:t>
      </w:r>
      <w:r w:rsidR="00387E7C">
        <w:rPr>
          <w:rFonts w:ascii="DIN-Regular" w:hAnsi="DIN-Regular" w:cs="Arial"/>
          <w:sz w:val="22"/>
          <w:szCs w:val="22"/>
          <w:lang w:eastAsia="de-DE"/>
        </w:rPr>
        <w:t xml:space="preserve"> draft RTS</w:t>
      </w:r>
      <w:r w:rsidRPr="00F5551F">
        <w:rPr>
          <w:rFonts w:ascii="DIN-Regular" w:hAnsi="DIN-Regular" w:cs="Arial"/>
          <w:sz w:val="22"/>
          <w:szCs w:val="22"/>
          <w:lang w:eastAsia="de-DE"/>
        </w:rPr>
        <w:t xml:space="preserve"> and further detailed by Articles 19 and 20</w:t>
      </w:r>
      <w:r w:rsidR="00387E7C">
        <w:rPr>
          <w:rFonts w:ascii="DIN-Regular" w:hAnsi="DIN-Regular" w:cs="Arial"/>
          <w:sz w:val="22"/>
          <w:szCs w:val="22"/>
          <w:lang w:eastAsia="de-DE"/>
        </w:rPr>
        <w:t xml:space="preserve"> draft RTS</w:t>
      </w:r>
      <w:r w:rsidRPr="00F5551F">
        <w:rPr>
          <w:rFonts w:ascii="DIN-Regular" w:hAnsi="DIN-Regular" w:cs="Arial"/>
          <w:sz w:val="22"/>
          <w:szCs w:val="22"/>
          <w:lang w:eastAsia="de-DE"/>
        </w:rPr>
        <w:t xml:space="preserve">.  In </w:t>
      </w:r>
      <w:proofErr w:type="spellStart"/>
      <w:r w:rsidRPr="00F5551F">
        <w:rPr>
          <w:rFonts w:ascii="DIN-Regular" w:hAnsi="DIN-Regular" w:cs="Arial"/>
          <w:sz w:val="22"/>
          <w:szCs w:val="22"/>
          <w:lang w:eastAsia="de-DE"/>
        </w:rPr>
        <w:t>Clearstream’s</w:t>
      </w:r>
      <w:proofErr w:type="spellEnd"/>
      <w:r w:rsidRPr="00F5551F">
        <w:rPr>
          <w:rFonts w:ascii="DIN-Regular" w:hAnsi="DIN-Regular" w:cs="Arial"/>
          <w:sz w:val="22"/>
          <w:szCs w:val="22"/>
          <w:lang w:eastAsia="de-DE"/>
        </w:rPr>
        <w:t xml:space="preserve"> opinion, there should be one eligibility criteria which must be sufficiently flexible to accommodate the complexity of the </w:t>
      </w:r>
      <w:r w:rsidR="00FD4804" w:rsidRPr="00F5551F">
        <w:rPr>
          <w:rFonts w:ascii="DIN-Regular" w:hAnsi="DIN-Regular" w:cs="Arial"/>
          <w:sz w:val="22"/>
          <w:szCs w:val="22"/>
          <w:lang w:eastAsia="de-DE"/>
        </w:rPr>
        <w:t>(I</w:t>
      </w:r>
      <w:proofErr w:type="gramStart"/>
      <w:r w:rsidR="00FD4804" w:rsidRPr="00F5551F">
        <w:rPr>
          <w:rFonts w:ascii="DIN-Regular" w:hAnsi="DIN-Regular" w:cs="Arial"/>
          <w:sz w:val="22"/>
          <w:szCs w:val="22"/>
          <w:lang w:eastAsia="de-DE"/>
        </w:rPr>
        <w:t>)CSD</w:t>
      </w:r>
      <w:r w:rsidRPr="00F5551F">
        <w:rPr>
          <w:rFonts w:ascii="DIN-Regular" w:hAnsi="DIN-Regular" w:cs="Arial"/>
          <w:sz w:val="22"/>
          <w:szCs w:val="22"/>
          <w:lang w:eastAsia="de-DE"/>
        </w:rPr>
        <w:t>s</w:t>
      </w:r>
      <w:proofErr w:type="gramEnd"/>
      <w:r w:rsidRPr="00F5551F">
        <w:rPr>
          <w:rFonts w:ascii="DIN-Regular" w:hAnsi="DIN-Regular" w:cs="Arial"/>
          <w:sz w:val="22"/>
          <w:szCs w:val="22"/>
          <w:lang w:eastAsia="de-DE"/>
        </w:rPr>
        <w:t xml:space="preserve"> businesses, which include the safe-custody and settlement of a wide range of debt and equity instruments, issued by private and public-sector institutions, in a variety of jurisdictions and across many currencies.  The segregation of collateral in different “quality buckets” will require a substantial investment to develop new collateral management and reporting systems.  Furthermore, from a market liquidity perspective, this fragmentation of collateral will contribute to further increase the attractiveness of (and, consequently, the demand for) high-quality (particularly top-rated government) securities at the expense of other securities.</w:t>
      </w:r>
    </w:p>
    <w:p w:rsidR="003C0864" w:rsidRPr="00F5551F" w:rsidRDefault="003C0864" w:rsidP="00DA6980">
      <w:pPr>
        <w:pStyle w:val="Default"/>
        <w:contextualSpacing/>
        <w:jc w:val="both"/>
        <w:rPr>
          <w:rFonts w:ascii="DIN-Regular" w:hAnsi="DIN-Regular" w:cs="Arial"/>
          <w:sz w:val="22"/>
          <w:szCs w:val="22"/>
          <w:lang w:eastAsia="de-DE"/>
        </w:rPr>
      </w:pPr>
    </w:p>
    <w:p w:rsidR="003C0864" w:rsidRPr="00F5551F" w:rsidRDefault="003C0864" w:rsidP="00DA6980">
      <w:pPr>
        <w:pStyle w:val="Default"/>
        <w:contextualSpacing/>
        <w:jc w:val="both"/>
        <w:rPr>
          <w:rFonts w:ascii="DIN-Regular" w:hAnsi="DIN-Regular" w:cs="Arial"/>
          <w:sz w:val="22"/>
          <w:szCs w:val="22"/>
          <w:lang w:eastAsia="de-DE"/>
        </w:rPr>
      </w:pPr>
      <w:r w:rsidRPr="00F5551F">
        <w:rPr>
          <w:rFonts w:ascii="DIN-Regular" w:hAnsi="DIN-Regular" w:cs="Arial"/>
          <w:sz w:val="22"/>
          <w:szCs w:val="22"/>
          <w:lang w:eastAsia="de-DE"/>
        </w:rPr>
        <w:t xml:space="preserve">In </w:t>
      </w:r>
      <w:proofErr w:type="spellStart"/>
      <w:r w:rsidRPr="00F5551F">
        <w:rPr>
          <w:rFonts w:ascii="DIN-Regular" w:hAnsi="DIN-Regular" w:cs="Arial"/>
          <w:sz w:val="22"/>
          <w:szCs w:val="22"/>
          <w:lang w:eastAsia="de-DE"/>
        </w:rPr>
        <w:t>Clearstream’s</w:t>
      </w:r>
      <w:proofErr w:type="spellEnd"/>
      <w:r w:rsidRPr="00F5551F">
        <w:rPr>
          <w:rFonts w:ascii="DIN-Regular" w:hAnsi="DIN-Regular" w:cs="Arial"/>
          <w:sz w:val="22"/>
          <w:szCs w:val="22"/>
          <w:lang w:eastAsia="de-DE"/>
        </w:rPr>
        <w:t xml:space="preserve"> opinion, Article 19 </w:t>
      </w:r>
      <w:r w:rsidR="00387E7C">
        <w:rPr>
          <w:rFonts w:ascii="DIN-Regular" w:hAnsi="DIN-Regular" w:cs="Arial"/>
          <w:sz w:val="22"/>
          <w:szCs w:val="22"/>
          <w:lang w:eastAsia="de-DE"/>
        </w:rPr>
        <w:t xml:space="preserve">draft RTS </w:t>
      </w:r>
      <w:r w:rsidRPr="00F5551F">
        <w:rPr>
          <w:rFonts w:ascii="DIN-Regular" w:hAnsi="DIN-Regular" w:cs="Arial"/>
          <w:sz w:val="22"/>
          <w:szCs w:val="22"/>
          <w:lang w:eastAsia="de-DE"/>
        </w:rPr>
        <w:t>is confusing: it is not clear why the text separates between “financial instruments considered as highly liquid collateral bearing minimum credit and market risk” (as per paragraph 1 of Article 19</w:t>
      </w:r>
      <w:r w:rsidR="00387E7C">
        <w:rPr>
          <w:rFonts w:ascii="DIN-Regular" w:hAnsi="DIN-Regular" w:cs="Arial"/>
          <w:sz w:val="22"/>
          <w:szCs w:val="22"/>
          <w:lang w:eastAsia="de-DE"/>
        </w:rPr>
        <w:t xml:space="preserve"> draft RTS</w:t>
      </w:r>
      <w:r w:rsidRPr="00F5551F">
        <w:rPr>
          <w:rFonts w:ascii="DIN-Regular" w:hAnsi="DIN-Regular" w:cs="Arial"/>
          <w:sz w:val="22"/>
          <w:szCs w:val="22"/>
          <w:lang w:eastAsia="de-DE"/>
        </w:rPr>
        <w:t>) and “transferable securities and money market instruments [shall be] considered as highly liquid collateral bearing minimum credit and market risk” (as per paragraph 2 of Article 19</w:t>
      </w:r>
      <w:r w:rsidR="00387E7C">
        <w:rPr>
          <w:rFonts w:ascii="DIN-Regular" w:hAnsi="DIN-Regular" w:cs="Arial"/>
          <w:sz w:val="22"/>
          <w:szCs w:val="22"/>
          <w:lang w:eastAsia="de-DE"/>
        </w:rPr>
        <w:t xml:space="preserve"> draft RTS</w:t>
      </w:r>
      <w:r w:rsidRPr="00F5551F">
        <w:rPr>
          <w:rFonts w:ascii="DIN-Regular" w:hAnsi="DIN-Regular" w:cs="Arial"/>
          <w:sz w:val="22"/>
          <w:szCs w:val="22"/>
          <w:lang w:eastAsia="de-DE"/>
        </w:rPr>
        <w:t>).  Once again, this artificial segregation of securities will create enormous monitoring and reporting challenges for unclear reasons</w:t>
      </w:r>
      <w:r w:rsidR="005508D2">
        <w:rPr>
          <w:rFonts w:ascii="DIN-Regular" w:hAnsi="DIN-Regular" w:cs="Arial"/>
          <w:sz w:val="22"/>
          <w:szCs w:val="22"/>
          <w:lang w:eastAsia="de-DE"/>
        </w:rPr>
        <w:t xml:space="preserve"> and benefits.</w:t>
      </w:r>
    </w:p>
    <w:p w:rsidR="003C0864" w:rsidRPr="00F5551F" w:rsidRDefault="003C0864" w:rsidP="00DA6980">
      <w:pPr>
        <w:pStyle w:val="Default"/>
        <w:contextualSpacing/>
        <w:jc w:val="both"/>
        <w:rPr>
          <w:rFonts w:ascii="DIN-Regular" w:hAnsi="DIN-Regular" w:cs="Arial"/>
          <w:sz w:val="22"/>
          <w:szCs w:val="22"/>
          <w:lang w:eastAsia="de-DE"/>
        </w:rPr>
      </w:pPr>
    </w:p>
    <w:p w:rsidR="003C0864" w:rsidRPr="00F5551F" w:rsidRDefault="003C0864" w:rsidP="00DA6980">
      <w:pPr>
        <w:pStyle w:val="Default"/>
        <w:contextualSpacing/>
        <w:jc w:val="both"/>
        <w:rPr>
          <w:rFonts w:ascii="DIN-Regular" w:hAnsi="DIN-Regular" w:cs="Arial"/>
          <w:sz w:val="22"/>
          <w:szCs w:val="22"/>
          <w:lang w:eastAsia="de-DE"/>
        </w:rPr>
      </w:pPr>
      <w:r w:rsidRPr="00F5551F">
        <w:rPr>
          <w:rFonts w:ascii="DIN-Regular" w:hAnsi="DIN-Regular" w:cs="Arial"/>
          <w:sz w:val="22"/>
          <w:szCs w:val="22"/>
          <w:lang w:eastAsia="de-DE"/>
        </w:rPr>
        <w:t xml:space="preserve">Specifically, Article </w:t>
      </w:r>
      <w:r w:rsidR="008A3778" w:rsidRPr="00F5551F">
        <w:rPr>
          <w:rFonts w:ascii="DIN-Regular" w:hAnsi="DIN-Regular" w:cs="Arial"/>
          <w:sz w:val="22"/>
          <w:szCs w:val="22"/>
          <w:lang w:eastAsia="de-DE"/>
        </w:rPr>
        <w:t>19</w:t>
      </w:r>
      <w:r w:rsidR="003130ED" w:rsidRPr="00F5551F">
        <w:rPr>
          <w:rFonts w:ascii="DIN-Regular" w:hAnsi="DIN-Regular" w:cs="Arial"/>
          <w:sz w:val="22"/>
          <w:szCs w:val="22"/>
          <w:lang w:eastAsia="de-DE"/>
        </w:rPr>
        <w:t xml:space="preserve"> (</w:t>
      </w:r>
      <w:r w:rsidR="008A3778" w:rsidRPr="00F5551F">
        <w:rPr>
          <w:rFonts w:ascii="DIN-Regular" w:hAnsi="DIN-Regular" w:cs="Arial"/>
          <w:sz w:val="22"/>
          <w:szCs w:val="22"/>
          <w:lang w:eastAsia="de-DE"/>
        </w:rPr>
        <w:t>1</w:t>
      </w:r>
      <w:r w:rsidR="003130ED" w:rsidRPr="00F5551F">
        <w:rPr>
          <w:rFonts w:ascii="DIN-Regular" w:hAnsi="DIN-Regular" w:cs="Arial"/>
          <w:sz w:val="22"/>
          <w:szCs w:val="22"/>
          <w:lang w:eastAsia="de-DE"/>
        </w:rPr>
        <w:t>)</w:t>
      </w:r>
      <w:r w:rsidRPr="00F5551F">
        <w:rPr>
          <w:rFonts w:ascii="DIN-Regular" w:hAnsi="DIN-Regular" w:cs="Arial"/>
          <w:sz w:val="22"/>
          <w:szCs w:val="22"/>
          <w:lang w:eastAsia="de-DE"/>
        </w:rPr>
        <w:t xml:space="preserve"> of the </w:t>
      </w:r>
      <w:r w:rsidR="00387E7C">
        <w:rPr>
          <w:rFonts w:ascii="DIN-Regular" w:hAnsi="DIN-Regular" w:cs="Arial"/>
          <w:sz w:val="22"/>
          <w:szCs w:val="22"/>
          <w:lang w:eastAsia="de-DE"/>
        </w:rPr>
        <w:t xml:space="preserve">draft </w:t>
      </w:r>
      <w:r w:rsidRPr="00F5551F">
        <w:rPr>
          <w:rFonts w:ascii="DIN-Regular" w:hAnsi="DIN-Regular" w:cs="Arial"/>
          <w:sz w:val="22"/>
          <w:szCs w:val="22"/>
          <w:lang w:eastAsia="de-DE"/>
        </w:rPr>
        <w:t>RTS introduces an excessively high number of conditions (a total of eight) for a security to be considered as “Highly liquid collateral with minimum credit and market risk”.  We oppose, in particular, to the following conditions:</w:t>
      </w:r>
    </w:p>
    <w:p w:rsidR="003C0864" w:rsidRPr="00F5551F" w:rsidRDefault="006F77FC" w:rsidP="00B02B38">
      <w:pPr>
        <w:pStyle w:val="Default"/>
        <w:numPr>
          <w:ilvl w:val="0"/>
          <w:numId w:val="10"/>
        </w:numPr>
        <w:contextualSpacing/>
        <w:jc w:val="both"/>
        <w:rPr>
          <w:rFonts w:ascii="DIN-Regular" w:hAnsi="DIN-Regular" w:cs="Arial"/>
          <w:sz w:val="22"/>
          <w:szCs w:val="22"/>
          <w:lang w:eastAsia="de-DE"/>
        </w:rPr>
      </w:pPr>
      <w:r w:rsidRPr="00F5551F">
        <w:rPr>
          <w:rFonts w:ascii="DIN-Regular" w:hAnsi="DIN-Regular" w:cs="Arial"/>
          <w:sz w:val="22"/>
          <w:szCs w:val="22"/>
          <w:lang w:eastAsia="de-DE"/>
        </w:rPr>
        <w:t>On 19</w:t>
      </w:r>
      <w:r w:rsidR="000724AC">
        <w:rPr>
          <w:rFonts w:ascii="DIN-Regular" w:hAnsi="DIN-Regular" w:cs="Arial"/>
          <w:sz w:val="22"/>
          <w:szCs w:val="22"/>
          <w:lang w:eastAsia="de-DE"/>
        </w:rPr>
        <w:t xml:space="preserve"> </w:t>
      </w:r>
      <w:r w:rsidR="00387E7C">
        <w:rPr>
          <w:rFonts w:ascii="DIN-Regular" w:hAnsi="DIN-Regular" w:cs="Arial"/>
          <w:sz w:val="22"/>
          <w:szCs w:val="22"/>
          <w:lang w:eastAsia="de-DE"/>
        </w:rPr>
        <w:t>(</w:t>
      </w:r>
      <w:r w:rsidRPr="00F5551F">
        <w:rPr>
          <w:rFonts w:ascii="DIN-Regular" w:hAnsi="DIN-Regular" w:cs="Arial"/>
          <w:sz w:val="22"/>
          <w:szCs w:val="22"/>
          <w:lang w:eastAsia="de-DE"/>
        </w:rPr>
        <w:t>1</w:t>
      </w:r>
      <w:r w:rsidR="00387E7C">
        <w:rPr>
          <w:rFonts w:ascii="DIN-Regular" w:hAnsi="DIN-Regular" w:cs="Arial"/>
          <w:sz w:val="22"/>
          <w:szCs w:val="22"/>
          <w:lang w:eastAsia="de-DE"/>
        </w:rPr>
        <w:t>)</w:t>
      </w:r>
      <w:r w:rsidRPr="00F5551F">
        <w:rPr>
          <w:rFonts w:ascii="DIN-Regular" w:hAnsi="DIN-Regular" w:cs="Arial"/>
          <w:sz w:val="22"/>
          <w:szCs w:val="22"/>
          <w:lang w:eastAsia="de-DE"/>
        </w:rPr>
        <w:t xml:space="preserve"> c</w:t>
      </w:r>
      <w:r w:rsidR="003C0864" w:rsidRPr="00F5551F">
        <w:rPr>
          <w:rFonts w:ascii="DIN-Regular" w:hAnsi="DIN-Regular" w:cs="Arial"/>
          <w:sz w:val="22"/>
          <w:szCs w:val="22"/>
          <w:lang w:eastAsia="de-DE"/>
        </w:rPr>
        <w:t>ondition (a): it is not justified to exclude securities issued by highly-rated private institutions from the first-tier of collateral.</w:t>
      </w:r>
    </w:p>
    <w:p w:rsidR="006F77FC" w:rsidRPr="00F5551F" w:rsidRDefault="006F77FC" w:rsidP="00B02B38">
      <w:pPr>
        <w:pStyle w:val="Default"/>
        <w:numPr>
          <w:ilvl w:val="0"/>
          <w:numId w:val="10"/>
        </w:numPr>
        <w:contextualSpacing/>
        <w:jc w:val="both"/>
        <w:rPr>
          <w:rFonts w:ascii="DIN-Regular" w:hAnsi="DIN-Regular" w:cs="Arial"/>
          <w:sz w:val="22"/>
          <w:szCs w:val="22"/>
          <w:lang w:eastAsia="de-DE"/>
        </w:rPr>
      </w:pPr>
      <w:r w:rsidRPr="00F5551F">
        <w:rPr>
          <w:rFonts w:ascii="DIN-Regular" w:hAnsi="DIN-Regular" w:cs="Arial"/>
          <w:sz w:val="22"/>
          <w:szCs w:val="22"/>
          <w:lang w:eastAsia="de-DE"/>
        </w:rPr>
        <w:t>On 19</w:t>
      </w:r>
      <w:r w:rsidR="00387E7C">
        <w:rPr>
          <w:rFonts w:ascii="DIN-Regular" w:hAnsi="DIN-Regular" w:cs="Arial"/>
          <w:sz w:val="22"/>
          <w:szCs w:val="22"/>
          <w:lang w:eastAsia="de-DE"/>
        </w:rPr>
        <w:t xml:space="preserve"> (</w:t>
      </w:r>
      <w:r w:rsidRPr="00F5551F">
        <w:rPr>
          <w:rFonts w:ascii="DIN-Regular" w:hAnsi="DIN-Regular" w:cs="Arial"/>
          <w:sz w:val="22"/>
          <w:szCs w:val="22"/>
          <w:lang w:eastAsia="de-DE"/>
        </w:rPr>
        <w:t>1</w:t>
      </w:r>
      <w:r w:rsidR="00387E7C">
        <w:rPr>
          <w:rFonts w:ascii="DIN-Regular" w:hAnsi="DIN-Regular" w:cs="Arial"/>
          <w:sz w:val="22"/>
          <w:szCs w:val="22"/>
          <w:lang w:eastAsia="de-DE"/>
        </w:rPr>
        <w:t>)</w:t>
      </w:r>
      <w:r w:rsidRPr="00F5551F">
        <w:rPr>
          <w:rFonts w:ascii="DIN-Regular" w:hAnsi="DIN-Regular" w:cs="Arial"/>
          <w:sz w:val="22"/>
          <w:szCs w:val="22"/>
          <w:lang w:eastAsia="de-DE"/>
        </w:rPr>
        <w:t xml:space="preserve"> condition (b): currently, </w:t>
      </w:r>
      <w:proofErr w:type="spellStart"/>
      <w:r w:rsidRPr="00F5551F">
        <w:rPr>
          <w:rFonts w:ascii="DIN-Regular" w:hAnsi="DIN-Regular" w:cs="Arial"/>
          <w:sz w:val="22"/>
          <w:szCs w:val="22"/>
          <w:lang w:eastAsia="de-DE"/>
        </w:rPr>
        <w:t>Clearstream</w:t>
      </w:r>
      <w:proofErr w:type="spellEnd"/>
      <w:r w:rsidRPr="00F5551F">
        <w:rPr>
          <w:rFonts w:ascii="DIN-Regular" w:hAnsi="DIN-Regular" w:cs="Arial"/>
          <w:sz w:val="22"/>
          <w:szCs w:val="22"/>
          <w:lang w:eastAsia="de-DE"/>
        </w:rPr>
        <w:t xml:space="preserve"> relies on external assessments of the credit quality of issuers of collateral.  Securities issued by institutions which do not have an external credit rating are not eligible as collateral.  The requirement for CSDs to prepare their own assessment of credit and market risk of securities accepted as collateral will require a significant expansion of the credit and risk departments of those institutions.  This requirement appears disproportionate, particularly given that only governments and central banks are eligible issuers, as per condition (a).</w:t>
      </w:r>
    </w:p>
    <w:p w:rsidR="003C0864" w:rsidRPr="00F5551F" w:rsidRDefault="006F77FC" w:rsidP="00B02B38">
      <w:pPr>
        <w:pStyle w:val="Default"/>
        <w:numPr>
          <w:ilvl w:val="0"/>
          <w:numId w:val="10"/>
        </w:numPr>
        <w:contextualSpacing/>
        <w:jc w:val="both"/>
        <w:rPr>
          <w:rFonts w:ascii="DIN-Regular" w:hAnsi="DIN-Regular" w:cs="Arial"/>
          <w:sz w:val="22"/>
          <w:szCs w:val="22"/>
          <w:lang w:eastAsia="de-DE"/>
        </w:rPr>
      </w:pPr>
      <w:r w:rsidRPr="00F5551F">
        <w:rPr>
          <w:rFonts w:ascii="DIN-Regular" w:hAnsi="DIN-Regular" w:cs="Arial"/>
          <w:sz w:val="22"/>
          <w:szCs w:val="22"/>
          <w:lang w:eastAsia="de-DE"/>
        </w:rPr>
        <w:t>On 19</w:t>
      </w:r>
      <w:r w:rsidR="00387E7C">
        <w:rPr>
          <w:rFonts w:ascii="DIN-Regular" w:hAnsi="DIN-Regular" w:cs="Arial"/>
          <w:sz w:val="22"/>
          <w:szCs w:val="22"/>
          <w:lang w:eastAsia="de-DE"/>
        </w:rPr>
        <w:t xml:space="preserve"> (</w:t>
      </w:r>
      <w:r w:rsidRPr="00F5551F">
        <w:rPr>
          <w:rFonts w:ascii="DIN-Regular" w:hAnsi="DIN-Regular" w:cs="Arial"/>
          <w:sz w:val="22"/>
          <w:szCs w:val="22"/>
          <w:lang w:eastAsia="de-DE"/>
        </w:rPr>
        <w:t>1</w:t>
      </w:r>
      <w:r w:rsidR="00387E7C">
        <w:rPr>
          <w:rFonts w:ascii="DIN-Regular" w:hAnsi="DIN-Regular" w:cs="Arial"/>
          <w:sz w:val="22"/>
          <w:szCs w:val="22"/>
          <w:lang w:eastAsia="de-DE"/>
        </w:rPr>
        <w:t>)</w:t>
      </w:r>
      <w:r w:rsidRPr="00F5551F">
        <w:rPr>
          <w:rFonts w:ascii="DIN-Regular" w:hAnsi="DIN-Regular" w:cs="Arial"/>
          <w:sz w:val="22"/>
          <w:szCs w:val="22"/>
          <w:lang w:eastAsia="de-DE"/>
        </w:rPr>
        <w:t xml:space="preserve"> c</w:t>
      </w:r>
      <w:r w:rsidR="003C0864" w:rsidRPr="00F5551F">
        <w:rPr>
          <w:rFonts w:ascii="DIN-Regular" w:hAnsi="DIN-Regular" w:cs="Arial"/>
          <w:sz w:val="22"/>
          <w:szCs w:val="22"/>
          <w:lang w:eastAsia="de-DE"/>
        </w:rPr>
        <w:t xml:space="preserve">ondition (c): </w:t>
      </w:r>
      <w:r w:rsidR="00EF476D" w:rsidRPr="00F5551F">
        <w:rPr>
          <w:rFonts w:ascii="DIN-Regular" w:eastAsia="Arial Unicode MS" w:hAnsi="DIN-Regular" w:cs="Arial"/>
          <w:sz w:val="22"/>
          <w:szCs w:val="22"/>
        </w:rPr>
        <w:t xml:space="preserve">we consider the provisions therein </w:t>
      </w:r>
      <w:r w:rsidR="00EF476D" w:rsidRPr="00F5551F">
        <w:rPr>
          <w:rFonts w:ascii="DIN-Regular" w:hAnsi="DIN-Regular" w:cs="Arial"/>
          <w:sz w:val="22"/>
          <w:szCs w:val="22"/>
          <w:lang w:eastAsia="de-DE"/>
        </w:rPr>
        <w:t xml:space="preserve">relating to the average time-to-maturity of </w:t>
      </w:r>
      <w:r w:rsidR="00EF476D" w:rsidRPr="00F5551F">
        <w:rPr>
          <w:rFonts w:ascii="DIN-Regular" w:eastAsia="Arial Unicode MS" w:hAnsi="DIN-Regular" w:cs="Arial"/>
          <w:sz w:val="22"/>
          <w:szCs w:val="22"/>
        </w:rPr>
        <w:t xml:space="preserve">highly liquid collateral, as not being appropriate and on top of that being unclear </w:t>
      </w:r>
      <w:r w:rsidR="00F5551F" w:rsidRPr="00F5551F">
        <w:rPr>
          <w:rFonts w:ascii="DIN-Regular" w:eastAsia="Arial Unicode MS" w:hAnsi="DIN-Regular" w:cs="Arial"/>
          <w:sz w:val="22"/>
          <w:szCs w:val="22"/>
        </w:rPr>
        <w:t>content wise</w:t>
      </w:r>
      <w:r w:rsidR="00EF476D" w:rsidRPr="00F5551F">
        <w:rPr>
          <w:rFonts w:ascii="DIN-Regular" w:eastAsia="Arial Unicode MS" w:hAnsi="DIN-Regular" w:cs="Arial"/>
          <w:sz w:val="22"/>
          <w:szCs w:val="22"/>
        </w:rPr>
        <w:t xml:space="preserve">. </w:t>
      </w:r>
      <w:r w:rsidR="00EF476D" w:rsidRPr="00F5551F">
        <w:rPr>
          <w:rFonts w:ascii="DIN-Regular" w:eastAsia="Arial Unicode MS" w:hAnsi="DIN-Regular" w:cs="Arial"/>
          <w:sz w:val="22"/>
          <w:szCs w:val="22"/>
        </w:rPr>
        <w:br/>
        <w:t xml:space="preserve">Firstly </w:t>
      </w:r>
      <w:r w:rsidR="00415311" w:rsidRPr="00F5551F">
        <w:rPr>
          <w:rFonts w:ascii="DIN-Regular" w:hAnsi="DIN-Regular" w:cs="Arial"/>
          <w:sz w:val="22"/>
          <w:szCs w:val="22"/>
          <w:lang w:eastAsia="de-DE"/>
        </w:rPr>
        <w:t xml:space="preserve">it is unclear to whom this requirement is </w:t>
      </w:r>
      <w:r w:rsidR="00BD3A07" w:rsidRPr="00F5551F">
        <w:rPr>
          <w:rFonts w:ascii="DIN-Regular" w:hAnsi="DIN-Regular" w:cs="Arial"/>
          <w:sz w:val="22"/>
          <w:szCs w:val="22"/>
          <w:lang w:eastAsia="de-DE"/>
        </w:rPr>
        <w:t>being</w:t>
      </w:r>
      <w:r w:rsidR="00415311" w:rsidRPr="00F5551F">
        <w:rPr>
          <w:rFonts w:ascii="DIN-Regular" w:hAnsi="DIN-Regular" w:cs="Arial"/>
          <w:sz w:val="22"/>
          <w:szCs w:val="22"/>
          <w:lang w:eastAsia="de-DE"/>
        </w:rPr>
        <w:t xml:space="preserve"> addressed to</w:t>
      </w:r>
      <w:r w:rsidRPr="00F5551F">
        <w:rPr>
          <w:rFonts w:ascii="DIN-Regular" w:hAnsi="DIN-Regular" w:cs="Arial"/>
          <w:sz w:val="22"/>
          <w:szCs w:val="22"/>
          <w:lang w:eastAsia="de-DE"/>
        </w:rPr>
        <w:t>, as t</w:t>
      </w:r>
      <w:r w:rsidRPr="00F5551F">
        <w:rPr>
          <w:rFonts w:ascii="DIN-Regular" w:eastAsia="Arial Unicode MS" w:hAnsi="DIN-Regular" w:cs="Arial"/>
          <w:sz w:val="22"/>
          <w:szCs w:val="22"/>
        </w:rPr>
        <w:t>he reference to “the banking services provider’s portfolio” in our mind does not make sense.</w:t>
      </w:r>
      <w:r w:rsidR="00415311" w:rsidRPr="00F5551F">
        <w:rPr>
          <w:rFonts w:ascii="DIN-Regular" w:hAnsi="DIN-Regular" w:cs="Arial"/>
          <w:sz w:val="22"/>
          <w:szCs w:val="22"/>
          <w:lang w:eastAsia="de-DE"/>
        </w:rPr>
        <w:t xml:space="preserve"> It is our understanding that the provisions of this </w:t>
      </w:r>
      <w:r w:rsidR="003130ED" w:rsidRPr="00F5551F">
        <w:rPr>
          <w:rFonts w:ascii="DIN-Regular" w:hAnsi="DIN-Regular" w:cs="Arial"/>
          <w:sz w:val="22"/>
          <w:szCs w:val="22"/>
          <w:lang w:eastAsia="de-DE"/>
        </w:rPr>
        <w:t>A</w:t>
      </w:r>
      <w:r w:rsidR="00415311" w:rsidRPr="00F5551F">
        <w:rPr>
          <w:rFonts w:ascii="DIN-Regular" w:hAnsi="DIN-Regular" w:cs="Arial"/>
          <w:sz w:val="22"/>
          <w:szCs w:val="22"/>
          <w:lang w:eastAsia="de-DE"/>
        </w:rPr>
        <w:t>rticle 19</w:t>
      </w:r>
      <w:r w:rsidR="003130ED" w:rsidRPr="00F5551F">
        <w:rPr>
          <w:rFonts w:ascii="DIN-Regular" w:hAnsi="DIN-Regular" w:cs="Arial"/>
          <w:sz w:val="22"/>
          <w:szCs w:val="22"/>
          <w:lang w:eastAsia="de-DE"/>
        </w:rPr>
        <w:t xml:space="preserve"> (</w:t>
      </w:r>
      <w:r w:rsidR="00415311" w:rsidRPr="00F5551F">
        <w:rPr>
          <w:rFonts w:ascii="DIN-Regular" w:hAnsi="DIN-Regular" w:cs="Arial"/>
          <w:sz w:val="22"/>
          <w:szCs w:val="22"/>
          <w:lang w:eastAsia="de-DE"/>
        </w:rPr>
        <w:t>1</w:t>
      </w:r>
      <w:r w:rsidR="003130ED" w:rsidRPr="00F5551F">
        <w:rPr>
          <w:rFonts w:ascii="DIN-Regular" w:hAnsi="DIN-Regular" w:cs="Arial"/>
          <w:sz w:val="22"/>
          <w:szCs w:val="22"/>
          <w:lang w:eastAsia="de-DE"/>
        </w:rPr>
        <w:t>) (</w:t>
      </w:r>
      <w:r w:rsidR="00415311" w:rsidRPr="00F5551F">
        <w:rPr>
          <w:rFonts w:ascii="DIN-Regular" w:hAnsi="DIN-Regular" w:cs="Arial"/>
          <w:sz w:val="22"/>
          <w:szCs w:val="22"/>
          <w:lang w:eastAsia="de-DE"/>
        </w:rPr>
        <w:t>c</w:t>
      </w:r>
      <w:r w:rsidR="003130ED" w:rsidRPr="00F5551F">
        <w:rPr>
          <w:rFonts w:ascii="DIN-Regular" w:hAnsi="DIN-Regular" w:cs="Arial"/>
          <w:sz w:val="22"/>
          <w:szCs w:val="22"/>
          <w:lang w:eastAsia="de-DE"/>
        </w:rPr>
        <w:t>)</w:t>
      </w:r>
      <w:r w:rsidR="00415311" w:rsidRPr="00F5551F">
        <w:rPr>
          <w:rFonts w:ascii="DIN-Regular" w:hAnsi="DIN-Regular" w:cs="Arial"/>
          <w:sz w:val="22"/>
          <w:szCs w:val="22"/>
          <w:lang w:eastAsia="de-DE"/>
        </w:rPr>
        <w:t xml:space="preserve"> relate to the financial instruments which are being provided as collateral by the participant. </w:t>
      </w:r>
      <w:r w:rsidRPr="00F5551F">
        <w:rPr>
          <w:rFonts w:ascii="DIN-Regular" w:eastAsia="Arial Unicode MS" w:hAnsi="DIN-Regular" w:cs="Arial"/>
          <w:sz w:val="22"/>
          <w:szCs w:val="22"/>
        </w:rPr>
        <w:t>Hence the reference should be – if at all – to the total amount of collateral delivered by any given counterparty.</w:t>
      </w:r>
      <w:r w:rsidRPr="00F5551F">
        <w:rPr>
          <w:rFonts w:ascii="DIN-Regular" w:eastAsia="Arial Unicode MS" w:hAnsi="DIN-Regular" w:cs="Arial"/>
          <w:sz w:val="22"/>
          <w:szCs w:val="22"/>
        </w:rPr>
        <w:tab/>
      </w:r>
      <w:r w:rsidR="00415311" w:rsidRPr="00F5551F">
        <w:rPr>
          <w:rFonts w:ascii="DIN-Regular" w:hAnsi="DIN-Regular" w:cs="Arial"/>
          <w:sz w:val="22"/>
          <w:szCs w:val="22"/>
          <w:lang w:eastAsia="de-DE"/>
        </w:rPr>
        <w:br/>
        <w:t xml:space="preserve">Nevertheless, </w:t>
      </w:r>
      <w:r w:rsidR="003C0864" w:rsidRPr="00F5551F">
        <w:rPr>
          <w:rFonts w:ascii="DIN-Regular" w:hAnsi="DIN-Regular" w:cs="Arial"/>
          <w:sz w:val="22"/>
          <w:szCs w:val="22"/>
          <w:lang w:eastAsia="de-DE"/>
        </w:rPr>
        <w:t xml:space="preserve">the text is confusing and appears hardly practical to be implemented – </w:t>
      </w:r>
      <w:r w:rsidR="00415311" w:rsidRPr="00F5551F">
        <w:rPr>
          <w:rFonts w:ascii="DIN-Regular" w:hAnsi="DIN-Regular" w:cs="Arial"/>
          <w:sz w:val="22"/>
          <w:szCs w:val="22"/>
          <w:lang w:eastAsia="de-DE"/>
        </w:rPr>
        <w:t xml:space="preserve">as it would entail the </w:t>
      </w:r>
      <w:r w:rsidR="00BD3A07" w:rsidRPr="00F5551F">
        <w:rPr>
          <w:rFonts w:ascii="DIN-Regular" w:hAnsi="DIN-Regular" w:cs="Arial"/>
          <w:sz w:val="22"/>
          <w:szCs w:val="22"/>
          <w:lang w:eastAsia="de-DE"/>
        </w:rPr>
        <w:t>requirement for</w:t>
      </w:r>
      <w:r w:rsidR="00415311" w:rsidRPr="00F5551F">
        <w:rPr>
          <w:rFonts w:ascii="DIN-Regular" w:hAnsi="DIN-Regular" w:cs="Arial"/>
          <w:sz w:val="22"/>
          <w:szCs w:val="22"/>
          <w:lang w:eastAsia="de-DE"/>
        </w:rPr>
        <w:t xml:space="preserve"> </w:t>
      </w:r>
      <w:r w:rsidR="003C0864" w:rsidRPr="00F5551F">
        <w:rPr>
          <w:rFonts w:ascii="DIN-Regular" w:hAnsi="DIN-Regular" w:cs="Arial"/>
          <w:sz w:val="22"/>
          <w:szCs w:val="22"/>
          <w:lang w:eastAsia="de-DE"/>
        </w:rPr>
        <w:t>the CSDs to dynamically calculate the average time-to-maturity of the portfolio of securities pledged by participants to ensure it is two years or less</w:t>
      </w:r>
      <w:r w:rsidR="00415311" w:rsidRPr="00F5551F">
        <w:rPr>
          <w:rFonts w:ascii="DIN-Regular" w:hAnsi="DIN-Regular" w:cs="Arial"/>
          <w:sz w:val="22"/>
          <w:szCs w:val="22"/>
          <w:lang w:eastAsia="de-DE"/>
        </w:rPr>
        <w:t xml:space="preserve">. </w:t>
      </w:r>
      <w:r w:rsidR="003C0864" w:rsidRPr="00F5551F">
        <w:rPr>
          <w:rFonts w:ascii="DIN-Regular" w:hAnsi="DIN-Regular" w:cs="Arial"/>
          <w:sz w:val="22"/>
          <w:szCs w:val="22"/>
          <w:lang w:eastAsia="de-DE"/>
        </w:rPr>
        <w:t xml:space="preserve">  </w:t>
      </w:r>
      <w:r w:rsidR="00415311" w:rsidRPr="00F5551F">
        <w:rPr>
          <w:rFonts w:ascii="DIN-Regular" w:hAnsi="DIN-Regular" w:cs="Arial"/>
          <w:sz w:val="22"/>
          <w:szCs w:val="22"/>
          <w:lang w:eastAsia="de-DE"/>
        </w:rPr>
        <w:t xml:space="preserve">Moreover, the requirement raises the question whether the </w:t>
      </w:r>
      <w:r w:rsidR="003C0864" w:rsidRPr="00F5551F">
        <w:rPr>
          <w:rFonts w:ascii="DIN-Regular" w:hAnsi="DIN-Regular" w:cs="Arial"/>
          <w:sz w:val="22"/>
          <w:szCs w:val="22"/>
          <w:lang w:eastAsia="de-DE"/>
        </w:rPr>
        <w:t xml:space="preserve">requirement </w:t>
      </w:r>
      <w:r w:rsidR="00415311" w:rsidRPr="00F5551F">
        <w:rPr>
          <w:rFonts w:ascii="DIN-Regular" w:hAnsi="DIN-Regular" w:cs="Arial"/>
          <w:sz w:val="22"/>
          <w:szCs w:val="22"/>
          <w:lang w:eastAsia="de-DE"/>
        </w:rPr>
        <w:t xml:space="preserve">would </w:t>
      </w:r>
      <w:r w:rsidR="003C0864" w:rsidRPr="00F5551F">
        <w:rPr>
          <w:rFonts w:ascii="DIN-Regular" w:hAnsi="DIN-Regular" w:cs="Arial"/>
          <w:sz w:val="22"/>
          <w:szCs w:val="22"/>
          <w:lang w:eastAsia="de-DE"/>
        </w:rPr>
        <w:t>apply to portfolios pledged by individual participants or the total collateral portfolio of all participants</w:t>
      </w:r>
      <w:r w:rsidR="00415311" w:rsidRPr="00F5551F">
        <w:rPr>
          <w:rFonts w:ascii="DIN-Regular" w:hAnsi="DIN-Regular" w:cs="Arial"/>
          <w:sz w:val="22"/>
          <w:szCs w:val="22"/>
          <w:lang w:eastAsia="de-DE"/>
        </w:rPr>
        <w:t xml:space="preserve">. </w:t>
      </w:r>
      <w:r w:rsidR="003C0864" w:rsidRPr="00F5551F">
        <w:rPr>
          <w:rFonts w:ascii="DIN-Regular" w:hAnsi="DIN-Regular" w:cs="Arial"/>
          <w:sz w:val="22"/>
          <w:szCs w:val="22"/>
          <w:lang w:eastAsia="de-DE"/>
        </w:rPr>
        <w:t xml:space="preserve">  </w:t>
      </w:r>
      <w:r w:rsidR="00415311" w:rsidRPr="00F5551F">
        <w:rPr>
          <w:rFonts w:ascii="DIN-Regular" w:hAnsi="DIN-Regular" w:cs="Arial"/>
          <w:sz w:val="22"/>
          <w:szCs w:val="22"/>
          <w:lang w:eastAsia="de-DE"/>
        </w:rPr>
        <w:t xml:space="preserve">Or whether </w:t>
      </w:r>
      <w:r w:rsidR="003C0864" w:rsidRPr="00F5551F">
        <w:rPr>
          <w:rFonts w:ascii="DIN-Regular" w:hAnsi="DIN-Regular" w:cs="Arial"/>
          <w:sz w:val="22"/>
          <w:szCs w:val="22"/>
          <w:lang w:eastAsia="de-DE"/>
        </w:rPr>
        <w:t xml:space="preserve">the requirement encompass “securities settled in the trade” i.e. securities which have been purchased but not yet paid for by the participants  </w:t>
      </w:r>
      <w:r w:rsidR="00415311" w:rsidRPr="00F5551F">
        <w:rPr>
          <w:rFonts w:ascii="DIN-Regular" w:hAnsi="DIN-Regular" w:cs="Arial"/>
          <w:sz w:val="22"/>
          <w:szCs w:val="22"/>
          <w:lang w:eastAsia="de-DE"/>
        </w:rPr>
        <w:t>I</w:t>
      </w:r>
      <w:r w:rsidR="003C0864" w:rsidRPr="00F5551F">
        <w:rPr>
          <w:rFonts w:ascii="DIN-Regular" w:hAnsi="DIN-Regular" w:cs="Arial"/>
          <w:sz w:val="22"/>
          <w:szCs w:val="22"/>
          <w:lang w:eastAsia="de-DE"/>
        </w:rPr>
        <w:t>n addition, condition (c) assumes that medium- and long-term securities are not liquid, which is not accurate.</w:t>
      </w:r>
    </w:p>
    <w:p w:rsidR="00415311" w:rsidRPr="00F5551F" w:rsidRDefault="006F77FC" w:rsidP="00DA6980">
      <w:pPr>
        <w:pStyle w:val="Default"/>
        <w:ind w:left="360"/>
        <w:contextualSpacing/>
        <w:jc w:val="both"/>
        <w:rPr>
          <w:rFonts w:ascii="DIN-Regular" w:hAnsi="DIN-Regular" w:cs="Arial"/>
          <w:sz w:val="22"/>
          <w:szCs w:val="22"/>
          <w:lang w:eastAsia="de-DE"/>
        </w:rPr>
      </w:pPr>
      <w:r w:rsidRPr="00F5551F">
        <w:rPr>
          <w:rFonts w:ascii="DIN-Regular" w:eastAsia="Arial Unicode MS" w:hAnsi="DIN-Regular" w:cs="Arial"/>
          <w:sz w:val="22"/>
          <w:szCs w:val="22"/>
        </w:rPr>
        <w:t xml:space="preserve">Furthermore, (negative) impacts of longer maturities due to higher risks of price fluctuations can be sorted out / managed by adequate haircuts. However, at the time of taking the collateral the structure of the total collateral pool may not be known and it may be subject for changes which could subsequently make collateral less liquid just due to the fact, that </w:t>
      </w:r>
      <w:r w:rsidR="00BD3A07" w:rsidRPr="00F5551F">
        <w:rPr>
          <w:rFonts w:ascii="DIN-Regular" w:eastAsia="Arial Unicode MS" w:hAnsi="DIN-Regular" w:cs="Arial"/>
          <w:sz w:val="22"/>
          <w:szCs w:val="22"/>
        </w:rPr>
        <w:t>short</w:t>
      </w:r>
      <w:r w:rsidRPr="00F5551F">
        <w:rPr>
          <w:rFonts w:ascii="DIN-Regular" w:eastAsia="Arial Unicode MS" w:hAnsi="DIN-Regular" w:cs="Arial"/>
          <w:sz w:val="22"/>
          <w:szCs w:val="22"/>
        </w:rPr>
        <w:t xml:space="preserve"> term maturity collateral has been withdrawn. It is obvious, that liquidity of any given security </w:t>
      </w:r>
      <w:r w:rsidR="00BD3A07" w:rsidRPr="00F5551F">
        <w:rPr>
          <w:rFonts w:ascii="DIN-Regular" w:eastAsia="Arial Unicode MS" w:hAnsi="DIN-Regular" w:cs="Arial"/>
          <w:sz w:val="22"/>
          <w:szCs w:val="22"/>
        </w:rPr>
        <w:t>cannot</w:t>
      </w:r>
      <w:r w:rsidRPr="00F5551F">
        <w:rPr>
          <w:rFonts w:ascii="DIN-Regular" w:eastAsia="Arial Unicode MS" w:hAnsi="DIN-Regular" w:cs="Arial"/>
          <w:sz w:val="22"/>
          <w:szCs w:val="22"/>
        </w:rPr>
        <w:t xml:space="preserve"> rely on the composition of a collateral pool as it is the market and not the collateral pool that defines the liquidity of any given security. </w:t>
      </w:r>
      <w:r w:rsidRPr="00F5551F">
        <w:rPr>
          <w:rFonts w:ascii="DIN-Regular" w:eastAsia="Arial Unicode MS" w:hAnsi="DIN-Regular" w:cs="Arial"/>
          <w:sz w:val="22"/>
          <w:szCs w:val="22"/>
        </w:rPr>
        <w:tab/>
      </w:r>
      <w:r w:rsidRPr="00F5551F">
        <w:rPr>
          <w:rFonts w:ascii="DIN-Regular" w:eastAsia="Arial Unicode MS" w:hAnsi="DIN-Regular" w:cs="Arial"/>
          <w:sz w:val="22"/>
          <w:szCs w:val="22"/>
        </w:rPr>
        <w:br/>
      </w:r>
    </w:p>
    <w:p w:rsidR="00ED20A8" w:rsidRPr="00F5551F" w:rsidRDefault="00415311" w:rsidP="00DA6980">
      <w:pPr>
        <w:pStyle w:val="Default"/>
        <w:ind w:left="360"/>
        <w:contextualSpacing/>
        <w:jc w:val="both"/>
        <w:rPr>
          <w:rFonts w:ascii="DIN-Regular" w:hAnsi="DIN-Regular" w:cs="Arial"/>
          <w:sz w:val="22"/>
          <w:szCs w:val="22"/>
          <w:lang w:eastAsia="de-DE"/>
        </w:rPr>
      </w:pPr>
      <w:r w:rsidRPr="00F5551F">
        <w:rPr>
          <w:rFonts w:ascii="DIN-Regular" w:hAnsi="DIN-Regular" w:cs="Arial"/>
          <w:sz w:val="22"/>
          <w:szCs w:val="22"/>
          <w:lang w:eastAsia="de-DE"/>
        </w:rPr>
        <w:t xml:space="preserve">Having said the above, should the Article </w:t>
      </w:r>
      <w:r w:rsidR="009F45C7" w:rsidRPr="00F5551F">
        <w:rPr>
          <w:rFonts w:ascii="DIN-Regular" w:hAnsi="DIN-Regular" w:cs="Arial"/>
          <w:sz w:val="22"/>
          <w:szCs w:val="22"/>
          <w:lang w:eastAsia="de-DE"/>
        </w:rPr>
        <w:t>19</w:t>
      </w:r>
      <w:r w:rsidR="003130ED" w:rsidRPr="00F5551F">
        <w:rPr>
          <w:rFonts w:ascii="DIN-Regular" w:hAnsi="DIN-Regular" w:cs="Arial"/>
          <w:sz w:val="22"/>
          <w:szCs w:val="22"/>
          <w:lang w:eastAsia="de-DE"/>
        </w:rPr>
        <w:t xml:space="preserve"> (</w:t>
      </w:r>
      <w:r w:rsidR="009F45C7" w:rsidRPr="00F5551F">
        <w:rPr>
          <w:rFonts w:ascii="DIN-Regular" w:hAnsi="DIN-Regular" w:cs="Arial"/>
          <w:sz w:val="22"/>
          <w:szCs w:val="22"/>
          <w:lang w:eastAsia="de-DE"/>
        </w:rPr>
        <w:t>1</w:t>
      </w:r>
      <w:r w:rsidR="003130ED" w:rsidRPr="00F5551F">
        <w:rPr>
          <w:rFonts w:ascii="DIN-Regular" w:hAnsi="DIN-Regular" w:cs="Arial"/>
          <w:sz w:val="22"/>
          <w:szCs w:val="22"/>
          <w:lang w:eastAsia="de-DE"/>
        </w:rPr>
        <w:t>) (</w:t>
      </w:r>
      <w:r w:rsidR="009F45C7" w:rsidRPr="00F5551F">
        <w:rPr>
          <w:rFonts w:ascii="DIN-Regular" w:hAnsi="DIN-Regular" w:cs="Arial"/>
          <w:sz w:val="22"/>
          <w:szCs w:val="22"/>
          <w:lang w:eastAsia="de-DE"/>
        </w:rPr>
        <w:t>c</w:t>
      </w:r>
      <w:r w:rsidR="003130ED" w:rsidRPr="00F5551F">
        <w:rPr>
          <w:rFonts w:ascii="DIN-Regular" w:hAnsi="DIN-Regular" w:cs="Arial"/>
          <w:sz w:val="22"/>
          <w:szCs w:val="22"/>
          <w:lang w:eastAsia="de-DE"/>
        </w:rPr>
        <w:t>)</w:t>
      </w:r>
      <w:r w:rsidR="00387E7C">
        <w:rPr>
          <w:rFonts w:ascii="DIN-Regular" w:hAnsi="DIN-Regular" w:cs="Arial"/>
          <w:sz w:val="22"/>
          <w:szCs w:val="22"/>
          <w:lang w:eastAsia="de-DE"/>
        </w:rPr>
        <w:t xml:space="preserve"> draft RTS</w:t>
      </w:r>
      <w:r w:rsidR="009F45C7" w:rsidRPr="00F5551F">
        <w:rPr>
          <w:rFonts w:ascii="DIN-Regular" w:hAnsi="DIN-Regular" w:cs="Arial"/>
          <w:sz w:val="22"/>
          <w:szCs w:val="22"/>
          <w:lang w:eastAsia="de-DE"/>
        </w:rPr>
        <w:t xml:space="preserve">, </w:t>
      </w:r>
      <w:r w:rsidRPr="00F5551F">
        <w:rPr>
          <w:rFonts w:ascii="DIN-Regular" w:hAnsi="DIN-Regular" w:cs="Arial"/>
          <w:sz w:val="22"/>
          <w:szCs w:val="22"/>
          <w:lang w:eastAsia="de-DE"/>
        </w:rPr>
        <w:t xml:space="preserve">actually </w:t>
      </w:r>
      <w:r w:rsidR="009F45C7" w:rsidRPr="00F5551F">
        <w:rPr>
          <w:rFonts w:ascii="DIN-Regular" w:hAnsi="DIN-Regular" w:cs="Arial"/>
          <w:sz w:val="22"/>
          <w:szCs w:val="22"/>
          <w:lang w:eastAsia="de-DE"/>
        </w:rPr>
        <w:t xml:space="preserve">propose </w:t>
      </w:r>
      <w:r w:rsidR="009F45C7" w:rsidRPr="00F5551F">
        <w:rPr>
          <w:rFonts w:ascii="DIN-Regular" w:hAnsi="DIN-Regular" w:cs="Arial"/>
          <w:sz w:val="22"/>
          <w:szCs w:val="22"/>
          <w:u w:val="single"/>
          <w:lang w:eastAsia="de-DE"/>
        </w:rPr>
        <w:t>restricting the investment portfolio of the CSD to an average time-to-maturity of not more than two years</w:t>
      </w:r>
      <w:r w:rsidRPr="00F5551F">
        <w:rPr>
          <w:rFonts w:ascii="DIN-Regular" w:hAnsi="DIN-Regular" w:cs="Arial"/>
          <w:sz w:val="22"/>
          <w:szCs w:val="22"/>
          <w:u w:val="single"/>
          <w:lang w:eastAsia="de-DE"/>
        </w:rPr>
        <w:t>. Then EBA should consider, similarly to the comments we have provided to ESMA</w:t>
      </w:r>
      <w:r w:rsidRPr="00F5551F">
        <w:rPr>
          <w:rFonts w:ascii="DIN-Regular" w:hAnsi="DIN-Regular" w:cs="Arial"/>
          <w:sz w:val="22"/>
          <w:szCs w:val="22"/>
          <w:lang w:eastAsia="de-DE"/>
        </w:rPr>
        <w:t xml:space="preserve">, </w:t>
      </w:r>
      <w:proofErr w:type="gramStart"/>
      <w:r w:rsidRPr="00F5551F">
        <w:rPr>
          <w:rFonts w:ascii="DIN-Regular" w:hAnsi="DIN-Regular" w:cs="Arial"/>
          <w:sz w:val="22"/>
          <w:szCs w:val="22"/>
          <w:lang w:eastAsia="de-DE"/>
        </w:rPr>
        <w:t>that  given</w:t>
      </w:r>
      <w:proofErr w:type="gramEnd"/>
      <w:r w:rsidRPr="00F5551F">
        <w:rPr>
          <w:rFonts w:ascii="DIN-Regular" w:hAnsi="DIN-Regular" w:cs="Arial"/>
          <w:sz w:val="22"/>
          <w:szCs w:val="22"/>
          <w:lang w:eastAsia="de-DE"/>
        </w:rPr>
        <w:t xml:space="preserve"> </w:t>
      </w:r>
      <w:r w:rsidR="009F45C7" w:rsidRPr="00F5551F">
        <w:rPr>
          <w:rFonts w:ascii="DIN-Regular" w:hAnsi="DIN-Regular" w:cs="Arial"/>
          <w:sz w:val="22"/>
          <w:szCs w:val="22"/>
          <w:lang w:eastAsia="de-DE"/>
        </w:rPr>
        <w:t>the extremely high quality requirements and the experienced s</w:t>
      </w:r>
      <w:r w:rsidRPr="00F5551F">
        <w:rPr>
          <w:rFonts w:ascii="DIN-Regular" w:hAnsi="DIN-Regular" w:cs="Arial"/>
          <w:sz w:val="22"/>
          <w:szCs w:val="22"/>
          <w:lang w:eastAsia="de-DE"/>
        </w:rPr>
        <w:t xml:space="preserve">carcity of available securities, such a requirement would </w:t>
      </w:r>
      <w:r w:rsidR="009F45C7" w:rsidRPr="00F5551F">
        <w:rPr>
          <w:rFonts w:ascii="DIN-Regular" w:hAnsi="DIN-Regular" w:cs="Arial"/>
          <w:sz w:val="22"/>
          <w:szCs w:val="22"/>
          <w:lang w:eastAsia="de-DE"/>
        </w:rPr>
        <w:t xml:space="preserve">make it virtually impossible </w:t>
      </w:r>
      <w:r w:rsidRPr="00F5551F">
        <w:rPr>
          <w:rFonts w:ascii="DIN-Regular" w:hAnsi="DIN-Regular" w:cs="Arial"/>
          <w:sz w:val="22"/>
          <w:szCs w:val="22"/>
          <w:lang w:eastAsia="de-DE"/>
        </w:rPr>
        <w:t xml:space="preserve">for CSDs </w:t>
      </w:r>
      <w:r w:rsidR="009F45C7" w:rsidRPr="00F5551F">
        <w:rPr>
          <w:rFonts w:ascii="DIN-Regular" w:hAnsi="DIN-Regular" w:cs="Arial"/>
          <w:sz w:val="22"/>
          <w:szCs w:val="22"/>
          <w:lang w:eastAsia="de-DE"/>
        </w:rPr>
        <w:t xml:space="preserve">to maintain an appropriate investment portfolio. The investment portfolio is used to build the necessary (and </w:t>
      </w:r>
      <w:r w:rsidRPr="00F5551F">
        <w:rPr>
          <w:rFonts w:ascii="DIN-Regular" w:hAnsi="DIN-Regular" w:cs="Arial"/>
          <w:sz w:val="22"/>
          <w:szCs w:val="22"/>
          <w:lang w:eastAsia="de-DE"/>
        </w:rPr>
        <w:t xml:space="preserve">much </w:t>
      </w:r>
      <w:r w:rsidR="009F45C7" w:rsidRPr="00F5551F">
        <w:rPr>
          <w:rFonts w:ascii="DIN-Regular" w:hAnsi="DIN-Regular" w:cs="Arial"/>
          <w:sz w:val="22"/>
          <w:szCs w:val="22"/>
          <w:lang w:eastAsia="de-DE"/>
        </w:rPr>
        <w:t xml:space="preserve">required) liquidity buffer </w:t>
      </w:r>
      <w:r w:rsidR="009F45C7" w:rsidRPr="00F5551F">
        <w:rPr>
          <w:rFonts w:ascii="DIN-Regular" w:hAnsi="DIN-Regular" w:cs="Arial"/>
          <w:sz w:val="22"/>
          <w:szCs w:val="22"/>
          <w:lang w:eastAsia="de-DE"/>
        </w:rPr>
        <w:lastRenderedPageBreak/>
        <w:t xml:space="preserve">of a CSD. We understand that the main consideration for this restriction was based on liquidity considerations. We do not see any evidence in the market that securities with a time-to-maturity of more than two years are less liquid. If the restriction cannot be removed completely, we suggest </w:t>
      </w:r>
      <w:r w:rsidR="00BD3A07" w:rsidRPr="00F5551F">
        <w:rPr>
          <w:rFonts w:ascii="DIN-Regular" w:hAnsi="DIN-Regular" w:cs="Arial"/>
          <w:sz w:val="22"/>
          <w:szCs w:val="22"/>
          <w:lang w:eastAsia="de-DE"/>
        </w:rPr>
        <w:t>extending</w:t>
      </w:r>
      <w:r w:rsidR="009F45C7" w:rsidRPr="00F5551F">
        <w:rPr>
          <w:rFonts w:ascii="DIN-Regular" w:hAnsi="DIN-Regular" w:cs="Arial"/>
          <w:sz w:val="22"/>
          <w:szCs w:val="22"/>
          <w:lang w:eastAsia="de-DE"/>
        </w:rPr>
        <w:t xml:space="preserve"> the average time-to-maturity restriction to at least five years. Also here</w:t>
      </w:r>
      <w:proofErr w:type="gramStart"/>
      <w:r w:rsidR="009F45C7" w:rsidRPr="00F5551F">
        <w:rPr>
          <w:rFonts w:ascii="DIN-Regular" w:hAnsi="DIN-Regular" w:cs="Arial"/>
          <w:sz w:val="22"/>
          <w:szCs w:val="22"/>
          <w:lang w:eastAsia="de-DE"/>
        </w:rPr>
        <w:t>,  the</w:t>
      </w:r>
      <w:proofErr w:type="gramEnd"/>
      <w:r w:rsidR="009F45C7" w:rsidRPr="00F5551F">
        <w:rPr>
          <w:rFonts w:ascii="DIN-Regular" w:hAnsi="DIN-Regular" w:cs="Arial"/>
          <w:sz w:val="22"/>
          <w:szCs w:val="22"/>
          <w:lang w:eastAsia="de-DE"/>
        </w:rPr>
        <w:t xml:space="preserve"> time to maturity of the investments of CSDs cannot be compared with the EMIR-requirements of a CCP which have a completely different liquidity requirement. As such, it seems to be unreasonable to limit the investment possibilities with a focus on liquidity and not coming from a market risk view (which we tend to refuse). Furthermore, in combination with the discussed prohibition (via the ESMA RTS on CSD-R) for hedging the portfolio, this is reducing the investment options substantially especially in times like the current once where government issue rather long term debt in order to capture the favourable interest levels.</w:t>
      </w:r>
      <w:r w:rsidRPr="00F5551F">
        <w:rPr>
          <w:rFonts w:ascii="DIN-Regular" w:hAnsi="DIN-Regular" w:cs="Arial"/>
          <w:sz w:val="22"/>
          <w:szCs w:val="22"/>
          <w:lang w:eastAsia="de-DE"/>
        </w:rPr>
        <w:t xml:space="preserve"> </w:t>
      </w:r>
    </w:p>
    <w:p w:rsidR="006F77FC" w:rsidRPr="00F5551F" w:rsidRDefault="006F77FC" w:rsidP="00DA6980">
      <w:pPr>
        <w:pStyle w:val="Default"/>
        <w:ind w:left="360"/>
        <w:contextualSpacing/>
        <w:jc w:val="both"/>
        <w:rPr>
          <w:rFonts w:ascii="DIN-Regular" w:hAnsi="DIN-Regular" w:cs="Arial"/>
          <w:sz w:val="22"/>
          <w:szCs w:val="22"/>
          <w:lang w:eastAsia="de-DE"/>
        </w:rPr>
      </w:pPr>
      <w:r w:rsidRPr="00F5551F">
        <w:rPr>
          <w:rFonts w:ascii="DIN-Regular" w:hAnsi="DIN-Regular" w:cs="Arial"/>
          <w:sz w:val="22"/>
          <w:szCs w:val="22"/>
          <w:u w:val="single"/>
          <w:lang w:eastAsia="de-DE"/>
        </w:rPr>
        <w:t xml:space="preserve">In the light of the above, we are proposing the deletion of such requirement. </w:t>
      </w:r>
    </w:p>
    <w:p w:rsidR="003C0864" w:rsidRPr="00F5551F" w:rsidRDefault="003C0864" w:rsidP="00DA6980">
      <w:pPr>
        <w:pStyle w:val="Default"/>
        <w:contextualSpacing/>
        <w:jc w:val="both"/>
        <w:rPr>
          <w:rFonts w:ascii="DIN-Regular" w:hAnsi="DIN-Regular" w:cs="Arial"/>
          <w:sz w:val="22"/>
          <w:szCs w:val="22"/>
          <w:lang w:eastAsia="de-DE"/>
        </w:rPr>
      </w:pPr>
    </w:p>
    <w:p w:rsidR="003C0864" w:rsidRPr="00F5551F" w:rsidRDefault="003C0864" w:rsidP="00DA6980">
      <w:pPr>
        <w:pStyle w:val="Default"/>
        <w:contextualSpacing/>
        <w:jc w:val="both"/>
        <w:rPr>
          <w:rFonts w:ascii="DIN-Regular" w:hAnsi="DIN-Regular" w:cs="Arial"/>
          <w:sz w:val="22"/>
          <w:szCs w:val="22"/>
          <w:lang w:eastAsia="de-DE"/>
        </w:rPr>
      </w:pPr>
      <w:r w:rsidRPr="00F5551F">
        <w:rPr>
          <w:rFonts w:ascii="DIN-Regular" w:hAnsi="DIN-Regular" w:cs="Arial"/>
          <w:sz w:val="22"/>
          <w:szCs w:val="22"/>
          <w:lang w:eastAsia="de-DE"/>
        </w:rPr>
        <w:t xml:space="preserve">Furthermore, </w:t>
      </w:r>
      <w:r w:rsidR="006F77FC" w:rsidRPr="00F5551F">
        <w:rPr>
          <w:rFonts w:ascii="DIN-Regular" w:hAnsi="DIN-Regular" w:cs="Arial"/>
          <w:sz w:val="22"/>
          <w:szCs w:val="22"/>
          <w:lang w:eastAsia="de-DE"/>
        </w:rPr>
        <w:t>still on the same Article 19</w:t>
      </w:r>
      <w:r w:rsidR="003130ED" w:rsidRPr="00F5551F">
        <w:rPr>
          <w:rFonts w:ascii="DIN-Regular" w:hAnsi="DIN-Regular" w:cs="Arial"/>
          <w:sz w:val="22"/>
          <w:szCs w:val="22"/>
          <w:lang w:eastAsia="de-DE"/>
        </w:rPr>
        <w:t xml:space="preserve"> (</w:t>
      </w:r>
      <w:r w:rsidR="006F77FC" w:rsidRPr="00F5551F">
        <w:rPr>
          <w:rFonts w:ascii="DIN-Regular" w:hAnsi="DIN-Regular" w:cs="Arial"/>
          <w:sz w:val="22"/>
          <w:szCs w:val="22"/>
          <w:lang w:eastAsia="de-DE"/>
        </w:rPr>
        <w:t>1</w:t>
      </w:r>
      <w:r w:rsidR="003130ED" w:rsidRPr="00F5551F">
        <w:rPr>
          <w:rFonts w:ascii="DIN-Regular" w:hAnsi="DIN-Regular" w:cs="Arial"/>
          <w:sz w:val="22"/>
          <w:szCs w:val="22"/>
          <w:lang w:eastAsia="de-DE"/>
        </w:rPr>
        <w:t>)</w:t>
      </w:r>
      <w:r w:rsidR="006F77FC" w:rsidRPr="00F5551F">
        <w:rPr>
          <w:rFonts w:ascii="DIN-Regular" w:hAnsi="DIN-Regular" w:cs="Arial"/>
          <w:sz w:val="22"/>
          <w:szCs w:val="22"/>
          <w:lang w:eastAsia="de-DE"/>
        </w:rPr>
        <w:t xml:space="preserve"> </w:t>
      </w:r>
      <w:r w:rsidR="00387E7C">
        <w:rPr>
          <w:rFonts w:ascii="DIN-Regular" w:hAnsi="DIN-Regular" w:cs="Arial"/>
          <w:sz w:val="22"/>
          <w:szCs w:val="22"/>
          <w:lang w:eastAsia="de-DE"/>
        </w:rPr>
        <w:t xml:space="preserve">draft RTS </w:t>
      </w:r>
      <w:r w:rsidRPr="00F5551F">
        <w:rPr>
          <w:rFonts w:ascii="DIN-Regular" w:hAnsi="DIN-Regular" w:cs="Arial"/>
          <w:sz w:val="22"/>
          <w:szCs w:val="22"/>
          <w:lang w:eastAsia="de-DE"/>
        </w:rPr>
        <w:t>we have the following remarks:</w:t>
      </w:r>
    </w:p>
    <w:p w:rsidR="003C0864" w:rsidRPr="00F5551F" w:rsidRDefault="006F77FC" w:rsidP="00B02B38">
      <w:pPr>
        <w:pStyle w:val="Default"/>
        <w:numPr>
          <w:ilvl w:val="0"/>
          <w:numId w:val="11"/>
        </w:numPr>
        <w:contextualSpacing/>
        <w:jc w:val="both"/>
        <w:rPr>
          <w:rFonts w:ascii="DIN-Regular" w:hAnsi="DIN-Regular" w:cs="Arial"/>
          <w:sz w:val="22"/>
          <w:szCs w:val="22"/>
          <w:lang w:eastAsia="de-DE"/>
        </w:rPr>
      </w:pPr>
      <w:r w:rsidRPr="00F5551F">
        <w:rPr>
          <w:rFonts w:ascii="DIN-Regular" w:hAnsi="DIN-Regular" w:cs="Arial"/>
          <w:sz w:val="22"/>
          <w:szCs w:val="22"/>
          <w:lang w:eastAsia="de-DE"/>
        </w:rPr>
        <w:t>On 19</w:t>
      </w:r>
      <w:r w:rsidR="00387E7C">
        <w:rPr>
          <w:rFonts w:ascii="DIN-Regular" w:hAnsi="DIN-Regular" w:cs="Arial"/>
          <w:sz w:val="22"/>
          <w:szCs w:val="22"/>
          <w:lang w:eastAsia="de-DE"/>
        </w:rPr>
        <w:t xml:space="preserve"> (</w:t>
      </w:r>
      <w:r w:rsidRPr="00F5551F">
        <w:rPr>
          <w:rFonts w:ascii="DIN-Regular" w:hAnsi="DIN-Regular" w:cs="Arial"/>
          <w:sz w:val="22"/>
          <w:szCs w:val="22"/>
          <w:lang w:eastAsia="de-DE"/>
        </w:rPr>
        <w:t>1</w:t>
      </w:r>
      <w:r w:rsidR="00387E7C">
        <w:rPr>
          <w:rFonts w:ascii="DIN-Regular" w:hAnsi="DIN-Regular" w:cs="Arial"/>
          <w:sz w:val="22"/>
          <w:szCs w:val="22"/>
          <w:lang w:eastAsia="de-DE"/>
        </w:rPr>
        <w:t>)</w:t>
      </w:r>
      <w:r w:rsidRPr="00F5551F">
        <w:rPr>
          <w:rFonts w:ascii="DIN-Regular" w:hAnsi="DIN-Regular" w:cs="Arial"/>
          <w:sz w:val="22"/>
          <w:szCs w:val="22"/>
          <w:lang w:eastAsia="de-DE"/>
        </w:rPr>
        <w:t xml:space="preserve"> c</w:t>
      </w:r>
      <w:r w:rsidR="003C0864" w:rsidRPr="00F5551F">
        <w:rPr>
          <w:rFonts w:ascii="DIN-Regular" w:hAnsi="DIN-Regular" w:cs="Arial"/>
          <w:sz w:val="22"/>
          <w:szCs w:val="22"/>
          <w:lang w:eastAsia="de-DE"/>
        </w:rPr>
        <w:t>ondition (g) requires price data on these securities to be “publicly available on close to a real time basis”.  The latter part of the requirement i.e. “close to a real time basis” is problematic for debt instruments.</w:t>
      </w:r>
    </w:p>
    <w:p w:rsidR="003C0864" w:rsidRPr="00F5551F" w:rsidRDefault="006F77FC" w:rsidP="00B02B38">
      <w:pPr>
        <w:pStyle w:val="Default"/>
        <w:numPr>
          <w:ilvl w:val="0"/>
          <w:numId w:val="11"/>
        </w:numPr>
        <w:contextualSpacing/>
        <w:jc w:val="both"/>
        <w:rPr>
          <w:rFonts w:ascii="DIN-Regular" w:hAnsi="DIN-Regular" w:cs="Arial"/>
          <w:sz w:val="22"/>
          <w:szCs w:val="22"/>
          <w:lang w:eastAsia="de-DE"/>
        </w:rPr>
      </w:pPr>
      <w:r w:rsidRPr="00F5551F">
        <w:rPr>
          <w:rFonts w:ascii="DIN-Regular" w:hAnsi="DIN-Regular" w:cs="Arial"/>
          <w:sz w:val="22"/>
          <w:szCs w:val="22"/>
          <w:lang w:eastAsia="de-DE"/>
        </w:rPr>
        <w:t>On 19</w:t>
      </w:r>
      <w:r w:rsidR="00387E7C">
        <w:rPr>
          <w:rFonts w:ascii="DIN-Regular" w:hAnsi="DIN-Regular" w:cs="Arial"/>
          <w:sz w:val="22"/>
          <w:szCs w:val="22"/>
          <w:lang w:eastAsia="de-DE"/>
        </w:rPr>
        <w:t xml:space="preserve"> (</w:t>
      </w:r>
      <w:r w:rsidRPr="00F5551F">
        <w:rPr>
          <w:rFonts w:ascii="DIN-Regular" w:hAnsi="DIN-Regular" w:cs="Arial"/>
          <w:sz w:val="22"/>
          <w:szCs w:val="22"/>
          <w:lang w:eastAsia="de-DE"/>
        </w:rPr>
        <w:t>1</w:t>
      </w:r>
      <w:r w:rsidR="00387E7C">
        <w:rPr>
          <w:rFonts w:ascii="DIN-Regular" w:hAnsi="DIN-Regular" w:cs="Arial"/>
          <w:sz w:val="22"/>
          <w:szCs w:val="22"/>
          <w:lang w:eastAsia="de-DE"/>
        </w:rPr>
        <w:t>)</w:t>
      </w:r>
      <w:r w:rsidRPr="00F5551F">
        <w:rPr>
          <w:rFonts w:ascii="DIN-Regular" w:hAnsi="DIN-Regular" w:cs="Arial"/>
          <w:sz w:val="22"/>
          <w:szCs w:val="22"/>
          <w:lang w:eastAsia="de-DE"/>
        </w:rPr>
        <w:t xml:space="preserve"> c</w:t>
      </w:r>
      <w:r w:rsidR="003C0864" w:rsidRPr="00F5551F">
        <w:rPr>
          <w:rFonts w:ascii="DIN-Regular" w:hAnsi="DIN-Regular" w:cs="Arial"/>
          <w:sz w:val="22"/>
          <w:szCs w:val="22"/>
          <w:lang w:eastAsia="de-DE"/>
        </w:rPr>
        <w:t>ondition (h)</w:t>
      </w:r>
      <w:r w:rsidRPr="00F5551F">
        <w:rPr>
          <w:rFonts w:ascii="DIN-Regular" w:hAnsi="DIN-Regular" w:cs="Arial"/>
          <w:sz w:val="22"/>
          <w:szCs w:val="22"/>
          <w:lang w:eastAsia="de-DE"/>
        </w:rPr>
        <w:t xml:space="preserve"> requiring </w:t>
      </w:r>
      <w:r w:rsidR="00EF476D" w:rsidRPr="00F5551F">
        <w:rPr>
          <w:rFonts w:ascii="DIN-Regular" w:hAnsi="DIN-Regular" w:cs="Arial"/>
          <w:sz w:val="22"/>
          <w:szCs w:val="22"/>
          <w:lang w:eastAsia="de-DE"/>
        </w:rPr>
        <w:t xml:space="preserve">on the same day basis liquidation </w:t>
      </w:r>
      <w:r w:rsidR="00167AD5" w:rsidRPr="00F5551F">
        <w:rPr>
          <w:rFonts w:ascii="DIN-Regular" w:hAnsi="DIN-Regular" w:cs="Arial"/>
          <w:sz w:val="22"/>
          <w:szCs w:val="22"/>
          <w:lang w:eastAsia="de-DE"/>
        </w:rPr>
        <w:t xml:space="preserve">of collateral </w:t>
      </w:r>
      <w:r w:rsidR="00EF476D" w:rsidRPr="00F5551F">
        <w:rPr>
          <w:rFonts w:ascii="DIN-Regular" w:hAnsi="DIN-Regular" w:cs="Arial"/>
          <w:sz w:val="22"/>
          <w:szCs w:val="22"/>
          <w:lang w:eastAsia="de-DE"/>
        </w:rPr>
        <w:t>appears to be conflicting with the T+2 settlement rules as implemented with CSD-R for on-exchange trades. It therefore needs to be clarified that the same-day basis refers to the liquidation trade but not for the settlement which can be done within the timeframe for settlement of on-exchange transactions as defined by the CSD</w:t>
      </w:r>
      <w:r w:rsidR="00167AD5" w:rsidRPr="00F5551F">
        <w:rPr>
          <w:rFonts w:ascii="DIN-Regular" w:hAnsi="DIN-Regular" w:cs="Arial"/>
          <w:sz w:val="22"/>
          <w:szCs w:val="22"/>
          <w:lang w:eastAsia="de-DE"/>
        </w:rPr>
        <w:t>-</w:t>
      </w:r>
      <w:r w:rsidR="00EF476D" w:rsidRPr="00F5551F">
        <w:rPr>
          <w:rFonts w:ascii="DIN-Regular" w:hAnsi="DIN-Regular" w:cs="Arial"/>
          <w:sz w:val="22"/>
          <w:szCs w:val="22"/>
          <w:lang w:eastAsia="de-DE"/>
        </w:rPr>
        <w:t>R. Moreover the requirement is r</w:t>
      </w:r>
      <w:r w:rsidR="003C0864" w:rsidRPr="00F5551F">
        <w:rPr>
          <w:rFonts w:ascii="DIN-Regular" w:hAnsi="DIN-Regular" w:cs="Arial"/>
          <w:sz w:val="22"/>
          <w:szCs w:val="22"/>
          <w:lang w:eastAsia="de-DE"/>
        </w:rPr>
        <w:t>edundant in view of condition (f)</w:t>
      </w:r>
      <w:r w:rsidR="00EF476D" w:rsidRPr="00F5551F">
        <w:rPr>
          <w:rFonts w:ascii="DIN-Regular" w:hAnsi="DIN-Regular" w:cs="Arial"/>
          <w:sz w:val="22"/>
          <w:szCs w:val="22"/>
          <w:lang w:eastAsia="de-DE"/>
        </w:rPr>
        <w:t xml:space="preserve"> of this same </w:t>
      </w:r>
      <w:r w:rsidR="00FD4804" w:rsidRPr="00F5551F">
        <w:rPr>
          <w:rFonts w:ascii="DIN-Regular" w:hAnsi="DIN-Regular" w:cs="Arial"/>
          <w:sz w:val="22"/>
          <w:szCs w:val="22"/>
          <w:lang w:eastAsia="de-DE"/>
        </w:rPr>
        <w:t>Article</w:t>
      </w:r>
      <w:r w:rsidR="003C0864" w:rsidRPr="00F5551F">
        <w:rPr>
          <w:rFonts w:ascii="DIN-Regular" w:hAnsi="DIN-Regular" w:cs="Arial"/>
          <w:sz w:val="22"/>
          <w:szCs w:val="22"/>
          <w:lang w:eastAsia="de-DE"/>
        </w:rPr>
        <w:t xml:space="preserve"> and, in particular, on the face of the liquidity requirements introduced by the RTS.</w:t>
      </w:r>
    </w:p>
    <w:p w:rsidR="003C0864" w:rsidRPr="00F5551F" w:rsidRDefault="003C0864" w:rsidP="00DA6980">
      <w:pPr>
        <w:pStyle w:val="Default"/>
        <w:contextualSpacing/>
        <w:jc w:val="both"/>
        <w:rPr>
          <w:rFonts w:ascii="DIN-Regular" w:hAnsi="DIN-Regular" w:cs="Arial"/>
          <w:sz w:val="22"/>
          <w:szCs w:val="22"/>
          <w:lang w:eastAsia="de-DE"/>
        </w:rPr>
      </w:pPr>
    </w:p>
    <w:p w:rsidR="003C0864" w:rsidRPr="00F5551F" w:rsidRDefault="003C0864" w:rsidP="00DA6980">
      <w:pPr>
        <w:pStyle w:val="Default"/>
        <w:contextualSpacing/>
        <w:jc w:val="both"/>
        <w:rPr>
          <w:rFonts w:ascii="DIN-Regular" w:hAnsi="DIN-Regular" w:cs="Arial"/>
          <w:sz w:val="22"/>
          <w:szCs w:val="22"/>
          <w:lang w:eastAsia="de-DE"/>
        </w:rPr>
      </w:pPr>
      <w:r w:rsidRPr="00F5551F">
        <w:rPr>
          <w:rFonts w:ascii="DIN-Regular" w:hAnsi="DIN-Regular" w:cs="Arial"/>
          <w:sz w:val="22"/>
          <w:szCs w:val="22"/>
          <w:lang w:eastAsia="de-DE"/>
        </w:rPr>
        <w:t>With regards to Article 19</w:t>
      </w:r>
      <w:r w:rsidR="003130ED" w:rsidRPr="00F5551F">
        <w:rPr>
          <w:rFonts w:ascii="DIN-Regular" w:hAnsi="DIN-Regular" w:cs="Arial"/>
          <w:sz w:val="22"/>
          <w:szCs w:val="22"/>
          <w:lang w:eastAsia="de-DE"/>
        </w:rPr>
        <w:t xml:space="preserve"> (</w:t>
      </w:r>
      <w:r w:rsidRPr="00F5551F">
        <w:rPr>
          <w:rFonts w:ascii="DIN-Regular" w:hAnsi="DIN-Regular" w:cs="Arial"/>
          <w:sz w:val="22"/>
          <w:szCs w:val="22"/>
          <w:lang w:eastAsia="de-DE"/>
        </w:rPr>
        <w:t>2</w:t>
      </w:r>
      <w:r w:rsidR="003130ED" w:rsidRPr="00F5551F">
        <w:rPr>
          <w:rFonts w:ascii="DIN-Regular" w:hAnsi="DIN-Regular" w:cs="Arial"/>
          <w:sz w:val="22"/>
          <w:szCs w:val="22"/>
          <w:lang w:eastAsia="de-DE"/>
        </w:rPr>
        <w:t>)</w:t>
      </w:r>
      <w:r w:rsidR="00387E7C">
        <w:rPr>
          <w:rFonts w:ascii="DIN-Regular" w:hAnsi="DIN-Regular" w:cs="Arial"/>
          <w:sz w:val="22"/>
          <w:szCs w:val="22"/>
          <w:lang w:eastAsia="de-DE"/>
        </w:rPr>
        <w:t xml:space="preserve"> draft RTS</w:t>
      </w:r>
      <w:r w:rsidRPr="00F5551F">
        <w:rPr>
          <w:rFonts w:ascii="DIN-Regular" w:hAnsi="DIN-Regular" w:cs="Arial"/>
          <w:sz w:val="22"/>
          <w:szCs w:val="22"/>
          <w:lang w:eastAsia="de-DE"/>
        </w:rPr>
        <w:t>, the conditions for transferable securities and money market instruments to be considered as “highly liquid collateral with minimum credit and market risk” are very much the same as those outlined above and, hence, our comments also apply to those conditions.  However, we have the following remarks on condition (h):</w:t>
      </w:r>
    </w:p>
    <w:p w:rsidR="003C0864" w:rsidRPr="00F5551F" w:rsidRDefault="003C0864" w:rsidP="00B02B38">
      <w:pPr>
        <w:pStyle w:val="Default"/>
        <w:numPr>
          <w:ilvl w:val="0"/>
          <w:numId w:val="12"/>
        </w:numPr>
        <w:contextualSpacing/>
        <w:jc w:val="both"/>
        <w:rPr>
          <w:rFonts w:ascii="DIN-Regular" w:hAnsi="DIN-Regular" w:cs="Arial"/>
          <w:sz w:val="22"/>
          <w:szCs w:val="22"/>
          <w:lang w:eastAsia="de-DE"/>
        </w:rPr>
      </w:pPr>
      <w:r w:rsidRPr="00F5551F">
        <w:rPr>
          <w:rFonts w:ascii="DIN-Regular" w:hAnsi="DIN-Regular" w:cs="Arial"/>
          <w:sz w:val="22"/>
          <w:szCs w:val="22"/>
          <w:lang w:eastAsia="de-DE"/>
        </w:rPr>
        <w:t xml:space="preserve">Condition (h) (ii):  it is unclear the reason why a CSD could not accept as collateral securities issued by an institution that is a CSD-banking service provider or an entity that is part of the same group as a CSD-banking service provider.  </w:t>
      </w:r>
      <w:r w:rsidR="000724AC">
        <w:rPr>
          <w:rFonts w:ascii="DIN-Regular" w:hAnsi="DIN-Regular" w:cs="Arial"/>
          <w:sz w:val="22"/>
          <w:szCs w:val="22"/>
          <w:lang w:eastAsia="de-DE"/>
        </w:rPr>
        <w:t xml:space="preserve">Would </w:t>
      </w:r>
      <w:r w:rsidRPr="00F5551F">
        <w:rPr>
          <w:rFonts w:ascii="DIN-Regular" w:hAnsi="DIN-Regular" w:cs="Arial"/>
          <w:sz w:val="22"/>
          <w:szCs w:val="22"/>
          <w:lang w:eastAsia="de-DE"/>
        </w:rPr>
        <w:t>this condition mean that instrum</w:t>
      </w:r>
      <w:r w:rsidR="000724AC">
        <w:rPr>
          <w:rFonts w:ascii="DIN-Regular" w:hAnsi="DIN-Regular" w:cs="Arial"/>
          <w:sz w:val="22"/>
          <w:szCs w:val="22"/>
          <w:lang w:eastAsia="de-DE"/>
        </w:rPr>
        <w:t xml:space="preserve">ents issued by Deutsche </w:t>
      </w:r>
      <w:proofErr w:type="spellStart"/>
      <w:r w:rsidR="000724AC">
        <w:rPr>
          <w:rFonts w:ascii="DIN-Regular" w:hAnsi="DIN-Regular" w:cs="Arial"/>
          <w:sz w:val="22"/>
          <w:szCs w:val="22"/>
          <w:lang w:eastAsia="de-DE"/>
        </w:rPr>
        <w:t>Börse</w:t>
      </w:r>
      <w:proofErr w:type="spellEnd"/>
      <w:r w:rsidR="000724AC">
        <w:rPr>
          <w:rFonts w:ascii="DIN-Regular" w:hAnsi="DIN-Regular" w:cs="Arial"/>
          <w:sz w:val="22"/>
          <w:szCs w:val="22"/>
          <w:lang w:eastAsia="de-DE"/>
        </w:rPr>
        <w:t xml:space="preserve"> could </w:t>
      </w:r>
      <w:r w:rsidRPr="00F5551F">
        <w:rPr>
          <w:rFonts w:ascii="DIN-Regular" w:hAnsi="DIN-Regular" w:cs="Arial"/>
          <w:sz w:val="22"/>
          <w:szCs w:val="22"/>
          <w:lang w:eastAsia="de-DE"/>
        </w:rPr>
        <w:t xml:space="preserve">not be accepted as collateral by </w:t>
      </w:r>
      <w:r w:rsidR="00387E7C">
        <w:rPr>
          <w:rFonts w:ascii="DIN-Regular" w:hAnsi="DIN-Regular" w:cs="Arial"/>
          <w:sz w:val="22"/>
          <w:szCs w:val="22"/>
          <w:lang w:eastAsia="de-DE"/>
        </w:rPr>
        <w:t xml:space="preserve">any </w:t>
      </w:r>
      <w:r w:rsidRPr="00F5551F">
        <w:rPr>
          <w:rFonts w:ascii="DIN-Regular" w:hAnsi="DIN-Regular" w:cs="Arial"/>
          <w:sz w:val="22"/>
          <w:szCs w:val="22"/>
          <w:lang w:eastAsia="de-DE"/>
        </w:rPr>
        <w:t xml:space="preserve">CSD in Europe because Deutsche </w:t>
      </w:r>
      <w:proofErr w:type="spellStart"/>
      <w:r w:rsidRPr="00F5551F">
        <w:rPr>
          <w:rFonts w:ascii="DIN-Regular" w:hAnsi="DIN-Regular" w:cs="Arial"/>
          <w:sz w:val="22"/>
          <w:szCs w:val="22"/>
          <w:lang w:eastAsia="de-DE"/>
        </w:rPr>
        <w:t>Börse</w:t>
      </w:r>
      <w:proofErr w:type="spellEnd"/>
      <w:r w:rsidRPr="00F5551F">
        <w:rPr>
          <w:rFonts w:ascii="DIN-Regular" w:hAnsi="DIN-Regular" w:cs="Arial"/>
          <w:sz w:val="22"/>
          <w:szCs w:val="22"/>
          <w:lang w:eastAsia="de-DE"/>
        </w:rPr>
        <w:t xml:space="preserve"> owns a CSD / </w:t>
      </w:r>
      <w:r w:rsidR="00FD4804" w:rsidRPr="00F5551F">
        <w:rPr>
          <w:rFonts w:ascii="DIN-Regular" w:hAnsi="DIN-Regular" w:cs="Arial"/>
          <w:sz w:val="22"/>
          <w:szCs w:val="22"/>
          <w:lang w:eastAsia="de-DE"/>
        </w:rPr>
        <w:t>(I</w:t>
      </w:r>
      <w:proofErr w:type="gramStart"/>
      <w:r w:rsidR="00FD4804" w:rsidRPr="00F5551F">
        <w:rPr>
          <w:rFonts w:ascii="DIN-Regular" w:hAnsi="DIN-Regular" w:cs="Arial"/>
          <w:sz w:val="22"/>
          <w:szCs w:val="22"/>
          <w:lang w:eastAsia="de-DE"/>
        </w:rPr>
        <w:t>)CSD</w:t>
      </w:r>
      <w:proofErr w:type="gramEnd"/>
      <w:r w:rsidRPr="00F5551F">
        <w:rPr>
          <w:rFonts w:ascii="DIN-Regular" w:hAnsi="DIN-Regular" w:cs="Arial"/>
          <w:sz w:val="22"/>
          <w:szCs w:val="22"/>
          <w:lang w:eastAsia="de-DE"/>
        </w:rPr>
        <w:t>?  Please clarify.</w:t>
      </w:r>
    </w:p>
    <w:p w:rsidR="003C0864" w:rsidRPr="00F5551F" w:rsidRDefault="003C0864" w:rsidP="00B02B38">
      <w:pPr>
        <w:pStyle w:val="Default"/>
        <w:numPr>
          <w:ilvl w:val="0"/>
          <w:numId w:val="12"/>
        </w:numPr>
        <w:contextualSpacing/>
        <w:jc w:val="both"/>
        <w:rPr>
          <w:rFonts w:ascii="DIN-Regular" w:hAnsi="DIN-Regular" w:cs="Arial"/>
          <w:sz w:val="22"/>
          <w:szCs w:val="22"/>
          <w:lang w:eastAsia="de-DE"/>
        </w:rPr>
      </w:pPr>
      <w:r w:rsidRPr="00F5551F">
        <w:rPr>
          <w:rFonts w:ascii="DIN-Regular" w:hAnsi="DIN-Regular" w:cs="Arial"/>
          <w:sz w:val="22"/>
          <w:szCs w:val="22"/>
          <w:lang w:eastAsia="de-DE"/>
        </w:rPr>
        <w:t xml:space="preserve">Condition (h) (iii): </w:t>
      </w:r>
      <w:proofErr w:type="spellStart"/>
      <w:r w:rsidRPr="00F5551F">
        <w:rPr>
          <w:rFonts w:ascii="DIN-Regular" w:hAnsi="DIN-Regular" w:cs="Arial"/>
          <w:sz w:val="22"/>
          <w:szCs w:val="22"/>
          <w:lang w:eastAsia="de-DE"/>
        </w:rPr>
        <w:t>Clearstream</w:t>
      </w:r>
      <w:proofErr w:type="spellEnd"/>
      <w:r w:rsidRPr="00F5551F">
        <w:rPr>
          <w:rFonts w:ascii="DIN-Regular" w:hAnsi="DIN-Regular" w:cs="Arial"/>
          <w:sz w:val="22"/>
          <w:szCs w:val="22"/>
          <w:lang w:eastAsia="de-DE"/>
        </w:rPr>
        <w:t xml:space="preserve"> operates a network of agent banks (securities depositories and cash correspondent banks) which includes some of the largest global banks.  Does this condition mean that </w:t>
      </w:r>
      <w:proofErr w:type="spellStart"/>
      <w:r w:rsidRPr="00F5551F">
        <w:rPr>
          <w:rFonts w:ascii="DIN-Regular" w:hAnsi="DIN-Regular" w:cs="Arial"/>
          <w:sz w:val="22"/>
          <w:szCs w:val="22"/>
          <w:lang w:eastAsia="de-DE"/>
        </w:rPr>
        <w:t>Clearstream</w:t>
      </w:r>
      <w:proofErr w:type="spellEnd"/>
      <w:r w:rsidRPr="00F5551F">
        <w:rPr>
          <w:rFonts w:ascii="DIN-Regular" w:hAnsi="DIN-Regular" w:cs="Arial"/>
          <w:sz w:val="22"/>
          <w:szCs w:val="22"/>
          <w:lang w:eastAsia="de-DE"/>
        </w:rPr>
        <w:t xml:space="preserve"> would not be allowed to accept as collateral securities issued by those banks even if there is no correlation between the participant pledging the collateral and the agent banks?  This appears an excessive and disproportionate measure on top of already very conservative and restrictive measures.  </w:t>
      </w:r>
    </w:p>
    <w:p w:rsidR="00167AD5" w:rsidRPr="00F5551F" w:rsidRDefault="00167AD5" w:rsidP="00B02B38">
      <w:pPr>
        <w:pStyle w:val="ListParagraph"/>
        <w:numPr>
          <w:ilvl w:val="0"/>
          <w:numId w:val="12"/>
        </w:numPr>
        <w:spacing w:after="240" w:line="240" w:lineRule="auto"/>
        <w:jc w:val="both"/>
        <w:rPr>
          <w:rFonts w:ascii="DIN-Regular" w:hAnsi="DIN-Regular" w:cs="Arial"/>
          <w:szCs w:val="22"/>
          <w:lang w:eastAsia="de-DE"/>
        </w:rPr>
      </w:pPr>
      <w:r w:rsidRPr="00F5551F">
        <w:rPr>
          <w:rFonts w:ascii="DIN-Regular" w:eastAsia="Arial Unicode MS" w:hAnsi="DIN-Regular" w:cs="Arial"/>
          <w:szCs w:val="22"/>
          <w:lang w:eastAsia="en-GB"/>
        </w:rPr>
        <w:t xml:space="preserve">From the wording of </w:t>
      </w:r>
      <w:r w:rsidR="003130ED" w:rsidRPr="00F5551F">
        <w:rPr>
          <w:rFonts w:ascii="DIN-Regular" w:eastAsia="Arial Unicode MS" w:hAnsi="DIN-Regular" w:cs="Arial"/>
          <w:szCs w:val="22"/>
          <w:lang w:eastAsia="en-GB"/>
        </w:rPr>
        <w:t>A</w:t>
      </w:r>
      <w:r w:rsidRPr="00F5551F">
        <w:rPr>
          <w:rFonts w:ascii="DIN-Regular" w:eastAsia="Arial Unicode MS" w:hAnsi="DIN-Regular" w:cs="Arial"/>
          <w:szCs w:val="22"/>
          <w:lang w:eastAsia="en-GB"/>
        </w:rPr>
        <w:t>rticle 19 (1) and 19</w:t>
      </w:r>
      <w:r w:rsidR="009463DD" w:rsidRPr="00F5551F">
        <w:rPr>
          <w:rFonts w:ascii="DIN-Regular" w:eastAsia="Arial Unicode MS" w:hAnsi="DIN-Regular" w:cs="Arial"/>
          <w:szCs w:val="22"/>
          <w:lang w:eastAsia="en-GB"/>
        </w:rPr>
        <w:t xml:space="preserve"> </w:t>
      </w:r>
      <w:r w:rsidRPr="00F5551F">
        <w:rPr>
          <w:rFonts w:ascii="DIN-Regular" w:eastAsia="Arial Unicode MS" w:hAnsi="DIN-Regular" w:cs="Arial"/>
          <w:szCs w:val="22"/>
          <w:lang w:eastAsia="en-GB"/>
        </w:rPr>
        <w:t xml:space="preserve">(2) draft RTS it is unclear how the two rules are placed in relation to each other. </w:t>
      </w:r>
    </w:p>
    <w:p w:rsidR="003C0864" w:rsidRPr="00F5551F" w:rsidRDefault="003C0864" w:rsidP="00DA6980">
      <w:pPr>
        <w:pStyle w:val="Default"/>
        <w:contextualSpacing/>
        <w:jc w:val="both"/>
        <w:rPr>
          <w:rFonts w:ascii="DIN-Regular" w:hAnsi="DIN-Regular" w:cs="Arial"/>
          <w:sz w:val="22"/>
          <w:szCs w:val="22"/>
          <w:lang w:eastAsia="de-DE"/>
        </w:rPr>
      </w:pPr>
      <w:r w:rsidRPr="00F5551F">
        <w:rPr>
          <w:rFonts w:ascii="DIN-Regular" w:hAnsi="DIN-Regular" w:cs="Arial"/>
          <w:sz w:val="22"/>
          <w:szCs w:val="22"/>
          <w:lang w:eastAsia="de-DE"/>
        </w:rPr>
        <w:t xml:space="preserve">Article 20 </w:t>
      </w:r>
      <w:r w:rsidR="00387E7C">
        <w:rPr>
          <w:rFonts w:ascii="DIN-Regular" w:hAnsi="DIN-Regular" w:cs="Arial"/>
          <w:sz w:val="22"/>
          <w:szCs w:val="22"/>
          <w:lang w:eastAsia="de-DE"/>
        </w:rPr>
        <w:t xml:space="preserve">draft RTS </w:t>
      </w:r>
      <w:r w:rsidRPr="00F5551F">
        <w:rPr>
          <w:rFonts w:ascii="DIN-Regular" w:hAnsi="DIN-Regular" w:cs="Arial"/>
          <w:sz w:val="22"/>
          <w:szCs w:val="22"/>
          <w:lang w:eastAsia="de-DE"/>
        </w:rPr>
        <w:t xml:space="preserve">creates another two categories of collateral: the so-called “highly liquid assets – HLA” (paragraph 1) and “securities settled in the trade” (paragraph 2).  As mentioned above, </w:t>
      </w:r>
      <w:proofErr w:type="spellStart"/>
      <w:r w:rsidRPr="00F5551F">
        <w:rPr>
          <w:rFonts w:ascii="DIN-Regular" w:hAnsi="DIN-Regular" w:cs="Arial"/>
          <w:sz w:val="22"/>
          <w:szCs w:val="22"/>
          <w:lang w:eastAsia="de-DE"/>
        </w:rPr>
        <w:t>Clearstream</w:t>
      </w:r>
      <w:proofErr w:type="spellEnd"/>
      <w:r w:rsidRPr="00F5551F">
        <w:rPr>
          <w:rFonts w:ascii="DIN-Regular" w:hAnsi="DIN-Regular" w:cs="Arial"/>
          <w:sz w:val="22"/>
          <w:szCs w:val="22"/>
          <w:lang w:eastAsia="de-DE"/>
        </w:rPr>
        <w:t xml:space="preserve"> opposes the segmentation of collateral as proposed in the RTS due to increased complexity in monitoring and reporting – which shall attract not only additional costs but also new, unnecessary operational risks – as well as the likelihood that this segmentation will have a significant adverse impact in settlement efficiency.</w:t>
      </w:r>
    </w:p>
    <w:p w:rsidR="003C0864" w:rsidRPr="00F5551F" w:rsidRDefault="003C0864" w:rsidP="00DA6980">
      <w:pPr>
        <w:pStyle w:val="Default"/>
        <w:contextualSpacing/>
        <w:jc w:val="both"/>
        <w:rPr>
          <w:rFonts w:ascii="DIN-Regular" w:hAnsi="DIN-Regular" w:cs="Arial"/>
          <w:sz w:val="22"/>
          <w:szCs w:val="22"/>
          <w:lang w:eastAsia="de-DE"/>
        </w:rPr>
      </w:pPr>
    </w:p>
    <w:p w:rsidR="003C0864" w:rsidRPr="00F5551F" w:rsidRDefault="003C0864" w:rsidP="00DA6980">
      <w:pPr>
        <w:pStyle w:val="Default"/>
        <w:contextualSpacing/>
        <w:jc w:val="both"/>
        <w:rPr>
          <w:rFonts w:ascii="DIN-Regular" w:hAnsi="DIN-Regular" w:cs="Arial"/>
          <w:sz w:val="22"/>
          <w:szCs w:val="22"/>
          <w:lang w:eastAsia="de-DE"/>
        </w:rPr>
      </w:pPr>
      <w:r w:rsidRPr="00F5551F">
        <w:rPr>
          <w:rFonts w:ascii="DIN-Regular" w:hAnsi="DIN-Regular" w:cs="Arial"/>
          <w:sz w:val="22"/>
          <w:szCs w:val="22"/>
          <w:lang w:eastAsia="de-DE"/>
        </w:rPr>
        <w:t>Furthermore, Article 20</w:t>
      </w:r>
      <w:r w:rsidR="003130ED" w:rsidRPr="00F5551F">
        <w:rPr>
          <w:rFonts w:ascii="DIN-Regular" w:hAnsi="DIN-Regular" w:cs="Arial"/>
          <w:sz w:val="22"/>
          <w:szCs w:val="22"/>
          <w:lang w:eastAsia="de-DE"/>
        </w:rPr>
        <w:t xml:space="preserve"> (</w:t>
      </w:r>
      <w:r w:rsidRPr="00F5551F">
        <w:rPr>
          <w:rFonts w:ascii="DIN-Regular" w:hAnsi="DIN-Regular" w:cs="Arial"/>
          <w:sz w:val="22"/>
          <w:szCs w:val="22"/>
          <w:lang w:eastAsia="de-DE"/>
        </w:rPr>
        <w:t>1</w:t>
      </w:r>
      <w:r w:rsidR="003130ED" w:rsidRPr="00F5551F">
        <w:rPr>
          <w:rFonts w:ascii="DIN-Regular" w:hAnsi="DIN-Regular" w:cs="Arial"/>
          <w:sz w:val="22"/>
          <w:szCs w:val="22"/>
          <w:lang w:eastAsia="de-DE"/>
        </w:rPr>
        <w:t>)</w:t>
      </w:r>
      <w:r w:rsidR="00387E7C">
        <w:rPr>
          <w:rFonts w:ascii="DIN-Regular" w:hAnsi="DIN-Regular" w:cs="Arial"/>
          <w:sz w:val="22"/>
          <w:szCs w:val="22"/>
          <w:lang w:eastAsia="de-DE"/>
        </w:rPr>
        <w:t xml:space="preserve"> draft RTS</w:t>
      </w:r>
      <w:r w:rsidRPr="00F5551F">
        <w:rPr>
          <w:rFonts w:ascii="DIN-Regular" w:hAnsi="DIN-Regular" w:cs="Arial"/>
          <w:sz w:val="22"/>
          <w:szCs w:val="22"/>
          <w:lang w:eastAsia="de-DE"/>
        </w:rPr>
        <w:t xml:space="preserve"> makes reference to Article 18</w:t>
      </w:r>
      <w:r w:rsidR="003130ED" w:rsidRPr="00F5551F">
        <w:rPr>
          <w:rFonts w:ascii="DIN-Regular" w:hAnsi="DIN-Regular" w:cs="Arial"/>
          <w:sz w:val="22"/>
          <w:szCs w:val="22"/>
          <w:lang w:eastAsia="de-DE"/>
        </w:rPr>
        <w:t xml:space="preserve"> (</w:t>
      </w:r>
      <w:r w:rsidRPr="00F5551F">
        <w:rPr>
          <w:rFonts w:ascii="DIN-Regular" w:hAnsi="DIN-Regular" w:cs="Arial"/>
          <w:sz w:val="22"/>
          <w:szCs w:val="22"/>
          <w:lang w:eastAsia="de-DE"/>
        </w:rPr>
        <w:t>1</w:t>
      </w:r>
      <w:r w:rsidR="003130ED" w:rsidRPr="00F5551F">
        <w:rPr>
          <w:rFonts w:ascii="DIN-Regular" w:hAnsi="DIN-Regular" w:cs="Arial"/>
          <w:sz w:val="22"/>
          <w:szCs w:val="22"/>
          <w:lang w:eastAsia="de-DE"/>
        </w:rPr>
        <w:t>) (</w:t>
      </w:r>
      <w:r w:rsidRPr="00F5551F">
        <w:rPr>
          <w:rFonts w:ascii="DIN-Regular" w:hAnsi="DIN-Regular" w:cs="Arial"/>
          <w:sz w:val="22"/>
          <w:szCs w:val="22"/>
          <w:lang w:eastAsia="de-DE"/>
        </w:rPr>
        <w:t>b</w:t>
      </w:r>
      <w:r w:rsidR="003130ED" w:rsidRPr="00F5551F">
        <w:rPr>
          <w:rFonts w:ascii="DIN-Regular" w:hAnsi="DIN-Regular" w:cs="Arial"/>
          <w:sz w:val="22"/>
          <w:szCs w:val="22"/>
          <w:lang w:eastAsia="de-DE"/>
        </w:rPr>
        <w:t>) (</w:t>
      </w:r>
      <w:proofErr w:type="spellStart"/>
      <w:r w:rsidRPr="00F5551F">
        <w:rPr>
          <w:rFonts w:ascii="DIN-Regular" w:hAnsi="DIN-Regular" w:cs="Arial"/>
          <w:sz w:val="22"/>
          <w:szCs w:val="22"/>
          <w:lang w:eastAsia="de-DE"/>
        </w:rPr>
        <w:t>i</w:t>
      </w:r>
      <w:proofErr w:type="spellEnd"/>
      <w:r w:rsidR="003130ED" w:rsidRPr="00F5551F">
        <w:rPr>
          <w:rFonts w:ascii="DIN-Regular" w:hAnsi="DIN-Regular" w:cs="Arial"/>
          <w:sz w:val="22"/>
          <w:szCs w:val="22"/>
          <w:lang w:eastAsia="de-DE"/>
        </w:rPr>
        <w:t>)</w:t>
      </w:r>
      <w:r w:rsidRPr="00F5551F">
        <w:rPr>
          <w:rFonts w:ascii="DIN-Regular" w:hAnsi="DIN-Regular" w:cs="Arial"/>
          <w:sz w:val="22"/>
          <w:szCs w:val="22"/>
          <w:lang w:eastAsia="de-DE"/>
        </w:rPr>
        <w:t xml:space="preserve"> </w:t>
      </w:r>
      <w:r w:rsidR="00387E7C">
        <w:rPr>
          <w:rFonts w:ascii="DIN-Regular" w:hAnsi="DIN-Regular" w:cs="Arial"/>
          <w:sz w:val="22"/>
          <w:szCs w:val="22"/>
          <w:lang w:eastAsia="de-DE"/>
        </w:rPr>
        <w:t xml:space="preserve">draft RTS </w:t>
      </w:r>
      <w:r w:rsidRPr="00F5551F">
        <w:rPr>
          <w:rFonts w:ascii="DIN-Regular" w:hAnsi="DIN-Regular" w:cs="Arial"/>
          <w:sz w:val="22"/>
          <w:szCs w:val="22"/>
          <w:lang w:eastAsia="de-DE"/>
        </w:rPr>
        <w:t>– which, in turn, makes reference to the requirements of Article 19</w:t>
      </w:r>
      <w:r w:rsidR="00387E7C">
        <w:rPr>
          <w:rFonts w:ascii="DIN-Regular" w:hAnsi="DIN-Regular" w:cs="Arial"/>
          <w:sz w:val="22"/>
          <w:szCs w:val="22"/>
          <w:lang w:eastAsia="de-DE"/>
        </w:rPr>
        <w:t xml:space="preserve"> draft RTS</w:t>
      </w:r>
      <w:r w:rsidRPr="00F5551F">
        <w:rPr>
          <w:rFonts w:ascii="DIN-Regular" w:hAnsi="DIN-Regular" w:cs="Arial"/>
          <w:sz w:val="22"/>
          <w:szCs w:val="22"/>
          <w:lang w:eastAsia="de-DE"/>
        </w:rPr>
        <w:t xml:space="preserve">.  In our opinion, the text is extremely confusing.  Additionally, </w:t>
      </w:r>
      <w:r w:rsidR="000724AC">
        <w:rPr>
          <w:rFonts w:ascii="DIN-Regular" w:hAnsi="DIN-Regular" w:cs="Arial"/>
          <w:sz w:val="22"/>
          <w:szCs w:val="22"/>
          <w:lang w:eastAsia="de-DE"/>
        </w:rPr>
        <w:t xml:space="preserve">the Article </w:t>
      </w:r>
      <w:r w:rsidRPr="00F5551F">
        <w:rPr>
          <w:rFonts w:ascii="DIN-Regular" w:hAnsi="DIN-Regular" w:cs="Arial"/>
          <w:sz w:val="22"/>
          <w:szCs w:val="22"/>
          <w:lang w:eastAsia="de-DE"/>
        </w:rPr>
        <w:t xml:space="preserve">establishes that CSDs can accept as collateral “securities settled in the trade” provided </w:t>
      </w:r>
      <w:r w:rsidR="00BD3A07" w:rsidRPr="00F5551F">
        <w:rPr>
          <w:rFonts w:ascii="DIN-Regular" w:hAnsi="DIN-Regular" w:cs="Arial"/>
          <w:sz w:val="22"/>
          <w:szCs w:val="22"/>
          <w:lang w:eastAsia="de-DE"/>
        </w:rPr>
        <w:t>they</w:t>
      </w:r>
      <w:r w:rsidRPr="00F5551F">
        <w:rPr>
          <w:rFonts w:ascii="DIN-Regular" w:hAnsi="DIN-Regular" w:cs="Arial"/>
          <w:sz w:val="22"/>
          <w:szCs w:val="22"/>
          <w:lang w:eastAsia="de-DE"/>
        </w:rPr>
        <w:t xml:space="preserve"> have </w:t>
      </w:r>
      <w:r w:rsidR="005B047F" w:rsidRPr="00F5551F">
        <w:rPr>
          <w:rFonts w:ascii="DIN-Regular" w:hAnsi="DIN-Regular" w:cs="Arial"/>
          <w:sz w:val="22"/>
          <w:szCs w:val="22"/>
          <w:u w:val="single"/>
          <w:lang w:eastAsia="de-DE"/>
        </w:rPr>
        <w:t xml:space="preserve">both </w:t>
      </w:r>
      <w:r w:rsidRPr="00F5551F">
        <w:rPr>
          <w:rFonts w:ascii="DIN-Regular" w:hAnsi="DIN-Regular" w:cs="Arial"/>
          <w:sz w:val="22"/>
          <w:szCs w:val="22"/>
          <w:lang w:eastAsia="de-DE"/>
        </w:rPr>
        <w:t>of the following:</w:t>
      </w:r>
    </w:p>
    <w:p w:rsidR="003C0864" w:rsidRPr="00F5551F" w:rsidRDefault="003C0864" w:rsidP="00DA6980">
      <w:pPr>
        <w:pStyle w:val="Default"/>
        <w:contextualSpacing/>
        <w:jc w:val="both"/>
        <w:rPr>
          <w:rFonts w:ascii="DIN-Regular" w:hAnsi="DIN-Regular" w:cs="Arial"/>
          <w:sz w:val="22"/>
          <w:szCs w:val="22"/>
          <w:lang w:eastAsia="de-DE"/>
        </w:rPr>
      </w:pPr>
      <w:r w:rsidRPr="00F5551F">
        <w:rPr>
          <w:rFonts w:ascii="DIN-Regular" w:hAnsi="DIN-Regular" w:cs="Arial"/>
          <w:sz w:val="22"/>
          <w:szCs w:val="22"/>
          <w:lang w:eastAsia="de-DE"/>
        </w:rPr>
        <w:t>(</w:t>
      </w:r>
      <w:proofErr w:type="spellStart"/>
      <w:r w:rsidRPr="00F5551F">
        <w:rPr>
          <w:rFonts w:ascii="DIN-Regular" w:hAnsi="DIN-Regular" w:cs="Arial"/>
          <w:sz w:val="22"/>
          <w:szCs w:val="22"/>
          <w:lang w:eastAsia="de-DE"/>
        </w:rPr>
        <w:t>i</w:t>
      </w:r>
      <w:proofErr w:type="spellEnd"/>
      <w:r w:rsidRPr="00F5551F">
        <w:rPr>
          <w:rFonts w:ascii="DIN-Regular" w:hAnsi="DIN-Regular" w:cs="Arial"/>
          <w:sz w:val="22"/>
          <w:szCs w:val="22"/>
          <w:lang w:eastAsia="de-DE"/>
        </w:rPr>
        <w:t>)</w:t>
      </w:r>
      <w:r w:rsidRPr="00F5551F">
        <w:rPr>
          <w:rFonts w:ascii="DIN-Regular" w:hAnsi="DIN-Regular" w:cs="Arial"/>
          <w:sz w:val="22"/>
          <w:szCs w:val="22"/>
          <w:lang w:eastAsia="de-DE"/>
        </w:rPr>
        <w:tab/>
        <w:t>a prearranged funding arrangement as referred to in point (e) of Article 59</w:t>
      </w:r>
      <w:r w:rsidR="003130ED" w:rsidRPr="00F5551F">
        <w:rPr>
          <w:rFonts w:ascii="DIN-Regular" w:hAnsi="DIN-Regular" w:cs="Arial"/>
          <w:sz w:val="22"/>
          <w:szCs w:val="22"/>
          <w:lang w:eastAsia="de-DE"/>
        </w:rPr>
        <w:t xml:space="preserve"> (</w:t>
      </w:r>
      <w:r w:rsidRPr="00F5551F">
        <w:rPr>
          <w:rFonts w:ascii="DIN-Regular" w:hAnsi="DIN-Regular" w:cs="Arial"/>
          <w:sz w:val="22"/>
          <w:szCs w:val="22"/>
          <w:lang w:eastAsia="de-DE"/>
        </w:rPr>
        <w:t>4</w:t>
      </w:r>
      <w:r w:rsidR="003130ED" w:rsidRPr="00F5551F">
        <w:rPr>
          <w:rFonts w:ascii="DIN-Regular" w:hAnsi="DIN-Regular" w:cs="Arial"/>
          <w:sz w:val="22"/>
          <w:szCs w:val="22"/>
          <w:lang w:eastAsia="de-DE"/>
        </w:rPr>
        <w:t>)</w:t>
      </w:r>
      <w:r w:rsidRPr="00F5551F">
        <w:rPr>
          <w:rFonts w:ascii="DIN-Regular" w:hAnsi="DIN-Regular" w:cs="Arial"/>
          <w:sz w:val="22"/>
          <w:szCs w:val="22"/>
          <w:lang w:eastAsia="de-DE"/>
        </w:rPr>
        <w:t xml:space="preserve"> of Regulation (EU) No 909/2014 and Article 36, that provides for the liquidation of these instruments within 5 days;</w:t>
      </w:r>
    </w:p>
    <w:p w:rsidR="003C0864" w:rsidRPr="00F5551F" w:rsidRDefault="003C0864" w:rsidP="00DA6980">
      <w:pPr>
        <w:pStyle w:val="Default"/>
        <w:contextualSpacing/>
        <w:jc w:val="both"/>
        <w:rPr>
          <w:rFonts w:ascii="DIN-Regular" w:hAnsi="DIN-Regular" w:cs="Arial"/>
          <w:sz w:val="22"/>
          <w:szCs w:val="22"/>
          <w:lang w:eastAsia="de-DE"/>
        </w:rPr>
      </w:pPr>
      <w:r w:rsidRPr="00F5551F">
        <w:rPr>
          <w:rFonts w:ascii="DIN-Regular" w:hAnsi="DIN-Regular" w:cs="Arial"/>
          <w:sz w:val="22"/>
          <w:szCs w:val="22"/>
          <w:lang w:eastAsia="de-DE"/>
        </w:rPr>
        <w:t>(ii)</w:t>
      </w:r>
      <w:r w:rsidRPr="00F5551F">
        <w:rPr>
          <w:rFonts w:ascii="DIN-Regular" w:hAnsi="DIN-Regular" w:cs="Arial"/>
          <w:sz w:val="22"/>
          <w:szCs w:val="22"/>
          <w:lang w:eastAsia="de-DE"/>
        </w:rPr>
        <w:tab/>
      </w:r>
      <w:proofErr w:type="gramStart"/>
      <w:r w:rsidRPr="00F5551F">
        <w:rPr>
          <w:rFonts w:ascii="DIN-Regular" w:hAnsi="DIN-Regular" w:cs="Arial"/>
          <w:sz w:val="22"/>
          <w:szCs w:val="22"/>
          <w:lang w:eastAsia="de-DE"/>
        </w:rPr>
        <w:t>sufficient</w:t>
      </w:r>
      <w:proofErr w:type="gramEnd"/>
      <w:r w:rsidRPr="00F5551F">
        <w:rPr>
          <w:rFonts w:ascii="DIN-Regular" w:hAnsi="DIN-Regular" w:cs="Arial"/>
          <w:sz w:val="22"/>
          <w:szCs w:val="22"/>
          <w:lang w:eastAsia="de-DE"/>
        </w:rPr>
        <w:t xml:space="preserve"> qualifying liquid resources as referred to in Article 34 that allow covering the time gap for liquidating such collateral in case of default of the participant.</w:t>
      </w:r>
    </w:p>
    <w:p w:rsidR="003C0864" w:rsidRPr="00F5551F" w:rsidRDefault="003C0864" w:rsidP="00DA6980">
      <w:pPr>
        <w:pStyle w:val="Default"/>
        <w:contextualSpacing/>
        <w:jc w:val="both"/>
        <w:rPr>
          <w:rFonts w:ascii="DIN-Regular" w:hAnsi="DIN-Regular" w:cs="Arial"/>
          <w:sz w:val="22"/>
          <w:szCs w:val="22"/>
          <w:lang w:eastAsia="de-DE"/>
        </w:rPr>
      </w:pPr>
      <w:r w:rsidRPr="00F5551F">
        <w:rPr>
          <w:rFonts w:ascii="DIN-Regular" w:hAnsi="DIN-Regular" w:cs="Arial"/>
          <w:sz w:val="22"/>
          <w:szCs w:val="22"/>
          <w:lang w:eastAsia="de-DE"/>
        </w:rPr>
        <w:t>We consider this requirement disproportionate and strongly oppose to its maintenance.</w:t>
      </w:r>
    </w:p>
    <w:p w:rsidR="003C0864" w:rsidRPr="00F5551F" w:rsidRDefault="003C0864" w:rsidP="00DA6980">
      <w:pPr>
        <w:pStyle w:val="Default"/>
        <w:contextualSpacing/>
        <w:jc w:val="both"/>
        <w:rPr>
          <w:rFonts w:ascii="DIN-Regular" w:hAnsi="DIN-Regular" w:cs="Arial"/>
          <w:sz w:val="22"/>
          <w:szCs w:val="22"/>
          <w:lang w:eastAsia="de-DE"/>
        </w:rPr>
      </w:pPr>
    </w:p>
    <w:p w:rsidR="003C0864" w:rsidRPr="00F5551F" w:rsidRDefault="003C0864" w:rsidP="00DA6980">
      <w:pPr>
        <w:pStyle w:val="Default"/>
        <w:contextualSpacing/>
        <w:jc w:val="both"/>
        <w:rPr>
          <w:rFonts w:ascii="DIN-Regular" w:hAnsi="DIN-Regular" w:cs="Arial"/>
          <w:sz w:val="22"/>
          <w:szCs w:val="22"/>
          <w:lang w:eastAsia="de-DE"/>
        </w:rPr>
      </w:pPr>
      <w:r w:rsidRPr="00F5551F">
        <w:rPr>
          <w:rFonts w:ascii="DIN-Regular" w:hAnsi="DIN-Regular" w:cs="Arial"/>
          <w:sz w:val="22"/>
          <w:szCs w:val="22"/>
          <w:lang w:eastAsia="de-DE"/>
        </w:rPr>
        <w:t>To summarise:</w:t>
      </w:r>
    </w:p>
    <w:p w:rsidR="003C0864" w:rsidRPr="00F5551F" w:rsidRDefault="003C0864" w:rsidP="00B02B38">
      <w:pPr>
        <w:pStyle w:val="Default"/>
        <w:numPr>
          <w:ilvl w:val="0"/>
          <w:numId w:val="13"/>
        </w:numPr>
        <w:contextualSpacing/>
        <w:jc w:val="both"/>
        <w:rPr>
          <w:rFonts w:ascii="DIN-Regular" w:hAnsi="DIN-Regular" w:cs="Arial"/>
          <w:sz w:val="22"/>
          <w:szCs w:val="22"/>
          <w:lang w:eastAsia="de-DE"/>
        </w:rPr>
      </w:pPr>
      <w:r w:rsidRPr="00F5551F">
        <w:rPr>
          <w:rFonts w:ascii="DIN-Regular" w:hAnsi="DIN-Regular" w:cs="Arial"/>
          <w:sz w:val="22"/>
          <w:szCs w:val="22"/>
          <w:lang w:eastAsia="de-DE"/>
        </w:rPr>
        <w:t>Article 19</w:t>
      </w:r>
      <w:r w:rsidR="009463DD" w:rsidRPr="00F5551F">
        <w:rPr>
          <w:rFonts w:ascii="DIN-Regular" w:hAnsi="DIN-Regular" w:cs="Arial"/>
          <w:sz w:val="22"/>
          <w:szCs w:val="22"/>
          <w:lang w:eastAsia="de-DE"/>
        </w:rPr>
        <w:t xml:space="preserve"> (</w:t>
      </w:r>
      <w:r w:rsidRPr="00F5551F">
        <w:rPr>
          <w:rFonts w:ascii="DIN-Regular" w:hAnsi="DIN-Regular" w:cs="Arial"/>
          <w:sz w:val="22"/>
          <w:szCs w:val="22"/>
          <w:lang w:eastAsia="de-DE"/>
        </w:rPr>
        <w:t>1</w:t>
      </w:r>
      <w:r w:rsidR="009463DD" w:rsidRPr="00F5551F">
        <w:rPr>
          <w:rFonts w:ascii="DIN-Regular" w:hAnsi="DIN-Regular" w:cs="Arial"/>
          <w:sz w:val="22"/>
          <w:szCs w:val="22"/>
          <w:lang w:eastAsia="de-DE"/>
        </w:rPr>
        <w:t>)</w:t>
      </w:r>
      <w:r w:rsidR="00387E7C">
        <w:rPr>
          <w:rFonts w:ascii="DIN-Regular" w:hAnsi="DIN-Regular" w:cs="Arial"/>
          <w:sz w:val="22"/>
          <w:szCs w:val="22"/>
          <w:lang w:eastAsia="de-DE"/>
        </w:rPr>
        <w:t xml:space="preserve"> draft RTS</w:t>
      </w:r>
      <w:r w:rsidRPr="00F5551F">
        <w:rPr>
          <w:rFonts w:ascii="DIN-Regular" w:hAnsi="DIN-Regular" w:cs="Arial"/>
          <w:sz w:val="22"/>
          <w:szCs w:val="22"/>
          <w:lang w:eastAsia="de-DE"/>
        </w:rPr>
        <w:t xml:space="preserve"> sets out eight conditions for a security to be considered as “Highly liquid collateral with minimum credit and market risk”.</w:t>
      </w:r>
    </w:p>
    <w:p w:rsidR="003C0864" w:rsidRPr="00F5551F" w:rsidRDefault="003C0864" w:rsidP="00B02B38">
      <w:pPr>
        <w:pStyle w:val="Default"/>
        <w:numPr>
          <w:ilvl w:val="0"/>
          <w:numId w:val="13"/>
        </w:numPr>
        <w:contextualSpacing/>
        <w:jc w:val="both"/>
        <w:rPr>
          <w:rFonts w:ascii="DIN-Regular" w:hAnsi="DIN-Regular" w:cs="Arial"/>
          <w:color w:val="auto"/>
          <w:sz w:val="22"/>
          <w:szCs w:val="22"/>
          <w:lang w:eastAsia="de-DE"/>
        </w:rPr>
      </w:pPr>
      <w:r w:rsidRPr="00F5551F">
        <w:rPr>
          <w:rFonts w:ascii="DIN-Regular" w:hAnsi="DIN-Regular" w:cs="Arial"/>
          <w:sz w:val="22"/>
          <w:szCs w:val="22"/>
          <w:lang w:eastAsia="de-DE"/>
        </w:rPr>
        <w:t>Article 19</w:t>
      </w:r>
      <w:r w:rsidR="009463DD" w:rsidRPr="00F5551F">
        <w:rPr>
          <w:rFonts w:ascii="DIN-Regular" w:hAnsi="DIN-Regular" w:cs="Arial"/>
          <w:sz w:val="22"/>
          <w:szCs w:val="22"/>
          <w:lang w:eastAsia="de-DE"/>
        </w:rPr>
        <w:t xml:space="preserve"> (</w:t>
      </w:r>
      <w:r w:rsidRPr="00F5551F">
        <w:rPr>
          <w:rFonts w:ascii="DIN-Regular" w:hAnsi="DIN-Regular" w:cs="Arial"/>
          <w:sz w:val="22"/>
          <w:szCs w:val="22"/>
          <w:lang w:eastAsia="de-DE"/>
        </w:rPr>
        <w:t>2</w:t>
      </w:r>
      <w:r w:rsidR="009463DD" w:rsidRPr="00F5551F">
        <w:rPr>
          <w:rFonts w:ascii="DIN-Regular" w:hAnsi="DIN-Regular" w:cs="Arial"/>
          <w:sz w:val="22"/>
          <w:szCs w:val="22"/>
          <w:lang w:eastAsia="de-DE"/>
        </w:rPr>
        <w:t>)</w:t>
      </w:r>
      <w:r w:rsidR="00387E7C">
        <w:rPr>
          <w:rFonts w:ascii="DIN-Regular" w:hAnsi="DIN-Regular" w:cs="Arial"/>
          <w:sz w:val="22"/>
          <w:szCs w:val="22"/>
          <w:lang w:eastAsia="de-DE"/>
        </w:rPr>
        <w:t xml:space="preserve"> draft RTS</w:t>
      </w:r>
      <w:r w:rsidRPr="00F5551F">
        <w:rPr>
          <w:rFonts w:ascii="DIN-Regular" w:hAnsi="DIN-Regular" w:cs="Arial"/>
          <w:sz w:val="22"/>
          <w:szCs w:val="22"/>
          <w:lang w:eastAsia="de-DE"/>
        </w:rPr>
        <w:t xml:space="preserve">, on the other hand, outlines another eight conditions for transferable securities and money market instruments to be considered as “highly liquid collateral with minimum credit and </w:t>
      </w:r>
      <w:r w:rsidRPr="00F5551F">
        <w:rPr>
          <w:rFonts w:ascii="DIN-Regular" w:hAnsi="DIN-Regular" w:cs="Arial"/>
          <w:color w:val="auto"/>
          <w:sz w:val="22"/>
          <w:szCs w:val="22"/>
          <w:lang w:eastAsia="de-DE"/>
        </w:rPr>
        <w:t>market risk”.</w:t>
      </w:r>
    </w:p>
    <w:p w:rsidR="003C0864" w:rsidRPr="00F5551F" w:rsidRDefault="003C0864" w:rsidP="00B02B38">
      <w:pPr>
        <w:pStyle w:val="Default"/>
        <w:numPr>
          <w:ilvl w:val="0"/>
          <w:numId w:val="13"/>
        </w:numPr>
        <w:contextualSpacing/>
        <w:jc w:val="both"/>
        <w:rPr>
          <w:rFonts w:ascii="DIN-Regular" w:hAnsi="DIN-Regular" w:cs="Arial"/>
          <w:color w:val="auto"/>
          <w:sz w:val="22"/>
          <w:szCs w:val="22"/>
          <w:lang w:eastAsia="de-DE"/>
        </w:rPr>
      </w:pPr>
      <w:r w:rsidRPr="00F5551F">
        <w:rPr>
          <w:rFonts w:ascii="DIN-Regular" w:hAnsi="DIN-Regular" w:cs="Arial"/>
          <w:color w:val="auto"/>
          <w:sz w:val="22"/>
          <w:szCs w:val="22"/>
          <w:lang w:eastAsia="de-DE"/>
        </w:rPr>
        <w:t>Article 20</w:t>
      </w:r>
      <w:r w:rsidR="009463DD" w:rsidRPr="00F5551F">
        <w:rPr>
          <w:rFonts w:ascii="DIN-Regular" w:hAnsi="DIN-Regular" w:cs="Arial"/>
          <w:color w:val="auto"/>
          <w:sz w:val="22"/>
          <w:szCs w:val="22"/>
          <w:lang w:eastAsia="de-DE"/>
        </w:rPr>
        <w:t xml:space="preserve"> (</w:t>
      </w:r>
      <w:r w:rsidRPr="00F5551F">
        <w:rPr>
          <w:rFonts w:ascii="DIN-Regular" w:hAnsi="DIN-Regular" w:cs="Arial"/>
          <w:color w:val="auto"/>
          <w:sz w:val="22"/>
          <w:szCs w:val="22"/>
          <w:lang w:eastAsia="de-DE"/>
        </w:rPr>
        <w:t>1</w:t>
      </w:r>
      <w:r w:rsidR="009463DD" w:rsidRPr="00F5551F">
        <w:rPr>
          <w:rFonts w:ascii="DIN-Regular" w:hAnsi="DIN-Regular" w:cs="Arial"/>
          <w:color w:val="auto"/>
          <w:sz w:val="22"/>
          <w:szCs w:val="22"/>
          <w:lang w:eastAsia="de-DE"/>
        </w:rPr>
        <w:t>)</w:t>
      </w:r>
      <w:r w:rsidR="00387E7C">
        <w:rPr>
          <w:rFonts w:ascii="DIN-Regular" w:hAnsi="DIN-Regular" w:cs="Arial"/>
          <w:color w:val="auto"/>
          <w:sz w:val="22"/>
          <w:szCs w:val="22"/>
          <w:lang w:eastAsia="de-DE"/>
        </w:rPr>
        <w:t xml:space="preserve"> draft RTS</w:t>
      </w:r>
      <w:r w:rsidRPr="00F5551F">
        <w:rPr>
          <w:rFonts w:ascii="DIN-Regular" w:hAnsi="DIN-Regular" w:cs="Arial"/>
          <w:color w:val="auto"/>
          <w:sz w:val="22"/>
          <w:szCs w:val="22"/>
          <w:lang w:eastAsia="de-DE"/>
        </w:rPr>
        <w:t xml:space="preserve"> establishes another four conditions (</w:t>
      </w:r>
      <w:r w:rsidR="0053093D" w:rsidRPr="00F5551F">
        <w:rPr>
          <w:rFonts w:ascii="DIN-Regular" w:hAnsi="DIN-Regular" w:cs="Arial"/>
          <w:color w:val="auto"/>
          <w:sz w:val="22"/>
          <w:szCs w:val="22"/>
          <w:lang w:eastAsia="de-DE"/>
        </w:rPr>
        <w:t xml:space="preserve">which come </w:t>
      </w:r>
      <w:r w:rsidRPr="00F5551F">
        <w:rPr>
          <w:rFonts w:ascii="DIN-Regular" w:hAnsi="DIN-Regular" w:cs="Arial"/>
          <w:color w:val="auto"/>
          <w:sz w:val="22"/>
          <w:szCs w:val="22"/>
          <w:lang w:eastAsia="de-DE"/>
        </w:rPr>
        <w:t xml:space="preserve">on top of the conditions </w:t>
      </w:r>
      <w:r w:rsidR="0053093D" w:rsidRPr="00F5551F">
        <w:rPr>
          <w:rFonts w:ascii="DIN-Regular" w:hAnsi="DIN-Regular" w:cs="Arial"/>
          <w:color w:val="auto"/>
          <w:sz w:val="22"/>
          <w:szCs w:val="22"/>
          <w:lang w:eastAsia="de-DE"/>
        </w:rPr>
        <w:t xml:space="preserve">already set in </w:t>
      </w:r>
      <w:r w:rsidRPr="00F5551F">
        <w:rPr>
          <w:rFonts w:ascii="DIN-Regular" w:hAnsi="DIN-Regular" w:cs="Arial"/>
          <w:color w:val="auto"/>
          <w:sz w:val="22"/>
          <w:szCs w:val="22"/>
          <w:lang w:eastAsia="de-DE"/>
        </w:rPr>
        <w:t>Article 19</w:t>
      </w:r>
      <w:r w:rsidR="00374099">
        <w:rPr>
          <w:rFonts w:ascii="DIN-Regular" w:hAnsi="DIN-Regular" w:cs="Arial"/>
          <w:color w:val="auto"/>
          <w:sz w:val="22"/>
          <w:szCs w:val="22"/>
          <w:lang w:eastAsia="de-DE"/>
        </w:rPr>
        <w:t xml:space="preserve"> draft RTS</w:t>
      </w:r>
      <w:r w:rsidRPr="00F5551F">
        <w:rPr>
          <w:rFonts w:ascii="DIN-Regular" w:hAnsi="DIN-Regular" w:cs="Arial"/>
          <w:color w:val="auto"/>
          <w:sz w:val="22"/>
          <w:szCs w:val="22"/>
          <w:lang w:eastAsia="de-DE"/>
        </w:rPr>
        <w:t>) for financial instruments to be considered “highly liquid assets”.</w:t>
      </w:r>
    </w:p>
    <w:p w:rsidR="003C0864" w:rsidRPr="00F5551F" w:rsidRDefault="003C0864" w:rsidP="00B02B38">
      <w:pPr>
        <w:pStyle w:val="Default"/>
        <w:numPr>
          <w:ilvl w:val="0"/>
          <w:numId w:val="13"/>
        </w:numPr>
        <w:contextualSpacing/>
        <w:jc w:val="both"/>
        <w:rPr>
          <w:rFonts w:ascii="DIN-Regular" w:hAnsi="DIN-Regular" w:cs="Arial"/>
          <w:color w:val="auto"/>
          <w:sz w:val="22"/>
          <w:szCs w:val="22"/>
          <w:lang w:eastAsia="de-DE"/>
        </w:rPr>
      </w:pPr>
      <w:r w:rsidRPr="00F5551F">
        <w:rPr>
          <w:rFonts w:ascii="DIN-Regular" w:hAnsi="DIN-Regular" w:cs="Arial"/>
          <w:color w:val="auto"/>
          <w:sz w:val="22"/>
          <w:szCs w:val="22"/>
          <w:lang w:eastAsia="de-DE"/>
        </w:rPr>
        <w:t>Article 20</w:t>
      </w:r>
      <w:r w:rsidR="009463DD" w:rsidRPr="00F5551F">
        <w:rPr>
          <w:rFonts w:ascii="DIN-Regular" w:hAnsi="DIN-Regular" w:cs="Arial"/>
          <w:color w:val="auto"/>
          <w:sz w:val="22"/>
          <w:szCs w:val="22"/>
          <w:lang w:eastAsia="de-DE"/>
        </w:rPr>
        <w:t xml:space="preserve"> (</w:t>
      </w:r>
      <w:r w:rsidRPr="00F5551F">
        <w:rPr>
          <w:rFonts w:ascii="DIN-Regular" w:hAnsi="DIN-Regular" w:cs="Arial"/>
          <w:color w:val="auto"/>
          <w:sz w:val="22"/>
          <w:szCs w:val="22"/>
          <w:lang w:eastAsia="de-DE"/>
        </w:rPr>
        <w:t>2</w:t>
      </w:r>
      <w:r w:rsidR="009463DD" w:rsidRPr="00F5551F">
        <w:rPr>
          <w:rFonts w:ascii="DIN-Regular" w:hAnsi="DIN-Regular" w:cs="Arial"/>
          <w:color w:val="auto"/>
          <w:sz w:val="22"/>
          <w:szCs w:val="22"/>
          <w:lang w:eastAsia="de-DE"/>
        </w:rPr>
        <w:t>)</w:t>
      </w:r>
      <w:r w:rsidRPr="00F5551F">
        <w:rPr>
          <w:rFonts w:ascii="DIN-Regular" w:hAnsi="DIN-Regular" w:cs="Arial"/>
          <w:color w:val="auto"/>
          <w:sz w:val="22"/>
          <w:szCs w:val="22"/>
          <w:lang w:eastAsia="de-DE"/>
        </w:rPr>
        <w:t xml:space="preserve"> </w:t>
      </w:r>
      <w:r w:rsidR="00387E7C">
        <w:rPr>
          <w:rFonts w:ascii="DIN-Regular" w:hAnsi="DIN-Regular" w:cs="Arial"/>
          <w:color w:val="auto"/>
          <w:sz w:val="22"/>
          <w:szCs w:val="22"/>
          <w:lang w:eastAsia="de-DE"/>
        </w:rPr>
        <w:t xml:space="preserve">draft RTS </w:t>
      </w:r>
      <w:r w:rsidRPr="00F5551F">
        <w:rPr>
          <w:rFonts w:ascii="DIN-Regular" w:hAnsi="DIN-Regular" w:cs="Arial"/>
          <w:color w:val="auto"/>
          <w:sz w:val="22"/>
          <w:szCs w:val="22"/>
          <w:lang w:eastAsia="de-DE"/>
        </w:rPr>
        <w:t>sets out three conditions (</w:t>
      </w:r>
      <w:r w:rsidR="0053093D" w:rsidRPr="00F5551F">
        <w:rPr>
          <w:rFonts w:ascii="DIN-Regular" w:hAnsi="DIN-Regular" w:cs="Arial"/>
          <w:color w:val="auto"/>
          <w:sz w:val="22"/>
          <w:szCs w:val="22"/>
          <w:lang w:eastAsia="de-DE"/>
        </w:rPr>
        <w:t>which also come on top of the conditions already set in Article 19</w:t>
      </w:r>
      <w:r w:rsidR="00387E7C">
        <w:rPr>
          <w:rFonts w:ascii="DIN-Regular" w:hAnsi="DIN-Regular" w:cs="Arial"/>
          <w:color w:val="auto"/>
          <w:sz w:val="22"/>
          <w:szCs w:val="22"/>
          <w:lang w:eastAsia="de-DE"/>
        </w:rPr>
        <w:t xml:space="preserve"> draft RTS</w:t>
      </w:r>
      <w:r w:rsidRPr="00F5551F">
        <w:rPr>
          <w:rFonts w:ascii="DIN-Regular" w:hAnsi="DIN-Regular" w:cs="Arial"/>
          <w:color w:val="auto"/>
          <w:sz w:val="22"/>
          <w:szCs w:val="22"/>
          <w:lang w:eastAsia="de-DE"/>
        </w:rPr>
        <w:t>) for financial instruments to be considered “securities settled in the trade”.</w:t>
      </w:r>
    </w:p>
    <w:p w:rsidR="003C0864" w:rsidRPr="00F5551F" w:rsidRDefault="003C0864" w:rsidP="00DA6980">
      <w:pPr>
        <w:pStyle w:val="Default"/>
        <w:contextualSpacing/>
        <w:jc w:val="both"/>
        <w:rPr>
          <w:rFonts w:ascii="DIN-Regular" w:hAnsi="DIN-Regular" w:cs="Arial"/>
          <w:color w:val="auto"/>
          <w:sz w:val="22"/>
          <w:szCs w:val="22"/>
          <w:lang w:eastAsia="de-DE"/>
        </w:rPr>
      </w:pPr>
    </w:p>
    <w:p w:rsidR="003C0864" w:rsidRPr="00F5551F" w:rsidRDefault="003C0864" w:rsidP="00DA6980">
      <w:pPr>
        <w:pStyle w:val="Default"/>
        <w:contextualSpacing/>
        <w:jc w:val="both"/>
        <w:rPr>
          <w:rFonts w:ascii="DIN-Regular" w:hAnsi="DIN-Regular" w:cs="Arial"/>
          <w:sz w:val="22"/>
          <w:szCs w:val="22"/>
          <w:lang w:eastAsia="de-DE"/>
        </w:rPr>
      </w:pPr>
      <w:proofErr w:type="spellStart"/>
      <w:r w:rsidRPr="00F5551F">
        <w:rPr>
          <w:rFonts w:ascii="DIN-Regular" w:hAnsi="DIN-Regular" w:cs="Arial"/>
          <w:color w:val="auto"/>
          <w:sz w:val="22"/>
          <w:szCs w:val="22"/>
          <w:lang w:eastAsia="de-DE"/>
        </w:rPr>
        <w:t>Clearstream</w:t>
      </w:r>
      <w:proofErr w:type="spellEnd"/>
      <w:r w:rsidRPr="00F5551F">
        <w:rPr>
          <w:rFonts w:ascii="DIN-Regular" w:hAnsi="DIN-Regular" w:cs="Arial"/>
          <w:color w:val="auto"/>
          <w:sz w:val="22"/>
          <w:szCs w:val="22"/>
          <w:lang w:eastAsia="de-DE"/>
        </w:rPr>
        <w:t xml:space="preserve"> does not see any benefit on the proposed segmentation of collateral and proposes the EBA </w:t>
      </w:r>
      <w:r w:rsidRPr="00F5551F">
        <w:rPr>
          <w:rFonts w:ascii="DIN-Regular" w:hAnsi="DIN-Regular" w:cs="Arial"/>
          <w:sz w:val="22"/>
          <w:szCs w:val="22"/>
          <w:lang w:eastAsia="de-DE"/>
        </w:rPr>
        <w:t xml:space="preserve">to </w:t>
      </w:r>
      <w:r w:rsidR="00AA5C0D" w:rsidRPr="00F5551F">
        <w:rPr>
          <w:rFonts w:ascii="DIN-Regular" w:hAnsi="DIN-Regular" w:cs="Arial"/>
          <w:sz w:val="22"/>
          <w:szCs w:val="22"/>
          <w:lang w:eastAsia="de-DE"/>
        </w:rPr>
        <w:t xml:space="preserve">strongly </w:t>
      </w:r>
      <w:r w:rsidRPr="00F5551F">
        <w:rPr>
          <w:rFonts w:ascii="DIN-Regular" w:hAnsi="DIN-Regular" w:cs="Arial"/>
          <w:sz w:val="22"/>
          <w:szCs w:val="22"/>
          <w:lang w:eastAsia="de-DE"/>
        </w:rPr>
        <w:t xml:space="preserve">re-consider the collateral eligibility requirements along simpler lines.  </w:t>
      </w:r>
    </w:p>
    <w:p w:rsidR="003C0864" w:rsidRPr="00F5551F" w:rsidRDefault="003C0864" w:rsidP="00DA6980">
      <w:pPr>
        <w:pStyle w:val="Default"/>
        <w:contextualSpacing/>
        <w:jc w:val="both"/>
        <w:rPr>
          <w:rFonts w:ascii="DIN-Regular" w:hAnsi="DIN-Regular" w:cs="Arial"/>
          <w:sz w:val="22"/>
          <w:szCs w:val="22"/>
          <w:lang w:eastAsia="de-DE"/>
        </w:rPr>
      </w:pPr>
    </w:p>
    <w:p w:rsidR="00BA048F" w:rsidRPr="00F5551F" w:rsidRDefault="00BA048F" w:rsidP="00BA048F">
      <w:pPr>
        <w:pStyle w:val="Default"/>
        <w:contextualSpacing/>
        <w:jc w:val="both"/>
        <w:rPr>
          <w:rFonts w:ascii="DIN-Regular" w:hAnsi="DIN-Regular" w:cs="Arial"/>
          <w:sz w:val="22"/>
          <w:szCs w:val="22"/>
          <w:lang w:eastAsia="de-DE"/>
        </w:rPr>
      </w:pPr>
      <w:r w:rsidRPr="00F5551F">
        <w:rPr>
          <w:rFonts w:ascii="DIN-Regular" w:hAnsi="DIN-Regular" w:cs="Arial"/>
          <w:sz w:val="22"/>
          <w:szCs w:val="22"/>
          <w:lang w:eastAsia="de-DE"/>
        </w:rPr>
        <w:t xml:space="preserve">Accordingly, </w:t>
      </w:r>
      <w:proofErr w:type="spellStart"/>
      <w:r w:rsidRPr="00F5551F">
        <w:rPr>
          <w:rFonts w:ascii="DIN-Regular" w:hAnsi="DIN-Regular" w:cs="Arial"/>
          <w:sz w:val="22"/>
          <w:szCs w:val="22"/>
          <w:lang w:eastAsia="de-DE"/>
        </w:rPr>
        <w:t>Clearstream</w:t>
      </w:r>
      <w:proofErr w:type="spellEnd"/>
      <w:r w:rsidRPr="00F5551F">
        <w:rPr>
          <w:rFonts w:ascii="DIN-Regular" w:hAnsi="DIN-Regular" w:cs="Arial"/>
          <w:sz w:val="22"/>
          <w:szCs w:val="22"/>
          <w:lang w:eastAsia="de-DE"/>
        </w:rPr>
        <w:t xml:space="preserve"> proposes to amend Article 18 to avoid the requirement for different hierarchies of collateral and to merge paragraphs 1 and 2 of Article 19, as follows:</w:t>
      </w:r>
    </w:p>
    <w:p w:rsidR="001A72A5" w:rsidRPr="00F5551F" w:rsidRDefault="001A72A5" w:rsidP="00DA6980">
      <w:pPr>
        <w:pStyle w:val="Default"/>
        <w:contextualSpacing/>
        <w:jc w:val="both"/>
        <w:rPr>
          <w:rFonts w:ascii="DIN-Regular" w:hAnsi="DIN-Regular" w:cs="Arial"/>
          <w:sz w:val="22"/>
          <w:szCs w:val="22"/>
          <w:lang w:eastAsia="de-DE"/>
        </w:rPr>
      </w:pPr>
    </w:p>
    <w:p w:rsidR="003C0864" w:rsidRPr="00F5551F" w:rsidRDefault="00F5551F" w:rsidP="00305E20">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sz w:val="22"/>
          <w:szCs w:val="22"/>
          <w:lang w:eastAsia="de-DE"/>
        </w:rPr>
      </w:pPr>
      <w:r w:rsidRPr="00F5551F">
        <w:rPr>
          <w:rFonts w:ascii="DIN-Regular" w:hAnsi="DIN-Regular" w:cs="Arial"/>
          <w:b/>
          <w:i/>
          <w:sz w:val="22"/>
          <w:szCs w:val="22"/>
          <w:lang w:eastAsia="de-DE"/>
        </w:rPr>
        <w:t xml:space="preserve">Amended </w:t>
      </w:r>
      <w:r w:rsidR="00AA5C0D" w:rsidRPr="00F5551F">
        <w:rPr>
          <w:rFonts w:ascii="DIN-Regular" w:hAnsi="DIN-Regular" w:cs="Arial"/>
          <w:b/>
          <w:i/>
          <w:sz w:val="22"/>
          <w:szCs w:val="22"/>
          <w:lang w:eastAsia="de-DE"/>
        </w:rPr>
        <w:t>Article 18</w:t>
      </w:r>
    </w:p>
    <w:p w:rsidR="003C0864" w:rsidRPr="00F5551F" w:rsidRDefault="003C0864" w:rsidP="00305E20">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i/>
          <w:sz w:val="22"/>
          <w:szCs w:val="22"/>
          <w:lang w:eastAsia="de-DE"/>
        </w:rPr>
      </w:pPr>
      <w:r w:rsidRPr="00F5551F">
        <w:rPr>
          <w:rFonts w:ascii="DIN-Regular" w:hAnsi="DIN-Regular" w:cs="Arial"/>
          <w:i/>
          <w:sz w:val="22"/>
          <w:szCs w:val="22"/>
          <w:lang w:eastAsia="de-DE"/>
        </w:rPr>
        <w:t>1. For the purpose of measuring, monitoring and managing its collateral, as referred to in points (c) and (d) of Article 59(3) of Regulation (EU) No 909/2014, a CSD-banking service provider shall, in particular:</w:t>
      </w:r>
    </w:p>
    <w:p w:rsidR="003C0864" w:rsidRPr="00F5551F" w:rsidRDefault="003C0864" w:rsidP="00305E20">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i/>
          <w:sz w:val="22"/>
          <w:szCs w:val="22"/>
          <w:lang w:eastAsia="de-DE"/>
        </w:rPr>
      </w:pPr>
      <w:r w:rsidRPr="00F5551F">
        <w:rPr>
          <w:rFonts w:ascii="DIN-Regular" w:hAnsi="DIN-Regular" w:cs="Arial"/>
          <w:i/>
          <w:sz w:val="22"/>
          <w:szCs w:val="22"/>
          <w:lang w:eastAsia="de-DE"/>
        </w:rPr>
        <w:t xml:space="preserve">(a) </w:t>
      </w:r>
      <w:proofErr w:type="gramStart"/>
      <w:r w:rsidRPr="00F5551F">
        <w:rPr>
          <w:rFonts w:ascii="DIN-Regular" w:hAnsi="DIN-Regular" w:cs="Arial"/>
          <w:i/>
          <w:sz w:val="22"/>
          <w:szCs w:val="22"/>
          <w:lang w:eastAsia="de-DE"/>
        </w:rPr>
        <w:t>maintain</w:t>
      </w:r>
      <w:proofErr w:type="gramEnd"/>
      <w:r w:rsidRPr="00F5551F">
        <w:rPr>
          <w:rFonts w:ascii="DIN-Regular" w:hAnsi="DIN-Regular" w:cs="Arial"/>
          <w:i/>
          <w:sz w:val="22"/>
          <w:szCs w:val="22"/>
          <w:lang w:eastAsia="de-DE"/>
        </w:rPr>
        <w:t xml:space="preserve"> the collateral referred to in point (c) of Article 59(3) of Regulation (EU) No 909/2014, segregated from the other securities of the borrowing participant;</w:t>
      </w:r>
    </w:p>
    <w:p w:rsidR="003C0864" w:rsidRPr="00F5551F" w:rsidRDefault="003C0864" w:rsidP="00305E20">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i/>
          <w:sz w:val="22"/>
          <w:szCs w:val="22"/>
          <w:lang w:eastAsia="de-DE"/>
        </w:rPr>
      </w:pPr>
      <w:r w:rsidRPr="00F5551F">
        <w:rPr>
          <w:rFonts w:ascii="DIN-Regular" w:hAnsi="DIN-Regular" w:cs="Arial"/>
          <w:i/>
          <w:sz w:val="22"/>
          <w:szCs w:val="22"/>
          <w:lang w:eastAsia="de-DE"/>
        </w:rPr>
        <w:t xml:space="preserve">(b) </w:t>
      </w:r>
      <w:proofErr w:type="gramStart"/>
      <w:r w:rsidRPr="00F5551F">
        <w:rPr>
          <w:rFonts w:ascii="DIN-Regular" w:hAnsi="DIN-Regular" w:cs="Arial"/>
          <w:i/>
          <w:sz w:val="22"/>
          <w:szCs w:val="22"/>
          <w:lang w:eastAsia="de-DE"/>
        </w:rPr>
        <w:t>accept</w:t>
      </w:r>
      <w:proofErr w:type="gramEnd"/>
      <w:r w:rsidRPr="00F5551F">
        <w:rPr>
          <w:rFonts w:ascii="DIN-Regular" w:hAnsi="DIN-Regular" w:cs="Arial"/>
          <w:i/>
          <w:sz w:val="22"/>
          <w:szCs w:val="22"/>
          <w:lang w:eastAsia="de-DE"/>
        </w:rPr>
        <w:t xml:space="preserve"> collateral that is highly liquid as referred to in Article 19.</w:t>
      </w:r>
    </w:p>
    <w:p w:rsidR="003C0864" w:rsidRPr="00F5551F" w:rsidRDefault="003C0864" w:rsidP="00305E20">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i/>
          <w:sz w:val="22"/>
          <w:szCs w:val="22"/>
          <w:lang w:eastAsia="de-DE"/>
        </w:rPr>
      </w:pPr>
      <w:r w:rsidRPr="00F5551F">
        <w:rPr>
          <w:rFonts w:ascii="DIN-Regular" w:hAnsi="DIN-Regular" w:cs="Arial"/>
          <w:i/>
          <w:sz w:val="22"/>
          <w:szCs w:val="22"/>
          <w:lang w:eastAsia="de-DE"/>
        </w:rPr>
        <w:t xml:space="preserve">(c) </w:t>
      </w:r>
      <w:proofErr w:type="gramStart"/>
      <w:r w:rsidRPr="00F5551F">
        <w:rPr>
          <w:rFonts w:ascii="DIN-Regular" w:hAnsi="DIN-Regular" w:cs="Arial"/>
          <w:i/>
          <w:sz w:val="22"/>
          <w:szCs w:val="22"/>
          <w:lang w:eastAsia="de-DE"/>
        </w:rPr>
        <w:t>monitor</w:t>
      </w:r>
      <w:proofErr w:type="gramEnd"/>
      <w:r w:rsidRPr="00F5551F">
        <w:rPr>
          <w:rFonts w:ascii="DIN-Regular" w:hAnsi="DIN-Regular" w:cs="Arial"/>
          <w:i/>
          <w:sz w:val="22"/>
          <w:szCs w:val="22"/>
          <w:lang w:eastAsia="de-DE"/>
        </w:rPr>
        <w:t xml:space="preserve"> the credit quality, market liquidity and price volatility of each security collected as collateral, in accordance with Article 21;</w:t>
      </w:r>
    </w:p>
    <w:p w:rsidR="003C0864" w:rsidRPr="00F5551F" w:rsidRDefault="003C0864" w:rsidP="00305E20">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i/>
          <w:sz w:val="22"/>
          <w:szCs w:val="22"/>
          <w:lang w:eastAsia="de-DE"/>
        </w:rPr>
      </w:pPr>
      <w:r w:rsidRPr="00F5551F">
        <w:rPr>
          <w:rFonts w:ascii="DIN-Regular" w:hAnsi="DIN-Regular" w:cs="Arial"/>
          <w:i/>
          <w:sz w:val="22"/>
          <w:szCs w:val="22"/>
          <w:lang w:eastAsia="de-DE"/>
        </w:rPr>
        <w:t xml:space="preserve">(d) </w:t>
      </w:r>
      <w:proofErr w:type="gramStart"/>
      <w:r w:rsidRPr="00F5551F">
        <w:rPr>
          <w:rFonts w:ascii="DIN-Regular" w:hAnsi="DIN-Regular" w:cs="Arial"/>
          <w:i/>
          <w:sz w:val="22"/>
          <w:szCs w:val="22"/>
          <w:lang w:eastAsia="de-DE"/>
        </w:rPr>
        <w:t>specify</w:t>
      </w:r>
      <w:proofErr w:type="gramEnd"/>
      <w:r w:rsidRPr="00F5551F">
        <w:rPr>
          <w:rFonts w:ascii="DIN-Regular" w:hAnsi="DIN-Regular" w:cs="Arial"/>
          <w:i/>
          <w:sz w:val="22"/>
          <w:szCs w:val="22"/>
          <w:lang w:eastAsia="de-DE"/>
        </w:rPr>
        <w:t xml:space="preserve"> methodologies related to the haircuts applied to the collateral value, in accordance with Article 22;</w:t>
      </w:r>
    </w:p>
    <w:p w:rsidR="003C0864" w:rsidRPr="00F5551F" w:rsidRDefault="003C0864" w:rsidP="00305E20">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i/>
          <w:sz w:val="22"/>
          <w:szCs w:val="22"/>
          <w:lang w:eastAsia="de-DE"/>
        </w:rPr>
      </w:pPr>
      <w:r w:rsidRPr="00F5551F">
        <w:rPr>
          <w:rFonts w:ascii="DIN-Regular" w:hAnsi="DIN-Regular" w:cs="Arial"/>
          <w:i/>
          <w:sz w:val="22"/>
          <w:szCs w:val="22"/>
          <w:lang w:eastAsia="de-DE"/>
        </w:rPr>
        <w:t xml:space="preserve">(e) </w:t>
      </w:r>
      <w:proofErr w:type="gramStart"/>
      <w:r w:rsidRPr="00F5551F">
        <w:rPr>
          <w:rFonts w:ascii="DIN-Regular" w:hAnsi="DIN-Regular" w:cs="Arial"/>
          <w:i/>
          <w:sz w:val="22"/>
          <w:szCs w:val="22"/>
          <w:lang w:eastAsia="de-DE"/>
        </w:rPr>
        <w:t>ensure</w:t>
      </w:r>
      <w:proofErr w:type="gramEnd"/>
      <w:r w:rsidRPr="00F5551F">
        <w:rPr>
          <w:rFonts w:ascii="DIN-Regular" w:hAnsi="DIN-Regular" w:cs="Arial"/>
          <w:i/>
          <w:sz w:val="22"/>
          <w:szCs w:val="22"/>
          <w:lang w:eastAsia="de-DE"/>
        </w:rPr>
        <w:t xml:space="preserve"> that the collateral remains sufficiently diversified to allow its liquidation without a significant market impact, in accordance with Article 23.</w:t>
      </w:r>
    </w:p>
    <w:p w:rsidR="003C0864" w:rsidRPr="00F5551F" w:rsidRDefault="003C0864" w:rsidP="00305E20">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i/>
          <w:sz w:val="22"/>
          <w:szCs w:val="22"/>
          <w:lang w:eastAsia="de-DE"/>
        </w:rPr>
      </w:pPr>
    </w:p>
    <w:p w:rsidR="00AA5C0D" w:rsidRPr="00F5551F" w:rsidRDefault="00F5551F" w:rsidP="00305E20">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sz w:val="22"/>
          <w:szCs w:val="22"/>
          <w:lang w:eastAsia="de-DE"/>
        </w:rPr>
      </w:pPr>
      <w:r w:rsidRPr="00F5551F">
        <w:rPr>
          <w:rFonts w:ascii="DIN-Regular" w:hAnsi="DIN-Regular" w:cs="Arial"/>
          <w:b/>
          <w:i/>
          <w:sz w:val="22"/>
          <w:szCs w:val="22"/>
          <w:lang w:eastAsia="de-DE"/>
        </w:rPr>
        <w:t xml:space="preserve">Amended </w:t>
      </w:r>
      <w:r w:rsidR="00AA5C0D" w:rsidRPr="00F5551F">
        <w:rPr>
          <w:rFonts w:ascii="DIN-Regular" w:hAnsi="DIN-Regular" w:cs="Arial"/>
          <w:b/>
          <w:i/>
          <w:sz w:val="22"/>
          <w:szCs w:val="22"/>
          <w:lang w:eastAsia="de-DE"/>
        </w:rPr>
        <w:t>Article 19</w:t>
      </w:r>
    </w:p>
    <w:p w:rsidR="003C0864" w:rsidRPr="00F5551F" w:rsidRDefault="003C0864" w:rsidP="00305E20">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i/>
          <w:sz w:val="22"/>
          <w:szCs w:val="22"/>
          <w:lang w:eastAsia="de-DE"/>
        </w:rPr>
      </w:pPr>
      <w:r w:rsidRPr="00F5551F">
        <w:rPr>
          <w:rFonts w:ascii="DIN-Regular" w:hAnsi="DIN-Regular" w:cs="Arial"/>
          <w:i/>
          <w:sz w:val="22"/>
          <w:szCs w:val="22"/>
          <w:lang w:eastAsia="de-DE"/>
        </w:rPr>
        <w:t xml:space="preserve">For the purposes of point (b) of Article 18 (1), financial instruments shall be considered as highly liquid collateral, where they are instruments that meet all of the following conditions: </w:t>
      </w:r>
    </w:p>
    <w:p w:rsidR="003C0864" w:rsidRPr="00F5551F" w:rsidRDefault="003C0864" w:rsidP="00305E20">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i/>
          <w:sz w:val="22"/>
          <w:szCs w:val="22"/>
          <w:lang w:eastAsia="de-DE"/>
        </w:rPr>
      </w:pPr>
      <w:r w:rsidRPr="00F5551F">
        <w:rPr>
          <w:rFonts w:ascii="DIN-Regular" w:hAnsi="DIN-Regular" w:cs="Arial"/>
          <w:i/>
          <w:sz w:val="22"/>
          <w:szCs w:val="22"/>
          <w:lang w:eastAsia="de-DE"/>
        </w:rPr>
        <w:t xml:space="preserve">(a) the financial instruments have been issued by an issuer that has low credit and market risk based on an adequate internal assessment by the CSD-banking service provider, employing a defined and </w:t>
      </w:r>
      <w:r w:rsidRPr="00F5551F">
        <w:rPr>
          <w:rFonts w:ascii="DIN-Regular" w:hAnsi="DIN-Regular" w:cs="Arial"/>
          <w:i/>
          <w:sz w:val="22"/>
          <w:szCs w:val="22"/>
          <w:lang w:eastAsia="de-DE"/>
        </w:rPr>
        <w:lastRenderedPageBreak/>
        <w:t>objective methodology that does not rely fully on external opinions and that takes into consideration the risk arising from the establishment of the issuer in a particular country;</w:t>
      </w:r>
    </w:p>
    <w:p w:rsidR="003C0864" w:rsidRPr="00F5551F" w:rsidRDefault="003C0864" w:rsidP="00305E20">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i/>
          <w:sz w:val="22"/>
          <w:szCs w:val="22"/>
          <w:lang w:eastAsia="de-DE"/>
        </w:rPr>
      </w:pPr>
      <w:r w:rsidRPr="00F5551F">
        <w:rPr>
          <w:rFonts w:ascii="DIN-Regular" w:hAnsi="DIN-Regular" w:cs="Arial"/>
          <w:i/>
          <w:sz w:val="22"/>
          <w:szCs w:val="22"/>
          <w:lang w:eastAsia="de-DE"/>
        </w:rPr>
        <w:t xml:space="preserve">(b) </w:t>
      </w:r>
      <w:proofErr w:type="gramStart"/>
      <w:r w:rsidRPr="00F5551F">
        <w:rPr>
          <w:rFonts w:ascii="DIN-Regular" w:hAnsi="DIN-Regular" w:cs="Arial"/>
          <w:i/>
          <w:sz w:val="22"/>
          <w:szCs w:val="22"/>
          <w:lang w:eastAsia="de-DE"/>
        </w:rPr>
        <w:t>they</w:t>
      </w:r>
      <w:proofErr w:type="gramEnd"/>
      <w:r w:rsidRPr="00F5551F">
        <w:rPr>
          <w:rFonts w:ascii="DIN-Regular" w:hAnsi="DIN-Regular" w:cs="Arial"/>
          <w:i/>
          <w:sz w:val="22"/>
          <w:szCs w:val="22"/>
          <w:lang w:eastAsia="de-DE"/>
        </w:rPr>
        <w:t xml:space="preserve"> are denominated in one of the following currencies:</w:t>
      </w:r>
    </w:p>
    <w:p w:rsidR="003C0864" w:rsidRPr="00F5551F" w:rsidRDefault="003C0864" w:rsidP="00305E20">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i/>
          <w:sz w:val="22"/>
          <w:szCs w:val="22"/>
          <w:lang w:eastAsia="de-DE"/>
        </w:rPr>
      </w:pPr>
      <w:r w:rsidRPr="00F5551F">
        <w:rPr>
          <w:rFonts w:ascii="DIN-Regular" w:hAnsi="DIN-Regular" w:cs="Arial"/>
          <w:i/>
          <w:sz w:val="22"/>
          <w:szCs w:val="22"/>
          <w:lang w:eastAsia="de-DE"/>
        </w:rPr>
        <w:t>(</w:t>
      </w:r>
      <w:proofErr w:type="spellStart"/>
      <w:r w:rsidRPr="00F5551F">
        <w:rPr>
          <w:rFonts w:ascii="DIN-Regular" w:hAnsi="DIN-Regular" w:cs="Arial"/>
          <w:i/>
          <w:sz w:val="22"/>
          <w:szCs w:val="22"/>
          <w:lang w:eastAsia="de-DE"/>
        </w:rPr>
        <w:t>i</w:t>
      </w:r>
      <w:proofErr w:type="spellEnd"/>
      <w:r w:rsidRPr="00F5551F">
        <w:rPr>
          <w:rFonts w:ascii="DIN-Regular" w:hAnsi="DIN-Regular" w:cs="Arial"/>
          <w:i/>
          <w:sz w:val="22"/>
          <w:szCs w:val="22"/>
          <w:lang w:eastAsia="de-DE"/>
        </w:rPr>
        <w:t xml:space="preserve">) </w:t>
      </w:r>
      <w:proofErr w:type="gramStart"/>
      <w:r w:rsidRPr="00F5551F">
        <w:rPr>
          <w:rFonts w:ascii="DIN-Regular" w:hAnsi="DIN-Regular" w:cs="Arial"/>
          <w:i/>
          <w:sz w:val="22"/>
          <w:szCs w:val="22"/>
          <w:lang w:eastAsia="de-DE"/>
        </w:rPr>
        <w:t>a</w:t>
      </w:r>
      <w:proofErr w:type="gramEnd"/>
      <w:r w:rsidRPr="00F5551F">
        <w:rPr>
          <w:rFonts w:ascii="DIN-Regular" w:hAnsi="DIN-Regular" w:cs="Arial"/>
          <w:i/>
          <w:sz w:val="22"/>
          <w:szCs w:val="22"/>
          <w:lang w:eastAsia="de-DE"/>
        </w:rPr>
        <w:t xml:space="preserve"> currency in which the CSD-banking service provider is able to manage;</w:t>
      </w:r>
    </w:p>
    <w:p w:rsidR="003C0864" w:rsidRPr="00F5551F" w:rsidRDefault="003C0864" w:rsidP="00305E20">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i/>
          <w:sz w:val="22"/>
          <w:szCs w:val="22"/>
          <w:lang w:eastAsia="de-DE"/>
        </w:rPr>
      </w:pPr>
      <w:r w:rsidRPr="00F5551F">
        <w:rPr>
          <w:rFonts w:ascii="DIN-Regular" w:hAnsi="DIN-Regular" w:cs="Arial"/>
          <w:i/>
          <w:sz w:val="22"/>
          <w:szCs w:val="22"/>
          <w:lang w:eastAsia="de-DE"/>
        </w:rPr>
        <w:t xml:space="preserve">(ii) </w:t>
      </w:r>
      <w:proofErr w:type="gramStart"/>
      <w:r w:rsidRPr="00F5551F">
        <w:rPr>
          <w:rFonts w:ascii="DIN-Regular" w:hAnsi="DIN-Regular" w:cs="Arial"/>
          <w:i/>
          <w:sz w:val="22"/>
          <w:szCs w:val="22"/>
          <w:lang w:eastAsia="de-DE"/>
        </w:rPr>
        <w:t>a</w:t>
      </w:r>
      <w:proofErr w:type="gramEnd"/>
      <w:r w:rsidRPr="00F5551F">
        <w:rPr>
          <w:rFonts w:ascii="DIN-Regular" w:hAnsi="DIN-Regular" w:cs="Arial"/>
          <w:i/>
          <w:sz w:val="22"/>
          <w:szCs w:val="22"/>
          <w:lang w:eastAsia="de-DE"/>
        </w:rPr>
        <w:t xml:space="preserve"> currency in which transactions are settled by the CSD-banking service provider in the securities settlement system;</w:t>
      </w:r>
    </w:p>
    <w:p w:rsidR="003C0864" w:rsidRPr="00F5551F" w:rsidRDefault="003C0864" w:rsidP="00305E20">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i/>
          <w:sz w:val="22"/>
          <w:szCs w:val="22"/>
          <w:lang w:eastAsia="de-DE"/>
        </w:rPr>
      </w:pPr>
      <w:r w:rsidRPr="00F5551F">
        <w:rPr>
          <w:rFonts w:ascii="DIN-Regular" w:hAnsi="DIN-Regular" w:cs="Arial"/>
          <w:i/>
          <w:sz w:val="22"/>
          <w:szCs w:val="22"/>
          <w:lang w:eastAsia="de-DE"/>
        </w:rPr>
        <w:t xml:space="preserve">(c) </w:t>
      </w:r>
      <w:proofErr w:type="gramStart"/>
      <w:r w:rsidRPr="00F5551F">
        <w:rPr>
          <w:rFonts w:ascii="DIN-Regular" w:hAnsi="DIN-Regular" w:cs="Arial"/>
          <w:i/>
          <w:sz w:val="22"/>
          <w:szCs w:val="22"/>
          <w:lang w:eastAsia="de-DE"/>
        </w:rPr>
        <w:t>they</w:t>
      </w:r>
      <w:proofErr w:type="gramEnd"/>
      <w:r w:rsidRPr="00F5551F">
        <w:rPr>
          <w:rFonts w:ascii="DIN-Regular" w:hAnsi="DIN-Regular" w:cs="Arial"/>
          <w:i/>
          <w:sz w:val="22"/>
          <w:szCs w:val="22"/>
          <w:lang w:eastAsia="de-DE"/>
        </w:rPr>
        <w:t xml:space="preserve"> are freely transferable and without any legal constraint or third party claims that impair liquidation;</w:t>
      </w:r>
    </w:p>
    <w:p w:rsidR="003C0864" w:rsidRPr="00F5551F" w:rsidRDefault="003C0864" w:rsidP="00305E20">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i/>
          <w:sz w:val="22"/>
          <w:szCs w:val="22"/>
          <w:lang w:eastAsia="de-DE"/>
        </w:rPr>
      </w:pPr>
      <w:r w:rsidRPr="00F5551F">
        <w:rPr>
          <w:rFonts w:ascii="DIN-Regular" w:hAnsi="DIN-Regular" w:cs="Arial"/>
          <w:i/>
          <w:sz w:val="22"/>
          <w:szCs w:val="22"/>
          <w:lang w:eastAsia="de-DE"/>
        </w:rPr>
        <w:t xml:space="preserve">(d) </w:t>
      </w:r>
      <w:proofErr w:type="gramStart"/>
      <w:r w:rsidRPr="00F5551F">
        <w:rPr>
          <w:rFonts w:ascii="DIN-Regular" w:hAnsi="DIN-Regular" w:cs="Arial"/>
          <w:i/>
          <w:sz w:val="22"/>
          <w:szCs w:val="22"/>
          <w:lang w:eastAsia="de-DE"/>
        </w:rPr>
        <w:t>they</w:t>
      </w:r>
      <w:proofErr w:type="gramEnd"/>
      <w:r w:rsidRPr="00F5551F">
        <w:rPr>
          <w:rFonts w:ascii="DIN-Regular" w:hAnsi="DIN-Regular" w:cs="Arial"/>
          <w:i/>
          <w:sz w:val="22"/>
          <w:szCs w:val="22"/>
          <w:lang w:eastAsia="de-DE"/>
        </w:rPr>
        <w:t xml:space="preserve"> have an active outright sale or repurchase agreement market, with a diverse group of buyers and sellers, to which the CSD-banking service provider can demonstrate reliable access, including under stressed conditions;</w:t>
      </w:r>
    </w:p>
    <w:p w:rsidR="003C0864" w:rsidRPr="00F5551F" w:rsidRDefault="003C0864" w:rsidP="00305E20">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i/>
          <w:sz w:val="22"/>
          <w:szCs w:val="22"/>
          <w:lang w:eastAsia="de-DE"/>
        </w:rPr>
      </w:pPr>
      <w:r w:rsidRPr="00F5551F">
        <w:rPr>
          <w:rFonts w:ascii="DIN-Regular" w:hAnsi="DIN-Regular" w:cs="Arial"/>
          <w:i/>
          <w:sz w:val="22"/>
          <w:szCs w:val="22"/>
          <w:lang w:eastAsia="de-DE"/>
        </w:rPr>
        <w:t xml:space="preserve">(e) </w:t>
      </w:r>
      <w:proofErr w:type="gramStart"/>
      <w:r w:rsidRPr="00F5551F">
        <w:rPr>
          <w:rFonts w:ascii="DIN-Regular" w:hAnsi="DIN-Regular" w:cs="Arial"/>
          <w:i/>
          <w:sz w:val="22"/>
          <w:szCs w:val="22"/>
          <w:lang w:eastAsia="de-DE"/>
        </w:rPr>
        <w:t>price</w:t>
      </w:r>
      <w:proofErr w:type="gramEnd"/>
      <w:r w:rsidRPr="00F5551F">
        <w:rPr>
          <w:rFonts w:ascii="DIN-Regular" w:hAnsi="DIN-Regular" w:cs="Arial"/>
          <w:i/>
          <w:sz w:val="22"/>
          <w:szCs w:val="22"/>
          <w:lang w:eastAsia="de-DE"/>
        </w:rPr>
        <w:t xml:space="preserve"> data on these instruments are publicly available;</w:t>
      </w:r>
    </w:p>
    <w:p w:rsidR="00AA5C0D" w:rsidRPr="00F5551F" w:rsidRDefault="003C0864" w:rsidP="00305E20">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sz w:val="22"/>
          <w:szCs w:val="22"/>
          <w:lang w:eastAsia="de-DE"/>
        </w:rPr>
      </w:pPr>
      <w:r w:rsidRPr="00F5551F">
        <w:rPr>
          <w:rFonts w:ascii="DIN-Regular" w:hAnsi="DIN-Regular" w:cs="Arial"/>
          <w:i/>
          <w:sz w:val="22"/>
          <w:szCs w:val="22"/>
          <w:lang w:eastAsia="de-DE"/>
        </w:rPr>
        <w:t xml:space="preserve">(f) </w:t>
      </w:r>
      <w:proofErr w:type="gramStart"/>
      <w:r w:rsidRPr="00F5551F">
        <w:rPr>
          <w:rFonts w:ascii="DIN-Regular" w:hAnsi="DIN-Regular" w:cs="Arial"/>
          <w:i/>
          <w:sz w:val="22"/>
          <w:szCs w:val="22"/>
          <w:lang w:eastAsia="de-DE"/>
        </w:rPr>
        <w:t>they</w:t>
      </w:r>
      <w:proofErr w:type="gramEnd"/>
      <w:r w:rsidRPr="00F5551F">
        <w:rPr>
          <w:rFonts w:ascii="DIN-Regular" w:hAnsi="DIN-Regular" w:cs="Arial"/>
          <w:i/>
          <w:sz w:val="22"/>
          <w:szCs w:val="22"/>
          <w:lang w:eastAsia="de-DE"/>
        </w:rPr>
        <w:t xml:space="preserve"> are not issued by the participant providing the collateral, or by an entity that is part of the same group as the participant, except in the case of a covered bond and only where the assets backing that bond are appropriately segregated within a robust legal framework and satisfy the requirements set out in this Sub-section.</w:t>
      </w:r>
    </w:p>
    <w:p w:rsidR="00FB2C06" w:rsidRPr="00F5551F" w:rsidRDefault="00FB2C06" w:rsidP="00DA6980">
      <w:pPr>
        <w:spacing w:after="240"/>
        <w:jc w:val="both"/>
        <w:rPr>
          <w:rFonts w:eastAsia="Arial Unicode MS" w:cs="Arial"/>
          <w:sz w:val="22"/>
          <w:szCs w:val="22"/>
          <w:lang w:eastAsia="en-GB"/>
        </w:rPr>
      </w:pPr>
    </w:p>
    <w:p w:rsidR="00BA048F" w:rsidRPr="00F5551F" w:rsidRDefault="00FB2C06" w:rsidP="00BA048F">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 xml:space="preserve">In addition to the general comments made above and the answers to the specific question raised, we do want to comment on quite a few items in more detail and raise some questions on dedicated topics regarding sub-section 4 on </w:t>
      </w:r>
      <w:r w:rsidR="009463DD" w:rsidRPr="00F5551F">
        <w:rPr>
          <w:rFonts w:ascii="DIN-Regular" w:eastAsia="Arial Unicode MS" w:hAnsi="DIN-Regular" w:cs="Arial"/>
          <w:color w:val="auto"/>
          <w:sz w:val="22"/>
          <w:szCs w:val="22"/>
        </w:rPr>
        <w:t>A</w:t>
      </w:r>
      <w:r w:rsidRPr="00F5551F">
        <w:rPr>
          <w:rFonts w:ascii="DIN-Regular" w:eastAsia="Arial Unicode MS" w:hAnsi="DIN-Regular" w:cs="Arial"/>
          <w:color w:val="auto"/>
          <w:sz w:val="22"/>
          <w:szCs w:val="22"/>
        </w:rPr>
        <w:t xml:space="preserve">rticles </w:t>
      </w:r>
      <w:r w:rsidR="001F6799" w:rsidRPr="00F5551F">
        <w:rPr>
          <w:rFonts w:ascii="DIN-Regular" w:eastAsia="Arial Unicode MS" w:hAnsi="DIN-Regular" w:cs="Arial"/>
          <w:color w:val="auto"/>
          <w:sz w:val="22"/>
          <w:szCs w:val="22"/>
        </w:rPr>
        <w:t>20</w:t>
      </w:r>
      <w:r w:rsidRPr="00F5551F">
        <w:rPr>
          <w:rFonts w:ascii="DIN-Regular" w:eastAsia="Arial Unicode MS" w:hAnsi="DIN-Regular" w:cs="Arial"/>
          <w:color w:val="auto"/>
          <w:sz w:val="22"/>
          <w:szCs w:val="22"/>
        </w:rPr>
        <w:t xml:space="preserve"> to 23 of the EBA draft RTS proposal as follows:</w:t>
      </w:r>
    </w:p>
    <w:p w:rsidR="00BA048F" w:rsidRPr="00F5551F" w:rsidRDefault="00BA048F" w:rsidP="00BA048F">
      <w:pPr>
        <w:pStyle w:val="Default"/>
        <w:contextualSpacing/>
        <w:jc w:val="both"/>
        <w:rPr>
          <w:rFonts w:ascii="DIN-Regular" w:eastAsia="Arial Unicode MS" w:hAnsi="DIN-Regular" w:cs="Arial"/>
          <w:color w:val="auto"/>
          <w:sz w:val="22"/>
          <w:szCs w:val="22"/>
        </w:rPr>
      </w:pPr>
    </w:p>
    <w:p w:rsidR="00BA048F" w:rsidRPr="00F5551F" w:rsidRDefault="00FB2C06" w:rsidP="00BA048F">
      <w:pPr>
        <w:pStyle w:val="Default"/>
        <w:contextualSpacing/>
        <w:jc w:val="both"/>
        <w:rPr>
          <w:rFonts w:ascii="DIN-Regular" w:eastAsia="Arial Unicode MS" w:hAnsi="DIN-Regular" w:cs="Arial"/>
          <w:sz w:val="22"/>
          <w:szCs w:val="22"/>
        </w:rPr>
      </w:pPr>
      <w:r w:rsidRPr="00F5551F">
        <w:rPr>
          <w:rFonts w:ascii="DIN-Regular" w:eastAsia="Arial Unicode MS" w:hAnsi="DIN-Regular" w:cs="Arial"/>
          <w:b/>
          <w:sz w:val="22"/>
          <w:szCs w:val="22"/>
        </w:rPr>
        <w:t>Article 20</w:t>
      </w:r>
      <w:r w:rsidR="00ED20A8" w:rsidRPr="00F5551F">
        <w:rPr>
          <w:rFonts w:ascii="DIN-Regular" w:eastAsia="Arial Unicode MS" w:hAnsi="DIN-Regular" w:cs="Arial"/>
          <w:b/>
          <w:sz w:val="22"/>
          <w:szCs w:val="22"/>
        </w:rPr>
        <w:tab/>
      </w:r>
      <w:r w:rsidR="00ED20A8" w:rsidRPr="00F5551F">
        <w:rPr>
          <w:rFonts w:ascii="DIN-Regular" w:eastAsia="Arial Unicode MS" w:hAnsi="DIN-Regular" w:cs="Arial"/>
          <w:b/>
          <w:sz w:val="22"/>
          <w:szCs w:val="22"/>
        </w:rPr>
        <w:br/>
      </w:r>
      <w:r w:rsidRPr="00F5551F">
        <w:rPr>
          <w:rFonts w:ascii="DIN-Regular" w:eastAsia="Arial Unicode MS" w:hAnsi="DIN-Regular" w:cs="Arial"/>
          <w:sz w:val="22"/>
          <w:szCs w:val="22"/>
        </w:rPr>
        <w:t>On Article 20</w:t>
      </w:r>
      <w:r w:rsidR="00374099">
        <w:rPr>
          <w:rFonts w:ascii="DIN-Regular" w:eastAsia="Arial Unicode MS" w:hAnsi="DIN-Regular" w:cs="Arial"/>
          <w:sz w:val="22"/>
          <w:szCs w:val="22"/>
        </w:rPr>
        <w:t xml:space="preserve"> draft RTS</w:t>
      </w:r>
      <w:r w:rsidRPr="00F5551F">
        <w:rPr>
          <w:rFonts w:ascii="DIN-Regular" w:eastAsia="Arial Unicode MS" w:hAnsi="DIN-Regular" w:cs="Arial"/>
          <w:sz w:val="22"/>
          <w:szCs w:val="22"/>
        </w:rPr>
        <w:t xml:space="preserve">, the reference made by </w:t>
      </w:r>
      <w:r w:rsidR="009463DD" w:rsidRPr="00F5551F">
        <w:rPr>
          <w:rFonts w:ascii="DIN-Regular" w:eastAsia="Arial Unicode MS" w:hAnsi="DIN-Regular" w:cs="Arial"/>
          <w:sz w:val="22"/>
          <w:szCs w:val="22"/>
        </w:rPr>
        <w:t>A</w:t>
      </w:r>
      <w:r w:rsidRPr="00F5551F">
        <w:rPr>
          <w:rFonts w:ascii="DIN-Regular" w:eastAsia="Arial Unicode MS" w:hAnsi="DIN-Regular" w:cs="Arial"/>
          <w:sz w:val="22"/>
          <w:szCs w:val="22"/>
        </w:rPr>
        <w:t>rticle 20</w:t>
      </w:r>
      <w:r w:rsidR="009463DD" w:rsidRPr="00F5551F">
        <w:rPr>
          <w:rFonts w:ascii="DIN-Regular" w:eastAsia="Arial Unicode MS" w:hAnsi="DIN-Regular" w:cs="Arial"/>
          <w:sz w:val="22"/>
          <w:szCs w:val="22"/>
        </w:rPr>
        <w:t xml:space="preserve"> (</w:t>
      </w:r>
      <w:r w:rsidRPr="00F5551F">
        <w:rPr>
          <w:rFonts w:ascii="DIN-Regular" w:eastAsia="Arial Unicode MS" w:hAnsi="DIN-Regular" w:cs="Arial"/>
          <w:sz w:val="22"/>
          <w:szCs w:val="22"/>
        </w:rPr>
        <w:t>2</w:t>
      </w:r>
      <w:r w:rsidR="009463DD" w:rsidRPr="00F5551F">
        <w:rPr>
          <w:rFonts w:ascii="DIN-Regular" w:eastAsia="Arial Unicode MS" w:hAnsi="DIN-Regular" w:cs="Arial"/>
          <w:sz w:val="22"/>
          <w:szCs w:val="22"/>
        </w:rPr>
        <w:t>)</w:t>
      </w:r>
      <w:r w:rsidRPr="00F5551F">
        <w:rPr>
          <w:rFonts w:ascii="DIN-Regular" w:eastAsia="Arial Unicode MS" w:hAnsi="DIN-Regular" w:cs="Arial"/>
          <w:sz w:val="22"/>
          <w:szCs w:val="22"/>
        </w:rPr>
        <w:t xml:space="preserve"> to point (ii) of Article 18</w:t>
      </w:r>
      <w:r w:rsidR="009463DD" w:rsidRPr="00F5551F">
        <w:rPr>
          <w:rFonts w:ascii="DIN-Regular" w:eastAsia="Arial Unicode MS" w:hAnsi="DIN-Regular" w:cs="Arial"/>
          <w:sz w:val="22"/>
          <w:szCs w:val="22"/>
        </w:rPr>
        <w:t xml:space="preserve"> (</w:t>
      </w:r>
      <w:r w:rsidRPr="00F5551F">
        <w:rPr>
          <w:rFonts w:ascii="DIN-Regular" w:eastAsia="Arial Unicode MS" w:hAnsi="DIN-Regular" w:cs="Arial"/>
          <w:sz w:val="22"/>
          <w:szCs w:val="22"/>
        </w:rPr>
        <w:t>d</w:t>
      </w:r>
      <w:r w:rsidR="009463DD" w:rsidRPr="00F5551F">
        <w:rPr>
          <w:rFonts w:ascii="DIN-Regular" w:eastAsia="Arial Unicode MS" w:hAnsi="DIN-Regular" w:cs="Arial"/>
          <w:sz w:val="22"/>
          <w:szCs w:val="22"/>
        </w:rPr>
        <w:t>)</w:t>
      </w:r>
      <w:r w:rsidRPr="00F5551F">
        <w:rPr>
          <w:rFonts w:ascii="DIN-Regular" w:eastAsia="Arial Unicode MS" w:hAnsi="DIN-Regular" w:cs="Arial"/>
          <w:sz w:val="22"/>
          <w:szCs w:val="22"/>
        </w:rPr>
        <w:t xml:space="preserve"> is unfortunately wrong as such clause does not exist. We it was EBA intention to </w:t>
      </w:r>
      <w:r w:rsidR="00BD3A07" w:rsidRPr="00F5551F">
        <w:rPr>
          <w:rFonts w:ascii="DIN-Regular" w:eastAsia="Arial Unicode MS" w:hAnsi="DIN-Regular" w:cs="Arial"/>
          <w:sz w:val="22"/>
          <w:szCs w:val="22"/>
        </w:rPr>
        <w:t>perhaps</w:t>
      </w:r>
      <w:r w:rsidRPr="00F5551F">
        <w:rPr>
          <w:rFonts w:ascii="DIN-Regular" w:eastAsia="Arial Unicode MS" w:hAnsi="DIN-Regular" w:cs="Arial"/>
          <w:sz w:val="22"/>
          <w:szCs w:val="22"/>
        </w:rPr>
        <w:t xml:space="preserve"> refer to Article 18</w:t>
      </w:r>
      <w:r w:rsidR="009463DD" w:rsidRPr="00F5551F">
        <w:rPr>
          <w:rFonts w:ascii="DIN-Regular" w:eastAsia="Arial Unicode MS" w:hAnsi="DIN-Regular" w:cs="Arial"/>
          <w:sz w:val="22"/>
          <w:szCs w:val="22"/>
        </w:rPr>
        <w:t xml:space="preserve"> (</w:t>
      </w:r>
      <w:r w:rsidRPr="00F5551F">
        <w:rPr>
          <w:rFonts w:ascii="DIN-Regular" w:eastAsia="Arial Unicode MS" w:hAnsi="DIN-Regular" w:cs="Arial"/>
          <w:sz w:val="22"/>
          <w:szCs w:val="22"/>
        </w:rPr>
        <w:t>1</w:t>
      </w:r>
      <w:r w:rsidR="009463DD" w:rsidRPr="00F5551F">
        <w:rPr>
          <w:rFonts w:ascii="DIN-Regular" w:eastAsia="Arial Unicode MS" w:hAnsi="DIN-Regular" w:cs="Arial"/>
          <w:sz w:val="22"/>
          <w:szCs w:val="22"/>
        </w:rPr>
        <w:t>) (</w:t>
      </w:r>
      <w:r w:rsidRPr="00F5551F">
        <w:rPr>
          <w:rFonts w:ascii="DIN-Regular" w:eastAsia="Arial Unicode MS" w:hAnsi="DIN-Regular" w:cs="Arial"/>
          <w:sz w:val="22"/>
          <w:szCs w:val="22"/>
        </w:rPr>
        <w:t>c</w:t>
      </w:r>
      <w:r w:rsidR="009463DD" w:rsidRPr="00F5551F">
        <w:rPr>
          <w:rFonts w:ascii="DIN-Regular" w:eastAsia="Arial Unicode MS" w:hAnsi="DIN-Regular" w:cs="Arial"/>
          <w:sz w:val="22"/>
          <w:szCs w:val="22"/>
        </w:rPr>
        <w:t>) (</w:t>
      </w:r>
      <w:r w:rsidRPr="00F5551F">
        <w:rPr>
          <w:rFonts w:ascii="DIN-Regular" w:eastAsia="Arial Unicode MS" w:hAnsi="DIN-Regular" w:cs="Arial"/>
          <w:sz w:val="22"/>
          <w:szCs w:val="22"/>
        </w:rPr>
        <w:t>ii</w:t>
      </w:r>
      <w:proofErr w:type="gramStart"/>
      <w:r w:rsidR="009463DD" w:rsidRPr="00F5551F">
        <w:rPr>
          <w:rFonts w:ascii="DIN-Regular" w:eastAsia="Arial Unicode MS" w:hAnsi="DIN-Regular" w:cs="Arial"/>
          <w:sz w:val="22"/>
          <w:szCs w:val="22"/>
        </w:rPr>
        <w:t>)</w:t>
      </w:r>
      <w:r w:rsidRPr="00F5551F">
        <w:rPr>
          <w:rFonts w:ascii="DIN-Regular" w:eastAsia="Arial Unicode MS" w:hAnsi="DIN-Regular" w:cs="Arial"/>
          <w:sz w:val="22"/>
          <w:szCs w:val="22"/>
        </w:rPr>
        <w:t xml:space="preserve"> .</w:t>
      </w:r>
      <w:proofErr w:type="gramEnd"/>
      <w:r w:rsidRPr="00F5551F">
        <w:rPr>
          <w:rFonts w:ascii="DIN-Regular" w:eastAsia="Arial Unicode MS" w:hAnsi="DIN-Regular" w:cs="Arial"/>
          <w:sz w:val="22"/>
          <w:szCs w:val="22"/>
        </w:rPr>
        <w:t xml:space="preserve"> We also do not understand the phrase “securities settled in the trade” in the introduction sentence of </w:t>
      </w:r>
      <w:r w:rsidR="00FD4804" w:rsidRPr="00F5551F">
        <w:rPr>
          <w:rFonts w:ascii="DIN-Regular" w:eastAsia="Arial Unicode MS" w:hAnsi="DIN-Regular" w:cs="Arial"/>
          <w:sz w:val="22"/>
          <w:szCs w:val="22"/>
        </w:rPr>
        <w:t>Article</w:t>
      </w:r>
      <w:r w:rsidR="0036602F">
        <w:rPr>
          <w:rFonts w:ascii="DIN-Regular" w:eastAsia="Arial Unicode MS" w:hAnsi="DIN-Regular" w:cs="Arial"/>
          <w:sz w:val="22"/>
          <w:szCs w:val="22"/>
        </w:rPr>
        <w:t xml:space="preserve"> 20(</w:t>
      </w:r>
      <w:r w:rsidRPr="00F5551F">
        <w:rPr>
          <w:rFonts w:ascii="DIN-Regular" w:eastAsia="Arial Unicode MS" w:hAnsi="DIN-Regular" w:cs="Arial"/>
          <w:sz w:val="22"/>
          <w:szCs w:val="22"/>
        </w:rPr>
        <w:t>2</w:t>
      </w:r>
      <w:r w:rsidR="0036602F">
        <w:rPr>
          <w:rFonts w:ascii="DIN-Regular" w:eastAsia="Arial Unicode MS" w:hAnsi="DIN-Regular" w:cs="Arial"/>
          <w:sz w:val="22"/>
          <w:szCs w:val="22"/>
        </w:rPr>
        <w:t>)</w:t>
      </w:r>
      <w:r w:rsidRPr="00F5551F">
        <w:rPr>
          <w:rFonts w:ascii="DIN-Regular" w:eastAsia="Arial Unicode MS" w:hAnsi="DIN-Regular" w:cs="Arial"/>
          <w:sz w:val="22"/>
          <w:szCs w:val="22"/>
        </w:rPr>
        <w:t xml:space="preserve"> draft RTS as this is not referred to in the conditions of that provision, for which further clarification should be provided.</w:t>
      </w:r>
    </w:p>
    <w:p w:rsidR="00C2608B" w:rsidRDefault="00C2608B" w:rsidP="00BA048F">
      <w:pPr>
        <w:pStyle w:val="Default"/>
        <w:contextualSpacing/>
        <w:jc w:val="both"/>
        <w:rPr>
          <w:rFonts w:ascii="DIN-Regular" w:eastAsia="Arial Unicode MS" w:hAnsi="DIN-Regular"/>
          <w:b/>
          <w:sz w:val="22"/>
          <w:szCs w:val="22"/>
        </w:rPr>
      </w:pPr>
    </w:p>
    <w:p w:rsidR="003C0864" w:rsidRPr="00F5551F" w:rsidRDefault="00FB2C06" w:rsidP="00BA048F">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b/>
          <w:sz w:val="22"/>
          <w:szCs w:val="22"/>
        </w:rPr>
        <w:t>Article 21</w:t>
      </w:r>
      <w:r w:rsidR="00ED20A8" w:rsidRPr="00F5551F">
        <w:rPr>
          <w:rFonts w:ascii="DIN-Regular" w:eastAsia="Arial Unicode MS" w:hAnsi="DIN-Regular"/>
          <w:b/>
          <w:sz w:val="22"/>
          <w:szCs w:val="22"/>
        </w:rPr>
        <w:tab/>
      </w:r>
      <w:r w:rsidR="00ED20A8" w:rsidRPr="00F5551F">
        <w:rPr>
          <w:rFonts w:ascii="DIN-Regular" w:eastAsia="Arial Unicode MS" w:hAnsi="DIN-Regular"/>
          <w:b/>
          <w:sz w:val="22"/>
          <w:szCs w:val="22"/>
        </w:rPr>
        <w:br/>
      </w:r>
      <w:r w:rsidR="003C0864" w:rsidRPr="00F5551F">
        <w:rPr>
          <w:rFonts w:ascii="DIN-Regular" w:hAnsi="DIN-Regular"/>
          <w:sz w:val="22"/>
          <w:szCs w:val="22"/>
          <w:lang w:eastAsia="de-DE"/>
        </w:rPr>
        <w:t>On the topic of collateral valuation, Article 21</w:t>
      </w:r>
      <w:r w:rsidR="009463DD" w:rsidRPr="00F5551F">
        <w:rPr>
          <w:rFonts w:ascii="DIN-Regular" w:hAnsi="DIN-Regular"/>
          <w:sz w:val="22"/>
          <w:szCs w:val="22"/>
          <w:lang w:eastAsia="de-DE"/>
        </w:rPr>
        <w:t xml:space="preserve"> (</w:t>
      </w:r>
      <w:r w:rsidR="003C0864" w:rsidRPr="00F5551F">
        <w:rPr>
          <w:rFonts w:ascii="DIN-Regular" w:hAnsi="DIN-Regular"/>
          <w:sz w:val="22"/>
          <w:szCs w:val="22"/>
          <w:lang w:eastAsia="de-DE"/>
        </w:rPr>
        <w:t>2</w:t>
      </w:r>
      <w:r w:rsidR="009463DD" w:rsidRPr="00F5551F">
        <w:rPr>
          <w:rFonts w:ascii="DIN-Regular" w:hAnsi="DIN-Regular"/>
          <w:sz w:val="22"/>
          <w:szCs w:val="22"/>
          <w:lang w:eastAsia="de-DE"/>
        </w:rPr>
        <w:t>)</w:t>
      </w:r>
      <w:r w:rsidR="003C0864" w:rsidRPr="00F5551F">
        <w:rPr>
          <w:rFonts w:ascii="DIN-Regular" w:hAnsi="DIN-Regular"/>
          <w:sz w:val="22"/>
          <w:szCs w:val="22"/>
          <w:lang w:eastAsia="de-DE"/>
        </w:rPr>
        <w:t xml:space="preserve"> </w:t>
      </w:r>
      <w:r w:rsidR="00374099">
        <w:rPr>
          <w:rFonts w:ascii="DIN-Regular" w:hAnsi="DIN-Regular"/>
          <w:sz w:val="22"/>
          <w:szCs w:val="22"/>
          <w:lang w:eastAsia="de-DE"/>
        </w:rPr>
        <w:t xml:space="preserve">draft RTS </w:t>
      </w:r>
      <w:r w:rsidR="003C0864" w:rsidRPr="00F5551F">
        <w:rPr>
          <w:rFonts w:ascii="DIN-Regular" w:hAnsi="DIN-Regular"/>
          <w:sz w:val="22"/>
          <w:szCs w:val="22"/>
          <w:lang w:eastAsia="de-DE"/>
        </w:rPr>
        <w:t xml:space="preserve">requires eligible collateral to be valued “on a real-time basis or on a near to real-time basis”.  </w:t>
      </w:r>
      <w:proofErr w:type="spellStart"/>
      <w:r w:rsidR="003C0864" w:rsidRPr="00F5551F">
        <w:rPr>
          <w:rFonts w:ascii="DIN-Regular" w:hAnsi="DIN-Regular"/>
          <w:sz w:val="22"/>
          <w:szCs w:val="22"/>
          <w:lang w:eastAsia="de-DE"/>
        </w:rPr>
        <w:t>Clearstream</w:t>
      </w:r>
      <w:proofErr w:type="spellEnd"/>
      <w:r w:rsidR="003C0864" w:rsidRPr="00F5551F">
        <w:rPr>
          <w:rFonts w:ascii="DIN-Regular" w:hAnsi="DIN-Regular"/>
          <w:sz w:val="22"/>
          <w:szCs w:val="22"/>
          <w:lang w:eastAsia="de-DE"/>
        </w:rPr>
        <w:t xml:space="preserve"> is of the opinion that, taking into consideration the extremely conservative requirements as outlined in Articles 18, 19 and 20 (for eligibility), Article 22 (haircuts) and Article 23 (concentration limits), the requirement for valuation “on a real-time basis or on a near to real-time basis” is unnecessary.  In addition, and assuming that “real-time” market prices are available, it is somewhat inconsistent that the RTS requires “real-time” mark-to-market for the best quality securities and, on the other hand, accepts that less quality securities are marked to model.  At </w:t>
      </w:r>
      <w:proofErr w:type="spellStart"/>
      <w:r w:rsidR="003C0864" w:rsidRPr="00F5551F">
        <w:rPr>
          <w:rFonts w:ascii="DIN-Regular" w:hAnsi="DIN-Regular"/>
          <w:sz w:val="22"/>
          <w:szCs w:val="22"/>
          <w:lang w:eastAsia="de-DE"/>
        </w:rPr>
        <w:t>Clearstream</w:t>
      </w:r>
      <w:proofErr w:type="spellEnd"/>
      <w:r w:rsidR="003C0864" w:rsidRPr="00F5551F">
        <w:rPr>
          <w:rFonts w:ascii="DIN-Regular" w:hAnsi="DIN-Regular"/>
          <w:sz w:val="22"/>
          <w:szCs w:val="22"/>
          <w:lang w:eastAsia="de-DE"/>
        </w:rPr>
        <w:t xml:space="preserve">, securities are revalued three times a day through a process which does not interfere with the </w:t>
      </w:r>
      <w:r w:rsidR="00FD4804" w:rsidRPr="00F5551F">
        <w:rPr>
          <w:rFonts w:ascii="DIN-Regular" w:hAnsi="DIN-Regular"/>
          <w:sz w:val="22"/>
          <w:szCs w:val="22"/>
          <w:lang w:eastAsia="de-DE"/>
        </w:rPr>
        <w:t>(I</w:t>
      </w:r>
      <w:proofErr w:type="gramStart"/>
      <w:r w:rsidR="00FD4804" w:rsidRPr="00F5551F">
        <w:rPr>
          <w:rFonts w:ascii="DIN-Regular" w:hAnsi="DIN-Regular"/>
          <w:sz w:val="22"/>
          <w:szCs w:val="22"/>
          <w:lang w:eastAsia="de-DE"/>
        </w:rPr>
        <w:t>)CSD</w:t>
      </w:r>
      <w:r w:rsidR="003C0864" w:rsidRPr="00F5551F">
        <w:rPr>
          <w:rFonts w:ascii="DIN-Regular" w:hAnsi="DIN-Regular"/>
          <w:sz w:val="22"/>
          <w:szCs w:val="22"/>
          <w:lang w:eastAsia="de-DE"/>
        </w:rPr>
        <w:t>’s</w:t>
      </w:r>
      <w:proofErr w:type="gramEnd"/>
      <w:r w:rsidR="003C0864" w:rsidRPr="00F5551F">
        <w:rPr>
          <w:rFonts w:ascii="DIN-Regular" w:hAnsi="DIN-Regular"/>
          <w:sz w:val="22"/>
          <w:szCs w:val="22"/>
          <w:lang w:eastAsia="de-DE"/>
        </w:rPr>
        <w:t xml:space="preserve"> core settlement system.  The requirement for “real-time or on near to real-time” valuation will require significant IT developments and, in our opinion, will bring limited practical benefit to the safety of our collateral management practices.</w:t>
      </w:r>
    </w:p>
    <w:p w:rsidR="003C0864" w:rsidRPr="00F5551F" w:rsidRDefault="003C0864" w:rsidP="00305E20">
      <w:pPr>
        <w:pStyle w:val="NoSpacing"/>
        <w:rPr>
          <w:sz w:val="22"/>
          <w:szCs w:val="22"/>
          <w:lang w:eastAsia="de-DE"/>
        </w:rPr>
      </w:pPr>
    </w:p>
    <w:p w:rsidR="001F6799" w:rsidRPr="00F5551F" w:rsidRDefault="001F6799" w:rsidP="00305E20">
      <w:pPr>
        <w:pStyle w:val="NoSpacing"/>
        <w:rPr>
          <w:rFonts w:eastAsia="Arial Unicode MS"/>
          <w:sz w:val="22"/>
          <w:szCs w:val="22"/>
          <w:lang w:eastAsia="en-GB"/>
        </w:rPr>
      </w:pPr>
      <w:r w:rsidRPr="00F5551F">
        <w:rPr>
          <w:rFonts w:eastAsia="Arial Unicode MS"/>
          <w:b/>
          <w:sz w:val="22"/>
          <w:szCs w:val="22"/>
          <w:lang w:eastAsia="en-GB"/>
        </w:rPr>
        <w:t>Article 22</w:t>
      </w:r>
      <w:r w:rsidR="000037A4" w:rsidRPr="00F5551F">
        <w:rPr>
          <w:rFonts w:eastAsia="Arial Unicode MS"/>
          <w:b/>
          <w:sz w:val="22"/>
          <w:szCs w:val="22"/>
          <w:lang w:eastAsia="en-GB"/>
        </w:rPr>
        <w:tab/>
      </w:r>
      <w:r w:rsidR="000037A4" w:rsidRPr="00F5551F">
        <w:rPr>
          <w:rFonts w:eastAsia="Arial Unicode MS"/>
          <w:b/>
          <w:sz w:val="22"/>
          <w:szCs w:val="22"/>
          <w:lang w:eastAsia="en-GB"/>
        </w:rPr>
        <w:br/>
      </w:r>
      <w:r w:rsidRPr="00F5551F">
        <w:rPr>
          <w:rFonts w:eastAsia="Arial Unicode MS"/>
          <w:sz w:val="22"/>
          <w:szCs w:val="22"/>
          <w:lang w:eastAsia="en-GB"/>
        </w:rPr>
        <w:t>With regards to the requirements of Article 22</w:t>
      </w:r>
      <w:r w:rsidR="009463DD" w:rsidRPr="00F5551F">
        <w:rPr>
          <w:rFonts w:eastAsia="Arial Unicode MS"/>
          <w:sz w:val="22"/>
          <w:szCs w:val="22"/>
          <w:lang w:eastAsia="en-GB"/>
        </w:rPr>
        <w:t xml:space="preserve"> (</w:t>
      </w:r>
      <w:r w:rsidRPr="00F5551F">
        <w:rPr>
          <w:rFonts w:eastAsia="Arial Unicode MS"/>
          <w:sz w:val="22"/>
          <w:szCs w:val="22"/>
          <w:lang w:eastAsia="en-GB"/>
        </w:rPr>
        <w:t>4</w:t>
      </w:r>
      <w:r w:rsidR="009463DD" w:rsidRPr="00F5551F">
        <w:rPr>
          <w:rFonts w:eastAsia="Arial Unicode MS"/>
          <w:sz w:val="22"/>
          <w:szCs w:val="22"/>
          <w:lang w:eastAsia="en-GB"/>
        </w:rPr>
        <w:t>)</w:t>
      </w:r>
      <w:r w:rsidRPr="00F5551F">
        <w:rPr>
          <w:rFonts w:eastAsia="Arial Unicode MS"/>
          <w:sz w:val="22"/>
          <w:szCs w:val="22"/>
          <w:lang w:eastAsia="en-GB"/>
        </w:rPr>
        <w:t xml:space="preserve"> of the draft RTS we disagree to the requirement to take the country of issuance of the assets into account as this may or may not have an impact and as such in general is not per se a differentiating factor. For example issuance in country A may be combined with trading on an exchange in country B etc. </w:t>
      </w:r>
      <w:r w:rsidRPr="00F5551F">
        <w:rPr>
          <w:rFonts w:eastAsia="Arial Unicode MS"/>
          <w:sz w:val="22"/>
          <w:szCs w:val="22"/>
          <w:lang w:eastAsia="en-GB"/>
        </w:rPr>
        <w:tab/>
      </w:r>
      <w:r w:rsidRPr="00F5551F">
        <w:rPr>
          <w:rFonts w:eastAsia="Arial Unicode MS"/>
          <w:sz w:val="22"/>
          <w:szCs w:val="22"/>
          <w:lang w:eastAsia="en-GB"/>
        </w:rPr>
        <w:br/>
        <w:t>We therefore urge the EBA to take out this as a mandatory criterion.</w:t>
      </w:r>
    </w:p>
    <w:p w:rsidR="003C0864" w:rsidRPr="00F5551F" w:rsidRDefault="003C0864" w:rsidP="00DA6980">
      <w:pPr>
        <w:pStyle w:val="Default"/>
        <w:contextualSpacing/>
        <w:jc w:val="both"/>
        <w:rPr>
          <w:rFonts w:ascii="DIN-Regular" w:hAnsi="DIN-Regular" w:cs="Arial"/>
          <w:sz w:val="22"/>
          <w:szCs w:val="22"/>
          <w:lang w:eastAsia="de-DE"/>
        </w:rPr>
      </w:pPr>
      <w:proofErr w:type="gramStart"/>
      <w:r w:rsidRPr="00F5551F">
        <w:rPr>
          <w:rFonts w:ascii="DIN-Regular" w:hAnsi="DIN-Regular" w:cs="Arial"/>
          <w:sz w:val="22"/>
          <w:szCs w:val="22"/>
          <w:lang w:eastAsia="de-DE"/>
        </w:rPr>
        <w:lastRenderedPageBreak/>
        <w:t>Article 22</w:t>
      </w:r>
      <w:r w:rsidR="009463DD" w:rsidRPr="00F5551F">
        <w:rPr>
          <w:rFonts w:ascii="DIN-Regular" w:hAnsi="DIN-Regular" w:cs="Arial"/>
          <w:sz w:val="22"/>
          <w:szCs w:val="22"/>
          <w:lang w:eastAsia="de-DE"/>
        </w:rPr>
        <w:t xml:space="preserve"> (</w:t>
      </w:r>
      <w:r w:rsidR="00AA5C0D" w:rsidRPr="00F5551F">
        <w:rPr>
          <w:rFonts w:ascii="DIN-Regular" w:hAnsi="DIN-Regular" w:cs="Arial"/>
          <w:sz w:val="22"/>
          <w:szCs w:val="22"/>
          <w:lang w:eastAsia="de-DE"/>
        </w:rPr>
        <w:t>5</w:t>
      </w:r>
      <w:r w:rsidR="009463DD" w:rsidRPr="00F5551F">
        <w:rPr>
          <w:rFonts w:ascii="DIN-Regular" w:hAnsi="DIN-Regular" w:cs="Arial"/>
          <w:sz w:val="22"/>
          <w:szCs w:val="22"/>
          <w:lang w:eastAsia="de-DE"/>
        </w:rPr>
        <w:t>)</w:t>
      </w:r>
      <w:r w:rsidRPr="00F5551F">
        <w:rPr>
          <w:rFonts w:ascii="DIN-Regular" w:hAnsi="DIN-Regular" w:cs="Arial"/>
          <w:sz w:val="22"/>
          <w:szCs w:val="22"/>
          <w:lang w:eastAsia="de-DE"/>
        </w:rPr>
        <w:t xml:space="preserve"> makes reference to </w:t>
      </w:r>
      <w:r w:rsidR="00AA5C0D" w:rsidRPr="00F5551F">
        <w:rPr>
          <w:rFonts w:ascii="DIN-Regular" w:hAnsi="DIN-Regular" w:cs="Arial"/>
          <w:sz w:val="22"/>
          <w:szCs w:val="22"/>
          <w:lang w:eastAsia="de-DE"/>
        </w:rPr>
        <w:t>Article 22</w:t>
      </w:r>
      <w:r w:rsidR="009463DD" w:rsidRPr="00F5551F">
        <w:rPr>
          <w:rFonts w:ascii="DIN-Regular" w:hAnsi="DIN-Regular" w:cs="Arial"/>
          <w:sz w:val="22"/>
          <w:szCs w:val="22"/>
          <w:lang w:eastAsia="de-DE"/>
        </w:rPr>
        <w:t xml:space="preserve"> (</w:t>
      </w:r>
      <w:r w:rsidR="00AA5C0D" w:rsidRPr="00F5551F">
        <w:rPr>
          <w:rFonts w:ascii="DIN-Regular" w:hAnsi="DIN-Regular" w:cs="Arial"/>
          <w:sz w:val="22"/>
          <w:szCs w:val="22"/>
          <w:lang w:eastAsia="de-DE"/>
        </w:rPr>
        <w:t>3</w:t>
      </w:r>
      <w:r w:rsidR="009463DD" w:rsidRPr="00F5551F">
        <w:rPr>
          <w:rFonts w:ascii="DIN-Regular" w:hAnsi="DIN-Regular" w:cs="Arial"/>
          <w:sz w:val="22"/>
          <w:szCs w:val="22"/>
          <w:lang w:eastAsia="de-DE"/>
        </w:rPr>
        <w:t>) (</w:t>
      </w:r>
      <w:r w:rsidRPr="00F5551F">
        <w:rPr>
          <w:rFonts w:ascii="DIN-Regular" w:hAnsi="DIN-Regular" w:cs="Arial"/>
          <w:sz w:val="22"/>
          <w:szCs w:val="22"/>
          <w:lang w:eastAsia="de-DE"/>
        </w:rPr>
        <w:t>b</w:t>
      </w:r>
      <w:r w:rsidR="009463DD" w:rsidRPr="00F5551F">
        <w:rPr>
          <w:rFonts w:ascii="DIN-Regular" w:hAnsi="DIN-Regular" w:cs="Arial"/>
          <w:sz w:val="22"/>
          <w:szCs w:val="22"/>
          <w:lang w:eastAsia="de-DE"/>
        </w:rPr>
        <w:t>)</w:t>
      </w:r>
      <w:r w:rsidRPr="00F5551F">
        <w:rPr>
          <w:rFonts w:ascii="DIN-Regular" w:hAnsi="DIN-Regular" w:cs="Arial"/>
          <w:sz w:val="22"/>
          <w:szCs w:val="22"/>
          <w:lang w:eastAsia="de-DE"/>
        </w:rPr>
        <w:t>.</w:t>
      </w:r>
      <w:proofErr w:type="gramEnd"/>
      <w:r w:rsidRPr="00F5551F">
        <w:rPr>
          <w:rFonts w:ascii="DIN-Regular" w:hAnsi="DIN-Regular" w:cs="Arial"/>
          <w:sz w:val="22"/>
          <w:szCs w:val="22"/>
          <w:lang w:eastAsia="de-DE"/>
        </w:rPr>
        <w:t xml:space="preserve"> We believe this is a mistake and the reference should have been </w:t>
      </w:r>
      <w:r w:rsidR="00AA5C0D" w:rsidRPr="00F5551F">
        <w:rPr>
          <w:rFonts w:ascii="DIN-Regular" w:hAnsi="DIN-Regular" w:cs="Arial"/>
          <w:sz w:val="22"/>
          <w:szCs w:val="22"/>
          <w:lang w:eastAsia="de-DE"/>
        </w:rPr>
        <w:t xml:space="preserve">possibly intended </w:t>
      </w:r>
      <w:r w:rsidRPr="00F5551F">
        <w:rPr>
          <w:rFonts w:ascii="DIN-Regular" w:hAnsi="DIN-Regular" w:cs="Arial"/>
          <w:sz w:val="22"/>
          <w:szCs w:val="22"/>
          <w:lang w:eastAsia="de-DE"/>
        </w:rPr>
        <w:t xml:space="preserve">to paragraph 4. Furthermore, paragraph 9 requires daily review of haircuts – this appears inconsistent with the need to avoid pro-cyclicality </w:t>
      </w:r>
      <w:r w:rsidR="00AA5C0D" w:rsidRPr="00F5551F">
        <w:rPr>
          <w:rFonts w:ascii="DIN-Regular" w:hAnsi="DIN-Regular" w:cs="Arial"/>
          <w:sz w:val="22"/>
          <w:szCs w:val="22"/>
          <w:lang w:eastAsia="de-DE"/>
        </w:rPr>
        <w:t xml:space="preserve">under </w:t>
      </w:r>
      <w:r w:rsidRPr="00F5551F">
        <w:rPr>
          <w:rFonts w:ascii="DIN-Regular" w:hAnsi="DIN-Regular" w:cs="Arial"/>
          <w:sz w:val="22"/>
          <w:szCs w:val="22"/>
          <w:lang w:eastAsia="de-DE"/>
        </w:rPr>
        <w:t xml:space="preserve">paragraph 7 and </w:t>
      </w:r>
      <w:r w:rsidR="00AA5C0D" w:rsidRPr="00F5551F">
        <w:rPr>
          <w:rFonts w:ascii="DIN-Regular" w:hAnsi="DIN-Regular" w:cs="Arial"/>
          <w:sz w:val="22"/>
          <w:szCs w:val="22"/>
          <w:lang w:eastAsia="de-DE"/>
        </w:rPr>
        <w:t xml:space="preserve">particularly </w:t>
      </w:r>
      <w:r w:rsidRPr="00F5551F">
        <w:rPr>
          <w:rFonts w:ascii="DIN-Regular" w:hAnsi="DIN-Regular" w:cs="Arial"/>
          <w:sz w:val="22"/>
          <w:szCs w:val="22"/>
          <w:lang w:eastAsia="de-DE"/>
        </w:rPr>
        <w:t xml:space="preserve">unnecessary, given the strict requirements </w:t>
      </w:r>
      <w:r w:rsidR="00AA5C0D" w:rsidRPr="00F5551F">
        <w:rPr>
          <w:rFonts w:ascii="DIN-Regular" w:hAnsi="DIN-Regular" w:cs="Arial"/>
          <w:sz w:val="22"/>
          <w:szCs w:val="22"/>
          <w:lang w:eastAsia="de-DE"/>
        </w:rPr>
        <w:t xml:space="preserve">already </w:t>
      </w:r>
      <w:r w:rsidRPr="00F5551F">
        <w:rPr>
          <w:rFonts w:ascii="DIN-Regular" w:hAnsi="DIN-Regular" w:cs="Arial"/>
          <w:sz w:val="22"/>
          <w:szCs w:val="22"/>
          <w:lang w:eastAsia="de-DE"/>
        </w:rPr>
        <w:t>imposed by paragraph 4.</w:t>
      </w:r>
    </w:p>
    <w:p w:rsidR="003C0864" w:rsidRPr="00F5551F" w:rsidRDefault="003C0864" w:rsidP="00DA6980">
      <w:pPr>
        <w:pStyle w:val="Default"/>
        <w:contextualSpacing/>
        <w:jc w:val="both"/>
        <w:rPr>
          <w:rFonts w:ascii="DIN-Regular" w:hAnsi="DIN-Regular" w:cs="Arial"/>
          <w:sz w:val="22"/>
          <w:szCs w:val="22"/>
          <w:lang w:eastAsia="de-DE"/>
        </w:rPr>
      </w:pPr>
    </w:p>
    <w:p w:rsidR="001F6799" w:rsidRPr="00F5551F" w:rsidRDefault="001F6799" w:rsidP="00DA6980">
      <w:pPr>
        <w:spacing w:after="240"/>
        <w:jc w:val="both"/>
        <w:rPr>
          <w:rFonts w:cs="Arial"/>
          <w:sz w:val="22"/>
          <w:szCs w:val="22"/>
          <w:lang w:eastAsia="de-DE"/>
        </w:rPr>
      </w:pPr>
      <w:r w:rsidRPr="00F5551F">
        <w:rPr>
          <w:rFonts w:eastAsia="Arial Unicode MS" w:cs="Arial"/>
          <w:b/>
          <w:sz w:val="22"/>
          <w:szCs w:val="22"/>
          <w:lang w:eastAsia="en-GB"/>
        </w:rPr>
        <w:t>Article 23</w:t>
      </w:r>
      <w:r w:rsidR="000037A4" w:rsidRPr="00F5551F">
        <w:rPr>
          <w:rFonts w:eastAsia="Arial Unicode MS" w:cs="Arial"/>
          <w:b/>
          <w:sz w:val="22"/>
          <w:szCs w:val="22"/>
          <w:lang w:eastAsia="en-GB"/>
        </w:rPr>
        <w:tab/>
      </w:r>
      <w:r w:rsidR="000037A4" w:rsidRPr="00F5551F">
        <w:rPr>
          <w:rFonts w:eastAsia="Arial Unicode MS" w:cs="Arial"/>
          <w:b/>
          <w:sz w:val="22"/>
          <w:szCs w:val="22"/>
          <w:lang w:eastAsia="en-GB"/>
        </w:rPr>
        <w:br/>
      </w:r>
      <w:r w:rsidRPr="00F5551F">
        <w:rPr>
          <w:rFonts w:eastAsia="Arial Unicode MS" w:cs="Arial"/>
          <w:sz w:val="22"/>
          <w:szCs w:val="22"/>
        </w:rPr>
        <w:t>Also for Article 23</w:t>
      </w:r>
      <w:r w:rsidR="009463DD" w:rsidRPr="00F5551F">
        <w:rPr>
          <w:rFonts w:eastAsia="Arial Unicode MS" w:cs="Arial"/>
          <w:sz w:val="22"/>
          <w:szCs w:val="22"/>
        </w:rPr>
        <w:t xml:space="preserve"> (</w:t>
      </w:r>
      <w:r w:rsidRPr="00F5551F">
        <w:rPr>
          <w:rFonts w:eastAsia="Arial Unicode MS" w:cs="Arial"/>
          <w:sz w:val="22"/>
          <w:szCs w:val="22"/>
        </w:rPr>
        <w:t>3</w:t>
      </w:r>
      <w:r w:rsidR="009463DD" w:rsidRPr="00F5551F">
        <w:rPr>
          <w:rFonts w:eastAsia="Arial Unicode MS" w:cs="Arial"/>
          <w:sz w:val="22"/>
          <w:szCs w:val="22"/>
        </w:rPr>
        <w:t>)</w:t>
      </w:r>
      <w:r w:rsidRPr="00F5551F">
        <w:rPr>
          <w:rFonts w:eastAsia="Arial Unicode MS" w:cs="Arial"/>
          <w:sz w:val="22"/>
          <w:szCs w:val="22"/>
        </w:rPr>
        <w:t xml:space="preserve"> of the draft RTS we disagree with levels proposed for the concentration limits. Due to the limitations proposed to classify for high quality liquid assets, some concentration will be the consequence anyway which cannot be penalised as this would be contradictory. As such, type of issuer and type of asset do not make sense as there will be a high concentration on government debt instruments in any case. In addition, the country of issuer for the same reason as already stated above seems not to be an eligible criterion. Furthermore, the settlement currency is totally inadequate as the draft RTS at various places requires that the currencies must match. With e.g. a high degree on EUR settlement and loans, the concentration in EUR currency for the collateral is a logic consequence. We therefore strongly demand to reduce the number of categories. Furthermore, we disagree to the conditions (h) and (</w:t>
      </w:r>
      <w:proofErr w:type="spellStart"/>
      <w:r w:rsidRPr="00F5551F">
        <w:rPr>
          <w:rFonts w:eastAsia="Arial Unicode MS" w:cs="Arial"/>
          <w:sz w:val="22"/>
          <w:szCs w:val="22"/>
        </w:rPr>
        <w:t>i</w:t>
      </w:r>
      <w:proofErr w:type="spellEnd"/>
      <w:r w:rsidRPr="00F5551F">
        <w:rPr>
          <w:rFonts w:eastAsia="Arial Unicode MS" w:cs="Arial"/>
          <w:sz w:val="22"/>
          <w:szCs w:val="22"/>
        </w:rPr>
        <w:t>) as this does not make sense</w:t>
      </w:r>
      <w:r w:rsidR="000037A4" w:rsidRPr="00F5551F">
        <w:rPr>
          <w:rFonts w:eastAsia="Arial Unicode MS" w:cs="Arial"/>
          <w:sz w:val="22"/>
          <w:szCs w:val="22"/>
        </w:rPr>
        <w:t xml:space="preserve"> in the light of the arguments raised above.</w:t>
      </w:r>
    </w:p>
    <w:p w:rsidR="003C0864" w:rsidRPr="00F5551F" w:rsidRDefault="003C0864" w:rsidP="00DA6980">
      <w:pPr>
        <w:pStyle w:val="Default"/>
        <w:contextualSpacing/>
        <w:jc w:val="both"/>
        <w:rPr>
          <w:rFonts w:ascii="DIN-Regular" w:hAnsi="DIN-Regular" w:cs="Arial"/>
          <w:sz w:val="22"/>
          <w:szCs w:val="22"/>
          <w:lang w:eastAsia="de-DE"/>
        </w:rPr>
      </w:pPr>
      <w:r w:rsidRPr="00F5551F">
        <w:rPr>
          <w:rFonts w:ascii="DIN-Regular" w:hAnsi="DIN-Regular" w:cs="Arial"/>
          <w:sz w:val="22"/>
          <w:szCs w:val="22"/>
          <w:lang w:eastAsia="de-DE"/>
        </w:rPr>
        <w:t>Article 23</w:t>
      </w:r>
      <w:r w:rsidR="009463DD" w:rsidRPr="00F5551F">
        <w:rPr>
          <w:rFonts w:ascii="DIN-Regular" w:hAnsi="DIN-Regular" w:cs="Arial"/>
          <w:sz w:val="22"/>
          <w:szCs w:val="22"/>
          <w:lang w:eastAsia="de-DE"/>
        </w:rPr>
        <w:t xml:space="preserve"> (</w:t>
      </w:r>
      <w:r w:rsidR="00AA5C0D" w:rsidRPr="00F5551F">
        <w:rPr>
          <w:rFonts w:ascii="DIN-Regular" w:hAnsi="DIN-Regular" w:cs="Arial"/>
          <w:sz w:val="22"/>
          <w:szCs w:val="22"/>
          <w:lang w:eastAsia="de-DE"/>
        </w:rPr>
        <w:t>5</w:t>
      </w:r>
      <w:r w:rsidR="009463DD" w:rsidRPr="00F5551F">
        <w:rPr>
          <w:rFonts w:ascii="DIN-Regular" w:hAnsi="DIN-Regular" w:cs="Arial"/>
          <w:sz w:val="22"/>
          <w:szCs w:val="22"/>
          <w:lang w:eastAsia="de-DE"/>
        </w:rPr>
        <w:t>)</w:t>
      </w:r>
      <w:r w:rsidRPr="00F5551F">
        <w:rPr>
          <w:rFonts w:ascii="DIN-Regular" w:hAnsi="DIN-Regular" w:cs="Arial"/>
          <w:sz w:val="22"/>
          <w:szCs w:val="22"/>
          <w:lang w:eastAsia="de-DE"/>
        </w:rPr>
        <w:t xml:space="preserve"> </w:t>
      </w:r>
      <w:r w:rsidR="00374099">
        <w:rPr>
          <w:rFonts w:ascii="DIN-Regular" w:hAnsi="DIN-Regular" w:cs="Arial"/>
          <w:sz w:val="22"/>
          <w:szCs w:val="22"/>
          <w:lang w:eastAsia="de-DE"/>
        </w:rPr>
        <w:t xml:space="preserve">draft RTS </w:t>
      </w:r>
      <w:r w:rsidRPr="00F5551F">
        <w:rPr>
          <w:rFonts w:ascii="DIN-Regular" w:hAnsi="DIN-Regular" w:cs="Arial"/>
          <w:sz w:val="22"/>
          <w:szCs w:val="22"/>
          <w:lang w:eastAsia="de-DE"/>
        </w:rPr>
        <w:t xml:space="preserve">creates a requirement which is not compatible with the current concept of “collateral pool” </w:t>
      </w:r>
      <w:r w:rsidR="000037A4" w:rsidRPr="00F5551F">
        <w:rPr>
          <w:rFonts w:ascii="DIN-Regular" w:hAnsi="DIN-Regular" w:cs="Arial"/>
          <w:sz w:val="22"/>
          <w:szCs w:val="22"/>
          <w:lang w:eastAsia="de-DE"/>
        </w:rPr>
        <w:t xml:space="preserve">as mentioned earlier in the context of this response. </w:t>
      </w:r>
    </w:p>
    <w:p w:rsidR="003C0864" w:rsidRPr="00F5551F" w:rsidRDefault="003C0864" w:rsidP="00DA6980">
      <w:pPr>
        <w:pStyle w:val="Default"/>
        <w:contextualSpacing/>
        <w:jc w:val="both"/>
        <w:rPr>
          <w:rFonts w:ascii="DIN-Regular" w:hAnsi="DIN-Regular" w:cs="Arial"/>
          <w:sz w:val="22"/>
          <w:szCs w:val="22"/>
          <w:lang w:eastAsia="de-DE"/>
        </w:rPr>
      </w:pPr>
    </w:p>
    <w:p w:rsidR="00897116" w:rsidRPr="00F5551F" w:rsidRDefault="00897116" w:rsidP="00DA6980">
      <w:pPr>
        <w:pStyle w:val="Default"/>
        <w:contextualSpacing/>
        <w:jc w:val="both"/>
        <w:rPr>
          <w:rFonts w:ascii="DIN-Regular" w:hAnsi="DIN-Regular" w:cs="Arial"/>
          <w:sz w:val="22"/>
          <w:szCs w:val="22"/>
          <w:lang w:eastAsia="de-DE"/>
        </w:rPr>
      </w:pPr>
    </w:p>
    <w:p w:rsidR="00F1016A" w:rsidRPr="00F5551F" w:rsidRDefault="00F1016A" w:rsidP="00F1016A">
      <w:pPr>
        <w:pStyle w:val="Default"/>
        <w:pBdr>
          <w:top w:val="single" w:sz="4" w:space="1" w:color="auto"/>
          <w:left w:val="single" w:sz="4" w:space="4" w:color="auto"/>
          <w:bottom w:val="single" w:sz="4" w:space="1" w:color="auto"/>
          <w:right w:val="single" w:sz="4" w:space="4" w:color="auto"/>
        </w:pBdr>
        <w:ind w:left="360"/>
        <w:contextualSpacing/>
        <w:jc w:val="both"/>
        <w:rPr>
          <w:rFonts w:ascii="DIN-Regular" w:eastAsia="Arial Unicode MS" w:hAnsi="DIN-Regular" w:cs="Arial"/>
          <w:color w:val="0070C0"/>
          <w:sz w:val="22"/>
          <w:szCs w:val="22"/>
        </w:rPr>
      </w:pPr>
    </w:p>
    <w:p w:rsidR="006A0FC7" w:rsidRPr="00F5551F" w:rsidRDefault="006A0FC7" w:rsidP="00DA6980">
      <w:pPr>
        <w:pStyle w:val="Default"/>
        <w:numPr>
          <w:ilvl w:val="0"/>
          <w:numId w:val="1"/>
        </w:numPr>
        <w:pBdr>
          <w:top w:val="single" w:sz="4" w:space="1" w:color="auto"/>
          <w:left w:val="single" w:sz="4" w:space="4" w:color="auto"/>
          <w:bottom w:val="single" w:sz="4" w:space="1" w:color="auto"/>
          <w:right w:val="single" w:sz="4" w:space="4" w:color="auto"/>
        </w:pBdr>
        <w:contextualSpacing/>
        <w:jc w:val="both"/>
        <w:rPr>
          <w:rFonts w:ascii="DIN-Regular" w:eastAsia="Arial Unicode MS" w:hAnsi="DIN-Regular" w:cs="Arial"/>
          <w:color w:val="0070C0"/>
          <w:sz w:val="22"/>
          <w:szCs w:val="22"/>
        </w:rPr>
      </w:pPr>
      <w:r w:rsidRPr="00F5551F">
        <w:rPr>
          <w:rFonts w:ascii="DIN-Regular" w:eastAsia="Arial Unicode MS" w:hAnsi="DIN-Regular" w:cs="Arial"/>
          <w:color w:val="0070C0"/>
          <w:sz w:val="22"/>
          <w:szCs w:val="22"/>
        </w:rPr>
        <w:t>What are the practical impediments of the implementation of this Article 24?</w:t>
      </w:r>
    </w:p>
    <w:p w:rsidR="00F1016A" w:rsidRPr="00F5551F" w:rsidRDefault="00F1016A" w:rsidP="00F1016A">
      <w:pPr>
        <w:pStyle w:val="Default"/>
        <w:pBdr>
          <w:top w:val="single" w:sz="4" w:space="1" w:color="auto"/>
          <w:left w:val="single" w:sz="4" w:space="4" w:color="auto"/>
          <w:bottom w:val="single" w:sz="4" w:space="1" w:color="auto"/>
          <w:right w:val="single" w:sz="4" w:space="4" w:color="auto"/>
        </w:pBdr>
        <w:ind w:left="360"/>
        <w:contextualSpacing/>
        <w:jc w:val="both"/>
        <w:rPr>
          <w:rFonts w:ascii="DIN-Regular" w:eastAsia="Arial Unicode MS" w:hAnsi="DIN-Regular" w:cs="Arial"/>
          <w:color w:val="0070C0"/>
          <w:sz w:val="22"/>
          <w:szCs w:val="22"/>
        </w:rPr>
      </w:pPr>
    </w:p>
    <w:p w:rsidR="00BA2A95" w:rsidRPr="00F5551F" w:rsidRDefault="00BA2A95" w:rsidP="00DA6980">
      <w:pPr>
        <w:pStyle w:val="Default"/>
        <w:contextualSpacing/>
        <w:jc w:val="both"/>
        <w:rPr>
          <w:rFonts w:ascii="DIN-Regular" w:eastAsia="Arial Unicode MS" w:hAnsi="DIN-Regular" w:cs="Arial"/>
          <w:color w:val="auto"/>
          <w:sz w:val="22"/>
          <w:szCs w:val="22"/>
        </w:rPr>
      </w:pPr>
    </w:p>
    <w:p w:rsidR="00AA5C0D" w:rsidRPr="00F5551F" w:rsidRDefault="00AA5C0D" w:rsidP="00DA6980">
      <w:pPr>
        <w:pStyle w:val="Default"/>
        <w:contextualSpacing/>
        <w:jc w:val="both"/>
        <w:rPr>
          <w:rFonts w:ascii="DIN-Regular" w:eastAsia="Arial Unicode MS" w:hAnsi="DIN-Regular" w:cs="Arial"/>
          <w:color w:val="auto"/>
          <w:sz w:val="22"/>
          <w:szCs w:val="22"/>
        </w:rPr>
      </w:pPr>
    </w:p>
    <w:p w:rsidR="003C0864" w:rsidRPr="00F5551F" w:rsidRDefault="003C0864"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According to Article 59</w:t>
      </w:r>
      <w:r w:rsidR="009463DD" w:rsidRPr="00F5551F">
        <w:rPr>
          <w:rFonts w:ascii="DIN-Regular" w:eastAsia="Arial Unicode MS" w:hAnsi="DIN-Regular" w:cs="Arial"/>
          <w:color w:val="auto"/>
          <w:sz w:val="22"/>
          <w:szCs w:val="22"/>
        </w:rPr>
        <w:t xml:space="preserve"> (</w:t>
      </w:r>
      <w:r w:rsidRPr="00F5551F">
        <w:rPr>
          <w:rFonts w:ascii="DIN-Regular" w:eastAsia="Arial Unicode MS" w:hAnsi="DIN-Regular" w:cs="Arial"/>
          <w:color w:val="auto"/>
          <w:sz w:val="22"/>
          <w:szCs w:val="22"/>
        </w:rPr>
        <w:t>3</w:t>
      </w:r>
      <w:r w:rsidR="009463DD" w:rsidRPr="00F5551F">
        <w:rPr>
          <w:rFonts w:ascii="DIN-Regular" w:eastAsia="Arial Unicode MS" w:hAnsi="DIN-Regular" w:cs="Arial"/>
          <w:color w:val="auto"/>
          <w:sz w:val="22"/>
          <w:szCs w:val="22"/>
        </w:rPr>
        <w:t>) (</w:t>
      </w:r>
      <w:r w:rsidRPr="00F5551F">
        <w:rPr>
          <w:rFonts w:ascii="DIN-Regular" w:eastAsia="Arial Unicode MS" w:hAnsi="DIN-Regular" w:cs="Arial"/>
          <w:color w:val="auto"/>
          <w:sz w:val="22"/>
          <w:szCs w:val="22"/>
        </w:rPr>
        <w:t>c</w:t>
      </w:r>
      <w:r w:rsidR="009463DD" w:rsidRPr="00F5551F">
        <w:rPr>
          <w:rFonts w:ascii="DIN-Regular" w:eastAsia="Arial Unicode MS" w:hAnsi="DIN-Regular" w:cs="Arial"/>
          <w:color w:val="auto"/>
          <w:sz w:val="22"/>
          <w:szCs w:val="22"/>
        </w:rPr>
        <w:t>)</w:t>
      </w:r>
      <w:r w:rsidRPr="00F5551F">
        <w:rPr>
          <w:rFonts w:ascii="DIN-Regular" w:eastAsia="Arial Unicode MS" w:hAnsi="DIN-Regular" w:cs="Arial"/>
          <w:color w:val="auto"/>
          <w:sz w:val="22"/>
          <w:szCs w:val="22"/>
        </w:rPr>
        <w:t xml:space="preserve"> of Regulation (EU) No. 909/2014 (“CSD-R”), a CSD authorised to provide banking type ancillary services “… shall fully cover corresponding credit exposures to individual borrowing participants using collateral and other equivalent financial resources”.  Article 24 of the EBA/CP/2015/02 (the “CP”) establishes the conditions by which commercial bank guarantees provided by a financial institution referred to in Article 39</w:t>
      </w:r>
      <w:r w:rsidR="009463DD" w:rsidRPr="00F5551F">
        <w:rPr>
          <w:rFonts w:ascii="DIN-Regular" w:eastAsia="Arial Unicode MS" w:hAnsi="DIN-Regular" w:cs="Arial"/>
          <w:color w:val="auto"/>
          <w:sz w:val="22"/>
          <w:szCs w:val="22"/>
        </w:rPr>
        <w:t xml:space="preserve"> (</w:t>
      </w:r>
      <w:r w:rsidRPr="00F5551F">
        <w:rPr>
          <w:rFonts w:ascii="DIN-Regular" w:eastAsia="Arial Unicode MS" w:hAnsi="DIN-Regular" w:cs="Arial"/>
          <w:color w:val="auto"/>
          <w:sz w:val="22"/>
          <w:szCs w:val="22"/>
        </w:rPr>
        <w:t>2</w:t>
      </w:r>
      <w:r w:rsidR="009463DD" w:rsidRPr="00F5551F">
        <w:rPr>
          <w:rFonts w:ascii="DIN-Regular" w:eastAsia="Arial Unicode MS" w:hAnsi="DIN-Regular" w:cs="Arial"/>
          <w:color w:val="auto"/>
          <w:sz w:val="22"/>
          <w:szCs w:val="22"/>
        </w:rPr>
        <w:t>)</w:t>
      </w:r>
      <w:r w:rsidRPr="00F5551F">
        <w:rPr>
          <w:rFonts w:ascii="DIN-Regular" w:eastAsia="Arial Unicode MS" w:hAnsi="DIN-Regular" w:cs="Arial"/>
          <w:color w:val="auto"/>
          <w:sz w:val="22"/>
          <w:szCs w:val="22"/>
        </w:rPr>
        <w:t xml:space="preserve"> of the CP may be considered as "other equivalent financial resources".</w:t>
      </w:r>
    </w:p>
    <w:p w:rsidR="003C0864" w:rsidRPr="00F5551F" w:rsidRDefault="003C0864" w:rsidP="00DA6980">
      <w:pPr>
        <w:pStyle w:val="Default"/>
        <w:contextualSpacing/>
        <w:jc w:val="both"/>
        <w:rPr>
          <w:rFonts w:ascii="DIN-Regular" w:eastAsia="Arial Unicode MS" w:hAnsi="DIN-Regular" w:cs="Arial"/>
          <w:color w:val="auto"/>
          <w:sz w:val="22"/>
          <w:szCs w:val="22"/>
        </w:rPr>
      </w:pPr>
    </w:p>
    <w:p w:rsidR="003C0864" w:rsidRPr="00F5551F" w:rsidRDefault="003C0864"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The following aims at providing a more detailed analysis of the practical impediments for the implementation of the nine conditions as proposed by Article 24</w:t>
      </w:r>
      <w:r w:rsidR="009463DD" w:rsidRPr="00F5551F">
        <w:rPr>
          <w:rFonts w:ascii="DIN-Regular" w:eastAsia="Arial Unicode MS" w:hAnsi="DIN-Regular" w:cs="Arial"/>
          <w:color w:val="auto"/>
          <w:sz w:val="22"/>
          <w:szCs w:val="22"/>
        </w:rPr>
        <w:t xml:space="preserve"> (</w:t>
      </w:r>
      <w:r w:rsidRPr="00F5551F">
        <w:rPr>
          <w:rFonts w:ascii="DIN-Regular" w:eastAsia="Arial Unicode MS" w:hAnsi="DIN-Regular" w:cs="Arial"/>
          <w:color w:val="auto"/>
          <w:sz w:val="22"/>
          <w:szCs w:val="22"/>
        </w:rPr>
        <w:t>2</w:t>
      </w:r>
      <w:r w:rsidR="009463DD" w:rsidRPr="00F5551F">
        <w:rPr>
          <w:rFonts w:ascii="DIN-Regular" w:eastAsia="Arial Unicode MS" w:hAnsi="DIN-Regular" w:cs="Arial"/>
          <w:color w:val="auto"/>
          <w:sz w:val="22"/>
          <w:szCs w:val="22"/>
        </w:rPr>
        <w:t>)</w:t>
      </w:r>
      <w:r w:rsidRPr="00F5551F">
        <w:rPr>
          <w:rFonts w:ascii="DIN-Regular" w:eastAsia="Arial Unicode MS" w:hAnsi="DIN-Regular" w:cs="Arial"/>
          <w:color w:val="auto"/>
          <w:sz w:val="22"/>
          <w:szCs w:val="22"/>
        </w:rPr>
        <w:t>:</w:t>
      </w:r>
    </w:p>
    <w:p w:rsidR="003C0864" w:rsidRPr="00F5551F" w:rsidRDefault="003C0864" w:rsidP="00B02B38">
      <w:pPr>
        <w:pStyle w:val="Default"/>
        <w:numPr>
          <w:ilvl w:val="0"/>
          <w:numId w:val="14"/>
        </w:numPr>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 xml:space="preserve">Condition (a) establishes a dynamic cap on bank guarantees (the amount of the guarantee cannot exceed 1% of the settlement values of the securities settlement system over one year period).  In </w:t>
      </w:r>
      <w:proofErr w:type="spellStart"/>
      <w:r w:rsidRPr="00F5551F">
        <w:rPr>
          <w:rFonts w:ascii="DIN-Regular" w:eastAsia="Arial Unicode MS" w:hAnsi="DIN-Regular" w:cs="Arial"/>
          <w:color w:val="auto"/>
          <w:sz w:val="22"/>
          <w:szCs w:val="22"/>
        </w:rPr>
        <w:t>Clearstream’s</w:t>
      </w:r>
      <w:proofErr w:type="spellEnd"/>
      <w:r w:rsidRPr="00F5551F">
        <w:rPr>
          <w:rFonts w:ascii="DIN-Regular" w:eastAsia="Arial Unicode MS" w:hAnsi="DIN-Regular" w:cs="Arial"/>
          <w:color w:val="auto"/>
          <w:sz w:val="22"/>
          <w:szCs w:val="22"/>
        </w:rPr>
        <w:t xml:space="preserve"> view, the maximum amount of a bank guarantee accepted as collateral should not be subject to specific regulation but rather left to the discretion of the management of the CSD offering banking services.  However, should the EBA believe it is required to establish a cap on the amount of bank guarantees, such cap should be established as a proportion of the shareholders’ equity of the CSD (e.g. 25% of own funds).  In addition, from a practical point of view, it is not clear whether the “one year period” is counted from a calendar year perspective or on a rolling basis.  The latter will dramatically increase the complexity for the monitoring of the condition.</w:t>
      </w:r>
    </w:p>
    <w:p w:rsidR="003C0864" w:rsidRPr="00F5551F" w:rsidRDefault="003C0864" w:rsidP="00B02B38">
      <w:pPr>
        <w:pStyle w:val="Default"/>
        <w:numPr>
          <w:ilvl w:val="0"/>
          <w:numId w:val="14"/>
        </w:numPr>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lastRenderedPageBreak/>
        <w:t>Conditions (b), (c), (d) and (g) appear acceptable</w:t>
      </w:r>
      <w:r w:rsidR="00CF0AB4" w:rsidRPr="00F5551F">
        <w:rPr>
          <w:rStyle w:val="FootnoteReference"/>
          <w:rFonts w:ascii="DIN-Regular" w:hAnsi="DIN-Regular" w:cs="Arial"/>
          <w:color w:val="auto"/>
          <w:sz w:val="22"/>
          <w:szCs w:val="22"/>
        </w:rPr>
        <w:footnoteReference w:id="11"/>
      </w:r>
      <w:r w:rsidRPr="00F5551F">
        <w:rPr>
          <w:rFonts w:ascii="DIN-Regular" w:eastAsia="Arial Unicode MS" w:hAnsi="DIN-Regular" w:cs="Arial"/>
          <w:color w:val="auto"/>
          <w:sz w:val="22"/>
          <w:szCs w:val="22"/>
        </w:rPr>
        <w:t xml:space="preserve"> .</w:t>
      </w:r>
    </w:p>
    <w:p w:rsidR="003C0864" w:rsidRPr="00F5551F" w:rsidRDefault="003C0864" w:rsidP="00B02B38">
      <w:pPr>
        <w:pStyle w:val="Default"/>
        <w:numPr>
          <w:ilvl w:val="0"/>
          <w:numId w:val="14"/>
        </w:numPr>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 xml:space="preserve">Condition (e) requires the bank guarantee to be “honoured, on demand, within the period of liquidation of the portfolio of the defaulting borrowing participant providing it free of any regulatory, legal or operational constraint”.  Reference made to “the period of liquidation of the portfolio of the defaulting borrowing participant providing it” appears out of context.  Which portfolio of the “defaulting borrowing participant” is to be liquidated?    If a participant provides a bank guarantee to secure its obligations, it is assumed it has no securities pledged to the CSD.  Additionally, the requirement that the bank guarantee is provided “free of any regulatory, legal or operational constraint” is already implicitly included under condition (d).  In </w:t>
      </w:r>
      <w:proofErr w:type="spellStart"/>
      <w:r w:rsidRPr="00F5551F">
        <w:rPr>
          <w:rFonts w:ascii="DIN-Regular" w:eastAsia="Arial Unicode MS" w:hAnsi="DIN-Regular" w:cs="Arial"/>
          <w:color w:val="auto"/>
          <w:sz w:val="22"/>
          <w:szCs w:val="22"/>
        </w:rPr>
        <w:t>Clearstream’s</w:t>
      </w:r>
      <w:proofErr w:type="spellEnd"/>
      <w:r w:rsidRPr="00F5551F">
        <w:rPr>
          <w:rFonts w:ascii="DIN-Regular" w:eastAsia="Arial Unicode MS" w:hAnsi="DIN-Regular" w:cs="Arial"/>
          <w:color w:val="auto"/>
          <w:sz w:val="22"/>
          <w:szCs w:val="22"/>
        </w:rPr>
        <w:t xml:space="preserve"> opinion, the text of condition (e) is unclear.  We suggest it is shortened to read “it can be honoured on demand”.</w:t>
      </w:r>
    </w:p>
    <w:p w:rsidR="003C0864" w:rsidRPr="00F5551F" w:rsidRDefault="003C0864" w:rsidP="00B02B38">
      <w:pPr>
        <w:pStyle w:val="Default"/>
        <w:numPr>
          <w:ilvl w:val="0"/>
          <w:numId w:val="14"/>
        </w:numPr>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Condition (f) (</w:t>
      </w:r>
      <w:proofErr w:type="spellStart"/>
      <w:r w:rsidRPr="00F5551F">
        <w:rPr>
          <w:rFonts w:ascii="DIN-Regular" w:eastAsia="Arial Unicode MS" w:hAnsi="DIN-Regular" w:cs="Arial"/>
          <w:color w:val="auto"/>
          <w:sz w:val="22"/>
          <w:szCs w:val="22"/>
        </w:rPr>
        <w:t>i</w:t>
      </w:r>
      <w:proofErr w:type="spellEnd"/>
      <w:r w:rsidRPr="00F5551F">
        <w:rPr>
          <w:rFonts w:ascii="DIN-Regular" w:eastAsia="Arial Unicode MS" w:hAnsi="DIN-Regular" w:cs="Arial"/>
          <w:color w:val="auto"/>
          <w:sz w:val="22"/>
          <w:szCs w:val="22"/>
        </w:rPr>
        <w:t xml:space="preserve">) requires that the bank guarantee is not issued by “an entity that is part of the same group as the borrowing participant covered by the guarantee”.  In </w:t>
      </w:r>
      <w:proofErr w:type="spellStart"/>
      <w:r w:rsidRPr="00F5551F">
        <w:rPr>
          <w:rFonts w:ascii="DIN-Regular" w:eastAsia="Arial Unicode MS" w:hAnsi="DIN-Regular" w:cs="Arial"/>
          <w:color w:val="auto"/>
          <w:sz w:val="22"/>
          <w:szCs w:val="22"/>
        </w:rPr>
        <w:t>Clearstream’s</w:t>
      </w:r>
      <w:proofErr w:type="spellEnd"/>
      <w:r w:rsidRPr="00F5551F">
        <w:rPr>
          <w:rFonts w:ascii="DIN-Regular" w:eastAsia="Arial Unicode MS" w:hAnsi="DIN-Regular" w:cs="Arial"/>
          <w:color w:val="auto"/>
          <w:sz w:val="22"/>
          <w:szCs w:val="22"/>
        </w:rPr>
        <w:t xml:space="preserve"> view, this restriction is unnecessary as long as the CSD considers the credit exposure on the issuer of the guarantee in the aggregation of the credit exposure it has on the consolidated group.  As a matter of fact, most bank guarantees accepted by </w:t>
      </w:r>
      <w:proofErr w:type="spellStart"/>
      <w:r w:rsidRPr="00F5551F">
        <w:rPr>
          <w:rFonts w:ascii="DIN-Regular" w:eastAsia="Arial Unicode MS" w:hAnsi="DIN-Regular" w:cs="Arial"/>
          <w:color w:val="auto"/>
          <w:sz w:val="22"/>
          <w:szCs w:val="22"/>
        </w:rPr>
        <w:t>Clearstream</w:t>
      </w:r>
      <w:proofErr w:type="spellEnd"/>
      <w:r w:rsidRPr="00F5551F">
        <w:rPr>
          <w:rFonts w:ascii="DIN-Regular" w:eastAsia="Arial Unicode MS" w:hAnsi="DIN-Regular" w:cs="Arial"/>
          <w:color w:val="auto"/>
          <w:sz w:val="22"/>
          <w:szCs w:val="22"/>
        </w:rPr>
        <w:t xml:space="preserve"> are issued by sound banks on behalf of a bank subsidiary which has not sufficient proprietary assets deposited at </w:t>
      </w:r>
      <w:proofErr w:type="spellStart"/>
      <w:r w:rsidRPr="00F5551F">
        <w:rPr>
          <w:rFonts w:ascii="DIN-Regular" w:eastAsia="Arial Unicode MS" w:hAnsi="DIN-Regular" w:cs="Arial"/>
          <w:color w:val="auto"/>
          <w:sz w:val="22"/>
          <w:szCs w:val="22"/>
        </w:rPr>
        <w:t>Clearstream</w:t>
      </w:r>
      <w:proofErr w:type="spellEnd"/>
      <w:r w:rsidRPr="00F5551F">
        <w:rPr>
          <w:rFonts w:ascii="DIN-Regular" w:eastAsia="Arial Unicode MS" w:hAnsi="DIN-Regular" w:cs="Arial"/>
          <w:color w:val="auto"/>
          <w:sz w:val="22"/>
          <w:szCs w:val="22"/>
        </w:rPr>
        <w:t xml:space="preserve"> to secure its credit limits.  Considering the very small financial impact such guarantees pose to the solvency and liquidity positions of the CSDs, we believe this restriction should be lifted.</w:t>
      </w:r>
    </w:p>
    <w:p w:rsidR="003C0864" w:rsidRPr="00F5551F" w:rsidRDefault="003C0864" w:rsidP="00B02B38">
      <w:pPr>
        <w:pStyle w:val="Default"/>
        <w:numPr>
          <w:ilvl w:val="0"/>
          <w:numId w:val="14"/>
        </w:numPr>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 xml:space="preserve">Condition (h) requires the bank guarantee to be backed by collateral that meets three additional conditions.  At </w:t>
      </w:r>
      <w:proofErr w:type="spellStart"/>
      <w:r w:rsidRPr="00F5551F">
        <w:rPr>
          <w:rFonts w:ascii="DIN-Regular" w:eastAsia="Arial Unicode MS" w:hAnsi="DIN-Regular" w:cs="Arial"/>
          <w:color w:val="auto"/>
          <w:sz w:val="22"/>
          <w:szCs w:val="22"/>
        </w:rPr>
        <w:t>Clearstream</w:t>
      </w:r>
      <w:proofErr w:type="spellEnd"/>
      <w:r w:rsidRPr="00F5551F">
        <w:rPr>
          <w:rFonts w:ascii="DIN-Regular" w:eastAsia="Arial Unicode MS" w:hAnsi="DIN-Regular" w:cs="Arial"/>
          <w:color w:val="auto"/>
          <w:sz w:val="22"/>
          <w:szCs w:val="22"/>
        </w:rPr>
        <w:t>, we believe condition (h) is virtually impossible to be satisfied.  The requirement of securing the issuer’s credit risk with additional collateral imposes a third line of defence vis-à-vis the risk of the borrowing participant: the bank guarantee covers the risk of the borrowing participant's default and the collateral covers the credit risk of the issuer.  As a result of this requirement, the CSD would benefit from two credit enhancements to cover the same risk (a cash loan to the borrowing participant).  The requirement will make the issuance of a bank guarantee extremely expensive as the issuer will have to price in not only the applicant’s risk but also the cost of posting additional collateral to the beneficiary.</w:t>
      </w:r>
    </w:p>
    <w:p w:rsidR="003C0864" w:rsidRPr="00F5551F" w:rsidRDefault="003C0864" w:rsidP="00B02B38">
      <w:pPr>
        <w:pStyle w:val="Default"/>
        <w:numPr>
          <w:ilvl w:val="0"/>
          <w:numId w:val="14"/>
        </w:numPr>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Condition (</w:t>
      </w:r>
      <w:proofErr w:type="spellStart"/>
      <w:r w:rsidRPr="00F5551F">
        <w:rPr>
          <w:rFonts w:ascii="DIN-Regular" w:eastAsia="Arial Unicode MS" w:hAnsi="DIN-Regular" w:cs="Arial"/>
          <w:color w:val="auto"/>
          <w:sz w:val="22"/>
          <w:szCs w:val="22"/>
        </w:rPr>
        <w:t>i</w:t>
      </w:r>
      <w:proofErr w:type="spellEnd"/>
      <w:r w:rsidRPr="00F5551F">
        <w:rPr>
          <w:rFonts w:ascii="DIN-Regular" w:eastAsia="Arial Unicode MS" w:hAnsi="DIN-Regular" w:cs="Arial"/>
          <w:color w:val="auto"/>
          <w:sz w:val="22"/>
          <w:szCs w:val="22"/>
        </w:rPr>
        <w:t>) is redundant given the requirement (as outlined in condition (e)) that the bank guarantee is issued on demand.</w:t>
      </w:r>
    </w:p>
    <w:p w:rsidR="003C0864" w:rsidRPr="00F5551F" w:rsidRDefault="003C0864" w:rsidP="00DA6980">
      <w:pPr>
        <w:pStyle w:val="Default"/>
        <w:contextualSpacing/>
        <w:jc w:val="both"/>
        <w:rPr>
          <w:rFonts w:ascii="DIN-Regular" w:eastAsia="Arial Unicode MS" w:hAnsi="DIN-Regular" w:cs="Arial"/>
          <w:color w:val="auto"/>
          <w:sz w:val="22"/>
          <w:szCs w:val="22"/>
        </w:rPr>
      </w:pPr>
    </w:p>
    <w:p w:rsidR="003C0864" w:rsidRPr="00F5551F" w:rsidRDefault="003C0864"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 xml:space="preserve">Based on the above considerations, </w:t>
      </w:r>
      <w:proofErr w:type="spellStart"/>
      <w:r w:rsidRPr="00F5551F">
        <w:rPr>
          <w:rFonts w:ascii="DIN-Regular" w:eastAsia="Arial Unicode MS" w:hAnsi="DIN-Regular" w:cs="Arial"/>
          <w:color w:val="auto"/>
          <w:sz w:val="22"/>
          <w:szCs w:val="22"/>
        </w:rPr>
        <w:t>Clearstream</w:t>
      </w:r>
      <w:proofErr w:type="spellEnd"/>
      <w:r w:rsidRPr="00F5551F">
        <w:rPr>
          <w:rFonts w:ascii="DIN-Regular" w:eastAsia="Arial Unicode MS" w:hAnsi="DIN-Regular" w:cs="Arial"/>
          <w:color w:val="auto"/>
          <w:sz w:val="22"/>
          <w:szCs w:val="22"/>
        </w:rPr>
        <w:t xml:space="preserve"> proposes that:</w:t>
      </w:r>
    </w:p>
    <w:p w:rsidR="003C0864" w:rsidRPr="00F5551F" w:rsidRDefault="003C0864" w:rsidP="00B02B38">
      <w:pPr>
        <w:pStyle w:val="Default"/>
        <w:numPr>
          <w:ilvl w:val="0"/>
          <w:numId w:val="15"/>
        </w:numPr>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 xml:space="preserve">The text of Article 24 </w:t>
      </w:r>
      <w:r w:rsidR="00374099">
        <w:rPr>
          <w:rFonts w:ascii="DIN-Regular" w:eastAsia="Arial Unicode MS" w:hAnsi="DIN-Regular" w:cs="Arial"/>
          <w:color w:val="auto"/>
          <w:sz w:val="22"/>
          <w:szCs w:val="22"/>
        </w:rPr>
        <w:t xml:space="preserve">draft RTS </w:t>
      </w:r>
      <w:r w:rsidRPr="00F5551F">
        <w:rPr>
          <w:rFonts w:ascii="DIN-Regular" w:eastAsia="Arial Unicode MS" w:hAnsi="DIN-Regular" w:cs="Arial"/>
          <w:color w:val="auto"/>
          <w:sz w:val="22"/>
          <w:szCs w:val="22"/>
        </w:rPr>
        <w:t>explicitly exempts from its scope stand-by letters of credit issued by a syndicate of banks on behalf of an operator of a securities settlement system in favour of another operator of a securities settlement system.</w:t>
      </w:r>
    </w:p>
    <w:p w:rsidR="003C0864" w:rsidRPr="00F5551F" w:rsidRDefault="003C0864" w:rsidP="00B02B38">
      <w:pPr>
        <w:pStyle w:val="Default"/>
        <w:numPr>
          <w:ilvl w:val="0"/>
          <w:numId w:val="15"/>
        </w:numPr>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The EBA aligns Article 24</w:t>
      </w:r>
      <w:r w:rsidR="009463DD" w:rsidRPr="00F5551F">
        <w:rPr>
          <w:rFonts w:ascii="DIN-Regular" w:eastAsia="Arial Unicode MS" w:hAnsi="DIN-Regular" w:cs="Arial"/>
          <w:color w:val="auto"/>
          <w:sz w:val="22"/>
          <w:szCs w:val="22"/>
        </w:rPr>
        <w:t xml:space="preserve"> (</w:t>
      </w:r>
      <w:r w:rsidRPr="00F5551F">
        <w:rPr>
          <w:rFonts w:ascii="DIN-Regular" w:eastAsia="Arial Unicode MS" w:hAnsi="DIN-Regular" w:cs="Arial"/>
          <w:color w:val="auto"/>
          <w:sz w:val="22"/>
          <w:szCs w:val="22"/>
        </w:rPr>
        <w:t>2</w:t>
      </w:r>
      <w:r w:rsidR="009463DD" w:rsidRPr="00F5551F">
        <w:rPr>
          <w:rFonts w:ascii="DIN-Regular" w:eastAsia="Arial Unicode MS" w:hAnsi="DIN-Regular" w:cs="Arial"/>
          <w:color w:val="auto"/>
          <w:sz w:val="22"/>
          <w:szCs w:val="22"/>
        </w:rPr>
        <w:t>)</w:t>
      </w:r>
      <w:r w:rsidRPr="00F5551F">
        <w:rPr>
          <w:rFonts w:ascii="DIN-Regular" w:eastAsia="Arial Unicode MS" w:hAnsi="DIN-Regular" w:cs="Arial"/>
          <w:color w:val="auto"/>
          <w:sz w:val="22"/>
          <w:szCs w:val="22"/>
        </w:rPr>
        <w:t xml:space="preserve"> with Article 24</w:t>
      </w:r>
      <w:r w:rsidR="009463DD" w:rsidRPr="00F5551F">
        <w:rPr>
          <w:rFonts w:ascii="DIN-Regular" w:eastAsia="Arial Unicode MS" w:hAnsi="DIN-Regular" w:cs="Arial"/>
          <w:color w:val="auto"/>
          <w:sz w:val="22"/>
          <w:szCs w:val="22"/>
        </w:rPr>
        <w:t xml:space="preserve"> (</w:t>
      </w:r>
      <w:r w:rsidRPr="00F5551F">
        <w:rPr>
          <w:rFonts w:ascii="DIN-Regular" w:eastAsia="Arial Unicode MS" w:hAnsi="DIN-Regular" w:cs="Arial"/>
          <w:color w:val="auto"/>
          <w:sz w:val="22"/>
          <w:szCs w:val="22"/>
        </w:rPr>
        <w:t>3</w:t>
      </w:r>
      <w:r w:rsidR="009463DD" w:rsidRPr="00F5551F">
        <w:rPr>
          <w:rFonts w:ascii="DIN-Regular" w:eastAsia="Arial Unicode MS" w:hAnsi="DIN-Regular" w:cs="Arial"/>
          <w:color w:val="auto"/>
          <w:sz w:val="22"/>
          <w:szCs w:val="22"/>
        </w:rPr>
        <w:t>)</w:t>
      </w:r>
      <w:r w:rsidR="00684A82">
        <w:rPr>
          <w:rFonts w:ascii="DIN-Regular" w:eastAsia="Arial Unicode MS" w:hAnsi="DIN-Regular" w:cs="Arial"/>
          <w:color w:val="auto"/>
          <w:sz w:val="22"/>
          <w:szCs w:val="22"/>
        </w:rPr>
        <w:t xml:space="preserve"> draft RTS</w:t>
      </w:r>
      <w:r w:rsidRPr="00F5551F">
        <w:rPr>
          <w:rFonts w:ascii="DIN-Regular" w:eastAsia="Arial Unicode MS" w:hAnsi="DIN-Regular" w:cs="Arial"/>
          <w:color w:val="auto"/>
          <w:sz w:val="22"/>
          <w:szCs w:val="22"/>
        </w:rPr>
        <w:t xml:space="preserve">, which is simpler to understand and, from an operational point of view, to implement.  </w:t>
      </w:r>
    </w:p>
    <w:p w:rsidR="003C0864" w:rsidRPr="00F5551F" w:rsidRDefault="003C0864" w:rsidP="00DA6980">
      <w:pPr>
        <w:pStyle w:val="Default"/>
        <w:contextualSpacing/>
        <w:jc w:val="both"/>
        <w:rPr>
          <w:rFonts w:ascii="DIN-Regular" w:eastAsia="Arial Unicode MS" w:hAnsi="DIN-Regular" w:cs="Arial"/>
          <w:color w:val="auto"/>
          <w:sz w:val="22"/>
          <w:szCs w:val="22"/>
        </w:rPr>
      </w:pPr>
    </w:p>
    <w:p w:rsidR="00BA048F" w:rsidRPr="00F5551F" w:rsidRDefault="00BA048F" w:rsidP="00BA048F">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Therefore, we propose Article 24 (2) should read as follows in its amended form:</w:t>
      </w:r>
    </w:p>
    <w:p w:rsidR="005B047F" w:rsidRDefault="005B047F" w:rsidP="00DA6980">
      <w:pPr>
        <w:pStyle w:val="Default"/>
        <w:contextualSpacing/>
        <w:jc w:val="both"/>
        <w:rPr>
          <w:rFonts w:ascii="DIN-Regular" w:eastAsia="Arial Unicode MS" w:hAnsi="DIN-Regular" w:cs="Arial"/>
          <w:color w:val="auto"/>
          <w:sz w:val="22"/>
          <w:szCs w:val="22"/>
        </w:rPr>
      </w:pPr>
    </w:p>
    <w:p w:rsidR="00684A82" w:rsidRPr="00F5551F" w:rsidRDefault="00684A82" w:rsidP="00DA6980">
      <w:pPr>
        <w:pStyle w:val="Default"/>
        <w:contextualSpacing/>
        <w:jc w:val="both"/>
        <w:rPr>
          <w:rFonts w:ascii="DIN-Regular" w:eastAsia="Arial Unicode MS" w:hAnsi="DIN-Regular" w:cs="Arial"/>
          <w:color w:val="auto"/>
          <w:sz w:val="22"/>
          <w:szCs w:val="22"/>
        </w:rPr>
      </w:pPr>
    </w:p>
    <w:p w:rsidR="00AA5C0D" w:rsidRPr="00F5551F" w:rsidRDefault="00F963E8"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eastAsia="Arial Unicode MS" w:hAnsi="DIN-Regular" w:cs="Arial"/>
          <w:b/>
          <w:i/>
          <w:color w:val="auto"/>
          <w:sz w:val="22"/>
          <w:szCs w:val="22"/>
        </w:rPr>
      </w:pPr>
      <w:r w:rsidRPr="00F5551F">
        <w:rPr>
          <w:rFonts w:ascii="DIN-Regular" w:eastAsia="Arial Unicode MS" w:hAnsi="DIN-Regular" w:cs="Arial"/>
          <w:b/>
          <w:i/>
          <w:color w:val="auto"/>
          <w:sz w:val="22"/>
          <w:szCs w:val="22"/>
        </w:rPr>
        <w:lastRenderedPageBreak/>
        <w:t>Article 24</w:t>
      </w:r>
      <w:r w:rsidR="009463DD" w:rsidRPr="00F5551F">
        <w:rPr>
          <w:rFonts w:ascii="DIN-Regular" w:eastAsia="Arial Unicode MS" w:hAnsi="DIN-Regular" w:cs="Arial"/>
          <w:b/>
          <w:i/>
          <w:color w:val="auto"/>
          <w:sz w:val="22"/>
          <w:szCs w:val="22"/>
        </w:rPr>
        <w:t xml:space="preserve"> (</w:t>
      </w:r>
      <w:r w:rsidRPr="00F5551F">
        <w:rPr>
          <w:rFonts w:ascii="DIN-Regular" w:eastAsia="Arial Unicode MS" w:hAnsi="DIN-Regular" w:cs="Arial"/>
          <w:b/>
          <w:i/>
          <w:color w:val="auto"/>
          <w:sz w:val="22"/>
          <w:szCs w:val="22"/>
        </w:rPr>
        <w:t>2</w:t>
      </w:r>
      <w:r w:rsidR="009463DD" w:rsidRPr="00F5551F">
        <w:rPr>
          <w:rFonts w:ascii="DIN-Regular" w:eastAsia="Arial Unicode MS" w:hAnsi="DIN-Regular" w:cs="Arial"/>
          <w:b/>
          <w:i/>
          <w:color w:val="auto"/>
          <w:sz w:val="22"/>
          <w:szCs w:val="22"/>
        </w:rPr>
        <w:t>)</w:t>
      </w:r>
    </w:p>
    <w:p w:rsidR="00F963E8" w:rsidRPr="00F5551F" w:rsidRDefault="00F963E8"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eastAsia="Arial Unicode MS" w:hAnsi="DIN-Regular" w:cs="Arial"/>
          <w:color w:val="auto"/>
          <w:sz w:val="22"/>
          <w:szCs w:val="22"/>
        </w:rPr>
      </w:pPr>
    </w:p>
    <w:p w:rsidR="003C0864" w:rsidRPr="00F5551F" w:rsidRDefault="003C0864"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eastAsia="Arial Unicode MS" w:hAnsi="DIN-Regular" w:cs="Arial"/>
          <w:i/>
          <w:color w:val="auto"/>
          <w:sz w:val="22"/>
          <w:szCs w:val="22"/>
        </w:rPr>
      </w:pPr>
      <w:r w:rsidRPr="00F5551F">
        <w:rPr>
          <w:rFonts w:ascii="DIN-Regular" w:eastAsia="Arial Unicode MS" w:hAnsi="DIN-Regular" w:cs="Arial"/>
          <w:i/>
          <w:color w:val="auto"/>
          <w:sz w:val="22"/>
          <w:szCs w:val="22"/>
        </w:rPr>
        <w:t xml:space="preserve">2. For the purposes of paragraph 1, commercial bank guarantees provided by a financial institution referred to in Article 39(2) or a syndicate of such financial </w:t>
      </w:r>
      <w:proofErr w:type="gramStart"/>
      <w:r w:rsidRPr="00F5551F">
        <w:rPr>
          <w:rFonts w:ascii="DIN-Regular" w:eastAsia="Arial Unicode MS" w:hAnsi="DIN-Regular" w:cs="Arial"/>
          <w:i/>
          <w:color w:val="auto"/>
          <w:sz w:val="22"/>
          <w:szCs w:val="22"/>
        </w:rPr>
        <w:t>institutions,</w:t>
      </w:r>
      <w:proofErr w:type="gramEnd"/>
      <w:r w:rsidRPr="00F5551F">
        <w:rPr>
          <w:rFonts w:ascii="DIN-Regular" w:eastAsia="Arial Unicode MS" w:hAnsi="DIN-Regular" w:cs="Arial"/>
          <w:i/>
          <w:color w:val="auto"/>
          <w:sz w:val="22"/>
          <w:szCs w:val="22"/>
        </w:rPr>
        <w:t xml:space="preserve"> may be considered as other equivalent financial resources subject to the following conditions:</w:t>
      </w:r>
    </w:p>
    <w:p w:rsidR="003C0864" w:rsidRPr="00F5551F" w:rsidRDefault="003C0864"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eastAsia="Arial Unicode MS" w:hAnsi="DIN-Regular" w:cs="Arial"/>
          <w:i/>
          <w:color w:val="auto"/>
          <w:sz w:val="22"/>
          <w:szCs w:val="22"/>
        </w:rPr>
      </w:pPr>
    </w:p>
    <w:p w:rsidR="003C0864" w:rsidRPr="00F5551F" w:rsidRDefault="003C0864"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eastAsia="Arial Unicode MS" w:hAnsi="DIN-Regular" w:cs="Arial"/>
          <w:i/>
          <w:color w:val="auto"/>
          <w:sz w:val="22"/>
          <w:szCs w:val="22"/>
        </w:rPr>
      </w:pPr>
      <w:r w:rsidRPr="00F5551F">
        <w:rPr>
          <w:rFonts w:ascii="DIN-Regular" w:eastAsia="Arial Unicode MS" w:hAnsi="DIN-Regular" w:cs="Arial"/>
          <w:i/>
          <w:color w:val="auto"/>
          <w:sz w:val="22"/>
          <w:szCs w:val="22"/>
        </w:rPr>
        <w:t>(a) it has been issued by an issuer that has low credit risk based on an adequate internal assessment by the CSD-banking service provider, employing a defined and objective methodology that does not rely fully on external opinions and that takes into consideration the risk arising from the establishment of the issuer in a particular country;</w:t>
      </w:r>
    </w:p>
    <w:p w:rsidR="003C0864" w:rsidRPr="00F5551F" w:rsidRDefault="003C0864"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eastAsia="Arial Unicode MS" w:hAnsi="DIN-Regular" w:cs="Arial"/>
          <w:i/>
          <w:color w:val="auto"/>
          <w:sz w:val="22"/>
          <w:szCs w:val="22"/>
        </w:rPr>
      </w:pPr>
    </w:p>
    <w:p w:rsidR="003C0864" w:rsidRPr="00F5551F" w:rsidRDefault="003C0864"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eastAsia="Arial Unicode MS" w:hAnsi="DIN-Regular" w:cs="Arial"/>
          <w:i/>
          <w:color w:val="auto"/>
          <w:sz w:val="22"/>
          <w:szCs w:val="22"/>
        </w:rPr>
      </w:pPr>
      <w:r w:rsidRPr="00F5551F">
        <w:rPr>
          <w:rFonts w:ascii="DIN-Regular" w:eastAsia="Arial Unicode MS" w:hAnsi="DIN-Regular" w:cs="Arial"/>
          <w:i/>
          <w:color w:val="auto"/>
          <w:sz w:val="22"/>
          <w:szCs w:val="22"/>
        </w:rPr>
        <w:t xml:space="preserve">(b) </w:t>
      </w:r>
      <w:proofErr w:type="gramStart"/>
      <w:r w:rsidRPr="00F5551F">
        <w:rPr>
          <w:rFonts w:ascii="DIN-Regular" w:eastAsia="Arial Unicode MS" w:hAnsi="DIN-Regular" w:cs="Arial"/>
          <w:i/>
          <w:color w:val="auto"/>
          <w:sz w:val="22"/>
          <w:szCs w:val="22"/>
        </w:rPr>
        <w:t>it</w:t>
      </w:r>
      <w:proofErr w:type="gramEnd"/>
      <w:r w:rsidRPr="00F5551F">
        <w:rPr>
          <w:rFonts w:ascii="DIN-Regular" w:eastAsia="Arial Unicode MS" w:hAnsi="DIN-Regular" w:cs="Arial"/>
          <w:i/>
          <w:color w:val="auto"/>
          <w:sz w:val="22"/>
          <w:szCs w:val="22"/>
        </w:rPr>
        <w:t xml:space="preserve"> is denominated in one of the following currencies:</w:t>
      </w:r>
    </w:p>
    <w:p w:rsidR="003C0864" w:rsidRPr="00F5551F" w:rsidRDefault="003C0864"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eastAsia="Arial Unicode MS" w:hAnsi="DIN-Regular" w:cs="Arial"/>
          <w:i/>
          <w:color w:val="auto"/>
          <w:sz w:val="22"/>
          <w:szCs w:val="22"/>
        </w:rPr>
      </w:pPr>
      <w:proofErr w:type="spellStart"/>
      <w:proofErr w:type="gramStart"/>
      <w:r w:rsidRPr="00F5551F">
        <w:rPr>
          <w:rFonts w:ascii="DIN-Regular" w:eastAsia="Arial Unicode MS" w:hAnsi="DIN-Regular" w:cs="Arial"/>
          <w:i/>
          <w:color w:val="auto"/>
          <w:sz w:val="22"/>
          <w:szCs w:val="22"/>
        </w:rPr>
        <w:t>i</w:t>
      </w:r>
      <w:proofErr w:type="spellEnd"/>
      <w:proofErr w:type="gramEnd"/>
      <w:r w:rsidRPr="00F5551F">
        <w:rPr>
          <w:rFonts w:ascii="DIN-Regular" w:eastAsia="Arial Unicode MS" w:hAnsi="DIN-Regular" w:cs="Arial"/>
          <w:i/>
          <w:color w:val="auto"/>
          <w:sz w:val="22"/>
          <w:szCs w:val="22"/>
        </w:rPr>
        <w:t>.</w:t>
      </w:r>
      <w:r w:rsidRPr="00F5551F">
        <w:rPr>
          <w:rFonts w:ascii="DIN-Regular" w:eastAsia="Arial Unicode MS" w:hAnsi="DIN-Regular" w:cs="Arial"/>
          <w:i/>
          <w:color w:val="auto"/>
          <w:sz w:val="22"/>
          <w:szCs w:val="22"/>
        </w:rPr>
        <w:tab/>
        <w:t>a currency the risk of which the CSD-banking service provider is able to adequately manage;</w:t>
      </w:r>
    </w:p>
    <w:p w:rsidR="003C0864" w:rsidRPr="00F5551F" w:rsidRDefault="003C0864"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eastAsia="Arial Unicode MS" w:hAnsi="DIN-Regular" w:cs="Arial"/>
          <w:i/>
          <w:color w:val="auto"/>
          <w:sz w:val="22"/>
          <w:szCs w:val="22"/>
        </w:rPr>
      </w:pPr>
      <w:r w:rsidRPr="00F5551F">
        <w:rPr>
          <w:rFonts w:ascii="DIN-Regular" w:eastAsia="Arial Unicode MS" w:hAnsi="DIN-Regular" w:cs="Arial"/>
          <w:i/>
          <w:color w:val="auto"/>
          <w:sz w:val="22"/>
          <w:szCs w:val="22"/>
        </w:rPr>
        <w:t>ii.</w:t>
      </w:r>
      <w:r w:rsidRPr="00F5551F">
        <w:rPr>
          <w:rFonts w:ascii="DIN-Regular" w:eastAsia="Arial Unicode MS" w:hAnsi="DIN-Regular" w:cs="Arial"/>
          <w:i/>
          <w:color w:val="auto"/>
          <w:sz w:val="22"/>
          <w:szCs w:val="22"/>
        </w:rPr>
        <w:tab/>
      </w:r>
      <w:proofErr w:type="gramStart"/>
      <w:r w:rsidRPr="00F5551F">
        <w:rPr>
          <w:rFonts w:ascii="DIN-Regular" w:eastAsia="Arial Unicode MS" w:hAnsi="DIN-Regular" w:cs="Arial"/>
          <w:i/>
          <w:color w:val="auto"/>
          <w:sz w:val="22"/>
          <w:szCs w:val="22"/>
        </w:rPr>
        <w:t>a</w:t>
      </w:r>
      <w:proofErr w:type="gramEnd"/>
      <w:r w:rsidRPr="00F5551F">
        <w:rPr>
          <w:rFonts w:ascii="DIN-Regular" w:eastAsia="Arial Unicode MS" w:hAnsi="DIN-Regular" w:cs="Arial"/>
          <w:i/>
          <w:color w:val="auto"/>
          <w:sz w:val="22"/>
          <w:szCs w:val="22"/>
        </w:rPr>
        <w:t xml:space="preserve"> currency in which the CSD-banking service provider settles transactions in the securities settlement system, within the limit of the collateral required to cover its exposures in that currency;</w:t>
      </w:r>
    </w:p>
    <w:p w:rsidR="003C0864" w:rsidRPr="00F5551F" w:rsidRDefault="003C0864"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eastAsia="Arial Unicode MS" w:hAnsi="DIN-Regular" w:cs="Arial"/>
          <w:i/>
          <w:color w:val="auto"/>
          <w:sz w:val="22"/>
          <w:szCs w:val="22"/>
        </w:rPr>
      </w:pPr>
    </w:p>
    <w:p w:rsidR="003C0864" w:rsidRPr="00F5551F" w:rsidRDefault="003C0864"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eastAsia="Arial Unicode MS" w:hAnsi="DIN-Regular" w:cs="Arial"/>
          <w:i/>
          <w:color w:val="auto"/>
          <w:sz w:val="22"/>
          <w:szCs w:val="22"/>
        </w:rPr>
      </w:pPr>
      <w:r w:rsidRPr="00F5551F">
        <w:rPr>
          <w:rFonts w:ascii="DIN-Regular" w:eastAsia="Arial Unicode MS" w:hAnsi="DIN-Regular" w:cs="Arial"/>
          <w:i/>
          <w:color w:val="auto"/>
          <w:sz w:val="22"/>
          <w:szCs w:val="22"/>
        </w:rPr>
        <w:t xml:space="preserve">(c) </w:t>
      </w:r>
      <w:proofErr w:type="gramStart"/>
      <w:r w:rsidRPr="00F5551F">
        <w:rPr>
          <w:rFonts w:ascii="DIN-Regular" w:eastAsia="Arial Unicode MS" w:hAnsi="DIN-Regular" w:cs="Arial"/>
          <w:i/>
          <w:color w:val="auto"/>
          <w:sz w:val="22"/>
          <w:szCs w:val="22"/>
        </w:rPr>
        <w:t>it</w:t>
      </w:r>
      <w:proofErr w:type="gramEnd"/>
      <w:r w:rsidRPr="00F5551F">
        <w:rPr>
          <w:rFonts w:ascii="DIN-Regular" w:eastAsia="Arial Unicode MS" w:hAnsi="DIN-Regular" w:cs="Arial"/>
          <w:i/>
          <w:color w:val="auto"/>
          <w:sz w:val="22"/>
          <w:szCs w:val="22"/>
        </w:rPr>
        <w:t xml:space="preserve"> is irrevocable, unconditional, and the issuer cannot rely on any legal or contractual exemption or defence to oppose the payment of the guarantee;</w:t>
      </w:r>
    </w:p>
    <w:p w:rsidR="003C0864" w:rsidRPr="00F5551F" w:rsidRDefault="003C0864"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eastAsia="Arial Unicode MS" w:hAnsi="DIN-Regular" w:cs="Arial"/>
          <w:i/>
          <w:color w:val="auto"/>
          <w:sz w:val="22"/>
          <w:szCs w:val="22"/>
        </w:rPr>
      </w:pPr>
    </w:p>
    <w:p w:rsidR="003C0864" w:rsidRPr="00F5551F" w:rsidRDefault="003C0864"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eastAsia="Arial Unicode MS" w:hAnsi="DIN-Regular" w:cs="Arial"/>
          <w:i/>
          <w:color w:val="auto"/>
          <w:sz w:val="22"/>
          <w:szCs w:val="22"/>
        </w:rPr>
      </w:pPr>
      <w:r w:rsidRPr="00F5551F">
        <w:rPr>
          <w:rFonts w:ascii="DIN-Regular" w:eastAsia="Arial Unicode MS" w:hAnsi="DIN-Regular" w:cs="Arial"/>
          <w:i/>
          <w:color w:val="auto"/>
          <w:sz w:val="22"/>
          <w:szCs w:val="22"/>
        </w:rPr>
        <w:t xml:space="preserve">(d) </w:t>
      </w:r>
      <w:proofErr w:type="gramStart"/>
      <w:r w:rsidRPr="00F5551F">
        <w:rPr>
          <w:rFonts w:ascii="DIN-Regular" w:eastAsia="Arial Unicode MS" w:hAnsi="DIN-Regular" w:cs="Arial"/>
          <w:i/>
          <w:color w:val="auto"/>
          <w:sz w:val="22"/>
          <w:szCs w:val="22"/>
        </w:rPr>
        <w:t>it</w:t>
      </w:r>
      <w:proofErr w:type="gramEnd"/>
      <w:r w:rsidRPr="00F5551F">
        <w:rPr>
          <w:rFonts w:ascii="DIN-Regular" w:eastAsia="Arial Unicode MS" w:hAnsi="DIN-Regular" w:cs="Arial"/>
          <w:i/>
          <w:color w:val="auto"/>
          <w:sz w:val="22"/>
          <w:szCs w:val="22"/>
        </w:rPr>
        <w:t xml:space="preserve"> is honoured within one day.</w:t>
      </w:r>
    </w:p>
    <w:p w:rsidR="003C0864" w:rsidRPr="00F5551F" w:rsidRDefault="003C0864" w:rsidP="00DA6980">
      <w:pPr>
        <w:pStyle w:val="Default"/>
        <w:contextualSpacing/>
        <w:jc w:val="both"/>
        <w:rPr>
          <w:rFonts w:ascii="DIN-Regular" w:eastAsia="Arial Unicode MS" w:hAnsi="DIN-Regular" w:cs="Arial"/>
          <w:color w:val="auto"/>
          <w:sz w:val="22"/>
          <w:szCs w:val="22"/>
        </w:rPr>
      </w:pPr>
    </w:p>
    <w:p w:rsidR="00C53AA6" w:rsidRPr="00F5551F" w:rsidRDefault="00C53AA6" w:rsidP="00DA6980">
      <w:pPr>
        <w:pStyle w:val="Default"/>
        <w:contextualSpacing/>
        <w:jc w:val="both"/>
        <w:rPr>
          <w:rFonts w:ascii="DIN-Regular" w:eastAsia="Arial Unicode MS" w:hAnsi="DIN-Regular" w:cs="Arial"/>
          <w:color w:val="auto"/>
          <w:sz w:val="22"/>
          <w:szCs w:val="22"/>
        </w:rPr>
      </w:pPr>
    </w:p>
    <w:p w:rsidR="005119EC" w:rsidRPr="00F5551F" w:rsidRDefault="005119EC"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In addition to the general comments made above and the answers to the specific question raised, we do want to comment on quite a few items in more detail and raise some questions on dedicated topics regarding Articles 24 to 29 of the EBA draft RTS proposal as follows:</w:t>
      </w:r>
    </w:p>
    <w:p w:rsidR="005119EC" w:rsidRPr="00F5551F" w:rsidRDefault="005119EC" w:rsidP="00DA6980">
      <w:pPr>
        <w:pStyle w:val="ListParagraph"/>
        <w:numPr>
          <w:ilvl w:val="0"/>
          <w:numId w:val="2"/>
        </w:numPr>
        <w:spacing w:after="240" w:line="240" w:lineRule="auto"/>
        <w:ind w:left="357" w:hanging="357"/>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It does not make sense to add overnight credit exposures of the previous day to intraday exposures of the subsequent day as requested by Article 26 (4) </w:t>
      </w:r>
      <w:r w:rsidR="009463DD" w:rsidRPr="00F5551F">
        <w:rPr>
          <w:rFonts w:ascii="DIN-Regular" w:eastAsia="Arial Unicode MS" w:hAnsi="DIN-Regular" w:cs="Arial"/>
          <w:szCs w:val="22"/>
          <w:lang w:eastAsia="en-GB"/>
        </w:rPr>
        <w:t>(</w:t>
      </w:r>
      <w:r w:rsidRPr="00F5551F">
        <w:rPr>
          <w:rFonts w:ascii="DIN-Regular" w:eastAsia="Arial Unicode MS" w:hAnsi="DIN-Regular" w:cs="Arial"/>
          <w:szCs w:val="22"/>
          <w:lang w:eastAsia="en-GB"/>
        </w:rPr>
        <w:t>b</w:t>
      </w:r>
      <w:r w:rsidR="009463DD" w:rsidRPr="00F5551F">
        <w:rPr>
          <w:rFonts w:ascii="DIN-Regular" w:eastAsia="Arial Unicode MS" w:hAnsi="DIN-Regular" w:cs="Arial"/>
          <w:szCs w:val="22"/>
          <w:lang w:eastAsia="en-GB"/>
        </w:rPr>
        <w:t>)</w:t>
      </w:r>
      <w:r w:rsidRPr="00F5551F">
        <w:rPr>
          <w:rFonts w:ascii="DIN-Regular" w:eastAsia="Arial Unicode MS" w:hAnsi="DIN-Regular" w:cs="Arial"/>
          <w:szCs w:val="22"/>
          <w:lang w:eastAsia="en-GB"/>
        </w:rPr>
        <w:t xml:space="preserve"> of the draft RTS. Any overnight exposure will form part of the intraday exposure the next day but should not be added as this would include that exposure twice. Moreover, any incoming </w:t>
      </w:r>
      <w:r w:rsidR="00BD3A07" w:rsidRPr="00F5551F">
        <w:rPr>
          <w:rFonts w:ascii="DIN-Regular" w:eastAsia="Arial Unicode MS" w:hAnsi="DIN-Regular" w:cs="Arial"/>
          <w:szCs w:val="22"/>
          <w:lang w:eastAsia="en-GB"/>
        </w:rPr>
        <w:t>fund is</w:t>
      </w:r>
      <w:r w:rsidRPr="00F5551F">
        <w:rPr>
          <w:rFonts w:ascii="DIN-Regular" w:eastAsia="Arial Unicode MS" w:hAnsi="DIN-Regular" w:cs="Arial"/>
          <w:szCs w:val="22"/>
          <w:lang w:eastAsia="en-GB"/>
        </w:rPr>
        <w:t xml:space="preserve"> offsetting any cumulated open exposure and in principle, the incoming funds cannot be allocated to the any dedicated open exposure but to only to the total net open </w:t>
      </w:r>
      <w:r w:rsidR="00BD3A07" w:rsidRPr="00F5551F">
        <w:rPr>
          <w:rFonts w:ascii="DIN-Regular" w:eastAsia="Arial Unicode MS" w:hAnsi="DIN-Regular" w:cs="Arial"/>
          <w:szCs w:val="22"/>
          <w:lang w:eastAsia="en-GB"/>
        </w:rPr>
        <w:t>exposure</w:t>
      </w:r>
      <w:r w:rsidRPr="00F5551F">
        <w:rPr>
          <w:rFonts w:ascii="DIN-Regular" w:eastAsia="Arial Unicode MS" w:hAnsi="DIN-Regular" w:cs="Arial"/>
          <w:szCs w:val="22"/>
          <w:lang w:eastAsia="en-GB"/>
        </w:rPr>
        <w:t>. As such, we kindly ask to change the wording to “that the amount of overnight credit not yet reimbursed is included in the intraday exposures of the next day”.</w:t>
      </w:r>
    </w:p>
    <w:p w:rsidR="005119EC" w:rsidRPr="00F5551F" w:rsidRDefault="005119EC" w:rsidP="00DA6980">
      <w:pPr>
        <w:pStyle w:val="ListParagraph"/>
        <w:numPr>
          <w:ilvl w:val="0"/>
          <w:numId w:val="2"/>
        </w:numPr>
        <w:spacing w:after="240"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We disagree to the requirement in Article 27</w:t>
      </w:r>
      <w:r w:rsidR="009463DD" w:rsidRPr="00F5551F">
        <w:rPr>
          <w:rFonts w:ascii="DIN-Regular" w:eastAsia="Arial Unicode MS" w:hAnsi="DIN-Regular" w:cs="Arial"/>
          <w:szCs w:val="22"/>
          <w:lang w:eastAsia="en-GB"/>
        </w:rPr>
        <w:t xml:space="preserve"> (</w:t>
      </w:r>
      <w:r w:rsidRPr="00F5551F">
        <w:rPr>
          <w:rFonts w:ascii="DIN-Regular" w:eastAsia="Arial Unicode MS" w:hAnsi="DIN-Regular" w:cs="Arial"/>
          <w:szCs w:val="22"/>
          <w:lang w:eastAsia="en-GB"/>
        </w:rPr>
        <w:t>c</w:t>
      </w:r>
      <w:r w:rsidR="009463DD" w:rsidRPr="00F5551F">
        <w:rPr>
          <w:rFonts w:ascii="DIN-Regular" w:eastAsia="Arial Unicode MS" w:hAnsi="DIN-Regular" w:cs="Arial"/>
          <w:szCs w:val="22"/>
          <w:lang w:eastAsia="en-GB"/>
        </w:rPr>
        <w:t>)</w:t>
      </w:r>
      <w:r w:rsidR="00684A82">
        <w:rPr>
          <w:rFonts w:ascii="DIN-Regular" w:eastAsia="Arial Unicode MS" w:hAnsi="DIN-Regular" w:cs="Arial"/>
          <w:szCs w:val="22"/>
          <w:lang w:eastAsia="en-GB"/>
        </w:rPr>
        <w:t xml:space="preserve"> draft RTS</w:t>
      </w:r>
      <w:r w:rsidRPr="00F5551F">
        <w:rPr>
          <w:rFonts w:ascii="DIN-Regular" w:eastAsia="Arial Unicode MS" w:hAnsi="DIN-Regular" w:cs="Arial"/>
          <w:szCs w:val="22"/>
          <w:lang w:eastAsia="en-GB"/>
        </w:rPr>
        <w:t xml:space="preserve"> to have on a mandatory basis a guarantee from the paying agent of issuer agent in case custody payments are advanced. The obligation for the issuer (via its agents) to pay custody proceeds to the holders is established by the Terms and Conditions of the issue. There is no other contractual mechanism such as a guarantee required for intermediaries in the custody chain to make decision to advance custody payments or not. When it comes to the CSD layer, It is to the discretion of the CSD and in the interest of the receiving participant(s) and of the overall market settlement efficiency that such payments may be advanced subject to proper rules, including but not limited to sufficient counterparty credit worthiness and collateralisation. As such, it is the CSD deciding to advance and this decision cannot be made dependent on the intermediary (cash provider) to deliver a guarantee. In general any advance for custody payments should be linked to the legal enforceable right to cancel the payment and to recall the funds credited instead.</w:t>
      </w:r>
    </w:p>
    <w:p w:rsidR="005119EC" w:rsidRPr="00F5551F" w:rsidRDefault="005119EC" w:rsidP="00DA6980">
      <w:pPr>
        <w:pStyle w:val="ListParagraph"/>
        <w:numPr>
          <w:ilvl w:val="0"/>
          <w:numId w:val="2"/>
        </w:numPr>
        <w:spacing w:after="240" w:line="240" w:lineRule="auto"/>
        <w:ind w:left="357" w:hanging="357"/>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We disagree to reporting frequencies of more frequent than daily as this is only giving a snap shot which is outdated the moment it is sent. As such it is not adding value at all. Therefore we consider the proposal in Article 28 (4) draft RTS as being </w:t>
      </w:r>
      <w:r w:rsidR="00BD3A07" w:rsidRPr="00F5551F">
        <w:rPr>
          <w:rFonts w:ascii="DIN-Regular" w:eastAsia="Arial Unicode MS" w:hAnsi="DIN-Regular" w:cs="Arial"/>
          <w:szCs w:val="22"/>
          <w:lang w:eastAsia="en-GB"/>
        </w:rPr>
        <w:t>over demanding</w:t>
      </w:r>
      <w:r w:rsidRPr="00F5551F">
        <w:rPr>
          <w:rFonts w:ascii="DIN-Regular" w:eastAsia="Arial Unicode MS" w:hAnsi="DIN-Regular" w:cs="Arial"/>
          <w:szCs w:val="22"/>
          <w:lang w:eastAsia="en-GB"/>
        </w:rPr>
        <w:t xml:space="preserve"> and ask to change from “at least daily” to “at least weekly, but not more frequent than daily”. The same is true related to Article 40 </w:t>
      </w:r>
      <w:r w:rsidRPr="00F5551F">
        <w:rPr>
          <w:rFonts w:ascii="DIN-Regular" w:eastAsia="Arial Unicode MS" w:hAnsi="DIN-Regular" w:cs="Arial"/>
          <w:szCs w:val="22"/>
          <w:lang w:eastAsia="en-GB"/>
        </w:rPr>
        <w:lastRenderedPageBreak/>
        <w:t>(4) of the draft RTS.</w:t>
      </w:r>
    </w:p>
    <w:p w:rsidR="005119EC" w:rsidRPr="00F5551F" w:rsidRDefault="005119EC" w:rsidP="00DA6980">
      <w:pPr>
        <w:pStyle w:val="ListParagraph"/>
        <w:numPr>
          <w:ilvl w:val="0"/>
          <w:numId w:val="2"/>
        </w:numPr>
        <w:spacing w:after="240" w:line="240" w:lineRule="auto"/>
        <w:ind w:left="357" w:hanging="357"/>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It needs to be clarified, why Article 29 of the draft RTS is necessary on top of part 8 of CRR and how the two are linked. We rather recommend to ask for disclosure within the CRR disclosure report and to add the additional elements which are not already part of the CRR requirements. The same aspect is to be clarified with regards to Article 41 of the draft RTS.</w:t>
      </w:r>
    </w:p>
    <w:p w:rsidR="00F963E8" w:rsidRPr="00F5551F" w:rsidRDefault="00F963E8" w:rsidP="00DA6980">
      <w:pPr>
        <w:pStyle w:val="Default"/>
        <w:contextualSpacing/>
        <w:jc w:val="both"/>
        <w:rPr>
          <w:rFonts w:ascii="DIN-Regular" w:hAnsi="DIN-Regular" w:cs="Arial"/>
          <w:color w:val="auto"/>
          <w:sz w:val="22"/>
          <w:szCs w:val="22"/>
        </w:rPr>
      </w:pPr>
    </w:p>
    <w:p w:rsidR="009366C2" w:rsidRPr="00F5551F" w:rsidRDefault="009366C2" w:rsidP="00DA6980">
      <w:pPr>
        <w:pStyle w:val="Default"/>
        <w:contextualSpacing/>
        <w:jc w:val="both"/>
        <w:rPr>
          <w:rFonts w:ascii="DIN-Regular" w:hAnsi="DIN-Regular" w:cs="Arial"/>
          <w:sz w:val="22"/>
          <w:szCs w:val="22"/>
        </w:rPr>
      </w:pPr>
    </w:p>
    <w:p w:rsidR="009366C2" w:rsidRPr="00F5551F" w:rsidRDefault="009366C2" w:rsidP="00DA6980">
      <w:pPr>
        <w:pStyle w:val="Default"/>
        <w:numPr>
          <w:ilvl w:val="0"/>
          <w:numId w:val="1"/>
        </w:numPr>
        <w:pBdr>
          <w:top w:val="single" w:sz="4" w:space="1" w:color="auto"/>
          <w:left w:val="single" w:sz="4" w:space="4" w:color="auto"/>
          <w:bottom w:val="single" w:sz="4" w:space="1" w:color="auto"/>
          <w:right w:val="single" w:sz="4" w:space="4" w:color="auto"/>
        </w:pBdr>
        <w:contextualSpacing/>
        <w:jc w:val="both"/>
        <w:rPr>
          <w:rFonts w:ascii="DIN-Regular" w:eastAsia="Arial Unicode MS" w:hAnsi="DIN-Regular" w:cs="Arial"/>
          <w:color w:val="0070C0"/>
          <w:sz w:val="22"/>
          <w:szCs w:val="22"/>
        </w:rPr>
      </w:pPr>
      <w:r w:rsidRPr="00F5551F">
        <w:rPr>
          <w:rFonts w:ascii="DIN-Regular" w:eastAsia="Arial Unicode MS" w:hAnsi="DIN-Regular" w:cs="Arial"/>
          <w:color w:val="0070C0"/>
          <w:sz w:val="22"/>
          <w:szCs w:val="22"/>
        </w:rPr>
        <w:t xml:space="preserve">To what extent do CSD-banking service providers hold their intraday liquidity buffers independently to other liquidity risk buffers, such as the Liquidity Coverage Ratio? If this is not currently done, </w:t>
      </w:r>
      <w:r w:rsidR="00F5551F" w:rsidRPr="00F5551F">
        <w:rPr>
          <w:rFonts w:ascii="DIN-Regular" w:eastAsia="Arial Unicode MS" w:hAnsi="DIN-Regular" w:cs="Arial"/>
          <w:color w:val="0070C0"/>
          <w:sz w:val="22"/>
          <w:szCs w:val="22"/>
        </w:rPr>
        <w:t>are there any obstacles</w:t>
      </w:r>
      <w:r w:rsidRPr="00F5551F">
        <w:rPr>
          <w:rFonts w:ascii="DIN-Regular" w:eastAsia="Arial Unicode MS" w:hAnsi="DIN-Regular" w:cs="Arial"/>
          <w:color w:val="0070C0"/>
          <w:sz w:val="22"/>
          <w:szCs w:val="22"/>
        </w:rPr>
        <w:t xml:space="preserve"> to ensuring this? Can CSD-banking services providers estimate the intraday buffer assets required to meet Article 35 compared to the assets that they currently hold that would qualify as eligible liquid assets under this Regulation beyond the minimum LCR standard?</w:t>
      </w:r>
    </w:p>
    <w:p w:rsidR="009366C2" w:rsidRPr="00F5551F" w:rsidRDefault="009366C2" w:rsidP="00DA6980">
      <w:pPr>
        <w:pStyle w:val="Default"/>
        <w:contextualSpacing/>
        <w:jc w:val="both"/>
        <w:rPr>
          <w:rFonts w:ascii="DIN-Regular" w:eastAsia="Arial Unicode MS" w:hAnsi="DIN-Regular" w:cs="Arial"/>
          <w:color w:val="auto"/>
          <w:sz w:val="22"/>
          <w:szCs w:val="22"/>
        </w:rPr>
      </w:pPr>
    </w:p>
    <w:p w:rsidR="009366C2" w:rsidRPr="00F5551F" w:rsidRDefault="009366C2" w:rsidP="00DA6980">
      <w:pPr>
        <w:pStyle w:val="Default"/>
        <w:contextualSpacing/>
        <w:jc w:val="both"/>
        <w:rPr>
          <w:rFonts w:ascii="DIN-Regular" w:eastAsia="Arial Unicode MS" w:hAnsi="DIN-Regular" w:cs="Arial"/>
          <w:color w:val="auto"/>
          <w:sz w:val="22"/>
          <w:szCs w:val="22"/>
        </w:rPr>
      </w:pPr>
    </w:p>
    <w:p w:rsidR="009366C2" w:rsidRPr="00F5551F" w:rsidRDefault="009366C2" w:rsidP="00DA6980">
      <w:pPr>
        <w:pStyle w:val="Default"/>
        <w:contextualSpacing/>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Besides the liquidity risk concerns resulting from the above question 7, our response to this question also includes other concerns regarding Articles 30 to 42 of the draft RTS.</w:t>
      </w:r>
    </w:p>
    <w:p w:rsidR="009366C2" w:rsidRPr="00F5551F" w:rsidRDefault="009366C2" w:rsidP="00DA6980">
      <w:pPr>
        <w:pStyle w:val="Default"/>
        <w:contextualSpacing/>
        <w:jc w:val="both"/>
        <w:rPr>
          <w:rFonts w:ascii="DIN-Regular" w:eastAsia="Arial Unicode MS" w:hAnsi="DIN-Regular" w:cs="Arial"/>
          <w:color w:val="auto"/>
          <w:sz w:val="22"/>
          <w:szCs w:val="22"/>
        </w:rPr>
      </w:pPr>
    </w:p>
    <w:p w:rsidR="009366C2" w:rsidRPr="00F5551F" w:rsidRDefault="009366C2" w:rsidP="00DA6980">
      <w:pPr>
        <w:pStyle w:val="Default"/>
        <w:spacing w:after="60"/>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 xml:space="preserve">The Liquidity Coverage Ratio (LCR) under CRR has been designed to ensure that financial institutions have the necessary assets on hand to withstand short-term liquidity disruptions.  Effectively, financial institutions are required to hold an amount of highly-liquid assets equal to or greater than its net </w:t>
      </w:r>
      <w:r w:rsidR="00BD3A07" w:rsidRPr="00F5551F">
        <w:rPr>
          <w:rFonts w:ascii="DIN-Regular" w:eastAsia="Arial Unicode MS" w:hAnsi="DIN-Regular" w:cs="Arial"/>
          <w:color w:val="auto"/>
          <w:sz w:val="22"/>
          <w:szCs w:val="22"/>
        </w:rPr>
        <w:t>cash flows</w:t>
      </w:r>
      <w:r w:rsidRPr="00F5551F">
        <w:rPr>
          <w:rFonts w:ascii="DIN-Regular" w:eastAsia="Arial Unicode MS" w:hAnsi="DIN-Regular" w:cs="Arial"/>
          <w:color w:val="auto"/>
          <w:sz w:val="22"/>
          <w:szCs w:val="22"/>
        </w:rPr>
        <w:t xml:space="preserve"> over a 30 day period (having at least 100% coverage).</w:t>
      </w:r>
    </w:p>
    <w:p w:rsidR="009366C2" w:rsidRPr="00F5551F" w:rsidRDefault="009366C2" w:rsidP="00DA6980">
      <w:pPr>
        <w:pStyle w:val="Default"/>
        <w:spacing w:after="60"/>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 xml:space="preserve">In addition to the LCR regulatory requirements, one of the core reasons why financial institutions would build a liquidity buffer is to be able to withstand intraday liquidity disruptions, which may only last a few minutes or at least in most of the </w:t>
      </w:r>
      <w:proofErr w:type="gramStart"/>
      <w:r w:rsidRPr="00F5551F">
        <w:rPr>
          <w:rFonts w:ascii="DIN-Regular" w:eastAsia="Arial Unicode MS" w:hAnsi="DIN-Regular" w:cs="Arial"/>
          <w:color w:val="auto"/>
          <w:sz w:val="22"/>
          <w:szCs w:val="22"/>
        </w:rPr>
        <w:t>cases</w:t>
      </w:r>
      <w:proofErr w:type="gramEnd"/>
      <w:r w:rsidRPr="00F5551F">
        <w:rPr>
          <w:rFonts w:ascii="DIN-Regular" w:eastAsia="Arial Unicode MS" w:hAnsi="DIN-Regular" w:cs="Arial"/>
          <w:color w:val="auto"/>
          <w:sz w:val="22"/>
          <w:szCs w:val="22"/>
        </w:rPr>
        <w:t xml:space="preserve"> not extend beyond intraday.</w:t>
      </w:r>
    </w:p>
    <w:p w:rsidR="009366C2" w:rsidRPr="00F5551F" w:rsidRDefault="009366C2" w:rsidP="00DA6980">
      <w:pPr>
        <w:pStyle w:val="Default"/>
        <w:spacing w:after="60"/>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In case of intraday liquidity disruptions, a financial institution would naturally utilize the entire liquidity buffer at its disposal to fix its intraday liquidity issue.</w:t>
      </w:r>
    </w:p>
    <w:p w:rsidR="009366C2" w:rsidRPr="00F5551F" w:rsidRDefault="009366C2" w:rsidP="00DA6980">
      <w:pPr>
        <w:pStyle w:val="Default"/>
        <w:spacing w:after="60"/>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The artificial distinction of liquidity pools for LCR (30-day horizon) and for the RTS (intraday/overnight) is neither useful from a pure liquidity risk management view nor required under CRR or CSD-R.</w:t>
      </w:r>
    </w:p>
    <w:p w:rsidR="009366C2" w:rsidRPr="00F5551F" w:rsidRDefault="009366C2" w:rsidP="00DA6980">
      <w:pPr>
        <w:pStyle w:val="Default"/>
        <w:spacing w:after="60"/>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 xml:space="preserve">Liquidity risk of a CSD is only derived from its banking activities. As such, two different and cumulative liquidity pools for </w:t>
      </w:r>
      <w:r w:rsidRPr="00F5551F">
        <w:rPr>
          <w:rFonts w:ascii="DIN-Regular" w:eastAsia="Arial Unicode MS" w:hAnsi="DIN-Regular" w:cs="Arial"/>
          <w:b/>
          <w:color w:val="auto"/>
          <w:sz w:val="22"/>
          <w:szCs w:val="22"/>
          <w:u w:val="single"/>
        </w:rPr>
        <w:t>the same liquidity risk</w:t>
      </w:r>
      <w:r w:rsidRPr="00F5551F">
        <w:rPr>
          <w:rFonts w:ascii="DIN-Regular" w:eastAsia="Arial Unicode MS" w:hAnsi="DIN-Regular" w:cs="Arial"/>
          <w:color w:val="auto"/>
          <w:sz w:val="22"/>
          <w:szCs w:val="22"/>
        </w:rPr>
        <w:t xml:space="preserve"> do not make any sense at all.</w:t>
      </w:r>
    </w:p>
    <w:p w:rsidR="009366C2" w:rsidRPr="00F5551F" w:rsidRDefault="009366C2" w:rsidP="00DA6980">
      <w:pPr>
        <w:pStyle w:val="Default"/>
        <w:spacing w:after="60"/>
        <w:jc w:val="both"/>
        <w:rPr>
          <w:rFonts w:ascii="DIN-Regular" w:eastAsia="Arial Unicode MS" w:hAnsi="DIN-Regular" w:cs="Arial"/>
          <w:color w:val="auto"/>
          <w:sz w:val="22"/>
          <w:szCs w:val="22"/>
        </w:rPr>
      </w:pPr>
      <w:r w:rsidRPr="00F5551F">
        <w:rPr>
          <w:rFonts w:ascii="DIN-Regular" w:eastAsia="Arial Unicode MS" w:hAnsi="DIN-Regular" w:cs="Arial"/>
          <w:color w:val="auto"/>
          <w:sz w:val="22"/>
          <w:szCs w:val="22"/>
        </w:rPr>
        <w:t>Therefore only an integrated liquidity management to fulfil all internal and regulatory requirements with the same pool of liquid assets is in our view an adequate approach.</w:t>
      </w:r>
    </w:p>
    <w:p w:rsidR="009366C2" w:rsidRPr="00F5551F" w:rsidRDefault="009366C2" w:rsidP="00DA6980">
      <w:pPr>
        <w:pStyle w:val="Default"/>
        <w:contextualSpacing/>
        <w:jc w:val="both"/>
        <w:rPr>
          <w:rFonts w:ascii="DIN-Regular" w:eastAsia="Arial Unicode MS" w:hAnsi="DIN-Regular" w:cs="Arial"/>
          <w:color w:val="auto"/>
          <w:sz w:val="22"/>
          <w:szCs w:val="22"/>
        </w:rPr>
      </w:pPr>
    </w:p>
    <w:p w:rsidR="009366C2" w:rsidRPr="00F5551F" w:rsidRDefault="009366C2" w:rsidP="00DA6980">
      <w:pPr>
        <w:pStyle w:val="Default"/>
        <w:contextualSpacing/>
        <w:jc w:val="both"/>
        <w:rPr>
          <w:rFonts w:ascii="DIN-Regular" w:hAnsi="DIN-Regular" w:cs="Arial"/>
          <w:b/>
          <w:sz w:val="22"/>
          <w:szCs w:val="22"/>
          <w:lang w:eastAsia="de-DE"/>
        </w:rPr>
      </w:pPr>
      <w:r w:rsidRPr="00F5551F">
        <w:rPr>
          <w:rFonts w:ascii="DIN-Regular" w:hAnsi="DIN-Regular" w:cs="Arial"/>
          <w:b/>
          <w:sz w:val="22"/>
          <w:szCs w:val="22"/>
          <w:lang w:eastAsia="de-DE"/>
        </w:rPr>
        <w:t>Article 31</w:t>
      </w:r>
    </w:p>
    <w:p w:rsidR="00304CCF" w:rsidRPr="00F5551F" w:rsidRDefault="009366C2" w:rsidP="00DA6980">
      <w:pPr>
        <w:pStyle w:val="Default"/>
        <w:contextualSpacing/>
        <w:jc w:val="both"/>
        <w:rPr>
          <w:rFonts w:ascii="DIN-Regular" w:hAnsi="DIN-Regular" w:cs="Arial"/>
          <w:sz w:val="22"/>
          <w:szCs w:val="22"/>
          <w:lang w:eastAsia="de-DE"/>
        </w:rPr>
      </w:pPr>
      <w:r w:rsidRPr="00F5551F">
        <w:rPr>
          <w:rFonts w:ascii="DIN-Regular" w:hAnsi="DIN-Regular" w:cs="Arial"/>
          <w:sz w:val="22"/>
          <w:szCs w:val="22"/>
          <w:lang w:eastAsia="de-DE"/>
        </w:rPr>
        <w:t>Further on the Section 1 on Measurement of intraday liquidity risks and more specifically on the</w:t>
      </w:r>
      <w:r w:rsidRPr="00F5551F">
        <w:rPr>
          <w:rFonts w:ascii="DIN-Regular" w:hAnsi="DIN-Regular" w:cs="Arial"/>
          <w:sz w:val="22"/>
          <w:szCs w:val="22"/>
        </w:rPr>
        <w:t xml:space="preserve"> </w:t>
      </w:r>
      <w:r w:rsidRPr="00F5551F">
        <w:rPr>
          <w:rFonts w:ascii="DIN-Regular" w:hAnsi="DIN-Regular" w:cs="Arial"/>
          <w:sz w:val="22"/>
          <w:szCs w:val="22"/>
          <w:lang w:eastAsia="de-DE"/>
        </w:rPr>
        <w:t xml:space="preserve">Article 31 </w:t>
      </w:r>
      <w:r w:rsidR="00684A82">
        <w:rPr>
          <w:rFonts w:ascii="DIN-Regular" w:hAnsi="DIN-Regular" w:cs="Arial"/>
          <w:sz w:val="22"/>
          <w:szCs w:val="22"/>
          <w:lang w:eastAsia="de-DE"/>
        </w:rPr>
        <w:t xml:space="preserve">draft RTS </w:t>
      </w:r>
      <w:r w:rsidRPr="00F5551F">
        <w:rPr>
          <w:rFonts w:ascii="DIN-Regular" w:hAnsi="DIN-Regular" w:cs="Arial"/>
          <w:sz w:val="22"/>
          <w:szCs w:val="22"/>
          <w:lang w:eastAsia="de-DE"/>
        </w:rPr>
        <w:t xml:space="preserve">on the Measurement of intraday liquidity </w:t>
      </w:r>
      <w:proofErr w:type="gramStart"/>
      <w:r w:rsidRPr="00F5551F">
        <w:rPr>
          <w:rFonts w:ascii="DIN-Regular" w:hAnsi="DIN-Regular" w:cs="Arial"/>
          <w:sz w:val="22"/>
          <w:szCs w:val="22"/>
          <w:lang w:eastAsia="de-DE"/>
        </w:rPr>
        <w:t>risks ,</w:t>
      </w:r>
      <w:proofErr w:type="gramEnd"/>
      <w:r w:rsidRPr="00F5551F">
        <w:rPr>
          <w:rFonts w:ascii="DIN-Regular" w:hAnsi="DIN-Regular" w:cs="Arial"/>
          <w:sz w:val="22"/>
          <w:szCs w:val="22"/>
          <w:lang w:eastAsia="de-DE"/>
        </w:rPr>
        <w:t xml:space="preserve"> we would like to raise the following concerns</w:t>
      </w:r>
      <w:r w:rsidR="00304CCF" w:rsidRPr="00F5551F">
        <w:rPr>
          <w:rFonts w:ascii="DIN-Regular" w:hAnsi="DIN-Regular" w:cs="Arial"/>
          <w:sz w:val="22"/>
          <w:szCs w:val="22"/>
          <w:lang w:eastAsia="de-DE"/>
        </w:rPr>
        <w:t>:</w:t>
      </w:r>
    </w:p>
    <w:p w:rsidR="009366C2" w:rsidRPr="00F5551F" w:rsidRDefault="009366C2" w:rsidP="00DA6980">
      <w:pPr>
        <w:pStyle w:val="Default"/>
        <w:contextualSpacing/>
        <w:jc w:val="both"/>
        <w:rPr>
          <w:rFonts w:ascii="DIN-Regular" w:hAnsi="DIN-Regular" w:cs="Arial"/>
          <w:sz w:val="22"/>
          <w:szCs w:val="22"/>
          <w:lang w:eastAsia="de-DE"/>
        </w:rPr>
      </w:pPr>
      <w:r w:rsidRPr="00F5551F">
        <w:rPr>
          <w:rFonts w:ascii="DIN-Regular" w:hAnsi="DIN-Regular" w:cs="Arial"/>
          <w:sz w:val="22"/>
          <w:szCs w:val="22"/>
          <w:lang w:eastAsia="de-DE"/>
        </w:rPr>
        <w:t xml:space="preserve"> </w:t>
      </w:r>
    </w:p>
    <w:p w:rsidR="009366C2" w:rsidRPr="00F5551F" w:rsidRDefault="009366C2" w:rsidP="00DA6980">
      <w:pPr>
        <w:spacing w:after="240"/>
        <w:jc w:val="both"/>
        <w:rPr>
          <w:rFonts w:eastAsia="Arial Unicode MS" w:cs="Arial"/>
          <w:sz w:val="22"/>
          <w:szCs w:val="22"/>
          <w:lang w:eastAsia="en-GB"/>
        </w:rPr>
      </w:pPr>
      <w:r w:rsidRPr="00F5551F">
        <w:rPr>
          <w:rFonts w:eastAsia="Arial Unicode MS" w:cs="Arial"/>
          <w:sz w:val="22"/>
          <w:szCs w:val="22"/>
        </w:rPr>
        <w:t xml:space="preserve">An important feature of BCBS 248 is a materiality threshold, which we think is critically important. BCBS 248 suggests </w:t>
      </w:r>
      <w:r w:rsidR="00BD3A07" w:rsidRPr="00F5551F">
        <w:rPr>
          <w:rFonts w:eastAsia="Arial Unicode MS" w:cs="Arial"/>
          <w:sz w:val="22"/>
          <w:szCs w:val="22"/>
        </w:rPr>
        <w:t>considering</w:t>
      </w:r>
      <w:r w:rsidRPr="00F5551F">
        <w:rPr>
          <w:rFonts w:eastAsia="Arial Unicode MS" w:cs="Arial"/>
          <w:sz w:val="22"/>
          <w:szCs w:val="22"/>
        </w:rPr>
        <w:t xml:space="preserve"> a currency as “significant”, if the aggregate liabilities in this currency amount to 5% or more of the bank’s total liabilities. While we expect our key cash correspondents in the major economies to be able to provide real time transaction data, providers in less developed markets (without corresponding regulatory requirements) may not be able or willing to provide the required data, although only counterparties of a high quality (credit and operational) are selected. </w:t>
      </w:r>
      <w:r w:rsidRPr="00F5551F">
        <w:rPr>
          <w:rFonts w:eastAsia="Arial Unicode MS" w:cs="Arial"/>
          <w:sz w:val="22"/>
          <w:szCs w:val="22"/>
        </w:rPr>
        <w:lastRenderedPageBreak/>
        <w:t xml:space="preserve">Forcing </w:t>
      </w:r>
      <w:r w:rsidR="00BD3A07" w:rsidRPr="00F5551F">
        <w:rPr>
          <w:rFonts w:eastAsia="Arial Unicode MS" w:cs="Arial"/>
          <w:sz w:val="22"/>
          <w:szCs w:val="22"/>
        </w:rPr>
        <w:t>real-time</w:t>
      </w:r>
      <w:r w:rsidRPr="00F5551F">
        <w:rPr>
          <w:rFonts w:eastAsia="Arial Unicode MS" w:cs="Arial"/>
          <w:sz w:val="22"/>
          <w:szCs w:val="22"/>
        </w:rPr>
        <w:t xml:space="preserve"> data delivery on (cash) transactions </w:t>
      </w:r>
      <w:r w:rsidR="00304CCF" w:rsidRPr="00F5551F">
        <w:rPr>
          <w:rFonts w:eastAsia="Arial Unicode MS" w:cs="Arial"/>
          <w:sz w:val="22"/>
          <w:szCs w:val="22"/>
        </w:rPr>
        <w:t xml:space="preserve">in less developed currencies </w:t>
      </w:r>
      <w:r w:rsidRPr="00F5551F">
        <w:rPr>
          <w:rFonts w:eastAsia="Arial Unicode MS" w:cs="Arial"/>
          <w:sz w:val="22"/>
          <w:szCs w:val="22"/>
        </w:rPr>
        <w:t xml:space="preserve">may </w:t>
      </w:r>
      <w:r w:rsidR="00304CCF" w:rsidRPr="00F5551F">
        <w:rPr>
          <w:rFonts w:eastAsia="Arial Unicode MS" w:cs="Arial"/>
          <w:sz w:val="22"/>
          <w:szCs w:val="22"/>
        </w:rPr>
        <w:t>cause service providers to no longer offer services in that currency. C</w:t>
      </w:r>
      <w:r w:rsidRPr="00F5551F">
        <w:rPr>
          <w:rFonts w:eastAsia="Arial Unicode MS" w:cs="Arial"/>
          <w:sz w:val="22"/>
          <w:szCs w:val="22"/>
        </w:rPr>
        <w:t>onsequently</w:t>
      </w:r>
      <w:r w:rsidR="00304CCF" w:rsidRPr="00F5551F">
        <w:rPr>
          <w:rFonts w:eastAsia="Arial Unicode MS" w:cs="Arial"/>
          <w:sz w:val="22"/>
          <w:szCs w:val="22"/>
        </w:rPr>
        <w:t>, certain</w:t>
      </w:r>
      <w:r w:rsidRPr="00F5551F">
        <w:rPr>
          <w:rFonts w:eastAsia="Arial Unicode MS" w:cs="Arial"/>
          <w:sz w:val="22"/>
          <w:szCs w:val="22"/>
        </w:rPr>
        <w:t xml:space="preserve"> markets </w:t>
      </w:r>
      <w:r w:rsidR="00304CCF" w:rsidRPr="00F5551F">
        <w:rPr>
          <w:rFonts w:eastAsia="Arial Unicode MS" w:cs="Arial"/>
          <w:sz w:val="22"/>
          <w:szCs w:val="22"/>
        </w:rPr>
        <w:t>may no longer be accessible</w:t>
      </w:r>
      <w:r w:rsidRPr="00F5551F">
        <w:rPr>
          <w:rFonts w:eastAsia="Arial Unicode MS" w:cs="Arial"/>
          <w:sz w:val="22"/>
          <w:szCs w:val="22"/>
        </w:rPr>
        <w:t xml:space="preserve">. Overall, this would possibly put European CSDs in a situation where certain markets could no longer be served although they are overall not material, function well and have not added to any significant risk in the past. This may nevertheless push major clients out to operate with other counterparties which can offer such markets. A consideration of all (currently at </w:t>
      </w:r>
      <w:proofErr w:type="spellStart"/>
      <w:r w:rsidRPr="00F5551F">
        <w:rPr>
          <w:rFonts w:eastAsia="Arial Unicode MS" w:cs="Arial"/>
          <w:sz w:val="22"/>
          <w:szCs w:val="22"/>
        </w:rPr>
        <w:t>Clearstream</w:t>
      </w:r>
      <w:proofErr w:type="spellEnd"/>
      <w:r w:rsidRPr="00F5551F">
        <w:rPr>
          <w:rFonts w:eastAsia="Arial Unicode MS" w:cs="Arial"/>
          <w:sz w:val="22"/>
          <w:szCs w:val="22"/>
        </w:rPr>
        <w:t xml:space="preserve"> around 50) currencies in the “real-time” monitoring may place a significant burden on a CSDs IT capacity. As a (I)CSD usually covers currencies from across the world, the time zone difference will make it extremely difficult to ensure a “real-time” monitoring even for remote “exotic” currencies.</w:t>
      </w:r>
    </w:p>
    <w:p w:rsidR="009366C2" w:rsidRPr="00F5551F" w:rsidRDefault="009366C2" w:rsidP="00DA6980">
      <w:pPr>
        <w:spacing w:after="240"/>
        <w:jc w:val="both"/>
        <w:rPr>
          <w:rFonts w:eastAsia="Arial Unicode MS" w:cs="Arial"/>
          <w:sz w:val="22"/>
          <w:szCs w:val="22"/>
          <w:lang w:eastAsia="en-GB"/>
        </w:rPr>
      </w:pPr>
      <w:r w:rsidRPr="00F5551F">
        <w:rPr>
          <w:rFonts w:eastAsia="Arial Unicode MS" w:cs="Arial"/>
          <w:sz w:val="22"/>
          <w:szCs w:val="22"/>
          <w:lang w:eastAsia="en-GB"/>
        </w:rPr>
        <w:t>Article 31</w:t>
      </w:r>
      <w:r w:rsidR="009463DD" w:rsidRPr="00F5551F">
        <w:rPr>
          <w:rFonts w:eastAsia="Arial Unicode MS" w:cs="Arial"/>
          <w:sz w:val="22"/>
          <w:szCs w:val="22"/>
          <w:lang w:eastAsia="en-GB"/>
        </w:rPr>
        <w:t xml:space="preserve"> (</w:t>
      </w:r>
      <w:r w:rsidRPr="00F5551F">
        <w:rPr>
          <w:rFonts w:eastAsia="Arial Unicode MS" w:cs="Arial"/>
          <w:sz w:val="22"/>
          <w:szCs w:val="22"/>
          <w:lang w:eastAsia="en-GB"/>
        </w:rPr>
        <w:t>1</w:t>
      </w:r>
      <w:r w:rsidR="009463DD" w:rsidRPr="00F5551F">
        <w:rPr>
          <w:rFonts w:eastAsia="Arial Unicode MS" w:cs="Arial"/>
          <w:sz w:val="22"/>
          <w:szCs w:val="22"/>
          <w:lang w:eastAsia="en-GB"/>
        </w:rPr>
        <w:t>) (</w:t>
      </w:r>
      <w:r w:rsidRPr="00F5551F">
        <w:rPr>
          <w:rFonts w:eastAsia="Arial Unicode MS" w:cs="Arial"/>
          <w:sz w:val="22"/>
          <w:szCs w:val="22"/>
          <w:lang w:eastAsia="en-GB"/>
        </w:rPr>
        <w:t>a</w:t>
      </w:r>
      <w:r w:rsidR="009463DD" w:rsidRPr="00F5551F">
        <w:rPr>
          <w:rFonts w:eastAsia="Arial Unicode MS" w:cs="Arial"/>
          <w:sz w:val="22"/>
          <w:szCs w:val="22"/>
          <w:lang w:eastAsia="en-GB"/>
        </w:rPr>
        <w:t>)</w:t>
      </w:r>
      <w:r w:rsidRPr="00F5551F">
        <w:rPr>
          <w:rFonts w:eastAsia="Arial Unicode MS" w:cs="Arial"/>
          <w:sz w:val="22"/>
          <w:szCs w:val="22"/>
          <w:lang w:eastAsia="en-GB"/>
        </w:rPr>
        <w:t xml:space="preserve">: </w:t>
      </w:r>
      <w:r w:rsidR="00307A24" w:rsidRPr="00F5551F">
        <w:rPr>
          <w:rFonts w:eastAsia="Arial Unicode MS" w:cs="Arial"/>
          <w:sz w:val="22"/>
          <w:szCs w:val="22"/>
          <w:lang w:eastAsia="en-GB"/>
        </w:rPr>
        <w:t>L</w:t>
      </w:r>
      <w:r w:rsidRPr="00F5551F">
        <w:rPr>
          <w:rFonts w:eastAsia="Arial Unicode MS" w:cs="Arial"/>
          <w:sz w:val="22"/>
          <w:szCs w:val="22"/>
          <w:lang w:eastAsia="en-GB"/>
        </w:rPr>
        <w:t xml:space="preserve">iquidity flows are mainly determined by customers’ settlement activity and cash management, which cannot be predicted prior to the customer cash deadline. We therefore propose to measure daily gross liquidity flows rather than </w:t>
      </w:r>
      <w:r w:rsidRPr="00F5551F">
        <w:rPr>
          <w:rFonts w:eastAsia="Arial Unicode MS" w:cs="Arial"/>
          <w:sz w:val="22"/>
          <w:szCs w:val="22"/>
          <w:u w:val="single"/>
          <w:lang w:eastAsia="en-GB"/>
        </w:rPr>
        <w:t>expected</w:t>
      </w:r>
      <w:r w:rsidRPr="00F5551F">
        <w:rPr>
          <w:rFonts w:eastAsia="Arial Unicode MS" w:cs="Arial"/>
          <w:sz w:val="22"/>
          <w:szCs w:val="22"/>
          <w:lang w:eastAsia="en-GB"/>
        </w:rPr>
        <w:t xml:space="preserve"> flows.</w:t>
      </w:r>
    </w:p>
    <w:p w:rsidR="009366C2" w:rsidRPr="00F5551F" w:rsidRDefault="009366C2" w:rsidP="00DA6980">
      <w:pPr>
        <w:spacing w:after="240"/>
        <w:jc w:val="both"/>
        <w:rPr>
          <w:rFonts w:eastAsia="Arial Unicode MS" w:cs="Arial"/>
          <w:sz w:val="22"/>
          <w:szCs w:val="22"/>
          <w:lang w:eastAsia="en-GB"/>
        </w:rPr>
      </w:pPr>
      <w:r w:rsidRPr="00F5551F">
        <w:rPr>
          <w:rFonts w:eastAsia="Arial Unicode MS" w:cs="Arial"/>
          <w:sz w:val="22"/>
          <w:szCs w:val="22"/>
          <w:lang w:eastAsia="en-GB"/>
        </w:rPr>
        <w:t>Article 31</w:t>
      </w:r>
      <w:r w:rsidR="009463DD" w:rsidRPr="00F5551F">
        <w:rPr>
          <w:rFonts w:eastAsia="Arial Unicode MS" w:cs="Arial"/>
          <w:sz w:val="22"/>
          <w:szCs w:val="22"/>
          <w:lang w:eastAsia="en-GB"/>
        </w:rPr>
        <w:t xml:space="preserve"> (</w:t>
      </w:r>
      <w:r w:rsidRPr="00F5551F">
        <w:rPr>
          <w:rFonts w:eastAsia="Arial Unicode MS" w:cs="Arial"/>
          <w:sz w:val="22"/>
          <w:szCs w:val="22"/>
          <w:lang w:eastAsia="en-GB"/>
        </w:rPr>
        <w:t>1</w:t>
      </w:r>
      <w:r w:rsidR="009463DD" w:rsidRPr="00F5551F">
        <w:rPr>
          <w:rFonts w:eastAsia="Arial Unicode MS" w:cs="Arial"/>
          <w:sz w:val="22"/>
          <w:szCs w:val="22"/>
          <w:lang w:eastAsia="en-GB"/>
        </w:rPr>
        <w:t>) (</w:t>
      </w:r>
      <w:r w:rsidRPr="00F5551F">
        <w:rPr>
          <w:rFonts w:eastAsia="Arial Unicode MS" w:cs="Arial"/>
          <w:sz w:val="22"/>
          <w:szCs w:val="22"/>
          <w:lang w:eastAsia="en-GB"/>
        </w:rPr>
        <w:t>c</w:t>
      </w:r>
      <w:r w:rsidR="009463DD" w:rsidRPr="00F5551F">
        <w:rPr>
          <w:rFonts w:eastAsia="Arial Unicode MS" w:cs="Arial"/>
          <w:sz w:val="22"/>
          <w:szCs w:val="22"/>
          <w:lang w:eastAsia="en-GB"/>
        </w:rPr>
        <w:t>)</w:t>
      </w:r>
      <w:r w:rsidRPr="00F5551F">
        <w:rPr>
          <w:rFonts w:eastAsia="Arial Unicode MS" w:cs="Arial"/>
          <w:sz w:val="22"/>
          <w:szCs w:val="22"/>
          <w:lang w:eastAsia="en-GB"/>
        </w:rPr>
        <w:t>: We do not understand what the “range of potential net funding shortfalls” could be. As all payments – with the exception of time-critical payments – are due at the end of the day, there can only be a potential shortfall at the end of the day.</w:t>
      </w:r>
    </w:p>
    <w:p w:rsidR="009366C2" w:rsidRPr="00F5551F" w:rsidRDefault="009366C2" w:rsidP="00DA6980">
      <w:pPr>
        <w:spacing w:after="240"/>
        <w:jc w:val="both"/>
        <w:rPr>
          <w:rFonts w:eastAsia="Arial Unicode MS" w:cs="Arial"/>
          <w:sz w:val="22"/>
          <w:szCs w:val="22"/>
          <w:lang w:eastAsia="en-GB"/>
        </w:rPr>
      </w:pPr>
      <w:r w:rsidRPr="00F5551F">
        <w:rPr>
          <w:rFonts w:eastAsia="Arial Unicode MS" w:cs="Arial"/>
          <w:sz w:val="22"/>
          <w:szCs w:val="22"/>
          <w:lang w:eastAsia="en-GB"/>
        </w:rPr>
        <w:t>Article 31</w:t>
      </w:r>
      <w:r w:rsidR="009463DD" w:rsidRPr="00F5551F">
        <w:rPr>
          <w:rFonts w:eastAsia="Arial Unicode MS" w:cs="Arial"/>
          <w:sz w:val="22"/>
          <w:szCs w:val="22"/>
          <w:lang w:eastAsia="en-GB"/>
        </w:rPr>
        <w:t xml:space="preserve"> (</w:t>
      </w:r>
      <w:r w:rsidRPr="00F5551F">
        <w:rPr>
          <w:rFonts w:eastAsia="Arial Unicode MS" w:cs="Arial"/>
          <w:sz w:val="22"/>
          <w:szCs w:val="22"/>
          <w:lang w:eastAsia="en-GB"/>
        </w:rPr>
        <w:t>2</w:t>
      </w:r>
      <w:r w:rsidR="009463DD" w:rsidRPr="00F5551F">
        <w:rPr>
          <w:rFonts w:eastAsia="Arial Unicode MS" w:cs="Arial"/>
          <w:sz w:val="22"/>
          <w:szCs w:val="22"/>
          <w:lang w:eastAsia="en-GB"/>
        </w:rPr>
        <w:t>)</w:t>
      </w:r>
      <w:proofErr w:type="gramStart"/>
      <w:r w:rsidR="009463DD" w:rsidRPr="00F5551F">
        <w:rPr>
          <w:rFonts w:eastAsia="Arial Unicode MS" w:cs="Arial"/>
          <w:sz w:val="22"/>
          <w:szCs w:val="22"/>
          <w:lang w:eastAsia="en-GB"/>
        </w:rPr>
        <w:t>:</w:t>
      </w:r>
      <w:r w:rsidRPr="00F5551F">
        <w:rPr>
          <w:rFonts w:eastAsia="Arial Unicode MS" w:cs="Arial"/>
          <w:sz w:val="22"/>
          <w:szCs w:val="22"/>
          <w:lang w:eastAsia="en-GB"/>
        </w:rPr>
        <w:t>The</w:t>
      </w:r>
      <w:proofErr w:type="gramEnd"/>
      <w:r w:rsidRPr="00F5551F">
        <w:rPr>
          <w:rFonts w:eastAsia="Arial Unicode MS" w:cs="Arial"/>
          <w:sz w:val="22"/>
          <w:szCs w:val="22"/>
          <w:lang w:eastAsia="en-GB"/>
        </w:rPr>
        <w:t xml:space="preserve"> required metrics can only be calculated ex post. It should be clarified, what “on an ongoing basis” means.</w:t>
      </w:r>
    </w:p>
    <w:p w:rsidR="00BA048F" w:rsidRPr="00F5551F" w:rsidRDefault="00BA048F" w:rsidP="00BA048F">
      <w:pPr>
        <w:pStyle w:val="Default"/>
        <w:contextualSpacing/>
        <w:jc w:val="both"/>
        <w:rPr>
          <w:rFonts w:ascii="DIN-Regular" w:hAnsi="DIN-Regular" w:cs="Arial"/>
          <w:sz w:val="22"/>
          <w:szCs w:val="22"/>
          <w:lang w:eastAsia="de-DE"/>
        </w:rPr>
      </w:pPr>
      <w:r w:rsidRPr="00F5551F">
        <w:rPr>
          <w:rFonts w:ascii="DIN-Regular" w:hAnsi="DIN-Regular" w:cs="Arial"/>
          <w:sz w:val="22"/>
          <w:szCs w:val="22"/>
          <w:lang w:eastAsia="de-DE"/>
        </w:rPr>
        <w:t xml:space="preserve">Based on the arguments raised above we propose the following amendments to the EBA draft RTS: </w:t>
      </w:r>
    </w:p>
    <w:p w:rsidR="009366C2" w:rsidRPr="00F5551F" w:rsidRDefault="009366C2" w:rsidP="00DA6980">
      <w:pPr>
        <w:pStyle w:val="Default"/>
        <w:contextualSpacing/>
        <w:jc w:val="both"/>
        <w:rPr>
          <w:rFonts w:ascii="DIN-Regular" w:hAnsi="DIN-Regular" w:cs="Arial"/>
          <w:sz w:val="22"/>
          <w:szCs w:val="22"/>
          <w:lang w:eastAsia="de-DE"/>
        </w:rPr>
      </w:pPr>
    </w:p>
    <w:p w:rsidR="009366C2" w:rsidRPr="00F5551F" w:rsidRDefault="009366C2"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hAnsi="DIN-Regular" w:cs="Arial"/>
          <w:i/>
          <w:sz w:val="22"/>
          <w:szCs w:val="22"/>
          <w:lang w:eastAsia="de-DE"/>
        </w:rPr>
      </w:pPr>
      <w:r w:rsidRPr="00F5551F">
        <w:rPr>
          <w:rFonts w:ascii="DIN-Regular" w:hAnsi="DIN-Regular" w:cs="Arial"/>
          <w:b/>
          <w:i/>
          <w:sz w:val="22"/>
          <w:szCs w:val="22"/>
          <w:lang w:eastAsia="de-DE"/>
        </w:rPr>
        <w:t>Article 31 -</w:t>
      </w:r>
      <w:r w:rsidRPr="00F5551F">
        <w:rPr>
          <w:rFonts w:ascii="DIN-Regular" w:hAnsi="DIN-Regular" w:cs="Arial"/>
          <w:i/>
          <w:sz w:val="22"/>
          <w:szCs w:val="22"/>
          <w:lang w:eastAsia="de-DE"/>
        </w:rPr>
        <w:t xml:space="preserve"> Measurement of intraday liquidity risks</w:t>
      </w:r>
    </w:p>
    <w:p w:rsidR="009366C2" w:rsidRPr="00F5551F" w:rsidRDefault="009366C2"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hAnsi="DIN-Regular" w:cs="Arial"/>
          <w:i/>
          <w:sz w:val="22"/>
          <w:szCs w:val="22"/>
          <w:lang w:eastAsia="de-DE"/>
        </w:rPr>
      </w:pPr>
      <w:r w:rsidRPr="00F5551F">
        <w:rPr>
          <w:rFonts w:ascii="DIN-Regular" w:hAnsi="DIN-Regular" w:cs="Arial"/>
          <w:i/>
          <w:sz w:val="22"/>
          <w:szCs w:val="22"/>
          <w:lang w:eastAsia="de-DE"/>
        </w:rPr>
        <w:t>1. For the purposes of Article 30(a), and for each currency offered by any securities settlement system for which it acts as settlement agent</w:t>
      </w:r>
      <w:r w:rsidR="00307A24" w:rsidRPr="00F5551F">
        <w:rPr>
          <w:rFonts w:ascii="DIN-Regular" w:hAnsi="DIN-Regular" w:cs="Arial"/>
          <w:b/>
          <w:i/>
          <w:sz w:val="22"/>
          <w:szCs w:val="22"/>
          <w:lang w:eastAsia="de-DE"/>
        </w:rPr>
        <w:t>, for which the aggregate liabilities denominated in that currency amount to 5% or more of the CSDs total liabilities</w:t>
      </w:r>
      <w:r w:rsidRPr="00F5551F">
        <w:rPr>
          <w:rFonts w:ascii="DIN-Regular" w:hAnsi="DIN-Regular" w:cs="Arial"/>
          <w:i/>
          <w:sz w:val="22"/>
          <w:szCs w:val="22"/>
          <w:lang w:eastAsia="de-DE"/>
        </w:rPr>
        <w:t xml:space="preserve">, the CSD-banking service provider shall carry out all of the following: </w:t>
      </w:r>
    </w:p>
    <w:p w:rsidR="009366C2" w:rsidRPr="00F5551F" w:rsidRDefault="009366C2"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hAnsi="DIN-Regular" w:cs="Arial"/>
          <w:i/>
          <w:sz w:val="22"/>
          <w:szCs w:val="22"/>
          <w:lang w:eastAsia="de-DE"/>
        </w:rPr>
      </w:pPr>
      <w:r w:rsidRPr="00F5551F">
        <w:rPr>
          <w:rFonts w:ascii="DIN-Regular" w:hAnsi="DIN-Regular" w:cs="Arial"/>
          <w:i/>
          <w:sz w:val="22"/>
          <w:szCs w:val="22"/>
          <w:lang w:eastAsia="de-DE"/>
        </w:rPr>
        <w:t xml:space="preserve">(a) </w:t>
      </w:r>
      <w:proofErr w:type="gramStart"/>
      <w:r w:rsidRPr="00F5551F">
        <w:rPr>
          <w:rFonts w:ascii="DIN-Regular" w:hAnsi="DIN-Regular" w:cs="Arial"/>
          <w:i/>
          <w:sz w:val="22"/>
          <w:szCs w:val="22"/>
          <w:lang w:eastAsia="de-DE"/>
        </w:rPr>
        <w:t>measure</w:t>
      </w:r>
      <w:proofErr w:type="gramEnd"/>
      <w:r w:rsidRPr="00F5551F">
        <w:rPr>
          <w:rFonts w:ascii="DIN-Regular" w:hAnsi="DIN-Regular" w:cs="Arial"/>
          <w:i/>
          <w:sz w:val="22"/>
          <w:szCs w:val="22"/>
          <w:lang w:eastAsia="de-DE"/>
        </w:rPr>
        <w:t xml:space="preserve"> </w:t>
      </w:r>
      <w:r w:rsidRPr="00F5551F">
        <w:rPr>
          <w:rFonts w:ascii="DIN-Regular" w:hAnsi="DIN-Regular" w:cs="Arial"/>
          <w:b/>
          <w:i/>
          <w:strike/>
          <w:sz w:val="22"/>
          <w:szCs w:val="22"/>
          <w:lang w:eastAsia="de-DE"/>
        </w:rPr>
        <w:t>expected</w:t>
      </w:r>
      <w:r w:rsidRPr="00F5551F">
        <w:rPr>
          <w:rFonts w:ascii="DIN-Regular" w:hAnsi="DIN-Regular" w:cs="Arial"/>
          <w:i/>
          <w:sz w:val="22"/>
          <w:szCs w:val="22"/>
          <w:lang w:eastAsia="de-DE"/>
        </w:rPr>
        <w:t xml:space="preserve"> daily gross liquidity inflows and outflows;</w:t>
      </w:r>
    </w:p>
    <w:p w:rsidR="009366C2" w:rsidRPr="00F5551F" w:rsidRDefault="009366C2"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hAnsi="DIN-Regular" w:cs="Arial"/>
          <w:b/>
          <w:i/>
          <w:strike/>
          <w:sz w:val="22"/>
          <w:szCs w:val="22"/>
          <w:lang w:eastAsia="de-DE"/>
        </w:rPr>
      </w:pPr>
      <w:r w:rsidRPr="00F5551F">
        <w:rPr>
          <w:rFonts w:ascii="DIN-Regular" w:hAnsi="DIN-Regular" w:cs="Arial"/>
          <w:i/>
          <w:sz w:val="22"/>
          <w:szCs w:val="22"/>
          <w:lang w:eastAsia="de-DE"/>
        </w:rPr>
        <w:t xml:space="preserve">(b) </w:t>
      </w:r>
      <w:proofErr w:type="gramStart"/>
      <w:r w:rsidRPr="00F5551F">
        <w:rPr>
          <w:rFonts w:ascii="DIN-Regular" w:hAnsi="DIN-Regular" w:cs="Arial"/>
          <w:b/>
          <w:i/>
          <w:strike/>
          <w:sz w:val="22"/>
          <w:szCs w:val="22"/>
          <w:lang w:eastAsia="de-DE"/>
        </w:rPr>
        <w:t>anticipate</w:t>
      </w:r>
      <w:proofErr w:type="gramEnd"/>
      <w:r w:rsidRPr="00F5551F">
        <w:rPr>
          <w:rFonts w:ascii="DIN-Regular" w:hAnsi="DIN-Regular" w:cs="Arial"/>
          <w:b/>
          <w:i/>
          <w:strike/>
          <w:sz w:val="22"/>
          <w:szCs w:val="22"/>
          <w:lang w:eastAsia="de-DE"/>
        </w:rPr>
        <w:t xml:space="preserve"> the intraday timing of these flows;</w:t>
      </w:r>
    </w:p>
    <w:p w:rsidR="009366C2" w:rsidRPr="00F5551F" w:rsidRDefault="009366C2"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hAnsi="DIN-Regular" w:cs="Arial"/>
          <w:i/>
          <w:sz w:val="22"/>
          <w:szCs w:val="22"/>
          <w:lang w:eastAsia="de-DE"/>
        </w:rPr>
      </w:pPr>
      <w:r w:rsidRPr="00F5551F">
        <w:rPr>
          <w:rFonts w:ascii="DIN-Regular" w:hAnsi="DIN-Regular" w:cs="Arial"/>
          <w:i/>
          <w:sz w:val="22"/>
          <w:szCs w:val="22"/>
          <w:lang w:eastAsia="de-DE"/>
        </w:rPr>
        <w:t xml:space="preserve">(c) </w:t>
      </w:r>
      <w:proofErr w:type="gramStart"/>
      <w:r w:rsidRPr="00F5551F">
        <w:rPr>
          <w:rFonts w:ascii="DIN-Regular" w:hAnsi="DIN-Regular" w:cs="Arial"/>
          <w:i/>
          <w:sz w:val="22"/>
          <w:szCs w:val="22"/>
          <w:lang w:eastAsia="de-DE"/>
        </w:rPr>
        <w:t>forecast</w:t>
      </w:r>
      <w:proofErr w:type="gramEnd"/>
      <w:r w:rsidRPr="00F5551F">
        <w:rPr>
          <w:rFonts w:ascii="DIN-Regular" w:hAnsi="DIN-Regular" w:cs="Arial"/>
          <w:i/>
          <w:sz w:val="22"/>
          <w:szCs w:val="22"/>
          <w:lang w:eastAsia="de-DE"/>
        </w:rPr>
        <w:t xml:space="preserve"> the </w:t>
      </w:r>
      <w:r w:rsidRPr="00F5551F">
        <w:rPr>
          <w:rFonts w:ascii="DIN-Regular" w:hAnsi="DIN-Regular" w:cs="Arial"/>
          <w:b/>
          <w:i/>
          <w:strike/>
          <w:sz w:val="22"/>
          <w:szCs w:val="22"/>
          <w:lang w:eastAsia="de-DE"/>
        </w:rPr>
        <w:t xml:space="preserve">range of potential </w:t>
      </w:r>
      <w:r w:rsidRPr="00F5551F">
        <w:rPr>
          <w:rFonts w:ascii="DIN-Regular" w:hAnsi="DIN-Regular" w:cs="Arial"/>
          <w:i/>
          <w:sz w:val="22"/>
          <w:szCs w:val="22"/>
          <w:lang w:eastAsia="de-DE"/>
        </w:rPr>
        <w:t>net funding shortfall</w:t>
      </w:r>
      <w:r w:rsidRPr="00F5551F">
        <w:rPr>
          <w:rFonts w:ascii="DIN-Regular" w:hAnsi="DIN-Regular" w:cs="Arial"/>
          <w:b/>
          <w:i/>
          <w:strike/>
          <w:sz w:val="22"/>
          <w:szCs w:val="22"/>
          <w:lang w:eastAsia="de-DE"/>
        </w:rPr>
        <w:t>s</w:t>
      </w:r>
      <w:r w:rsidRPr="00F5551F">
        <w:rPr>
          <w:rFonts w:ascii="DIN-Regular" w:hAnsi="DIN-Regular" w:cs="Arial"/>
          <w:i/>
          <w:sz w:val="22"/>
          <w:szCs w:val="22"/>
          <w:lang w:eastAsia="de-DE"/>
        </w:rPr>
        <w:t xml:space="preserve"> that may arise at </w:t>
      </w:r>
      <w:r w:rsidR="00F25994" w:rsidRPr="00F5551F">
        <w:rPr>
          <w:rFonts w:ascii="DIN-Regular" w:hAnsi="DIN-Regular" w:cs="Arial"/>
          <w:b/>
          <w:i/>
          <w:sz w:val="22"/>
          <w:szCs w:val="22"/>
          <w:lang w:eastAsia="de-DE"/>
        </w:rPr>
        <w:t xml:space="preserve">the end of the </w:t>
      </w:r>
      <w:r w:rsidRPr="00F5551F">
        <w:rPr>
          <w:rFonts w:ascii="DIN-Regular" w:hAnsi="DIN-Regular" w:cs="Arial"/>
          <w:b/>
          <w:i/>
          <w:strike/>
          <w:sz w:val="22"/>
          <w:szCs w:val="22"/>
          <w:lang w:eastAsia="de-DE"/>
        </w:rPr>
        <w:t>different periods during the</w:t>
      </w:r>
      <w:r w:rsidRPr="00F5551F">
        <w:rPr>
          <w:rFonts w:ascii="DIN-Regular" w:hAnsi="DIN-Regular" w:cs="Arial"/>
          <w:i/>
          <w:sz w:val="22"/>
          <w:szCs w:val="22"/>
          <w:lang w:eastAsia="de-DE"/>
        </w:rPr>
        <w:t xml:space="preserve"> day.</w:t>
      </w:r>
    </w:p>
    <w:p w:rsidR="009366C2" w:rsidRPr="00F5551F" w:rsidRDefault="009366C2"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hAnsi="DIN-Regular" w:cs="Arial"/>
          <w:i/>
          <w:sz w:val="22"/>
          <w:szCs w:val="22"/>
          <w:lang w:eastAsia="de-DE"/>
        </w:rPr>
      </w:pPr>
      <w:r w:rsidRPr="00F5551F">
        <w:rPr>
          <w:rFonts w:ascii="DIN-Regular" w:hAnsi="DIN-Regular" w:cs="Arial"/>
          <w:i/>
          <w:sz w:val="22"/>
          <w:szCs w:val="22"/>
          <w:lang w:eastAsia="de-DE"/>
        </w:rPr>
        <w:t>2. For the purposes of achieving the objectives of paragraph 1, the CSD-banking service provider shall, in particular, put in place effective operational and analytical tools to identify and measure on a</w:t>
      </w:r>
      <w:r w:rsidR="00F25994" w:rsidRPr="00F5551F">
        <w:rPr>
          <w:rFonts w:ascii="DIN-Regular" w:hAnsi="DIN-Regular" w:cs="Arial"/>
          <w:b/>
          <w:i/>
          <w:sz w:val="22"/>
          <w:szCs w:val="22"/>
          <w:lang w:eastAsia="de-DE"/>
        </w:rPr>
        <w:t xml:space="preserve"> </w:t>
      </w:r>
      <w:proofErr w:type="spellStart"/>
      <w:r w:rsidR="00F25994" w:rsidRPr="00F5551F">
        <w:rPr>
          <w:rFonts w:ascii="DIN-Regular" w:hAnsi="DIN-Regular" w:cs="Arial"/>
          <w:b/>
          <w:i/>
          <w:sz w:val="22"/>
          <w:szCs w:val="22"/>
          <w:lang w:eastAsia="de-DE"/>
        </w:rPr>
        <w:t>daily</w:t>
      </w:r>
      <w:r w:rsidRPr="00F5551F">
        <w:rPr>
          <w:rFonts w:ascii="DIN-Regular" w:hAnsi="DIN-Regular" w:cs="Arial"/>
          <w:b/>
          <w:i/>
          <w:strike/>
          <w:sz w:val="22"/>
          <w:szCs w:val="22"/>
          <w:lang w:eastAsia="de-DE"/>
        </w:rPr>
        <w:t>n</w:t>
      </w:r>
      <w:proofErr w:type="spellEnd"/>
      <w:r w:rsidRPr="00F5551F">
        <w:rPr>
          <w:rFonts w:ascii="DIN-Regular" w:hAnsi="DIN-Regular" w:cs="Arial"/>
          <w:b/>
          <w:i/>
          <w:strike/>
          <w:sz w:val="22"/>
          <w:szCs w:val="22"/>
          <w:lang w:eastAsia="de-DE"/>
        </w:rPr>
        <w:t xml:space="preserve"> ongoing</w:t>
      </w:r>
      <w:r w:rsidRPr="00F5551F">
        <w:rPr>
          <w:rFonts w:ascii="DIN-Regular" w:hAnsi="DIN-Regular" w:cs="Arial"/>
          <w:i/>
          <w:sz w:val="22"/>
          <w:szCs w:val="22"/>
          <w:lang w:eastAsia="de-DE"/>
        </w:rPr>
        <w:t xml:space="preserve"> basis at least the following metrics </w:t>
      </w:r>
      <w:r w:rsidR="00F25994" w:rsidRPr="00F5551F">
        <w:rPr>
          <w:rFonts w:ascii="DIN-Regular" w:hAnsi="DIN-Regular" w:cs="Arial"/>
          <w:b/>
          <w:i/>
          <w:sz w:val="22"/>
          <w:szCs w:val="22"/>
          <w:lang w:eastAsia="de-DE"/>
        </w:rPr>
        <w:t xml:space="preserve">for material currencies </w:t>
      </w:r>
      <w:r w:rsidRPr="00F5551F">
        <w:rPr>
          <w:rFonts w:ascii="DIN-Regular" w:hAnsi="DIN-Regular" w:cs="Arial"/>
          <w:i/>
          <w:sz w:val="22"/>
          <w:szCs w:val="22"/>
          <w:lang w:eastAsia="de-DE"/>
        </w:rPr>
        <w:t xml:space="preserve">on a currency by currency </w:t>
      </w:r>
      <w:proofErr w:type="gramStart"/>
      <w:r w:rsidRPr="00F5551F">
        <w:rPr>
          <w:rFonts w:ascii="DIN-Regular" w:hAnsi="DIN-Regular" w:cs="Arial"/>
          <w:i/>
          <w:sz w:val="22"/>
          <w:szCs w:val="22"/>
          <w:lang w:eastAsia="de-DE"/>
        </w:rPr>
        <w:t>basis:</w:t>
      </w:r>
      <w:proofErr w:type="gramEnd"/>
      <w:r w:rsidRPr="00F5551F">
        <w:rPr>
          <w:rFonts w:ascii="DIN-Regular" w:hAnsi="DIN-Regular" w:cs="Arial"/>
          <w:i/>
          <w:sz w:val="22"/>
          <w:szCs w:val="22"/>
          <w:lang w:eastAsia="de-DE"/>
        </w:rPr>
        <w:t>(…)</w:t>
      </w:r>
    </w:p>
    <w:p w:rsidR="009366C2" w:rsidRPr="00F5551F" w:rsidRDefault="009366C2"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hAnsi="DIN-Regular" w:cs="Arial"/>
          <w:i/>
          <w:sz w:val="22"/>
          <w:szCs w:val="22"/>
          <w:lang w:eastAsia="de-DE"/>
        </w:rPr>
      </w:pPr>
      <w:r w:rsidRPr="00F5551F">
        <w:rPr>
          <w:rFonts w:ascii="DIN-Regular" w:hAnsi="DIN-Regular" w:cs="Arial"/>
          <w:i/>
          <w:sz w:val="22"/>
          <w:szCs w:val="22"/>
          <w:lang w:eastAsia="de-DE"/>
        </w:rPr>
        <w:t xml:space="preserve">(b) </w:t>
      </w:r>
      <w:proofErr w:type="gramStart"/>
      <w:r w:rsidRPr="00F5551F">
        <w:rPr>
          <w:rFonts w:ascii="DIN-Regular" w:hAnsi="DIN-Regular" w:cs="Arial"/>
          <w:i/>
          <w:sz w:val="22"/>
          <w:szCs w:val="22"/>
          <w:lang w:eastAsia="de-DE"/>
        </w:rPr>
        <w:t>total</w:t>
      </w:r>
      <w:proofErr w:type="gramEnd"/>
      <w:r w:rsidRPr="00F5551F">
        <w:rPr>
          <w:rFonts w:ascii="DIN-Regular" w:hAnsi="DIN-Regular" w:cs="Arial"/>
          <w:i/>
          <w:sz w:val="22"/>
          <w:szCs w:val="22"/>
          <w:lang w:eastAsia="de-DE"/>
        </w:rPr>
        <w:t xml:space="preserve"> available intraday qualifying liquid resources at the start of the business day, broken down into all of the following: (…)</w:t>
      </w:r>
    </w:p>
    <w:p w:rsidR="009366C2" w:rsidRPr="00F5551F" w:rsidRDefault="009366C2"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hAnsi="DIN-Regular" w:cs="Arial"/>
          <w:i/>
          <w:sz w:val="22"/>
          <w:szCs w:val="22"/>
          <w:lang w:eastAsia="de-DE"/>
        </w:rPr>
      </w:pPr>
      <w:r w:rsidRPr="00F5551F">
        <w:rPr>
          <w:rFonts w:ascii="DIN-Regular" w:hAnsi="DIN-Regular" w:cs="Arial"/>
          <w:i/>
          <w:sz w:val="22"/>
          <w:szCs w:val="22"/>
          <w:lang w:eastAsia="de-DE"/>
        </w:rPr>
        <w:t xml:space="preserve">(v) </w:t>
      </w:r>
      <w:proofErr w:type="gramStart"/>
      <w:r w:rsidRPr="00F5551F">
        <w:rPr>
          <w:rFonts w:ascii="DIN-Regular" w:hAnsi="DIN-Regular" w:cs="Arial"/>
          <w:i/>
          <w:sz w:val="22"/>
          <w:szCs w:val="22"/>
          <w:lang w:eastAsia="de-DE"/>
        </w:rPr>
        <w:t>committed</w:t>
      </w:r>
      <w:proofErr w:type="gramEnd"/>
      <w:r w:rsidRPr="00F5551F">
        <w:rPr>
          <w:rFonts w:ascii="DIN-Regular" w:hAnsi="DIN-Regular" w:cs="Arial"/>
          <w:i/>
          <w:sz w:val="22"/>
          <w:szCs w:val="22"/>
          <w:lang w:eastAsia="de-DE"/>
        </w:rPr>
        <w:t xml:space="preserve"> </w:t>
      </w:r>
      <w:r w:rsidR="00F25994" w:rsidRPr="00F5551F">
        <w:rPr>
          <w:rFonts w:ascii="DIN-Regular" w:hAnsi="DIN-Regular" w:cs="Arial"/>
          <w:b/>
          <w:i/>
          <w:sz w:val="22"/>
          <w:szCs w:val="22"/>
          <w:lang w:eastAsia="de-DE"/>
        </w:rPr>
        <w:t>and uncommitted</w:t>
      </w:r>
      <w:r w:rsidRPr="00F5551F">
        <w:rPr>
          <w:rFonts w:ascii="DIN-Regular" w:hAnsi="DIN-Regular" w:cs="Arial"/>
          <w:i/>
          <w:sz w:val="22"/>
          <w:szCs w:val="22"/>
          <w:lang w:eastAsia="de-DE"/>
        </w:rPr>
        <w:t xml:space="preserve"> lines of credit,  letters of credit, or similar arrangements, including those extended intraday to the CSD-banking service provider;</w:t>
      </w:r>
    </w:p>
    <w:p w:rsidR="009366C2" w:rsidRPr="00F5551F" w:rsidRDefault="009366C2"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hAnsi="DIN-Regular" w:cs="Arial"/>
          <w:i/>
          <w:sz w:val="22"/>
          <w:szCs w:val="22"/>
          <w:lang w:eastAsia="de-DE"/>
        </w:rPr>
      </w:pPr>
      <w:r w:rsidRPr="00F5551F">
        <w:rPr>
          <w:rFonts w:ascii="DIN-Regular" w:hAnsi="DIN-Regular" w:cs="Arial"/>
          <w:i/>
          <w:sz w:val="22"/>
          <w:szCs w:val="22"/>
          <w:lang w:eastAsia="de-DE"/>
        </w:rPr>
        <w:t>(…)</w:t>
      </w:r>
    </w:p>
    <w:p w:rsidR="009366C2" w:rsidRPr="00726231" w:rsidRDefault="009366C2"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hAnsi="DIN-Regular" w:cs="Arial"/>
          <w:b/>
          <w:i/>
          <w:strike/>
          <w:color w:val="auto"/>
          <w:sz w:val="22"/>
          <w:szCs w:val="22"/>
          <w:lang w:eastAsia="de-DE"/>
        </w:rPr>
      </w:pPr>
      <w:r w:rsidRPr="00F5551F">
        <w:rPr>
          <w:rFonts w:ascii="DIN-Regular" w:hAnsi="DIN-Regular" w:cs="Arial"/>
          <w:i/>
          <w:sz w:val="22"/>
          <w:szCs w:val="22"/>
          <w:lang w:eastAsia="de-DE"/>
        </w:rPr>
        <w:t xml:space="preserve">(d) </w:t>
      </w:r>
      <w:proofErr w:type="gramStart"/>
      <w:r w:rsidRPr="00726231">
        <w:rPr>
          <w:rFonts w:ascii="DIN-Regular" w:hAnsi="DIN-Regular" w:cs="Arial"/>
          <w:i/>
          <w:color w:val="auto"/>
          <w:sz w:val="22"/>
          <w:szCs w:val="22"/>
          <w:lang w:eastAsia="de-DE"/>
        </w:rPr>
        <w:t>total</w:t>
      </w:r>
      <w:proofErr w:type="gramEnd"/>
      <w:r w:rsidRPr="00726231">
        <w:rPr>
          <w:rFonts w:ascii="DIN-Regular" w:hAnsi="DIN-Regular" w:cs="Arial"/>
          <w:i/>
          <w:color w:val="auto"/>
          <w:sz w:val="22"/>
          <w:szCs w:val="22"/>
          <w:lang w:eastAsia="de-DE"/>
        </w:rPr>
        <w:t xml:space="preserve"> value of intraday credit lines extended to participants, </w:t>
      </w:r>
      <w:r w:rsidRPr="00726231">
        <w:rPr>
          <w:rFonts w:ascii="DIN-Regular" w:hAnsi="DIN-Regular" w:cs="Arial"/>
          <w:b/>
          <w:i/>
          <w:strike/>
          <w:color w:val="auto"/>
          <w:sz w:val="22"/>
          <w:szCs w:val="22"/>
          <w:lang w:eastAsia="de-DE"/>
        </w:rPr>
        <w:t>broken down into all of the following:</w:t>
      </w:r>
    </w:p>
    <w:p w:rsidR="00726231" w:rsidRPr="00726231" w:rsidRDefault="00726231"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hAnsi="DIN-Regular" w:cs="Arial"/>
          <w:b/>
          <w:i/>
          <w:strike/>
          <w:color w:val="auto"/>
          <w:sz w:val="22"/>
          <w:szCs w:val="22"/>
          <w:lang w:eastAsia="de-DE"/>
        </w:rPr>
      </w:pPr>
      <w:r w:rsidRPr="00726231">
        <w:rPr>
          <w:rFonts w:ascii="DIN-Regular" w:hAnsi="DIN-Regular" w:cs="Arial"/>
          <w:b/>
          <w:i/>
          <w:strike/>
          <w:color w:val="auto"/>
          <w:sz w:val="22"/>
          <w:szCs w:val="22"/>
          <w:lang w:eastAsia="de-DE"/>
        </w:rPr>
        <w:t>(</w:t>
      </w:r>
      <w:proofErr w:type="spellStart"/>
      <w:r w:rsidRPr="00726231">
        <w:rPr>
          <w:rFonts w:ascii="DIN-Regular" w:hAnsi="DIN-Regular" w:cs="Arial"/>
          <w:b/>
          <w:i/>
          <w:strike/>
          <w:color w:val="auto"/>
          <w:sz w:val="22"/>
          <w:szCs w:val="22"/>
          <w:lang w:eastAsia="de-DE"/>
        </w:rPr>
        <w:t>i</w:t>
      </w:r>
      <w:proofErr w:type="spellEnd"/>
      <w:r w:rsidRPr="00726231">
        <w:rPr>
          <w:rFonts w:ascii="DIN-Regular" w:hAnsi="DIN-Regular" w:cs="Arial"/>
          <w:b/>
          <w:i/>
          <w:strike/>
          <w:color w:val="auto"/>
          <w:sz w:val="22"/>
          <w:szCs w:val="22"/>
          <w:lang w:eastAsia="de-DE"/>
        </w:rPr>
        <w:t xml:space="preserve">) </w:t>
      </w:r>
      <w:proofErr w:type="gramStart"/>
      <w:r w:rsidR="009366C2" w:rsidRPr="00726231">
        <w:rPr>
          <w:rFonts w:ascii="DIN-Regular" w:hAnsi="DIN-Regular" w:cs="Arial"/>
          <w:b/>
          <w:i/>
          <w:strike/>
          <w:color w:val="auto"/>
          <w:sz w:val="22"/>
          <w:szCs w:val="22"/>
          <w:lang w:eastAsia="de-DE"/>
        </w:rPr>
        <w:t>those</w:t>
      </w:r>
      <w:proofErr w:type="gramEnd"/>
      <w:r w:rsidR="009366C2" w:rsidRPr="00726231">
        <w:rPr>
          <w:rFonts w:ascii="DIN-Regular" w:hAnsi="DIN-Regular" w:cs="Arial"/>
          <w:b/>
          <w:i/>
          <w:strike/>
          <w:color w:val="auto"/>
          <w:sz w:val="22"/>
          <w:szCs w:val="22"/>
          <w:lang w:eastAsia="de-DE"/>
        </w:rPr>
        <w:t xml:space="preserve"> used at peak usage; </w:t>
      </w:r>
    </w:p>
    <w:p w:rsidR="00726231" w:rsidRPr="00726231" w:rsidRDefault="009366C2"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hAnsi="DIN-Regular" w:cs="Arial"/>
          <w:b/>
          <w:i/>
          <w:strike/>
          <w:color w:val="auto"/>
          <w:sz w:val="22"/>
          <w:szCs w:val="22"/>
          <w:lang w:eastAsia="de-DE"/>
        </w:rPr>
      </w:pPr>
      <w:r w:rsidRPr="00726231">
        <w:rPr>
          <w:rFonts w:ascii="DIN-Regular" w:hAnsi="DIN-Regular" w:cs="Arial"/>
          <w:b/>
          <w:i/>
          <w:strike/>
          <w:color w:val="auto"/>
          <w:sz w:val="22"/>
          <w:szCs w:val="22"/>
          <w:lang w:eastAsia="de-DE"/>
        </w:rPr>
        <w:t>(</w:t>
      </w:r>
      <w:r w:rsidR="00726231" w:rsidRPr="00726231">
        <w:rPr>
          <w:rFonts w:ascii="DIN-Regular" w:hAnsi="DIN-Regular" w:cs="Arial"/>
          <w:b/>
          <w:i/>
          <w:strike/>
          <w:color w:val="auto"/>
          <w:sz w:val="22"/>
          <w:szCs w:val="22"/>
          <w:lang w:eastAsia="de-DE"/>
        </w:rPr>
        <w:t>i</w:t>
      </w:r>
      <w:r w:rsidRPr="00726231">
        <w:rPr>
          <w:rFonts w:ascii="DIN-Regular" w:hAnsi="DIN-Regular" w:cs="Arial"/>
          <w:b/>
          <w:i/>
          <w:strike/>
          <w:color w:val="auto"/>
          <w:sz w:val="22"/>
          <w:szCs w:val="22"/>
          <w:lang w:eastAsia="de-DE"/>
        </w:rPr>
        <w:t>i)</w:t>
      </w:r>
      <w:r w:rsidR="00F7717D" w:rsidRPr="00726231">
        <w:rPr>
          <w:rFonts w:ascii="DIN-Regular" w:hAnsi="DIN-Regular" w:cs="Arial"/>
          <w:b/>
          <w:i/>
          <w:strike/>
          <w:color w:val="auto"/>
          <w:sz w:val="22"/>
          <w:szCs w:val="22"/>
          <w:lang w:eastAsia="de-DE"/>
        </w:rPr>
        <w:t xml:space="preserve"> </w:t>
      </w:r>
      <w:proofErr w:type="gramStart"/>
      <w:r w:rsidRPr="00726231">
        <w:rPr>
          <w:rFonts w:ascii="DIN-Regular" w:hAnsi="DIN-Regular" w:cs="Arial"/>
          <w:b/>
          <w:i/>
          <w:strike/>
          <w:color w:val="auto"/>
          <w:sz w:val="22"/>
          <w:szCs w:val="22"/>
          <w:lang w:eastAsia="de-DE"/>
        </w:rPr>
        <w:t>those</w:t>
      </w:r>
      <w:proofErr w:type="gramEnd"/>
      <w:r w:rsidRPr="00726231">
        <w:rPr>
          <w:rFonts w:ascii="DIN-Regular" w:hAnsi="DIN-Regular" w:cs="Arial"/>
          <w:b/>
          <w:i/>
          <w:strike/>
          <w:color w:val="auto"/>
          <w:sz w:val="22"/>
          <w:szCs w:val="22"/>
          <w:lang w:eastAsia="de-DE"/>
        </w:rPr>
        <w:t xml:space="preserve"> secured by the highly liquid collateral with minimal credit and market risk referred to in Article 19;</w:t>
      </w:r>
      <w:r w:rsidR="00F7717D" w:rsidRPr="00726231">
        <w:rPr>
          <w:rFonts w:ascii="DIN-Regular" w:hAnsi="DIN-Regular" w:cs="Arial"/>
          <w:b/>
          <w:i/>
          <w:strike/>
          <w:color w:val="auto"/>
          <w:sz w:val="22"/>
          <w:szCs w:val="22"/>
          <w:lang w:eastAsia="de-DE"/>
        </w:rPr>
        <w:t xml:space="preserve"> </w:t>
      </w:r>
    </w:p>
    <w:p w:rsidR="00726231" w:rsidRPr="00726231" w:rsidRDefault="00726231"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hAnsi="DIN-Regular" w:cs="Arial"/>
          <w:b/>
          <w:i/>
          <w:strike/>
          <w:color w:val="auto"/>
          <w:sz w:val="22"/>
          <w:szCs w:val="22"/>
          <w:lang w:eastAsia="de-DE"/>
        </w:rPr>
      </w:pPr>
      <w:r w:rsidRPr="00726231">
        <w:rPr>
          <w:rFonts w:ascii="DIN-Regular" w:hAnsi="DIN-Regular" w:cs="Arial"/>
          <w:b/>
          <w:i/>
          <w:strike/>
          <w:color w:val="auto"/>
          <w:sz w:val="22"/>
          <w:szCs w:val="22"/>
          <w:lang w:eastAsia="de-DE"/>
        </w:rPr>
        <w:t>(</w:t>
      </w:r>
      <w:proofErr w:type="gramStart"/>
      <w:r w:rsidRPr="00726231">
        <w:rPr>
          <w:rFonts w:ascii="DIN-Regular" w:hAnsi="DIN-Regular" w:cs="Arial"/>
          <w:b/>
          <w:i/>
          <w:strike/>
          <w:color w:val="auto"/>
          <w:sz w:val="22"/>
          <w:szCs w:val="22"/>
          <w:lang w:eastAsia="de-DE"/>
        </w:rPr>
        <w:t>iii</w:t>
      </w:r>
      <w:proofErr w:type="gramEnd"/>
      <w:r w:rsidRPr="00726231">
        <w:rPr>
          <w:rFonts w:ascii="DIN-Regular" w:hAnsi="DIN-Regular" w:cs="Arial"/>
          <w:b/>
          <w:i/>
          <w:strike/>
          <w:color w:val="auto"/>
          <w:sz w:val="22"/>
          <w:szCs w:val="22"/>
          <w:lang w:eastAsia="de-DE"/>
        </w:rPr>
        <w:t xml:space="preserve">) </w:t>
      </w:r>
      <w:r w:rsidR="009366C2" w:rsidRPr="00726231">
        <w:rPr>
          <w:rFonts w:ascii="DIN-Regular" w:hAnsi="DIN-Regular" w:cs="Arial"/>
          <w:b/>
          <w:i/>
          <w:strike/>
          <w:color w:val="auto"/>
          <w:sz w:val="22"/>
          <w:szCs w:val="22"/>
          <w:lang w:eastAsia="de-DE"/>
        </w:rPr>
        <w:t xml:space="preserve">those secured by the high liquid assets referred to in Article 20(1); </w:t>
      </w:r>
    </w:p>
    <w:p w:rsidR="00726231" w:rsidRPr="00726231" w:rsidRDefault="009366C2" w:rsidP="00DA6980">
      <w:pPr>
        <w:pStyle w:val="Default"/>
        <w:pBdr>
          <w:top w:val="single" w:sz="4" w:space="1" w:color="auto"/>
          <w:left w:val="single" w:sz="4" w:space="4" w:color="auto"/>
          <w:bottom w:val="single" w:sz="4" w:space="1" w:color="auto"/>
          <w:right w:val="single" w:sz="4" w:space="4" w:color="auto"/>
        </w:pBdr>
        <w:contextualSpacing/>
        <w:jc w:val="both"/>
        <w:rPr>
          <w:rFonts w:ascii="DIN-Regular" w:hAnsi="DIN-Regular" w:cs="Arial"/>
          <w:b/>
          <w:i/>
          <w:strike/>
          <w:color w:val="auto"/>
          <w:sz w:val="22"/>
          <w:szCs w:val="22"/>
          <w:lang w:eastAsia="de-DE"/>
        </w:rPr>
      </w:pPr>
      <w:r w:rsidRPr="00726231">
        <w:rPr>
          <w:rFonts w:ascii="DIN-Regular" w:hAnsi="DIN-Regular" w:cs="Arial"/>
          <w:b/>
          <w:i/>
          <w:strike/>
          <w:color w:val="auto"/>
          <w:sz w:val="22"/>
          <w:szCs w:val="22"/>
          <w:lang w:eastAsia="de-DE"/>
        </w:rPr>
        <w:t>(i</w:t>
      </w:r>
      <w:r w:rsidR="00726231" w:rsidRPr="00726231">
        <w:rPr>
          <w:rFonts w:ascii="DIN-Regular" w:hAnsi="DIN-Regular" w:cs="Arial"/>
          <w:b/>
          <w:i/>
          <w:strike/>
          <w:color w:val="auto"/>
          <w:sz w:val="22"/>
          <w:szCs w:val="22"/>
          <w:lang w:eastAsia="de-DE"/>
        </w:rPr>
        <w:t>v</w:t>
      </w:r>
      <w:r w:rsidRPr="00726231">
        <w:rPr>
          <w:rFonts w:ascii="DIN-Regular" w:hAnsi="DIN-Regular" w:cs="Arial"/>
          <w:b/>
          <w:i/>
          <w:strike/>
          <w:color w:val="auto"/>
          <w:sz w:val="22"/>
          <w:szCs w:val="22"/>
          <w:lang w:eastAsia="de-DE"/>
        </w:rPr>
        <w:t>)</w:t>
      </w:r>
      <w:r w:rsidR="00F7717D" w:rsidRPr="00726231">
        <w:rPr>
          <w:rFonts w:ascii="DIN-Regular" w:hAnsi="DIN-Regular" w:cs="Arial"/>
          <w:b/>
          <w:i/>
          <w:strike/>
          <w:color w:val="auto"/>
          <w:sz w:val="22"/>
          <w:szCs w:val="22"/>
          <w:lang w:eastAsia="de-DE"/>
        </w:rPr>
        <w:t xml:space="preserve"> </w:t>
      </w:r>
      <w:proofErr w:type="gramStart"/>
      <w:r w:rsidRPr="00726231">
        <w:rPr>
          <w:rFonts w:ascii="DIN-Regular" w:hAnsi="DIN-Regular" w:cs="Arial"/>
          <w:b/>
          <w:i/>
          <w:strike/>
          <w:color w:val="auto"/>
          <w:sz w:val="22"/>
          <w:szCs w:val="22"/>
          <w:lang w:eastAsia="de-DE"/>
        </w:rPr>
        <w:t>those</w:t>
      </w:r>
      <w:proofErr w:type="gramEnd"/>
      <w:r w:rsidRPr="00726231">
        <w:rPr>
          <w:rFonts w:ascii="DIN-Regular" w:hAnsi="DIN-Regular" w:cs="Arial"/>
          <w:b/>
          <w:i/>
          <w:strike/>
          <w:color w:val="auto"/>
          <w:sz w:val="22"/>
          <w:szCs w:val="22"/>
          <w:lang w:eastAsia="de-DE"/>
        </w:rPr>
        <w:t xml:space="preserve"> secured by other collateral referred to in Article 20(2); </w:t>
      </w:r>
    </w:p>
    <w:p w:rsidR="00726231" w:rsidRDefault="009366C2" w:rsidP="00726231">
      <w:pPr>
        <w:pStyle w:val="Default"/>
        <w:pBdr>
          <w:top w:val="single" w:sz="4" w:space="1" w:color="auto"/>
          <w:left w:val="single" w:sz="4" w:space="4" w:color="auto"/>
          <w:bottom w:val="single" w:sz="4" w:space="1" w:color="auto"/>
          <w:right w:val="single" w:sz="4" w:space="4" w:color="auto"/>
        </w:pBdr>
        <w:contextualSpacing/>
        <w:jc w:val="both"/>
        <w:rPr>
          <w:rFonts w:ascii="DIN-Regular" w:hAnsi="DIN-Regular" w:cs="Arial"/>
          <w:b/>
          <w:i/>
          <w:strike/>
          <w:color w:val="auto"/>
          <w:sz w:val="22"/>
          <w:szCs w:val="22"/>
          <w:lang w:eastAsia="de-DE"/>
        </w:rPr>
      </w:pPr>
      <w:r w:rsidRPr="00726231">
        <w:rPr>
          <w:rFonts w:ascii="DIN-Regular" w:hAnsi="DIN-Regular" w:cs="Arial"/>
          <w:b/>
          <w:i/>
          <w:strike/>
          <w:color w:val="auto"/>
          <w:sz w:val="22"/>
          <w:szCs w:val="22"/>
          <w:lang w:eastAsia="de-DE"/>
        </w:rPr>
        <w:t>(v)</w:t>
      </w:r>
      <w:r w:rsidR="00F7717D" w:rsidRPr="00726231">
        <w:rPr>
          <w:rFonts w:ascii="DIN-Regular" w:hAnsi="DIN-Regular" w:cs="Arial"/>
          <w:b/>
          <w:i/>
          <w:strike/>
          <w:color w:val="auto"/>
          <w:sz w:val="22"/>
          <w:szCs w:val="22"/>
          <w:lang w:eastAsia="de-DE"/>
        </w:rPr>
        <w:t xml:space="preserve"> </w:t>
      </w:r>
      <w:proofErr w:type="gramStart"/>
      <w:r w:rsidR="00726231" w:rsidRPr="00726231">
        <w:rPr>
          <w:rFonts w:ascii="DIN-Regular" w:hAnsi="DIN-Regular" w:cs="Arial"/>
          <w:b/>
          <w:i/>
          <w:strike/>
          <w:color w:val="auto"/>
          <w:sz w:val="22"/>
          <w:szCs w:val="22"/>
          <w:lang w:eastAsia="de-DE"/>
        </w:rPr>
        <w:t>secured</w:t>
      </w:r>
      <w:proofErr w:type="gramEnd"/>
      <w:r w:rsidR="00726231" w:rsidRPr="00726231">
        <w:rPr>
          <w:rFonts w:ascii="DIN-Regular" w:hAnsi="DIN-Regular" w:cs="Arial"/>
          <w:b/>
          <w:i/>
          <w:strike/>
          <w:color w:val="auto"/>
          <w:sz w:val="22"/>
          <w:szCs w:val="22"/>
          <w:lang w:eastAsia="de-DE"/>
        </w:rPr>
        <w:t xml:space="preserve"> by other equivalent financial resources, as referred to in Article 24</w:t>
      </w:r>
    </w:p>
    <w:p w:rsidR="00F25994" w:rsidRPr="00726231" w:rsidRDefault="00726231" w:rsidP="00726231">
      <w:pPr>
        <w:pStyle w:val="Default"/>
        <w:pBdr>
          <w:top w:val="single" w:sz="4" w:space="1" w:color="auto"/>
          <w:left w:val="single" w:sz="4" w:space="4" w:color="auto"/>
          <w:bottom w:val="single" w:sz="4" w:space="1" w:color="auto"/>
          <w:right w:val="single" w:sz="4" w:space="4" w:color="auto"/>
        </w:pBdr>
        <w:contextualSpacing/>
        <w:jc w:val="both"/>
        <w:rPr>
          <w:rFonts w:ascii="DIN-Regular" w:hAnsi="DIN-Regular" w:cs="Arial"/>
          <w:b/>
          <w:i/>
          <w:color w:val="auto"/>
          <w:sz w:val="22"/>
          <w:szCs w:val="22"/>
          <w:lang w:eastAsia="de-DE"/>
        </w:rPr>
      </w:pPr>
      <w:r w:rsidRPr="00726231">
        <w:rPr>
          <w:rFonts w:ascii="DIN-Regular" w:hAnsi="DIN-Regular" w:cs="Arial"/>
          <w:b/>
          <w:i/>
          <w:color w:val="auto"/>
          <w:sz w:val="22"/>
          <w:szCs w:val="22"/>
          <w:lang w:eastAsia="de-DE"/>
        </w:rPr>
        <w:t>(…)</w:t>
      </w:r>
    </w:p>
    <w:p w:rsidR="00726231" w:rsidRDefault="00726231" w:rsidP="00BA048F">
      <w:pPr>
        <w:pStyle w:val="Default"/>
        <w:contextualSpacing/>
        <w:jc w:val="both"/>
        <w:rPr>
          <w:rFonts w:ascii="DIN-Regular" w:hAnsi="DIN-Regular" w:cs="Arial"/>
          <w:sz w:val="22"/>
          <w:szCs w:val="22"/>
          <w:lang w:eastAsia="de-DE"/>
        </w:rPr>
      </w:pPr>
    </w:p>
    <w:p w:rsidR="00726231" w:rsidRDefault="00726231" w:rsidP="00BA048F">
      <w:pPr>
        <w:pStyle w:val="Default"/>
        <w:contextualSpacing/>
        <w:jc w:val="both"/>
        <w:rPr>
          <w:rFonts w:ascii="DIN-Regular" w:hAnsi="DIN-Regular" w:cs="Arial"/>
          <w:sz w:val="22"/>
          <w:szCs w:val="22"/>
          <w:lang w:eastAsia="de-DE"/>
        </w:rPr>
      </w:pPr>
    </w:p>
    <w:p w:rsidR="00BA048F" w:rsidRPr="00F5551F" w:rsidRDefault="009366C2" w:rsidP="00BA048F">
      <w:pPr>
        <w:pStyle w:val="Default"/>
        <w:contextualSpacing/>
        <w:jc w:val="both"/>
        <w:rPr>
          <w:rFonts w:ascii="DIN-Regular" w:hAnsi="DIN-Regular" w:cs="Arial"/>
          <w:sz w:val="22"/>
          <w:szCs w:val="22"/>
          <w:lang w:eastAsia="de-DE"/>
        </w:rPr>
      </w:pPr>
      <w:r w:rsidRPr="00F5551F">
        <w:rPr>
          <w:rFonts w:ascii="DIN-Regular" w:hAnsi="DIN-Regular" w:cs="Arial"/>
          <w:sz w:val="22"/>
          <w:szCs w:val="22"/>
          <w:lang w:eastAsia="de-DE"/>
        </w:rPr>
        <w:t>Further on the Section 2 on the Monitoring Liquidity Risks (page 53</w:t>
      </w:r>
      <w:proofErr w:type="gramStart"/>
      <w:r w:rsidRPr="00F5551F">
        <w:rPr>
          <w:rFonts w:ascii="DIN-Regular" w:hAnsi="DIN-Regular" w:cs="Arial"/>
          <w:sz w:val="22"/>
          <w:szCs w:val="22"/>
          <w:lang w:eastAsia="de-DE"/>
        </w:rPr>
        <w:t>) ,</w:t>
      </w:r>
      <w:proofErr w:type="gramEnd"/>
      <w:r w:rsidRPr="00F5551F">
        <w:rPr>
          <w:rFonts w:ascii="DIN-Regular" w:hAnsi="DIN-Regular" w:cs="Arial"/>
          <w:sz w:val="22"/>
          <w:szCs w:val="22"/>
          <w:lang w:eastAsia="de-DE"/>
        </w:rPr>
        <w:t xml:space="preserve"> and more </w:t>
      </w:r>
      <w:r w:rsidR="00BD3A07" w:rsidRPr="00F5551F">
        <w:rPr>
          <w:rFonts w:ascii="DIN-Regular" w:hAnsi="DIN-Regular" w:cs="Arial"/>
          <w:sz w:val="22"/>
          <w:szCs w:val="22"/>
          <w:lang w:eastAsia="de-DE"/>
        </w:rPr>
        <w:t>specifically</w:t>
      </w:r>
      <w:r w:rsidRPr="00F5551F">
        <w:rPr>
          <w:rFonts w:ascii="DIN-Regular" w:hAnsi="DIN-Regular" w:cs="Arial"/>
          <w:sz w:val="22"/>
          <w:szCs w:val="22"/>
          <w:lang w:eastAsia="de-DE"/>
        </w:rPr>
        <w:t xml:space="preserve"> on the Article 33 on the Monitoring intraday liquidity risks, we would like to raise the following concerns. </w:t>
      </w:r>
    </w:p>
    <w:p w:rsidR="00BA048F" w:rsidRPr="00F5551F" w:rsidRDefault="00BA048F" w:rsidP="00BA048F">
      <w:pPr>
        <w:pStyle w:val="Default"/>
        <w:contextualSpacing/>
        <w:jc w:val="both"/>
        <w:rPr>
          <w:rFonts w:ascii="DIN-Regular" w:hAnsi="DIN-Regular" w:cs="Arial"/>
          <w:sz w:val="22"/>
          <w:szCs w:val="22"/>
          <w:lang w:eastAsia="de-DE"/>
        </w:rPr>
      </w:pPr>
    </w:p>
    <w:p w:rsidR="009366C2" w:rsidRPr="00F5551F" w:rsidRDefault="009366C2" w:rsidP="00BA048F">
      <w:pPr>
        <w:pStyle w:val="Default"/>
        <w:contextualSpacing/>
        <w:jc w:val="both"/>
        <w:rPr>
          <w:rFonts w:ascii="DIN-Regular" w:hAnsi="DIN-Regular" w:cs="Arial"/>
          <w:sz w:val="22"/>
          <w:szCs w:val="22"/>
          <w:lang w:eastAsia="de-DE"/>
        </w:rPr>
      </w:pPr>
      <w:r w:rsidRPr="00F5551F">
        <w:rPr>
          <w:rFonts w:ascii="DIN-Regular" w:eastAsia="Arial Unicode MS" w:hAnsi="DIN-Regular" w:cs="Arial"/>
          <w:b/>
          <w:sz w:val="22"/>
          <w:szCs w:val="22"/>
        </w:rPr>
        <w:t>Article 33</w:t>
      </w:r>
      <w:r w:rsidR="00A4768B" w:rsidRPr="00F5551F">
        <w:rPr>
          <w:rFonts w:ascii="DIN-Regular" w:eastAsia="Arial Unicode MS" w:hAnsi="DIN-Regular" w:cs="Arial"/>
          <w:b/>
          <w:sz w:val="22"/>
          <w:szCs w:val="22"/>
        </w:rPr>
        <w:tab/>
      </w:r>
      <w:r w:rsidR="00A4768B" w:rsidRPr="00F5551F">
        <w:rPr>
          <w:rFonts w:ascii="DIN-Regular" w:eastAsia="Arial Unicode MS" w:hAnsi="DIN-Regular" w:cs="Arial"/>
          <w:b/>
          <w:sz w:val="22"/>
          <w:szCs w:val="22"/>
        </w:rPr>
        <w:br/>
      </w:r>
      <w:r w:rsidR="0053093D" w:rsidRPr="00F5551F">
        <w:rPr>
          <w:rFonts w:ascii="DIN-Regular" w:eastAsia="Arial Unicode MS" w:hAnsi="DIN-Regular" w:cs="Arial"/>
          <w:sz w:val="22"/>
          <w:szCs w:val="22"/>
        </w:rPr>
        <w:t>Article</w:t>
      </w:r>
      <w:r w:rsidRPr="00F5551F">
        <w:rPr>
          <w:rFonts w:ascii="DIN-Regular" w:eastAsia="Arial Unicode MS" w:hAnsi="DIN-Regular" w:cs="Arial"/>
          <w:sz w:val="22"/>
          <w:szCs w:val="22"/>
        </w:rPr>
        <w:t xml:space="preserve"> 33</w:t>
      </w:r>
      <w:r w:rsidR="009463DD" w:rsidRPr="00F5551F">
        <w:rPr>
          <w:rFonts w:ascii="DIN-Regular" w:eastAsia="Arial Unicode MS" w:hAnsi="DIN-Regular" w:cs="Arial"/>
          <w:sz w:val="22"/>
          <w:szCs w:val="22"/>
        </w:rPr>
        <w:t xml:space="preserve"> (</w:t>
      </w:r>
      <w:r w:rsidRPr="00F5551F">
        <w:rPr>
          <w:rFonts w:ascii="DIN-Regular" w:eastAsia="Arial Unicode MS" w:hAnsi="DIN-Regular" w:cs="Arial"/>
          <w:sz w:val="22"/>
          <w:szCs w:val="22"/>
        </w:rPr>
        <w:t>2</w:t>
      </w:r>
      <w:r w:rsidR="009463DD" w:rsidRPr="00F5551F">
        <w:rPr>
          <w:rFonts w:ascii="DIN-Regular" w:eastAsia="Arial Unicode MS" w:hAnsi="DIN-Regular" w:cs="Arial"/>
          <w:sz w:val="22"/>
          <w:szCs w:val="22"/>
        </w:rPr>
        <w:t>):</w:t>
      </w:r>
      <w:r w:rsidRPr="00F5551F">
        <w:rPr>
          <w:rFonts w:ascii="DIN-Regular" w:eastAsia="Arial Unicode MS" w:hAnsi="DIN-Regular" w:cs="Arial"/>
          <w:sz w:val="22"/>
          <w:szCs w:val="22"/>
        </w:rPr>
        <w:t xml:space="preserve"> The data requested under Article 33</w:t>
      </w:r>
      <w:r w:rsidR="009463DD" w:rsidRPr="00F5551F">
        <w:rPr>
          <w:rFonts w:ascii="DIN-Regular" w:eastAsia="Arial Unicode MS" w:hAnsi="DIN-Regular" w:cs="Arial"/>
          <w:sz w:val="22"/>
          <w:szCs w:val="22"/>
        </w:rPr>
        <w:t xml:space="preserve"> (</w:t>
      </w:r>
      <w:r w:rsidRPr="00F5551F">
        <w:rPr>
          <w:rFonts w:ascii="DIN-Regular" w:eastAsia="Arial Unicode MS" w:hAnsi="DIN-Regular" w:cs="Arial"/>
          <w:sz w:val="22"/>
          <w:szCs w:val="22"/>
        </w:rPr>
        <w:t>2</w:t>
      </w:r>
      <w:r w:rsidR="009463DD" w:rsidRPr="00F5551F">
        <w:rPr>
          <w:rFonts w:ascii="DIN-Regular" w:eastAsia="Arial Unicode MS" w:hAnsi="DIN-Regular" w:cs="Arial"/>
          <w:sz w:val="22"/>
          <w:szCs w:val="22"/>
        </w:rPr>
        <w:t xml:space="preserve">) </w:t>
      </w:r>
      <w:r w:rsidRPr="00F5551F">
        <w:rPr>
          <w:rFonts w:ascii="DIN-Regular" w:eastAsia="Arial Unicode MS" w:hAnsi="DIN-Regular" w:cs="Arial"/>
          <w:sz w:val="22"/>
          <w:szCs w:val="22"/>
        </w:rPr>
        <w:t>(b) – (d) go beyond the scope of BCBS 248. Whereas the concepts of “objectives” and “risk appetite” may make sense in connection with credit risk, the sole objective for liquidity risk management is to fulfil all payment obligations.</w:t>
      </w:r>
    </w:p>
    <w:p w:rsidR="00BA048F" w:rsidRPr="00F5551F" w:rsidRDefault="0053093D" w:rsidP="00BA048F">
      <w:pPr>
        <w:pStyle w:val="Default"/>
        <w:rPr>
          <w:rFonts w:ascii="DIN-Regular" w:hAnsi="DIN-Regular" w:cs="Arial"/>
          <w:i/>
          <w:iCs/>
          <w:sz w:val="22"/>
          <w:szCs w:val="22"/>
        </w:rPr>
      </w:pPr>
      <w:r w:rsidRPr="00F5551F">
        <w:rPr>
          <w:rFonts w:ascii="DIN-Regular" w:eastAsia="Arial Unicode MS" w:hAnsi="DIN-Regular" w:cs="Arial"/>
          <w:sz w:val="22"/>
          <w:szCs w:val="22"/>
        </w:rPr>
        <w:t>Article</w:t>
      </w:r>
      <w:r w:rsidR="009366C2" w:rsidRPr="00F5551F">
        <w:rPr>
          <w:rFonts w:ascii="DIN-Regular" w:eastAsia="Arial Unicode MS" w:hAnsi="DIN-Regular" w:cs="Arial"/>
          <w:sz w:val="22"/>
          <w:szCs w:val="22"/>
        </w:rPr>
        <w:t xml:space="preserve"> 33</w:t>
      </w:r>
      <w:r w:rsidR="009463DD" w:rsidRPr="00F5551F">
        <w:rPr>
          <w:rFonts w:ascii="DIN-Regular" w:eastAsia="Arial Unicode MS" w:hAnsi="DIN-Regular" w:cs="Arial"/>
          <w:sz w:val="22"/>
          <w:szCs w:val="22"/>
        </w:rPr>
        <w:t xml:space="preserve"> (</w:t>
      </w:r>
      <w:r w:rsidR="009366C2" w:rsidRPr="00F5551F">
        <w:rPr>
          <w:rFonts w:ascii="DIN-Regular" w:eastAsia="Arial Unicode MS" w:hAnsi="DIN-Regular" w:cs="Arial"/>
          <w:sz w:val="22"/>
          <w:szCs w:val="22"/>
        </w:rPr>
        <w:t>3</w:t>
      </w:r>
      <w:r w:rsidR="009463DD" w:rsidRPr="00F5551F">
        <w:rPr>
          <w:rFonts w:ascii="DIN-Regular" w:eastAsia="Arial Unicode MS" w:hAnsi="DIN-Regular" w:cs="Arial"/>
          <w:sz w:val="22"/>
          <w:szCs w:val="22"/>
        </w:rPr>
        <w:t xml:space="preserve">): </w:t>
      </w:r>
      <w:r w:rsidR="009366C2" w:rsidRPr="00F5551F">
        <w:rPr>
          <w:rFonts w:ascii="DIN-Regular" w:eastAsia="Arial Unicode MS" w:hAnsi="DIN-Regular" w:cs="Arial"/>
          <w:sz w:val="22"/>
          <w:szCs w:val="22"/>
        </w:rPr>
        <w:t>The requirement goes beyond the scope of BCBS 248. This comparison can only be delivered ex post, rather than “on a near to real-time basis”. In addition, there should be a materiality threshold, as we expect that correspondent banks in less developed currencies will not provide near to real-time information.</w:t>
      </w:r>
      <w:r w:rsidR="009366C2" w:rsidRPr="00F5551F">
        <w:rPr>
          <w:rFonts w:ascii="DIN-Regular" w:hAnsi="DIN-Regular" w:cs="Arial"/>
          <w:i/>
          <w:iCs/>
          <w:sz w:val="22"/>
          <w:szCs w:val="22"/>
        </w:rPr>
        <w:t xml:space="preserve"> </w:t>
      </w:r>
    </w:p>
    <w:p w:rsidR="00BA048F" w:rsidRPr="00F5551F" w:rsidRDefault="00BA048F" w:rsidP="00BA048F">
      <w:pPr>
        <w:pStyle w:val="Default"/>
        <w:rPr>
          <w:rFonts w:ascii="DIN-Regular" w:hAnsi="DIN-Regular" w:cs="Arial"/>
          <w:i/>
          <w:iCs/>
          <w:sz w:val="22"/>
          <w:szCs w:val="22"/>
        </w:rPr>
      </w:pPr>
    </w:p>
    <w:p w:rsidR="00BA048F" w:rsidRPr="00F5551F" w:rsidRDefault="00BA048F" w:rsidP="00BA048F">
      <w:pPr>
        <w:pStyle w:val="Default"/>
        <w:rPr>
          <w:rFonts w:ascii="DIN-Regular" w:hAnsi="DIN-Regular" w:cs="Arial"/>
          <w:color w:val="auto"/>
          <w:sz w:val="22"/>
          <w:szCs w:val="22"/>
        </w:rPr>
      </w:pPr>
      <w:r w:rsidRPr="00F5551F">
        <w:rPr>
          <w:rFonts w:ascii="DIN-Regular" w:hAnsi="DIN-Regular" w:cs="Arial"/>
          <w:color w:val="auto"/>
          <w:sz w:val="22"/>
          <w:szCs w:val="22"/>
        </w:rPr>
        <w:t>Based on the arguments raised above we propose the following amendments to the EBA draft RTS:</w:t>
      </w:r>
    </w:p>
    <w:p w:rsidR="00BA048F" w:rsidRPr="00F5551F" w:rsidRDefault="00BA048F" w:rsidP="00BA048F">
      <w:pPr>
        <w:pStyle w:val="Default"/>
        <w:rPr>
          <w:rFonts w:ascii="DIN-Regular" w:hAnsi="DIN-Regular" w:cs="Arial"/>
          <w:i/>
          <w:iCs/>
          <w:sz w:val="22"/>
          <w:szCs w:val="22"/>
        </w:rPr>
      </w:pP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rPr>
          <w:rFonts w:ascii="DIN-Regular" w:hAnsi="DIN-Regular" w:cs="Arial"/>
          <w:i/>
          <w:color w:val="auto"/>
          <w:sz w:val="22"/>
          <w:szCs w:val="22"/>
        </w:rPr>
      </w:pPr>
      <w:r w:rsidRPr="00F5551F">
        <w:rPr>
          <w:rFonts w:ascii="DIN-Regular" w:hAnsi="DIN-Regular" w:cs="Arial"/>
          <w:b/>
          <w:i/>
          <w:iCs/>
          <w:color w:val="auto"/>
          <w:sz w:val="22"/>
          <w:szCs w:val="22"/>
        </w:rPr>
        <w:t>Article 33</w:t>
      </w:r>
      <w:r w:rsidRPr="00F5551F">
        <w:rPr>
          <w:rFonts w:ascii="DIN-Regular" w:hAnsi="DIN-Regular" w:cs="Arial"/>
          <w:i/>
          <w:iCs/>
          <w:color w:val="auto"/>
          <w:sz w:val="22"/>
          <w:szCs w:val="22"/>
        </w:rPr>
        <w:t xml:space="preserve"> - Monitoring intraday liquidity risks </w:t>
      </w:r>
    </w:p>
    <w:p w:rsidR="009366C2" w:rsidRPr="00F5551F" w:rsidRDefault="009F0D54"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t xml:space="preserve">(…)  </w:t>
      </w:r>
      <w:r w:rsidR="009366C2" w:rsidRPr="00F5551F">
        <w:rPr>
          <w:rFonts w:ascii="DIN-Regular" w:hAnsi="DIN-Regular" w:cs="Arial"/>
          <w:i/>
          <w:color w:val="auto"/>
          <w:sz w:val="22"/>
          <w:szCs w:val="22"/>
        </w:rPr>
        <w:t>2. For the purposes of paragraph 1, the CSD-banking service provider shall establish and maintain a report on the intraday liquidity risk that it assumes</w:t>
      </w:r>
      <w:r w:rsidR="009366C2" w:rsidRPr="00F5551F">
        <w:rPr>
          <w:rFonts w:ascii="DIN-Regular" w:hAnsi="DIN-Regular" w:cs="Arial"/>
          <w:b/>
          <w:i/>
          <w:strike/>
          <w:color w:val="auto"/>
          <w:sz w:val="22"/>
          <w:szCs w:val="22"/>
        </w:rPr>
        <w:t xml:space="preserve"> which shall be reviewed monthly by the risk committee of the CSD-banking service provider and, where relevant, in cooperation with the risk committee of the CSD</w:t>
      </w:r>
      <w:r w:rsidR="009366C2" w:rsidRPr="00F5551F">
        <w:rPr>
          <w:rFonts w:ascii="DIN-Regular" w:hAnsi="DIN-Regular" w:cs="Arial"/>
          <w:i/>
          <w:color w:val="auto"/>
          <w:sz w:val="22"/>
          <w:szCs w:val="22"/>
        </w:rPr>
        <w:t xml:space="preserve">, which shall include, at least: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t xml:space="preserve"> (a) </w:t>
      </w:r>
      <w:proofErr w:type="gramStart"/>
      <w:r w:rsidRPr="00F5551F">
        <w:rPr>
          <w:rFonts w:ascii="DIN-Regular" w:hAnsi="DIN-Regular" w:cs="Arial"/>
          <w:i/>
          <w:color w:val="auto"/>
          <w:sz w:val="22"/>
          <w:szCs w:val="22"/>
        </w:rPr>
        <w:t>the</w:t>
      </w:r>
      <w:proofErr w:type="gramEnd"/>
      <w:r w:rsidRPr="00F5551F">
        <w:rPr>
          <w:rFonts w:ascii="DIN-Regular" w:hAnsi="DIN-Regular" w:cs="Arial"/>
          <w:i/>
          <w:color w:val="auto"/>
          <w:sz w:val="22"/>
          <w:szCs w:val="22"/>
        </w:rPr>
        <w:t xml:space="preserve"> metrics referred to in Article 31; </w:t>
      </w:r>
    </w:p>
    <w:p w:rsidR="009366C2" w:rsidRPr="00F5551F" w:rsidRDefault="00C1691D"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b/>
          <w:i/>
          <w:strike/>
          <w:color w:val="auto"/>
          <w:sz w:val="22"/>
          <w:szCs w:val="22"/>
        </w:rPr>
      </w:pPr>
      <w:r w:rsidRPr="00F5551F" w:rsidDel="00C1691D">
        <w:rPr>
          <w:rFonts w:ascii="DIN-Regular" w:hAnsi="DIN-Regular" w:cs="Arial"/>
          <w:i/>
          <w:color w:val="auto"/>
          <w:sz w:val="22"/>
          <w:szCs w:val="22"/>
        </w:rPr>
        <w:t xml:space="preserve"> </w:t>
      </w:r>
      <w:r w:rsidR="009366C2" w:rsidRPr="00F5551F">
        <w:rPr>
          <w:rFonts w:ascii="DIN-Regular" w:hAnsi="DIN-Regular" w:cs="Arial"/>
          <w:b/>
          <w:i/>
          <w:strike/>
          <w:color w:val="auto"/>
          <w:sz w:val="22"/>
          <w:szCs w:val="22"/>
        </w:rPr>
        <w:t xml:space="preserve">(b) </w:t>
      </w:r>
      <w:proofErr w:type="gramStart"/>
      <w:r w:rsidR="009366C2" w:rsidRPr="00F5551F">
        <w:rPr>
          <w:rFonts w:ascii="DIN-Regular" w:hAnsi="DIN-Regular" w:cs="Arial"/>
          <w:b/>
          <w:i/>
          <w:strike/>
          <w:color w:val="auto"/>
          <w:sz w:val="22"/>
          <w:szCs w:val="22"/>
        </w:rPr>
        <w:t>the</w:t>
      </w:r>
      <w:proofErr w:type="gramEnd"/>
      <w:r w:rsidR="009366C2" w:rsidRPr="00F5551F">
        <w:rPr>
          <w:rFonts w:ascii="DIN-Regular" w:hAnsi="DIN-Regular" w:cs="Arial"/>
          <w:b/>
          <w:i/>
          <w:strike/>
          <w:color w:val="auto"/>
          <w:sz w:val="22"/>
          <w:szCs w:val="22"/>
        </w:rPr>
        <w:t xml:space="preserve"> intraday objectives referred to in Article 35;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b/>
          <w:i/>
          <w:strike/>
          <w:color w:val="auto"/>
          <w:sz w:val="22"/>
          <w:szCs w:val="22"/>
        </w:rPr>
      </w:pPr>
      <w:r w:rsidRPr="00F5551F">
        <w:rPr>
          <w:rFonts w:ascii="DIN-Regular" w:hAnsi="DIN-Regular" w:cs="Arial"/>
          <w:b/>
          <w:i/>
          <w:strike/>
          <w:color w:val="auto"/>
          <w:sz w:val="22"/>
          <w:szCs w:val="22"/>
        </w:rPr>
        <w:t xml:space="preserve">(c) </w:t>
      </w:r>
      <w:proofErr w:type="gramStart"/>
      <w:r w:rsidRPr="00F5551F">
        <w:rPr>
          <w:rFonts w:ascii="DIN-Regular" w:hAnsi="DIN-Regular" w:cs="Arial"/>
          <w:b/>
          <w:i/>
          <w:strike/>
          <w:color w:val="auto"/>
          <w:sz w:val="22"/>
          <w:szCs w:val="22"/>
        </w:rPr>
        <w:t>the</w:t>
      </w:r>
      <w:proofErr w:type="gramEnd"/>
      <w:r w:rsidRPr="00F5551F">
        <w:rPr>
          <w:rFonts w:ascii="DIN-Regular" w:hAnsi="DIN-Regular" w:cs="Arial"/>
          <w:b/>
          <w:i/>
          <w:strike/>
          <w:color w:val="auto"/>
          <w:sz w:val="22"/>
          <w:szCs w:val="22"/>
        </w:rPr>
        <w:t xml:space="preserve"> agreed risk appetite of the CSD-banking service provider;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t xml:space="preserve">(d) </w:t>
      </w:r>
      <w:proofErr w:type="gramStart"/>
      <w:r w:rsidRPr="00F5551F">
        <w:rPr>
          <w:rFonts w:ascii="DIN-Regular" w:hAnsi="DIN-Regular" w:cs="Arial"/>
          <w:i/>
          <w:color w:val="auto"/>
          <w:sz w:val="22"/>
          <w:szCs w:val="22"/>
        </w:rPr>
        <w:t>a</w:t>
      </w:r>
      <w:proofErr w:type="gramEnd"/>
      <w:r w:rsidRPr="00F5551F">
        <w:rPr>
          <w:rFonts w:ascii="DIN-Regular" w:hAnsi="DIN-Regular" w:cs="Arial"/>
          <w:i/>
          <w:color w:val="auto"/>
          <w:sz w:val="22"/>
          <w:szCs w:val="22"/>
        </w:rPr>
        <w:t xml:space="preserve"> contingency funding plan that details the remediation process to be actioned where </w:t>
      </w:r>
      <w:r w:rsidR="00C1691D" w:rsidRPr="00F5551F">
        <w:rPr>
          <w:rFonts w:ascii="DIN-Regular" w:hAnsi="DIN-Regular" w:cs="Arial"/>
          <w:b/>
          <w:i/>
          <w:color w:val="auto"/>
          <w:sz w:val="22"/>
          <w:szCs w:val="22"/>
        </w:rPr>
        <w:t xml:space="preserve">a funding shortfall </w:t>
      </w:r>
      <w:proofErr w:type="spellStart"/>
      <w:r w:rsidR="00C1691D" w:rsidRPr="00F5551F">
        <w:rPr>
          <w:rFonts w:ascii="DIN-Regular" w:hAnsi="DIN-Regular" w:cs="Arial"/>
          <w:b/>
          <w:i/>
          <w:color w:val="auto"/>
          <w:sz w:val="22"/>
          <w:szCs w:val="22"/>
        </w:rPr>
        <w:t>arises</w:t>
      </w:r>
      <w:r w:rsidRPr="00F5551F">
        <w:rPr>
          <w:rFonts w:ascii="DIN-Regular" w:hAnsi="DIN-Regular" w:cs="Arial"/>
          <w:b/>
          <w:i/>
          <w:strike/>
          <w:color w:val="auto"/>
          <w:sz w:val="22"/>
          <w:szCs w:val="22"/>
        </w:rPr>
        <w:t>the</w:t>
      </w:r>
      <w:proofErr w:type="spellEnd"/>
      <w:r w:rsidRPr="00F5551F">
        <w:rPr>
          <w:rFonts w:ascii="DIN-Regular" w:hAnsi="DIN-Regular" w:cs="Arial"/>
          <w:b/>
          <w:i/>
          <w:strike/>
          <w:color w:val="auto"/>
          <w:sz w:val="22"/>
          <w:szCs w:val="22"/>
        </w:rPr>
        <w:t xml:space="preserve"> agreed risk appetite is breached</w:t>
      </w:r>
      <w:r w:rsidRPr="00F5551F">
        <w:rPr>
          <w:rFonts w:ascii="DIN-Regular" w:hAnsi="DIN-Regular" w:cs="Arial"/>
          <w:i/>
          <w:color w:val="auto"/>
          <w:sz w:val="22"/>
          <w:szCs w:val="22"/>
        </w:rPr>
        <w:t xml:space="preserve">.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rPr>
          <w:rFonts w:ascii="DIN-Regular" w:hAnsi="DIN-Regular" w:cs="Arial"/>
          <w:i/>
          <w:color w:val="auto"/>
          <w:sz w:val="22"/>
          <w:szCs w:val="22"/>
        </w:rPr>
      </w:pPr>
      <w:r w:rsidRPr="00F5551F">
        <w:rPr>
          <w:rFonts w:ascii="DIN-Regular" w:hAnsi="DIN-Regular" w:cs="Arial"/>
          <w:i/>
          <w:color w:val="auto"/>
          <w:sz w:val="22"/>
          <w:szCs w:val="22"/>
        </w:rPr>
        <w:t xml:space="preserve">3. For the purposes of paragraph 1, the CSD-banking service provider shall have effective operational and analytical tools to monitor its intraday liquidity positions against expected activities and available resources based on balances, remaining intraday credit capacity, and available collateral on a near to real-time basis for each </w:t>
      </w:r>
      <w:r w:rsidR="00C1691D" w:rsidRPr="00F5551F">
        <w:rPr>
          <w:rFonts w:ascii="DIN-Regular" w:hAnsi="DIN-Regular" w:cs="Arial"/>
          <w:b/>
          <w:i/>
          <w:color w:val="auto"/>
          <w:sz w:val="22"/>
          <w:szCs w:val="22"/>
        </w:rPr>
        <w:t xml:space="preserve">material </w:t>
      </w:r>
      <w:r w:rsidRPr="00F5551F">
        <w:rPr>
          <w:rFonts w:ascii="DIN-Regular" w:hAnsi="DIN-Regular" w:cs="Arial"/>
          <w:i/>
          <w:color w:val="auto"/>
          <w:sz w:val="22"/>
          <w:szCs w:val="22"/>
        </w:rPr>
        <w:t xml:space="preserve">currency offered by the securities settlement system for which it acts as settlement agent.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rPr>
          <w:rFonts w:ascii="DIN-Regular" w:hAnsi="DIN-Regular" w:cs="Arial"/>
          <w:i/>
          <w:color w:val="auto"/>
          <w:sz w:val="22"/>
          <w:szCs w:val="22"/>
        </w:rPr>
      </w:pP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t xml:space="preserve">4. For the purposes of paragraph 1, and in terms of documentation, the CSD-banking service provider shall: </w:t>
      </w:r>
    </w:p>
    <w:p w:rsidR="009F0D54"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t xml:space="preserve">(a) maintain for a period of at least ten years a record of the intraday liquidity exposures for each </w:t>
      </w:r>
      <w:r w:rsidR="00C1691D" w:rsidRPr="00F5551F">
        <w:rPr>
          <w:rFonts w:ascii="DIN-Regular" w:hAnsi="DIN-Regular" w:cs="Arial"/>
          <w:b/>
          <w:i/>
          <w:color w:val="auto"/>
          <w:sz w:val="22"/>
          <w:szCs w:val="22"/>
        </w:rPr>
        <w:t xml:space="preserve">material </w:t>
      </w:r>
      <w:r w:rsidRPr="00F5551F">
        <w:rPr>
          <w:rFonts w:ascii="DIN-Regular" w:hAnsi="DIN-Regular" w:cs="Arial"/>
          <w:i/>
          <w:color w:val="auto"/>
          <w:sz w:val="22"/>
          <w:szCs w:val="22"/>
        </w:rPr>
        <w:t xml:space="preserve">settlement currency offered by any securities settlement system for which it acts as settlement agent; </w:t>
      </w:r>
      <w:r w:rsidR="009F0D54" w:rsidRPr="00F5551F">
        <w:rPr>
          <w:rFonts w:ascii="DIN-Regular" w:hAnsi="DIN-Regular" w:cs="Arial"/>
          <w:i/>
          <w:color w:val="auto"/>
          <w:sz w:val="22"/>
          <w:szCs w:val="22"/>
        </w:rPr>
        <w:t xml:space="preserve"> (…)</w:t>
      </w:r>
    </w:p>
    <w:p w:rsidR="009366C2" w:rsidRPr="00F5551F" w:rsidRDefault="009366C2" w:rsidP="00DA6980">
      <w:pPr>
        <w:spacing w:after="240"/>
        <w:jc w:val="both"/>
        <w:rPr>
          <w:rFonts w:eastAsia="Arial Unicode MS" w:cs="Arial"/>
          <w:sz w:val="22"/>
          <w:szCs w:val="22"/>
          <w:lang w:eastAsia="en-GB"/>
        </w:rPr>
      </w:pPr>
      <w:r w:rsidRPr="00F5551F">
        <w:rPr>
          <w:rFonts w:cs="Arial"/>
          <w:sz w:val="22"/>
          <w:szCs w:val="22"/>
          <w:lang w:eastAsia="de-DE"/>
        </w:rPr>
        <w:t xml:space="preserve">Further on the Section 3 on the </w:t>
      </w:r>
      <w:r w:rsidRPr="00F5551F">
        <w:rPr>
          <w:rFonts w:eastAsia="Arial Unicode MS" w:cs="Arial"/>
          <w:sz w:val="22"/>
          <w:szCs w:val="22"/>
          <w:lang w:eastAsia="en-GB"/>
        </w:rPr>
        <w:t xml:space="preserve">Managing Liquidity Risks </w:t>
      </w:r>
      <w:r w:rsidRPr="00F5551F">
        <w:rPr>
          <w:rFonts w:cs="Arial"/>
          <w:sz w:val="22"/>
          <w:szCs w:val="22"/>
          <w:lang w:eastAsia="de-DE"/>
        </w:rPr>
        <w:t>(page 54 onwards)</w:t>
      </w:r>
      <w:proofErr w:type="gramStart"/>
      <w:r w:rsidRPr="00F5551F">
        <w:rPr>
          <w:rFonts w:cs="Arial"/>
          <w:sz w:val="22"/>
          <w:szCs w:val="22"/>
          <w:lang w:eastAsia="de-DE"/>
        </w:rPr>
        <w:t>,  we</w:t>
      </w:r>
      <w:proofErr w:type="gramEnd"/>
      <w:r w:rsidRPr="00F5551F">
        <w:rPr>
          <w:rFonts w:cs="Arial"/>
          <w:sz w:val="22"/>
          <w:szCs w:val="22"/>
          <w:lang w:eastAsia="de-DE"/>
        </w:rPr>
        <w:t xml:space="preserve"> would like to raise the following concerns on the following specific </w:t>
      </w:r>
      <w:r w:rsidR="00AF52DD" w:rsidRPr="00F5551F">
        <w:rPr>
          <w:rFonts w:cs="Arial"/>
          <w:sz w:val="22"/>
          <w:szCs w:val="22"/>
          <w:lang w:eastAsia="de-DE"/>
        </w:rPr>
        <w:t>a</w:t>
      </w:r>
      <w:r w:rsidRPr="00F5551F">
        <w:rPr>
          <w:rFonts w:cs="Arial"/>
          <w:sz w:val="22"/>
          <w:szCs w:val="22"/>
          <w:lang w:eastAsia="de-DE"/>
        </w:rPr>
        <w:t xml:space="preserve">rticles: </w:t>
      </w:r>
    </w:p>
    <w:p w:rsidR="009366C2" w:rsidRPr="00F5551F" w:rsidRDefault="009366C2" w:rsidP="00DA6980">
      <w:pPr>
        <w:spacing w:after="240"/>
        <w:jc w:val="both"/>
        <w:rPr>
          <w:rFonts w:eastAsia="Arial Unicode MS" w:cs="Arial"/>
          <w:sz w:val="22"/>
          <w:szCs w:val="22"/>
          <w:lang w:eastAsia="en-GB"/>
        </w:rPr>
      </w:pPr>
      <w:r w:rsidRPr="00F5551F">
        <w:rPr>
          <w:rFonts w:eastAsia="Arial Unicode MS" w:cs="Arial"/>
          <w:b/>
          <w:sz w:val="22"/>
          <w:szCs w:val="22"/>
          <w:lang w:eastAsia="en-GB"/>
        </w:rPr>
        <w:lastRenderedPageBreak/>
        <w:t>Article 35</w:t>
      </w:r>
      <w:r w:rsidR="00A4768B" w:rsidRPr="00F5551F">
        <w:rPr>
          <w:rFonts w:eastAsia="Arial Unicode MS" w:cs="Arial"/>
          <w:b/>
          <w:sz w:val="22"/>
          <w:szCs w:val="22"/>
          <w:lang w:eastAsia="en-GB"/>
        </w:rPr>
        <w:tab/>
      </w:r>
      <w:r w:rsidR="00A4768B" w:rsidRPr="00F5551F">
        <w:rPr>
          <w:rFonts w:eastAsia="Arial Unicode MS" w:cs="Arial"/>
          <w:b/>
          <w:sz w:val="22"/>
          <w:szCs w:val="22"/>
          <w:lang w:eastAsia="en-GB"/>
        </w:rPr>
        <w:br/>
      </w:r>
      <w:r w:rsidRPr="00F5551F">
        <w:rPr>
          <w:rFonts w:eastAsia="Arial Unicode MS" w:cs="Arial"/>
          <w:sz w:val="22"/>
          <w:szCs w:val="22"/>
          <w:lang w:eastAsia="en-GB"/>
        </w:rPr>
        <w:t xml:space="preserve">The requirements of </w:t>
      </w:r>
      <w:r w:rsidR="00AF52DD" w:rsidRPr="00F5551F">
        <w:rPr>
          <w:rFonts w:eastAsia="Arial Unicode MS" w:cs="Arial"/>
          <w:sz w:val="22"/>
          <w:szCs w:val="22"/>
          <w:lang w:eastAsia="en-GB"/>
        </w:rPr>
        <w:t>A</w:t>
      </w:r>
      <w:r w:rsidRPr="00F5551F">
        <w:rPr>
          <w:rFonts w:eastAsia="Arial Unicode MS" w:cs="Arial"/>
          <w:sz w:val="22"/>
          <w:szCs w:val="22"/>
          <w:lang w:eastAsia="en-GB"/>
        </w:rPr>
        <w:t>rticle 35 draft RTS go beyond the scope of BCBS 248.</w:t>
      </w:r>
      <w:r w:rsidR="002276BE" w:rsidRPr="00F5551F">
        <w:rPr>
          <w:rFonts w:eastAsia="Arial Unicode MS" w:cs="Arial"/>
          <w:sz w:val="22"/>
          <w:szCs w:val="22"/>
          <w:lang w:eastAsia="en-GB"/>
        </w:rPr>
        <w:t xml:space="preserve"> The scope of the draft requirements overall seems excessive, given that the focus is on </w:t>
      </w:r>
      <w:r w:rsidR="002276BE" w:rsidRPr="00F5551F">
        <w:rPr>
          <w:rFonts w:eastAsia="Arial Unicode MS" w:cs="Arial"/>
          <w:sz w:val="22"/>
          <w:szCs w:val="22"/>
          <w:u w:val="single"/>
          <w:lang w:eastAsia="en-GB"/>
        </w:rPr>
        <w:t>intraday</w:t>
      </w:r>
      <w:r w:rsidR="002276BE" w:rsidRPr="00F5551F">
        <w:rPr>
          <w:rFonts w:eastAsia="Arial Unicode MS" w:cs="Arial"/>
          <w:sz w:val="22"/>
          <w:szCs w:val="22"/>
          <w:lang w:eastAsia="en-GB"/>
        </w:rPr>
        <w:t xml:space="preserve"> liquidity risk.</w:t>
      </w:r>
    </w:p>
    <w:p w:rsidR="009366C2" w:rsidRPr="00F5551F" w:rsidRDefault="0053093D" w:rsidP="00DA6980">
      <w:pPr>
        <w:spacing w:after="240"/>
        <w:jc w:val="both"/>
        <w:rPr>
          <w:rFonts w:eastAsia="Arial Unicode MS" w:cs="Arial"/>
          <w:sz w:val="22"/>
          <w:szCs w:val="22"/>
          <w:lang w:eastAsia="en-GB"/>
        </w:rPr>
      </w:pPr>
      <w:r w:rsidRPr="00F5551F">
        <w:rPr>
          <w:rFonts w:eastAsia="Arial Unicode MS" w:cs="Arial"/>
          <w:sz w:val="22"/>
          <w:szCs w:val="22"/>
          <w:lang w:eastAsia="en-GB"/>
        </w:rPr>
        <w:t>Article</w:t>
      </w:r>
      <w:r w:rsidR="0036602F">
        <w:rPr>
          <w:rFonts w:eastAsia="Arial Unicode MS" w:cs="Arial"/>
          <w:sz w:val="22"/>
          <w:szCs w:val="22"/>
          <w:lang w:eastAsia="en-GB"/>
        </w:rPr>
        <w:t xml:space="preserve"> 35 (</w:t>
      </w:r>
      <w:r w:rsidR="009366C2" w:rsidRPr="00F5551F">
        <w:rPr>
          <w:rFonts w:eastAsia="Arial Unicode MS" w:cs="Arial"/>
          <w:sz w:val="22"/>
          <w:szCs w:val="22"/>
          <w:lang w:eastAsia="en-GB"/>
        </w:rPr>
        <w:t>2</w:t>
      </w:r>
      <w:r w:rsidR="0036602F">
        <w:rPr>
          <w:rFonts w:eastAsia="Arial Unicode MS" w:cs="Arial"/>
          <w:sz w:val="22"/>
          <w:szCs w:val="22"/>
          <w:lang w:eastAsia="en-GB"/>
        </w:rPr>
        <w:t xml:space="preserve">) </w:t>
      </w:r>
      <w:r w:rsidR="009366C2" w:rsidRPr="00F5551F">
        <w:rPr>
          <w:rFonts w:eastAsia="Arial Unicode MS" w:cs="Arial"/>
          <w:sz w:val="22"/>
          <w:szCs w:val="22"/>
          <w:lang w:eastAsia="en-GB"/>
        </w:rPr>
        <w:t xml:space="preserve">(b) </w:t>
      </w:r>
      <w:proofErr w:type="gramStart"/>
      <w:r w:rsidR="009366C2" w:rsidRPr="00F5551F">
        <w:rPr>
          <w:rFonts w:eastAsia="Arial Unicode MS" w:cs="Arial"/>
          <w:sz w:val="22"/>
          <w:szCs w:val="22"/>
          <w:lang w:eastAsia="en-GB"/>
        </w:rPr>
        <w:t>The</w:t>
      </w:r>
      <w:proofErr w:type="gramEnd"/>
      <w:r w:rsidR="009366C2" w:rsidRPr="00F5551F">
        <w:rPr>
          <w:rFonts w:eastAsia="Arial Unicode MS" w:cs="Arial"/>
          <w:sz w:val="22"/>
          <w:szCs w:val="22"/>
          <w:lang w:eastAsia="en-GB"/>
        </w:rPr>
        <w:t xml:space="preserve"> haircuts referenced in Article 22 do not properly reflect the low risk inherent in the (highest quality) collateral a CSD has at hand. Concentration limits do not make sense for liquidity risk management purposes as long as assets are central bank eligible and there is no cap on usage of the central bank credit facilities. </w:t>
      </w:r>
    </w:p>
    <w:p w:rsidR="009366C2" w:rsidRPr="00F5551F" w:rsidRDefault="009366C2" w:rsidP="00DA6980">
      <w:pPr>
        <w:spacing w:after="240"/>
        <w:jc w:val="both"/>
        <w:rPr>
          <w:rFonts w:eastAsia="Arial Unicode MS" w:cs="Arial"/>
          <w:sz w:val="22"/>
          <w:szCs w:val="22"/>
          <w:lang w:eastAsia="en-GB"/>
        </w:rPr>
      </w:pPr>
      <w:r w:rsidRPr="00F5551F">
        <w:rPr>
          <w:rFonts w:eastAsia="Arial Unicode MS" w:cs="Arial"/>
          <w:sz w:val="22"/>
          <w:szCs w:val="22"/>
          <w:lang w:eastAsia="en-GB"/>
        </w:rPr>
        <w:t>Article 35</w:t>
      </w:r>
      <w:r w:rsidR="00AF52DD" w:rsidRPr="00F5551F">
        <w:rPr>
          <w:rFonts w:eastAsia="Arial Unicode MS" w:cs="Arial"/>
          <w:sz w:val="22"/>
          <w:szCs w:val="22"/>
          <w:lang w:eastAsia="en-GB"/>
        </w:rPr>
        <w:t xml:space="preserve"> (</w:t>
      </w:r>
      <w:r w:rsidRPr="00F5551F">
        <w:rPr>
          <w:rFonts w:eastAsia="Arial Unicode MS" w:cs="Arial"/>
          <w:sz w:val="22"/>
          <w:szCs w:val="22"/>
          <w:lang w:eastAsia="en-GB"/>
        </w:rPr>
        <w:t>2</w:t>
      </w:r>
      <w:r w:rsidR="00AF52DD" w:rsidRPr="00F5551F">
        <w:rPr>
          <w:rFonts w:eastAsia="Arial Unicode MS" w:cs="Arial"/>
          <w:sz w:val="22"/>
          <w:szCs w:val="22"/>
          <w:lang w:eastAsia="en-GB"/>
        </w:rPr>
        <w:t xml:space="preserve">) </w:t>
      </w:r>
      <w:r w:rsidRPr="00F5551F">
        <w:rPr>
          <w:rFonts w:eastAsia="Arial Unicode MS" w:cs="Arial"/>
          <w:sz w:val="22"/>
          <w:szCs w:val="22"/>
          <w:lang w:eastAsia="en-GB"/>
        </w:rPr>
        <w:t xml:space="preserve">(c) The requirement goes beyond the scope of BCBS 248. </w:t>
      </w:r>
    </w:p>
    <w:p w:rsidR="00C1691D" w:rsidRPr="00F5551F" w:rsidRDefault="0053093D" w:rsidP="00DA6980">
      <w:pPr>
        <w:spacing w:after="240"/>
        <w:jc w:val="both"/>
        <w:rPr>
          <w:rFonts w:eastAsia="Arial Unicode MS" w:cs="Arial"/>
          <w:sz w:val="22"/>
          <w:szCs w:val="22"/>
          <w:lang w:eastAsia="en-GB"/>
        </w:rPr>
      </w:pPr>
      <w:r w:rsidRPr="00F5551F">
        <w:rPr>
          <w:rFonts w:eastAsia="Arial Unicode MS" w:cs="Arial"/>
          <w:sz w:val="22"/>
          <w:szCs w:val="22"/>
          <w:lang w:eastAsia="en-GB"/>
        </w:rPr>
        <w:t>Article</w:t>
      </w:r>
      <w:r w:rsidR="0036602F">
        <w:rPr>
          <w:rFonts w:eastAsia="Arial Unicode MS" w:cs="Arial"/>
          <w:sz w:val="22"/>
          <w:szCs w:val="22"/>
          <w:lang w:eastAsia="en-GB"/>
        </w:rPr>
        <w:t xml:space="preserve"> 35 (</w:t>
      </w:r>
      <w:r w:rsidR="009366C2" w:rsidRPr="00F5551F">
        <w:rPr>
          <w:rFonts w:eastAsia="Arial Unicode MS" w:cs="Arial"/>
          <w:sz w:val="22"/>
          <w:szCs w:val="22"/>
          <w:lang w:eastAsia="en-GB"/>
        </w:rPr>
        <w:t>4</w:t>
      </w:r>
      <w:proofErr w:type="gramStart"/>
      <w:r w:rsidR="0036602F">
        <w:rPr>
          <w:rFonts w:eastAsia="Arial Unicode MS" w:cs="Arial"/>
          <w:sz w:val="22"/>
          <w:szCs w:val="22"/>
          <w:lang w:eastAsia="en-GB"/>
        </w:rPr>
        <w:t>)</w:t>
      </w:r>
      <w:r w:rsidR="009366C2" w:rsidRPr="00F5551F">
        <w:rPr>
          <w:rFonts w:eastAsia="Arial Unicode MS" w:cs="Arial"/>
          <w:sz w:val="22"/>
          <w:szCs w:val="22"/>
          <w:lang w:eastAsia="en-GB"/>
        </w:rPr>
        <w:t xml:space="preserve"> </w:t>
      </w:r>
      <w:r w:rsidR="00C1691D" w:rsidRPr="00F5551F">
        <w:rPr>
          <w:rFonts w:eastAsia="Arial Unicode MS" w:cs="Arial"/>
          <w:sz w:val="22"/>
          <w:szCs w:val="22"/>
          <w:lang w:eastAsia="en-GB"/>
        </w:rPr>
        <w:t xml:space="preserve"> The</w:t>
      </w:r>
      <w:proofErr w:type="gramEnd"/>
      <w:r w:rsidR="00C1691D" w:rsidRPr="00F5551F">
        <w:rPr>
          <w:rFonts w:eastAsia="Arial Unicode MS" w:cs="Arial"/>
          <w:sz w:val="22"/>
          <w:szCs w:val="22"/>
          <w:lang w:eastAsia="en-GB"/>
        </w:rPr>
        <w:t xml:space="preserve"> requirement to hold assets covering the default of the two largest participants (“Cover 2”) seems to be adopted from EMIR. While this makes sense for a CCP, who guarantees the fulfilment of all obligations of the defaulting participant, there is no such obligation for a CSD. In case of a customer default, the CSD would simply not execute any further settlement transactions for the defaulted customer. We therefore do not think that a “Cover 2” requirement should be applicable for a CSD.</w:t>
      </w:r>
    </w:p>
    <w:p w:rsidR="009366C2" w:rsidRPr="00F5551F" w:rsidRDefault="009366C2" w:rsidP="00DA6980">
      <w:pPr>
        <w:spacing w:after="240"/>
        <w:jc w:val="both"/>
        <w:rPr>
          <w:rFonts w:eastAsia="Arial Unicode MS" w:cs="Arial"/>
          <w:sz w:val="22"/>
          <w:szCs w:val="22"/>
          <w:lang w:eastAsia="en-GB"/>
        </w:rPr>
      </w:pPr>
      <w:r w:rsidRPr="00F5551F">
        <w:rPr>
          <w:rFonts w:eastAsia="Arial Unicode MS" w:cs="Arial"/>
          <w:sz w:val="22"/>
          <w:szCs w:val="22"/>
          <w:lang w:eastAsia="en-GB"/>
        </w:rPr>
        <w:t xml:space="preserve">Art. </w:t>
      </w:r>
      <w:proofErr w:type="gramStart"/>
      <w:r w:rsidR="00F5551F" w:rsidRPr="00F5551F">
        <w:rPr>
          <w:rFonts w:eastAsia="Arial Unicode MS" w:cs="Arial"/>
          <w:sz w:val="22"/>
          <w:szCs w:val="22"/>
          <w:lang w:eastAsia="en-GB"/>
        </w:rPr>
        <w:t>35</w:t>
      </w:r>
      <w:r w:rsidR="00F5551F">
        <w:rPr>
          <w:rFonts w:eastAsia="Arial Unicode MS" w:cs="Arial"/>
          <w:sz w:val="22"/>
          <w:szCs w:val="22"/>
          <w:lang w:eastAsia="en-GB"/>
        </w:rPr>
        <w:t xml:space="preserve"> (</w:t>
      </w:r>
      <w:r w:rsidR="00F5551F" w:rsidRPr="00F5551F">
        <w:rPr>
          <w:rFonts w:eastAsia="Arial Unicode MS" w:cs="Arial"/>
          <w:sz w:val="22"/>
          <w:szCs w:val="22"/>
          <w:lang w:eastAsia="en-GB"/>
        </w:rPr>
        <w:t>5</w:t>
      </w:r>
      <w:r w:rsidR="00F5551F">
        <w:rPr>
          <w:rFonts w:eastAsia="Arial Unicode MS" w:cs="Arial"/>
          <w:sz w:val="22"/>
          <w:szCs w:val="22"/>
          <w:lang w:eastAsia="en-GB"/>
        </w:rPr>
        <w:t>)</w:t>
      </w:r>
      <w:r w:rsidR="00F5551F" w:rsidRPr="00F5551F">
        <w:rPr>
          <w:rFonts w:eastAsia="Arial Unicode MS" w:cs="Arial"/>
          <w:sz w:val="22"/>
          <w:szCs w:val="22"/>
          <w:lang w:eastAsia="en-GB"/>
        </w:rPr>
        <w:t xml:space="preserve"> and </w:t>
      </w:r>
      <w:r w:rsidR="00F5551F">
        <w:rPr>
          <w:rFonts w:eastAsia="Arial Unicode MS" w:cs="Arial"/>
          <w:sz w:val="22"/>
          <w:szCs w:val="22"/>
          <w:lang w:eastAsia="en-GB"/>
        </w:rPr>
        <w:t>(</w:t>
      </w:r>
      <w:r w:rsidR="00F5551F" w:rsidRPr="00F5551F">
        <w:rPr>
          <w:rFonts w:eastAsia="Arial Unicode MS" w:cs="Arial"/>
          <w:sz w:val="22"/>
          <w:szCs w:val="22"/>
          <w:lang w:eastAsia="en-GB"/>
        </w:rPr>
        <w:t>10</w:t>
      </w:r>
      <w:r w:rsidR="00F5551F">
        <w:rPr>
          <w:rFonts w:eastAsia="Arial Unicode MS" w:cs="Arial"/>
          <w:sz w:val="22"/>
          <w:szCs w:val="22"/>
          <w:lang w:eastAsia="en-GB"/>
        </w:rPr>
        <w:t>)</w:t>
      </w:r>
      <w:r w:rsidR="00F5551F" w:rsidRPr="00F5551F">
        <w:rPr>
          <w:rFonts w:eastAsia="Arial Unicode MS" w:cs="Arial"/>
          <w:sz w:val="22"/>
          <w:szCs w:val="22"/>
          <w:lang w:eastAsia="en-GB"/>
        </w:rPr>
        <w:t>.</w:t>
      </w:r>
      <w:proofErr w:type="gramEnd"/>
      <w:r w:rsidR="00F5551F" w:rsidRPr="00F5551F">
        <w:rPr>
          <w:rFonts w:eastAsia="Arial Unicode MS" w:cs="Arial"/>
          <w:sz w:val="22"/>
          <w:szCs w:val="22"/>
          <w:lang w:eastAsia="en-GB"/>
        </w:rPr>
        <w:t xml:space="preserve"> </w:t>
      </w:r>
      <w:r w:rsidRPr="00F5551F">
        <w:rPr>
          <w:rFonts w:eastAsia="Arial Unicode MS" w:cs="Arial"/>
          <w:sz w:val="22"/>
          <w:szCs w:val="22"/>
          <w:lang w:eastAsia="en-GB"/>
        </w:rPr>
        <w:t>As we understand that Article 35 is supposed to govern liquidity risk, we fail to see the connection to financial risk. Due to the very conservative investment policies applied by CSDs, and given the very short placement tenors, a move in market prices, market volatility and price correlation are not expected to pose a material risk on the CSDs liquidity position. The only events that we expect to put stress on the CSDs liquidity position are a deterioration of the CSDs credit standing (“idiosyncratic” event) or an unavailability of money market credit lines (“market disruption” event). A stress test comparing the peak liquidity need with the available liquidity (stressed for a partial unavailability of liquidity providers) could add value.</w:t>
      </w:r>
    </w:p>
    <w:p w:rsidR="00461623" w:rsidRPr="00F5551F" w:rsidRDefault="00461623" w:rsidP="00DA6980">
      <w:pPr>
        <w:spacing w:after="240"/>
        <w:jc w:val="both"/>
        <w:rPr>
          <w:rFonts w:eastAsia="Arial Unicode MS" w:cs="Arial"/>
          <w:sz w:val="22"/>
          <w:szCs w:val="22"/>
          <w:lang w:eastAsia="en-GB"/>
        </w:rPr>
      </w:pPr>
      <w:r w:rsidRPr="00F5551F">
        <w:rPr>
          <w:rFonts w:eastAsia="Arial Unicode MS" w:cs="Arial"/>
          <w:sz w:val="22"/>
          <w:szCs w:val="22"/>
          <w:lang w:eastAsia="en-GB"/>
        </w:rPr>
        <w:t>Art. 35.6. A reasonable test could be a comparison at the end of the day of the peak liquidity need with the available liquidity sources, which could be stressed for a decline in collateral value or unavailability of liquidity providers.</w:t>
      </w:r>
    </w:p>
    <w:p w:rsidR="009366C2" w:rsidRPr="00F5551F" w:rsidRDefault="009366C2" w:rsidP="00DA6980">
      <w:pPr>
        <w:spacing w:after="240"/>
        <w:jc w:val="both"/>
        <w:rPr>
          <w:rFonts w:eastAsia="Arial Unicode MS" w:cs="Arial"/>
          <w:sz w:val="22"/>
          <w:szCs w:val="22"/>
          <w:lang w:eastAsia="en-GB"/>
        </w:rPr>
      </w:pPr>
      <w:r w:rsidRPr="00F5551F">
        <w:rPr>
          <w:rFonts w:eastAsia="Arial Unicode MS" w:cs="Arial"/>
          <w:sz w:val="22"/>
          <w:szCs w:val="22"/>
          <w:lang w:eastAsia="en-GB"/>
        </w:rPr>
        <w:t>Art. 35</w:t>
      </w:r>
      <w:r w:rsidR="00AF52DD" w:rsidRPr="00F5551F">
        <w:rPr>
          <w:rFonts w:eastAsia="Arial Unicode MS" w:cs="Arial"/>
          <w:sz w:val="22"/>
          <w:szCs w:val="22"/>
          <w:lang w:eastAsia="en-GB"/>
        </w:rPr>
        <w:t xml:space="preserve"> (</w:t>
      </w:r>
      <w:r w:rsidRPr="00F5551F">
        <w:rPr>
          <w:rFonts w:eastAsia="Arial Unicode MS" w:cs="Arial"/>
          <w:sz w:val="22"/>
          <w:szCs w:val="22"/>
          <w:lang w:eastAsia="en-GB"/>
        </w:rPr>
        <w:t>13</w:t>
      </w:r>
      <w:r w:rsidR="00AF52DD" w:rsidRPr="00F5551F">
        <w:rPr>
          <w:rFonts w:eastAsia="Arial Unicode MS" w:cs="Arial"/>
          <w:sz w:val="22"/>
          <w:szCs w:val="22"/>
          <w:lang w:eastAsia="en-GB"/>
        </w:rPr>
        <w:t xml:space="preserve">) </w:t>
      </w:r>
      <w:r w:rsidRPr="00F5551F">
        <w:rPr>
          <w:rFonts w:eastAsia="Arial Unicode MS" w:cs="Arial"/>
          <w:sz w:val="22"/>
          <w:szCs w:val="22"/>
          <w:lang w:eastAsia="en-GB"/>
        </w:rPr>
        <w:t>(a) Liquid assets are used in the regular course of business of the CSD. They should not be considered a “contingency” funding source.</w:t>
      </w:r>
    </w:p>
    <w:p w:rsidR="009366C2" w:rsidRPr="00F5551F" w:rsidRDefault="009366C2" w:rsidP="00DA6980">
      <w:pPr>
        <w:spacing w:after="240"/>
        <w:jc w:val="both"/>
        <w:rPr>
          <w:rFonts w:eastAsia="Arial Unicode MS" w:cs="Arial"/>
          <w:sz w:val="22"/>
          <w:szCs w:val="22"/>
          <w:lang w:eastAsia="en-GB"/>
        </w:rPr>
      </w:pPr>
      <w:r w:rsidRPr="00F5551F">
        <w:rPr>
          <w:rFonts w:eastAsia="Arial Unicode MS" w:cs="Arial"/>
          <w:sz w:val="22"/>
          <w:szCs w:val="22"/>
          <w:lang w:eastAsia="en-GB"/>
        </w:rPr>
        <w:t>Art. 13</w:t>
      </w:r>
      <w:r w:rsidR="00AF52DD" w:rsidRPr="00F5551F">
        <w:rPr>
          <w:rFonts w:eastAsia="Arial Unicode MS" w:cs="Arial"/>
          <w:sz w:val="22"/>
          <w:szCs w:val="22"/>
          <w:lang w:eastAsia="en-GB"/>
        </w:rPr>
        <w:t xml:space="preserve"> </w:t>
      </w:r>
      <w:r w:rsidRPr="00F5551F">
        <w:rPr>
          <w:rFonts w:eastAsia="Arial Unicode MS" w:cs="Arial"/>
          <w:sz w:val="22"/>
          <w:szCs w:val="22"/>
          <w:lang w:eastAsia="en-GB"/>
        </w:rPr>
        <w:t>(b) We consider the outlined possible conflict in Article 35</w:t>
      </w:r>
      <w:r w:rsidR="00AF52DD" w:rsidRPr="00F5551F">
        <w:rPr>
          <w:rFonts w:eastAsia="Arial Unicode MS" w:cs="Arial"/>
          <w:sz w:val="22"/>
          <w:szCs w:val="22"/>
          <w:lang w:eastAsia="en-GB"/>
        </w:rPr>
        <w:t xml:space="preserve"> (</w:t>
      </w:r>
      <w:r w:rsidRPr="00F5551F">
        <w:rPr>
          <w:rFonts w:eastAsia="Arial Unicode MS" w:cs="Arial"/>
          <w:sz w:val="22"/>
          <w:szCs w:val="22"/>
          <w:lang w:eastAsia="en-GB"/>
        </w:rPr>
        <w:t>13</w:t>
      </w:r>
      <w:r w:rsidR="00AF52DD" w:rsidRPr="00F5551F">
        <w:rPr>
          <w:rFonts w:eastAsia="Arial Unicode MS" w:cs="Arial"/>
          <w:sz w:val="22"/>
          <w:szCs w:val="22"/>
          <w:lang w:eastAsia="en-GB"/>
        </w:rPr>
        <w:t>) (</w:t>
      </w:r>
      <w:r w:rsidRPr="00F5551F">
        <w:rPr>
          <w:rFonts w:eastAsia="Arial Unicode MS" w:cs="Arial"/>
          <w:sz w:val="22"/>
          <w:szCs w:val="22"/>
          <w:lang w:eastAsia="en-GB"/>
        </w:rPr>
        <w:t>b</w:t>
      </w:r>
      <w:r w:rsidR="00AF52DD" w:rsidRPr="00F5551F">
        <w:rPr>
          <w:rFonts w:eastAsia="Arial Unicode MS" w:cs="Arial"/>
          <w:sz w:val="22"/>
          <w:szCs w:val="22"/>
          <w:lang w:eastAsia="en-GB"/>
        </w:rPr>
        <w:t>)</w:t>
      </w:r>
      <w:r w:rsidRPr="00F5551F">
        <w:rPr>
          <w:rFonts w:eastAsia="Arial Unicode MS" w:cs="Arial"/>
          <w:sz w:val="22"/>
          <w:szCs w:val="22"/>
          <w:lang w:eastAsia="en-GB"/>
        </w:rPr>
        <w:t xml:space="preserve"> draft RTS to remove a hedge as a clear indication that EBA considers hedging interest rate risk on investments as being a legitimate approach of investing excess liquidity. As such, we strongly urge the EBA to align with ESMA to allow for such strategies subject to fulfilment of all liquidity needs under the currently discussed draft RTS. Our current understanding of the ESMA proposal would be that such hedges would not be allowed for CSDs.</w:t>
      </w:r>
    </w:p>
    <w:p w:rsidR="00BA048F" w:rsidRPr="00F5551F" w:rsidRDefault="00BA048F" w:rsidP="00DA6980">
      <w:pPr>
        <w:spacing w:after="240"/>
        <w:jc w:val="both"/>
        <w:rPr>
          <w:rFonts w:eastAsia="Arial Unicode MS" w:cs="Arial"/>
          <w:sz w:val="22"/>
          <w:szCs w:val="22"/>
          <w:lang w:eastAsia="en-GB"/>
        </w:rPr>
      </w:pPr>
      <w:r w:rsidRPr="00F5551F">
        <w:rPr>
          <w:rFonts w:cs="Arial"/>
          <w:sz w:val="22"/>
          <w:szCs w:val="22"/>
        </w:rPr>
        <w:t>Based on the arguments raised above we propose the following amendments to the EBA draft RTS:</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rPr>
          <w:rFonts w:ascii="DIN-Regular" w:hAnsi="DIN-Regular" w:cs="Arial"/>
          <w:i/>
          <w:iCs/>
          <w:sz w:val="22"/>
          <w:szCs w:val="22"/>
        </w:rPr>
      </w:pPr>
      <w:r w:rsidRPr="00F5551F">
        <w:rPr>
          <w:rFonts w:ascii="DIN-Regular" w:hAnsi="DIN-Regular" w:cs="Arial"/>
          <w:b/>
          <w:i/>
          <w:iCs/>
          <w:sz w:val="22"/>
          <w:szCs w:val="22"/>
        </w:rPr>
        <w:t>Article 35</w:t>
      </w:r>
      <w:r w:rsidRPr="00F5551F">
        <w:rPr>
          <w:rFonts w:ascii="DIN-Regular" w:hAnsi="DIN-Regular" w:cs="Arial"/>
          <w:i/>
          <w:iCs/>
          <w:sz w:val="22"/>
          <w:szCs w:val="22"/>
        </w:rPr>
        <w:t xml:space="preserve"> - Managing intraday liquidity risk </w:t>
      </w:r>
    </w:p>
    <w:p w:rsidR="009366C2" w:rsidRPr="00F5551F" w:rsidRDefault="009F0D54"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i/>
          <w:sz w:val="22"/>
          <w:szCs w:val="22"/>
        </w:rPr>
        <w:t xml:space="preserve">(…) </w:t>
      </w:r>
      <w:r w:rsidR="009366C2" w:rsidRPr="00F5551F">
        <w:rPr>
          <w:rFonts w:ascii="DIN-Regular" w:hAnsi="DIN-Regular" w:cs="Arial"/>
          <w:i/>
          <w:sz w:val="22"/>
          <w:szCs w:val="22"/>
        </w:rPr>
        <w:t xml:space="preserve">2. For the purposes of paragraph 1 and for each </w:t>
      </w:r>
      <w:r w:rsidR="00461623" w:rsidRPr="00F5551F">
        <w:rPr>
          <w:rFonts w:ascii="DIN-Regular" w:hAnsi="DIN-Regular" w:cs="Arial"/>
          <w:b/>
          <w:i/>
          <w:sz w:val="22"/>
          <w:szCs w:val="22"/>
        </w:rPr>
        <w:t xml:space="preserve">material </w:t>
      </w:r>
      <w:r w:rsidR="009366C2" w:rsidRPr="00F5551F">
        <w:rPr>
          <w:rFonts w:ascii="DIN-Regular" w:hAnsi="DIN-Regular" w:cs="Arial"/>
          <w:i/>
          <w:sz w:val="22"/>
          <w:szCs w:val="22"/>
        </w:rPr>
        <w:t xml:space="preserve">currency offered by any securities settlement system for which it acts as settlement agent, the CSD-banking service provider shall: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i/>
          <w:sz w:val="22"/>
          <w:szCs w:val="22"/>
        </w:rPr>
        <w:t xml:space="preserve">(a) </w:t>
      </w:r>
      <w:proofErr w:type="gramStart"/>
      <w:r w:rsidRPr="00F5551F">
        <w:rPr>
          <w:rFonts w:ascii="DIN-Regular" w:hAnsi="DIN-Regular" w:cs="Arial"/>
          <w:i/>
          <w:sz w:val="22"/>
          <w:szCs w:val="22"/>
        </w:rPr>
        <w:t>arrange</w:t>
      </w:r>
      <w:proofErr w:type="gramEnd"/>
      <w:r w:rsidRPr="00F5551F">
        <w:rPr>
          <w:rFonts w:ascii="DIN-Regular" w:hAnsi="DIN-Regular" w:cs="Arial"/>
          <w:i/>
          <w:sz w:val="22"/>
          <w:szCs w:val="22"/>
        </w:rPr>
        <w:t xml:space="preserve"> to acquire sufficient intraday funding to meet its intraday objectives;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i/>
          <w:sz w:val="22"/>
          <w:szCs w:val="22"/>
        </w:rPr>
        <w:lastRenderedPageBreak/>
        <w:t xml:space="preserve">(b) </w:t>
      </w:r>
      <w:proofErr w:type="gramStart"/>
      <w:r w:rsidRPr="00F5551F">
        <w:rPr>
          <w:rFonts w:ascii="DIN-Regular" w:hAnsi="DIN-Regular" w:cs="Arial"/>
          <w:i/>
          <w:sz w:val="22"/>
          <w:szCs w:val="22"/>
        </w:rPr>
        <w:t>manage</w:t>
      </w:r>
      <w:proofErr w:type="gramEnd"/>
      <w:r w:rsidRPr="00F5551F">
        <w:rPr>
          <w:rFonts w:ascii="DIN-Regular" w:hAnsi="DIN-Regular" w:cs="Arial"/>
          <w:i/>
          <w:sz w:val="22"/>
          <w:szCs w:val="22"/>
        </w:rPr>
        <w:t xml:space="preserve"> and mobilise collateral necessary to obtain intraday funds, taking into account haircuts</w:t>
      </w:r>
      <w:r w:rsidRPr="00F5551F">
        <w:rPr>
          <w:rFonts w:ascii="DIN-Regular" w:hAnsi="DIN-Regular" w:cs="Arial"/>
          <w:b/>
          <w:i/>
          <w:strike/>
          <w:sz w:val="22"/>
          <w:szCs w:val="22"/>
        </w:rPr>
        <w:t xml:space="preserve"> in accordance with Article 22 and concentration limits in accordance with Article 23;</w:t>
      </w:r>
      <w:r w:rsidRPr="00F5551F">
        <w:rPr>
          <w:rFonts w:ascii="DIN-Regular" w:hAnsi="DIN-Regular" w:cs="Arial"/>
          <w:i/>
          <w:sz w:val="22"/>
          <w:szCs w:val="22"/>
        </w:rPr>
        <w:t xml:space="preserve">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b/>
          <w:i/>
          <w:strike/>
          <w:sz w:val="22"/>
          <w:szCs w:val="22"/>
        </w:rPr>
        <w:t xml:space="preserve">(c) </w:t>
      </w:r>
      <w:proofErr w:type="gramStart"/>
      <w:r w:rsidRPr="00F5551F">
        <w:rPr>
          <w:rFonts w:ascii="DIN-Regular" w:hAnsi="DIN-Regular" w:cs="Arial"/>
          <w:b/>
          <w:i/>
          <w:strike/>
          <w:sz w:val="22"/>
          <w:szCs w:val="22"/>
        </w:rPr>
        <w:t>manage</w:t>
      </w:r>
      <w:proofErr w:type="gramEnd"/>
      <w:r w:rsidRPr="00F5551F">
        <w:rPr>
          <w:rFonts w:ascii="DIN-Regular" w:hAnsi="DIN-Regular" w:cs="Arial"/>
          <w:b/>
          <w:i/>
          <w:strike/>
          <w:sz w:val="22"/>
          <w:szCs w:val="22"/>
        </w:rPr>
        <w:t xml:space="preserve"> the timing of its liquidity outflows in line with its intraday objectives</w:t>
      </w:r>
      <w:r w:rsidRPr="00F5551F">
        <w:rPr>
          <w:rFonts w:ascii="DIN-Regular" w:hAnsi="DIN-Regular" w:cs="Arial"/>
          <w:i/>
          <w:sz w:val="22"/>
          <w:szCs w:val="22"/>
        </w:rPr>
        <w:t xml:space="preserve">; </w:t>
      </w:r>
    </w:p>
    <w:p w:rsidR="009366C2" w:rsidRPr="00F5551F" w:rsidRDefault="00A4768B"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i/>
          <w:sz w:val="22"/>
          <w:szCs w:val="22"/>
        </w:rPr>
        <w:t>(…)</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i/>
          <w:sz w:val="22"/>
          <w:szCs w:val="22"/>
        </w:rPr>
        <w:t xml:space="preserve">4. For the purposes of paragraph 1, and for the purpose of meeting its minimum liquid resource requirement, a CSD-banking service provider shall identify the risks to which it would be exposed following the default of at least </w:t>
      </w:r>
      <w:proofErr w:type="spellStart"/>
      <w:r w:rsidRPr="00F5551F">
        <w:rPr>
          <w:rFonts w:ascii="DIN-Regular" w:hAnsi="DIN-Regular" w:cs="Arial"/>
          <w:i/>
          <w:sz w:val="22"/>
          <w:szCs w:val="22"/>
        </w:rPr>
        <w:t>t</w:t>
      </w:r>
      <w:r w:rsidR="00461623" w:rsidRPr="00F5551F">
        <w:rPr>
          <w:rFonts w:ascii="DIN-Regular" w:hAnsi="DIN-Regular" w:cs="Arial"/>
          <w:b/>
          <w:i/>
          <w:sz w:val="22"/>
          <w:szCs w:val="22"/>
        </w:rPr>
        <w:t>he</w:t>
      </w:r>
      <w:r w:rsidRPr="00F5551F">
        <w:rPr>
          <w:rFonts w:ascii="DIN-Regular" w:hAnsi="DIN-Regular" w:cs="Arial"/>
          <w:b/>
          <w:i/>
          <w:strike/>
          <w:sz w:val="22"/>
          <w:szCs w:val="22"/>
        </w:rPr>
        <w:t>wo</w:t>
      </w:r>
      <w:proofErr w:type="spellEnd"/>
      <w:r w:rsidRPr="00F5551F">
        <w:rPr>
          <w:rFonts w:ascii="DIN-Regular" w:hAnsi="DIN-Regular" w:cs="Arial"/>
          <w:i/>
          <w:sz w:val="22"/>
          <w:szCs w:val="22"/>
        </w:rPr>
        <w:t xml:space="preserve"> participant</w:t>
      </w:r>
      <w:r w:rsidRPr="00F5551F">
        <w:rPr>
          <w:rFonts w:ascii="DIN-Regular" w:hAnsi="DIN-Regular" w:cs="Arial"/>
          <w:b/>
          <w:i/>
          <w:strike/>
          <w:sz w:val="22"/>
          <w:szCs w:val="22"/>
        </w:rPr>
        <w:t>s</w:t>
      </w:r>
      <w:r w:rsidRPr="00F5551F">
        <w:rPr>
          <w:rFonts w:ascii="DIN-Regular" w:hAnsi="DIN-Regular" w:cs="Arial"/>
          <w:i/>
          <w:sz w:val="22"/>
          <w:szCs w:val="22"/>
        </w:rPr>
        <w:t xml:space="preserve">, including </w:t>
      </w:r>
      <w:proofErr w:type="spellStart"/>
      <w:r w:rsidR="00461623" w:rsidRPr="00F5551F">
        <w:rPr>
          <w:rFonts w:ascii="DIN-Regular" w:hAnsi="DIN-Regular" w:cs="Arial"/>
          <w:b/>
          <w:i/>
          <w:sz w:val="22"/>
          <w:szCs w:val="22"/>
        </w:rPr>
        <w:t>its</w:t>
      </w:r>
      <w:r w:rsidRPr="00F5551F">
        <w:rPr>
          <w:rFonts w:ascii="DIN-Regular" w:hAnsi="DIN-Regular" w:cs="Arial"/>
          <w:b/>
          <w:i/>
          <w:strike/>
          <w:sz w:val="22"/>
          <w:szCs w:val="22"/>
        </w:rPr>
        <w:t>their</w:t>
      </w:r>
      <w:proofErr w:type="spellEnd"/>
      <w:r w:rsidRPr="00F5551F">
        <w:rPr>
          <w:rFonts w:ascii="DIN-Regular" w:hAnsi="DIN-Regular" w:cs="Arial"/>
          <w:i/>
          <w:sz w:val="22"/>
          <w:szCs w:val="22"/>
        </w:rPr>
        <w:t xml:space="preserve"> parent undertaking and subsidiaries, to which it has the largest liquidity exposure.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b/>
          <w:i/>
          <w:strike/>
          <w:sz w:val="22"/>
          <w:szCs w:val="22"/>
        </w:rPr>
      </w:pPr>
      <w:r w:rsidRPr="00F5551F">
        <w:rPr>
          <w:rFonts w:ascii="DIN-Regular" w:hAnsi="DIN-Regular" w:cs="Arial"/>
          <w:i/>
          <w:sz w:val="22"/>
          <w:szCs w:val="22"/>
        </w:rPr>
        <w:t xml:space="preserve">5. </w:t>
      </w:r>
      <w:r w:rsidRPr="00F5551F">
        <w:rPr>
          <w:rFonts w:ascii="DIN-Regular" w:hAnsi="DIN-Regular" w:cs="Arial"/>
          <w:b/>
          <w:i/>
          <w:strike/>
          <w:sz w:val="22"/>
          <w:szCs w:val="22"/>
        </w:rPr>
        <w:t xml:space="preserve">For the purposes of paragraph 1, and for risks specified in paragraph 2(d), the CSD-banking service provider shall specify extreme but plausible conditions, including those identified in Article 37(4) where relevant and based at least on one of the following: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b/>
          <w:i/>
          <w:strike/>
          <w:sz w:val="22"/>
          <w:szCs w:val="22"/>
        </w:rPr>
      </w:pPr>
      <w:r w:rsidRPr="00F5551F">
        <w:rPr>
          <w:rFonts w:ascii="DIN-Regular" w:hAnsi="DIN-Regular" w:cs="Arial"/>
          <w:b/>
          <w:i/>
          <w:strike/>
          <w:sz w:val="22"/>
          <w:szCs w:val="22"/>
        </w:rPr>
        <w:t xml:space="preserve">(a) a range of historical scenarios, including periods of extreme market movements observed over the past 30 years, or as long as reliable data have been available, that would have exposed the CSD-banking service provider to the greatest financial risk, unless the CSD-banking service provider can argue that recurrence of a historical instance of large price movements is not plausible;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b/>
          <w:i/>
          <w:strike/>
          <w:color w:val="auto"/>
          <w:sz w:val="22"/>
          <w:szCs w:val="22"/>
        </w:rPr>
        <w:t xml:space="preserve"> (b) a range of potential future scenarios, founded on consistent assumptions regarding market volatility and price correlation across markets and financial instruments, drawing on both quantitative and qualitative assessments of potential market conditions, including disruptions and dislocations or irregularities of accessibility to markets, as well as declines in the liquidation value of collateral, and reduced market liquidity where non-cash assets have been accepted as collateral. </w:t>
      </w:r>
    </w:p>
    <w:p w:rsidR="00A4768B" w:rsidRPr="00F5551F" w:rsidRDefault="00A4768B"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t>(…)</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rPr>
          <w:rFonts w:ascii="DIN-Regular" w:hAnsi="DIN-Regular" w:cs="Arial"/>
          <w:b/>
          <w:i/>
          <w:strike/>
          <w:color w:val="auto"/>
          <w:sz w:val="22"/>
          <w:szCs w:val="22"/>
        </w:rPr>
      </w:pPr>
      <w:r w:rsidRPr="00F5551F">
        <w:rPr>
          <w:rFonts w:ascii="DIN-Regular" w:hAnsi="DIN-Regular" w:cs="Arial"/>
          <w:b/>
          <w:i/>
          <w:strike/>
          <w:color w:val="auto"/>
          <w:sz w:val="22"/>
          <w:szCs w:val="22"/>
        </w:rPr>
        <w:t xml:space="preserve">10. For the purposes of paragraph 1, the liquidity risk framework shall consider, quantitatively and qualitatively, the extent to which extreme price movements could occur simultaneously in multiple identified markets. The framework shall recognise that historical price correlations may breakdown in extreme but plausible market conditions. A CSD-banking service provider shall also take into account any of its external dependencies in its stress testing.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rPr>
          <w:rFonts w:ascii="DIN-Regular" w:hAnsi="DIN-Regular" w:cs="Arial"/>
          <w:i/>
          <w:color w:val="auto"/>
          <w:sz w:val="22"/>
          <w:szCs w:val="22"/>
        </w:rPr>
      </w:pP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t xml:space="preserve">11. For the purposes of paragraph 1, the CSD-banking service provider shall consider how the intraday monitoring metrics referred to in Article 31(2) shall be used to calculate the appropriate value of intraday funding required, and shall develop an internal framework to assess a prudent value of liquid assets which are deemed sufficient for its intraday exposure, including, in particular all of the following: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t xml:space="preserve">(a) </w:t>
      </w:r>
      <w:proofErr w:type="gramStart"/>
      <w:r w:rsidRPr="00F5551F">
        <w:rPr>
          <w:rFonts w:ascii="DIN-Regular" w:hAnsi="DIN-Regular" w:cs="Arial"/>
          <w:i/>
          <w:color w:val="auto"/>
          <w:sz w:val="22"/>
          <w:szCs w:val="22"/>
        </w:rPr>
        <w:t>the</w:t>
      </w:r>
      <w:proofErr w:type="gramEnd"/>
      <w:r w:rsidRPr="00F5551F">
        <w:rPr>
          <w:rFonts w:ascii="DIN-Regular" w:hAnsi="DIN-Regular" w:cs="Arial"/>
          <w:i/>
          <w:color w:val="auto"/>
          <w:sz w:val="22"/>
          <w:szCs w:val="22"/>
        </w:rPr>
        <w:t xml:space="preserve"> default of at least </w:t>
      </w:r>
      <w:proofErr w:type="spellStart"/>
      <w:r w:rsidRPr="00F5551F">
        <w:rPr>
          <w:rFonts w:ascii="DIN-Regular" w:hAnsi="DIN-Regular" w:cs="Arial"/>
          <w:i/>
          <w:color w:val="auto"/>
          <w:sz w:val="22"/>
          <w:szCs w:val="22"/>
        </w:rPr>
        <w:t>t</w:t>
      </w:r>
      <w:r w:rsidR="0097691A" w:rsidRPr="00F5551F">
        <w:rPr>
          <w:rFonts w:ascii="DIN-Regular" w:hAnsi="DIN-Regular" w:cs="Arial"/>
          <w:b/>
          <w:i/>
          <w:color w:val="auto"/>
          <w:sz w:val="22"/>
          <w:szCs w:val="22"/>
        </w:rPr>
        <w:t>he</w:t>
      </w:r>
      <w:r w:rsidRPr="00F5551F">
        <w:rPr>
          <w:rFonts w:ascii="DIN-Regular" w:hAnsi="DIN-Regular" w:cs="Arial"/>
          <w:b/>
          <w:i/>
          <w:strike/>
          <w:color w:val="auto"/>
          <w:sz w:val="22"/>
          <w:szCs w:val="22"/>
        </w:rPr>
        <w:t>wo</w:t>
      </w:r>
      <w:proofErr w:type="spellEnd"/>
      <w:r w:rsidRPr="00F5551F">
        <w:rPr>
          <w:rFonts w:ascii="DIN-Regular" w:hAnsi="DIN-Regular" w:cs="Arial"/>
          <w:i/>
          <w:color w:val="auto"/>
          <w:sz w:val="22"/>
          <w:szCs w:val="22"/>
        </w:rPr>
        <w:t xml:space="preserve"> participant</w:t>
      </w:r>
      <w:r w:rsidRPr="00F5551F">
        <w:rPr>
          <w:rFonts w:ascii="DIN-Regular" w:hAnsi="DIN-Regular" w:cs="Arial"/>
          <w:b/>
          <w:i/>
          <w:strike/>
          <w:color w:val="auto"/>
          <w:sz w:val="22"/>
          <w:szCs w:val="22"/>
        </w:rPr>
        <w:t>s</w:t>
      </w:r>
      <w:r w:rsidRPr="00F5551F">
        <w:rPr>
          <w:rFonts w:ascii="DIN-Regular" w:hAnsi="DIN-Regular" w:cs="Arial"/>
          <w:i/>
          <w:color w:val="auto"/>
          <w:sz w:val="22"/>
          <w:szCs w:val="22"/>
        </w:rPr>
        <w:t xml:space="preserve">, including </w:t>
      </w:r>
      <w:proofErr w:type="spellStart"/>
      <w:r w:rsidR="0097691A" w:rsidRPr="00F5551F">
        <w:rPr>
          <w:rFonts w:ascii="DIN-Regular" w:hAnsi="DIN-Regular" w:cs="Arial"/>
          <w:b/>
          <w:i/>
          <w:color w:val="auto"/>
          <w:sz w:val="22"/>
          <w:szCs w:val="22"/>
        </w:rPr>
        <w:t>its</w:t>
      </w:r>
      <w:r w:rsidRPr="00F5551F">
        <w:rPr>
          <w:rFonts w:ascii="DIN-Regular" w:hAnsi="DIN-Regular" w:cs="Arial"/>
          <w:b/>
          <w:i/>
          <w:strike/>
          <w:color w:val="auto"/>
          <w:sz w:val="22"/>
          <w:szCs w:val="22"/>
        </w:rPr>
        <w:t>their</w:t>
      </w:r>
      <w:proofErr w:type="spellEnd"/>
      <w:r w:rsidRPr="00F5551F">
        <w:rPr>
          <w:rFonts w:ascii="DIN-Regular" w:hAnsi="DIN-Regular" w:cs="Arial"/>
          <w:i/>
          <w:color w:val="auto"/>
          <w:sz w:val="22"/>
          <w:szCs w:val="22"/>
        </w:rPr>
        <w:t xml:space="preserve"> parent undertaking and subsidiaries, to which it has the largest intraday liquidity exposure;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t xml:space="preserve">(b) </w:t>
      </w:r>
      <w:proofErr w:type="gramStart"/>
      <w:r w:rsidRPr="00F5551F">
        <w:rPr>
          <w:rFonts w:ascii="DIN-Regular" w:hAnsi="DIN-Regular" w:cs="Arial"/>
          <w:i/>
          <w:color w:val="auto"/>
          <w:sz w:val="22"/>
          <w:szCs w:val="22"/>
        </w:rPr>
        <w:t>the</w:t>
      </w:r>
      <w:proofErr w:type="gramEnd"/>
      <w:r w:rsidRPr="00F5551F">
        <w:rPr>
          <w:rFonts w:ascii="DIN-Regular" w:hAnsi="DIN-Regular" w:cs="Arial"/>
          <w:i/>
          <w:color w:val="auto"/>
          <w:sz w:val="22"/>
          <w:szCs w:val="22"/>
        </w:rPr>
        <w:t xml:space="preserve"> timely monitoring of liquid assets, including the quality of the assets, their concentration and their immediate availability;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t xml:space="preserve">(c) </w:t>
      </w:r>
      <w:proofErr w:type="gramStart"/>
      <w:r w:rsidRPr="00F5551F">
        <w:rPr>
          <w:rFonts w:ascii="DIN-Regular" w:hAnsi="DIN-Regular" w:cs="Arial"/>
          <w:i/>
          <w:color w:val="auto"/>
          <w:sz w:val="22"/>
          <w:szCs w:val="22"/>
        </w:rPr>
        <w:t>appropriate</w:t>
      </w:r>
      <w:proofErr w:type="gramEnd"/>
      <w:r w:rsidRPr="00F5551F">
        <w:rPr>
          <w:rFonts w:ascii="DIN-Regular" w:hAnsi="DIN-Regular" w:cs="Arial"/>
          <w:i/>
          <w:color w:val="auto"/>
          <w:sz w:val="22"/>
          <w:szCs w:val="22"/>
        </w:rPr>
        <w:t xml:space="preserve"> policy on monitoring market conditions that can affect the liquidity of the intraday buffer;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lastRenderedPageBreak/>
        <w:t xml:space="preserve">(d) </w:t>
      </w:r>
      <w:proofErr w:type="gramStart"/>
      <w:r w:rsidRPr="00F5551F">
        <w:rPr>
          <w:rFonts w:ascii="DIN-Regular" w:hAnsi="DIN-Regular" w:cs="Arial"/>
          <w:i/>
          <w:color w:val="auto"/>
          <w:sz w:val="22"/>
          <w:szCs w:val="22"/>
        </w:rPr>
        <w:t>the</w:t>
      </w:r>
      <w:proofErr w:type="gramEnd"/>
      <w:r w:rsidRPr="00F5551F">
        <w:rPr>
          <w:rFonts w:ascii="DIN-Regular" w:hAnsi="DIN-Regular" w:cs="Arial"/>
          <w:i/>
          <w:color w:val="auto"/>
          <w:sz w:val="22"/>
          <w:szCs w:val="22"/>
        </w:rPr>
        <w:t xml:space="preserve"> value of the intraday buffer, valued and calibrated under stressed market conditions, including the scenarios referred to in Article 37(4).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t xml:space="preserve">12. For the purposes of paragraph 1, the CSD-banking service provider shall ensure that its liquid assets are under the control of a specific liquidity management function.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t xml:space="preserve">13. For the purposes of paragraph 1, the liquidity risk framework of the CSD-banking service provider shall include appropriate governance arrangements relating to the amount and form of total liquid resources the CSD-banking service provider maintains, as well as relevant adequate documentation and, in particular one of the following: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t>(a) placement of the liquid assets in a separate account under the direct management of the liquidity function</w:t>
      </w:r>
      <w:r w:rsidRPr="00F5551F">
        <w:rPr>
          <w:rFonts w:ascii="DIN-Regular" w:hAnsi="DIN-Regular" w:cs="Arial"/>
          <w:b/>
          <w:i/>
          <w:strike/>
          <w:color w:val="auto"/>
          <w:sz w:val="22"/>
          <w:szCs w:val="22"/>
        </w:rPr>
        <w:t xml:space="preserve"> with the sole intent of using them as a source of contingent funds, including during stress periods</w:t>
      </w:r>
      <w:r w:rsidRPr="00F5551F">
        <w:rPr>
          <w:rFonts w:ascii="DIN-Regular" w:hAnsi="DIN-Regular" w:cs="Arial"/>
          <w:i/>
          <w:color w:val="auto"/>
          <w:sz w:val="22"/>
          <w:szCs w:val="22"/>
        </w:rPr>
        <w:t xml:space="preserve">;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t xml:space="preserve">(b) establishment of internal systems and controls to give the liquidity management function effective operational control to monetise the holdings of liquid assets at any point in the stress period and to access the </w:t>
      </w:r>
      <w:r w:rsidRPr="00F5551F">
        <w:rPr>
          <w:rFonts w:ascii="DIN-Regular" w:hAnsi="DIN-Regular" w:cs="Arial"/>
          <w:b/>
          <w:i/>
          <w:strike/>
          <w:color w:val="auto"/>
          <w:sz w:val="22"/>
          <w:szCs w:val="22"/>
        </w:rPr>
        <w:t xml:space="preserve">contingent </w:t>
      </w:r>
      <w:r w:rsidRPr="00F5551F">
        <w:rPr>
          <w:rFonts w:ascii="DIN-Regular" w:hAnsi="DIN-Regular" w:cs="Arial"/>
          <w:i/>
          <w:color w:val="auto"/>
          <w:sz w:val="22"/>
          <w:szCs w:val="22"/>
        </w:rPr>
        <w:t xml:space="preserve">funds without directly conflicting with any existing business or risk management strategies, such that no assets are included in the liquidity buffer where their sale without replacement throughout the stress period would remove a hedge and would create an open risk position in excess of the internal limits of the CSD-banking service provider;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rPr>
          <w:rFonts w:ascii="DIN-Regular" w:hAnsi="DIN-Regular" w:cs="Arial"/>
          <w:i/>
          <w:color w:val="auto"/>
          <w:sz w:val="22"/>
          <w:szCs w:val="22"/>
        </w:rPr>
      </w:pPr>
      <w:r w:rsidRPr="00F5551F">
        <w:rPr>
          <w:rFonts w:ascii="DIN-Regular" w:hAnsi="DIN-Regular" w:cs="Arial"/>
          <w:i/>
          <w:color w:val="auto"/>
          <w:sz w:val="22"/>
          <w:szCs w:val="22"/>
        </w:rPr>
        <w:t xml:space="preserve">(c) </w:t>
      </w:r>
      <w:proofErr w:type="gramStart"/>
      <w:r w:rsidRPr="00F5551F">
        <w:rPr>
          <w:rFonts w:ascii="DIN-Regular" w:hAnsi="DIN-Regular" w:cs="Arial"/>
          <w:i/>
          <w:color w:val="auto"/>
          <w:sz w:val="22"/>
          <w:szCs w:val="22"/>
        </w:rPr>
        <w:t>a</w:t>
      </w:r>
      <w:proofErr w:type="gramEnd"/>
      <w:r w:rsidRPr="00F5551F">
        <w:rPr>
          <w:rFonts w:ascii="DIN-Regular" w:hAnsi="DIN-Regular" w:cs="Arial"/>
          <w:i/>
          <w:color w:val="auto"/>
          <w:sz w:val="22"/>
          <w:szCs w:val="22"/>
        </w:rPr>
        <w:t xml:space="preserve"> combination of points (a) and (b), where such a combination ensures a comparable result.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sz w:val="22"/>
          <w:szCs w:val="22"/>
          <w:highlight w:val="yellow"/>
          <w:lang w:eastAsia="de-DE"/>
        </w:rPr>
      </w:pPr>
    </w:p>
    <w:p w:rsidR="009366C2" w:rsidRPr="00F5551F" w:rsidRDefault="009366C2" w:rsidP="00DA6980">
      <w:pPr>
        <w:spacing w:after="240"/>
        <w:jc w:val="both"/>
        <w:rPr>
          <w:rFonts w:eastAsia="Arial Unicode MS" w:cs="Arial"/>
          <w:sz w:val="22"/>
          <w:szCs w:val="22"/>
          <w:lang w:eastAsia="en-GB"/>
        </w:rPr>
      </w:pPr>
    </w:p>
    <w:p w:rsidR="009366C2" w:rsidRDefault="00D3315B" w:rsidP="00DA6980">
      <w:pPr>
        <w:spacing w:after="240"/>
        <w:jc w:val="both"/>
        <w:rPr>
          <w:rFonts w:eastAsia="Arial Unicode MS" w:cs="Arial"/>
          <w:sz w:val="22"/>
          <w:szCs w:val="22"/>
          <w:lang w:eastAsia="en-GB"/>
        </w:rPr>
      </w:pPr>
      <w:r w:rsidRPr="00F5551F">
        <w:rPr>
          <w:rFonts w:eastAsia="Arial Unicode MS" w:cs="Arial"/>
          <w:b/>
          <w:sz w:val="22"/>
          <w:szCs w:val="22"/>
          <w:lang w:eastAsia="en-GB"/>
        </w:rPr>
        <w:t>Article 36</w:t>
      </w:r>
      <w:r w:rsidR="00A4768B" w:rsidRPr="00F5551F">
        <w:rPr>
          <w:rFonts w:eastAsia="Arial Unicode MS" w:cs="Arial"/>
          <w:b/>
          <w:sz w:val="22"/>
          <w:szCs w:val="22"/>
          <w:lang w:eastAsia="en-GB"/>
        </w:rPr>
        <w:tab/>
      </w:r>
      <w:r w:rsidR="00A4768B" w:rsidRPr="00F5551F">
        <w:rPr>
          <w:rFonts w:eastAsia="Arial Unicode MS" w:cs="Arial"/>
          <w:b/>
          <w:sz w:val="22"/>
          <w:szCs w:val="22"/>
          <w:lang w:eastAsia="en-GB"/>
        </w:rPr>
        <w:br/>
      </w:r>
      <w:r w:rsidR="009366C2" w:rsidRPr="00F5551F">
        <w:rPr>
          <w:rFonts w:eastAsia="Arial Unicode MS" w:cs="Arial"/>
          <w:sz w:val="22"/>
          <w:szCs w:val="22"/>
          <w:lang w:eastAsia="en-GB"/>
        </w:rPr>
        <w:t xml:space="preserve">(Uncommitted) credit lines granted by cash correspondent banks and depositories are a key liquidity source for CSDs. </w:t>
      </w:r>
      <w:r w:rsidR="0097691A" w:rsidRPr="00F5551F">
        <w:rPr>
          <w:rFonts w:eastAsia="Arial Unicode MS" w:cs="Arial"/>
          <w:sz w:val="22"/>
          <w:szCs w:val="22"/>
          <w:lang w:eastAsia="en-GB"/>
        </w:rPr>
        <w:t xml:space="preserve">In contrast to lines granted by money market counterparties, these lines have proved highly reliable, even in stressed conditions. </w:t>
      </w:r>
      <w:r w:rsidR="009366C2" w:rsidRPr="00F5551F">
        <w:rPr>
          <w:rFonts w:eastAsia="Arial Unicode MS" w:cs="Arial"/>
          <w:sz w:val="22"/>
          <w:szCs w:val="22"/>
          <w:lang w:eastAsia="en-GB"/>
        </w:rPr>
        <w:t>Not taking those into account distorts the liquidity position of the CSD</w:t>
      </w:r>
      <w:r w:rsidR="0097691A" w:rsidRPr="00F5551F">
        <w:rPr>
          <w:rFonts w:eastAsia="Arial Unicode MS" w:cs="Arial"/>
          <w:sz w:val="22"/>
          <w:szCs w:val="22"/>
          <w:lang w:eastAsia="en-GB"/>
        </w:rPr>
        <w:t>.</w:t>
      </w:r>
    </w:p>
    <w:p w:rsidR="00221C39" w:rsidRPr="00F5551F" w:rsidRDefault="00221C39" w:rsidP="00DA6980">
      <w:pPr>
        <w:spacing w:after="240"/>
        <w:jc w:val="both"/>
        <w:rPr>
          <w:rFonts w:eastAsia="Arial Unicode MS" w:cs="Arial"/>
          <w:sz w:val="22"/>
          <w:szCs w:val="22"/>
          <w:lang w:eastAsia="en-GB"/>
        </w:rPr>
      </w:pPr>
    </w:p>
    <w:p w:rsidR="00BA048F" w:rsidRPr="00F5551F" w:rsidRDefault="00BA048F" w:rsidP="00BA048F">
      <w:pPr>
        <w:rPr>
          <w:rFonts w:cs="Arial"/>
          <w:iCs/>
          <w:color w:val="000000"/>
          <w:sz w:val="22"/>
          <w:szCs w:val="22"/>
        </w:rPr>
      </w:pPr>
      <w:r w:rsidRPr="00F5551F">
        <w:rPr>
          <w:rFonts w:cs="Arial"/>
          <w:iCs/>
          <w:color w:val="000000"/>
          <w:sz w:val="22"/>
          <w:szCs w:val="22"/>
        </w:rPr>
        <w:t>Based on the arguments raised above we propose the following amendments to the EBA draft RTS:</w:t>
      </w:r>
    </w:p>
    <w:p w:rsidR="00BA048F" w:rsidRPr="00F5551F" w:rsidRDefault="00BA048F" w:rsidP="00BA048F">
      <w:pPr>
        <w:rPr>
          <w:rFonts w:cs="Arial"/>
          <w:iCs/>
          <w:color w:val="000000"/>
          <w:sz w:val="22"/>
          <w:szCs w:val="22"/>
        </w:rPr>
      </w:pPr>
    </w:p>
    <w:p w:rsidR="009366C2" w:rsidRPr="00F5551F" w:rsidRDefault="009366C2" w:rsidP="00DA6980">
      <w:pPr>
        <w:pBdr>
          <w:top w:val="single" w:sz="4" w:space="1" w:color="auto"/>
          <w:left w:val="single" w:sz="4" w:space="1" w:color="auto"/>
          <w:bottom w:val="single" w:sz="4" w:space="1" w:color="auto"/>
          <w:right w:val="single" w:sz="4" w:space="1" w:color="auto"/>
        </w:pBdr>
        <w:rPr>
          <w:rFonts w:cs="Arial"/>
          <w:i/>
          <w:iCs/>
          <w:color w:val="000000"/>
          <w:sz w:val="22"/>
          <w:szCs w:val="22"/>
        </w:rPr>
      </w:pPr>
      <w:r w:rsidRPr="00F5551F">
        <w:rPr>
          <w:rFonts w:cs="Arial"/>
          <w:b/>
          <w:i/>
          <w:iCs/>
          <w:color w:val="000000"/>
          <w:sz w:val="22"/>
          <w:szCs w:val="22"/>
        </w:rPr>
        <w:t>Article 36</w:t>
      </w:r>
      <w:r w:rsidRPr="00F5551F">
        <w:rPr>
          <w:rFonts w:cs="Arial"/>
          <w:i/>
          <w:iCs/>
          <w:color w:val="000000"/>
          <w:sz w:val="22"/>
          <w:szCs w:val="22"/>
        </w:rPr>
        <w:t>- Qualifying liquid resources</w:t>
      </w:r>
    </w:p>
    <w:p w:rsidR="009366C2" w:rsidRPr="00F5551F" w:rsidRDefault="009366C2" w:rsidP="00DA6980">
      <w:pPr>
        <w:pBdr>
          <w:top w:val="single" w:sz="4" w:space="1" w:color="auto"/>
          <w:left w:val="single" w:sz="4" w:space="1" w:color="auto"/>
          <w:bottom w:val="single" w:sz="4" w:space="1" w:color="auto"/>
          <w:right w:val="single" w:sz="4" w:space="1" w:color="auto"/>
        </w:pBdr>
        <w:rPr>
          <w:rFonts w:cs="Arial"/>
          <w:i/>
          <w:iCs/>
          <w:color w:val="000000"/>
          <w:sz w:val="22"/>
          <w:szCs w:val="22"/>
        </w:rPr>
      </w:pPr>
      <w:r w:rsidRPr="00F5551F">
        <w:rPr>
          <w:rFonts w:cs="Arial"/>
          <w:i/>
          <w:iCs/>
          <w:color w:val="000000"/>
          <w:sz w:val="22"/>
          <w:szCs w:val="22"/>
        </w:rPr>
        <w:t>For the purposes of point (c) of Article 30, a CSD-banking service provider shall control, manage, and mitigate corresponding liquidity risks, including intraday liquidity risks, in each currency using the following qualifying liquid resources:</w:t>
      </w:r>
    </w:p>
    <w:p w:rsidR="009366C2" w:rsidRPr="00F5551F" w:rsidRDefault="009366C2" w:rsidP="00DA6980">
      <w:pPr>
        <w:pBdr>
          <w:top w:val="single" w:sz="4" w:space="1" w:color="auto"/>
          <w:left w:val="single" w:sz="4" w:space="1" w:color="auto"/>
          <w:bottom w:val="single" w:sz="4" w:space="1" w:color="auto"/>
          <w:right w:val="single" w:sz="4" w:space="1" w:color="auto"/>
        </w:pBdr>
        <w:rPr>
          <w:rFonts w:cs="Arial"/>
          <w:i/>
          <w:iCs/>
          <w:color w:val="000000"/>
          <w:sz w:val="22"/>
          <w:szCs w:val="22"/>
        </w:rPr>
      </w:pPr>
      <w:r w:rsidRPr="00F5551F">
        <w:rPr>
          <w:rFonts w:cs="Arial"/>
          <w:i/>
          <w:iCs/>
          <w:color w:val="000000"/>
          <w:sz w:val="22"/>
          <w:szCs w:val="22"/>
        </w:rPr>
        <w:t xml:space="preserve">(a) </w:t>
      </w:r>
      <w:proofErr w:type="gramStart"/>
      <w:r w:rsidRPr="00F5551F">
        <w:rPr>
          <w:rFonts w:cs="Arial"/>
          <w:i/>
          <w:iCs/>
          <w:color w:val="000000"/>
          <w:sz w:val="22"/>
          <w:szCs w:val="22"/>
        </w:rPr>
        <w:t>cash</w:t>
      </w:r>
      <w:proofErr w:type="gramEnd"/>
      <w:r w:rsidRPr="00F5551F">
        <w:rPr>
          <w:rFonts w:cs="Arial"/>
          <w:i/>
          <w:iCs/>
          <w:color w:val="000000"/>
          <w:sz w:val="22"/>
          <w:szCs w:val="22"/>
        </w:rPr>
        <w:t xml:space="preserve"> deposited at a central bank of issue;</w:t>
      </w:r>
    </w:p>
    <w:p w:rsidR="009366C2" w:rsidRPr="00F5551F" w:rsidRDefault="009366C2" w:rsidP="00DA6980">
      <w:pPr>
        <w:pBdr>
          <w:top w:val="single" w:sz="4" w:space="1" w:color="auto"/>
          <w:left w:val="single" w:sz="4" w:space="1" w:color="auto"/>
          <w:bottom w:val="single" w:sz="4" w:space="1" w:color="auto"/>
          <w:right w:val="single" w:sz="4" w:space="1" w:color="auto"/>
        </w:pBdr>
        <w:rPr>
          <w:rFonts w:cs="Arial"/>
          <w:i/>
          <w:iCs/>
          <w:color w:val="000000"/>
          <w:sz w:val="22"/>
          <w:szCs w:val="22"/>
        </w:rPr>
      </w:pPr>
      <w:r w:rsidRPr="00F5551F">
        <w:rPr>
          <w:rFonts w:cs="Arial"/>
          <w:i/>
          <w:iCs/>
          <w:color w:val="000000"/>
          <w:sz w:val="22"/>
          <w:szCs w:val="22"/>
        </w:rPr>
        <w:t xml:space="preserve">(b) </w:t>
      </w:r>
      <w:proofErr w:type="gramStart"/>
      <w:r w:rsidRPr="00F5551F">
        <w:rPr>
          <w:rFonts w:cs="Arial"/>
          <w:i/>
          <w:iCs/>
          <w:color w:val="000000"/>
          <w:sz w:val="22"/>
          <w:szCs w:val="22"/>
        </w:rPr>
        <w:t>cash</w:t>
      </w:r>
      <w:proofErr w:type="gramEnd"/>
      <w:r w:rsidRPr="00F5551F">
        <w:rPr>
          <w:rFonts w:cs="Arial"/>
          <w:i/>
          <w:iCs/>
          <w:color w:val="000000"/>
          <w:sz w:val="22"/>
          <w:szCs w:val="22"/>
        </w:rPr>
        <w:t xml:space="preserve"> deposited at creditworthy financial institutions;</w:t>
      </w:r>
    </w:p>
    <w:p w:rsidR="009366C2" w:rsidRPr="00F5551F" w:rsidRDefault="009366C2" w:rsidP="00DA6980">
      <w:pPr>
        <w:pBdr>
          <w:top w:val="single" w:sz="4" w:space="1" w:color="auto"/>
          <w:left w:val="single" w:sz="4" w:space="1" w:color="auto"/>
          <w:bottom w:val="single" w:sz="4" w:space="1" w:color="auto"/>
          <w:right w:val="single" w:sz="4" w:space="1" w:color="auto"/>
        </w:pBdr>
        <w:rPr>
          <w:rFonts w:cs="Arial"/>
          <w:i/>
          <w:iCs/>
          <w:color w:val="000000"/>
          <w:sz w:val="22"/>
          <w:szCs w:val="22"/>
        </w:rPr>
      </w:pPr>
      <w:r w:rsidRPr="00F5551F">
        <w:rPr>
          <w:rFonts w:cs="Arial"/>
          <w:i/>
          <w:iCs/>
          <w:color w:val="000000"/>
          <w:sz w:val="22"/>
          <w:szCs w:val="22"/>
        </w:rPr>
        <w:t xml:space="preserve">(c) </w:t>
      </w:r>
      <w:proofErr w:type="gramStart"/>
      <w:r w:rsidRPr="00F5551F">
        <w:rPr>
          <w:rFonts w:cs="Arial"/>
          <w:i/>
          <w:iCs/>
          <w:color w:val="000000"/>
          <w:sz w:val="22"/>
          <w:szCs w:val="22"/>
        </w:rPr>
        <w:t>committed</w:t>
      </w:r>
      <w:proofErr w:type="gramEnd"/>
      <w:r w:rsidRPr="00F5551F">
        <w:rPr>
          <w:rFonts w:cs="Arial"/>
          <w:i/>
          <w:iCs/>
          <w:color w:val="000000"/>
          <w:sz w:val="22"/>
          <w:szCs w:val="22"/>
        </w:rPr>
        <w:t xml:space="preserve"> </w:t>
      </w:r>
      <w:r w:rsidR="0097691A" w:rsidRPr="00F5551F">
        <w:rPr>
          <w:rFonts w:cs="Arial"/>
          <w:b/>
          <w:i/>
          <w:iCs/>
          <w:color w:val="000000"/>
          <w:sz w:val="22"/>
          <w:szCs w:val="22"/>
        </w:rPr>
        <w:t xml:space="preserve">and uncommitted </w:t>
      </w:r>
      <w:r w:rsidRPr="00F5551F">
        <w:rPr>
          <w:rFonts w:cs="Arial"/>
          <w:i/>
          <w:iCs/>
          <w:color w:val="000000"/>
          <w:sz w:val="22"/>
          <w:szCs w:val="22"/>
        </w:rPr>
        <w:t>lines of credit, letters of credit, or similar agreements;</w:t>
      </w:r>
    </w:p>
    <w:p w:rsidR="009366C2" w:rsidRPr="00F5551F" w:rsidRDefault="009366C2" w:rsidP="00DA6980">
      <w:pPr>
        <w:pBdr>
          <w:top w:val="single" w:sz="4" w:space="1" w:color="auto"/>
          <w:left w:val="single" w:sz="4" w:space="1" w:color="auto"/>
          <w:bottom w:val="single" w:sz="4" w:space="1" w:color="auto"/>
          <w:right w:val="single" w:sz="4" w:space="1" w:color="auto"/>
        </w:pBdr>
        <w:rPr>
          <w:rFonts w:cs="Arial"/>
          <w:i/>
          <w:iCs/>
          <w:color w:val="000000"/>
          <w:sz w:val="22"/>
          <w:szCs w:val="22"/>
        </w:rPr>
      </w:pPr>
      <w:r w:rsidRPr="00F5551F">
        <w:rPr>
          <w:rFonts w:cs="Arial"/>
          <w:i/>
          <w:iCs/>
          <w:color w:val="000000"/>
          <w:sz w:val="22"/>
          <w:szCs w:val="22"/>
        </w:rPr>
        <w:t>(d) highly liquid collateral with minimum credit and market risk referred to in Article 19 or investments compliant with [ESMA delegated act on Investment policy according to Article 46 of CSD</w:t>
      </w:r>
      <w:r w:rsidR="00BC4D9A" w:rsidRPr="00F5551F">
        <w:rPr>
          <w:rFonts w:cs="Arial"/>
          <w:i/>
          <w:iCs/>
          <w:color w:val="000000"/>
          <w:sz w:val="22"/>
          <w:szCs w:val="22"/>
        </w:rPr>
        <w:t>-</w:t>
      </w:r>
      <w:r w:rsidRPr="00F5551F">
        <w:rPr>
          <w:rFonts w:cs="Arial"/>
          <w:i/>
          <w:iCs/>
          <w:color w:val="000000"/>
          <w:sz w:val="22"/>
          <w:szCs w:val="22"/>
        </w:rPr>
        <w:t>R] that are readily available and convertible into cash with prearranged and highly reliable funding arrangements as referred to in Article 39;</w:t>
      </w:r>
    </w:p>
    <w:p w:rsidR="009366C2" w:rsidRPr="00F5551F" w:rsidRDefault="009366C2" w:rsidP="00DA6980">
      <w:pPr>
        <w:pBdr>
          <w:top w:val="single" w:sz="4" w:space="1" w:color="auto"/>
          <w:left w:val="single" w:sz="4" w:space="1" w:color="auto"/>
          <w:bottom w:val="single" w:sz="4" w:space="1" w:color="auto"/>
          <w:right w:val="single" w:sz="4" w:space="1" w:color="auto"/>
        </w:pBdr>
        <w:rPr>
          <w:rFonts w:cs="Arial"/>
          <w:i/>
          <w:iCs/>
          <w:sz w:val="22"/>
          <w:szCs w:val="22"/>
        </w:rPr>
      </w:pPr>
      <w:r w:rsidRPr="00F5551F">
        <w:rPr>
          <w:rFonts w:cs="Arial"/>
          <w:i/>
          <w:iCs/>
          <w:color w:val="000000"/>
          <w:sz w:val="22"/>
          <w:szCs w:val="22"/>
        </w:rPr>
        <w:lastRenderedPageBreak/>
        <w:t xml:space="preserve">(e) </w:t>
      </w:r>
      <w:proofErr w:type="gramStart"/>
      <w:r w:rsidRPr="00F5551F">
        <w:rPr>
          <w:rFonts w:cs="Arial"/>
          <w:i/>
          <w:iCs/>
          <w:color w:val="000000"/>
          <w:sz w:val="22"/>
          <w:szCs w:val="22"/>
        </w:rPr>
        <w:t>the</w:t>
      </w:r>
      <w:proofErr w:type="gramEnd"/>
      <w:r w:rsidRPr="00F5551F">
        <w:rPr>
          <w:rFonts w:cs="Arial"/>
          <w:i/>
          <w:iCs/>
          <w:color w:val="000000"/>
          <w:sz w:val="22"/>
          <w:szCs w:val="22"/>
        </w:rPr>
        <w:t xml:space="preserve"> collateral referred to in Article 20</w:t>
      </w:r>
      <w:r w:rsidR="00AF52DD" w:rsidRPr="00F5551F">
        <w:rPr>
          <w:rFonts w:cs="Arial"/>
          <w:i/>
          <w:iCs/>
          <w:color w:val="000000"/>
          <w:sz w:val="22"/>
          <w:szCs w:val="22"/>
        </w:rPr>
        <w:t xml:space="preserve"> </w:t>
      </w:r>
      <w:r w:rsidRPr="00F5551F">
        <w:rPr>
          <w:rFonts w:cs="Arial"/>
          <w:i/>
          <w:iCs/>
          <w:color w:val="000000"/>
          <w:sz w:val="22"/>
          <w:szCs w:val="22"/>
        </w:rPr>
        <w:t>(1) that is eligible for pledging to a central bank, where the CSD-banking service provider has access to routine credit at that central bank.</w:t>
      </w:r>
    </w:p>
    <w:p w:rsidR="009366C2" w:rsidRPr="00F5551F" w:rsidRDefault="009366C2" w:rsidP="00DA6980">
      <w:pPr>
        <w:pBdr>
          <w:top w:val="single" w:sz="4" w:space="1" w:color="auto"/>
          <w:left w:val="single" w:sz="4" w:space="1" w:color="auto"/>
          <w:bottom w:val="single" w:sz="4" w:space="1" w:color="auto"/>
          <w:right w:val="single" w:sz="4" w:space="1" w:color="auto"/>
        </w:pBdr>
        <w:rPr>
          <w:rFonts w:cs="Arial"/>
          <w:i/>
          <w:iCs/>
          <w:sz w:val="22"/>
          <w:szCs w:val="22"/>
        </w:rPr>
      </w:pPr>
    </w:p>
    <w:p w:rsidR="00BA048F" w:rsidRPr="00F5551F" w:rsidRDefault="00BA048F" w:rsidP="00DA6980">
      <w:pPr>
        <w:spacing w:after="240"/>
        <w:jc w:val="both"/>
        <w:rPr>
          <w:rFonts w:eastAsia="Arial Unicode MS" w:cs="Arial"/>
          <w:sz w:val="22"/>
          <w:szCs w:val="22"/>
          <w:lang w:eastAsia="en-GB"/>
        </w:rPr>
      </w:pPr>
    </w:p>
    <w:p w:rsidR="009366C2" w:rsidRPr="00F5551F" w:rsidRDefault="00D3315B" w:rsidP="00DA6980">
      <w:pPr>
        <w:spacing w:after="240"/>
        <w:jc w:val="both"/>
        <w:rPr>
          <w:rFonts w:eastAsia="Arial Unicode MS" w:cs="Arial"/>
          <w:sz w:val="22"/>
          <w:szCs w:val="22"/>
          <w:lang w:eastAsia="en-GB"/>
        </w:rPr>
      </w:pPr>
      <w:r w:rsidRPr="00F5551F">
        <w:rPr>
          <w:rFonts w:eastAsia="Arial Unicode MS" w:cs="Arial"/>
          <w:b/>
          <w:sz w:val="22"/>
          <w:szCs w:val="22"/>
          <w:lang w:eastAsia="en-GB"/>
        </w:rPr>
        <w:t>Article 37</w:t>
      </w:r>
      <w:r w:rsidR="00A4768B" w:rsidRPr="00F5551F">
        <w:rPr>
          <w:rFonts w:eastAsia="Arial Unicode MS" w:cs="Arial"/>
          <w:b/>
          <w:sz w:val="22"/>
          <w:szCs w:val="22"/>
          <w:lang w:eastAsia="en-GB"/>
        </w:rPr>
        <w:tab/>
      </w:r>
      <w:r w:rsidR="00A4768B" w:rsidRPr="00F5551F">
        <w:rPr>
          <w:rFonts w:eastAsia="Arial Unicode MS" w:cs="Arial"/>
          <w:b/>
          <w:sz w:val="22"/>
          <w:szCs w:val="22"/>
          <w:lang w:eastAsia="en-GB"/>
        </w:rPr>
        <w:br/>
      </w:r>
      <w:r w:rsidR="009366C2" w:rsidRPr="00F5551F">
        <w:rPr>
          <w:rFonts w:eastAsia="Arial Unicode MS" w:cs="Arial"/>
          <w:sz w:val="22"/>
          <w:szCs w:val="22"/>
          <w:lang w:eastAsia="en-GB"/>
        </w:rPr>
        <w:t>In general, the scope and consequences of the proposed stress testing seems excessive and likely to place an unmanageable burden on CSDs.</w:t>
      </w:r>
    </w:p>
    <w:p w:rsidR="009366C2" w:rsidRPr="00F5551F" w:rsidRDefault="00F5551F" w:rsidP="00DA6980">
      <w:pPr>
        <w:jc w:val="both"/>
        <w:rPr>
          <w:rFonts w:eastAsia="Arial Unicode MS" w:cs="Arial"/>
          <w:sz w:val="22"/>
          <w:szCs w:val="22"/>
          <w:lang w:eastAsia="en-GB"/>
        </w:rPr>
      </w:pPr>
      <w:r w:rsidRPr="00F5551F">
        <w:rPr>
          <w:rFonts w:eastAsia="Arial Unicode MS" w:cs="Arial"/>
          <w:sz w:val="22"/>
          <w:szCs w:val="22"/>
          <w:lang w:eastAsia="en-GB"/>
        </w:rPr>
        <w:t>Article 37</w:t>
      </w:r>
      <w:r>
        <w:rPr>
          <w:rFonts w:eastAsia="Arial Unicode MS" w:cs="Arial"/>
          <w:sz w:val="22"/>
          <w:szCs w:val="22"/>
          <w:lang w:eastAsia="en-GB"/>
        </w:rPr>
        <w:t>(</w:t>
      </w:r>
      <w:r w:rsidRPr="00F5551F">
        <w:rPr>
          <w:rFonts w:eastAsia="Arial Unicode MS" w:cs="Arial"/>
          <w:sz w:val="22"/>
          <w:szCs w:val="22"/>
          <w:lang w:eastAsia="en-GB"/>
        </w:rPr>
        <w:t>2</w:t>
      </w:r>
      <w:proofErr w:type="gramStart"/>
      <w:r>
        <w:rPr>
          <w:rFonts w:eastAsia="Arial Unicode MS" w:cs="Arial"/>
          <w:sz w:val="22"/>
          <w:szCs w:val="22"/>
          <w:lang w:eastAsia="en-GB"/>
        </w:rPr>
        <w:t xml:space="preserve">) </w:t>
      </w:r>
      <w:r w:rsidRPr="00F5551F">
        <w:rPr>
          <w:rFonts w:eastAsia="Arial Unicode MS" w:cs="Arial"/>
          <w:sz w:val="22"/>
          <w:szCs w:val="22"/>
          <w:lang w:eastAsia="en-GB"/>
        </w:rPr>
        <w:t xml:space="preserve"> </w:t>
      </w:r>
      <w:r w:rsidR="009366C2" w:rsidRPr="00F5551F">
        <w:rPr>
          <w:rFonts w:eastAsia="Arial Unicode MS" w:cs="Arial"/>
          <w:sz w:val="22"/>
          <w:szCs w:val="22"/>
          <w:lang w:eastAsia="en-GB"/>
        </w:rPr>
        <w:t>All</w:t>
      </w:r>
      <w:proofErr w:type="gramEnd"/>
      <w:r w:rsidR="009366C2" w:rsidRPr="00F5551F">
        <w:rPr>
          <w:rFonts w:eastAsia="Arial Unicode MS" w:cs="Arial"/>
          <w:sz w:val="22"/>
          <w:szCs w:val="22"/>
          <w:lang w:eastAsia="en-GB"/>
        </w:rPr>
        <w:t xml:space="preserve"> liquidity providers are banks whose core business is extending credit and who our subject to prudential supervision. A requirement to obtain confidence that the bank is able to manage its liquidity risk should rather be in scope of the prudential supervision than allocated to individual borrowers. We rather propose to get confidence in the availability of the granted credit lines by establishing a regular testing schedule of these lines.</w:t>
      </w:r>
    </w:p>
    <w:p w:rsidR="009366C2" w:rsidRPr="00F5551F" w:rsidRDefault="009366C2" w:rsidP="00DA6980">
      <w:pPr>
        <w:pStyle w:val="ListParagraph"/>
        <w:spacing w:line="240" w:lineRule="auto"/>
        <w:ind w:left="0"/>
        <w:jc w:val="both"/>
        <w:rPr>
          <w:rFonts w:ascii="DIN-Regular" w:eastAsia="Arial Unicode MS" w:hAnsi="DIN-Regular" w:cs="Arial"/>
          <w:szCs w:val="22"/>
          <w:lang w:eastAsia="en-GB"/>
        </w:rPr>
      </w:pPr>
    </w:p>
    <w:p w:rsidR="009366C2" w:rsidRPr="00F5551F" w:rsidRDefault="00F5551F" w:rsidP="00DA6980">
      <w:pPr>
        <w:pStyle w:val="ListParagraph"/>
        <w:spacing w:line="240" w:lineRule="auto"/>
        <w:ind w:left="0"/>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Article</w:t>
      </w:r>
      <w:r>
        <w:rPr>
          <w:rFonts w:ascii="DIN-Regular" w:eastAsia="Arial Unicode MS" w:hAnsi="DIN-Regular" w:cs="Arial"/>
          <w:szCs w:val="22"/>
          <w:lang w:eastAsia="en-GB"/>
        </w:rPr>
        <w:t xml:space="preserve"> 37(3)</w:t>
      </w:r>
      <w:r w:rsidRPr="00F5551F">
        <w:rPr>
          <w:rFonts w:ascii="DIN-Regular" w:eastAsia="Arial Unicode MS" w:hAnsi="DIN-Regular" w:cs="Arial"/>
          <w:szCs w:val="22"/>
          <w:lang w:eastAsia="en-GB"/>
        </w:rPr>
        <w:t xml:space="preserve"> </w:t>
      </w:r>
      <w:proofErr w:type="gramStart"/>
      <w:r w:rsidR="009366C2" w:rsidRPr="00F5551F">
        <w:rPr>
          <w:rFonts w:ascii="DIN-Regular" w:eastAsia="Arial Unicode MS" w:hAnsi="DIN-Regular" w:cs="Arial"/>
          <w:szCs w:val="22"/>
          <w:lang w:eastAsia="en-GB"/>
        </w:rPr>
        <w:t>The</w:t>
      </w:r>
      <w:proofErr w:type="gramEnd"/>
      <w:r w:rsidR="009366C2" w:rsidRPr="00F5551F">
        <w:rPr>
          <w:rFonts w:ascii="DIN-Regular" w:eastAsia="Arial Unicode MS" w:hAnsi="DIN-Regular" w:cs="Arial"/>
          <w:szCs w:val="22"/>
          <w:lang w:eastAsia="en-GB"/>
        </w:rPr>
        <w:t xml:space="preserve"> likelihood of a breach in stress tests depends on the calibration of the stress tests. Countermeasures should rather be addressing the insufficiency of actual liquidity needs (or early warning indicators) rather than stress test results.</w:t>
      </w:r>
    </w:p>
    <w:p w:rsidR="009366C2" w:rsidRPr="00F5551F" w:rsidRDefault="009366C2" w:rsidP="00DA6980">
      <w:pPr>
        <w:pStyle w:val="ListParagraph"/>
        <w:spacing w:line="240" w:lineRule="auto"/>
        <w:ind w:left="0"/>
        <w:jc w:val="both"/>
        <w:rPr>
          <w:rFonts w:ascii="DIN-Regular" w:eastAsia="Arial Unicode MS" w:hAnsi="DIN-Regular" w:cs="Arial"/>
          <w:szCs w:val="22"/>
          <w:lang w:eastAsia="en-GB"/>
        </w:rPr>
      </w:pPr>
    </w:p>
    <w:p w:rsidR="009366C2" w:rsidRPr="00F5551F" w:rsidRDefault="00F5551F" w:rsidP="00DA6980">
      <w:pPr>
        <w:spacing w:after="240"/>
        <w:jc w:val="both"/>
        <w:rPr>
          <w:rFonts w:eastAsia="Arial Unicode MS" w:cs="Arial"/>
          <w:sz w:val="22"/>
          <w:szCs w:val="22"/>
          <w:lang w:eastAsia="en-GB"/>
        </w:rPr>
      </w:pPr>
      <w:r w:rsidRPr="00F5551F">
        <w:rPr>
          <w:rFonts w:eastAsia="Arial Unicode MS" w:cs="Arial"/>
          <w:sz w:val="22"/>
          <w:szCs w:val="22"/>
          <w:lang w:eastAsia="en-GB"/>
        </w:rPr>
        <w:t>Article</w:t>
      </w:r>
      <w:r>
        <w:rPr>
          <w:rFonts w:eastAsia="Arial Unicode MS" w:cs="Arial"/>
          <w:sz w:val="22"/>
          <w:szCs w:val="22"/>
          <w:lang w:eastAsia="en-GB"/>
        </w:rPr>
        <w:t xml:space="preserve"> 37(4)</w:t>
      </w:r>
      <w:r w:rsidRPr="00F5551F">
        <w:rPr>
          <w:rFonts w:eastAsia="Arial Unicode MS" w:cs="Arial"/>
          <w:sz w:val="22"/>
          <w:szCs w:val="22"/>
          <w:lang w:eastAsia="en-GB"/>
        </w:rPr>
        <w:t xml:space="preserve"> </w:t>
      </w:r>
      <w:proofErr w:type="gramStart"/>
      <w:r w:rsidR="009366C2" w:rsidRPr="00F5551F">
        <w:rPr>
          <w:rFonts w:eastAsia="Arial Unicode MS" w:cs="Arial"/>
          <w:sz w:val="22"/>
          <w:szCs w:val="22"/>
          <w:lang w:eastAsia="en-GB"/>
        </w:rPr>
        <w:t>There</w:t>
      </w:r>
      <w:proofErr w:type="gramEnd"/>
      <w:r w:rsidR="009366C2" w:rsidRPr="00F5551F">
        <w:rPr>
          <w:rFonts w:eastAsia="Arial Unicode MS" w:cs="Arial"/>
          <w:sz w:val="22"/>
          <w:szCs w:val="22"/>
          <w:lang w:eastAsia="en-GB"/>
        </w:rPr>
        <w:t xml:space="preserve"> should be a distinction between a liquidity shortfall against actual liquidity needs and a shortfall against stress scenarios. Depending on the severity and applied confidence level of stress tests, the likelihood and practical implications of breaches may vary significantly.</w:t>
      </w:r>
    </w:p>
    <w:p w:rsidR="001A72A5" w:rsidRPr="00F5551F" w:rsidRDefault="00F5551F" w:rsidP="00DA6980">
      <w:pPr>
        <w:spacing w:after="240"/>
        <w:jc w:val="both"/>
        <w:rPr>
          <w:rFonts w:eastAsia="Arial Unicode MS" w:cs="Arial"/>
          <w:sz w:val="22"/>
          <w:szCs w:val="22"/>
          <w:lang w:eastAsia="en-GB"/>
        </w:rPr>
      </w:pPr>
      <w:r w:rsidRPr="00F5551F">
        <w:rPr>
          <w:rFonts w:eastAsia="Arial Unicode MS" w:cs="Arial"/>
          <w:sz w:val="22"/>
          <w:szCs w:val="22"/>
          <w:lang w:eastAsia="en-GB"/>
        </w:rPr>
        <w:t>Article</w:t>
      </w:r>
      <w:r>
        <w:rPr>
          <w:rFonts w:eastAsia="Arial Unicode MS" w:cs="Arial"/>
          <w:sz w:val="22"/>
          <w:szCs w:val="22"/>
          <w:lang w:eastAsia="en-GB"/>
        </w:rPr>
        <w:t xml:space="preserve"> 37(6)</w:t>
      </w:r>
      <w:r w:rsidRPr="00F5551F">
        <w:rPr>
          <w:rFonts w:eastAsia="Arial Unicode MS" w:cs="Arial"/>
          <w:sz w:val="22"/>
          <w:szCs w:val="22"/>
          <w:lang w:eastAsia="en-GB"/>
        </w:rPr>
        <w:t xml:space="preserve"> </w:t>
      </w:r>
      <w:proofErr w:type="gramStart"/>
      <w:r w:rsidR="009366C2" w:rsidRPr="00F5551F">
        <w:rPr>
          <w:rFonts w:eastAsia="Arial Unicode MS" w:cs="Arial"/>
          <w:sz w:val="22"/>
          <w:szCs w:val="22"/>
          <w:lang w:eastAsia="en-GB"/>
        </w:rPr>
        <w:t>Several</w:t>
      </w:r>
      <w:proofErr w:type="gramEnd"/>
      <w:r w:rsidR="009366C2" w:rsidRPr="00F5551F">
        <w:rPr>
          <w:rFonts w:eastAsia="Arial Unicode MS" w:cs="Arial"/>
          <w:sz w:val="22"/>
          <w:szCs w:val="22"/>
          <w:lang w:eastAsia="en-GB"/>
        </w:rPr>
        <w:t xml:space="preserve"> of the proposed stress tests seem either unmanageable or not relevant, e.g. price movements are not expected to have a material impact on the liquidity position. In order to have a manageable framework of stress tests, they should focus on the most significant risk factors, which are in our opinion a deterioration of the CSDs credit standing (“idiosyncratic” event) or an unavailability of money market credit lines (“market disruption” event).</w:t>
      </w:r>
    </w:p>
    <w:p w:rsidR="00BA048F" w:rsidRPr="00F5551F" w:rsidRDefault="00BA048F" w:rsidP="00BA048F">
      <w:pPr>
        <w:pStyle w:val="Default"/>
        <w:rPr>
          <w:rFonts w:ascii="DIN-Regular" w:hAnsi="DIN-Regular" w:cs="Arial"/>
          <w:iCs/>
          <w:sz w:val="22"/>
          <w:szCs w:val="22"/>
        </w:rPr>
      </w:pPr>
      <w:r w:rsidRPr="00F5551F">
        <w:rPr>
          <w:rFonts w:ascii="DIN-Regular" w:hAnsi="DIN-Regular" w:cs="Arial"/>
          <w:iCs/>
          <w:sz w:val="22"/>
          <w:szCs w:val="22"/>
        </w:rPr>
        <w:t>Based on the arguments raised above we propose the following amendments to the EBA draft RTS:</w:t>
      </w:r>
    </w:p>
    <w:p w:rsidR="00BA048F" w:rsidRPr="00F5551F" w:rsidRDefault="00BA048F" w:rsidP="00BA048F">
      <w:pPr>
        <w:pStyle w:val="Default"/>
        <w:rPr>
          <w:rFonts w:ascii="DIN-Regular" w:hAnsi="DIN-Regular" w:cs="Arial"/>
          <w:iCs/>
          <w:sz w:val="22"/>
          <w:szCs w:val="22"/>
        </w:rPr>
      </w:pP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rPr>
          <w:rFonts w:ascii="DIN-Regular" w:hAnsi="DIN-Regular" w:cs="Arial"/>
          <w:i/>
          <w:sz w:val="22"/>
          <w:szCs w:val="22"/>
        </w:rPr>
      </w:pPr>
      <w:r w:rsidRPr="00F5551F">
        <w:rPr>
          <w:rFonts w:ascii="DIN-Regular" w:hAnsi="DIN-Regular" w:cs="Arial"/>
          <w:b/>
          <w:i/>
          <w:iCs/>
          <w:sz w:val="22"/>
          <w:szCs w:val="22"/>
        </w:rPr>
        <w:t>Article 37</w:t>
      </w:r>
      <w:r w:rsidRPr="00F5551F">
        <w:rPr>
          <w:rFonts w:ascii="DIN-Regular" w:hAnsi="DIN-Regular" w:cs="Arial"/>
          <w:i/>
          <w:iCs/>
          <w:sz w:val="22"/>
          <w:szCs w:val="22"/>
        </w:rPr>
        <w:t xml:space="preserve"> - Stress testing liquid financial resources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i/>
          <w:sz w:val="22"/>
          <w:szCs w:val="22"/>
        </w:rPr>
        <w:t>1. For the purposes of Article 30</w:t>
      </w:r>
      <w:r w:rsidR="00AF52DD" w:rsidRPr="00F5551F">
        <w:rPr>
          <w:rFonts w:ascii="DIN-Regular" w:hAnsi="DIN-Regular" w:cs="Arial"/>
          <w:i/>
          <w:sz w:val="22"/>
          <w:szCs w:val="22"/>
        </w:rPr>
        <w:t xml:space="preserve"> </w:t>
      </w:r>
      <w:r w:rsidRPr="00F5551F">
        <w:rPr>
          <w:rFonts w:ascii="DIN-Regular" w:hAnsi="DIN-Regular" w:cs="Arial"/>
          <w:i/>
          <w:sz w:val="22"/>
          <w:szCs w:val="22"/>
        </w:rPr>
        <w:t xml:space="preserve">(c), a CSD-banking service provider shall determine and test the sufficiency of its liquidity resources at a currency level by regular and rigorous stress testing that meets all of the following requirements: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i/>
          <w:sz w:val="22"/>
          <w:szCs w:val="22"/>
        </w:rPr>
        <w:t xml:space="preserve">(a) </w:t>
      </w:r>
      <w:proofErr w:type="gramStart"/>
      <w:r w:rsidRPr="00F5551F">
        <w:rPr>
          <w:rFonts w:ascii="DIN-Regular" w:hAnsi="DIN-Regular" w:cs="Arial"/>
          <w:i/>
          <w:sz w:val="22"/>
          <w:szCs w:val="22"/>
        </w:rPr>
        <w:t>is</w:t>
      </w:r>
      <w:proofErr w:type="gramEnd"/>
      <w:r w:rsidRPr="00F5551F">
        <w:rPr>
          <w:rFonts w:ascii="DIN-Regular" w:hAnsi="DIN-Regular" w:cs="Arial"/>
          <w:i/>
          <w:sz w:val="22"/>
          <w:szCs w:val="22"/>
        </w:rPr>
        <w:t xml:space="preserve"> conducted on the basis of the scenarios referred to in Article 35</w:t>
      </w:r>
      <w:r w:rsidR="00AF52DD" w:rsidRPr="00F5551F">
        <w:rPr>
          <w:rFonts w:ascii="DIN-Regular" w:hAnsi="DIN-Regular" w:cs="Arial"/>
          <w:i/>
          <w:sz w:val="22"/>
          <w:szCs w:val="22"/>
        </w:rPr>
        <w:t xml:space="preserve"> </w:t>
      </w:r>
      <w:r w:rsidRPr="00F5551F">
        <w:rPr>
          <w:rFonts w:ascii="DIN-Regular" w:hAnsi="DIN-Regular" w:cs="Arial"/>
          <w:i/>
          <w:sz w:val="22"/>
          <w:szCs w:val="22"/>
        </w:rPr>
        <w:t xml:space="preserve">(3) and (4), as well as the specific scenarios identified in paragraph 6;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i/>
          <w:sz w:val="22"/>
          <w:szCs w:val="22"/>
        </w:rPr>
        <w:t>(</w:t>
      </w:r>
      <w:proofErr w:type="gramStart"/>
      <w:r w:rsidRPr="00F5551F">
        <w:rPr>
          <w:rFonts w:ascii="DIN-Regular" w:hAnsi="DIN-Regular" w:cs="Arial"/>
          <w:i/>
          <w:sz w:val="22"/>
          <w:szCs w:val="22"/>
        </w:rPr>
        <w:t>b</w:t>
      </w:r>
      <w:proofErr w:type="gramEnd"/>
      <w:r w:rsidRPr="00F5551F">
        <w:rPr>
          <w:rFonts w:ascii="DIN-Regular" w:hAnsi="DIN-Regular" w:cs="Arial"/>
          <w:i/>
          <w:sz w:val="22"/>
          <w:szCs w:val="22"/>
        </w:rPr>
        <w:t xml:space="preserve">) includes intraday scenarios regular testing of the CSD-banking service provider’s procedures for accessing its liquid resources from a liquidity provider;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i/>
          <w:sz w:val="22"/>
          <w:szCs w:val="22"/>
        </w:rPr>
        <w:t xml:space="preserve">(c) </w:t>
      </w:r>
      <w:proofErr w:type="gramStart"/>
      <w:r w:rsidRPr="00F5551F">
        <w:rPr>
          <w:rFonts w:ascii="DIN-Regular" w:hAnsi="DIN-Regular" w:cs="Arial"/>
          <w:i/>
          <w:sz w:val="22"/>
          <w:szCs w:val="22"/>
        </w:rPr>
        <w:t>complies</w:t>
      </w:r>
      <w:proofErr w:type="gramEnd"/>
      <w:r w:rsidRPr="00F5551F">
        <w:rPr>
          <w:rFonts w:ascii="DIN-Regular" w:hAnsi="DIN-Regular" w:cs="Arial"/>
          <w:i/>
          <w:sz w:val="22"/>
          <w:szCs w:val="22"/>
        </w:rPr>
        <w:t xml:space="preserve">, in particular, with the requirements of paragraphs 2 to 6.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i/>
          <w:sz w:val="22"/>
          <w:szCs w:val="22"/>
        </w:rPr>
        <w:t xml:space="preserve">2. For the purposes of paragraph 1, the CSD-banking service provider shall obtain a high degree of confidence, at least through </w:t>
      </w:r>
      <w:r w:rsidRPr="00F5551F">
        <w:rPr>
          <w:rFonts w:ascii="DIN-Regular" w:hAnsi="DIN-Regular" w:cs="Arial"/>
          <w:b/>
          <w:i/>
          <w:strike/>
          <w:sz w:val="22"/>
          <w:szCs w:val="22"/>
        </w:rPr>
        <w:t xml:space="preserve">rigorous due diligence and </w:t>
      </w:r>
      <w:proofErr w:type="spellStart"/>
      <w:r w:rsidRPr="00F5551F">
        <w:rPr>
          <w:rFonts w:ascii="DIN-Regular" w:hAnsi="DIN-Regular" w:cs="Arial"/>
          <w:b/>
          <w:i/>
          <w:strike/>
          <w:sz w:val="22"/>
          <w:szCs w:val="22"/>
        </w:rPr>
        <w:t>stress</w:t>
      </w:r>
      <w:r w:rsidR="00D66517" w:rsidRPr="00F5551F">
        <w:rPr>
          <w:rFonts w:ascii="DIN-Regular" w:hAnsi="DIN-Regular" w:cs="Arial"/>
          <w:b/>
          <w:i/>
          <w:sz w:val="22"/>
          <w:szCs w:val="22"/>
        </w:rPr>
        <w:t>regular</w:t>
      </w:r>
      <w:proofErr w:type="spellEnd"/>
      <w:r w:rsidRPr="00F5551F">
        <w:rPr>
          <w:rFonts w:ascii="DIN-Regular" w:hAnsi="DIN-Regular" w:cs="Arial"/>
          <w:i/>
          <w:sz w:val="22"/>
          <w:szCs w:val="22"/>
        </w:rPr>
        <w:t xml:space="preserve"> testing, that each liquidity provider </w:t>
      </w:r>
      <w:r w:rsidR="00D66517" w:rsidRPr="00F5551F">
        <w:rPr>
          <w:rFonts w:ascii="DIN-Regular" w:hAnsi="DIN-Regular" w:cs="Arial"/>
          <w:b/>
          <w:i/>
          <w:sz w:val="22"/>
          <w:szCs w:val="22"/>
        </w:rPr>
        <w:t xml:space="preserve">is able to fulfil its obligation stemming from the liquidity </w:t>
      </w:r>
      <w:proofErr w:type="spellStart"/>
      <w:r w:rsidR="00D66517" w:rsidRPr="00F5551F">
        <w:rPr>
          <w:rFonts w:ascii="DIN-Regular" w:hAnsi="DIN-Regular" w:cs="Arial"/>
          <w:b/>
          <w:i/>
          <w:sz w:val="22"/>
          <w:szCs w:val="22"/>
        </w:rPr>
        <w:t>arrangements</w:t>
      </w:r>
      <w:r w:rsidRPr="00F5551F">
        <w:rPr>
          <w:rFonts w:ascii="DIN-Regular" w:hAnsi="DIN-Regular" w:cs="Arial"/>
          <w:b/>
          <w:i/>
          <w:strike/>
          <w:sz w:val="22"/>
          <w:szCs w:val="22"/>
        </w:rPr>
        <w:t>of</w:t>
      </w:r>
      <w:proofErr w:type="spellEnd"/>
      <w:r w:rsidRPr="00F5551F">
        <w:rPr>
          <w:rFonts w:ascii="DIN-Regular" w:hAnsi="DIN-Regular" w:cs="Arial"/>
          <w:b/>
          <w:i/>
          <w:strike/>
          <w:sz w:val="22"/>
          <w:szCs w:val="22"/>
        </w:rPr>
        <w:t xml:space="preserve"> its minimum required qualifying liquid resources established in accordance with Article 36 has sufficient information to understand and to </w:t>
      </w:r>
      <w:r w:rsidRPr="00F5551F">
        <w:rPr>
          <w:rFonts w:ascii="DIN-Regular" w:hAnsi="DIN-Regular" w:cs="Arial"/>
          <w:b/>
          <w:i/>
          <w:strike/>
          <w:sz w:val="22"/>
          <w:szCs w:val="22"/>
        </w:rPr>
        <w:lastRenderedPageBreak/>
        <w:t>manage its associated liquidity risk, and that it has the capacity to perform as required under a prearranged funding arrangement as referred to in point (d) of Article 59(4) of Regulation (EU) No 909/2014.</w:t>
      </w:r>
      <w:r w:rsidRPr="00F5551F">
        <w:rPr>
          <w:rFonts w:ascii="DIN-Regular" w:hAnsi="DIN-Regular" w:cs="Arial"/>
          <w:i/>
          <w:sz w:val="22"/>
          <w:szCs w:val="22"/>
        </w:rPr>
        <w:t xml:space="preserve">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i/>
          <w:sz w:val="22"/>
          <w:szCs w:val="22"/>
        </w:rPr>
        <w:t>3. For the purposes of paragraph 1, the CSD-banking service provider shall have rules and procedures to address the insufficiency of qualifying liquid financial resources</w:t>
      </w:r>
      <w:r w:rsidRPr="00F5551F">
        <w:rPr>
          <w:rFonts w:ascii="DIN-Regular" w:hAnsi="DIN-Regular" w:cs="Arial"/>
          <w:b/>
          <w:i/>
          <w:strike/>
          <w:sz w:val="22"/>
          <w:szCs w:val="22"/>
        </w:rPr>
        <w:t xml:space="preserve"> highlighted by its stress tests</w:t>
      </w:r>
      <w:r w:rsidRPr="00F5551F">
        <w:rPr>
          <w:rFonts w:ascii="DIN-Regular" w:hAnsi="DIN-Regular" w:cs="Arial"/>
          <w:i/>
          <w:sz w:val="22"/>
          <w:szCs w:val="22"/>
        </w:rPr>
        <w:t xml:space="preserve">.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i/>
          <w:sz w:val="22"/>
          <w:szCs w:val="22"/>
        </w:rPr>
        <w:t>4. For the purposes of paragraph 1, where the stress tests result in breaches to the agreed risk appetite referred to in point (c) of Article 33</w:t>
      </w:r>
      <w:r w:rsidR="00AF52DD" w:rsidRPr="00F5551F">
        <w:rPr>
          <w:rFonts w:ascii="DIN-Regular" w:hAnsi="DIN-Regular" w:cs="Arial"/>
          <w:i/>
          <w:sz w:val="22"/>
          <w:szCs w:val="22"/>
        </w:rPr>
        <w:t xml:space="preserve"> </w:t>
      </w:r>
      <w:r w:rsidRPr="00F5551F">
        <w:rPr>
          <w:rFonts w:ascii="DIN-Regular" w:hAnsi="DIN-Regular" w:cs="Arial"/>
          <w:i/>
          <w:sz w:val="22"/>
          <w:szCs w:val="22"/>
        </w:rPr>
        <w:t xml:space="preserve">(2), the CSD-banking service provider shall: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i/>
          <w:sz w:val="22"/>
          <w:szCs w:val="22"/>
        </w:rPr>
        <w:t xml:space="preserve">(a) </w:t>
      </w:r>
      <w:proofErr w:type="gramStart"/>
      <w:r w:rsidRPr="00F5551F">
        <w:rPr>
          <w:rFonts w:ascii="DIN-Regular" w:hAnsi="DIN-Regular" w:cs="Arial"/>
          <w:i/>
          <w:sz w:val="22"/>
          <w:szCs w:val="22"/>
        </w:rPr>
        <w:t>report</w:t>
      </w:r>
      <w:proofErr w:type="gramEnd"/>
      <w:r w:rsidRPr="00F5551F">
        <w:rPr>
          <w:rFonts w:ascii="DIN-Regular" w:hAnsi="DIN-Regular" w:cs="Arial"/>
          <w:i/>
          <w:sz w:val="22"/>
          <w:szCs w:val="22"/>
        </w:rPr>
        <w:t xml:space="preserve"> to both its own risk committee and, where relevant, to the risk committee of the CSD the results of the stress tests;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b/>
          <w:i/>
          <w:strike/>
          <w:sz w:val="22"/>
          <w:szCs w:val="22"/>
        </w:rPr>
      </w:pPr>
      <w:r w:rsidRPr="00E171D6">
        <w:rPr>
          <w:rFonts w:ascii="DIN-Regular" w:hAnsi="DIN-Regular" w:cs="Arial"/>
          <w:b/>
          <w:i/>
          <w:strike/>
          <w:sz w:val="22"/>
          <w:szCs w:val="22"/>
        </w:rPr>
        <w:t>(</w:t>
      </w:r>
      <w:r w:rsidRPr="00D65895">
        <w:rPr>
          <w:rFonts w:ascii="DIN-Regular" w:hAnsi="DIN-Regular" w:cs="Arial"/>
          <w:b/>
          <w:i/>
          <w:strike/>
          <w:sz w:val="22"/>
          <w:szCs w:val="22"/>
        </w:rPr>
        <w:t>b)</w:t>
      </w:r>
      <w:r w:rsidRPr="00F5551F">
        <w:rPr>
          <w:rFonts w:ascii="DIN-Regular" w:hAnsi="DIN-Regular" w:cs="Arial"/>
          <w:b/>
          <w:i/>
          <w:strike/>
          <w:sz w:val="22"/>
          <w:szCs w:val="22"/>
        </w:rPr>
        <w:t xml:space="preserve"> where breaches cannot be restored by the end of the day, the CSD-banking service provider shall review and adjust its contingency plan referred to in point (d) of Article 33(2) accordingly;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i/>
          <w:sz w:val="22"/>
          <w:szCs w:val="22"/>
        </w:rPr>
        <w:t xml:space="preserve">(c) </w:t>
      </w:r>
      <w:proofErr w:type="gramStart"/>
      <w:r w:rsidRPr="00F5551F">
        <w:rPr>
          <w:rFonts w:ascii="DIN-Regular" w:hAnsi="DIN-Regular" w:cs="Arial"/>
          <w:i/>
          <w:sz w:val="22"/>
          <w:szCs w:val="22"/>
        </w:rPr>
        <w:t>have</w:t>
      </w:r>
      <w:proofErr w:type="gramEnd"/>
      <w:r w:rsidRPr="00F5551F">
        <w:rPr>
          <w:rFonts w:ascii="DIN-Regular" w:hAnsi="DIN-Regular" w:cs="Arial"/>
          <w:i/>
          <w:sz w:val="22"/>
          <w:szCs w:val="22"/>
        </w:rPr>
        <w:t xml:space="preserve"> rules and procedures for using the results and analysis of its stress tests to evaluate and adjust the adequacy of its liquidity risk management framework and liquidity providers. </w:t>
      </w:r>
    </w:p>
    <w:p w:rsidR="009366C2" w:rsidRPr="00F5551F" w:rsidRDefault="00A4768B"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sz w:val="22"/>
          <w:szCs w:val="22"/>
        </w:rPr>
        <w:t xml:space="preserve">(…) </w:t>
      </w:r>
      <w:r w:rsidR="009366C2" w:rsidRPr="00F5551F">
        <w:rPr>
          <w:rFonts w:ascii="DIN-Regular" w:hAnsi="DIN-Regular" w:cs="Arial"/>
          <w:i/>
          <w:color w:val="auto"/>
          <w:sz w:val="22"/>
          <w:szCs w:val="22"/>
        </w:rPr>
        <w:t xml:space="preserve">6. For the purposes of paragraph 1, the stress testing scenarios used in the stress testing of liquid financial resources shall consider a wide range of relevant extreme but plausible scenarios, covering short-term and prolonged, and institution specific and market-wide stress, including: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t xml:space="preserve">(a) </w:t>
      </w:r>
      <w:proofErr w:type="gramStart"/>
      <w:r w:rsidRPr="00F5551F">
        <w:rPr>
          <w:rFonts w:ascii="DIN-Regular" w:hAnsi="DIN-Regular" w:cs="Arial"/>
          <w:i/>
          <w:color w:val="auto"/>
          <w:sz w:val="22"/>
          <w:szCs w:val="22"/>
        </w:rPr>
        <w:t>the</w:t>
      </w:r>
      <w:proofErr w:type="gramEnd"/>
      <w:r w:rsidRPr="00F5551F">
        <w:rPr>
          <w:rFonts w:ascii="DIN-Regular" w:hAnsi="DIN-Regular" w:cs="Arial"/>
          <w:i/>
          <w:color w:val="auto"/>
          <w:sz w:val="22"/>
          <w:szCs w:val="22"/>
        </w:rPr>
        <w:t xml:space="preserve"> default, in isolation or combined, of at least </w:t>
      </w:r>
      <w:proofErr w:type="spellStart"/>
      <w:r w:rsidRPr="00F5551F">
        <w:rPr>
          <w:rFonts w:ascii="DIN-Regular" w:hAnsi="DIN-Regular" w:cs="Arial"/>
          <w:i/>
          <w:color w:val="auto"/>
          <w:sz w:val="22"/>
          <w:szCs w:val="22"/>
        </w:rPr>
        <w:t>t</w:t>
      </w:r>
      <w:r w:rsidR="00D66517" w:rsidRPr="00F5551F">
        <w:rPr>
          <w:rFonts w:ascii="DIN-Regular" w:hAnsi="DIN-Regular" w:cs="Arial"/>
          <w:b/>
          <w:i/>
          <w:color w:val="auto"/>
          <w:sz w:val="22"/>
          <w:szCs w:val="22"/>
        </w:rPr>
        <w:t>he</w:t>
      </w:r>
      <w:r w:rsidRPr="00F5551F">
        <w:rPr>
          <w:rFonts w:ascii="DIN-Regular" w:hAnsi="DIN-Regular" w:cs="Arial"/>
          <w:b/>
          <w:i/>
          <w:strike/>
          <w:color w:val="auto"/>
          <w:sz w:val="22"/>
          <w:szCs w:val="22"/>
        </w:rPr>
        <w:t>wo</w:t>
      </w:r>
      <w:proofErr w:type="spellEnd"/>
      <w:r w:rsidRPr="00F5551F">
        <w:rPr>
          <w:rFonts w:ascii="DIN-Regular" w:hAnsi="DIN-Regular" w:cs="Arial"/>
          <w:i/>
          <w:color w:val="auto"/>
          <w:sz w:val="22"/>
          <w:szCs w:val="22"/>
        </w:rPr>
        <w:t xml:space="preserve"> participant</w:t>
      </w:r>
      <w:r w:rsidRPr="00F5551F">
        <w:rPr>
          <w:rFonts w:ascii="DIN-Regular" w:hAnsi="DIN-Regular" w:cs="Arial"/>
          <w:b/>
          <w:i/>
          <w:strike/>
          <w:color w:val="auto"/>
          <w:sz w:val="22"/>
          <w:szCs w:val="22"/>
        </w:rPr>
        <w:t>s</w:t>
      </w:r>
      <w:r w:rsidRPr="00F5551F">
        <w:rPr>
          <w:rFonts w:ascii="DIN-Regular" w:hAnsi="DIN-Regular" w:cs="Arial"/>
          <w:i/>
          <w:color w:val="auto"/>
          <w:sz w:val="22"/>
          <w:szCs w:val="22"/>
        </w:rPr>
        <w:t xml:space="preserve"> of the CSD-banking service provider, including </w:t>
      </w:r>
      <w:proofErr w:type="spellStart"/>
      <w:r w:rsidR="00D66517" w:rsidRPr="00F5551F">
        <w:rPr>
          <w:rFonts w:ascii="DIN-Regular" w:hAnsi="DIN-Regular" w:cs="Arial"/>
          <w:b/>
          <w:i/>
          <w:color w:val="auto"/>
          <w:sz w:val="22"/>
          <w:szCs w:val="22"/>
        </w:rPr>
        <w:t>its</w:t>
      </w:r>
      <w:r w:rsidRPr="00F5551F">
        <w:rPr>
          <w:rFonts w:ascii="DIN-Regular" w:hAnsi="DIN-Regular" w:cs="Arial"/>
          <w:b/>
          <w:i/>
          <w:strike/>
          <w:color w:val="auto"/>
          <w:sz w:val="22"/>
          <w:szCs w:val="22"/>
        </w:rPr>
        <w:t>their</w:t>
      </w:r>
      <w:proofErr w:type="spellEnd"/>
      <w:r w:rsidRPr="00F5551F">
        <w:rPr>
          <w:rFonts w:ascii="DIN-Regular" w:hAnsi="DIN-Regular" w:cs="Arial"/>
          <w:i/>
          <w:color w:val="auto"/>
          <w:sz w:val="22"/>
          <w:szCs w:val="22"/>
        </w:rPr>
        <w:t xml:space="preserve"> parent undertaking and subsidiaries, to which the CSD-banking service provider has the largest liquidity exposure;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t xml:space="preserve">(b) </w:t>
      </w:r>
      <w:proofErr w:type="gramStart"/>
      <w:r w:rsidRPr="00F5551F">
        <w:rPr>
          <w:rFonts w:ascii="DIN-Regular" w:hAnsi="DIN-Regular" w:cs="Arial"/>
          <w:i/>
          <w:color w:val="auto"/>
          <w:sz w:val="22"/>
          <w:szCs w:val="22"/>
        </w:rPr>
        <w:t>the</w:t>
      </w:r>
      <w:proofErr w:type="gramEnd"/>
      <w:r w:rsidRPr="00F5551F">
        <w:rPr>
          <w:rFonts w:ascii="DIN-Regular" w:hAnsi="DIN-Regular" w:cs="Arial"/>
          <w:i/>
          <w:color w:val="auto"/>
          <w:sz w:val="22"/>
          <w:szCs w:val="22"/>
        </w:rPr>
        <w:t xml:space="preserve"> missed receipt of payments from participants on a timely basis;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t xml:space="preserve">(c) the temporary failure or inability of one of the CSD-banking service’s liquidity providers, custodian banks, </w:t>
      </w:r>
      <w:proofErr w:type="spellStart"/>
      <w:r w:rsidRPr="00F5551F">
        <w:rPr>
          <w:rFonts w:ascii="DIN-Regular" w:hAnsi="DIN-Regular" w:cs="Arial"/>
          <w:i/>
          <w:iCs/>
          <w:color w:val="auto"/>
          <w:sz w:val="22"/>
          <w:szCs w:val="22"/>
        </w:rPr>
        <w:t>nostro</w:t>
      </w:r>
      <w:proofErr w:type="spellEnd"/>
      <w:r w:rsidRPr="00F5551F">
        <w:rPr>
          <w:rFonts w:ascii="DIN-Regular" w:hAnsi="DIN-Regular" w:cs="Arial"/>
          <w:i/>
          <w:iCs/>
          <w:color w:val="auto"/>
          <w:sz w:val="22"/>
          <w:szCs w:val="22"/>
        </w:rPr>
        <w:t xml:space="preserve"> </w:t>
      </w:r>
      <w:r w:rsidRPr="00F5551F">
        <w:rPr>
          <w:rFonts w:ascii="DIN-Regular" w:hAnsi="DIN-Regular" w:cs="Arial"/>
          <w:i/>
          <w:color w:val="auto"/>
          <w:sz w:val="22"/>
          <w:szCs w:val="22"/>
        </w:rPr>
        <w:t xml:space="preserve">agents, or any related infrastructure, including interoperable CSDs;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b/>
          <w:i/>
          <w:strike/>
          <w:color w:val="auto"/>
          <w:sz w:val="22"/>
          <w:szCs w:val="22"/>
        </w:rPr>
      </w:pPr>
      <w:r w:rsidRPr="00E171D6">
        <w:rPr>
          <w:rFonts w:ascii="DIN-Regular" w:hAnsi="DIN-Regular" w:cs="Arial"/>
          <w:b/>
          <w:i/>
          <w:strike/>
          <w:color w:val="auto"/>
          <w:sz w:val="22"/>
          <w:szCs w:val="22"/>
        </w:rPr>
        <w:t xml:space="preserve">(d) </w:t>
      </w:r>
      <w:proofErr w:type="gramStart"/>
      <w:r w:rsidRPr="00D65895">
        <w:rPr>
          <w:rFonts w:ascii="DIN-Regular" w:hAnsi="DIN-Regular" w:cs="Arial"/>
          <w:b/>
          <w:i/>
          <w:strike/>
          <w:color w:val="auto"/>
          <w:sz w:val="22"/>
          <w:szCs w:val="22"/>
        </w:rPr>
        <w:t>simultaneous</w:t>
      </w:r>
      <w:proofErr w:type="gramEnd"/>
      <w:r w:rsidRPr="00F5551F">
        <w:rPr>
          <w:rFonts w:ascii="DIN-Regular" w:hAnsi="DIN-Regular" w:cs="Arial"/>
          <w:b/>
          <w:i/>
          <w:strike/>
          <w:color w:val="auto"/>
          <w:sz w:val="22"/>
          <w:szCs w:val="22"/>
        </w:rPr>
        <w:t xml:space="preserve"> pressures in funding and asset markets;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t xml:space="preserve">(e) </w:t>
      </w:r>
      <w:proofErr w:type="gramStart"/>
      <w:r w:rsidRPr="00F5551F">
        <w:rPr>
          <w:rFonts w:ascii="DIN-Regular" w:hAnsi="DIN-Regular" w:cs="Arial"/>
          <w:i/>
          <w:color w:val="auto"/>
          <w:sz w:val="22"/>
          <w:szCs w:val="22"/>
        </w:rPr>
        <w:t>the</w:t>
      </w:r>
      <w:proofErr w:type="gramEnd"/>
      <w:r w:rsidRPr="00F5551F">
        <w:rPr>
          <w:rFonts w:ascii="DIN-Regular" w:hAnsi="DIN-Regular" w:cs="Arial"/>
          <w:i/>
          <w:color w:val="auto"/>
          <w:sz w:val="22"/>
          <w:szCs w:val="22"/>
        </w:rPr>
        <w:t xml:space="preserve"> reduction of secured and unsecured wholesale funding, broken down by the factors set out in Article 23</w:t>
      </w:r>
      <w:r w:rsidR="00AF52DD" w:rsidRPr="00F5551F">
        <w:rPr>
          <w:rFonts w:ascii="DIN-Regular" w:hAnsi="DIN-Regular" w:cs="Arial"/>
          <w:i/>
          <w:color w:val="auto"/>
          <w:sz w:val="22"/>
          <w:szCs w:val="22"/>
        </w:rPr>
        <w:t xml:space="preserve"> </w:t>
      </w:r>
      <w:r w:rsidRPr="00F5551F">
        <w:rPr>
          <w:rFonts w:ascii="DIN-Regular" w:hAnsi="DIN-Regular" w:cs="Arial"/>
          <w:i/>
          <w:color w:val="auto"/>
          <w:sz w:val="22"/>
          <w:szCs w:val="22"/>
        </w:rPr>
        <w:t xml:space="preserve">(3) on concentration limits;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E171D6">
        <w:rPr>
          <w:rFonts w:ascii="DIN-Regular" w:hAnsi="DIN-Regular" w:cs="Arial"/>
          <w:b/>
          <w:i/>
          <w:strike/>
          <w:color w:val="auto"/>
          <w:sz w:val="22"/>
          <w:szCs w:val="22"/>
        </w:rPr>
        <w:t xml:space="preserve">(f) </w:t>
      </w:r>
      <w:proofErr w:type="gramStart"/>
      <w:r w:rsidRPr="00D65895">
        <w:rPr>
          <w:rFonts w:ascii="DIN-Regular" w:hAnsi="DIN-Regular" w:cs="Arial"/>
          <w:b/>
          <w:i/>
          <w:strike/>
          <w:color w:val="auto"/>
          <w:sz w:val="22"/>
          <w:szCs w:val="22"/>
        </w:rPr>
        <w:t>the</w:t>
      </w:r>
      <w:proofErr w:type="gramEnd"/>
      <w:r w:rsidRPr="00F5551F">
        <w:rPr>
          <w:rFonts w:ascii="DIN-Regular" w:hAnsi="DIN-Regular" w:cs="Arial"/>
          <w:b/>
          <w:i/>
          <w:strike/>
          <w:color w:val="auto"/>
          <w:sz w:val="22"/>
          <w:szCs w:val="22"/>
        </w:rPr>
        <w:t xml:space="preserve"> correlation between funding markets;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b/>
          <w:i/>
          <w:strike/>
          <w:color w:val="auto"/>
          <w:sz w:val="22"/>
          <w:szCs w:val="22"/>
        </w:rPr>
      </w:pPr>
      <w:r w:rsidRPr="00E171D6">
        <w:rPr>
          <w:rFonts w:ascii="DIN-Regular" w:hAnsi="DIN-Regular" w:cs="Arial"/>
          <w:b/>
          <w:i/>
          <w:strike/>
          <w:color w:val="auto"/>
          <w:sz w:val="22"/>
          <w:szCs w:val="22"/>
        </w:rPr>
        <w:t xml:space="preserve">(g) </w:t>
      </w:r>
      <w:proofErr w:type="gramStart"/>
      <w:r w:rsidRPr="00D65895">
        <w:rPr>
          <w:rFonts w:ascii="DIN-Regular" w:hAnsi="DIN-Regular" w:cs="Arial"/>
          <w:b/>
          <w:i/>
          <w:strike/>
          <w:color w:val="auto"/>
          <w:sz w:val="22"/>
          <w:szCs w:val="22"/>
        </w:rPr>
        <w:t>the</w:t>
      </w:r>
      <w:proofErr w:type="gramEnd"/>
      <w:r w:rsidRPr="00F5551F">
        <w:rPr>
          <w:rFonts w:ascii="DIN-Regular" w:hAnsi="DIN-Regular" w:cs="Arial"/>
          <w:b/>
          <w:i/>
          <w:strike/>
          <w:color w:val="auto"/>
          <w:sz w:val="22"/>
          <w:szCs w:val="22"/>
        </w:rPr>
        <w:t xml:space="preserve"> diversification across different funding tenors, in particular where the funding provider has call options;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t xml:space="preserve">(h) </w:t>
      </w:r>
      <w:proofErr w:type="gramStart"/>
      <w:r w:rsidRPr="00F5551F">
        <w:rPr>
          <w:rFonts w:ascii="DIN-Regular" w:hAnsi="DIN-Regular" w:cs="Arial"/>
          <w:i/>
          <w:color w:val="auto"/>
          <w:sz w:val="22"/>
          <w:szCs w:val="22"/>
        </w:rPr>
        <w:t>foreign</w:t>
      </w:r>
      <w:proofErr w:type="gramEnd"/>
      <w:r w:rsidRPr="00F5551F">
        <w:rPr>
          <w:rFonts w:ascii="DIN-Regular" w:hAnsi="DIN-Regular" w:cs="Arial"/>
          <w:i/>
          <w:color w:val="auto"/>
          <w:sz w:val="22"/>
          <w:szCs w:val="22"/>
        </w:rPr>
        <w:t xml:space="preserve"> exchange convertibility and access to foreign exchange markets;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t>(</w:t>
      </w:r>
      <w:proofErr w:type="spellStart"/>
      <w:r w:rsidRPr="00F5551F">
        <w:rPr>
          <w:rFonts w:ascii="DIN-Regular" w:hAnsi="DIN-Regular" w:cs="Arial"/>
          <w:i/>
          <w:color w:val="auto"/>
          <w:sz w:val="22"/>
          <w:szCs w:val="22"/>
        </w:rPr>
        <w:t>i</w:t>
      </w:r>
      <w:proofErr w:type="spellEnd"/>
      <w:r w:rsidRPr="00F5551F">
        <w:rPr>
          <w:rFonts w:ascii="DIN-Regular" w:hAnsi="DIN-Regular" w:cs="Arial"/>
          <w:i/>
          <w:color w:val="auto"/>
          <w:sz w:val="22"/>
          <w:szCs w:val="22"/>
        </w:rPr>
        <w:t xml:space="preserve">) market-wide credit or liquidity stresses which result in the reduction in the value of liquid assets;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b/>
          <w:i/>
          <w:strike/>
          <w:color w:val="auto"/>
          <w:sz w:val="22"/>
          <w:szCs w:val="22"/>
        </w:rPr>
      </w:pPr>
      <w:r w:rsidRPr="00E171D6">
        <w:rPr>
          <w:rFonts w:ascii="DIN-Regular" w:hAnsi="DIN-Regular" w:cs="Arial"/>
          <w:b/>
          <w:i/>
          <w:strike/>
          <w:color w:val="auto"/>
          <w:sz w:val="22"/>
          <w:szCs w:val="22"/>
        </w:rPr>
        <w:t>(j)</w:t>
      </w:r>
      <w:r w:rsidRPr="00E171D6">
        <w:rPr>
          <w:rFonts w:ascii="DIN-Regular" w:hAnsi="DIN-Regular" w:cs="Arial"/>
          <w:i/>
          <w:strike/>
          <w:color w:val="auto"/>
          <w:sz w:val="22"/>
          <w:szCs w:val="22"/>
        </w:rPr>
        <w:t xml:space="preserve"> </w:t>
      </w:r>
      <w:proofErr w:type="gramStart"/>
      <w:r w:rsidRPr="00D65895">
        <w:rPr>
          <w:rFonts w:ascii="DIN-Regular" w:hAnsi="DIN-Regular" w:cs="Arial"/>
          <w:b/>
          <w:i/>
          <w:strike/>
          <w:color w:val="auto"/>
          <w:sz w:val="22"/>
          <w:szCs w:val="22"/>
        </w:rPr>
        <w:t>shifts</w:t>
      </w:r>
      <w:proofErr w:type="gramEnd"/>
      <w:r w:rsidRPr="00F5551F">
        <w:rPr>
          <w:rFonts w:ascii="DIN-Regular" w:hAnsi="DIN-Regular" w:cs="Arial"/>
          <w:b/>
          <w:i/>
          <w:strike/>
          <w:color w:val="auto"/>
          <w:sz w:val="22"/>
          <w:szCs w:val="22"/>
        </w:rPr>
        <w:t xml:space="preserve"> in other market factors, such as price determinants and yield curves, multiple defaults over various time horizons;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lastRenderedPageBreak/>
        <w:t xml:space="preserve">(k) </w:t>
      </w:r>
      <w:proofErr w:type="gramStart"/>
      <w:r w:rsidRPr="00F5551F">
        <w:rPr>
          <w:rFonts w:ascii="DIN-Regular" w:hAnsi="DIN-Regular" w:cs="Arial"/>
          <w:i/>
          <w:color w:val="auto"/>
          <w:sz w:val="22"/>
          <w:szCs w:val="22"/>
        </w:rPr>
        <w:t>adverse</w:t>
      </w:r>
      <w:proofErr w:type="gramEnd"/>
      <w:r w:rsidRPr="00F5551F">
        <w:rPr>
          <w:rFonts w:ascii="DIN-Regular" w:hAnsi="DIN-Regular" w:cs="Arial"/>
          <w:i/>
          <w:color w:val="auto"/>
          <w:sz w:val="22"/>
          <w:szCs w:val="22"/>
        </w:rPr>
        <w:t xml:space="preserve"> changes in the reputation of a CSD-banking services provider and the impact of any external opinion on such reputation;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b/>
          <w:i/>
          <w:strike/>
          <w:color w:val="auto"/>
          <w:sz w:val="22"/>
          <w:szCs w:val="22"/>
        </w:rPr>
      </w:pPr>
      <w:r w:rsidRPr="00E171D6">
        <w:rPr>
          <w:rFonts w:ascii="DIN-Regular" w:hAnsi="DIN-Regular" w:cs="Arial"/>
          <w:b/>
          <w:i/>
          <w:strike/>
          <w:color w:val="auto"/>
          <w:sz w:val="22"/>
          <w:szCs w:val="22"/>
        </w:rPr>
        <w:t>(l)</w:t>
      </w:r>
      <w:r w:rsidRPr="00E171D6">
        <w:rPr>
          <w:rFonts w:ascii="DIN-Regular" w:hAnsi="DIN-Regular" w:cs="Arial"/>
          <w:i/>
          <w:strike/>
          <w:color w:val="auto"/>
          <w:sz w:val="22"/>
          <w:szCs w:val="22"/>
        </w:rPr>
        <w:t xml:space="preserve"> </w:t>
      </w:r>
      <w:proofErr w:type="gramStart"/>
      <w:r w:rsidRPr="00D65895">
        <w:rPr>
          <w:rFonts w:ascii="DIN-Regular" w:hAnsi="DIN-Regular" w:cs="Arial"/>
          <w:b/>
          <w:i/>
          <w:strike/>
          <w:color w:val="auto"/>
          <w:sz w:val="22"/>
          <w:szCs w:val="22"/>
        </w:rPr>
        <w:t>relevant</w:t>
      </w:r>
      <w:proofErr w:type="gramEnd"/>
      <w:r w:rsidRPr="00F5551F">
        <w:rPr>
          <w:rFonts w:ascii="DIN-Regular" w:hAnsi="DIN-Regular" w:cs="Arial"/>
          <w:b/>
          <w:i/>
          <w:strike/>
          <w:color w:val="auto"/>
          <w:sz w:val="22"/>
          <w:szCs w:val="22"/>
        </w:rPr>
        <w:t xml:space="preserve"> peak historic price volatilities as recurrent events;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b/>
          <w:i/>
          <w:strike/>
          <w:color w:val="auto"/>
          <w:sz w:val="22"/>
          <w:szCs w:val="22"/>
        </w:rPr>
      </w:pPr>
      <w:r w:rsidRPr="00F5551F">
        <w:rPr>
          <w:rFonts w:ascii="DIN-Regular" w:hAnsi="DIN-Regular" w:cs="Arial"/>
          <w:b/>
          <w:i/>
          <w:strike/>
          <w:color w:val="auto"/>
          <w:sz w:val="22"/>
          <w:szCs w:val="22"/>
        </w:rPr>
        <w:t xml:space="preserve">(m) </w:t>
      </w:r>
      <w:proofErr w:type="gramStart"/>
      <w:r w:rsidRPr="00F5551F">
        <w:rPr>
          <w:rFonts w:ascii="DIN-Regular" w:hAnsi="DIN-Regular" w:cs="Arial"/>
          <w:b/>
          <w:i/>
          <w:strike/>
          <w:color w:val="auto"/>
          <w:sz w:val="22"/>
          <w:szCs w:val="22"/>
        </w:rPr>
        <w:t>changes</w:t>
      </w:r>
      <w:proofErr w:type="gramEnd"/>
      <w:r w:rsidRPr="00F5551F">
        <w:rPr>
          <w:rFonts w:ascii="DIN-Regular" w:hAnsi="DIN-Regular" w:cs="Arial"/>
          <w:b/>
          <w:i/>
          <w:strike/>
          <w:color w:val="auto"/>
          <w:sz w:val="22"/>
          <w:szCs w:val="22"/>
        </w:rPr>
        <w:t xml:space="preserve"> in the settlement volume; </w:t>
      </w:r>
    </w:p>
    <w:p w:rsidR="009366C2" w:rsidRPr="00F5551F" w:rsidRDefault="009366C2" w:rsidP="00893372">
      <w:pPr>
        <w:pStyle w:val="Default"/>
        <w:pBdr>
          <w:top w:val="single" w:sz="4" w:space="1" w:color="auto"/>
          <w:left w:val="single" w:sz="4" w:space="1" w:color="auto"/>
          <w:bottom w:val="single" w:sz="4" w:space="1" w:color="auto"/>
          <w:right w:val="single" w:sz="4" w:space="1" w:color="auto"/>
        </w:pBdr>
        <w:rPr>
          <w:rFonts w:ascii="DIN-Regular" w:hAnsi="DIN-Regular" w:cs="Arial"/>
          <w:b/>
          <w:i/>
          <w:strike/>
          <w:color w:val="auto"/>
          <w:sz w:val="22"/>
          <w:szCs w:val="22"/>
        </w:rPr>
      </w:pPr>
      <w:r w:rsidRPr="00F5551F">
        <w:rPr>
          <w:rFonts w:ascii="DIN-Regular" w:hAnsi="DIN-Regular" w:cs="Arial"/>
          <w:b/>
          <w:i/>
          <w:strike/>
          <w:color w:val="auto"/>
          <w:sz w:val="22"/>
          <w:szCs w:val="22"/>
        </w:rPr>
        <w:t xml:space="preserve">(n) IT failures, legal constraints or human errors. </w:t>
      </w:r>
    </w:p>
    <w:p w:rsidR="00893372" w:rsidRPr="00F5551F" w:rsidRDefault="0089337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b/>
          <w:i/>
          <w:strike/>
          <w:color w:val="auto"/>
          <w:sz w:val="22"/>
          <w:szCs w:val="22"/>
        </w:rPr>
      </w:pPr>
    </w:p>
    <w:p w:rsidR="00F1016A" w:rsidRPr="00F5551F" w:rsidRDefault="00F1016A" w:rsidP="00F1016A">
      <w:pPr>
        <w:pStyle w:val="NoSpacing"/>
        <w:rPr>
          <w:rFonts w:eastAsia="Arial Unicode MS"/>
          <w:sz w:val="22"/>
          <w:szCs w:val="22"/>
          <w:lang w:eastAsia="en-GB"/>
        </w:rPr>
      </w:pPr>
    </w:p>
    <w:p w:rsidR="009366C2" w:rsidRPr="00F5551F" w:rsidRDefault="00F5551F" w:rsidP="00DA6980">
      <w:pPr>
        <w:spacing w:after="240"/>
        <w:jc w:val="both"/>
        <w:rPr>
          <w:rFonts w:eastAsia="Arial Unicode MS" w:cs="Arial"/>
          <w:sz w:val="22"/>
          <w:szCs w:val="22"/>
          <w:lang w:eastAsia="en-GB"/>
        </w:rPr>
      </w:pPr>
      <w:r w:rsidRPr="00F5551F">
        <w:rPr>
          <w:rFonts w:eastAsia="Arial Unicode MS" w:cs="Arial"/>
          <w:b/>
          <w:sz w:val="22"/>
          <w:szCs w:val="22"/>
          <w:lang w:eastAsia="en-GB"/>
        </w:rPr>
        <w:t>Article 38</w:t>
      </w:r>
      <w:r w:rsidRPr="00F5551F">
        <w:rPr>
          <w:rFonts w:eastAsia="Arial Unicode MS" w:cs="Arial"/>
          <w:b/>
          <w:sz w:val="22"/>
          <w:szCs w:val="22"/>
          <w:lang w:eastAsia="en-GB"/>
        </w:rPr>
        <w:tab/>
      </w:r>
      <w:r w:rsidRPr="00F5551F">
        <w:rPr>
          <w:rFonts w:eastAsia="Arial Unicode MS" w:cs="Arial"/>
          <w:b/>
          <w:sz w:val="22"/>
          <w:szCs w:val="22"/>
          <w:lang w:eastAsia="en-GB"/>
        </w:rPr>
        <w:br/>
      </w:r>
      <w:r w:rsidRPr="00F5551F">
        <w:rPr>
          <w:rFonts w:eastAsia="Arial Unicode MS" w:cs="Arial"/>
          <w:sz w:val="22"/>
          <w:szCs w:val="22"/>
          <w:lang w:eastAsia="en-GB"/>
        </w:rPr>
        <w:t>Article 38</w:t>
      </w:r>
      <w:r>
        <w:rPr>
          <w:rFonts w:eastAsia="Arial Unicode MS" w:cs="Arial"/>
          <w:sz w:val="22"/>
          <w:szCs w:val="22"/>
          <w:lang w:eastAsia="en-GB"/>
        </w:rPr>
        <w:t>(1)</w:t>
      </w:r>
      <w:r w:rsidRPr="00F5551F">
        <w:rPr>
          <w:rFonts w:eastAsia="Arial Unicode MS" w:cs="Arial"/>
          <w:sz w:val="22"/>
          <w:szCs w:val="22"/>
          <w:lang w:eastAsia="en-GB"/>
        </w:rPr>
        <w:t xml:space="preserve"> </w:t>
      </w:r>
      <w:r w:rsidR="009366C2" w:rsidRPr="00F5551F">
        <w:rPr>
          <w:rFonts w:eastAsia="Arial Unicode MS" w:cs="Arial"/>
          <w:sz w:val="22"/>
          <w:szCs w:val="22"/>
          <w:lang w:eastAsia="en-GB"/>
        </w:rPr>
        <w:t>Unlike for CCPs, there is no obligation for a CSD to support settlement of a defaulted customer.</w:t>
      </w:r>
    </w:p>
    <w:p w:rsidR="009366C2" w:rsidRPr="00F5551F" w:rsidRDefault="00F5551F" w:rsidP="00DA6980">
      <w:pPr>
        <w:spacing w:after="240"/>
        <w:jc w:val="both"/>
        <w:rPr>
          <w:rFonts w:eastAsia="Arial Unicode MS" w:cs="Arial"/>
          <w:sz w:val="22"/>
          <w:szCs w:val="22"/>
          <w:lang w:eastAsia="en-GB"/>
        </w:rPr>
      </w:pPr>
      <w:r w:rsidRPr="00F5551F">
        <w:rPr>
          <w:rFonts w:eastAsia="Arial Unicode MS" w:cs="Arial"/>
          <w:sz w:val="22"/>
          <w:szCs w:val="22"/>
          <w:lang w:eastAsia="en-GB"/>
        </w:rPr>
        <w:t>Article</w:t>
      </w:r>
      <w:r>
        <w:rPr>
          <w:rFonts w:eastAsia="Arial Unicode MS" w:cs="Arial"/>
          <w:sz w:val="22"/>
          <w:szCs w:val="22"/>
          <w:lang w:eastAsia="en-GB"/>
        </w:rPr>
        <w:t xml:space="preserve"> 38(3) and (6)</w:t>
      </w:r>
      <w:r w:rsidRPr="00F5551F">
        <w:rPr>
          <w:rFonts w:eastAsia="Arial Unicode MS" w:cs="Arial"/>
          <w:sz w:val="22"/>
          <w:szCs w:val="22"/>
          <w:lang w:eastAsia="en-GB"/>
        </w:rPr>
        <w:t xml:space="preserve"> </w:t>
      </w:r>
      <w:proofErr w:type="gramStart"/>
      <w:r w:rsidR="009366C2" w:rsidRPr="00F5551F">
        <w:rPr>
          <w:rFonts w:eastAsia="Arial Unicode MS" w:cs="Arial"/>
          <w:sz w:val="22"/>
          <w:szCs w:val="22"/>
          <w:lang w:eastAsia="en-GB"/>
        </w:rPr>
        <w:t>It</w:t>
      </w:r>
      <w:proofErr w:type="gramEnd"/>
      <w:r w:rsidR="009366C2" w:rsidRPr="00F5551F">
        <w:rPr>
          <w:rFonts w:eastAsia="Arial Unicode MS" w:cs="Arial"/>
          <w:sz w:val="22"/>
          <w:szCs w:val="22"/>
          <w:lang w:eastAsia="en-GB"/>
        </w:rPr>
        <w:t xml:space="preserve"> is not possible to anticipate customers’ settlement. “Potentially uncovered liquidity shortfalls” are only expected to arise very short term intraday. It seems impractical to set up an ad hoc reporting on these frictional issues to the risk committee and the competent authority.</w:t>
      </w:r>
    </w:p>
    <w:p w:rsidR="00BA048F" w:rsidRPr="00F5551F" w:rsidRDefault="00BA048F" w:rsidP="00BA048F">
      <w:pPr>
        <w:pStyle w:val="Default"/>
        <w:rPr>
          <w:rFonts w:ascii="DIN-Regular" w:hAnsi="DIN-Regular" w:cs="Arial"/>
          <w:iCs/>
          <w:sz w:val="22"/>
          <w:szCs w:val="22"/>
        </w:rPr>
      </w:pPr>
      <w:r w:rsidRPr="00F5551F">
        <w:rPr>
          <w:rFonts w:ascii="DIN-Regular" w:hAnsi="DIN-Regular" w:cs="Arial"/>
          <w:iCs/>
          <w:sz w:val="22"/>
          <w:szCs w:val="22"/>
        </w:rPr>
        <w:t>Based on the arguments raised above we propose the following amendments to the EBA draft RTS:</w:t>
      </w:r>
    </w:p>
    <w:p w:rsidR="00BA048F" w:rsidRPr="00F5551F" w:rsidRDefault="00BA048F" w:rsidP="00BA048F">
      <w:pPr>
        <w:pStyle w:val="Default"/>
        <w:rPr>
          <w:rFonts w:ascii="DIN-Regular" w:hAnsi="DIN-Regular" w:cs="Arial"/>
          <w:iCs/>
          <w:sz w:val="22"/>
          <w:szCs w:val="22"/>
        </w:rPr>
      </w:pP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rPr>
          <w:rFonts w:ascii="DIN-Regular" w:hAnsi="DIN-Regular" w:cs="Arial"/>
          <w:i/>
          <w:sz w:val="22"/>
          <w:szCs w:val="22"/>
        </w:rPr>
      </w:pPr>
      <w:r w:rsidRPr="00F5551F">
        <w:rPr>
          <w:rFonts w:ascii="DIN-Regular" w:hAnsi="DIN-Regular" w:cs="Arial"/>
          <w:b/>
          <w:i/>
          <w:iCs/>
          <w:sz w:val="22"/>
          <w:szCs w:val="22"/>
        </w:rPr>
        <w:t>Article 38 -</w:t>
      </w:r>
      <w:r w:rsidRPr="00F5551F">
        <w:rPr>
          <w:rFonts w:ascii="DIN-Regular" w:hAnsi="DIN-Regular" w:cs="Arial"/>
          <w:i/>
          <w:iCs/>
          <w:sz w:val="22"/>
          <w:szCs w:val="22"/>
        </w:rPr>
        <w:t xml:space="preserve"> Unforeseen and potentially uncovered liquidity shortfalls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i/>
          <w:sz w:val="22"/>
          <w:szCs w:val="22"/>
        </w:rPr>
        <w:t>1. For the purposes of Article 30</w:t>
      </w:r>
      <w:r w:rsidR="00AF52DD" w:rsidRPr="00F5551F">
        <w:rPr>
          <w:rFonts w:ascii="DIN-Regular" w:hAnsi="DIN-Regular" w:cs="Arial"/>
          <w:i/>
          <w:sz w:val="22"/>
          <w:szCs w:val="22"/>
        </w:rPr>
        <w:t xml:space="preserve"> </w:t>
      </w:r>
      <w:r w:rsidRPr="00F5551F">
        <w:rPr>
          <w:rFonts w:ascii="DIN-Regular" w:hAnsi="DIN-Regular" w:cs="Arial"/>
          <w:i/>
          <w:sz w:val="22"/>
          <w:szCs w:val="22"/>
        </w:rPr>
        <w:t xml:space="preserve">(c), the CSD-banking service provider shall establish explicit rules and procedures to effect same-day, and where appropriate, intraday and multiday timely settlement of payment obligations following any individual or combined default among its participants and shall address unforeseen and potentially uncovered liquidity shortfalls with the view to avoiding unwinding, revoking, or delaying the same-day settlement of payment obligations by meeting, in particular, the requirements of paragraphs 2 to 6.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i/>
          <w:sz w:val="22"/>
          <w:szCs w:val="22"/>
        </w:rPr>
        <w:t xml:space="preserve">2. The rules and procedures referred to in paragraph 1 shall require that the CSD-banking service provider has access to cash deposits or overnight investments of cash deposits, and a process in place in order to replenish any liquidity resources that it may employ during a stress event, so that it can continue to operate in a safe and sound manner.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b/>
          <w:i/>
          <w:strike/>
          <w:sz w:val="22"/>
          <w:szCs w:val="22"/>
        </w:rPr>
      </w:pPr>
      <w:r w:rsidRPr="00F5551F">
        <w:rPr>
          <w:rFonts w:ascii="DIN-Regular" w:hAnsi="DIN-Regular" w:cs="Arial"/>
          <w:i/>
          <w:sz w:val="22"/>
          <w:szCs w:val="22"/>
        </w:rPr>
        <w:t xml:space="preserve">3. The rules and procedures referred to in paragraph 1 shall include requirements for both of the following: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b/>
          <w:i/>
          <w:strike/>
          <w:sz w:val="22"/>
          <w:szCs w:val="22"/>
        </w:rPr>
        <w:t xml:space="preserve">(a) </w:t>
      </w:r>
      <w:proofErr w:type="gramStart"/>
      <w:r w:rsidRPr="00F5551F">
        <w:rPr>
          <w:rFonts w:ascii="DIN-Regular" w:hAnsi="DIN-Regular" w:cs="Arial"/>
          <w:b/>
          <w:i/>
          <w:strike/>
          <w:sz w:val="22"/>
          <w:szCs w:val="22"/>
        </w:rPr>
        <w:t>an</w:t>
      </w:r>
      <w:proofErr w:type="gramEnd"/>
      <w:r w:rsidRPr="00F5551F">
        <w:rPr>
          <w:rFonts w:ascii="DIN-Regular" w:hAnsi="DIN-Regular" w:cs="Arial"/>
          <w:b/>
          <w:i/>
          <w:strike/>
          <w:sz w:val="22"/>
          <w:szCs w:val="22"/>
        </w:rPr>
        <w:t xml:space="preserve"> ongoing analysis of evolving liquidity needs to allow the identification of issues that may develop into otherwise unforeseen and potentially uncovered liquidity shortfalls, including a plan for the renewal of funding arrangements in advance of their expiry;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b/>
          <w:i/>
          <w:strike/>
          <w:sz w:val="22"/>
          <w:szCs w:val="22"/>
        </w:rPr>
        <w:t xml:space="preserve">(b) </w:t>
      </w:r>
      <w:proofErr w:type="gramStart"/>
      <w:r w:rsidRPr="00F5551F">
        <w:rPr>
          <w:rFonts w:ascii="DIN-Regular" w:hAnsi="DIN-Regular" w:cs="Arial"/>
          <w:i/>
          <w:sz w:val="22"/>
          <w:szCs w:val="22"/>
        </w:rPr>
        <w:t>a</w:t>
      </w:r>
      <w:proofErr w:type="gramEnd"/>
      <w:r w:rsidRPr="00F5551F">
        <w:rPr>
          <w:rFonts w:ascii="DIN-Regular" w:hAnsi="DIN-Regular" w:cs="Arial"/>
          <w:i/>
          <w:sz w:val="22"/>
          <w:szCs w:val="22"/>
        </w:rPr>
        <w:t xml:space="preserve"> regular testing of the rules and procedures themselves.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i/>
          <w:sz w:val="22"/>
          <w:szCs w:val="22"/>
        </w:rPr>
        <w:t xml:space="preserve">4. The requirement referred to in paragraph 1 shall be accompanied by a procedure setting out how the identified potential liquidity shortfalls shall be addressed without undue delay, including, where necessary, by updating the liquidity risk management framework.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i/>
          <w:sz w:val="22"/>
          <w:szCs w:val="22"/>
        </w:rPr>
        <w:t xml:space="preserve">5. The rules and procedures referred to in paragraph 1 shall also detail all of the following: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i/>
          <w:sz w:val="22"/>
          <w:szCs w:val="22"/>
        </w:rPr>
        <w:lastRenderedPageBreak/>
        <w:t xml:space="preserve">(a) </w:t>
      </w:r>
      <w:proofErr w:type="gramStart"/>
      <w:r w:rsidRPr="00F5551F">
        <w:rPr>
          <w:rFonts w:ascii="DIN-Regular" w:hAnsi="DIN-Regular" w:cs="Arial"/>
          <w:i/>
          <w:sz w:val="22"/>
          <w:szCs w:val="22"/>
        </w:rPr>
        <w:t>how</w:t>
      </w:r>
      <w:proofErr w:type="gramEnd"/>
      <w:r w:rsidRPr="00F5551F">
        <w:rPr>
          <w:rFonts w:ascii="DIN-Regular" w:hAnsi="DIN-Regular" w:cs="Arial"/>
          <w:i/>
          <w:sz w:val="22"/>
          <w:szCs w:val="22"/>
        </w:rPr>
        <w:t xml:space="preserve"> a CSD-banking service provider shall have to access cash deposits or overnight investments of cash deposits;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sz w:val="22"/>
          <w:szCs w:val="22"/>
        </w:rPr>
      </w:pPr>
      <w:r w:rsidRPr="00F5551F">
        <w:rPr>
          <w:rFonts w:ascii="DIN-Regular" w:hAnsi="DIN-Regular" w:cs="Arial"/>
          <w:i/>
          <w:sz w:val="22"/>
          <w:szCs w:val="22"/>
        </w:rPr>
        <w:t xml:space="preserve">(b) </w:t>
      </w:r>
      <w:proofErr w:type="gramStart"/>
      <w:r w:rsidRPr="00F5551F">
        <w:rPr>
          <w:rFonts w:ascii="DIN-Regular" w:hAnsi="DIN-Regular" w:cs="Arial"/>
          <w:i/>
          <w:sz w:val="22"/>
          <w:szCs w:val="22"/>
        </w:rPr>
        <w:t>how</w:t>
      </w:r>
      <w:proofErr w:type="gramEnd"/>
      <w:r w:rsidRPr="00F5551F">
        <w:rPr>
          <w:rFonts w:ascii="DIN-Regular" w:hAnsi="DIN-Regular" w:cs="Arial"/>
          <w:i/>
          <w:sz w:val="22"/>
          <w:szCs w:val="22"/>
        </w:rPr>
        <w:t xml:space="preserve"> a CSD-banking service provider shall execute same-day market transactions;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rPr>
          <w:rFonts w:ascii="DIN-Regular" w:hAnsi="DIN-Regular" w:cs="Arial"/>
          <w:i/>
          <w:sz w:val="22"/>
          <w:szCs w:val="22"/>
        </w:rPr>
      </w:pPr>
      <w:r w:rsidRPr="00F5551F">
        <w:rPr>
          <w:rFonts w:ascii="DIN-Regular" w:hAnsi="DIN-Regular" w:cs="Arial"/>
          <w:i/>
          <w:sz w:val="22"/>
          <w:szCs w:val="22"/>
        </w:rPr>
        <w:t xml:space="preserve">(c) </w:t>
      </w:r>
      <w:proofErr w:type="gramStart"/>
      <w:r w:rsidRPr="00F5551F">
        <w:rPr>
          <w:rFonts w:ascii="DIN-Regular" w:hAnsi="DIN-Regular" w:cs="Arial"/>
          <w:i/>
          <w:sz w:val="22"/>
          <w:szCs w:val="22"/>
        </w:rPr>
        <w:t>how</w:t>
      </w:r>
      <w:proofErr w:type="gramEnd"/>
      <w:r w:rsidRPr="00F5551F">
        <w:rPr>
          <w:rFonts w:ascii="DIN-Regular" w:hAnsi="DIN-Regular" w:cs="Arial"/>
          <w:i/>
          <w:sz w:val="22"/>
          <w:szCs w:val="22"/>
        </w:rPr>
        <w:t xml:space="preserve"> a CSD-banking service provider shall draw on prearranged liquidity lines.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rPr>
          <w:rFonts w:ascii="DIN-Regular" w:hAnsi="DIN-Regular" w:cs="Arial"/>
          <w:b/>
          <w:i/>
          <w:strike/>
          <w:color w:val="auto"/>
          <w:sz w:val="22"/>
          <w:szCs w:val="22"/>
        </w:rPr>
      </w:pP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b/>
          <w:i/>
          <w:strike/>
          <w:color w:val="auto"/>
          <w:sz w:val="22"/>
          <w:szCs w:val="22"/>
        </w:rPr>
      </w:pPr>
      <w:r w:rsidRPr="00F5551F">
        <w:rPr>
          <w:rFonts w:ascii="DIN-Regular" w:hAnsi="DIN-Regular" w:cs="Arial"/>
          <w:b/>
          <w:i/>
          <w:strike/>
          <w:color w:val="auto"/>
          <w:sz w:val="22"/>
          <w:szCs w:val="22"/>
        </w:rPr>
        <w:t xml:space="preserve">6. The rules and procedures referred to in paragraph 1 shall include a requirement for the CSD-banking service provider to report any liquidity risk that has the potential to cause previously unforeseen and potentially uncovered liquidity shortfalls to: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b/>
          <w:i/>
          <w:strike/>
          <w:color w:val="auto"/>
          <w:sz w:val="22"/>
          <w:szCs w:val="22"/>
        </w:rPr>
      </w:pPr>
      <w:r w:rsidRPr="00F5551F">
        <w:rPr>
          <w:rFonts w:ascii="DIN-Regular" w:hAnsi="DIN-Regular" w:cs="Arial"/>
          <w:b/>
          <w:i/>
          <w:strike/>
          <w:color w:val="auto"/>
          <w:sz w:val="22"/>
          <w:szCs w:val="22"/>
        </w:rPr>
        <w:t xml:space="preserve">(a) </w:t>
      </w:r>
      <w:proofErr w:type="gramStart"/>
      <w:r w:rsidRPr="00F5551F">
        <w:rPr>
          <w:rFonts w:ascii="DIN-Regular" w:hAnsi="DIN-Regular" w:cs="Arial"/>
          <w:b/>
          <w:i/>
          <w:strike/>
          <w:color w:val="auto"/>
          <w:sz w:val="22"/>
          <w:szCs w:val="22"/>
        </w:rPr>
        <w:t>the</w:t>
      </w:r>
      <w:proofErr w:type="gramEnd"/>
      <w:r w:rsidRPr="00F5551F">
        <w:rPr>
          <w:rFonts w:ascii="DIN-Regular" w:hAnsi="DIN-Regular" w:cs="Arial"/>
          <w:b/>
          <w:i/>
          <w:strike/>
          <w:color w:val="auto"/>
          <w:sz w:val="22"/>
          <w:szCs w:val="22"/>
        </w:rPr>
        <w:t xml:space="preserve"> risk committee of the CSD-banking service provider and, where relevant, to the risk committee of the CSD; </w:t>
      </w:r>
    </w:p>
    <w:p w:rsidR="00893372" w:rsidRPr="00F5551F" w:rsidRDefault="009366C2" w:rsidP="00DA6980">
      <w:pPr>
        <w:pStyle w:val="Default"/>
        <w:pBdr>
          <w:top w:val="single" w:sz="4" w:space="1" w:color="auto"/>
          <w:left w:val="single" w:sz="4" w:space="1" w:color="auto"/>
          <w:bottom w:val="single" w:sz="4" w:space="1" w:color="auto"/>
          <w:right w:val="single" w:sz="4" w:space="1" w:color="auto"/>
        </w:pBdr>
        <w:rPr>
          <w:rFonts w:ascii="DIN-Regular" w:hAnsi="DIN-Regular" w:cs="Arial"/>
          <w:b/>
          <w:i/>
          <w:strike/>
          <w:color w:val="auto"/>
          <w:sz w:val="22"/>
          <w:szCs w:val="22"/>
        </w:rPr>
      </w:pPr>
      <w:r w:rsidRPr="00F5551F">
        <w:rPr>
          <w:rFonts w:ascii="DIN-Regular" w:hAnsi="DIN-Regular" w:cs="Arial"/>
          <w:b/>
          <w:i/>
          <w:strike/>
          <w:color w:val="auto"/>
          <w:sz w:val="22"/>
          <w:szCs w:val="22"/>
        </w:rPr>
        <w:t xml:space="preserve">(b) the relevant competent authority in accordance with Article 60(1) of Regulation (EU) No 909/2014, in the manner provided in Article 40. </w:t>
      </w:r>
    </w:p>
    <w:p w:rsidR="009366C2" w:rsidRPr="00F5551F" w:rsidRDefault="009366C2" w:rsidP="00DA6980">
      <w:pPr>
        <w:spacing w:after="240"/>
        <w:jc w:val="both"/>
        <w:rPr>
          <w:rFonts w:eastAsia="Arial Unicode MS" w:cs="Arial"/>
          <w:sz w:val="22"/>
          <w:szCs w:val="22"/>
          <w:lang w:eastAsia="en-GB"/>
        </w:rPr>
      </w:pPr>
    </w:p>
    <w:p w:rsidR="009366C2" w:rsidRPr="00F5551F" w:rsidRDefault="00F5551F" w:rsidP="00DA6980">
      <w:pPr>
        <w:spacing w:after="240"/>
        <w:jc w:val="both"/>
        <w:rPr>
          <w:rFonts w:eastAsia="Arial Unicode MS" w:cs="Arial"/>
          <w:sz w:val="22"/>
          <w:szCs w:val="22"/>
          <w:lang w:eastAsia="en-GB"/>
        </w:rPr>
      </w:pPr>
      <w:r w:rsidRPr="00F5551F">
        <w:rPr>
          <w:rFonts w:eastAsia="Arial Unicode MS" w:cs="Arial"/>
          <w:b/>
          <w:sz w:val="22"/>
          <w:szCs w:val="22"/>
          <w:lang w:eastAsia="en-GB"/>
        </w:rPr>
        <w:t>Article 39</w:t>
      </w:r>
      <w:r w:rsidRPr="00F5551F">
        <w:rPr>
          <w:rFonts w:eastAsia="Arial Unicode MS" w:cs="Arial"/>
          <w:b/>
          <w:sz w:val="22"/>
          <w:szCs w:val="22"/>
          <w:lang w:eastAsia="en-GB"/>
        </w:rPr>
        <w:tab/>
      </w:r>
      <w:r w:rsidRPr="00F5551F">
        <w:rPr>
          <w:rFonts w:eastAsia="Arial Unicode MS" w:cs="Arial"/>
          <w:b/>
          <w:sz w:val="22"/>
          <w:szCs w:val="22"/>
          <w:lang w:eastAsia="en-GB"/>
        </w:rPr>
        <w:br/>
      </w:r>
      <w:r w:rsidRPr="00F5551F">
        <w:rPr>
          <w:rFonts w:eastAsia="Arial Unicode MS" w:cs="Arial"/>
          <w:sz w:val="22"/>
          <w:szCs w:val="22"/>
          <w:lang w:eastAsia="en-GB"/>
        </w:rPr>
        <w:t>Article</w:t>
      </w:r>
      <w:r>
        <w:rPr>
          <w:rFonts w:eastAsia="Arial Unicode MS" w:cs="Arial"/>
          <w:sz w:val="22"/>
          <w:szCs w:val="22"/>
          <w:lang w:eastAsia="en-GB"/>
        </w:rPr>
        <w:t xml:space="preserve"> 39(6) </w:t>
      </w:r>
      <w:proofErr w:type="gramStart"/>
      <w:r>
        <w:rPr>
          <w:rFonts w:eastAsia="Arial Unicode MS" w:cs="Arial"/>
          <w:sz w:val="22"/>
          <w:szCs w:val="22"/>
          <w:lang w:eastAsia="en-GB"/>
        </w:rPr>
        <w:t>The</w:t>
      </w:r>
      <w:proofErr w:type="gramEnd"/>
      <w:r>
        <w:rPr>
          <w:rFonts w:eastAsia="Arial Unicode MS" w:cs="Arial"/>
          <w:sz w:val="22"/>
          <w:szCs w:val="22"/>
          <w:lang w:eastAsia="en-GB"/>
        </w:rPr>
        <w:t xml:space="preserve"> key sources of </w:t>
      </w:r>
      <w:r w:rsidRPr="00F5551F">
        <w:rPr>
          <w:rFonts w:eastAsia="Arial Unicode MS" w:cs="Arial"/>
          <w:sz w:val="22"/>
          <w:szCs w:val="22"/>
          <w:lang w:eastAsia="en-GB"/>
        </w:rPr>
        <w:t>CSD</w:t>
      </w:r>
      <w:r>
        <w:rPr>
          <w:rFonts w:eastAsia="Arial Unicode MS" w:cs="Arial"/>
          <w:sz w:val="22"/>
          <w:szCs w:val="22"/>
          <w:lang w:eastAsia="en-GB"/>
        </w:rPr>
        <w:t>´</w:t>
      </w:r>
      <w:r w:rsidRPr="00F5551F">
        <w:rPr>
          <w:rFonts w:eastAsia="Arial Unicode MS" w:cs="Arial"/>
          <w:sz w:val="22"/>
          <w:szCs w:val="22"/>
          <w:lang w:eastAsia="en-GB"/>
        </w:rPr>
        <w:t xml:space="preserve">s liquidity are customer cash and (uncommitted) money market credit lines. </w:t>
      </w:r>
      <w:r w:rsidR="009366C2" w:rsidRPr="00F5551F">
        <w:rPr>
          <w:rFonts w:eastAsia="Arial Unicode MS" w:cs="Arial"/>
          <w:sz w:val="22"/>
          <w:szCs w:val="22"/>
          <w:lang w:eastAsia="en-GB"/>
        </w:rPr>
        <w:t>For both, no “arrangements” exist. Committed credit lines, for which there would be an “</w:t>
      </w:r>
      <w:proofErr w:type="gramStart"/>
      <w:r w:rsidR="009366C2" w:rsidRPr="00F5551F">
        <w:rPr>
          <w:rFonts w:eastAsia="Arial Unicode MS" w:cs="Arial"/>
          <w:sz w:val="22"/>
          <w:szCs w:val="22"/>
          <w:lang w:eastAsia="en-GB"/>
        </w:rPr>
        <w:t>arrangement”</w:t>
      </w:r>
      <w:proofErr w:type="gramEnd"/>
      <w:r w:rsidR="009366C2" w:rsidRPr="00F5551F">
        <w:rPr>
          <w:rFonts w:eastAsia="Arial Unicode MS" w:cs="Arial"/>
          <w:sz w:val="22"/>
          <w:szCs w:val="22"/>
          <w:lang w:eastAsia="en-GB"/>
        </w:rPr>
        <w:t xml:space="preserve"> are a supplementary source of liquidity, which is not required to manage liquidity in every market the CSD operates in. It will be difficult to define concentration limits on customer cash.</w:t>
      </w:r>
    </w:p>
    <w:p w:rsidR="00BA048F" w:rsidRPr="00F5551F" w:rsidRDefault="00BA048F" w:rsidP="00BA048F">
      <w:pPr>
        <w:pStyle w:val="Default"/>
        <w:rPr>
          <w:rFonts w:ascii="DIN-Regular" w:hAnsi="DIN-Regular" w:cs="Arial"/>
          <w:iCs/>
          <w:sz w:val="22"/>
          <w:szCs w:val="22"/>
        </w:rPr>
      </w:pPr>
      <w:r w:rsidRPr="00F5551F">
        <w:rPr>
          <w:rFonts w:ascii="DIN-Regular" w:hAnsi="DIN-Regular" w:cs="Arial"/>
          <w:iCs/>
          <w:sz w:val="22"/>
          <w:szCs w:val="22"/>
        </w:rPr>
        <w:t>Based on the arguments raised above we propose the following amendments to the EBA draft RTS:</w:t>
      </w:r>
    </w:p>
    <w:p w:rsidR="00BA048F" w:rsidRPr="00F5551F" w:rsidRDefault="00BA048F" w:rsidP="00BA048F">
      <w:pPr>
        <w:pStyle w:val="Default"/>
        <w:rPr>
          <w:rFonts w:ascii="DIN-Regular" w:hAnsi="DIN-Regular" w:cs="Arial"/>
          <w:iCs/>
          <w:sz w:val="22"/>
          <w:szCs w:val="22"/>
        </w:rPr>
      </w:pP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rPr>
          <w:rFonts w:ascii="DIN-Regular" w:hAnsi="DIN-Regular" w:cs="Arial"/>
          <w:i/>
          <w:sz w:val="22"/>
          <w:szCs w:val="22"/>
        </w:rPr>
      </w:pPr>
      <w:r w:rsidRPr="00F5551F">
        <w:rPr>
          <w:rFonts w:ascii="DIN-Regular" w:hAnsi="DIN-Regular" w:cs="Arial"/>
          <w:b/>
          <w:i/>
          <w:iCs/>
          <w:sz w:val="22"/>
          <w:szCs w:val="22"/>
        </w:rPr>
        <w:t>Article 39</w:t>
      </w:r>
      <w:r w:rsidRPr="00F5551F">
        <w:rPr>
          <w:rFonts w:ascii="DIN-Regular" w:hAnsi="DIN-Regular" w:cs="Arial"/>
          <w:i/>
          <w:iCs/>
          <w:sz w:val="22"/>
          <w:szCs w:val="22"/>
        </w:rPr>
        <w:t xml:space="preserve"> - Arrangements for the timely liquidation of collateral or investment using prearranged funding</w:t>
      </w:r>
      <w:r w:rsidR="00A4768B" w:rsidRPr="00F5551F">
        <w:rPr>
          <w:rFonts w:ascii="DIN-Regular" w:hAnsi="DIN-Regular" w:cs="Arial"/>
          <w:b/>
          <w:i/>
          <w:iCs/>
          <w:sz w:val="22"/>
          <w:szCs w:val="22"/>
        </w:rPr>
        <w:t>:</w:t>
      </w:r>
      <w:r w:rsidRPr="00F5551F">
        <w:rPr>
          <w:rFonts w:ascii="DIN-Regular" w:hAnsi="DIN-Regular" w:cs="Arial"/>
          <w:i/>
          <w:iCs/>
          <w:sz w:val="22"/>
          <w:szCs w:val="22"/>
        </w:rPr>
        <w:t xml:space="preserve"> </w:t>
      </w:r>
    </w:p>
    <w:p w:rsidR="009366C2" w:rsidRPr="00F5551F" w:rsidRDefault="00F5551F"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b/>
          <w:i/>
          <w:sz w:val="22"/>
          <w:szCs w:val="22"/>
        </w:rPr>
        <w:t>(…)</w:t>
      </w:r>
      <w:r w:rsidR="009366C2" w:rsidRPr="00F5551F">
        <w:rPr>
          <w:rFonts w:ascii="DIN-Regular" w:hAnsi="DIN-Regular" w:cs="Arial"/>
          <w:i/>
          <w:color w:val="auto"/>
          <w:sz w:val="22"/>
          <w:szCs w:val="22"/>
        </w:rPr>
        <w:t xml:space="preserve"> </w:t>
      </w:r>
      <w:r w:rsidR="00911AA8" w:rsidRPr="00F5551F">
        <w:rPr>
          <w:rFonts w:ascii="DIN-Regular" w:hAnsi="DIN-Regular" w:cs="Arial"/>
          <w:b/>
          <w:i/>
          <w:color w:val="auto"/>
          <w:sz w:val="22"/>
          <w:szCs w:val="22"/>
        </w:rPr>
        <w:t>6.</w:t>
      </w:r>
      <w:r w:rsidR="00911AA8" w:rsidRPr="00F5551F">
        <w:rPr>
          <w:rFonts w:ascii="DIN-Regular" w:hAnsi="DIN-Regular" w:cs="Arial"/>
          <w:i/>
          <w:color w:val="auto"/>
          <w:sz w:val="22"/>
          <w:szCs w:val="22"/>
        </w:rPr>
        <w:t xml:space="preserve"> </w:t>
      </w:r>
      <w:r w:rsidR="009366C2" w:rsidRPr="00F5551F">
        <w:rPr>
          <w:rFonts w:ascii="DIN-Regular" w:hAnsi="DIN-Regular" w:cs="Arial"/>
          <w:i/>
          <w:color w:val="auto"/>
          <w:sz w:val="22"/>
          <w:szCs w:val="22"/>
        </w:rPr>
        <w:t xml:space="preserve">The CSD-banking service provider’s liquidity risk management framework shall include a requirement to establish concentration limits, which shall in particular provide that: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t xml:space="preserve">(a) </w:t>
      </w:r>
      <w:proofErr w:type="gramStart"/>
      <w:r w:rsidRPr="00F5551F">
        <w:rPr>
          <w:rFonts w:ascii="DIN-Regular" w:hAnsi="DIN-Regular" w:cs="Arial"/>
          <w:i/>
          <w:color w:val="auto"/>
          <w:sz w:val="22"/>
          <w:szCs w:val="22"/>
        </w:rPr>
        <w:t>the</w:t>
      </w:r>
      <w:proofErr w:type="gramEnd"/>
      <w:r w:rsidRPr="00F5551F">
        <w:rPr>
          <w:rFonts w:ascii="DIN-Regular" w:hAnsi="DIN-Regular" w:cs="Arial"/>
          <w:i/>
          <w:color w:val="auto"/>
          <w:sz w:val="22"/>
          <w:szCs w:val="22"/>
        </w:rPr>
        <w:t xml:space="preserve"> concentration limits are established by currency; </w:t>
      </w:r>
    </w:p>
    <w:p w:rsidR="009366C2" w:rsidRPr="00F5551F" w:rsidRDefault="00911AA8"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b/>
          <w:i/>
          <w:strike/>
          <w:color w:val="auto"/>
          <w:sz w:val="22"/>
          <w:szCs w:val="22"/>
        </w:rPr>
      </w:pPr>
      <w:r w:rsidRPr="00F5551F" w:rsidDel="00911AA8">
        <w:rPr>
          <w:rFonts w:ascii="DIN-Regular" w:hAnsi="DIN-Regular" w:cs="Arial"/>
          <w:i/>
          <w:color w:val="auto"/>
          <w:sz w:val="22"/>
          <w:szCs w:val="22"/>
        </w:rPr>
        <w:t xml:space="preserve"> </w:t>
      </w:r>
      <w:r w:rsidR="009366C2" w:rsidRPr="00F5551F">
        <w:rPr>
          <w:rFonts w:ascii="DIN-Regular" w:hAnsi="DIN-Regular" w:cs="Arial"/>
          <w:b/>
          <w:i/>
          <w:strike/>
          <w:color w:val="auto"/>
          <w:sz w:val="22"/>
          <w:szCs w:val="22"/>
        </w:rPr>
        <w:t xml:space="preserve">(b) </w:t>
      </w:r>
      <w:proofErr w:type="gramStart"/>
      <w:r w:rsidR="009366C2" w:rsidRPr="00F5551F">
        <w:rPr>
          <w:rFonts w:ascii="DIN-Regular" w:hAnsi="DIN-Regular" w:cs="Arial"/>
          <w:b/>
          <w:i/>
          <w:strike/>
          <w:color w:val="auto"/>
          <w:sz w:val="22"/>
          <w:szCs w:val="22"/>
        </w:rPr>
        <w:t>at</w:t>
      </w:r>
      <w:proofErr w:type="gramEnd"/>
      <w:r w:rsidR="009366C2" w:rsidRPr="00F5551F">
        <w:rPr>
          <w:rFonts w:ascii="DIN-Regular" w:hAnsi="DIN-Regular" w:cs="Arial"/>
          <w:b/>
          <w:i/>
          <w:strike/>
          <w:color w:val="auto"/>
          <w:sz w:val="22"/>
          <w:szCs w:val="22"/>
        </w:rPr>
        <w:t xml:space="preserve"> least two arrangements for each major currency are put in place unless the CSD-banking service provider has direct access to the central bank of issue of the currency concerned;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i/>
          <w:color w:val="auto"/>
          <w:sz w:val="22"/>
          <w:szCs w:val="22"/>
        </w:rPr>
      </w:pPr>
      <w:r w:rsidRPr="00F5551F">
        <w:rPr>
          <w:rFonts w:ascii="DIN-Regular" w:hAnsi="DIN-Regular" w:cs="Arial"/>
          <w:i/>
          <w:color w:val="auto"/>
          <w:sz w:val="22"/>
          <w:szCs w:val="22"/>
        </w:rPr>
        <w:t xml:space="preserve">(c) </w:t>
      </w:r>
      <w:proofErr w:type="gramStart"/>
      <w:r w:rsidRPr="00F5551F">
        <w:rPr>
          <w:rFonts w:ascii="DIN-Regular" w:hAnsi="DIN-Regular" w:cs="Arial"/>
          <w:i/>
          <w:color w:val="auto"/>
          <w:sz w:val="22"/>
          <w:szCs w:val="22"/>
        </w:rPr>
        <w:t>the</w:t>
      </w:r>
      <w:proofErr w:type="gramEnd"/>
      <w:r w:rsidRPr="00F5551F">
        <w:rPr>
          <w:rFonts w:ascii="DIN-Regular" w:hAnsi="DIN-Regular" w:cs="Arial"/>
          <w:i/>
          <w:color w:val="auto"/>
          <w:sz w:val="22"/>
          <w:szCs w:val="22"/>
        </w:rPr>
        <w:t xml:space="preserve"> CSD-banking service provider is not overly reliant on any individual financial institution considering all currencies; </w:t>
      </w:r>
    </w:p>
    <w:p w:rsidR="009366C2" w:rsidRPr="00F5551F" w:rsidRDefault="005B047F" w:rsidP="00DA6980">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b/>
          <w:i/>
          <w:strike/>
          <w:color w:val="auto"/>
          <w:sz w:val="22"/>
          <w:szCs w:val="22"/>
        </w:rPr>
      </w:pPr>
      <w:r w:rsidRPr="00F5551F">
        <w:rPr>
          <w:rFonts w:ascii="DIN-Regular" w:hAnsi="DIN-Regular" w:cs="Arial"/>
          <w:b/>
          <w:i/>
          <w:strike/>
          <w:color w:val="auto"/>
          <w:sz w:val="22"/>
          <w:szCs w:val="22"/>
        </w:rPr>
        <w:t xml:space="preserve">7. </w:t>
      </w:r>
      <w:r w:rsidR="009366C2" w:rsidRPr="00F5551F">
        <w:rPr>
          <w:rFonts w:ascii="DIN-Regular" w:hAnsi="DIN-Regular" w:cs="Arial"/>
          <w:b/>
          <w:i/>
          <w:strike/>
          <w:color w:val="auto"/>
          <w:sz w:val="22"/>
          <w:szCs w:val="22"/>
        </w:rPr>
        <w:t>The CSD-banking service provider shall continu</w:t>
      </w:r>
      <w:r w:rsidRPr="00F5551F">
        <w:rPr>
          <w:rFonts w:ascii="DIN-Regular" w:hAnsi="DIN-Regular" w:cs="Arial"/>
          <w:b/>
          <w:i/>
          <w:strike/>
          <w:color w:val="auto"/>
          <w:sz w:val="22"/>
          <w:szCs w:val="22"/>
        </w:rPr>
        <w:t xml:space="preserve">ously monitor and control its </w:t>
      </w:r>
      <w:r w:rsidR="009366C2" w:rsidRPr="00F5551F">
        <w:rPr>
          <w:rFonts w:ascii="DIN-Regular" w:hAnsi="DIN-Regular" w:cs="Arial"/>
          <w:b/>
          <w:i/>
          <w:strike/>
          <w:color w:val="auto"/>
          <w:sz w:val="22"/>
          <w:szCs w:val="22"/>
        </w:rPr>
        <w:t xml:space="preserve">concentration limits towards its liquidity providers and it shall implement policies and procedures to ensure its overall risk exposure to any individual financial institution remains within the concentration limits determined in accordance with paragraph 6; </w:t>
      </w:r>
    </w:p>
    <w:p w:rsidR="009366C2" w:rsidRPr="00E171D6" w:rsidRDefault="00F5551F" w:rsidP="00F5551F">
      <w:pPr>
        <w:pStyle w:val="Default"/>
        <w:pBdr>
          <w:top w:val="single" w:sz="4" w:space="1" w:color="auto"/>
          <w:left w:val="single" w:sz="4" w:space="1" w:color="auto"/>
          <w:bottom w:val="single" w:sz="4" w:space="1" w:color="auto"/>
          <w:right w:val="single" w:sz="4" w:space="1" w:color="auto"/>
        </w:pBdr>
        <w:spacing w:after="230"/>
        <w:rPr>
          <w:rFonts w:ascii="DIN-Regular" w:hAnsi="DIN-Regular" w:cs="Arial"/>
          <w:b/>
          <w:i/>
          <w:color w:val="auto"/>
          <w:sz w:val="22"/>
          <w:szCs w:val="22"/>
        </w:rPr>
      </w:pPr>
      <w:r w:rsidRPr="00F5551F">
        <w:rPr>
          <w:rFonts w:ascii="DIN-Regular" w:hAnsi="DIN-Regular" w:cs="Arial"/>
          <w:b/>
          <w:i/>
          <w:color w:val="auto"/>
          <w:sz w:val="22"/>
          <w:szCs w:val="22"/>
        </w:rPr>
        <w:t xml:space="preserve">(…) </w:t>
      </w:r>
      <w:r w:rsidR="001C7C7D" w:rsidRPr="00F5551F">
        <w:rPr>
          <w:rFonts w:ascii="DIN-Regular" w:hAnsi="DIN-Regular" w:cs="Arial"/>
          <w:b/>
          <w:i/>
          <w:color w:val="auto"/>
          <w:sz w:val="22"/>
          <w:szCs w:val="22"/>
        </w:rPr>
        <w:t xml:space="preserve">14. </w:t>
      </w:r>
      <w:r w:rsidR="009366C2" w:rsidRPr="00F5551F">
        <w:rPr>
          <w:rFonts w:ascii="DIN-Regular" w:hAnsi="DIN-Regular" w:cs="Arial"/>
          <w:i/>
          <w:color w:val="auto"/>
          <w:sz w:val="22"/>
          <w:szCs w:val="22"/>
        </w:rPr>
        <w:t xml:space="preserve">The CSD-banking service provider shall be </w:t>
      </w:r>
      <w:r w:rsidR="0060340B" w:rsidRPr="00F5551F">
        <w:rPr>
          <w:rFonts w:ascii="DIN-Regular" w:hAnsi="DIN-Regular" w:cs="Arial"/>
          <w:b/>
          <w:i/>
          <w:color w:val="auto"/>
          <w:sz w:val="22"/>
          <w:szCs w:val="22"/>
        </w:rPr>
        <w:t xml:space="preserve">able to demonstrate it is </w:t>
      </w:r>
      <w:r w:rsidR="009366C2" w:rsidRPr="00F5551F">
        <w:rPr>
          <w:rFonts w:ascii="DIN-Regular" w:hAnsi="DIN-Regular" w:cs="Arial"/>
          <w:i/>
          <w:color w:val="auto"/>
          <w:sz w:val="22"/>
          <w:szCs w:val="22"/>
        </w:rPr>
        <w:t xml:space="preserve">capable of </w:t>
      </w:r>
      <w:r w:rsidR="001C7C7D" w:rsidRPr="00E171D6">
        <w:rPr>
          <w:rFonts w:ascii="DIN-Regular" w:hAnsi="DIN-Regular" w:cs="Arial"/>
          <w:b/>
          <w:i/>
          <w:strike/>
          <w:color w:val="auto"/>
          <w:sz w:val="22"/>
          <w:szCs w:val="22"/>
        </w:rPr>
        <w:t xml:space="preserve">entering into transactions with the purpose of </w:t>
      </w:r>
      <w:r w:rsidR="009366C2" w:rsidRPr="00E171D6">
        <w:rPr>
          <w:rFonts w:ascii="DIN-Regular" w:hAnsi="DIN-Regular" w:cs="Arial"/>
          <w:b/>
          <w:i/>
          <w:strike/>
          <w:color w:val="auto"/>
          <w:sz w:val="22"/>
          <w:szCs w:val="22"/>
        </w:rPr>
        <w:t>accessing and</w:t>
      </w:r>
      <w:r w:rsidR="009366C2" w:rsidRPr="00E171D6">
        <w:rPr>
          <w:rFonts w:ascii="DIN-Regular" w:hAnsi="DIN-Regular" w:cs="Arial"/>
          <w:b/>
          <w:i/>
          <w:color w:val="auto"/>
          <w:sz w:val="22"/>
          <w:szCs w:val="22"/>
        </w:rPr>
        <w:t xml:space="preserve"> </w:t>
      </w:r>
      <w:r w:rsidR="009366C2" w:rsidRPr="00F5551F">
        <w:rPr>
          <w:rFonts w:ascii="DIN-Regular" w:hAnsi="DIN-Regular" w:cs="Arial"/>
          <w:i/>
          <w:color w:val="auto"/>
          <w:sz w:val="22"/>
          <w:szCs w:val="22"/>
        </w:rPr>
        <w:t>liquidating non</w:t>
      </w:r>
      <w:r w:rsidR="005B047F" w:rsidRPr="00F5551F">
        <w:rPr>
          <w:rFonts w:ascii="DIN-Regular" w:hAnsi="DIN-Regular" w:cs="Arial"/>
          <w:i/>
          <w:color w:val="auto"/>
          <w:sz w:val="22"/>
          <w:szCs w:val="22"/>
        </w:rPr>
        <w:t xml:space="preserve"> </w:t>
      </w:r>
      <w:r w:rsidR="009366C2" w:rsidRPr="00F5551F">
        <w:rPr>
          <w:rFonts w:ascii="DIN-Regular" w:hAnsi="DIN-Regular" w:cs="Arial"/>
          <w:i/>
          <w:color w:val="auto"/>
          <w:sz w:val="22"/>
          <w:szCs w:val="22"/>
        </w:rPr>
        <w:t xml:space="preserve">cash assets referred to in Articles 19 and 20(1) </w:t>
      </w:r>
      <w:r w:rsidR="0060340B" w:rsidRPr="00F5551F">
        <w:rPr>
          <w:rFonts w:ascii="DIN-Regular" w:hAnsi="DIN-Regular" w:cs="Arial"/>
          <w:b/>
          <w:i/>
          <w:color w:val="auto"/>
          <w:sz w:val="22"/>
          <w:szCs w:val="22"/>
        </w:rPr>
        <w:t xml:space="preserve">in an orderly manner, even under stressed market </w:t>
      </w:r>
      <w:proofErr w:type="spellStart"/>
      <w:r w:rsidR="0060340B" w:rsidRPr="00221C39">
        <w:rPr>
          <w:rFonts w:ascii="DIN-Regular" w:hAnsi="DIN-Regular" w:cs="Arial"/>
          <w:b/>
          <w:i/>
          <w:color w:val="auto"/>
          <w:sz w:val="22"/>
          <w:szCs w:val="22"/>
        </w:rPr>
        <w:t>conditions</w:t>
      </w:r>
      <w:r w:rsidR="009366C2" w:rsidRPr="00E171D6">
        <w:rPr>
          <w:rFonts w:ascii="DIN-Regular" w:hAnsi="DIN-Regular" w:cs="Arial"/>
          <w:b/>
          <w:i/>
          <w:strike/>
          <w:color w:val="auto"/>
          <w:sz w:val="22"/>
          <w:szCs w:val="22"/>
        </w:rPr>
        <w:t>on</w:t>
      </w:r>
      <w:proofErr w:type="spellEnd"/>
      <w:r w:rsidR="009366C2" w:rsidRPr="00E171D6">
        <w:rPr>
          <w:rFonts w:ascii="DIN-Regular" w:hAnsi="DIN-Regular" w:cs="Arial"/>
          <w:b/>
          <w:i/>
          <w:strike/>
          <w:color w:val="auto"/>
          <w:sz w:val="22"/>
          <w:szCs w:val="22"/>
        </w:rPr>
        <w:t xml:space="preserve"> a same-day basis through pre-arranged and highly reliable arrangements established in accordance with point (</w:t>
      </w:r>
      <w:proofErr w:type="spellStart"/>
      <w:r w:rsidR="009366C2" w:rsidRPr="00E171D6">
        <w:rPr>
          <w:rFonts w:ascii="DIN-Regular" w:hAnsi="DIN-Regular" w:cs="Arial"/>
          <w:b/>
          <w:i/>
          <w:strike/>
          <w:color w:val="auto"/>
          <w:sz w:val="22"/>
          <w:szCs w:val="22"/>
        </w:rPr>
        <w:t>i</w:t>
      </w:r>
      <w:proofErr w:type="spellEnd"/>
      <w:r w:rsidR="009366C2" w:rsidRPr="00E171D6">
        <w:rPr>
          <w:rFonts w:ascii="DIN-Regular" w:hAnsi="DIN-Regular" w:cs="Arial"/>
          <w:b/>
          <w:i/>
          <w:strike/>
          <w:color w:val="auto"/>
          <w:sz w:val="22"/>
          <w:szCs w:val="22"/>
        </w:rPr>
        <w:t xml:space="preserve">) of Article 59(4). </w:t>
      </w:r>
    </w:p>
    <w:p w:rsidR="009366C2" w:rsidRPr="00F5551F" w:rsidRDefault="009366C2" w:rsidP="00DA6980">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sz w:val="22"/>
          <w:szCs w:val="22"/>
          <w:highlight w:val="yellow"/>
          <w:lang w:eastAsia="de-DE"/>
        </w:rPr>
      </w:pPr>
    </w:p>
    <w:p w:rsidR="009366C2" w:rsidRPr="00F5551F" w:rsidRDefault="009366C2" w:rsidP="00DA6980">
      <w:pPr>
        <w:pStyle w:val="Default"/>
        <w:contextualSpacing/>
        <w:jc w:val="both"/>
        <w:rPr>
          <w:rFonts w:ascii="DIN-Regular" w:eastAsia="Arial Unicode MS" w:hAnsi="DIN-Regular" w:cs="Arial"/>
          <w:color w:val="auto"/>
          <w:sz w:val="22"/>
          <w:szCs w:val="22"/>
        </w:rPr>
      </w:pPr>
    </w:p>
    <w:p w:rsidR="009366C2" w:rsidRPr="00F5551F" w:rsidRDefault="009366C2" w:rsidP="00DA6980">
      <w:pPr>
        <w:pStyle w:val="Default"/>
        <w:contextualSpacing/>
        <w:jc w:val="both"/>
        <w:rPr>
          <w:rFonts w:ascii="DIN-Regular" w:hAnsi="DIN-Regular" w:cs="Arial"/>
          <w:color w:val="auto"/>
          <w:sz w:val="22"/>
          <w:szCs w:val="22"/>
        </w:rPr>
      </w:pPr>
      <w:r w:rsidRPr="00F5551F">
        <w:rPr>
          <w:rFonts w:ascii="DIN-Regular" w:eastAsia="Arial Unicode MS" w:hAnsi="DIN-Regular" w:cs="Arial"/>
          <w:color w:val="auto"/>
          <w:sz w:val="22"/>
          <w:szCs w:val="22"/>
        </w:rPr>
        <w:t>In addition to the general comments made above and the answers to the specific question raised, we do want to comment in more detail and raise some questions on dedicated topics regarding Articles 40 to 41 and the annexes of the draft RTS proposal as follows:</w:t>
      </w:r>
    </w:p>
    <w:p w:rsidR="009366C2" w:rsidRPr="00F5551F" w:rsidRDefault="009366C2" w:rsidP="00DA6980">
      <w:pPr>
        <w:pStyle w:val="Default"/>
        <w:contextualSpacing/>
        <w:jc w:val="both"/>
        <w:rPr>
          <w:rFonts w:ascii="DIN-Regular" w:eastAsia="Arial Unicode MS" w:hAnsi="DIN-Regular" w:cs="Arial"/>
          <w:color w:val="auto"/>
          <w:sz w:val="22"/>
          <w:szCs w:val="22"/>
        </w:rPr>
      </w:pPr>
    </w:p>
    <w:p w:rsidR="009366C2" w:rsidRPr="00F5551F" w:rsidRDefault="009366C2" w:rsidP="00DA6980">
      <w:pPr>
        <w:pStyle w:val="ListParagraph"/>
        <w:numPr>
          <w:ilvl w:val="0"/>
          <w:numId w:val="2"/>
        </w:numPr>
        <w:spacing w:after="240" w:line="240" w:lineRule="auto"/>
        <w:ind w:left="357" w:hanging="357"/>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We disagree to the proposed business risk scenarios s proposed in Annex II of the draft RTS to a substantial degree:</w:t>
      </w:r>
    </w:p>
    <w:p w:rsidR="009366C2" w:rsidRPr="00F5551F" w:rsidRDefault="009366C2" w:rsidP="00DA6980">
      <w:pPr>
        <w:pStyle w:val="ListParagraph"/>
        <w:numPr>
          <w:ilvl w:val="1"/>
          <w:numId w:val="2"/>
        </w:numPr>
        <w:spacing w:after="240"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CSDs are virtually completely funded by equity. Funding cost for equity cannot really change in the </w:t>
      </w:r>
      <w:r w:rsidR="00F5551F">
        <w:rPr>
          <w:rFonts w:ascii="DIN-Regular" w:eastAsia="Arial Unicode MS" w:hAnsi="DIN-Regular" w:cs="Arial"/>
          <w:szCs w:val="22"/>
          <w:lang w:eastAsia="en-GB"/>
        </w:rPr>
        <w:t>P&amp;L</w:t>
      </w:r>
      <w:r w:rsidRPr="00F5551F">
        <w:rPr>
          <w:rFonts w:ascii="DIN-Regular" w:eastAsia="Arial Unicode MS" w:hAnsi="DIN-Regular" w:cs="Arial"/>
          <w:szCs w:val="22"/>
          <w:lang w:eastAsia="en-GB"/>
        </w:rPr>
        <w:t xml:space="preserve"> but only in budget assuming a certain dividend expectation.</w:t>
      </w:r>
    </w:p>
    <w:p w:rsidR="009366C2" w:rsidRPr="00F5551F" w:rsidRDefault="009366C2" w:rsidP="00DA6980">
      <w:pPr>
        <w:pStyle w:val="ListParagraph"/>
        <w:numPr>
          <w:ilvl w:val="1"/>
          <w:numId w:val="2"/>
        </w:numPr>
        <w:spacing w:after="240"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Reduction of income only matters in case current (expected) or past year income is taken into account to cover business risk.</w:t>
      </w:r>
    </w:p>
    <w:p w:rsidR="009366C2" w:rsidRPr="00F5551F" w:rsidRDefault="009366C2" w:rsidP="00DA6980">
      <w:pPr>
        <w:pStyle w:val="ListParagraph"/>
        <w:numPr>
          <w:ilvl w:val="1"/>
          <w:numId w:val="2"/>
        </w:numPr>
        <w:spacing w:after="240"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Same argument is true related to higher contribution for pension plans.</w:t>
      </w:r>
    </w:p>
    <w:p w:rsidR="009366C2" w:rsidRPr="00F5551F" w:rsidRDefault="009366C2" w:rsidP="00DA6980">
      <w:pPr>
        <w:pStyle w:val="ListParagraph"/>
        <w:numPr>
          <w:ilvl w:val="1"/>
          <w:numId w:val="2"/>
        </w:numPr>
        <w:spacing w:after="240"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Long client balances can only reflect to cash deposits. These can only occur, in case the CSD offers banking type of services. Even here, the impact beyond a reduction of current (net) interest income is hardly to measure and to be covered by current income.</w:t>
      </w:r>
    </w:p>
    <w:p w:rsidR="009366C2" w:rsidRPr="00F5551F" w:rsidRDefault="009366C2" w:rsidP="00DA6980">
      <w:pPr>
        <w:pStyle w:val="ListParagraph"/>
        <w:numPr>
          <w:ilvl w:val="1"/>
          <w:numId w:val="2"/>
        </w:numPr>
        <w:spacing w:after="240" w:line="240" w:lineRule="auto"/>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Same is true for short client balances.</w:t>
      </w:r>
    </w:p>
    <w:p w:rsidR="009366C2" w:rsidRPr="00F5551F" w:rsidRDefault="009366C2" w:rsidP="00DA6980">
      <w:pPr>
        <w:pStyle w:val="ListParagraph"/>
        <w:numPr>
          <w:ilvl w:val="0"/>
          <w:numId w:val="2"/>
        </w:numPr>
        <w:spacing w:after="240" w:line="240" w:lineRule="auto"/>
        <w:ind w:left="357" w:hanging="357"/>
        <w:jc w:val="both"/>
        <w:rPr>
          <w:rFonts w:ascii="DIN-Regular" w:eastAsia="Arial Unicode MS" w:hAnsi="DIN-Regular" w:cs="Arial"/>
          <w:szCs w:val="22"/>
          <w:lang w:eastAsia="en-GB"/>
        </w:rPr>
      </w:pPr>
      <w:r w:rsidRPr="00F5551F">
        <w:rPr>
          <w:rFonts w:ascii="DIN-Regular" w:eastAsia="Arial Unicode MS" w:hAnsi="DIN-Regular" w:cs="Arial"/>
          <w:szCs w:val="22"/>
          <w:lang w:eastAsia="en-GB"/>
        </w:rPr>
        <w:t xml:space="preserve">It needs to be clarified, why Article 41 and 29 of the draft RTS is necessary on top of part 8 of CRR and how the two are linked. We rather recommend to ask for disclosure within the CRR disclosure report and to add the additional elements which are not already part of the CRR requirements. </w:t>
      </w:r>
    </w:p>
    <w:p w:rsidR="009366C2" w:rsidRPr="00F5551F" w:rsidRDefault="00F5551F" w:rsidP="00DA6980">
      <w:pPr>
        <w:pStyle w:val="Default"/>
        <w:contextualSpacing/>
        <w:jc w:val="both"/>
        <w:rPr>
          <w:rFonts w:ascii="DIN-Regular" w:eastAsia="Arial Unicode MS" w:hAnsi="DIN-Regular" w:cs="Arial"/>
          <w:b/>
          <w:color w:val="auto"/>
          <w:sz w:val="22"/>
          <w:szCs w:val="22"/>
        </w:rPr>
      </w:pPr>
      <w:r w:rsidRPr="00F5551F">
        <w:rPr>
          <w:rFonts w:ascii="DIN-Regular" w:hAnsi="DIN-Regular" w:cs="Arial"/>
          <w:b/>
          <w:color w:val="auto"/>
          <w:sz w:val="22"/>
          <w:szCs w:val="22"/>
        </w:rPr>
        <w:t>Article 42</w:t>
      </w:r>
    </w:p>
    <w:p w:rsidR="0011144A" w:rsidRPr="00F5551F" w:rsidRDefault="00F5551F" w:rsidP="00DA6980">
      <w:pPr>
        <w:pStyle w:val="Default"/>
        <w:contextualSpacing/>
        <w:jc w:val="both"/>
        <w:rPr>
          <w:rFonts w:ascii="DIN-Regular" w:hAnsi="DIN-Regular" w:cs="Arial"/>
          <w:color w:val="auto"/>
          <w:sz w:val="22"/>
          <w:szCs w:val="22"/>
        </w:rPr>
      </w:pPr>
      <w:r w:rsidRPr="00F5551F">
        <w:rPr>
          <w:rFonts w:ascii="DIN-Regular" w:hAnsi="DIN-Regular" w:cs="Arial"/>
          <w:color w:val="auto"/>
          <w:sz w:val="22"/>
          <w:szCs w:val="22"/>
        </w:rPr>
        <w:t xml:space="preserve">While </w:t>
      </w:r>
      <w:r w:rsidR="00396283" w:rsidRPr="00F5551F">
        <w:rPr>
          <w:rFonts w:ascii="DIN-Regular" w:hAnsi="DIN-Regular" w:cs="Arial"/>
          <w:color w:val="auto"/>
          <w:sz w:val="22"/>
          <w:szCs w:val="22"/>
        </w:rPr>
        <w:t>Article 42</w:t>
      </w:r>
      <w:r w:rsidR="00684A82">
        <w:rPr>
          <w:rFonts w:ascii="DIN-Regular" w:hAnsi="DIN-Regular" w:cs="Arial"/>
          <w:color w:val="auto"/>
          <w:sz w:val="22"/>
          <w:szCs w:val="22"/>
        </w:rPr>
        <w:t xml:space="preserve"> draft RTS</w:t>
      </w:r>
      <w:r w:rsidR="00396283" w:rsidRPr="00F5551F">
        <w:rPr>
          <w:rFonts w:ascii="DIN-Regular" w:hAnsi="DIN-Regular" w:cs="Arial"/>
          <w:color w:val="auto"/>
          <w:sz w:val="22"/>
          <w:szCs w:val="22"/>
        </w:rPr>
        <w:t xml:space="preserve"> is placed as section 6 of Title III, Chapter II</w:t>
      </w:r>
      <w:r w:rsidRPr="00F5551F">
        <w:rPr>
          <w:rFonts w:ascii="DIN-Regular" w:hAnsi="DIN-Regular" w:cs="Arial"/>
          <w:color w:val="auto"/>
          <w:sz w:val="22"/>
          <w:szCs w:val="22"/>
        </w:rPr>
        <w:t xml:space="preserve">, we believe such a </w:t>
      </w:r>
      <w:r w:rsidR="000004A2" w:rsidRPr="00F5551F">
        <w:rPr>
          <w:rFonts w:ascii="DIN-Regular" w:hAnsi="DIN-Regular" w:cs="Arial"/>
          <w:color w:val="auto"/>
          <w:sz w:val="22"/>
          <w:szCs w:val="22"/>
        </w:rPr>
        <w:t xml:space="preserve">rule </w:t>
      </w:r>
      <w:r w:rsidRPr="00F5551F">
        <w:rPr>
          <w:rFonts w:ascii="DIN-Regular" w:hAnsi="DIN-Regular" w:cs="Arial"/>
          <w:color w:val="auto"/>
          <w:sz w:val="22"/>
          <w:szCs w:val="22"/>
        </w:rPr>
        <w:t xml:space="preserve">would have its more appropriate place just after  </w:t>
      </w:r>
      <w:r w:rsidR="000004A2" w:rsidRPr="00F5551F">
        <w:rPr>
          <w:rFonts w:ascii="DIN-Regular" w:hAnsi="DIN-Regular" w:cs="Arial"/>
          <w:color w:val="auto"/>
          <w:sz w:val="22"/>
          <w:szCs w:val="22"/>
        </w:rPr>
        <w:t>Title</w:t>
      </w:r>
      <w:r w:rsidRPr="00F5551F">
        <w:rPr>
          <w:rFonts w:ascii="DIN-Regular" w:hAnsi="DIN-Regular" w:cs="Arial"/>
          <w:color w:val="auto"/>
          <w:sz w:val="22"/>
          <w:szCs w:val="22"/>
        </w:rPr>
        <w:t>s</w:t>
      </w:r>
      <w:r w:rsidR="000004A2" w:rsidRPr="00F5551F">
        <w:rPr>
          <w:rFonts w:ascii="DIN-Regular" w:hAnsi="DIN-Regular" w:cs="Arial"/>
          <w:color w:val="auto"/>
          <w:sz w:val="22"/>
          <w:szCs w:val="22"/>
        </w:rPr>
        <w:t xml:space="preserve"> I to III</w:t>
      </w:r>
      <w:r w:rsidRPr="00F5551F">
        <w:rPr>
          <w:rFonts w:ascii="DIN-Regular" w:hAnsi="DIN-Regular" w:cs="Arial"/>
          <w:color w:val="auto"/>
          <w:sz w:val="22"/>
          <w:szCs w:val="22"/>
        </w:rPr>
        <w:t xml:space="preserve">, and are </w:t>
      </w:r>
      <w:r w:rsidR="000004A2" w:rsidRPr="00F5551F">
        <w:rPr>
          <w:rFonts w:ascii="DIN-Regular" w:hAnsi="DIN-Regular" w:cs="Arial"/>
          <w:color w:val="auto"/>
          <w:sz w:val="22"/>
          <w:szCs w:val="22"/>
        </w:rPr>
        <w:t xml:space="preserve">therefore </w:t>
      </w:r>
      <w:r w:rsidRPr="00F5551F">
        <w:rPr>
          <w:rFonts w:ascii="DIN-Regular" w:hAnsi="DIN-Regular" w:cs="Arial"/>
          <w:color w:val="auto"/>
          <w:sz w:val="22"/>
          <w:szCs w:val="22"/>
        </w:rPr>
        <w:t xml:space="preserve">suggesting it </w:t>
      </w:r>
      <w:r w:rsidR="000004A2" w:rsidRPr="00F5551F">
        <w:rPr>
          <w:rFonts w:ascii="DIN-Regular" w:hAnsi="DIN-Regular" w:cs="Arial"/>
          <w:color w:val="auto"/>
          <w:sz w:val="22"/>
          <w:szCs w:val="22"/>
        </w:rPr>
        <w:t>should be placed as Title IV.</w:t>
      </w:r>
    </w:p>
    <w:p w:rsidR="000004A2" w:rsidRPr="00F5551F" w:rsidRDefault="000004A2" w:rsidP="00DA6980">
      <w:pPr>
        <w:pStyle w:val="Default"/>
        <w:contextualSpacing/>
        <w:jc w:val="both"/>
        <w:rPr>
          <w:rFonts w:ascii="DIN-Regular" w:hAnsi="DIN-Regular" w:cs="Arial"/>
          <w:color w:val="auto"/>
          <w:sz w:val="22"/>
          <w:szCs w:val="22"/>
        </w:rPr>
      </w:pPr>
      <w:r w:rsidRPr="00F5551F">
        <w:rPr>
          <w:rFonts w:ascii="DIN-Regular" w:hAnsi="DIN-Regular" w:cs="Arial"/>
          <w:color w:val="auto"/>
          <w:sz w:val="22"/>
          <w:szCs w:val="22"/>
        </w:rPr>
        <w:t xml:space="preserve">Moreover, Article 42 </w:t>
      </w:r>
      <w:r w:rsidR="00684A82">
        <w:rPr>
          <w:rFonts w:ascii="DIN-Regular" w:hAnsi="DIN-Regular" w:cs="Arial"/>
          <w:color w:val="auto"/>
          <w:sz w:val="22"/>
          <w:szCs w:val="22"/>
        </w:rPr>
        <w:t xml:space="preserve">draft RTS </w:t>
      </w:r>
      <w:r w:rsidRPr="00F5551F">
        <w:rPr>
          <w:rFonts w:ascii="DIN-Regular" w:hAnsi="DIN-Regular" w:cs="Arial"/>
          <w:color w:val="auto"/>
          <w:sz w:val="22"/>
          <w:szCs w:val="22"/>
        </w:rPr>
        <w:t xml:space="preserve">does not contain any rule for </w:t>
      </w:r>
      <w:r w:rsidR="00F5551F" w:rsidRPr="00F5551F">
        <w:rPr>
          <w:rFonts w:ascii="DIN-Regular" w:hAnsi="DIN-Regular" w:cs="Arial"/>
          <w:color w:val="auto"/>
          <w:sz w:val="22"/>
          <w:szCs w:val="22"/>
        </w:rPr>
        <w:t xml:space="preserve">its </w:t>
      </w:r>
      <w:r w:rsidRPr="00F5551F">
        <w:rPr>
          <w:rFonts w:ascii="DIN-Regular" w:hAnsi="DIN-Regular" w:cs="Arial"/>
          <w:color w:val="auto"/>
          <w:sz w:val="22"/>
          <w:szCs w:val="22"/>
        </w:rPr>
        <w:t>phasing in</w:t>
      </w:r>
      <w:r w:rsidR="00F5551F" w:rsidRPr="00F5551F">
        <w:rPr>
          <w:rFonts w:ascii="DIN-Regular" w:hAnsi="DIN-Regular" w:cs="Arial"/>
          <w:color w:val="auto"/>
          <w:sz w:val="22"/>
          <w:szCs w:val="22"/>
        </w:rPr>
        <w:t>, and l</w:t>
      </w:r>
      <w:r w:rsidRPr="00F5551F">
        <w:rPr>
          <w:rFonts w:ascii="DIN-Regular" w:hAnsi="DIN-Regular" w:cs="Arial"/>
          <w:color w:val="auto"/>
          <w:sz w:val="22"/>
          <w:szCs w:val="22"/>
        </w:rPr>
        <w:t>ooking into the massive intervention into IT systems the current proposal (but also an adjusted approach) will bring to the CSDs</w:t>
      </w:r>
      <w:r w:rsidR="00F5551F" w:rsidRPr="00F5551F">
        <w:rPr>
          <w:rFonts w:ascii="DIN-Regular" w:hAnsi="DIN-Regular" w:cs="Arial"/>
          <w:color w:val="auto"/>
          <w:sz w:val="22"/>
          <w:szCs w:val="22"/>
        </w:rPr>
        <w:t>. We</w:t>
      </w:r>
      <w:r w:rsidRPr="00F5551F">
        <w:rPr>
          <w:rFonts w:ascii="DIN-Regular" w:hAnsi="DIN-Regular" w:cs="Arial"/>
          <w:color w:val="auto"/>
          <w:sz w:val="22"/>
          <w:szCs w:val="22"/>
        </w:rPr>
        <w:t xml:space="preserve"> </w:t>
      </w:r>
      <w:r w:rsidR="00F5551F" w:rsidRPr="00F5551F">
        <w:rPr>
          <w:rFonts w:ascii="DIN-Regular" w:hAnsi="DIN-Regular" w:cs="Arial"/>
          <w:color w:val="auto"/>
          <w:sz w:val="22"/>
          <w:szCs w:val="22"/>
        </w:rPr>
        <w:t xml:space="preserve">strongly believe there is room </w:t>
      </w:r>
      <w:r w:rsidRPr="00F5551F">
        <w:rPr>
          <w:rFonts w:ascii="DIN-Regular" w:hAnsi="DIN-Regular" w:cs="Arial"/>
          <w:color w:val="auto"/>
          <w:sz w:val="22"/>
          <w:szCs w:val="22"/>
        </w:rPr>
        <w:t>for an inclusion of transitional provisions and phasing-in arrangements.</w:t>
      </w:r>
    </w:p>
    <w:p w:rsidR="000004A2" w:rsidRPr="00F5551F" w:rsidRDefault="000004A2" w:rsidP="00DA6980">
      <w:pPr>
        <w:pStyle w:val="Default"/>
        <w:contextualSpacing/>
        <w:jc w:val="both"/>
        <w:rPr>
          <w:rFonts w:ascii="DIN-Regular" w:hAnsi="DIN-Regular" w:cs="Arial"/>
          <w:color w:val="auto"/>
          <w:sz w:val="22"/>
          <w:szCs w:val="22"/>
        </w:rPr>
      </w:pPr>
    </w:p>
    <w:p w:rsidR="000004A2" w:rsidRPr="00F5551F" w:rsidRDefault="000004A2" w:rsidP="00DA6980">
      <w:pPr>
        <w:pStyle w:val="Default"/>
        <w:contextualSpacing/>
        <w:jc w:val="both"/>
        <w:rPr>
          <w:rFonts w:ascii="DIN-Regular" w:hAnsi="DIN-Regular" w:cs="Arial"/>
          <w:color w:val="auto"/>
          <w:sz w:val="22"/>
          <w:szCs w:val="22"/>
        </w:rPr>
      </w:pPr>
      <w:r w:rsidRPr="00F5551F">
        <w:rPr>
          <w:rFonts w:ascii="DIN-Regular" w:hAnsi="DIN-Regular" w:cs="Arial"/>
          <w:color w:val="auto"/>
          <w:sz w:val="22"/>
          <w:szCs w:val="22"/>
        </w:rPr>
        <w:t>This consists of the following elements:</w:t>
      </w:r>
    </w:p>
    <w:p w:rsidR="000004A2" w:rsidRPr="00F5551F" w:rsidRDefault="000004A2" w:rsidP="00227784">
      <w:pPr>
        <w:pStyle w:val="Default"/>
        <w:numPr>
          <w:ilvl w:val="0"/>
          <w:numId w:val="21"/>
        </w:numPr>
        <w:contextualSpacing/>
        <w:jc w:val="both"/>
        <w:rPr>
          <w:rFonts w:ascii="DIN-Regular" w:hAnsi="DIN-Regular" w:cs="Arial"/>
          <w:color w:val="auto"/>
          <w:sz w:val="22"/>
          <w:szCs w:val="22"/>
        </w:rPr>
      </w:pPr>
      <w:r w:rsidRPr="00F5551F">
        <w:rPr>
          <w:rFonts w:ascii="DIN-Regular" w:hAnsi="DIN-Regular" w:cs="Arial"/>
          <w:color w:val="auto"/>
          <w:sz w:val="22"/>
          <w:szCs w:val="22"/>
        </w:rPr>
        <w:t>Phasing in rules for CSDs that currently do not fall under the capital rules of CRR or national rules adopting the CRR rules to them with regards to the capital requirements.</w:t>
      </w:r>
    </w:p>
    <w:p w:rsidR="000004A2" w:rsidRPr="00F5551F" w:rsidRDefault="000004A2" w:rsidP="00227784">
      <w:pPr>
        <w:pStyle w:val="Default"/>
        <w:numPr>
          <w:ilvl w:val="0"/>
          <w:numId w:val="21"/>
        </w:numPr>
        <w:contextualSpacing/>
        <w:jc w:val="both"/>
        <w:rPr>
          <w:rFonts w:ascii="DIN-Regular" w:hAnsi="DIN-Regular" w:cs="Arial"/>
          <w:color w:val="auto"/>
          <w:sz w:val="22"/>
          <w:szCs w:val="22"/>
        </w:rPr>
      </w:pPr>
      <w:r w:rsidRPr="00F5551F">
        <w:rPr>
          <w:rFonts w:ascii="DIN-Regular" w:hAnsi="DIN-Regular" w:cs="Arial"/>
          <w:color w:val="auto"/>
          <w:sz w:val="22"/>
          <w:szCs w:val="22"/>
        </w:rPr>
        <w:t>Phasing in rules for CSDs offering banking type of ancillary services with regards to the capital surcharge for the provision of intraday credits to their participants</w:t>
      </w:r>
    </w:p>
    <w:p w:rsidR="000004A2" w:rsidRPr="00F5551F" w:rsidRDefault="000004A2" w:rsidP="00227784">
      <w:pPr>
        <w:pStyle w:val="Default"/>
        <w:numPr>
          <w:ilvl w:val="0"/>
          <w:numId w:val="21"/>
        </w:numPr>
        <w:contextualSpacing/>
        <w:jc w:val="both"/>
        <w:rPr>
          <w:rFonts w:ascii="DIN-Regular" w:hAnsi="DIN-Regular" w:cs="Arial"/>
          <w:color w:val="auto"/>
          <w:sz w:val="22"/>
          <w:szCs w:val="22"/>
        </w:rPr>
      </w:pPr>
      <w:r w:rsidRPr="00F5551F">
        <w:rPr>
          <w:rFonts w:ascii="DIN-Regular" w:hAnsi="DIN-Regular" w:cs="Arial"/>
          <w:color w:val="auto"/>
          <w:sz w:val="22"/>
          <w:szCs w:val="22"/>
        </w:rPr>
        <w:t>Phasing in rules for CSDs offering banking type of ancillary services with regards to dedicate rule for credit risk.</w:t>
      </w:r>
    </w:p>
    <w:p w:rsidR="000004A2" w:rsidRPr="00F5551F" w:rsidRDefault="000004A2" w:rsidP="00227784">
      <w:pPr>
        <w:pStyle w:val="Default"/>
        <w:numPr>
          <w:ilvl w:val="0"/>
          <w:numId w:val="21"/>
        </w:numPr>
        <w:contextualSpacing/>
        <w:jc w:val="both"/>
        <w:rPr>
          <w:rFonts w:ascii="DIN-Regular" w:hAnsi="DIN-Regular" w:cs="Arial"/>
          <w:color w:val="auto"/>
          <w:sz w:val="22"/>
          <w:szCs w:val="22"/>
        </w:rPr>
      </w:pPr>
      <w:r w:rsidRPr="00F5551F">
        <w:rPr>
          <w:rFonts w:ascii="DIN-Regular" w:hAnsi="DIN-Regular" w:cs="Arial"/>
          <w:color w:val="auto"/>
          <w:sz w:val="22"/>
          <w:szCs w:val="22"/>
        </w:rPr>
        <w:t>Phasing in rules for CSDs offering banking type of ancillary services with regards to dedicated rules for liquidity risk.</w:t>
      </w:r>
    </w:p>
    <w:p w:rsidR="000004A2" w:rsidRPr="00F5551F" w:rsidRDefault="000004A2" w:rsidP="000004A2">
      <w:pPr>
        <w:pStyle w:val="Default"/>
        <w:contextualSpacing/>
        <w:jc w:val="both"/>
        <w:rPr>
          <w:rFonts w:ascii="DIN-Regular" w:hAnsi="DIN-Regular" w:cs="Arial"/>
          <w:color w:val="auto"/>
          <w:sz w:val="22"/>
          <w:szCs w:val="22"/>
        </w:rPr>
      </w:pPr>
    </w:p>
    <w:p w:rsidR="00F5551F" w:rsidRPr="00F5551F" w:rsidRDefault="00F5551F" w:rsidP="00F5551F">
      <w:pPr>
        <w:pStyle w:val="Default"/>
        <w:contextualSpacing/>
        <w:jc w:val="both"/>
        <w:rPr>
          <w:rFonts w:ascii="DIN-Regular" w:hAnsi="DIN-Regular" w:cs="Arial"/>
          <w:color w:val="auto"/>
          <w:sz w:val="22"/>
          <w:szCs w:val="22"/>
        </w:rPr>
      </w:pPr>
      <w:r w:rsidRPr="00F5551F">
        <w:rPr>
          <w:rFonts w:ascii="DIN-Regular" w:hAnsi="DIN-Regular" w:cs="Arial"/>
          <w:color w:val="auto"/>
          <w:sz w:val="22"/>
          <w:szCs w:val="22"/>
        </w:rPr>
        <w:t>As such, we propose to amend Article 42 along these lines and make the following proposal as a starting point:</w:t>
      </w:r>
    </w:p>
    <w:p w:rsidR="000004A2" w:rsidRPr="00F5551F" w:rsidRDefault="000004A2" w:rsidP="000004A2">
      <w:pPr>
        <w:pStyle w:val="Default"/>
        <w:contextualSpacing/>
        <w:jc w:val="both"/>
        <w:rPr>
          <w:rFonts w:ascii="DIN-Regular" w:hAnsi="DIN-Regular" w:cs="Arial"/>
          <w:color w:val="auto"/>
          <w:sz w:val="22"/>
          <w:szCs w:val="22"/>
        </w:rPr>
      </w:pPr>
    </w:p>
    <w:p w:rsidR="00227784" w:rsidRPr="00F5551F" w:rsidRDefault="00F5551F"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r w:rsidRPr="00F5551F">
        <w:rPr>
          <w:rFonts w:ascii="DIN-Regular" w:hAnsi="DIN-Regular" w:cs="Arial"/>
          <w:b/>
          <w:i/>
          <w:color w:val="auto"/>
          <w:sz w:val="22"/>
          <w:szCs w:val="22"/>
        </w:rPr>
        <w:t xml:space="preserve">Amended </w:t>
      </w:r>
      <w:r w:rsidR="00227784" w:rsidRPr="00F5551F">
        <w:rPr>
          <w:rFonts w:ascii="DIN-Regular" w:hAnsi="DIN-Regular" w:cs="Arial"/>
          <w:b/>
          <w:i/>
          <w:color w:val="auto"/>
          <w:sz w:val="22"/>
          <w:szCs w:val="22"/>
        </w:rPr>
        <w:t>Article 42</w:t>
      </w:r>
    </w:p>
    <w:p w:rsidR="00227784" w:rsidRPr="00F5551F"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i/>
          <w:color w:val="auto"/>
          <w:sz w:val="22"/>
          <w:szCs w:val="22"/>
        </w:rPr>
      </w:pPr>
    </w:p>
    <w:p w:rsidR="00227784" w:rsidRPr="00F5551F"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i/>
          <w:color w:val="auto"/>
          <w:sz w:val="22"/>
          <w:szCs w:val="22"/>
        </w:rPr>
      </w:pPr>
      <w:r w:rsidRPr="00F5551F">
        <w:rPr>
          <w:rFonts w:ascii="DIN-Regular" w:hAnsi="DIN-Regular" w:cs="Arial"/>
          <w:i/>
          <w:color w:val="auto"/>
          <w:sz w:val="22"/>
          <w:szCs w:val="22"/>
        </w:rPr>
        <w:t>1.</w:t>
      </w:r>
      <w:r w:rsidR="00D65895">
        <w:rPr>
          <w:rFonts w:ascii="DIN-Regular" w:hAnsi="DIN-Regular" w:cs="Arial"/>
          <w:i/>
          <w:color w:val="auto"/>
          <w:sz w:val="22"/>
          <w:szCs w:val="22"/>
        </w:rPr>
        <w:t xml:space="preserve"> </w:t>
      </w:r>
      <w:r w:rsidRPr="00F5551F">
        <w:rPr>
          <w:rFonts w:ascii="DIN-Regular" w:hAnsi="DIN-Regular" w:cs="Arial"/>
          <w:i/>
          <w:color w:val="auto"/>
          <w:sz w:val="22"/>
          <w:szCs w:val="22"/>
        </w:rPr>
        <w:t>This Regulation shall enter into force on the twentieth day following that of its publication in the Official Journal of the European Union.</w:t>
      </w:r>
    </w:p>
    <w:p w:rsidR="00227784" w:rsidRPr="00F5551F"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i/>
          <w:color w:val="auto"/>
          <w:sz w:val="22"/>
          <w:szCs w:val="22"/>
        </w:rPr>
      </w:pPr>
      <w:r w:rsidRPr="00F5551F">
        <w:rPr>
          <w:rFonts w:ascii="DIN-Regular" w:hAnsi="DIN-Regular" w:cs="Arial"/>
          <w:i/>
          <w:color w:val="auto"/>
          <w:sz w:val="22"/>
          <w:szCs w:val="22"/>
        </w:rPr>
        <w:t>This Regulation shall be binding in its entirety and directly applicable in all Member States.</w:t>
      </w:r>
    </w:p>
    <w:p w:rsidR="00227784" w:rsidRPr="00F5551F"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i/>
          <w:color w:val="auto"/>
          <w:sz w:val="22"/>
          <w:szCs w:val="22"/>
        </w:rPr>
      </w:pPr>
    </w:p>
    <w:p w:rsidR="00227784" w:rsidRPr="00E171D6"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r w:rsidRPr="00E171D6">
        <w:rPr>
          <w:rFonts w:ascii="DIN-Regular" w:hAnsi="DIN-Regular" w:cs="Arial"/>
          <w:b/>
          <w:i/>
          <w:color w:val="auto"/>
          <w:sz w:val="22"/>
          <w:szCs w:val="22"/>
        </w:rPr>
        <w:t>2.</w:t>
      </w:r>
      <w:r w:rsidR="00D65895" w:rsidRPr="00E171D6">
        <w:rPr>
          <w:rFonts w:ascii="DIN-Regular" w:hAnsi="DIN-Regular" w:cs="Arial"/>
          <w:b/>
          <w:i/>
          <w:color w:val="auto"/>
          <w:sz w:val="22"/>
          <w:szCs w:val="22"/>
        </w:rPr>
        <w:t xml:space="preserve"> </w:t>
      </w:r>
      <w:r w:rsidRPr="00E171D6">
        <w:rPr>
          <w:rFonts w:ascii="DIN-Regular" w:hAnsi="DIN-Regular" w:cs="Arial"/>
          <w:b/>
          <w:i/>
          <w:color w:val="auto"/>
          <w:sz w:val="22"/>
          <w:szCs w:val="22"/>
        </w:rPr>
        <w:t>A CSD which is not subject to the capital requirements under Regulation (EU) No. 575/2013 or under the rules of that Regulation subject to national law at the time when this Regulation enters into force shall be allowed on its request to fulfil instead of the provisions of Articles 3 to 8 up until 30 months of the date when this Regulation enters into force the following provisions:</w:t>
      </w:r>
    </w:p>
    <w:p w:rsidR="00227784" w:rsidRPr="00E171D6"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r w:rsidRPr="00E171D6">
        <w:rPr>
          <w:rFonts w:ascii="DIN-Regular" w:hAnsi="DIN-Regular" w:cs="Arial"/>
          <w:b/>
          <w:i/>
          <w:color w:val="auto"/>
          <w:sz w:val="22"/>
          <w:szCs w:val="22"/>
        </w:rPr>
        <w:t>(a)</w:t>
      </w:r>
      <w:r w:rsidR="00D65895" w:rsidRPr="00E171D6">
        <w:rPr>
          <w:rFonts w:ascii="DIN-Regular" w:hAnsi="DIN-Regular" w:cs="Arial"/>
          <w:b/>
          <w:i/>
          <w:color w:val="auto"/>
          <w:sz w:val="22"/>
          <w:szCs w:val="22"/>
        </w:rPr>
        <w:t xml:space="preserve"> </w:t>
      </w:r>
      <w:r w:rsidRPr="00E171D6">
        <w:rPr>
          <w:rFonts w:ascii="DIN-Regular" w:hAnsi="DIN-Regular" w:cs="Arial"/>
          <w:b/>
          <w:i/>
          <w:color w:val="auto"/>
          <w:sz w:val="22"/>
          <w:szCs w:val="22"/>
        </w:rPr>
        <w:t xml:space="preserve">Capital as defined in Article 2 needs to be at least 120 % of annual gross operational expenses as defined in Article 8 (2) at the date of applying for </w:t>
      </w:r>
      <w:r w:rsidR="00F5551F" w:rsidRPr="00E171D6">
        <w:rPr>
          <w:rFonts w:ascii="DIN-Regular" w:hAnsi="DIN-Regular" w:cs="Arial"/>
          <w:b/>
          <w:i/>
          <w:color w:val="auto"/>
          <w:sz w:val="22"/>
          <w:szCs w:val="22"/>
        </w:rPr>
        <w:t>authorisation</w:t>
      </w:r>
      <w:r w:rsidRPr="00E171D6">
        <w:rPr>
          <w:rFonts w:ascii="DIN-Regular" w:hAnsi="DIN-Regular" w:cs="Arial"/>
          <w:b/>
          <w:i/>
          <w:color w:val="auto"/>
          <w:sz w:val="22"/>
          <w:szCs w:val="22"/>
        </w:rPr>
        <w:t xml:space="preserve"> as a CSD.</w:t>
      </w:r>
    </w:p>
    <w:p w:rsidR="00227784" w:rsidRPr="00E171D6"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r w:rsidRPr="00E171D6">
        <w:rPr>
          <w:rFonts w:ascii="DIN-Regular" w:hAnsi="DIN-Regular" w:cs="Arial"/>
          <w:b/>
          <w:i/>
          <w:color w:val="auto"/>
          <w:sz w:val="22"/>
          <w:szCs w:val="22"/>
        </w:rPr>
        <w:t>(b)</w:t>
      </w:r>
      <w:r w:rsidR="00D65895" w:rsidRPr="00E171D6">
        <w:rPr>
          <w:rFonts w:ascii="DIN-Regular" w:hAnsi="DIN-Regular" w:cs="Arial"/>
          <w:b/>
          <w:i/>
          <w:color w:val="auto"/>
          <w:sz w:val="22"/>
          <w:szCs w:val="22"/>
        </w:rPr>
        <w:t xml:space="preserve"> </w:t>
      </w:r>
      <w:r w:rsidR="00F5551F" w:rsidRPr="00E171D6">
        <w:rPr>
          <w:rFonts w:ascii="DIN-Regular" w:hAnsi="DIN-Regular" w:cs="Arial"/>
          <w:b/>
          <w:i/>
          <w:color w:val="auto"/>
          <w:sz w:val="22"/>
          <w:szCs w:val="22"/>
        </w:rPr>
        <w:t>Capital</w:t>
      </w:r>
      <w:r w:rsidRPr="00E171D6">
        <w:rPr>
          <w:rFonts w:ascii="DIN-Regular" w:hAnsi="DIN-Regular" w:cs="Arial"/>
          <w:b/>
          <w:i/>
          <w:color w:val="auto"/>
          <w:sz w:val="22"/>
          <w:szCs w:val="22"/>
        </w:rPr>
        <w:t xml:space="preserve"> as defined in Article 2 needs to be at least 160 % of annual gross operational expense as defined in Article 8 (2) latest 6 months after the date the authorisation as a CSD is granted.</w:t>
      </w:r>
    </w:p>
    <w:p w:rsidR="00227784" w:rsidRPr="00E171D6"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r w:rsidRPr="00E171D6">
        <w:rPr>
          <w:rFonts w:ascii="DIN-Regular" w:hAnsi="DIN-Regular" w:cs="Arial"/>
          <w:b/>
          <w:i/>
          <w:color w:val="auto"/>
          <w:sz w:val="22"/>
          <w:szCs w:val="22"/>
        </w:rPr>
        <w:t>(c)</w:t>
      </w:r>
      <w:r w:rsidR="00D65895" w:rsidRPr="00E171D6">
        <w:rPr>
          <w:rFonts w:ascii="DIN-Regular" w:hAnsi="DIN-Regular" w:cs="Arial"/>
          <w:b/>
          <w:i/>
          <w:color w:val="auto"/>
          <w:sz w:val="22"/>
          <w:szCs w:val="22"/>
        </w:rPr>
        <w:t xml:space="preserve"> </w:t>
      </w:r>
      <w:r w:rsidRPr="00E171D6">
        <w:rPr>
          <w:rFonts w:ascii="DIN-Regular" w:hAnsi="DIN-Regular" w:cs="Arial"/>
          <w:b/>
          <w:i/>
          <w:color w:val="auto"/>
          <w:sz w:val="22"/>
          <w:szCs w:val="22"/>
        </w:rPr>
        <w:t xml:space="preserve">Capital as defined in Article 2 need to be at least 200 % of annual gross operational expenses latest one year after the date the authorisation as a CSD is </w:t>
      </w:r>
      <w:r w:rsidR="00F5551F" w:rsidRPr="00E171D6">
        <w:rPr>
          <w:rFonts w:ascii="DIN-Regular" w:hAnsi="DIN-Regular" w:cs="Arial"/>
          <w:b/>
          <w:i/>
          <w:color w:val="auto"/>
          <w:sz w:val="22"/>
          <w:szCs w:val="22"/>
        </w:rPr>
        <w:t>granted</w:t>
      </w:r>
      <w:r w:rsidRPr="00E171D6">
        <w:rPr>
          <w:rFonts w:ascii="DIN-Regular" w:hAnsi="DIN-Regular" w:cs="Arial"/>
          <w:b/>
          <w:i/>
          <w:color w:val="auto"/>
          <w:sz w:val="22"/>
          <w:szCs w:val="22"/>
        </w:rPr>
        <w:t>.</w:t>
      </w:r>
    </w:p>
    <w:p w:rsidR="00227784" w:rsidRPr="00E171D6"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r w:rsidRPr="00E171D6">
        <w:rPr>
          <w:rFonts w:ascii="DIN-Regular" w:hAnsi="DIN-Regular" w:cs="Arial"/>
          <w:b/>
          <w:i/>
          <w:color w:val="auto"/>
          <w:sz w:val="22"/>
          <w:szCs w:val="22"/>
        </w:rPr>
        <w:t>(d)</w:t>
      </w:r>
      <w:r w:rsidR="00D65895" w:rsidRPr="00E171D6">
        <w:rPr>
          <w:rFonts w:ascii="DIN-Regular" w:hAnsi="DIN-Regular" w:cs="Arial"/>
          <w:b/>
          <w:i/>
          <w:color w:val="auto"/>
          <w:sz w:val="22"/>
          <w:szCs w:val="22"/>
        </w:rPr>
        <w:t xml:space="preserve"> </w:t>
      </w:r>
      <w:r w:rsidRPr="00E171D6">
        <w:rPr>
          <w:rFonts w:ascii="DIN-Regular" w:hAnsi="DIN-Regular" w:cs="Arial"/>
          <w:b/>
          <w:i/>
          <w:color w:val="auto"/>
          <w:sz w:val="22"/>
          <w:szCs w:val="22"/>
        </w:rPr>
        <w:t>Any tools needed to fulfil the requirements of Articles 3 to 8 needs to be available latest 18 months after the authorisation as a CSD is granted.</w:t>
      </w:r>
    </w:p>
    <w:p w:rsidR="00227784" w:rsidRPr="00E171D6"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r w:rsidRPr="00E171D6">
        <w:rPr>
          <w:rFonts w:ascii="DIN-Regular" w:hAnsi="DIN-Regular" w:cs="Arial"/>
          <w:b/>
          <w:i/>
          <w:color w:val="auto"/>
          <w:sz w:val="22"/>
          <w:szCs w:val="22"/>
        </w:rPr>
        <w:t>(e)</w:t>
      </w:r>
      <w:r w:rsidR="00D65895" w:rsidRPr="00E171D6">
        <w:rPr>
          <w:rFonts w:ascii="DIN-Regular" w:hAnsi="DIN-Regular" w:cs="Arial"/>
          <w:b/>
          <w:i/>
          <w:color w:val="auto"/>
          <w:sz w:val="22"/>
          <w:szCs w:val="22"/>
        </w:rPr>
        <w:t xml:space="preserve"> </w:t>
      </w:r>
      <w:r w:rsidRPr="00E171D6">
        <w:rPr>
          <w:rFonts w:ascii="DIN-Regular" w:hAnsi="DIN-Regular" w:cs="Arial"/>
          <w:b/>
          <w:i/>
          <w:color w:val="auto"/>
          <w:sz w:val="22"/>
          <w:szCs w:val="22"/>
        </w:rPr>
        <w:t>Any CSD applying for the exemptions of this paragraph need to justify the exemption with a clear implementation plan on (</w:t>
      </w:r>
      <w:proofErr w:type="spellStart"/>
      <w:r w:rsidRPr="00E171D6">
        <w:rPr>
          <w:rFonts w:ascii="DIN-Regular" w:hAnsi="DIN-Regular" w:cs="Arial"/>
          <w:b/>
          <w:i/>
          <w:color w:val="auto"/>
          <w:sz w:val="22"/>
          <w:szCs w:val="22"/>
        </w:rPr>
        <w:t>i</w:t>
      </w:r>
      <w:proofErr w:type="spellEnd"/>
      <w:r w:rsidRPr="00E171D6">
        <w:rPr>
          <w:rFonts w:ascii="DIN-Regular" w:hAnsi="DIN-Regular" w:cs="Arial"/>
          <w:b/>
          <w:i/>
          <w:color w:val="auto"/>
          <w:sz w:val="22"/>
          <w:szCs w:val="22"/>
        </w:rPr>
        <w:t>) the necessary implementation of the respective calculation tools and (ii) a capital plan to explain how capital measures if necessary are to be fulfilled.</w:t>
      </w:r>
    </w:p>
    <w:p w:rsidR="00D65895" w:rsidRPr="00E171D6" w:rsidRDefault="00D65895"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p>
    <w:p w:rsidR="00227784" w:rsidRPr="00E171D6"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r w:rsidRPr="00E171D6">
        <w:rPr>
          <w:rFonts w:ascii="DIN-Regular" w:hAnsi="DIN-Regular" w:cs="Arial"/>
          <w:b/>
          <w:i/>
          <w:color w:val="auto"/>
          <w:sz w:val="22"/>
          <w:szCs w:val="22"/>
        </w:rPr>
        <w:t>3.</w:t>
      </w:r>
      <w:r w:rsidR="00D65895" w:rsidRPr="00E171D6">
        <w:rPr>
          <w:rFonts w:ascii="DIN-Regular" w:hAnsi="DIN-Regular" w:cs="Arial"/>
          <w:b/>
          <w:i/>
          <w:color w:val="auto"/>
          <w:sz w:val="22"/>
          <w:szCs w:val="22"/>
        </w:rPr>
        <w:t xml:space="preserve"> </w:t>
      </w:r>
      <w:r w:rsidRPr="00E171D6">
        <w:rPr>
          <w:rFonts w:ascii="DIN-Regular" w:hAnsi="DIN-Regular" w:cs="Arial"/>
          <w:b/>
          <w:i/>
          <w:color w:val="auto"/>
          <w:sz w:val="22"/>
          <w:szCs w:val="22"/>
        </w:rPr>
        <w:t xml:space="preserve"> A CSD which intends to offer banking-type of ancillary services or a credit institution designated under Article 54 (2) </w:t>
      </w:r>
      <w:r w:rsidR="00AF52DD" w:rsidRPr="00E171D6">
        <w:rPr>
          <w:rFonts w:ascii="DIN-Regular" w:hAnsi="DIN-Regular" w:cs="Arial"/>
          <w:b/>
          <w:i/>
          <w:color w:val="auto"/>
          <w:sz w:val="22"/>
          <w:szCs w:val="22"/>
        </w:rPr>
        <w:t>(</w:t>
      </w:r>
      <w:r w:rsidRPr="00E171D6">
        <w:rPr>
          <w:rFonts w:ascii="DIN-Regular" w:hAnsi="DIN-Regular" w:cs="Arial"/>
          <w:b/>
          <w:i/>
          <w:color w:val="auto"/>
          <w:sz w:val="22"/>
          <w:szCs w:val="22"/>
        </w:rPr>
        <w:t>b</w:t>
      </w:r>
      <w:r w:rsidR="00AF52DD" w:rsidRPr="00E171D6">
        <w:rPr>
          <w:rFonts w:ascii="DIN-Regular" w:hAnsi="DIN-Regular" w:cs="Arial"/>
          <w:b/>
          <w:i/>
          <w:color w:val="auto"/>
          <w:sz w:val="22"/>
          <w:szCs w:val="22"/>
        </w:rPr>
        <w:t>)</w:t>
      </w:r>
      <w:r w:rsidRPr="00E171D6">
        <w:rPr>
          <w:rFonts w:ascii="DIN-Regular" w:hAnsi="DIN-Regular" w:cs="Arial"/>
          <w:b/>
          <w:i/>
          <w:color w:val="auto"/>
          <w:sz w:val="22"/>
          <w:szCs w:val="22"/>
        </w:rPr>
        <w:t xml:space="preserve"> CSD-R shall be exempted on its request from the full application of Article 9 up until 30 months of the date when this Regulation enters into force subject to the fulfilment of the following provisions:</w:t>
      </w:r>
    </w:p>
    <w:p w:rsidR="00227784" w:rsidRPr="00E171D6"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r w:rsidRPr="00E171D6">
        <w:rPr>
          <w:rFonts w:ascii="DIN-Regular" w:hAnsi="DIN-Regular" w:cs="Arial"/>
          <w:b/>
          <w:i/>
          <w:color w:val="auto"/>
          <w:sz w:val="22"/>
          <w:szCs w:val="22"/>
        </w:rPr>
        <w:t>(a)</w:t>
      </w:r>
      <w:r w:rsidR="00D65895" w:rsidRPr="00E171D6">
        <w:rPr>
          <w:rFonts w:ascii="DIN-Regular" w:hAnsi="DIN-Regular" w:cs="Arial"/>
          <w:b/>
          <w:i/>
          <w:color w:val="auto"/>
          <w:sz w:val="22"/>
          <w:szCs w:val="22"/>
        </w:rPr>
        <w:t xml:space="preserve"> </w:t>
      </w:r>
      <w:r w:rsidRPr="00E171D6">
        <w:rPr>
          <w:rFonts w:ascii="DIN-Regular" w:hAnsi="DIN-Regular" w:cs="Arial"/>
          <w:b/>
          <w:i/>
          <w:color w:val="auto"/>
          <w:sz w:val="22"/>
          <w:szCs w:val="22"/>
        </w:rPr>
        <w:t>A capital surcharge of 50 % of the capital charge for overnight credit risk as per the 31 of December of last calendar year is added to the overall capital charges.</w:t>
      </w:r>
    </w:p>
    <w:p w:rsidR="00227784" w:rsidRPr="00E171D6"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r w:rsidRPr="00E171D6">
        <w:rPr>
          <w:rFonts w:ascii="DIN-Regular" w:hAnsi="DIN-Regular" w:cs="Arial"/>
          <w:b/>
          <w:i/>
          <w:color w:val="auto"/>
          <w:sz w:val="22"/>
          <w:szCs w:val="22"/>
        </w:rPr>
        <w:t>(b)</w:t>
      </w:r>
      <w:r w:rsidR="00D65895" w:rsidRPr="00E171D6">
        <w:rPr>
          <w:rFonts w:ascii="DIN-Regular" w:hAnsi="DIN-Regular" w:cs="Arial"/>
          <w:b/>
          <w:i/>
          <w:color w:val="auto"/>
          <w:sz w:val="22"/>
          <w:szCs w:val="22"/>
        </w:rPr>
        <w:t xml:space="preserve"> </w:t>
      </w:r>
      <w:r w:rsidRPr="00E171D6">
        <w:rPr>
          <w:rFonts w:ascii="DIN-Regular" w:hAnsi="DIN-Regular" w:cs="Arial"/>
          <w:b/>
          <w:i/>
          <w:color w:val="auto"/>
          <w:sz w:val="22"/>
          <w:szCs w:val="22"/>
        </w:rPr>
        <w:t xml:space="preserve">The available capital as defined in Article 2 need to be sufficient to cover also the capital surcharge as defined in (a) not later than 6 months after the authorisation to offer </w:t>
      </w:r>
      <w:r w:rsidR="00F5551F" w:rsidRPr="00E171D6">
        <w:rPr>
          <w:rFonts w:ascii="DIN-Regular" w:hAnsi="DIN-Regular" w:cs="Arial"/>
          <w:b/>
          <w:i/>
          <w:color w:val="auto"/>
          <w:sz w:val="22"/>
          <w:szCs w:val="22"/>
        </w:rPr>
        <w:t>banking</w:t>
      </w:r>
      <w:r w:rsidRPr="00E171D6">
        <w:rPr>
          <w:rFonts w:ascii="DIN-Regular" w:hAnsi="DIN-Regular" w:cs="Arial"/>
          <w:b/>
          <w:i/>
          <w:color w:val="auto"/>
          <w:sz w:val="22"/>
          <w:szCs w:val="22"/>
        </w:rPr>
        <w:t>-type of ancillary services is granted.</w:t>
      </w:r>
    </w:p>
    <w:p w:rsidR="00227784" w:rsidRPr="00E171D6"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r w:rsidRPr="00E171D6">
        <w:rPr>
          <w:rFonts w:ascii="DIN-Regular" w:hAnsi="DIN-Regular" w:cs="Arial"/>
          <w:b/>
          <w:i/>
          <w:color w:val="auto"/>
          <w:sz w:val="22"/>
          <w:szCs w:val="22"/>
        </w:rPr>
        <w:t>(c)</w:t>
      </w:r>
      <w:r w:rsidR="00D65895" w:rsidRPr="00E171D6">
        <w:rPr>
          <w:rFonts w:ascii="DIN-Regular" w:hAnsi="DIN-Regular" w:cs="Arial"/>
          <w:b/>
          <w:i/>
          <w:color w:val="auto"/>
          <w:sz w:val="22"/>
          <w:szCs w:val="22"/>
        </w:rPr>
        <w:t xml:space="preserve"> </w:t>
      </w:r>
      <w:r w:rsidRPr="00E171D6">
        <w:rPr>
          <w:rFonts w:ascii="DIN-Regular" w:hAnsi="DIN-Regular" w:cs="Arial"/>
          <w:b/>
          <w:i/>
          <w:color w:val="auto"/>
          <w:sz w:val="22"/>
          <w:szCs w:val="22"/>
        </w:rPr>
        <w:t>The capital surcharge as defined in (a) is set to 100 % one year after the authorisation as a CSD is granted and is to be fulfilled as of that day.</w:t>
      </w:r>
    </w:p>
    <w:p w:rsidR="00227784" w:rsidRPr="00E171D6" w:rsidRDefault="00F5551F"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r w:rsidRPr="00E171D6">
        <w:rPr>
          <w:rFonts w:ascii="DIN-Regular" w:hAnsi="DIN-Regular" w:cs="Arial"/>
          <w:b/>
          <w:i/>
          <w:color w:val="auto"/>
          <w:sz w:val="22"/>
          <w:szCs w:val="22"/>
        </w:rPr>
        <w:t>(d)</w:t>
      </w:r>
      <w:r w:rsidR="00D65895" w:rsidRPr="00E171D6">
        <w:rPr>
          <w:rFonts w:ascii="DIN-Regular" w:hAnsi="DIN-Regular" w:cs="Arial"/>
          <w:b/>
          <w:i/>
          <w:color w:val="auto"/>
          <w:sz w:val="22"/>
          <w:szCs w:val="22"/>
        </w:rPr>
        <w:t xml:space="preserve"> </w:t>
      </w:r>
      <w:r w:rsidRPr="00E171D6">
        <w:rPr>
          <w:rFonts w:ascii="DIN-Regular" w:hAnsi="DIN-Regular" w:cs="Arial"/>
          <w:b/>
          <w:i/>
          <w:color w:val="auto"/>
          <w:sz w:val="22"/>
          <w:szCs w:val="22"/>
        </w:rPr>
        <w:t>The CSD must be in a position to calculate the capital surcharge as defined in Article 9 not later than 18 months after the authorisation as a CSD is granted.</w:t>
      </w:r>
    </w:p>
    <w:p w:rsidR="00227784" w:rsidRPr="00E171D6"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r w:rsidRPr="00E171D6">
        <w:rPr>
          <w:rFonts w:ascii="DIN-Regular" w:hAnsi="DIN-Regular" w:cs="Arial"/>
          <w:b/>
          <w:i/>
          <w:color w:val="auto"/>
          <w:sz w:val="22"/>
          <w:szCs w:val="22"/>
        </w:rPr>
        <w:t>(e)</w:t>
      </w:r>
      <w:r w:rsidR="00D65895" w:rsidRPr="00E171D6">
        <w:rPr>
          <w:rFonts w:ascii="DIN-Regular" w:hAnsi="DIN-Regular" w:cs="Arial"/>
          <w:b/>
          <w:i/>
          <w:color w:val="auto"/>
          <w:sz w:val="22"/>
          <w:szCs w:val="22"/>
        </w:rPr>
        <w:t xml:space="preserve"> </w:t>
      </w:r>
      <w:r w:rsidRPr="00E171D6">
        <w:rPr>
          <w:rFonts w:ascii="DIN-Regular" w:hAnsi="DIN-Regular" w:cs="Arial"/>
          <w:b/>
          <w:i/>
          <w:color w:val="auto"/>
          <w:sz w:val="22"/>
          <w:szCs w:val="22"/>
        </w:rPr>
        <w:t>Any CSD applying for the exemptions of this paragraph need to justify the exemption with a clear implementation plan on (</w:t>
      </w:r>
      <w:proofErr w:type="spellStart"/>
      <w:r w:rsidRPr="00E171D6">
        <w:rPr>
          <w:rFonts w:ascii="DIN-Regular" w:hAnsi="DIN-Regular" w:cs="Arial"/>
          <w:b/>
          <w:i/>
          <w:color w:val="auto"/>
          <w:sz w:val="22"/>
          <w:szCs w:val="22"/>
        </w:rPr>
        <w:t>i</w:t>
      </w:r>
      <w:proofErr w:type="spellEnd"/>
      <w:r w:rsidRPr="00E171D6">
        <w:rPr>
          <w:rFonts w:ascii="DIN-Regular" w:hAnsi="DIN-Regular" w:cs="Arial"/>
          <w:b/>
          <w:i/>
          <w:color w:val="auto"/>
          <w:sz w:val="22"/>
          <w:szCs w:val="22"/>
        </w:rPr>
        <w:t>) the necessary implementation of the respective calculation tools and (ii) a capital plan to explain how capital measures if necessary are to be fulfilled.</w:t>
      </w:r>
    </w:p>
    <w:p w:rsidR="00D65895" w:rsidRPr="00E171D6" w:rsidRDefault="00D65895"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p>
    <w:p w:rsidR="00227784" w:rsidRPr="00E171D6"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r w:rsidRPr="00E171D6">
        <w:rPr>
          <w:rFonts w:ascii="DIN-Regular" w:hAnsi="DIN-Regular" w:cs="Arial"/>
          <w:b/>
          <w:i/>
          <w:color w:val="auto"/>
          <w:sz w:val="22"/>
          <w:szCs w:val="22"/>
        </w:rPr>
        <w:t>4.</w:t>
      </w:r>
      <w:r w:rsidR="00D65895" w:rsidRPr="00E171D6">
        <w:rPr>
          <w:rFonts w:ascii="DIN-Regular" w:hAnsi="DIN-Regular" w:cs="Arial"/>
          <w:b/>
          <w:i/>
          <w:color w:val="auto"/>
          <w:sz w:val="22"/>
          <w:szCs w:val="22"/>
        </w:rPr>
        <w:t xml:space="preserve"> </w:t>
      </w:r>
      <w:r w:rsidRPr="00E171D6">
        <w:rPr>
          <w:rFonts w:ascii="DIN-Regular" w:hAnsi="DIN-Regular" w:cs="Arial"/>
          <w:b/>
          <w:i/>
          <w:color w:val="auto"/>
          <w:sz w:val="22"/>
          <w:szCs w:val="22"/>
        </w:rPr>
        <w:t>A CSD which intends to offer banking-type of ancillary services or a credit institution designated under Article 54 (2)</w:t>
      </w:r>
      <w:r w:rsidR="00AF52DD" w:rsidRPr="00E171D6">
        <w:rPr>
          <w:rFonts w:ascii="DIN-Regular" w:hAnsi="DIN-Regular" w:cs="Arial"/>
          <w:b/>
          <w:i/>
          <w:color w:val="auto"/>
          <w:sz w:val="22"/>
          <w:szCs w:val="22"/>
        </w:rPr>
        <w:t xml:space="preserve"> (</w:t>
      </w:r>
      <w:r w:rsidRPr="00E171D6">
        <w:rPr>
          <w:rFonts w:ascii="DIN-Regular" w:hAnsi="DIN-Regular" w:cs="Arial"/>
          <w:b/>
          <w:i/>
          <w:color w:val="auto"/>
          <w:sz w:val="22"/>
          <w:szCs w:val="22"/>
        </w:rPr>
        <w:t>b</w:t>
      </w:r>
      <w:r w:rsidR="00AF52DD" w:rsidRPr="00E171D6">
        <w:rPr>
          <w:rFonts w:ascii="DIN-Regular" w:hAnsi="DIN-Regular" w:cs="Arial"/>
          <w:b/>
          <w:i/>
          <w:color w:val="auto"/>
          <w:sz w:val="22"/>
          <w:szCs w:val="22"/>
        </w:rPr>
        <w:t>)</w:t>
      </w:r>
      <w:r w:rsidRPr="00E171D6">
        <w:rPr>
          <w:rFonts w:ascii="DIN-Regular" w:hAnsi="DIN-Regular" w:cs="Arial"/>
          <w:b/>
          <w:i/>
          <w:color w:val="auto"/>
          <w:sz w:val="22"/>
          <w:szCs w:val="22"/>
        </w:rPr>
        <w:t xml:space="preserve"> CSD-R shall be exempted on its request partially or in full from the requirements of Articles 11 to 28 up until 30 months of the date when this Regulation enters into force subject to the fulfilment of the following provisions. The competent authority may extent the exemption on request of the CSD up until 30 months after granting the authorisation as a CSD:</w:t>
      </w:r>
    </w:p>
    <w:p w:rsidR="00227784" w:rsidRPr="00E171D6"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r w:rsidRPr="00E171D6">
        <w:rPr>
          <w:rFonts w:ascii="DIN-Regular" w:hAnsi="DIN-Regular" w:cs="Arial"/>
          <w:b/>
          <w:i/>
          <w:color w:val="auto"/>
          <w:sz w:val="22"/>
          <w:szCs w:val="22"/>
        </w:rPr>
        <w:t>(a)</w:t>
      </w:r>
      <w:r w:rsidR="00D65895" w:rsidRPr="00E171D6">
        <w:rPr>
          <w:rFonts w:ascii="DIN-Regular" w:hAnsi="DIN-Regular" w:cs="Arial"/>
          <w:b/>
          <w:i/>
          <w:color w:val="auto"/>
          <w:sz w:val="22"/>
          <w:szCs w:val="22"/>
        </w:rPr>
        <w:t xml:space="preserve"> </w:t>
      </w:r>
      <w:r w:rsidRPr="00E171D6">
        <w:rPr>
          <w:rFonts w:ascii="DIN-Regular" w:hAnsi="DIN-Regular" w:cs="Arial"/>
          <w:b/>
          <w:i/>
          <w:color w:val="auto"/>
          <w:sz w:val="22"/>
          <w:szCs w:val="22"/>
        </w:rPr>
        <w:t xml:space="preserve">The CSD delivers an implementation plan for the full compliance with the </w:t>
      </w:r>
      <w:r w:rsidR="00F5551F" w:rsidRPr="00E171D6">
        <w:rPr>
          <w:rFonts w:ascii="DIN-Regular" w:hAnsi="DIN-Regular" w:cs="Arial"/>
          <w:b/>
          <w:i/>
          <w:color w:val="auto"/>
          <w:sz w:val="22"/>
          <w:szCs w:val="22"/>
        </w:rPr>
        <w:t>provisions</w:t>
      </w:r>
      <w:r w:rsidRPr="00E171D6">
        <w:rPr>
          <w:rFonts w:ascii="DIN-Regular" w:hAnsi="DIN-Regular" w:cs="Arial"/>
          <w:b/>
          <w:i/>
          <w:color w:val="auto"/>
          <w:sz w:val="22"/>
          <w:szCs w:val="22"/>
        </w:rPr>
        <w:t xml:space="preserve"> he asked for exemption.</w:t>
      </w:r>
    </w:p>
    <w:p w:rsidR="00227784" w:rsidRPr="00E171D6"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r w:rsidRPr="00E171D6">
        <w:rPr>
          <w:rFonts w:ascii="DIN-Regular" w:hAnsi="DIN-Regular" w:cs="Arial"/>
          <w:b/>
          <w:i/>
          <w:color w:val="auto"/>
          <w:sz w:val="22"/>
          <w:szCs w:val="22"/>
        </w:rPr>
        <w:t>(b)</w:t>
      </w:r>
      <w:r w:rsidR="00D65895" w:rsidRPr="00E171D6">
        <w:rPr>
          <w:rFonts w:ascii="DIN-Regular" w:hAnsi="DIN-Regular" w:cs="Arial"/>
          <w:b/>
          <w:i/>
          <w:color w:val="auto"/>
          <w:sz w:val="22"/>
          <w:szCs w:val="22"/>
        </w:rPr>
        <w:t xml:space="preserve"> </w:t>
      </w:r>
      <w:r w:rsidRPr="00E171D6">
        <w:rPr>
          <w:rFonts w:ascii="DIN-Regular" w:hAnsi="DIN-Regular" w:cs="Arial"/>
          <w:b/>
          <w:i/>
          <w:color w:val="auto"/>
          <w:sz w:val="22"/>
          <w:szCs w:val="22"/>
        </w:rPr>
        <w:t xml:space="preserve">The competent authority is convinced by the plan and its realisation seems to be feasible and deviation form the rules does neither put </w:t>
      </w:r>
      <w:r w:rsidR="00F5551F" w:rsidRPr="00E171D6">
        <w:rPr>
          <w:rFonts w:ascii="DIN-Regular" w:hAnsi="DIN-Regular" w:cs="Arial"/>
          <w:b/>
          <w:i/>
          <w:color w:val="auto"/>
          <w:sz w:val="22"/>
          <w:szCs w:val="22"/>
        </w:rPr>
        <w:t>an</w:t>
      </w:r>
      <w:r w:rsidRPr="00E171D6">
        <w:rPr>
          <w:rFonts w:ascii="DIN-Regular" w:hAnsi="DIN-Regular" w:cs="Arial"/>
          <w:b/>
          <w:i/>
          <w:color w:val="auto"/>
          <w:sz w:val="22"/>
          <w:szCs w:val="22"/>
        </w:rPr>
        <w:t xml:space="preserve"> undue risk to the financial markets nor creates an undue competitive advantage.</w:t>
      </w:r>
    </w:p>
    <w:p w:rsidR="00227784" w:rsidRPr="00E171D6"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r w:rsidRPr="00E171D6">
        <w:rPr>
          <w:rFonts w:ascii="DIN-Regular" w:hAnsi="DIN-Regular" w:cs="Arial"/>
          <w:b/>
          <w:i/>
          <w:color w:val="auto"/>
          <w:sz w:val="22"/>
          <w:szCs w:val="22"/>
        </w:rPr>
        <w:t>(c)</w:t>
      </w:r>
      <w:r w:rsidR="00D65895" w:rsidRPr="00E171D6">
        <w:rPr>
          <w:rFonts w:ascii="DIN-Regular" w:hAnsi="DIN-Regular" w:cs="Arial"/>
          <w:b/>
          <w:i/>
          <w:color w:val="auto"/>
          <w:sz w:val="22"/>
          <w:szCs w:val="22"/>
        </w:rPr>
        <w:t xml:space="preserve"> </w:t>
      </w:r>
      <w:r w:rsidRPr="00E171D6">
        <w:rPr>
          <w:rFonts w:ascii="DIN-Regular" w:hAnsi="DIN-Regular" w:cs="Arial"/>
          <w:b/>
          <w:i/>
          <w:color w:val="auto"/>
          <w:sz w:val="22"/>
          <w:szCs w:val="22"/>
        </w:rPr>
        <w:t xml:space="preserve">The </w:t>
      </w:r>
      <w:r w:rsidR="00F5551F" w:rsidRPr="00E171D6">
        <w:rPr>
          <w:rFonts w:ascii="DIN-Regular" w:hAnsi="DIN-Regular" w:cs="Arial"/>
          <w:b/>
          <w:i/>
          <w:color w:val="auto"/>
          <w:sz w:val="22"/>
          <w:szCs w:val="22"/>
        </w:rPr>
        <w:t>competent</w:t>
      </w:r>
      <w:r w:rsidRPr="00E171D6">
        <w:rPr>
          <w:rFonts w:ascii="DIN-Regular" w:hAnsi="DIN-Regular" w:cs="Arial"/>
          <w:b/>
          <w:i/>
          <w:color w:val="auto"/>
          <w:sz w:val="22"/>
          <w:szCs w:val="22"/>
        </w:rPr>
        <w:t xml:space="preserve"> authority discloses its decision for exemption to the Commission and the CSD discloses the exemptions within the public </w:t>
      </w:r>
      <w:r w:rsidR="00F5551F" w:rsidRPr="00E171D6">
        <w:rPr>
          <w:rFonts w:ascii="DIN-Regular" w:hAnsi="DIN-Regular" w:cs="Arial"/>
          <w:b/>
          <w:i/>
          <w:color w:val="auto"/>
          <w:sz w:val="22"/>
          <w:szCs w:val="22"/>
        </w:rPr>
        <w:t>disclosure</w:t>
      </w:r>
      <w:r w:rsidRPr="00E171D6">
        <w:rPr>
          <w:rFonts w:ascii="DIN-Regular" w:hAnsi="DIN-Regular" w:cs="Arial"/>
          <w:b/>
          <w:i/>
          <w:color w:val="auto"/>
          <w:sz w:val="22"/>
          <w:szCs w:val="22"/>
        </w:rPr>
        <w:t xml:space="preserve"> as requested by Article 29.</w:t>
      </w:r>
    </w:p>
    <w:p w:rsidR="00D65895" w:rsidRPr="00E171D6" w:rsidRDefault="00D65895"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p>
    <w:p w:rsidR="00227784" w:rsidRPr="00E171D6"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r w:rsidRPr="00E171D6">
        <w:rPr>
          <w:rFonts w:ascii="DIN-Regular" w:hAnsi="DIN-Regular" w:cs="Arial"/>
          <w:b/>
          <w:i/>
          <w:color w:val="auto"/>
          <w:sz w:val="22"/>
          <w:szCs w:val="22"/>
        </w:rPr>
        <w:lastRenderedPageBreak/>
        <w:t>5.</w:t>
      </w:r>
      <w:r w:rsidR="00D65895" w:rsidRPr="00E171D6">
        <w:rPr>
          <w:rFonts w:ascii="DIN-Regular" w:hAnsi="DIN-Regular" w:cs="Arial"/>
          <w:b/>
          <w:i/>
          <w:color w:val="auto"/>
          <w:sz w:val="22"/>
          <w:szCs w:val="22"/>
        </w:rPr>
        <w:t xml:space="preserve"> </w:t>
      </w:r>
      <w:r w:rsidRPr="00E171D6">
        <w:rPr>
          <w:rFonts w:ascii="DIN-Regular" w:hAnsi="DIN-Regular" w:cs="Arial"/>
          <w:b/>
          <w:i/>
          <w:color w:val="auto"/>
          <w:sz w:val="22"/>
          <w:szCs w:val="22"/>
        </w:rPr>
        <w:t xml:space="preserve">A CSD which intends to offer banking-type of ancillary services or a credit institution designated under Article 54 (2) </w:t>
      </w:r>
      <w:r w:rsidR="00D677D3" w:rsidRPr="00E171D6">
        <w:rPr>
          <w:rFonts w:ascii="DIN-Regular" w:hAnsi="DIN-Regular" w:cs="Arial"/>
          <w:b/>
          <w:i/>
          <w:color w:val="auto"/>
          <w:sz w:val="22"/>
          <w:szCs w:val="22"/>
        </w:rPr>
        <w:t>(</w:t>
      </w:r>
      <w:r w:rsidRPr="00E171D6">
        <w:rPr>
          <w:rFonts w:ascii="DIN-Regular" w:hAnsi="DIN-Regular" w:cs="Arial"/>
          <w:b/>
          <w:i/>
          <w:color w:val="auto"/>
          <w:sz w:val="22"/>
          <w:szCs w:val="22"/>
        </w:rPr>
        <w:t>b</w:t>
      </w:r>
      <w:r w:rsidR="00D677D3" w:rsidRPr="00E171D6">
        <w:rPr>
          <w:rFonts w:ascii="DIN-Regular" w:hAnsi="DIN-Regular" w:cs="Arial"/>
          <w:b/>
          <w:i/>
          <w:color w:val="auto"/>
          <w:sz w:val="22"/>
          <w:szCs w:val="22"/>
        </w:rPr>
        <w:t>)</w:t>
      </w:r>
      <w:r w:rsidRPr="00E171D6">
        <w:rPr>
          <w:rFonts w:ascii="DIN-Regular" w:hAnsi="DIN-Regular" w:cs="Arial"/>
          <w:b/>
          <w:i/>
          <w:color w:val="auto"/>
          <w:sz w:val="22"/>
          <w:szCs w:val="22"/>
        </w:rPr>
        <w:t xml:space="preserve"> CSD-R shall be exempted on its request partially or in full from the requirements of Articles 30 to 40 up until 30 months of the date when this Regulation enters into force subject to the fulfilment of the following provisions. The competent authority may extent the exemption on request of the CSD up until 30 months after granting the authorisation as a CSD:</w:t>
      </w:r>
    </w:p>
    <w:p w:rsidR="00227784" w:rsidRPr="00E171D6"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r w:rsidRPr="00E171D6">
        <w:rPr>
          <w:rFonts w:ascii="DIN-Regular" w:hAnsi="DIN-Regular" w:cs="Arial"/>
          <w:b/>
          <w:i/>
          <w:color w:val="auto"/>
          <w:sz w:val="22"/>
          <w:szCs w:val="22"/>
        </w:rPr>
        <w:t>(a)</w:t>
      </w:r>
      <w:r w:rsidR="00D65895" w:rsidRPr="00E171D6">
        <w:rPr>
          <w:rFonts w:ascii="DIN-Regular" w:hAnsi="DIN-Regular" w:cs="Arial"/>
          <w:b/>
          <w:i/>
          <w:color w:val="auto"/>
          <w:sz w:val="22"/>
          <w:szCs w:val="22"/>
        </w:rPr>
        <w:t xml:space="preserve"> </w:t>
      </w:r>
      <w:r w:rsidRPr="00E171D6">
        <w:rPr>
          <w:rFonts w:ascii="DIN-Regular" w:hAnsi="DIN-Regular" w:cs="Arial"/>
          <w:b/>
          <w:i/>
          <w:color w:val="auto"/>
          <w:sz w:val="22"/>
          <w:szCs w:val="22"/>
        </w:rPr>
        <w:t xml:space="preserve">The CSD delivers an implementation plan for the full compliance with the </w:t>
      </w:r>
      <w:r w:rsidR="00F5551F" w:rsidRPr="00E171D6">
        <w:rPr>
          <w:rFonts w:ascii="DIN-Regular" w:hAnsi="DIN-Regular" w:cs="Arial"/>
          <w:b/>
          <w:i/>
          <w:color w:val="auto"/>
          <w:sz w:val="22"/>
          <w:szCs w:val="22"/>
        </w:rPr>
        <w:t>provisions</w:t>
      </w:r>
      <w:r w:rsidRPr="00E171D6">
        <w:rPr>
          <w:rFonts w:ascii="DIN-Regular" w:hAnsi="DIN-Regular" w:cs="Arial"/>
          <w:b/>
          <w:i/>
          <w:color w:val="auto"/>
          <w:sz w:val="22"/>
          <w:szCs w:val="22"/>
        </w:rPr>
        <w:t xml:space="preserve"> he asked for exemption.</w:t>
      </w:r>
    </w:p>
    <w:p w:rsidR="00227784" w:rsidRPr="00E171D6"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i/>
          <w:color w:val="auto"/>
          <w:sz w:val="22"/>
          <w:szCs w:val="22"/>
        </w:rPr>
      </w:pPr>
      <w:r w:rsidRPr="00E171D6">
        <w:rPr>
          <w:rFonts w:ascii="DIN-Regular" w:hAnsi="DIN-Regular" w:cs="Arial"/>
          <w:b/>
          <w:i/>
          <w:color w:val="auto"/>
          <w:sz w:val="22"/>
          <w:szCs w:val="22"/>
        </w:rPr>
        <w:t>(b)</w:t>
      </w:r>
      <w:r w:rsidR="00D65895" w:rsidRPr="00E171D6">
        <w:rPr>
          <w:rFonts w:ascii="DIN-Regular" w:hAnsi="DIN-Regular" w:cs="Arial"/>
          <w:b/>
          <w:i/>
          <w:color w:val="auto"/>
          <w:sz w:val="22"/>
          <w:szCs w:val="22"/>
        </w:rPr>
        <w:t xml:space="preserve"> </w:t>
      </w:r>
      <w:r w:rsidRPr="00E171D6">
        <w:rPr>
          <w:rFonts w:ascii="DIN-Regular" w:hAnsi="DIN-Regular" w:cs="Arial"/>
          <w:b/>
          <w:i/>
          <w:color w:val="auto"/>
          <w:sz w:val="22"/>
          <w:szCs w:val="22"/>
        </w:rPr>
        <w:t xml:space="preserve">The competent authority is convinced by the plan and its realisation seems to be feasible and deviation form the rules does neither put </w:t>
      </w:r>
      <w:r w:rsidR="00F5551F" w:rsidRPr="00E171D6">
        <w:rPr>
          <w:rFonts w:ascii="DIN-Regular" w:hAnsi="DIN-Regular" w:cs="Arial"/>
          <w:b/>
          <w:i/>
          <w:color w:val="auto"/>
          <w:sz w:val="22"/>
          <w:szCs w:val="22"/>
        </w:rPr>
        <w:t>an</w:t>
      </w:r>
      <w:r w:rsidRPr="00E171D6">
        <w:rPr>
          <w:rFonts w:ascii="DIN-Regular" w:hAnsi="DIN-Regular" w:cs="Arial"/>
          <w:b/>
          <w:i/>
          <w:color w:val="auto"/>
          <w:sz w:val="22"/>
          <w:szCs w:val="22"/>
        </w:rPr>
        <w:t xml:space="preserve"> undue risk to the financial markets nor creates an undue competitive advantage.</w:t>
      </w:r>
    </w:p>
    <w:p w:rsidR="00227784" w:rsidRPr="00E171D6" w:rsidRDefault="00227784" w:rsidP="00893372">
      <w:pPr>
        <w:pStyle w:val="Default"/>
        <w:pBdr>
          <w:top w:val="single" w:sz="4" w:space="1" w:color="auto"/>
          <w:left w:val="single" w:sz="4" w:space="1" w:color="auto"/>
          <w:bottom w:val="single" w:sz="4" w:space="1" w:color="auto"/>
          <w:right w:val="single" w:sz="4" w:space="1" w:color="auto"/>
        </w:pBdr>
        <w:contextualSpacing/>
        <w:jc w:val="both"/>
        <w:rPr>
          <w:rFonts w:ascii="DIN-Regular" w:hAnsi="DIN-Regular" w:cs="Arial"/>
          <w:b/>
          <w:color w:val="auto"/>
          <w:sz w:val="22"/>
          <w:szCs w:val="22"/>
        </w:rPr>
      </w:pPr>
      <w:r w:rsidRPr="00E171D6">
        <w:rPr>
          <w:rFonts w:ascii="DIN-Regular" w:hAnsi="DIN-Regular" w:cs="Arial"/>
          <w:b/>
          <w:i/>
          <w:color w:val="auto"/>
          <w:sz w:val="22"/>
          <w:szCs w:val="22"/>
        </w:rPr>
        <w:t>(c)</w:t>
      </w:r>
      <w:r w:rsidR="00D65895" w:rsidRPr="00E171D6">
        <w:rPr>
          <w:rFonts w:ascii="DIN-Regular" w:hAnsi="DIN-Regular" w:cs="Arial"/>
          <w:b/>
          <w:i/>
          <w:color w:val="auto"/>
          <w:sz w:val="22"/>
          <w:szCs w:val="22"/>
        </w:rPr>
        <w:t xml:space="preserve"> </w:t>
      </w:r>
      <w:r w:rsidRPr="00E171D6">
        <w:rPr>
          <w:rFonts w:ascii="DIN-Regular" w:hAnsi="DIN-Regular" w:cs="Arial"/>
          <w:b/>
          <w:i/>
          <w:color w:val="auto"/>
          <w:sz w:val="22"/>
          <w:szCs w:val="22"/>
        </w:rPr>
        <w:t xml:space="preserve">The </w:t>
      </w:r>
      <w:r w:rsidR="00F5551F" w:rsidRPr="00E171D6">
        <w:rPr>
          <w:rFonts w:ascii="DIN-Regular" w:hAnsi="DIN-Regular" w:cs="Arial"/>
          <w:b/>
          <w:i/>
          <w:color w:val="auto"/>
          <w:sz w:val="22"/>
          <w:szCs w:val="22"/>
        </w:rPr>
        <w:t>competent</w:t>
      </w:r>
      <w:r w:rsidRPr="00E171D6">
        <w:rPr>
          <w:rFonts w:ascii="DIN-Regular" w:hAnsi="DIN-Regular" w:cs="Arial"/>
          <w:b/>
          <w:i/>
          <w:color w:val="auto"/>
          <w:sz w:val="22"/>
          <w:szCs w:val="22"/>
        </w:rPr>
        <w:t xml:space="preserve"> authority discloses its decision for exemption to the Commission and the CSD discloses the exemptions within the public </w:t>
      </w:r>
      <w:r w:rsidR="00F5551F" w:rsidRPr="00E171D6">
        <w:rPr>
          <w:rFonts w:ascii="DIN-Regular" w:hAnsi="DIN-Regular" w:cs="Arial"/>
          <w:b/>
          <w:i/>
          <w:color w:val="auto"/>
          <w:sz w:val="22"/>
          <w:szCs w:val="22"/>
        </w:rPr>
        <w:t>disclosure</w:t>
      </w:r>
      <w:r w:rsidRPr="00E171D6">
        <w:rPr>
          <w:rFonts w:ascii="DIN-Regular" w:hAnsi="DIN-Regular" w:cs="Arial"/>
          <w:b/>
          <w:i/>
          <w:color w:val="auto"/>
          <w:sz w:val="22"/>
          <w:szCs w:val="22"/>
        </w:rPr>
        <w:t xml:space="preserve"> as requested by Article 41.</w:t>
      </w:r>
    </w:p>
    <w:p w:rsidR="00227784" w:rsidRPr="00F5551F" w:rsidRDefault="00227784" w:rsidP="000004A2">
      <w:pPr>
        <w:pStyle w:val="Default"/>
        <w:contextualSpacing/>
        <w:jc w:val="both"/>
        <w:rPr>
          <w:rFonts w:ascii="DIN-Regular" w:hAnsi="DIN-Regular" w:cs="Arial"/>
          <w:color w:val="auto"/>
          <w:sz w:val="22"/>
          <w:szCs w:val="22"/>
        </w:rPr>
      </w:pPr>
    </w:p>
    <w:p w:rsidR="00227784" w:rsidRPr="00F5551F" w:rsidRDefault="00227784" w:rsidP="00DA6980">
      <w:pPr>
        <w:pStyle w:val="Default"/>
        <w:contextualSpacing/>
        <w:jc w:val="center"/>
        <w:rPr>
          <w:rFonts w:ascii="DIN-Regular" w:hAnsi="DIN-Regular" w:cs="Arial"/>
          <w:color w:val="auto"/>
          <w:sz w:val="22"/>
          <w:szCs w:val="22"/>
        </w:rPr>
      </w:pPr>
    </w:p>
    <w:p w:rsidR="00227784" w:rsidRPr="00F5551F" w:rsidRDefault="00227784" w:rsidP="00DA6980">
      <w:pPr>
        <w:pStyle w:val="Default"/>
        <w:contextualSpacing/>
        <w:jc w:val="center"/>
        <w:rPr>
          <w:rFonts w:ascii="DIN-Regular" w:hAnsi="DIN-Regular" w:cs="Arial"/>
          <w:color w:val="auto"/>
          <w:sz w:val="22"/>
          <w:szCs w:val="22"/>
        </w:rPr>
      </w:pPr>
    </w:p>
    <w:p w:rsidR="00227784" w:rsidRPr="00F5551F" w:rsidRDefault="00227784" w:rsidP="00DA6980">
      <w:pPr>
        <w:pStyle w:val="Default"/>
        <w:contextualSpacing/>
        <w:jc w:val="center"/>
        <w:rPr>
          <w:rFonts w:ascii="DIN-Regular" w:hAnsi="DIN-Regular" w:cs="Arial"/>
          <w:color w:val="auto"/>
          <w:sz w:val="22"/>
          <w:szCs w:val="22"/>
        </w:rPr>
      </w:pPr>
    </w:p>
    <w:p w:rsidR="006A0FC7" w:rsidRPr="00F5551F" w:rsidRDefault="006A0FC7" w:rsidP="00DA6980">
      <w:pPr>
        <w:pStyle w:val="Default"/>
        <w:contextualSpacing/>
        <w:jc w:val="center"/>
        <w:rPr>
          <w:rFonts w:ascii="DIN-Regular" w:hAnsi="DIN-Regular" w:cs="Arial"/>
          <w:color w:val="auto"/>
          <w:sz w:val="22"/>
          <w:szCs w:val="22"/>
        </w:rPr>
      </w:pPr>
      <w:r w:rsidRPr="00F5551F">
        <w:rPr>
          <w:rFonts w:ascii="DIN-Regular" w:hAnsi="DIN-Regular" w:cs="Arial"/>
          <w:color w:val="auto"/>
          <w:sz w:val="22"/>
          <w:szCs w:val="22"/>
        </w:rPr>
        <w:t>***</w:t>
      </w:r>
    </w:p>
    <w:p w:rsidR="006A0FC7" w:rsidRPr="00F5551F" w:rsidRDefault="006A0FC7" w:rsidP="00DA6980">
      <w:pPr>
        <w:pStyle w:val="Default"/>
        <w:contextualSpacing/>
        <w:jc w:val="both"/>
        <w:rPr>
          <w:rFonts w:ascii="DIN-Regular" w:hAnsi="DIN-Regular" w:cs="Arial"/>
          <w:color w:val="auto"/>
          <w:sz w:val="22"/>
          <w:szCs w:val="22"/>
        </w:rPr>
      </w:pPr>
    </w:p>
    <w:p w:rsidR="00D3315B" w:rsidRPr="00F5551F" w:rsidRDefault="00D3315B" w:rsidP="00DA6980">
      <w:pPr>
        <w:pStyle w:val="Default"/>
        <w:contextualSpacing/>
        <w:jc w:val="both"/>
        <w:rPr>
          <w:rFonts w:ascii="DIN-Regular" w:hAnsi="DIN-Regular" w:cs="Arial"/>
          <w:color w:val="auto"/>
          <w:sz w:val="22"/>
          <w:szCs w:val="22"/>
        </w:rPr>
      </w:pPr>
    </w:p>
    <w:p w:rsidR="006A0FC7" w:rsidRPr="00F5551F" w:rsidRDefault="006A0FC7" w:rsidP="00DA6980">
      <w:pPr>
        <w:pStyle w:val="Default"/>
        <w:contextualSpacing/>
        <w:jc w:val="both"/>
        <w:rPr>
          <w:rFonts w:ascii="DIN-Regular" w:hAnsi="DIN-Regular" w:cs="Arial"/>
          <w:color w:val="auto"/>
          <w:sz w:val="22"/>
          <w:szCs w:val="22"/>
        </w:rPr>
      </w:pPr>
      <w:r w:rsidRPr="00F5551F">
        <w:rPr>
          <w:rFonts w:ascii="DIN-Regular" w:hAnsi="DIN-Regular" w:cs="Arial"/>
          <w:color w:val="auto"/>
          <w:sz w:val="22"/>
          <w:szCs w:val="22"/>
        </w:rPr>
        <w:t>We hope our comments are seen as a useful contribution to the discussion and final issuance on the respective guideline is reflecting our comments made.</w:t>
      </w:r>
    </w:p>
    <w:p w:rsidR="006A0FC7" w:rsidRPr="00F5551F" w:rsidRDefault="006A0FC7" w:rsidP="00DA6980">
      <w:pPr>
        <w:pStyle w:val="Default"/>
        <w:contextualSpacing/>
        <w:jc w:val="both"/>
        <w:rPr>
          <w:rFonts w:ascii="DIN-Regular" w:hAnsi="DIN-Regular" w:cs="Arial"/>
          <w:color w:val="auto"/>
          <w:sz w:val="22"/>
          <w:szCs w:val="22"/>
        </w:rPr>
      </w:pPr>
    </w:p>
    <w:p w:rsidR="00CF67E8" w:rsidRPr="00F5551F" w:rsidRDefault="00CF67E8" w:rsidP="00DA6980">
      <w:pPr>
        <w:pStyle w:val="Default"/>
        <w:contextualSpacing/>
        <w:jc w:val="both"/>
        <w:rPr>
          <w:rFonts w:ascii="DIN-Regular" w:hAnsi="DIN-Regular" w:cs="Arial"/>
          <w:color w:val="auto"/>
          <w:sz w:val="22"/>
          <w:szCs w:val="22"/>
        </w:rPr>
      </w:pPr>
    </w:p>
    <w:p w:rsidR="00CF67E8" w:rsidRPr="00F5551F" w:rsidRDefault="00CF67E8" w:rsidP="00DA6980">
      <w:pPr>
        <w:pStyle w:val="Default"/>
        <w:contextualSpacing/>
        <w:jc w:val="both"/>
        <w:rPr>
          <w:rFonts w:ascii="DIN-Regular" w:hAnsi="DIN-Regular" w:cs="Arial"/>
          <w:color w:val="auto"/>
          <w:sz w:val="22"/>
          <w:szCs w:val="22"/>
        </w:rPr>
      </w:pPr>
    </w:p>
    <w:p w:rsidR="006A0FC7" w:rsidRPr="00F5551F" w:rsidRDefault="006A0FC7" w:rsidP="00DA6980">
      <w:pPr>
        <w:pStyle w:val="Default"/>
        <w:contextualSpacing/>
        <w:jc w:val="both"/>
        <w:rPr>
          <w:rFonts w:ascii="DIN-Regular" w:hAnsi="DIN-Regular" w:cs="Arial"/>
          <w:color w:val="auto"/>
          <w:sz w:val="22"/>
          <w:szCs w:val="22"/>
        </w:rPr>
      </w:pPr>
      <w:proofErr w:type="spellStart"/>
      <w:r w:rsidRPr="00F5551F">
        <w:rPr>
          <w:rFonts w:ascii="DIN-Regular" w:hAnsi="DIN-Regular" w:cs="Arial"/>
          <w:color w:val="auto"/>
          <w:sz w:val="22"/>
          <w:szCs w:val="22"/>
        </w:rPr>
        <w:t>Eschborn</w:t>
      </w:r>
      <w:proofErr w:type="spellEnd"/>
    </w:p>
    <w:p w:rsidR="006A0FC7" w:rsidRPr="00F5551F" w:rsidRDefault="006A0FC7" w:rsidP="00DA6980">
      <w:pPr>
        <w:pStyle w:val="Default"/>
        <w:contextualSpacing/>
        <w:jc w:val="both"/>
        <w:rPr>
          <w:rFonts w:ascii="DIN-Regular" w:hAnsi="DIN-Regular" w:cs="Arial"/>
          <w:color w:val="auto"/>
          <w:sz w:val="22"/>
          <w:szCs w:val="22"/>
        </w:rPr>
      </w:pPr>
    </w:p>
    <w:p w:rsidR="006A0FC7" w:rsidRPr="00F5551F" w:rsidRDefault="006A0FC7" w:rsidP="00DA6980">
      <w:pPr>
        <w:pStyle w:val="Default"/>
        <w:contextualSpacing/>
        <w:jc w:val="both"/>
        <w:rPr>
          <w:rFonts w:ascii="DIN-Regular" w:hAnsi="DIN-Regular" w:cs="Arial"/>
          <w:color w:val="auto"/>
          <w:sz w:val="22"/>
          <w:szCs w:val="22"/>
        </w:rPr>
      </w:pPr>
      <w:r w:rsidRPr="00F5551F">
        <w:rPr>
          <w:rFonts w:ascii="DIN-Regular" w:hAnsi="DIN-Regular" w:cs="Arial"/>
          <w:color w:val="auto"/>
          <w:sz w:val="22"/>
          <w:szCs w:val="22"/>
        </w:rPr>
        <w:t>2</w:t>
      </w:r>
      <w:r w:rsidR="00CF67E8" w:rsidRPr="00F5551F">
        <w:rPr>
          <w:rFonts w:ascii="DIN-Regular" w:hAnsi="DIN-Regular" w:cs="Arial"/>
          <w:color w:val="auto"/>
          <w:sz w:val="22"/>
          <w:szCs w:val="22"/>
        </w:rPr>
        <w:t>7</w:t>
      </w:r>
      <w:r w:rsidRPr="00F5551F">
        <w:rPr>
          <w:rFonts w:ascii="DIN-Regular" w:hAnsi="DIN-Regular" w:cs="Arial"/>
          <w:color w:val="auto"/>
          <w:sz w:val="22"/>
          <w:szCs w:val="22"/>
        </w:rPr>
        <w:t xml:space="preserve"> April 2015</w:t>
      </w:r>
    </w:p>
    <w:p w:rsidR="00F31510" w:rsidRPr="00F5551F" w:rsidRDefault="00F31510" w:rsidP="00DA6980">
      <w:pPr>
        <w:pStyle w:val="Default"/>
        <w:contextualSpacing/>
        <w:jc w:val="both"/>
        <w:rPr>
          <w:rFonts w:ascii="DIN-Regular" w:hAnsi="DIN-Regular" w:cs="Arial"/>
          <w:color w:val="auto"/>
          <w:sz w:val="22"/>
          <w:szCs w:val="22"/>
        </w:rPr>
      </w:pPr>
    </w:p>
    <w:p w:rsidR="00CF67E8" w:rsidRPr="00F5551F" w:rsidRDefault="00CF67E8" w:rsidP="00DA6980">
      <w:pPr>
        <w:pStyle w:val="Default"/>
        <w:contextualSpacing/>
        <w:jc w:val="both"/>
        <w:rPr>
          <w:rFonts w:ascii="DIN-Regular" w:hAnsi="DIN-Regular" w:cs="Arial"/>
          <w:color w:val="auto"/>
          <w:sz w:val="22"/>
          <w:szCs w:val="22"/>
        </w:rPr>
      </w:pPr>
    </w:p>
    <w:p w:rsidR="00CF67E8" w:rsidRPr="00F5551F" w:rsidRDefault="00CF67E8" w:rsidP="00DA6980">
      <w:pPr>
        <w:pStyle w:val="Default"/>
        <w:contextualSpacing/>
        <w:jc w:val="both"/>
        <w:rPr>
          <w:rFonts w:ascii="DIN-Regular" w:hAnsi="DIN-Regular" w:cs="Arial"/>
          <w:color w:val="auto"/>
          <w:sz w:val="22"/>
          <w:szCs w:val="22"/>
        </w:rPr>
      </w:pPr>
      <w:bookmarkStart w:id="4" w:name="_GoBack"/>
      <w:bookmarkEnd w:id="4"/>
    </w:p>
    <w:p w:rsidR="006A0FC7" w:rsidRPr="00F5551F" w:rsidRDefault="006A0FC7" w:rsidP="00DA6980">
      <w:pPr>
        <w:pStyle w:val="Default"/>
        <w:contextualSpacing/>
        <w:jc w:val="both"/>
        <w:rPr>
          <w:rFonts w:ascii="DIN-Regular" w:hAnsi="DIN-Regular" w:cs="Arial"/>
          <w:color w:val="auto"/>
          <w:sz w:val="22"/>
          <w:szCs w:val="22"/>
        </w:rPr>
      </w:pPr>
    </w:p>
    <w:p w:rsidR="006A0FC7" w:rsidRPr="00F5551F" w:rsidRDefault="006A0FC7" w:rsidP="00DA6980">
      <w:pPr>
        <w:pStyle w:val="Default"/>
        <w:contextualSpacing/>
        <w:jc w:val="both"/>
        <w:rPr>
          <w:rFonts w:ascii="DIN-Regular" w:hAnsi="DIN-Regular" w:cs="Arial"/>
          <w:color w:val="auto"/>
          <w:sz w:val="22"/>
          <w:szCs w:val="22"/>
        </w:rPr>
      </w:pPr>
      <w:r w:rsidRPr="00F5551F">
        <w:rPr>
          <w:rFonts w:ascii="DIN-Regular" w:hAnsi="DIN-Regular" w:cs="Arial"/>
          <w:color w:val="auto"/>
          <w:sz w:val="22"/>
          <w:szCs w:val="22"/>
        </w:rPr>
        <w:t xml:space="preserve">Mathias </w:t>
      </w:r>
      <w:proofErr w:type="spellStart"/>
      <w:r w:rsidRPr="00F5551F">
        <w:rPr>
          <w:rFonts w:ascii="DIN-Regular" w:hAnsi="DIN-Regular" w:cs="Arial"/>
          <w:color w:val="auto"/>
          <w:sz w:val="22"/>
          <w:szCs w:val="22"/>
        </w:rPr>
        <w:t>Papenfuß</w:t>
      </w:r>
      <w:proofErr w:type="spellEnd"/>
      <w:r w:rsidRPr="00F5551F">
        <w:rPr>
          <w:rFonts w:ascii="DIN-Regular" w:hAnsi="DIN-Regular" w:cs="Arial"/>
          <w:color w:val="auto"/>
          <w:sz w:val="22"/>
          <w:szCs w:val="22"/>
        </w:rPr>
        <w:tab/>
      </w:r>
      <w:r w:rsidRPr="00F5551F">
        <w:rPr>
          <w:rFonts w:ascii="DIN-Regular" w:hAnsi="DIN-Regular" w:cs="Arial"/>
          <w:color w:val="auto"/>
          <w:sz w:val="22"/>
          <w:szCs w:val="22"/>
        </w:rPr>
        <w:tab/>
      </w:r>
      <w:r w:rsidRPr="00F5551F">
        <w:rPr>
          <w:rFonts w:ascii="DIN-Regular" w:hAnsi="DIN-Regular" w:cs="Arial"/>
          <w:color w:val="auto"/>
          <w:sz w:val="22"/>
          <w:szCs w:val="22"/>
        </w:rPr>
        <w:tab/>
      </w:r>
      <w:r w:rsidRPr="00F5551F">
        <w:rPr>
          <w:rFonts w:ascii="DIN-Regular" w:hAnsi="DIN-Regular" w:cs="Arial"/>
          <w:color w:val="auto"/>
          <w:sz w:val="22"/>
          <w:szCs w:val="22"/>
        </w:rPr>
        <w:tab/>
      </w:r>
      <w:r w:rsidRPr="00F5551F">
        <w:rPr>
          <w:rFonts w:ascii="DIN-Regular" w:hAnsi="DIN-Regular" w:cs="Arial"/>
          <w:color w:val="auto"/>
          <w:sz w:val="22"/>
          <w:szCs w:val="22"/>
        </w:rPr>
        <w:tab/>
        <w:t xml:space="preserve">Jürgen </w:t>
      </w:r>
      <w:proofErr w:type="spellStart"/>
      <w:r w:rsidRPr="00F5551F">
        <w:rPr>
          <w:rFonts w:ascii="DIN-Regular" w:hAnsi="DIN-Regular" w:cs="Arial"/>
          <w:color w:val="auto"/>
          <w:sz w:val="22"/>
          <w:szCs w:val="22"/>
        </w:rPr>
        <w:t>Hillen</w:t>
      </w:r>
      <w:proofErr w:type="spellEnd"/>
      <w:r w:rsidRPr="00F5551F">
        <w:rPr>
          <w:rFonts w:ascii="DIN-Regular" w:hAnsi="DIN-Regular" w:cs="Arial"/>
          <w:color w:val="auto"/>
          <w:sz w:val="22"/>
          <w:szCs w:val="22"/>
        </w:rPr>
        <w:tab/>
      </w:r>
    </w:p>
    <w:p w:rsidR="006A0FC7" w:rsidRPr="00F5551F" w:rsidRDefault="006A0FC7" w:rsidP="00DA6980">
      <w:pPr>
        <w:pStyle w:val="Default"/>
        <w:contextualSpacing/>
        <w:jc w:val="both"/>
        <w:rPr>
          <w:rFonts w:ascii="DIN-Regular" w:hAnsi="DIN-Regular" w:cs="Arial"/>
          <w:color w:val="auto"/>
          <w:sz w:val="22"/>
          <w:szCs w:val="22"/>
        </w:rPr>
      </w:pPr>
      <w:r w:rsidRPr="00F5551F">
        <w:rPr>
          <w:rFonts w:ascii="DIN-Regular" w:hAnsi="DIN-Regular" w:cs="Arial"/>
          <w:color w:val="auto"/>
          <w:sz w:val="22"/>
          <w:szCs w:val="22"/>
        </w:rPr>
        <w:t xml:space="preserve">Member </w:t>
      </w:r>
      <w:r w:rsidR="00BD3A07" w:rsidRPr="00F5551F">
        <w:rPr>
          <w:rFonts w:ascii="DIN-Regular" w:hAnsi="DIN-Regular" w:cs="Arial"/>
          <w:color w:val="auto"/>
          <w:sz w:val="22"/>
          <w:szCs w:val="22"/>
        </w:rPr>
        <w:t>of the</w:t>
      </w:r>
      <w:r w:rsidRPr="00F5551F">
        <w:rPr>
          <w:rFonts w:ascii="DIN-Regular" w:hAnsi="DIN-Regular" w:cs="Arial"/>
          <w:color w:val="auto"/>
          <w:sz w:val="22"/>
          <w:szCs w:val="22"/>
        </w:rPr>
        <w:t xml:space="preserve"> Executive Board</w:t>
      </w:r>
      <w:r w:rsidRPr="00F5551F">
        <w:rPr>
          <w:rFonts w:ascii="DIN-Regular" w:hAnsi="DIN-Regular" w:cs="Arial"/>
          <w:color w:val="auto"/>
          <w:sz w:val="22"/>
          <w:szCs w:val="22"/>
        </w:rPr>
        <w:tab/>
      </w:r>
      <w:r w:rsidRPr="00F5551F">
        <w:rPr>
          <w:rFonts w:ascii="DIN-Regular" w:hAnsi="DIN-Regular" w:cs="Arial"/>
          <w:color w:val="auto"/>
          <w:sz w:val="22"/>
          <w:szCs w:val="22"/>
        </w:rPr>
        <w:tab/>
      </w:r>
      <w:r w:rsidRPr="00F5551F">
        <w:rPr>
          <w:rFonts w:ascii="DIN-Regular" w:hAnsi="DIN-Regular" w:cs="Arial"/>
          <w:color w:val="auto"/>
          <w:sz w:val="22"/>
          <w:szCs w:val="22"/>
        </w:rPr>
        <w:tab/>
        <w:t>Executive Director</w:t>
      </w:r>
    </w:p>
    <w:sectPr w:rsidR="006A0FC7" w:rsidRPr="00F5551F">
      <w:headerReference w:type="default" r:id="rId10"/>
      <w:pgSz w:w="11913" w:h="16834" w:code="9"/>
      <w:pgMar w:top="851" w:right="794" w:bottom="1134" w:left="992" w:header="82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EE2" w:rsidRDefault="00AD0EE2">
      <w:r>
        <w:separator/>
      </w:r>
    </w:p>
  </w:endnote>
  <w:endnote w:type="continuationSeparator" w:id="0">
    <w:p w:rsidR="00AD0EE2" w:rsidRDefault="00AD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IN-Regular">
    <w:panose1 w:val="020B0500000000000000"/>
    <w:charset w:val="00"/>
    <w:family w:val="swiss"/>
    <w:pitch w:val="variable"/>
    <w:sig w:usb0="80000027" w:usb1="00000000" w:usb2="00000000" w:usb3="00000000" w:csb0="00000001" w:csb1="00000000"/>
  </w:font>
  <w:font w:name="DIN-Bold">
    <w:panose1 w:val="020B0500000000000000"/>
    <w:charset w:val="00"/>
    <w:family w:val="swiss"/>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EE2" w:rsidRDefault="00AD0EE2">
      <w:r>
        <w:separator/>
      </w:r>
    </w:p>
  </w:footnote>
  <w:footnote w:type="continuationSeparator" w:id="0">
    <w:p w:rsidR="00AD0EE2" w:rsidRDefault="00AD0EE2">
      <w:r>
        <w:continuationSeparator/>
      </w:r>
    </w:p>
  </w:footnote>
  <w:footnote w:id="1">
    <w:p w:rsidR="00E01344" w:rsidRPr="00253176" w:rsidRDefault="00E01344" w:rsidP="006A0FC7">
      <w:pPr>
        <w:pStyle w:val="FootnoteText"/>
        <w:rPr>
          <w:lang w:val="de-DE"/>
        </w:rPr>
      </w:pPr>
      <w:r>
        <w:rPr>
          <w:rStyle w:val="FootnoteReference"/>
        </w:rPr>
        <w:footnoteRef/>
      </w:r>
      <w:r w:rsidRPr="00C243EE">
        <w:rPr>
          <w:lang w:val="de-DE"/>
        </w:rPr>
        <w:t xml:space="preserve"> http://www.bis.org/publ/bcbs225/deutscheborsegr.pdf</w:t>
      </w:r>
    </w:p>
  </w:footnote>
  <w:footnote w:id="2">
    <w:p w:rsidR="00E01344" w:rsidRPr="00AC5C23" w:rsidRDefault="00E01344">
      <w:pPr>
        <w:pStyle w:val="FootnoteText"/>
      </w:pPr>
      <w:r>
        <w:rPr>
          <w:rStyle w:val="FootnoteReference"/>
        </w:rPr>
        <w:footnoteRef/>
      </w:r>
      <w:r>
        <w:t xml:space="preserve"> It is our understanding that EBA will work on these  provisions earliest in 2016</w:t>
      </w:r>
    </w:p>
  </w:footnote>
  <w:footnote w:id="3">
    <w:p w:rsidR="00E01344" w:rsidRDefault="00E01344" w:rsidP="006A0FC7">
      <w:pPr>
        <w:pStyle w:val="FootnoteText"/>
      </w:pPr>
      <w:r>
        <w:rPr>
          <w:rStyle w:val="FootnoteReference"/>
        </w:rPr>
        <w:footnoteRef/>
      </w:r>
      <w:r>
        <w:t xml:space="preserve"> BCBS: Consultative Document - Operational risk –Revisions to the simpler approaches, BCBS 291</w:t>
      </w:r>
    </w:p>
  </w:footnote>
  <w:footnote w:id="4">
    <w:p w:rsidR="00E01344" w:rsidRPr="00F20FDD" w:rsidRDefault="00E01344">
      <w:pPr>
        <w:pStyle w:val="FootnoteText"/>
      </w:pPr>
      <w:r>
        <w:rPr>
          <w:rStyle w:val="FootnoteReference"/>
        </w:rPr>
        <w:footnoteRef/>
      </w:r>
      <w:r>
        <w:t xml:space="preserve"> Commission expenses which are related e.g. to sub-custody are allowed to be deducted. As such, the general CRR approach is even contradicting the aim of EBA in this regards.</w:t>
      </w:r>
    </w:p>
  </w:footnote>
  <w:footnote w:id="5">
    <w:p w:rsidR="00E01344" w:rsidRPr="009F45C7" w:rsidRDefault="00E01344" w:rsidP="00FC70C5">
      <w:pPr>
        <w:pStyle w:val="FootnoteText"/>
      </w:pPr>
      <w:r w:rsidRPr="009F45C7">
        <w:rPr>
          <w:rStyle w:val="FootnoteReference"/>
        </w:rPr>
        <w:footnoteRef/>
      </w:r>
      <w:r w:rsidRPr="009F45C7">
        <w:t xml:space="preserve"> BCBS: Consultative Document – Standards - Capital floors: the design of a framework based on standardised approaches, d306</w:t>
      </w:r>
    </w:p>
  </w:footnote>
  <w:footnote w:id="6">
    <w:p w:rsidR="00E01344" w:rsidRPr="000833F1" w:rsidRDefault="00E01344" w:rsidP="00FC70C5">
      <w:pPr>
        <w:pStyle w:val="FootnoteText"/>
      </w:pPr>
      <w:r w:rsidRPr="009F45C7">
        <w:rPr>
          <w:rStyle w:val="FootnoteReference"/>
        </w:rPr>
        <w:footnoteRef/>
      </w:r>
      <w:r w:rsidRPr="009F45C7">
        <w:t xml:space="preserve"> See our reply to the BCBS consultation</w:t>
      </w:r>
      <w:r>
        <w:t xml:space="preserve"> </w:t>
      </w:r>
      <w:r w:rsidRPr="0033589F">
        <w:t>http://www.bis.org/bcbs/publ/comments/d306/deutscheborse.pdf</w:t>
      </w:r>
    </w:p>
  </w:footnote>
  <w:footnote w:id="7">
    <w:p w:rsidR="00E01344" w:rsidRPr="00C615CE" w:rsidRDefault="00E01344">
      <w:pPr>
        <w:pStyle w:val="FootnoteText"/>
      </w:pPr>
      <w:r>
        <w:rPr>
          <w:rStyle w:val="FootnoteReference"/>
        </w:rPr>
        <w:footnoteRef/>
      </w:r>
      <w:r>
        <w:t xml:space="preserve"> Also the measurement of credits in combination with related collateral as required in Article 12 (b) and c have the same result and as such should be reworded in order not to measure the combination but only total coverage by category.</w:t>
      </w:r>
    </w:p>
  </w:footnote>
  <w:footnote w:id="8">
    <w:p w:rsidR="00E01344" w:rsidRPr="008C02A9" w:rsidRDefault="00E01344" w:rsidP="008C02A9">
      <w:pPr>
        <w:pStyle w:val="FootnoteText"/>
      </w:pPr>
      <w:r>
        <w:rPr>
          <w:rStyle w:val="FootnoteReference"/>
        </w:rPr>
        <w:footnoteRef/>
      </w:r>
      <w:r>
        <w:t xml:space="preserve"> </w:t>
      </w:r>
      <w:r w:rsidRPr="002E6390">
        <w:t>http://www.bis.org/publ/bcbs225/deutscheborsegr.pdf</w:t>
      </w:r>
    </w:p>
  </w:footnote>
  <w:footnote w:id="9">
    <w:p w:rsidR="00E01344" w:rsidRPr="00D13334" w:rsidRDefault="00E01344">
      <w:pPr>
        <w:pStyle w:val="FootnoteText"/>
      </w:pPr>
      <w:r>
        <w:rPr>
          <w:rStyle w:val="FootnoteReference"/>
        </w:rPr>
        <w:footnoteRef/>
      </w:r>
      <w:r>
        <w:t xml:space="preserve"> It may be difficult to use peak data of the previous year as of 1 January of the next one. A more practical approach would be needed here to comply with the requirement</w:t>
      </w:r>
      <w:proofErr w:type="gramStart"/>
      <w:r>
        <w:t>..</w:t>
      </w:r>
      <w:proofErr w:type="gramEnd"/>
    </w:p>
  </w:footnote>
  <w:footnote w:id="10">
    <w:p w:rsidR="00E01344" w:rsidRPr="00931D92" w:rsidRDefault="00E01344" w:rsidP="00622552">
      <w:pPr>
        <w:pStyle w:val="FootnoteText"/>
      </w:pPr>
      <w:r w:rsidRPr="009F45C7">
        <w:rPr>
          <w:rStyle w:val="FootnoteReference"/>
        </w:rPr>
        <w:footnoteRef/>
      </w:r>
      <w:r w:rsidRPr="009F45C7">
        <w:t xml:space="preserve"> The availability of high-quality securities for collateral purposes has been under pressure due to a number of factors including policy actions from central banks (e.g. Quantitative Easing); new regulations (e.g. LCR which requires banks to hold to a sufficient stock of high quality, liquid assets against 100% of potential cash outflows); increased margin requirements at CCPs; among others.</w:t>
      </w:r>
    </w:p>
  </w:footnote>
  <w:footnote w:id="11">
    <w:p w:rsidR="00E01344" w:rsidRPr="0049063E" w:rsidRDefault="00E01344" w:rsidP="00CF0AB4">
      <w:pPr>
        <w:pStyle w:val="FootnoteText"/>
      </w:pPr>
      <w:r w:rsidRPr="00DA76DE">
        <w:rPr>
          <w:rStyle w:val="FootnoteReference"/>
        </w:rPr>
        <w:footnoteRef/>
      </w:r>
      <w:r w:rsidRPr="00DA76DE">
        <w:t xml:space="preserve"> Condition (g) requires the bank guarantee not to be “subject to significant wrong-way risk”.  However, by definition, any bank guarantee shows a certain degree of correlation (“wrong-way risk”) with CSD’s participants – which are also banks.  The extent of such correlation, however, depends on the level of interconnectedness between the issuer of the guarantee and the applicant (i.e. the “borrowing participant”), which can manifest itself in terms of ownership structure, geography (e.g. same country of domicile), business concentration (e.g. commercial real estate lending), among others.  The decision on whether the degree of correlation between the issuer and the applicant is deemed “significant” should be made by the CSD’s management.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9" w:type="dxa"/>
      <w:tblLayout w:type="fixed"/>
      <w:tblCellMar>
        <w:left w:w="0" w:type="dxa"/>
        <w:right w:w="0" w:type="dxa"/>
      </w:tblCellMar>
      <w:tblLook w:val="0000" w:firstRow="0" w:lastRow="0" w:firstColumn="0" w:lastColumn="0" w:noHBand="0" w:noVBand="0"/>
    </w:tblPr>
    <w:tblGrid>
      <w:gridCol w:w="7365"/>
      <w:gridCol w:w="567"/>
      <w:gridCol w:w="2087"/>
    </w:tblGrid>
    <w:tr w:rsidR="00E01344">
      <w:trPr>
        <w:cantSplit/>
        <w:trHeight w:hRule="exact" w:val="567"/>
      </w:trPr>
      <w:tc>
        <w:tcPr>
          <w:tcW w:w="7365" w:type="dxa"/>
          <w:tcBorders>
            <w:top w:val="single" w:sz="6" w:space="0" w:color="auto"/>
            <w:left w:val="single" w:sz="6" w:space="0" w:color="auto"/>
            <w:bottom w:val="single" w:sz="6" w:space="0" w:color="auto"/>
            <w:right w:val="single" w:sz="6" w:space="0" w:color="auto"/>
          </w:tcBorders>
        </w:tcPr>
        <w:p w:rsidR="00E01344" w:rsidRDefault="00E01344" w:rsidP="006A0FC7">
          <w:pPr>
            <w:pStyle w:val="Header"/>
            <w:tabs>
              <w:tab w:val="clear" w:pos="4320"/>
            </w:tabs>
            <w:spacing w:before="140" w:after="120"/>
            <w:jc w:val="center"/>
            <w:rPr>
              <w:rFonts w:ascii="DIN-Bold" w:hAnsi="DIN-Bold"/>
            </w:rPr>
          </w:pPr>
          <w:bookmarkStart w:id="5" w:name="mrkThema2_1"/>
          <w:bookmarkEnd w:id="5"/>
          <w:r>
            <w:rPr>
              <w:rFonts w:ascii="DIN-Bold" w:hAnsi="DIN-Bold"/>
            </w:rPr>
            <w:t>European Banking Authority consultation on</w:t>
          </w:r>
        </w:p>
      </w:tc>
      <w:tc>
        <w:tcPr>
          <w:tcW w:w="567" w:type="dxa"/>
          <w:tcBorders>
            <w:top w:val="single" w:sz="6" w:space="0" w:color="auto"/>
            <w:left w:val="single" w:sz="6" w:space="0" w:color="auto"/>
            <w:bottom w:val="single" w:sz="6" w:space="0" w:color="auto"/>
          </w:tcBorders>
        </w:tcPr>
        <w:p w:rsidR="00E01344" w:rsidRDefault="00E01344">
          <w:pPr>
            <w:pStyle w:val="Header"/>
            <w:tabs>
              <w:tab w:val="left" w:pos="483"/>
            </w:tabs>
            <w:spacing w:before="200" w:after="60"/>
            <w:ind w:left="57"/>
          </w:pPr>
          <w:r>
            <w:rPr>
              <w:sz w:val="16"/>
            </w:rPr>
            <w:t>Page:</w:t>
          </w:r>
        </w:p>
      </w:tc>
      <w:tc>
        <w:tcPr>
          <w:tcW w:w="2087" w:type="dxa"/>
          <w:tcBorders>
            <w:top w:val="single" w:sz="6" w:space="0" w:color="auto"/>
            <w:left w:val="nil"/>
            <w:bottom w:val="single" w:sz="6" w:space="0" w:color="auto"/>
            <w:right w:val="single" w:sz="6" w:space="0" w:color="auto"/>
          </w:tcBorders>
        </w:tcPr>
        <w:p w:rsidR="00E01344" w:rsidRDefault="00E01344">
          <w:pPr>
            <w:pStyle w:val="Header"/>
            <w:tabs>
              <w:tab w:val="left" w:pos="483"/>
            </w:tabs>
            <w:spacing w:before="200" w:after="60"/>
            <w:ind w:left="57"/>
            <w:rPr>
              <w:sz w:val="16"/>
            </w:rPr>
          </w:pPr>
          <w:r>
            <w:rPr>
              <w:sz w:val="16"/>
            </w:rPr>
            <w:fldChar w:fldCharType="begin"/>
          </w:r>
          <w:r>
            <w:rPr>
              <w:sz w:val="16"/>
            </w:rPr>
            <w:instrText xml:space="preserve">PAGE </w:instrText>
          </w:r>
          <w:r>
            <w:rPr>
              <w:sz w:val="16"/>
            </w:rPr>
            <w:fldChar w:fldCharType="separate"/>
          </w:r>
          <w:r w:rsidR="00786CB4">
            <w:rPr>
              <w:noProof/>
              <w:sz w:val="16"/>
            </w:rPr>
            <w:t>51</w:t>
          </w:r>
          <w:r>
            <w:rPr>
              <w:sz w:val="16"/>
            </w:rPr>
            <w:fldChar w:fldCharType="end"/>
          </w:r>
          <w:r>
            <w:rPr>
              <w:sz w:val="16"/>
            </w:rPr>
            <w:t xml:space="preserve"> / </w:t>
          </w:r>
          <w:r>
            <w:rPr>
              <w:sz w:val="16"/>
            </w:rPr>
            <w:fldChar w:fldCharType="begin"/>
          </w:r>
          <w:r>
            <w:rPr>
              <w:sz w:val="16"/>
            </w:rPr>
            <w:instrText xml:space="preserve">NUMPAGES </w:instrText>
          </w:r>
          <w:r>
            <w:rPr>
              <w:sz w:val="16"/>
            </w:rPr>
            <w:fldChar w:fldCharType="separate"/>
          </w:r>
          <w:r w:rsidR="00786CB4">
            <w:rPr>
              <w:noProof/>
              <w:sz w:val="16"/>
            </w:rPr>
            <w:t>51</w:t>
          </w:r>
          <w:r>
            <w:rPr>
              <w:sz w:val="16"/>
            </w:rPr>
            <w:fldChar w:fldCharType="end"/>
          </w:r>
        </w:p>
      </w:tc>
    </w:tr>
    <w:tr w:rsidR="00E01344">
      <w:trPr>
        <w:cantSplit/>
        <w:trHeight w:hRule="exact" w:val="567"/>
      </w:trPr>
      <w:tc>
        <w:tcPr>
          <w:tcW w:w="7365" w:type="dxa"/>
          <w:tcBorders>
            <w:left w:val="single" w:sz="6" w:space="0" w:color="auto"/>
            <w:bottom w:val="single" w:sz="6" w:space="0" w:color="auto"/>
            <w:right w:val="single" w:sz="6" w:space="0" w:color="auto"/>
          </w:tcBorders>
        </w:tcPr>
        <w:p w:rsidR="00E01344" w:rsidRDefault="00E01344">
          <w:pPr>
            <w:pStyle w:val="Header"/>
            <w:tabs>
              <w:tab w:val="clear" w:pos="4320"/>
            </w:tabs>
            <w:spacing w:before="140" w:after="120"/>
            <w:jc w:val="center"/>
            <w:rPr>
              <w:rFonts w:ascii="DIN-Bold" w:hAnsi="DIN-Bold"/>
            </w:rPr>
          </w:pPr>
          <w:bookmarkStart w:id="6" w:name="mrkThema1_1"/>
          <w:bookmarkEnd w:id="6"/>
          <w:r>
            <w:rPr>
              <w:rFonts w:ascii="DIN-Bold" w:hAnsi="DIN-Bold"/>
            </w:rPr>
            <w:t>the CSD Regulation technical standards proposal</w:t>
          </w:r>
        </w:p>
      </w:tc>
      <w:tc>
        <w:tcPr>
          <w:tcW w:w="567" w:type="dxa"/>
          <w:tcBorders>
            <w:top w:val="single" w:sz="6" w:space="0" w:color="auto"/>
            <w:left w:val="single" w:sz="6" w:space="0" w:color="auto"/>
            <w:bottom w:val="single" w:sz="6" w:space="0" w:color="auto"/>
          </w:tcBorders>
        </w:tcPr>
        <w:p w:rsidR="00E01344" w:rsidRDefault="00E01344">
          <w:pPr>
            <w:pStyle w:val="Header"/>
            <w:tabs>
              <w:tab w:val="clear" w:pos="4320"/>
              <w:tab w:val="clear" w:pos="8640"/>
              <w:tab w:val="left" w:pos="483"/>
            </w:tabs>
            <w:spacing w:before="200"/>
            <w:ind w:left="57"/>
            <w:rPr>
              <w:sz w:val="16"/>
            </w:rPr>
          </w:pPr>
          <w:r>
            <w:rPr>
              <w:sz w:val="16"/>
            </w:rPr>
            <w:t>Ref:</w:t>
          </w:r>
        </w:p>
      </w:tc>
      <w:tc>
        <w:tcPr>
          <w:tcW w:w="2087" w:type="dxa"/>
          <w:tcBorders>
            <w:top w:val="single" w:sz="6" w:space="0" w:color="auto"/>
            <w:left w:val="nil"/>
            <w:bottom w:val="single" w:sz="6" w:space="0" w:color="auto"/>
            <w:right w:val="single" w:sz="6" w:space="0" w:color="auto"/>
          </w:tcBorders>
        </w:tcPr>
        <w:p w:rsidR="00E01344" w:rsidRDefault="00E01344">
          <w:pPr>
            <w:pStyle w:val="Header"/>
            <w:tabs>
              <w:tab w:val="clear" w:pos="4320"/>
              <w:tab w:val="clear" w:pos="8640"/>
              <w:tab w:val="left" w:pos="483"/>
            </w:tabs>
            <w:spacing w:before="200"/>
            <w:ind w:left="57" w:right="-454"/>
            <w:rPr>
              <w:sz w:val="16"/>
            </w:rPr>
          </w:pPr>
          <w:bookmarkStart w:id="7" w:name="mrkAutor1_1"/>
          <w:bookmarkEnd w:id="7"/>
          <w:r>
            <w:rPr>
              <w:sz w:val="16"/>
            </w:rPr>
            <w:t xml:space="preserve"> </w:t>
          </w:r>
          <w:bookmarkStart w:id="8" w:name="mrkAbteilung_1"/>
          <w:bookmarkEnd w:id="8"/>
        </w:p>
      </w:tc>
    </w:tr>
    <w:tr w:rsidR="00E01344">
      <w:trPr>
        <w:cantSplit/>
        <w:trHeight w:hRule="exact" w:val="567"/>
      </w:trPr>
      <w:tc>
        <w:tcPr>
          <w:tcW w:w="7365" w:type="dxa"/>
          <w:tcBorders>
            <w:top w:val="single" w:sz="6" w:space="0" w:color="auto"/>
            <w:left w:val="single" w:sz="6" w:space="0" w:color="auto"/>
            <w:bottom w:val="single" w:sz="6" w:space="0" w:color="auto"/>
            <w:right w:val="single" w:sz="6" w:space="0" w:color="auto"/>
          </w:tcBorders>
        </w:tcPr>
        <w:p w:rsidR="00E01344" w:rsidRDefault="00E01344">
          <w:pPr>
            <w:pStyle w:val="Header"/>
            <w:tabs>
              <w:tab w:val="clear" w:pos="4320"/>
            </w:tabs>
            <w:spacing w:before="140" w:after="120"/>
            <w:jc w:val="center"/>
            <w:rPr>
              <w:rFonts w:ascii="DIN-Bold" w:hAnsi="DIN-Bold"/>
            </w:rPr>
          </w:pPr>
          <w:bookmarkStart w:id="9" w:name="mrkClassification_1"/>
          <w:bookmarkEnd w:id="9"/>
        </w:p>
      </w:tc>
      <w:tc>
        <w:tcPr>
          <w:tcW w:w="567" w:type="dxa"/>
          <w:tcBorders>
            <w:top w:val="single" w:sz="6" w:space="0" w:color="auto"/>
            <w:left w:val="single" w:sz="6" w:space="0" w:color="auto"/>
            <w:bottom w:val="single" w:sz="6" w:space="0" w:color="auto"/>
          </w:tcBorders>
        </w:tcPr>
        <w:p w:rsidR="00E01344" w:rsidRDefault="00E01344">
          <w:pPr>
            <w:pStyle w:val="Header"/>
            <w:tabs>
              <w:tab w:val="clear" w:pos="4320"/>
              <w:tab w:val="clear" w:pos="8640"/>
              <w:tab w:val="left" w:pos="483"/>
            </w:tabs>
            <w:spacing w:before="200" w:after="60"/>
            <w:ind w:left="57"/>
            <w:rPr>
              <w:sz w:val="16"/>
            </w:rPr>
          </w:pPr>
          <w:r>
            <w:rPr>
              <w:sz w:val="16"/>
            </w:rPr>
            <w:t>Date:</w:t>
          </w:r>
        </w:p>
      </w:tc>
      <w:tc>
        <w:tcPr>
          <w:tcW w:w="2087" w:type="dxa"/>
          <w:tcBorders>
            <w:top w:val="single" w:sz="6" w:space="0" w:color="auto"/>
            <w:left w:val="nil"/>
            <w:bottom w:val="single" w:sz="6" w:space="0" w:color="auto"/>
            <w:right w:val="single" w:sz="6" w:space="0" w:color="auto"/>
          </w:tcBorders>
        </w:tcPr>
        <w:p w:rsidR="00E01344" w:rsidRDefault="00E01344">
          <w:pPr>
            <w:pStyle w:val="Header"/>
            <w:tabs>
              <w:tab w:val="clear" w:pos="4320"/>
              <w:tab w:val="clear" w:pos="8640"/>
              <w:tab w:val="left" w:pos="483"/>
            </w:tabs>
            <w:spacing w:before="200" w:after="60"/>
            <w:ind w:left="57" w:right="-397"/>
            <w:rPr>
              <w:sz w:val="16"/>
            </w:rPr>
          </w:pPr>
          <w:bookmarkStart w:id="10" w:name="mrkDatum_1"/>
          <w:bookmarkEnd w:id="10"/>
          <w:r>
            <w:rPr>
              <w:sz w:val="16"/>
            </w:rPr>
            <w:t>27 April 2015</w:t>
          </w:r>
        </w:p>
      </w:tc>
    </w:tr>
  </w:tbl>
  <w:p w:rsidR="00E01344" w:rsidRDefault="00E013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08E"/>
    <w:multiLevelType w:val="hybridMultilevel"/>
    <w:tmpl w:val="D034E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0D6044"/>
    <w:multiLevelType w:val="hybridMultilevel"/>
    <w:tmpl w:val="A410A4E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7F6D38"/>
    <w:multiLevelType w:val="hybridMultilevel"/>
    <w:tmpl w:val="BE08C1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6447FC7"/>
    <w:multiLevelType w:val="hybridMultilevel"/>
    <w:tmpl w:val="26BAF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9047748"/>
    <w:multiLevelType w:val="hybridMultilevel"/>
    <w:tmpl w:val="B9B2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F6345"/>
    <w:multiLevelType w:val="hybridMultilevel"/>
    <w:tmpl w:val="3AC6155C"/>
    <w:lvl w:ilvl="0" w:tplc="986E197E">
      <w:start w:val="1"/>
      <w:numFmt w:val="decimal"/>
      <w:lvlText w:val="(%1)"/>
      <w:lvlJc w:val="left"/>
      <w:pPr>
        <w:ind w:left="788" w:hanging="360"/>
      </w:pPr>
      <w:rPr>
        <w:rFonts w:hint="default"/>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6">
    <w:nsid w:val="1E77637D"/>
    <w:multiLevelType w:val="hybridMultilevel"/>
    <w:tmpl w:val="0B4A7B8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A750BF7"/>
    <w:multiLevelType w:val="hybridMultilevel"/>
    <w:tmpl w:val="18480B16"/>
    <w:lvl w:ilvl="0" w:tplc="08090001">
      <w:start w:val="1"/>
      <w:numFmt w:val="bullet"/>
      <w:lvlText w:val=""/>
      <w:lvlJc w:val="left"/>
      <w:pPr>
        <w:ind w:left="360" w:hanging="360"/>
      </w:pPr>
      <w:rPr>
        <w:rFonts w:ascii="Symbol" w:hAnsi="Symbol" w:hint="default"/>
      </w:rPr>
    </w:lvl>
    <w:lvl w:ilvl="1" w:tplc="9AAE9DE2">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ADE4740"/>
    <w:multiLevelType w:val="hybridMultilevel"/>
    <w:tmpl w:val="26D6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745ED3"/>
    <w:multiLevelType w:val="hybridMultilevel"/>
    <w:tmpl w:val="617656DC"/>
    <w:lvl w:ilvl="0" w:tplc="997EE2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0602A7"/>
    <w:multiLevelType w:val="hybridMultilevel"/>
    <w:tmpl w:val="EBD4AE4C"/>
    <w:lvl w:ilvl="0" w:tplc="986E19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C846733"/>
    <w:multiLevelType w:val="hybridMultilevel"/>
    <w:tmpl w:val="FC4EFAB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E603032"/>
    <w:multiLevelType w:val="hybridMultilevel"/>
    <w:tmpl w:val="4E62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F4689C"/>
    <w:multiLevelType w:val="hybridMultilevel"/>
    <w:tmpl w:val="39863746"/>
    <w:lvl w:ilvl="0" w:tplc="986E197E">
      <w:start w:val="1"/>
      <w:numFmt w:val="decimal"/>
      <w:lvlText w:val="(%1)"/>
      <w:lvlJc w:val="left"/>
      <w:pPr>
        <w:ind w:left="360" w:hanging="360"/>
      </w:pPr>
      <w:rPr>
        <w:rFonts w:hint="default"/>
      </w:rPr>
    </w:lvl>
    <w:lvl w:ilvl="1" w:tplc="EDA8E1A0">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64E50FB"/>
    <w:multiLevelType w:val="hybridMultilevel"/>
    <w:tmpl w:val="0AC8D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FB92291"/>
    <w:multiLevelType w:val="hybridMultilevel"/>
    <w:tmpl w:val="5DE44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85667D"/>
    <w:multiLevelType w:val="hybridMultilevel"/>
    <w:tmpl w:val="1018C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FC84770"/>
    <w:multiLevelType w:val="hybridMultilevel"/>
    <w:tmpl w:val="47F25FD4"/>
    <w:lvl w:ilvl="0" w:tplc="11009B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4487233"/>
    <w:multiLevelType w:val="hybridMultilevel"/>
    <w:tmpl w:val="BED20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8B10F6E"/>
    <w:multiLevelType w:val="hybridMultilevel"/>
    <w:tmpl w:val="26781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FA42CCE"/>
    <w:multiLevelType w:val="hybridMultilevel"/>
    <w:tmpl w:val="2CFC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3E7A59"/>
    <w:multiLevelType w:val="hybridMultilevel"/>
    <w:tmpl w:val="D4EA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9"/>
  </w:num>
  <w:num w:numId="4">
    <w:abstractNumId w:val="5"/>
  </w:num>
  <w:num w:numId="5">
    <w:abstractNumId w:val="12"/>
  </w:num>
  <w:num w:numId="6">
    <w:abstractNumId w:val="13"/>
  </w:num>
  <w:num w:numId="7">
    <w:abstractNumId w:val="18"/>
  </w:num>
  <w:num w:numId="8">
    <w:abstractNumId w:val="19"/>
  </w:num>
  <w:num w:numId="9">
    <w:abstractNumId w:val="7"/>
  </w:num>
  <w:num w:numId="10">
    <w:abstractNumId w:val="3"/>
  </w:num>
  <w:num w:numId="11">
    <w:abstractNumId w:val="14"/>
  </w:num>
  <w:num w:numId="12">
    <w:abstractNumId w:val="0"/>
  </w:num>
  <w:num w:numId="13">
    <w:abstractNumId w:val="16"/>
  </w:num>
  <w:num w:numId="14">
    <w:abstractNumId w:val="2"/>
  </w:num>
  <w:num w:numId="15">
    <w:abstractNumId w:val="10"/>
  </w:num>
  <w:num w:numId="16">
    <w:abstractNumId w:val="6"/>
  </w:num>
  <w:num w:numId="17">
    <w:abstractNumId w:val="8"/>
  </w:num>
  <w:num w:numId="18">
    <w:abstractNumId w:val="1"/>
  </w:num>
  <w:num w:numId="19">
    <w:abstractNumId w:val="4"/>
  </w:num>
  <w:num w:numId="20">
    <w:abstractNumId w:val="20"/>
  </w:num>
  <w:num w:numId="21">
    <w:abstractNumId w:val="21"/>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C7"/>
    <w:rsid w:val="000004A2"/>
    <w:rsid w:val="000019C6"/>
    <w:rsid w:val="000037A4"/>
    <w:rsid w:val="00036B57"/>
    <w:rsid w:val="0004392B"/>
    <w:rsid w:val="00055C4B"/>
    <w:rsid w:val="000724AC"/>
    <w:rsid w:val="00092D67"/>
    <w:rsid w:val="000C3753"/>
    <w:rsid w:val="000F0A56"/>
    <w:rsid w:val="000F51CD"/>
    <w:rsid w:val="000F71FC"/>
    <w:rsid w:val="0011144A"/>
    <w:rsid w:val="00117EBC"/>
    <w:rsid w:val="00125A0C"/>
    <w:rsid w:val="001418AD"/>
    <w:rsid w:val="00154E67"/>
    <w:rsid w:val="00157FD6"/>
    <w:rsid w:val="001646EA"/>
    <w:rsid w:val="00167AD5"/>
    <w:rsid w:val="00180A5B"/>
    <w:rsid w:val="001A6CED"/>
    <w:rsid w:val="001A72A5"/>
    <w:rsid w:val="001B51EC"/>
    <w:rsid w:val="001B6FC0"/>
    <w:rsid w:val="001C6C91"/>
    <w:rsid w:val="001C7C7D"/>
    <w:rsid w:val="001F6799"/>
    <w:rsid w:val="001F683F"/>
    <w:rsid w:val="00205E00"/>
    <w:rsid w:val="00207225"/>
    <w:rsid w:val="00221C39"/>
    <w:rsid w:val="002276BE"/>
    <w:rsid w:val="00227784"/>
    <w:rsid w:val="00236257"/>
    <w:rsid w:val="002412F9"/>
    <w:rsid w:val="002500A1"/>
    <w:rsid w:val="00272A58"/>
    <w:rsid w:val="00274122"/>
    <w:rsid w:val="00274AF4"/>
    <w:rsid w:val="00284A1E"/>
    <w:rsid w:val="002D27CE"/>
    <w:rsid w:val="002D51BB"/>
    <w:rsid w:val="002E662A"/>
    <w:rsid w:val="002F079F"/>
    <w:rsid w:val="002F7F2E"/>
    <w:rsid w:val="00301562"/>
    <w:rsid w:val="00304CCF"/>
    <w:rsid w:val="00305E20"/>
    <w:rsid w:val="00307A24"/>
    <w:rsid w:val="003130ED"/>
    <w:rsid w:val="0032011A"/>
    <w:rsid w:val="00334A02"/>
    <w:rsid w:val="0033589F"/>
    <w:rsid w:val="00345121"/>
    <w:rsid w:val="0036602F"/>
    <w:rsid w:val="00374099"/>
    <w:rsid w:val="00387E7C"/>
    <w:rsid w:val="00390432"/>
    <w:rsid w:val="00392499"/>
    <w:rsid w:val="00395CDE"/>
    <w:rsid w:val="00396283"/>
    <w:rsid w:val="003B22E2"/>
    <w:rsid w:val="003B6B5E"/>
    <w:rsid w:val="003C0864"/>
    <w:rsid w:val="003C4B0E"/>
    <w:rsid w:val="003C528E"/>
    <w:rsid w:val="003C71A0"/>
    <w:rsid w:val="003F5B17"/>
    <w:rsid w:val="00405B6A"/>
    <w:rsid w:val="00411B81"/>
    <w:rsid w:val="00415311"/>
    <w:rsid w:val="004208ED"/>
    <w:rsid w:val="00432B81"/>
    <w:rsid w:val="00442B7A"/>
    <w:rsid w:val="00461623"/>
    <w:rsid w:val="00464DDB"/>
    <w:rsid w:val="00465F8A"/>
    <w:rsid w:val="004747AD"/>
    <w:rsid w:val="00482296"/>
    <w:rsid w:val="00496EB9"/>
    <w:rsid w:val="004A6447"/>
    <w:rsid w:val="004C20D6"/>
    <w:rsid w:val="004C7A3D"/>
    <w:rsid w:val="004D300D"/>
    <w:rsid w:val="004D4246"/>
    <w:rsid w:val="004E04A6"/>
    <w:rsid w:val="004E7E08"/>
    <w:rsid w:val="004F73F7"/>
    <w:rsid w:val="005009BE"/>
    <w:rsid w:val="005048B9"/>
    <w:rsid w:val="005076BA"/>
    <w:rsid w:val="005119EC"/>
    <w:rsid w:val="00511DA3"/>
    <w:rsid w:val="0053093D"/>
    <w:rsid w:val="005340CB"/>
    <w:rsid w:val="0053634B"/>
    <w:rsid w:val="00546107"/>
    <w:rsid w:val="005508D2"/>
    <w:rsid w:val="0056340D"/>
    <w:rsid w:val="00566E6D"/>
    <w:rsid w:val="00571845"/>
    <w:rsid w:val="005755D7"/>
    <w:rsid w:val="005772D5"/>
    <w:rsid w:val="00580AAA"/>
    <w:rsid w:val="00582CA2"/>
    <w:rsid w:val="00583D82"/>
    <w:rsid w:val="005A3118"/>
    <w:rsid w:val="005B047F"/>
    <w:rsid w:val="005B2929"/>
    <w:rsid w:val="005C7F9B"/>
    <w:rsid w:val="005D5ED1"/>
    <w:rsid w:val="005F2D9B"/>
    <w:rsid w:val="005F42C7"/>
    <w:rsid w:val="005F639E"/>
    <w:rsid w:val="006018DD"/>
    <w:rsid w:val="0060340B"/>
    <w:rsid w:val="00607C61"/>
    <w:rsid w:val="00610C2D"/>
    <w:rsid w:val="00622552"/>
    <w:rsid w:val="00622B5A"/>
    <w:rsid w:val="00636BE9"/>
    <w:rsid w:val="00636F7C"/>
    <w:rsid w:val="00642AC2"/>
    <w:rsid w:val="0064497B"/>
    <w:rsid w:val="0065462C"/>
    <w:rsid w:val="00656BDE"/>
    <w:rsid w:val="00682FB7"/>
    <w:rsid w:val="00684860"/>
    <w:rsid w:val="00684A82"/>
    <w:rsid w:val="00692C25"/>
    <w:rsid w:val="006A0FC7"/>
    <w:rsid w:val="006D02DC"/>
    <w:rsid w:val="006D0363"/>
    <w:rsid w:val="006D301C"/>
    <w:rsid w:val="006D3953"/>
    <w:rsid w:val="006F77FC"/>
    <w:rsid w:val="00717F16"/>
    <w:rsid w:val="0072344B"/>
    <w:rsid w:val="00726231"/>
    <w:rsid w:val="00730ECD"/>
    <w:rsid w:val="00735988"/>
    <w:rsid w:val="00753475"/>
    <w:rsid w:val="00786CB4"/>
    <w:rsid w:val="00795360"/>
    <w:rsid w:val="007B473F"/>
    <w:rsid w:val="007C1D1A"/>
    <w:rsid w:val="007E282A"/>
    <w:rsid w:val="007F1891"/>
    <w:rsid w:val="007F37B2"/>
    <w:rsid w:val="00855727"/>
    <w:rsid w:val="00893372"/>
    <w:rsid w:val="00897116"/>
    <w:rsid w:val="008A336C"/>
    <w:rsid w:val="008A3778"/>
    <w:rsid w:val="008C02A9"/>
    <w:rsid w:val="008C21E2"/>
    <w:rsid w:val="008C4CA0"/>
    <w:rsid w:val="008F2A6E"/>
    <w:rsid w:val="00911AA8"/>
    <w:rsid w:val="009366C2"/>
    <w:rsid w:val="00940DB2"/>
    <w:rsid w:val="009463DD"/>
    <w:rsid w:val="009567BE"/>
    <w:rsid w:val="0097691A"/>
    <w:rsid w:val="00992B10"/>
    <w:rsid w:val="009948D9"/>
    <w:rsid w:val="009B003B"/>
    <w:rsid w:val="009B4B38"/>
    <w:rsid w:val="009C66A4"/>
    <w:rsid w:val="009C7F58"/>
    <w:rsid w:val="009F0D54"/>
    <w:rsid w:val="009F45C7"/>
    <w:rsid w:val="00A0414E"/>
    <w:rsid w:val="00A10390"/>
    <w:rsid w:val="00A15D6A"/>
    <w:rsid w:val="00A16858"/>
    <w:rsid w:val="00A371C5"/>
    <w:rsid w:val="00A41EA5"/>
    <w:rsid w:val="00A451AF"/>
    <w:rsid w:val="00A4768B"/>
    <w:rsid w:val="00A5615A"/>
    <w:rsid w:val="00A62E8F"/>
    <w:rsid w:val="00A661D1"/>
    <w:rsid w:val="00A66687"/>
    <w:rsid w:val="00A81356"/>
    <w:rsid w:val="00A92F12"/>
    <w:rsid w:val="00A956D0"/>
    <w:rsid w:val="00AA5AD8"/>
    <w:rsid w:val="00AA5C0D"/>
    <w:rsid w:val="00AC0B4F"/>
    <w:rsid w:val="00AC3222"/>
    <w:rsid w:val="00AC5C23"/>
    <w:rsid w:val="00AD0EE2"/>
    <w:rsid w:val="00AD2F27"/>
    <w:rsid w:val="00AE2F66"/>
    <w:rsid w:val="00AE401C"/>
    <w:rsid w:val="00AF3734"/>
    <w:rsid w:val="00AF4B03"/>
    <w:rsid w:val="00AF50C0"/>
    <w:rsid w:val="00AF52DD"/>
    <w:rsid w:val="00B02B38"/>
    <w:rsid w:val="00B17212"/>
    <w:rsid w:val="00B22D2C"/>
    <w:rsid w:val="00B70A9F"/>
    <w:rsid w:val="00BA048F"/>
    <w:rsid w:val="00BA15FC"/>
    <w:rsid w:val="00BA18B7"/>
    <w:rsid w:val="00BA2A95"/>
    <w:rsid w:val="00BC4D9A"/>
    <w:rsid w:val="00BD3A07"/>
    <w:rsid w:val="00BE2CEC"/>
    <w:rsid w:val="00BF56CB"/>
    <w:rsid w:val="00C13BC8"/>
    <w:rsid w:val="00C1691D"/>
    <w:rsid w:val="00C22B10"/>
    <w:rsid w:val="00C243EE"/>
    <w:rsid w:val="00C2608B"/>
    <w:rsid w:val="00C43102"/>
    <w:rsid w:val="00C443D4"/>
    <w:rsid w:val="00C53AA6"/>
    <w:rsid w:val="00C54C96"/>
    <w:rsid w:val="00C615CE"/>
    <w:rsid w:val="00C6447D"/>
    <w:rsid w:val="00CE0924"/>
    <w:rsid w:val="00CF0AB4"/>
    <w:rsid w:val="00CF67E8"/>
    <w:rsid w:val="00D00FD4"/>
    <w:rsid w:val="00D13334"/>
    <w:rsid w:val="00D31C04"/>
    <w:rsid w:val="00D3315B"/>
    <w:rsid w:val="00D34CBC"/>
    <w:rsid w:val="00D35914"/>
    <w:rsid w:val="00D414C5"/>
    <w:rsid w:val="00D4601A"/>
    <w:rsid w:val="00D559BD"/>
    <w:rsid w:val="00D62575"/>
    <w:rsid w:val="00D63609"/>
    <w:rsid w:val="00D647C5"/>
    <w:rsid w:val="00D65895"/>
    <w:rsid w:val="00D66517"/>
    <w:rsid w:val="00D677D3"/>
    <w:rsid w:val="00D67F0E"/>
    <w:rsid w:val="00D70E72"/>
    <w:rsid w:val="00D84568"/>
    <w:rsid w:val="00DA6980"/>
    <w:rsid w:val="00DA76DE"/>
    <w:rsid w:val="00DD4190"/>
    <w:rsid w:val="00DF0B04"/>
    <w:rsid w:val="00E01344"/>
    <w:rsid w:val="00E06502"/>
    <w:rsid w:val="00E0716A"/>
    <w:rsid w:val="00E10D7E"/>
    <w:rsid w:val="00E171D6"/>
    <w:rsid w:val="00E62359"/>
    <w:rsid w:val="00E6273C"/>
    <w:rsid w:val="00E655AE"/>
    <w:rsid w:val="00E73640"/>
    <w:rsid w:val="00E82D18"/>
    <w:rsid w:val="00EA46DD"/>
    <w:rsid w:val="00EB3782"/>
    <w:rsid w:val="00EB60F7"/>
    <w:rsid w:val="00EC2A5B"/>
    <w:rsid w:val="00ED05F6"/>
    <w:rsid w:val="00ED20A8"/>
    <w:rsid w:val="00EE5894"/>
    <w:rsid w:val="00EF2E41"/>
    <w:rsid w:val="00EF476D"/>
    <w:rsid w:val="00EF4B2D"/>
    <w:rsid w:val="00EF50E4"/>
    <w:rsid w:val="00EF6AF8"/>
    <w:rsid w:val="00F1016A"/>
    <w:rsid w:val="00F1172D"/>
    <w:rsid w:val="00F16AC9"/>
    <w:rsid w:val="00F16CD2"/>
    <w:rsid w:val="00F20FDD"/>
    <w:rsid w:val="00F25994"/>
    <w:rsid w:val="00F31510"/>
    <w:rsid w:val="00F373F7"/>
    <w:rsid w:val="00F46BA8"/>
    <w:rsid w:val="00F52E88"/>
    <w:rsid w:val="00F5551F"/>
    <w:rsid w:val="00F63651"/>
    <w:rsid w:val="00F67083"/>
    <w:rsid w:val="00F71141"/>
    <w:rsid w:val="00F7717D"/>
    <w:rsid w:val="00F9276D"/>
    <w:rsid w:val="00F963E8"/>
    <w:rsid w:val="00FB11E4"/>
    <w:rsid w:val="00FB2C06"/>
    <w:rsid w:val="00FB4E79"/>
    <w:rsid w:val="00FB5341"/>
    <w:rsid w:val="00FC3777"/>
    <w:rsid w:val="00FC70C5"/>
    <w:rsid w:val="00FD4804"/>
    <w:rsid w:val="00FF0147"/>
    <w:rsid w:val="00FF6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right="57"/>
    </w:pPr>
    <w:rPr>
      <w:rFonts w:ascii="DIN-Regular" w:hAnsi="DIN-Regular"/>
      <w:sz w:val="24"/>
      <w:lang w:eastAsia="en-US"/>
    </w:rPr>
  </w:style>
  <w:style w:type="paragraph" w:styleId="Heading1">
    <w:name w:val="heading 1"/>
    <w:basedOn w:val="Normal"/>
    <w:next w:val="paragraph1"/>
    <w:qFormat/>
    <w:pPr>
      <w:spacing w:before="240" w:after="240"/>
      <w:ind w:left="567" w:hanging="567"/>
      <w:jc w:val="both"/>
      <w:outlineLvl w:val="0"/>
    </w:pPr>
    <w:rPr>
      <w:rFonts w:ascii="DIN-Bold" w:hAnsi="DIN-Bold"/>
      <w:sz w:val="28"/>
      <w:u w:val="single"/>
    </w:rPr>
  </w:style>
  <w:style w:type="paragraph" w:styleId="Heading2">
    <w:name w:val="heading 2"/>
    <w:basedOn w:val="Normal"/>
    <w:next w:val="paragraph2"/>
    <w:qFormat/>
    <w:pPr>
      <w:spacing w:before="240" w:after="240"/>
      <w:ind w:left="567" w:hanging="567"/>
      <w:jc w:val="both"/>
      <w:outlineLvl w:val="1"/>
    </w:pPr>
    <w:rPr>
      <w:rFonts w:ascii="DIN-Bold" w:hAnsi="DIN-Bold"/>
      <w:u w:val="single"/>
    </w:rPr>
  </w:style>
  <w:style w:type="paragraph" w:styleId="Heading3">
    <w:name w:val="heading 3"/>
    <w:basedOn w:val="Normal"/>
    <w:next w:val="paragraph3"/>
    <w:qFormat/>
    <w:pPr>
      <w:spacing w:before="240" w:after="240"/>
      <w:ind w:left="567" w:hanging="567"/>
      <w:jc w:val="both"/>
      <w:outlineLvl w:val="2"/>
    </w:pPr>
    <w:rPr>
      <w:rFonts w:ascii="DIN-Bold" w:hAnsi="DIN-Bol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basedOn w:val="Normal"/>
    <w:pPr>
      <w:ind w:left="567"/>
      <w:jc w:val="both"/>
    </w:pPr>
  </w:style>
  <w:style w:type="paragraph" w:customStyle="1" w:styleId="paragraph2">
    <w:name w:val="paragraph 2"/>
    <w:basedOn w:val="paragraph1"/>
  </w:style>
  <w:style w:type="paragraph" w:customStyle="1" w:styleId="paragraph3">
    <w:name w:val="paragraph 3"/>
    <w:basedOn w:val="paragraph2"/>
  </w:style>
  <w:style w:type="paragraph" w:styleId="TOC3">
    <w:name w:val="toc 3"/>
    <w:basedOn w:val="TOC1"/>
    <w:next w:val="Normal"/>
    <w:autoRedefine/>
    <w:semiHidden/>
  </w:style>
  <w:style w:type="paragraph" w:styleId="TOC2">
    <w:name w:val="toc 2"/>
    <w:basedOn w:val="TOC1"/>
    <w:next w:val="Normal"/>
    <w:autoRedefine/>
    <w:semiHidden/>
  </w:style>
  <w:style w:type="paragraph" w:styleId="TOC1">
    <w:name w:val="toc 1"/>
    <w:basedOn w:val="Normal"/>
    <w:next w:val="Normal"/>
    <w:autoRedefine/>
    <w:semiHidden/>
    <w:pPr>
      <w:tabs>
        <w:tab w:val="left" w:pos="737"/>
        <w:tab w:val="right" w:leader="dot" w:pos="10036"/>
      </w:tabs>
      <w:ind w:right="17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uiPriority w:val="99"/>
    <w:semiHidden/>
    <w:rPr>
      <w:position w:val="6"/>
      <w:sz w:val="16"/>
    </w:rPr>
  </w:style>
  <w:style w:type="paragraph" w:styleId="FootnoteText">
    <w:name w:val="footnote text"/>
    <w:basedOn w:val="Normal"/>
    <w:link w:val="FootnoteTextChar"/>
    <w:uiPriority w:val="99"/>
    <w:semiHidden/>
    <w:rPr>
      <w:sz w:val="20"/>
    </w:rPr>
  </w:style>
  <w:style w:type="paragraph" w:styleId="NormalIndent">
    <w:name w:val="Normal Indent"/>
    <w:basedOn w:val="Normal"/>
    <w:pPr>
      <w:ind w:left="709"/>
    </w:pPr>
  </w:style>
  <w:style w:type="paragraph" w:customStyle="1" w:styleId="bullet1">
    <w:name w:val="bullet 1"/>
    <w:basedOn w:val="paragraph1"/>
    <w:pPr>
      <w:spacing w:before="120"/>
      <w:ind w:left="993" w:hanging="284"/>
    </w:pPr>
  </w:style>
  <w:style w:type="paragraph" w:customStyle="1" w:styleId="bullet2">
    <w:name w:val="bullet 2"/>
    <w:basedOn w:val="paragraph2"/>
    <w:pPr>
      <w:spacing w:before="120"/>
      <w:ind w:left="993" w:hanging="284"/>
    </w:pPr>
  </w:style>
  <w:style w:type="paragraph" w:customStyle="1" w:styleId="bullet3">
    <w:name w:val="bullet 3"/>
    <w:basedOn w:val="paragraph3"/>
    <w:pPr>
      <w:ind w:left="993" w:hanging="284"/>
    </w:pPr>
  </w:style>
  <w:style w:type="paragraph" w:styleId="TOC6">
    <w:name w:val="toc 6"/>
    <w:basedOn w:val="Normal"/>
    <w:next w:val="Normal"/>
    <w:autoRedefine/>
    <w:semiHidden/>
    <w:pPr>
      <w:ind w:left="1200"/>
    </w:pPr>
  </w:style>
  <w:style w:type="paragraph" w:styleId="TOC4">
    <w:name w:val="toc 4"/>
    <w:basedOn w:val="Normal"/>
    <w:next w:val="Normal"/>
    <w:autoRedefine/>
    <w:semiHidden/>
    <w:pPr>
      <w:tabs>
        <w:tab w:val="left" w:pos="737"/>
        <w:tab w:val="right" w:leader="dot" w:pos="10036"/>
      </w:tabs>
      <w:ind w:right="170"/>
    </w:pPr>
  </w:style>
  <w:style w:type="paragraph" w:styleId="TOC5">
    <w:name w:val="toc 5"/>
    <w:basedOn w:val="Normal"/>
    <w:next w:val="Normal"/>
    <w:autoRedefine/>
    <w:semiHidden/>
    <w:pPr>
      <w:tabs>
        <w:tab w:val="left" w:pos="737"/>
        <w:tab w:val="right" w:leader="dot" w:pos="10036"/>
      </w:tabs>
      <w:ind w:right="170"/>
    </w:pPr>
    <w:rPr>
      <w:lang w:val="fr-CH"/>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Default">
    <w:name w:val="Default"/>
    <w:rsid w:val="006A0FC7"/>
    <w:pPr>
      <w:autoSpaceDE w:val="0"/>
      <w:autoSpaceDN w:val="0"/>
      <w:adjustRightInd w:val="0"/>
    </w:pPr>
    <w:rPr>
      <w:rFonts w:ascii="Verdana" w:hAnsi="Verdana" w:cs="Verdana"/>
      <w:color w:val="000000"/>
      <w:sz w:val="24"/>
      <w:szCs w:val="24"/>
    </w:rPr>
  </w:style>
  <w:style w:type="character" w:customStyle="1" w:styleId="FootnoteTextChar">
    <w:name w:val="Footnote Text Char"/>
    <w:basedOn w:val="DefaultParagraphFont"/>
    <w:link w:val="FootnoteText"/>
    <w:uiPriority w:val="99"/>
    <w:semiHidden/>
    <w:rsid w:val="006A0FC7"/>
    <w:rPr>
      <w:rFonts w:ascii="DIN-Regular" w:hAnsi="DIN-Regular"/>
      <w:lang w:eastAsia="en-US"/>
    </w:rPr>
  </w:style>
  <w:style w:type="paragraph" w:styleId="ListParagraph">
    <w:name w:val="List Paragraph"/>
    <w:basedOn w:val="Normal"/>
    <w:uiPriority w:val="34"/>
    <w:qFormat/>
    <w:rsid w:val="006A0FC7"/>
    <w:pPr>
      <w:widowControl w:val="0"/>
      <w:spacing w:line="300" w:lineRule="exact"/>
      <w:ind w:left="720" w:right="0"/>
      <w:contextualSpacing/>
    </w:pPr>
    <w:rPr>
      <w:rFonts w:ascii="Times New Roman" w:hAnsi="Times New Roman"/>
      <w:sz w:val="22"/>
    </w:rPr>
  </w:style>
  <w:style w:type="paragraph" w:styleId="BalloonText">
    <w:name w:val="Balloon Text"/>
    <w:basedOn w:val="Normal"/>
    <w:link w:val="BalloonTextChar"/>
    <w:uiPriority w:val="99"/>
    <w:semiHidden/>
    <w:unhideWhenUsed/>
    <w:rsid w:val="00CF67E8"/>
    <w:rPr>
      <w:rFonts w:ascii="Tahoma" w:hAnsi="Tahoma" w:cs="Tahoma"/>
      <w:sz w:val="16"/>
      <w:szCs w:val="16"/>
    </w:rPr>
  </w:style>
  <w:style w:type="character" w:customStyle="1" w:styleId="BalloonTextChar">
    <w:name w:val="Balloon Text Char"/>
    <w:basedOn w:val="DefaultParagraphFont"/>
    <w:link w:val="BalloonText"/>
    <w:uiPriority w:val="99"/>
    <w:semiHidden/>
    <w:rsid w:val="00CF67E8"/>
    <w:rPr>
      <w:rFonts w:ascii="Tahoma" w:hAnsi="Tahoma" w:cs="Tahoma"/>
      <w:sz w:val="16"/>
      <w:szCs w:val="16"/>
      <w:lang w:eastAsia="en-US"/>
    </w:rPr>
  </w:style>
  <w:style w:type="character" w:styleId="CommentReference">
    <w:name w:val="annotation reference"/>
    <w:basedOn w:val="DefaultParagraphFont"/>
    <w:uiPriority w:val="99"/>
    <w:semiHidden/>
    <w:unhideWhenUsed/>
    <w:rsid w:val="00CF67E8"/>
    <w:rPr>
      <w:sz w:val="16"/>
      <w:szCs w:val="16"/>
    </w:rPr>
  </w:style>
  <w:style w:type="paragraph" w:styleId="CommentText">
    <w:name w:val="annotation text"/>
    <w:basedOn w:val="Normal"/>
    <w:link w:val="CommentTextChar"/>
    <w:uiPriority w:val="99"/>
    <w:semiHidden/>
    <w:unhideWhenUsed/>
    <w:rsid w:val="00CF67E8"/>
    <w:rPr>
      <w:sz w:val="20"/>
    </w:rPr>
  </w:style>
  <w:style w:type="character" w:customStyle="1" w:styleId="CommentTextChar">
    <w:name w:val="Comment Text Char"/>
    <w:basedOn w:val="DefaultParagraphFont"/>
    <w:link w:val="CommentText"/>
    <w:uiPriority w:val="99"/>
    <w:semiHidden/>
    <w:rsid w:val="00CF67E8"/>
    <w:rPr>
      <w:rFonts w:ascii="DIN-Regular" w:hAnsi="DIN-Regular"/>
      <w:lang w:eastAsia="en-US"/>
    </w:rPr>
  </w:style>
  <w:style w:type="paragraph" w:styleId="CommentSubject">
    <w:name w:val="annotation subject"/>
    <w:basedOn w:val="CommentText"/>
    <w:next w:val="CommentText"/>
    <w:link w:val="CommentSubjectChar"/>
    <w:uiPriority w:val="99"/>
    <w:semiHidden/>
    <w:unhideWhenUsed/>
    <w:rsid w:val="00CF67E8"/>
    <w:rPr>
      <w:b/>
      <w:bCs/>
    </w:rPr>
  </w:style>
  <w:style w:type="character" w:customStyle="1" w:styleId="CommentSubjectChar">
    <w:name w:val="Comment Subject Char"/>
    <w:basedOn w:val="CommentTextChar"/>
    <w:link w:val="CommentSubject"/>
    <w:uiPriority w:val="99"/>
    <w:semiHidden/>
    <w:rsid w:val="00CF67E8"/>
    <w:rPr>
      <w:rFonts w:ascii="DIN-Regular" w:hAnsi="DIN-Regular"/>
      <w:b/>
      <w:bCs/>
      <w:lang w:eastAsia="en-US"/>
    </w:rPr>
  </w:style>
  <w:style w:type="table" w:styleId="TableGrid">
    <w:name w:val="Table Grid"/>
    <w:basedOn w:val="TableNormal"/>
    <w:uiPriority w:val="59"/>
    <w:rsid w:val="004D3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016A"/>
    <w:pPr>
      <w:ind w:right="57"/>
    </w:pPr>
    <w:rPr>
      <w:rFonts w:ascii="DIN-Regular" w:hAnsi="DIN-Regula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right="57"/>
    </w:pPr>
    <w:rPr>
      <w:rFonts w:ascii="DIN-Regular" w:hAnsi="DIN-Regular"/>
      <w:sz w:val="24"/>
      <w:lang w:eastAsia="en-US"/>
    </w:rPr>
  </w:style>
  <w:style w:type="paragraph" w:styleId="Heading1">
    <w:name w:val="heading 1"/>
    <w:basedOn w:val="Normal"/>
    <w:next w:val="paragraph1"/>
    <w:qFormat/>
    <w:pPr>
      <w:spacing w:before="240" w:after="240"/>
      <w:ind w:left="567" w:hanging="567"/>
      <w:jc w:val="both"/>
      <w:outlineLvl w:val="0"/>
    </w:pPr>
    <w:rPr>
      <w:rFonts w:ascii="DIN-Bold" w:hAnsi="DIN-Bold"/>
      <w:sz w:val="28"/>
      <w:u w:val="single"/>
    </w:rPr>
  </w:style>
  <w:style w:type="paragraph" w:styleId="Heading2">
    <w:name w:val="heading 2"/>
    <w:basedOn w:val="Normal"/>
    <w:next w:val="paragraph2"/>
    <w:qFormat/>
    <w:pPr>
      <w:spacing w:before="240" w:after="240"/>
      <w:ind w:left="567" w:hanging="567"/>
      <w:jc w:val="both"/>
      <w:outlineLvl w:val="1"/>
    </w:pPr>
    <w:rPr>
      <w:rFonts w:ascii="DIN-Bold" w:hAnsi="DIN-Bold"/>
      <w:u w:val="single"/>
    </w:rPr>
  </w:style>
  <w:style w:type="paragraph" w:styleId="Heading3">
    <w:name w:val="heading 3"/>
    <w:basedOn w:val="Normal"/>
    <w:next w:val="paragraph3"/>
    <w:qFormat/>
    <w:pPr>
      <w:spacing w:before="240" w:after="240"/>
      <w:ind w:left="567" w:hanging="567"/>
      <w:jc w:val="both"/>
      <w:outlineLvl w:val="2"/>
    </w:pPr>
    <w:rPr>
      <w:rFonts w:ascii="DIN-Bold" w:hAnsi="DIN-Bol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basedOn w:val="Normal"/>
    <w:pPr>
      <w:ind w:left="567"/>
      <w:jc w:val="both"/>
    </w:pPr>
  </w:style>
  <w:style w:type="paragraph" w:customStyle="1" w:styleId="paragraph2">
    <w:name w:val="paragraph 2"/>
    <w:basedOn w:val="paragraph1"/>
  </w:style>
  <w:style w:type="paragraph" w:customStyle="1" w:styleId="paragraph3">
    <w:name w:val="paragraph 3"/>
    <w:basedOn w:val="paragraph2"/>
  </w:style>
  <w:style w:type="paragraph" w:styleId="TOC3">
    <w:name w:val="toc 3"/>
    <w:basedOn w:val="TOC1"/>
    <w:next w:val="Normal"/>
    <w:autoRedefine/>
    <w:semiHidden/>
  </w:style>
  <w:style w:type="paragraph" w:styleId="TOC2">
    <w:name w:val="toc 2"/>
    <w:basedOn w:val="TOC1"/>
    <w:next w:val="Normal"/>
    <w:autoRedefine/>
    <w:semiHidden/>
  </w:style>
  <w:style w:type="paragraph" w:styleId="TOC1">
    <w:name w:val="toc 1"/>
    <w:basedOn w:val="Normal"/>
    <w:next w:val="Normal"/>
    <w:autoRedefine/>
    <w:semiHidden/>
    <w:pPr>
      <w:tabs>
        <w:tab w:val="left" w:pos="737"/>
        <w:tab w:val="right" w:leader="dot" w:pos="10036"/>
      </w:tabs>
      <w:ind w:right="17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uiPriority w:val="99"/>
    <w:semiHidden/>
    <w:rPr>
      <w:position w:val="6"/>
      <w:sz w:val="16"/>
    </w:rPr>
  </w:style>
  <w:style w:type="paragraph" w:styleId="FootnoteText">
    <w:name w:val="footnote text"/>
    <w:basedOn w:val="Normal"/>
    <w:link w:val="FootnoteTextChar"/>
    <w:uiPriority w:val="99"/>
    <w:semiHidden/>
    <w:rPr>
      <w:sz w:val="20"/>
    </w:rPr>
  </w:style>
  <w:style w:type="paragraph" w:styleId="NormalIndent">
    <w:name w:val="Normal Indent"/>
    <w:basedOn w:val="Normal"/>
    <w:pPr>
      <w:ind w:left="709"/>
    </w:pPr>
  </w:style>
  <w:style w:type="paragraph" w:customStyle="1" w:styleId="bullet1">
    <w:name w:val="bullet 1"/>
    <w:basedOn w:val="paragraph1"/>
    <w:pPr>
      <w:spacing w:before="120"/>
      <w:ind w:left="993" w:hanging="284"/>
    </w:pPr>
  </w:style>
  <w:style w:type="paragraph" w:customStyle="1" w:styleId="bullet2">
    <w:name w:val="bullet 2"/>
    <w:basedOn w:val="paragraph2"/>
    <w:pPr>
      <w:spacing w:before="120"/>
      <w:ind w:left="993" w:hanging="284"/>
    </w:pPr>
  </w:style>
  <w:style w:type="paragraph" w:customStyle="1" w:styleId="bullet3">
    <w:name w:val="bullet 3"/>
    <w:basedOn w:val="paragraph3"/>
    <w:pPr>
      <w:ind w:left="993" w:hanging="284"/>
    </w:pPr>
  </w:style>
  <w:style w:type="paragraph" w:styleId="TOC6">
    <w:name w:val="toc 6"/>
    <w:basedOn w:val="Normal"/>
    <w:next w:val="Normal"/>
    <w:autoRedefine/>
    <w:semiHidden/>
    <w:pPr>
      <w:ind w:left="1200"/>
    </w:pPr>
  </w:style>
  <w:style w:type="paragraph" w:styleId="TOC4">
    <w:name w:val="toc 4"/>
    <w:basedOn w:val="Normal"/>
    <w:next w:val="Normal"/>
    <w:autoRedefine/>
    <w:semiHidden/>
    <w:pPr>
      <w:tabs>
        <w:tab w:val="left" w:pos="737"/>
        <w:tab w:val="right" w:leader="dot" w:pos="10036"/>
      </w:tabs>
      <w:ind w:right="170"/>
    </w:pPr>
  </w:style>
  <w:style w:type="paragraph" w:styleId="TOC5">
    <w:name w:val="toc 5"/>
    <w:basedOn w:val="Normal"/>
    <w:next w:val="Normal"/>
    <w:autoRedefine/>
    <w:semiHidden/>
    <w:pPr>
      <w:tabs>
        <w:tab w:val="left" w:pos="737"/>
        <w:tab w:val="right" w:leader="dot" w:pos="10036"/>
      </w:tabs>
      <w:ind w:right="170"/>
    </w:pPr>
    <w:rPr>
      <w:lang w:val="fr-CH"/>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Default">
    <w:name w:val="Default"/>
    <w:rsid w:val="006A0FC7"/>
    <w:pPr>
      <w:autoSpaceDE w:val="0"/>
      <w:autoSpaceDN w:val="0"/>
      <w:adjustRightInd w:val="0"/>
    </w:pPr>
    <w:rPr>
      <w:rFonts w:ascii="Verdana" w:hAnsi="Verdana" w:cs="Verdana"/>
      <w:color w:val="000000"/>
      <w:sz w:val="24"/>
      <w:szCs w:val="24"/>
    </w:rPr>
  </w:style>
  <w:style w:type="character" w:customStyle="1" w:styleId="FootnoteTextChar">
    <w:name w:val="Footnote Text Char"/>
    <w:basedOn w:val="DefaultParagraphFont"/>
    <w:link w:val="FootnoteText"/>
    <w:uiPriority w:val="99"/>
    <w:semiHidden/>
    <w:rsid w:val="006A0FC7"/>
    <w:rPr>
      <w:rFonts w:ascii="DIN-Regular" w:hAnsi="DIN-Regular"/>
      <w:lang w:eastAsia="en-US"/>
    </w:rPr>
  </w:style>
  <w:style w:type="paragraph" w:styleId="ListParagraph">
    <w:name w:val="List Paragraph"/>
    <w:basedOn w:val="Normal"/>
    <w:uiPriority w:val="34"/>
    <w:qFormat/>
    <w:rsid w:val="006A0FC7"/>
    <w:pPr>
      <w:widowControl w:val="0"/>
      <w:spacing w:line="300" w:lineRule="exact"/>
      <w:ind w:left="720" w:right="0"/>
      <w:contextualSpacing/>
    </w:pPr>
    <w:rPr>
      <w:rFonts w:ascii="Times New Roman" w:hAnsi="Times New Roman"/>
      <w:sz w:val="22"/>
    </w:rPr>
  </w:style>
  <w:style w:type="paragraph" w:styleId="BalloonText">
    <w:name w:val="Balloon Text"/>
    <w:basedOn w:val="Normal"/>
    <w:link w:val="BalloonTextChar"/>
    <w:uiPriority w:val="99"/>
    <w:semiHidden/>
    <w:unhideWhenUsed/>
    <w:rsid w:val="00CF67E8"/>
    <w:rPr>
      <w:rFonts w:ascii="Tahoma" w:hAnsi="Tahoma" w:cs="Tahoma"/>
      <w:sz w:val="16"/>
      <w:szCs w:val="16"/>
    </w:rPr>
  </w:style>
  <w:style w:type="character" w:customStyle="1" w:styleId="BalloonTextChar">
    <w:name w:val="Balloon Text Char"/>
    <w:basedOn w:val="DefaultParagraphFont"/>
    <w:link w:val="BalloonText"/>
    <w:uiPriority w:val="99"/>
    <w:semiHidden/>
    <w:rsid w:val="00CF67E8"/>
    <w:rPr>
      <w:rFonts w:ascii="Tahoma" w:hAnsi="Tahoma" w:cs="Tahoma"/>
      <w:sz w:val="16"/>
      <w:szCs w:val="16"/>
      <w:lang w:eastAsia="en-US"/>
    </w:rPr>
  </w:style>
  <w:style w:type="character" w:styleId="CommentReference">
    <w:name w:val="annotation reference"/>
    <w:basedOn w:val="DefaultParagraphFont"/>
    <w:uiPriority w:val="99"/>
    <w:semiHidden/>
    <w:unhideWhenUsed/>
    <w:rsid w:val="00CF67E8"/>
    <w:rPr>
      <w:sz w:val="16"/>
      <w:szCs w:val="16"/>
    </w:rPr>
  </w:style>
  <w:style w:type="paragraph" w:styleId="CommentText">
    <w:name w:val="annotation text"/>
    <w:basedOn w:val="Normal"/>
    <w:link w:val="CommentTextChar"/>
    <w:uiPriority w:val="99"/>
    <w:semiHidden/>
    <w:unhideWhenUsed/>
    <w:rsid w:val="00CF67E8"/>
    <w:rPr>
      <w:sz w:val="20"/>
    </w:rPr>
  </w:style>
  <w:style w:type="character" w:customStyle="1" w:styleId="CommentTextChar">
    <w:name w:val="Comment Text Char"/>
    <w:basedOn w:val="DefaultParagraphFont"/>
    <w:link w:val="CommentText"/>
    <w:uiPriority w:val="99"/>
    <w:semiHidden/>
    <w:rsid w:val="00CF67E8"/>
    <w:rPr>
      <w:rFonts w:ascii="DIN-Regular" w:hAnsi="DIN-Regular"/>
      <w:lang w:eastAsia="en-US"/>
    </w:rPr>
  </w:style>
  <w:style w:type="paragraph" w:styleId="CommentSubject">
    <w:name w:val="annotation subject"/>
    <w:basedOn w:val="CommentText"/>
    <w:next w:val="CommentText"/>
    <w:link w:val="CommentSubjectChar"/>
    <w:uiPriority w:val="99"/>
    <w:semiHidden/>
    <w:unhideWhenUsed/>
    <w:rsid w:val="00CF67E8"/>
    <w:rPr>
      <w:b/>
      <w:bCs/>
    </w:rPr>
  </w:style>
  <w:style w:type="character" w:customStyle="1" w:styleId="CommentSubjectChar">
    <w:name w:val="Comment Subject Char"/>
    <w:basedOn w:val="CommentTextChar"/>
    <w:link w:val="CommentSubject"/>
    <w:uiPriority w:val="99"/>
    <w:semiHidden/>
    <w:rsid w:val="00CF67E8"/>
    <w:rPr>
      <w:rFonts w:ascii="DIN-Regular" w:hAnsi="DIN-Regular"/>
      <w:b/>
      <w:bCs/>
      <w:lang w:eastAsia="en-US"/>
    </w:rPr>
  </w:style>
  <w:style w:type="table" w:styleId="TableGrid">
    <w:name w:val="Table Grid"/>
    <w:basedOn w:val="TableNormal"/>
    <w:uiPriority w:val="59"/>
    <w:rsid w:val="004D3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016A"/>
    <w:pPr>
      <w:ind w:right="57"/>
    </w:pPr>
    <w:rPr>
      <w:rFonts w:ascii="DIN-Regular" w:hAnsi="DIN-Regula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56725">
      <w:bodyDiv w:val="1"/>
      <w:marLeft w:val="0"/>
      <w:marRight w:val="0"/>
      <w:marTop w:val="0"/>
      <w:marBottom w:val="0"/>
      <w:divBdr>
        <w:top w:val="none" w:sz="0" w:space="0" w:color="auto"/>
        <w:left w:val="none" w:sz="0" w:space="0" w:color="auto"/>
        <w:bottom w:val="none" w:sz="0" w:space="0" w:color="auto"/>
        <w:right w:val="none" w:sz="0" w:space="0" w:color="auto"/>
      </w:divBdr>
      <w:divsChild>
        <w:div w:id="750196243">
          <w:marLeft w:val="0"/>
          <w:marRight w:val="0"/>
          <w:marTop w:val="0"/>
          <w:marBottom w:val="0"/>
          <w:divBdr>
            <w:top w:val="none" w:sz="0" w:space="0" w:color="auto"/>
            <w:left w:val="none" w:sz="0" w:space="0" w:color="auto"/>
            <w:bottom w:val="none" w:sz="0" w:space="0" w:color="auto"/>
            <w:right w:val="none" w:sz="0" w:space="0" w:color="auto"/>
          </w:divBdr>
        </w:div>
        <w:div w:id="1404569267">
          <w:marLeft w:val="0"/>
          <w:marRight w:val="0"/>
          <w:marTop w:val="0"/>
          <w:marBottom w:val="0"/>
          <w:divBdr>
            <w:top w:val="none" w:sz="0" w:space="0" w:color="auto"/>
            <w:left w:val="none" w:sz="0" w:space="0" w:color="auto"/>
            <w:bottom w:val="none" w:sz="0" w:space="0" w:color="auto"/>
            <w:right w:val="none" w:sz="0" w:space="0" w:color="auto"/>
          </w:divBdr>
        </w:div>
        <w:div w:id="37246123">
          <w:marLeft w:val="0"/>
          <w:marRight w:val="0"/>
          <w:marTop w:val="0"/>
          <w:marBottom w:val="0"/>
          <w:divBdr>
            <w:top w:val="none" w:sz="0" w:space="0" w:color="auto"/>
            <w:left w:val="none" w:sz="0" w:space="0" w:color="auto"/>
            <w:bottom w:val="none" w:sz="0" w:space="0" w:color="auto"/>
            <w:right w:val="none" w:sz="0" w:space="0" w:color="auto"/>
          </w:divBdr>
        </w:div>
        <w:div w:id="1043598792">
          <w:marLeft w:val="0"/>
          <w:marRight w:val="0"/>
          <w:marTop w:val="0"/>
          <w:marBottom w:val="0"/>
          <w:divBdr>
            <w:top w:val="none" w:sz="0" w:space="0" w:color="auto"/>
            <w:left w:val="none" w:sz="0" w:space="0" w:color="auto"/>
            <w:bottom w:val="none" w:sz="0" w:space="0" w:color="auto"/>
            <w:right w:val="none" w:sz="0" w:space="0" w:color="auto"/>
          </w:divBdr>
        </w:div>
        <w:div w:id="950431460">
          <w:marLeft w:val="0"/>
          <w:marRight w:val="0"/>
          <w:marTop w:val="0"/>
          <w:marBottom w:val="0"/>
          <w:divBdr>
            <w:top w:val="none" w:sz="0" w:space="0" w:color="auto"/>
            <w:left w:val="none" w:sz="0" w:space="0" w:color="auto"/>
            <w:bottom w:val="none" w:sz="0" w:space="0" w:color="auto"/>
            <w:right w:val="none" w:sz="0" w:space="0" w:color="auto"/>
          </w:divBdr>
        </w:div>
        <w:div w:id="1316647510">
          <w:marLeft w:val="0"/>
          <w:marRight w:val="0"/>
          <w:marTop w:val="0"/>
          <w:marBottom w:val="0"/>
          <w:divBdr>
            <w:top w:val="none" w:sz="0" w:space="0" w:color="auto"/>
            <w:left w:val="none" w:sz="0" w:space="0" w:color="auto"/>
            <w:bottom w:val="none" w:sz="0" w:space="0" w:color="auto"/>
            <w:right w:val="none" w:sz="0" w:space="0" w:color="auto"/>
          </w:divBdr>
        </w:div>
        <w:div w:id="2046520232">
          <w:marLeft w:val="0"/>
          <w:marRight w:val="0"/>
          <w:marTop w:val="0"/>
          <w:marBottom w:val="0"/>
          <w:divBdr>
            <w:top w:val="none" w:sz="0" w:space="0" w:color="auto"/>
            <w:left w:val="none" w:sz="0" w:space="0" w:color="auto"/>
            <w:bottom w:val="none" w:sz="0" w:space="0" w:color="auto"/>
            <w:right w:val="none" w:sz="0" w:space="0" w:color="auto"/>
          </w:divBdr>
        </w:div>
        <w:div w:id="734623155">
          <w:marLeft w:val="0"/>
          <w:marRight w:val="0"/>
          <w:marTop w:val="0"/>
          <w:marBottom w:val="0"/>
          <w:divBdr>
            <w:top w:val="none" w:sz="0" w:space="0" w:color="auto"/>
            <w:left w:val="none" w:sz="0" w:space="0" w:color="auto"/>
            <w:bottom w:val="none" w:sz="0" w:space="0" w:color="auto"/>
            <w:right w:val="none" w:sz="0" w:space="0" w:color="auto"/>
          </w:divBdr>
        </w:div>
        <w:div w:id="22872954">
          <w:marLeft w:val="0"/>
          <w:marRight w:val="0"/>
          <w:marTop w:val="0"/>
          <w:marBottom w:val="0"/>
          <w:divBdr>
            <w:top w:val="none" w:sz="0" w:space="0" w:color="auto"/>
            <w:left w:val="none" w:sz="0" w:space="0" w:color="auto"/>
            <w:bottom w:val="none" w:sz="0" w:space="0" w:color="auto"/>
            <w:right w:val="none" w:sz="0" w:space="0" w:color="auto"/>
          </w:divBdr>
        </w:div>
        <w:div w:id="1641301573">
          <w:marLeft w:val="0"/>
          <w:marRight w:val="0"/>
          <w:marTop w:val="0"/>
          <w:marBottom w:val="0"/>
          <w:divBdr>
            <w:top w:val="none" w:sz="0" w:space="0" w:color="auto"/>
            <w:left w:val="none" w:sz="0" w:space="0" w:color="auto"/>
            <w:bottom w:val="none" w:sz="0" w:space="0" w:color="auto"/>
            <w:right w:val="none" w:sz="0" w:space="0" w:color="auto"/>
          </w:divBdr>
        </w:div>
        <w:div w:id="1842625684">
          <w:marLeft w:val="0"/>
          <w:marRight w:val="0"/>
          <w:marTop w:val="0"/>
          <w:marBottom w:val="0"/>
          <w:divBdr>
            <w:top w:val="none" w:sz="0" w:space="0" w:color="auto"/>
            <w:left w:val="none" w:sz="0" w:space="0" w:color="auto"/>
            <w:bottom w:val="none" w:sz="0" w:space="0" w:color="auto"/>
            <w:right w:val="none" w:sz="0" w:space="0" w:color="auto"/>
          </w:divBdr>
        </w:div>
        <w:div w:id="160657595">
          <w:marLeft w:val="0"/>
          <w:marRight w:val="0"/>
          <w:marTop w:val="0"/>
          <w:marBottom w:val="0"/>
          <w:divBdr>
            <w:top w:val="none" w:sz="0" w:space="0" w:color="auto"/>
            <w:left w:val="none" w:sz="0" w:space="0" w:color="auto"/>
            <w:bottom w:val="none" w:sz="0" w:space="0" w:color="auto"/>
            <w:right w:val="none" w:sz="0" w:space="0" w:color="auto"/>
          </w:divBdr>
        </w:div>
        <w:div w:id="1751191704">
          <w:marLeft w:val="0"/>
          <w:marRight w:val="0"/>
          <w:marTop w:val="0"/>
          <w:marBottom w:val="0"/>
          <w:divBdr>
            <w:top w:val="none" w:sz="0" w:space="0" w:color="auto"/>
            <w:left w:val="none" w:sz="0" w:space="0" w:color="auto"/>
            <w:bottom w:val="none" w:sz="0" w:space="0" w:color="auto"/>
            <w:right w:val="none" w:sz="0" w:space="0" w:color="auto"/>
          </w:divBdr>
        </w:div>
        <w:div w:id="678507725">
          <w:marLeft w:val="0"/>
          <w:marRight w:val="0"/>
          <w:marTop w:val="0"/>
          <w:marBottom w:val="0"/>
          <w:divBdr>
            <w:top w:val="none" w:sz="0" w:space="0" w:color="auto"/>
            <w:left w:val="none" w:sz="0" w:space="0" w:color="auto"/>
            <w:bottom w:val="none" w:sz="0" w:space="0" w:color="auto"/>
            <w:right w:val="none" w:sz="0" w:space="0" w:color="auto"/>
          </w:divBdr>
        </w:div>
        <w:div w:id="629701895">
          <w:marLeft w:val="0"/>
          <w:marRight w:val="0"/>
          <w:marTop w:val="0"/>
          <w:marBottom w:val="0"/>
          <w:divBdr>
            <w:top w:val="none" w:sz="0" w:space="0" w:color="auto"/>
            <w:left w:val="none" w:sz="0" w:space="0" w:color="auto"/>
            <w:bottom w:val="none" w:sz="0" w:space="0" w:color="auto"/>
            <w:right w:val="none" w:sz="0" w:space="0" w:color="auto"/>
          </w:divBdr>
        </w:div>
        <w:div w:id="581988620">
          <w:marLeft w:val="0"/>
          <w:marRight w:val="0"/>
          <w:marTop w:val="0"/>
          <w:marBottom w:val="0"/>
          <w:divBdr>
            <w:top w:val="none" w:sz="0" w:space="0" w:color="auto"/>
            <w:left w:val="none" w:sz="0" w:space="0" w:color="auto"/>
            <w:bottom w:val="none" w:sz="0" w:space="0" w:color="auto"/>
            <w:right w:val="none" w:sz="0" w:space="0" w:color="auto"/>
          </w:divBdr>
        </w:div>
        <w:div w:id="1898395460">
          <w:marLeft w:val="0"/>
          <w:marRight w:val="0"/>
          <w:marTop w:val="0"/>
          <w:marBottom w:val="0"/>
          <w:divBdr>
            <w:top w:val="none" w:sz="0" w:space="0" w:color="auto"/>
            <w:left w:val="none" w:sz="0" w:space="0" w:color="auto"/>
            <w:bottom w:val="none" w:sz="0" w:space="0" w:color="auto"/>
            <w:right w:val="none" w:sz="0" w:space="0" w:color="auto"/>
          </w:divBdr>
        </w:div>
        <w:div w:id="1020618960">
          <w:marLeft w:val="0"/>
          <w:marRight w:val="0"/>
          <w:marTop w:val="0"/>
          <w:marBottom w:val="0"/>
          <w:divBdr>
            <w:top w:val="none" w:sz="0" w:space="0" w:color="auto"/>
            <w:left w:val="none" w:sz="0" w:space="0" w:color="auto"/>
            <w:bottom w:val="none" w:sz="0" w:space="0" w:color="auto"/>
            <w:right w:val="none" w:sz="0" w:space="0" w:color="auto"/>
          </w:divBdr>
        </w:div>
        <w:div w:id="492256239">
          <w:marLeft w:val="0"/>
          <w:marRight w:val="0"/>
          <w:marTop w:val="0"/>
          <w:marBottom w:val="0"/>
          <w:divBdr>
            <w:top w:val="none" w:sz="0" w:space="0" w:color="auto"/>
            <w:left w:val="none" w:sz="0" w:space="0" w:color="auto"/>
            <w:bottom w:val="none" w:sz="0" w:space="0" w:color="auto"/>
            <w:right w:val="none" w:sz="0" w:space="0" w:color="auto"/>
          </w:divBdr>
        </w:div>
        <w:div w:id="1182357209">
          <w:marLeft w:val="0"/>
          <w:marRight w:val="0"/>
          <w:marTop w:val="0"/>
          <w:marBottom w:val="0"/>
          <w:divBdr>
            <w:top w:val="none" w:sz="0" w:space="0" w:color="auto"/>
            <w:left w:val="none" w:sz="0" w:space="0" w:color="auto"/>
            <w:bottom w:val="none" w:sz="0" w:space="0" w:color="auto"/>
            <w:right w:val="none" w:sz="0" w:space="0" w:color="auto"/>
          </w:divBdr>
        </w:div>
        <w:div w:id="1423182934">
          <w:marLeft w:val="0"/>
          <w:marRight w:val="0"/>
          <w:marTop w:val="0"/>
          <w:marBottom w:val="0"/>
          <w:divBdr>
            <w:top w:val="none" w:sz="0" w:space="0" w:color="auto"/>
            <w:left w:val="none" w:sz="0" w:space="0" w:color="auto"/>
            <w:bottom w:val="none" w:sz="0" w:space="0" w:color="auto"/>
            <w:right w:val="none" w:sz="0" w:space="0" w:color="auto"/>
          </w:divBdr>
        </w:div>
        <w:div w:id="1294873578">
          <w:marLeft w:val="0"/>
          <w:marRight w:val="0"/>
          <w:marTop w:val="0"/>
          <w:marBottom w:val="0"/>
          <w:divBdr>
            <w:top w:val="none" w:sz="0" w:space="0" w:color="auto"/>
            <w:left w:val="none" w:sz="0" w:space="0" w:color="auto"/>
            <w:bottom w:val="none" w:sz="0" w:space="0" w:color="auto"/>
            <w:right w:val="none" w:sz="0" w:space="0" w:color="auto"/>
          </w:divBdr>
        </w:div>
        <w:div w:id="771583986">
          <w:marLeft w:val="0"/>
          <w:marRight w:val="0"/>
          <w:marTop w:val="0"/>
          <w:marBottom w:val="0"/>
          <w:divBdr>
            <w:top w:val="none" w:sz="0" w:space="0" w:color="auto"/>
            <w:left w:val="none" w:sz="0" w:space="0" w:color="auto"/>
            <w:bottom w:val="none" w:sz="0" w:space="0" w:color="auto"/>
            <w:right w:val="none" w:sz="0" w:space="0" w:color="auto"/>
          </w:divBdr>
        </w:div>
        <w:div w:id="1253705831">
          <w:marLeft w:val="0"/>
          <w:marRight w:val="0"/>
          <w:marTop w:val="0"/>
          <w:marBottom w:val="0"/>
          <w:divBdr>
            <w:top w:val="none" w:sz="0" w:space="0" w:color="auto"/>
            <w:left w:val="none" w:sz="0" w:space="0" w:color="auto"/>
            <w:bottom w:val="none" w:sz="0" w:space="0" w:color="auto"/>
            <w:right w:val="none" w:sz="0" w:space="0" w:color="auto"/>
          </w:divBdr>
        </w:div>
        <w:div w:id="1797530050">
          <w:marLeft w:val="0"/>
          <w:marRight w:val="0"/>
          <w:marTop w:val="0"/>
          <w:marBottom w:val="0"/>
          <w:divBdr>
            <w:top w:val="none" w:sz="0" w:space="0" w:color="auto"/>
            <w:left w:val="none" w:sz="0" w:space="0" w:color="auto"/>
            <w:bottom w:val="none" w:sz="0" w:space="0" w:color="auto"/>
            <w:right w:val="none" w:sz="0" w:space="0" w:color="auto"/>
          </w:divBdr>
        </w:div>
        <w:div w:id="686059472">
          <w:marLeft w:val="0"/>
          <w:marRight w:val="0"/>
          <w:marTop w:val="0"/>
          <w:marBottom w:val="0"/>
          <w:divBdr>
            <w:top w:val="none" w:sz="0" w:space="0" w:color="auto"/>
            <w:left w:val="none" w:sz="0" w:space="0" w:color="auto"/>
            <w:bottom w:val="none" w:sz="0" w:space="0" w:color="auto"/>
            <w:right w:val="none" w:sz="0" w:space="0" w:color="auto"/>
          </w:divBdr>
        </w:div>
        <w:div w:id="608706808">
          <w:marLeft w:val="0"/>
          <w:marRight w:val="0"/>
          <w:marTop w:val="0"/>
          <w:marBottom w:val="0"/>
          <w:divBdr>
            <w:top w:val="none" w:sz="0" w:space="0" w:color="auto"/>
            <w:left w:val="none" w:sz="0" w:space="0" w:color="auto"/>
            <w:bottom w:val="none" w:sz="0" w:space="0" w:color="auto"/>
            <w:right w:val="none" w:sz="0" w:space="0" w:color="auto"/>
          </w:divBdr>
        </w:div>
        <w:div w:id="1620333923">
          <w:marLeft w:val="0"/>
          <w:marRight w:val="0"/>
          <w:marTop w:val="0"/>
          <w:marBottom w:val="0"/>
          <w:divBdr>
            <w:top w:val="none" w:sz="0" w:space="0" w:color="auto"/>
            <w:left w:val="none" w:sz="0" w:space="0" w:color="auto"/>
            <w:bottom w:val="none" w:sz="0" w:space="0" w:color="auto"/>
            <w:right w:val="none" w:sz="0" w:space="0" w:color="auto"/>
          </w:divBdr>
        </w:div>
        <w:div w:id="1486117911">
          <w:marLeft w:val="0"/>
          <w:marRight w:val="0"/>
          <w:marTop w:val="0"/>
          <w:marBottom w:val="0"/>
          <w:divBdr>
            <w:top w:val="none" w:sz="0" w:space="0" w:color="auto"/>
            <w:left w:val="none" w:sz="0" w:space="0" w:color="auto"/>
            <w:bottom w:val="none" w:sz="0" w:space="0" w:color="auto"/>
            <w:right w:val="none" w:sz="0" w:space="0" w:color="auto"/>
          </w:divBdr>
        </w:div>
        <w:div w:id="107285880">
          <w:marLeft w:val="0"/>
          <w:marRight w:val="0"/>
          <w:marTop w:val="0"/>
          <w:marBottom w:val="0"/>
          <w:divBdr>
            <w:top w:val="none" w:sz="0" w:space="0" w:color="auto"/>
            <w:left w:val="none" w:sz="0" w:space="0" w:color="auto"/>
            <w:bottom w:val="none" w:sz="0" w:space="0" w:color="auto"/>
            <w:right w:val="none" w:sz="0" w:space="0" w:color="auto"/>
          </w:divBdr>
        </w:div>
      </w:divsChild>
    </w:div>
    <w:div w:id="1417819346">
      <w:bodyDiv w:val="1"/>
      <w:marLeft w:val="0"/>
      <w:marRight w:val="0"/>
      <w:marTop w:val="0"/>
      <w:marBottom w:val="0"/>
      <w:divBdr>
        <w:top w:val="none" w:sz="0" w:space="0" w:color="auto"/>
        <w:left w:val="none" w:sz="0" w:space="0" w:color="auto"/>
        <w:bottom w:val="none" w:sz="0" w:space="0" w:color="auto"/>
        <w:right w:val="none" w:sz="0" w:space="0" w:color="auto"/>
      </w:divBdr>
      <w:divsChild>
        <w:div w:id="572472178">
          <w:marLeft w:val="0"/>
          <w:marRight w:val="0"/>
          <w:marTop w:val="0"/>
          <w:marBottom w:val="0"/>
          <w:divBdr>
            <w:top w:val="none" w:sz="0" w:space="0" w:color="auto"/>
            <w:left w:val="none" w:sz="0" w:space="0" w:color="auto"/>
            <w:bottom w:val="none" w:sz="0" w:space="0" w:color="auto"/>
            <w:right w:val="none" w:sz="0" w:space="0" w:color="auto"/>
          </w:divBdr>
        </w:div>
        <w:div w:id="754397774">
          <w:marLeft w:val="0"/>
          <w:marRight w:val="0"/>
          <w:marTop w:val="0"/>
          <w:marBottom w:val="0"/>
          <w:divBdr>
            <w:top w:val="none" w:sz="0" w:space="0" w:color="auto"/>
            <w:left w:val="none" w:sz="0" w:space="0" w:color="auto"/>
            <w:bottom w:val="none" w:sz="0" w:space="0" w:color="auto"/>
            <w:right w:val="none" w:sz="0" w:space="0" w:color="auto"/>
          </w:divBdr>
        </w:div>
        <w:div w:id="1737512313">
          <w:marLeft w:val="0"/>
          <w:marRight w:val="0"/>
          <w:marTop w:val="0"/>
          <w:marBottom w:val="0"/>
          <w:divBdr>
            <w:top w:val="none" w:sz="0" w:space="0" w:color="auto"/>
            <w:left w:val="none" w:sz="0" w:space="0" w:color="auto"/>
            <w:bottom w:val="none" w:sz="0" w:space="0" w:color="auto"/>
            <w:right w:val="none" w:sz="0" w:space="0" w:color="auto"/>
          </w:divBdr>
        </w:div>
        <w:div w:id="584458018">
          <w:marLeft w:val="0"/>
          <w:marRight w:val="0"/>
          <w:marTop w:val="0"/>
          <w:marBottom w:val="0"/>
          <w:divBdr>
            <w:top w:val="none" w:sz="0" w:space="0" w:color="auto"/>
            <w:left w:val="none" w:sz="0" w:space="0" w:color="auto"/>
            <w:bottom w:val="none" w:sz="0" w:space="0" w:color="auto"/>
            <w:right w:val="none" w:sz="0" w:space="0" w:color="auto"/>
          </w:divBdr>
        </w:div>
        <w:div w:id="1865821285">
          <w:marLeft w:val="0"/>
          <w:marRight w:val="0"/>
          <w:marTop w:val="0"/>
          <w:marBottom w:val="0"/>
          <w:divBdr>
            <w:top w:val="none" w:sz="0" w:space="0" w:color="auto"/>
            <w:left w:val="none" w:sz="0" w:space="0" w:color="auto"/>
            <w:bottom w:val="none" w:sz="0" w:space="0" w:color="auto"/>
            <w:right w:val="none" w:sz="0" w:space="0" w:color="auto"/>
          </w:divBdr>
        </w:div>
        <w:div w:id="841895336">
          <w:marLeft w:val="0"/>
          <w:marRight w:val="0"/>
          <w:marTop w:val="0"/>
          <w:marBottom w:val="0"/>
          <w:divBdr>
            <w:top w:val="none" w:sz="0" w:space="0" w:color="auto"/>
            <w:left w:val="none" w:sz="0" w:space="0" w:color="auto"/>
            <w:bottom w:val="none" w:sz="0" w:space="0" w:color="auto"/>
            <w:right w:val="none" w:sz="0" w:space="0" w:color="auto"/>
          </w:divBdr>
        </w:div>
        <w:div w:id="1429618742">
          <w:marLeft w:val="0"/>
          <w:marRight w:val="0"/>
          <w:marTop w:val="0"/>
          <w:marBottom w:val="0"/>
          <w:divBdr>
            <w:top w:val="none" w:sz="0" w:space="0" w:color="auto"/>
            <w:left w:val="none" w:sz="0" w:space="0" w:color="auto"/>
            <w:bottom w:val="none" w:sz="0" w:space="0" w:color="auto"/>
            <w:right w:val="none" w:sz="0" w:space="0" w:color="auto"/>
          </w:divBdr>
        </w:div>
        <w:div w:id="2119988423">
          <w:marLeft w:val="0"/>
          <w:marRight w:val="0"/>
          <w:marTop w:val="0"/>
          <w:marBottom w:val="0"/>
          <w:divBdr>
            <w:top w:val="none" w:sz="0" w:space="0" w:color="auto"/>
            <w:left w:val="none" w:sz="0" w:space="0" w:color="auto"/>
            <w:bottom w:val="none" w:sz="0" w:space="0" w:color="auto"/>
            <w:right w:val="none" w:sz="0" w:space="0" w:color="auto"/>
          </w:divBdr>
        </w:div>
        <w:div w:id="848108154">
          <w:marLeft w:val="0"/>
          <w:marRight w:val="0"/>
          <w:marTop w:val="0"/>
          <w:marBottom w:val="0"/>
          <w:divBdr>
            <w:top w:val="none" w:sz="0" w:space="0" w:color="auto"/>
            <w:left w:val="none" w:sz="0" w:space="0" w:color="auto"/>
            <w:bottom w:val="none" w:sz="0" w:space="0" w:color="auto"/>
            <w:right w:val="none" w:sz="0" w:space="0" w:color="auto"/>
          </w:divBdr>
        </w:div>
        <w:div w:id="1321738657">
          <w:marLeft w:val="0"/>
          <w:marRight w:val="0"/>
          <w:marTop w:val="0"/>
          <w:marBottom w:val="0"/>
          <w:divBdr>
            <w:top w:val="none" w:sz="0" w:space="0" w:color="auto"/>
            <w:left w:val="none" w:sz="0" w:space="0" w:color="auto"/>
            <w:bottom w:val="none" w:sz="0" w:space="0" w:color="auto"/>
            <w:right w:val="none" w:sz="0" w:space="0" w:color="auto"/>
          </w:divBdr>
        </w:div>
        <w:div w:id="1093941158">
          <w:marLeft w:val="0"/>
          <w:marRight w:val="0"/>
          <w:marTop w:val="0"/>
          <w:marBottom w:val="0"/>
          <w:divBdr>
            <w:top w:val="none" w:sz="0" w:space="0" w:color="auto"/>
            <w:left w:val="none" w:sz="0" w:space="0" w:color="auto"/>
            <w:bottom w:val="none" w:sz="0" w:space="0" w:color="auto"/>
            <w:right w:val="none" w:sz="0" w:space="0" w:color="auto"/>
          </w:divBdr>
        </w:div>
        <w:div w:id="2055695851">
          <w:marLeft w:val="0"/>
          <w:marRight w:val="0"/>
          <w:marTop w:val="0"/>
          <w:marBottom w:val="0"/>
          <w:divBdr>
            <w:top w:val="none" w:sz="0" w:space="0" w:color="auto"/>
            <w:left w:val="none" w:sz="0" w:space="0" w:color="auto"/>
            <w:bottom w:val="none" w:sz="0" w:space="0" w:color="auto"/>
            <w:right w:val="none" w:sz="0" w:space="0" w:color="auto"/>
          </w:divBdr>
        </w:div>
        <w:div w:id="1791512144">
          <w:marLeft w:val="0"/>
          <w:marRight w:val="0"/>
          <w:marTop w:val="0"/>
          <w:marBottom w:val="0"/>
          <w:divBdr>
            <w:top w:val="none" w:sz="0" w:space="0" w:color="auto"/>
            <w:left w:val="none" w:sz="0" w:space="0" w:color="auto"/>
            <w:bottom w:val="none" w:sz="0" w:space="0" w:color="auto"/>
            <w:right w:val="none" w:sz="0" w:space="0" w:color="auto"/>
          </w:divBdr>
        </w:div>
        <w:div w:id="1609040666">
          <w:marLeft w:val="0"/>
          <w:marRight w:val="0"/>
          <w:marTop w:val="0"/>
          <w:marBottom w:val="0"/>
          <w:divBdr>
            <w:top w:val="none" w:sz="0" w:space="0" w:color="auto"/>
            <w:left w:val="none" w:sz="0" w:space="0" w:color="auto"/>
            <w:bottom w:val="none" w:sz="0" w:space="0" w:color="auto"/>
            <w:right w:val="none" w:sz="0" w:space="0" w:color="auto"/>
          </w:divBdr>
        </w:div>
        <w:div w:id="1951886566">
          <w:marLeft w:val="0"/>
          <w:marRight w:val="0"/>
          <w:marTop w:val="0"/>
          <w:marBottom w:val="0"/>
          <w:divBdr>
            <w:top w:val="none" w:sz="0" w:space="0" w:color="auto"/>
            <w:left w:val="none" w:sz="0" w:space="0" w:color="auto"/>
            <w:bottom w:val="none" w:sz="0" w:space="0" w:color="auto"/>
            <w:right w:val="none" w:sz="0" w:space="0" w:color="auto"/>
          </w:divBdr>
        </w:div>
        <w:div w:id="1441072496">
          <w:marLeft w:val="0"/>
          <w:marRight w:val="0"/>
          <w:marTop w:val="0"/>
          <w:marBottom w:val="0"/>
          <w:divBdr>
            <w:top w:val="none" w:sz="0" w:space="0" w:color="auto"/>
            <w:left w:val="none" w:sz="0" w:space="0" w:color="auto"/>
            <w:bottom w:val="none" w:sz="0" w:space="0" w:color="auto"/>
            <w:right w:val="none" w:sz="0" w:space="0" w:color="auto"/>
          </w:divBdr>
        </w:div>
        <w:div w:id="323431809">
          <w:marLeft w:val="0"/>
          <w:marRight w:val="0"/>
          <w:marTop w:val="0"/>
          <w:marBottom w:val="0"/>
          <w:divBdr>
            <w:top w:val="none" w:sz="0" w:space="0" w:color="auto"/>
            <w:left w:val="none" w:sz="0" w:space="0" w:color="auto"/>
            <w:bottom w:val="none" w:sz="0" w:space="0" w:color="auto"/>
            <w:right w:val="none" w:sz="0" w:space="0" w:color="auto"/>
          </w:divBdr>
        </w:div>
        <w:div w:id="1235582114">
          <w:marLeft w:val="0"/>
          <w:marRight w:val="0"/>
          <w:marTop w:val="0"/>
          <w:marBottom w:val="0"/>
          <w:divBdr>
            <w:top w:val="none" w:sz="0" w:space="0" w:color="auto"/>
            <w:left w:val="none" w:sz="0" w:space="0" w:color="auto"/>
            <w:bottom w:val="none" w:sz="0" w:space="0" w:color="auto"/>
            <w:right w:val="none" w:sz="0" w:space="0" w:color="auto"/>
          </w:divBdr>
        </w:div>
        <w:div w:id="287245906">
          <w:marLeft w:val="0"/>
          <w:marRight w:val="0"/>
          <w:marTop w:val="0"/>
          <w:marBottom w:val="0"/>
          <w:divBdr>
            <w:top w:val="none" w:sz="0" w:space="0" w:color="auto"/>
            <w:left w:val="none" w:sz="0" w:space="0" w:color="auto"/>
            <w:bottom w:val="none" w:sz="0" w:space="0" w:color="auto"/>
            <w:right w:val="none" w:sz="0" w:space="0" w:color="auto"/>
          </w:divBdr>
        </w:div>
        <w:div w:id="2005935256">
          <w:marLeft w:val="0"/>
          <w:marRight w:val="0"/>
          <w:marTop w:val="0"/>
          <w:marBottom w:val="0"/>
          <w:divBdr>
            <w:top w:val="none" w:sz="0" w:space="0" w:color="auto"/>
            <w:left w:val="none" w:sz="0" w:space="0" w:color="auto"/>
            <w:bottom w:val="none" w:sz="0" w:space="0" w:color="auto"/>
            <w:right w:val="none" w:sz="0" w:space="0" w:color="auto"/>
          </w:divBdr>
        </w:div>
        <w:div w:id="1819027604">
          <w:marLeft w:val="0"/>
          <w:marRight w:val="0"/>
          <w:marTop w:val="0"/>
          <w:marBottom w:val="0"/>
          <w:divBdr>
            <w:top w:val="none" w:sz="0" w:space="0" w:color="auto"/>
            <w:left w:val="none" w:sz="0" w:space="0" w:color="auto"/>
            <w:bottom w:val="none" w:sz="0" w:space="0" w:color="auto"/>
            <w:right w:val="none" w:sz="0" w:space="0" w:color="auto"/>
          </w:divBdr>
        </w:div>
        <w:div w:id="1390691552">
          <w:marLeft w:val="0"/>
          <w:marRight w:val="0"/>
          <w:marTop w:val="0"/>
          <w:marBottom w:val="0"/>
          <w:divBdr>
            <w:top w:val="none" w:sz="0" w:space="0" w:color="auto"/>
            <w:left w:val="none" w:sz="0" w:space="0" w:color="auto"/>
            <w:bottom w:val="none" w:sz="0" w:space="0" w:color="auto"/>
            <w:right w:val="none" w:sz="0" w:space="0" w:color="auto"/>
          </w:divBdr>
        </w:div>
        <w:div w:id="1762490039">
          <w:marLeft w:val="0"/>
          <w:marRight w:val="0"/>
          <w:marTop w:val="0"/>
          <w:marBottom w:val="0"/>
          <w:divBdr>
            <w:top w:val="none" w:sz="0" w:space="0" w:color="auto"/>
            <w:left w:val="none" w:sz="0" w:space="0" w:color="auto"/>
            <w:bottom w:val="none" w:sz="0" w:space="0" w:color="auto"/>
            <w:right w:val="none" w:sz="0" w:space="0" w:color="auto"/>
          </w:divBdr>
        </w:div>
        <w:div w:id="76176903">
          <w:marLeft w:val="0"/>
          <w:marRight w:val="0"/>
          <w:marTop w:val="0"/>
          <w:marBottom w:val="0"/>
          <w:divBdr>
            <w:top w:val="none" w:sz="0" w:space="0" w:color="auto"/>
            <w:left w:val="none" w:sz="0" w:space="0" w:color="auto"/>
            <w:bottom w:val="none" w:sz="0" w:space="0" w:color="auto"/>
            <w:right w:val="none" w:sz="0" w:space="0" w:color="auto"/>
          </w:divBdr>
        </w:div>
        <w:div w:id="1420567526">
          <w:marLeft w:val="0"/>
          <w:marRight w:val="0"/>
          <w:marTop w:val="0"/>
          <w:marBottom w:val="0"/>
          <w:divBdr>
            <w:top w:val="none" w:sz="0" w:space="0" w:color="auto"/>
            <w:left w:val="none" w:sz="0" w:space="0" w:color="auto"/>
            <w:bottom w:val="none" w:sz="0" w:space="0" w:color="auto"/>
            <w:right w:val="none" w:sz="0" w:space="0" w:color="auto"/>
          </w:divBdr>
        </w:div>
        <w:div w:id="867110603">
          <w:marLeft w:val="0"/>
          <w:marRight w:val="0"/>
          <w:marTop w:val="0"/>
          <w:marBottom w:val="0"/>
          <w:divBdr>
            <w:top w:val="none" w:sz="0" w:space="0" w:color="auto"/>
            <w:left w:val="none" w:sz="0" w:space="0" w:color="auto"/>
            <w:bottom w:val="none" w:sz="0" w:space="0" w:color="auto"/>
            <w:right w:val="none" w:sz="0" w:space="0" w:color="auto"/>
          </w:divBdr>
        </w:div>
        <w:div w:id="143012622">
          <w:marLeft w:val="0"/>
          <w:marRight w:val="0"/>
          <w:marTop w:val="0"/>
          <w:marBottom w:val="0"/>
          <w:divBdr>
            <w:top w:val="none" w:sz="0" w:space="0" w:color="auto"/>
            <w:left w:val="none" w:sz="0" w:space="0" w:color="auto"/>
            <w:bottom w:val="none" w:sz="0" w:space="0" w:color="auto"/>
            <w:right w:val="none" w:sz="0" w:space="0" w:color="auto"/>
          </w:divBdr>
        </w:div>
        <w:div w:id="943345788">
          <w:marLeft w:val="0"/>
          <w:marRight w:val="0"/>
          <w:marTop w:val="0"/>
          <w:marBottom w:val="0"/>
          <w:divBdr>
            <w:top w:val="none" w:sz="0" w:space="0" w:color="auto"/>
            <w:left w:val="none" w:sz="0" w:space="0" w:color="auto"/>
            <w:bottom w:val="none" w:sz="0" w:space="0" w:color="auto"/>
            <w:right w:val="none" w:sz="0" w:space="0" w:color="auto"/>
          </w:divBdr>
        </w:div>
        <w:div w:id="984241646">
          <w:marLeft w:val="0"/>
          <w:marRight w:val="0"/>
          <w:marTop w:val="0"/>
          <w:marBottom w:val="0"/>
          <w:divBdr>
            <w:top w:val="none" w:sz="0" w:space="0" w:color="auto"/>
            <w:left w:val="none" w:sz="0" w:space="0" w:color="auto"/>
            <w:bottom w:val="none" w:sz="0" w:space="0" w:color="auto"/>
            <w:right w:val="none" w:sz="0" w:space="0" w:color="auto"/>
          </w:divBdr>
        </w:div>
        <w:div w:id="953252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A4704-381F-43CC-B20E-B29411B3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25615</Words>
  <Characters>146012</Characters>
  <Application>Microsoft Office Word</Application>
  <DocSecurity>0</DocSecurity>
  <Lines>1216</Lines>
  <Paragraphs>342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Clearstream</Company>
  <LinksUpToDate>false</LinksUpToDate>
  <CharactersWithSpaces>171285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Lorenzo Italo</dc:creator>
  <dc:description>23.07.2003 A. Stähler - Version V5b</dc:description>
  <cp:lastModifiedBy>di Lorenzo Italo</cp:lastModifiedBy>
  <cp:revision>3</cp:revision>
  <cp:lastPrinted>2015-04-23T13:40:00Z</cp:lastPrinted>
  <dcterms:created xsi:type="dcterms:W3CDTF">2015-04-27T16:05:00Z</dcterms:created>
  <dcterms:modified xsi:type="dcterms:W3CDTF">2015-04-27T16:27:00Z</dcterms:modified>
</cp:coreProperties>
</file>