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E084" w14:textId="481A6375" w:rsidR="00F83DC8" w:rsidRPr="00250FE6" w:rsidRDefault="00202478" w:rsidP="00202478">
      <w:pPr>
        <w:jc w:val="right"/>
        <w:rPr>
          <w:b/>
          <w:bCs/>
          <w:lang w:val="en-US"/>
        </w:rPr>
      </w:pPr>
      <w:r w:rsidRPr="00250FE6">
        <w:rPr>
          <w:b/>
          <w:bCs/>
          <w:lang w:val="en-US"/>
        </w:rPr>
        <w:t>16 August 2023</w:t>
      </w:r>
    </w:p>
    <w:p w14:paraId="3766566C" w14:textId="77777777" w:rsidR="00202478" w:rsidRPr="00250FE6" w:rsidRDefault="00202478" w:rsidP="00202478">
      <w:pPr>
        <w:jc w:val="right"/>
        <w:rPr>
          <w:b/>
          <w:bCs/>
          <w:lang w:val="en-US"/>
        </w:rPr>
      </w:pPr>
    </w:p>
    <w:p w14:paraId="730B87E0" w14:textId="577D9E1D" w:rsidR="00202478" w:rsidRDefault="00202478" w:rsidP="00202478">
      <w:pPr>
        <w:jc w:val="center"/>
        <w:rPr>
          <w:rFonts w:cs="Arial"/>
          <w:b/>
          <w:bCs/>
          <w:kern w:val="28"/>
          <w:sz w:val="28"/>
          <w:szCs w:val="28"/>
          <w:lang w:val="en-GB"/>
        </w:rPr>
      </w:pPr>
      <w:r>
        <w:rPr>
          <w:b/>
          <w:sz w:val="28"/>
          <w:szCs w:val="28"/>
          <w:lang w:val="en-GB"/>
        </w:rPr>
        <w:t xml:space="preserve">Response to the EBA consultation on </w:t>
      </w:r>
      <w:r>
        <w:rPr>
          <w:rFonts w:cs="Arial"/>
          <w:b/>
          <w:bCs/>
          <w:kern w:val="28"/>
          <w:sz w:val="28"/>
          <w:szCs w:val="28"/>
          <w:lang w:val="en-GB"/>
        </w:rPr>
        <w:t>Amendments to ITS on Disclosure and Reporting of MREL and TLAC</w:t>
      </w:r>
    </w:p>
    <w:p w14:paraId="1C6880EE" w14:textId="77777777" w:rsidR="00202478" w:rsidRDefault="00202478" w:rsidP="00202478">
      <w:pPr>
        <w:rPr>
          <w:sz w:val="24"/>
          <w:szCs w:val="24"/>
          <w:lang w:val="en-US"/>
        </w:rPr>
      </w:pPr>
    </w:p>
    <w:p w14:paraId="2283DF2A" w14:textId="6C0E3BAF" w:rsidR="00202478" w:rsidRPr="00202478" w:rsidRDefault="00202478" w:rsidP="00202478">
      <w:pPr>
        <w:rPr>
          <w:rStyle w:val="Fett"/>
          <w:rFonts w:cs="Arial"/>
          <w:kern w:val="28"/>
          <w:sz w:val="26"/>
          <w:szCs w:val="26"/>
          <w:u w:val="single"/>
          <w:lang w:val="en-GB"/>
        </w:rPr>
      </w:pPr>
      <w:r>
        <w:rPr>
          <w:b/>
          <w:sz w:val="26"/>
          <w:szCs w:val="26"/>
          <w:u w:val="single"/>
          <w:lang w:val="en-US"/>
        </w:rPr>
        <w:t>Questions</w:t>
      </w:r>
    </w:p>
    <w:p w14:paraId="3815239A" w14:textId="77777777" w:rsidR="00202478" w:rsidRPr="00202478" w:rsidRDefault="00202478" w:rsidP="00202478">
      <w:pPr>
        <w:pStyle w:val="berschrift3"/>
        <w:tabs>
          <w:tab w:val="left" w:pos="720"/>
        </w:tabs>
        <w:rPr>
          <w:rFonts w:ascii="Inter" w:hAnsi="Inter"/>
          <w:b w:val="0"/>
          <w:i/>
          <w:color w:val="243F60" w:themeColor="accent1" w:themeShade="7F"/>
          <w:sz w:val="26"/>
          <w:szCs w:val="26"/>
          <w:lang w:val="en-US"/>
        </w:rPr>
      </w:pPr>
      <w:r>
        <w:rPr>
          <w:rStyle w:val="Fett"/>
          <w:rFonts w:ascii="Inter" w:hAnsi="Inter"/>
          <w:color w:val="000000"/>
          <w:sz w:val="26"/>
          <w:szCs w:val="26"/>
          <w:shd w:val="clear" w:color="auto" w:fill="FFFFFF"/>
          <w:lang w:val="en-GB"/>
        </w:rPr>
        <w:t>Q1:</w:t>
      </w:r>
      <w:r>
        <w:rPr>
          <w:rFonts w:ascii="Inter" w:hAnsi="Inter"/>
          <w:iCs/>
          <w:color w:val="000000"/>
          <w:sz w:val="26"/>
          <w:szCs w:val="26"/>
          <w:shd w:val="clear" w:color="auto" w:fill="FFFFFF"/>
          <w:lang w:val="en-GB"/>
        </w:rPr>
        <w:t> </w:t>
      </w:r>
      <w:r>
        <w:rPr>
          <w:rFonts w:ascii="Inter" w:hAnsi="Inter"/>
          <w:color w:val="000000"/>
          <w:sz w:val="26"/>
          <w:szCs w:val="26"/>
          <w:shd w:val="clear" w:color="auto" w:fill="FFFFFF"/>
          <w:lang w:val="en-GB"/>
        </w:rPr>
        <w:t xml:space="preserve">Comments on the overall proposal: a) Did you identify any issues regarding the representation of the policy framework for MREL and TLAC, including the representation of the </w:t>
      </w:r>
      <w:proofErr w:type="spellStart"/>
      <w:r>
        <w:rPr>
          <w:rFonts w:ascii="Inter" w:hAnsi="Inter"/>
          <w:color w:val="000000"/>
          <w:sz w:val="26"/>
          <w:szCs w:val="26"/>
          <w:shd w:val="clear" w:color="auto" w:fill="FFFFFF"/>
          <w:lang w:val="en-GB"/>
        </w:rPr>
        <w:t>‘daisy</w:t>
      </w:r>
      <w:proofErr w:type="spellEnd"/>
      <w:r>
        <w:rPr>
          <w:rFonts w:ascii="Inter" w:hAnsi="Inter"/>
          <w:color w:val="000000"/>
          <w:sz w:val="26"/>
          <w:szCs w:val="26"/>
          <w:shd w:val="clear" w:color="auto" w:fill="FFFFFF"/>
          <w:lang w:val="en-GB"/>
        </w:rPr>
        <w:t xml:space="preserve"> chain’ framework and the prior permission regime, in these ITS?</w:t>
      </w:r>
    </w:p>
    <w:tbl>
      <w:tblPr>
        <w:tblW w:w="10490" w:type="dxa"/>
        <w:tblInd w:w="-5" w:type="dxa"/>
        <w:tblCellMar>
          <w:left w:w="0" w:type="dxa"/>
          <w:right w:w="0" w:type="dxa"/>
        </w:tblCellMar>
        <w:tblLook w:val="04A0" w:firstRow="1" w:lastRow="0" w:firstColumn="1" w:lastColumn="0" w:noHBand="0" w:noVBand="1"/>
      </w:tblPr>
      <w:tblGrid>
        <w:gridCol w:w="709"/>
        <w:gridCol w:w="9781"/>
      </w:tblGrid>
      <w:tr w:rsidR="00202478" w14:paraId="68A2BFEC" w14:textId="77777777" w:rsidTr="0020247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03A084" w14:textId="77777777" w:rsidR="00202478" w:rsidRDefault="00202478">
            <w:pPr>
              <w:rPr>
                <w:i/>
                <w:sz w:val="26"/>
                <w:szCs w:val="26"/>
                <w:shd w:val="clear" w:color="auto" w:fill="FFFFFF"/>
                <w:lang w:val="en-GB"/>
              </w:rPr>
            </w:pPr>
          </w:p>
        </w:tc>
        <w:tc>
          <w:tcPr>
            <w:tcW w:w="97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31AC11" w14:textId="77777777" w:rsidR="00202478" w:rsidRDefault="00202478">
            <w:pPr>
              <w:pStyle w:val="Listenabsatz"/>
              <w:spacing w:line="256" w:lineRule="auto"/>
              <w:ind w:left="0"/>
              <w:rPr>
                <w:rFonts w:ascii="Inter" w:eastAsia="Calibri" w:hAnsi="Inter" w:cs="Times New Roman"/>
                <w:color w:val="303030"/>
                <w:sz w:val="24"/>
                <w:szCs w:val="24"/>
                <w:lang w:val="fr-BE" w:eastAsia="en-US"/>
              </w:rPr>
            </w:pPr>
            <w:r>
              <w:rPr>
                <w:sz w:val="24"/>
                <w:szCs w:val="24"/>
                <w:lang w:val="fr-BE"/>
              </w:rPr>
              <w:t>Yes</w:t>
            </w:r>
          </w:p>
        </w:tc>
      </w:tr>
      <w:tr w:rsidR="00202478" w14:paraId="3E98396C" w14:textId="77777777" w:rsidTr="00202478">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99FF8" w14:textId="77777777" w:rsidR="00202478" w:rsidRDefault="00202478">
            <w:pPr>
              <w:pStyle w:val="Listenabsatz"/>
              <w:spacing w:line="256" w:lineRule="auto"/>
              <w:ind w:left="0"/>
              <w:rPr>
                <w:b/>
                <w:bCs/>
                <w:sz w:val="24"/>
                <w:szCs w:val="24"/>
                <w:lang w:val="fr-BE"/>
              </w:rPr>
            </w:pPr>
          </w:p>
        </w:tc>
        <w:tc>
          <w:tcPr>
            <w:tcW w:w="9781" w:type="dxa"/>
            <w:tcBorders>
              <w:top w:val="nil"/>
              <w:left w:val="nil"/>
              <w:bottom w:val="single" w:sz="8" w:space="0" w:color="auto"/>
              <w:right w:val="single" w:sz="8" w:space="0" w:color="auto"/>
            </w:tcBorders>
            <w:tcMar>
              <w:top w:w="0" w:type="dxa"/>
              <w:left w:w="108" w:type="dxa"/>
              <w:bottom w:w="0" w:type="dxa"/>
              <w:right w:w="108" w:type="dxa"/>
            </w:tcMar>
            <w:hideMark/>
          </w:tcPr>
          <w:p w14:paraId="746AC1C3" w14:textId="77777777" w:rsidR="00202478" w:rsidRDefault="00202478">
            <w:pPr>
              <w:pStyle w:val="Listenabsatz"/>
              <w:spacing w:line="256" w:lineRule="auto"/>
              <w:ind w:left="0"/>
              <w:rPr>
                <w:sz w:val="24"/>
                <w:szCs w:val="24"/>
                <w:lang w:val="fr-BE"/>
              </w:rPr>
            </w:pPr>
            <w:r>
              <w:rPr>
                <w:sz w:val="24"/>
                <w:szCs w:val="24"/>
                <w:lang w:val="fr-BE"/>
              </w:rPr>
              <w:t>No</w:t>
            </w:r>
          </w:p>
        </w:tc>
      </w:tr>
      <w:tr w:rsidR="00202478" w:rsidRPr="00250FE6" w14:paraId="03D73E41" w14:textId="77777777" w:rsidTr="00202478">
        <w:trPr>
          <w:trHeight w:val="6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DFA725" w14:textId="77777777" w:rsidR="00202478" w:rsidRDefault="00202478">
            <w:pPr>
              <w:pStyle w:val="Listenabsatz"/>
              <w:spacing w:line="256" w:lineRule="auto"/>
              <w:ind w:left="0"/>
              <w:rPr>
                <w:b/>
                <w:bCs/>
                <w:sz w:val="24"/>
                <w:szCs w:val="24"/>
                <w:lang w:val="fr-BE"/>
              </w:rPr>
            </w:pPr>
          </w:p>
        </w:tc>
        <w:tc>
          <w:tcPr>
            <w:tcW w:w="9781" w:type="dxa"/>
            <w:tcBorders>
              <w:top w:val="nil"/>
              <w:left w:val="nil"/>
              <w:bottom w:val="single" w:sz="8" w:space="0" w:color="auto"/>
              <w:right w:val="single" w:sz="8" w:space="0" w:color="auto"/>
            </w:tcBorders>
            <w:tcMar>
              <w:top w:w="0" w:type="dxa"/>
              <w:left w:w="108" w:type="dxa"/>
              <w:bottom w:w="0" w:type="dxa"/>
              <w:right w:w="108" w:type="dxa"/>
            </w:tcMar>
            <w:hideMark/>
          </w:tcPr>
          <w:p w14:paraId="4F1C1826" w14:textId="77777777" w:rsidR="00202478" w:rsidRDefault="00202478">
            <w:pPr>
              <w:pStyle w:val="Listenabsatz"/>
              <w:spacing w:line="256" w:lineRule="auto"/>
              <w:ind w:left="0"/>
              <w:rPr>
                <w:sz w:val="24"/>
                <w:szCs w:val="24"/>
                <w:lang w:val="en-GB"/>
              </w:rPr>
            </w:pPr>
            <w:r>
              <w:rPr>
                <w:sz w:val="24"/>
                <w:szCs w:val="24"/>
                <w:lang w:val="en-GB"/>
              </w:rPr>
              <w:t>I do not know / No opinion</w:t>
            </w:r>
          </w:p>
        </w:tc>
      </w:tr>
    </w:tbl>
    <w:p w14:paraId="737BEBEC" w14:textId="77777777" w:rsidR="00202478" w:rsidRDefault="00202478" w:rsidP="00202478">
      <w:pPr>
        <w:suppressAutoHyphens/>
        <w:rPr>
          <w:i/>
          <w:iCs/>
          <w:sz w:val="24"/>
          <w:szCs w:val="24"/>
          <w:lang w:val="en-GB"/>
        </w:rPr>
      </w:pPr>
    </w:p>
    <w:p w14:paraId="7416B24B" w14:textId="77777777" w:rsidR="00202478" w:rsidRDefault="00202478" w:rsidP="00202478">
      <w:pPr>
        <w:rPr>
          <w:i/>
          <w:iCs/>
          <w:sz w:val="24"/>
          <w:szCs w:val="24"/>
          <w:lang w:val="en-GB"/>
        </w:rPr>
      </w:pPr>
      <w:r>
        <w:rPr>
          <w:i/>
          <w:iCs/>
          <w:sz w:val="24"/>
          <w:szCs w:val="24"/>
          <w:lang w:val="en-GB"/>
        </w:rPr>
        <w:t>Please elaborate/provide any additional comments (if any).</w:t>
      </w:r>
    </w:p>
    <w:tbl>
      <w:tblPr>
        <w:tblW w:w="10485" w:type="dxa"/>
        <w:tblCellMar>
          <w:left w:w="0" w:type="dxa"/>
          <w:right w:w="0" w:type="dxa"/>
        </w:tblCellMar>
        <w:tblLook w:val="04A0" w:firstRow="1" w:lastRow="0" w:firstColumn="1" w:lastColumn="0" w:noHBand="0" w:noVBand="1"/>
      </w:tblPr>
      <w:tblGrid>
        <w:gridCol w:w="10485"/>
      </w:tblGrid>
      <w:tr w:rsidR="00202478" w:rsidRPr="00250FE6" w14:paraId="67446254" w14:textId="77777777" w:rsidTr="00202478">
        <w:tc>
          <w:tcPr>
            <w:tcW w:w="104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C2E74D" w14:textId="77777777" w:rsidR="00202478" w:rsidRDefault="00202478">
            <w:pPr>
              <w:spacing w:line="256" w:lineRule="auto"/>
              <w:rPr>
                <w:sz w:val="24"/>
                <w:szCs w:val="24"/>
                <w:lang w:val="en-US" w:eastAsia="zh-CN"/>
              </w:rPr>
            </w:pPr>
          </w:p>
          <w:p w14:paraId="413038C8" w14:textId="77777777" w:rsidR="00202478" w:rsidRDefault="00202478">
            <w:pPr>
              <w:spacing w:line="256" w:lineRule="auto"/>
              <w:rPr>
                <w:sz w:val="24"/>
                <w:szCs w:val="24"/>
                <w:lang w:val="en-US" w:eastAsia="zh-CN"/>
              </w:rPr>
            </w:pPr>
          </w:p>
          <w:p w14:paraId="71FF3941" w14:textId="77777777" w:rsidR="00202478" w:rsidRDefault="00202478">
            <w:pPr>
              <w:spacing w:line="256" w:lineRule="auto"/>
              <w:rPr>
                <w:sz w:val="24"/>
                <w:szCs w:val="24"/>
                <w:lang w:val="en-US" w:eastAsia="zh-CN"/>
              </w:rPr>
            </w:pPr>
          </w:p>
        </w:tc>
      </w:tr>
    </w:tbl>
    <w:p w14:paraId="457D2A20" w14:textId="77777777" w:rsidR="00202478" w:rsidRDefault="00202478" w:rsidP="00202478">
      <w:pPr>
        <w:suppressAutoHyphens/>
        <w:rPr>
          <w:i/>
          <w:iCs/>
          <w:sz w:val="24"/>
          <w:szCs w:val="24"/>
          <w:lang w:val="en-GB"/>
        </w:rPr>
      </w:pPr>
    </w:p>
    <w:p w14:paraId="6DC5DFE5" w14:textId="77777777" w:rsidR="00202478" w:rsidRDefault="00202478" w:rsidP="00202478">
      <w:pPr>
        <w:pStyle w:val="berschrift3"/>
        <w:tabs>
          <w:tab w:val="left" w:pos="720"/>
        </w:tabs>
        <w:rPr>
          <w:rFonts w:ascii="Inter" w:hAnsi="Inter"/>
          <w:i/>
          <w:sz w:val="26"/>
          <w:szCs w:val="26"/>
          <w:shd w:val="clear" w:color="auto" w:fill="FFFFFF"/>
          <w:lang w:val="en-GB"/>
        </w:rPr>
      </w:pPr>
      <w:r>
        <w:rPr>
          <w:rStyle w:val="Fett"/>
          <w:rFonts w:ascii="Inter" w:hAnsi="Inter"/>
          <w:color w:val="000000"/>
          <w:sz w:val="26"/>
          <w:szCs w:val="26"/>
          <w:shd w:val="clear" w:color="auto" w:fill="FFFFFF"/>
          <w:lang w:val="en-GB"/>
        </w:rPr>
        <w:t>Q2:</w:t>
      </w:r>
      <w:r>
        <w:rPr>
          <w:rFonts w:ascii="Inter" w:hAnsi="Inter"/>
          <w:iCs/>
          <w:color w:val="000000"/>
          <w:sz w:val="26"/>
          <w:szCs w:val="26"/>
          <w:shd w:val="clear" w:color="auto" w:fill="FFFFFF"/>
          <w:lang w:val="en-GB"/>
        </w:rPr>
        <w:t> </w:t>
      </w:r>
      <w:r>
        <w:rPr>
          <w:rFonts w:ascii="Inter" w:hAnsi="Inter"/>
          <w:color w:val="000000"/>
          <w:sz w:val="26"/>
          <w:szCs w:val="26"/>
          <w:shd w:val="clear" w:color="auto" w:fill="FFFFFF"/>
          <w:lang w:val="en-GB"/>
        </w:rPr>
        <w:t>Comments on the overall proposal: b) Are the templates, and the instructions provided for filling them in, clear? If you identify any issues, please clearly specify the affected templates and instructions, and include suggestions how to rectify the issues.</w:t>
      </w:r>
    </w:p>
    <w:tbl>
      <w:tblPr>
        <w:tblW w:w="10490" w:type="dxa"/>
        <w:tblInd w:w="-5" w:type="dxa"/>
        <w:tblCellMar>
          <w:left w:w="0" w:type="dxa"/>
          <w:right w:w="0" w:type="dxa"/>
        </w:tblCellMar>
        <w:tblLook w:val="04A0" w:firstRow="1" w:lastRow="0" w:firstColumn="1" w:lastColumn="0" w:noHBand="0" w:noVBand="1"/>
      </w:tblPr>
      <w:tblGrid>
        <w:gridCol w:w="709"/>
        <w:gridCol w:w="9781"/>
      </w:tblGrid>
      <w:tr w:rsidR="00202478" w:rsidRPr="00250FE6" w14:paraId="25DBF451" w14:textId="77777777" w:rsidTr="0020247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2B3EF7" w14:textId="77777777" w:rsidR="00202478" w:rsidRDefault="00202478">
            <w:pPr>
              <w:rPr>
                <w:i/>
                <w:sz w:val="26"/>
                <w:szCs w:val="26"/>
                <w:shd w:val="clear" w:color="auto" w:fill="FFFFFF"/>
                <w:lang w:val="en-GB"/>
              </w:rPr>
            </w:pPr>
          </w:p>
        </w:tc>
        <w:tc>
          <w:tcPr>
            <w:tcW w:w="97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1B5D6D" w14:textId="77777777" w:rsidR="00202478" w:rsidRDefault="00202478">
            <w:pPr>
              <w:pStyle w:val="Listenabsatz"/>
              <w:spacing w:line="256" w:lineRule="auto"/>
              <w:ind w:left="0"/>
              <w:rPr>
                <w:rFonts w:ascii="Inter" w:eastAsia="Calibri" w:hAnsi="Inter" w:cs="Times New Roman"/>
                <w:color w:val="303030"/>
                <w:sz w:val="24"/>
                <w:szCs w:val="24"/>
                <w:lang w:val="en-GB" w:eastAsia="en-US"/>
              </w:rPr>
            </w:pPr>
            <w:r>
              <w:rPr>
                <w:sz w:val="24"/>
                <w:szCs w:val="24"/>
                <w:lang w:val="en-GB"/>
              </w:rPr>
              <w:t xml:space="preserve">Yes, we have identified some issues with regard to </w:t>
            </w:r>
            <w:r>
              <w:rPr>
                <w:i/>
                <w:iCs/>
                <w:sz w:val="24"/>
                <w:szCs w:val="24"/>
                <w:lang w:val="en-GB"/>
              </w:rPr>
              <w:t>Annex II – Reporting on the minimum requirements for own funds and eligible liabilities – Instructions</w:t>
            </w:r>
            <w:r>
              <w:rPr>
                <w:sz w:val="24"/>
                <w:szCs w:val="24"/>
                <w:lang w:val="en-GB"/>
              </w:rPr>
              <w:t xml:space="preserve">  </w:t>
            </w:r>
          </w:p>
        </w:tc>
      </w:tr>
      <w:tr w:rsidR="00202478" w14:paraId="3C7B5AA3" w14:textId="77777777" w:rsidTr="00202478">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8997A" w14:textId="77777777" w:rsidR="00202478" w:rsidRDefault="00202478">
            <w:pPr>
              <w:pStyle w:val="Listenabsatz"/>
              <w:spacing w:line="256" w:lineRule="auto"/>
              <w:ind w:left="0"/>
              <w:rPr>
                <w:b/>
                <w:bCs/>
                <w:sz w:val="24"/>
                <w:szCs w:val="24"/>
                <w:lang w:val="en-GB"/>
              </w:rPr>
            </w:pPr>
          </w:p>
        </w:tc>
        <w:tc>
          <w:tcPr>
            <w:tcW w:w="9781" w:type="dxa"/>
            <w:tcBorders>
              <w:top w:val="nil"/>
              <w:left w:val="nil"/>
              <w:bottom w:val="single" w:sz="8" w:space="0" w:color="auto"/>
              <w:right w:val="single" w:sz="8" w:space="0" w:color="auto"/>
            </w:tcBorders>
            <w:tcMar>
              <w:top w:w="0" w:type="dxa"/>
              <w:left w:w="108" w:type="dxa"/>
              <w:bottom w:w="0" w:type="dxa"/>
              <w:right w:w="108" w:type="dxa"/>
            </w:tcMar>
            <w:hideMark/>
          </w:tcPr>
          <w:p w14:paraId="50648CD3" w14:textId="77777777" w:rsidR="00202478" w:rsidRDefault="00202478">
            <w:pPr>
              <w:pStyle w:val="Listenabsatz"/>
              <w:spacing w:line="256" w:lineRule="auto"/>
              <w:ind w:left="0"/>
              <w:rPr>
                <w:sz w:val="24"/>
                <w:szCs w:val="24"/>
                <w:lang w:val="fr-BE"/>
              </w:rPr>
            </w:pPr>
            <w:r>
              <w:rPr>
                <w:sz w:val="24"/>
                <w:szCs w:val="24"/>
                <w:lang w:val="fr-BE"/>
              </w:rPr>
              <w:t>No</w:t>
            </w:r>
          </w:p>
        </w:tc>
      </w:tr>
      <w:tr w:rsidR="00202478" w:rsidRPr="00250FE6" w14:paraId="3754FF1F" w14:textId="77777777" w:rsidTr="00202478">
        <w:trPr>
          <w:trHeight w:val="6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5103D7" w14:textId="77777777" w:rsidR="00202478" w:rsidRDefault="00202478">
            <w:pPr>
              <w:pStyle w:val="Listenabsatz"/>
              <w:spacing w:line="256" w:lineRule="auto"/>
              <w:ind w:left="0"/>
              <w:rPr>
                <w:b/>
                <w:bCs/>
                <w:sz w:val="24"/>
                <w:szCs w:val="24"/>
                <w:lang w:val="fr-BE"/>
              </w:rPr>
            </w:pPr>
          </w:p>
        </w:tc>
        <w:tc>
          <w:tcPr>
            <w:tcW w:w="9781" w:type="dxa"/>
            <w:tcBorders>
              <w:top w:val="nil"/>
              <w:left w:val="nil"/>
              <w:bottom w:val="single" w:sz="8" w:space="0" w:color="auto"/>
              <w:right w:val="single" w:sz="8" w:space="0" w:color="auto"/>
            </w:tcBorders>
            <w:tcMar>
              <w:top w:w="0" w:type="dxa"/>
              <w:left w:w="108" w:type="dxa"/>
              <w:bottom w:w="0" w:type="dxa"/>
              <w:right w:w="108" w:type="dxa"/>
            </w:tcMar>
            <w:hideMark/>
          </w:tcPr>
          <w:p w14:paraId="360D4D23" w14:textId="77777777" w:rsidR="00202478" w:rsidRDefault="00202478">
            <w:pPr>
              <w:pStyle w:val="Listenabsatz"/>
              <w:spacing w:line="256" w:lineRule="auto"/>
              <w:ind w:left="0"/>
              <w:rPr>
                <w:sz w:val="24"/>
                <w:szCs w:val="24"/>
                <w:lang w:val="en-GB"/>
              </w:rPr>
            </w:pPr>
            <w:r>
              <w:rPr>
                <w:sz w:val="24"/>
                <w:szCs w:val="24"/>
                <w:lang w:val="en-GB"/>
              </w:rPr>
              <w:t>I do not know / No opinion</w:t>
            </w:r>
          </w:p>
        </w:tc>
      </w:tr>
    </w:tbl>
    <w:p w14:paraId="52CC2612" w14:textId="77777777" w:rsidR="00202478" w:rsidRDefault="00202478" w:rsidP="00202478">
      <w:pPr>
        <w:suppressAutoHyphens/>
        <w:rPr>
          <w:i/>
          <w:iCs/>
          <w:sz w:val="24"/>
          <w:szCs w:val="24"/>
          <w:lang w:val="en-GB"/>
        </w:rPr>
      </w:pPr>
    </w:p>
    <w:p w14:paraId="7CDD6A42" w14:textId="77777777" w:rsidR="00202478" w:rsidRDefault="00202478" w:rsidP="00202478">
      <w:pPr>
        <w:rPr>
          <w:i/>
          <w:iCs/>
          <w:sz w:val="24"/>
          <w:szCs w:val="24"/>
          <w:lang w:val="en-GB"/>
        </w:rPr>
      </w:pPr>
      <w:r>
        <w:rPr>
          <w:i/>
          <w:iCs/>
          <w:sz w:val="24"/>
          <w:szCs w:val="24"/>
          <w:lang w:val="en-GB"/>
        </w:rPr>
        <w:t>Please elaborate/provide any additional comments (if any).</w:t>
      </w:r>
    </w:p>
    <w:tbl>
      <w:tblPr>
        <w:tblW w:w="10485" w:type="dxa"/>
        <w:tblCellMar>
          <w:left w:w="0" w:type="dxa"/>
          <w:right w:w="0" w:type="dxa"/>
        </w:tblCellMar>
        <w:tblLook w:val="04A0" w:firstRow="1" w:lastRow="0" w:firstColumn="1" w:lastColumn="0" w:noHBand="0" w:noVBand="1"/>
      </w:tblPr>
      <w:tblGrid>
        <w:gridCol w:w="10485"/>
      </w:tblGrid>
      <w:tr w:rsidR="00202478" w:rsidRPr="00250FE6" w14:paraId="1CEB0855" w14:textId="77777777" w:rsidTr="00202478">
        <w:tc>
          <w:tcPr>
            <w:tcW w:w="104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36A902" w14:textId="2BEB168A" w:rsidR="00250FE6" w:rsidRDefault="00250FE6">
            <w:pPr>
              <w:spacing w:line="256" w:lineRule="auto"/>
              <w:rPr>
                <w:rFonts w:cstheme="minorHAnsi"/>
                <w:sz w:val="24"/>
                <w:szCs w:val="24"/>
                <w:lang w:val="en-US" w:eastAsia="zh-CN"/>
              </w:rPr>
            </w:pPr>
            <w:r w:rsidRPr="00250FE6">
              <w:rPr>
                <w:rFonts w:cstheme="minorHAnsi"/>
                <w:sz w:val="24"/>
                <w:szCs w:val="24"/>
                <w:lang w:val="en-US" w:eastAsia="zh-CN"/>
              </w:rPr>
              <w:t xml:space="preserve">Yes, we have identified some issues with regard to Annex II – Reporting on the minimum requirements for own funds and eligible liabilities – Instructions  </w:t>
            </w:r>
          </w:p>
          <w:p w14:paraId="72793D1E" w14:textId="77777777" w:rsidR="00250FE6" w:rsidRDefault="00250FE6">
            <w:pPr>
              <w:spacing w:line="256" w:lineRule="auto"/>
              <w:rPr>
                <w:rFonts w:cstheme="minorHAnsi"/>
                <w:sz w:val="24"/>
                <w:szCs w:val="24"/>
                <w:lang w:val="en-US" w:eastAsia="zh-CN"/>
              </w:rPr>
            </w:pPr>
          </w:p>
          <w:p w14:paraId="5542717E" w14:textId="65FE93CE" w:rsidR="00202478" w:rsidRDefault="00202478">
            <w:pPr>
              <w:spacing w:line="256" w:lineRule="auto"/>
              <w:rPr>
                <w:rFonts w:cstheme="minorHAnsi"/>
                <w:sz w:val="24"/>
                <w:szCs w:val="24"/>
                <w:lang w:val="en-US" w:eastAsia="zh-CN"/>
              </w:rPr>
            </w:pPr>
            <w:r>
              <w:rPr>
                <w:rFonts w:cstheme="minorHAnsi"/>
                <w:sz w:val="24"/>
                <w:szCs w:val="24"/>
                <w:lang w:val="en-US" w:eastAsia="zh-CN"/>
              </w:rPr>
              <w:t>PART I : GENARAL INSTRUCTIONS</w:t>
            </w:r>
          </w:p>
          <w:p w14:paraId="7108D100" w14:textId="77777777" w:rsidR="00202478" w:rsidRDefault="00202478">
            <w:pPr>
              <w:spacing w:line="256" w:lineRule="auto"/>
              <w:rPr>
                <w:rFonts w:cstheme="minorHAnsi"/>
                <w:sz w:val="24"/>
                <w:szCs w:val="24"/>
                <w:lang w:val="en-US" w:eastAsia="zh-CN"/>
              </w:rPr>
            </w:pPr>
            <w:r>
              <w:rPr>
                <w:rFonts w:cstheme="minorHAnsi"/>
                <w:sz w:val="24"/>
                <w:szCs w:val="24"/>
                <w:lang w:val="en-US" w:eastAsia="zh-CN"/>
              </w:rPr>
              <w:t>1.4. Abbreviations and definitions</w:t>
            </w:r>
          </w:p>
          <w:p w14:paraId="7A46F238" w14:textId="77777777" w:rsidR="00202478" w:rsidRDefault="00202478">
            <w:pPr>
              <w:spacing w:line="256" w:lineRule="auto"/>
              <w:rPr>
                <w:rFonts w:cstheme="minorHAnsi"/>
                <w:sz w:val="24"/>
                <w:szCs w:val="24"/>
                <w:lang w:val="en-US" w:eastAsia="zh-CN"/>
              </w:rPr>
            </w:pPr>
            <w:r>
              <w:rPr>
                <w:rFonts w:cstheme="minorHAnsi"/>
                <w:sz w:val="24"/>
                <w:szCs w:val="24"/>
                <w:lang w:val="en-US" w:eastAsia="zh-CN"/>
              </w:rPr>
              <w:t xml:space="preserve">Comment to </w:t>
            </w:r>
            <w:r>
              <w:rPr>
                <w:rFonts w:cstheme="minorHAnsi"/>
                <w:b/>
                <w:bCs/>
                <w:sz w:val="24"/>
                <w:szCs w:val="24"/>
                <w:lang w:val="en-US" w:eastAsia="zh-CN"/>
              </w:rPr>
              <w:t xml:space="preserve">5. (e) “unused prior permission amount” and </w:t>
            </w:r>
            <w:bookmarkStart w:id="0" w:name="OLE_LINK1"/>
            <w:r>
              <w:rPr>
                <w:rFonts w:cstheme="minorHAnsi"/>
                <w:b/>
                <w:bCs/>
                <w:sz w:val="24"/>
                <w:szCs w:val="24"/>
                <w:lang w:val="en-US" w:eastAsia="zh-CN"/>
              </w:rPr>
              <w:t>(f)</w:t>
            </w:r>
            <w:bookmarkEnd w:id="0"/>
            <w:r>
              <w:rPr>
                <w:rFonts w:cstheme="minorHAnsi"/>
                <w:b/>
                <w:bCs/>
                <w:sz w:val="24"/>
                <w:szCs w:val="24"/>
                <w:lang w:val="en-US" w:eastAsia="zh-CN"/>
              </w:rPr>
              <w:t xml:space="preserve"> “unused ad hoc permission amount”:</w:t>
            </w:r>
          </w:p>
          <w:p w14:paraId="0EC74D0D" w14:textId="77777777" w:rsidR="00202478" w:rsidRDefault="00202478">
            <w:pPr>
              <w:spacing w:line="256" w:lineRule="auto"/>
              <w:rPr>
                <w:rFonts w:cstheme="minorHAnsi"/>
                <w:sz w:val="24"/>
                <w:szCs w:val="24"/>
                <w:lang w:val="en-GB"/>
              </w:rPr>
            </w:pPr>
            <w:r>
              <w:rPr>
                <w:rStyle w:val="Kommentarzeichen"/>
                <w:rFonts w:cstheme="minorHAnsi"/>
                <w:sz w:val="24"/>
                <w:szCs w:val="24"/>
                <w:lang w:val="en-GB"/>
              </w:rPr>
              <w:t xml:space="preserve">In accordance with EBA Q&amp;A </w:t>
            </w:r>
            <w:hyperlink r:id="rId7" w:history="1">
              <w:r>
                <w:rPr>
                  <w:rStyle w:val="Hyperlink"/>
                  <w:rFonts w:cstheme="minorHAnsi"/>
                  <w:sz w:val="24"/>
                  <w:szCs w:val="24"/>
                  <w:lang w:val="en-GB"/>
                </w:rPr>
                <w:t>2017_3277 Clarification of the conditions for reduction of own funds due to Article 77 CRR and Article 28 RTS on Own funds. | European Banking Authority (europa.eu)</w:t>
              </w:r>
            </w:hyperlink>
            <w:r>
              <w:rPr>
                <w:rFonts w:cstheme="minorHAnsi"/>
                <w:sz w:val="24"/>
                <w:szCs w:val="24"/>
                <w:lang w:val="en-GB"/>
              </w:rPr>
              <w:t xml:space="preserve">, if the permission refers to callable instruments where no sufficient certainty is given (e.g. no public announcement) that the call option will be executed, the unused prior permission amount shall exclude any such instruments, as this would effectively lead to a deduction of the prior permission amount </w:t>
            </w:r>
            <w:r>
              <w:rPr>
                <w:rFonts w:cstheme="minorHAnsi"/>
                <w:sz w:val="24"/>
                <w:szCs w:val="24"/>
                <w:lang w:val="en-GB"/>
              </w:rPr>
              <w:lastRenderedPageBreak/>
              <w:t xml:space="preserve">although no sufficient certainty is given. </w:t>
            </w:r>
            <w:r>
              <w:rPr>
                <w:rFonts w:cstheme="minorHAnsi"/>
                <w:sz w:val="24"/>
                <w:szCs w:val="24"/>
                <w:lang w:val="en-GB"/>
              </w:rPr>
              <w:br/>
              <w:t>This shall be specified in the definitions used in this guidance.</w:t>
            </w:r>
          </w:p>
          <w:p w14:paraId="0EE3A532" w14:textId="77777777" w:rsidR="00202478" w:rsidRDefault="00202478">
            <w:pPr>
              <w:spacing w:line="256" w:lineRule="auto"/>
              <w:rPr>
                <w:rFonts w:cstheme="minorHAnsi"/>
                <w:sz w:val="24"/>
                <w:szCs w:val="24"/>
                <w:lang w:val="en-GB"/>
              </w:rPr>
            </w:pPr>
          </w:p>
          <w:p w14:paraId="4E452EDA" w14:textId="77777777" w:rsidR="00202478" w:rsidRDefault="00202478">
            <w:pPr>
              <w:spacing w:line="256" w:lineRule="auto"/>
              <w:rPr>
                <w:rFonts w:cstheme="minorHAnsi"/>
                <w:sz w:val="24"/>
                <w:szCs w:val="24"/>
                <w:lang w:val="en-GB"/>
              </w:rPr>
            </w:pPr>
            <w:r>
              <w:rPr>
                <w:rFonts w:cstheme="minorHAnsi"/>
                <w:sz w:val="24"/>
                <w:szCs w:val="24"/>
                <w:lang w:val="en-GB"/>
              </w:rPr>
              <w:t>PART II: TEMPLATE RELATED INSTRUCTIONS</w:t>
            </w:r>
          </w:p>
          <w:p w14:paraId="4F234A2B" w14:textId="77777777" w:rsidR="00202478" w:rsidRDefault="00202478">
            <w:pPr>
              <w:spacing w:line="256" w:lineRule="auto"/>
              <w:rPr>
                <w:rFonts w:cstheme="minorHAnsi"/>
                <w:sz w:val="24"/>
                <w:szCs w:val="24"/>
                <w:lang w:val="en-GB"/>
              </w:rPr>
            </w:pPr>
            <w:r>
              <w:rPr>
                <w:rFonts w:cstheme="minorHAnsi"/>
                <w:sz w:val="24"/>
                <w:szCs w:val="24"/>
                <w:lang w:val="en-GB"/>
              </w:rPr>
              <w:t>2.1.2. Instructions concerning specific positions</w:t>
            </w:r>
          </w:p>
          <w:p w14:paraId="17E13FD2" w14:textId="77777777" w:rsidR="00202478" w:rsidRDefault="00202478">
            <w:pPr>
              <w:spacing w:line="256" w:lineRule="auto"/>
              <w:rPr>
                <w:rFonts w:cstheme="minorHAnsi"/>
                <w:sz w:val="24"/>
                <w:szCs w:val="24"/>
                <w:lang w:val="en-US" w:eastAsia="zh-CN"/>
              </w:rPr>
            </w:pPr>
            <w:r>
              <w:rPr>
                <w:rFonts w:cstheme="minorHAnsi"/>
                <w:sz w:val="24"/>
                <w:szCs w:val="24"/>
                <w:lang w:val="en-US" w:eastAsia="zh-CN"/>
              </w:rPr>
              <w:t xml:space="preserve">Comment to item </w:t>
            </w:r>
            <w:r>
              <w:rPr>
                <w:rFonts w:cstheme="minorHAnsi"/>
                <w:b/>
                <w:bCs/>
                <w:sz w:val="24"/>
                <w:szCs w:val="24"/>
                <w:lang w:val="en-US" w:eastAsia="zh-CN"/>
              </w:rPr>
              <w:t>0070 (MREL - “</w:t>
            </w:r>
            <w:r>
              <w:rPr>
                <w:rStyle w:val="FormatvorlageInstructionsTabelleText"/>
                <w:rFonts w:cstheme="minorHAnsi"/>
                <w:b/>
                <w:sz w:val="24"/>
                <w:szCs w:val="24"/>
                <w:lang w:val="en-GB"/>
              </w:rPr>
              <w:t>The amounts reported shall be amounts net of unused prior permission amounts, to the extent that the permission covers eligible liabilities instruments.” and TLAC – “The amounts reported shall be amounts net of holding of own eligible liabilities instruments, and net of unused prior permission amounts to the extent that the permission covers eligible liabilities instruments.”</w:t>
            </w:r>
            <w:r>
              <w:rPr>
                <w:rStyle w:val="FormatvorlageInstructionsTabelleText"/>
                <w:rFonts w:cstheme="minorHAnsi"/>
                <w:sz w:val="24"/>
                <w:szCs w:val="24"/>
                <w:lang w:val="en-US"/>
              </w:rPr>
              <w:t>)</w:t>
            </w:r>
            <w:r>
              <w:rPr>
                <w:rFonts w:cstheme="minorHAnsi"/>
                <w:sz w:val="24"/>
                <w:szCs w:val="24"/>
                <w:lang w:val="en-US" w:eastAsia="zh-CN"/>
              </w:rPr>
              <w:t>:</w:t>
            </w:r>
          </w:p>
          <w:p w14:paraId="375A19DB" w14:textId="77777777" w:rsidR="00202478" w:rsidRDefault="00202478">
            <w:pPr>
              <w:spacing w:line="256" w:lineRule="auto"/>
              <w:rPr>
                <w:rStyle w:val="Hyperlink"/>
                <w:lang w:val="en-GB"/>
              </w:rPr>
            </w:pPr>
            <w:r>
              <w:rPr>
                <w:rFonts w:cstheme="minorHAnsi"/>
                <w:sz w:val="24"/>
                <w:szCs w:val="24"/>
                <w:lang w:val="en-GB"/>
              </w:rPr>
              <w:t xml:space="preserve">The definition here confirms the comment above that it is necessary that the unused prior permission amounts EXCLUDE callable instruments where no sufficient certainty is given that they will be called. Otherwise, if the definition of the unused prior permission amount stays unchanged, this would lead to their effective deduction irrespective of the sufficient certainty criteria defined in </w:t>
            </w:r>
            <w:hyperlink r:id="rId8" w:history="1">
              <w:r>
                <w:rPr>
                  <w:rStyle w:val="Hyperlink"/>
                  <w:rFonts w:cstheme="minorHAnsi"/>
                  <w:sz w:val="24"/>
                  <w:szCs w:val="24"/>
                  <w:lang w:val="en-GB"/>
                </w:rPr>
                <w:t>2017_3277 Clarification of the conditions for reduction of own funds due to Article 77 CRR and Article 28 RTS on Own funds. | European Banking Authority (europa.eu)</w:t>
              </w:r>
            </w:hyperlink>
          </w:p>
          <w:p w14:paraId="169EB3BD" w14:textId="77777777" w:rsidR="00202478" w:rsidRDefault="00202478">
            <w:pPr>
              <w:spacing w:line="256" w:lineRule="auto"/>
              <w:rPr>
                <w:lang w:val="en-US" w:eastAsia="zh-CN"/>
              </w:rPr>
            </w:pPr>
          </w:p>
          <w:p w14:paraId="61621095" w14:textId="77777777" w:rsidR="00202478" w:rsidRDefault="00202478">
            <w:pPr>
              <w:spacing w:line="256" w:lineRule="auto"/>
              <w:rPr>
                <w:rFonts w:cstheme="minorHAnsi"/>
                <w:b/>
                <w:bCs/>
                <w:sz w:val="24"/>
                <w:szCs w:val="24"/>
                <w:lang w:val="en-US" w:eastAsia="zh-CN"/>
              </w:rPr>
            </w:pPr>
            <w:r>
              <w:rPr>
                <w:rFonts w:cstheme="minorHAnsi"/>
                <w:sz w:val="24"/>
                <w:szCs w:val="24"/>
                <w:lang w:val="en-US" w:eastAsia="zh-CN"/>
              </w:rPr>
              <w:t xml:space="preserve">Comment to items </w:t>
            </w:r>
            <w:r>
              <w:rPr>
                <w:rFonts w:cstheme="minorHAnsi"/>
                <w:b/>
                <w:bCs/>
                <w:sz w:val="24"/>
                <w:szCs w:val="24"/>
                <w:lang w:val="en-US" w:eastAsia="zh-CN"/>
              </w:rPr>
              <w:t>0600 Ad hoc permissions for eligible liabilities items: Predetermined amount and 0610 General prior permissions for eligible liabilities items: Predetermined amount:</w:t>
            </w:r>
          </w:p>
          <w:p w14:paraId="0A230371"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lang w:val="en-US" w:eastAsia="zh-CN"/>
              </w:rPr>
              <w:t xml:space="preserve">Not clear whether </w:t>
            </w:r>
            <w:r>
              <w:rPr>
                <w:rFonts w:ascii="Inter" w:hAnsi="Inter" w:cstheme="minorHAnsi"/>
                <w:sz w:val="24"/>
                <w:szCs w:val="24"/>
              </w:rPr>
              <w:t xml:space="preserve"> this amount shall cover also ad-hoc permissions provided for callable instruments where no sufficient certainty is given that the call option will be executed, e.g. prior to public announcement of the intention of the institution to call the instrument.</w:t>
            </w:r>
          </w:p>
          <w:p w14:paraId="7C47BB52" w14:textId="77777777" w:rsidR="00202478" w:rsidRDefault="00202478">
            <w:pPr>
              <w:pStyle w:val="Kommentartext"/>
              <w:spacing w:line="256" w:lineRule="auto"/>
              <w:rPr>
                <w:rFonts w:ascii="Inter" w:hAnsi="Inter" w:cstheme="minorHAnsi"/>
                <w:sz w:val="24"/>
                <w:szCs w:val="24"/>
              </w:rPr>
            </w:pPr>
          </w:p>
          <w:p w14:paraId="66EA3E9C"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2.2. M 03.00 – Internal MREL and Internal TLAC (ILAC)</w:t>
            </w:r>
          </w:p>
          <w:p w14:paraId="4370D065"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2.2.2. Instructions concerning specific positions</w:t>
            </w:r>
          </w:p>
          <w:p w14:paraId="59F797D8"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 xml:space="preserve">Comment to item </w:t>
            </w:r>
            <w:r>
              <w:rPr>
                <w:rFonts w:ascii="Inter" w:hAnsi="Inter" w:cstheme="minorHAnsi"/>
                <w:b/>
                <w:bCs/>
                <w:sz w:val="24"/>
                <w:szCs w:val="24"/>
              </w:rPr>
              <w:t>0100 Total risk exposure amount (TREA)</w:t>
            </w:r>
            <w:r>
              <w:rPr>
                <w:rFonts w:ascii="Inter" w:hAnsi="Inter" w:cstheme="minorHAnsi"/>
                <w:sz w:val="24"/>
                <w:szCs w:val="24"/>
              </w:rPr>
              <w:t>:</w:t>
            </w:r>
          </w:p>
          <w:p w14:paraId="0A891B8E"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Not clear whether the TREA in this field is reduced by the corresponding TREA of all relevant “daisy chain” deduction amounts for an intermediate entity.</w:t>
            </w:r>
          </w:p>
          <w:p w14:paraId="48F2C125" w14:textId="77777777" w:rsidR="00202478" w:rsidRDefault="00202478">
            <w:pPr>
              <w:pStyle w:val="Kommentartext"/>
              <w:spacing w:line="256" w:lineRule="auto"/>
              <w:rPr>
                <w:rFonts w:ascii="Inter" w:hAnsi="Inter" w:cstheme="minorHAnsi"/>
                <w:sz w:val="24"/>
                <w:szCs w:val="24"/>
              </w:rPr>
            </w:pPr>
          </w:p>
          <w:p w14:paraId="23E888E0"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 xml:space="preserve">Comment to item </w:t>
            </w:r>
            <w:r>
              <w:rPr>
                <w:rFonts w:ascii="Inter" w:hAnsi="Inter" w:cstheme="minorHAnsi"/>
                <w:b/>
                <w:bCs/>
                <w:sz w:val="24"/>
                <w:szCs w:val="24"/>
              </w:rPr>
              <w:t>0110 Total exposure measure (TEM)</w:t>
            </w:r>
            <w:r>
              <w:rPr>
                <w:rFonts w:ascii="Inter" w:hAnsi="Inter" w:cstheme="minorHAnsi"/>
                <w:sz w:val="24"/>
                <w:szCs w:val="24"/>
              </w:rPr>
              <w:t>:</w:t>
            </w:r>
          </w:p>
          <w:p w14:paraId="2AD7CA73"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Not clear whether the TEM in this field is reduced by the corresponding TEM of all relevant “daisy chain” deduction amounts for an intermediate entity.</w:t>
            </w:r>
          </w:p>
          <w:p w14:paraId="337E65C9" w14:textId="77777777" w:rsidR="00202478" w:rsidRDefault="00202478">
            <w:pPr>
              <w:pStyle w:val="Kommentartext"/>
              <w:spacing w:line="256" w:lineRule="auto"/>
              <w:rPr>
                <w:rFonts w:ascii="Inter" w:hAnsi="Inter" w:cstheme="minorHAnsi"/>
                <w:sz w:val="24"/>
                <w:szCs w:val="24"/>
              </w:rPr>
            </w:pPr>
          </w:p>
          <w:p w14:paraId="131398DA"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 xml:space="preserve">Comment to item </w:t>
            </w:r>
            <w:r>
              <w:rPr>
                <w:rFonts w:ascii="Inter" w:hAnsi="Inter" w:cstheme="minorHAnsi"/>
                <w:b/>
                <w:bCs/>
                <w:sz w:val="24"/>
                <w:szCs w:val="24"/>
              </w:rPr>
              <w:t>0265 (-) Own eligible liabilities instruments: Unused prior permission amounts</w:t>
            </w:r>
            <w:r>
              <w:rPr>
                <w:rFonts w:ascii="Inter" w:hAnsi="Inter" w:cstheme="minorHAnsi"/>
                <w:sz w:val="24"/>
                <w:szCs w:val="24"/>
              </w:rPr>
              <w:t>:</w:t>
            </w:r>
          </w:p>
          <w:p w14:paraId="71DBABF3"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Not clear whether this amount shall cover also ad-hoc permissions provided for callable instruments where no sufficient certainty is given that the call option will be executed, e.g. prior to public announcement of the intention of the institution to call the instrument.</w:t>
            </w:r>
          </w:p>
          <w:p w14:paraId="1360716E" w14:textId="77777777" w:rsidR="00202478" w:rsidRDefault="00202478">
            <w:pPr>
              <w:pStyle w:val="Kommentartext"/>
              <w:spacing w:line="256" w:lineRule="auto"/>
              <w:rPr>
                <w:rFonts w:ascii="Inter" w:hAnsi="Inter" w:cstheme="minorHAnsi"/>
                <w:sz w:val="24"/>
                <w:szCs w:val="24"/>
              </w:rPr>
            </w:pPr>
          </w:p>
          <w:p w14:paraId="75EC4F04"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 xml:space="preserve">Comment to the explanatory text of </w:t>
            </w:r>
            <w:r>
              <w:rPr>
                <w:rFonts w:ascii="Inter" w:hAnsi="Inter" w:cstheme="minorHAnsi"/>
                <w:b/>
                <w:bCs/>
                <w:sz w:val="24"/>
                <w:szCs w:val="24"/>
              </w:rPr>
              <w:t>item 0290 (-) Own funds instruments and eligible liabilities issued by non-resolution entities of the same resolution group:</w:t>
            </w:r>
          </w:p>
          <w:p w14:paraId="05A0464A"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 xml:space="preserve">This explanation seems not to be correct. The daisy chain deductions refer to any entity with an internal MREL requirement – irrespective of its liquidation or non-liquidation (e.g. resolution) status. Hence, </w:t>
            </w:r>
            <w:r>
              <w:rPr>
                <w:rFonts w:ascii="Inter" w:hAnsi="Inter" w:cstheme="minorHAnsi"/>
                <w:sz w:val="24"/>
                <w:szCs w:val="24"/>
              </w:rPr>
              <w:lastRenderedPageBreak/>
              <w:t xml:space="preserve">contrary to the explanation provided and as the title of the 0290 Item correctly says, all holdings of own funds and eligible liabilities instruments that are held by an intermediate entity in any other NON-RESOLUTION entity, subject to internal MREL must be deducted. The proposed BRRD changes are expected to eliminate </w:t>
            </w:r>
            <w:proofErr w:type="spellStart"/>
            <w:r>
              <w:rPr>
                <w:rFonts w:ascii="Inter" w:hAnsi="Inter" w:cstheme="minorHAnsi"/>
                <w:sz w:val="24"/>
                <w:szCs w:val="24"/>
              </w:rPr>
              <w:t>iMREL</w:t>
            </w:r>
            <w:proofErr w:type="spellEnd"/>
            <w:r>
              <w:rPr>
                <w:rFonts w:ascii="Inter" w:hAnsi="Inter" w:cstheme="minorHAnsi"/>
                <w:sz w:val="24"/>
                <w:szCs w:val="24"/>
              </w:rPr>
              <w:t xml:space="preserve"> decisions for LIQUIDATION entities, so this would mean that NO deduction would have to be undertaken for holdings in own funds and eligible liability instruments issued by liquidation entities and held by the intermediate entity. </w:t>
            </w:r>
          </w:p>
          <w:p w14:paraId="70B545D8"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Please revise the guidance accordingly by replacing LIQUIDATION entity with NON-RESOLUTION entity. Furthermore, NON-RESOLUTION entity might be any entity within a resolution group that is either LIQUIDATION or NON-LIQUIDATION entity.</w:t>
            </w:r>
          </w:p>
          <w:p w14:paraId="75455BD0" w14:textId="77777777" w:rsidR="00202478" w:rsidRDefault="00202478">
            <w:pPr>
              <w:pStyle w:val="Kommentartext"/>
              <w:spacing w:line="256" w:lineRule="auto"/>
              <w:rPr>
                <w:rFonts w:ascii="Inter" w:hAnsi="Inter" w:cstheme="minorHAnsi"/>
                <w:sz w:val="24"/>
                <w:szCs w:val="24"/>
              </w:rPr>
            </w:pPr>
          </w:p>
          <w:p w14:paraId="00E02D95" w14:textId="77777777" w:rsidR="00202478" w:rsidRDefault="00202478">
            <w:pPr>
              <w:pStyle w:val="Kommentartext"/>
              <w:spacing w:line="256" w:lineRule="auto"/>
              <w:rPr>
                <w:rFonts w:ascii="Inter" w:hAnsi="Inter" w:cstheme="minorHAnsi"/>
                <w:b/>
                <w:bCs/>
                <w:sz w:val="24"/>
                <w:szCs w:val="24"/>
              </w:rPr>
            </w:pPr>
            <w:r>
              <w:rPr>
                <w:rFonts w:ascii="Inter" w:hAnsi="Inter" w:cstheme="minorHAnsi"/>
                <w:sz w:val="24"/>
                <w:szCs w:val="24"/>
              </w:rPr>
              <w:t xml:space="preserve">Comment to item 0292 </w:t>
            </w:r>
            <w:r>
              <w:rPr>
                <w:rFonts w:ascii="Inter" w:hAnsi="Inter" w:cstheme="minorHAnsi"/>
                <w:b/>
                <w:bCs/>
                <w:sz w:val="24"/>
                <w:szCs w:val="24"/>
              </w:rPr>
              <w:t>(-) Own funds instruments and eligible liabilities issued by non-resolution entities of the same resolution group: of which: (-) instruments issued by liquidation entities:</w:t>
            </w:r>
          </w:p>
          <w:p w14:paraId="334159B6"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 xml:space="preserve">Contrary to the above, here only investments in instruments issued by LIQUIDATION entities must be reported. If the legislative proposal regarding BRRD is approved, this row shall be left empty, as liquidation entities will not be subject to </w:t>
            </w:r>
            <w:proofErr w:type="spellStart"/>
            <w:r>
              <w:rPr>
                <w:rFonts w:ascii="Inter" w:hAnsi="Inter" w:cstheme="minorHAnsi"/>
                <w:sz w:val="24"/>
                <w:szCs w:val="24"/>
              </w:rPr>
              <w:t>iMREL</w:t>
            </w:r>
            <w:proofErr w:type="spellEnd"/>
            <w:r>
              <w:rPr>
                <w:rFonts w:ascii="Inter" w:hAnsi="Inter" w:cstheme="minorHAnsi"/>
                <w:sz w:val="24"/>
                <w:szCs w:val="24"/>
              </w:rPr>
              <w:t xml:space="preserve"> requirement and as a consequence, no deduction shall be performed by intermediate entities. </w:t>
            </w:r>
          </w:p>
          <w:p w14:paraId="6D1B77E1" w14:textId="77777777" w:rsidR="00202478" w:rsidRDefault="00202478">
            <w:pPr>
              <w:pStyle w:val="Kommentartext"/>
              <w:spacing w:line="256" w:lineRule="auto"/>
              <w:rPr>
                <w:rFonts w:ascii="Inter" w:hAnsi="Inter"/>
                <w:sz w:val="24"/>
                <w:szCs w:val="24"/>
              </w:rPr>
            </w:pPr>
          </w:p>
          <w:p w14:paraId="51D2D322"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Comment to items 0550 – 0600 Other bail-</w:t>
            </w:r>
            <w:proofErr w:type="spellStart"/>
            <w:r>
              <w:rPr>
                <w:rFonts w:ascii="Inter" w:hAnsi="Inter" w:cstheme="minorHAnsi"/>
                <w:sz w:val="24"/>
                <w:szCs w:val="24"/>
              </w:rPr>
              <w:t>inable</w:t>
            </w:r>
            <w:proofErr w:type="spellEnd"/>
            <w:r>
              <w:rPr>
                <w:rFonts w:ascii="Inter" w:hAnsi="Inter" w:cstheme="minorHAnsi"/>
                <w:sz w:val="24"/>
                <w:szCs w:val="24"/>
              </w:rPr>
              <w:t xml:space="preserve"> liabilities (“</w:t>
            </w:r>
            <w:r>
              <w:rPr>
                <w:rStyle w:val="InstructionsTabelleberschrift"/>
                <w:rFonts w:ascii="Inter" w:hAnsi="Inter" w:cstheme="minorHAnsi"/>
                <w:sz w:val="24"/>
                <w:szCs w:val="24"/>
              </w:rPr>
              <w:t>Unused prior permission amounts, to the extent that the permission covers an eligible liabilities instrument, shall be considered other bail-</w:t>
            </w:r>
            <w:proofErr w:type="spellStart"/>
            <w:r>
              <w:rPr>
                <w:rStyle w:val="InstructionsTabelleberschrift"/>
                <w:rFonts w:ascii="Inter" w:hAnsi="Inter" w:cstheme="minorHAnsi"/>
                <w:sz w:val="24"/>
                <w:szCs w:val="24"/>
              </w:rPr>
              <w:t>inable</w:t>
            </w:r>
            <w:proofErr w:type="spellEnd"/>
            <w:r>
              <w:rPr>
                <w:rStyle w:val="InstructionsTabelleberschrift"/>
                <w:rFonts w:ascii="Inter" w:hAnsi="Inter" w:cstheme="minorHAnsi"/>
                <w:sz w:val="24"/>
                <w:szCs w:val="24"/>
              </w:rPr>
              <w:t xml:space="preserve"> liabilities for the purposes of these rows”)</w:t>
            </w:r>
            <w:r>
              <w:rPr>
                <w:rFonts w:ascii="Inter" w:hAnsi="Inter" w:cstheme="minorHAnsi"/>
                <w:sz w:val="24"/>
                <w:szCs w:val="24"/>
              </w:rPr>
              <w:t>:</w:t>
            </w:r>
          </w:p>
          <w:p w14:paraId="1FFAA03C"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 xml:space="preserve">Not clear whether this amount shall cover also ad-hoc permissions provided for callable instruments where no sufficient certainty is given that the call option will be executed, e.g. prior to public announcement of the intention of the institution to call the instrument. </w:t>
            </w:r>
          </w:p>
          <w:p w14:paraId="6CE1F250" w14:textId="77777777" w:rsidR="00202478" w:rsidRDefault="00202478">
            <w:pPr>
              <w:pStyle w:val="Kommentartext"/>
              <w:spacing w:line="256" w:lineRule="auto"/>
              <w:rPr>
                <w:rFonts w:ascii="Inter" w:hAnsi="Inter" w:cstheme="minorHAnsi"/>
                <w:sz w:val="24"/>
                <w:szCs w:val="24"/>
              </w:rPr>
            </w:pPr>
          </w:p>
          <w:p w14:paraId="3319E312"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3.2. M06.00 – Creditor ranking (resolution entity) (RANK)</w:t>
            </w:r>
          </w:p>
          <w:p w14:paraId="0328F4B2"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3.2.2 Instructions concerning specific positions</w:t>
            </w:r>
          </w:p>
          <w:p w14:paraId="55400B42" w14:textId="77777777" w:rsidR="00202478" w:rsidRDefault="00202478">
            <w:pPr>
              <w:pStyle w:val="Kommentartext"/>
              <w:spacing w:line="256" w:lineRule="auto"/>
              <w:rPr>
                <w:rFonts w:ascii="Inter" w:hAnsi="Inter" w:cstheme="minorHAnsi"/>
                <w:sz w:val="24"/>
                <w:szCs w:val="24"/>
              </w:rPr>
            </w:pPr>
            <w:r>
              <w:rPr>
                <w:rFonts w:ascii="Inter" w:hAnsi="Inter" w:cstheme="minorHAnsi"/>
                <w:sz w:val="24"/>
                <w:szCs w:val="24"/>
              </w:rPr>
              <w:t>Comment to items 0700 – 0100 (</w:t>
            </w:r>
            <w:r>
              <w:rPr>
                <w:rFonts w:ascii="Inter" w:hAnsi="Inter" w:cstheme="minorHAnsi"/>
                <w:b/>
                <w:bCs/>
                <w:sz w:val="24"/>
                <w:szCs w:val="24"/>
              </w:rPr>
              <w:t>of which: with a residual maturity of</w:t>
            </w:r>
            <w:r>
              <w:rPr>
                <w:rFonts w:ascii="Inter" w:hAnsi="Inter" w:cstheme="minorHAnsi"/>
                <w:sz w:val="24"/>
                <w:szCs w:val="24"/>
              </w:rPr>
              <w:t>):</w:t>
            </w:r>
          </w:p>
          <w:p w14:paraId="14FCBE78" w14:textId="77777777" w:rsidR="00202478" w:rsidRDefault="00202478">
            <w:pPr>
              <w:spacing w:line="256" w:lineRule="auto"/>
              <w:rPr>
                <w:rFonts w:cs="Arial"/>
                <w:sz w:val="24"/>
                <w:szCs w:val="24"/>
                <w:lang w:val="en-US"/>
              </w:rPr>
            </w:pPr>
            <w:r>
              <w:rPr>
                <w:rFonts w:cs="Arial"/>
                <w:sz w:val="24"/>
                <w:szCs w:val="24"/>
                <w:lang w:val="en-GB"/>
              </w:rPr>
              <w:t xml:space="preserve">In this positions the </w:t>
            </w:r>
            <w:r>
              <w:rPr>
                <w:rFonts w:cs="Arial"/>
                <w:sz w:val="24"/>
                <w:szCs w:val="24"/>
                <w:lang w:val="en-US"/>
              </w:rPr>
              <w:t>eligible liabilities and own fund instruments are reported, sorted by their ranks.</w:t>
            </w:r>
            <w:r>
              <w:rPr>
                <w:sz w:val="24"/>
                <w:szCs w:val="24"/>
                <w:lang w:val="en-US"/>
              </w:rPr>
              <w:t xml:space="preserve"> </w:t>
            </w:r>
            <w:r>
              <w:rPr>
                <w:rFonts w:cs="Arial"/>
                <w:sz w:val="24"/>
                <w:szCs w:val="24"/>
                <w:lang w:val="en-US"/>
              </w:rPr>
              <w:t xml:space="preserve">T2 instruments are differentiated into the own funds eligible part and the rest (not recognized as own funds part). </w:t>
            </w:r>
          </w:p>
          <w:p w14:paraId="3F23C3C1" w14:textId="77777777" w:rsidR="00202478" w:rsidRDefault="00202478">
            <w:pPr>
              <w:spacing w:line="256" w:lineRule="auto"/>
              <w:rPr>
                <w:rFonts w:cs="Arial"/>
                <w:sz w:val="24"/>
                <w:szCs w:val="24"/>
                <w:lang w:val="en-US" w:eastAsia="fr-FR"/>
              </w:rPr>
            </w:pPr>
            <w:r>
              <w:rPr>
                <w:rFonts w:cs="Arial"/>
                <w:sz w:val="24"/>
                <w:szCs w:val="24"/>
                <w:lang w:val="en-US"/>
              </w:rPr>
              <w:t>The own funds eligible part is also MREL eligible if its residual maturity is &lt;1 year.</w:t>
            </w:r>
          </w:p>
          <w:p w14:paraId="5A19ABDD" w14:textId="77777777" w:rsidR="00202478" w:rsidRDefault="00202478">
            <w:pPr>
              <w:spacing w:line="256" w:lineRule="auto"/>
              <w:rPr>
                <w:rFonts w:cs="Arial"/>
                <w:sz w:val="24"/>
                <w:szCs w:val="24"/>
                <w:lang w:val="en-US"/>
              </w:rPr>
            </w:pPr>
            <w:r>
              <w:rPr>
                <w:rFonts w:cs="Arial"/>
                <w:sz w:val="24"/>
                <w:szCs w:val="24"/>
                <w:lang w:val="en-US"/>
              </w:rPr>
              <w:t>However, there is only the possibility to report own funds and eligible liabilities with a residual maturity of &gt; than 1 year.</w:t>
            </w:r>
          </w:p>
          <w:p w14:paraId="25E31494" w14:textId="77777777" w:rsidR="00202478" w:rsidRDefault="00202478">
            <w:pPr>
              <w:spacing w:line="256" w:lineRule="auto"/>
              <w:rPr>
                <w:color w:val="000000"/>
                <w:sz w:val="24"/>
                <w:szCs w:val="24"/>
                <w:lang w:val="en-US" w:eastAsia="de-AT"/>
              </w:rPr>
            </w:pPr>
            <w:r>
              <w:rPr>
                <w:rFonts w:cs="Arial"/>
                <w:sz w:val="24"/>
                <w:szCs w:val="24"/>
                <w:lang w:val="en-US"/>
              </w:rPr>
              <w:t xml:space="preserve">Furthermore, there is a validation rule that compares the total value per own funds and eligible liabilities with the sum of the values broken down by maturities. As the own funds eligible part &lt; 1 year cannot be reported, this validation rule can be broken. It is therefore necessary to report </w:t>
            </w:r>
            <w:r>
              <w:rPr>
                <w:color w:val="000000"/>
                <w:sz w:val="24"/>
                <w:szCs w:val="24"/>
                <w:lang w:val="en-US" w:eastAsia="de-AT"/>
              </w:rPr>
              <w:t xml:space="preserve">to report the own funds and eligible liabilities &lt; than 1 year. </w:t>
            </w:r>
          </w:p>
          <w:p w14:paraId="13993CB2" w14:textId="77777777" w:rsidR="00202478" w:rsidRDefault="00202478">
            <w:pPr>
              <w:spacing w:line="256" w:lineRule="auto"/>
              <w:rPr>
                <w:rFonts w:cstheme="minorHAnsi"/>
                <w:sz w:val="24"/>
                <w:szCs w:val="24"/>
                <w:lang w:val="en-US" w:eastAsia="zh-CN"/>
              </w:rPr>
            </w:pPr>
          </w:p>
          <w:p w14:paraId="78BA44B7" w14:textId="77777777" w:rsidR="00202478" w:rsidRDefault="00202478">
            <w:pPr>
              <w:spacing w:line="256" w:lineRule="auto"/>
              <w:rPr>
                <w:rFonts w:cstheme="minorHAnsi"/>
                <w:sz w:val="24"/>
                <w:szCs w:val="24"/>
                <w:lang w:val="en-US" w:eastAsia="zh-CN"/>
              </w:rPr>
            </w:pPr>
          </w:p>
        </w:tc>
      </w:tr>
    </w:tbl>
    <w:p w14:paraId="7FAB756C" w14:textId="77777777" w:rsidR="00202478" w:rsidRDefault="00202478" w:rsidP="00202478">
      <w:pPr>
        <w:suppressAutoHyphens/>
        <w:rPr>
          <w:rFonts w:ascii="Gotham Office" w:hAnsi="Gotham Office"/>
          <w:i/>
          <w:iCs/>
          <w:sz w:val="22"/>
          <w:lang w:val="en-GB"/>
        </w:rPr>
      </w:pPr>
    </w:p>
    <w:p w14:paraId="6FC4BA8D" w14:textId="77777777" w:rsidR="00202478" w:rsidRDefault="00202478" w:rsidP="00202478">
      <w:pPr>
        <w:rPr>
          <w:rFonts w:ascii="Gotham Office" w:hAnsi="Gotham Office"/>
          <w:i/>
          <w:iCs/>
          <w:sz w:val="22"/>
          <w:lang w:val="en-GB"/>
        </w:rPr>
      </w:pPr>
    </w:p>
    <w:p w14:paraId="28593710" w14:textId="77777777" w:rsidR="000B1390" w:rsidRPr="00202478" w:rsidRDefault="000B1390" w:rsidP="000B1390">
      <w:pPr>
        <w:rPr>
          <w:b/>
          <w:lang w:val="en-GB"/>
        </w:rPr>
      </w:pPr>
    </w:p>
    <w:sectPr w:rsidR="000B1390" w:rsidRPr="00202478" w:rsidSect="00E736C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A31A" w14:textId="77777777" w:rsidR="006D0216" w:rsidRDefault="006D0216" w:rsidP="000B1390">
      <w:r>
        <w:separator/>
      </w:r>
    </w:p>
  </w:endnote>
  <w:endnote w:type="continuationSeparator" w:id="0">
    <w:p w14:paraId="5BAB5A2F" w14:textId="77777777" w:rsidR="006D0216" w:rsidRDefault="006D0216" w:rsidP="000B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altName w:val="Calibri"/>
    <w:charset w:val="00"/>
    <w:family w:val="auto"/>
    <w:pitch w:val="variable"/>
    <w:sig w:usb0="E0000AFF" w:usb1="5200A1FF" w:usb2="00000021" w:usb3="00000000" w:csb0="000001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otham Office">
    <w:altName w:val="Calibri"/>
    <w:charset w:val="00"/>
    <w:family w:val="auto"/>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B597" w14:textId="77777777" w:rsidR="006D0216" w:rsidRDefault="006D0216" w:rsidP="000B1390">
      <w:r>
        <w:separator/>
      </w:r>
    </w:p>
  </w:footnote>
  <w:footnote w:type="continuationSeparator" w:id="0">
    <w:p w14:paraId="4EB38E2B" w14:textId="77777777" w:rsidR="006D0216" w:rsidRDefault="006D0216" w:rsidP="000B1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2643" w14:textId="77777777" w:rsidR="000B1390" w:rsidRDefault="000B1390" w:rsidP="000B1390">
    <w:pPr>
      <w:pStyle w:val="Kopfzeile"/>
      <w:jc w:val="right"/>
    </w:pPr>
    <w:r>
      <w:rPr>
        <w:noProof/>
        <w:lang w:val="de-AT" w:eastAsia="de-AT"/>
      </w:rPr>
      <w:drawing>
        <wp:inline distT="0" distB="0" distL="0" distR="0" wp14:anchorId="7B8CC865" wp14:editId="62F0CF03">
          <wp:extent cx="2210435" cy="861695"/>
          <wp:effectExtent l="0" t="0" r="0" b="0"/>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A6D37"/>
    <w:multiLevelType w:val="hybridMultilevel"/>
    <w:tmpl w:val="BB5EA3A4"/>
    <w:lvl w:ilvl="0" w:tplc="561E3B38">
      <w:start w:val="1"/>
      <w:numFmt w:val="lowerLetter"/>
      <w:lvlText w:val="%1)"/>
      <w:lvlJc w:val="left"/>
      <w:pPr>
        <w:ind w:left="720" w:hanging="360"/>
      </w:pPr>
      <w:rPr>
        <w:i w:val="0"/>
        <w:color w:val="000000"/>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737D6242"/>
    <w:multiLevelType w:val="hybridMultilevel"/>
    <w:tmpl w:val="20BC47CE"/>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750C1CE1"/>
    <w:multiLevelType w:val="multilevel"/>
    <w:tmpl w:val="4210C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3398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0988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603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76"/>
    <w:rsid w:val="00002CAE"/>
    <w:rsid w:val="0000713F"/>
    <w:rsid w:val="000127E2"/>
    <w:rsid w:val="00012D1A"/>
    <w:rsid w:val="00016D43"/>
    <w:rsid w:val="0003719F"/>
    <w:rsid w:val="00041E2C"/>
    <w:rsid w:val="000608E2"/>
    <w:rsid w:val="00061D80"/>
    <w:rsid w:val="000641B8"/>
    <w:rsid w:val="00071001"/>
    <w:rsid w:val="0007258A"/>
    <w:rsid w:val="00075857"/>
    <w:rsid w:val="00082C8C"/>
    <w:rsid w:val="000A71B3"/>
    <w:rsid w:val="000A71EA"/>
    <w:rsid w:val="000B1390"/>
    <w:rsid w:val="000B7855"/>
    <w:rsid w:val="000C4EA0"/>
    <w:rsid w:val="000D607B"/>
    <w:rsid w:val="000D7CD2"/>
    <w:rsid w:val="000F1496"/>
    <w:rsid w:val="000F69DE"/>
    <w:rsid w:val="00102C32"/>
    <w:rsid w:val="00102E04"/>
    <w:rsid w:val="00103E15"/>
    <w:rsid w:val="00106C6F"/>
    <w:rsid w:val="00123FF7"/>
    <w:rsid w:val="001455FF"/>
    <w:rsid w:val="00166D5F"/>
    <w:rsid w:val="001675EA"/>
    <w:rsid w:val="00170452"/>
    <w:rsid w:val="00193FBA"/>
    <w:rsid w:val="001A04D8"/>
    <w:rsid w:val="001A1F7F"/>
    <w:rsid w:val="001A529D"/>
    <w:rsid w:val="001C4255"/>
    <w:rsid w:val="001C5380"/>
    <w:rsid w:val="001E2D12"/>
    <w:rsid w:val="001F25D1"/>
    <w:rsid w:val="00200EC8"/>
    <w:rsid w:val="0020107C"/>
    <w:rsid w:val="00202478"/>
    <w:rsid w:val="00213287"/>
    <w:rsid w:val="00220E0E"/>
    <w:rsid w:val="00226ADD"/>
    <w:rsid w:val="00240497"/>
    <w:rsid w:val="00250FE6"/>
    <w:rsid w:val="002535CA"/>
    <w:rsid w:val="00253970"/>
    <w:rsid w:val="00261C4B"/>
    <w:rsid w:val="00271D63"/>
    <w:rsid w:val="00275B78"/>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891"/>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7A59"/>
    <w:rsid w:val="005501F5"/>
    <w:rsid w:val="005534B9"/>
    <w:rsid w:val="00596D89"/>
    <w:rsid w:val="005A368F"/>
    <w:rsid w:val="005A7E33"/>
    <w:rsid w:val="005B7474"/>
    <w:rsid w:val="005B7B2B"/>
    <w:rsid w:val="005C5376"/>
    <w:rsid w:val="005D0BA5"/>
    <w:rsid w:val="005D282D"/>
    <w:rsid w:val="005D3BF4"/>
    <w:rsid w:val="005D6B25"/>
    <w:rsid w:val="005D714A"/>
    <w:rsid w:val="005F6829"/>
    <w:rsid w:val="0060498F"/>
    <w:rsid w:val="00617DBA"/>
    <w:rsid w:val="006230DC"/>
    <w:rsid w:val="00626C2B"/>
    <w:rsid w:val="00627133"/>
    <w:rsid w:val="00631FED"/>
    <w:rsid w:val="006327CF"/>
    <w:rsid w:val="00640476"/>
    <w:rsid w:val="0066391E"/>
    <w:rsid w:val="00665515"/>
    <w:rsid w:val="00667712"/>
    <w:rsid w:val="006A78D2"/>
    <w:rsid w:val="006B464D"/>
    <w:rsid w:val="006D0216"/>
    <w:rsid w:val="006D58B7"/>
    <w:rsid w:val="006E0005"/>
    <w:rsid w:val="006E2E0E"/>
    <w:rsid w:val="006E5EB7"/>
    <w:rsid w:val="006F2C6D"/>
    <w:rsid w:val="007050C2"/>
    <w:rsid w:val="00714225"/>
    <w:rsid w:val="00733E21"/>
    <w:rsid w:val="00737458"/>
    <w:rsid w:val="00744E03"/>
    <w:rsid w:val="00746591"/>
    <w:rsid w:val="007572B2"/>
    <w:rsid w:val="00757D59"/>
    <w:rsid w:val="007624B1"/>
    <w:rsid w:val="00764C39"/>
    <w:rsid w:val="00765216"/>
    <w:rsid w:val="00765322"/>
    <w:rsid w:val="007766FC"/>
    <w:rsid w:val="00780333"/>
    <w:rsid w:val="00782F87"/>
    <w:rsid w:val="00786DF5"/>
    <w:rsid w:val="007A6524"/>
    <w:rsid w:val="007D472B"/>
    <w:rsid w:val="007D6064"/>
    <w:rsid w:val="007F0DCC"/>
    <w:rsid w:val="007F47AD"/>
    <w:rsid w:val="008042C9"/>
    <w:rsid w:val="008108F3"/>
    <w:rsid w:val="00813C58"/>
    <w:rsid w:val="00813D37"/>
    <w:rsid w:val="00822213"/>
    <w:rsid w:val="00831F79"/>
    <w:rsid w:val="00835A38"/>
    <w:rsid w:val="008401B3"/>
    <w:rsid w:val="00841B66"/>
    <w:rsid w:val="0085688E"/>
    <w:rsid w:val="00861D96"/>
    <w:rsid w:val="00864BB9"/>
    <w:rsid w:val="00873CCE"/>
    <w:rsid w:val="00875856"/>
    <w:rsid w:val="008862DB"/>
    <w:rsid w:val="00886998"/>
    <w:rsid w:val="00897409"/>
    <w:rsid w:val="008A0FF8"/>
    <w:rsid w:val="008A24DF"/>
    <w:rsid w:val="008A5AC0"/>
    <w:rsid w:val="008A713B"/>
    <w:rsid w:val="008B46EE"/>
    <w:rsid w:val="008C62EC"/>
    <w:rsid w:val="008D08A5"/>
    <w:rsid w:val="008D6D1E"/>
    <w:rsid w:val="008F40A5"/>
    <w:rsid w:val="00905D69"/>
    <w:rsid w:val="00947228"/>
    <w:rsid w:val="00951D89"/>
    <w:rsid w:val="00954E0A"/>
    <w:rsid w:val="00964715"/>
    <w:rsid w:val="00976333"/>
    <w:rsid w:val="00982719"/>
    <w:rsid w:val="00990658"/>
    <w:rsid w:val="009A789A"/>
    <w:rsid w:val="009B14CE"/>
    <w:rsid w:val="009C03D8"/>
    <w:rsid w:val="009C58B4"/>
    <w:rsid w:val="009D6188"/>
    <w:rsid w:val="009F7963"/>
    <w:rsid w:val="00A01D86"/>
    <w:rsid w:val="00A04226"/>
    <w:rsid w:val="00A07A71"/>
    <w:rsid w:val="00A26AF1"/>
    <w:rsid w:val="00A30D99"/>
    <w:rsid w:val="00A40993"/>
    <w:rsid w:val="00A40F7B"/>
    <w:rsid w:val="00A44660"/>
    <w:rsid w:val="00A66229"/>
    <w:rsid w:val="00A675D0"/>
    <w:rsid w:val="00A70DB1"/>
    <w:rsid w:val="00A741F1"/>
    <w:rsid w:val="00AC215F"/>
    <w:rsid w:val="00AC28F5"/>
    <w:rsid w:val="00AC617A"/>
    <w:rsid w:val="00AD057B"/>
    <w:rsid w:val="00AD104F"/>
    <w:rsid w:val="00AD16CA"/>
    <w:rsid w:val="00AD6225"/>
    <w:rsid w:val="00AE2B70"/>
    <w:rsid w:val="00B05EEA"/>
    <w:rsid w:val="00B158EE"/>
    <w:rsid w:val="00B20F70"/>
    <w:rsid w:val="00B259C5"/>
    <w:rsid w:val="00B27DDA"/>
    <w:rsid w:val="00B313B9"/>
    <w:rsid w:val="00B3531E"/>
    <w:rsid w:val="00B56534"/>
    <w:rsid w:val="00BA1C24"/>
    <w:rsid w:val="00BB4B43"/>
    <w:rsid w:val="00BB5056"/>
    <w:rsid w:val="00BB6754"/>
    <w:rsid w:val="00BC2477"/>
    <w:rsid w:val="00BC6C12"/>
    <w:rsid w:val="00BC7C05"/>
    <w:rsid w:val="00BD39D5"/>
    <w:rsid w:val="00BD567B"/>
    <w:rsid w:val="00BE79A7"/>
    <w:rsid w:val="00BF2B69"/>
    <w:rsid w:val="00BF312C"/>
    <w:rsid w:val="00C04A90"/>
    <w:rsid w:val="00C10E89"/>
    <w:rsid w:val="00C160EC"/>
    <w:rsid w:val="00C36B74"/>
    <w:rsid w:val="00C41076"/>
    <w:rsid w:val="00C42CFE"/>
    <w:rsid w:val="00C65C5C"/>
    <w:rsid w:val="00C779A5"/>
    <w:rsid w:val="00C8448C"/>
    <w:rsid w:val="00CB1F99"/>
    <w:rsid w:val="00CB2BF0"/>
    <w:rsid w:val="00CB4B04"/>
    <w:rsid w:val="00CB71CB"/>
    <w:rsid w:val="00CD434B"/>
    <w:rsid w:val="00CD6209"/>
    <w:rsid w:val="00CD7345"/>
    <w:rsid w:val="00CE4DF9"/>
    <w:rsid w:val="00CE7A80"/>
    <w:rsid w:val="00CF5188"/>
    <w:rsid w:val="00CF54DF"/>
    <w:rsid w:val="00D00A67"/>
    <w:rsid w:val="00D00D00"/>
    <w:rsid w:val="00D14A7A"/>
    <w:rsid w:val="00D4620F"/>
    <w:rsid w:val="00D5367E"/>
    <w:rsid w:val="00D55033"/>
    <w:rsid w:val="00D55BF3"/>
    <w:rsid w:val="00D60841"/>
    <w:rsid w:val="00D60F35"/>
    <w:rsid w:val="00D615F1"/>
    <w:rsid w:val="00D710D2"/>
    <w:rsid w:val="00D86C87"/>
    <w:rsid w:val="00D90FF5"/>
    <w:rsid w:val="00D956B6"/>
    <w:rsid w:val="00D96F6A"/>
    <w:rsid w:val="00DA36D8"/>
    <w:rsid w:val="00DA37ED"/>
    <w:rsid w:val="00DA5D6E"/>
    <w:rsid w:val="00DB3E70"/>
    <w:rsid w:val="00DB65F5"/>
    <w:rsid w:val="00DB6699"/>
    <w:rsid w:val="00DC7BC0"/>
    <w:rsid w:val="00DD11C1"/>
    <w:rsid w:val="00DD288B"/>
    <w:rsid w:val="00DD6B4B"/>
    <w:rsid w:val="00DE516A"/>
    <w:rsid w:val="00DE5505"/>
    <w:rsid w:val="00DE7501"/>
    <w:rsid w:val="00DF0080"/>
    <w:rsid w:val="00E11A80"/>
    <w:rsid w:val="00E33347"/>
    <w:rsid w:val="00E3381F"/>
    <w:rsid w:val="00E4476D"/>
    <w:rsid w:val="00E50617"/>
    <w:rsid w:val="00E51955"/>
    <w:rsid w:val="00E70AE7"/>
    <w:rsid w:val="00E736C4"/>
    <w:rsid w:val="00E76A26"/>
    <w:rsid w:val="00E8086C"/>
    <w:rsid w:val="00E95F0C"/>
    <w:rsid w:val="00EA367F"/>
    <w:rsid w:val="00EA45D0"/>
    <w:rsid w:val="00EB42A2"/>
    <w:rsid w:val="00EB432D"/>
    <w:rsid w:val="00EB5344"/>
    <w:rsid w:val="00EC5392"/>
    <w:rsid w:val="00EC5E56"/>
    <w:rsid w:val="00EC6603"/>
    <w:rsid w:val="00EE25FD"/>
    <w:rsid w:val="00F11A35"/>
    <w:rsid w:val="00F12014"/>
    <w:rsid w:val="00F2629E"/>
    <w:rsid w:val="00F31D66"/>
    <w:rsid w:val="00F325D3"/>
    <w:rsid w:val="00F45B5D"/>
    <w:rsid w:val="00F56473"/>
    <w:rsid w:val="00F61A15"/>
    <w:rsid w:val="00F7001B"/>
    <w:rsid w:val="00F723C7"/>
    <w:rsid w:val="00F83DC8"/>
    <w:rsid w:val="00F86929"/>
    <w:rsid w:val="00F94622"/>
    <w:rsid w:val="00FA68C6"/>
    <w:rsid w:val="00FA7B80"/>
    <w:rsid w:val="00FB3022"/>
    <w:rsid w:val="00FB5F64"/>
    <w:rsid w:val="00FC6679"/>
    <w:rsid w:val="00FD3DA0"/>
    <w:rsid w:val="00FE13A5"/>
    <w:rsid w:val="00FF43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6B67"/>
  <w15:docId w15:val="{219064D0-860E-4109-B3BD-21FC76D6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2478"/>
    <w:pPr>
      <w:spacing w:line="240" w:lineRule="auto"/>
    </w:pPr>
    <w:rPr>
      <w:rFonts w:ascii="Inter" w:eastAsia="Calibri" w:hAnsi="Inter" w:cs="Times New Roman"/>
      <w:color w:val="303030"/>
      <w:sz w:val="20"/>
    </w:rPr>
  </w:style>
  <w:style w:type="paragraph" w:styleId="berschrift1">
    <w:name w:val="heading 1"/>
    <w:basedOn w:val="Standard"/>
    <w:next w:val="Standard"/>
    <w:link w:val="berschrift1Zchn"/>
    <w:qFormat/>
    <w:rsid w:val="00BC2477"/>
    <w:pPr>
      <w:keepNext/>
      <w:pageBreakBefore/>
      <w:spacing w:after="360" w:line="280" w:lineRule="atLeast"/>
      <w:outlineLvl w:val="0"/>
    </w:pPr>
    <w:rPr>
      <w:rFonts w:ascii="Optima" w:eastAsia="Times New Roman" w:hAnsi="Optima"/>
      <w:b/>
      <w:caps/>
      <w:color w:val="auto"/>
      <w:kern w:val="28"/>
      <w:sz w:val="48"/>
      <w:szCs w:val="20"/>
      <w:lang w:val="de-DE" w:eastAsia="de-DE"/>
    </w:rPr>
  </w:style>
  <w:style w:type="paragraph" w:styleId="berschrift2">
    <w:name w:val="heading 2"/>
    <w:basedOn w:val="Standard"/>
    <w:next w:val="Standard"/>
    <w:link w:val="berschrift2Zchn"/>
    <w:qFormat/>
    <w:rsid w:val="00BC2477"/>
    <w:pPr>
      <w:keepNext/>
      <w:spacing w:before="240" w:after="240" w:line="280" w:lineRule="atLeast"/>
      <w:outlineLvl w:val="1"/>
    </w:pPr>
    <w:rPr>
      <w:rFonts w:ascii="Optima" w:eastAsia="Times New Roman" w:hAnsi="Optima"/>
      <w:b/>
      <w:caps/>
      <w:color w:val="auto"/>
      <w:sz w:val="32"/>
      <w:szCs w:val="20"/>
      <w:lang w:val="de-DE" w:eastAsia="de-DE"/>
    </w:rPr>
  </w:style>
  <w:style w:type="paragraph" w:styleId="berschrift3">
    <w:name w:val="heading 3"/>
    <w:basedOn w:val="Standard"/>
    <w:next w:val="Standard"/>
    <w:link w:val="berschrift3Zchn"/>
    <w:uiPriority w:val="9"/>
    <w:qFormat/>
    <w:rsid w:val="00BC2477"/>
    <w:pPr>
      <w:keepNext/>
      <w:spacing w:before="240" w:after="240" w:line="280" w:lineRule="atLeast"/>
      <w:outlineLvl w:val="2"/>
    </w:pPr>
    <w:rPr>
      <w:rFonts w:ascii="Optima" w:eastAsia="Times New Roman" w:hAnsi="Optima"/>
      <w:b/>
      <w:color w:val="auto"/>
      <w:sz w:val="2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eastAsia="Times New Roman" w:hAnsi="Tahoma" w:cs="Tahoma"/>
      <w:color w:val="auto"/>
      <w:sz w:val="16"/>
      <w:szCs w:val="16"/>
      <w:lang w:val="de-DE" w:eastAsia="de-DE"/>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pPr>
      <w:spacing w:line="280" w:lineRule="atLeast"/>
    </w:pPr>
    <w:rPr>
      <w:rFonts w:ascii="Trebuchet MS" w:eastAsia="Times New Roman" w:hAnsi="Trebuchet MS"/>
      <w:color w:val="auto"/>
      <w:sz w:val="18"/>
      <w:szCs w:val="20"/>
      <w:lang w:val="de-DE" w:eastAsia="de-DE"/>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uiPriority w:val="9"/>
    <w:rsid w:val="00BC2477"/>
    <w:rPr>
      <w:rFonts w:ascii="Optima" w:eastAsia="Times New Roman" w:hAnsi="Optima" w:cs="Times New Roman"/>
      <w:b/>
      <w:sz w:val="28"/>
      <w:szCs w:val="20"/>
      <w:lang w:val="de-DE" w:eastAsia="de-DE"/>
    </w:rPr>
  </w:style>
  <w:style w:type="table" w:styleId="Tabellenraster">
    <w:name w:val="Table Grid"/>
    <w:basedOn w:val="NormaleTabelle"/>
    <w:rsid w:val="00C41076"/>
    <w:pPr>
      <w:spacing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B1390"/>
    <w:pPr>
      <w:tabs>
        <w:tab w:val="center" w:pos="4536"/>
        <w:tab w:val="right" w:pos="9072"/>
      </w:tabs>
    </w:pPr>
    <w:rPr>
      <w:rFonts w:ascii="Trebuchet MS" w:eastAsia="Times New Roman" w:hAnsi="Trebuchet MS"/>
      <w:color w:val="auto"/>
      <w:sz w:val="22"/>
      <w:szCs w:val="20"/>
      <w:lang w:val="de-DE" w:eastAsia="de-DE"/>
    </w:rPr>
  </w:style>
  <w:style w:type="character" w:customStyle="1" w:styleId="KopfzeileZchn">
    <w:name w:val="Kopfzeile Zchn"/>
    <w:basedOn w:val="Absatz-Standardschriftart"/>
    <w:link w:val="Kopfzeile"/>
    <w:uiPriority w:val="99"/>
    <w:rsid w:val="000B1390"/>
    <w:rPr>
      <w:rFonts w:ascii="Trebuchet MS" w:hAnsi="Trebuchet MS" w:cs="Times New Roman"/>
      <w:szCs w:val="20"/>
      <w:lang w:val="de-DE" w:eastAsia="de-DE"/>
    </w:rPr>
  </w:style>
  <w:style w:type="paragraph" w:styleId="Fuzeile">
    <w:name w:val="footer"/>
    <w:basedOn w:val="Standard"/>
    <w:link w:val="FuzeileZchn"/>
    <w:uiPriority w:val="99"/>
    <w:unhideWhenUsed/>
    <w:rsid w:val="000B1390"/>
    <w:pPr>
      <w:tabs>
        <w:tab w:val="center" w:pos="4536"/>
        <w:tab w:val="right" w:pos="9072"/>
      </w:tabs>
    </w:pPr>
    <w:rPr>
      <w:rFonts w:ascii="Trebuchet MS" w:eastAsia="Times New Roman" w:hAnsi="Trebuchet MS"/>
      <w:color w:val="auto"/>
      <w:sz w:val="22"/>
      <w:szCs w:val="20"/>
      <w:lang w:val="de-DE" w:eastAsia="de-DE"/>
    </w:rPr>
  </w:style>
  <w:style w:type="character" w:customStyle="1" w:styleId="FuzeileZchn">
    <w:name w:val="Fußzeile Zchn"/>
    <w:basedOn w:val="Absatz-Standardschriftart"/>
    <w:link w:val="Fuzeile"/>
    <w:uiPriority w:val="99"/>
    <w:rsid w:val="000B1390"/>
    <w:rPr>
      <w:rFonts w:ascii="Trebuchet MS" w:hAnsi="Trebuchet MS" w:cs="Times New Roman"/>
      <w:szCs w:val="20"/>
      <w:lang w:val="de-DE" w:eastAsia="de-DE"/>
    </w:rPr>
  </w:style>
  <w:style w:type="paragraph" w:styleId="Listenabsatz">
    <w:name w:val="List Paragraph"/>
    <w:basedOn w:val="Standard"/>
    <w:uiPriority w:val="1"/>
    <w:qFormat/>
    <w:rsid w:val="005A368F"/>
    <w:pPr>
      <w:ind w:left="720"/>
    </w:pPr>
    <w:rPr>
      <w:rFonts w:ascii="Calibri" w:eastAsiaTheme="minorHAnsi" w:hAnsi="Calibri" w:cs="Calibri"/>
      <w:color w:val="auto"/>
      <w:sz w:val="22"/>
      <w:lang w:eastAsia="de-AT"/>
    </w:rPr>
  </w:style>
  <w:style w:type="character" w:styleId="Hyperlink">
    <w:name w:val="Hyperlink"/>
    <w:uiPriority w:val="99"/>
    <w:semiHidden/>
    <w:unhideWhenUsed/>
    <w:rsid w:val="00202478"/>
    <w:rPr>
      <w:color w:val="0000FF"/>
      <w:u w:val="single"/>
    </w:rPr>
  </w:style>
  <w:style w:type="paragraph" w:styleId="Kommentartext">
    <w:name w:val="annotation text"/>
    <w:basedOn w:val="Standard"/>
    <w:link w:val="KommentartextZchn"/>
    <w:uiPriority w:val="99"/>
    <w:semiHidden/>
    <w:unhideWhenUsed/>
    <w:rsid w:val="00202478"/>
    <w:pPr>
      <w:jc w:val="both"/>
    </w:pPr>
    <w:rPr>
      <w:rFonts w:ascii="Verdana" w:eastAsia="Times New Roman" w:hAnsi="Verdana"/>
      <w:color w:val="auto"/>
      <w:szCs w:val="20"/>
      <w:lang w:val="en-GB" w:eastAsia="fr-FR"/>
    </w:rPr>
  </w:style>
  <w:style w:type="character" w:customStyle="1" w:styleId="KommentartextZchn">
    <w:name w:val="Kommentartext Zchn"/>
    <w:basedOn w:val="Absatz-Standardschriftart"/>
    <w:link w:val="Kommentartext"/>
    <w:uiPriority w:val="99"/>
    <w:semiHidden/>
    <w:rsid w:val="00202478"/>
    <w:rPr>
      <w:rFonts w:ascii="Verdana" w:hAnsi="Verdana" w:cs="Times New Roman"/>
      <w:sz w:val="20"/>
      <w:szCs w:val="20"/>
      <w:lang w:val="en-GB" w:eastAsia="fr-FR"/>
    </w:rPr>
  </w:style>
  <w:style w:type="character" w:styleId="Kommentarzeichen">
    <w:name w:val="annotation reference"/>
    <w:basedOn w:val="Absatz-Standardschriftart"/>
    <w:uiPriority w:val="99"/>
    <w:semiHidden/>
    <w:unhideWhenUsed/>
    <w:rsid w:val="00202478"/>
    <w:rPr>
      <w:sz w:val="16"/>
      <w:szCs w:val="16"/>
    </w:rPr>
  </w:style>
  <w:style w:type="character" w:customStyle="1" w:styleId="FormatvorlageInstructionsTabelleText">
    <w:name w:val="Formatvorlage Instructions Tabelle Text"/>
    <w:uiPriority w:val="99"/>
    <w:qFormat/>
    <w:rsid w:val="00202478"/>
    <w:rPr>
      <w:rFonts w:ascii="Verdana" w:hAnsi="Verdana" w:cs="Times New Roman" w:hint="default"/>
      <w:bCs/>
      <w:strike w:val="0"/>
      <w:dstrike w:val="0"/>
      <w:sz w:val="20"/>
      <w:u w:val="none"/>
      <w:effect w:val="none"/>
    </w:rPr>
  </w:style>
  <w:style w:type="character" w:customStyle="1" w:styleId="InstructionsTabelleberschrift">
    <w:name w:val="Instructions Tabelle Überschrift"/>
    <w:qFormat/>
    <w:rsid w:val="00202478"/>
    <w:rPr>
      <w:rFonts w:ascii="Verdana" w:hAnsi="Verdana" w:cs="Times New Roman" w:hint="default"/>
      <w:b/>
      <w:bCs/>
      <w:sz w:val="20"/>
      <w:u w:val="single"/>
    </w:rPr>
  </w:style>
  <w:style w:type="character" w:styleId="Fett">
    <w:name w:val="Strong"/>
    <w:basedOn w:val="Absatz-Standardschriftart"/>
    <w:uiPriority w:val="22"/>
    <w:qFormat/>
    <w:rsid w:val="00202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744">
      <w:bodyDiv w:val="1"/>
      <w:marLeft w:val="0"/>
      <w:marRight w:val="0"/>
      <w:marTop w:val="0"/>
      <w:marBottom w:val="0"/>
      <w:divBdr>
        <w:top w:val="none" w:sz="0" w:space="0" w:color="auto"/>
        <w:left w:val="none" w:sz="0" w:space="0" w:color="auto"/>
        <w:bottom w:val="none" w:sz="0" w:space="0" w:color="auto"/>
        <w:right w:val="none" w:sz="0" w:space="0" w:color="auto"/>
      </w:divBdr>
    </w:div>
    <w:div w:id="392581085">
      <w:bodyDiv w:val="1"/>
      <w:marLeft w:val="0"/>
      <w:marRight w:val="0"/>
      <w:marTop w:val="0"/>
      <w:marBottom w:val="0"/>
      <w:divBdr>
        <w:top w:val="none" w:sz="0" w:space="0" w:color="auto"/>
        <w:left w:val="none" w:sz="0" w:space="0" w:color="auto"/>
        <w:bottom w:val="none" w:sz="0" w:space="0" w:color="auto"/>
        <w:right w:val="none" w:sz="0" w:space="0" w:color="auto"/>
      </w:divBdr>
    </w:div>
    <w:div w:id="618990455">
      <w:bodyDiv w:val="1"/>
      <w:marLeft w:val="0"/>
      <w:marRight w:val="0"/>
      <w:marTop w:val="0"/>
      <w:marBottom w:val="0"/>
      <w:divBdr>
        <w:top w:val="none" w:sz="0" w:space="0" w:color="auto"/>
        <w:left w:val="none" w:sz="0" w:space="0" w:color="auto"/>
        <w:bottom w:val="none" w:sz="0" w:space="0" w:color="auto"/>
        <w:right w:val="none" w:sz="0" w:space="0" w:color="auto"/>
      </w:divBdr>
    </w:div>
    <w:div w:id="1053848965">
      <w:bodyDiv w:val="1"/>
      <w:marLeft w:val="0"/>
      <w:marRight w:val="0"/>
      <w:marTop w:val="0"/>
      <w:marBottom w:val="0"/>
      <w:divBdr>
        <w:top w:val="none" w:sz="0" w:space="0" w:color="auto"/>
        <w:left w:val="none" w:sz="0" w:space="0" w:color="auto"/>
        <w:bottom w:val="none" w:sz="0" w:space="0" w:color="auto"/>
        <w:right w:val="none" w:sz="0" w:space="0" w:color="auto"/>
      </w:divBdr>
    </w:div>
    <w:div w:id="20859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a.europa.eu/single-rule-book-qa/-/qna/view/publicId/2017_3277" TargetMode="External"/><Relationship Id="rId3" Type="http://schemas.openxmlformats.org/officeDocument/2006/relationships/settings" Target="settings.xml"/><Relationship Id="rId7" Type="http://schemas.openxmlformats.org/officeDocument/2006/relationships/hyperlink" Target="https://www.eba.europa.eu/single-rule-book-qa/-/qna/view/publicId/2017_32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6653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 Bernhard, Dr, WKÖ BSBV</dc:creator>
  <cp:keywords/>
  <dc:description/>
  <cp:lastModifiedBy>Egger Bernhard | WKOE</cp:lastModifiedBy>
  <cp:revision>3</cp:revision>
  <dcterms:created xsi:type="dcterms:W3CDTF">2023-08-16T14:23:00Z</dcterms:created>
  <dcterms:modified xsi:type="dcterms:W3CDTF">2023-08-16T14:27:00Z</dcterms:modified>
</cp:coreProperties>
</file>