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320E" w14:textId="42F22904" w:rsidR="00CE1074" w:rsidRPr="00CE1074" w:rsidRDefault="00CE1074" w:rsidP="00CE1074">
      <w:pPr>
        <w:spacing w:after="0" w:line="240" w:lineRule="auto"/>
        <w:ind w:left="270"/>
        <w:jc w:val="right"/>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xml:space="preserve">Brussels, </w:t>
      </w:r>
      <w:r w:rsidR="002A25AA">
        <w:rPr>
          <w:rFonts w:ascii="Verdana" w:eastAsia="Times New Roman" w:hAnsi="Verdana" w:cs="Segoe UI"/>
          <w:kern w:val="0"/>
          <w:sz w:val="20"/>
          <w:szCs w:val="20"/>
          <w14:ligatures w14:val="none"/>
        </w:rPr>
        <w:t>22</w:t>
      </w:r>
      <w:r>
        <w:rPr>
          <w:rFonts w:ascii="Verdana" w:eastAsia="Times New Roman" w:hAnsi="Verdana" w:cs="Segoe UI"/>
          <w:kern w:val="0"/>
          <w:sz w:val="20"/>
          <w:szCs w:val="20"/>
          <w14:ligatures w14:val="none"/>
        </w:rPr>
        <w:t xml:space="preserve"> August 2023</w:t>
      </w:r>
    </w:p>
    <w:p w14:paraId="401433EE"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6218FA11"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733E3863"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3506227B"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47658D8B"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1DF3E491" w14:textId="77777777" w:rsidR="00CE1074" w:rsidRDefault="00CE1074" w:rsidP="00CE1074">
      <w:pPr>
        <w:spacing w:after="0" w:line="240" w:lineRule="auto"/>
        <w:jc w:val="both"/>
        <w:textAlignment w:val="baseline"/>
        <w:rPr>
          <w:rFonts w:ascii="Verdana" w:eastAsia="Times New Roman" w:hAnsi="Verdana" w:cs="Segoe UI"/>
          <w:kern w:val="0"/>
          <w:sz w:val="20"/>
          <w:szCs w:val="20"/>
          <w14:ligatures w14:val="none"/>
        </w:rPr>
      </w:pPr>
      <w:r w:rsidRPr="00CE1074">
        <w:rPr>
          <w:rFonts w:ascii="Verdana" w:eastAsia="Times New Roman" w:hAnsi="Verdana" w:cs="Segoe UI"/>
          <w:kern w:val="0"/>
          <w:sz w:val="20"/>
          <w:szCs w:val="20"/>
          <w14:ligatures w14:val="none"/>
        </w:rPr>
        <w:t> </w:t>
      </w:r>
    </w:p>
    <w:p w14:paraId="6901242A" w14:textId="77777777" w:rsidR="009D5FEF" w:rsidRPr="00CE1074" w:rsidRDefault="009D5FEF" w:rsidP="00CE1074">
      <w:pPr>
        <w:spacing w:after="0" w:line="240" w:lineRule="auto"/>
        <w:jc w:val="both"/>
        <w:textAlignment w:val="baseline"/>
        <w:rPr>
          <w:rFonts w:ascii="Segoe UI" w:eastAsia="Times New Roman" w:hAnsi="Segoe UI" w:cs="Segoe UI"/>
          <w:kern w:val="0"/>
          <w:sz w:val="18"/>
          <w:szCs w:val="18"/>
          <w14:ligatures w14:val="none"/>
        </w:rPr>
      </w:pPr>
    </w:p>
    <w:p w14:paraId="309444B3"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431C5F71"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18"/>
          <w:szCs w:val="18"/>
          <w14:ligatures w14:val="none"/>
        </w:rPr>
        <w:t> </w:t>
      </w:r>
    </w:p>
    <w:p w14:paraId="1DC89C2D" w14:textId="435EE9B6" w:rsidR="0016219F" w:rsidRPr="0016219F" w:rsidRDefault="00CE1074" w:rsidP="0016219F">
      <w:pPr>
        <w:spacing w:after="0" w:line="240" w:lineRule="auto"/>
        <w:jc w:val="center"/>
        <w:textAlignment w:val="baseline"/>
        <w:rPr>
          <w:rFonts w:ascii="Verdana" w:eastAsia="Times New Roman" w:hAnsi="Verdana" w:cs="Segoe UI"/>
          <w:b/>
          <w:bCs/>
          <w:color w:val="767171"/>
          <w:kern w:val="0"/>
          <w:sz w:val="28"/>
          <w:szCs w:val="28"/>
          <w:lang w:val="en-GB"/>
          <w14:ligatures w14:val="none"/>
        </w:rPr>
      </w:pPr>
      <w:r w:rsidRPr="00CE1074">
        <w:rPr>
          <w:rFonts w:ascii="Verdana" w:eastAsia="Times New Roman" w:hAnsi="Verdana" w:cs="Segoe UI"/>
          <w:b/>
          <w:bCs/>
          <w:color w:val="767171"/>
          <w:kern w:val="0"/>
          <w:sz w:val="28"/>
          <w:szCs w:val="28"/>
          <w:lang w:val="en-GB"/>
          <w14:ligatures w14:val="none"/>
        </w:rPr>
        <w:t>EACB answer to the</w:t>
      </w:r>
      <w:r w:rsidR="0016219F">
        <w:rPr>
          <w:rFonts w:ascii="Verdana" w:eastAsia="Times New Roman" w:hAnsi="Verdana" w:cs="Segoe UI"/>
          <w:b/>
          <w:bCs/>
          <w:color w:val="767171"/>
          <w:kern w:val="0"/>
          <w:sz w:val="28"/>
          <w:szCs w:val="28"/>
          <w:lang w:val="en-GB"/>
          <w14:ligatures w14:val="none"/>
        </w:rPr>
        <w:t xml:space="preserve"> EBA consultation on the</w:t>
      </w:r>
      <w:r w:rsidRPr="00CE1074">
        <w:rPr>
          <w:rFonts w:ascii="Verdana" w:eastAsia="Times New Roman" w:hAnsi="Verdana" w:cs="Segoe UI"/>
          <w:b/>
          <w:bCs/>
          <w:color w:val="767171"/>
          <w:kern w:val="0"/>
          <w:sz w:val="28"/>
          <w:szCs w:val="28"/>
          <w:lang w:val="en-GB"/>
          <w14:ligatures w14:val="none"/>
        </w:rPr>
        <w:t xml:space="preserve"> </w:t>
      </w:r>
      <w:r w:rsidR="0016219F" w:rsidRPr="0016219F">
        <w:rPr>
          <w:rFonts w:ascii="Verdana" w:eastAsia="Times New Roman" w:hAnsi="Verdana" w:cs="Segoe UI"/>
          <w:b/>
          <w:bCs/>
          <w:color w:val="767171"/>
          <w:kern w:val="0"/>
          <w:sz w:val="28"/>
          <w:szCs w:val="28"/>
          <w:lang w:val="en-GB"/>
          <w14:ligatures w14:val="none"/>
        </w:rPr>
        <w:t xml:space="preserve">Guidelines amending Guidelines EBA/2021/02 on customer due </w:t>
      </w:r>
    </w:p>
    <w:p w14:paraId="51B89C15" w14:textId="7BFBF277" w:rsidR="00CE1074" w:rsidRPr="00CE1074" w:rsidRDefault="0016219F" w:rsidP="0016219F">
      <w:pPr>
        <w:spacing w:after="0" w:line="240" w:lineRule="auto"/>
        <w:jc w:val="center"/>
        <w:textAlignment w:val="baseline"/>
        <w:rPr>
          <w:rFonts w:ascii="Verdana" w:eastAsia="Times New Roman" w:hAnsi="Verdana" w:cs="Segoe UI"/>
          <w:b/>
          <w:bCs/>
          <w:color w:val="767171"/>
          <w:kern w:val="0"/>
          <w:sz w:val="28"/>
          <w:szCs w:val="28"/>
          <w:lang w:val="en-GB"/>
          <w14:ligatures w14:val="none"/>
        </w:rPr>
      </w:pPr>
      <w:r w:rsidRPr="0016219F">
        <w:rPr>
          <w:rFonts w:ascii="Verdana" w:eastAsia="Times New Roman" w:hAnsi="Verdana" w:cs="Segoe UI"/>
          <w:b/>
          <w:bCs/>
          <w:color w:val="767171"/>
          <w:kern w:val="0"/>
          <w:sz w:val="28"/>
          <w:szCs w:val="28"/>
          <w:lang w:val="en-GB"/>
          <w14:ligatures w14:val="none"/>
        </w:rPr>
        <w:t>diligence and the factors credit and financial institutions should consider when assessing the money laundering and terrorist financing risk associated with individual business relationships and occasional transactions (‘The ML/TF Risk Factors Guidelines’) under Articles 17 and 18(4) of Directive (EU) 2015/849</w:t>
      </w:r>
      <w:r w:rsidR="00CE1074" w:rsidRPr="00CE1074">
        <w:rPr>
          <w:rFonts w:ascii="Verdana" w:eastAsia="Times New Roman" w:hAnsi="Verdana" w:cs="Segoe UI"/>
          <w:color w:val="315594"/>
          <w:kern w:val="0"/>
          <w:sz w:val="28"/>
          <w:szCs w:val="28"/>
          <w14:ligatures w14:val="none"/>
        </w:rPr>
        <w:t> </w:t>
      </w:r>
    </w:p>
    <w:p w14:paraId="3248B9EE" w14:textId="77777777" w:rsidR="00CE1074" w:rsidRPr="00CE1074" w:rsidRDefault="00CE1074" w:rsidP="00CE1074">
      <w:pPr>
        <w:spacing w:after="0" w:line="240" w:lineRule="auto"/>
        <w:jc w:val="center"/>
        <w:textAlignment w:val="baseline"/>
        <w:rPr>
          <w:rFonts w:ascii="Segoe UI" w:eastAsia="Times New Roman" w:hAnsi="Segoe UI" w:cs="Segoe UI"/>
          <w:kern w:val="0"/>
          <w:sz w:val="18"/>
          <w:szCs w:val="18"/>
          <w14:ligatures w14:val="none"/>
        </w:rPr>
      </w:pPr>
      <w:r w:rsidRPr="00CE1074">
        <w:rPr>
          <w:rFonts w:ascii="Verdana" w:eastAsia="Times New Roman" w:hAnsi="Verdana" w:cs="Segoe UI"/>
          <w:color w:val="315594"/>
          <w:kern w:val="0"/>
          <w:sz w:val="28"/>
          <w:szCs w:val="28"/>
          <w14:ligatures w14:val="none"/>
        </w:rPr>
        <w:t> </w:t>
      </w:r>
    </w:p>
    <w:p w14:paraId="2B11B34F" w14:textId="77777777" w:rsidR="00CE1074" w:rsidRPr="00CE1074" w:rsidRDefault="00CE1074" w:rsidP="00CE1074">
      <w:pPr>
        <w:spacing w:after="0" w:line="240" w:lineRule="auto"/>
        <w:jc w:val="center"/>
        <w:textAlignment w:val="baseline"/>
        <w:rPr>
          <w:rFonts w:ascii="Segoe UI" w:eastAsia="Times New Roman" w:hAnsi="Segoe UI" w:cs="Segoe UI"/>
          <w:kern w:val="0"/>
          <w:sz w:val="18"/>
          <w:szCs w:val="18"/>
          <w14:ligatures w14:val="none"/>
        </w:rPr>
      </w:pPr>
      <w:r w:rsidRPr="00CE1074">
        <w:rPr>
          <w:rFonts w:ascii="Verdana" w:eastAsia="Times New Roman" w:hAnsi="Verdana" w:cs="Segoe UI"/>
          <w:color w:val="315594"/>
          <w:kern w:val="0"/>
          <w:sz w:val="28"/>
          <w:szCs w:val="28"/>
          <w14:ligatures w14:val="none"/>
        </w:rPr>
        <w:t> </w:t>
      </w:r>
    </w:p>
    <w:p w14:paraId="61189AFD" w14:textId="77777777" w:rsidR="00CE1074" w:rsidRPr="00CE1074" w:rsidRDefault="00CE1074" w:rsidP="00CE1074">
      <w:pPr>
        <w:spacing w:after="0" w:line="240" w:lineRule="auto"/>
        <w:jc w:val="center"/>
        <w:textAlignment w:val="baseline"/>
        <w:rPr>
          <w:rFonts w:ascii="Segoe UI" w:eastAsia="Times New Roman" w:hAnsi="Segoe UI" w:cs="Segoe UI"/>
          <w:kern w:val="0"/>
          <w:sz w:val="18"/>
          <w:szCs w:val="18"/>
          <w14:ligatures w14:val="none"/>
        </w:rPr>
      </w:pPr>
      <w:r w:rsidRPr="00CE1074">
        <w:rPr>
          <w:rFonts w:ascii="Verdana" w:eastAsia="Times New Roman" w:hAnsi="Verdana" w:cs="Segoe UI"/>
          <w:color w:val="315594"/>
          <w:kern w:val="0"/>
          <w:sz w:val="28"/>
          <w:szCs w:val="28"/>
          <w14:ligatures w14:val="none"/>
        </w:rPr>
        <w:t> </w:t>
      </w:r>
    </w:p>
    <w:p w14:paraId="07FECC15" w14:textId="43E026A5" w:rsidR="00CE1074" w:rsidRPr="00CE1074" w:rsidRDefault="00CE1074" w:rsidP="00CE1074">
      <w:pPr>
        <w:spacing w:after="0" w:line="240" w:lineRule="auto"/>
        <w:jc w:val="center"/>
        <w:textAlignment w:val="baseline"/>
        <w:rPr>
          <w:rFonts w:ascii="Segoe UI" w:eastAsia="Times New Roman" w:hAnsi="Segoe UI" w:cs="Segoe UI"/>
          <w:kern w:val="0"/>
          <w:sz w:val="18"/>
          <w:szCs w:val="18"/>
          <w14:ligatures w14:val="none"/>
        </w:rPr>
      </w:pPr>
      <w:r>
        <w:rPr>
          <w:rFonts w:ascii="Verdana" w:eastAsia="Times New Roman" w:hAnsi="Verdana" w:cs="Segoe UI"/>
          <w:b/>
          <w:bCs/>
          <w:color w:val="767171"/>
          <w:kern w:val="0"/>
          <w:sz w:val="28"/>
          <w:szCs w:val="28"/>
          <w:lang w:val="en-GB"/>
          <w14:ligatures w14:val="none"/>
        </w:rPr>
        <w:t>August 2023</w:t>
      </w:r>
      <w:r w:rsidRPr="00CE1074">
        <w:rPr>
          <w:rFonts w:ascii="Verdana" w:eastAsia="Times New Roman" w:hAnsi="Verdana" w:cs="Segoe UI"/>
          <w:color w:val="767171"/>
          <w:kern w:val="0"/>
          <w:sz w:val="28"/>
          <w:szCs w:val="28"/>
          <w14:ligatures w14:val="none"/>
        </w:rPr>
        <w:t> </w:t>
      </w:r>
    </w:p>
    <w:p w14:paraId="54E7F1E2" w14:textId="77777777" w:rsidR="00CE1074" w:rsidRPr="00CE1074" w:rsidRDefault="00CE1074" w:rsidP="00CE1074">
      <w:pPr>
        <w:spacing w:after="0" w:line="240" w:lineRule="auto"/>
        <w:jc w:val="center"/>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32"/>
          <w:szCs w:val="32"/>
          <w14:ligatures w14:val="none"/>
        </w:rPr>
        <w:t> </w:t>
      </w:r>
    </w:p>
    <w:p w14:paraId="6137440A"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203A24C7"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71A1A468"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612D19DF"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1A467607"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3C47A8B2" w14:textId="5EF0BB10" w:rsidR="009D5FEF" w:rsidRPr="00CE1074" w:rsidRDefault="009D5FEF" w:rsidP="00CE1074">
      <w:pPr>
        <w:spacing w:after="0" w:line="240" w:lineRule="auto"/>
        <w:jc w:val="both"/>
        <w:textAlignment w:val="baseline"/>
        <w:rPr>
          <w:rFonts w:ascii="Verdana" w:eastAsia="Times New Roman" w:hAnsi="Verdana" w:cs="Segoe UI"/>
          <w:kern w:val="0"/>
          <w:sz w:val="20"/>
          <w:szCs w:val="20"/>
          <w14:ligatures w14:val="none"/>
        </w:rPr>
      </w:pPr>
    </w:p>
    <w:p w14:paraId="2A7891EE"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6E831918"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3666B26B" w14:textId="77777777" w:rsidR="00CE1074" w:rsidRPr="00CE1074" w:rsidRDefault="00CE1074" w:rsidP="00CE1074">
      <w:pPr>
        <w:spacing w:after="0" w:line="240" w:lineRule="auto"/>
        <w:jc w:val="both"/>
        <w:textAlignment w:val="baseline"/>
        <w:rPr>
          <w:rFonts w:ascii="Segoe UI" w:eastAsia="Times New Roman" w:hAnsi="Segoe UI" w:cs="Segoe UI"/>
          <w:kern w:val="0"/>
          <w:sz w:val="18"/>
          <w:szCs w:val="18"/>
          <w14:ligatures w14:val="none"/>
        </w:rPr>
      </w:pPr>
      <w:r w:rsidRPr="00CE1074">
        <w:rPr>
          <w:rFonts w:ascii="Verdana" w:eastAsia="Times New Roman" w:hAnsi="Verdana" w:cs="Segoe UI"/>
          <w:kern w:val="0"/>
          <w:sz w:val="20"/>
          <w:szCs w:val="20"/>
          <w14:ligatures w14:val="none"/>
        </w:rPr>
        <w:t> </w:t>
      </w:r>
    </w:p>
    <w:p w14:paraId="3D2963DE" w14:textId="77777777" w:rsidR="009D5FEF" w:rsidRDefault="009D5FEF" w:rsidP="009D5FEF">
      <w:pPr>
        <w:ind w:left="138"/>
        <w:jc w:val="both"/>
        <w:rPr>
          <w:rFonts w:ascii="Verdana" w:hAnsi="Verdana"/>
          <w:sz w:val="20"/>
          <w:szCs w:val="20"/>
        </w:rPr>
      </w:pPr>
      <w:r w:rsidRPr="00601C32">
        <w:rPr>
          <w:rFonts w:ascii="Verdana" w:hAnsi="Verdana" w:cs="Times New Roman"/>
          <w:color w:val="000000"/>
          <w:sz w:val="20"/>
          <w:szCs w:val="20"/>
        </w:rPr>
        <w:t xml:space="preserve">The </w:t>
      </w:r>
      <w:r w:rsidRPr="00601C32">
        <w:rPr>
          <w:rFonts w:ascii="Verdana" w:hAnsi="Verdana" w:cs="Times New Roman"/>
          <w:b/>
          <w:bCs/>
          <w:color w:val="000000"/>
          <w:sz w:val="20"/>
          <w:szCs w:val="20"/>
        </w:rPr>
        <w:t>European Association of Co-operative Banks</w:t>
      </w:r>
      <w:r w:rsidRPr="00601C32">
        <w:rPr>
          <w:rFonts w:ascii="Verdana" w:hAnsi="Verdana" w:cs="Times New Roman"/>
          <w:color w:val="000000"/>
          <w:sz w:val="20"/>
          <w:szCs w:val="20"/>
        </w:rPr>
        <w:t xml:space="preserve"> </w:t>
      </w:r>
      <w:r w:rsidRPr="00601C32">
        <w:rPr>
          <w:rFonts w:ascii="Verdana" w:eastAsia="Times New Roman" w:hAnsi="Verdana" w:cs="Times New Roman"/>
          <w:color w:val="000000"/>
          <w:sz w:val="20"/>
          <w:szCs w:val="20"/>
          <w:lang w:eastAsia="fr-FR"/>
        </w:rPr>
        <w:t>(</w:t>
      </w:r>
      <w:hyperlink r:id="rId11" w:history="1">
        <w:r w:rsidRPr="00601C32">
          <w:rPr>
            <w:rStyle w:val="Hyperlink"/>
            <w:rFonts w:ascii="Verdana" w:eastAsia="Times New Roman" w:hAnsi="Verdana" w:cs="Times New Roman"/>
            <w:sz w:val="20"/>
            <w:szCs w:val="20"/>
            <w:lang w:eastAsia="fr-FR"/>
          </w:rPr>
          <w:t>EACB</w:t>
        </w:r>
      </w:hyperlink>
      <w:r w:rsidRPr="00601C32">
        <w:rPr>
          <w:rFonts w:ascii="Verdana" w:eastAsia="Times New Roman" w:hAnsi="Verdana" w:cs="Times New Roman"/>
          <w:color w:val="000000"/>
          <w:sz w:val="20"/>
          <w:szCs w:val="20"/>
          <w:lang w:eastAsia="fr-FR"/>
        </w:rPr>
        <w:t>)</w:t>
      </w:r>
      <w:r w:rsidRPr="00601C32">
        <w:rPr>
          <w:rFonts w:ascii="Verdana" w:hAnsi="Verdana" w:cs="Times New Roman"/>
          <w:color w:val="000000"/>
          <w:sz w:val="20"/>
          <w:szCs w:val="20"/>
        </w:rPr>
        <w:t xml:space="preserve"> is the voice of the cooperative banks in Europe. It represents, promotes and defends the common interests of its 26 member institutions and of cooperative banks in general. Cooperative banks form </w:t>
      </w:r>
      <w:proofErr w:type="spellStart"/>
      <w:r w:rsidRPr="00601C32">
        <w:rPr>
          <w:rFonts w:ascii="Verdana" w:hAnsi="Verdana" w:cs="Times New Roman"/>
          <w:color w:val="000000"/>
          <w:sz w:val="20"/>
          <w:szCs w:val="20"/>
        </w:rPr>
        <w:t>decentralised</w:t>
      </w:r>
      <w:proofErr w:type="spellEnd"/>
      <w:r w:rsidRPr="00601C32">
        <w:rPr>
          <w:rFonts w:ascii="Verdana" w:hAnsi="Verdana" w:cs="Times New Roman"/>
          <w:color w:val="000000"/>
          <w:sz w:val="20"/>
          <w:szCs w:val="20"/>
        </w:rPr>
        <w:t xml:space="preserve"> networks which are subject to banking as well as cooperative legislation. Democracy, transparency and proximity are the three key characteristics of the cooperative banks’ business model. With 2,700 locally operating banks and 40,000 outlets co-operative banks are widely represented throughout the enlarged European Union, playing a major role in the financial and economic system. They have a long tradition in serving 227 million customers, mainly consumers, retailers and communities. The co-operative banks in Europe represent 89 million members and 720,000 employees and have a total average market share of about 20%.</w:t>
      </w:r>
    </w:p>
    <w:p w14:paraId="77E90BAB" w14:textId="77777777" w:rsidR="009D5FEF" w:rsidRPr="00865AAD" w:rsidRDefault="009D5FEF" w:rsidP="009D5FEF">
      <w:pPr>
        <w:ind w:left="138"/>
        <w:jc w:val="both"/>
        <w:rPr>
          <w:rFonts w:ascii="Verdana" w:hAnsi="Verdana"/>
          <w:sz w:val="20"/>
          <w:szCs w:val="20"/>
        </w:rPr>
      </w:pPr>
    </w:p>
    <w:p w14:paraId="08FAA9FA" w14:textId="7CD8E1C2" w:rsidR="00685815" w:rsidRPr="0016219F" w:rsidRDefault="009D5FEF" w:rsidP="0016219F">
      <w:pPr>
        <w:spacing w:after="0"/>
        <w:ind w:left="138" w:right="5117"/>
        <w:rPr>
          <w:rFonts w:ascii="Verdana" w:eastAsia="Verdana" w:hAnsi="Verdana" w:cs="Verdana"/>
          <w:color w:val="0000FF"/>
          <w:sz w:val="20"/>
          <w:szCs w:val="20"/>
          <w:u w:val="single" w:color="0000FF"/>
        </w:rPr>
      </w:pPr>
      <w:r w:rsidRPr="00601C32">
        <w:rPr>
          <w:rFonts w:ascii="Verdana" w:eastAsia="Verdana" w:hAnsi="Verdana" w:cs="Verdana"/>
          <w:spacing w:val="1"/>
          <w:sz w:val="20"/>
          <w:szCs w:val="20"/>
        </w:rPr>
        <w:t>F</w:t>
      </w:r>
      <w:r w:rsidRPr="00601C32">
        <w:rPr>
          <w:rFonts w:ascii="Verdana" w:eastAsia="Verdana" w:hAnsi="Verdana" w:cs="Verdana"/>
          <w:spacing w:val="-1"/>
          <w:sz w:val="20"/>
          <w:szCs w:val="20"/>
        </w:rPr>
        <w:t>o</w:t>
      </w:r>
      <w:r w:rsidRPr="00601C32">
        <w:rPr>
          <w:rFonts w:ascii="Verdana" w:eastAsia="Verdana" w:hAnsi="Verdana" w:cs="Verdana"/>
          <w:sz w:val="20"/>
          <w:szCs w:val="20"/>
        </w:rPr>
        <w:t>r</w:t>
      </w:r>
      <w:r w:rsidRPr="00601C32">
        <w:rPr>
          <w:rFonts w:ascii="Times New Roman" w:eastAsia="Times New Roman" w:hAnsi="Times New Roman" w:cs="Times New Roman"/>
          <w:spacing w:val="18"/>
          <w:sz w:val="20"/>
          <w:szCs w:val="20"/>
        </w:rPr>
        <w:t xml:space="preserve"> </w:t>
      </w:r>
      <w:r w:rsidRPr="00601C32">
        <w:rPr>
          <w:rFonts w:ascii="Verdana" w:eastAsia="Verdana" w:hAnsi="Verdana" w:cs="Verdana"/>
          <w:sz w:val="20"/>
          <w:szCs w:val="20"/>
        </w:rPr>
        <w:t>f</w:t>
      </w:r>
      <w:r w:rsidRPr="00601C32">
        <w:rPr>
          <w:rFonts w:ascii="Verdana" w:eastAsia="Verdana" w:hAnsi="Verdana" w:cs="Verdana"/>
          <w:spacing w:val="1"/>
          <w:sz w:val="20"/>
          <w:szCs w:val="20"/>
        </w:rPr>
        <w:t>u</w:t>
      </w:r>
      <w:r w:rsidRPr="00601C32">
        <w:rPr>
          <w:rFonts w:ascii="Verdana" w:eastAsia="Verdana" w:hAnsi="Verdana" w:cs="Verdana"/>
          <w:spacing w:val="-1"/>
          <w:sz w:val="20"/>
          <w:szCs w:val="20"/>
        </w:rPr>
        <w:t>r</w:t>
      </w:r>
      <w:r w:rsidRPr="00601C32">
        <w:rPr>
          <w:rFonts w:ascii="Verdana" w:eastAsia="Verdana" w:hAnsi="Verdana" w:cs="Verdana"/>
          <w:spacing w:val="1"/>
          <w:sz w:val="20"/>
          <w:szCs w:val="20"/>
        </w:rPr>
        <w:t>the</w:t>
      </w:r>
      <w:r w:rsidRPr="00601C32">
        <w:rPr>
          <w:rFonts w:ascii="Verdana" w:eastAsia="Verdana" w:hAnsi="Verdana" w:cs="Verdana"/>
          <w:sz w:val="20"/>
          <w:szCs w:val="20"/>
        </w:rPr>
        <w:t>r</w:t>
      </w:r>
      <w:r w:rsidRPr="00601C32">
        <w:rPr>
          <w:rFonts w:ascii="Times New Roman" w:eastAsia="Times New Roman" w:hAnsi="Times New Roman" w:cs="Times New Roman"/>
          <w:spacing w:val="12"/>
          <w:sz w:val="20"/>
          <w:szCs w:val="20"/>
        </w:rPr>
        <w:t xml:space="preserve"> </w:t>
      </w:r>
      <w:r w:rsidRPr="00601C32">
        <w:rPr>
          <w:rFonts w:ascii="Verdana" w:eastAsia="Verdana" w:hAnsi="Verdana" w:cs="Verdana"/>
          <w:spacing w:val="3"/>
          <w:sz w:val="20"/>
          <w:szCs w:val="20"/>
        </w:rPr>
        <w:t>d</w:t>
      </w:r>
      <w:r w:rsidRPr="00601C32">
        <w:rPr>
          <w:rFonts w:ascii="Verdana" w:eastAsia="Verdana" w:hAnsi="Verdana" w:cs="Verdana"/>
          <w:spacing w:val="-1"/>
          <w:sz w:val="20"/>
          <w:szCs w:val="20"/>
        </w:rPr>
        <w:t>e</w:t>
      </w:r>
      <w:r w:rsidRPr="00601C32">
        <w:rPr>
          <w:rFonts w:ascii="Verdana" w:eastAsia="Verdana" w:hAnsi="Verdana" w:cs="Verdana"/>
          <w:spacing w:val="1"/>
          <w:sz w:val="20"/>
          <w:szCs w:val="20"/>
        </w:rPr>
        <w:t>t</w:t>
      </w:r>
      <w:r w:rsidRPr="00601C32">
        <w:rPr>
          <w:rFonts w:ascii="Verdana" w:eastAsia="Verdana" w:hAnsi="Verdana" w:cs="Verdana"/>
          <w:sz w:val="20"/>
          <w:szCs w:val="20"/>
        </w:rPr>
        <w:t>a</w:t>
      </w:r>
      <w:r w:rsidRPr="00601C32">
        <w:rPr>
          <w:rFonts w:ascii="Verdana" w:eastAsia="Verdana" w:hAnsi="Verdana" w:cs="Verdana"/>
          <w:spacing w:val="1"/>
          <w:sz w:val="20"/>
          <w:szCs w:val="20"/>
        </w:rPr>
        <w:t>il</w:t>
      </w:r>
      <w:r w:rsidRPr="00601C32">
        <w:rPr>
          <w:rFonts w:ascii="Verdana" w:eastAsia="Verdana" w:hAnsi="Verdana" w:cs="Verdana"/>
          <w:spacing w:val="-1"/>
          <w:sz w:val="20"/>
          <w:szCs w:val="20"/>
        </w:rPr>
        <w:t>s</w:t>
      </w:r>
      <w:r w:rsidRPr="00601C32">
        <w:rPr>
          <w:rFonts w:ascii="Verdana" w:eastAsia="Verdana" w:hAnsi="Verdana" w:cs="Verdana"/>
          <w:sz w:val="20"/>
          <w:szCs w:val="20"/>
        </w:rPr>
        <w:t>,</w:t>
      </w:r>
      <w:r>
        <w:rPr>
          <w:rFonts w:ascii="Times New Roman" w:eastAsia="Times New Roman" w:hAnsi="Times New Roman" w:cs="Times New Roman"/>
          <w:spacing w:val="12"/>
          <w:sz w:val="20"/>
          <w:szCs w:val="20"/>
        </w:rPr>
        <w:t xml:space="preserve"> </w:t>
      </w:r>
      <w:r w:rsidRPr="00601C32">
        <w:rPr>
          <w:rFonts w:ascii="Verdana" w:eastAsia="Verdana" w:hAnsi="Verdana" w:cs="Verdana"/>
          <w:spacing w:val="1"/>
          <w:sz w:val="20"/>
          <w:szCs w:val="20"/>
        </w:rPr>
        <w:t>p</w:t>
      </w:r>
      <w:r w:rsidRPr="00601C32">
        <w:rPr>
          <w:rFonts w:ascii="Verdana" w:eastAsia="Verdana" w:hAnsi="Verdana" w:cs="Verdana"/>
          <w:spacing w:val="3"/>
          <w:sz w:val="20"/>
          <w:szCs w:val="20"/>
        </w:rPr>
        <w:t>l</w:t>
      </w:r>
      <w:r w:rsidRPr="00601C32">
        <w:rPr>
          <w:rFonts w:ascii="Verdana" w:eastAsia="Verdana" w:hAnsi="Verdana" w:cs="Verdana"/>
          <w:spacing w:val="-1"/>
          <w:sz w:val="20"/>
          <w:szCs w:val="20"/>
        </w:rPr>
        <w:t>e</w:t>
      </w:r>
      <w:r w:rsidRPr="00601C32">
        <w:rPr>
          <w:rFonts w:ascii="Verdana" w:eastAsia="Verdana" w:hAnsi="Verdana" w:cs="Verdana"/>
          <w:spacing w:val="3"/>
          <w:sz w:val="20"/>
          <w:szCs w:val="20"/>
        </w:rPr>
        <w:t>a</w:t>
      </w:r>
      <w:r w:rsidRPr="00601C32">
        <w:rPr>
          <w:rFonts w:ascii="Verdana" w:eastAsia="Verdana" w:hAnsi="Verdana" w:cs="Verdana"/>
          <w:spacing w:val="-1"/>
          <w:sz w:val="20"/>
          <w:szCs w:val="20"/>
        </w:rPr>
        <w:t>s</w:t>
      </w:r>
      <w:r w:rsidRPr="00601C32">
        <w:rPr>
          <w:rFonts w:ascii="Verdana" w:eastAsia="Verdana" w:hAnsi="Verdana" w:cs="Verdana"/>
          <w:sz w:val="20"/>
          <w:szCs w:val="20"/>
        </w:rPr>
        <w:t>e</w:t>
      </w:r>
      <w:r w:rsidRPr="00601C32">
        <w:rPr>
          <w:rFonts w:ascii="Times New Roman" w:eastAsia="Times New Roman" w:hAnsi="Times New Roman" w:cs="Times New Roman"/>
          <w:spacing w:val="15"/>
          <w:sz w:val="20"/>
          <w:szCs w:val="20"/>
        </w:rPr>
        <w:t xml:space="preserve"> </w:t>
      </w:r>
      <w:r w:rsidRPr="00601C32">
        <w:rPr>
          <w:rFonts w:ascii="Verdana" w:eastAsia="Verdana" w:hAnsi="Verdana" w:cs="Verdana"/>
          <w:sz w:val="20"/>
          <w:szCs w:val="20"/>
        </w:rPr>
        <w:t>v</w:t>
      </w:r>
      <w:r w:rsidRPr="00601C32">
        <w:rPr>
          <w:rFonts w:ascii="Verdana" w:eastAsia="Verdana" w:hAnsi="Verdana" w:cs="Verdana"/>
          <w:spacing w:val="1"/>
          <w:sz w:val="20"/>
          <w:szCs w:val="20"/>
        </w:rPr>
        <w:t>i</w:t>
      </w:r>
      <w:r w:rsidRPr="00601C32">
        <w:rPr>
          <w:rFonts w:ascii="Verdana" w:eastAsia="Verdana" w:hAnsi="Verdana" w:cs="Verdana"/>
          <w:spacing w:val="-1"/>
          <w:sz w:val="20"/>
          <w:szCs w:val="20"/>
        </w:rPr>
        <w:t>s</w:t>
      </w:r>
      <w:r w:rsidRPr="00601C32">
        <w:rPr>
          <w:rFonts w:ascii="Verdana" w:eastAsia="Verdana" w:hAnsi="Verdana" w:cs="Verdana"/>
          <w:spacing w:val="1"/>
          <w:sz w:val="20"/>
          <w:szCs w:val="20"/>
        </w:rPr>
        <w:t>i</w:t>
      </w:r>
      <w:r w:rsidRPr="00601C32">
        <w:rPr>
          <w:rFonts w:ascii="Verdana" w:eastAsia="Verdana" w:hAnsi="Verdana" w:cs="Verdana"/>
          <w:sz w:val="20"/>
          <w:szCs w:val="20"/>
        </w:rPr>
        <w:t>t</w:t>
      </w:r>
      <w:r w:rsidRPr="00601C32">
        <w:rPr>
          <w:rFonts w:ascii="Times New Roman" w:eastAsia="Times New Roman" w:hAnsi="Times New Roman" w:cs="Times New Roman"/>
          <w:spacing w:val="-3"/>
          <w:sz w:val="20"/>
          <w:szCs w:val="20"/>
        </w:rPr>
        <w:t xml:space="preserve"> </w:t>
      </w:r>
      <w:r w:rsidRPr="00601C32">
        <w:rPr>
          <w:rFonts w:ascii="Verdana" w:eastAsia="Verdana" w:hAnsi="Verdana" w:cs="Verdana"/>
          <w:color w:val="0000FF"/>
          <w:spacing w:val="-33"/>
          <w:sz w:val="20"/>
          <w:szCs w:val="20"/>
        </w:rPr>
        <w:t xml:space="preserve"> </w:t>
      </w:r>
      <w:hyperlink r:id="rId12" w:history="1">
        <w:r w:rsidRPr="00A4121E">
          <w:rPr>
            <w:rStyle w:val="Hyperlink"/>
            <w:rFonts w:ascii="Verdana" w:eastAsia="Verdana" w:hAnsi="Verdana" w:cs="Verdana"/>
            <w:spacing w:val="3"/>
            <w:sz w:val="20"/>
            <w:szCs w:val="20"/>
          </w:rPr>
          <w:t>w</w:t>
        </w:r>
        <w:r w:rsidRPr="00A4121E">
          <w:rPr>
            <w:rStyle w:val="Hyperlink"/>
            <w:rFonts w:ascii="Verdana" w:eastAsia="Verdana" w:hAnsi="Verdana" w:cs="Verdana"/>
            <w:sz w:val="20"/>
            <w:szCs w:val="20"/>
          </w:rPr>
          <w:t>ww</w:t>
        </w:r>
        <w:r w:rsidRPr="00A4121E">
          <w:rPr>
            <w:rStyle w:val="Hyperlink"/>
            <w:rFonts w:ascii="Verdana" w:eastAsia="Verdana" w:hAnsi="Verdana" w:cs="Verdana"/>
            <w:spacing w:val="2"/>
            <w:sz w:val="20"/>
            <w:szCs w:val="20"/>
          </w:rPr>
          <w:t>.</w:t>
        </w:r>
        <w:r w:rsidRPr="00A4121E">
          <w:rPr>
            <w:rStyle w:val="Hyperlink"/>
            <w:rFonts w:ascii="Verdana" w:eastAsia="Verdana" w:hAnsi="Verdana" w:cs="Verdana"/>
            <w:spacing w:val="-1"/>
            <w:sz w:val="20"/>
            <w:szCs w:val="20"/>
          </w:rPr>
          <w:t>e</w:t>
        </w:r>
        <w:r w:rsidRPr="00A4121E">
          <w:rPr>
            <w:rStyle w:val="Hyperlink"/>
            <w:rFonts w:ascii="Verdana" w:eastAsia="Verdana" w:hAnsi="Verdana" w:cs="Verdana"/>
            <w:sz w:val="20"/>
            <w:szCs w:val="20"/>
          </w:rPr>
          <w:t>a</w:t>
        </w:r>
        <w:r w:rsidRPr="00A4121E">
          <w:rPr>
            <w:rStyle w:val="Hyperlink"/>
            <w:rFonts w:ascii="Verdana" w:eastAsia="Verdana" w:hAnsi="Verdana" w:cs="Verdana"/>
            <w:spacing w:val="-1"/>
            <w:sz w:val="20"/>
            <w:szCs w:val="20"/>
          </w:rPr>
          <w:t>c</w:t>
        </w:r>
        <w:r w:rsidRPr="00A4121E">
          <w:rPr>
            <w:rStyle w:val="Hyperlink"/>
            <w:rFonts w:ascii="Verdana" w:eastAsia="Verdana" w:hAnsi="Verdana" w:cs="Verdana"/>
            <w:spacing w:val="1"/>
            <w:sz w:val="20"/>
            <w:szCs w:val="20"/>
          </w:rPr>
          <w:t>b</w:t>
        </w:r>
        <w:r w:rsidRPr="00A4121E">
          <w:rPr>
            <w:rStyle w:val="Hyperlink"/>
            <w:rFonts w:ascii="Verdana" w:eastAsia="Verdana" w:hAnsi="Verdana" w:cs="Verdana"/>
            <w:spacing w:val="2"/>
            <w:sz w:val="20"/>
            <w:szCs w:val="20"/>
          </w:rPr>
          <w:t>.</w:t>
        </w:r>
        <w:r w:rsidRPr="00A4121E">
          <w:rPr>
            <w:rStyle w:val="Hyperlink"/>
            <w:rFonts w:ascii="Verdana" w:eastAsia="Verdana" w:hAnsi="Verdana" w:cs="Verdana"/>
            <w:spacing w:val="-1"/>
            <w:sz w:val="20"/>
            <w:szCs w:val="20"/>
          </w:rPr>
          <w:t>c</w:t>
        </w:r>
        <w:r w:rsidRPr="00A4121E">
          <w:rPr>
            <w:rStyle w:val="Hyperlink"/>
            <w:rFonts w:ascii="Verdana" w:eastAsia="Verdana" w:hAnsi="Verdana" w:cs="Verdana"/>
            <w:spacing w:val="2"/>
            <w:sz w:val="20"/>
            <w:szCs w:val="20"/>
          </w:rPr>
          <w:t>o</w:t>
        </w:r>
        <w:r w:rsidRPr="00A4121E">
          <w:rPr>
            <w:rStyle w:val="Hyperlink"/>
            <w:rFonts w:ascii="Verdana" w:eastAsia="Verdana" w:hAnsi="Verdana" w:cs="Verdana"/>
            <w:spacing w:val="-1"/>
            <w:sz w:val="20"/>
            <w:szCs w:val="20"/>
          </w:rPr>
          <w:t>o</w:t>
        </w:r>
        <w:r w:rsidRPr="00A4121E">
          <w:rPr>
            <w:rStyle w:val="Hyperlink"/>
            <w:rFonts w:ascii="Verdana" w:eastAsia="Verdana" w:hAnsi="Verdana" w:cs="Verdana"/>
            <w:sz w:val="20"/>
            <w:szCs w:val="20"/>
          </w:rPr>
          <w:t>p</w:t>
        </w:r>
      </w:hyperlink>
      <w:r>
        <w:rPr>
          <w:rFonts w:ascii="Verdana" w:eastAsia="Verdana" w:hAnsi="Verdana" w:cs="Verdana"/>
          <w:color w:val="0000FF"/>
          <w:sz w:val="20"/>
          <w:szCs w:val="20"/>
          <w:u w:val="single" w:color="0000FF"/>
        </w:rPr>
        <w:t xml:space="preserve"> </w:t>
      </w:r>
    </w:p>
    <w:p w14:paraId="3969FF28" w14:textId="00D10B2B" w:rsidR="003E09CF" w:rsidRPr="003E09CF" w:rsidRDefault="003E09CF" w:rsidP="003E09CF">
      <w:pPr>
        <w:shd w:val="clear" w:color="auto" w:fill="AEAAAA"/>
        <w:spacing w:after="0" w:line="240" w:lineRule="auto"/>
        <w:jc w:val="both"/>
        <w:textAlignment w:val="baseline"/>
        <w:rPr>
          <w:rFonts w:ascii="Verdana" w:eastAsia="Times New Roman" w:hAnsi="Verdana" w:cs="Segoe UI"/>
          <w:b/>
          <w:bCs/>
          <w:color w:val="767171"/>
          <w:kern w:val="0"/>
          <w:sz w:val="24"/>
          <w:szCs w:val="24"/>
          <w:lang w:val="en-GB"/>
          <w14:ligatures w14:val="none"/>
        </w:rPr>
      </w:pPr>
      <w:r>
        <w:rPr>
          <w:rFonts w:ascii="Verdana" w:eastAsia="Times New Roman" w:hAnsi="Verdana" w:cs="Segoe UI"/>
          <w:b/>
          <w:bCs/>
          <w:color w:val="767171"/>
          <w:kern w:val="0"/>
          <w:sz w:val="24"/>
          <w:szCs w:val="24"/>
          <w:lang w:val="en-GB"/>
          <w14:ligatures w14:val="none"/>
        </w:rPr>
        <w:lastRenderedPageBreak/>
        <w:t>Introduction</w:t>
      </w:r>
    </w:p>
    <w:p w14:paraId="6D39BCD7" w14:textId="77777777" w:rsidR="003E09CF" w:rsidRDefault="003E09CF" w:rsidP="003E09CF">
      <w:pPr>
        <w:spacing w:after="0" w:line="240" w:lineRule="auto"/>
        <w:jc w:val="both"/>
        <w:textAlignment w:val="baseline"/>
        <w:rPr>
          <w:rFonts w:ascii="Verdana" w:eastAsia="Times New Roman" w:hAnsi="Verdana" w:cs="Segoe UI"/>
          <w:kern w:val="0"/>
          <w:sz w:val="20"/>
          <w:szCs w:val="20"/>
          <w14:ligatures w14:val="none"/>
        </w:rPr>
      </w:pPr>
      <w:r w:rsidRPr="00C23E64">
        <w:rPr>
          <w:rFonts w:ascii="Verdana" w:eastAsia="Times New Roman" w:hAnsi="Verdana" w:cs="Segoe UI"/>
          <w:kern w:val="0"/>
          <w:sz w:val="20"/>
          <w:szCs w:val="20"/>
          <w14:ligatures w14:val="none"/>
        </w:rPr>
        <w:t> </w:t>
      </w:r>
    </w:p>
    <w:p w14:paraId="30F854D6" w14:textId="77777777" w:rsidR="00796C57" w:rsidRPr="00796C57" w:rsidRDefault="00796C57" w:rsidP="00796C57">
      <w:pPr>
        <w:spacing w:after="0" w:line="240" w:lineRule="auto"/>
        <w:jc w:val="both"/>
        <w:textAlignment w:val="baseline"/>
        <w:rPr>
          <w:rFonts w:ascii="Segoe UI" w:eastAsia="Times New Roman" w:hAnsi="Segoe UI" w:cs="Segoe UI"/>
          <w:kern w:val="0"/>
          <w:sz w:val="18"/>
          <w:szCs w:val="18"/>
          <w14:ligatures w14:val="none"/>
        </w:rPr>
      </w:pPr>
      <w:r w:rsidRPr="00796C57">
        <w:rPr>
          <w:rFonts w:ascii="Verdana" w:eastAsia="Times New Roman" w:hAnsi="Verdana" w:cs="Segoe UI"/>
          <w:kern w:val="0"/>
          <w:sz w:val="20"/>
          <w:szCs w:val="20"/>
          <w:lang w:val="en-GB"/>
          <w14:ligatures w14:val="none"/>
        </w:rPr>
        <w:t>Europe’s cooperative banks serve 214 million customers, who are mainly consumers, retailers, SMEs and communities. This makes them drivers of local and social growth and major contributors to financial and economic stability by merit of their anti-cyclical behaviour. The main service provided to the retail markets by cooperative banks is the provision of credit – the biggest market share being in consumer loans and mortgage loans. </w:t>
      </w:r>
      <w:r w:rsidRPr="00796C57">
        <w:rPr>
          <w:rFonts w:ascii="Verdana" w:eastAsia="Times New Roman" w:hAnsi="Verdana" w:cs="Segoe UI"/>
          <w:kern w:val="0"/>
          <w:sz w:val="20"/>
          <w:szCs w:val="20"/>
          <w14:ligatures w14:val="none"/>
        </w:rPr>
        <w:t> </w:t>
      </w:r>
    </w:p>
    <w:p w14:paraId="41DB7401" w14:textId="77777777" w:rsidR="00796C57" w:rsidRPr="00796C57" w:rsidRDefault="00796C57" w:rsidP="00796C57">
      <w:pPr>
        <w:spacing w:after="0" w:line="240" w:lineRule="auto"/>
        <w:jc w:val="both"/>
        <w:textAlignment w:val="baseline"/>
        <w:rPr>
          <w:rFonts w:ascii="Segoe UI" w:eastAsia="Times New Roman" w:hAnsi="Segoe UI" w:cs="Segoe UI"/>
          <w:kern w:val="0"/>
          <w:sz w:val="18"/>
          <w:szCs w:val="18"/>
          <w14:ligatures w14:val="none"/>
        </w:rPr>
      </w:pPr>
      <w:r w:rsidRPr="00796C57">
        <w:rPr>
          <w:rFonts w:ascii="Verdana" w:eastAsia="Times New Roman" w:hAnsi="Verdana" w:cs="Segoe UI"/>
          <w:kern w:val="0"/>
          <w:sz w:val="20"/>
          <w:szCs w:val="20"/>
          <w14:ligatures w14:val="none"/>
        </w:rPr>
        <w:t> </w:t>
      </w:r>
    </w:p>
    <w:p w14:paraId="7C8BA952" w14:textId="1FF4CBFD" w:rsidR="004248C7" w:rsidRPr="00791734" w:rsidRDefault="00796C57" w:rsidP="004248C7">
      <w:pPr>
        <w:spacing w:after="0" w:line="240" w:lineRule="auto"/>
        <w:jc w:val="both"/>
        <w:textAlignment w:val="baseline"/>
        <w:rPr>
          <w:rFonts w:ascii="Segoe UI" w:eastAsia="Times New Roman" w:hAnsi="Segoe UI" w:cs="Segoe UI"/>
          <w:kern w:val="0"/>
          <w:sz w:val="18"/>
          <w:szCs w:val="18"/>
          <w14:ligatures w14:val="none"/>
        </w:rPr>
      </w:pPr>
      <w:r w:rsidRPr="00796C57">
        <w:rPr>
          <w:rFonts w:ascii="Verdana" w:eastAsia="Times New Roman" w:hAnsi="Verdana" w:cs="Segoe UI"/>
          <w:kern w:val="0"/>
          <w:sz w:val="20"/>
          <w:szCs w:val="20"/>
          <w:lang w:val="en-GB"/>
          <w14:ligatures w14:val="none"/>
        </w:rPr>
        <w:t>The EACB,</w:t>
      </w:r>
      <w:r w:rsidR="008411CF">
        <w:rPr>
          <w:rFonts w:ascii="Verdana" w:eastAsia="Times New Roman" w:hAnsi="Verdana" w:cs="Segoe UI"/>
          <w:kern w:val="0"/>
          <w:sz w:val="20"/>
          <w:szCs w:val="20"/>
          <w:lang w:val="en-GB"/>
          <w14:ligatures w14:val="none"/>
        </w:rPr>
        <w:t xml:space="preserve"> </w:t>
      </w:r>
      <w:r w:rsidRPr="00796C57">
        <w:rPr>
          <w:rFonts w:ascii="Verdana" w:eastAsia="Times New Roman" w:hAnsi="Verdana" w:cs="Segoe UI"/>
          <w:kern w:val="0"/>
          <w:sz w:val="20"/>
          <w:szCs w:val="20"/>
          <w:lang w:val="en-GB"/>
          <w14:ligatures w14:val="none"/>
        </w:rPr>
        <w:t>which represents Europe’s cooperative banks towards the European regulator,</w:t>
      </w:r>
      <w:r w:rsidR="004248C7" w:rsidRPr="38F9F114">
        <w:rPr>
          <w:rFonts w:ascii="Verdana" w:eastAsia="Times New Roman" w:hAnsi="Verdana" w:cs="Segoe UI"/>
          <w:sz w:val="20"/>
          <w:szCs w:val="20"/>
        </w:rPr>
        <w:t xml:space="preserve"> welcomes the opportunity to comment on the EBA draft Guidelines on ML/TF risk</w:t>
      </w:r>
      <w:r w:rsidR="004248C7">
        <w:rPr>
          <w:rFonts w:ascii="Verdana" w:eastAsia="Times New Roman" w:hAnsi="Verdana" w:cs="Segoe UI"/>
          <w:kern w:val="0"/>
          <w:sz w:val="20"/>
          <w:szCs w:val="20"/>
          <w14:ligatures w14:val="none"/>
        </w:rPr>
        <w:t xml:space="preserve"> </w:t>
      </w:r>
      <w:r w:rsidR="004248C7" w:rsidRPr="38F9F114">
        <w:rPr>
          <w:rFonts w:ascii="Verdana" w:eastAsia="Times New Roman" w:hAnsi="Verdana" w:cs="Segoe UI"/>
          <w:kern w:val="0"/>
          <w:sz w:val="20"/>
          <w:szCs w:val="20"/>
          <w14:ligatures w14:val="none"/>
        </w:rPr>
        <w:t xml:space="preserve">factors </w:t>
      </w:r>
      <w:r w:rsidR="004248C7" w:rsidRPr="38F9F114">
        <w:rPr>
          <w:rFonts w:ascii="Verdana" w:eastAsia="Times New Roman" w:hAnsi="Verdana" w:cs="Segoe UI"/>
          <w:sz w:val="20"/>
          <w:szCs w:val="20"/>
        </w:rPr>
        <w:t xml:space="preserve">on </w:t>
      </w:r>
      <w:r w:rsidR="004248C7" w:rsidRPr="38F9F114">
        <w:rPr>
          <w:rFonts w:ascii="Verdana" w:eastAsia="Verdana" w:hAnsi="Verdana" w:cs="Verdana"/>
          <w:sz w:val="20"/>
          <w:szCs w:val="20"/>
        </w:rPr>
        <w:t>customer due diligence and the factors credit and financial institutions should consider when assessing the money laundering and terrorist financing risk associated with individual business relationships and occasional transactions.</w:t>
      </w:r>
    </w:p>
    <w:p w14:paraId="7E4FB461" w14:textId="77777777" w:rsidR="001662E6" w:rsidRPr="004248C7" w:rsidRDefault="001662E6" w:rsidP="003E09CF">
      <w:pPr>
        <w:spacing w:after="0" w:line="240" w:lineRule="auto"/>
        <w:jc w:val="both"/>
        <w:textAlignment w:val="baseline"/>
        <w:rPr>
          <w:rFonts w:ascii="Verdana" w:eastAsia="Times New Roman" w:hAnsi="Verdana" w:cs="Segoe UI"/>
          <w:kern w:val="0"/>
          <w:sz w:val="20"/>
          <w:szCs w:val="20"/>
          <w14:ligatures w14:val="none"/>
        </w:rPr>
      </w:pPr>
    </w:p>
    <w:p w14:paraId="20AB4D96" w14:textId="77777777" w:rsidR="00685815" w:rsidRDefault="00685815" w:rsidP="00CE1074">
      <w:pPr>
        <w:spacing w:after="0" w:line="240" w:lineRule="auto"/>
        <w:jc w:val="both"/>
        <w:textAlignment w:val="baseline"/>
        <w:rPr>
          <w:rFonts w:ascii="Segoe UI" w:eastAsia="Times New Roman" w:hAnsi="Segoe UI" w:cs="Segoe UI"/>
          <w:kern w:val="0"/>
          <w:sz w:val="18"/>
          <w:szCs w:val="18"/>
          <w14:ligatures w14:val="none"/>
        </w:rPr>
      </w:pPr>
    </w:p>
    <w:p w14:paraId="20E8A6A9" w14:textId="74496518" w:rsidR="003E09CF" w:rsidRPr="00A65D58" w:rsidRDefault="3B81650C" w:rsidP="38F9F114">
      <w:pPr>
        <w:shd w:val="clear" w:color="auto" w:fill="AEAAAA" w:themeFill="background2" w:themeFillShade="BF"/>
        <w:spacing w:after="0" w:line="240" w:lineRule="auto"/>
        <w:jc w:val="both"/>
        <w:textAlignment w:val="baseline"/>
        <w:rPr>
          <w:rFonts w:ascii="Verdana" w:eastAsia="Times New Roman" w:hAnsi="Verdana" w:cs="Segoe UI"/>
          <w:color w:val="767171"/>
          <w:kern w:val="0"/>
          <w:sz w:val="24"/>
          <w:szCs w:val="24"/>
          <w14:ligatures w14:val="none"/>
        </w:rPr>
      </w:pPr>
      <w:r>
        <w:rPr>
          <w:rFonts w:ascii="Verdana" w:eastAsia="Times New Roman" w:hAnsi="Verdana" w:cs="Segoe UI"/>
          <w:b/>
          <w:bCs/>
          <w:color w:val="767171"/>
          <w:kern w:val="0"/>
          <w:sz w:val="24"/>
          <w:szCs w:val="24"/>
          <w:lang w:val="en-GB"/>
          <w14:ligatures w14:val="none"/>
        </w:rPr>
        <w:t>General Comments</w:t>
      </w:r>
    </w:p>
    <w:p w14:paraId="1F726382" w14:textId="77777777" w:rsidR="00BE7DF9" w:rsidRDefault="00BE7DF9" w:rsidP="38F9F114">
      <w:pPr>
        <w:spacing w:after="0" w:line="240" w:lineRule="auto"/>
        <w:jc w:val="both"/>
        <w:textAlignment w:val="baseline"/>
        <w:rPr>
          <w:rFonts w:ascii="Verdana" w:eastAsia="Times New Roman" w:hAnsi="Verdana" w:cs="Segoe UI"/>
          <w:kern w:val="0"/>
          <w:sz w:val="20"/>
          <w:szCs w:val="20"/>
          <w14:ligatures w14:val="none"/>
        </w:rPr>
      </w:pPr>
    </w:p>
    <w:p w14:paraId="6EDD7C11" w14:textId="1EAE031E" w:rsidR="662B773F" w:rsidRDefault="662B773F" w:rsidP="38F9F114">
      <w:pPr>
        <w:spacing w:after="0" w:line="240" w:lineRule="auto"/>
        <w:jc w:val="both"/>
        <w:rPr>
          <w:rFonts w:ascii="Verdana" w:eastAsia="Times New Roman" w:hAnsi="Verdana" w:cs="Segoe UI"/>
          <w:sz w:val="20"/>
          <w:szCs w:val="20"/>
        </w:rPr>
      </w:pPr>
      <w:r w:rsidRPr="38F9F114">
        <w:rPr>
          <w:rFonts w:ascii="Verdana" w:eastAsia="Times New Roman" w:hAnsi="Verdana" w:cs="Segoe UI"/>
          <w:sz w:val="20"/>
          <w:szCs w:val="20"/>
        </w:rPr>
        <w:t>At a general level we would</w:t>
      </w:r>
      <w:r w:rsidR="00BF10C9">
        <w:rPr>
          <w:rFonts w:ascii="Verdana" w:eastAsia="Times New Roman" w:hAnsi="Verdana" w:cs="Segoe UI"/>
          <w:sz w:val="20"/>
          <w:szCs w:val="20"/>
        </w:rPr>
        <w:t xml:space="preserve"> like to</w:t>
      </w:r>
      <w:r w:rsidRPr="38F9F114">
        <w:rPr>
          <w:rFonts w:ascii="Verdana" w:eastAsia="Times New Roman" w:hAnsi="Verdana" w:cs="Segoe UI"/>
          <w:sz w:val="20"/>
          <w:szCs w:val="20"/>
        </w:rPr>
        <w:t xml:space="preserve"> highlight the following:  </w:t>
      </w:r>
    </w:p>
    <w:p w14:paraId="26D2CCDB" w14:textId="33973AC1" w:rsidR="38F9F114" w:rsidRDefault="38F9F114" w:rsidP="38F9F114">
      <w:pPr>
        <w:spacing w:after="0" w:line="240" w:lineRule="auto"/>
        <w:jc w:val="both"/>
        <w:rPr>
          <w:rFonts w:ascii="Verdana" w:eastAsia="Times New Roman" w:hAnsi="Verdana" w:cs="Segoe UI"/>
          <w:sz w:val="20"/>
          <w:szCs w:val="20"/>
        </w:rPr>
      </w:pPr>
    </w:p>
    <w:p w14:paraId="726F4517" w14:textId="7BD56E22" w:rsidR="00C53513" w:rsidRPr="00C53513" w:rsidRDefault="756897EF" w:rsidP="38F9F114">
      <w:pPr>
        <w:spacing w:after="0" w:line="240" w:lineRule="auto"/>
        <w:jc w:val="both"/>
        <w:textAlignment w:val="baseline"/>
        <w:rPr>
          <w:rFonts w:ascii="Verdana" w:eastAsia="Times New Roman" w:hAnsi="Verdana" w:cs="Segoe UI"/>
          <w:kern w:val="0"/>
          <w:sz w:val="20"/>
          <w:szCs w:val="20"/>
          <w14:ligatures w14:val="none"/>
        </w:rPr>
      </w:pPr>
      <w:proofErr w:type="spellStart"/>
      <w:r w:rsidRPr="38F9F114">
        <w:rPr>
          <w:rFonts w:ascii="Verdana" w:eastAsia="Times New Roman" w:hAnsi="Verdana" w:cs="Segoe UI"/>
          <w:kern w:val="0"/>
          <w:sz w:val="20"/>
          <w:szCs w:val="20"/>
          <w14:ligatures w14:val="none"/>
        </w:rPr>
        <w:t>i</w:t>
      </w:r>
      <w:proofErr w:type="spellEnd"/>
      <w:r w:rsidRPr="38F9F114">
        <w:rPr>
          <w:rFonts w:ascii="Verdana" w:eastAsia="Times New Roman" w:hAnsi="Verdana" w:cs="Segoe UI"/>
          <w:kern w:val="0"/>
          <w:sz w:val="20"/>
          <w:szCs w:val="20"/>
          <w14:ligatures w14:val="none"/>
        </w:rPr>
        <w:t xml:space="preserve">) </w:t>
      </w:r>
      <w:r w:rsidR="4DCB463C" w:rsidRPr="38F9F114">
        <w:rPr>
          <w:rFonts w:ascii="Verdana" w:eastAsia="Times New Roman" w:hAnsi="Verdana" w:cs="Segoe UI"/>
          <w:sz w:val="20"/>
          <w:szCs w:val="20"/>
        </w:rPr>
        <w:t>We support the aim of establishing uniform requirements for CASPs concerning ML/TF risks as well as the guidance for financial institutions when entering business relationships with CASPs</w:t>
      </w:r>
      <w:r w:rsidR="583ED1D6" w:rsidRPr="38F9F114">
        <w:rPr>
          <w:rFonts w:ascii="Verdana" w:eastAsia="Times New Roman" w:hAnsi="Verdana" w:cs="Segoe UI"/>
          <w:sz w:val="20"/>
          <w:szCs w:val="20"/>
        </w:rPr>
        <w:t xml:space="preserve"> that these guidelines enable</w:t>
      </w:r>
      <w:r w:rsidR="6B95163D" w:rsidRPr="38F9F114">
        <w:rPr>
          <w:rFonts w:ascii="Verdana" w:eastAsia="Times New Roman" w:hAnsi="Verdana" w:cs="Segoe UI"/>
          <w:sz w:val="20"/>
          <w:szCs w:val="20"/>
        </w:rPr>
        <w:t>s</w:t>
      </w:r>
      <w:r w:rsidR="4DCB463C" w:rsidRPr="38F9F114">
        <w:rPr>
          <w:rFonts w:ascii="Verdana" w:eastAsia="Times New Roman" w:hAnsi="Verdana" w:cs="Segoe UI"/>
          <w:sz w:val="20"/>
          <w:szCs w:val="20"/>
        </w:rPr>
        <w:t>. However, we believe that a</w:t>
      </w:r>
      <w:r w:rsidRPr="38F9F114">
        <w:rPr>
          <w:rFonts w:ascii="Verdana" w:eastAsia="Times New Roman" w:hAnsi="Verdana" w:cs="Segoe UI"/>
          <w:kern w:val="0"/>
          <w:sz w:val="20"/>
          <w:szCs w:val="20"/>
          <w14:ligatures w14:val="none"/>
        </w:rPr>
        <w:t xml:space="preserve"> clear distinction between the role of the banks and the role of the supervisors must be </w:t>
      </w:r>
      <w:r w:rsidR="00402CCE">
        <w:rPr>
          <w:rFonts w:ascii="Verdana" w:eastAsia="Times New Roman" w:hAnsi="Verdana" w:cs="Segoe UI"/>
          <w:kern w:val="0"/>
          <w:sz w:val="20"/>
          <w:szCs w:val="20"/>
          <w14:ligatures w14:val="none"/>
        </w:rPr>
        <w:t>maintained</w:t>
      </w:r>
      <w:r w:rsidR="6AC09FCB" w:rsidRPr="38F9F114">
        <w:rPr>
          <w:rFonts w:ascii="Verdana" w:eastAsia="Times New Roman" w:hAnsi="Verdana" w:cs="Segoe UI"/>
          <w:kern w:val="0"/>
          <w:sz w:val="20"/>
          <w:szCs w:val="20"/>
          <w14:ligatures w14:val="none"/>
        </w:rPr>
        <w:t>, p</w:t>
      </w:r>
      <w:r w:rsidRPr="38F9F114">
        <w:rPr>
          <w:rFonts w:ascii="Verdana" w:eastAsia="Times New Roman" w:hAnsi="Verdana" w:cs="Segoe UI"/>
          <w:kern w:val="0"/>
          <w:sz w:val="20"/>
          <w:szCs w:val="20"/>
          <w14:ligatures w14:val="none"/>
        </w:rPr>
        <w:t>articularly to ensure adequate TM tooling used by respondents of correspondent banks</w:t>
      </w:r>
      <w:r w:rsidR="237DF7E4" w:rsidRPr="38F9F114">
        <w:rPr>
          <w:rFonts w:ascii="Verdana" w:eastAsia="Times New Roman" w:hAnsi="Verdana" w:cs="Segoe UI"/>
          <w:kern w:val="0"/>
          <w:sz w:val="20"/>
          <w:szCs w:val="20"/>
          <w14:ligatures w14:val="none"/>
        </w:rPr>
        <w:t>.</w:t>
      </w:r>
    </w:p>
    <w:p w14:paraId="2E1C451B" w14:textId="189577C7" w:rsidR="38F9F114" w:rsidRDefault="38F9F114" w:rsidP="38F9F114">
      <w:pPr>
        <w:spacing w:after="0" w:line="240" w:lineRule="auto"/>
        <w:jc w:val="both"/>
        <w:rPr>
          <w:rFonts w:ascii="Verdana" w:eastAsia="Times New Roman" w:hAnsi="Verdana" w:cs="Segoe UI"/>
          <w:sz w:val="20"/>
          <w:szCs w:val="20"/>
        </w:rPr>
      </w:pPr>
    </w:p>
    <w:p w14:paraId="31BA7EFD" w14:textId="45AB37E8" w:rsidR="00C53513" w:rsidRPr="00C53513" w:rsidRDefault="756897EF" w:rsidP="38F9F114">
      <w:pPr>
        <w:spacing w:after="0" w:line="240" w:lineRule="auto"/>
        <w:jc w:val="both"/>
        <w:textAlignment w:val="baseline"/>
        <w:rPr>
          <w:rFonts w:ascii="Verdana" w:eastAsia="Times New Roman" w:hAnsi="Verdana" w:cs="Segoe UI"/>
          <w:kern w:val="0"/>
          <w:sz w:val="20"/>
          <w:szCs w:val="20"/>
          <w14:ligatures w14:val="none"/>
        </w:rPr>
      </w:pPr>
      <w:r w:rsidRPr="38F9F114">
        <w:rPr>
          <w:rFonts w:ascii="Verdana" w:eastAsia="Times New Roman" w:hAnsi="Verdana" w:cs="Segoe UI"/>
          <w:kern w:val="0"/>
          <w:sz w:val="20"/>
          <w:szCs w:val="20"/>
          <w14:ligatures w14:val="none"/>
        </w:rPr>
        <w:t xml:space="preserve">ii) CASPs can </w:t>
      </w:r>
      <w:r w:rsidR="3721E0B1" w:rsidRPr="38F9F114">
        <w:rPr>
          <w:rFonts w:ascii="Verdana" w:eastAsia="Times New Roman" w:hAnsi="Verdana" w:cs="Segoe UI"/>
          <w:kern w:val="0"/>
          <w:sz w:val="20"/>
          <w:szCs w:val="20"/>
          <w14:ligatures w14:val="none"/>
        </w:rPr>
        <w:t xml:space="preserve">present </w:t>
      </w:r>
      <w:r w:rsidRPr="38F9F114">
        <w:rPr>
          <w:rFonts w:ascii="Verdana" w:eastAsia="Times New Roman" w:hAnsi="Verdana" w:cs="Segoe UI"/>
          <w:kern w:val="0"/>
          <w:sz w:val="20"/>
          <w:szCs w:val="20"/>
          <w14:ligatures w14:val="none"/>
        </w:rPr>
        <w:t>different</w:t>
      </w:r>
      <w:r w:rsidR="3EC145E5" w:rsidRPr="38F9F114">
        <w:rPr>
          <w:rFonts w:ascii="Verdana" w:eastAsia="Times New Roman" w:hAnsi="Verdana" w:cs="Segoe UI"/>
          <w:kern w:val="0"/>
          <w:sz w:val="20"/>
          <w:szCs w:val="20"/>
          <w14:ligatures w14:val="none"/>
        </w:rPr>
        <w:t xml:space="preserve"> </w:t>
      </w:r>
      <w:r w:rsidRPr="38F9F114">
        <w:rPr>
          <w:rFonts w:ascii="Verdana" w:eastAsia="Times New Roman" w:hAnsi="Verdana" w:cs="Segoe UI"/>
          <w:kern w:val="0"/>
          <w:sz w:val="20"/>
          <w:szCs w:val="20"/>
          <w14:ligatures w14:val="none"/>
        </w:rPr>
        <w:t xml:space="preserve">levels of </w:t>
      </w:r>
      <w:r w:rsidR="419A388F" w:rsidRPr="38F9F114">
        <w:rPr>
          <w:rFonts w:ascii="Verdana" w:eastAsia="Times New Roman" w:hAnsi="Verdana" w:cs="Segoe UI"/>
          <w:kern w:val="0"/>
          <w:sz w:val="20"/>
          <w:szCs w:val="20"/>
          <w14:ligatures w14:val="none"/>
        </w:rPr>
        <w:t xml:space="preserve">ML/TF </w:t>
      </w:r>
      <w:r w:rsidRPr="38F9F114">
        <w:rPr>
          <w:rFonts w:ascii="Verdana" w:eastAsia="Times New Roman" w:hAnsi="Verdana" w:cs="Segoe UI"/>
          <w:kern w:val="0"/>
          <w:sz w:val="20"/>
          <w:szCs w:val="20"/>
          <w14:ligatures w14:val="none"/>
        </w:rPr>
        <w:t>risk</w:t>
      </w:r>
      <w:r w:rsidR="0A8E6D07" w:rsidRPr="38F9F114">
        <w:rPr>
          <w:rFonts w:ascii="Verdana" w:eastAsia="Times New Roman" w:hAnsi="Verdana" w:cs="Segoe UI"/>
          <w:kern w:val="0"/>
          <w:sz w:val="20"/>
          <w:szCs w:val="20"/>
          <w14:ligatures w14:val="none"/>
        </w:rPr>
        <w:t xml:space="preserve"> depending on </w:t>
      </w:r>
      <w:r w:rsidR="4CE18F23" w:rsidRPr="38F9F114">
        <w:rPr>
          <w:rFonts w:ascii="Verdana" w:eastAsia="Times New Roman" w:hAnsi="Verdana" w:cs="Segoe UI"/>
          <w:kern w:val="0"/>
          <w:sz w:val="20"/>
          <w:szCs w:val="20"/>
          <w14:ligatures w14:val="none"/>
        </w:rPr>
        <w:t xml:space="preserve">a variety </w:t>
      </w:r>
      <w:r w:rsidR="0A8E6D07" w:rsidRPr="38F9F114">
        <w:rPr>
          <w:rFonts w:ascii="Verdana" w:eastAsia="Times New Roman" w:hAnsi="Verdana" w:cs="Segoe UI"/>
          <w:kern w:val="0"/>
          <w:sz w:val="20"/>
          <w:szCs w:val="20"/>
          <w14:ligatures w14:val="none"/>
        </w:rPr>
        <w:t>of factors</w:t>
      </w:r>
      <w:r w:rsidRPr="38F9F114">
        <w:rPr>
          <w:rFonts w:ascii="Verdana" w:eastAsia="Times New Roman" w:hAnsi="Verdana" w:cs="Segoe UI"/>
          <w:kern w:val="0"/>
          <w:sz w:val="20"/>
          <w:szCs w:val="20"/>
          <w14:ligatures w14:val="none"/>
        </w:rPr>
        <w:t xml:space="preserve">, </w:t>
      </w:r>
      <w:r w:rsidR="44B5B421" w:rsidRPr="38F9F114">
        <w:rPr>
          <w:rFonts w:ascii="Verdana" w:eastAsia="Times New Roman" w:hAnsi="Verdana" w:cs="Segoe UI"/>
          <w:kern w:val="0"/>
          <w:sz w:val="20"/>
          <w:szCs w:val="20"/>
          <w14:ligatures w14:val="none"/>
        </w:rPr>
        <w:t xml:space="preserve">as it </w:t>
      </w:r>
      <w:r w:rsidRPr="38F9F114">
        <w:rPr>
          <w:rFonts w:ascii="Verdana" w:eastAsia="Times New Roman" w:hAnsi="Verdana" w:cs="Segoe UI"/>
          <w:kern w:val="0"/>
          <w:sz w:val="20"/>
          <w:szCs w:val="20"/>
          <w14:ligatures w14:val="none"/>
        </w:rPr>
        <w:t>becomes apparent from Guideline</w:t>
      </w:r>
      <w:r w:rsidR="0053002D">
        <w:rPr>
          <w:rFonts w:ascii="Verdana" w:eastAsia="Times New Roman" w:hAnsi="Verdana" w:cs="Segoe UI"/>
          <w:kern w:val="0"/>
          <w:sz w:val="20"/>
          <w:szCs w:val="20"/>
          <w14:ligatures w14:val="none"/>
        </w:rPr>
        <w:t xml:space="preserve"> </w:t>
      </w:r>
      <w:r w:rsidRPr="38F9F114">
        <w:rPr>
          <w:rFonts w:ascii="Verdana" w:eastAsia="Times New Roman" w:hAnsi="Verdana" w:cs="Segoe UI"/>
          <w:kern w:val="0"/>
          <w:sz w:val="20"/>
          <w:szCs w:val="20"/>
          <w14:ligatures w14:val="none"/>
        </w:rPr>
        <w:t>21.3 (</w:t>
      </w:r>
      <w:r w:rsidR="62B443B9" w:rsidRPr="38F9F114">
        <w:rPr>
          <w:rFonts w:ascii="Verdana" w:eastAsia="Times New Roman" w:hAnsi="Verdana" w:cs="Segoe UI"/>
          <w:kern w:val="0"/>
          <w:sz w:val="20"/>
          <w:szCs w:val="20"/>
          <w14:ligatures w14:val="none"/>
        </w:rPr>
        <w:t xml:space="preserve">Risk factors - </w:t>
      </w:r>
      <w:r w:rsidR="62B443B9" w:rsidRPr="38F9F114">
        <w:rPr>
          <w:rFonts w:ascii="Verdana" w:eastAsia="Verdana" w:hAnsi="Verdana" w:cs="Verdana"/>
          <w:sz w:val="20"/>
          <w:szCs w:val="20"/>
        </w:rPr>
        <w:t>Product, services and transaction risk factors</w:t>
      </w:r>
      <w:r w:rsidRPr="38F9F114">
        <w:rPr>
          <w:rFonts w:ascii="Verdana" w:eastAsia="Times New Roman" w:hAnsi="Verdana" w:cs="Segoe UI"/>
          <w:kern w:val="0"/>
          <w:sz w:val="20"/>
          <w:szCs w:val="20"/>
          <w14:ligatures w14:val="none"/>
        </w:rPr>
        <w:t xml:space="preserve">). </w:t>
      </w:r>
      <w:r w:rsidR="63EF7167" w:rsidRPr="38F9F114">
        <w:rPr>
          <w:rFonts w:ascii="Verdana" w:eastAsia="Times New Roman" w:hAnsi="Verdana" w:cs="Segoe UI"/>
          <w:kern w:val="0"/>
          <w:sz w:val="20"/>
          <w:szCs w:val="20"/>
          <w14:ligatures w14:val="none"/>
        </w:rPr>
        <w:t>In light of t</w:t>
      </w:r>
      <w:r w:rsidR="1007E70C" w:rsidRPr="38F9F114">
        <w:rPr>
          <w:rFonts w:ascii="Verdana" w:eastAsia="Times New Roman" w:hAnsi="Verdana" w:cs="Segoe UI"/>
          <w:kern w:val="0"/>
          <w:sz w:val="20"/>
          <w:szCs w:val="20"/>
          <w14:ligatures w14:val="none"/>
        </w:rPr>
        <w:t>his</w:t>
      </w:r>
      <w:r w:rsidR="63EF7167" w:rsidRPr="38F9F114">
        <w:rPr>
          <w:rFonts w:ascii="Verdana" w:eastAsia="Times New Roman" w:hAnsi="Verdana" w:cs="Segoe UI"/>
          <w:kern w:val="0"/>
          <w:sz w:val="20"/>
          <w:szCs w:val="20"/>
          <w14:ligatures w14:val="none"/>
        </w:rPr>
        <w:t xml:space="preserve">, </w:t>
      </w:r>
      <w:r w:rsidR="481E1775" w:rsidRPr="38F9F114">
        <w:rPr>
          <w:rFonts w:ascii="Verdana" w:eastAsia="Times New Roman" w:hAnsi="Verdana" w:cs="Segoe UI"/>
          <w:kern w:val="0"/>
          <w:sz w:val="20"/>
          <w:szCs w:val="20"/>
          <w14:ligatures w14:val="none"/>
        </w:rPr>
        <w:t xml:space="preserve">it is our view that </w:t>
      </w:r>
      <w:r w:rsidR="417BEF53" w:rsidRPr="38F9F114">
        <w:rPr>
          <w:rFonts w:ascii="Verdana" w:eastAsia="Times New Roman" w:hAnsi="Verdana" w:cs="Segoe UI"/>
          <w:kern w:val="0"/>
          <w:sz w:val="20"/>
          <w:szCs w:val="20"/>
          <w14:ligatures w14:val="none"/>
        </w:rPr>
        <w:t xml:space="preserve">the Guidelines should take </w:t>
      </w:r>
      <w:r w:rsidR="63EF7167" w:rsidRPr="38F9F114">
        <w:rPr>
          <w:rFonts w:ascii="Verdana" w:eastAsia="Times New Roman" w:hAnsi="Verdana" w:cs="Segoe UI"/>
          <w:kern w:val="0"/>
          <w:sz w:val="20"/>
          <w:szCs w:val="20"/>
          <w14:ligatures w14:val="none"/>
        </w:rPr>
        <w:t>a risk-based</w:t>
      </w:r>
      <w:r w:rsidRPr="38F9F114">
        <w:rPr>
          <w:rFonts w:ascii="Verdana" w:eastAsia="Times New Roman" w:hAnsi="Verdana" w:cs="Segoe UI"/>
          <w:kern w:val="0"/>
          <w:sz w:val="20"/>
          <w:szCs w:val="20"/>
          <w14:ligatures w14:val="none"/>
        </w:rPr>
        <w:t xml:space="preserve"> approach.</w:t>
      </w:r>
    </w:p>
    <w:p w14:paraId="0D9BE633" w14:textId="5148962A" w:rsidR="38F9F114" w:rsidRDefault="38F9F114" w:rsidP="38F9F114">
      <w:pPr>
        <w:spacing w:after="0" w:line="240" w:lineRule="auto"/>
        <w:jc w:val="both"/>
        <w:rPr>
          <w:rFonts w:ascii="Verdana" w:eastAsia="Times New Roman" w:hAnsi="Verdana" w:cs="Segoe UI"/>
          <w:sz w:val="20"/>
          <w:szCs w:val="20"/>
        </w:rPr>
      </w:pPr>
    </w:p>
    <w:p w14:paraId="57F03C32" w14:textId="38E395E2" w:rsidR="001662E6" w:rsidRPr="00C53513" w:rsidRDefault="756897EF" w:rsidP="38F9F114">
      <w:pPr>
        <w:spacing w:after="0" w:line="240" w:lineRule="auto"/>
        <w:jc w:val="both"/>
        <w:textAlignment w:val="baseline"/>
        <w:rPr>
          <w:rFonts w:ascii="Verdana" w:eastAsia="Times New Roman" w:hAnsi="Verdana" w:cs="Segoe UI"/>
          <w:kern w:val="0"/>
          <w:sz w:val="20"/>
          <w:szCs w:val="20"/>
          <w14:ligatures w14:val="none"/>
        </w:rPr>
      </w:pPr>
      <w:r w:rsidRPr="38F9F114">
        <w:rPr>
          <w:rFonts w:ascii="Verdana" w:eastAsia="Times New Roman" w:hAnsi="Verdana" w:cs="Segoe UI"/>
          <w:kern w:val="0"/>
          <w:sz w:val="20"/>
          <w:szCs w:val="20"/>
          <w14:ligatures w14:val="none"/>
        </w:rPr>
        <w:t xml:space="preserve">iii) </w:t>
      </w:r>
      <w:r w:rsidR="746DC752" w:rsidRPr="38F9F114">
        <w:rPr>
          <w:rFonts w:ascii="Verdana" w:eastAsia="Times New Roman" w:hAnsi="Verdana" w:cs="Segoe UI"/>
          <w:sz w:val="20"/>
          <w:szCs w:val="20"/>
        </w:rPr>
        <w:t xml:space="preserve">EACB members would appreciate additional guidance on the level of reliability that banks can assign to licenses </w:t>
      </w:r>
      <w:r w:rsidR="0F1C2827" w:rsidRPr="38F9F114">
        <w:rPr>
          <w:rFonts w:ascii="Verdana" w:eastAsia="Times New Roman" w:hAnsi="Verdana" w:cs="Segoe UI"/>
          <w:sz w:val="20"/>
          <w:szCs w:val="20"/>
        </w:rPr>
        <w:t xml:space="preserve">(and particularly in case of </w:t>
      </w:r>
      <w:r w:rsidR="0F1C2827" w:rsidRPr="38F9F114">
        <w:rPr>
          <w:rFonts w:ascii="Verdana" w:hAnsi="Verdana"/>
          <w:sz w:val="20"/>
          <w:szCs w:val="20"/>
          <w:lang w:val="en-GB"/>
        </w:rPr>
        <w:t xml:space="preserve">multiple licenses) </w:t>
      </w:r>
      <w:r w:rsidR="746DC752" w:rsidRPr="38F9F114">
        <w:rPr>
          <w:rFonts w:ascii="Verdana" w:eastAsia="Times New Roman" w:hAnsi="Verdana" w:cs="Segoe UI"/>
          <w:sz w:val="20"/>
          <w:szCs w:val="20"/>
        </w:rPr>
        <w:t>and registrations.</w:t>
      </w:r>
    </w:p>
    <w:p w14:paraId="23BEE254" w14:textId="657EA75F" w:rsidR="38F9F114" w:rsidRDefault="38F9F114" w:rsidP="38F9F114">
      <w:pPr>
        <w:spacing w:after="0" w:line="240" w:lineRule="auto"/>
        <w:jc w:val="both"/>
        <w:rPr>
          <w:rFonts w:ascii="Verdana" w:eastAsia="Times New Roman" w:hAnsi="Verdana" w:cs="Segoe UI"/>
          <w:sz w:val="20"/>
          <w:szCs w:val="20"/>
        </w:rPr>
      </w:pPr>
    </w:p>
    <w:p w14:paraId="18301A58" w14:textId="1CC9FD8A" w:rsidR="38F9F114" w:rsidRDefault="38F9F114" w:rsidP="38F9F114">
      <w:pPr>
        <w:spacing w:after="0" w:line="240" w:lineRule="auto"/>
        <w:jc w:val="both"/>
        <w:rPr>
          <w:rFonts w:ascii="Verdana" w:eastAsia="Times New Roman" w:hAnsi="Verdana" w:cs="Segoe UI"/>
          <w:sz w:val="20"/>
          <w:szCs w:val="20"/>
        </w:rPr>
      </w:pPr>
    </w:p>
    <w:p w14:paraId="4BB604F2" w14:textId="77777777" w:rsidR="003E09CF" w:rsidRPr="00CE1074" w:rsidRDefault="003E09CF" w:rsidP="00CE1074">
      <w:pPr>
        <w:spacing w:after="0" w:line="240" w:lineRule="auto"/>
        <w:jc w:val="both"/>
        <w:textAlignment w:val="baseline"/>
        <w:rPr>
          <w:rFonts w:ascii="Segoe UI" w:eastAsia="Times New Roman" w:hAnsi="Segoe UI" w:cs="Segoe UI"/>
          <w:kern w:val="0"/>
          <w:sz w:val="18"/>
          <w:szCs w:val="18"/>
          <w14:ligatures w14:val="none"/>
        </w:rPr>
      </w:pPr>
    </w:p>
    <w:p w14:paraId="015E04C1" w14:textId="15DD88C9" w:rsidR="00A65D58" w:rsidRPr="00A65D58" w:rsidRDefault="00CE1074" w:rsidP="005B2F3E">
      <w:pPr>
        <w:shd w:val="clear" w:color="auto" w:fill="AEAAAA"/>
        <w:spacing w:after="0" w:line="240" w:lineRule="auto"/>
        <w:jc w:val="both"/>
        <w:textAlignment w:val="baseline"/>
        <w:rPr>
          <w:rFonts w:ascii="Verdana" w:eastAsia="Times New Roman" w:hAnsi="Verdana" w:cs="Segoe UI"/>
          <w:color w:val="767171"/>
          <w:kern w:val="0"/>
          <w:sz w:val="24"/>
          <w:szCs w:val="24"/>
          <w14:ligatures w14:val="none"/>
        </w:rPr>
      </w:pPr>
      <w:r w:rsidRPr="00CE1074">
        <w:rPr>
          <w:rFonts w:ascii="Verdana" w:eastAsia="Times New Roman" w:hAnsi="Verdana" w:cs="Segoe UI"/>
          <w:b/>
          <w:bCs/>
          <w:color w:val="767171"/>
          <w:kern w:val="0"/>
          <w:sz w:val="24"/>
          <w:szCs w:val="24"/>
          <w:lang w:val="en-GB"/>
          <w14:ligatures w14:val="none"/>
        </w:rPr>
        <w:t>EACB answers to the questionnaire</w:t>
      </w:r>
      <w:r w:rsidRPr="00CE1074">
        <w:rPr>
          <w:rFonts w:ascii="Verdana" w:eastAsia="Times New Roman" w:hAnsi="Verdana" w:cs="Segoe UI"/>
          <w:color w:val="767171"/>
          <w:kern w:val="0"/>
          <w:sz w:val="24"/>
          <w:szCs w:val="24"/>
          <w14:ligatures w14:val="none"/>
        </w:rPr>
        <w:t> </w:t>
      </w:r>
    </w:p>
    <w:p w14:paraId="5246C6A7" w14:textId="1637AD53" w:rsidR="00C23E64" w:rsidRDefault="00C23E64" w:rsidP="005B2F3E">
      <w:pPr>
        <w:spacing w:after="0" w:line="240" w:lineRule="auto"/>
        <w:jc w:val="both"/>
        <w:textAlignment w:val="baseline"/>
        <w:rPr>
          <w:rFonts w:ascii="Verdana" w:eastAsia="Times New Roman" w:hAnsi="Verdana" w:cs="Segoe UI"/>
          <w:kern w:val="0"/>
          <w:sz w:val="20"/>
          <w:szCs w:val="20"/>
          <w14:ligatures w14:val="none"/>
        </w:rPr>
      </w:pPr>
      <w:r w:rsidRPr="00C23E64">
        <w:rPr>
          <w:rFonts w:ascii="Verdana" w:eastAsia="Times New Roman" w:hAnsi="Verdana" w:cs="Segoe UI"/>
          <w:kern w:val="0"/>
          <w:sz w:val="20"/>
          <w:szCs w:val="20"/>
          <w14:ligatures w14:val="none"/>
        </w:rPr>
        <w:t> </w:t>
      </w:r>
    </w:p>
    <w:p w14:paraId="0791E076" w14:textId="77777777" w:rsidR="00A65D58" w:rsidRPr="00C23E64" w:rsidRDefault="00A65D58" w:rsidP="005B2F3E">
      <w:pPr>
        <w:spacing w:after="0" w:line="240" w:lineRule="auto"/>
        <w:jc w:val="both"/>
        <w:textAlignment w:val="baseline"/>
        <w:rPr>
          <w:rFonts w:ascii="Verdana" w:eastAsia="Times New Roman" w:hAnsi="Verdana" w:cs="Segoe UI"/>
          <w:kern w:val="0"/>
          <w:sz w:val="20"/>
          <w:szCs w:val="20"/>
          <w14:ligatures w14:val="none"/>
        </w:rPr>
      </w:pPr>
    </w:p>
    <w:p w14:paraId="05148BEB" w14:textId="2900FCA3" w:rsidR="0042017E" w:rsidRPr="004C5A4D" w:rsidRDefault="006224E2" w:rsidP="38F9F114">
      <w:pPr>
        <w:spacing w:after="120"/>
        <w:jc w:val="both"/>
        <w:rPr>
          <w:rFonts w:ascii="Verdana" w:hAnsi="Verdana" w:cstheme="minorHAnsi"/>
          <w:b/>
          <w:bCs/>
          <w:sz w:val="20"/>
          <w:szCs w:val="20"/>
        </w:rPr>
      </w:pPr>
      <w:r w:rsidRPr="00F732B5">
        <w:rPr>
          <w:rFonts w:ascii="Verdana" w:hAnsi="Verdana" w:cstheme="minorHAnsi"/>
          <w:b/>
          <w:bCs/>
          <w:sz w:val="20"/>
          <w:szCs w:val="20"/>
        </w:rPr>
        <w:t>Amendments to Subject matter, scope and definitions</w:t>
      </w:r>
    </w:p>
    <w:tbl>
      <w:tblPr>
        <w:tblStyle w:val="TableGrid"/>
        <w:tblW w:w="0" w:type="auto"/>
        <w:tblLook w:val="04A0" w:firstRow="1" w:lastRow="0" w:firstColumn="1" w:lastColumn="0" w:noHBand="0" w:noVBand="1"/>
      </w:tblPr>
      <w:tblGrid>
        <w:gridCol w:w="9743"/>
      </w:tblGrid>
      <w:tr w:rsidR="0042017E" w:rsidRPr="00F732B5" w14:paraId="6E1521FB" w14:textId="77777777" w:rsidTr="0042017E">
        <w:tc>
          <w:tcPr>
            <w:tcW w:w="9743" w:type="dxa"/>
          </w:tcPr>
          <w:p w14:paraId="23A4386B" w14:textId="50EEDE33" w:rsidR="0042017E" w:rsidRPr="00F732B5" w:rsidRDefault="0042017E" w:rsidP="007B6FC1">
            <w:pPr>
              <w:spacing w:after="120"/>
              <w:jc w:val="both"/>
              <w:rPr>
                <w:rFonts w:ascii="Verdana" w:hAnsi="Verdana" w:cstheme="minorHAnsi"/>
                <w:i/>
                <w:iCs/>
                <w:sz w:val="20"/>
                <w:szCs w:val="20"/>
                <w:lang w:val="en-GB"/>
              </w:rPr>
            </w:pPr>
            <w:r w:rsidRPr="00F732B5">
              <w:rPr>
                <w:rFonts w:ascii="Verdana" w:hAnsi="Verdana" w:cstheme="minorHAnsi"/>
                <w:i/>
                <w:iCs/>
                <w:sz w:val="20"/>
                <w:szCs w:val="20"/>
                <w:lang w:val="en-GB"/>
              </w:rPr>
              <w:t>Question 1: Do you have any comments on the proposed changes to definitions?</w:t>
            </w:r>
          </w:p>
        </w:tc>
      </w:tr>
    </w:tbl>
    <w:p w14:paraId="59310EEF" w14:textId="77777777" w:rsidR="0042017E" w:rsidRPr="00F732B5" w:rsidRDefault="0042017E" w:rsidP="007B6FC1">
      <w:pPr>
        <w:spacing w:after="120"/>
        <w:jc w:val="both"/>
        <w:rPr>
          <w:rFonts w:ascii="Verdana" w:hAnsi="Verdana" w:cstheme="minorHAnsi"/>
          <w:sz w:val="20"/>
          <w:szCs w:val="20"/>
          <w:lang w:val="en-GB"/>
        </w:rPr>
      </w:pPr>
    </w:p>
    <w:p w14:paraId="7CF7EBF4" w14:textId="77777777" w:rsidR="006224E2" w:rsidRPr="00F732B5" w:rsidRDefault="006224E2" w:rsidP="007B6FC1">
      <w:pPr>
        <w:spacing w:after="120"/>
        <w:jc w:val="both"/>
        <w:rPr>
          <w:rFonts w:ascii="Verdana" w:hAnsi="Verdana" w:cstheme="minorHAnsi"/>
          <w:sz w:val="20"/>
          <w:szCs w:val="20"/>
          <w:lang w:val="en-GB"/>
        </w:rPr>
      </w:pPr>
    </w:p>
    <w:p w14:paraId="192E8F7F" w14:textId="17FD9BE9" w:rsidR="006224E2" w:rsidRPr="004C5A4D" w:rsidRDefault="00BB6DFF" w:rsidP="007B6FC1">
      <w:pPr>
        <w:spacing w:after="120"/>
        <w:jc w:val="both"/>
        <w:rPr>
          <w:rFonts w:ascii="Verdana" w:hAnsi="Verdana" w:cstheme="minorHAnsi"/>
          <w:b/>
          <w:bCs/>
          <w:sz w:val="20"/>
          <w:szCs w:val="20"/>
          <w:lang w:val="en-GB"/>
        </w:rPr>
      </w:pPr>
      <w:r w:rsidRPr="00F732B5">
        <w:rPr>
          <w:rFonts w:ascii="Verdana" w:hAnsi="Verdana" w:cstheme="minorHAnsi"/>
          <w:b/>
          <w:bCs/>
          <w:sz w:val="20"/>
          <w:szCs w:val="20"/>
          <w:lang w:val="en-GB"/>
        </w:rPr>
        <w:t>Amendments to Guideline 1: Risk assessments: key principles for all firms</w:t>
      </w:r>
    </w:p>
    <w:tbl>
      <w:tblPr>
        <w:tblStyle w:val="TableGrid"/>
        <w:tblW w:w="0" w:type="auto"/>
        <w:tblLook w:val="04A0" w:firstRow="1" w:lastRow="0" w:firstColumn="1" w:lastColumn="0" w:noHBand="0" w:noVBand="1"/>
      </w:tblPr>
      <w:tblGrid>
        <w:gridCol w:w="9743"/>
      </w:tblGrid>
      <w:tr w:rsidR="006224E2" w:rsidRPr="00F732B5" w14:paraId="7696E691" w14:textId="77777777" w:rsidTr="38F9F114">
        <w:tc>
          <w:tcPr>
            <w:tcW w:w="9743" w:type="dxa"/>
          </w:tcPr>
          <w:p w14:paraId="08D53675" w14:textId="19C6E030" w:rsidR="006224E2" w:rsidRPr="00F732B5" w:rsidRDefault="7812FFAF" w:rsidP="38F9F114">
            <w:pPr>
              <w:spacing w:after="120"/>
              <w:jc w:val="both"/>
              <w:rPr>
                <w:rFonts w:ascii="Verdana" w:hAnsi="Verdana"/>
                <w:i/>
                <w:iCs/>
                <w:sz w:val="20"/>
                <w:szCs w:val="20"/>
                <w:lang w:val="en-GB"/>
              </w:rPr>
            </w:pPr>
            <w:r w:rsidRPr="38F9F114">
              <w:rPr>
                <w:rFonts w:ascii="Verdana" w:hAnsi="Verdana"/>
                <w:i/>
                <w:iCs/>
                <w:sz w:val="20"/>
                <w:szCs w:val="20"/>
                <w:lang w:val="en-GB"/>
              </w:rPr>
              <w:t>Question 2: Do you have any comments on the proposed changes to Guideline 1?</w:t>
            </w:r>
          </w:p>
        </w:tc>
      </w:tr>
    </w:tbl>
    <w:p w14:paraId="3A64198F" w14:textId="7488B3CB" w:rsidR="006224E2" w:rsidRDefault="006224E2" w:rsidP="007B6FC1">
      <w:pPr>
        <w:spacing w:after="120"/>
        <w:jc w:val="both"/>
        <w:rPr>
          <w:rFonts w:ascii="Verdana" w:hAnsi="Verdana" w:cstheme="minorHAnsi"/>
          <w:sz w:val="20"/>
          <w:szCs w:val="20"/>
          <w:lang w:val="en-GB"/>
        </w:rPr>
      </w:pPr>
    </w:p>
    <w:p w14:paraId="0F6C5F3C" w14:textId="77777777" w:rsidR="007B6FC1" w:rsidRPr="00F732B5" w:rsidRDefault="007B6FC1" w:rsidP="007B6FC1">
      <w:pPr>
        <w:spacing w:after="120"/>
        <w:jc w:val="both"/>
        <w:rPr>
          <w:rFonts w:ascii="Verdana" w:hAnsi="Verdana" w:cstheme="minorHAnsi"/>
          <w:sz w:val="20"/>
          <w:szCs w:val="20"/>
          <w:lang w:val="en-GB"/>
        </w:rPr>
      </w:pPr>
    </w:p>
    <w:p w14:paraId="07034C06" w14:textId="1499D0A3" w:rsidR="006224E2" w:rsidRPr="004C5A4D" w:rsidRDefault="00BB6DFF" w:rsidP="007B6FC1">
      <w:pPr>
        <w:spacing w:after="120"/>
        <w:jc w:val="both"/>
        <w:rPr>
          <w:rFonts w:ascii="Verdana" w:hAnsi="Verdana" w:cstheme="minorHAnsi"/>
          <w:b/>
          <w:bCs/>
          <w:sz w:val="20"/>
          <w:szCs w:val="20"/>
          <w:lang w:val="en-GB"/>
        </w:rPr>
      </w:pPr>
      <w:r w:rsidRPr="00F732B5">
        <w:rPr>
          <w:rFonts w:ascii="Verdana" w:hAnsi="Verdana" w:cstheme="minorHAnsi"/>
          <w:b/>
          <w:bCs/>
          <w:sz w:val="20"/>
          <w:szCs w:val="20"/>
          <w:lang w:val="en-GB"/>
        </w:rPr>
        <w:t>Amendments to Guideline 2: Identifying ML/TF risk factors</w:t>
      </w:r>
    </w:p>
    <w:tbl>
      <w:tblPr>
        <w:tblStyle w:val="TableGrid"/>
        <w:tblW w:w="0" w:type="auto"/>
        <w:tblLook w:val="04A0" w:firstRow="1" w:lastRow="0" w:firstColumn="1" w:lastColumn="0" w:noHBand="0" w:noVBand="1"/>
      </w:tblPr>
      <w:tblGrid>
        <w:gridCol w:w="9743"/>
      </w:tblGrid>
      <w:tr w:rsidR="006224E2" w:rsidRPr="00F732B5" w14:paraId="14C946CF" w14:textId="77777777" w:rsidTr="006224E2">
        <w:tc>
          <w:tcPr>
            <w:tcW w:w="9743" w:type="dxa"/>
          </w:tcPr>
          <w:p w14:paraId="230BBFC9" w14:textId="242C49A2" w:rsidR="006224E2" w:rsidRPr="00F732B5" w:rsidRDefault="006224E2" w:rsidP="007B6FC1">
            <w:pPr>
              <w:spacing w:after="120"/>
              <w:jc w:val="both"/>
              <w:rPr>
                <w:rFonts w:ascii="Verdana" w:hAnsi="Verdana" w:cstheme="minorHAnsi"/>
                <w:i/>
                <w:iCs/>
                <w:sz w:val="20"/>
                <w:szCs w:val="20"/>
                <w:lang w:val="en-GB"/>
              </w:rPr>
            </w:pPr>
            <w:r w:rsidRPr="00F732B5">
              <w:rPr>
                <w:rFonts w:ascii="Verdana" w:hAnsi="Verdana" w:cstheme="minorHAnsi"/>
                <w:i/>
                <w:iCs/>
                <w:sz w:val="20"/>
                <w:szCs w:val="20"/>
                <w:lang w:val="en-GB"/>
              </w:rPr>
              <w:t>Question 3: Do you have any comments on the proposed changes to Guideline 2?</w:t>
            </w:r>
          </w:p>
        </w:tc>
      </w:tr>
    </w:tbl>
    <w:p w14:paraId="005A9494" w14:textId="41FD9D64" w:rsidR="006D5353" w:rsidRPr="004C5A4D" w:rsidRDefault="00BB6DFF" w:rsidP="38F9F114">
      <w:pPr>
        <w:spacing w:after="120"/>
        <w:jc w:val="both"/>
        <w:rPr>
          <w:rFonts w:ascii="Verdana" w:hAnsi="Verdana" w:cstheme="minorHAnsi"/>
          <w:b/>
          <w:bCs/>
          <w:sz w:val="20"/>
          <w:szCs w:val="20"/>
          <w:lang w:val="en-GB"/>
        </w:rPr>
      </w:pPr>
      <w:r w:rsidRPr="007B6FC1">
        <w:rPr>
          <w:rFonts w:ascii="Verdana" w:hAnsi="Verdana" w:cstheme="minorHAnsi"/>
          <w:b/>
          <w:bCs/>
          <w:sz w:val="20"/>
          <w:szCs w:val="20"/>
          <w:lang w:val="en-GB"/>
        </w:rPr>
        <w:lastRenderedPageBreak/>
        <w:t>Amendments to Guideline 4: CDD measures to be applied by all firms</w:t>
      </w:r>
    </w:p>
    <w:tbl>
      <w:tblPr>
        <w:tblStyle w:val="TableGrid"/>
        <w:tblW w:w="0" w:type="auto"/>
        <w:tblLook w:val="04A0" w:firstRow="1" w:lastRow="0" w:firstColumn="1" w:lastColumn="0" w:noHBand="0" w:noVBand="1"/>
      </w:tblPr>
      <w:tblGrid>
        <w:gridCol w:w="9743"/>
      </w:tblGrid>
      <w:tr w:rsidR="006224E2" w:rsidRPr="00F732B5" w14:paraId="2E5E26E4" w14:textId="77777777" w:rsidTr="006224E2">
        <w:tc>
          <w:tcPr>
            <w:tcW w:w="9743" w:type="dxa"/>
          </w:tcPr>
          <w:p w14:paraId="3270D9BE" w14:textId="1E0F360D" w:rsidR="006224E2" w:rsidRPr="00F732B5" w:rsidRDefault="006224E2" w:rsidP="007B6FC1">
            <w:pPr>
              <w:spacing w:after="120"/>
              <w:jc w:val="both"/>
              <w:rPr>
                <w:rFonts w:ascii="Verdana" w:hAnsi="Verdana" w:cstheme="minorHAnsi"/>
                <w:i/>
                <w:iCs/>
                <w:sz w:val="20"/>
                <w:szCs w:val="20"/>
                <w:lang w:val="en-GB"/>
              </w:rPr>
            </w:pPr>
            <w:r w:rsidRPr="00F732B5">
              <w:rPr>
                <w:rFonts w:ascii="Verdana" w:hAnsi="Verdana" w:cstheme="minorHAnsi"/>
                <w:i/>
                <w:iCs/>
                <w:sz w:val="20"/>
                <w:szCs w:val="20"/>
                <w:lang w:val="en-GB"/>
              </w:rPr>
              <w:t>Question 4: Do you have any comments on the proposed changes to Guideline 4?</w:t>
            </w:r>
          </w:p>
        </w:tc>
      </w:tr>
    </w:tbl>
    <w:p w14:paraId="4C6662FF" w14:textId="77777777" w:rsidR="006224E2" w:rsidRDefault="006224E2" w:rsidP="38F9F114">
      <w:pPr>
        <w:spacing w:after="120"/>
        <w:jc w:val="both"/>
        <w:rPr>
          <w:rFonts w:ascii="Verdana" w:hAnsi="Verdana"/>
          <w:sz w:val="20"/>
          <w:szCs w:val="20"/>
          <w:lang w:val="en-GB"/>
        </w:rPr>
      </w:pPr>
    </w:p>
    <w:p w14:paraId="5B3E64EC" w14:textId="3FCB0BE9" w:rsidR="18C7091D" w:rsidRDefault="18C7091D" w:rsidP="38F9F114">
      <w:pPr>
        <w:spacing w:after="120"/>
        <w:jc w:val="both"/>
        <w:rPr>
          <w:rFonts w:ascii="Verdana" w:hAnsi="Verdana"/>
          <w:sz w:val="20"/>
          <w:szCs w:val="20"/>
          <w:lang w:val="en-GB"/>
        </w:rPr>
      </w:pPr>
      <w:r w:rsidRPr="38F9F114">
        <w:rPr>
          <w:rFonts w:ascii="Verdana" w:hAnsi="Verdana"/>
          <w:sz w:val="20"/>
          <w:szCs w:val="20"/>
          <w:lang w:val="en-GB"/>
        </w:rPr>
        <w:t xml:space="preserve">Concerning </w:t>
      </w:r>
      <w:r w:rsidR="255ACF25" w:rsidRPr="38F9F114">
        <w:rPr>
          <w:rFonts w:ascii="Verdana" w:hAnsi="Verdana"/>
          <w:sz w:val="20"/>
          <w:szCs w:val="20"/>
          <w:lang w:val="en-GB"/>
        </w:rPr>
        <w:t xml:space="preserve">the modification of </w:t>
      </w:r>
      <w:r w:rsidRPr="38F9F114">
        <w:rPr>
          <w:rFonts w:ascii="Verdana" w:hAnsi="Verdana"/>
          <w:sz w:val="20"/>
          <w:szCs w:val="20"/>
          <w:lang w:val="en-GB"/>
        </w:rPr>
        <w:t xml:space="preserve">Guideline 4.60, </w:t>
      </w:r>
      <w:r w:rsidR="3A3778E6" w:rsidRPr="38F9F114">
        <w:rPr>
          <w:rFonts w:ascii="Verdana" w:hAnsi="Verdana"/>
          <w:sz w:val="20"/>
          <w:szCs w:val="20"/>
          <w:lang w:val="en-GB"/>
        </w:rPr>
        <w:t xml:space="preserve">it is important </w:t>
      </w:r>
      <w:r w:rsidRPr="38F9F114">
        <w:rPr>
          <w:rFonts w:ascii="Verdana" w:hAnsi="Verdana"/>
          <w:sz w:val="20"/>
          <w:szCs w:val="20"/>
          <w:lang w:val="en-GB"/>
        </w:rPr>
        <w:t xml:space="preserve">to note that there are </w:t>
      </w:r>
      <w:r w:rsidR="1ED07147" w:rsidRPr="38F9F114">
        <w:rPr>
          <w:rFonts w:ascii="Verdana" w:hAnsi="Verdana"/>
          <w:sz w:val="20"/>
          <w:szCs w:val="20"/>
          <w:lang w:val="en-GB"/>
        </w:rPr>
        <w:t>situations in</w:t>
      </w:r>
      <w:r w:rsidR="0B0B84C4" w:rsidRPr="38F9F114">
        <w:rPr>
          <w:rFonts w:ascii="Verdana" w:hAnsi="Verdana"/>
          <w:sz w:val="20"/>
          <w:szCs w:val="20"/>
          <w:lang w:val="en-GB"/>
        </w:rPr>
        <w:t xml:space="preserve"> which credit institutions do </w:t>
      </w:r>
      <w:r w:rsidRPr="38F9F114">
        <w:rPr>
          <w:rFonts w:ascii="Verdana" w:hAnsi="Verdana"/>
          <w:sz w:val="20"/>
          <w:szCs w:val="20"/>
          <w:lang w:val="en-GB"/>
        </w:rPr>
        <w:t xml:space="preserve">not have all information </w:t>
      </w:r>
      <w:r w:rsidR="3264E2E3" w:rsidRPr="38F9F114">
        <w:rPr>
          <w:rFonts w:ascii="Verdana" w:hAnsi="Verdana"/>
          <w:sz w:val="20"/>
          <w:szCs w:val="20"/>
          <w:lang w:val="en-GB"/>
        </w:rPr>
        <w:t xml:space="preserve">on </w:t>
      </w:r>
      <w:r w:rsidRPr="38F9F114">
        <w:rPr>
          <w:rFonts w:ascii="Verdana" w:hAnsi="Verdana"/>
          <w:sz w:val="20"/>
          <w:szCs w:val="20"/>
          <w:lang w:val="en-GB"/>
        </w:rPr>
        <w:t>the underlying transaction</w:t>
      </w:r>
      <w:r w:rsidR="487ED7C1" w:rsidRPr="38F9F114">
        <w:rPr>
          <w:rFonts w:ascii="Verdana" w:hAnsi="Verdana"/>
          <w:sz w:val="20"/>
          <w:szCs w:val="20"/>
          <w:lang w:val="en-GB"/>
        </w:rPr>
        <w:t xml:space="preserve"> (e.g., correspondent relationships/customers of the respondent)</w:t>
      </w:r>
      <w:r w:rsidR="3562D022" w:rsidRPr="38F9F114">
        <w:rPr>
          <w:rFonts w:ascii="Verdana" w:hAnsi="Verdana"/>
          <w:sz w:val="20"/>
          <w:szCs w:val="20"/>
          <w:lang w:val="en-GB"/>
        </w:rPr>
        <w:t>,</w:t>
      </w:r>
      <w:r w:rsidRPr="38F9F114">
        <w:rPr>
          <w:rFonts w:ascii="Verdana" w:hAnsi="Verdana"/>
          <w:sz w:val="20"/>
          <w:szCs w:val="20"/>
          <w:lang w:val="en-GB"/>
        </w:rPr>
        <w:t xml:space="preserve"> </w:t>
      </w:r>
      <w:r w:rsidR="4CD07FE1" w:rsidRPr="38F9F114">
        <w:rPr>
          <w:rFonts w:ascii="Verdana" w:hAnsi="Verdana"/>
          <w:sz w:val="20"/>
          <w:szCs w:val="20"/>
          <w:lang w:val="en-GB"/>
        </w:rPr>
        <w:t xml:space="preserve">which makes </w:t>
      </w:r>
      <w:r w:rsidR="749C90E0" w:rsidRPr="38F9F114">
        <w:rPr>
          <w:rFonts w:ascii="Verdana" w:hAnsi="Verdana"/>
          <w:sz w:val="20"/>
          <w:szCs w:val="20"/>
          <w:lang w:val="en-GB"/>
        </w:rPr>
        <w:t xml:space="preserve">difficult </w:t>
      </w:r>
      <w:r w:rsidRPr="38F9F114">
        <w:rPr>
          <w:rFonts w:ascii="Verdana" w:hAnsi="Verdana"/>
          <w:sz w:val="20"/>
          <w:szCs w:val="20"/>
          <w:lang w:val="en-GB"/>
        </w:rPr>
        <w:t xml:space="preserve">to detect and assess unusual patterns of transactions. Additionally, the current </w:t>
      </w:r>
      <w:r w:rsidR="40E8E9BB" w:rsidRPr="38F9F114">
        <w:rPr>
          <w:rFonts w:ascii="Verdana" w:hAnsi="Verdana"/>
          <w:sz w:val="20"/>
          <w:szCs w:val="20"/>
          <w:lang w:val="en-GB"/>
        </w:rPr>
        <w:t xml:space="preserve">guidelines </w:t>
      </w:r>
      <w:r w:rsidRPr="38F9F114">
        <w:rPr>
          <w:rFonts w:ascii="Verdana" w:hAnsi="Verdana"/>
          <w:sz w:val="20"/>
          <w:szCs w:val="20"/>
          <w:lang w:val="en-GB"/>
        </w:rPr>
        <w:t xml:space="preserve">explicitly </w:t>
      </w:r>
      <w:r w:rsidR="21676EC2" w:rsidRPr="38F9F114">
        <w:rPr>
          <w:rFonts w:ascii="Verdana" w:hAnsi="Verdana"/>
          <w:sz w:val="20"/>
          <w:szCs w:val="20"/>
          <w:lang w:val="en-GB"/>
        </w:rPr>
        <w:t>mention</w:t>
      </w:r>
      <w:r w:rsidRPr="38F9F114">
        <w:rPr>
          <w:rFonts w:ascii="Verdana" w:hAnsi="Verdana"/>
          <w:sz w:val="20"/>
          <w:szCs w:val="20"/>
          <w:lang w:val="en-GB"/>
        </w:rPr>
        <w:t xml:space="preserve"> that ‘Transactions may be unusual […] b</w:t>
      </w:r>
      <w:r w:rsidR="287EA172" w:rsidRPr="38F9F114">
        <w:rPr>
          <w:rFonts w:ascii="Verdana" w:hAnsi="Verdana"/>
          <w:sz w:val="20"/>
          <w:szCs w:val="20"/>
          <w:lang w:val="en-GB"/>
        </w:rPr>
        <w:t>ecause:</w:t>
      </w:r>
      <w:r w:rsidRPr="38F9F114">
        <w:rPr>
          <w:rFonts w:ascii="Verdana" w:hAnsi="Verdana"/>
          <w:sz w:val="20"/>
          <w:szCs w:val="20"/>
          <w:lang w:val="en-GB"/>
        </w:rPr>
        <w:t xml:space="preserve"> […] the category to which the customer </w:t>
      </w:r>
      <w:r w:rsidR="05DBA1E6" w:rsidRPr="38F9F114">
        <w:rPr>
          <w:rFonts w:ascii="Verdana" w:hAnsi="Verdana"/>
          <w:sz w:val="20"/>
          <w:szCs w:val="20"/>
          <w:lang w:val="en-GB"/>
        </w:rPr>
        <w:t>belongs’ (Guideline 4.60 a))</w:t>
      </w:r>
      <w:r w:rsidRPr="38F9F114">
        <w:rPr>
          <w:rFonts w:ascii="Verdana" w:hAnsi="Verdana"/>
          <w:sz w:val="20"/>
          <w:szCs w:val="20"/>
          <w:lang w:val="en-GB"/>
        </w:rPr>
        <w:t xml:space="preserve">. This latter category is </w:t>
      </w:r>
      <w:r w:rsidR="0095172F">
        <w:rPr>
          <w:rFonts w:ascii="Verdana" w:hAnsi="Verdana"/>
          <w:sz w:val="20"/>
          <w:szCs w:val="20"/>
          <w:lang w:val="en-GB"/>
        </w:rPr>
        <w:t xml:space="preserve">not </w:t>
      </w:r>
      <w:r w:rsidR="05F8002E" w:rsidRPr="38F9F114">
        <w:rPr>
          <w:rFonts w:ascii="Verdana" w:hAnsi="Verdana"/>
          <w:sz w:val="20"/>
          <w:szCs w:val="20"/>
          <w:lang w:val="en-GB"/>
        </w:rPr>
        <w:t>included in</w:t>
      </w:r>
      <w:r w:rsidRPr="38F9F114">
        <w:rPr>
          <w:rFonts w:ascii="Verdana" w:hAnsi="Verdana"/>
          <w:sz w:val="20"/>
          <w:szCs w:val="20"/>
          <w:lang w:val="en-GB"/>
        </w:rPr>
        <w:t xml:space="preserve"> the guidelines under consultation. </w:t>
      </w:r>
      <w:r w:rsidR="297FDF0C" w:rsidRPr="38F9F114">
        <w:rPr>
          <w:rFonts w:ascii="Verdana" w:hAnsi="Verdana"/>
          <w:sz w:val="20"/>
          <w:szCs w:val="20"/>
          <w:lang w:val="en-GB"/>
        </w:rPr>
        <w:t>However, i</w:t>
      </w:r>
      <w:r w:rsidR="3274E352" w:rsidRPr="38F9F114">
        <w:rPr>
          <w:rFonts w:ascii="Verdana" w:hAnsi="Verdana"/>
          <w:sz w:val="20"/>
          <w:szCs w:val="20"/>
          <w:lang w:val="en-GB"/>
        </w:rPr>
        <w:t>t is our opinion that c</w:t>
      </w:r>
      <w:r w:rsidRPr="38F9F114">
        <w:rPr>
          <w:rFonts w:ascii="Verdana" w:hAnsi="Verdana"/>
          <w:sz w:val="20"/>
          <w:szCs w:val="20"/>
          <w:lang w:val="en-GB"/>
        </w:rPr>
        <w:t xml:space="preserve">ategorizing client groups </w:t>
      </w:r>
      <w:r w:rsidR="10BE8D52" w:rsidRPr="38F9F114">
        <w:rPr>
          <w:rFonts w:ascii="Verdana" w:hAnsi="Verdana"/>
          <w:sz w:val="20"/>
          <w:szCs w:val="20"/>
          <w:lang w:val="en-GB"/>
        </w:rPr>
        <w:t>enables</w:t>
      </w:r>
      <w:r w:rsidRPr="38F9F114">
        <w:rPr>
          <w:rFonts w:ascii="Verdana" w:hAnsi="Verdana"/>
          <w:sz w:val="20"/>
          <w:szCs w:val="20"/>
          <w:lang w:val="en-GB"/>
        </w:rPr>
        <w:t xml:space="preserve"> an effective and efficient AML/CTF framework of cooperative </w:t>
      </w:r>
      <w:r w:rsidR="7C5DA02C" w:rsidRPr="38F9F114">
        <w:rPr>
          <w:rFonts w:ascii="Verdana" w:hAnsi="Verdana"/>
          <w:sz w:val="20"/>
          <w:szCs w:val="20"/>
          <w:lang w:val="en-GB"/>
        </w:rPr>
        <w:t>banks and</w:t>
      </w:r>
      <w:r w:rsidRPr="38F9F114">
        <w:rPr>
          <w:rFonts w:ascii="Verdana" w:hAnsi="Verdana"/>
          <w:sz w:val="20"/>
          <w:szCs w:val="20"/>
          <w:lang w:val="en-GB"/>
        </w:rPr>
        <w:t xml:space="preserve"> should therefore remain part of the EBA </w:t>
      </w:r>
      <w:r w:rsidR="6244490B" w:rsidRPr="38F9F114">
        <w:rPr>
          <w:rFonts w:ascii="Verdana" w:hAnsi="Verdana"/>
          <w:sz w:val="20"/>
          <w:szCs w:val="20"/>
          <w:lang w:val="en-GB"/>
        </w:rPr>
        <w:t xml:space="preserve">present </w:t>
      </w:r>
      <w:r w:rsidRPr="38F9F114">
        <w:rPr>
          <w:rFonts w:ascii="Verdana" w:hAnsi="Verdana"/>
          <w:sz w:val="20"/>
          <w:szCs w:val="20"/>
          <w:lang w:val="en-GB"/>
        </w:rPr>
        <w:t>Guidelines.</w:t>
      </w:r>
    </w:p>
    <w:p w14:paraId="40F42DAE" w14:textId="060583AE" w:rsidR="746479FE" w:rsidRDefault="0A2ECB27" w:rsidP="38F9F114">
      <w:pPr>
        <w:spacing w:after="120"/>
        <w:jc w:val="both"/>
        <w:rPr>
          <w:rFonts w:ascii="Verdana" w:hAnsi="Verdana"/>
          <w:sz w:val="20"/>
          <w:szCs w:val="20"/>
          <w:lang w:val="en-GB"/>
        </w:rPr>
      </w:pPr>
      <w:r w:rsidRPr="38F9F114">
        <w:rPr>
          <w:rFonts w:ascii="Verdana" w:hAnsi="Verdana"/>
          <w:sz w:val="20"/>
          <w:szCs w:val="20"/>
          <w:lang w:val="en-GB"/>
        </w:rPr>
        <w:t>EACB members also wish to highlight</w:t>
      </w:r>
      <w:r w:rsidR="497391E7" w:rsidRPr="38F9F114">
        <w:rPr>
          <w:rFonts w:ascii="Verdana" w:hAnsi="Verdana"/>
          <w:sz w:val="20"/>
          <w:szCs w:val="20"/>
          <w:lang w:val="en-GB"/>
        </w:rPr>
        <w:t xml:space="preserve"> that further clarifications should be added concerning Guideline 4.74. </w:t>
      </w:r>
      <w:r w:rsidR="746479FE" w:rsidRPr="38F9F114">
        <w:rPr>
          <w:rFonts w:ascii="Verdana" w:hAnsi="Verdana"/>
          <w:sz w:val="20"/>
          <w:szCs w:val="20"/>
          <w:lang w:val="en-GB"/>
        </w:rPr>
        <w:t xml:space="preserve">Indeed, </w:t>
      </w:r>
      <w:r w:rsidR="0CAC0CD2" w:rsidRPr="38F9F114">
        <w:rPr>
          <w:rFonts w:ascii="Verdana" w:hAnsi="Verdana"/>
          <w:sz w:val="20"/>
          <w:szCs w:val="20"/>
          <w:lang w:val="en-GB"/>
        </w:rPr>
        <w:t xml:space="preserve">we wonder </w:t>
      </w:r>
      <w:r w:rsidR="746479FE" w:rsidRPr="38F9F114">
        <w:rPr>
          <w:rFonts w:ascii="Verdana" w:hAnsi="Verdana"/>
          <w:sz w:val="20"/>
          <w:szCs w:val="20"/>
          <w:lang w:val="en-GB"/>
        </w:rPr>
        <w:t>whether</w:t>
      </w:r>
      <w:r w:rsidR="497391E7" w:rsidRPr="38F9F114">
        <w:rPr>
          <w:rFonts w:ascii="Verdana" w:hAnsi="Verdana"/>
          <w:sz w:val="20"/>
          <w:szCs w:val="20"/>
          <w:lang w:val="en-GB"/>
        </w:rPr>
        <w:t xml:space="preserve"> </w:t>
      </w:r>
      <w:r w:rsidR="008707BF">
        <w:rPr>
          <w:rFonts w:ascii="Verdana" w:hAnsi="Verdana"/>
          <w:sz w:val="20"/>
          <w:szCs w:val="20"/>
          <w:lang w:val="en-GB"/>
        </w:rPr>
        <w:t xml:space="preserve">the </w:t>
      </w:r>
      <w:r w:rsidR="497391E7" w:rsidRPr="38F9F114">
        <w:rPr>
          <w:rFonts w:ascii="Verdana" w:hAnsi="Verdana"/>
          <w:sz w:val="20"/>
          <w:szCs w:val="20"/>
          <w:lang w:val="en-GB"/>
        </w:rPr>
        <w:t>EBA inten</w:t>
      </w:r>
      <w:r w:rsidR="2C837AAC" w:rsidRPr="38F9F114">
        <w:rPr>
          <w:rFonts w:ascii="Verdana" w:hAnsi="Verdana"/>
          <w:sz w:val="20"/>
          <w:szCs w:val="20"/>
          <w:lang w:val="en-GB"/>
        </w:rPr>
        <w:t>ds</w:t>
      </w:r>
      <w:r w:rsidR="497391E7" w:rsidRPr="38F9F114">
        <w:rPr>
          <w:rFonts w:ascii="Verdana" w:hAnsi="Verdana"/>
          <w:sz w:val="20"/>
          <w:szCs w:val="20"/>
          <w:lang w:val="en-GB"/>
        </w:rPr>
        <w:t xml:space="preserve"> to cover indirect exposure to CASPs where the </w:t>
      </w:r>
      <w:r w:rsidR="6957FC16" w:rsidRPr="38F9F114">
        <w:rPr>
          <w:rFonts w:ascii="Verdana" w:hAnsi="Verdana"/>
          <w:sz w:val="20"/>
          <w:szCs w:val="20"/>
          <w:lang w:val="en-GB"/>
        </w:rPr>
        <w:t xml:space="preserve">financial institution </w:t>
      </w:r>
      <w:r w:rsidR="497391E7" w:rsidRPr="38F9F114">
        <w:rPr>
          <w:rFonts w:ascii="Verdana" w:hAnsi="Verdana"/>
          <w:sz w:val="20"/>
          <w:szCs w:val="20"/>
          <w:lang w:val="en-GB"/>
        </w:rPr>
        <w:t>does not offer crypto asset services and does not have relationships with CASPs</w:t>
      </w:r>
      <w:r w:rsidR="73634D96" w:rsidRPr="38F9F114">
        <w:rPr>
          <w:rFonts w:ascii="Verdana" w:hAnsi="Verdana"/>
          <w:sz w:val="20"/>
          <w:szCs w:val="20"/>
          <w:lang w:val="en-GB"/>
        </w:rPr>
        <w:t>.</w:t>
      </w:r>
      <w:r w:rsidR="497391E7" w:rsidRPr="38F9F114">
        <w:rPr>
          <w:rFonts w:ascii="Verdana" w:hAnsi="Verdana"/>
          <w:sz w:val="20"/>
          <w:szCs w:val="20"/>
          <w:lang w:val="en-GB"/>
        </w:rPr>
        <w:t xml:space="preserve"> I</w:t>
      </w:r>
      <w:r w:rsidR="19491F11" w:rsidRPr="38F9F114">
        <w:rPr>
          <w:rFonts w:ascii="Verdana" w:hAnsi="Verdana"/>
          <w:sz w:val="20"/>
          <w:szCs w:val="20"/>
          <w:lang w:val="en-GB"/>
        </w:rPr>
        <w:t>n the case in which</w:t>
      </w:r>
      <w:r w:rsidR="497391E7" w:rsidRPr="38F9F114">
        <w:rPr>
          <w:rFonts w:ascii="Verdana" w:hAnsi="Verdana"/>
          <w:sz w:val="20"/>
          <w:szCs w:val="20"/>
          <w:lang w:val="en-GB"/>
        </w:rPr>
        <w:t xml:space="preserve"> the intention is to cover indirect exposure,</w:t>
      </w:r>
      <w:r w:rsidR="168FD97E" w:rsidRPr="38F9F114">
        <w:rPr>
          <w:rFonts w:ascii="Verdana" w:hAnsi="Verdana"/>
          <w:sz w:val="20"/>
          <w:szCs w:val="20"/>
          <w:lang w:val="en-GB"/>
        </w:rPr>
        <w:t xml:space="preserve"> </w:t>
      </w:r>
      <w:r w:rsidR="77F4CEE2" w:rsidRPr="38F9F114">
        <w:rPr>
          <w:rFonts w:ascii="Verdana" w:hAnsi="Verdana"/>
          <w:sz w:val="20"/>
          <w:szCs w:val="20"/>
          <w:lang w:val="en-GB"/>
        </w:rPr>
        <w:t>it is uncertain whether it will be required for</w:t>
      </w:r>
      <w:r w:rsidR="497391E7" w:rsidRPr="38F9F114">
        <w:rPr>
          <w:rFonts w:ascii="Verdana" w:hAnsi="Verdana"/>
          <w:sz w:val="20"/>
          <w:szCs w:val="20"/>
          <w:lang w:val="en-GB"/>
        </w:rPr>
        <w:t xml:space="preserve"> banks that are not CASPs themselves to </w:t>
      </w:r>
      <w:r w:rsidR="094F8187" w:rsidRPr="38F9F114">
        <w:rPr>
          <w:rFonts w:ascii="Verdana" w:hAnsi="Verdana"/>
          <w:sz w:val="20"/>
          <w:szCs w:val="20"/>
          <w:lang w:val="en-GB"/>
        </w:rPr>
        <w:t>analyse</w:t>
      </w:r>
      <w:r w:rsidR="497391E7" w:rsidRPr="38F9F114">
        <w:rPr>
          <w:rFonts w:ascii="Verdana" w:hAnsi="Verdana"/>
          <w:sz w:val="20"/>
          <w:szCs w:val="20"/>
          <w:lang w:val="en-GB"/>
        </w:rPr>
        <w:t xml:space="preserve"> the distributed ledger connected to a transaction</w:t>
      </w:r>
      <w:r w:rsidR="1E492718" w:rsidRPr="38F9F114">
        <w:rPr>
          <w:rFonts w:ascii="Verdana" w:hAnsi="Verdana"/>
          <w:sz w:val="20"/>
          <w:szCs w:val="20"/>
          <w:lang w:val="en-GB"/>
        </w:rPr>
        <w:t>. Further, the exten</w:t>
      </w:r>
      <w:r w:rsidR="6E18778F" w:rsidRPr="38F9F114">
        <w:rPr>
          <w:rFonts w:ascii="Verdana" w:hAnsi="Verdana"/>
          <w:sz w:val="20"/>
          <w:szCs w:val="20"/>
          <w:lang w:val="en-GB"/>
        </w:rPr>
        <w:t>t</w:t>
      </w:r>
      <w:r w:rsidR="1E492718" w:rsidRPr="38F9F114">
        <w:rPr>
          <w:rFonts w:ascii="Verdana" w:hAnsi="Verdana"/>
          <w:sz w:val="20"/>
          <w:szCs w:val="20"/>
          <w:lang w:val="en-GB"/>
        </w:rPr>
        <w:t xml:space="preserve"> </w:t>
      </w:r>
      <w:r w:rsidR="74502C31" w:rsidRPr="38F9F114">
        <w:rPr>
          <w:rFonts w:ascii="Verdana" w:hAnsi="Verdana"/>
          <w:sz w:val="20"/>
          <w:szCs w:val="20"/>
          <w:lang w:val="en-GB"/>
        </w:rPr>
        <w:t xml:space="preserve">to </w:t>
      </w:r>
      <w:r w:rsidR="1E492718" w:rsidRPr="38F9F114">
        <w:rPr>
          <w:rFonts w:ascii="Verdana" w:hAnsi="Verdana"/>
          <w:sz w:val="20"/>
          <w:szCs w:val="20"/>
          <w:lang w:val="en-GB"/>
        </w:rPr>
        <w:t>which</w:t>
      </w:r>
      <w:r w:rsidR="497391E7" w:rsidRPr="38F9F114">
        <w:rPr>
          <w:rFonts w:ascii="Verdana" w:hAnsi="Verdana"/>
          <w:sz w:val="20"/>
          <w:szCs w:val="20"/>
          <w:lang w:val="en-GB"/>
        </w:rPr>
        <w:t xml:space="preserve"> </w:t>
      </w:r>
      <w:r w:rsidR="3F77C8B9" w:rsidRPr="38F9F114">
        <w:rPr>
          <w:rFonts w:ascii="Verdana" w:hAnsi="Verdana"/>
          <w:sz w:val="20"/>
          <w:szCs w:val="20"/>
          <w:lang w:val="en-GB"/>
        </w:rPr>
        <w:t xml:space="preserve">financial </w:t>
      </w:r>
      <w:r w:rsidR="463A4718" w:rsidRPr="38F9F114">
        <w:rPr>
          <w:rFonts w:ascii="Verdana" w:hAnsi="Verdana"/>
          <w:sz w:val="20"/>
          <w:szCs w:val="20"/>
          <w:lang w:val="en-GB"/>
        </w:rPr>
        <w:t>institutions</w:t>
      </w:r>
      <w:r w:rsidR="497391E7" w:rsidRPr="38F9F114">
        <w:rPr>
          <w:rFonts w:ascii="Verdana" w:hAnsi="Verdana"/>
          <w:sz w:val="20"/>
          <w:szCs w:val="20"/>
          <w:lang w:val="en-GB"/>
        </w:rPr>
        <w:t xml:space="preserve"> </w:t>
      </w:r>
      <w:r w:rsidR="308926E5" w:rsidRPr="38F9F114">
        <w:rPr>
          <w:rFonts w:ascii="Verdana" w:hAnsi="Verdana"/>
          <w:sz w:val="20"/>
          <w:szCs w:val="20"/>
          <w:lang w:val="en-GB"/>
        </w:rPr>
        <w:t xml:space="preserve">can </w:t>
      </w:r>
      <w:r w:rsidR="497391E7" w:rsidRPr="38F9F114">
        <w:rPr>
          <w:rFonts w:ascii="Verdana" w:hAnsi="Verdana"/>
          <w:sz w:val="20"/>
          <w:szCs w:val="20"/>
          <w:lang w:val="en-GB"/>
        </w:rPr>
        <w:t>apply a risk-based approach to assess the background of a transaction</w:t>
      </w:r>
      <w:r w:rsidR="04AD869D" w:rsidRPr="38F9F114">
        <w:rPr>
          <w:rFonts w:ascii="Verdana" w:hAnsi="Verdana"/>
          <w:sz w:val="20"/>
          <w:szCs w:val="20"/>
          <w:lang w:val="en-GB"/>
        </w:rPr>
        <w:t xml:space="preserve"> remains unknown.</w:t>
      </w:r>
      <w:r w:rsidR="497391E7" w:rsidRPr="38F9F114">
        <w:rPr>
          <w:rFonts w:ascii="Verdana" w:hAnsi="Verdana"/>
          <w:sz w:val="20"/>
          <w:szCs w:val="20"/>
          <w:lang w:val="en-GB"/>
        </w:rPr>
        <w:t xml:space="preserve"> </w:t>
      </w:r>
      <w:r w:rsidR="2C165BED" w:rsidRPr="38F9F114">
        <w:rPr>
          <w:rFonts w:ascii="Verdana" w:hAnsi="Verdana"/>
          <w:sz w:val="20"/>
          <w:szCs w:val="20"/>
          <w:lang w:val="en-GB"/>
        </w:rPr>
        <w:t>D</w:t>
      </w:r>
      <w:r w:rsidR="497391E7" w:rsidRPr="38F9F114">
        <w:rPr>
          <w:rFonts w:ascii="Verdana" w:hAnsi="Verdana"/>
          <w:sz w:val="20"/>
          <w:szCs w:val="20"/>
          <w:lang w:val="en-GB"/>
        </w:rPr>
        <w:t xml:space="preserve">ue to the nature of CASPs, </w:t>
      </w:r>
      <w:r w:rsidR="0C5C6302" w:rsidRPr="38F9F114">
        <w:rPr>
          <w:rFonts w:ascii="Verdana" w:hAnsi="Verdana"/>
          <w:sz w:val="20"/>
          <w:szCs w:val="20"/>
          <w:lang w:val="en-GB"/>
        </w:rPr>
        <w:t>we would also like to highlight that it</w:t>
      </w:r>
      <w:r w:rsidR="497391E7" w:rsidRPr="38F9F114">
        <w:rPr>
          <w:rFonts w:ascii="Verdana" w:hAnsi="Verdana"/>
          <w:sz w:val="20"/>
          <w:szCs w:val="20"/>
          <w:lang w:val="en-GB"/>
        </w:rPr>
        <w:t xml:space="preserve"> is complicated to recognize the transaction counterparties as such. </w:t>
      </w:r>
      <w:r w:rsidR="791B60CD" w:rsidRPr="38F9F114">
        <w:rPr>
          <w:rFonts w:ascii="Verdana" w:hAnsi="Verdana"/>
          <w:sz w:val="20"/>
          <w:szCs w:val="20"/>
          <w:lang w:val="en-GB"/>
        </w:rPr>
        <w:t>Finally, t</w:t>
      </w:r>
      <w:r w:rsidR="552B9CE4" w:rsidRPr="38F9F114">
        <w:rPr>
          <w:rFonts w:ascii="Verdana" w:hAnsi="Verdana"/>
          <w:sz w:val="20"/>
          <w:szCs w:val="20"/>
          <w:lang w:val="en-GB"/>
        </w:rPr>
        <w:t>he conduct towards e</w:t>
      </w:r>
      <w:r w:rsidR="00110F42" w:rsidRPr="38F9F114">
        <w:rPr>
          <w:rFonts w:ascii="Verdana" w:hAnsi="Verdana"/>
          <w:sz w:val="20"/>
          <w:szCs w:val="20"/>
          <w:lang w:val="en-GB"/>
        </w:rPr>
        <w:t xml:space="preserve">ntities with multiple licenses </w:t>
      </w:r>
      <w:r w:rsidR="50192340" w:rsidRPr="38F9F114">
        <w:rPr>
          <w:rFonts w:ascii="Verdana" w:hAnsi="Verdana"/>
          <w:sz w:val="20"/>
          <w:szCs w:val="20"/>
          <w:lang w:val="en-GB"/>
        </w:rPr>
        <w:t xml:space="preserve">should be further specified </w:t>
      </w:r>
      <w:r w:rsidR="00110F42" w:rsidRPr="38F9F114">
        <w:rPr>
          <w:rFonts w:ascii="Verdana" w:hAnsi="Verdana"/>
          <w:sz w:val="20"/>
          <w:szCs w:val="20"/>
          <w:lang w:val="en-GB"/>
        </w:rPr>
        <w:t>(for example, an entity that has a combination of a PSP license, Banking license or a CASP license)</w:t>
      </w:r>
      <w:r w:rsidR="21CB59FE" w:rsidRPr="38F9F114">
        <w:rPr>
          <w:rFonts w:ascii="Verdana" w:hAnsi="Verdana"/>
          <w:sz w:val="20"/>
          <w:szCs w:val="20"/>
          <w:lang w:val="en-GB"/>
        </w:rPr>
        <w:t>.</w:t>
      </w:r>
    </w:p>
    <w:p w14:paraId="7FAA15C0" w14:textId="6E5CA9B6" w:rsidR="38F9F114" w:rsidRDefault="38F9F114" w:rsidP="38F9F114">
      <w:pPr>
        <w:spacing w:after="120"/>
        <w:jc w:val="both"/>
        <w:rPr>
          <w:rFonts w:ascii="Verdana" w:hAnsi="Verdana"/>
          <w:sz w:val="20"/>
          <w:szCs w:val="20"/>
          <w:lang w:val="en-GB"/>
        </w:rPr>
      </w:pPr>
    </w:p>
    <w:p w14:paraId="7F31C9C0" w14:textId="77777777" w:rsidR="007B6FC1" w:rsidRPr="00F732B5" w:rsidRDefault="007B6FC1" w:rsidP="007B6FC1">
      <w:pPr>
        <w:spacing w:after="120"/>
        <w:jc w:val="both"/>
        <w:rPr>
          <w:rFonts w:ascii="Verdana" w:hAnsi="Verdana" w:cstheme="minorHAnsi"/>
          <w:sz w:val="20"/>
          <w:szCs w:val="20"/>
          <w:lang w:val="en-GB"/>
        </w:rPr>
      </w:pPr>
    </w:p>
    <w:p w14:paraId="5EFF6CAB" w14:textId="71F2FB01" w:rsidR="006224E2" w:rsidRPr="004C5A4D" w:rsidRDefault="006D5353" w:rsidP="007B6FC1">
      <w:pPr>
        <w:spacing w:after="120"/>
        <w:jc w:val="both"/>
        <w:rPr>
          <w:rFonts w:ascii="Verdana" w:hAnsi="Verdana" w:cstheme="minorHAnsi"/>
          <w:b/>
          <w:bCs/>
          <w:sz w:val="20"/>
          <w:szCs w:val="20"/>
          <w:lang w:val="en-GB"/>
        </w:rPr>
      </w:pPr>
      <w:r w:rsidRPr="007B6FC1">
        <w:rPr>
          <w:rFonts w:ascii="Verdana" w:hAnsi="Verdana" w:cstheme="minorHAnsi"/>
          <w:b/>
          <w:bCs/>
          <w:sz w:val="20"/>
          <w:szCs w:val="20"/>
          <w:lang w:val="en-GB"/>
        </w:rPr>
        <w:t>Amendments to Guideline 6: Training</w:t>
      </w:r>
    </w:p>
    <w:tbl>
      <w:tblPr>
        <w:tblStyle w:val="TableGrid"/>
        <w:tblW w:w="0" w:type="auto"/>
        <w:tblLook w:val="04A0" w:firstRow="1" w:lastRow="0" w:firstColumn="1" w:lastColumn="0" w:noHBand="0" w:noVBand="1"/>
      </w:tblPr>
      <w:tblGrid>
        <w:gridCol w:w="9743"/>
      </w:tblGrid>
      <w:tr w:rsidR="006224E2" w:rsidRPr="00F732B5" w14:paraId="6AF9E0FD" w14:textId="77777777" w:rsidTr="38F9F114">
        <w:tc>
          <w:tcPr>
            <w:tcW w:w="9743" w:type="dxa"/>
          </w:tcPr>
          <w:p w14:paraId="70CFB259" w14:textId="5FDE9518" w:rsidR="006224E2" w:rsidRPr="00F732B5" w:rsidRDefault="7812FFAF" w:rsidP="38F9F114">
            <w:pPr>
              <w:spacing w:after="120"/>
              <w:jc w:val="both"/>
              <w:rPr>
                <w:rFonts w:ascii="Verdana" w:hAnsi="Verdana"/>
                <w:i/>
                <w:iCs/>
                <w:sz w:val="20"/>
                <w:szCs w:val="20"/>
                <w:lang w:val="en-GB"/>
              </w:rPr>
            </w:pPr>
            <w:r w:rsidRPr="38F9F114">
              <w:rPr>
                <w:rFonts w:ascii="Verdana" w:hAnsi="Verdana"/>
                <w:i/>
                <w:iCs/>
                <w:sz w:val="20"/>
                <w:szCs w:val="20"/>
                <w:lang w:val="en-GB"/>
              </w:rPr>
              <w:t>Question 5: Do you have any comments on the proposed changes to Guideline 6?</w:t>
            </w:r>
          </w:p>
        </w:tc>
      </w:tr>
    </w:tbl>
    <w:p w14:paraId="7E7FBB5F" w14:textId="77777777" w:rsidR="006224E2" w:rsidRDefault="006224E2" w:rsidP="007B6FC1">
      <w:pPr>
        <w:spacing w:after="120"/>
        <w:jc w:val="both"/>
        <w:rPr>
          <w:rFonts w:ascii="Verdana" w:hAnsi="Verdana" w:cstheme="minorHAnsi"/>
          <w:sz w:val="20"/>
          <w:szCs w:val="20"/>
          <w:lang w:val="en-GB"/>
        </w:rPr>
      </w:pPr>
    </w:p>
    <w:p w14:paraId="415FF840" w14:textId="77777777" w:rsidR="007B6FC1" w:rsidRPr="00F732B5" w:rsidRDefault="007B6FC1" w:rsidP="007B6FC1">
      <w:pPr>
        <w:spacing w:after="120"/>
        <w:jc w:val="both"/>
        <w:rPr>
          <w:rFonts w:ascii="Verdana" w:hAnsi="Verdana" w:cstheme="minorHAnsi"/>
          <w:sz w:val="20"/>
          <w:szCs w:val="20"/>
          <w:lang w:val="en-GB"/>
        </w:rPr>
      </w:pPr>
    </w:p>
    <w:p w14:paraId="6AFD7D2E" w14:textId="0F0EB171" w:rsidR="38F9F114" w:rsidRPr="004C5A4D" w:rsidRDefault="006D5353" w:rsidP="38F9F114">
      <w:pPr>
        <w:spacing w:after="120"/>
        <w:jc w:val="both"/>
        <w:rPr>
          <w:rFonts w:ascii="Verdana" w:hAnsi="Verdana" w:cstheme="minorHAnsi"/>
          <w:b/>
          <w:bCs/>
          <w:sz w:val="20"/>
          <w:szCs w:val="20"/>
          <w:lang w:val="en-GB"/>
        </w:rPr>
      </w:pPr>
      <w:r w:rsidRPr="00F732B5">
        <w:rPr>
          <w:rFonts w:ascii="Verdana" w:hAnsi="Verdana" w:cstheme="minorHAnsi"/>
          <w:b/>
          <w:bCs/>
          <w:sz w:val="20"/>
          <w:szCs w:val="20"/>
          <w:lang w:val="en-GB"/>
        </w:rPr>
        <w:t>Amendments to Guideline 8: Sectoral guideline for correspondent relationships</w:t>
      </w:r>
    </w:p>
    <w:tbl>
      <w:tblPr>
        <w:tblStyle w:val="TableGrid"/>
        <w:tblW w:w="0" w:type="auto"/>
        <w:tblLook w:val="04A0" w:firstRow="1" w:lastRow="0" w:firstColumn="1" w:lastColumn="0" w:noHBand="0" w:noVBand="1"/>
      </w:tblPr>
      <w:tblGrid>
        <w:gridCol w:w="9743"/>
      </w:tblGrid>
      <w:tr w:rsidR="006224E2" w:rsidRPr="00F732B5" w14:paraId="35F099A8" w14:textId="77777777" w:rsidTr="38F9F114">
        <w:tc>
          <w:tcPr>
            <w:tcW w:w="9743" w:type="dxa"/>
          </w:tcPr>
          <w:p w14:paraId="4622890D" w14:textId="4A235B03" w:rsidR="006224E2" w:rsidRPr="00F732B5" w:rsidRDefault="7812FFAF" w:rsidP="38F9F114">
            <w:pPr>
              <w:spacing w:after="120"/>
              <w:jc w:val="both"/>
              <w:rPr>
                <w:rFonts w:ascii="Verdana" w:hAnsi="Verdana"/>
                <w:i/>
                <w:iCs/>
                <w:sz w:val="20"/>
                <w:szCs w:val="20"/>
                <w:lang w:val="en-GB"/>
              </w:rPr>
            </w:pPr>
            <w:r w:rsidRPr="38F9F114">
              <w:rPr>
                <w:rFonts w:ascii="Verdana" w:hAnsi="Verdana"/>
                <w:i/>
                <w:iCs/>
                <w:sz w:val="20"/>
                <w:szCs w:val="20"/>
                <w:lang w:val="en-GB"/>
              </w:rPr>
              <w:t>Question 6: Do you have any comments on the proposed changes to Guideline 8?</w:t>
            </w:r>
          </w:p>
        </w:tc>
      </w:tr>
    </w:tbl>
    <w:p w14:paraId="01481012" w14:textId="77777777" w:rsidR="006224E2" w:rsidRDefault="006224E2" w:rsidP="38F9F114">
      <w:pPr>
        <w:spacing w:after="120"/>
        <w:jc w:val="both"/>
        <w:rPr>
          <w:rFonts w:ascii="Verdana" w:hAnsi="Verdana"/>
          <w:sz w:val="20"/>
          <w:szCs w:val="20"/>
          <w:lang w:val="en-GB"/>
        </w:rPr>
      </w:pPr>
    </w:p>
    <w:p w14:paraId="6A881951" w14:textId="14FC70DD" w:rsidR="4242758F" w:rsidRDefault="4242758F" w:rsidP="38F9F114">
      <w:pPr>
        <w:spacing w:after="120"/>
        <w:jc w:val="both"/>
        <w:rPr>
          <w:rFonts w:ascii="Verdana" w:hAnsi="Verdana"/>
          <w:sz w:val="20"/>
          <w:szCs w:val="20"/>
          <w:lang w:val="en-GB"/>
        </w:rPr>
      </w:pPr>
      <w:r w:rsidRPr="38F9F114">
        <w:rPr>
          <w:rFonts w:ascii="Verdana" w:hAnsi="Verdana"/>
          <w:sz w:val="20"/>
          <w:szCs w:val="20"/>
          <w:lang w:val="en-GB"/>
        </w:rPr>
        <w:t>While we understand the need</w:t>
      </w:r>
      <w:r w:rsidR="3B83EF25" w:rsidRPr="38F9F114">
        <w:rPr>
          <w:rFonts w:ascii="Verdana" w:hAnsi="Verdana"/>
          <w:sz w:val="20"/>
          <w:szCs w:val="20"/>
          <w:lang w:val="en-GB"/>
        </w:rPr>
        <w:t xml:space="preserve"> to a</w:t>
      </w:r>
      <w:r w:rsidR="3B83EF25" w:rsidRPr="38F9F114">
        <w:rPr>
          <w:rFonts w:ascii="Verdana" w:eastAsia="Verdana" w:hAnsi="Verdana" w:cs="Verdana"/>
          <w:sz w:val="20"/>
          <w:szCs w:val="20"/>
          <w:lang w:val="en-GB"/>
        </w:rPr>
        <w:t>ssess the respondent institutions</w:t>
      </w:r>
      <w:r w:rsidR="4AEDE846" w:rsidRPr="38F9F114">
        <w:rPr>
          <w:rFonts w:ascii="Verdana" w:eastAsia="Verdana" w:hAnsi="Verdana" w:cs="Verdana"/>
          <w:sz w:val="20"/>
          <w:szCs w:val="20"/>
          <w:lang w:val="en-GB"/>
        </w:rPr>
        <w:t>’</w:t>
      </w:r>
      <w:r w:rsidR="3B83EF25" w:rsidRPr="38F9F114">
        <w:rPr>
          <w:rFonts w:ascii="Verdana" w:eastAsia="Verdana" w:hAnsi="Verdana" w:cs="Verdana"/>
          <w:sz w:val="20"/>
          <w:szCs w:val="20"/>
          <w:lang w:val="en-GB"/>
        </w:rPr>
        <w:t xml:space="preserve"> AML/CFT controls, we consider that</w:t>
      </w:r>
      <w:r w:rsidR="5CA744D4" w:rsidRPr="38F9F114">
        <w:rPr>
          <w:rFonts w:ascii="Verdana" w:hAnsi="Verdana"/>
          <w:sz w:val="20"/>
          <w:szCs w:val="20"/>
          <w:lang w:val="en-GB"/>
        </w:rPr>
        <w:t xml:space="preserve"> t</w:t>
      </w:r>
      <w:r w:rsidR="5B5A8916" w:rsidRPr="38F9F114">
        <w:rPr>
          <w:rFonts w:ascii="Verdana" w:hAnsi="Verdana"/>
          <w:sz w:val="20"/>
          <w:szCs w:val="20"/>
          <w:lang w:val="en-GB"/>
        </w:rPr>
        <w:t xml:space="preserve">he proposed amendment to Guideline 8.17 c) will exceed the scope of due diligence responsibilities that should be expected from correspondent relationships, e.g., the performance of sample testing and/or on-site inspections. </w:t>
      </w:r>
      <w:r w:rsidR="64767F2E" w:rsidRPr="38F9F114">
        <w:rPr>
          <w:rFonts w:ascii="Verdana" w:hAnsi="Verdana"/>
          <w:sz w:val="20"/>
          <w:szCs w:val="20"/>
          <w:lang w:val="en-GB"/>
        </w:rPr>
        <w:t xml:space="preserve">We </w:t>
      </w:r>
      <w:r w:rsidR="15CEB6A4" w:rsidRPr="38F9F114">
        <w:rPr>
          <w:rFonts w:ascii="Verdana" w:hAnsi="Verdana"/>
          <w:sz w:val="20"/>
          <w:szCs w:val="20"/>
          <w:lang w:val="en-GB"/>
        </w:rPr>
        <w:t xml:space="preserve">instead </w:t>
      </w:r>
      <w:r w:rsidR="64767F2E" w:rsidRPr="38F9F114">
        <w:rPr>
          <w:rFonts w:ascii="Verdana" w:hAnsi="Verdana"/>
          <w:sz w:val="20"/>
          <w:szCs w:val="20"/>
          <w:lang w:val="en-GB"/>
        </w:rPr>
        <w:t>believe that t</w:t>
      </w:r>
      <w:r w:rsidR="5B5A8916" w:rsidRPr="38F9F114">
        <w:rPr>
          <w:rFonts w:ascii="Verdana" w:hAnsi="Verdana"/>
          <w:sz w:val="20"/>
          <w:szCs w:val="20"/>
          <w:lang w:val="en-GB"/>
        </w:rPr>
        <w:t>his level of scrutiny should be performed by supervisory entities as part of the licensing and registering procedure. In</w:t>
      </w:r>
      <w:r w:rsidR="4F4C4EE3" w:rsidRPr="38F9F114">
        <w:rPr>
          <w:rFonts w:ascii="Verdana" w:hAnsi="Verdana"/>
          <w:sz w:val="20"/>
          <w:szCs w:val="20"/>
          <w:lang w:val="en-GB"/>
        </w:rPr>
        <w:t>deed, in</w:t>
      </w:r>
      <w:r w:rsidR="5B5A8916" w:rsidRPr="38F9F114">
        <w:rPr>
          <w:rFonts w:ascii="Verdana" w:hAnsi="Verdana"/>
          <w:sz w:val="20"/>
          <w:szCs w:val="20"/>
          <w:lang w:val="en-GB"/>
        </w:rPr>
        <w:t xml:space="preserve"> our view</w:t>
      </w:r>
      <w:r w:rsidR="4F537735" w:rsidRPr="38F9F114">
        <w:rPr>
          <w:rFonts w:ascii="Verdana" w:hAnsi="Verdana"/>
          <w:sz w:val="20"/>
          <w:szCs w:val="20"/>
          <w:lang w:val="en-GB"/>
        </w:rPr>
        <w:t>,</w:t>
      </w:r>
      <w:r w:rsidR="5B5A8916" w:rsidRPr="38F9F114">
        <w:rPr>
          <w:rFonts w:ascii="Verdana" w:hAnsi="Verdana"/>
          <w:sz w:val="20"/>
          <w:szCs w:val="20"/>
          <w:lang w:val="en-GB"/>
        </w:rPr>
        <w:t xml:space="preserve"> the licensing and/or registering authorities should have the primary responsibility for ascertaining that licensed/registered CASPs have all the adequate AML/CFT controls in place (e.g., transaction monitoring) prior granting the license/registration.</w:t>
      </w:r>
    </w:p>
    <w:p w14:paraId="7C35B71F" w14:textId="77777777" w:rsidR="007B6FC1" w:rsidRDefault="007B6FC1" w:rsidP="007B6FC1">
      <w:pPr>
        <w:spacing w:after="120"/>
        <w:jc w:val="both"/>
        <w:rPr>
          <w:rFonts w:ascii="Verdana" w:hAnsi="Verdana" w:cstheme="minorHAnsi"/>
          <w:sz w:val="20"/>
          <w:szCs w:val="20"/>
          <w:lang w:val="en-GB"/>
        </w:rPr>
      </w:pPr>
    </w:p>
    <w:p w14:paraId="5FAED149" w14:textId="77777777" w:rsidR="00E40738" w:rsidRPr="00F732B5" w:rsidRDefault="00E40738" w:rsidP="007B6FC1">
      <w:pPr>
        <w:spacing w:after="120"/>
        <w:jc w:val="both"/>
        <w:rPr>
          <w:rFonts w:ascii="Verdana" w:hAnsi="Verdana" w:cstheme="minorHAnsi"/>
          <w:sz w:val="20"/>
          <w:szCs w:val="20"/>
          <w:lang w:val="en-GB"/>
        </w:rPr>
      </w:pPr>
    </w:p>
    <w:p w14:paraId="414BE846" w14:textId="12E3474C" w:rsidR="006224E2" w:rsidRPr="00E40738" w:rsidRDefault="30F65526" w:rsidP="007B6FC1">
      <w:pPr>
        <w:spacing w:after="120"/>
        <w:jc w:val="both"/>
        <w:rPr>
          <w:rFonts w:ascii="Verdana" w:hAnsi="Verdana"/>
          <w:b/>
          <w:bCs/>
          <w:sz w:val="20"/>
          <w:szCs w:val="20"/>
          <w:lang w:val="en-GB"/>
        </w:rPr>
      </w:pPr>
      <w:r w:rsidRPr="38F9F114">
        <w:rPr>
          <w:rFonts w:ascii="Verdana" w:hAnsi="Verdana"/>
          <w:b/>
          <w:bCs/>
          <w:sz w:val="20"/>
          <w:szCs w:val="20"/>
          <w:lang w:val="en-GB"/>
        </w:rPr>
        <w:lastRenderedPageBreak/>
        <w:t>Amendments to Guideline 9: Sectoral guideline for retail banks</w:t>
      </w:r>
    </w:p>
    <w:tbl>
      <w:tblPr>
        <w:tblStyle w:val="TableGrid"/>
        <w:tblW w:w="0" w:type="auto"/>
        <w:tblLook w:val="04A0" w:firstRow="1" w:lastRow="0" w:firstColumn="1" w:lastColumn="0" w:noHBand="0" w:noVBand="1"/>
      </w:tblPr>
      <w:tblGrid>
        <w:gridCol w:w="9743"/>
      </w:tblGrid>
      <w:tr w:rsidR="006224E2" w:rsidRPr="00F732B5" w14:paraId="20BA9FCB" w14:textId="77777777" w:rsidTr="006224E2">
        <w:tc>
          <w:tcPr>
            <w:tcW w:w="9743" w:type="dxa"/>
          </w:tcPr>
          <w:p w14:paraId="743B445D" w14:textId="5A962CA0" w:rsidR="006224E2" w:rsidRPr="00F732B5" w:rsidRDefault="006224E2" w:rsidP="007B6FC1">
            <w:pPr>
              <w:spacing w:after="120"/>
              <w:jc w:val="both"/>
              <w:rPr>
                <w:rFonts w:ascii="Verdana" w:hAnsi="Verdana" w:cstheme="minorHAnsi"/>
                <w:i/>
                <w:iCs/>
                <w:sz w:val="20"/>
                <w:szCs w:val="20"/>
                <w:lang w:val="en-GB"/>
              </w:rPr>
            </w:pPr>
            <w:r w:rsidRPr="00F732B5">
              <w:rPr>
                <w:rFonts w:ascii="Verdana" w:hAnsi="Verdana" w:cstheme="minorHAnsi"/>
                <w:i/>
                <w:iCs/>
                <w:sz w:val="20"/>
                <w:szCs w:val="20"/>
                <w:lang w:val="en-GB"/>
              </w:rPr>
              <w:t>Question 7: Do you have any comments on the proposed changes to Guideline 9?</w:t>
            </w:r>
          </w:p>
        </w:tc>
      </w:tr>
    </w:tbl>
    <w:p w14:paraId="2969257D" w14:textId="77777777" w:rsidR="006224E2" w:rsidRDefault="006224E2" w:rsidP="38F9F114">
      <w:pPr>
        <w:spacing w:after="120"/>
        <w:jc w:val="both"/>
        <w:rPr>
          <w:rFonts w:ascii="Verdana" w:hAnsi="Verdana"/>
          <w:sz w:val="20"/>
          <w:szCs w:val="20"/>
          <w:lang w:val="en-GB"/>
        </w:rPr>
      </w:pPr>
    </w:p>
    <w:p w14:paraId="294205DE" w14:textId="40F2D21D" w:rsidR="00267978" w:rsidRDefault="2D8B6C14" w:rsidP="38F9F114">
      <w:pPr>
        <w:spacing w:after="120"/>
        <w:jc w:val="both"/>
        <w:rPr>
          <w:rFonts w:ascii="Verdana" w:hAnsi="Verdana"/>
          <w:sz w:val="20"/>
          <w:szCs w:val="20"/>
          <w:lang w:val="en-GB"/>
        </w:rPr>
      </w:pPr>
      <w:r w:rsidRPr="38F9F114">
        <w:rPr>
          <w:rFonts w:ascii="Verdana" w:hAnsi="Verdana"/>
          <w:sz w:val="20"/>
          <w:szCs w:val="20"/>
          <w:lang w:val="en-GB"/>
        </w:rPr>
        <w:t>On Guideline 9.16, we believe that f</w:t>
      </w:r>
      <w:r w:rsidR="724CF69A" w:rsidRPr="38F9F114">
        <w:rPr>
          <w:rFonts w:ascii="Verdana" w:hAnsi="Verdana"/>
          <w:sz w:val="20"/>
          <w:szCs w:val="20"/>
          <w:lang w:val="en-GB"/>
        </w:rPr>
        <w:t>urther</w:t>
      </w:r>
      <w:r w:rsidR="21B388AD" w:rsidRPr="38F9F114">
        <w:rPr>
          <w:rFonts w:ascii="Verdana" w:hAnsi="Verdana"/>
          <w:sz w:val="20"/>
          <w:szCs w:val="20"/>
          <w:lang w:val="en-GB"/>
        </w:rPr>
        <w:t xml:space="preserve"> </w:t>
      </w:r>
      <w:r w:rsidR="3F01954C" w:rsidRPr="38F9F114">
        <w:rPr>
          <w:rFonts w:ascii="Verdana" w:hAnsi="Verdana"/>
          <w:sz w:val="20"/>
          <w:szCs w:val="20"/>
          <w:lang w:val="en-GB"/>
        </w:rPr>
        <w:t xml:space="preserve">guidance concerning </w:t>
      </w:r>
      <w:r w:rsidR="724CF69A" w:rsidRPr="38F9F114">
        <w:rPr>
          <w:rFonts w:ascii="Verdana" w:hAnsi="Verdana"/>
          <w:sz w:val="20"/>
          <w:szCs w:val="20"/>
          <w:lang w:val="en-GB"/>
        </w:rPr>
        <w:t xml:space="preserve">the </w:t>
      </w:r>
      <w:r w:rsidR="2F35B8B0" w:rsidRPr="38F9F114">
        <w:rPr>
          <w:rFonts w:ascii="Verdana" w:hAnsi="Verdana"/>
          <w:sz w:val="20"/>
          <w:szCs w:val="20"/>
          <w:lang w:val="en-GB"/>
        </w:rPr>
        <w:t xml:space="preserve">ultimate </w:t>
      </w:r>
      <w:r w:rsidR="1ED2F6A4" w:rsidRPr="38F9F114">
        <w:rPr>
          <w:rFonts w:ascii="Verdana" w:hAnsi="Verdana"/>
          <w:sz w:val="20"/>
          <w:szCs w:val="20"/>
          <w:lang w:val="en-GB"/>
        </w:rPr>
        <w:t>beneficial</w:t>
      </w:r>
      <w:r w:rsidR="2F35B8B0" w:rsidRPr="38F9F114">
        <w:rPr>
          <w:rFonts w:ascii="Verdana" w:hAnsi="Verdana"/>
          <w:sz w:val="20"/>
          <w:szCs w:val="20"/>
          <w:lang w:val="en-GB"/>
        </w:rPr>
        <w:t xml:space="preserve"> ownership </w:t>
      </w:r>
      <w:r w:rsidR="21B388AD" w:rsidRPr="38F9F114">
        <w:rPr>
          <w:rFonts w:ascii="Verdana" w:hAnsi="Verdana"/>
          <w:sz w:val="20"/>
          <w:szCs w:val="20"/>
          <w:lang w:val="en-GB"/>
        </w:rPr>
        <w:t xml:space="preserve">thresholds </w:t>
      </w:r>
      <w:r w:rsidR="54DBB0FE" w:rsidRPr="38F9F114">
        <w:rPr>
          <w:rFonts w:ascii="Verdana" w:hAnsi="Verdana"/>
          <w:sz w:val="20"/>
          <w:szCs w:val="20"/>
          <w:lang w:val="en-GB"/>
        </w:rPr>
        <w:t>is needed.</w:t>
      </w:r>
      <w:r w:rsidR="6B4D0F59" w:rsidRPr="38F9F114">
        <w:rPr>
          <w:rFonts w:ascii="Verdana" w:hAnsi="Verdana"/>
          <w:sz w:val="20"/>
          <w:szCs w:val="20"/>
          <w:lang w:val="en-GB"/>
        </w:rPr>
        <w:t xml:space="preserve"> </w:t>
      </w:r>
      <w:r w:rsidR="229FC2A3" w:rsidRPr="38F9F114">
        <w:rPr>
          <w:rFonts w:ascii="Verdana" w:hAnsi="Verdana"/>
          <w:sz w:val="20"/>
          <w:szCs w:val="20"/>
          <w:lang w:val="en-GB"/>
        </w:rPr>
        <w:t xml:space="preserve">If the funds of a single third party are limited, it might not be feasible or </w:t>
      </w:r>
      <w:r w:rsidR="334EF732" w:rsidRPr="38F9F114">
        <w:rPr>
          <w:rFonts w:ascii="Verdana" w:hAnsi="Verdana"/>
          <w:sz w:val="20"/>
          <w:szCs w:val="20"/>
          <w:lang w:val="en-GB"/>
        </w:rPr>
        <w:t xml:space="preserve">even </w:t>
      </w:r>
      <w:r w:rsidR="229FC2A3" w:rsidRPr="38F9F114">
        <w:rPr>
          <w:rFonts w:ascii="Verdana" w:hAnsi="Verdana"/>
          <w:sz w:val="20"/>
          <w:szCs w:val="20"/>
          <w:lang w:val="en-GB"/>
        </w:rPr>
        <w:t>hav</w:t>
      </w:r>
      <w:r w:rsidR="00607DF9">
        <w:rPr>
          <w:rFonts w:ascii="Verdana" w:hAnsi="Verdana"/>
          <w:sz w:val="20"/>
          <w:szCs w:val="20"/>
          <w:lang w:val="en-GB"/>
        </w:rPr>
        <w:t xml:space="preserve">e </w:t>
      </w:r>
      <w:r w:rsidR="229FC2A3" w:rsidRPr="38F9F114">
        <w:rPr>
          <w:rFonts w:ascii="Verdana" w:hAnsi="Verdana"/>
          <w:sz w:val="20"/>
          <w:szCs w:val="20"/>
          <w:lang w:val="en-GB"/>
        </w:rPr>
        <w:t>added value to consider each third party as the UBO of the customer. FIs should be able to take a risk-based approach t</w:t>
      </w:r>
      <w:r w:rsidR="342E7540" w:rsidRPr="38F9F114">
        <w:rPr>
          <w:rFonts w:ascii="Verdana" w:hAnsi="Verdana"/>
          <w:sz w:val="20"/>
          <w:szCs w:val="20"/>
          <w:lang w:val="en-GB"/>
        </w:rPr>
        <w:t xml:space="preserve">o implement </w:t>
      </w:r>
      <w:r w:rsidR="229FC2A3" w:rsidRPr="38F9F114">
        <w:rPr>
          <w:rFonts w:ascii="Verdana" w:hAnsi="Verdana"/>
          <w:sz w:val="20"/>
          <w:szCs w:val="20"/>
          <w:lang w:val="en-GB"/>
        </w:rPr>
        <w:t>this requirement.</w:t>
      </w:r>
    </w:p>
    <w:p w14:paraId="00F51B19" w14:textId="5CC6C64B" w:rsidR="00607DF9" w:rsidRDefault="00607DF9" w:rsidP="38F9F114">
      <w:pPr>
        <w:spacing w:after="120"/>
        <w:jc w:val="both"/>
        <w:rPr>
          <w:rFonts w:ascii="Verdana" w:hAnsi="Verdana"/>
          <w:sz w:val="20"/>
          <w:szCs w:val="20"/>
          <w:lang w:val="en-GB"/>
        </w:rPr>
      </w:pPr>
      <w:r w:rsidRPr="00607DF9">
        <w:rPr>
          <w:rFonts w:ascii="Verdana" w:hAnsi="Verdana"/>
          <w:sz w:val="20"/>
          <w:szCs w:val="20"/>
          <w:lang w:val="en-GB"/>
        </w:rPr>
        <w:t xml:space="preserve">On Guideline 9.20, it is only recently that a number of international and national regulations included definitions related to Virtual Assets and Virtual Asset Service Providers (VASPs), notably the 2021 FATF Updated Guidance for a risk-based approach, and for example the French </w:t>
      </w:r>
      <w:r w:rsidRPr="00607DF9">
        <w:rPr>
          <w:rFonts w:ascii="Verdana" w:hAnsi="Verdana"/>
          <w:i/>
          <w:iCs/>
          <w:sz w:val="20"/>
          <w:szCs w:val="20"/>
          <w:lang w:val="en-GB"/>
        </w:rPr>
        <w:t xml:space="preserve">Plan </w:t>
      </w:r>
      <w:proofErr w:type="spellStart"/>
      <w:r w:rsidRPr="00607DF9">
        <w:rPr>
          <w:rFonts w:ascii="Verdana" w:hAnsi="Verdana"/>
          <w:i/>
          <w:iCs/>
          <w:sz w:val="20"/>
          <w:szCs w:val="20"/>
          <w:lang w:val="en-GB"/>
        </w:rPr>
        <w:t>d’Action</w:t>
      </w:r>
      <w:proofErr w:type="spellEnd"/>
      <w:r w:rsidRPr="00607DF9">
        <w:rPr>
          <w:rFonts w:ascii="Verdana" w:hAnsi="Verdana"/>
          <w:i/>
          <w:iCs/>
          <w:sz w:val="20"/>
          <w:szCs w:val="20"/>
          <w:lang w:val="en-GB"/>
        </w:rPr>
        <w:t xml:space="preserve"> pour la </w:t>
      </w:r>
      <w:proofErr w:type="spellStart"/>
      <w:r w:rsidRPr="00607DF9">
        <w:rPr>
          <w:rFonts w:ascii="Verdana" w:hAnsi="Verdana"/>
          <w:i/>
          <w:iCs/>
          <w:sz w:val="20"/>
          <w:szCs w:val="20"/>
          <w:lang w:val="en-GB"/>
        </w:rPr>
        <w:t>Croissance</w:t>
      </w:r>
      <w:proofErr w:type="spellEnd"/>
      <w:r w:rsidRPr="00607DF9">
        <w:rPr>
          <w:rFonts w:ascii="Verdana" w:hAnsi="Verdana"/>
          <w:i/>
          <w:iCs/>
          <w:sz w:val="20"/>
          <w:szCs w:val="20"/>
          <w:lang w:val="en-GB"/>
        </w:rPr>
        <w:t xml:space="preserve"> et la Transformation des </w:t>
      </w:r>
      <w:proofErr w:type="spellStart"/>
      <w:r w:rsidRPr="00607DF9">
        <w:rPr>
          <w:rFonts w:ascii="Verdana" w:hAnsi="Verdana"/>
          <w:i/>
          <w:iCs/>
          <w:sz w:val="20"/>
          <w:szCs w:val="20"/>
          <w:lang w:val="en-GB"/>
        </w:rPr>
        <w:t>Entreprises</w:t>
      </w:r>
      <w:proofErr w:type="spellEnd"/>
      <w:r w:rsidRPr="00607DF9">
        <w:rPr>
          <w:rFonts w:ascii="Verdana" w:hAnsi="Verdana"/>
          <w:sz w:val="20"/>
          <w:szCs w:val="20"/>
          <w:lang w:val="en-GB"/>
        </w:rPr>
        <w:t xml:space="preserve"> (PACTE) (LOI n° 2019-486 of 22 May 2019).</w:t>
      </w:r>
      <w:r>
        <w:rPr>
          <w:rFonts w:ascii="Verdana" w:hAnsi="Verdana"/>
          <w:sz w:val="20"/>
          <w:szCs w:val="20"/>
          <w:lang w:val="en-GB"/>
        </w:rPr>
        <w:t xml:space="preserve"> </w:t>
      </w:r>
      <w:r w:rsidRPr="00607DF9">
        <w:rPr>
          <w:rFonts w:ascii="Verdana" w:hAnsi="Verdana"/>
          <w:sz w:val="20"/>
          <w:szCs w:val="20"/>
          <w:lang w:val="en-GB"/>
        </w:rPr>
        <w:t>It is therefore difficult to have yet an appropriate understanding of the level of compliance of VASPs with AML/CTF requirements. At the same time, we would like to stress that VASPs established in the EU should benefit from an appropriate access to banking services. In order to effectively monitor their operations, it is important to specify how we should implement the risk-based approach to EU VASPs. In particular, we would welcome additional clarifications in the guidelines on mitigating measures regarding requirements banks may have to apply when they have business relationships with EU VASPs. Additionally, according to the new FTR regulation, the definition of correspondent banking relationships will include these business relationships. We would also welcome further guidance on the implementation of the risk-based approach, considering this new legal qualification.</w:t>
      </w:r>
    </w:p>
    <w:p w14:paraId="4174B589" w14:textId="0FB961D6" w:rsidR="3120D807" w:rsidRDefault="3120D807" w:rsidP="38F9F114">
      <w:pPr>
        <w:spacing w:after="120"/>
        <w:jc w:val="both"/>
        <w:rPr>
          <w:rFonts w:ascii="Verdana" w:hAnsi="Verdana"/>
          <w:sz w:val="20"/>
          <w:szCs w:val="20"/>
          <w:lang w:val="en-GB"/>
        </w:rPr>
      </w:pPr>
      <w:r w:rsidRPr="38F9F114">
        <w:rPr>
          <w:rFonts w:ascii="Verdana" w:hAnsi="Verdana"/>
          <w:sz w:val="20"/>
          <w:szCs w:val="20"/>
          <w:lang w:val="en-GB"/>
        </w:rPr>
        <w:t>Con</w:t>
      </w:r>
      <w:r w:rsidR="5DC52FEB" w:rsidRPr="38F9F114">
        <w:rPr>
          <w:rFonts w:ascii="Verdana" w:hAnsi="Verdana"/>
          <w:sz w:val="20"/>
          <w:szCs w:val="20"/>
          <w:lang w:val="en-GB"/>
        </w:rPr>
        <w:t xml:space="preserve">sidering jointly the </w:t>
      </w:r>
      <w:r w:rsidRPr="38F9F114">
        <w:rPr>
          <w:rFonts w:ascii="Verdana" w:hAnsi="Verdana"/>
          <w:sz w:val="20"/>
          <w:szCs w:val="20"/>
          <w:lang w:val="en-GB"/>
        </w:rPr>
        <w:t xml:space="preserve">Guidelines 9.20 and 9.21, we would </w:t>
      </w:r>
      <w:r w:rsidR="00607DF9">
        <w:rPr>
          <w:rFonts w:ascii="Verdana" w:hAnsi="Verdana"/>
          <w:sz w:val="20"/>
          <w:szCs w:val="20"/>
          <w:lang w:val="en-GB"/>
        </w:rPr>
        <w:t xml:space="preserve">also </w:t>
      </w:r>
      <w:r w:rsidRPr="38F9F114">
        <w:rPr>
          <w:rFonts w:ascii="Verdana" w:hAnsi="Verdana"/>
          <w:sz w:val="20"/>
          <w:szCs w:val="20"/>
          <w:lang w:val="en-GB"/>
        </w:rPr>
        <w:t xml:space="preserve">like to stress that banks should be allowed to perform CDD measures based on the type of business they offer to CASPs. </w:t>
      </w:r>
      <w:r w:rsidR="4BA1F137" w:rsidRPr="38F9F114">
        <w:rPr>
          <w:rFonts w:ascii="Verdana" w:hAnsi="Verdana"/>
          <w:sz w:val="20"/>
          <w:szCs w:val="20"/>
          <w:lang w:val="en-GB"/>
        </w:rPr>
        <w:t>I</w:t>
      </w:r>
      <w:r w:rsidR="45AA535B" w:rsidRPr="38F9F114">
        <w:rPr>
          <w:rFonts w:ascii="Verdana" w:hAnsi="Verdana"/>
          <w:sz w:val="20"/>
          <w:szCs w:val="20"/>
          <w:lang w:val="en-GB"/>
        </w:rPr>
        <w:t>ndeed, it</w:t>
      </w:r>
      <w:r w:rsidR="4BA1F137" w:rsidRPr="38F9F114">
        <w:rPr>
          <w:rFonts w:ascii="Verdana" w:hAnsi="Verdana"/>
          <w:sz w:val="20"/>
          <w:szCs w:val="20"/>
          <w:lang w:val="en-GB"/>
        </w:rPr>
        <w:t xml:space="preserve"> is our view that </w:t>
      </w:r>
      <w:r w:rsidRPr="38F9F114">
        <w:rPr>
          <w:rFonts w:ascii="Verdana" w:hAnsi="Verdana"/>
          <w:sz w:val="20"/>
          <w:szCs w:val="20"/>
          <w:lang w:val="en-GB"/>
        </w:rPr>
        <w:t>guidelines on crypto assets should not be applicable when a bank only provides traditional services to a CASP</w:t>
      </w:r>
      <w:r w:rsidR="1B4D8A0E" w:rsidRPr="38F9F114">
        <w:rPr>
          <w:rFonts w:ascii="Verdana" w:hAnsi="Verdana"/>
          <w:sz w:val="20"/>
          <w:szCs w:val="20"/>
          <w:lang w:val="en-GB"/>
        </w:rPr>
        <w:t xml:space="preserve"> and that are</w:t>
      </w:r>
      <w:r w:rsidR="2DF4F870" w:rsidRPr="38F9F114">
        <w:rPr>
          <w:rFonts w:ascii="Verdana" w:hAnsi="Verdana"/>
          <w:sz w:val="20"/>
          <w:szCs w:val="20"/>
          <w:lang w:val="en-GB"/>
        </w:rPr>
        <w:t xml:space="preserve"> </w:t>
      </w:r>
      <w:r w:rsidRPr="38F9F114">
        <w:rPr>
          <w:rFonts w:ascii="Verdana" w:hAnsi="Verdana"/>
          <w:sz w:val="20"/>
          <w:szCs w:val="20"/>
          <w:lang w:val="en-GB"/>
        </w:rPr>
        <w:t>separate</w:t>
      </w:r>
      <w:r w:rsidR="39D2A7E9" w:rsidRPr="38F9F114">
        <w:rPr>
          <w:rFonts w:ascii="Verdana" w:hAnsi="Verdana"/>
          <w:sz w:val="20"/>
          <w:szCs w:val="20"/>
          <w:lang w:val="en-GB"/>
        </w:rPr>
        <w:t>d</w:t>
      </w:r>
      <w:r w:rsidRPr="38F9F114">
        <w:rPr>
          <w:rFonts w:ascii="Verdana" w:hAnsi="Verdana"/>
          <w:sz w:val="20"/>
          <w:szCs w:val="20"/>
          <w:lang w:val="en-GB"/>
        </w:rPr>
        <w:t xml:space="preserve"> from the transfers of crypto assets, for example corporate lending products that are not related to correspondent relationship with CASP. </w:t>
      </w:r>
      <w:r w:rsidR="5849C0EB" w:rsidRPr="38F9F114">
        <w:rPr>
          <w:rFonts w:ascii="Verdana" w:hAnsi="Verdana"/>
          <w:sz w:val="20"/>
          <w:szCs w:val="20"/>
          <w:lang w:val="en-GB"/>
        </w:rPr>
        <w:t>Therefore, a</w:t>
      </w:r>
      <w:r w:rsidRPr="38F9F114">
        <w:rPr>
          <w:rFonts w:ascii="Verdana" w:hAnsi="Verdana"/>
          <w:sz w:val="20"/>
          <w:szCs w:val="20"/>
          <w:lang w:val="en-GB"/>
        </w:rPr>
        <w:t xml:space="preserve">ll requirements under 9.20 </w:t>
      </w:r>
      <w:r w:rsidR="2503DD4E" w:rsidRPr="38F9F114">
        <w:rPr>
          <w:rFonts w:ascii="Verdana" w:hAnsi="Verdana"/>
          <w:sz w:val="20"/>
          <w:szCs w:val="20"/>
          <w:lang w:val="en-GB"/>
        </w:rPr>
        <w:t>and</w:t>
      </w:r>
      <w:r w:rsidRPr="38F9F114">
        <w:rPr>
          <w:rFonts w:ascii="Verdana" w:hAnsi="Verdana"/>
          <w:sz w:val="20"/>
          <w:szCs w:val="20"/>
          <w:lang w:val="en-GB"/>
        </w:rPr>
        <w:t xml:space="preserve"> 9.21 should only be</w:t>
      </w:r>
      <w:r w:rsidR="5AB17D56" w:rsidRPr="38F9F114">
        <w:rPr>
          <w:rFonts w:ascii="Verdana" w:hAnsi="Verdana"/>
          <w:sz w:val="20"/>
          <w:szCs w:val="20"/>
          <w:lang w:val="en-GB"/>
        </w:rPr>
        <w:t xml:space="preserve"> made</w:t>
      </w:r>
      <w:r w:rsidRPr="38F9F114">
        <w:rPr>
          <w:rFonts w:ascii="Verdana" w:hAnsi="Verdana"/>
          <w:sz w:val="20"/>
          <w:szCs w:val="20"/>
          <w:lang w:val="en-GB"/>
        </w:rPr>
        <w:t xml:space="preserve"> mandatory where an FI is directly exposed to the CASP’s business activities. The application of all requirements, regardless of the product offering m</w:t>
      </w:r>
      <w:r w:rsidR="70245183" w:rsidRPr="38F9F114">
        <w:rPr>
          <w:rFonts w:ascii="Verdana" w:hAnsi="Verdana"/>
          <w:sz w:val="20"/>
          <w:szCs w:val="20"/>
          <w:lang w:val="en-GB"/>
        </w:rPr>
        <w:t xml:space="preserve">ight otherwise </w:t>
      </w:r>
      <w:r w:rsidRPr="38F9F114">
        <w:rPr>
          <w:rFonts w:ascii="Verdana" w:hAnsi="Verdana"/>
          <w:sz w:val="20"/>
          <w:szCs w:val="20"/>
          <w:lang w:val="en-GB"/>
        </w:rPr>
        <w:t>be disproportionate.</w:t>
      </w:r>
    </w:p>
    <w:p w14:paraId="467BC21D" w14:textId="1175B969" w:rsidR="1543F1F2" w:rsidRDefault="1543F1F2" w:rsidP="38F9F114">
      <w:pPr>
        <w:spacing w:after="120"/>
        <w:jc w:val="both"/>
        <w:rPr>
          <w:rFonts w:ascii="Verdana" w:hAnsi="Verdana"/>
          <w:sz w:val="20"/>
          <w:szCs w:val="20"/>
          <w:lang w:val="en-GB"/>
        </w:rPr>
      </w:pPr>
      <w:r w:rsidRPr="38F9F114">
        <w:rPr>
          <w:rFonts w:ascii="Verdana" w:hAnsi="Verdana"/>
          <w:sz w:val="20"/>
          <w:szCs w:val="20"/>
          <w:lang w:val="en-GB"/>
        </w:rPr>
        <w:t>On specific elements of Guideline 9.21</w:t>
      </w:r>
      <w:r w:rsidR="168C6A08" w:rsidRPr="38F9F114">
        <w:rPr>
          <w:rFonts w:ascii="Verdana" w:hAnsi="Verdana"/>
          <w:sz w:val="20"/>
          <w:szCs w:val="20"/>
          <w:lang w:val="en-GB"/>
        </w:rPr>
        <w:t xml:space="preserve">, </w:t>
      </w:r>
      <w:r w:rsidRPr="38F9F114">
        <w:rPr>
          <w:rFonts w:ascii="Verdana" w:hAnsi="Verdana"/>
          <w:sz w:val="20"/>
          <w:szCs w:val="20"/>
          <w:lang w:val="en-GB"/>
        </w:rPr>
        <w:t xml:space="preserve">we have the following questions and </w:t>
      </w:r>
      <w:r w:rsidR="10A9C776" w:rsidRPr="38F9F114">
        <w:rPr>
          <w:rFonts w:ascii="Verdana" w:hAnsi="Verdana"/>
          <w:sz w:val="20"/>
          <w:szCs w:val="20"/>
          <w:lang w:val="en-GB"/>
        </w:rPr>
        <w:t>observations</w:t>
      </w:r>
      <w:r w:rsidRPr="38F9F114">
        <w:rPr>
          <w:rFonts w:ascii="Verdana" w:hAnsi="Verdana"/>
          <w:sz w:val="20"/>
          <w:szCs w:val="20"/>
          <w:lang w:val="en-GB"/>
        </w:rPr>
        <w:t>:</w:t>
      </w:r>
    </w:p>
    <w:p w14:paraId="196F93FE" w14:textId="5C2DDA01" w:rsidR="1543F1F2" w:rsidRDefault="1543F1F2" w:rsidP="38F9F114">
      <w:pPr>
        <w:spacing w:after="120"/>
        <w:jc w:val="both"/>
      </w:pPr>
      <w:r w:rsidRPr="38F9F114">
        <w:rPr>
          <w:rFonts w:ascii="Verdana" w:hAnsi="Verdana"/>
          <w:sz w:val="20"/>
          <w:szCs w:val="20"/>
          <w:lang w:val="en-GB"/>
        </w:rPr>
        <w:t>a) How should dialogue be understood in the context of this requirement?</w:t>
      </w:r>
    </w:p>
    <w:p w14:paraId="340778D2" w14:textId="77D5A997" w:rsidR="1543F1F2" w:rsidRDefault="1543F1F2" w:rsidP="38F9F114">
      <w:pPr>
        <w:spacing w:after="120"/>
        <w:jc w:val="both"/>
        <w:rPr>
          <w:rFonts w:ascii="Verdana" w:hAnsi="Verdana"/>
          <w:sz w:val="20"/>
          <w:szCs w:val="20"/>
          <w:lang w:val="en-GB"/>
        </w:rPr>
      </w:pPr>
      <w:r w:rsidRPr="38F9F114">
        <w:rPr>
          <w:rFonts w:ascii="Verdana" w:hAnsi="Verdana"/>
          <w:sz w:val="20"/>
          <w:szCs w:val="20"/>
          <w:lang w:val="en-GB"/>
        </w:rPr>
        <w:t>b) What is meant by Senior Management in this context? We also note that it is not risk increasing if the UBOs and Senior Managers are not the same individuals.</w:t>
      </w:r>
    </w:p>
    <w:p w14:paraId="34009631" w14:textId="31AF5E0E" w:rsidR="1543F1F2" w:rsidRDefault="1543F1F2" w:rsidP="38F9F114">
      <w:pPr>
        <w:spacing w:after="120"/>
        <w:jc w:val="both"/>
      </w:pPr>
      <w:r w:rsidRPr="38F9F114">
        <w:rPr>
          <w:rFonts w:ascii="Verdana" w:hAnsi="Verdana"/>
          <w:sz w:val="20"/>
          <w:szCs w:val="20"/>
          <w:lang w:val="en-GB"/>
        </w:rPr>
        <w:t>c) Please clarify this requirement to be more specific on what banks are supposed to assess. Also, how does the requirement that a CASP shares it's CDD measures taken on voluntary basis commensurate to competition law?</w:t>
      </w:r>
    </w:p>
    <w:p w14:paraId="4AA92AF1" w14:textId="3FF4A37E" w:rsidR="1543F1F2" w:rsidRDefault="1543F1F2" w:rsidP="38F9F114">
      <w:pPr>
        <w:spacing w:after="120"/>
        <w:jc w:val="both"/>
      </w:pPr>
      <w:r w:rsidRPr="38F9F114">
        <w:rPr>
          <w:rFonts w:ascii="Verdana" w:hAnsi="Verdana"/>
          <w:sz w:val="20"/>
          <w:szCs w:val="20"/>
          <w:lang w:val="en-GB"/>
        </w:rPr>
        <w:t>f) It is very difficult to reliably establish if a customer is providing services for which it is required to be licensed and/or registered. Would it be sufficient to rely on customer statements in this regard?</w:t>
      </w:r>
    </w:p>
    <w:p w14:paraId="0E9C9423" w14:textId="4D555972" w:rsidR="38F9F114" w:rsidRDefault="38F9F114" w:rsidP="38F9F114">
      <w:pPr>
        <w:spacing w:after="120"/>
        <w:jc w:val="both"/>
        <w:rPr>
          <w:rFonts w:ascii="Verdana" w:hAnsi="Verdana"/>
          <w:sz w:val="20"/>
          <w:szCs w:val="20"/>
          <w:lang w:val="en-GB"/>
        </w:rPr>
      </w:pPr>
    </w:p>
    <w:p w14:paraId="6252A891" w14:textId="26C0A7DE" w:rsidR="006224E2" w:rsidRPr="00995B1D" w:rsidRDefault="001D5F43" w:rsidP="007B6FC1">
      <w:pPr>
        <w:spacing w:after="120"/>
        <w:jc w:val="both"/>
        <w:rPr>
          <w:rFonts w:ascii="Verdana" w:hAnsi="Verdana" w:cstheme="minorHAnsi"/>
          <w:b/>
          <w:bCs/>
          <w:sz w:val="20"/>
          <w:szCs w:val="20"/>
          <w:lang w:val="en-GB"/>
        </w:rPr>
      </w:pPr>
      <w:r w:rsidRPr="00F732B5">
        <w:rPr>
          <w:rFonts w:ascii="Verdana" w:hAnsi="Verdana" w:cstheme="minorHAnsi"/>
          <w:b/>
          <w:bCs/>
          <w:sz w:val="20"/>
          <w:szCs w:val="20"/>
          <w:lang w:val="en-GB"/>
        </w:rPr>
        <w:t>Amendments to Guideline 10 and Guideline 15 and Guideline 17</w:t>
      </w:r>
    </w:p>
    <w:tbl>
      <w:tblPr>
        <w:tblStyle w:val="TableGrid"/>
        <w:tblW w:w="0" w:type="auto"/>
        <w:tblLook w:val="04A0" w:firstRow="1" w:lastRow="0" w:firstColumn="1" w:lastColumn="0" w:noHBand="0" w:noVBand="1"/>
      </w:tblPr>
      <w:tblGrid>
        <w:gridCol w:w="9743"/>
      </w:tblGrid>
      <w:tr w:rsidR="006224E2" w:rsidRPr="00F732B5" w14:paraId="74C64FE2" w14:textId="77777777" w:rsidTr="38F9F114">
        <w:tc>
          <w:tcPr>
            <w:tcW w:w="9743" w:type="dxa"/>
          </w:tcPr>
          <w:p w14:paraId="184045E6" w14:textId="5B8EA221" w:rsidR="006224E2" w:rsidRPr="00F732B5" w:rsidRDefault="7812FFAF" w:rsidP="38F9F114">
            <w:pPr>
              <w:spacing w:after="120"/>
              <w:jc w:val="both"/>
              <w:rPr>
                <w:rFonts w:ascii="Verdana" w:hAnsi="Verdana"/>
                <w:i/>
                <w:iCs/>
                <w:sz w:val="20"/>
                <w:szCs w:val="20"/>
                <w:lang w:val="en-GB"/>
              </w:rPr>
            </w:pPr>
            <w:r w:rsidRPr="38F9F114">
              <w:rPr>
                <w:rFonts w:ascii="Verdana" w:hAnsi="Verdana"/>
                <w:i/>
                <w:iCs/>
                <w:sz w:val="20"/>
                <w:szCs w:val="20"/>
                <w:lang w:val="en-GB"/>
              </w:rPr>
              <w:t>Question 8: Do you have any comments on the proposed changes to Guidelines 10, 15 and 17?</w:t>
            </w:r>
          </w:p>
        </w:tc>
      </w:tr>
    </w:tbl>
    <w:p w14:paraId="2EC649E1" w14:textId="77777777" w:rsidR="006224E2" w:rsidRDefault="006224E2" w:rsidP="007B6FC1">
      <w:pPr>
        <w:spacing w:after="120"/>
        <w:jc w:val="both"/>
        <w:rPr>
          <w:rFonts w:ascii="Verdana" w:hAnsi="Verdana" w:cstheme="minorHAnsi"/>
          <w:sz w:val="20"/>
          <w:szCs w:val="20"/>
          <w:lang w:val="en-GB"/>
        </w:rPr>
      </w:pPr>
    </w:p>
    <w:p w14:paraId="6A963D23" w14:textId="2E900366" w:rsidR="001D5F43" w:rsidRPr="00F732B5" w:rsidRDefault="001D5F43" w:rsidP="007B6FC1">
      <w:pPr>
        <w:spacing w:after="120"/>
        <w:jc w:val="both"/>
        <w:rPr>
          <w:rFonts w:ascii="Verdana" w:hAnsi="Verdana" w:cstheme="minorHAnsi"/>
          <w:sz w:val="20"/>
          <w:szCs w:val="20"/>
          <w:lang w:val="en-GB"/>
        </w:rPr>
      </w:pPr>
      <w:r w:rsidRPr="00F732B5">
        <w:rPr>
          <w:rFonts w:ascii="Verdana" w:hAnsi="Verdana" w:cstheme="minorHAnsi"/>
          <w:sz w:val="20"/>
          <w:szCs w:val="20"/>
          <w:lang w:val="en-GB"/>
        </w:rPr>
        <w:lastRenderedPageBreak/>
        <w:t xml:space="preserve"> </w:t>
      </w:r>
    </w:p>
    <w:tbl>
      <w:tblPr>
        <w:tblStyle w:val="TableGrid"/>
        <w:tblW w:w="0" w:type="auto"/>
        <w:tblLook w:val="04A0" w:firstRow="1" w:lastRow="0" w:firstColumn="1" w:lastColumn="0" w:noHBand="0" w:noVBand="1"/>
      </w:tblPr>
      <w:tblGrid>
        <w:gridCol w:w="9743"/>
      </w:tblGrid>
      <w:tr w:rsidR="006224E2" w:rsidRPr="00F732B5" w14:paraId="01538887" w14:textId="77777777" w:rsidTr="38F9F114">
        <w:tc>
          <w:tcPr>
            <w:tcW w:w="9743" w:type="dxa"/>
          </w:tcPr>
          <w:p w14:paraId="06A4F4E4" w14:textId="4C5E9AC5" w:rsidR="006224E2" w:rsidRPr="00F732B5" w:rsidRDefault="7812FFAF" w:rsidP="38F9F114">
            <w:pPr>
              <w:spacing w:after="120"/>
              <w:jc w:val="both"/>
              <w:rPr>
                <w:rFonts w:ascii="Verdana" w:hAnsi="Verdana"/>
                <w:i/>
                <w:iCs/>
                <w:sz w:val="20"/>
                <w:szCs w:val="20"/>
                <w:lang w:val="en-GB"/>
              </w:rPr>
            </w:pPr>
            <w:r w:rsidRPr="38F9F114">
              <w:rPr>
                <w:rFonts w:ascii="Verdana" w:hAnsi="Verdana"/>
                <w:i/>
                <w:iCs/>
                <w:sz w:val="20"/>
                <w:szCs w:val="20"/>
                <w:lang w:val="en-GB"/>
              </w:rPr>
              <w:t>Question 9: Do you have any comments on the proposed changes to Guideline 21?</w:t>
            </w:r>
          </w:p>
        </w:tc>
      </w:tr>
    </w:tbl>
    <w:p w14:paraId="22B11DED" w14:textId="0D7F81F7" w:rsidR="006A0CDB" w:rsidRPr="00F732B5" w:rsidRDefault="006A0CDB" w:rsidP="38F9F114">
      <w:pPr>
        <w:spacing w:after="120"/>
        <w:jc w:val="both"/>
        <w:rPr>
          <w:rFonts w:ascii="Verdana" w:hAnsi="Verdana"/>
          <w:sz w:val="20"/>
          <w:szCs w:val="20"/>
          <w:lang w:val="en-GB"/>
        </w:rPr>
      </w:pPr>
    </w:p>
    <w:p w14:paraId="7E7114CE" w14:textId="322032EE" w:rsidR="00713474" w:rsidRPr="00713474" w:rsidRDefault="0AB5CEF1" w:rsidP="00713474">
      <w:pPr>
        <w:spacing w:after="120"/>
        <w:jc w:val="both"/>
        <w:rPr>
          <w:rFonts w:ascii="Verdana" w:hAnsi="Verdana"/>
          <w:sz w:val="20"/>
          <w:szCs w:val="20"/>
          <w:lang w:val="en-GB"/>
        </w:rPr>
      </w:pPr>
      <w:r w:rsidRPr="38F9F114">
        <w:rPr>
          <w:rFonts w:ascii="Verdana" w:hAnsi="Verdana"/>
          <w:sz w:val="20"/>
          <w:szCs w:val="20"/>
          <w:lang w:val="en-GB"/>
        </w:rPr>
        <w:t xml:space="preserve">We </w:t>
      </w:r>
      <w:r w:rsidR="02FDBAD1" w:rsidRPr="38F9F114">
        <w:rPr>
          <w:rFonts w:ascii="Verdana" w:hAnsi="Verdana"/>
          <w:sz w:val="20"/>
          <w:szCs w:val="20"/>
          <w:lang w:val="en-GB"/>
        </w:rPr>
        <w:t xml:space="preserve">wish to highlight that </w:t>
      </w:r>
      <w:r w:rsidR="0AB31C42" w:rsidRPr="38F9F114">
        <w:rPr>
          <w:rFonts w:ascii="Verdana" w:hAnsi="Verdana"/>
          <w:sz w:val="20"/>
          <w:szCs w:val="20"/>
          <w:lang w:val="en-GB"/>
        </w:rPr>
        <w:t>it might be judicious to</w:t>
      </w:r>
      <w:r w:rsidR="02FDBAD1" w:rsidRPr="38F9F114">
        <w:rPr>
          <w:rFonts w:ascii="Verdana" w:hAnsi="Verdana"/>
          <w:sz w:val="20"/>
          <w:szCs w:val="20"/>
          <w:lang w:val="en-GB"/>
        </w:rPr>
        <w:t xml:space="preserve"> adding as a risk factor the use of FX transaction prior to and/or after making a conversion from fiat to crypto currency and vice versa. This may indicate layering and complicates tracing of funds</w:t>
      </w:r>
      <w:r w:rsidR="003C13C3">
        <w:rPr>
          <w:rFonts w:ascii="Verdana" w:hAnsi="Verdana"/>
          <w:sz w:val="20"/>
          <w:szCs w:val="20"/>
          <w:lang w:val="en-GB"/>
        </w:rPr>
        <w:t xml:space="preserve">, and </w:t>
      </w:r>
      <w:r w:rsidR="00713474" w:rsidRPr="00713474">
        <w:rPr>
          <w:rFonts w:ascii="Verdana" w:hAnsi="Verdana"/>
          <w:sz w:val="20"/>
          <w:szCs w:val="20"/>
          <w:lang w:val="en-GB"/>
        </w:rPr>
        <w:t xml:space="preserve">clarity on which typologies are seen as risky </w:t>
      </w:r>
      <w:r w:rsidR="008124DD">
        <w:rPr>
          <w:rFonts w:ascii="Verdana" w:hAnsi="Verdana"/>
          <w:sz w:val="20"/>
          <w:szCs w:val="20"/>
          <w:lang w:val="en-GB"/>
        </w:rPr>
        <w:t>is</w:t>
      </w:r>
      <w:r w:rsidR="00713474" w:rsidRPr="00713474">
        <w:rPr>
          <w:rFonts w:ascii="Verdana" w:hAnsi="Verdana"/>
          <w:sz w:val="20"/>
          <w:szCs w:val="20"/>
          <w:lang w:val="en-GB"/>
        </w:rPr>
        <w:t xml:space="preserve"> welcomed</w:t>
      </w:r>
      <w:r w:rsidR="003C13C3">
        <w:rPr>
          <w:rFonts w:ascii="Verdana" w:hAnsi="Verdana"/>
          <w:sz w:val="20"/>
          <w:szCs w:val="20"/>
          <w:lang w:val="en-GB"/>
        </w:rPr>
        <w:t>.</w:t>
      </w:r>
    </w:p>
    <w:p w14:paraId="53382D27" w14:textId="77777777" w:rsidR="00713474" w:rsidRPr="00713474" w:rsidRDefault="00713474" w:rsidP="00713474">
      <w:pPr>
        <w:spacing w:after="120"/>
        <w:jc w:val="both"/>
        <w:rPr>
          <w:rFonts w:ascii="Verdana" w:hAnsi="Verdana"/>
          <w:sz w:val="20"/>
          <w:szCs w:val="20"/>
          <w:lang w:val="en-GB"/>
        </w:rPr>
      </w:pPr>
    </w:p>
    <w:p w14:paraId="79611106" w14:textId="2D2916FF" w:rsidR="006A0CDB" w:rsidRPr="003C13C3" w:rsidRDefault="006A0CDB" w:rsidP="38F9F114">
      <w:pPr>
        <w:spacing w:after="120"/>
        <w:jc w:val="both"/>
        <w:rPr>
          <w:rFonts w:ascii="Verdana" w:hAnsi="Verdana"/>
          <w:sz w:val="20"/>
          <w:szCs w:val="20"/>
          <w:lang w:val="en-GB"/>
        </w:rPr>
      </w:pPr>
    </w:p>
    <w:sectPr w:rsidR="006A0CDB" w:rsidRPr="003C13C3" w:rsidSect="00D525AC">
      <w:headerReference w:type="default" r:id="rId13"/>
      <w:footerReference w:type="default" r:id="rId14"/>
      <w:headerReference w:type="first" r:id="rId15"/>
      <w:footerReference w:type="first" r:id="rId16"/>
      <w:pgSz w:w="11907" w:h="16839" w:code="9"/>
      <w:pgMar w:top="567" w:right="1077" w:bottom="1440" w:left="107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0342" w14:textId="77777777" w:rsidR="007420BC" w:rsidRDefault="007420BC" w:rsidP="00F75CEC">
      <w:pPr>
        <w:spacing w:after="0" w:line="240" w:lineRule="auto"/>
      </w:pPr>
      <w:r>
        <w:separator/>
      </w:r>
    </w:p>
  </w:endnote>
  <w:endnote w:type="continuationSeparator" w:id="0">
    <w:p w14:paraId="46F580A1" w14:textId="77777777" w:rsidR="007420BC" w:rsidRDefault="007420BC" w:rsidP="00F7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3315"/>
      <w:docPartObj>
        <w:docPartGallery w:val="Page Numbers (Bottom of Page)"/>
        <w:docPartUnique/>
      </w:docPartObj>
    </w:sdtPr>
    <w:sdtEndPr>
      <w:rPr>
        <w:noProof/>
      </w:rPr>
    </w:sdtEndPr>
    <w:sdtContent>
      <w:p w14:paraId="60DFC832" w14:textId="77777777" w:rsidR="00D525AC" w:rsidRDefault="00D525AC">
        <w:pPr>
          <w:pStyle w:val="Footer"/>
          <w:jc w:val="right"/>
        </w:pPr>
        <w:r>
          <w:fldChar w:fldCharType="begin"/>
        </w:r>
        <w:r>
          <w:instrText xml:space="preserve"> PAGE   \* MERGEFORMAT </w:instrText>
        </w:r>
        <w:r>
          <w:fldChar w:fldCharType="separate"/>
        </w:r>
        <w:r w:rsidR="002C6C64">
          <w:rPr>
            <w:noProof/>
          </w:rPr>
          <w:t>2</w:t>
        </w:r>
        <w:r>
          <w:rPr>
            <w:noProof/>
          </w:rPr>
          <w:fldChar w:fldCharType="end"/>
        </w:r>
      </w:p>
    </w:sdtContent>
  </w:sdt>
  <w:p w14:paraId="04100C25" w14:textId="77777777" w:rsidR="00D525AC" w:rsidRDefault="00D52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1B2" w14:textId="77777777" w:rsidR="000429C9" w:rsidRPr="00B01607" w:rsidRDefault="0017300E" w:rsidP="000429C9">
    <w:pPr>
      <w:pBdr>
        <w:bottom w:val="single" w:sz="4" w:space="1" w:color="6A8B9E"/>
      </w:pBdr>
      <w:tabs>
        <w:tab w:val="center" w:pos="4703"/>
        <w:tab w:val="right" w:pos="9406"/>
      </w:tabs>
      <w:spacing w:after="0" w:line="240" w:lineRule="auto"/>
      <w:ind w:left="851" w:right="964"/>
      <w:jc w:val="center"/>
      <w:rPr>
        <w:b/>
        <w:color w:val="943931"/>
        <w:sz w:val="20"/>
        <w:szCs w:val="20"/>
      </w:rPr>
    </w:pPr>
    <w:bookmarkStart w:id="0" w:name="_Hlk128732938"/>
    <w:bookmarkStart w:id="1" w:name="_Hlk128732705"/>
    <w:bookmarkStart w:id="2" w:name="_Hlk128732493"/>
    <w:bookmarkStart w:id="3" w:name="_Hlk128732494"/>
    <w:bookmarkStart w:id="4" w:name="_Hlk128732499"/>
    <w:bookmarkStart w:id="5" w:name="_Hlk128732500"/>
    <w:bookmarkStart w:id="6" w:name="_Hlk128732501"/>
    <w:bookmarkStart w:id="7" w:name="_Hlk128732502"/>
    <w:bookmarkStart w:id="8" w:name="_Hlk128732503"/>
    <w:bookmarkStart w:id="9" w:name="_Hlk128732504"/>
    <w:bookmarkStart w:id="10" w:name="_Hlk128732505"/>
    <w:bookmarkStart w:id="11" w:name="_Hlk128732506"/>
    <w:bookmarkStart w:id="12" w:name="_Hlk128732507"/>
    <w:bookmarkStart w:id="13" w:name="_Hlk128732508"/>
    <w:bookmarkStart w:id="14" w:name="_Hlk128732509"/>
    <w:bookmarkStart w:id="15" w:name="_Hlk128732510"/>
    <w:bookmarkStart w:id="16" w:name="_Hlk128732511"/>
    <w:bookmarkStart w:id="17" w:name="_Hlk128732512"/>
    <w:bookmarkStart w:id="18" w:name="_Hlk128732513"/>
    <w:bookmarkStart w:id="19" w:name="_Hlk128732514"/>
    <w:bookmarkStart w:id="20" w:name="_Hlk128732515"/>
    <w:bookmarkStart w:id="21" w:name="_Hlk128732516"/>
    <w:bookmarkStart w:id="22" w:name="_Hlk128732517"/>
    <w:bookmarkStart w:id="23" w:name="_Hlk128732518"/>
    <w:bookmarkStart w:id="24" w:name="_Hlk128732519"/>
    <w:bookmarkStart w:id="25" w:name="_Hlk128732520"/>
    <w:bookmarkStart w:id="26" w:name="_Hlk128732521"/>
    <w:bookmarkStart w:id="27" w:name="_Hlk128732522"/>
    <w:bookmarkStart w:id="28" w:name="_Hlk128733095"/>
    <w:bookmarkStart w:id="29" w:name="_Hlk128733096"/>
    <w:bookmarkStart w:id="30" w:name="_Hlk128733126"/>
    <w:bookmarkStart w:id="31" w:name="_Hlk128733127"/>
    <w:bookmarkStart w:id="32" w:name="_Hlk128734176"/>
    <w:bookmarkStart w:id="33" w:name="_Hlk128734177"/>
    <w:bookmarkStart w:id="34" w:name="_Hlk128734197"/>
    <w:bookmarkStart w:id="35" w:name="_Hlk128734198"/>
    <w:bookmarkStart w:id="36" w:name="_Hlk128734343"/>
    <w:bookmarkStart w:id="37" w:name="_Hlk128734344"/>
    <w:bookmarkStart w:id="38" w:name="_Hlk128734369"/>
    <w:bookmarkStart w:id="39" w:name="_Hlk128734370"/>
    <w:bookmarkStart w:id="40" w:name="_Hlk128734462"/>
    <w:bookmarkStart w:id="41" w:name="_Hlk128734463"/>
    <w:bookmarkStart w:id="42" w:name="_Hlk128734572"/>
    <w:bookmarkStart w:id="43" w:name="_Hlk128734573"/>
    <w:bookmarkStart w:id="44" w:name="_Hlk128734607"/>
    <w:bookmarkStart w:id="45" w:name="_Hlk128734608"/>
    <w:bookmarkStart w:id="46" w:name="_Hlk128734701"/>
    <w:bookmarkStart w:id="47" w:name="_Hlk128734702"/>
    <w:bookmarkStart w:id="48" w:name="_Hlk128734834"/>
    <w:bookmarkStart w:id="49" w:name="_Hlk128734835"/>
    <w:bookmarkStart w:id="50" w:name="_Hlk128734899"/>
    <w:bookmarkStart w:id="51" w:name="_Hlk128734900"/>
    <w:bookmarkStart w:id="52" w:name="_Hlk128735036"/>
    <w:bookmarkStart w:id="53" w:name="_Hlk128735037"/>
    <w:bookmarkStart w:id="54" w:name="_Hlk128735097"/>
    <w:bookmarkStart w:id="55" w:name="_Hlk128735098"/>
    <w:bookmarkStart w:id="56" w:name="_Hlk128735299"/>
    <w:bookmarkStart w:id="57" w:name="_Hlk128735300"/>
    <w:bookmarkStart w:id="58" w:name="_Hlk128735466"/>
    <w:bookmarkStart w:id="59" w:name="_Hlk128735467"/>
    <w:r>
      <w:rPr>
        <w:b/>
        <w:color w:val="943931"/>
        <w:sz w:val="20"/>
        <w:szCs w:val="20"/>
      </w:rPr>
      <w:t>The voice of 2.</w:t>
    </w:r>
    <w:r w:rsidR="00343897">
      <w:rPr>
        <w:b/>
        <w:color w:val="943931"/>
        <w:sz w:val="20"/>
        <w:szCs w:val="20"/>
      </w:rPr>
      <w:t>7</w:t>
    </w:r>
    <w:r>
      <w:rPr>
        <w:b/>
        <w:color w:val="943931"/>
        <w:sz w:val="20"/>
        <w:szCs w:val="20"/>
      </w:rPr>
      <w:t>00 local and retail banks, 8</w:t>
    </w:r>
    <w:r w:rsidR="00631993">
      <w:rPr>
        <w:b/>
        <w:color w:val="943931"/>
        <w:sz w:val="20"/>
        <w:szCs w:val="20"/>
      </w:rPr>
      <w:t>9</w:t>
    </w:r>
    <w:r w:rsidR="000429C9" w:rsidRPr="00B01607">
      <w:rPr>
        <w:b/>
        <w:color w:val="943931"/>
        <w:sz w:val="20"/>
        <w:szCs w:val="20"/>
      </w:rPr>
      <w:t xml:space="preserve"> million members, 2</w:t>
    </w:r>
    <w:r w:rsidR="00FD20C2">
      <w:rPr>
        <w:b/>
        <w:color w:val="943931"/>
        <w:sz w:val="20"/>
        <w:szCs w:val="20"/>
      </w:rPr>
      <w:t>2</w:t>
    </w:r>
    <w:r w:rsidR="00631993">
      <w:rPr>
        <w:b/>
        <w:color w:val="943931"/>
        <w:sz w:val="20"/>
        <w:szCs w:val="20"/>
      </w:rPr>
      <w:t>7</w:t>
    </w:r>
    <w:r w:rsidR="000429C9" w:rsidRPr="00B01607">
      <w:rPr>
        <w:b/>
        <w:color w:val="943931"/>
        <w:sz w:val="20"/>
        <w:szCs w:val="20"/>
      </w:rPr>
      <w:t xml:space="preserve"> million customers in E</w:t>
    </w:r>
    <w:r w:rsidR="00FD20C2">
      <w:rPr>
        <w:b/>
        <w:color w:val="943931"/>
        <w:sz w:val="20"/>
        <w:szCs w:val="20"/>
      </w:rPr>
      <w:t>urope</w:t>
    </w:r>
  </w:p>
  <w:bookmarkEnd w:id="0"/>
  <w:p w14:paraId="3A20A460" w14:textId="77777777" w:rsidR="000429C9" w:rsidRPr="00B01607" w:rsidRDefault="000429C9" w:rsidP="000429C9">
    <w:pPr>
      <w:tabs>
        <w:tab w:val="center" w:pos="4703"/>
        <w:tab w:val="right" w:pos="9406"/>
      </w:tabs>
      <w:spacing w:after="0" w:line="240" w:lineRule="exact"/>
      <w:ind w:left="426" w:right="566"/>
      <w:jc w:val="center"/>
      <w:rPr>
        <w:rFonts w:ascii="Verdana" w:eastAsia="Calibri" w:hAnsi="Verdana" w:cs="Times New Roman"/>
        <w:color w:val="6A8B9E"/>
        <w:sz w:val="14"/>
        <w:szCs w:val="14"/>
        <w:lang w:val="fr-FR"/>
      </w:rPr>
    </w:pPr>
    <w:r w:rsidRPr="00B01607">
      <w:rPr>
        <w:rFonts w:ascii="Verdana" w:eastAsia="Calibri" w:hAnsi="Verdana" w:cs="Times New Roman"/>
        <w:b/>
        <w:color w:val="6A8B9E"/>
        <w:sz w:val="14"/>
        <w:szCs w:val="14"/>
        <w:lang w:val="fr-FR"/>
      </w:rPr>
      <w:t>EACB AISBL</w:t>
    </w:r>
    <w:r w:rsidRPr="00B01607">
      <w:rPr>
        <w:rFonts w:ascii="Verdana" w:eastAsia="Calibri" w:hAnsi="Verdana" w:cs="Times New Roman"/>
        <w:color w:val="6A8B9E"/>
        <w:sz w:val="14"/>
        <w:szCs w:val="14"/>
        <w:lang w:val="fr-FR"/>
      </w:rPr>
      <w:t xml:space="preserve"> – </w:t>
    </w:r>
    <w:proofErr w:type="spellStart"/>
    <w:r w:rsidRPr="00B01607">
      <w:rPr>
        <w:rFonts w:ascii="Verdana" w:eastAsia="Calibri" w:hAnsi="Verdana" w:cs="Times New Roman"/>
        <w:color w:val="6A8B9E"/>
        <w:sz w:val="14"/>
        <w:szCs w:val="14"/>
        <w:lang w:val="fr-FR"/>
      </w:rPr>
      <w:t>Secretariat</w:t>
    </w:r>
    <w:proofErr w:type="spellEnd"/>
    <w:r w:rsidRPr="00B01607">
      <w:rPr>
        <w:rFonts w:ascii="Verdana" w:eastAsia="Calibri" w:hAnsi="Verdana" w:cs="Times New Roman"/>
        <w:color w:val="6A8B9E"/>
        <w:sz w:val="14"/>
        <w:szCs w:val="14"/>
        <w:lang w:val="fr-FR"/>
      </w:rPr>
      <w:t xml:space="preserve">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lang w:val="fr-BE"/>
      </w:rPr>
      <w:t xml:space="preserve"> </w:t>
    </w:r>
    <w:r w:rsidRPr="00B01607">
      <w:rPr>
        <w:rFonts w:ascii="Verdana" w:eastAsia="Calibri" w:hAnsi="Verdana" w:cs="Times New Roman"/>
        <w:color w:val="6A8B9E"/>
        <w:sz w:val="14"/>
        <w:szCs w:val="14"/>
        <w:lang w:val="fr-FR"/>
      </w:rPr>
      <w:t xml:space="preserve">Rue de l’Industrie 26-38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lang w:val="fr-FR"/>
      </w:rPr>
      <w:t xml:space="preserve"> B-1040 Brussels </w:t>
    </w:r>
  </w:p>
  <w:p w14:paraId="114EBEE2" w14:textId="77777777" w:rsidR="000429C9" w:rsidRPr="00B01607" w:rsidRDefault="000429C9" w:rsidP="000429C9">
    <w:pPr>
      <w:tabs>
        <w:tab w:val="center" w:pos="4703"/>
        <w:tab w:val="right" w:pos="9406"/>
      </w:tabs>
      <w:spacing w:after="0" w:line="240" w:lineRule="exact"/>
      <w:ind w:left="426" w:right="566"/>
      <w:jc w:val="center"/>
      <w:rPr>
        <w:rFonts w:ascii="Verdana" w:eastAsia="Calibri" w:hAnsi="Verdana" w:cs="Times New Roman"/>
        <w:color w:val="6A8B9E"/>
        <w:sz w:val="14"/>
        <w:szCs w:val="14"/>
      </w:rPr>
    </w:pPr>
    <w:r w:rsidRPr="00B01607">
      <w:rPr>
        <w:rFonts w:ascii="Verdana" w:eastAsia="Calibri" w:hAnsi="Verdana" w:cs="Times New Roman"/>
        <w:color w:val="6A8B9E"/>
        <w:sz w:val="14"/>
        <w:szCs w:val="14"/>
      </w:rPr>
      <w:t xml:space="preserve">Tel: (+32 2) 230 11 24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rPr>
      <w:t xml:space="preserve"> Enterprise 0896.081.149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rPr>
      <w:t xml:space="preserve"> lobbying register 4172526951-19</w:t>
    </w:r>
  </w:p>
  <w:bookmarkEnd w:id="1"/>
  <w:p w14:paraId="14FDACEF" w14:textId="77777777" w:rsidR="000429C9" w:rsidRPr="00686EEE" w:rsidRDefault="002140A5" w:rsidP="000429C9">
    <w:pPr>
      <w:tabs>
        <w:tab w:val="center" w:pos="4703"/>
        <w:tab w:val="right" w:pos="9406"/>
      </w:tabs>
      <w:spacing w:after="0" w:line="240" w:lineRule="auto"/>
      <w:jc w:val="center"/>
      <w:rPr>
        <w:color w:val="6A8B9E"/>
      </w:rPr>
    </w:pPr>
    <w:r>
      <w:rPr>
        <w:lang w:val="en-GB"/>
      </w:rPr>
      <w:fldChar w:fldCharType="begin"/>
    </w:r>
    <w:r>
      <w:instrText>HYPERLINK "http://www.eacb.coop"</w:instrText>
    </w:r>
    <w:r>
      <w:rPr>
        <w:lang w:val="en-GB"/>
      </w:rPr>
    </w:r>
    <w:r>
      <w:rPr>
        <w:lang w:val="en-GB"/>
      </w:rPr>
      <w:fldChar w:fldCharType="separate"/>
    </w:r>
    <w:r w:rsidR="000429C9" w:rsidRPr="00686EEE">
      <w:rPr>
        <w:rFonts w:ascii="Verdana" w:eastAsia="Calibri" w:hAnsi="Verdana" w:cs="Times New Roman"/>
        <w:color w:val="6A8B9E"/>
        <w:sz w:val="14"/>
        <w:szCs w:val="14"/>
        <w:u w:val="single"/>
      </w:rPr>
      <w:t>www.eacb.coop</w:t>
    </w:r>
    <w:r>
      <w:rPr>
        <w:rFonts w:ascii="Verdana" w:eastAsia="Calibri" w:hAnsi="Verdana" w:cs="Times New Roman"/>
        <w:color w:val="6A8B9E"/>
        <w:sz w:val="14"/>
        <w:szCs w:val="14"/>
        <w:u w:val="single"/>
        <w:lang w:val="it-IT"/>
      </w:rPr>
      <w:fldChar w:fldCharType="end"/>
    </w:r>
    <w:r w:rsidR="000429C9" w:rsidRPr="00686EEE">
      <w:rPr>
        <w:rFonts w:ascii="Verdana" w:eastAsia="Calibri" w:hAnsi="Verdana" w:cs="Times New Roman"/>
        <w:color w:val="6A8B9E"/>
        <w:sz w:val="14"/>
        <w:szCs w:val="14"/>
      </w:rPr>
      <w:t xml:space="preserve">  </w:t>
    </w:r>
    <w:r w:rsidR="000429C9" w:rsidRPr="00B01607">
      <w:rPr>
        <w:rFonts w:ascii="Symbol" w:eastAsia="Symbol" w:hAnsi="Symbol" w:cs="Symbol"/>
        <w:color w:val="6A8B9E"/>
        <w:sz w:val="14"/>
        <w:szCs w:val="14"/>
      </w:rPr>
      <w:t>·</w:t>
    </w:r>
    <w:r w:rsidR="000429C9" w:rsidRPr="00686EEE">
      <w:rPr>
        <w:rFonts w:ascii="Verdana" w:eastAsia="Calibri" w:hAnsi="Verdana" w:cs="Times New Roman"/>
        <w:color w:val="6A8B9E"/>
        <w:sz w:val="14"/>
        <w:szCs w:val="14"/>
      </w:rPr>
      <w:t xml:space="preserve"> e-mail : </w:t>
    </w:r>
    <w:hyperlink r:id="rId1" w:history="1">
      <w:r w:rsidR="000429C9" w:rsidRPr="00686EEE">
        <w:rPr>
          <w:rFonts w:ascii="Verdana" w:eastAsia="Calibri" w:hAnsi="Verdana" w:cs="Times New Roman"/>
          <w:color w:val="6A8B9E"/>
          <w:sz w:val="14"/>
          <w:szCs w:val="14"/>
          <w:u w:val="single"/>
        </w:rPr>
        <w:t>secretariat@eacb.coop</w:t>
      </w:r>
    </w:hyperlink>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62E01594" w14:textId="77777777" w:rsidR="00D525AC" w:rsidRPr="00686EEE" w:rsidRDefault="00D525AC" w:rsidP="00D525AC">
    <w:pPr>
      <w:tabs>
        <w:tab w:val="center" w:pos="4703"/>
        <w:tab w:val="right" w:pos="940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E402" w14:textId="77777777" w:rsidR="007420BC" w:rsidRDefault="007420BC" w:rsidP="00F75CEC">
      <w:pPr>
        <w:spacing w:after="0" w:line="240" w:lineRule="auto"/>
      </w:pPr>
      <w:r>
        <w:separator/>
      </w:r>
    </w:p>
  </w:footnote>
  <w:footnote w:type="continuationSeparator" w:id="0">
    <w:p w14:paraId="74D8605C" w14:textId="77777777" w:rsidR="007420BC" w:rsidRDefault="007420BC" w:rsidP="00F75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sz="4" w:space="0" w:color="84A0AF"/>
        <w:left w:val="none" w:sz="0" w:space="0" w:color="auto"/>
        <w:bottom w:val="single" w:sz="4" w:space="0" w:color="84A0AF"/>
        <w:right w:val="none" w:sz="0" w:space="0" w:color="auto"/>
        <w:insideH w:val="none" w:sz="0" w:space="0" w:color="auto"/>
        <w:insideV w:val="none" w:sz="0" w:space="0" w:color="auto"/>
      </w:tblBorders>
      <w:tblLook w:val="04A0" w:firstRow="1" w:lastRow="0" w:firstColumn="1" w:lastColumn="0" w:noHBand="0" w:noVBand="1"/>
    </w:tblPr>
    <w:tblGrid>
      <w:gridCol w:w="1362"/>
      <w:gridCol w:w="8391"/>
    </w:tblGrid>
    <w:tr w:rsidR="00F87EF2" w:rsidRPr="00354F99" w14:paraId="7DDE023F" w14:textId="77777777" w:rsidTr="00590B1D">
      <w:trPr>
        <w:trHeight w:val="1266"/>
        <w:jc w:val="center"/>
      </w:trPr>
      <w:tc>
        <w:tcPr>
          <w:tcW w:w="1362" w:type="dxa"/>
        </w:tcPr>
        <w:p w14:paraId="65C01C86" w14:textId="77777777" w:rsidR="00F87EF2" w:rsidRPr="00354F99" w:rsidRDefault="00F87EF2" w:rsidP="00F87EF2">
          <w:pPr>
            <w:tabs>
              <w:tab w:val="center" w:pos="4703"/>
              <w:tab w:val="right" w:pos="9406"/>
            </w:tabs>
            <w:rPr>
              <w:rFonts w:ascii="Calibri" w:eastAsia="Calibri" w:hAnsi="Calibri" w:cs="Times New Roman"/>
            </w:rPr>
          </w:pPr>
          <w:r>
            <w:rPr>
              <w:rFonts w:ascii="Calibri" w:eastAsia="Calibri" w:hAnsi="Calibri" w:cs="Times New Roman"/>
              <w:noProof/>
            </w:rPr>
            <w:drawing>
              <wp:anchor distT="0" distB="0" distL="114300" distR="114300" simplePos="0" relativeHeight="251666432" behindDoc="0" locked="0" layoutInCell="1" allowOverlap="1" wp14:anchorId="48E95EB1" wp14:editId="3BE2755B">
                <wp:simplePos x="0" y="0"/>
                <wp:positionH relativeFrom="column">
                  <wp:posOffset>17145</wp:posOffset>
                </wp:positionH>
                <wp:positionV relativeFrom="paragraph">
                  <wp:posOffset>58420</wp:posOffset>
                </wp:positionV>
                <wp:extent cx="790575" cy="7302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logo ea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0266"/>
                        </a:xfrm>
                        <a:prstGeom prst="rect">
                          <a:avLst/>
                        </a:prstGeom>
                      </pic:spPr>
                    </pic:pic>
                  </a:graphicData>
                </a:graphic>
                <wp14:sizeRelH relativeFrom="page">
                  <wp14:pctWidth>0</wp14:pctWidth>
                </wp14:sizeRelH>
                <wp14:sizeRelV relativeFrom="page">
                  <wp14:pctHeight>0</wp14:pctHeight>
                </wp14:sizeRelV>
              </wp:anchor>
            </w:drawing>
          </w:r>
        </w:p>
      </w:tc>
      <w:tc>
        <w:tcPr>
          <w:tcW w:w="8391" w:type="dxa"/>
        </w:tcPr>
        <w:p w14:paraId="161321A4" w14:textId="77777777" w:rsidR="00F87EF2" w:rsidRPr="00354F99" w:rsidRDefault="00F87EF2" w:rsidP="00F87EF2">
          <w:pPr>
            <w:tabs>
              <w:tab w:val="center" w:pos="4703"/>
              <w:tab w:val="right" w:pos="9406"/>
            </w:tabs>
            <w:ind w:left="798"/>
            <w:rPr>
              <w:rFonts w:ascii="Calibri" w:eastAsia="Calibri" w:hAnsi="Calibri" w:cs="Times New Roman"/>
            </w:rPr>
          </w:pPr>
        </w:p>
        <w:p w14:paraId="76FE45B3" w14:textId="77777777" w:rsidR="00F87EF2" w:rsidRPr="00231EB0" w:rsidRDefault="00F87EF2" w:rsidP="00F87EF2">
          <w:pPr>
            <w:tabs>
              <w:tab w:val="center" w:pos="4703"/>
              <w:tab w:val="right" w:pos="9406"/>
            </w:tabs>
            <w:ind w:left="231"/>
            <w:rPr>
              <w:rFonts w:ascii="Calibri" w:eastAsia="Calibri" w:hAnsi="Calibri" w:cs="Times New Roman"/>
              <w:b/>
              <w:color w:val="6A8B9E"/>
              <w:sz w:val="28"/>
              <w:szCs w:val="28"/>
            </w:rPr>
          </w:pPr>
          <w:r w:rsidRPr="00231EB0">
            <w:rPr>
              <w:rFonts w:ascii="Calibri" w:eastAsia="Calibri" w:hAnsi="Calibri" w:cs="Times New Roman"/>
              <w:b/>
              <w:color w:val="6A8B9E"/>
              <w:sz w:val="28"/>
              <w:szCs w:val="28"/>
            </w:rPr>
            <w:t>EUROPEAN ASSOCIATION OF CO-OPERATIVE BANKS</w:t>
          </w:r>
        </w:p>
        <w:p w14:paraId="13C4DBEA" w14:textId="77777777" w:rsidR="00F87EF2" w:rsidRPr="00231EB0" w:rsidRDefault="00F87EF2" w:rsidP="00F87EF2">
          <w:pPr>
            <w:tabs>
              <w:tab w:val="center" w:pos="4703"/>
              <w:tab w:val="right" w:pos="9406"/>
            </w:tabs>
            <w:ind w:left="231"/>
            <w:rPr>
              <w:rFonts w:ascii="Calibri" w:eastAsia="Calibri" w:hAnsi="Calibri" w:cs="Times New Roman"/>
              <w:b/>
              <w:color w:val="6A8B9E"/>
            </w:rPr>
          </w:pPr>
          <w:r w:rsidRPr="00231EB0">
            <w:rPr>
              <w:rFonts w:ascii="Calibri" w:eastAsia="Calibri" w:hAnsi="Calibri" w:cs="Times New Roman"/>
              <w:b/>
              <w:color w:val="6A8B9E"/>
            </w:rPr>
            <w:t xml:space="preserve">The Co-operative Difference :  </w:t>
          </w:r>
          <w:r w:rsidRPr="00B01607">
            <w:rPr>
              <w:rFonts w:ascii="Calibri" w:eastAsia="Calibri" w:hAnsi="Calibri" w:cs="Times New Roman"/>
              <w:b/>
              <w:color w:val="6A8B9E"/>
            </w:rPr>
            <w:t>Sustainability</w:t>
          </w:r>
          <w:r w:rsidRPr="00231EB0">
            <w:rPr>
              <w:rFonts w:ascii="Calibri" w:eastAsia="Calibri" w:hAnsi="Calibri" w:cs="Times New Roman"/>
              <w:b/>
              <w:color w:val="6A8B9E"/>
            </w:rPr>
            <w:t xml:space="preserve">, Proximity, Governance </w:t>
          </w:r>
        </w:p>
        <w:p w14:paraId="02356B77" w14:textId="77777777" w:rsidR="00F87EF2" w:rsidRDefault="00F87EF2" w:rsidP="00F87EF2">
          <w:pPr>
            <w:tabs>
              <w:tab w:val="center" w:pos="4703"/>
              <w:tab w:val="right" w:pos="9406"/>
            </w:tabs>
            <w:ind w:left="798"/>
            <w:rPr>
              <w:rFonts w:ascii="Calibri" w:eastAsia="Calibri" w:hAnsi="Calibri" w:cs="Times New Roman"/>
              <w:b/>
              <w:color w:val="767171"/>
            </w:rPr>
          </w:pPr>
        </w:p>
        <w:p w14:paraId="56686455" w14:textId="77777777" w:rsidR="00F87EF2" w:rsidRPr="00EB4738" w:rsidRDefault="00F87EF2" w:rsidP="00F87EF2">
          <w:pPr>
            <w:tabs>
              <w:tab w:val="center" w:pos="4703"/>
              <w:tab w:val="right" w:pos="9406"/>
            </w:tabs>
            <w:ind w:left="798"/>
            <w:rPr>
              <w:rFonts w:ascii="Calibri" w:eastAsia="Calibri" w:hAnsi="Calibri" w:cs="Times New Roman"/>
              <w:b/>
            </w:rPr>
          </w:pPr>
        </w:p>
      </w:tc>
    </w:tr>
  </w:tbl>
  <w:p w14:paraId="490914E9" w14:textId="77777777" w:rsidR="00F75CEC" w:rsidRDefault="00F75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sz="4" w:space="0" w:color="84A0AF"/>
        <w:left w:val="none" w:sz="0" w:space="0" w:color="auto"/>
        <w:bottom w:val="single" w:sz="4" w:space="0" w:color="84A0AF"/>
        <w:right w:val="none" w:sz="0" w:space="0" w:color="auto"/>
        <w:insideH w:val="none" w:sz="0" w:space="0" w:color="auto"/>
        <w:insideV w:val="none" w:sz="0" w:space="0" w:color="auto"/>
      </w:tblBorders>
      <w:tblLook w:val="04A0" w:firstRow="1" w:lastRow="0" w:firstColumn="1" w:lastColumn="0" w:noHBand="0" w:noVBand="1"/>
    </w:tblPr>
    <w:tblGrid>
      <w:gridCol w:w="1362"/>
      <w:gridCol w:w="8391"/>
    </w:tblGrid>
    <w:tr w:rsidR="00886D1A" w:rsidRPr="00354F99" w14:paraId="4EA44B35" w14:textId="77777777" w:rsidTr="00601CED">
      <w:trPr>
        <w:trHeight w:val="1266"/>
        <w:jc w:val="center"/>
      </w:trPr>
      <w:tc>
        <w:tcPr>
          <w:tcW w:w="1362" w:type="dxa"/>
        </w:tcPr>
        <w:p w14:paraId="24B34CF3" w14:textId="77777777" w:rsidR="00886D1A" w:rsidRPr="00354F99" w:rsidRDefault="00886D1A" w:rsidP="00886D1A">
          <w:pPr>
            <w:tabs>
              <w:tab w:val="center" w:pos="4703"/>
              <w:tab w:val="right" w:pos="9406"/>
            </w:tabs>
            <w:rPr>
              <w:rFonts w:ascii="Calibri" w:eastAsia="Calibri" w:hAnsi="Calibri" w:cs="Times New Roman"/>
            </w:rPr>
          </w:pPr>
          <w:r>
            <w:rPr>
              <w:rFonts w:ascii="Calibri" w:eastAsia="Calibri" w:hAnsi="Calibri" w:cs="Times New Roman"/>
              <w:noProof/>
            </w:rPr>
            <w:drawing>
              <wp:anchor distT="0" distB="0" distL="114300" distR="114300" simplePos="0" relativeHeight="251663360" behindDoc="0" locked="0" layoutInCell="1" allowOverlap="1" wp14:anchorId="79BD01B7" wp14:editId="62F7CBA1">
                <wp:simplePos x="0" y="0"/>
                <wp:positionH relativeFrom="column">
                  <wp:posOffset>17145</wp:posOffset>
                </wp:positionH>
                <wp:positionV relativeFrom="paragraph">
                  <wp:posOffset>58420</wp:posOffset>
                </wp:positionV>
                <wp:extent cx="790575" cy="730266"/>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logo ea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0266"/>
                        </a:xfrm>
                        <a:prstGeom prst="rect">
                          <a:avLst/>
                        </a:prstGeom>
                      </pic:spPr>
                    </pic:pic>
                  </a:graphicData>
                </a:graphic>
                <wp14:sizeRelH relativeFrom="page">
                  <wp14:pctWidth>0</wp14:pctWidth>
                </wp14:sizeRelH>
                <wp14:sizeRelV relativeFrom="page">
                  <wp14:pctHeight>0</wp14:pctHeight>
                </wp14:sizeRelV>
              </wp:anchor>
            </w:drawing>
          </w:r>
        </w:p>
      </w:tc>
      <w:tc>
        <w:tcPr>
          <w:tcW w:w="8391" w:type="dxa"/>
        </w:tcPr>
        <w:p w14:paraId="0D9BC48C" w14:textId="77777777" w:rsidR="00886D1A" w:rsidRPr="00354F99" w:rsidRDefault="00886D1A" w:rsidP="00886D1A">
          <w:pPr>
            <w:tabs>
              <w:tab w:val="center" w:pos="4703"/>
              <w:tab w:val="right" w:pos="9406"/>
            </w:tabs>
            <w:ind w:left="798"/>
            <w:rPr>
              <w:rFonts w:ascii="Calibri" w:eastAsia="Calibri" w:hAnsi="Calibri" w:cs="Times New Roman"/>
            </w:rPr>
          </w:pPr>
        </w:p>
        <w:p w14:paraId="2BCFE02A" w14:textId="77777777" w:rsidR="00886D1A" w:rsidRPr="00231EB0" w:rsidRDefault="00886D1A" w:rsidP="00886D1A">
          <w:pPr>
            <w:tabs>
              <w:tab w:val="center" w:pos="4703"/>
              <w:tab w:val="right" w:pos="9406"/>
            </w:tabs>
            <w:ind w:left="231"/>
            <w:rPr>
              <w:rFonts w:ascii="Calibri" w:eastAsia="Calibri" w:hAnsi="Calibri" w:cs="Times New Roman"/>
              <w:b/>
              <w:color w:val="6A8B9E"/>
              <w:sz w:val="28"/>
              <w:szCs w:val="28"/>
            </w:rPr>
          </w:pPr>
          <w:r w:rsidRPr="00231EB0">
            <w:rPr>
              <w:rFonts w:ascii="Calibri" w:eastAsia="Calibri" w:hAnsi="Calibri" w:cs="Times New Roman"/>
              <w:b/>
              <w:color w:val="6A8B9E"/>
              <w:sz w:val="28"/>
              <w:szCs w:val="28"/>
            </w:rPr>
            <w:t>EUROPEAN ASSOCIATION OF CO-OPERATIVE BANKS</w:t>
          </w:r>
        </w:p>
        <w:p w14:paraId="60D772AA" w14:textId="77777777" w:rsidR="00886D1A" w:rsidRPr="00231EB0" w:rsidRDefault="00886D1A" w:rsidP="00886D1A">
          <w:pPr>
            <w:tabs>
              <w:tab w:val="center" w:pos="4703"/>
              <w:tab w:val="right" w:pos="9406"/>
            </w:tabs>
            <w:ind w:left="231"/>
            <w:rPr>
              <w:rFonts w:ascii="Calibri" w:eastAsia="Calibri" w:hAnsi="Calibri" w:cs="Times New Roman"/>
              <w:b/>
              <w:color w:val="6A8B9E"/>
            </w:rPr>
          </w:pPr>
          <w:r w:rsidRPr="00231EB0">
            <w:rPr>
              <w:rFonts w:ascii="Calibri" w:eastAsia="Calibri" w:hAnsi="Calibri" w:cs="Times New Roman"/>
              <w:b/>
              <w:color w:val="6A8B9E"/>
            </w:rPr>
            <w:t xml:space="preserve">The Cooperative Difference: </w:t>
          </w:r>
          <w:r w:rsidRPr="00B01607">
            <w:rPr>
              <w:rFonts w:ascii="Calibri" w:eastAsia="Calibri" w:hAnsi="Calibri" w:cs="Times New Roman"/>
              <w:b/>
              <w:color w:val="6A8B9E"/>
            </w:rPr>
            <w:t>Sustainability</w:t>
          </w:r>
          <w:r w:rsidRPr="00231EB0">
            <w:rPr>
              <w:rFonts w:ascii="Calibri" w:eastAsia="Calibri" w:hAnsi="Calibri" w:cs="Times New Roman"/>
              <w:b/>
              <w:color w:val="6A8B9E"/>
            </w:rPr>
            <w:t xml:space="preserve">, Proximity, Governance </w:t>
          </w:r>
        </w:p>
        <w:p w14:paraId="4456C191" w14:textId="77777777" w:rsidR="00886D1A" w:rsidRDefault="00886D1A" w:rsidP="00886D1A">
          <w:pPr>
            <w:tabs>
              <w:tab w:val="center" w:pos="4703"/>
              <w:tab w:val="right" w:pos="9406"/>
            </w:tabs>
            <w:ind w:left="798"/>
            <w:rPr>
              <w:rFonts w:ascii="Calibri" w:eastAsia="Calibri" w:hAnsi="Calibri" w:cs="Times New Roman"/>
              <w:b/>
              <w:color w:val="767171"/>
            </w:rPr>
          </w:pPr>
        </w:p>
        <w:p w14:paraId="4F4CC166" w14:textId="77777777" w:rsidR="00886D1A" w:rsidRPr="00EB4738" w:rsidRDefault="00886D1A" w:rsidP="00886D1A">
          <w:pPr>
            <w:tabs>
              <w:tab w:val="center" w:pos="4703"/>
              <w:tab w:val="right" w:pos="9406"/>
            </w:tabs>
            <w:ind w:left="798"/>
            <w:rPr>
              <w:rFonts w:ascii="Calibri" w:eastAsia="Calibri" w:hAnsi="Calibri" w:cs="Times New Roman"/>
              <w:b/>
            </w:rPr>
          </w:pPr>
        </w:p>
      </w:tc>
    </w:tr>
  </w:tbl>
  <w:p w14:paraId="0FE61257" w14:textId="77777777" w:rsidR="00D525AC" w:rsidRDefault="00D52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8D1"/>
    <w:multiLevelType w:val="hybridMultilevel"/>
    <w:tmpl w:val="25A20380"/>
    <w:lvl w:ilvl="0" w:tplc="4536913C">
      <w:start w:val="1"/>
      <w:numFmt w:val="decimal"/>
      <w:lvlText w:val="%1."/>
      <w:lvlJc w:val="left"/>
      <w:pPr>
        <w:ind w:left="1080" w:hanging="360"/>
      </w:pPr>
      <w:rPr>
        <w:rFonts w:hint="default"/>
        <w:color w:val="1F497D"/>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84A34A5"/>
    <w:multiLevelType w:val="multilevel"/>
    <w:tmpl w:val="C1D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825E2"/>
    <w:multiLevelType w:val="hybridMultilevel"/>
    <w:tmpl w:val="8FB44F88"/>
    <w:lvl w:ilvl="0" w:tplc="226E505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3" w15:restartNumberingAfterBreak="0">
    <w:nsid w:val="1BF832D8"/>
    <w:multiLevelType w:val="hybridMultilevel"/>
    <w:tmpl w:val="DAAA2A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4B0361"/>
    <w:multiLevelType w:val="hybridMultilevel"/>
    <w:tmpl w:val="93FCD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4B5C05"/>
    <w:multiLevelType w:val="multilevel"/>
    <w:tmpl w:val="FBC6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E4999"/>
    <w:multiLevelType w:val="multilevel"/>
    <w:tmpl w:val="7DAED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170FC"/>
    <w:multiLevelType w:val="multilevel"/>
    <w:tmpl w:val="6A1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A085A"/>
    <w:multiLevelType w:val="hybridMultilevel"/>
    <w:tmpl w:val="405C7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0817CB"/>
    <w:multiLevelType w:val="hybridMultilevel"/>
    <w:tmpl w:val="08FE6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243B64"/>
    <w:multiLevelType w:val="hybridMultilevel"/>
    <w:tmpl w:val="3482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E70"/>
    <w:multiLevelType w:val="hybridMultilevel"/>
    <w:tmpl w:val="1E0E4B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E41C1F"/>
    <w:multiLevelType w:val="hybridMultilevel"/>
    <w:tmpl w:val="075A69FA"/>
    <w:lvl w:ilvl="0" w:tplc="26421EB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B8D039D"/>
    <w:multiLevelType w:val="multilevel"/>
    <w:tmpl w:val="B72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A65717"/>
    <w:multiLevelType w:val="multilevel"/>
    <w:tmpl w:val="AEE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B125E"/>
    <w:multiLevelType w:val="multilevel"/>
    <w:tmpl w:val="A65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C0062"/>
    <w:multiLevelType w:val="hybridMultilevel"/>
    <w:tmpl w:val="75C46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DBA598D"/>
    <w:multiLevelType w:val="hybridMultilevel"/>
    <w:tmpl w:val="A3068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FC4D21"/>
    <w:multiLevelType w:val="hybridMultilevel"/>
    <w:tmpl w:val="FFFFFFFF"/>
    <w:lvl w:ilvl="0" w:tplc="40068D3A">
      <w:start w:val="1"/>
      <w:numFmt w:val="decimal"/>
      <w:lvlText w:val="%1."/>
      <w:lvlJc w:val="left"/>
      <w:pPr>
        <w:ind w:left="360" w:hanging="360"/>
      </w:pPr>
    </w:lvl>
    <w:lvl w:ilvl="1" w:tplc="7F987522">
      <w:start w:val="1"/>
      <w:numFmt w:val="lowerLetter"/>
      <w:lvlText w:val="%2."/>
      <w:lvlJc w:val="left"/>
      <w:pPr>
        <w:ind w:left="1080" w:hanging="360"/>
      </w:pPr>
    </w:lvl>
    <w:lvl w:ilvl="2" w:tplc="1DF211BE">
      <w:start w:val="1"/>
      <w:numFmt w:val="lowerRoman"/>
      <w:lvlText w:val="%3."/>
      <w:lvlJc w:val="right"/>
      <w:pPr>
        <w:ind w:left="1800" w:hanging="180"/>
      </w:pPr>
    </w:lvl>
    <w:lvl w:ilvl="3" w:tplc="08BEC5C2">
      <w:start w:val="1"/>
      <w:numFmt w:val="decimal"/>
      <w:lvlText w:val="%4."/>
      <w:lvlJc w:val="left"/>
      <w:pPr>
        <w:ind w:left="2520" w:hanging="360"/>
      </w:pPr>
    </w:lvl>
    <w:lvl w:ilvl="4" w:tplc="4EEAD732">
      <w:start w:val="1"/>
      <w:numFmt w:val="lowerLetter"/>
      <w:lvlText w:val="%5."/>
      <w:lvlJc w:val="left"/>
      <w:pPr>
        <w:ind w:left="3240" w:hanging="360"/>
      </w:pPr>
    </w:lvl>
    <w:lvl w:ilvl="5" w:tplc="3F14311A">
      <w:start w:val="1"/>
      <w:numFmt w:val="lowerRoman"/>
      <w:lvlText w:val="%6."/>
      <w:lvlJc w:val="right"/>
      <w:pPr>
        <w:ind w:left="3960" w:hanging="180"/>
      </w:pPr>
    </w:lvl>
    <w:lvl w:ilvl="6" w:tplc="FABA43F0">
      <w:start w:val="1"/>
      <w:numFmt w:val="decimal"/>
      <w:lvlText w:val="%7."/>
      <w:lvlJc w:val="left"/>
      <w:pPr>
        <w:ind w:left="4680" w:hanging="360"/>
      </w:pPr>
    </w:lvl>
    <w:lvl w:ilvl="7" w:tplc="991681C4">
      <w:start w:val="1"/>
      <w:numFmt w:val="lowerLetter"/>
      <w:lvlText w:val="%8."/>
      <w:lvlJc w:val="left"/>
      <w:pPr>
        <w:ind w:left="5400" w:hanging="360"/>
      </w:pPr>
    </w:lvl>
    <w:lvl w:ilvl="8" w:tplc="DAEABDBA">
      <w:start w:val="1"/>
      <w:numFmt w:val="lowerRoman"/>
      <w:lvlText w:val="%9."/>
      <w:lvlJc w:val="right"/>
      <w:pPr>
        <w:ind w:left="6120" w:hanging="180"/>
      </w:pPr>
    </w:lvl>
  </w:abstractNum>
  <w:abstractNum w:abstractNumId="19" w15:restartNumberingAfterBreak="0">
    <w:nsid w:val="41436C9F"/>
    <w:multiLevelType w:val="multilevel"/>
    <w:tmpl w:val="9794A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E946E8"/>
    <w:multiLevelType w:val="hybridMultilevel"/>
    <w:tmpl w:val="EDA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12FC0"/>
    <w:multiLevelType w:val="hybridMultilevel"/>
    <w:tmpl w:val="47ECBDD8"/>
    <w:lvl w:ilvl="0" w:tplc="84DC72F6">
      <w:start w:val="1"/>
      <w:numFmt w:val="decimal"/>
      <w:lvlText w:val="%1."/>
      <w:lvlJc w:val="left"/>
      <w:pPr>
        <w:ind w:left="720" w:hanging="360"/>
      </w:pPr>
    </w:lvl>
    <w:lvl w:ilvl="1" w:tplc="D0B076EA">
      <w:start w:val="1"/>
      <w:numFmt w:val="lowerLetter"/>
      <w:lvlText w:val="%2."/>
      <w:lvlJc w:val="left"/>
      <w:pPr>
        <w:ind w:left="1440" w:hanging="360"/>
      </w:pPr>
    </w:lvl>
    <w:lvl w:ilvl="2" w:tplc="8456744E">
      <w:start w:val="1"/>
      <w:numFmt w:val="lowerRoman"/>
      <w:lvlText w:val="%3."/>
      <w:lvlJc w:val="right"/>
      <w:pPr>
        <w:ind w:left="2160" w:hanging="180"/>
      </w:pPr>
    </w:lvl>
    <w:lvl w:ilvl="3" w:tplc="3B84A5F0">
      <w:start w:val="1"/>
      <w:numFmt w:val="decimal"/>
      <w:lvlText w:val="%4."/>
      <w:lvlJc w:val="left"/>
      <w:pPr>
        <w:ind w:left="2880" w:hanging="360"/>
      </w:pPr>
    </w:lvl>
    <w:lvl w:ilvl="4" w:tplc="61D81E00">
      <w:start w:val="1"/>
      <w:numFmt w:val="lowerLetter"/>
      <w:lvlText w:val="%5."/>
      <w:lvlJc w:val="left"/>
      <w:pPr>
        <w:ind w:left="3600" w:hanging="360"/>
      </w:pPr>
    </w:lvl>
    <w:lvl w:ilvl="5" w:tplc="2C5E6B84">
      <w:start w:val="1"/>
      <w:numFmt w:val="lowerRoman"/>
      <w:lvlText w:val="%6."/>
      <w:lvlJc w:val="right"/>
      <w:pPr>
        <w:ind w:left="4320" w:hanging="180"/>
      </w:pPr>
    </w:lvl>
    <w:lvl w:ilvl="6" w:tplc="2D64DB0A">
      <w:start w:val="1"/>
      <w:numFmt w:val="decimal"/>
      <w:lvlText w:val="%7."/>
      <w:lvlJc w:val="left"/>
      <w:pPr>
        <w:ind w:left="5040" w:hanging="360"/>
      </w:pPr>
    </w:lvl>
    <w:lvl w:ilvl="7" w:tplc="8AB4B308">
      <w:start w:val="1"/>
      <w:numFmt w:val="lowerLetter"/>
      <w:lvlText w:val="%8."/>
      <w:lvlJc w:val="left"/>
      <w:pPr>
        <w:ind w:left="5760" w:hanging="360"/>
      </w:pPr>
    </w:lvl>
    <w:lvl w:ilvl="8" w:tplc="EEF4AC68">
      <w:start w:val="1"/>
      <w:numFmt w:val="lowerRoman"/>
      <w:lvlText w:val="%9."/>
      <w:lvlJc w:val="right"/>
      <w:pPr>
        <w:ind w:left="6480" w:hanging="180"/>
      </w:pPr>
    </w:lvl>
  </w:abstractNum>
  <w:abstractNum w:abstractNumId="22" w15:restartNumberingAfterBreak="0">
    <w:nsid w:val="4D5160CC"/>
    <w:multiLevelType w:val="multilevel"/>
    <w:tmpl w:val="91841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E44D83"/>
    <w:multiLevelType w:val="hybridMultilevel"/>
    <w:tmpl w:val="39107E3E"/>
    <w:lvl w:ilvl="0" w:tplc="2B72F944">
      <w:start w:val="2"/>
      <w:numFmt w:val="bullet"/>
      <w:lvlText w:val="-"/>
      <w:lvlJc w:val="left"/>
      <w:pPr>
        <w:ind w:left="720" w:hanging="360"/>
      </w:pPr>
      <w:rPr>
        <w:rFonts w:ascii="Times New Roman" w:eastAsia="Times New Roman" w:hAnsi="Times New Roman" w:cs="Times New Roman" w:hint="default"/>
      </w:rPr>
    </w:lvl>
    <w:lvl w:ilvl="1" w:tplc="737A75AE">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D1B32"/>
    <w:multiLevelType w:val="hybridMultilevel"/>
    <w:tmpl w:val="E79C1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F358E7"/>
    <w:multiLevelType w:val="multilevel"/>
    <w:tmpl w:val="9B7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52299B"/>
    <w:multiLevelType w:val="multilevel"/>
    <w:tmpl w:val="97F4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66398"/>
    <w:multiLevelType w:val="hybridMultilevel"/>
    <w:tmpl w:val="FDDED4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4C0828"/>
    <w:multiLevelType w:val="multilevel"/>
    <w:tmpl w:val="2C0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C3DC5"/>
    <w:multiLevelType w:val="hybridMultilevel"/>
    <w:tmpl w:val="7D964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D1A556B"/>
    <w:multiLevelType w:val="hybridMultilevel"/>
    <w:tmpl w:val="8196C91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0E684F"/>
    <w:multiLevelType w:val="hybridMultilevel"/>
    <w:tmpl w:val="E458CA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BC782B"/>
    <w:multiLevelType w:val="multilevel"/>
    <w:tmpl w:val="AE06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855CEE"/>
    <w:multiLevelType w:val="hybridMultilevel"/>
    <w:tmpl w:val="0D20F0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19D658D"/>
    <w:multiLevelType w:val="multilevel"/>
    <w:tmpl w:val="0060B1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3236F"/>
    <w:multiLevelType w:val="multilevel"/>
    <w:tmpl w:val="8A6601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474DA"/>
    <w:multiLevelType w:val="multilevel"/>
    <w:tmpl w:val="0060B148"/>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7" w15:restartNumberingAfterBreak="0">
    <w:nsid w:val="7C9D7425"/>
    <w:multiLevelType w:val="hybridMultilevel"/>
    <w:tmpl w:val="DFA2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033A0"/>
    <w:multiLevelType w:val="hybridMultilevel"/>
    <w:tmpl w:val="D9B222A0"/>
    <w:lvl w:ilvl="0" w:tplc="0809000B">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7F08EB"/>
    <w:multiLevelType w:val="hybridMultilevel"/>
    <w:tmpl w:val="852AFD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1802526">
    <w:abstractNumId w:val="23"/>
  </w:num>
  <w:num w:numId="2" w16cid:durableId="1818104303">
    <w:abstractNumId w:val="30"/>
  </w:num>
  <w:num w:numId="3" w16cid:durableId="112865832">
    <w:abstractNumId w:val="11"/>
  </w:num>
  <w:num w:numId="4" w16cid:durableId="239949290">
    <w:abstractNumId w:val="27"/>
  </w:num>
  <w:num w:numId="5" w16cid:durableId="1242182358">
    <w:abstractNumId w:val="38"/>
  </w:num>
  <w:num w:numId="6" w16cid:durableId="836582087">
    <w:abstractNumId w:val="31"/>
  </w:num>
  <w:num w:numId="7" w16cid:durableId="691296216">
    <w:abstractNumId w:val="10"/>
  </w:num>
  <w:num w:numId="8" w16cid:durableId="153449553">
    <w:abstractNumId w:val="37"/>
  </w:num>
  <w:num w:numId="9" w16cid:durableId="1127970698">
    <w:abstractNumId w:val="20"/>
  </w:num>
  <w:num w:numId="10" w16cid:durableId="2021882702">
    <w:abstractNumId w:val="2"/>
  </w:num>
  <w:num w:numId="11" w16cid:durableId="1166940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474805">
    <w:abstractNumId w:val="0"/>
  </w:num>
  <w:num w:numId="13" w16cid:durableId="1991904378">
    <w:abstractNumId w:val="21"/>
  </w:num>
  <w:num w:numId="14" w16cid:durableId="1587768409">
    <w:abstractNumId w:val="18"/>
  </w:num>
  <w:num w:numId="15" w16cid:durableId="1696536359">
    <w:abstractNumId w:val="29"/>
  </w:num>
  <w:num w:numId="16" w16cid:durableId="1913000689">
    <w:abstractNumId w:val="5"/>
  </w:num>
  <w:num w:numId="17" w16cid:durableId="1585918296">
    <w:abstractNumId w:val="7"/>
  </w:num>
  <w:num w:numId="18" w16cid:durableId="1095781525">
    <w:abstractNumId w:val="1"/>
  </w:num>
  <w:num w:numId="19" w16cid:durableId="709110988">
    <w:abstractNumId w:val="14"/>
  </w:num>
  <w:num w:numId="20" w16cid:durableId="1492019161">
    <w:abstractNumId w:val="32"/>
  </w:num>
  <w:num w:numId="21" w16cid:durableId="1316031160">
    <w:abstractNumId w:val="28"/>
  </w:num>
  <w:num w:numId="22" w16cid:durableId="1730616043">
    <w:abstractNumId w:val="15"/>
  </w:num>
  <w:num w:numId="23" w16cid:durableId="1827353059">
    <w:abstractNumId w:val="26"/>
  </w:num>
  <w:num w:numId="24" w16cid:durableId="396319875">
    <w:abstractNumId w:val="6"/>
  </w:num>
  <w:num w:numId="25" w16cid:durableId="1591236481">
    <w:abstractNumId w:val="22"/>
  </w:num>
  <w:num w:numId="26" w16cid:durableId="783571526">
    <w:abstractNumId w:val="25"/>
  </w:num>
  <w:num w:numId="27" w16cid:durableId="1784642031">
    <w:abstractNumId w:val="13"/>
  </w:num>
  <w:num w:numId="28" w16cid:durableId="366298477">
    <w:abstractNumId w:val="24"/>
  </w:num>
  <w:num w:numId="29" w16cid:durableId="635836732">
    <w:abstractNumId w:val="9"/>
  </w:num>
  <w:num w:numId="30" w16cid:durableId="504169290">
    <w:abstractNumId w:val="12"/>
  </w:num>
  <w:num w:numId="31" w16cid:durableId="1909029979">
    <w:abstractNumId w:val="8"/>
  </w:num>
  <w:num w:numId="32" w16cid:durableId="2125534515">
    <w:abstractNumId w:val="16"/>
  </w:num>
  <w:num w:numId="33" w16cid:durableId="2056199095">
    <w:abstractNumId w:val="35"/>
  </w:num>
  <w:num w:numId="34" w16cid:durableId="2002846607">
    <w:abstractNumId w:val="36"/>
  </w:num>
  <w:num w:numId="35" w16cid:durableId="914242511">
    <w:abstractNumId w:val="34"/>
  </w:num>
  <w:num w:numId="36" w16cid:durableId="801457576">
    <w:abstractNumId w:val="4"/>
  </w:num>
  <w:num w:numId="37" w16cid:durableId="1906525363">
    <w:abstractNumId w:val="3"/>
  </w:num>
  <w:num w:numId="38" w16cid:durableId="1454716554">
    <w:abstractNumId w:val="33"/>
  </w:num>
  <w:num w:numId="39" w16cid:durableId="2053116630">
    <w:abstractNumId w:val="17"/>
  </w:num>
  <w:num w:numId="40" w16cid:durableId="12651174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EE"/>
    <w:rsid w:val="0000430F"/>
    <w:rsid w:val="00017A80"/>
    <w:rsid w:val="00021A4D"/>
    <w:rsid w:val="000429C9"/>
    <w:rsid w:val="000546C4"/>
    <w:rsid w:val="000762E0"/>
    <w:rsid w:val="000D1950"/>
    <w:rsid w:val="000D3C5E"/>
    <w:rsid w:val="000D3F69"/>
    <w:rsid w:val="000F76E0"/>
    <w:rsid w:val="00110F42"/>
    <w:rsid w:val="00121DC7"/>
    <w:rsid w:val="001517CE"/>
    <w:rsid w:val="0016219F"/>
    <w:rsid w:val="001662E6"/>
    <w:rsid w:val="0017300E"/>
    <w:rsid w:val="001869A5"/>
    <w:rsid w:val="001B1B30"/>
    <w:rsid w:val="001B44D9"/>
    <w:rsid w:val="001D5F43"/>
    <w:rsid w:val="00204219"/>
    <w:rsid w:val="002140A5"/>
    <w:rsid w:val="002269FE"/>
    <w:rsid w:val="00252FFA"/>
    <w:rsid w:val="00267978"/>
    <w:rsid w:val="00290482"/>
    <w:rsid w:val="002936EB"/>
    <w:rsid w:val="002A113E"/>
    <w:rsid w:val="002A25AA"/>
    <w:rsid w:val="002C13E1"/>
    <w:rsid w:val="002C6C64"/>
    <w:rsid w:val="002E5B39"/>
    <w:rsid w:val="00304542"/>
    <w:rsid w:val="003427CC"/>
    <w:rsid w:val="00343897"/>
    <w:rsid w:val="00375DD1"/>
    <w:rsid w:val="003830D4"/>
    <w:rsid w:val="0039486C"/>
    <w:rsid w:val="003C13C3"/>
    <w:rsid w:val="003E09CF"/>
    <w:rsid w:val="00402CCE"/>
    <w:rsid w:val="0042017E"/>
    <w:rsid w:val="004242B0"/>
    <w:rsid w:val="004248C7"/>
    <w:rsid w:val="00457512"/>
    <w:rsid w:val="00473881"/>
    <w:rsid w:val="00473CD8"/>
    <w:rsid w:val="004B3888"/>
    <w:rsid w:val="004C2569"/>
    <w:rsid w:val="004C5A4D"/>
    <w:rsid w:val="004D1A4B"/>
    <w:rsid w:val="004D69D7"/>
    <w:rsid w:val="004D7313"/>
    <w:rsid w:val="0053002D"/>
    <w:rsid w:val="00535BB7"/>
    <w:rsid w:val="00543144"/>
    <w:rsid w:val="00546829"/>
    <w:rsid w:val="00572A11"/>
    <w:rsid w:val="005849CF"/>
    <w:rsid w:val="005A0259"/>
    <w:rsid w:val="005A4A37"/>
    <w:rsid w:val="005B2F3E"/>
    <w:rsid w:val="005B3160"/>
    <w:rsid w:val="005B56E0"/>
    <w:rsid w:val="005B662C"/>
    <w:rsid w:val="005C681C"/>
    <w:rsid w:val="00607DF9"/>
    <w:rsid w:val="00613C00"/>
    <w:rsid w:val="006224E2"/>
    <w:rsid w:val="00631993"/>
    <w:rsid w:val="00636486"/>
    <w:rsid w:val="00643042"/>
    <w:rsid w:val="00647CB6"/>
    <w:rsid w:val="006706C2"/>
    <w:rsid w:val="0068319A"/>
    <w:rsid w:val="00683648"/>
    <w:rsid w:val="00685815"/>
    <w:rsid w:val="00686EEE"/>
    <w:rsid w:val="00695F69"/>
    <w:rsid w:val="006A0CDB"/>
    <w:rsid w:val="006A473D"/>
    <w:rsid w:val="006D5353"/>
    <w:rsid w:val="006D65B0"/>
    <w:rsid w:val="006E40C0"/>
    <w:rsid w:val="006E7FCA"/>
    <w:rsid w:val="006F5526"/>
    <w:rsid w:val="00713474"/>
    <w:rsid w:val="00725C7A"/>
    <w:rsid w:val="00734DA2"/>
    <w:rsid w:val="007420BC"/>
    <w:rsid w:val="00747EA1"/>
    <w:rsid w:val="00753CF6"/>
    <w:rsid w:val="00762C12"/>
    <w:rsid w:val="0078038A"/>
    <w:rsid w:val="00791734"/>
    <w:rsid w:val="00794E68"/>
    <w:rsid w:val="00796C57"/>
    <w:rsid w:val="007B6FC1"/>
    <w:rsid w:val="007D5F27"/>
    <w:rsid w:val="007E0774"/>
    <w:rsid w:val="008124DD"/>
    <w:rsid w:val="008411CF"/>
    <w:rsid w:val="00847898"/>
    <w:rsid w:val="008618F1"/>
    <w:rsid w:val="008707BF"/>
    <w:rsid w:val="008757D9"/>
    <w:rsid w:val="00886D1A"/>
    <w:rsid w:val="008A639A"/>
    <w:rsid w:val="008E4327"/>
    <w:rsid w:val="00932359"/>
    <w:rsid w:val="00940AC7"/>
    <w:rsid w:val="0095172F"/>
    <w:rsid w:val="00962A72"/>
    <w:rsid w:val="00967228"/>
    <w:rsid w:val="009834D0"/>
    <w:rsid w:val="00995B1D"/>
    <w:rsid w:val="009D5FEF"/>
    <w:rsid w:val="00A02AC3"/>
    <w:rsid w:val="00A10A4A"/>
    <w:rsid w:val="00A314BE"/>
    <w:rsid w:val="00A32423"/>
    <w:rsid w:val="00A46089"/>
    <w:rsid w:val="00A65D58"/>
    <w:rsid w:val="00AE41B3"/>
    <w:rsid w:val="00B55AA4"/>
    <w:rsid w:val="00B93BA7"/>
    <w:rsid w:val="00BB0055"/>
    <w:rsid w:val="00BB6DFF"/>
    <w:rsid w:val="00BD3673"/>
    <w:rsid w:val="00BE7DF9"/>
    <w:rsid w:val="00BF10C9"/>
    <w:rsid w:val="00BF75B7"/>
    <w:rsid w:val="00C23E64"/>
    <w:rsid w:val="00C53513"/>
    <w:rsid w:val="00C70030"/>
    <w:rsid w:val="00CE1074"/>
    <w:rsid w:val="00CE3A65"/>
    <w:rsid w:val="00CE746E"/>
    <w:rsid w:val="00CF11FD"/>
    <w:rsid w:val="00CF1E0B"/>
    <w:rsid w:val="00CF66AB"/>
    <w:rsid w:val="00D17CBD"/>
    <w:rsid w:val="00D32993"/>
    <w:rsid w:val="00D34545"/>
    <w:rsid w:val="00D4135F"/>
    <w:rsid w:val="00D525AC"/>
    <w:rsid w:val="00D54C96"/>
    <w:rsid w:val="00D86386"/>
    <w:rsid w:val="00DC0138"/>
    <w:rsid w:val="00E01436"/>
    <w:rsid w:val="00E15AA1"/>
    <w:rsid w:val="00E36003"/>
    <w:rsid w:val="00E40738"/>
    <w:rsid w:val="00EA7D14"/>
    <w:rsid w:val="00ED471A"/>
    <w:rsid w:val="00F43FAA"/>
    <w:rsid w:val="00F72623"/>
    <w:rsid w:val="00F732B5"/>
    <w:rsid w:val="00F75CEC"/>
    <w:rsid w:val="00F857CA"/>
    <w:rsid w:val="00F87EF2"/>
    <w:rsid w:val="00FD20C2"/>
    <w:rsid w:val="00FD3399"/>
    <w:rsid w:val="00FD7628"/>
    <w:rsid w:val="00FE6E68"/>
    <w:rsid w:val="00FF676C"/>
    <w:rsid w:val="01CEB67D"/>
    <w:rsid w:val="0201385F"/>
    <w:rsid w:val="02FDBAD1"/>
    <w:rsid w:val="03E3ED55"/>
    <w:rsid w:val="044F388D"/>
    <w:rsid w:val="04AD869D"/>
    <w:rsid w:val="05DBA1E6"/>
    <w:rsid w:val="05F8002E"/>
    <w:rsid w:val="0710F70A"/>
    <w:rsid w:val="071B8E17"/>
    <w:rsid w:val="072EFE95"/>
    <w:rsid w:val="07F7B1AC"/>
    <w:rsid w:val="094F8187"/>
    <w:rsid w:val="099E1F11"/>
    <w:rsid w:val="0A2ECB27"/>
    <w:rsid w:val="0A8E6D07"/>
    <w:rsid w:val="0AB31C42"/>
    <w:rsid w:val="0AB5CEF1"/>
    <w:rsid w:val="0AFDA0D1"/>
    <w:rsid w:val="0B0B84C4"/>
    <w:rsid w:val="0C5C6302"/>
    <w:rsid w:val="0CAC0CD2"/>
    <w:rsid w:val="0CD2B54B"/>
    <w:rsid w:val="0E73EE14"/>
    <w:rsid w:val="0ECF9955"/>
    <w:rsid w:val="0ED38ACC"/>
    <w:rsid w:val="0F1C2827"/>
    <w:rsid w:val="1007E70C"/>
    <w:rsid w:val="100CF156"/>
    <w:rsid w:val="1011AC1B"/>
    <w:rsid w:val="101A62EF"/>
    <w:rsid w:val="106B69B6"/>
    <w:rsid w:val="106F5B2D"/>
    <w:rsid w:val="10A9C776"/>
    <w:rsid w:val="10BE8D52"/>
    <w:rsid w:val="115C057B"/>
    <w:rsid w:val="115F2CA9"/>
    <w:rsid w:val="1196A66C"/>
    <w:rsid w:val="133276CD"/>
    <w:rsid w:val="14E1B8A7"/>
    <w:rsid w:val="1543F1F2"/>
    <w:rsid w:val="15CEB6A4"/>
    <w:rsid w:val="168C6A08"/>
    <w:rsid w:val="168FD97E"/>
    <w:rsid w:val="16A3D387"/>
    <w:rsid w:val="18C7091D"/>
    <w:rsid w:val="19491F11"/>
    <w:rsid w:val="1B3948BF"/>
    <w:rsid w:val="1B4D8A0E"/>
    <w:rsid w:val="1C2010CE"/>
    <w:rsid w:val="1C830BA2"/>
    <w:rsid w:val="1CD51920"/>
    <w:rsid w:val="1CD8A5F0"/>
    <w:rsid w:val="1E2A0C62"/>
    <w:rsid w:val="1E492718"/>
    <w:rsid w:val="1E72D727"/>
    <w:rsid w:val="1E7B8DFB"/>
    <w:rsid w:val="1ED07147"/>
    <w:rsid w:val="1ED2F6A4"/>
    <w:rsid w:val="200EA788"/>
    <w:rsid w:val="21146408"/>
    <w:rsid w:val="21676EC2"/>
    <w:rsid w:val="21B388AD"/>
    <w:rsid w:val="21CB59FE"/>
    <w:rsid w:val="22691366"/>
    <w:rsid w:val="228F5252"/>
    <w:rsid w:val="229FC2A3"/>
    <w:rsid w:val="22B03469"/>
    <w:rsid w:val="2360081F"/>
    <w:rsid w:val="237DF7E4"/>
    <w:rsid w:val="238DA7B1"/>
    <w:rsid w:val="244B56BE"/>
    <w:rsid w:val="24EA0631"/>
    <w:rsid w:val="24EC587E"/>
    <w:rsid w:val="2503DD4E"/>
    <w:rsid w:val="255ACF25"/>
    <w:rsid w:val="25E7D52B"/>
    <w:rsid w:val="26E496F3"/>
    <w:rsid w:val="287EA172"/>
    <w:rsid w:val="297FDF0C"/>
    <w:rsid w:val="299E009B"/>
    <w:rsid w:val="2B5947B5"/>
    <w:rsid w:val="2C165BED"/>
    <w:rsid w:val="2C56C833"/>
    <w:rsid w:val="2C837AAC"/>
    <w:rsid w:val="2CC97B5A"/>
    <w:rsid w:val="2D8B6C14"/>
    <w:rsid w:val="2DC75CB5"/>
    <w:rsid w:val="2DF2E710"/>
    <w:rsid w:val="2DF4F870"/>
    <w:rsid w:val="2E7171BE"/>
    <w:rsid w:val="2F35B8B0"/>
    <w:rsid w:val="2F8EB771"/>
    <w:rsid w:val="2FC14499"/>
    <w:rsid w:val="308926E5"/>
    <w:rsid w:val="30F65526"/>
    <w:rsid w:val="3120D807"/>
    <w:rsid w:val="315D14FA"/>
    <w:rsid w:val="319CEC7D"/>
    <w:rsid w:val="31C88939"/>
    <w:rsid w:val="3264E2E3"/>
    <w:rsid w:val="3274E352"/>
    <w:rsid w:val="33262BD9"/>
    <w:rsid w:val="334EF732"/>
    <w:rsid w:val="342E7540"/>
    <w:rsid w:val="35032E42"/>
    <w:rsid w:val="3562D022"/>
    <w:rsid w:val="36B7B174"/>
    <w:rsid w:val="3721E0B1"/>
    <w:rsid w:val="375E20B3"/>
    <w:rsid w:val="38F9F114"/>
    <w:rsid w:val="390C16F7"/>
    <w:rsid w:val="39D2A7E9"/>
    <w:rsid w:val="3A3778E6"/>
    <w:rsid w:val="3B81650C"/>
    <w:rsid w:val="3B83EF25"/>
    <w:rsid w:val="3BAB1EBA"/>
    <w:rsid w:val="3BAE78B9"/>
    <w:rsid w:val="3C4C5862"/>
    <w:rsid w:val="3C7527FF"/>
    <w:rsid w:val="3E10F860"/>
    <w:rsid w:val="3E1F16A1"/>
    <w:rsid w:val="3EC145E5"/>
    <w:rsid w:val="3F01954C"/>
    <w:rsid w:val="3F77C8B9"/>
    <w:rsid w:val="3F937926"/>
    <w:rsid w:val="3FACC8C1"/>
    <w:rsid w:val="3FBDB915"/>
    <w:rsid w:val="40E8E9BB"/>
    <w:rsid w:val="411D7738"/>
    <w:rsid w:val="41489922"/>
    <w:rsid w:val="417BEF53"/>
    <w:rsid w:val="419A388F"/>
    <w:rsid w:val="41C723D0"/>
    <w:rsid w:val="4242758F"/>
    <w:rsid w:val="428802A5"/>
    <w:rsid w:val="44B5B421"/>
    <w:rsid w:val="44F29D94"/>
    <w:rsid w:val="44F9C0D1"/>
    <w:rsid w:val="45AA535B"/>
    <w:rsid w:val="463A4718"/>
    <w:rsid w:val="4663D92C"/>
    <w:rsid w:val="481E1775"/>
    <w:rsid w:val="486448CA"/>
    <w:rsid w:val="487ED7C1"/>
    <w:rsid w:val="496282A5"/>
    <w:rsid w:val="497391E7"/>
    <w:rsid w:val="4A862BBD"/>
    <w:rsid w:val="4ABF9EB9"/>
    <w:rsid w:val="4AEDE846"/>
    <w:rsid w:val="4BA1F137"/>
    <w:rsid w:val="4BCA15FE"/>
    <w:rsid w:val="4C58D3D1"/>
    <w:rsid w:val="4CD07FE1"/>
    <w:rsid w:val="4CE18F23"/>
    <w:rsid w:val="4D65E65F"/>
    <w:rsid w:val="4DCB463C"/>
    <w:rsid w:val="4F4C4EE3"/>
    <w:rsid w:val="4F537735"/>
    <w:rsid w:val="50192340"/>
    <w:rsid w:val="51E0315F"/>
    <w:rsid w:val="5218756B"/>
    <w:rsid w:val="52395782"/>
    <w:rsid w:val="5453B291"/>
    <w:rsid w:val="54DBB0FE"/>
    <w:rsid w:val="55275128"/>
    <w:rsid w:val="552B9CE4"/>
    <w:rsid w:val="583ED1D6"/>
    <w:rsid w:val="5849C0EB"/>
    <w:rsid w:val="587E9B74"/>
    <w:rsid w:val="597B1A0A"/>
    <w:rsid w:val="5A5EFD22"/>
    <w:rsid w:val="5AB17D56"/>
    <w:rsid w:val="5AC50E64"/>
    <w:rsid w:val="5ACA0BBF"/>
    <w:rsid w:val="5B5A8916"/>
    <w:rsid w:val="5CA744D4"/>
    <w:rsid w:val="5DC52FEB"/>
    <w:rsid w:val="5E4E90F6"/>
    <w:rsid w:val="5F17DA8A"/>
    <w:rsid w:val="60780248"/>
    <w:rsid w:val="60D41F5B"/>
    <w:rsid w:val="6213D2A9"/>
    <w:rsid w:val="6244490B"/>
    <w:rsid w:val="62B443B9"/>
    <w:rsid w:val="63AFA30A"/>
    <w:rsid w:val="63EF7167"/>
    <w:rsid w:val="64767F2E"/>
    <w:rsid w:val="64A83164"/>
    <w:rsid w:val="654A0097"/>
    <w:rsid w:val="662B773F"/>
    <w:rsid w:val="677C28BD"/>
    <w:rsid w:val="67894599"/>
    <w:rsid w:val="6917F91E"/>
    <w:rsid w:val="6928E83D"/>
    <w:rsid w:val="6957FC16"/>
    <w:rsid w:val="6960E089"/>
    <w:rsid w:val="69FB7806"/>
    <w:rsid w:val="6AC09FCB"/>
    <w:rsid w:val="6AE0B2D3"/>
    <w:rsid w:val="6B4D0F59"/>
    <w:rsid w:val="6B95163D"/>
    <w:rsid w:val="6C191668"/>
    <w:rsid w:val="6C77D205"/>
    <w:rsid w:val="6D6EF98F"/>
    <w:rsid w:val="6E18778F"/>
    <w:rsid w:val="6E41A69F"/>
    <w:rsid w:val="6ED7BA80"/>
    <w:rsid w:val="6FAF72C7"/>
    <w:rsid w:val="70013D2A"/>
    <w:rsid w:val="70245183"/>
    <w:rsid w:val="716A5ED7"/>
    <w:rsid w:val="724CF69A"/>
    <w:rsid w:val="73634D96"/>
    <w:rsid w:val="7372C6D4"/>
    <w:rsid w:val="74502C31"/>
    <w:rsid w:val="746479FE"/>
    <w:rsid w:val="746DC752"/>
    <w:rsid w:val="749C90E0"/>
    <w:rsid w:val="750E9735"/>
    <w:rsid w:val="753BDDB3"/>
    <w:rsid w:val="756897EF"/>
    <w:rsid w:val="759A2342"/>
    <w:rsid w:val="770E85C7"/>
    <w:rsid w:val="77D9A05B"/>
    <w:rsid w:val="77F4CEE2"/>
    <w:rsid w:val="7812FFAF"/>
    <w:rsid w:val="78F6B826"/>
    <w:rsid w:val="791B60CD"/>
    <w:rsid w:val="797570BC"/>
    <w:rsid w:val="7A48C1D2"/>
    <w:rsid w:val="7BD0249B"/>
    <w:rsid w:val="7C5DA02C"/>
    <w:rsid w:val="7CDEDFF0"/>
    <w:rsid w:val="7D806294"/>
    <w:rsid w:val="7E7AB051"/>
    <w:rsid w:val="7F1D4673"/>
    <w:rsid w:val="7F1D8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BB4F"/>
  <w15:docId w15:val="{CD81C192-C851-4C2E-AED5-799463FF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88"/>
    <w:rPr>
      <w:kern w:val="2"/>
      <w14:ligatures w14:val="standardContextual"/>
    </w:rPr>
  </w:style>
  <w:style w:type="paragraph" w:styleId="Heading1">
    <w:name w:val="heading 1"/>
    <w:basedOn w:val="Normal"/>
    <w:next w:val="Normal"/>
    <w:link w:val="Heading1Char"/>
    <w:uiPriority w:val="9"/>
    <w:qFormat/>
    <w:rsid w:val="00D17CBD"/>
    <w:pPr>
      <w:keepNext/>
      <w:keepLines/>
      <w:spacing w:before="360" w:after="12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17CBD"/>
    <w:pPr>
      <w:keepNext/>
      <w:keepLines/>
      <w:spacing w:before="200" w:after="0"/>
      <w:outlineLvl w:val="1"/>
    </w:pPr>
    <w:rPr>
      <w:rFonts w:ascii="Arial" w:eastAsiaTheme="majorEastAsia" w:hAnsi="Arial" w:cstheme="majorBidi"/>
      <w:bCs/>
      <w:sz w:val="28"/>
      <w:szCs w:val="26"/>
    </w:rPr>
  </w:style>
  <w:style w:type="paragraph" w:styleId="Heading3">
    <w:name w:val="heading 3"/>
    <w:basedOn w:val="Normal"/>
    <w:next w:val="Normal"/>
    <w:link w:val="Heading3Char"/>
    <w:uiPriority w:val="9"/>
    <w:unhideWhenUsed/>
    <w:qFormat/>
    <w:rsid w:val="00D17CBD"/>
    <w:pPr>
      <w:keepNext/>
      <w:keepLines/>
      <w:spacing w:before="320" w:after="120"/>
      <w:outlineLvl w:val="2"/>
    </w:pPr>
    <w:rPr>
      <w:rFonts w:ascii="Arial" w:eastAsiaTheme="majorEastAsia" w:hAnsi="Arial" w:cstheme="majorBidi"/>
      <w:b/>
      <w:bCs/>
      <w:sz w:val="24"/>
      <w:u w:val="single"/>
    </w:rPr>
  </w:style>
  <w:style w:type="paragraph" w:styleId="Heading4">
    <w:name w:val="heading 4"/>
    <w:basedOn w:val="Normal"/>
    <w:next w:val="Normal"/>
    <w:link w:val="Heading4Char"/>
    <w:uiPriority w:val="9"/>
    <w:semiHidden/>
    <w:unhideWhenUsed/>
    <w:qFormat/>
    <w:rsid w:val="00D17C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CE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5CEC"/>
  </w:style>
  <w:style w:type="paragraph" w:styleId="Footer">
    <w:name w:val="footer"/>
    <w:basedOn w:val="Normal"/>
    <w:link w:val="FooterChar"/>
    <w:uiPriority w:val="99"/>
    <w:unhideWhenUsed/>
    <w:rsid w:val="00F75CE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5CEC"/>
  </w:style>
  <w:style w:type="table" w:styleId="TableGrid">
    <w:name w:val="Table Grid"/>
    <w:basedOn w:val="TableNormal"/>
    <w:uiPriority w:val="39"/>
    <w:rsid w:val="00F7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75CEC"/>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15"/>
      <w:lang w:eastAsia="fr-FR"/>
    </w:rPr>
  </w:style>
  <w:style w:type="character" w:customStyle="1" w:styleId="BodyTextChar">
    <w:name w:val="Body Text Char"/>
    <w:basedOn w:val="DefaultParagraphFont"/>
    <w:link w:val="BodyText"/>
    <w:rsid w:val="00F75CEC"/>
    <w:rPr>
      <w:rFonts w:ascii="Times New Roman" w:eastAsia="Times New Roman" w:hAnsi="Times New Roman" w:cs="Times New Roman"/>
      <w:noProof/>
      <w:sz w:val="24"/>
      <w:szCs w:val="15"/>
      <w:lang w:val="en-GB" w:eastAsia="fr-FR"/>
    </w:rPr>
  </w:style>
  <w:style w:type="character" w:styleId="Hyperlink">
    <w:name w:val="Hyperlink"/>
    <w:uiPriority w:val="99"/>
    <w:rsid w:val="00F75CEC"/>
    <w:rPr>
      <w:color w:val="0000FF"/>
      <w:u w:val="single"/>
    </w:rPr>
  </w:style>
  <w:style w:type="paragraph" w:styleId="BalloonText">
    <w:name w:val="Balloon Text"/>
    <w:basedOn w:val="Normal"/>
    <w:link w:val="BalloonTextChar"/>
    <w:uiPriority w:val="99"/>
    <w:semiHidden/>
    <w:unhideWhenUsed/>
    <w:rsid w:val="00F8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CA"/>
    <w:rPr>
      <w:rFonts w:ascii="Segoe UI" w:hAnsi="Segoe UI" w:cs="Segoe UI"/>
      <w:sz w:val="18"/>
      <w:szCs w:val="18"/>
    </w:rPr>
  </w:style>
  <w:style w:type="paragraph" w:styleId="ListParagraph">
    <w:name w:val="List Paragraph"/>
    <w:basedOn w:val="Normal"/>
    <w:uiPriority w:val="34"/>
    <w:qFormat/>
    <w:rsid w:val="0068319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4"/>
      <w:szCs w:val="24"/>
      <w:lang w:eastAsia="fr-FR"/>
    </w:rPr>
  </w:style>
  <w:style w:type="paragraph" w:styleId="FootnoteText">
    <w:name w:val="footnote text"/>
    <w:basedOn w:val="Normal"/>
    <w:link w:val="FootnoteTextChar"/>
    <w:uiPriority w:val="99"/>
    <w:rsid w:val="0068319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fr-FR"/>
    </w:rPr>
  </w:style>
  <w:style w:type="character" w:customStyle="1" w:styleId="FootnoteTextChar">
    <w:name w:val="Footnote Text Char"/>
    <w:basedOn w:val="DefaultParagraphFont"/>
    <w:link w:val="FootnoteText"/>
    <w:uiPriority w:val="99"/>
    <w:rsid w:val="0068319A"/>
    <w:rPr>
      <w:rFonts w:ascii="Times New Roman" w:eastAsia="Times New Roman" w:hAnsi="Times New Roman" w:cs="Times New Roman"/>
      <w:noProof/>
      <w:sz w:val="20"/>
      <w:szCs w:val="20"/>
      <w:lang w:val="en-GB" w:eastAsia="fr-FR"/>
    </w:rPr>
  </w:style>
  <w:style w:type="character" w:styleId="FootnoteReference">
    <w:name w:val="footnote reference"/>
    <w:basedOn w:val="DefaultParagraphFont"/>
    <w:uiPriority w:val="99"/>
    <w:rsid w:val="0068319A"/>
    <w:rPr>
      <w:vertAlign w:val="superscript"/>
    </w:rPr>
  </w:style>
  <w:style w:type="paragraph" w:customStyle="1" w:styleId="xmsonormal">
    <w:name w:val="xmsonormal"/>
    <w:basedOn w:val="Normal"/>
    <w:rsid w:val="00CF1E0B"/>
    <w:pPr>
      <w:spacing w:before="100" w:beforeAutospacing="1" w:after="100" w:afterAutospacing="1" w:line="240" w:lineRule="auto"/>
    </w:pPr>
    <w:rPr>
      <w:rFonts w:ascii="Calibri" w:hAnsi="Calibri" w:cs="Calibri"/>
    </w:rPr>
  </w:style>
  <w:style w:type="paragraph" w:customStyle="1" w:styleId="xmsolistparagraph">
    <w:name w:val="xmsolistparagraph"/>
    <w:basedOn w:val="Normal"/>
    <w:rsid w:val="00CF1E0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CF1E0B"/>
    <w:rPr>
      <w:color w:val="605E5C"/>
      <w:shd w:val="clear" w:color="auto" w:fill="E1DFDD"/>
    </w:rPr>
  </w:style>
  <w:style w:type="character" w:customStyle="1" w:styleId="Heading1Char">
    <w:name w:val="Heading 1 Char"/>
    <w:basedOn w:val="DefaultParagraphFont"/>
    <w:link w:val="Heading1"/>
    <w:uiPriority w:val="9"/>
    <w:rsid w:val="00D17CBD"/>
    <w:rPr>
      <w:rFonts w:ascii="Arial" w:eastAsiaTheme="majorEastAsia" w:hAnsi="Arial" w:cstheme="majorBidi"/>
      <w:b/>
      <w:bCs/>
      <w:sz w:val="28"/>
      <w:szCs w:val="28"/>
      <w:lang w:val="en-GB"/>
    </w:rPr>
  </w:style>
  <w:style w:type="character" w:customStyle="1" w:styleId="Heading2Char">
    <w:name w:val="Heading 2 Char"/>
    <w:basedOn w:val="DefaultParagraphFont"/>
    <w:link w:val="Heading2"/>
    <w:uiPriority w:val="9"/>
    <w:rsid w:val="00D17CBD"/>
    <w:rPr>
      <w:rFonts w:ascii="Arial" w:eastAsiaTheme="majorEastAsia" w:hAnsi="Arial" w:cstheme="majorBidi"/>
      <w:bCs/>
      <w:sz w:val="28"/>
      <w:szCs w:val="26"/>
      <w:lang w:val="en-GB"/>
    </w:rPr>
  </w:style>
  <w:style w:type="character" w:customStyle="1" w:styleId="Heading3Char">
    <w:name w:val="Heading 3 Char"/>
    <w:basedOn w:val="DefaultParagraphFont"/>
    <w:link w:val="Heading3"/>
    <w:uiPriority w:val="9"/>
    <w:rsid w:val="00D17CBD"/>
    <w:rPr>
      <w:rFonts w:ascii="Arial" w:eastAsiaTheme="majorEastAsia" w:hAnsi="Arial" w:cstheme="majorBidi"/>
      <w:b/>
      <w:bCs/>
      <w:sz w:val="24"/>
      <w:u w:val="single"/>
      <w:lang w:val="en-GB"/>
    </w:rPr>
  </w:style>
  <w:style w:type="character" w:customStyle="1" w:styleId="Heading4Char">
    <w:name w:val="Heading 4 Char"/>
    <w:basedOn w:val="DefaultParagraphFont"/>
    <w:link w:val="Heading4"/>
    <w:uiPriority w:val="9"/>
    <w:semiHidden/>
    <w:rsid w:val="00D17CBD"/>
    <w:rPr>
      <w:rFonts w:asciiTheme="majorHAnsi" w:eastAsiaTheme="majorEastAsia" w:hAnsiTheme="majorHAnsi" w:cstheme="majorBidi"/>
      <w:i/>
      <w:iCs/>
      <w:color w:val="2E74B5" w:themeColor="accent1" w:themeShade="BF"/>
      <w:lang w:val="en-GB"/>
    </w:rPr>
  </w:style>
  <w:style w:type="paragraph" w:styleId="TOCHeading">
    <w:name w:val="TOC Heading"/>
    <w:basedOn w:val="Heading1"/>
    <w:next w:val="Normal"/>
    <w:uiPriority w:val="39"/>
    <w:semiHidden/>
    <w:unhideWhenUsed/>
    <w:qFormat/>
    <w:rsid w:val="00D17CBD"/>
    <w:pPr>
      <w:spacing w:line="276" w:lineRule="auto"/>
      <w:outlineLvl w:val="9"/>
    </w:pPr>
    <w:rPr>
      <w:lang w:eastAsia="ja-JP"/>
    </w:rPr>
  </w:style>
  <w:style w:type="paragraph" w:styleId="TOC1">
    <w:name w:val="toc 1"/>
    <w:basedOn w:val="Normal"/>
    <w:next w:val="Normal"/>
    <w:autoRedefine/>
    <w:uiPriority w:val="39"/>
    <w:unhideWhenUsed/>
    <w:qFormat/>
    <w:rsid w:val="00D17CBD"/>
    <w:pPr>
      <w:spacing w:after="100"/>
    </w:pPr>
  </w:style>
  <w:style w:type="paragraph" w:styleId="TOC2">
    <w:name w:val="toc 2"/>
    <w:basedOn w:val="Normal"/>
    <w:next w:val="Normal"/>
    <w:autoRedefine/>
    <w:uiPriority w:val="39"/>
    <w:unhideWhenUsed/>
    <w:qFormat/>
    <w:rsid w:val="00D17CBD"/>
    <w:pPr>
      <w:tabs>
        <w:tab w:val="right" w:leader="dot" w:pos="9743"/>
      </w:tabs>
      <w:spacing w:after="100"/>
      <w:ind w:left="220"/>
    </w:pPr>
  </w:style>
  <w:style w:type="paragraph" w:styleId="TOC3">
    <w:name w:val="toc 3"/>
    <w:basedOn w:val="Normal"/>
    <w:next w:val="Normal"/>
    <w:autoRedefine/>
    <w:uiPriority w:val="39"/>
    <w:unhideWhenUsed/>
    <w:qFormat/>
    <w:rsid w:val="00D17CBD"/>
    <w:pPr>
      <w:spacing w:after="100"/>
      <w:ind w:left="440"/>
    </w:pPr>
  </w:style>
  <w:style w:type="character" w:styleId="CommentReference">
    <w:name w:val="annotation reference"/>
    <w:basedOn w:val="DefaultParagraphFont"/>
    <w:uiPriority w:val="99"/>
    <w:semiHidden/>
    <w:unhideWhenUsed/>
    <w:rsid w:val="00D17CBD"/>
    <w:rPr>
      <w:sz w:val="16"/>
      <w:szCs w:val="16"/>
    </w:rPr>
  </w:style>
  <w:style w:type="paragraph" w:styleId="CommentText">
    <w:name w:val="annotation text"/>
    <w:basedOn w:val="Normal"/>
    <w:link w:val="CommentTextChar"/>
    <w:uiPriority w:val="99"/>
    <w:unhideWhenUsed/>
    <w:rsid w:val="00D17CBD"/>
    <w:pPr>
      <w:spacing w:line="240" w:lineRule="auto"/>
    </w:pPr>
    <w:rPr>
      <w:sz w:val="20"/>
      <w:szCs w:val="20"/>
    </w:rPr>
  </w:style>
  <w:style w:type="character" w:customStyle="1" w:styleId="CommentTextChar">
    <w:name w:val="Comment Text Char"/>
    <w:basedOn w:val="DefaultParagraphFont"/>
    <w:link w:val="CommentText"/>
    <w:uiPriority w:val="99"/>
    <w:rsid w:val="00D17CBD"/>
    <w:rPr>
      <w:sz w:val="20"/>
      <w:szCs w:val="20"/>
      <w:lang w:val="en-GB"/>
    </w:rPr>
  </w:style>
  <w:style w:type="paragraph" w:styleId="CommentSubject">
    <w:name w:val="annotation subject"/>
    <w:basedOn w:val="CommentText"/>
    <w:next w:val="CommentText"/>
    <w:link w:val="CommentSubjectChar"/>
    <w:uiPriority w:val="99"/>
    <w:semiHidden/>
    <w:unhideWhenUsed/>
    <w:rsid w:val="00D17CBD"/>
    <w:rPr>
      <w:b/>
      <w:bCs/>
    </w:rPr>
  </w:style>
  <w:style w:type="character" w:customStyle="1" w:styleId="CommentSubjectChar">
    <w:name w:val="Comment Subject Char"/>
    <w:basedOn w:val="CommentTextChar"/>
    <w:link w:val="CommentSubject"/>
    <w:uiPriority w:val="99"/>
    <w:semiHidden/>
    <w:rsid w:val="00D17CBD"/>
    <w:rPr>
      <w:b/>
      <w:bCs/>
      <w:sz w:val="20"/>
      <w:szCs w:val="20"/>
      <w:lang w:val="en-GB"/>
    </w:rPr>
  </w:style>
  <w:style w:type="paragraph" w:styleId="NormalWeb">
    <w:name w:val="Normal (Web)"/>
    <w:basedOn w:val="Normal"/>
    <w:uiPriority w:val="99"/>
    <w:unhideWhenUsed/>
    <w:rsid w:val="00D17CBD"/>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D17CBD"/>
    <w:pPr>
      <w:spacing w:after="0" w:line="240" w:lineRule="auto"/>
    </w:pPr>
  </w:style>
  <w:style w:type="character" w:styleId="Strong">
    <w:name w:val="Strong"/>
    <w:basedOn w:val="DefaultParagraphFont"/>
    <w:uiPriority w:val="22"/>
    <w:qFormat/>
    <w:rsid w:val="00D17CBD"/>
    <w:rPr>
      <w:b/>
      <w:bCs/>
    </w:rPr>
  </w:style>
  <w:style w:type="character" w:customStyle="1" w:styleId="apple-converted-space">
    <w:name w:val="apple-converted-space"/>
    <w:basedOn w:val="DefaultParagraphFont"/>
    <w:rsid w:val="00D17CBD"/>
  </w:style>
  <w:style w:type="character" w:styleId="FollowedHyperlink">
    <w:name w:val="FollowedHyperlink"/>
    <w:basedOn w:val="DefaultParagraphFont"/>
    <w:uiPriority w:val="99"/>
    <w:semiHidden/>
    <w:unhideWhenUsed/>
    <w:rsid w:val="00D17CBD"/>
    <w:rPr>
      <w:color w:val="954F72" w:themeColor="followedHyperlink"/>
      <w:u w:val="single"/>
    </w:rPr>
  </w:style>
  <w:style w:type="character" w:customStyle="1" w:styleId="UnresolvedMention1">
    <w:name w:val="Unresolved Mention1"/>
    <w:basedOn w:val="DefaultParagraphFont"/>
    <w:uiPriority w:val="99"/>
    <w:semiHidden/>
    <w:unhideWhenUsed/>
    <w:rsid w:val="00D17CBD"/>
    <w:rPr>
      <w:color w:val="808080"/>
      <w:shd w:val="clear" w:color="auto" w:fill="E6E6E6"/>
    </w:rPr>
  </w:style>
  <w:style w:type="paragraph" w:customStyle="1" w:styleId="ListParagraph2">
    <w:name w:val="List Paragraph2"/>
    <w:basedOn w:val="Normal"/>
    <w:uiPriority w:val="34"/>
    <w:qFormat/>
    <w:rsid w:val="00D17CB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D17CBD"/>
    <w:rPr>
      <w:i/>
      <w:iCs/>
    </w:rPr>
  </w:style>
  <w:style w:type="paragraph" w:styleId="NoSpacing">
    <w:name w:val="No Spacing"/>
    <w:link w:val="NoSpacingChar"/>
    <w:uiPriority w:val="1"/>
    <w:qFormat/>
    <w:rsid w:val="00D17CBD"/>
    <w:pPr>
      <w:spacing w:after="0" w:line="240" w:lineRule="auto"/>
    </w:pPr>
    <w:rPr>
      <w:rFonts w:eastAsiaTheme="minorEastAsia"/>
    </w:rPr>
  </w:style>
  <w:style w:type="character" w:customStyle="1" w:styleId="NoSpacingChar">
    <w:name w:val="No Spacing Char"/>
    <w:basedOn w:val="DefaultParagraphFont"/>
    <w:link w:val="NoSpacing"/>
    <w:uiPriority w:val="1"/>
    <w:rsid w:val="00D17CBD"/>
    <w:rPr>
      <w:rFonts w:eastAsiaTheme="minorEastAsia"/>
    </w:rPr>
  </w:style>
  <w:style w:type="paragraph" w:styleId="PlainText">
    <w:name w:val="Plain Text"/>
    <w:basedOn w:val="Normal"/>
    <w:link w:val="PlainTextChar"/>
    <w:uiPriority w:val="99"/>
    <w:unhideWhenUsed/>
    <w:rsid w:val="00D17C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CBD"/>
    <w:rPr>
      <w:rFonts w:ascii="Calibri" w:hAnsi="Calibri"/>
      <w:szCs w:val="21"/>
      <w:lang w:val="en-GB"/>
    </w:rPr>
  </w:style>
  <w:style w:type="paragraph" w:customStyle="1" w:styleId="xmsonormal0">
    <w:name w:val="x_msonormal"/>
    <w:basedOn w:val="Normal"/>
    <w:rsid w:val="00D17CBD"/>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D17CBD"/>
    <w:rPr>
      <w:color w:val="605E5C"/>
      <w:shd w:val="clear" w:color="auto" w:fill="E1DFDD"/>
    </w:rPr>
  </w:style>
  <w:style w:type="character" w:customStyle="1" w:styleId="markedcontent">
    <w:name w:val="markedcontent"/>
    <w:basedOn w:val="DefaultParagraphFont"/>
    <w:rsid w:val="00D17CBD"/>
  </w:style>
  <w:style w:type="paragraph" w:customStyle="1" w:styleId="paragraph">
    <w:name w:val="paragraph"/>
    <w:basedOn w:val="Normal"/>
    <w:rsid w:val="00D1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7CBD"/>
  </w:style>
  <w:style w:type="character" w:customStyle="1" w:styleId="eop">
    <w:name w:val="eop"/>
    <w:basedOn w:val="DefaultParagraphFont"/>
    <w:rsid w:val="00D17CBD"/>
  </w:style>
  <w:style w:type="character" w:customStyle="1" w:styleId="superscript">
    <w:name w:val="superscript"/>
    <w:basedOn w:val="DefaultParagraphFont"/>
    <w:rsid w:val="00D17CBD"/>
  </w:style>
  <w:style w:type="character" w:customStyle="1" w:styleId="doceo-font-family-base">
    <w:name w:val="doceo-font-family-base"/>
    <w:basedOn w:val="DefaultParagraphFont"/>
    <w:rsid w:val="0064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3789">
      <w:bodyDiv w:val="1"/>
      <w:marLeft w:val="0"/>
      <w:marRight w:val="0"/>
      <w:marTop w:val="0"/>
      <w:marBottom w:val="0"/>
      <w:divBdr>
        <w:top w:val="none" w:sz="0" w:space="0" w:color="auto"/>
        <w:left w:val="none" w:sz="0" w:space="0" w:color="auto"/>
        <w:bottom w:val="none" w:sz="0" w:space="0" w:color="auto"/>
        <w:right w:val="none" w:sz="0" w:space="0" w:color="auto"/>
      </w:divBdr>
    </w:div>
    <w:div w:id="603349012">
      <w:bodyDiv w:val="1"/>
      <w:marLeft w:val="0"/>
      <w:marRight w:val="0"/>
      <w:marTop w:val="0"/>
      <w:marBottom w:val="0"/>
      <w:divBdr>
        <w:top w:val="none" w:sz="0" w:space="0" w:color="auto"/>
        <w:left w:val="none" w:sz="0" w:space="0" w:color="auto"/>
        <w:bottom w:val="none" w:sz="0" w:space="0" w:color="auto"/>
        <w:right w:val="none" w:sz="0" w:space="0" w:color="auto"/>
      </w:divBdr>
    </w:div>
    <w:div w:id="664629752">
      <w:bodyDiv w:val="1"/>
      <w:marLeft w:val="0"/>
      <w:marRight w:val="0"/>
      <w:marTop w:val="0"/>
      <w:marBottom w:val="0"/>
      <w:divBdr>
        <w:top w:val="none" w:sz="0" w:space="0" w:color="auto"/>
        <w:left w:val="none" w:sz="0" w:space="0" w:color="auto"/>
        <w:bottom w:val="none" w:sz="0" w:space="0" w:color="auto"/>
        <w:right w:val="none" w:sz="0" w:space="0" w:color="auto"/>
      </w:divBdr>
    </w:div>
    <w:div w:id="752972704">
      <w:bodyDiv w:val="1"/>
      <w:marLeft w:val="0"/>
      <w:marRight w:val="0"/>
      <w:marTop w:val="0"/>
      <w:marBottom w:val="0"/>
      <w:divBdr>
        <w:top w:val="none" w:sz="0" w:space="0" w:color="auto"/>
        <w:left w:val="none" w:sz="0" w:space="0" w:color="auto"/>
        <w:bottom w:val="none" w:sz="0" w:space="0" w:color="auto"/>
        <w:right w:val="none" w:sz="0" w:space="0" w:color="auto"/>
      </w:divBdr>
      <w:divsChild>
        <w:div w:id="1554006574">
          <w:marLeft w:val="0"/>
          <w:marRight w:val="0"/>
          <w:marTop w:val="0"/>
          <w:marBottom w:val="0"/>
          <w:divBdr>
            <w:top w:val="none" w:sz="0" w:space="0" w:color="auto"/>
            <w:left w:val="none" w:sz="0" w:space="0" w:color="auto"/>
            <w:bottom w:val="none" w:sz="0" w:space="0" w:color="auto"/>
            <w:right w:val="none" w:sz="0" w:space="0" w:color="auto"/>
          </w:divBdr>
        </w:div>
        <w:div w:id="24795005">
          <w:marLeft w:val="0"/>
          <w:marRight w:val="0"/>
          <w:marTop w:val="0"/>
          <w:marBottom w:val="0"/>
          <w:divBdr>
            <w:top w:val="none" w:sz="0" w:space="0" w:color="auto"/>
            <w:left w:val="none" w:sz="0" w:space="0" w:color="auto"/>
            <w:bottom w:val="none" w:sz="0" w:space="0" w:color="auto"/>
            <w:right w:val="none" w:sz="0" w:space="0" w:color="auto"/>
          </w:divBdr>
        </w:div>
        <w:div w:id="66271177">
          <w:marLeft w:val="0"/>
          <w:marRight w:val="0"/>
          <w:marTop w:val="0"/>
          <w:marBottom w:val="0"/>
          <w:divBdr>
            <w:top w:val="none" w:sz="0" w:space="0" w:color="auto"/>
            <w:left w:val="none" w:sz="0" w:space="0" w:color="auto"/>
            <w:bottom w:val="none" w:sz="0" w:space="0" w:color="auto"/>
            <w:right w:val="none" w:sz="0" w:space="0" w:color="auto"/>
          </w:divBdr>
        </w:div>
      </w:divsChild>
    </w:div>
    <w:div w:id="1383596813">
      <w:bodyDiv w:val="1"/>
      <w:marLeft w:val="0"/>
      <w:marRight w:val="0"/>
      <w:marTop w:val="0"/>
      <w:marBottom w:val="0"/>
      <w:divBdr>
        <w:top w:val="none" w:sz="0" w:space="0" w:color="auto"/>
        <w:left w:val="none" w:sz="0" w:space="0" w:color="auto"/>
        <w:bottom w:val="none" w:sz="0" w:space="0" w:color="auto"/>
        <w:right w:val="none" w:sz="0" w:space="0" w:color="auto"/>
      </w:divBdr>
      <w:divsChild>
        <w:div w:id="1007951407">
          <w:marLeft w:val="0"/>
          <w:marRight w:val="0"/>
          <w:marTop w:val="0"/>
          <w:marBottom w:val="0"/>
          <w:divBdr>
            <w:top w:val="none" w:sz="0" w:space="0" w:color="auto"/>
            <w:left w:val="none" w:sz="0" w:space="0" w:color="auto"/>
            <w:bottom w:val="none" w:sz="0" w:space="0" w:color="auto"/>
            <w:right w:val="none" w:sz="0" w:space="0" w:color="auto"/>
          </w:divBdr>
        </w:div>
        <w:div w:id="53965581">
          <w:marLeft w:val="0"/>
          <w:marRight w:val="0"/>
          <w:marTop w:val="0"/>
          <w:marBottom w:val="0"/>
          <w:divBdr>
            <w:top w:val="none" w:sz="0" w:space="0" w:color="auto"/>
            <w:left w:val="none" w:sz="0" w:space="0" w:color="auto"/>
            <w:bottom w:val="none" w:sz="0" w:space="0" w:color="auto"/>
            <w:right w:val="none" w:sz="0" w:space="0" w:color="auto"/>
          </w:divBdr>
        </w:div>
        <w:div w:id="1645767985">
          <w:marLeft w:val="0"/>
          <w:marRight w:val="0"/>
          <w:marTop w:val="0"/>
          <w:marBottom w:val="0"/>
          <w:divBdr>
            <w:top w:val="none" w:sz="0" w:space="0" w:color="auto"/>
            <w:left w:val="none" w:sz="0" w:space="0" w:color="auto"/>
            <w:bottom w:val="none" w:sz="0" w:space="0" w:color="auto"/>
            <w:right w:val="none" w:sz="0" w:space="0" w:color="auto"/>
          </w:divBdr>
        </w:div>
        <w:div w:id="372772914">
          <w:marLeft w:val="0"/>
          <w:marRight w:val="0"/>
          <w:marTop w:val="0"/>
          <w:marBottom w:val="0"/>
          <w:divBdr>
            <w:top w:val="none" w:sz="0" w:space="0" w:color="auto"/>
            <w:left w:val="none" w:sz="0" w:space="0" w:color="auto"/>
            <w:bottom w:val="none" w:sz="0" w:space="0" w:color="auto"/>
            <w:right w:val="none" w:sz="0" w:space="0" w:color="auto"/>
          </w:divBdr>
        </w:div>
        <w:div w:id="1668903812">
          <w:marLeft w:val="0"/>
          <w:marRight w:val="0"/>
          <w:marTop w:val="0"/>
          <w:marBottom w:val="0"/>
          <w:divBdr>
            <w:top w:val="none" w:sz="0" w:space="0" w:color="auto"/>
            <w:left w:val="none" w:sz="0" w:space="0" w:color="auto"/>
            <w:bottom w:val="none" w:sz="0" w:space="0" w:color="auto"/>
            <w:right w:val="none" w:sz="0" w:space="0" w:color="auto"/>
          </w:divBdr>
        </w:div>
        <w:div w:id="1086730605">
          <w:marLeft w:val="0"/>
          <w:marRight w:val="0"/>
          <w:marTop w:val="0"/>
          <w:marBottom w:val="0"/>
          <w:divBdr>
            <w:top w:val="none" w:sz="0" w:space="0" w:color="auto"/>
            <w:left w:val="none" w:sz="0" w:space="0" w:color="auto"/>
            <w:bottom w:val="none" w:sz="0" w:space="0" w:color="auto"/>
            <w:right w:val="none" w:sz="0" w:space="0" w:color="auto"/>
          </w:divBdr>
        </w:div>
        <w:div w:id="1196116527">
          <w:marLeft w:val="0"/>
          <w:marRight w:val="0"/>
          <w:marTop w:val="0"/>
          <w:marBottom w:val="0"/>
          <w:divBdr>
            <w:top w:val="none" w:sz="0" w:space="0" w:color="auto"/>
            <w:left w:val="none" w:sz="0" w:space="0" w:color="auto"/>
            <w:bottom w:val="none" w:sz="0" w:space="0" w:color="auto"/>
            <w:right w:val="none" w:sz="0" w:space="0" w:color="auto"/>
          </w:divBdr>
        </w:div>
        <w:div w:id="461848626">
          <w:marLeft w:val="0"/>
          <w:marRight w:val="0"/>
          <w:marTop w:val="0"/>
          <w:marBottom w:val="0"/>
          <w:divBdr>
            <w:top w:val="none" w:sz="0" w:space="0" w:color="auto"/>
            <w:left w:val="none" w:sz="0" w:space="0" w:color="auto"/>
            <w:bottom w:val="none" w:sz="0" w:space="0" w:color="auto"/>
            <w:right w:val="none" w:sz="0" w:space="0" w:color="auto"/>
          </w:divBdr>
        </w:div>
        <w:div w:id="1657491415">
          <w:marLeft w:val="0"/>
          <w:marRight w:val="0"/>
          <w:marTop w:val="0"/>
          <w:marBottom w:val="0"/>
          <w:divBdr>
            <w:top w:val="none" w:sz="0" w:space="0" w:color="auto"/>
            <w:left w:val="none" w:sz="0" w:space="0" w:color="auto"/>
            <w:bottom w:val="none" w:sz="0" w:space="0" w:color="auto"/>
            <w:right w:val="none" w:sz="0" w:space="0" w:color="auto"/>
          </w:divBdr>
        </w:div>
        <w:div w:id="90973254">
          <w:marLeft w:val="0"/>
          <w:marRight w:val="0"/>
          <w:marTop w:val="0"/>
          <w:marBottom w:val="0"/>
          <w:divBdr>
            <w:top w:val="none" w:sz="0" w:space="0" w:color="auto"/>
            <w:left w:val="none" w:sz="0" w:space="0" w:color="auto"/>
            <w:bottom w:val="none" w:sz="0" w:space="0" w:color="auto"/>
            <w:right w:val="none" w:sz="0" w:space="0" w:color="auto"/>
          </w:divBdr>
        </w:div>
        <w:div w:id="791703997">
          <w:marLeft w:val="0"/>
          <w:marRight w:val="0"/>
          <w:marTop w:val="0"/>
          <w:marBottom w:val="0"/>
          <w:divBdr>
            <w:top w:val="none" w:sz="0" w:space="0" w:color="auto"/>
            <w:left w:val="none" w:sz="0" w:space="0" w:color="auto"/>
            <w:bottom w:val="none" w:sz="0" w:space="0" w:color="auto"/>
            <w:right w:val="none" w:sz="0" w:space="0" w:color="auto"/>
          </w:divBdr>
        </w:div>
        <w:div w:id="427387424">
          <w:marLeft w:val="0"/>
          <w:marRight w:val="0"/>
          <w:marTop w:val="0"/>
          <w:marBottom w:val="0"/>
          <w:divBdr>
            <w:top w:val="none" w:sz="0" w:space="0" w:color="auto"/>
            <w:left w:val="none" w:sz="0" w:space="0" w:color="auto"/>
            <w:bottom w:val="none" w:sz="0" w:space="0" w:color="auto"/>
            <w:right w:val="none" w:sz="0" w:space="0" w:color="auto"/>
          </w:divBdr>
        </w:div>
        <w:div w:id="1878228562">
          <w:marLeft w:val="0"/>
          <w:marRight w:val="0"/>
          <w:marTop w:val="0"/>
          <w:marBottom w:val="0"/>
          <w:divBdr>
            <w:top w:val="none" w:sz="0" w:space="0" w:color="auto"/>
            <w:left w:val="none" w:sz="0" w:space="0" w:color="auto"/>
            <w:bottom w:val="none" w:sz="0" w:space="0" w:color="auto"/>
            <w:right w:val="none" w:sz="0" w:space="0" w:color="auto"/>
          </w:divBdr>
        </w:div>
        <w:div w:id="1185439630">
          <w:marLeft w:val="0"/>
          <w:marRight w:val="0"/>
          <w:marTop w:val="0"/>
          <w:marBottom w:val="0"/>
          <w:divBdr>
            <w:top w:val="none" w:sz="0" w:space="0" w:color="auto"/>
            <w:left w:val="none" w:sz="0" w:space="0" w:color="auto"/>
            <w:bottom w:val="none" w:sz="0" w:space="0" w:color="auto"/>
            <w:right w:val="none" w:sz="0" w:space="0" w:color="auto"/>
          </w:divBdr>
        </w:div>
        <w:div w:id="1823961017">
          <w:marLeft w:val="0"/>
          <w:marRight w:val="0"/>
          <w:marTop w:val="0"/>
          <w:marBottom w:val="0"/>
          <w:divBdr>
            <w:top w:val="none" w:sz="0" w:space="0" w:color="auto"/>
            <w:left w:val="none" w:sz="0" w:space="0" w:color="auto"/>
            <w:bottom w:val="none" w:sz="0" w:space="0" w:color="auto"/>
            <w:right w:val="none" w:sz="0" w:space="0" w:color="auto"/>
          </w:divBdr>
        </w:div>
        <w:div w:id="977880753">
          <w:marLeft w:val="0"/>
          <w:marRight w:val="0"/>
          <w:marTop w:val="0"/>
          <w:marBottom w:val="0"/>
          <w:divBdr>
            <w:top w:val="none" w:sz="0" w:space="0" w:color="auto"/>
            <w:left w:val="none" w:sz="0" w:space="0" w:color="auto"/>
            <w:bottom w:val="none" w:sz="0" w:space="0" w:color="auto"/>
            <w:right w:val="none" w:sz="0" w:space="0" w:color="auto"/>
          </w:divBdr>
        </w:div>
        <w:div w:id="540632188">
          <w:marLeft w:val="0"/>
          <w:marRight w:val="0"/>
          <w:marTop w:val="0"/>
          <w:marBottom w:val="0"/>
          <w:divBdr>
            <w:top w:val="none" w:sz="0" w:space="0" w:color="auto"/>
            <w:left w:val="none" w:sz="0" w:space="0" w:color="auto"/>
            <w:bottom w:val="none" w:sz="0" w:space="0" w:color="auto"/>
            <w:right w:val="none" w:sz="0" w:space="0" w:color="auto"/>
          </w:divBdr>
        </w:div>
        <w:div w:id="571741271">
          <w:marLeft w:val="0"/>
          <w:marRight w:val="0"/>
          <w:marTop w:val="0"/>
          <w:marBottom w:val="0"/>
          <w:divBdr>
            <w:top w:val="none" w:sz="0" w:space="0" w:color="auto"/>
            <w:left w:val="none" w:sz="0" w:space="0" w:color="auto"/>
            <w:bottom w:val="none" w:sz="0" w:space="0" w:color="auto"/>
            <w:right w:val="none" w:sz="0" w:space="0" w:color="auto"/>
          </w:divBdr>
        </w:div>
        <w:div w:id="1777090112">
          <w:marLeft w:val="0"/>
          <w:marRight w:val="0"/>
          <w:marTop w:val="0"/>
          <w:marBottom w:val="0"/>
          <w:divBdr>
            <w:top w:val="none" w:sz="0" w:space="0" w:color="auto"/>
            <w:left w:val="none" w:sz="0" w:space="0" w:color="auto"/>
            <w:bottom w:val="none" w:sz="0" w:space="0" w:color="auto"/>
            <w:right w:val="none" w:sz="0" w:space="0" w:color="auto"/>
          </w:divBdr>
        </w:div>
        <w:div w:id="658071422">
          <w:marLeft w:val="0"/>
          <w:marRight w:val="0"/>
          <w:marTop w:val="0"/>
          <w:marBottom w:val="0"/>
          <w:divBdr>
            <w:top w:val="none" w:sz="0" w:space="0" w:color="auto"/>
            <w:left w:val="none" w:sz="0" w:space="0" w:color="auto"/>
            <w:bottom w:val="none" w:sz="0" w:space="0" w:color="auto"/>
            <w:right w:val="none" w:sz="0" w:space="0" w:color="auto"/>
          </w:divBdr>
        </w:div>
        <w:div w:id="239297047">
          <w:marLeft w:val="0"/>
          <w:marRight w:val="0"/>
          <w:marTop w:val="0"/>
          <w:marBottom w:val="0"/>
          <w:divBdr>
            <w:top w:val="none" w:sz="0" w:space="0" w:color="auto"/>
            <w:left w:val="none" w:sz="0" w:space="0" w:color="auto"/>
            <w:bottom w:val="none" w:sz="0" w:space="0" w:color="auto"/>
            <w:right w:val="none" w:sz="0" w:space="0" w:color="auto"/>
          </w:divBdr>
        </w:div>
        <w:div w:id="1123157644">
          <w:marLeft w:val="0"/>
          <w:marRight w:val="0"/>
          <w:marTop w:val="0"/>
          <w:marBottom w:val="0"/>
          <w:divBdr>
            <w:top w:val="none" w:sz="0" w:space="0" w:color="auto"/>
            <w:left w:val="none" w:sz="0" w:space="0" w:color="auto"/>
            <w:bottom w:val="none" w:sz="0" w:space="0" w:color="auto"/>
            <w:right w:val="none" w:sz="0" w:space="0" w:color="auto"/>
          </w:divBdr>
        </w:div>
        <w:div w:id="605306337">
          <w:marLeft w:val="0"/>
          <w:marRight w:val="0"/>
          <w:marTop w:val="0"/>
          <w:marBottom w:val="0"/>
          <w:divBdr>
            <w:top w:val="none" w:sz="0" w:space="0" w:color="auto"/>
            <w:left w:val="none" w:sz="0" w:space="0" w:color="auto"/>
            <w:bottom w:val="none" w:sz="0" w:space="0" w:color="auto"/>
            <w:right w:val="none" w:sz="0" w:space="0" w:color="auto"/>
          </w:divBdr>
        </w:div>
        <w:div w:id="1866675270">
          <w:marLeft w:val="0"/>
          <w:marRight w:val="0"/>
          <w:marTop w:val="0"/>
          <w:marBottom w:val="0"/>
          <w:divBdr>
            <w:top w:val="none" w:sz="0" w:space="0" w:color="auto"/>
            <w:left w:val="none" w:sz="0" w:space="0" w:color="auto"/>
            <w:bottom w:val="none" w:sz="0" w:space="0" w:color="auto"/>
            <w:right w:val="none" w:sz="0" w:space="0" w:color="auto"/>
          </w:divBdr>
        </w:div>
        <w:div w:id="1805658232">
          <w:marLeft w:val="0"/>
          <w:marRight w:val="0"/>
          <w:marTop w:val="0"/>
          <w:marBottom w:val="0"/>
          <w:divBdr>
            <w:top w:val="none" w:sz="0" w:space="0" w:color="auto"/>
            <w:left w:val="none" w:sz="0" w:space="0" w:color="auto"/>
            <w:bottom w:val="none" w:sz="0" w:space="0" w:color="auto"/>
            <w:right w:val="none" w:sz="0" w:space="0" w:color="auto"/>
          </w:divBdr>
        </w:div>
        <w:div w:id="469054132">
          <w:marLeft w:val="0"/>
          <w:marRight w:val="0"/>
          <w:marTop w:val="0"/>
          <w:marBottom w:val="0"/>
          <w:divBdr>
            <w:top w:val="none" w:sz="0" w:space="0" w:color="auto"/>
            <w:left w:val="none" w:sz="0" w:space="0" w:color="auto"/>
            <w:bottom w:val="none" w:sz="0" w:space="0" w:color="auto"/>
            <w:right w:val="none" w:sz="0" w:space="0" w:color="auto"/>
          </w:divBdr>
        </w:div>
        <w:div w:id="921183448">
          <w:marLeft w:val="0"/>
          <w:marRight w:val="0"/>
          <w:marTop w:val="0"/>
          <w:marBottom w:val="0"/>
          <w:divBdr>
            <w:top w:val="none" w:sz="0" w:space="0" w:color="auto"/>
            <w:left w:val="none" w:sz="0" w:space="0" w:color="auto"/>
            <w:bottom w:val="none" w:sz="0" w:space="0" w:color="auto"/>
            <w:right w:val="none" w:sz="0" w:space="0" w:color="auto"/>
          </w:divBdr>
        </w:div>
        <w:div w:id="2071884550">
          <w:marLeft w:val="0"/>
          <w:marRight w:val="0"/>
          <w:marTop w:val="0"/>
          <w:marBottom w:val="0"/>
          <w:divBdr>
            <w:top w:val="none" w:sz="0" w:space="0" w:color="auto"/>
            <w:left w:val="none" w:sz="0" w:space="0" w:color="auto"/>
            <w:bottom w:val="none" w:sz="0" w:space="0" w:color="auto"/>
            <w:right w:val="none" w:sz="0" w:space="0" w:color="auto"/>
          </w:divBdr>
        </w:div>
        <w:div w:id="1776747672">
          <w:marLeft w:val="0"/>
          <w:marRight w:val="0"/>
          <w:marTop w:val="0"/>
          <w:marBottom w:val="0"/>
          <w:divBdr>
            <w:top w:val="none" w:sz="0" w:space="0" w:color="auto"/>
            <w:left w:val="none" w:sz="0" w:space="0" w:color="auto"/>
            <w:bottom w:val="none" w:sz="0" w:space="0" w:color="auto"/>
            <w:right w:val="none" w:sz="0" w:space="0" w:color="auto"/>
          </w:divBdr>
        </w:div>
        <w:div w:id="994145582">
          <w:marLeft w:val="0"/>
          <w:marRight w:val="0"/>
          <w:marTop w:val="0"/>
          <w:marBottom w:val="0"/>
          <w:divBdr>
            <w:top w:val="none" w:sz="0" w:space="0" w:color="auto"/>
            <w:left w:val="none" w:sz="0" w:space="0" w:color="auto"/>
            <w:bottom w:val="none" w:sz="0" w:space="0" w:color="auto"/>
            <w:right w:val="none" w:sz="0" w:space="0" w:color="auto"/>
          </w:divBdr>
        </w:div>
        <w:div w:id="124547752">
          <w:marLeft w:val="0"/>
          <w:marRight w:val="0"/>
          <w:marTop w:val="0"/>
          <w:marBottom w:val="0"/>
          <w:divBdr>
            <w:top w:val="none" w:sz="0" w:space="0" w:color="auto"/>
            <w:left w:val="none" w:sz="0" w:space="0" w:color="auto"/>
            <w:bottom w:val="none" w:sz="0" w:space="0" w:color="auto"/>
            <w:right w:val="none" w:sz="0" w:space="0" w:color="auto"/>
          </w:divBdr>
        </w:div>
      </w:divsChild>
    </w:div>
    <w:div w:id="1706439995">
      <w:bodyDiv w:val="1"/>
      <w:marLeft w:val="0"/>
      <w:marRight w:val="0"/>
      <w:marTop w:val="0"/>
      <w:marBottom w:val="0"/>
      <w:divBdr>
        <w:top w:val="none" w:sz="0" w:space="0" w:color="auto"/>
        <w:left w:val="none" w:sz="0" w:space="0" w:color="auto"/>
        <w:bottom w:val="none" w:sz="0" w:space="0" w:color="auto"/>
        <w:right w:val="none" w:sz="0" w:space="0" w:color="auto"/>
      </w:divBdr>
      <w:divsChild>
        <w:div w:id="603417433">
          <w:marLeft w:val="0"/>
          <w:marRight w:val="0"/>
          <w:marTop w:val="0"/>
          <w:marBottom w:val="0"/>
          <w:divBdr>
            <w:top w:val="none" w:sz="0" w:space="0" w:color="auto"/>
            <w:left w:val="none" w:sz="0" w:space="0" w:color="auto"/>
            <w:bottom w:val="none" w:sz="0" w:space="0" w:color="auto"/>
            <w:right w:val="none" w:sz="0" w:space="0" w:color="auto"/>
          </w:divBdr>
        </w:div>
        <w:div w:id="1305621249">
          <w:marLeft w:val="0"/>
          <w:marRight w:val="0"/>
          <w:marTop w:val="0"/>
          <w:marBottom w:val="0"/>
          <w:divBdr>
            <w:top w:val="none" w:sz="0" w:space="0" w:color="auto"/>
            <w:left w:val="none" w:sz="0" w:space="0" w:color="auto"/>
            <w:bottom w:val="none" w:sz="0" w:space="0" w:color="auto"/>
            <w:right w:val="none" w:sz="0" w:space="0" w:color="auto"/>
          </w:divBdr>
        </w:div>
        <w:div w:id="1376929936">
          <w:marLeft w:val="0"/>
          <w:marRight w:val="0"/>
          <w:marTop w:val="0"/>
          <w:marBottom w:val="0"/>
          <w:divBdr>
            <w:top w:val="none" w:sz="0" w:space="0" w:color="auto"/>
            <w:left w:val="none" w:sz="0" w:space="0" w:color="auto"/>
            <w:bottom w:val="none" w:sz="0" w:space="0" w:color="auto"/>
            <w:right w:val="none" w:sz="0" w:space="0" w:color="auto"/>
          </w:divBdr>
        </w:div>
      </w:divsChild>
    </w:div>
    <w:div w:id="19214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cb.co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cb.coop/en/home.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eacb.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eVuillemot\Downloads\Template%20new%20doc%202022%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ec115f-b2ef-4ad3-8bcd-285c23ec9039">
      <Terms xmlns="http://schemas.microsoft.com/office/infopath/2007/PartnerControls"/>
    </lcf76f155ced4ddcb4097134ff3c332f>
    <TaxCatchAll xmlns="02980ea8-001e-45b5-bce1-1117c627b3f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8DC0AB7D0AA4F90BB79409B512183" ma:contentTypeVersion="18" ma:contentTypeDescription="Create a new document." ma:contentTypeScope="" ma:versionID="ab7d57565b4c0e3b8d91d3d0862f0e5e">
  <xsd:schema xmlns:xsd="http://www.w3.org/2001/XMLSchema" xmlns:xs="http://www.w3.org/2001/XMLSchema" xmlns:p="http://schemas.microsoft.com/office/2006/metadata/properties" xmlns:ns1="http://schemas.microsoft.com/sharepoint/v3" xmlns:ns2="86ec115f-b2ef-4ad3-8bcd-285c23ec9039" xmlns:ns3="02980ea8-001e-45b5-bce1-1117c627b3f6" targetNamespace="http://schemas.microsoft.com/office/2006/metadata/properties" ma:root="true" ma:fieldsID="b63db88ca6357403fa2f563762c03343" ns1:_="" ns2:_="" ns3:_="">
    <xsd:import namespace="http://schemas.microsoft.com/sharepoint/v3"/>
    <xsd:import namespace="86ec115f-b2ef-4ad3-8bcd-285c23ec9039"/>
    <xsd:import namespace="02980ea8-001e-45b5-bce1-1117c627b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c115f-b2ef-4ad3-8bcd-285c23ec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3c4af3-d430-4f28-9747-46973365d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80ea8-001e-45b5-bce1-1117c627b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ff99e-afef-437b-b45f-42130f3ae35d}" ma:internalName="TaxCatchAll" ma:showField="CatchAllData" ma:web="02980ea8-001e-45b5-bce1-1117c627b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4DFEA-B94C-42D9-98C9-50A887C7ADFF}">
  <ds:schemaRefs>
    <ds:schemaRef ds:uri="http://schemas.microsoft.com/office/2006/metadata/properties"/>
    <ds:schemaRef ds:uri="http://schemas.microsoft.com/office/infopath/2007/PartnerControls"/>
    <ds:schemaRef ds:uri="86ec115f-b2ef-4ad3-8bcd-285c23ec9039"/>
    <ds:schemaRef ds:uri="02980ea8-001e-45b5-bce1-1117c627b3f6"/>
    <ds:schemaRef ds:uri="http://schemas.microsoft.com/sharepoint/v3"/>
  </ds:schemaRefs>
</ds:datastoreItem>
</file>

<file path=customXml/itemProps2.xml><?xml version="1.0" encoding="utf-8"?>
<ds:datastoreItem xmlns:ds="http://schemas.openxmlformats.org/officeDocument/2006/customXml" ds:itemID="{52FBA39D-CA8B-42D2-B9EB-F917A0089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ec115f-b2ef-4ad3-8bcd-285c23ec9039"/>
    <ds:schemaRef ds:uri="02980ea8-001e-45b5-bce1-1117c627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9FA2C-D045-401D-8822-5BA6A60AD684}">
  <ds:schemaRefs>
    <ds:schemaRef ds:uri="http://schemas.openxmlformats.org/officeDocument/2006/bibliography"/>
  </ds:schemaRefs>
</ds:datastoreItem>
</file>

<file path=customXml/itemProps4.xml><?xml version="1.0" encoding="utf-8"?>
<ds:datastoreItem xmlns:ds="http://schemas.openxmlformats.org/officeDocument/2006/customXml" ds:itemID="{1878465A-A7CE-4D4C-8AFD-E89E56D4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new doc 2022 (9)</Template>
  <TotalTime>49</TotalTime>
  <Pages>5</Pages>
  <Words>1577</Words>
  <Characters>8990</Characters>
  <Application>Microsoft Office Word</Application>
  <DocSecurity>0</DocSecurity>
  <Lines>74</Lines>
  <Paragraphs>21</Paragraphs>
  <ScaleCrop>false</ScaleCrop>
  <Company>Desktop Anywhere</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Vuillemot</dc:creator>
  <cp:lastModifiedBy>Candidates</cp:lastModifiedBy>
  <cp:revision>29</cp:revision>
  <dcterms:created xsi:type="dcterms:W3CDTF">2023-08-21T11:44:00Z</dcterms:created>
  <dcterms:modified xsi:type="dcterms:W3CDTF">2023-08-29T14:19:00Z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569669578</vt:i4>
  </property>
  <property fmtid="{D5CDD505-2E9C-101B-9397-08002B2CF9AE}" pid="3" name="ContentTypeId">
    <vt:lpwstr>0x0101003188DC0AB7D0AA4F90BB79409B512183</vt:lpwstr>
  </property>
  <property fmtid="{D5CDD505-2E9C-101B-9397-08002B2CF9AE}" pid="4" name="Order">
    <vt:r8>2747400</vt:r8>
  </property>
  <property fmtid="{D5CDD505-2E9C-101B-9397-08002B2CF9AE}" pid="5" name="MediaServiceImageTags">
    <vt:lpwstr/>
  </property>
</Properties>
</file>