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955B" w14:textId="77777777" w:rsidR="00DA60A0" w:rsidRPr="00E2682F" w:rsidRDefault="00DA60A0" w:rsidP="00DA60A0">
      <w:pPr>
        <w:rPr>
          <w:lang w:val="en-GB"/>
        </w:rPr>
      </w:pPr>
    </w:p>
    <w:p w14:paraId="10A5355A" w14:textId="7331A316" w:rsidR="00C024B1" w:rsidRDefault="00C024B1" w:rsidP="00DA60A0">
      <w:pPr>
        <w:rPr>
          <w:rFonts w:asciiTheme="majorHAnsi" w:eastAsiaTheme="majorEastAsia" w:hAnsiTheme="majorHAnsi" w:cstheme="majorBidi"/>
          <w:color w:val="2F5496" w:themeColor="accent1" w:themeShade="BF"/>
          <w:sz w:val="32"/>
          <w:szCs w:val="32"/>
          <w:lang w:val="en-GB"/>
        </w:rPr>
      </w:pPr>
      <w:r>
        <w:rPr>
          <w:rFonts w:asciiTheme="majorHAnsi" w:eastAsiaTheme="majorEastAsia" w:hAnsiTheme="majorHAnsi" w:cstheme="majorBidi"/>
          <w:color w:val="2F5496" w:themeColor="accent1" w:themeShade="BF"/>
          <w:sz w:val="32"/>
          <w:szCs w:val="32"/>
          <w:lang w:val="en-GB"/>
        </w:rPr>
        <w:t xml:space="preserve">ABBL’s Response to </w:t>
      </w:r>
      <w:r w:rsidR="00784A1D">
        <w:rPr>
          <w:rFonts w:asciiTheme="majorHAnsi" w:eastAsiaTheme="majorEastAsia" w:hAnsiTheme="majorHAnsi" w:cstheme="majorBidi"/>
          <w:color w:val="2F5496" w:themeColor="accent1" w:themeShade="BF"/>
          <w:sz w:val="32"/>
          <w:szCs w:val="32"/>
          <w:lang w:val="en-GB"/>
        </w:rPr>
        <w:t>the</w:t>
      </w:r>
      <w:r>
        <w:rPr>
          <w:rFonts w:asciiTheme="majorHAnsi" w:eastAsiaTheme="majorEastAsia" w:hAnsiTheme="majorHAnsi" w:cstheme="majorBidi"/>
          <w:color w:val="2F5496" w:themeColor="accent1" w:themeShade="BF"/>
          <w:sz w:val="32"/>
          <w:szCs w:val="32"/>
          <w:lang w:val="en-GB"/>
        </w:rPr>
        <w:t xml:space="preserve"> Consultation</w:t>
      </w:r>
      <w:r w:rsidR="008D1DA8">
        <w:rPr>
          <w:rFonts w:asciiTheme="majorHAnsi" w:eastAsiaTheme="majorEastAsia" w:hAnsiTheme="majorHAnsi" w:cstheme="majorBidi"/>
          <w:color w:val="2F5496" w:themeColor="accent1" w:themeShade="BF"/>
          <w:sz w:val="32"/>
          <w:szCs w:val="32"/>
          <w:lang w:val="en-GB"/>
        </w:rPr>
        <w:t xml:space="preserve"> </w:t>
      </w:r>
      <w:r w:rsidR="00495473">
        <w:rPr>
          <w:rFonts w:asciiTheme="majorHAnsi" w:eastAsiaTheme="majorEastAsia" w:hAnsiTheme="majorHAnsi" w:cstheme="majorBidi"/>
          <w:color w:val="2F5496" w:themeColor="accent1" w:themeShade="BF"/>
          <w:sz w:val="32"/>
          <w:szCs w:val="32"/>
          <w:lang w:val="en-GB"/>
        </w:rPr>
        <w:t xml:space="preserve">on </w:t>
      </w:r>
      <w:r w:rsidR="008D1DA8" w:rsidRPr="008D1DA8">
        <w:rPr>
          <w:rFonts w:asciiTheme="majorHAnsi" w:eastAsiaTheme="majorEastAsia" w:hAnsiTheme="majorHAnsi" w:cstheme="majorBidi"/>
          <w:color w:val="2F5496" w:themeColor="accent1" w:themeShade="BF"/>
          <w:sz w:val="32"/>
          <w:szCs w:val="32"/>
          <w:lang w:val="en-GB"/>
        </w:rPr>
        <w:t xml:space="preserve">EBA Draft Regulatory Technical Standards to specify the requirements, </w:t>
      </w:r>
      <w:proofErr w:type="gramStart"/>
      <w:r w:rsidR="008D1DA8" w:rsidRPr="008D1DA8">
        <w:rPr>
          <w:rFonts w:asciiTheme="majorHAnsi" w:eastAsiaTheme="majorEastAsia" w:hAnsiTheme="majorHAnsi" w:cstheme="majorBidi"/>
          <w:color w:val="2F5496" w:themeColor="accent1" w:themeShade="BF"/>
          <w:sz w:val="32"/>
          <w:szCs w:val="32"/>
          <w:lang w:val="en-GB"/>
        </w:rPr>
        <w:t>templates</w:t>
      </w:r>
      <w:proofErr w:type="gramEnd"/>
      <w:r w:rsidR="008D1DA8" w:rsidRPr="008D1DA8">
        <w:rPr>
          <w:rFonts w:asciiTheme="majorHAnsi" w:eastAsiaTheme="majorEastAsia" w:hAnsiTheme="majorHAnsi" w:cstheme="majorBidi"/>
          <w:color w:val="2F5496" w:themeColor="accent1" w:themeShade="BF"/>
          <w:sz w:val="32"/>
          <w:szCs w:val="32"/>
          <w:lang w:val="en-GB"/>
        </w:rPr>
        <w:t xml:space="preserve"> and procedures for handling complaints under Article 31 of the Regulation (EU) 2023/1114 on Markets in Crypto-assets, and amending Directive (EU) 2019/1937 (MICA)</w:t>
      </w:r>
    </w:p>
    <w:p w14:paraId="02C40E77" w14:textId="77777777" w:rsidR="00DA60A0" w:rsidRPr="00E2682F" w:rsidRDefault="00DA60A0" w:rsidP="00DA60A0">
      <w:pPr>
        <w:rPr>
          <w:lang w:val="en-GB"/>
        </w:rPr>
      </w:pPr>
    </w:p>
    <w:p w14:paraId="66A67057" w14:textId="28EC3AD2" w:rsidR="00DA60A0" w:rsidRPr="00E2682F" w:rsidRDefault="00DA60A0" w:rsidP="00DA60A0">
      <w:pPr>
        <w:pStyle w:val="Heading3"/>
        <w:rPr>
          <w:lang w:val="en-GB"/>
        </w:rPr>
      </w:pPr>
      <w:r w:rsidRPr="00E2682F">
        <w:rPr>
          <w:lang w:val="en-GB"/>
        </w:rPr>
        <w:t xml:space="preserve">Date: </w:t>
      </w:r>
      <w:r w:rsidR="00F11CE4">
        <w:rPr>
          <w:lang w:val="en-GB"/>
        </w:rPr>
        <w:t>1</w:t>
      </w:r>
      <w:r w:rsidR="007F70BE">
        <w:rPr>
          <w:lang w:val="en-GB"/>
        </w:rPr>
        <w:t>2</w:t>
      </w:r>
      <w:r w:rsidR="00F11CE4" w:rsidRPr="00E2682F">
        <w:rPr>
          <w:lang w:val="en-GB"/>
        </w:rPr>
        <w:t xml:space="preserve"> </w:t>
      </w:r>
      <w:r w:rsidR="007667F9">
        <w:rPr>
          <w:lang w:val="en-GB"/>
        </w:rPr>
        <w:t>October</w:t>
      </w:r>
      <w:r w:rsidRPr="00E2682F">
        <w:rPr>
          <w:lang w:val="en-GB"/>
        </w:rPr>
        <w:t xml:space="preserve"> 2023</w:t>
      </w:r>
    </w:p>
    <w:p w14:paraId="1A30A67B" w14:textId="5F5C7989" w:rsidR="00DA60A0" w:rsidRPr="00E2682F" w:rsidRDefault="00DA60A0" w:rsidP="00DA60A0">
      <w:pPr>
        <w:pStyle w:val="Heading3"/>
        <w:rPr>
          <w:lang w:val="en-GB"/>
        </w:rPr>
      </w:pPr>
      <w:r w:rsidRPr="00E2682F">
        <w:rPr>
          <w:lang w:val="en-GB"/>
        </w:rPr>
        <w:t xml:space="preserve">EU Transparency register: </w:t>
      </w:r>
      <w:r w:rsidR="000F6D7B" w:rsidRPr="00E2682F">
        <w:rPr>
          <w:lang w:val="en-GB"/>
        </w:rPr>
        <w:t>3505006282-58</w:t>
      </w:r>
    </w:p>
    <w:p w14:paraId="488BE3F8" w14:textId="77777777" w:rsidR="00CC1644" w:rsidRPr="00D371F4" w:rsidRDefault="00CC1644" w:rsidP="00DA60A0">
      <w:pPr>
        <w:rPr>
          <w:rFonts w:cstheme="minorHAnsi"/>
          <w:lang w:val="en-GB"/>
        </w:rPr>
      </w:pPr>
    </w:p>
    <w:p w14:paraId="04B537EB" w14:textId="77777777" w:rsidR="00CC1644" w:rsidRPr="00D371F4" w:rsidRDefault="00CC1644" w:rsidP="00DA60A0">
      <w:pPr>
        <w:rPr>
          <w:rFonts w:cstheme="minorHAnsi"/>
          <w:lang w:val="en-GB"/>
        </w:rPr>
      </w:pPr>
    </w:p>
    <w:tbl>
      <w:tblPr>
        <w:tblStyle w:val="TableGrid"/>
        <w:tblW w:w="5000" w:type="pct"/>
        <w:jc w:val="center"/>
        <w:tblLook w:val="04A0" w:firstRow="1" w:lastRow="0" w:firstColumn="1" w:lastColumn="0" w:noHBand="0" w:noVBand="1"/>
      </w:tblPr>
      <w:tblGrid>
        <w:gridCol w:w="9016"/>
      </w:tblGrid>
      <w:tr w:rsidR="00CC1644" w:rsidRPr="00B5470F" w14:paraId="43FDC871" w14:textId="77777777" w:rsidTr="00E44E2B">
        <w:trPr>
          <w:trHeight w:val="229"/>
          <w:jc w:val="center"/>
        </w:trPr>
        <w:tc>
          <w:tcPr>
            <w:tcW w:w="5000" w:type="pct"/>
            <w:shd w:val="clear" w:color="auto" w:fill="002060"/>
            <w:hideMark/>
          </w:tcPr>
          <w:p w14:paraId="0F301E0E" w14:textId="1C47F9ED" w:rsidR="00CC1644" w:rsidRPr="00B5470F" w:rsidRDefault="00536A46" w:rsidP="00B5470F">
            <w:pPr>
              <w:spacing w:after="0" w:line="240" w:lineRule="auto"/>
              <w:rPr>
                <w:rFonts w:cstheme="minorHAnsi"/>
                <w:b/>
                <w:bCs/>
                <w:lang w:val="en-GB"/>
              </w:rPr>
            </w:pPr>
            <w:r w:rsidRPr="00B5470F">
              <w:rPr>
                <w:rFonts w:cstheme="minorHAnsi"/>
                <w:b/>
                <w:bCs/>
                <w:lang w:val="en-GB"/>
              </w:rPr>
              <w:t>Questions</w:t>
            </w:r>
          </w:p>
        </w:tc>
      </w:tr>
      <w:tr w:rsidR="00CC1644" w:rsidRPr="00B5470F" w14:paraId="569AD802" w14:textId="77777777" w:rsidTr="00E44E2B">
        <w:trPr>
          <w:trHeight w:val="702"/>
          <w:jc w:val="center"/>
        </w:trPr>
        <w:tc>
          <w:tcPr>
            <w:tcW w:w="5000" w:type="pct"/>
          </w:tcPr>
          <w:p w14:paraId="79FF6A38" w14:textId="77777777" w:rsidR="00CC1644" w:rsidRPr="00B5470F" w:rsidRDefault="00CC1644" w:rsidP="00B5470F">
            <w:pPr>
              <w:spacing w:after="0" w:line="240" w:lineRule="auto"/>
              <w:rPr>
                <w:rFonts w:cstheme="minorHAnsi"/>
                <w:b/>
                <w:bCs/>
                <w:lang w:val="en-GB"/>
              </w:rPr>
            </w:pPr>
            <w:r w:rsidRPr="00B5470F">
              <w:rPr>
                <w:rFonts w:cstheme="minorHAnsi"/>
                <w:b/>
                <w:bCs/>
                <w:lang w:val="en-GB"/>
              </w:rPr>
              <w:t>Q1: Do you consider that the approach proposed in the RTS strikes an appropriate balance between the various competing demands described? If not, please suggest an alternative approach and the underlying reasoning and evidence.</w:t>
            </w:r>
          </w:p>
        </w:tc>
      </w:tr>
      <w:tr w:rsidR="00CC1644" w:rsidRPr="00B5470F" w14:paraId="5EC38DE0" w14:textId="77777777" w:rsidTr="00E44E2B">
        <w:trPr>
          <w:trHeight w:val="907"/>
          <w:jc w:val="center"/>
        </w:trPr>
        <w:tc>
          <w:tcPr>
            <w:tcW w:w="5000" w:type="pct"/>
          </w:tcPr>
          <w:p w14:paraId="2B49EF5A" w14:textId="45769C32" w:rsidR="007F70BE" w:rsidRDefault="007F70BE" w:rsidP="00372ADF">
            <w:pPr>
              <w:spacing w:after="0" w:line="240" w:lineRule="auto"/>
              <w:rPr>
                <w:rFonts w:cstheme="minorHAnsi"/>
                <w:lang w:val="en-GB"/>
              </w:rPr>
            </w:pPr>
            <w:r>
              <w:rPr>
                <w:rFonts w:cstheme="minorHAnsi"/>
                <w:lang w:val="en-GB"/>
              </w:rPr>
              <w:t>Partially</w:t>
            </w:r>
          </w:p>
          <w:p w14:paraId="2A4EC794" w14:textId="0C0B937F" w:rsidR="00DB4FE3" w:rsidRPr="00B5470F" w:rsidRDefault="007F70BE" w:rsidP="00372ADF">
            <w:pPr>
              <w:spacing w:after="0" w:line="240" w:lineRule="auto"/>
              <w:rPr>
                <w:rFonts w:cstheme="minorHAnsi"/>
                <w:lang w:val="en-GB"/>
              </w:rPr>
            </w:pPr>
            <w:r>
              <w:rPr>
                <w:rFonts w:cstheme="minorHAnsi"/>
                <w:lang w:val="en-GB"/>
              </w:rPr>
              <w:br/>
            </w:r>
            <w:r w:rsidR="00A26FE1" w:rsidRPr="00B5470F">
              <w:rPr>
                <w:rFonts w:cstheme="minorHAnsi"/>
                <w:lang w:val="en-GB"/>
              </w:rPr>
              <w:t>I</w:t>
            </w:r>
            <w:r w:rsidR="00DB4FE3" w:rsidRPr="007F70BE">
              <w:rPr>
                <w:rFonts w:cstheme="minorHAnsi"/>
                <w:lang w:val="en-GB"/>
              </w:rPr>
              <w:t>n our perspective and in general, the proposed approach in the RTS strikes an appropriate balance between the various competing demands described.</w:t>
            </w:r>
          </w:p>
          <w:p w14:paraId="484D603B" w14:textId="77777777" w:rsidR="00965C9F" w:rsidRPr="007F70BE" w:rsidRDefault="00965C9F" w:rsidP="00B5470F">
            <w:pPr>
              <w:spacing w:after="0" w:line="240" w:lineRule="auto"/>
              <w:rPr>
                <w:rFonts w:cstheme="minorHAnsi"/>
                <w:lang w:val="en-GB"/>
              </w:rPr>
            </w:pPr>
          </w:p>
          <w:p w14:paraId="62025170" w14:textId="11A52EEC" w:rsidR="00C42FDC" w:rsidRPr="00B5470F" w:rsidRDefault="00F86C0F" w:rsidP="00372ADF">
            <w:pPr>
              <w:spacing w:after="0" w:line="240" w:lineRule="auto"/>
              <w:rPr>
                <w:rFonts w:cstheme="minorHAnsi"/>
                <w:lang w:val="en-GB"/>
              </w:rPr>
            </w:pPr>
            <w:r w:rsidRPr="00B5470F">
              <w:rPr>
                <w:rFonts w:cstheme="minorHAnsi"/>
                <w:lang w:val="en-GB"/>
              </w:rPr>
              <w:t>However</w:t>
            </w:r>
            <w:r w:rsidR="00AB6D2D" w:rsidRPr="00B5470F">
              <w:rPr>
                <w:rFonts w:cstheme="minorHAnsi"/>
                <w:lang w:val="en-GB"/>
              </w:rPr>
              <w:t>, w</w:t>
            </w:r>
            <w:r w:rsidR="007C091B" w:rsidRPr="00B5470F">
              <w:rPr>
                <w:rFonts w:cstheme="minorHAnsi"/>
                <w:lang w:val="en-GB"/>
              </w:rPr>
              <w:t>e would welcome more harmonisation between EBA and ESMA</w:t>
            </w:r>
            <w:r w:rsidR="000064EE" w:rsidRPr="00B5470F">
              <w:rPr>
                <w:rFonts w:cstheme="minorHAnsi"/>
                <w:lang w:val="en-GB"/>
              </w:rPr>
              <w:t xml:space="preserve"> in terms of </w:t>
            </w:r>
            <w:r w:rsidR="007D45AF" w:rsidRPr="00B5470F">
              <w:rPr>
                <w:rFonts w:cstheme="minorHAnsi"/>
                <w:lang w:val="en-GB"/>
              </w:rPr>
              <w:t>compliance</w:t>
            </w:r>
            <w:r w:rsidR="00B45E67" w:rsidRPr="00B5470F">
              <w:rPr>
                <w:rFonts w:cstheme="minorHAnsi"/>
                <w:lang w:val="en-GB"/>
              </w:rPr>
              <w:t xml:space="preserve"> frameworks</w:t>
            </w:r>
            <w:r w:rsidR="00F60557" w:rsidRPr="00B5470F">
              <w:rPr>
                <w:rFonts w:cstheme="minorHAnsi"/>
                <w:lang w:val="en-GB"/>
              </w:rPr>
              <w:t xml:space="preserve"> relating to complaints handling</w:t>
            </w:r>
            <w:r w:rsidR="00B45E67" w:rsidRPr="00B5470F">
              <w:rPr>
                <w:rFonts w:cstheme="minorHAnsi"/>
                <w:lang w:val="en-GB"/>
              </w:rPr>
              <w:t>.</w:t>
            </w:r>
            <w:r w:rsidR="007C091B" w:rsidRPr="00B5470F">
              <w:rPr>
                <w:rFonts w:cstheme="minorHAnsi"/>
                <w:lang w:val="en-GB"/>
              </w:rPr>
              <w:t xml:space="preserve"> </w:t>
            </w:r>
            <w:r w:rsidR="00C42FDC" w:rsidRPr="00B5470F">
              <w:rPr>
                <w:rFonts w:cstheme="minorHAnsi"/>
                <w:lang w:val="en-GB"/>
              </w:rPr>
              <w:t xml:space="preserve">ESMA should try in this case to align with the approach of EBA </w:t>
            </w:r>
            <w:r w:rsidR="009A45D4" w:rsidRPr="00B5470F">
              <w:rPr>
                <w:rFonts w:cstheme="minorHAnsi"/>
                <w:lang w:val="en-GB"/>
              </w:rPr>
              <w:t xml:space="preserve">which </w:t>
            </w:r>
            <w:r w:rsidR="00354055" w:rsidRPr="00B5470F">
              <w:rPr>
                <w:rFonts w:cstheme="minorHAnsi"/>
                <w:lang w:val="en-GB"/>
              </w:rPr>
              <w:t xml:space="preserve">is </w:t>
            </w:r>
            <w:r w:rsidR="00C42FDC" w:rsidRPr="00B5470F">
              <w:rPr>
                <w:rFonts w:cstheme="minorHAnsi"/>
                <w:lang w:val="en-GB"/>
              </w:rPr>
              <w:t>based o</w:t>
            </w:r>
            <w:r w:rsidR="00354055" w:rsidRPr="00B5470F">
              <w:rPr>
                <w:rFonts w:cstheme="minorHAnsi"/>
                <w:lang w:val="en-GB"/>
              </w:rPr>
              <w:t>n</w:t>
            </w:r>
            <w:r w:rsidR="00C42FDC" w:rsidRPr="00B5470F">
              <w:rPr>
                <w:rFonts w:cstheme="minorHAnsi"/>
                <w:lang w:val="en-GB"/>
              </w:rPr>
              <w:t xml:space="preserve"> general principles. </w:t>
            </w:r>
          </w:p>
          <w:p w14:paraId="0D5DB3B3" w14:textId="2AC2E968" w:rsidR="005E1F3C" w:rsidRPr="00B5470F" w:rsidRDefault="005E1F3C" w:rsidP="00B5470F">
            <w:pPr>
              <w:spacing w:after="0" w:line="240" w:lineRule="auto"/>
              <w:rPr>
                <w:rFonts w:cstheme="minorHAnsi"/>
                <w:b/>
                <w:bCs/>
                <w:lang w:val="en-GB"/>
              </w:rPr>
            </w:pPr>
          </w:p>
        </w:tc>
      </w:tr>
      <w:tr w:rsidR="00CC1644" w:rsidRPr="00B5470F" w14:paraId="55ADF0DC" w14:textId="77777777" w:rsidTr="00E44E2B">
        <w:trPr>
          <w:trHeight w:val="624"/>
          <w:jc w:val="center"/>
        </w:trPr>
        <w:tc>
          <w:tcPr>
            <w:tcW w:w="5000" w:type="pct"/>
          </w:tcPr>
          <w:p w14:paraId="345C5822" w14:textId="77777777" w:rsidR="00CC1644" w:rsidRPr="00B5470F" w:rsidRDefault="00CC1644" w:rsidP="00B5470F">
            <w:pPr>
              <w:spacing w:after="0" w:line="240" w:lineRule="auto"/>
              <w:jc w:val="left"/>
              <w:rPr>
                <w:rFonts w:cstheme="minorHAnsi"/>
                <w:b/>
                <w:bCs/>
                <w:lang w:val="en-GB"/>
              </w:rPr>
            </w:pPr>
            <w:r w:rsidRPr="00B5470F">
              <w:rPr>
                <w:rFonts w:cstheme="minorHAnsi"/>
                <w:b/>
                <w:bCs/>
                <w:lang w:val="en-GB"/>
              </w:rPr>
              <w:t>Q2:  Do you have any comments on the requirements proposed in Articles 1, 2, 3 or 4 of the draft RTS?</w:t>
            </w:r>
          </w:p>
        </w:tc>
      </w:tr>
      <w:tr w:rsidR="00CC1644" w:rsidRPr="00B5470F" w14:paraId="07516A9F" w14:textId="77777777" w:rsidTr="00E44E2B">
        <w:trPr>
          <w:trHeight w:val="841"/>
          <w:jc w:val="center"/>
        </w:trPr>
        <w:tc>
          <w:tcPr>
            <w:tcW w:w="5000" w:type="pct"/>
          </w:tcPr>
          <w:p w14:paraId="09AEB5A7" w14:textId="0B06894A" w:rsidR="00DC2DB0" w:rsidRPr="00B5470F" w:rsidRDefault="00DC2DB0" w:rsidP="00372ADF">
            <w:pPr>
              <w:spacing w:after="0" w:line="240" w:lineRule="auto"/>
              <w:rPr>
                <w:rFonts w:cstheme="minorHAnsi"/>
                <w:lang w:val="en-GB"/>
              </w:rPr>
            </w:pPr>
            <w:r w:rsidRPr="00B5470F">
              <w:rPr>
                <w:rFonts w:cstheme="minorHAnsi"/>
                <w:lang w:val="en-GB"/>
              </w:rPr>
              <w:t>Yes</w:t>
            </w:r>
          </w:p>
          <w:p w14:paraId="3B8D1D19" w14:textId="77777777" w:rsidR="00E32FA8" w:rsidRPr="00B5470F" w:rsidRDefault="00E32FA8" w:rsidP="00B5470F">
            <w:pPr>
              <w:spacing w:after="0" w:line="240" w:lineRule="auto"/>
              <w:rPr>
                <w:rFonts w:cstheme="minorHAnsi"/>
                <w:lang w:val="en-GB"/>
              </w:rPr>
            </w:pPr>
          </w:p>
          <w:p w14:paraId="26DCD53C" w14:textId="175409B9" w:rsidR="00DB4FE3" w:rsidRPr="007F70BE" w:rsidRDefault="00DB4FE3" w:rsidP="00B5470F">
            <w:pPr>
              <w:spacing w:after="0" w:line="240" w:lineRule="auto"/>
              <w:rPr>
                <w:rFonts w:cstheme="minorHAnsi"/>
                <w:lang w:val="en-GB"/>
              </w:rPr>
            </w:pPr>
            <w:r w:rsidRPr="00B5470F">
              <w:rPr>
                <w:rFonts w:cstheme="minorHAnsi"/>
                <w:u w:val="single"/>
                <w:lang w:val="en-GB"/>
              </w:rPr>
              <w:t>Article 1(c)</w:t>
            </w:r>
            <w:r w:rsidR="00045255" w:rsidRPr="00B5470F">
              <w:rPr>
                <w:rFonts w:cstheme="minorHAnsi"/>
                <w:u w:val="single"/>
                <w:lang w:val="en-GB"/>
              </w:rPr>
              <w:t xml:space="preserve">: </w:t>
            </w:r>
            <w:r w:rsidRPr="007F70BE">
              <w:rPr>
                <w:rFonts w:cstheme="minorHAnsi"/>
                <w:lang w:val="en-GB"/>
              </w:rPr>
              <w:t>“</w:t>
            </w:r>
            <w:r w:rsidRPr="00B5470F">
              <w:rPr>
                <w:rFonts w:cstheme="minorHAnsi"/>
                <w:i/>
                <w:iCs/>
                <w:lang w:val="en-GB"/>
              </w:rPr>
              <w:t>For the purposes of this Regulation, the following definitions shall apply: […] ‘third-party entity’ means an entity that, based on the arrangements as referred to in Article 34(5) first subparagraph, point (h), of the Regulation (EU) 2023/114, distributes totally or partially the asset-referenced tokens to the public</w:t>
            </w:r>
            <w:r w:rsidRPr="007F70BE">
              <w:rPr>
                <w:rFonts w:cstheme="minorHAnsi"/>
                <w:lang w:val="en-GB"/>
              </w:rPr>
              <w:t>.”</w:t>
            </w:r>
          </w:p>
          <w:p w14:paraId="00ED363E" w14:textId="77777777" w:rsidR="00DB4FE3" w:rsidRPr="007F70BE" w:rsidRDefault="00DB4FE3" w:rsidP="00B5470F">
            <w:pPr>
              <w:spacing w:after="0" w:line="240" w:lineRule="auto"/>
              <w:rPr>
                <w:rFonts w:cstheme="minorHAnsi"/>
                <w:lang w:val="en-GB"/>
              </w:rPr>
            </w:pPr>
          </w:p>
          <w:p w14:paraId="27469B07" w14:textId="77777777" w:rsidR="00DB4FE3" w:rsidRPr="007F70BE" w:rsidRDefault="00DB4FE3" w:rsidP="00B5470F">
            <w:pPr>
              <w:spacing w:after="0" w:line="240" w:lineRule="auto"/>
              <w:ind w:left="720"/>
              <w:rPr>
                <w:rFonts w:cstheme="minorHAnsi"/>
                <w:lang w:val="en-GB"/>
              </w:rPr>
            </w:pPr>
            <w:r w:rsidRPr="007F70BE">
              <w:rPr>
                <w:rFonts w:cstheme="minorHAnsi"/>
                <w:lang w:val="en-GB"/>
              </w:rPr>
              <w:t>The EU Regulation on Markets in Crypto-Assets (“</w:t>
            </w:r>
            <w:proofErr w:type="spellStart"/>
            <w:r w:rsidRPr="007F70BE">
              <w:rPr>
                <w:rFonts w:cstheme="minorHAnsi"/>
                <w:b/>
                <w:bCs/>
                <w:lang w:val="en-GB"/>
              </w:rPr>
              <w:t>MiCA</w:t>
            </w:r>
            <w:proofErr w:type="spellEnd"/>
            <w:r w:rsidRPr="007F70BE">
              <w:rPr>
                <w:rFonts w:cstheme="minorHAnsi"/>
                <w:lang w:val="en-GB"/>
              </w:rPr>
              <w:t>”) classifies crypto-assets into three types (</w:t>
            </w:r>
            <w:hyperlink r:id="rId9" w:history="1">
              <w:r w:rsidRPr="007F70BE">
                <w:rPr>
                  <w:rStyle w:val="Hyperlink"/>
                  <w:rFonts w:cstheme="minorHAnsi"/>
                  <w:lang w:val="en-GB"/>
                </w:rPr>
                <w:t xml:space="preserve">Recital (18) </w:t>
              </w:r>
              <w:proofErr w:type="spellStart"/>
              <w:r w:rsidRPr="007F70BE">
                <w:rPr>
                  <w:rStyle w:val="Hyperlink"/>
                  <w:rFonts w:cstheme="minorHAnsi"/>
                  <w:lang w:val="en-GB"/>
                </w:rPr>
                <w:t>MiCA</w:t>
              </w:r>
              <w:proofErr w:type="spellEnd"/>
            </w:hyperlink>
            <w:r w:rsidRPr="007F70BE">
              <w:rPr>
                <w:rFonts w:cstheme="minorHAnsi"/>
                <w:lang w:val="en-GB"/>
              </w:rPr>
              <w:t>):</w:t>
            </w:r>
          </w:p>
          <w:p w14:paraId="5AB61F5A" w14:textId="77777777" w:rsidR="00DB4FE3" w:rsidRPr="007F70BE" w:rsidRDefault="00DB4FE3" w:rsidP="00B5470F">
            <w:pPr>
              <w:spacing w:after="0" w:line="240" w:lineRule="auto"/>
              <w:ind w:left="720"/>
              <w:rPr>
                <w:rFonts w:cstheme="minorHAnsi"/>
                <w:lang w:val="en-GB"/>
              </w:rPr>
            </w:pPr>
          </w:p>
          <w:p w14:paraId="17DDB3CD" w14:textId="77777777" w:rsidR="00DB4FE3" w:rsidRPr="00B5470F" w:rsidRDefault="00DB4FE3" w:rsidP="00B5470F">
            <w:pPr>
              <w:pStyle w:val="ListParagraph"/>
              <w:numPr>
                <w:ilvl w:val="0"/>
                <w:numId w:val="10"/>
              </w:numPr>
              <w:spacing w:after="0" w:line="240" w:lineRule="auto"/>
              <w:ind w:left="1440"/>
              <w:rPr>
                <w:rFonts w:cstheme="minorHAnsi"/>
                <w:lang w:val="en-GB"/>
              </w:rPr>
            </w:pPr>
            <w:r w:rsidRPr="00B5470F">
              <w:rPr>
                <w:rFonts w:cstheme="minorHAnsi"/>
                <w:lang w:val="en-GB"/>
              </w:rPr>
              <w:t>the first type consists of electronic money tokens (“</w:t>
            </w:r>
            <w:r w:rsidRPr="00B5470F">
              <w:rPr>
                <w:rFonts w:cstheme="minorHAnsi"/>
                <w:b/>
                <w:bCs/>
                <w:lang w:val="en-GB"/>
              </w:rPr>
              <w:t>EMT</w:t>
            </w:r>
            <w:r w:rsidRPr="00B5470F">
              <w:rPr>
                <w:rFonts w:cstheme="minorHAnsi"/>
                <w:lang w:val="en-GB"/>
              </w:rPr>
              <w:t>”</w:t>
            </w:r>
            <w:proofErr w:type="gramStart"/>
            <w:r w:rsidRPr="00B5470F">
              <w:rPr>
                <w:rFonts w:cstheme="minorHAnsi"/>
                <w:lang w:val="en-GB"/>
              </w:rPr>
              <w:t>);</w:t>
            </w:r>
            <w:proofErr w:type="gramEnd"/>
          </w:p>
          <w:p w14:paraId="2F477114" w14:textId="77777777" w:rsidR="00DB4FE3" w:rsidRPr="00B5470F" w:rsidRDefault="00DB4FE3" w:rsidP="00B5470F">
            <w:pPr>
              <w:pStyle w:val="ListParagraph"/>
              <w:numPr>
                <w:ilvl w:val="0"/>
                <w:numId w:val="10"/>
              </w:numPr>
              <w:spacing w:after="0" w:line="240" w:lineRule="auto"/>
              <w:ind w:left="1440"/>
              <w:rPr>
                <w:rFonts w:cstheme="minorHAnsi"/>
                <w:lang w:val="en-GB"/>
              </w:rPr>
            </w:pPr>
            <w:r w:rsidRPr="00B5470F">
              <w:rPr>
                <w:rFonts w:cstheme="minorHAnsi"/>
                <w:lang w:val="en-GB"/>
              </w:rPr>
              <w:t>the second type concerns ‘asset-referenced tokens’ (“</w:t>
            </w:r>
            <w:r w:rsidRPr="00B5470F">
              <w:rPr>
                <w:rFonts w:cstheme="minorHAnsi"/>
                <w:b/>
                <w:bCs/>
                <w:lang w:val="en-GB"/>
              </w:rPr>
              <w:t>ART</w:t>
            </w:r>
            <w:r w:rsidRPr="00B5470F">
              <w:rPr>
                <w:rFonts w:cstheme="minorHAnsi"/>
                <w:lang w:val="en-GB"/>
              </w:rPr>
              <w:t>”); and</w:t>
            </w:r>
          </w:p>
          <w:p w14:paraId="62C9C92E" w14:textId="77777777" w:rsidR="00DB4FE3" w:rsidRPr="00B5470F" w:rsidRDefault="00DB4FE3" w:rsidP="00B5470F">
            <w:pPr>
              <w:pStyle w:val="ListParagraph"/>
              <w:numPr>
                <w:ilvl w:val="0"/>
                <w:numId w:val="10"/>
              </w:numPr>
              <w:spacing w:after="0" w:line="240" w:lineRule="auto"/>
              <w:ind w:left="1440"/>
              <w:rPr>
                <w:rFonts w:cstheme="minorHAnsi"/>
                <w:lang w:val="en-GB"/>
              </w:rPr>
            </w:pPr>
            <w:r w:rsidRPr="00B5470F">
              <w:rPr>
                <w:rFonts w:cstheme="minorHAnsi"/>
                <w:lang w:val="en-GB"/>
              </w:rPr>
              <w:t>the third type consists of crypto-assets other than asset-referenced tokens and e-money tokens and covers a wide variety of crypto-assets (“</w:t>
            </w:r>
            <w:r w:rsidRPr="00B5470F">
              <w:rPr>
                <w:rFonts w:cstheme="minorHAnsi"/>
                <w:b/>
                <w:bCs/>
                <w:lang w:val="en-GB"/>
              </w:rPr>
              <w:t xml:space="preserve">Other Crypto-Assets” </w:t>
            </w:r>
            <w:r w:rsidRPr="00B5470F">
              <w:rPr>
                <w:rFonts w:cstheme="minorHAnsi"/>
                <w:lang w:val="en-GB"/>
              </w:rPr>
              <w:t>or</w:t>
            </w:r>
            <w:r w:rsidRPr="00B5470F">
              <w:rPr>
                <w:rFonts w:cstheme="minorHAnsi"/>
                <w:b/>
                <w:bCs/>
                <w:lang w:val="en-GB"/>
              </w:rPr>
              <w:t xml:space="preserve"> “OCs”</w:t>
            </w:r>
            <w:r w:rsidRPr="00B5470F">
              <w:rPr>
                <w:rFonts w:cstheme="minorHAnsi"/>
                <w:lang w:val="en-GB"/>
              </w:rPr>
              <w:t>).</w:t>
            </w:r>
          </w:p>
          <w:p w14:paraId="60A19685" w14:textId="77777777" w:rsidR="00603934" w:rsidRDefault="00603934" w:rsidP="00B5470F">
            <w:pPr>
              <w:spacing w:after="0" w:line="240" w:lineRule="auto"/>
              <w:ind w:left="720"/>
              <w:rPr>
                <w:rFonts w:cstheme="minorHAnsi"/>
                <w:b/>
                <w:bCs/>
                <w:lang w:val="en-GB"/>
              </w:rPr>
            </w:pPr>
          </w:p>
          <w:p w14:paraId="7237DD66" w14:textId="56323ED7" w:rsidR="00DB4FE3" w:rsidRPr="007F70BE" w:rsidRDefault="00DB4FE3" w:rsidP="00B5470F">
            <w:pPr>
              <w:spacing w:after="0" w:line="240" w:lineRule="auto"/>
              <w:ind w:left="720"/>
              <w:rPr>
                <w:rFonts w:cstheme="minorHAnsi"/>
                <w:lang w:val="en-GB"/>
              </w:rPr>
            </w:pPr>
            <w:r w:rsidRPr="007F70BE">
              <w:rPr>
                <w:rFonts w:cstheme="minorHAnsi"/>
                <w:b/>
                <w:bCs/>
                <w:lang w:val="en-GB"/>
              </w:rPr>
              <w:t>For OCs</w:t>
            </w:r>
            <w:r w:rsidRPr="007F70BE">
              <w:rPr>
                <w:rFonts w:cstheme="minorHAnsi"/>
                <w:lang w:val="en-GB"/>
              </w:rPr>
              <w:t xml:space="preserve">, </w:t>
            </w:r>
            <w:r w:rsidRPr="007F70BE">
              <w:rPr>
                <w:rFonts w:cstheme="minorHAnsi"/>
                <w:b/>
                <w:bCs/>
                <w:u w:val="single"/>
                <w:lang w:val="en-GB"/>
              </w:rPr>
              <w:t>issuers</w:t>
            </w:r>
            <w:r w:rsidRPr="007F70BE">
              <w:rPr>
                <w:rFonts w:cstheme="minorHAnsi"/>
                <w:lang w:val="en-GB"/>
              </w:rPr>
              <w:t xml:space="preserve"> are </w:t>
            </w:r>
            <w:r w:rsidRPr="007F70BE">
              <w:rPr>
                <w:rFonts w:cstheme="minorHAnsi"/>
                <w:b/>
                <w:bCs/>
                <w:u w:val="single"/>
                <w:lang w:val="en-GB"/>
              </w:rPr>
              <w:t>not</w:t>
            </w:r>
            <w:r w:rsidRPr="007F70BE">
              <w:rPr>
                <w:rFonts w:cstheme="minorHAnsi"/>
                <w:lang w:val="en-GB"/>
              </w:rPr>
              <w:t xml:space="preserve"> subject to supervision under </w:t>
            </w:r>
            <w:proofErr w:type="spellStart"/>
            <w:r w:rsidRPr="007F70BE">
              <w:rPr>
                <w:rFonts w:cstheme="minorHAnsi"/>
                <w:lang w:val="en-GB"/>
              </w:rPr>
              <w:t>MiCA</w:t>
            </w:r>
            <w:proofErr w:type="spellEnd"/>
            <w:r w:rsidRPr="007F70BE">
              <w:rPr>
                <w:rFonts w:cstheme="minorHAnsi"/>
                <w:lang w:val="en-GB"/>
              </w:rPr>
              <w:t xml:space="preserve"> </w:t>
            </w:r>
            <w:r w:rsidRPr="007F70BE">
              <w:rPr>
                <w:rFonts w:cstheme="minorHAnsi"/>
                <w:b/>
                <w:bCs/>
                <w:u w:val="single"/>
                <w:lang w:val="en-GB"/>
              </w:rPr>
              <w:t>when</w:t>
            </w:r>
            <w:r w:rsidRPr="007F70BE">
              <w:rPr>
                <w:rFonts w:cstheme="minorHAnsi"/>
                <w:lang w:val="en-GB"/>
              </w:rPr>
              <w:t xml:space="preserve"> the issuer is not an offeror or a person seeking admission to trading (</w:t>
            </w:r>
            <w:hyperlink r:id="rId10" w:history="1">
              <w:r w:rsidRPr="007F70BE">
                <w:rPr>
                  <w:rStyle w:val="Hyperlink"/>
                  <w:rFonts w:cstheme="minorHAnsi"/>
                  <w:lang w:val="en-GB"/>
                </w:rPr>
                <w:t xml:space="preserve">Recital (98) </w:t>
              </w:r>
              <w:proofErr w:type="spellStart"/>
              <w:r w:rsidRPr="007F70BE">
                <w:rPr>
                  <w:rStyle w:val="Hyperlink"/>
                  <w:rFonts w:cstheme="minorHAnsi"/>
                  <w:lang w:val="en-GB"/>
                </w:rPr>
                <w:t>MiCA</w:t>
              </w:r>
              <w:proofErr w:type="spellEnd"/>
            </w:hyperlink>
            <w:r w:rsidRPr="007F70BE">
              <w:rPr>
                <w:rFonts w:cstheme="minorHAnsi"/>
                <w:lang w:val="en-GB"/>
              </w:rPr>
              <w:t xml:space="preserve">). In other words, the offeror of OCs is the one subject to supervision – not the issuers. Therefore, most of </w:t>
            </w:r>
            <w:proofErr w:type="spellStart"/>
            <w:r w:rsidRPr="007F70BE">
              <w:rPr>
                <w:rFonts w:cstheme="minorHAnsi"/>
                <w:lang w:val="en-GB"/>
              </w:rPr>
              <w:t>MiCA’s</w:t>
            </w:r>
            <w:proofErr w:type="spellEnd"/>
            <w:r w:rsidRPr="007F70BE">
              <w:rPr>
                <w:rFonts w:cstheme="minorHAnsi"/>
                <w:lang w:val="en-GB"/>
              </w:rPr>
              <w:t xml:space="preserve"> obligations apply to the offeror of OCs (see </w:t>
            </w:r>
            <w:hyperlink r:id="rId11" w:anchor="d1e2031-40-1" w:history="1">
              <w:r w:rsidRPr="007F70BE">
                <w:rPr>
                  <w:rStyle w:val="Hyperlink"/>
                  <w:rFonts w:cstheme="minorHAnsi"/>
                  <w:lang w:val="en-GB"/>
                </w:rPr>
                <w:t xml:space="preserve">Article 4 and ss. </w:t>
              </w:r>
              <w:proofErr w:type="spellStart"/>
              <w:r w:rsidRPr="007F70BE">
                <w:rPr>
                  <w:rStyle w:val="Hyperlink"/>
                  <w:rFonts w:cstheme="minorHAnsi"/>
                  <w:lang w:val="en-GB"/>
                </w:rPr>
                <w:t>MiCA</w:t>
              </w:r>
              <w:proofErr w:type="spellEnd"/>
            </w:hyperlink>
            <w:r w:rsidRPr="007F70BE">
              <w:rPr>
                <w:rFonts w:cstheme="minorHAnsi"/>
                <w:lang w:val="en-GB"/>
              </w:rPr>
              <w:t xml:space="preserve">). </w:t>
            </w:r>
            <w:r w:rsidRPr="007F70BE">
              <w:rPr>
                <w:rFonts w:cstheme="minorHAnsi"/>
                <w:b/>
                <w:bCs/>
                <w:u w:val="single"/>
                <w:lang w:val="en-GB"/>
              </w:rPr>
              <w:t>One likely reason for this is that offerors maintain a direct contractual relationship / responsibility with the public</w:t>
            </w:r>
            <w:r w:rsidRPr="007F70BE">
              <w:rPr>
                <w:rFonts w:cstheme="minorHAnsi"/>
                <w:lang w:val="en-GB"/>
              </w:rPr>
              <w:t>.</w:t>
            </w:r>
          </w:p>
          <w:p w14:paraId="64357D46" w14:textId="77777777" w:rsidR="00DB4FE3" w:rsidRPr="007F70BE" w:rsidRDefault="00DB4FE3" w:rsidP="00B5470F">
            <w:pPr>
              <w:spacing w:after="0" w:line="240" w:lineRule="auto"/>
              <w:ind w:left="720"/>
              <w:rPr>
                <w:rFonts w:cstheme="minorHAnsi"/>
                <w:lang w:val="en-GB"/>
              </w:rPr>
            </w:pPr>
          </w:p>
          <w:p w14:paraId="7313E3EF" w14:textId="77777777" w:rsidR="00DB4FE3" w:rsidRPr="007F70BE" w:rsidRDefault="00DB4FE3" w:rsidP="00B5470F">
            <w:pPr>
              <w:spacing w:after="0" w:line="240" w:lineRule="auto"/>
              <w:ind w:left="720"/>
              <w:rPr>
                <w:rFonts w:cstheme="minorHAnsi"/>
                <w:b/>
                <w:bCs/>
                <w:u w:val="single"/>
                <w:lang w:val="en-GB"/>
              </w:rPr>
            </w:pPr>
            <w:r w:rsidRPr="007F70BE">
              <w:rPr>
                <w:rFonts w:cstheme="minorHAnsi"/>
                <w:lang w:val="en-GB"/>
              </w:rPr>
              <w:t xml:space="preserve">Conversely, </w:t>
            </w:r>
            <w:r w:rsidRPr="007F70BE">
              <w:rPr>
                <w:rFonts w:cstheme="minorHAnsi"/>
                <w:b/>
                <w:bCs/>
                <w:u w:val="single"/>
                <w:lang w:val="en-GB"/>
              </w:rPr>
              <w:t>for ARTs</w:t>
            </w:r>
            <w:r w:rsidRPr="007F70BE">
              <w:rPr>
                <w:rFonts w:cstheme="minorHAnsi"/>
                <w:lang w:val="en-GB"/>
              </w:rPr>
              <w:t xml:space="preserve">, this logic is shifted. </w:t>
            </w:r>
            <w:proofErr w:type="spellStart"/>
            <w:r w:rsidRPr="007F70BE">
              <w:rPr>
                <w:rFonts w:cstheme="minorHAnsi"/>
                <w:lang w:val="en-GB"/>
              </w:rPr>
              <w:t>MiCA</w:t>
            </w:r>
            <w:proofErr w:type="spellEnd"/>
            <w:r w:rsidRPr="007F70BE">
              <w:rPr>
                <w:rFonts w:cstheme="minorHAnsi"/>
                <w:lang w:val="en-GB"/>
              </w:rPr>
              <w:t xml:space="preserve"> provides that it “lays down rules” for </w:t>
            </w:r>
            <w:r w:rsidRPr="007F70BE">
              <w:rPr>
                <w:rFonts w:cstheme="minorHAnsi"/>
                <w:b/>
                <w:bCs/>
                <w:u w:val="single"/>
                <w:lang w:val="en-GB"/>
              </w:rPr>
              <w:t>offerors</w:t>
            </w:r>
            <w:r w:rsidRPr="007F70BE">
              <w:rPr>
                <w:rFonts w:cstheme="minorHAnsi"/>
                <w:lang w:val="en-GB"/>
              </w:rPr>
              <w:t xml:space="preserve"> of OCs, whereas, with regards to ARTs, it lays down rules for </w:t>
            </w:r>
            <w:r w:rsidRPr="007F70BE">
              <w:rPr>
                <w:rFonts w:cstheme="minorHAnsi"/>
                <w:b/>
                <w:bCs/>
                <w:u w:val="single"/>
                <w:lang w:val="en-GB"/>
              </w:rPr>
              <w:t>issuers</w:t>
            </w:r>
            <w:r w:rsidRPr="007F70BE">
              <w:rPr>
                <w:rFonts w:cstheme="minorHAnsi"/>
                <w:lang w:val="en-GB"/>
              </w:rPr>
              <w:t xml:space="preserve"> (</w:t>
            </w:r>
            <w:hyperlink r:id="rId12" w:history="1">
              <w:r w:rsidRPr="007F70BE">
                <w:rPr>
                  <w:rStyle w:val="Hyperlink"/>
                  <w:rFonts w:cstheme="minorHAnsi"/>
                  <w:lang w:val="en-GB"/>
                </w:rPr>
                <w:t xml:space="preserve">Recital (20) </w:t>
              </w:r>
              <w:proofErr w:type="spellStart"/>
              <w:r w:rsidRPr="007F70BE">
                <w:rPr>
                  <w:rStyle w:val="Hyperlink"/>
                  <w:rFonts w:cstheme="minorHAnsi"/>
                  <w:lang w:val="en-GB"/>
                </w:rPr>
                <w:t>MiCA</w:t>
              </w:r>
              <w:proofErr w:type="spellEnd"/>
            </w:hyperlink>
            <w:r w:rsidRPr="007F70BE">
              <w:rPr>
                <w:rFonts w:cstheme="minorHAnsi"/>
                <w:lang w:val="en-GB"/>
              </w:rPr>
              <w:t xml:space="preserve">). This is namely because, under </w:t>
            </w:r>
            <w:proofErr w:type="spellStart"/>
            <w:r w:rsidRPr="007F70BE">
              <w:rPr>
                <w:rFonts w:cstheme="minorHAnsi"/>
                <w:lang w:val="en-GB"/>
              </w:rPr>
              <w:t>MiCA</w:t>
            </w:r>
            <w:proofErr w:type="spellEnd"/>
            <w:r w:rsidRPr="007F70BE">
              <w:rPr>
                <w:rFonts w:cstheme="minorHAnsi"/>
                <w:lang w:val="en-GB"/>
              </w:rPr>
              <w:t>, the issuer of ARTs is the one who must maintain a reserve of assets (</w:t>
            </w:r>
            <w:hyperlink r:id="rId13" w:anchor="d1e4679-40-1" w:history="1">
              <w:r w:rsidRPr="007F70BE">
                <w:rPr>
                  <w:rStyle w:val="Hyperlink"/>
                  <w:rFonts w:cstheme="minorHAnsi"/>
                  <w:lang w:val="en-GB"/>
                </w:rPr>
                <w:t xml:space="preserve">Article 36 </w:t>
              </w:r>
              <w:proofErr w:type="spellStart"/>
              <w:r w:rsidRPr="007F70BE">
                <w:rPr>
                  <w:rStyle w:val="Hyperlink"/>
                  <w:rFonts w:cstheme="minorHAnsi"/>
                  <w:lang w:val="en-GB"/>
                </w:rPr>
                <w:t>MiCA</w:t>
              </w:r>
              <w:proofErr w:type="spellEnd"/>
            </w:hyperlink>
            <w:r w:rsidRPr="007F70BE">
              <w:rPr>
                <w:rFonts w:cstheme="minorHAnsi"/>
                <w:lang w:val="en-GB"/>
              </w:rPr>
              <w:t xml:space="preserve">) and, consequently, </w:t>
            </w:r>
            <w:r w:rsidRPr="007F70BE">
              <w:rPr>
                <w:rFonts w:cstheme="minorHAnsi"/>
                <w:b/>
                <w:bCs/>
                <w:u w:val="single"/>
                <w:lang w:val="en-GB"/>
              </w:rPr>
              <w:t>the only person who</w:t>
            </w:r>
            <w:r w:rsidRPr="007F70BE">
              <w:rPr>
                <w:rFonts w:cstheme="minorHAnsi"/>
                <w:u w:val="single"/>
                <w:lang w:val="en-GB"/>
              </w:rPr>
              <w:t xml:space="preserve"> </w:t>
            </w:r>
            <w:r w:rsidRPr="007F70BE">
              <w:rPr>
                <w:rFonts w:cstheme="minorHAnsi"/>
                <w:b/>
                <w:bCs/>
                <w:u w:val="single"/>
                <w:lang w:val="en-GB"/>
              </w:rPr>
              <w:t>can offer ARTs to the public</w:t>
            </w:r>
            <w:r w:rsidRPr="007F70BE">
              <w:rPr>
                <w:rFonts w:cstheme="minorHAnsi"/>
                <w:lang w:val="en-GB"/>
              </w:rPr>
              <w:t>: “</w:t>
            </w:r>
            <w:r w:rsidRPr="007F70BE">
              <w:rPr>
                <w:rFonts w:cstheme="minorHAnsi"/>
                <w:i/>
                <w:iCs/>
                <w:lang w:val="en-GB"/>
              </w:rPr>
              <w:t xml:space="preserve">A person shall not </w:t>
            </w:r>
            <w:r w:rsidRPr="007F70BE">
              <w:rPr>
                <w:rFonts w:cstheme="minorHAnsi"/>
                <w:i/>
                <w:iCs/>
                <w:lang w:val="en-GB"/>
              </w:rPr>
              <w:lastRenderedPageBreak/>
              <w:t xml:space="preserve">make an offer to the public, or seek the admission to trading, of an asset-referenced token, within the Union, </w:t>
            </w:r>
            <w:r w:rsidRPr="007F70BE">
              <w:rPr>
                <w:rFonts w:cstheme="minorHAnsi"/>
                <w:b/>
                <w:bCs/>
                <w:i/>
                <w:iCs/>
                <w:u w:val="single"/>
                <w:lang w:val="en-GB"/>
              </w:rPr>
              <w:t>unless</w:t>
            </w:r>
            <w:r w:rsidRPr="007F70BE">
              <w:rPr>
                <w:rFonts w:cstheme="minorHAnsi"/>
                <w:i/>
                <w:iCs/>
                <w:lang w:val="en-GB"/>
              </w:rPr>
              <w:t xml:space="preserve"> that person is the </w:t>
            </w:r>
            <w:r w:rsidRPr="007F70BE">
              <w:rPr>
                <w:rFonts w:cstheme="minorHAnsi"/>
                <w:b/>
                <w:bCs/>
                <w:i/>
                <w:iCs/>
                <w:u w:val="single"/>
                <w:lang w:val="en-GB"/>
              </w:rPr>
              <w:t>issuer</w:t>
            </w:r>
            <w:r w:rsidRPr="007F70BE">
              <w:rPr>
                <w:rFonts w:cstheme="minorHAnsi"/>
                <w:i/>
                <w:iCs/>
                <w:lang w:val="en-GB"/>
              </w:rPr>
              <w:t xml:space="preserve"> of that asset-referenced token and […]</w:t>
            </w:r>
            <w:r w:rsidRPr="007F70BE">
              <w:rPr>
                <w:rFonts w:cstheme="minorHAnsi"/>
                <w:lang w:val="en-GB"/>
              </w:rPr>
              <w:t>” (</w:t>
            </w:r>
            <w:hyperlink r:id="rId14" w:anchor="d1e2951-40-1" w:history="1">
              <w:r w:rsidRPr="007F70BE">
                <w:rPr>
                  <w:rStyle w:val="Hyperlink"/>
                  <w:rFonts w:cstheme="minorHAnsi"/>
                  <w:lang w:val="en-GB"/>
                </w:rPr>
                <w:t xml:space="preserve">Article 16-1 </w:t>
              </w:r>
              <w:proofErr w:type="spellStart"/>
              <w:r w:rsidRPr="007F70BE">
                <w:rPr>
                  <w:rStyle w:val="Hyperlink"/>
                  <w:rFonts w:cstheme="minorHAnsi"/>
                  <w:lang w:val="en-GB"/>
                </w:rPr>
                <w:t>MiCA</w:t>
              </w:r>
              <w:proofErr w:type="spellEnd"/>
            </w:hyperlink>
            <w:r w:rsidRPr="007F70BE">
              <w:rPr>
                <w:rFonts w:cstheme="minorHAnsi"/>
                <w:lang w:val="en-GB"/>
              </w:rPr>
              <w:t>).</w:t>
            </w:r>
          </w:p>
          <w:p w14:paraId="5D1C2B2D" w14:textId="77777777" w:rsidR="00DB4FE3" w:rsidRPr="007F70BE" w:rsidRDefault="00DB4FE3" w:rsidP="00B5470F">
            <w:pPr>
              <w:spacing w:after="0" w:line="240" w:lineRule="auto"/>
              <w:ind w:left="720"/>
              <w:rPr>
                <w:rFonts w:cstheme="minorHAnsi"/>
                <w:lang w:val="en-GB"/>
              </w:rPr>
            </w:pPr>
          </w:p>
          <w:p w14:paraId="1CB15828" w14:textId="77777777" w:rsidR="00DB4FE3" w:rsidRPr="007F70BE" w:rsidRDefault="00DB4FE3" w:rsidP="00B5470F">
            <w:pPr>
              <w:spacing w:after="0" w:line="240" w:lineRule="auto"/>
              <w:ind w:left="720"/>
              <w:rPr>
                <w:rFonts w:cstheme="minorHAnsi"/>
                <w:lang w:val="en-GB"/>
              </w:rPr>
            </w:pPr>
            <w:r w:rsidRPr="007F70BE">
              <w:rPr>
                <w:rFonts w:cstheme="minorHAnsi"/>
                <w:lang w:val="en-GB"/>
              </w:rPr>
              <w:t xml:space="preserve">However, some exceptions to this rule are provided by </w:t>
            </w:r>
            <w:proofErr w:type="spellStart"/>
            <w:r w:rsidRPr="007F70BE">
              <w:rPr>
                <w:rFonts w:cstheme="minorHAnsi"/>
                <w:lang w:val="en-GB"/>
              </w:rPr>
              <w:t>MiCA</w:t>
            </w:r>
            <w:proofErr w:type="spellEnd"/>
            <w:r w:rsidRPr="007F70BE">
              <w:rPr>
                <w:rFonts w:cstheme="minorHAnsi"/>
                <w:lang w:val="en-GB"/>
              </w:rPr>
              <w:t>. For instance, third-party entities may, based on arrangements, make a distribution of ARTs to the public (</w:t>
            </w:r>
            <w:hyperlink r:id="rId15" w:anchor="d1e4307-40-1" w:history="1">
              <w:r w:rsidRPr="007F70BE">
                <w:rPr>
                  <w:rStyle w:val="Hyperlink"/>
                  <w:rFonts w:cstheme="minorHAnsi"/>
                  <w:lang w:val="en-GB"/>
                </w:rPr>
                <w:t xml:space="preserve">Article 34-5(h) </w:t>
              </w:r>
              <w:proofErr w:type="spellStart"/>
              <w:r w:rsidRPr="007F70BE">
                <w:rPr>
                  <w:rStyle w:val="Hyperlink"/>
                  <w:rFonts w:cstheme="minorHAnsi"/>
                  <w:lang w:val="en-GB"/>
                </w:rPr>
                <w:t>MiCA</w:t>
              </w:r>
              <w:proofErr w:type="spellEnd"/>
            </w:hyperlink>
            <w:r w:rsidRPr="007F70BE">
              <w:rPr>
                <w:rFonts w:cstheme="minorHAnsi"/>
                <w:lang w:val="en-GB"/>
              </w:rPr>
              <w:t>). The offer (or distribution) to the public is made by these third-party entities, rather than by the ARTs issuer, who would then have a direct contractual relationship with the holders of ARTs (</w:t>
            </w:r>
            <w:hyperlink r:id="rId16" w:history="1">
              <w:r w:rsidRPr="007F70BE">
                <w:rPr>
                  <w:rStyle w:val="Hyperlink"/>
                  <w:rFonts w:cstheme="minorHAnsi"/>
                  <w:lang w:val="en-GB"/>
                </w:rPr>
                <w:t>Draft Consultation Paper, page 5</w:t>
              </w:r>
            </w:hyperlink>
            <w:r w:rsidRPr="007F70BE">
              <w:rPr>
                <w:rFonts w:cstheme="minorHAnsi"/>
                <w:lang w:val="en-GB"/>
              </w:rPr>
              <w:t>). Thus, these third-party entities should be subject to specific provisions, particularly with regards to complaint handling. The Delegated Regulation duly addresses this – see Articles 1(c) and 6 of the Delegated Regulation.</w:t>
            </w:r>
          </w:p>
          <w:p w14:paraId="5A8FC534" w14:textId="77777777" w:rsidR="00DB4FE3" w:rsidRPr="007F70BE" w:rsidRDefault="00DB4FE3" w:rsidP="00B5470F">
            <w:pPr>
              <w:spacing w:after="0" w:line="240" w:lineRule="auto"/>
              <w:ind w:left="720"/>
              <w:rPr>
                <w:rFonts w:cstheme="minorHAnsi"/>
                <w:lang w:val="en-GB"/>
              </w:rPr>
            </w:pPr>
          </w:p>
          <w:p w14:paraId="588D5174" w14:textId="77777777" w:rsidR="00DB4FE3" w:rsidRPr="007F70BE" w:rsidRDefault="00DB4FE3" w:rsidP="00B5470F">
            <w:pPr>
              <w:spacing w:after="0" w:line="240" w:lineRule="auto"/>
              <w:ind w:left="720"/>
              <w:rPr>
                <w:rFonts w:cstheme="minorHAnsi"/>
                <w:lang w:val="en-GB"/>
              </w:rPr>
            </w:pPr>
            <w:r w:rsidRPr="007F70BE">
              <w:rPr>
                <w:rFonts w:cstheme="minorHAnsi"/>
                <w:lang w:val="en-GB"/>
              </w:rPr>
              <w:t xml:space="preserve">Nevertheless, these third-party entities are not the only exception. </w:t>
            </w:r>
            <w:hyperlink r:id="rId17" w:anchor="d1e4307-40-1" w:history="1">
              <w:r w:rsidRPr="007F70BE">
                <w:rPr>
                  <w:rStyle w:val="Hyperlink"/>
                  <w:rFonts w:cstheme="minorHAnsi"/>
                  <w:lang w:val="en-GB"/>
                </w:rPr>
                <w:t>Article 34-5(</w:t>
              </w:r>
              <w:proofErr w:type="spellStart"/>
              <w:r w:rsidRPr="007F70BE">
                <w:rPr>
                  <w:rStyle w:val="Hyperlink"/>
                  <w:rFonts w:cstheme="minorHAnsi"/>
                  <w:lang w:val="en-GB"/>
                </w:rPr>
                <w:t>i</w:t>
              </w:r>
              <w:proofErr w:type="spellEnd"/>
              <w:r w:rsidRPr="007F70BE">
                <w:rPr>
                  <w:rStyle w:val="Hyperlink"/>
                  <w:rFonts w:cstheme="minorHAnsi"/>
                  <w:lang w:val="en-GB"/>
                </w:rPr>
                <w:t xml:space="preserve">) </w:t>
              </w:r>
              <w:proofErr w:type="spellStart"/>
              <w:r w:rsidRPr="007F70BE">
                <w:rPr>
                  <w:rStyle w:val="Hyperlink"/>
                  <w:rFonts w:cstheme="minorHAnsi"/>
                  <w:lang w:val="en-GB"/>
                </w:rPr>
                <w:t>MiCA</w:t>
              </w:r>
              <w:proofErr w:type="spellEnd"/>
            </w:hyperlink>
            <w:r w:rsidRPr="007F70BE">
              <w:rPr>
                <w:rFonts w:cstheme="minorHAnsi"/>
                <w:lang w:val="en-GB"/>
              </w:rPr>
              <w:t xml:space="preserve"> further mentions some “other persons” who, based on a “written consent of the issuer of ARTs”, might </w:t>
            </w:r>
            <w:r w:rsidRPr="007F70BE">
              <w:rPr>
                <w:rFonts w:cstheme="minorHAnsi"/>
                <w:b/>
                <w:bCs/>
                <w:u w:val="single"/>
                <w:lang w:val="en-GB"/>
              </w:rPr>
              <w:t>offer</w:t>
            </w:r>
            <w:r w:rsidRPr="007F70BE">
              <w:rPr>
                <w:rFonts w:cstheme="minorHAnsi"/>
                <w:lang w:val="en-GB"/>
              </w:rPr>
              <w:t xml:space="preserve"> ARTs. It is understood that this offer of ARTs is an “offer to the public” (</w:t>
            </w:r>
            <w:hyperlink r:id="rId18" w:anchor="d1e2951-40-1" w:history="1">
              <w:r w:rsidRPr="007F70BE">
                <w:rPr>
                  <w:rStyle w:val="Hyperlink"/>
                  <w:rFonts w:cstheme="minorHAnsi"/>
                  <w:lang w:val="en-GB"/>
                </w:rPr>
                <w:t xml:space="preserve">Article 16-1, para. 2, </w:t>
              </w:r>
              <w:proofErr w:type="spellStart"/>
              <w:r w:rsidRPr="007F70BE">
                <w:rPr>
                  <w:rStyle w:val="Hyperlink"/>
                  <w:rFonts w:cstheme="minorHAnsi"/>
                  <w:lang w:val="en-GB"/>
                </w:rPr>
                <w:t>MiCA</w:t>
              </w:r>
              <w:proofErr w:type="spellEnd"/>
            </w:hyperlink>
            <w:r w:rsidRPr="007F70BE">
              <w:rPr>
                <w:rFonts w:cstheme="minorHAnsi"/>
                <w:lang w:val="en-GB"/>
              </w:rPr>
              <w:t>). Having regard to this, it appears to us that:</w:t>
            </w:r>
          </w:p>
          <w:p w14:paraId="407AA8C1" w14:textId="77777777" w:rsidR="00DB4FE3" w:rsidRPr="007F70BE" w:rsidRDefault="00DB4FE3" w:rsidP="00B5470F">
            <w:pPr>
              <w:spacing w:after="0" w:line="240" w:lineRule="auto"/>
              <w:ind w:left="720"/>
              <w:rPr>
                <w:rFonts w:cstheme="minorHAnsi"/>
                <w:lang w:val="en-GB"/>
              </w:rPr>
            </w:pPr>
          </w:p>
          <w:p w14:paraId="3CA8D73E" w14:textId="77777777" w:rsidR="00DB4FE3" w:rsidRPr="00B5470F" w:rsidRDefault="00DB4FE3" w:rsidP="00B5470F">
            <w:pPr>
              <w:pStyle w:val="ListParagraph"/>
              <w:numPr>
                <w:ilvl w:val="0"/>
                <w:numId w:val="9"/>
              </w:numPr>
              <w:spacing w:after="0" w:line="240" w:lineRule="auto"/>
              <w:ind w:left="1440"/>
              <w:rPr>
                <w:rFonts w:cstheme="minorHAnsi"/>
                <w:lang w:val="en-GB"/>
              </w:rPr>
            </w:pPr>
            <w:r w:rsidRPr="00B5470F">
              <w:rPr>
                <w:rFonts w:cstheme="minorHAnsi"/>
                <w:lang w:val="en-GB"/>
              </w:rPr>
              <w:t>these “other persons” (of Article 34-5</w:t>
            </w:r>
            <w:r w:rsidRPr="00B5470F">
              <w:rPr>
                <w:rFonts w:cstheme="minorHAnsi"/>
                <w:b/>
                <w:bCs/>
                <w:lang w:val="en-GB"/>
              </w:rPr>
              <w:t>(</w:t>
            </w:r>
            <w:proofErr w:type="spellStart"/>
            <w:r w:rsidRPr="00B5470F">
              <w:rPr>
                <w:rFonts w:cstheme="minorHAnsi"/>
                <w:b/>
                <w:bCs/>
                <w:lang w:val="en-GB"/>
              </w:rPr>
              <w:t>i</w:t>
            </w:r>
            <w:proofErr w:type="spellEnd"/>
            <w:r w:rsidRPr="00B5470F">
              <w:rPr>
                <w:rFonts w:cstheme="minorHAnsi"/>
                <w:b/>
                <w:bCs/>
                <w:lang w:val="en-GB"/>
              </w:rPr>
              <w:t>)</w:t>
            </w:r>
            <w:r w:rsidRPr="00B5470F">
              <w:rPr>
                <w:rFonts w:cstheme="minorHAnsi"/>
                <w:lang w:val="en-GB"/>
              </w:rPr>
              <w:t xml:space="preserve"> </w:t>
            </w:r>
            <w:proofErr w:type="spellStart"/>
            <w:r w:rsidRPr="00B5470F">
              <w:rPr>
                <w:rFonts w:cstheme="minorHAnsi"/>
                <w:lang w:val="en-GB"/>
              </w:rPr>
              <w:t>MiCA</w:t>
            </w:r>
            <w:proofErr w:type="spellEnd"/>
            <w:r w:rsidRPr="00B5470F">
              <w:rPr>
                <w:rFonts w:cstheme="minorHAnsi"/>
                <w:lang w:val="en-GB"/>
              </w:rPr>
              <w:t>) align with the “third-party entities” (of Article 34-5</w:t>
            </w:r>
            <w:r w:rsidRPr="00B5470F">
              <w:rPr>
                <w:rFonts w:cstheme="minorHAnsi"/>
                <w:b/>
                <w:bCs/>
                <w:lang w:val="en-GB"/>
              </w:rPr>
              <w:t xml:space="preserve">(h) </w:t>
            </w:r>
            <w:proofErr w:type="spellStart"/>
            <w:r w:rsidRPr="00B5470F">
              <w:rPr>
                <w:rFonts w:cstheme="minorHAnsi"/>
                <w:lang w:val="en-GB"/>
              </w:rPr>
              <w:t>MiCA</w:t>
            </w:r>
            <w:proofErr w:type="spellEnd"/>
            <w:proofErr w:type="gramStart"/>
            <w:r w:rsidRPr="00B5470F">
              <w:rPr>
                <w:rFonts w:cstheme="minorHAnsi"/>
                <w:lang w:val="en-GB"/>
              </w:rPr>
              <w:t>);</w:t>
            </w:r>
            <w:proofErr w:type="gramEnd"/>
          </w:p>
          <w:p w14:paraId="34564B47" w14:textId="77777777" w:rsidR="00DB4FE3" w:rsidRPr="00B5470F" w:rsidRDefault="00DB4FE3" w:rsidP="00B5470F">
            <w:pPr>
              <w:pStyle w:val="ListParagraph"/>
              <w:numPr>
                <w:ilvl w:val="0"/>
                <w:numId w:val="9"/>
              </w:numPr>
              <w:spacing w:after="0" w:line="240" w:lineRule="auto"/>
              <w:ind w:left="1440"/>
              <w:rPr>
                <w:rFonts w:cstheme="minorHAnsi"/>
                <w:lang w:val="en-GB"/>
              </w:rPr>
            </w:pPr>
            <w:r w:rsidRPr="00B5470F">
              <w:rPr>
                <w:rFonts w:cstheme="minorHAnsi"/>
                <w:lang w:val="en-GB"/>
              </w:rPr>
              <w:t>this “written consent” (of Article 34-5</w:t>
            </w:r>
            <w:r w:rsidRPr="00B5470F">
              <w:rPr>
                <w:rFonts w:cstheme="minorHAnsi"/>
                <w:b/>
                <w:bCs/>
                <w:lang w:val="en-GB"/>
              </w:rPr>
              <w:t>(</w:t>
            </w:r>
            <w:proofErr w:type="spellStart"/>
            <w:r w:rsidRPr="00B5470F">
              <w:rPr>
                <w:rFonts w:cstheme="minorHAnsi"/>
                <w:b/>
                <w:bCs/>
                <w:lang w:val="en-GB"/>
              </w:rPr>
              <w:t>i</w:t>
            </w:r>
            <w:proofErr w:type="spellEnd"/>
            <w:r w:rsidRPr="00B5470F">
              <w:rPr>
                <w:rFonts w:cstheme="minorHAnsi"/>
                <w:b/>
                <w:bCs/>
                <w:lang w:val="en-GB"/>
              </w:rPr>
              <w:t>)</w:t>
            </w:r>
            <w:r w:rsidRPr="00B5470F">
              <w:rPr>
                <w:rFonts w:cstheme="minorHAnsi"/>
                <w:lang w:val="en-GB"/>
              </w:rPr>
              <w:t xml:space="preserve"> </w:t>
            </w:r>
            <w:proofErr w:type="spellStart"/>
            <w:r w:rsidRPr="00B5470F">
              <w:rPr>
                <w:rFonts w:cstheme="minorHAnsi"/>
                <w:lang w:val="en-GB"/>
              </w:rPr>
              <w:t>MiCA</w:t>
            </w:r>
            <w:proofErr w:type="spellEnd"/>
            <w:r w:rsidRPr="00B5470F">
              <w:rPr>
                <w:rFonts w:cstheme="minorHAnsi"/>
                <w:lang w:val="en-GB"/>
              </w:rPr>
              <w:t>) aligns with the “arrangements” (of Article 34-5</w:t>
            </w:r>
            <w:r w:rsidRPr="00B5470F">
              <w:rPr>
                <w:rFonts w:cstheme="minorHAnsi"/>
                <w:b/>
                <w:bCs/>
                <w:lang w:val="en-GB"/>
              </w:rPr>
              <w:t>(h)</w:t>
            </w:r>
            <w:r w:rsidRPr="00B5470F">
              <w:rPr>
                <w:rFonts w:cstheme="minorHAnsi"/>
                <w:lang w:val="en-GB"/>
              </w:rPr>
              <w:t xml:space="preserve"> </w:t>
            </w:r>
            <w:proofErr w:type="spellStart"/>
            <w:r w:rsidRPr="00B5470F">
              <w:rPr>
                <w:rFonts w:cstheme="minorHAnsi"/>
                <w:lang w:val="en-GB"/>
              </w:rPr>
              <w:t>MiCA</w:t>
            </w:r>
            <w:proofErr w:type="spellEnd"/>
            <w:r w:rsidRPr="00B5470F">
              <w:rPr>
                <w:rFonts w:cstheme="minorHAnsi"/>
                <w:lang w:val="en-GB"/>
              </w:rPr>
              <w:t xml:space="preserve">); and </w:t>
            </w:r>
          </w:p>
          <w:p w14:paraId="6D92AFE4" w14:textId="77777777" w:rsidR="00DB4FE3" w:rsidRPr="00B5470F" w:rsidRDefault="00DB4FE3" w:rsidP="00B5470F">
            <w:pPr>
              <w:pStyle w:val="ListParagraph"/>
              <w:numPr>
                <w:ilvl w:val="0"/>
                <w:numId w:val="9"/>
              </w:numPr>
              <w:spacing w:after="0" w:line="240" w:lineRule="auto"/>
              <w:ind w:left="1440"/>
              <w:rPr>
                <w:rFonts w:cstheme="minorHAnsi"/>
                <w:lang w:val="en-GB"/>
              </w:rPr>
            </w:pPr>
            <w:r w:rsidRPr="00B5470F">
              <w:rPr>
                <w:rFonts w:cstheme="minorHAnsi"/>
                <w:lang w:val="en-GB"/>
              </w:rPr>
              <w:t>this “offer to the public” (of Article 34-5</w:t>
            </w:r>
            <w:r w:rsidRPr="00B5470F">
              <w:rPr>
                <w:rFonts w:cstheme="minorHAnsi"/>
                <w:b/>
                <w:bCs/>
                <w:lang w:val="en-GB"/>
              </w:rPr>
              <w:t>(</w:t>
            </w:r>
            <w:proofErr w:type="spellStart"/>
            <w:r w:rsidRPr="00B5470F">
              <w:rPr>
                <w:rFonts w:cstheme="minorHAnsi"/>
                <w:b/>
                <w:bCs/>
                <w:lang w:val="en-GB"/>
              </w:rPr>
              <w:t>i</w:t>
            </w:r>
            <w:proofErr w:type="spellEnd"/>
            <w:r w:rsidRPr="00B5470F">
              <w:rPr>
                <w:rFonts w:cstheme="minorHAnsi"/>
                <w:b/>
                <w:bCs/>
                <w:lang w:val="en-GB"/>
              </w:rPr>
              <w:t>)</w:t>
            </w:r>
            <w:r w:rsidRPr="00B5470F">
              <w:rPr>
                <w:rFonts w:cstheme="minorHAnsi"/>
                <w:lang w:val="en-GB"/>
              </w:rPr>
              <w:t xml:space="preserve"> </w:t>
            </w:r>
            <w:proofErr w:type="spellStart"/>
            <w:r w:rsidRPr="00B5470F">
              <w:rPr>
                <w:rFonts w:cstheme="minorHAnsi"/>
                <w:lang w:val="en-GB"/>
              </w:rPr>
              <w:t>MiCA</w:t>
            </w:r>
            <w:proofErr w:type="spellEnd"/>
            <w:r w:rsidRPr="00B5470F">
              <w:rPr>
                <w:rFonts w:cstheme="minorHAnsi"/>
                <w:lang w:val="en-GB"/>
              </w:rPr>
              <w:t>) is equivalent to the “the distribution to the public” (of Article 34-5</w:t>
            </w:r>
            <w:r w:rsidRPr="00B5470F">
              <w:rPr>
                <w:rFonts w:cstheme="minorHAnsi"/>
                <w:b/>
                <w:bCs/>
                <w:lang w:val="en-GB"/>
              </w:rPr>
              <w:t>(h)</w:t>
            </w:r>
            <w:r w:rsidRPr="00B5470F">
              <w:rPr>
                <w:rFonts w:cstheme="minorHAnsi"/>
                <w:lang w:val="en-GB"/>
              </w:rPr>
              <w:t xml:space="preserve"> </w:t>
            </w:r>
            <w:proofErr w:type="spellStart"/>
            <w:r w:rsidRPr="00B5470F">
              <w:rPr>
                <w:rFonts w:cstheme="minorHAnsi"/>
                <w:lang w:val="en-GB"/>
              </w:rPr>
              <w:t>MiCA</w:t>
            </w:r>
            <w:proofErr w:type="spellEnd"/>
            <w:r w:rsidRPr="00B5470F">
              <w:rPr>
                <w:rFonts w:cstheme="minorHAnsi"/>
                <w:lang w:val="en-GB"/>
              </w:rPr>
              <w:t>).</w:t>
            </w:r>
          </w:p>
          <w:p w14:paraId="1A848BF9" w14:textId="77777777" w:rsidR="001D15E1" w:rsidRPr="00B5470F" w:rsidRDefault="001D15E1" w:rsidP="00B5470F">
            <w:pPr>
              <w:spacing w:after="0" w:line="240" w:lineRule="auto"/>
              <w:ind w:left="720"/>
              <w:rPr>
                <w:rFonts w:cstheme="minorHAnsi"/>
                <w:b/>
                <w:bCs/>
                <w:lang w:val="en-GB"/>
              </w:rPr>
            </w:pPr>
          </w:p>
          <w:p w14:paraId="2F72BA83" w14:textId="3A1D8BAF" w:rsidR="00DB4FE3" w:rsidRPr="007F70BE" w:rsidRDefault="00DB4FE3" w:rsidP="00B5470F">
            <w:pPr>
              <w:spacing w:after="0" w:line="240" w:lineRule="auto"/>
              <w:ind w:left="720"/>
              <w:rPr>
                <w:rFonts w:cstheme="minorHAnsi"/>
                <w:lang w:val="en-GB"/>
              </w:rPr>
            </w:pPr>
            <w:r w:rsidRPr="007F70BE">
              <w:rPr>
                <w:rFonts w:cstheme="minorHAnsi"/>
                <w:b/>
                <w:bCs/>
                <w:lang w:val="en-GB"/>
              </w:rPr>
              <w:t>SUGGESTION</w:t>
            </w:r>
            <w:r w:rsidRPr="007F70BE">
              <w:rPr>
                <w:rFonts w:cstheme="minorHAnsi"/>
                <w:lang w:val="en-GB"/>
              </w:rPr>
              <w:t xml:space="preserve">: It is unclear whether the term “other persons” refers to the same persons as the “third-party entities”. To avoid any possible legal loopholes in the Delegated Regulation, and discrimination between analogue situations, we suggest including these “other persons” (of </w:t>
            </w:r>
            <w:hyperlink r:id="rId19" w:anchor="d1e4307-40-1" w:history="1">
              <w:r w:rsidRPr="007F70BE">
                <w:rPr>
                  <w:rStyle w:val="Hyperlink"/>
                  <w:rFonts w:cstheme="minorHAnsi"/>
                  <w:lang w:val="en-GB"/>
                </w:rPr>
                <w:t>Articles 34-5(</w:t>
              </w:r>
              <w:proofErr w:type="spellStart"/>
              <w:r w:rsidRPr="007F70BE">
                <w:rPr>
                  <w:rStyle w:val="Hyperlink"/>
                  <w:rFonts w:cstheme="minorHAnsi"/>
                  <w:lang w:val="en-GB"/>
                </w:rPr>
                <w:t>i</w:t>
              </w:r>
              <w:proofErr w:type="spellEnd"/>
              <w:r w:rsidRPr="007F70BE">
                <w:rPr>
                  <w:rStyle w:val="Hyperlink"/>
                  <w:rFonts w:cstheme="minorHAnsi"/>
                  <w:lang w:val="en-GB"/>
                </w:rPr>
                <w:t xml:space="preserve">) </w:t>
              </w:r>
              <w:proofErr w:type="spellStart"/>
              <w:r w:rsidRPr="007F70BE">
                <w:rPr>
                  <w:rStyle w:val="Hyperlink"/>
                  <w:rFonts w:cstheme="minorHAnsi"/>
                  <w:lang w:val="en-GB"/>
                </w:rPr>
                <w:t>MiCA</w:t>
              </w:r>
              <w:proofErr w:type="spellEnd"/>
            </w:hyperlink>
            <w:r w:rsidRPr="007F70BE">
              <w:rPr>
                <w:rFonts w:cstheme="minorHAnsi"/>
                <w:lang w:val="en-GB"/>
              </w:rPr>
              <w:t xml:space="preserve"> and </w:t>
            </w:r>
            <w:hyperlink r:id="rId20" w:anchor="d1e2951-40-1" w:history="1">
              <w:r w:rsidRPr="007F70BE">
                <w:rPr>
                  <w:rStyle w:val="Hyperlink"/>
                  <w:rFonts w:cstheme="minorHAnsi"/>
                  <w:lang w:val="en-GB"/>
                </w:rPr>
                <w:t xml:space="preserve">16-1, para. 2, </w:t>
              </w:r>
              <w:proofErr w:type="spellStart"/>
              <w:r w:rsidRPr="007F70BE">
                <w:rPr>
                  <w:rStyle w:val="Hyperlink"/>
                  <w:rFonts w:cstheme="minorHAnsi"/>
                  <w:lang w:val="en-GB"/>
                </w:rPr>
                <w:t>MiCA</w:t>
              </w:r>
              <w:proofErr w:type="spellEnd"/>
            </w:hyperlink>
            <w:r w:rsidRPr="007F70BE">
              <w:rPr>
                <w:rFonts w:cstheme="minorHAnsi"/>
                <w:lang w:val="en-GB"/>
              </w:rPr>
              <w:t>) in the definition of “third-party entity” of the Delegated Regulation.</w:t>
            </w:r>
          </w:p>
          <w:p w14:paraId="5F69F0A8" w14:textId="77777777" w:rsidR="00DB4FE3" w:rsidRPr="007F70BE" w:rsidRDefault="00DB4FE3" w:rsidP="00B5470F">
            <w:pPr>
              <w:spacing w:after="0" w:line="240" w:lineRule="auto"/>
              <w:ind w:left="720"/>
              <w:rPr>
                <w:rFonts w:cstheme="minorHAnsi"/>
                <w:lang w:val="en-GB"/>
              </w:rPr>
            </w:pPr>
          </w:p>
          <w:p w14:paraId="7E42384A" w14:textId="77777777" w:rsidR="00DB4FE3" w:rsidRPr="007F70BE" w:rsidRDefault="00DB4FE3" w:rsidP="00B5470F">
            <w:pPr>
              <w:spacing w:after="0" w:line="240" w:lineRule="auto"/>
              <w:ind w:left="720"/>
              <w:rPr>
                <w:rFonts w:cstheme="minorHAnsi"/>
                <w:lang w:val="en-GB"/>
              </w:rPr>
            </w:pPr>
            <w:r w:rsidRPr="007F70BE">
              <w:rPr>
                <w:rFonts w:cstheme="minorHAnsi"/>
                <w:lang w:val="en-GB"/>
              </w:rPr>
              <w:t xml:space="preserve">It is also noteworthy that </w:t>
            </w:r>
            <w:hyperlink r:id="rId21" w:anchor="d1e4174-40-1" w:history="1">
              <w:r w:rsidRPr="007F70BE">
                <w:rPr>
                  <w:rStyle w:val="Hyperlink"/>
                  <w:rFonts w:cstheme="minorHAnsi"/>
                  <w:lang w:val="en-GB"/>
                </w:rPr>
                <w:t xml:space="preserve">Article 31-5 </w:t>
              </w:r>
              <w:proofErr w:type="spellStart"/>
              <w:r w:rsidRPr="007F70BE">
                <w:rPr>
                  <w:rStyle w:val="Hyperlink"/>
                  <w:rFonts w:cstheme="minorHAnsi"/>
                  <w:lang w:val="en-GB"/>
                </w:rPr>
                <w:t>MiCA</w:t>
              </w:r>
              <w:proofErr w:type="spellEnd"/>
            </w:hyperlink>
            <w:r w:rsidRPr="007F70BE">
              <w:rPr>
                <w:rFonts w:cstheme="minorHAnsi"/>
                <w:lang w:val="en-GB"/>
              </w:rPr>
              <w:t>, which serves as the legal basis for the Delegated Regulation, provides that the “</w:t>
            </w:r>
            <w:r w:rsidRPr="007F70BE">
              <w:rPr>
                <w:rFonts w:cstheme="minorHAnsi"/>
                <w:i/>
                <w:iCs/>
                <w:lang w:val="en-GB"/>
              </w:rPr>
              <w:t>EBA, in close cooperation with ESMA, shall develop draft regulatory technical standards to further specify the requirements, templates and procedures for handling complaint</w:t>
            </w:r>
            <w:r w:rsidRPr="007F70BE">
              <w:rPr>
                <w:rFonts w:cstheme="minorHAnsi"/>
                <w:lang w:val="en-GB"/>
              </w:rPr>
              <w:t>”. This article does not restrict the “requirements” or “procedures” to issuers, nor to “third-party entities”, and may therefore be extended to “other persons”.</w:t>
            </w:r>
          </w:p>
          <w:p w14:paraId="4D76783A" w14:textId="77777777" w:rsidR="00DB4FE3" w:rsidRPr="007F70BE" w:rsidRDefault="00DB4FE3" w:rsidP="00B5470F">
            <w:pPr>
              <w:spacing w:after="0" w:line="240" w:lineRule="auto"/>
              <w:ind w:left="720"/>
              <w:rPr>
                <w:rFonts w:cstheme="minorHAnsi"/>
                <w:lang w:val="en-GB"/>
              </w:rPr>
            </w:pPr>
          </w:p>
          <w:p w14:paraId="54EF20F6" w14:textId="2B1DBFBE" w:rsidR="00DB4FE3" w:rsidRPr="007F70BE" w:rsidRDefault="00882A3B" w:rsidP="00B5470F">
            <w:pPr>
              <w:spacing w:after="0" w:line="240" w:lineRule="auto"/>
              <w:ind w:left="720"/>
              <w:rPr>
                <w:rFonts w:cstheme="minorHAnsi"/>
                <w:lang w:val="en-GB"/>
              </w:rPr>
            </w:pPr>
            <w:r w:rsidRPr="00B5470F">
              <w:rPr>
                <w:rFonts w:cstheme="minorHAnsi"/>
                <w:b/>
                <w:bCs/>
                <w:lang w:val="en-GB"/>
              </w:rPr>
              <w:t>Other</w:t>
            </w:r>
            <w:r w:rsidR="00DB4FE3" w:rsidRPr="00B5470F">
              <w:rPr>
                <w:rFonts w:cstheme="minorHAnsi"/>
                <w:b/>
                <w:bCs/>
                <w:lang w:val="en-GB"/>
              </w:rPr>
              <w:t xml:space="preserve"> point </w:t>
            </w:r>
            <w:r w:rsidRPr="00B5470F">
              <w:rPr>
                <w:rFonts w:cstheme="minorHAnsi"/>
                <w:b/>
                <w:bCs/>
                <w:lang w:val="en-GB"/>
              </w:rPr>
              <w:t xml:space="preserve">to </w:t>
            </w:r>
            <w:r w:rsidR="00DB4FE3" w:rsidRPr="00B5470F">
              <w:rPr>
                <w:rFonts w:cstheme="minorHAnsi"/>
                <w:b/>
                <w:bCs/>
                <w:lang w:val="en-GB"/>
              </w:rPr>
              <w:t>be mentioned</w:t>
            </w:r>
            <w:r w:rsidR="00DB4FE3" w:rsidRPr="007F70BE">
              <w:rPr>
                <w:rFonts w:cstheme="minorHAnsi"/>
                <w:lang w:val="en-GB"/>
              </w:rPr>
              <w:t xml:space="preserve">: It should be noted that, as a rule, </w:t>
            </w:r>
            <w:r w:rsidR="00DB4FE3" w:rsidRPr="007F70BE">
              <w:rPr>
                <w:rFonts w:cstheme="minorHAnsi"/>
                <w:i/>
                <w:iCs/>
                <w:lang w:val="en-GB"/>
              </w:rPr>
              <w:t>“an offer to the public of an asset-referenced token</w:t>
            </w:r>
            <w:r w:rsidR="00DB4FE3" w:rsidRPr="007F70BE">
              <w:rPr>
                <w:rFonts w:cstheme="minorHAnsi"/>
                <w:lang w:val="en-GB"/>
              </w:rPr>
              <w:t>” can only be made “</w:t>
            </w:r>
            <w:r w:rsidR="00DB4FE3" w:rsidRPr="007F70BE">
              <w:rPr>
                <w:rFonts w:cstheme="minorHAnsi"/>
                <w:i/>
                <w:iCs/>
                <w:lang w:val="en-GB"/>
              </w:rPr>
              <w:t>by</w:t>
            </w:r>
            <w:r w:rsidR="00DB4FE3" w:rsidRPr="007F70BE">
              <w:rPr>
                <w:rFonts w:cstheme="minorHAnsi"/>
                <w:lang w:val="en-GB"/>
              </w:rPr>
              <w:t xml:space="preserve"> </w:t>
            </w:r>
            <w:r w:rsidR="00DB4FE3" w:rsidRPr="007F70BE">
              <w:rPr>
                <w:rFonts w:cstheme="minorHAnsi"/>
                <w:i/>
                <w:iCs/>
                <w:lang w:val="en-GB"/>
              </w:rPr>
              <w:t>the issuer of that asset-referenced token</w:t>
            </w:r>
            <w:r w:rsidR="00DB4FE3" w:rsidRPr="007F70BE">
              <w:rPr>
                <w:rFonts w:cstheme="minorHAnsi"/>
                <w:lang w:val="en-GB"/>
              </w:rPr>
              <w:t>” who has either “</w:t>
            </w:r>
            <w:r w:rsidR="00DB4FE3" w:rsidRPr="007F70BE">
              <w:rPr>
                <w:rFonts w:cstheme="minorHAnsi"/>
                <w:i/>
                <w:iCs/>
                <w:lang w:val="en-GB"/>
              </w:rPr>
              <w:t>been authorised by the competent authority</w:t>
            </w:r>
            <w:r w:rsidR="00DB4FE3" w:rsidRPr="007F70BE">
              <w:rPr>
                <w:rFonts w:cstheme="minorHAnsi"/>
                <w:lang w:val="en-GB"/>
              </w:rPr>
              <w:t>” or is “</w:t>
            </w:r>
            <w:r w:rsidR="00DB4FE3" w:rsidRPr="007F70BE">
              <w:rPr>
                <w:rFonts w:cstheme="minorHAnsi"/>
                <w:i/>
                <w:iCs/>
                <w:lang w:val="en-GB"/>
              </w:rPr>
              <w:t>a credit institution that complies</w:t>
            </w:r>
            <w:r w:rsidR="00DB4FE3" w:rsidRPr="007F70BE">
              <w:rPr>
                <w:rFonts w:cstheme="minorHAnsi"/>
                <w:lang w:val="en-GB"/>
              </w:rPr>
              <w:t xml:space="preserve"> </w:t>
            </w:r>
            <w:r w:rsidR="00DB4FE3" w:rsidRPr="007F70BE">
              <w:rPr>
                <w:rFonts w:cstheme="minorHAnsi"/>
                <w:i/>
                <w:iCs/>
                <w:lang w:val="en-GB"/>
              </w:rPr>
              <w:t>with certain conditions</w:t>
            </w:r>
            <w:r w:rsidR="00DB4FE3" w:rsidRPr="007F70BE">
              <w:rPr>
                <w:rFonts w:cstheme="minorHAnsi"/>
                <w:lang w:val="en-GB"/>
              </w:rPr>
              <w:t>” (</w:t>
            </w:r>
            <w:hyperlink r:id="rId22" w:anchor="d1e2951-40-1" w:history="1">
              <w:r w:rsidR="00DB4FE3" w:rsidRPr="007F70BE">
                <w:rPr>
                  <w:rStyle w:val="Hyperlink"/>
                  <w:rFonts w:cstheme="minorHAnsi"/>
                  <w:lang w:val="en-GB"/>
                </w:rPr>
                <w:t xml:space="preserve">Article 16-1 </w:t>
              </w:r>
              <w:proofErr w:type="spellStart"/>
              <w:r w:rsidR="00DB4FE3" w:rsidRPr="007F70BE">
                <w:rPr>
                  <w:rStyle w:val="Hyperlink"/>
                  <w:rFonts w:cstheme="minorHAnsi"/>
                  <w:lang w:val="en-GB"/>
                </w:rPr>
                <w:t>MiCA</w:t>
              </w:r>
              <w:proofErr w:type="spellEnd"/>
            </w:hyperlink>
            <w:r w:rsidR="00DB4FE3" w:rsidRPr="007F70BE">
              <w:rPr>
                <w:rFonts w:cstheme="minorHAnsi"/>
                <w:lang w:val="en-GB"/>
              </w:rPr>
              <w:t>).</w:t>
            </w:r>
          </w:p>
          <w:p w14:paraId="74D059AD" w14:textId="77777777" w:rsidR="00DB4FE3" w:rsidRPr="007F70BE" w:rsidRDefault="00DB4FE3" w:rsidP="00B5470F">
            <w:pPr>
              <w:spacing w:after="0" w:line="240" w:lineRule="auto"/>
              <w:ind w:left="720"/>
              <w:rPr>
                <w:rFonts w:cstheme="minorHAnsi"/>
                <w:lang w:val="en-GB"/>
              </w:rPr>
            </w:pPr>
          </w:p>
          <w:p w14:paraId="780D39A8" w14:textId="77777777" w:rsidR="00DB4FE3" w:rsidRPr="007F70BE" w:rsidRDefault="00DB4FE3" w:rsidP="00B5470F">
            <w:pPr>
              <w:spacing w:after="0" w:line="240" w:lineRule="auto"/>
              <w:ind w:left="720"/>
              <w:rPr>
                <w:rFonts w:cstheme="minorHAnsi"/>
                <w:lang w:val="en-GB"/>
              </w:rPr>
            </w:pPr>
            <w:proofErr w:type="spellStart"/>
            <w:r w:rsidRPr="007F70BE">
              <w:rPr>
                <w:rFonts w:cstheme="minorHAnsi"/>
                <w:lang w:val="en-GB"/>
              </w:rPr>
              <w:t>MiCA</w:t>
            </w:r>
            <w:proofErr w:type="spellEnd"/>
            <w:r w:rsidRPr="007F70BE">
              <w:rPr>
                <w:rFonts w:cstheme="minorHAnsi"/>
                <w:lang w:val="en-GB"/>
              </w:rPr>
              <w:t xml:space="preserve"> seems however to provide yet another exception to the rule. According to </w:t>
            </w:r>
            <w:hyperlink r:id="rId23" w:anchor="d1e2951-40-1" w:history="1">
              <w:r w:rsidRPr="007F70BE">
                <w:rPr>
                  <w:rStyle w:val="Hyperlink"/>
                  <w:rFonts w:cstheme="minorHAnsi"/>
                  <w:lang w:val="en-GB"/>
                </w:rPr>
                <w:t>Article 16-2</w:t>
              </w:r>
            </w:hyperlink>
            <w:r w:rsidRPr="007F70BE">
              <w:rPr>
                <w:rFonts w:cstheme="minorHAnsi"/>
                <w:lang w:val="en-GB"/>
              </w:rPr>
              <w:t xml:space="preserve">, this rule does not apply in two specific circumstances listed in this article. It is unclear whether this exemption to the rule only targets the authorisation requirement (as implied by </w:t>
            </w:r>
            <w:hyperlink r:id="rId24" w:history="1">
              <w:r w:rsidRPr="007F70BE">
                <w:rPr>
                  <w:rStyle w:val="Hyperlink"/>
                  <w:rFonts w:cstheme="minorHAnsi"/>
                  <w:lang w:val="en-GB"/>
                </w:rPr>
                <w:t xml:space="preserve">Recital (43) </w:t>
              </w:r>
              <w:proofErr w:type="spellStart"/>
              <w:r w:rsidRPr="007F70BE">
                <w:rPr>
                  <w:rStyle w:val="Hyperlink"/>
                  <w:rFonts w:cstheme="minorHAnsi"/>
                  <w:lang w:val="en-GB"/>
                </w:rPr>
                <w:t>MiCA</w:t>
              </w:r>
              <w:proofErr w:type="spellEnd"/>
            </w:hyperlink>
            <w:r w:rsidRPr="007F70BE">
              <w:rPr>
                <w:rFonts w:cstheme="minorHAnsi"/>
                <w:lang w:val="en-GB"/>
              </w:rPr>
              <w:t xml:space="preserve">) or if the exemption also concerns the requirement for the offer to only be made by the issuer of the ART. In this last case, the persons that may offer ARTs to the public under the exemption of </w:t>
            </w:r>
            <w:hyperlink r:id="rId25" w:anchor="d1e2951-40-1" w:history="1">
              <w:r w:rsidRPr="007F70BE">
                <w:rPr>
                  <w:rStyle w:val="Hyperlink"/>
                  <w:rFonts w:cstheme="minorHAnsi"/>
                  <w:lang w:val="en-GB"/>
                </w:rPr>
                <w:t>Article 16-2</w:t>
              </w:r>
            </w:hyperlink>
            <w:r w:rsidRPr="007F70BE">
              <w:rPr>
                <w:rFonts w:cstheme="minorHAnsi"/>
                <w:lang w:val="en-GB"/>
              </w:rPr>
              <w:t>, and who are not issuers of ARTs, may also need to be included in the definition of “third-party entity” of the Delegated Regulation.</w:t>
            </w:r>
          </w:p>
          <w:p w14:paraId="66AF6569" w14:textId="45BB9E6C" w:rsidR="00CE2172" w:rsidRPr="00B5470F" w:rsidRDefault="00CE2172" w:rsidP="00372ADF">
            <w:pPr>
              <w:spacing w:after="0" w:line="240" w:lineRule="auto"/>
              <w:rPr>
                <w:rFonts w:cstheme="minorHAnsi"/>
                <w:lang w:val="en-GB"/>
              </w:rPr>
            </w:pPr>
          </w:p>
          <w:p w14:paraId="353281F6" w14:textId="0BE18B73" w:rsidR="00073ECA" w:rsidRPr="00B5470F" w:rsidRDefault="008A7175" w:rsidP="00B5470F">
            <w:pPr>
              <w:spacing w:after="0" w:line="240" w:lineRule="auto"/>
              <w:rPr>
                <w:rFonts w:cstheme="minorHAnsi"/>
                <w:lang w:val="en-GB"/>
              </w:rPr>
            </w:pPr>
            <w:r w:rsidRPr="00B5470F">
              <w:rPr>
                <w:rFonts w:cstheme="minorHAnsi"/>
                <w:lang w:val="en-GB"/>
              </w:rPr>
              <w:t>Article 2:</w:t>
            </w:r>
          </w:p>
          <w:p w14:paraId="15761849" w14:textId="38F66CAB" w:rsidR="00A40EFC" w:rsidRPr="00B5470F" w:rsidRDefault="00A23B88" w:rsidP="00372ADF">
            <w:pPr>
              <w:pStyle w:val="ListParagraph"/>
              <w:numPr>
                <w:ilvl w:val="0"/>
                <w:numId w:val="7"/>
              </w:numPr>
              <w:spacing w:after="0" w:line="240" w:lineRule="auto"/>
              <w:jc w:val="left"/>
              <w:rPr>
                <w:rFonts w:cstheme="minorHAnsi"/>
                <w:lang w:val="en-GB"/>
              </w:rPr>
            </w:pPr>
            <w:r w:rsidRPr="00B5470F">
              <w:rPr>
                <w:rFonts w:cstheme="minorHAnsi"/>
                <w:lang w:val="en-GB"/>
              </w:rPr>
              <w:t xml:space="preserve">It </w:t>
            </w:r>
            <w:r w:rsidR="00545991" w:rsidRPr="00B5470F">
              <w:rPr>
                <w:rFonts w:cstheme="minorHAnsi"/>
                <w:lang w:val="en-GB"/>
              </w:rPr>
              <w:t xml:space="preserve">may </w:t>
            </w:r>
            <w:r w:rsidRPr="00B5470F">
              <w:rPr>
                <w:rFonts w:cstheme="minorHAnsi"/>
                <w:lang w:val="en-GB"/>
              </w:rPr>
              <w:t xml:space="preserve">be </w:t>
            </w:r>
            <w:r w:rsidR="00C97B30" w:rsidRPr="00B5470F">
              <w:rPr>
                <w:rFonts w:cstheme="minorHAnsi"/>
                <w:lang w:val="en-GB"/>
              </w:rPr>
              <w:t>beneficial</w:t>
            </w:r>
            <w:r w:rsidR="00545991" w:rsidRPr="00B5470F">
              <w:rPr>
                <w:rFonts w:cstheme="minorHAnsi"/>
                <w:lang w:val="en-GB"/>
              </w:rPr>
              <w:t xml:space="preserve"> for certain actors</w:t>
            </w:r>
            <w:r w:rsidR="00257DC4" w:rsidRPr="00B5470F">
              <w:rPr>
                <w:rFonts w:cstheme="minorHAnsi"/>
                <w:lang w:val="en-GB"/>
              </w:rPr>
              <w:t xml:space="preserve"> </w:t>
            </w:r>
            <w:r w:rsidR="00A40EFC" w:rsidRPr="00B5470F">
              <w:rPr>
                <w:rFonts w:cstheme="minorHAnsi"/>
                <w:lang w:val="en-GB"/>
              </w:rPr>
              <w:t>to</w:t>
            </w:r>
            <w:r w:rsidR="00545991" w:rsidRPr="00B5470F">
              <w:rPr>
                <w:rFonts w:cstheme="minorHAnsi"/>
                <w:lang w:val="en-GB"/>
              </w:rPr>
              <w:t xml:space="preserve"> have the possibility to</w:t>
            </w:r>
            <w:r w:rsidR="00A40EFC" w:rsidRPr="00B5470F">
              <w:rPr>
                <w:rFonts w:cstheme="minorHAnsi"/>
                <w:lang w:val="en-GB"/>
              </w:rPr>
              <w:t xml:space="preserve"> incorporate this policy into a broader General </w:t>
            </w:r>
            <w:r w:rsidR="00545991" w:rsidRPr="00B5470F">
              <w:rPr>
                <w:rFonts w:cstheme="minorHAnsi"/>
                <w:lang w:val="en-GB"/>
              </w:rPr>
              <w:t xml:space="preserve">Complaints </w:t>
            </w:r>
            <w:r w:rsidR="00A40EFC" w:rsidRPr="00B5470F">
              <w:rPr>
                <w:rFonts w:cstheme="minorHAnsi"/>
                <w:lang w:val="en-GB"/>
              </w:rPr>
              <w:t xml:space="preserve">Management Policy. This consideration arises from the recognition that issuers may be subject to multiple sets of rules and additional obligations. This overarching policy would encompass a wide range of </w:t>
            </w:r>
            <w:r w:rsidR="00545991" w:rsidRPr="00B5470F">
              <w:rPr>
                <w:rFonts w:cstheme="minorHAnsi"/>
                <w:lang w:val="en-GB"/>
              </w:rPr>
              <w:t>activities</w:t>
            </w:r>
            <w:r w:rsidR="00A40EFC" w:rsidRPr="00B5470F">
              <w:rPr>
                <w:rFonts w:cstheme="minorHAnsi"/>
                <w:lang w:val="en-GB"/>
              </w:rPr>
              <w:t xml:space="preserve">, including </w:t>
            </w:r>
            <w:r w:rsidR="00F60557" w:rsidRPr="00B5470F">
              <w:rPr>
                <w:rFonts w:cstheme="minorHAnsi"/>
                <w:lang w:val="en-GB"/>
              </w:rPr>
              <w:t xml:space="preserve">but not limited to the </w:t>
            </w:r>
            <w:r w:rsidR="008A7175" w:rsidRPr="00B5470F">
              <w:rPr>
                <w:rFonts w:cstheme="minorHAnsi"/>
                <w:lang w:val="en-GB"/>
              </w:rPr>
              <w:t>issuance</w:t>
            </w:r>
            <w:r w:rsidR="00A40EFC" w:rsidRPr="00B5470F">
              <w:rPr>
                <w:rFonts w:cstheme="minorHAnsi"/>
                <w:lang w:val="en-GB"/>
              </w:rPr>
              <w:t xml:space="preserve"> </w:t>
            </w:r>
            <w:r w:rsidR="00FB0523" w:rsidRPr="00B5470F">
              <w:rPr>
                <w:rFonts w:cstheme="minorHAnsi"/>
                <w:lang w:val="en-GB"/>
              </w:rPr>
              <w:t>of</w:t>
            </w:r>
            <w:r w:rsidR="00A40EFC" w:rsidRPr="00B5470F">
              <w:rPr>
                <w:rFonts w:cstheme="minorHAnsi"/>
                <w:lang w:val="en-GB"/>
              </w:rPr>
              <w:t xml:space="preserve"> </w:t>
            </w:r>
            <w:r w:rsidR="00F60557" w:rsidRPr="00B5470F">
              <w:rPr>
                <w:rFonts w:cstheme="minorHAnsi"/>
                <w:lang w:val="en-GB"/>
              </w:rPr>
              <w:t>asset-</w:t>
            </w:r>
            <w:r w:rsidR="00A40EFC" w:rsidRPr="00B5470F">
              <w:rPr>
                <w:rFonts w:cstheme="minorHAnsi"/>
                <w:lang w:val="en-GB"/>
              </w:rPr>
              <w:t>reference</w:t>
            </w:r>
            <w:r w:rsidR="00F60557" w:rsidRPr="00B5470F">
              <w:rPr>
                <w:rFonts w:cstheme="minorHAnsi"/>
                <w:lang w:val="en-GB"/>
              </w:rPr>
              <w:t>d</w:t>
            </w:r>
            <w:r w:rsidR="00A40EFC" w:rsidRPr="00B5470F">
              <w:rPr>
                <w:rFonts w:cstheme="minorHAnsi"/>
                <w:lang w:val="en-GB"/>
              </w:rPr>
              <w:t xml:space="preserve"> tokens. It may be prudent to refrain from creating a distinct policy exclusively for </w:t>
            </w:r>
            <w:r w:rsidR="00A40EFC" w:rsidRPr="00B5470F">
              <w:rPr>
                <w:rFonts w:cstheme="minorHAnsi"/>
                <w:lang w:val="en-GB"/>
              </w:rPr>
              <w:lastRenderedPageBreak/>
              <w:t xml:space="preserve">this </w:t>
            </w:r>
            <w:proofErr w:type="gramStart"/>
            <w:r w:rsidR="00A40EFC" w:rsidRPr="00B5470F">
              <w:rPr>
                <w:rFonts w:cstheme="minorHAnsi"/>
                <w:lang w:val="en-GB"/>
              </w:rPr>
              <w:t>particular activity</w:t>
            </w:r>
            <w:proofErr w:type="gramEnd"/>
            <w:r w:rsidR="00A40EFC" w:rsidRPr="00B5470F">
              <w:rPr>
                <w:rFonts w:cstheme="minorHAnsi"/>
                <w:lang w:val="en-GB"/>
              </w:rPr>
              <w:t>. Instead, the adoption of a comprehensive policy encompassing these aspects might prove more efficient and practical.</w:t>
            </w:r>
          </w:p>
          <w:p w14:paraId="36939E24" w14:textId="2FF7A42D" w:rsidR="00073ECA" w:rsidRPr="00B5470F" w:rsidRDefault="00073ECA" w:rsidP="00B5470F">
            <w:pPr>
              <w:rPr>
                <w:rFonts w:cstheme="minorHAnsi"/>
                <w:lang w:val="en-GB"/>
              </w:rPr>
            </w:pPr>
          </w:p>
          <w:p w14:paraId="68507F88" w14:textId="30F32791" w:rsidR="00DB4FE3" w:rsidRPr="007F70BE" w:rsidRDefault="00DB4FE3" w:rsidP="00B5470F">
            <w:pPr>
              <w:spacing w:after="0" w:line="240" w:lineRule="auto"/>
              <w:rPr>
                <w:rFonts w:cstheme="minorHAnsi"/>
                <w:b/>
                <w:bCs/>
                <w:i/>
                <w:iCs/>
                <w:lang w:val="en-GB"/>
              </w:rPr>
            </w:pPr>
            <w:r w:rsidRPr="00B5470F">
              <w:rPr>
                <w:rFonts w:cstheme="minorHAnsi"/>
                <w:lang w:val="en-GB"/>
              </w:rPr>
              <w:t>Article 3</w:t>
            </w:r>
            <w:r w:rsidR="00241BB9">
              <w:rPr>
                <w:rFonts w:cstheme="minorHAnsi"/>
                <w:lang w:val="en-GB"/>
              </w:rPr>
              <w:t>-1</w:t>
            </w:r>
            <w:r w:rsidRPr="00B5470F">
              <w:rPr>
                <w:rFonts w:cstheme="minorHAnsi"/>
                <w:lang w:val="en-GB"/>
              </w:rPr>
              <w:t xml:space="preserve">: </w:t>
            </w:r>
            <w:r w:rsidRPr="007F70BE">
              <w:rPr>
                <w:rFonts w:cstheme="minorHAnsi"/>
                <w:b/>
                <w:bCs/>
                <w:lang w:val="en-GB"/>
              </w:rPr>
              <w:t>“</w:t>
            </w:r>
            <w:r w:rsidRPr="007F70BE">
              <w:rPr>
                <w:rFonts w:cstheme="minorHAnsi"/>
                <w:b/>
                <w:bCs/>
                <w:i/>
                <w:iCs/>
                <w:lang w:val="en-GB"/>
              </w:rPr>
              <w:t xml:space="preserve">The issuer of asset-referenced </w:t>
            </w:r>
            <w:proofErr w:type="spellStart"/>
            <w:r w:rsidRPr="007F70BE">
              <w:rPr>
                <w:rFonts w:cstheme="minorHAnsi"/>
                <w:b/>
                <w:bCs/>
                <w:i/>
                <w:iCs/>
                <w:u w:val="single"/>
                <w:lang w:val="en-GB"/>
              </w:rPr>
              <w:t>tokensshall</w:t>
            </w:r>
            <w:proofErr w:type="spellEnd"/>
            <w:r w:rsidRPr="007F70BE">
              <w:rPr>
                <w:rFonts w:cstheme="minorHAnsi"/>
                <w:b/>
                <w:bCs/>
                <w:i/>
                <w:iCs/>
                <w:lang w:val="en-GB"/>
              </w:rPr>
              <w:t xml:space="preserve"> provide, on request or when acknowledging receipt of a complaint, clear, accurate and up-to-date written information about the complaints-handling procedure to the </w:t>
            </w:r>
            <w:proofErr w:type="gramStart"/>
            <w:r w:rsidRPr="007F70BE">
              <w:rPr>
                <w:rFonts w:cstheme="minorHAnsi"/>
                <w:b/>
                <w:bCs/>
                <w:i/>
                <w:iCs/>
                <w:lang w:val="en-GB"/>
              </w:rPr>
              <w:t>complainan</w:t>
            </w:r>
            <w:r w:rsidRPr="007F70BE">
              <w:rPr>
                <w:rFonts w:cstheme="minorHAnsi"/>
                <w:b/>
                <w:bCs/>
                <w:i/>
                <w:iCs/>
                <w:u w:val="single"/>
                <w:lang w:val="en-GB"/>
              </w:rPr>
              <w:t>ts .</w:t>
            </w:r>
            <w:proofErr w:type="gramEnd"/>
            <w:r w:rsidRPr="007F70BE">
              <w:rPr>
                <w:rFonts w:cstheme="minorHAnsi"/>
                <w:b/>
                <w:bCs/>
                <w:i/>
                <w:iCs/>
                <w:lang w:val="en-GB"/>
              </w:rPr>
              <w:t xml:space="preserve"> The information provided by the issuer shall include, in particular:”</w:t>
            </w:r>
          </w:p>
          <w:p w14:paraId="73397F5C" w14:textId="77777777" w:rsidR="00DB4FE3" w:rsidRPr="007F70BE" w:rsidRDefault="00DB4FE3" w:rsidP="00B5470F">
            <w:pPr>
              <w:spacing w:after="0" w:line="240" w:lineRule="auto"/>
              <w:rPr>
                <w:rFonts w:cstheme="minorHAnsi"/>
                <w:b/>
                <w:bCs/>
                <w:i/>
                <w:iCs/>
                <w:lang w:val="en-GB"/>
              </w:rPr>
            </w:pPr>
          </w:p>
          <w:p w14:paraId="7FD7EF65" w14:textId="20778981" w:rsidR="00DB4FE3" w:rsidRPr="007F70BE" w:rsidRDefault="00DB4FE3" w:rsidP="00B5470F">
            <w:pPr>
              <w:spacing w:after="0" w:line="240" w:lineRule="auto"/>
              <w:ind w:left="720"/>
              <w:rPr>
                <w:rFonts w:cstheme="minorHAnsi"/>
                <w:lang w:val="en-GB"/>
              </w:rPr>
            </w:pPr>
            <w:r w:rsidRPr="007F70BE">
              <w:rPr>
                <w:rFonts w:cstheme="minorHAnsi"/>
                <w:lang w:val="en-GB"/>
              </w:rPr>
              <w:t>Some spelling mistakes</w:t>
            </w:r>
            <w:r w:rsidR="00241BB9">
              <w:rPr>
                <w:rFonts w:cstheme="minorHAnsi"/>
                <w:lang w:val="en-GB"/>
              </w:rPr>
              <w:t xml:space="preserve"> remain in</w:t>
            </w:r>
            <w:r w:rsidRPr="007F70BE">
              <w:rPr>
                <w:rFonts w:cstheme="minorHAnsi"/>
                <w:lang w:val="en-GB"/>
              </w:rPr>
              <w:t xml:space="preserve"> the text: “</w:t>
            </w:r>
            <w:proofErr w:type="spellStart"/>
            <w:r w:rsidRPr="007F70BE">
              <w:rPr>
                <w:rFonts w:cstheme="minorHAnsi"/>
                <w:lang w:val="en-GB"/>
              </w:rPr>
              <w:t>tokensshall</w:t>
            </w:r>
            <w:proofErr w:type="spellEnd"/>
            <w:r w:rsidRPr="007F70BE">
              <w:rPr>
                <w:rFonts w:cstheme="minorHAnsi"/>
                <w:lang w:val="en-GB"/>
              </w:rPr>
              <w:t>” should be “tokens shall”. Some spaces in the text are also unnecessary.</w:t>
            </w:r>
          </w:p>
          <w:p w14:paraId="082C521A" w14:textId="77777777" w:rsidR="00DB4FE3" w:rsidRPr="007F70BE" w:rsidRDefault="00DB4FE3" w:rsidP="00B5470F">
            <w:pPr>
              <w:spacing w:after="0" w:line="240" w:lineRule="auto"/>
              <w:rPr>
                <w:rFonts w:cstheme="minorHAnsi"/>
                <w:lang w:val="en-GB"/>
              </w:rPr>
            </w:pPr>
          </w:p>
          <w:p w14:paraId="275667DE" w14:textId="77777777" w:rsidR="00DB4FE3" w:rsidRPr="007F70BE" w:rsidRDefault="00DB4FE3" w:rsidP="00B5470F">
            <w:pPr>
              <w:spacing w:after="0" w:line="240" w:lineRule="auto"/>
              <w:ind w:left="720"/>
              <w:rPr>
                <w:rFonts w:cstheme="minorHAnsi"/>
                <w:lang w:val="en-GB"/>
              </w:rPr>
            </w:pPr>
            <w:r w:rsidRPr="007F70BE">
              <w:rPr>
                <w:rFonts w:cstheme="minorHAnsi"/>
                <w:b/>
                <w:bCs/>
                <w:u w:val="single"/>
                <w:lang w:val="en-GB"/>
              </w:rPr>
              <w:t>SUGGESTION</w:t>
            </w:r>
            <w:r w:rsidRPr="007F70BE">
              <w:rPr>
                <w:rFonts w:cstheme="minorHAnsi"/>
                <w:lang w:val="en-GB"/>
              </w:rPr>
              <w:t>: We suggest addressing the spelling mistakes and deleting the extra spaces.</w:t>
            </w:r>
          </w:p>
          <w:p w14:paraId="38DB80DF" w14:textId="77777777" w:rsidR="00DB4FE3" w:rsidRPr="007F70BE" w:rsidRDefault="00DB4FE3" w:rsidP="00B5470F">
            <w:pPr>
              <w:spacing w:after="0" w:line="240" w:lineRule="auto"/>
              <w:ind w:left="720"/>
              <w:rPr>
                <w:rFonts w:cstheme="minorHAnsi"/>
                <w:lang w:val="en-GB"/>
              </w:rPr>
            </w:pPr>
          </w:p>
          <w:p w14:paraId="36B22D12" w14:textId="04E2C345" w:rsidR="00241BB9" w:rsidRPr="007F70BE" w:rsidRDefault="00A81A04" w:rsidP="00241BB9">
            <w:pPr>
              <w:spacing w:after="0" w:line="240" w:lineRule="auto"/>
              <w:ind w:left="720"/>
              <w:rPr>
                <w:rFonts w:cstheme="minorHAnsi"/>
                <w:lang w:val="en-GB"/>
              </w:rPr>
            </w:pPr>
            <w:r>
              <w:rPr>
                <w:rFonts w:cstheme="minorHAnsi"/>
                <w:lang w:val="en-GB"/>
              </w:rPr>
              <w:t>W</w:t>
            </w:r>
            <w:r w:rsidR="00241BB9" w:rsidRPr="007F70BE">
              <w:rPr>
                <w:rFonts w:cstheme="minorHAnsi"/>
                <w:lang w:val="en-GB"/>
              </w:rPr>
              <w:t xml:space="preserve">e have also duly noted the position of the EBA that language requirements within the Delegated Regulation would “go beyond the existing </w:t>
            </w:r>
            <w:proofErr w:type="spellStart"/>
            <w:r w:rsidR="00241BB9" w:rsidRPr="007F70BE">
              <w:rPr>
                <w:rFonts w:cstheme="minorHAnsi"/>
                <w:lang w:val="en-GB"/>
              </w:rPr>
              <w:t>MiCA</w:t>
            </w:r>
            <w:proofErr w:type="spellEnd"/>
            <w:r w:rsidR="00241BB9" w:rsidRPr="007F70BE">
              <w:rPr>
                <w:rFonts w:cstheme="minorHAnsi"/>
                <w:lang w:val="en-GB"/>
              </w:rPr>
              <w:t xml:space="preserve"> mandate” (</w:t>
            </w:r>
            <w:hyperlink r:id="rId26" w:history="1">
              <w:r w:rsidR="00241BB9" w:rsidRPr="007F70BE">
                <w:rPr>
                  <w:rStyle w:val="Hyperlink"/>
                  <w:rFonts w:cstheme="minorHAnsi"/>
                  <w:lang w:val="en-GB"/>
                </w:rPr>
                <w:t>Draft Consultation Paper, page 26</w:t>
              </w:r>
            </w:hyperlink>
            <w:r w:rsidR="00241BB9" w:rsidRPr="007F70BE">
              <w:rPr>
                <w:rFonts w:cstheme="minorHAnsi"/>
                <w:lang w:val="en-GB"/>
              </w:rPr>
              <w:t>).</w:t>
            </w:r>
          </w:p>
          <w:p w14:paraId="49076429" w14:textId="77777777" w:rsidR="00241BB9" w:rsidRDefault="00241BB9" w:rsidP="0050157C">
            <w:pPr>
              <w:spacing w:after="0" w:line="240" w:lineRule="auto"/>
              <w:ind w:left="720"/>
              <w:rPr>
                <w:rFonts w:cstheme="minorHAnsi"/>
                <w:lang w:val="en-GB"/>
              </w:rPr>
            </w:pPr>
          </w:p>
          <w:p w14:paraId="57EBC0F4" w14:textId="30957DD3" w:rsidR="00DB4FE3" w:rsidRPr="007F70BE" w:rsidRDefault="00A81A04" w:rsidP="00B5470F">
            <w:pPr>
              <w:spacing w:after="0" w:line="240" w:lineRule="auto"/>
              <w:ind w:left="720"/>
              <w:rPr>
                <w:rFonts w:cstheme="minorHAnsi"/>
                <w:lang w:val="en-GB"/>
              </w:rPr>
            </w:pPr>
            <w:r>
              <w:rPr>
                <w:rFonts w:cstheme="minorHAnsi"/>
                <w:lang w:val="en-GB"/>
              </w:rPr>
              <w:t>W</w:t>
            </w:r>
            <w:r w:rsidR="00DB4FE3" w:rsidRPr="007F70BE">
              <w:rPr>
                <w:rFonts w:cstheme="minorHAnsi"/>
                <w:lang w:val="en-GB"/>
              </w:rPr>
              <w:t>e believe nonetheless that the Delegated Regulation could provide that “</w:t>
            </w:r>
            <w:r w:rsidR="00DB4FE3" w:rsidRPr="007F70BE">
              <w:rPr>
                <w:rFonts w:cstheme="minorHAnsi"/>
                <w:i/>
                <w:iCs/>
                <w:lang w:val="en-GB"/>
              </w:rPr>
              <w:t>Member States may maintain or introduce in their national law language requirements regarding written information about the complaints-handling procedure, so as to ensure that such information is easily understood by the complainants</w:t>
            </w:r>
            <w:r w:rsidR="00DB4FE3" w:rsidRPr="007F70BE">
              <w:rPr>
                <w:rFonts w:cstheme="minorHAnsi"/>
                <w:lang w:val="en-GB"/>
              </w:rPr>
              <w:t xml:space="preserve">” (wording inspired by </w:t>
            </w:r>
            <w:hyperlink r:id="rId27" w:anchor="d1e1089-64-1" w:history="1">
              <w:r w:rsidR="00DB4FE3" w:rsidRPr="007F70BE">
                <w:rPr>
                  <w:rStyle w:val="Hyperlink"/>
                  <w:rFonts w:cstheme="minorHAnsi"/>
                  <w:lang w:val="en-GB"/>
                </w:rPr>
                <w:t>Recital (15) and Article 6-7 Directive 2011/83/EU</w:t>
              </w:r>
            </w:hyperlink>
            <w:r w:rsidR="00DB4FE3" w:rsidRPr="007F70BE">
              <w:rPr>
                <w:rFonts w:cstheme="minorHAnsi"/>
                <w:lang w:val="en-GB"/>
              </w:rPr>
              <w:t xml:space="preserve">). </w:t>
            </w:r>
          </w:p>
          <w:p w14:paraId="0A563798" w14:textId="77777777" w:rsidR="00DB4FE3" w:rsidRPr="007F70BE" w:rsidRDefault="00DB4FE3" w:rsidP="00B5470F">
            <w:pPr>
              <w:spacing w:after="0" w:line="240" w:lineRule="auto"/>
              <w:ind w:left="720"/>
              <w:rPr>
                <w:rFonts w:cstheme="minorHAnsi"/>
                <w:lang w:val="en-GB"/>
              </w:rPr>
            </w:pPr>
          </w:p>
          <w:p w14:paraId="289F8BBA" w14:textId="77777777" w:rsidR="00DB4FE3" w:rsidRPr="007F70BE" w:rsidRDefault="00DB4FE3" w:rsidP="00B5470F">
            <w:pPr>
              <w:spacing w:after="0" w:line="240" w:lineRule="auto"/>
              <w:ind w:left="720"/>
              <w:rPr>
                <w:rFonts w:cstheme="minorHAnsi"/>
                <w:lang w:val="en-GB"/>
              </w:rPr>
            </w:pPr>
            <w:r w:rsidRPr="007F70BE">
              <w:rPr>
                <w:rFonts w:cstheme="minorHAnsi"/>
                <w:lang w:val="en-GB"/>
              </w:rPr>
              <w:t>This would also be in line with provisions of the Delegated Regulation on time limits, that provide national law with the responsibility to fix these time limits (Article 5-3(b) Delegated Regulation).</w:t>
            </w:r>
          </w:p>
          <w:p w14:paraId="30C4B9A8" w14:textId="77777777" w:rsidR="00DB4FE3" w:rsidRPr="00B5470F" w:rsidRDefault="00DB4FE3" w:rsidP="00B5470F">
            <w:pPr>
              <w:spacing w:after="0" w:line="240" w:lineRule="auto"/>
              <w:rPr>
                <w:rFonts w:cstheme="minorHAnsi"/>
                <w:lang w:val="en-GB"/>
              </w:rPr>
            </w:pPr>
          </w:p>
          <w:p w14:paraId="789AB1CF" w14:textId="4EB3E86F" w:rsidR="003835F8" w:rsidRPr="00B5470F" w:rsidRDefault="003835F8" w:rsidP="00B5470F">
            <w:pPr>
              <w:spacing w:after="0" w:line="240" w:lineRule="auto"/>
              <w:rPr>
                <w:rFonts w:cstheme="minorHAnsi"/>
                <w:lang w:val="en-GB"/>
              </w:rPr>
            </w:pPr>
            <w:r w:rsidRPr="00B5470F">
              <w:rPr>
                <w:rFonts w:cstheme="minorHAnsi"/>
                <w:lang w:val="en-GB"/>
              </w:rPr>
              <w:t>Article 4:</w:t>
            </w:r>
          </w:p>
          <w:p w14:paraId="7005EC5B" w14:textId="21B7256F" w:rsidR="00665F56" w:rsidRPr="00B5470F" w:rsidRDefault="00473E58" w:rsidP="00B5470F">
            <w:pPr>
              <w:pStyle w:val="ListParagraph"/>
              <w:numPr>
                <w:ilvl w:val="0"/>
                <w:numId w:val="7"/>
              </w:numPr>
              <w:spacing w:after="0" w:line="240" w:lineRule="auto"/>
              <w:rPr>
                <w:rFonts w:cstheme="minorHAnsi"/>
                <w:lang w:val="en-GB"/>
              </w:rPr>
            </w:pPr>
            <w:r w:rsidRPr="00B5470F">
              <w:rPr>
                <w:rFonts w:cstheme="minorHAnsi"/>
                <w:lang w:val="en-GB"/>
              </w:rPr>
              <w:t xml:space="preserve">We </w:t>
            </w:r>
            <w:r w:rsidR="00BE6E83" w:rsidRPr="00B5470F">
              <w:rPr>
                <w:rFonts w:cstheme="minorHAnsi"/>
                <w:lang w:val="en-GB"/>
              </w:rPr>
              <w:t>would</w:t>
            </w:r>
            <w:r w:rsidRPr="00B5470F">
              <w:rPr>
                <w:rFonts w:cstheme="minorHAnsi"/>
                <w:lang w:val="en-GB"/>
              </w:rPr>
              <w:t xml:space="preserve"> </w:t>
            </w:r>
            <w:r w:rsidR="00A40EFC" w:rsidRPr="00B5470F">
              <w:rPr>
                <w:rFonts w:cstheme="minorHAnsi"/>
                <w:lang w:val="en-GB"/>
              </w:rPr>
              <w:t xml:space="preserve">suggest adding a specific section </w:t>
            </w:r>
            <w:r w:rsidR="00623099" w:rsidRPr="00B5470F">
              <w:rPr>
                <w:rFonts w:cstheme="minorHAnsi"/>
                <w:lang w:val="en-GB"/>
              </w:rPr>
              <w:t xml:space="preserve">to the template </w:t>
            </w:r>
            <w:r w:rsidR="00A40EFC" w:rsidRPr="00B5470F">
              <w:rPr>
                <w:rFonts w:cstheme="minorHAnsi"/>
                <w:lang w:val="en-GB"/>
              </w:rPr>
              <w:t xml:space="preserve">to </w:t>
            </w:r>
            <w:r w:rsidR="00343BC1" w:rsidRPr="00B5470F">
              <w:rPr>
                <w:rFonts w:cstheme="minorHAnsi"/>
                <w:lang w:val="en-GB"/>
              </w:rPr>
              <w:t>outline</w:t>
            </w:r>
            <w:r w:rsidR="00A40EFC" w:rsidRPr="00B5470F">
              <w:rPr>
                <w:rFonts w:cstheme="minorHAnsi"/>
                <w:lang w:val="en-GB"/>
              </w:rPr>
              <w:t xml:space="preserve"> the underlying objectives</w:t>
            </w:r>
            <w:r w:rsidR="00546275" w:rsidRPr="00B5470F">
              <w:rPr>
                <w:rFonts w:cstheme="minorHAnsi"/>
                <w:lang w:val="en-GB"/>
              </w:rPr>
              <w:t xml:space="preserve"> of the complaint</w:t>
            </w:r>
            <w:r w:rsidR="00A40EFC" w:rsidRPr="00B5470F">
              <w:rPr>
                <w:rFonts w:cstheme="minorHAnsi"/>
                <w:lang w:val="en-GB"/>
              </w:rPr>
              <w:t xml:space="preserve">. This could facilitate a quick understanding of the complaint's </w:t>
            </w:r>
            <w:proofErr w:type="gramStart"/>
            <w:r w:rsidR="00A40EFC" w:rsidRPr="00B5470F">
              <w:rPr>
                <w:rFonts w:cstheme="minorHAnsi"/>
                <w:lang w:val="en-GB"/>
              </w:rPr>
              <w:t>ultimate goal</w:t>
            </w:r>
            <w:proofErr w:type="gramEnd"/>
            <w:r w:rsidR="00BB73AF" w:rsidRPr="00B5470F">
              <w:rPr>
                <w:rFonts w:cstheme="minorHAnsi"/>
                <w:lang w:val="en-GB"/>
              </w:rPr>
              <w:t xml:space="preserve"> by the recipient</w:t>
            </w:r>
            <w:r w:rsidR="00A40EFC" w:rsidRPr="00B5470F">
              <w:rPr>
                <w:rFonts w:cstheme="minorHAnsi"/>
                <w:lang w:val="en-GB"/>
              </w:rPr>
              <w:t>, whether it pertains to financial matters or other objectives.</w:t>
            </w:r>
          </w:p>
          <w:p w14:paraId="6966AA95" w14:textId="77777777" w:rsidR="00CC1644" w:rsidRDefault="0045646A">
            <w:pPr>
              <w:pStyle w:val="ListParagraph"/>
              <w:numPr>
                <w:ilvl w:val="0"/>
                <w:numId w:val="7"/>
              </w:numPr>
              <w:spacing w:after="0" w:line="240" w:lineRule="auto"/>
              <w:rPr>
                <w:rFonts w:cstheme="minorHAnsi"/>
                <w:lang w:val="en-GB"/>
              </w:rPr>
            </w:pPr>
            <w:r w:rsidRPr="00B5470F">
              <w:rPr>
                <w:rFonts w:cstheme="minorHAnsi"/>
                <w:lang w:val="en-GB"/>
              </w:rPr>
              <w:t xml:space="preserve">What </w:t>
            </w:r>
            <w:r w:rsidR="003F4304" w:rsidRPr="00B5470F">
              <w:rPr>
                <w:rFonts w:cstheme="minorHAnsi"/>
                <w:lang w:val="en-GB"/>
              </w:rPr>
              <w:t xml:space="preserve">concerns </w:t>
            </w:r>
            <w:r w:rsidR="00463B5B" w:rsidRPr="00B5470F">
              <w:rPr>
                <w:rFonts w:cstheme="minorHAnsi"/>
                <w:lang w:val="en-GB"/>
              </w:rPr>
              <w:t xml:space="preserve">the </w:t>
            </w:r>
            <w:r w:rsidR="003F4304" w:rsidRPr="00B5470F">
              <w:rPr>
                <w:rFonts w:cstheme="minorHAnsi"/>
                <w:lang w:val="en-GB"/>
              </w:rPr>
              <w:t xml:space="preserve">submission </w:t>
            </w:r>
            <w:r w:rsidR="00974A20" w:rsidRPr="00B5470F">
              <w:rPr>
                <w:rFonts w:cstheme="minorHAnsi"/>
                <w:lang w:val="en-GB"/>
              </w:rPr>
              <w:t>of complaints in paper form</w:t>
            </w:r>
            <w:r w:rsidR="000154BB" w:rsidRPr="00B5470F">
              <w:rPr>
                <w:rFonts w:cstheme="minorHAnsi"/>
                <w:lang w:val="en-GB"/>
              </w:rPr>
              <w:t>, th</w:t>
            </w:r>
            <w:r w:rsidR="001A6FDD" w:rsidRPr="00B5470F">
              <w:rPr>
                <w:rFonts w:cstheme="minorHAnsi"/>
                <w:lang w:val="en-GB"/>
              </w:rPr>
              <w:t xml:space="preserve">is </w:t>
            </w:r>
            <w:r w:rsidR="00670A32" w:rsidRPr="00B5470F">
              <w:rPr>
                <w:rFonts w:cstheme="minorHAnsi"/>
                <w:lang w:val="en-GB"/>
              </w:rPr>
              <w:t>channel</w:t>
            </w:r>
            <w:r w:rsidR="00E24F25" w:rsidRPr="00B5470F">
              <w:rPr>
                <w:rFonts w:cstheme="minorHAnsi"/>
                <w:lang w:val="en-GB"/>
              </w:rPr>
              <w:t xml:space="preserve"> of </w:t>
            </w:r>
            <w:r w:rsidR="000154BB" w:rsidRPr="00B5470F">
              <w:rPr>
                <w:rFonts w:cstheme="minorHAnsi"/>
                <w:lang w:val="en-GB"/>
              </w:rPr>
              <w:t xml:space="preserve">communication with clients for complaints handling </w:t>
            </w:r>
            <w:r w:rsidR="00C50680" w:rsidRPr="00B5470F">
              <w:rPr>
                <w:rFonts w:cstheme="minorHAnsi"/>
                <w:lang w:val="en-GB"/>
              </w:rPr>
              <w:t>in the crypto-assets industry</w:t>
            </w:r>
            <w:r w:rsidR="000154BB" w:rsidRPr="00B5470F">
              <w:rPr>
                <w:rFonts w:cstheme="minorHAnsi"/>
                <w:lang w:val="en-GB"/>
              </w:rPr>
              <w:t xml:space="preserve"> is used to a limited extent. We are of the opinion that the use of such mode of communication for the purposes of complaints handling will remain limited (as a share in the total volume of complaints) for the years to come, and its role will be decreasing </w:t>
            </w:r>
            <w:r w:rsidR="00AE718A" w:rsidRPr="00B5470F">
              <w:rPr>
                <w:rFonts w:cstheme="minorHAnsi"/>
                <w:lang w:val="en-GB"/>
              </w:rPr>
              <w:t>since</w:t>
            </w:r>
            <w:r w:rsidR="000154BB" w:rsidRPr="00B5470F">
              <w:rPr>
                <w:rFonts w:cstheme="minorHAnsi"/>
                <w:lang w:val="en-GB"/>
              </w:rPr>
              <w:t xml:space="preserve"> all operations of </w:t>
            </w:r>
            <w:r w:rsidR="00906E69" w:rsidRPr="00B5470F">
              <w:rPr>
                <w:rFonts w:cstheme="minorHAnsi"/>
                <w:lang w:val="en-GB"/>
              </w:rPr>
              <w:t>ART issuers</w:t>
            </w:r>
            <w:r w:rsidR="000154BB" w:rsidRPr="00B5470F">
              <w:rPr>
                <w:rFonts w:cstheme="minorHAnsi"/>
                <w:lang w:val="en-GB"/>
              </w:rPr>
              <w:t xml:space="preserve"> and their interactions with clients are generally digital by design. Even though the </w:t>
            </w:r>
            <w:r w:rsidR="00AE718A" w:rsidRPr="00B5470F">
              <w:rPr>
                <w:rFonts w:cstheme="minorHAnsi"/>
                <w:lang w:val="en-GB"/>
              </w:rPr>
              <w:t xml:space="preserve">paper </w:t>
            </w:r>
            <w:r w:rsidR="000154BB" w:rsidRPr="00B5470F">
              <w:rPr>
                <w:rFonts w:cstheme="minorHAnsi"/>
                <w:lang w:val="en-GB"/>
              </w:rPr>
              <w:t xml:space="preserve">channel of communication does not represent an operational challenge for </w:t>
            </w:r>
            <w:r w:rsidR="00CA6E99" w:rsidRPr="00B5470F">
              <w:rPr>
                <w:rFonts w:cstheme="minorHAnsi"/>
                <w:lang w:val="en-GB"/>
              </w:rPr>
              <w:t>ART issuers</w:t>
            </w:r>
            <w:r w:rsidR="000154BB" w:rsidRPr="00B5470F">
              <w:rPr>
                <w:rFonts w:cstheme="minorHAnsi"/>
                <w:lang w:val="en-GB"/>
              </w:rPr>
              <w:t xml:space="preserve"> – due to its limited role and the obligation for </w:t>
            </w:r>
            <w:r w:rsidR="00AE0370" w:rsidRPr="00B5470F">
              <w:rPr>
                <w:rFonts w:cstheme="minorHAnsi"/>
                <w:lang w:val="en-GB"/>
              </w:rPr>
              <w:t xml:space="preserve">ART issuers </w:t>
            </w:r>
            <w:r w:rsidR="000154BB" w:rsidRPr="00B5470F">
              <w:rPr>
                <w:rFonts w:cstheme="minorHAnsi"/>
                <w:lang w:val="en-GB"/>
              </w:rPr>
              <w:t xml:space="preserve">to use the same channel of communication chosen by complainants – we believe that it will be in the interest of both clients and </w:t>
            </w:r>
            <w:r w:rsidR="00F343C1" w:rsidRPr="00B5470F">
              <w:rPr>
                <w:rFonts w:cstheme="minorHAnsi"/>
                <w:lang w:val="en-GB"/>
              </w:rPr>
              <w:t>ART issuers</w:t>
            </w:r>
            <w:r w:rsidR="000154BB" w:rsidRPr="00B5470F">
              <w:rPr>
                <w:rFonts w:cstheme="minorHAnsi"/>
                <w:lang w:val="en-GB"/>
              </w:rPr>
              <w:t xml:space="preserve"> to use a digital channel of communication to gain speed and efficiencies, increase customer satisfaction, and reduce CO2 footprint. Resorting to post communications will increase the time required for complaints handling by default due to the time needed to convey a message from one party to another.</w:t>
            </w:r>
            <w:r w:rsidR="0040152C" w:rsidRPr="00B5470F">
              <w:rPr>
                <w:rFonts w:cstheme="minorHAnsi"/>
                <w:lang w:val="en-GB"/>
              </w:rPr>
              <w:t xml:space="preserve"> </w:t>
            </w:r>
            <w:r w:rsidR="000154BB" w:rsidRPr="00B5470F">
              <w:rPr>
                <w:rFonts w:cstheme="minorHAnsi"/>
                <w:lang w:val="en-GB"/>
              </w:rPr>
              <w:t xml:space="preserve">Therefore, offering the possibility to file complaints </w:t>
            </w:r>
            <w:r w:rsidR="00FC6EC4" w:rsidRPr="00B5470F">
              <w:rPr>
                <w:rFonts w:cstheme="minorHAnsi"/>
                <w:lang w:val="en-GB"/>
              </w:rPr>
              <w:t>in paper or by</w:t>
            </w:r>
            <w:r w:rsidR="000154BB" w:rsidRPr="00B5470F">
              <w:rPr>
                <w:rFonts w:cstheme="minorHAnsi"/>
                <w:lang w:val="en-GB"/>
              </w:rPr>
              <w:t xml:space="preserve"> post might put an additional operational burden on </w:t>
            </w:r>
            <w:r w:rsidR="00463B5B" w:rsidRPr="00B5470F">
              <w:rPr>
                <w:rFonts w:cstheme="minorHAnsi"/>
                <w:lang w:val="en-GB"/>
              </w:rPr>
              <w:t xml:space="preserve">issuers of asset-referenced tokens </w:t>
            </w:r>
            <w:r w:rsidR="000154BB" w:rsidRPr="00B5470F">
              <w:rPr>
                <w:rFonts w:cstheme="minorHAnsi"/>
                <w:lang w:val="en-GB"/>
              </w:rPr>
              <w:t xml:space="preserve">without however providing any real added value for their clients.  </w:t>
            </w:r>
          </w:p>
          <w:p w14:paraId="0CFDFFF7" w14:textId="4839B878" w:rsidR="00A81A04" w:rsidRPr="00B5470F" w:rsidRDefault="00A81A04" w:rsidP="00B5470F">
            <w:pPr>
              <w:pStyle w:val="ListParagraph"/>
              <w:spacing w:after="0" w:line="240" w:lineRule="auto"/>
              <w:rPr>
                <w:rFonts w:cstheme="minorHAnsi"/>
                <w:lang w:val="en-GB"/>
              </w:rPr>
            </w:pPr>
          </w:p>
        </w:tc>
      </w:tr>
      <w:tr w:rsidR="00CC1644" w:rsidRPr="00B5470F" w14:paraId="5115178B" w14:textId="77777777" w:rsidTr="00E44E2B">
        <w:trPr>
          <w:trHeight w:val="398"/>
          <w:jc w:val="center"/>
        </w:trPr>
        <w:tc>
          <w:tcPr>
            <w:tcW w:w="5000" w:type="pct"/>
          </w:tcPr>
          <w:p w14:paraId="5973F89A" w14:textId="77777777" w:rsidR="00CC1644" w:rsidRPr="00B5470F" w:rsidRDefault="00CC1644" w:rsidP="00B5470F">
            <w:pPr>
              <w:spacing w:after="0" w:line="240" w:lineRule="auto"/>
              <w:jc w:val="left"/>
              <w:rPr>
                <w:rFonts w:cstheme="minorHAnsi"/>
                <w:lang w:val="en-GB"/>
              </w:rPr>
            </w:pPr>
            <w:r w:rsidRPr="00B5470F">
              <w:rPr>
                <w:rFonts w:cstheme="minorHAnsi"/>
                <w:b/>
                <w:bCs/>
                <w:lang w:val="en-GB"/>
              </w:rPr>
              <w:lastRenderedPageBreak/>
              <w:t>Q3: Do you have any comments on the requirements proposed in Articles 5, 6 or 7 of the draft RTS?</w:t>
            </w:r>
          </w:p>
        </w:tc>
      </w:tr>
      <w:tr w:rsidR="00CC1644" w:rsidRPr="00B5470F" w14:paraId="59C284C7" w14:textId="77777777" w:rsidTr="00E44E2B">
        <w:trPr>
          <w:trHeight w:val="679"/>
          <w:jc w:val="center"/>
        </w:trPr>
        <w:tc>
          <w:tcPr>
            <w:tcW w:w="5000" w:type="pct"/>
          </w:tcPr>
          <w:p w14:paraId="64853BDC" w14:textId="7208DABF" w:rsidR="00CC1644" w:rsidRPr="00B5470F" w:rsidRDefault="00533F72" w:rsidP="00B5470F">
            <w:pPr>
              <w:spacing w:after="0" w:line="240" w:lineRule="auto"/>
              <w:rPr>
                <w:rFonts w:cstheme="minorHAnsi"/>
                <w:lang w:val="en-GB"/>
              </w:rPr>
            </w:pPr>
            <w:r w:rsidRPr="00B5470F">
              <w:rPr>
                <w:rFonts w:cstheme="minorHAnsi"/>
                <w:lang w:val="en-GB"/>
              </w:rPr>
              <w:t>Y</w:t>
            </w:r>
            <w:r w:rsidR="00DB4FE3" w:rsidRPr="00B5470F">
              <w:rPr>
                <w:rFonts w:cstheme="minorHAnsi"/>
                <w:lang w:val="en-GB"/>
              </w:rPr>
              <w:t>es</w:t>
            </w:r>
          </w:p>
          <w:p w14:paraId="5557442D" w14:textId="5EFADD04" w:rsidR="00DB4FE3" w:rsidRPr="00B5470F" w:rsidRDefault="00DB4FE3" w:rsidP="00B5470F">
            <w:pPr>
              <w:pStyle w:val="ListParagraph"/>
              <w:numPr>
                <w:ilvl w:val="0"/>
                <w:numId w:val="7"/>
              </w:numPr>
              <w:rPr>
                <w:rFonts w:cstheme="minorHAnsi"/>
                <w:b/>
                <w:bCs/>
                <w:lang w:val="en-GB"/>
              </w:rPr>
            </w:pPr>
            <w:r w:rsidRPr="00B5470F">
              <w:rPr>
                <w:rFonts w:cstheme="minorHAnsi"/>
                <w:b/>
                <w:bCs/>
                <w:u w:val="single"/>
                <w:lang w:val="en-GB"/>
              </w:rPr>
              <w:t>Article 5-1, para. (b)</w:t>
            </w:r>
            <w:r w:rsidR="003E4769">
              <w:rPr>
                <w:rFonts w:cstheme="minorHAnsi"/>
                <w:b/>
                <w:bCs/>
                <w:u w:val="single"/>
                <w:lang w:val="en-GB"/>
              </w:rPr>
              <w:t xml:space="preserve"> </w:t>
            </w:r>
            <w:r w:rsidRPr="00B5470F">
              <w:rPr>
                <w:rFonts w:cstheme="minorHAnsi"/>
                <w:b/>
                <w:bCs/>
                <w:lang w:val="en-GB"/>
              </w:rPr>
              <w:t>“</w:t>
            </w:r>
            <w:r w:rsidRPr="00B5470F">
              <w:rPr>
                <w:rFonts w:cstheme="minorHAnsi"/>
                <w:b/>
                <w:bCs/>
                <w:i/>
                <w:iCs/>
                <w:lang w:val="en-GB"/>
              </w:rPr>
              <w:t xml:space="preserve">The Issuer of Asset-referenced tokens shall assess all complaints in a timely and fair manner: […] where the issuer of </w:t>
            </w:r>
            <w:r w:rsidRPr="00B5470F">
              <w:rPr>
                <w:rFonts w:cstheme="minorHAnsi"/>
                <w:b/>
                <w:bCs/>
                <w:i/>
                <w:iCs/>
                <w:u w:val="single"/>
                <w:lang w:val="en-GB"/>
              </w:rPr>
              <w:t>assets referenced token</w:t>
            </w:r>
            <w:r w:rsidRPr="00B5470F">
              <w:rPr>
                <w:rFonts w:cstheme="minorHAnsi"/>
                <w:b/>
                <w:bCs/>
                <w:i/>
                <w:iCs/>
                <w:lang w:val="en-GB"/>
              </w:rPr>
              <w:t xml:space="preserve"> conclude that a complaint is unclear or incomplete, it shall promptly request to the complainant any additional information or evidence necessary for the proper handling of the complaint</w:t>
            </w:r>
            <w:r w:rsidRPr="00B5470F">
              <w:rPr>
                <w:rFonts w:cstheme="minorHAnsi"/>
                <w:b/>
                <w:bCs/>
                <w:lang w:val="en-GB"/>
              </w:rPr>
              <w:t>”.</w:t>
            </w:r>
          </w:p>
          <w:p w14:paraId="0FDF5495" w14:textId="58FDBD1D" w:rsidR="00DB4FE3" w:rsidRPr="007F70BE" w:rsidRDefault="00DB4FE3" w:rsidP="00B5470F">
            <w:pPr>
              <w:spacing w:after="0" w:line="240" w:lineRule="auto"/>
              <w:ind w:left="720"/>
              <w:rPr>
                <w:rFonts w:cstheme="minorHAnsi"/>
                <w:lang w:val="en-GB"/>
              </w:rPr>
            </w:pPr>
            <w:r w:rsidRPr="007F70BE">
              <w:rPr>
                <w:rFonts w:cstheme="minorHAnsi"/>
                <w:lang w:val="en-GB"/>
              </w:rPr>
              <w:t xml:space="preserve">Some spelling mistakes </w:t>
            </w:r>
            <w:r w:rsidR="003E4769">
              <w:rPr>
                <w:rFonts w:cstheme="minorHAnsi"/>
                <w:lang w:val="en-GB"/>
              </w:rPr>
              <w:t>remain in</w:t>
            </w:r>
            <w:r w:rsidRPr="007F70BE">
              <w:rPr>
                <w:rFonts w:cstheme="minorHAnsi"/>
                <w:lang w:val="en-GB"/>
              </w:rPr>
              <w:t xml:space="preserve"> the text: “assets referenced token” should be “asset-referenced tokens”. Instead of “request to the complainant”, we suggest it should be “request from the complainant”. </w:t>
            </w:r>
          </w:p>
          <w:p w14:paraId="05BC90A1" w14:textId="77777777" w:rsidR="00DB4FE3" w:rsidRPr="007F70BE" w:rsidRDefault="00DB4FE3" w:rsidP="00B5470F">
            <w:pPr>
              <w:spacing w:after="0" w:line="240" w:lineRule="auto"/>
              <w:ind w:left="720"/>
              <w:rPr>
                <w:rFonts w:cstheme="minorHAnsi"/>
                <w:lang w:val="en-GB"/>
              </w:rPr>
            </w:pPr>
          </w:p>
          <w:p w14:paraId="2E052251" w14:textId="77777777" w:rsidR="00DB4FE3" w:rsidRPr="007F70BE" w:rsidRDefault="00DB4FE3" w:rsidP="00B5470F">
            <w:pPr>
              <w:spacing w:after="0" w:line="240" w:lineRule="auto"/>
              <w:ind w:left="720"/>
              <w:rPr>
                <w:rFonts w:cstheme="minorHAnsi"/>
                <w:lang w:val="en-GB"/>
              </w:rPr>
            </w:pPr>
            <w:r w:rsidRPr="007F70BE">
              <w:rPr>
                <w:rFonts w:cstheme="minorHAnsi"/>
                <w:lang w:val="en-GB"/>
              </w:rPr>
              <w:lastRenderedPageBreak/>
              <w:t xml:space="preserve">Additionally, with regards to the article under analysis, we believe it may be necessary, in some cases, to confirm the identity of the complainant - for instance, if its complaint relates to a specific acquisition of ARTs by a specific individual (quantities, conditions, etc.). </w:t>
            </w:r>
          </w:p>
          <w:p w14:paraId="16024F40" w14:textId="77777777" w:rsidR="00DB4FE3" w:rsidRPr="007F70BE" w:rsidRDefault="00DB4FE3" w:rsidP="00B5470F">
            <w:pPr>
              <w:spacing w:after="0" w:line="240" w:lineRule="auto"/>
              <w:ind w:left="720"/>
              <w:rPr>
                <w:rFonts w:cstheme="minorHAnsi"/>
                <w:lang w:val="en-GB"/>
              </w:rPr>
            </w:pPr>
          </w:p>
          <w:p w14:paraId="71A70B36" w14:textId="77777777" w:rsidR="00DB4FE3" w:rsidRPr="007F70BE" w:rsidRDefault="00DB4FE3" w:rsidP="00B5470F">
            <w:pPr>
              <w:spacing w:after="0" w:line="240" w:lineRule="auto"/>
              <w:ind w:left="720"/>
              <w:rPr>
                <w:rFonts w:cstheme="minorHAnsi"/>
                <w:lang w:val="en-GB"/>
              </w:rPr>
            </w:pPr>
            <w:r w:rsidRPr="007F70BE">
              <w:rPr>
                <w:rFonts w:cstheme="minorHAnsi"/>
                <w:b/>
                <w:bCs/>
                <w:lang w:val="en-GB"/>
              </w:rPr>
              <w:t>SUGGESTION</w:t>
            </w:r>
            <w:r w:rsidRPr="007F70BE">
              <w:rPr>
                <w:rFonts w:cstheme="minorHAnsi"/>
                <w:lang w:val="en-GB"/>
              </w:rPr>
              <w:t>: We suggest addressing the spelling mistakes and wording.</w:t>
            </w:r>
          </w:p>
          <w:p w14:paraId="306602F7" w14:textId="77777777" w:rsidR="00DB4FE3" w:rsidRPr="007F70BE" w:rsidRDefault="00DB4FE3" w:rsidP="00B5470F">
            <w:pPr>
              <w:spacing w:after="0" w:line="240" w:lineRule="auto"/>
              <w:ind w:left="720"/>
              <w:rPr>
                <w:rFonts w:cstheme="minorHAnsi"/>
                <w:lang w:val="en-GB"/>
              </w:rPr>
            </w:pPr>
          </w:p>
          <w:p w14:paraId="548C8A62" w14:textId="77777777" w:rsidR="00DB4FE3" w:rsidRPr="007F70BE" w:rsidRDefault="00DB4FE3" w:rsidP="00B5470F">
            <w:pPr>
              <w:spacing w:after="0" w:line="240" w:lineRule="auto"/>
              <w:ind w:left="720"/>
              <w:rPr>
                <w:rFonts w:cstheme="minorHAnsi"/>
                <w:lang w:val="en-GB"/>
              </w:rPr>
            </w:pPr>
            <w:r w:rsidRPr="007F70BE">
              <w:rPr>
                <w:rFonts w:cstheme="minorHAnsi"/>
                <w:b/>
                <w:bCs/>
                <w:lang w:val="en-GB"/>
              </w:rPr>
              <w:t>SUGGESTION</w:t>
            </w:r>
            <w:r w:rsidRPr="007F70BE">
              <w:rPr>
                <w:rFonts w:cstheme="minorHAnsi"/>
                <w:lang w:val="en-GB"/>
              </w:rPr>
              <w:t xml:space="preserve">: We also suggest adding a paragraph providing that the issuer of asset-referenced tokens may request the complainant to provide additional information necessary to confirm the complainant’s identity where the issuer of asset-referenced tokens has reasonable doubts concerning the identity of the person making the complaint (wording inspired by </w:t>
            </w:r>
            <w:hyperlink r:id="rId28" w:anchor="tocId18" w:history="1">
              <w:r w:rsidRPr="007F70BE">
                <w:rPr>
                  <w:rStyle w:val="Hyperlink"/>
                  <w:rFonts w:cstheme="minorHAnsi"/>
                  <w:lang w:val="en-GB"/>
                </w:rPr>
                <w:t>Article 12-6 GDPR</w:t>
              </w:r>
            </w:hyperlink>
            <w:r w:rsidRPr="007F70BE">
              <w:rPr>
                <w:rFonts w:cstheme="minorHAnsi"/>
                <w:lang w:val="en-GB"/>
              </w:rPr>
              <w:t>).</w:t>
            </w:r>
          </w:p>
          <w:p w14:paraId="54351DC4" w14:textId="77777777" w:rsidR="00DB4FE3" w:rsidRPr="007F70BE" w:rsidRDefault="00DB4FE3" w:rsidP="00B5470F">
            <w:pPr>
              <w:spacing w:after="0" w:line="240" w:lineRule="auto"/>
              <w:jc w:val="left"/>
              <w:rPr>
                <w:rFonts w:cstheme="minorHAnsi"/>
                <w:lang w:val="en-GB"/>
              </w:rPr>
            </w:pPr>
          </w:p>
          <w:p w14:paraId="14C3B9F4" w14:textId="77777777" w:rsidR="00DB4FE3" w:rsidRPr="007F70BE" w:rsidRDefault="00DB4FE3" w:rsidP="00B5470F">
            <w:pPr>
              <w:spacing w:after="0" w:line="240" w:lineRule="auto"/>
              <w:ind w:left="720"/>
              <w:rPr>
                <w:rFonts w:cstheme="minorHAnsi"/>
                <w:lang w:val="en-GB"/>
              </w:rPr>
            </w:pPr>
            <w:r w:rsidRPr="007F70BE">
              <w:rPr>
                <w:rFonts w:cstheme="minorHAnsi"/>
                <w:lang w:val="en-GB"/>
              </w:rPr>
              <w:t>It is also worth noting that articles of the Delegated Regulation do not mention personal data, the processing of complainant’s personal data, or GDPR provisions.</w:t>
            </w:r>
          </w:p>
          <w:p w14:paraId="33C17FA3" w14:textId="77777777" w:rsidR="00DB4FE3" w:rsidRPr="007F70BE" w:rsidRDefault="00DB4FE3" w:rsidP="00B5470F">
            <w:pPr>
              <w:spacing w:after="0" w:line="240" w:lineRule="auto"/>
              <w:ind w:left="720"/>
              <w:rPr>
                <w:rFonts w:cstheme="minorHAnsi"/>
                <w:lang w:val="en-GB"/>
              </w:rPr>
            </w:pPr>
          </w:p>
          <w:p w14:paraId="214A5A52" w14:textId="77777777" w:rsidR="00DB4FE3" w:rsidRPr="007F70BE" w:rsidRDefault="00DB4FE3" w:rsidP="00B5470F">
            <w:pPr>
              <w:spacing w:after="0" w:line="240" w:lineRule="auto"/>
              <w:ind w:left="720"/>
              <w:rPr>
                <w:rFonts w:cstheme="minorHAnsi"/>
                <w:lang w:val="en-GB"/>
              </w:rPr>
            </w:pPr>
            <w:r w:rsidRPr="007F70BE">
              <w:rPr>
                <w:rFonts w:cstheme="minorHAnsi"/>
                <w:lang w:val="en-GB"/>
              </w:rPr>
              <w:t>However, the Delegated Regulation provides that a complainant may be a “natural person”. Page 1 of the Template in the Annex to the Delegated Regulation also mentions the “</w:t>
            </w:r>
            <w:r w:rsidRPr="007F70BE">
              <w:rPr>
                <w:rFonts w:cstheme="minorHAnsi"/>
                <w:i/>
                <w:iCs/>
                <w:lang w:val="en-GB"/>
              </w:rPr>
              <w:t>Personal data of the complainant</w:t>
            </w:r>
            <w:r w:rsidRPr="007F70BE">
              <w:rPr>
                <w:rFonts w:cstheme="minorHAnsi"/>
                <w:lang w:val="en-GB"/>
              </w:rPr>
              <w:t>”.</w:t>
            </w:r>
          </w:p>
          <w:p w14:paraId="3C77C7EB" w14:textId="77777777" w:rsidR="00DB4FE3" w:rsidRPr="007F70BE" w:rsidRDefault="00DB4FE3" w:rsidP="00B5470F">
            <w:pPr>
              <w:spacing w:after="0" w:line="240" w:lineRule="auto"/>
              <w:ind w:left="720"/>
              <w:rPr>
                <w:rFonts w:cstheme="minorHAnsi"/>
                <w:lang w:val="en-GB"/>
              </w:rPr>
            </w:pPr>
          </w:p>
          <w:p w14:paraId="5A3D4AD3" w14:textId="77777777" w:rsidR="00DB4FE3" w:rsidRPr="007F70BE" w:rsidRDefault="00DB4FE3" w:rsidP="00B5470F">
            <w:pPr>
              <w:spacing w:after="0" w:line="240" w:lineRule="auto"/>
              <w:ind w:left="720"/>
              <w:rPr>
                <w:rFonts w:cstheme="minorHAnsi"/>
                <w:lang w:val="en-GB"/>
              </w:rPr>
            </w:pPr>
            <w:r w:rsidRPr="007F70BE">
              <w:rPr>
                <w:rFonts w:cstheme="minorHAnsi"/>
                <w:lang w:val="en-GB"/>
              </w:rPr>
              <w:t xml:space="preserve">On the other hand, </w:t>
            </w:r>
            <w:proofErr w:type="spellStart"/>
            <w:r w:rsidRPr="007F70BE">
              <w:rPr>
                <w:rFonts w:cstheme="minorHAnsi"/>
                <w:lang w:val="en-GB"/>
              </w:rPr>
              <w:t>MiCA</w:t>
            </w:r>
            <w:proofErr w:type="spellEnd"/>
            <w:r w:rsidRPr="007F70BE">
              <w:rPr>
                <w:rFonts w:cstheme="minorHAnsi"/>
                <w:lang w:val="en-GB"/>
              </w:rPr>
              <w:t xml:space="preserve"> refers to “personal data” as defined by the GDPR (</w:t>
            </w:r>
            <w:hyperlink r:id="rId29" w:anchor="d1e1390-40-1" w:history="1">
              <w:r w:rsidRPr="007F70BE">
                <w:rPr>
                  <w:rStyle w:val="Hyperlink"/>
                  <w:rFonts w:cstheme="minorHAnsi"/>
                  <w:lang w:val="en-GB"/>
                </w:rPr>
                <w:t xml:space="preserve">Article 3-1(45) </w:t>
              </w:r>
              <w:proofErr w:type="spellStart"/>
              <w:r w:rsidRPr="007F70BE">
                <w:rPr>
                  <w:rStyle w:val="Hyperlink"/>
                  <w:rFonts w:cstheme="minorHAnsi"/>
                  <w:lang w:val="en-GB"/>
                </w:rPr>
                <w:t>MiCA</w:t>
              </w:r>
              <w:proofErr w:type="spellEnd"/>
            </w:hyperlink>
            <w:r w:rsidRPr="007F70BE">
              <w:rPr>
                <w:rFonts w:cstheme="minorHAnsi"/>
                <w:lang w:val="en-GB"/>
              </w:rPr>
              <w:t>). It further provides that “</w:t>
            </w:r>
            <w:r w:rsidRPr="007F70BE">
              <w:rPr>
                <w:rFonts w:cstheme="minorHAnsi"/>
                <w:i/>
                <w:iCs/>
                <w:lang w:val="en-GB"/>
              </w:rPr>
              <w:t xml:space="preserve">the </w:t>
            </w:r>
            <w:r w:rsidRPr="007F70BE">
              <w:rPr>
                <w:rFonts w:cstheme="minorHAnsi"/>
                <w:b/>
                <w:bCs/>
                <w:i/>
                <w:iCs/>
                <w:u w:val="single"/>
                <w:lang w:val="en-GB"/>
              </w:rPr>
              <w:t>issuance</w:t>
            </w:r>
            <w:r w:rsidRPr="007F70BE">
              <w:rPr>
                <w:rFonts w:cstheme="minorHAnsi"/>
                <w:i/>
                <w:iCs/>
                <w:lang w:val="en-GB"/>
              </w:rPr>
              <w:t xml:space="preserve">, </w:t>
            </w:r>
            <w:r w:rsidRPr="007F70BE">
              <w:rPr>
                <w:rFonts w:cstheme="minorHAnsi"/>
                <w:b/>
                <w:bCs/>
                <w:i/>
                <w:iCs/>
                <w:u w:val="single"/>
                <w:lang w:val="en-GB"/>
              </w:rPr>
              <w:t>offer</w:t>
            </w:r>
            <w:r w:rsidRPr="007F70BE">
              <w:rPr>
                <w:rFonts w:cstheme="minorHAnsi"/>
                <w:i/>
                <w:iCs/>
                <w:lang w:val="en-GB"/>
              </w:rPr>
              <w:t xml:space="preserve"> or seeking of admission to trading </w:t>
            </w:r>
            <w:r w:rsidRPr="007F70BE">
              <w:rPr>
                <w:rFonts w:cstheme="minorHAnsi"/>
                <w:b/>
                <w:bCs/>
                <w:i/>
                <w:iCs/>
                <w:u w:val="single"/>
                <w:lang w:val="en-GB"/>
              </w:rPr>
              <w:t>of crypto-assets</w:t>
            </w:r>
            <w:r w:rsidRPr="007F70BE">
              <w:rPr>
                <w:rFonts w:cstheme="minorHAnsi"/>
                <w:i/>
                <w:iCs/>
                <w:lang w:val="en-GB"/>
              </w:rPr>
              <w:t xml:space="preserve"> and the provision of crypto-asset services could involve the processing of personal data. </w:t>
            </w:r>
            <w:r w:rsidRPr="007F70BE">
              <w:rPr>
                <w:rFonts w:cstheme="minorHAnsi"/>
                <w:b/>
                <w:bCs/>
                <w:i/>
                <w:iCs/>
                <w:u w:val="single"/>
                <w:lang w:val="en-GB"/>
              </w:rPr>
              <w:t>Any processing of personal data</w:t>
            </w:r>
            <w:r w:rsidRPr="007F70BE">
              <w:rPr>
                <w:rFonts w:cstheme="minorHAnsi"/>
                <w:i/>
                <w:iCs/>
                <w:lang w:val="en-GB"/>
              </w:rPr>
              <w:t xml:space="preserve"> under this Regulation should be carried out in accordance with applicable Union law on the protection of personal data</w:t>
            </w:r>
            <w:r w:rsidRPr="007F70BE">
              <w:rPr>
                <w:rFonts w:cstheme="minorHAnsi"/>
                <w:lang w:val="en-GB"/>
              </w:rPr>
              <w:t>” (</w:t>
            </w:r>
            <w:hyperlink r:id="rId30" w:history="1">
              <w:r w:rsidRPr="007F70BE">
                <w:rPr>
                  <w:rStyle w:val="Hyperlink"/>
                  <w:rFonts w:cstheme="minorHAnsi"/>
                  <w:lang w:val="en-GB"/>
                </w:rPr>
                <w:t xml:space="preserve">Recital (117) </w:t>
              </w:r>
              <w:proofErr w:type="spellStart"/>
              <w:r w:rsidRPr="007F70BE">
                <w:rPr>
                  <w:rStyle w:val="Hyperlink"/>
                  <w:rFonts w:cstheme="minorHAnsi"/>
                  <w:lang w:val="en-GB"/>
                </w:rPr>
                <w:t>MiCA</w:t>
              </w:r>
              <w:proofErr w:type="spellEnd"/>
            </w:hyperlink>
            <w:r w:rsidRPr="007F70BE">
              <w:rPr>
                <w:rFonts w:cstheme="minorHAnsi"/>
                <w:lang w:val="en-GB"/>
              </w:rPr>
              <w:t>).</w:t>
            </w:r>
          </w:p>
          <w:p w14:paraId="7C6C734A" w14:textId="77777777" w:rsidR="00DB4FE3" w:rsidRPr="007F70BE" w:rsidRDefault="00DB4FE3" w:rsidP="00B5470F">
            <w:pPr>
              <w:spacing w:after="0" w:line="240" w:lineRule="auto"/>
              <w:ind w:left="720"/>
              <w:rPr>
                <w:rFonts w:cstheme="minorHAnsi"/>
                <w:lang w:val="en-GB"/>
              </w:rPr>
            </w:pPr>
          </w:p>
          <w:p w14:paraId="678FDAA3" w14:textId="77777777" w:rsidR="00DB4FE3" w:rsidRPr="007F70BE" w:rsidRDefault="00DB4FE3" w:rsidP="00B5470F">
            <w:pPr>
              <w:spacing w:after="0" w:line="240" w:lineRule="auto"/>
              <w:ind w:left="720"/>
              <w:rPr>
                <w:rFonts w:cstheme="minorHAnsi"/>
                <w:lang w:val="en-GB"/>
              </w:rPr>
            </w:pPr>
            <w:r w:rsidRPr="007F70BE">
              <w:rPr>
                <w:rFonts w:cstheme="minorHAnsi"/>
                <w:b/>
                <w:bCs/>
                <w:lang w:val="en-GB"/>
              </w:rPr>
              <w:t>SUGGESTION</w:t>
            </w:r>
            <w:r w:rsidRPr="007F70BE">
              <w:rPr>
                <w:rFonts w:cstheme="minorHAnsi"/>
                <w:lang w:val="en-GB"/>
              </w:rPr>
              <w:t>: We suggest adding a definition of “personal data” to the Delegated Regulation, and a paragraph stating that “</w:t>
            </w:r>
            <w:r w:rsidRPr="007F70BE">
              <w:rPr>
                <w:rFonts w:cstheme="minorHAnsi"/>
                <w:i/>
                <w:iCs/>
                <w:lang w:val="en-GB"/>
              </w:rPr>
              <w:t>Any processing of personal data under this Regulation, with regards to complaints handling procedures, should be carried out in accordance with applicable Union law on the protection of personal data</w:t>
            </w:r>
            <w:r w:rsidRPr="007F70BE">
              <w:rPr>
                <w:rFonts w:cstheme="minorHAnsi"/>
                <w:lang w:val="en-GB"/>
              </w:rPr>
              <w:t>”.</w:t>
            </w:r>
          </w:p>
          <w:p w14:paraId="14C389B1" w14:textId="77777777" w:rsidR="00DB4FE3" w:rsidRPr="007F70BE" w:rsidRDefault="00DB4FE3" w:rsidP="00B5470F">
            <w:pPr>
              <w:spacing w:after="0" w:line="240" w:lineRule="auto"/>
              <w:rPr>
                <w:rFonts w:cstheme="minorHAnsi"/>
                <w:b/>
                <w:bCs/>
                <w:u w:val="single"/>
                <w:lang w:val="en-GB"/>
              </w:rPr>
            </w:pPr>
          </w:p>
          <w:p w14:paraId="2C86030D" w14:textId="77777777" w:rsidR="00DB4FE3" w:rsidRPr="007F70BE" w:rsidRDefault="00DB4FE3" w:rsidP="00B5470F">
            <w:pPr>
              <w:spacing w:after="0" w:line="240" w:lineRule="auto"/>
              <w:rPr>
                <w:rFonts w:cstheme="minorHAnsi"/>
                <w:b/>
                <w:bCs/>
                <w:u w:val="single"/>
                <w:lang w:val="en-GB"/>
              </w:rPr>
            </w:pPr>
          </w:p>
          <w:p w14:paraId="3F4915E3" w14:textId="390C4F8F" w:rsidR="00DB4FE3" w:rsidRPr="007F70BE" w:rsidRDefault="00DB4FE3" w:rsidP="00B5470F">
            <w:pPr>
              <w:spacing w:after="0" w:line="240" w:lineRule="auto"/>
              <w:rPr>
                <w:rFonts w:cstheme="minorHAnsi"/>
                <w:b/>
                <w:bCs/>
                <w:lang w:val="en-GB"/>
              </w:rPr>
            </w:pPr>
            <w:r w:rsidRPr="007F70BE">
              <w:rPr>
                <w:rFonts w:cstheme="minorHAnsi"/>
                <w:b/>
                <w:bCs/>
                <w:u w:val="single"/>
                <w:lang w:val="en-GB"/>
              </w:rPr>
              <w:t>Article 5-3, para. (a)</w:t>
            </w:r>
            <w:r w:rsidR="003E4769">
              <w:rPr>
                <w:rFonts w:cstheme="minorHAnsi"/>
                <w:b/>
                <w:bCs/>
                <w:lang w:val="en-GB"/>
              </w:rPr>
              <w:t xml:space="preserve"> </w:t>
            </w:r>
            <w:r w:rsidRPr="007F70BE">
              <w:rPr>
                <w:rFonts w:cstheme="minorHAnsi"/>
                <w:b/>
                <w:bCs/>
                <w:lang w:val="en-GB"/>
              </w:rPr>
              <w:t>“</w:t>
            </w:r>
            <w:r w:rsidRPr="007F70BE">
              <w:rPr>
                <w:rFonts w:cstheme="minorHAnsi"/>
                <w:b/>
                <w:bCs/>
                <w:i/>
                <w:iCs/>
                <w:lang w:val="en-GB"/>
              </w:rPr>
              <w:t>The issuer of asset-referenced tokens shall communicate the outcome of investigations on filed complaints to the complainants in plain language that can be clearly understood</w:t>
            </w:r>
            <w:r w:rsidRPr="007F70BE">
              <w:rPr>
                <w:rFonts w:cstheme="minorHAnsi"/>
                <w:b/>
                <w:bCs/>
                <w:lang w:val="en-GB"/>
              </w:rPr>
              <w:t>”.</w:t>
            </w:r>
          </w:p>
          <w:p w14:paraId="71D9890B" w14:textId="77777777" w:rsidR="00DB4FE3" w:rsidRPr="007F70BE" w:rsidRDefault="00DB4FE3" w:rsidP="00B5470F">
            <w:pPr>
              <w:spacing w:after="0" w:line="240" w:lineRule="auto"/>
              <w:rPr>
                <w:rFonts w:cstheme="minorHAnsi"/>
                <w:b/>
                <w:bCs/>
                <w:lang w:val="en-GB"/>
              </w:rPr>
            </w:pPr>
          </w:p>
          <w:p w14:paraId="416B5432" w14:textId="77777777" w:rsidR="00DB4FE3" w:rsidRPr="007F70BE" w:rsidRDefault="00DB4FE3" w:rsidP="00B5470F">
            <w:pPr>
              <w:spacing w:after="0" w:line="240" w:lineRule="auto"/>
              <w:ind w:left="720"/>
              <w:rPr>
                <w:rFonts w:cstheme="minorHAnsi"/>
                <w:lang w:val="en-GB"/>
              </w:rPr>
            </w:pPr>
            <w:r w:rsidRPr="007F70BE">
              <w:rPr>
                <w:rFonts w:cstheme="minorHAnsi"/>
                <w:lang w:val="en-GB"/>
              </w:rPr>
              <w:t>The requirement that plain language must be “clearly understood” seems ambiguous. The terms usually used in regulations are “clear and comprehensible/plain language” (e.g.,</w:t>
            </w:r>
            <w:hyperlink r:id="rId31" w:anchor="d1e1005-64-1" w:history="1">
              <w:r w:rsidRPr="007F70BE">
                <w:rPr>
                  <w:rStyle w:val="Hyperlink"/>
                  <w:rFonts w:cstheme="minorHAnsi"/>
                  <w:lang w:val="en-GB"/>
                </w:rPr>
                <w:t xml:space="preserve"> Articles 5-1, 6-1 and 8-2 Directive 2011/83/EU</w:t>
              </w:r>
            </w:hyperlink>
            <w:r w:rsidRPr="007F70BE">
              <w:rPr>
                <w:rFonts w:cstheme="minorHAnsi"/>
                <w:lang w:val="en-GB"/>
              </w:rPr>
              <w:t xml:space="preserve">; </w:t>
            </w:r>
            <w:hyperlink r:id="rId32" w:anchor="tocId8" w:history="1">
              <w:r w:rsidRPr="007F70BE">
                <w:rPr>
                  <w:rStyle w:val="Hyperlink"/>
                  <w:rFonts w:cstheme="minorHAnsi"/>
                  <w:lang w:val="en-GB"/>
                </w:rPr>
                <w:t>Articles 7-2, 12-1 and 34-2 GDPR</w:t>
              </w:r>
            </w:hyperlink>
            <w:r w:rsidRPr="007F70BE">
              <w:rPr>
                <w:rFonts w:cstheme="minorHAnsi"/>
                <w:lang w:val="en-GB"/>
              </w:rPr>
              <w:t>). Furthermore, no reference is made to the means of communication.</w:t>
            </w:r>
          </w:p>
          <w:p w14:paraId="4D89DCE7" w14:textId="77777777" w:rsidR="00DB4FE3" w:rsidRPr="007F70BE" w:rsidRDefault="00DB4FE3" w:rsidP="00B5470F">
            <w:pPr>
              <w:spacing w:after="0" w:line="240" w:lineRule="auto"/>
              <w:ind w:left="720"/>
              <w:rPr>
                <w:rFonts w:cstheme="minorHAnsi"/>
                <w:lang w:val="en-GB"/>
              </w:rPr>
            </w:pPr>
          </w:p>
          <w:p w14:paraId="3CEC627C" w14:textId="5E0675FC" w:rsidR="00DB4FE3" w:rsidRDefault="00DB4FE3" w:rsidP="003E4769">
            <w:pPr>
              <w:spacing w:after="0" w:line="240" w:lineRule="auto"/>
              <w:ind w:left="720"/>
              <w:rPr>
                <w:rFonts w:cstheme="minorHAnsi"/>
                <w:lang w:val="en-GB"/>
              </w:rPr>
            </w:pPr>
            <w:r w:rsidRPr="007F70BE">
              <w:rPr>
                <w:rFonts w:cstheme="minorHAnsi"/>
                <w:b/>
                <w:bCs/>
                <w:lang w:val="en-GB"/>
              </w:rPr>
              <w:t xml:space="preserve">SUGGESTION: </w:t>
            </w:r>
            <w:r w:rsidRPr="007F70BE">
              <w:rPr>
                <w:rFonts w:cstheme="minorHAnsi"/>
                <w:lang w:val="en-GB"/>
              </w:rPr>
              <w:t xml:space="preserve">We would suggest </w:t>
            </w:r>
            <w:r w:rsidRPr="007F70BE">
              <w:rPr>
                <w:rFonts w:cstheme="minorHAnsi"/>
                <w:i/>
                <w:iCs/>
                <w:lang w:val="en-GB"/>
              </w:rPr>
              <w:t>“[…] the outcome of investigations of filed complaints to the complainants with information that is complete, fair, clear and not misleading, using clear and plain language.</w:t>
            </w:r>
            <w:r w:rsidRPr="007F70BE">
              <w:rPr>
                <w:rFonts w:cstheme="minorHAnsi"/>
                <w:lang w:val="en-GB"/>
              </w:rPr>
              <w:t xml:space="preserve">” (wording inspired by </w:t>
            </w:r>
            <w:proofErr w:type="spellStart"/>
            <w:r w:rsidRPr="007F70BE">
              <w:rPr>
                <w:rFonts w:cstheme="minorHAnsi"/>
                <w:lang w:val="en-GB"/>
              </w:rPr>
              <w:t>MiCA’s</w:t>
            </w:r>
            <w:proofErr w:type="spellEnd"/>
            <w:r w:rsidRPr="007F70BE">
              <w:rPr>
                <w:rFonts w:cstheme="minorHAnsi"/>
                <w:lang w:val="en-GB"/>
              </w:rPr>
              <w:t xml:space="preserve"> provisions on white papers and on marketing communications - </w:t>
            </w:r>
            <w:hyperlink r:id="rId33" w:anchor="d1e3346-40-1" w:history="1">
              <w:r w:rsidRPr="007F70BE">
                <w:rPr>
                  <w:rStyle w:val="Hyperlink"/>
                  <w:rFonts w:cstheme="minorHAnsi"/>
                  <w:lang w:val="en-GB"/>
                </w:rPr>
                <w:t xml:space="preserve">Articles 19-2 and 29-1(b) </w:t>
              </w:r>
              <w:proofErr w:type="spellStart"/>
              <w:r w:rsidRPr="007F70BE">
                <w:rPr>
                  <w:rStyle w:val="Hyperlink"/>
                  <w:rFonts w:cstheme="minorHAnsi"/>
                  <w:lang w:val="en-GB"/>
                </w:rPr>
                <w:t>MiCA</w:t>
              </w:r>
              <w:proofErr w:type="spellEnd"/>
            </w:hyperlink>
            <w:r w:rsidRPr="007F70BE">
              <w:rPr>
                <w:rFonts w:cstheme="minorHAnsi"/>
                <w:lang w:val="en-GB"/>
              </w:rPr>
              <w:t xml:space="preserve"> – and by </w:t>
            </w:r>
            <w:hyperlink r:id="rId34" w:anchor="tocId18" w:history="1">
              <w:r w:rsidRPr="007F70BE">
                <w:rPr>
                  <w:rStyle w:val="Hyperlink"/>
                  <w:rFonts w:cstheme="minorHAnsi"/>
                  <w:lang w:val="en-GB"/>
                </w:rPr>
                <w:t>Articles 7-2 and 12-1 GDPR</w:t>
              </w:r>
            </w:hyperlink>
            <w:r w:rsidRPr="007F70BE">
              <w:rPr>
                <w:rFonts w:cstheme="minorHAnsi"/>
                <w:lang w:val="en-GB"/>
              </w:rPr>
              <w:t>).</w:t>
            </w:r>
          </w:p>
          <w:p w14:paraId="514F57CA" w14:textId="2080F76F" w:rsidR="005D1E12" w:rsidRDefault="005D1E12" w:rsidP="003E4769">
            <w:pPr>
              <w:spacing w:after="0" w:line="240" w:lineRule="auto"/>
              <w:ind w:left="720"/>
              <w:rPr>
                <w:rFonts w:cstheme="minorHAnsi"/>
                <w:lang w:val="en-GB"/>
              </w:rPr>
            </w:pPr>
          </w:p>
          <w:p w14:paraId="61C66ADB" w14:textId="38E93A69" w:rsidR="003D3B7E" w:rsidRDefault="003D3B7E" w:rsidP="00B5470F">
            <w:pPr>
              <w:pStyle w:val="ListParagraph"/>
              <w:rPr>
                <w:lang w:val="en-GB"/>
              </w:rPr>
            </w:pPr>
            <w:r w:rsidRPr="009D4018">
              <w:rPr>
                <w:rFonts w:cstheme="minorHAnsi"/>
                <w:lang w:val="en-GB"/>
              </w:rPr>
              <w:t>We would like to outline the issue with the variety of language options for complaints filing. Considering 24 official languages in the European Union, having all of them to be used by the issuer of ART will represent a challenge from budgetary and operational perspective. For instance, if a complaint is submitted in a language for which internal resources at the in-scope entity are absent or not sufficient, it may create complications in effectively addressing the complaint.</w:t>
            </w:r>
            <w:r>
              <w:rPr>
                <w:rFonts w:cstheme="minorHAnsi"/>
                <w:lang w:val="en-GB"/>
              </w:rPr>
              <w:t xml:space="preserve"> </w:t>
            </w:r>
            <w:proofErr w:type="spellStart"/>
            <w:r w:rsidRPr="003D3B7E">
              <w:rPr>
                <w:rFonts w:cstheme="minorHAnsi"/>
                <w:lang w:val="en-GB"/>
              </w:rPr>
              <w:t>We</w:t>
            </w:r>
            <w:proofErr w:type="spellEnd"/>
            <w:r w:rsidRPr="003D3B7E">
              <w:rPr>
                <w:rFonts w:cstheme="minorHAnsi"/>
                <w:lang w:val="en-GB"/>
              </w:rPr>
              <w:t xml:space="preserve"> believe that to the extent the contractual documentation is provided to the clients in a language they can understand, the description of the procedure and the templates should be published only in languages used in the contractual documentation concluded with the clients and the issuer of ARTs should have capacity to address client complaints only in the same languages.</w:t>
            </w:r>
          </w:p>
          <w:p w14:paraId="7836216E" w14:textId="77777777" w:rsidR="003D3B7E" w:rsidRPr="007F70BE" w:rsidRDefault="003D3B7E" w:rsidP="00B5470F">
            <w:pPr>
              <w:spacing w:after="0" w:line="240" w:lineRule="auto"/>
              <w:ind w:left="720"/>
              <w:rPr>
                <w:rFonts w:cstheme="minorHAnsi"/>
                <w:lang w:val="en-GB"/>
              </w:rPr>
            </w:pPr>
          </w:p>
          <w:p w14:paraId="538AFD59" w14:textId="77777777" w:rsidR="00DB4FE3" w:rsidRPr="007F70BE" w:rsidRDefault="00DB4FE3" w:rsidP="00B5470F">
            <w:pPr>
              <w:spacing w:after="0" w:line="240" w:lineRule="auto"/>
              <w:rPr>
                <w:rFonts w:cstheme="minorHAnsi"/>
                <w:lang w:val="en-GB"/>
              </w:rPr>
            </w:pPr>
          </w:p>
          <w:p w14:paraId="4D8F6AF1" w14:textId="77777777" w:rsidR="00DB4FE3" w:rsidRPr="007F70BE" w:rsidRDefault="00DB4FE3" w:rsidP="00B5470F">
            <w:pPr>
              <w:spacing w:after="0" w:line="240" w:lineRule="auto"/>
              <w:rPr>
                <w:rFonts w:cstheme="minorHAnsi"/>
                <w:b/>
                <w:bCs/>
                <w:u w:val="single"/>
                <w:lang w:val="en-GB"/>
              </w:rPr>
            </w:pPr>
            <w:r w:rsidRPr="007F70BE">
              <w:rPr>
                <w:rFonts w:cstheme="minorHAnsi"/>
                <w:b/>
                <w:bCs/>
                <w:u w:val="single"/>
                <w:lang w:val="en-GB"/>
              </w:rPr>
              <w:t>Articles 5-3(b) and (c), and Article 6(c)(iv)</w:t>
            </w:r>
          </w:p>
          <w:p w14:paraId="120680D0" w14:textId="77777777" w:rsidR="00DB4FE3" w:rsidRPr="007F70BE" w:rsidRDefault="00DB4FE3" w:rsidP="00B5470F">
            <w:pPr>
              <w:spacing w:after="0" w:line="240" w:lineRule="auto"/>
              <w:rPr>
                <w:rFonts w:cstheme="minorHAnsi"/>
                <w:b/>
                <w:bCs/>
                <w:u w:val="single"/>
                <w:lang w:val="en-GB"/>
              </w:rPr>
            </w:pPr>
          </w:p>
          <w:p w14:paraId="1E885633" w14:textId="77777777" w:rsidR="00DB4FE3" w:rsidRPr="007F70BE" w:rsidRDefault="00DB4FE3" w:rsidP="00B5470F">
            <w:pPr>
              <w:spacing w:after="0" w:line="240" w:lineRule="auto"/>
              <w:ind w:left="720"/>
              <w:rPr>
                <w:rFonts w:cstheme="minorHAnsi"/>
                <w:lang w:val="en-GB"/>
              </w:rPr>
            </w:pPr>
            <w:r w:rsidRPr="007F70BE">
              <w:rPr>
                <w:rFonts w:cstheme="minorHAnsi"/>
                <w:lang w:val="en-GB"/>
              </w:rPr>
              <w:t>These articles use different terms to express the same meaning: “</w:t>
            </w:r>
            <w:r w:rsidRPr="007F70BE">
              <w:rPr>
                <w:rFonts w:cstheme="minorHAnsi"/>
                <w:i/>
                <w:iCs/>
                <w:lang w:val="en-GB"/>
              </w:rPr>
              <w:t>where national rules require it</w:t>
            </w:r>
            <w:r w:rsidRPr="007F70BE">
              <w:rPr>
                <w:rFonts w:cstheme="minorHAnsi"/>
                <w:lang w:val="en-GB"/>
              </w:rPr>
              <w:t>” and “</w:t>
            </w:r>
            <w:r w:rsidRPr="007F70BE">
              <w:rPr>
                <w:rFonts w:cstheme="minorHAnsi"/>
                <w:i/>
                <w:iCs/>
                <w:lang w:val="en-GB"/>
              </w:rPr>
              <w:t>national timing requirements</w:t>
            </w:r>
            <w:r w:rsidRPr="007F70BE">
              <w:rPr>
                <w:rFonts w:cstheme="minorHAnsi"/>
                <w:lang w:val="en-GB"/>
              </w:rPr>
              <w:t>”. Furthermore, the term “</w:t>
            </w:r>
            <w:r w:rsidRPr="007F70BE">
              <w:rPr>
                <w:rFonts w:cstheme="minorHAnsi"/>
                <w:i/>
                <w:iCs/>
                <w:lang w:val="en-GB"/>
              </w:rPr>
              <w:t>rules</w:t>
            </w:r>
            <w:r w:rsidRPr="007F70BE">
              <w:rPr>
                <w:rFonts w:cstheme="minorHAnsi"/>
                <w:lang w:val="en-GB"/>
              </w:rPr>
              <w:t>” is not a common term used in other regulations and may also be ambiguous: it probably does not intend to refer to national customary rules (“national rules”), nor to rules applied in some national private sectors (“national rules”).</w:t>
            </w:r>
          </w:p>
          <w:p w14:paraId="6F5FA390" w14:textId="77777777" w:rsidR="00DB4FE3" w:rsidRPr="007F70BE" w:rsidRDefault="00DB4FE3" w:rsidP="00B5470F">
            <w:pPr>
              <w:spacing w:after="0" w:line="240" w:lineRule="auto"/>
              <w:ind w:left="720"/>
              <w:rPr>
                <w:rFonts w:cstheme="minorHAnsi"/>
                <w:lang w:val="en-GB"/>
              </w:rPr>
            </w:pPr>
          </w:p>
          <w:p w14:paraId="4312BEA1" w14:textId="66729D44" w:rsidR="00DB4FE3" w:rsidRPr="007F70BE" w:rsidRDefault="00DB4FE3" w:rsidP="00B5470F">
            <w:pPr>
              <w:spacing w:after="0" w:line="240" w:lineRule="auto"/>
              <w:ind w:left="720"/>
              <w:rPr>
                <w:rFonts w:cstheme="minorHAnsi"/>
                <w:lang w:val="en-GB"/>
              </w:rPr>
            </w:pPr>
            <w:r w:rsidRPr="007F70BE">
              <w:rPr>
                <w:rFonts w:cstheme="minorHAnsi"/>
                <w:b/>
                <w:bCs/>
                <w:lang w:val="en-GB"/>
              </w:rPr>
              <w:t>SUGGESTION</w:t>
            </w:r>
            <w:r w:rsidRPr="007F70BE">
              <w:rPr>
                <w:rFonts w:cstheme="minorHAnsi"/>
                <w:lang w:val="en-GB"/>
              </w:rPr>
              <w:t>: In line with other regulations, we would suggest harmonising the wording and preferably use the term “national law”. Hereinafter, are our suggested amendments:</w:t>
            </w:r>
          </w:p>
          <w:p w14:paraId="4127EEF2" w14:textId="77777777" w:rsidR="00DB4FE3" w:rsidRPr="007F70BE" w:rsidRDefault="00DB4FE3" w:rsidP="00B5470F">
            <w:pPr>
              <w:spacing w:after="0" w:line="240" w:lineRule="auto"/>
              <w:rPr>
                <w:rFonts w:cstheme="minorHAnsi"/>
                <w:lang w:val="en-GB"/>
              </w:rPr>
            </w:pPr>
          </w:p>
          <w:p w14:paraId="34068631" w14:textId="77777777" w:rsidR="00DB4FE3" w:rsidRPr="00B5470F" w:rsidRDefault="00DB4FE3" w:rsidP="00B5470F">
            <w:pPr>
              <w:pStyle w:val="ListParagraph"/>
              <w:numPr>
                <w:ilvl w:val="1"/>
                <w:numId w:val="7"/>
              </w:numPr>
              <w:spacing w:after="0" w:line="240" w:lineRule="auto"/>
              <w:rPr>
                <w:rFonts w:cstheme="minorHAnsi"/>
                <w:lang w:val="en-GB"/>
              </w:rPr>
            </w:pPr>
            <w:r w:rsidRPr="00B5470F">
              <w:rPr>
                <w:rFonts w:cstheme="minorHAnsi"/>
                <w:lang w:val="en-GB"/>
              </w:rPr>
              <w:t xml:space="preserve">Article 5-3(b): </w:t>
            </w:r>
            <w:r w:rsidRPr="00B5470F">
              <w:rPr>
                <w:rFonts w:cstheme="minorHAnsi"/>
                <w:i/>
                <w:iCs/>
                <w:lang w:val="en-GB"/>
              </w:rPr>
              <w:t xml:space="preserve">“[…] at least within the time limits set </w:t>
            </w:r>
            <w:r w:rsidRPr="00B5470F">
              <w:rPr>
                <w:rFonts w:cstheme="minorHAnsi"/>
                <w:b/>
                <w:bCs/>
                <w:i/>
                <w:iCs/>
                <w:u w:val="single"/>
                <w:lang w:val="en-GB"/>
              </w:rPr>
              <w:t>in</w:t>
            </w:r>
            <w:r w:rsidRPr="00B5470F">
              <w:rPr>
                <w:rFonts w:cstheme="minorHAnsi"/>
                <w:i/>
                <w:iCs/>
                <w:lang w:val="en-GB"/>
              </w:rPr>
              <w:t xml:space="preserve"> national </w:t>
            </w:r>
            <w:r w:rsidRPr="00B5470F">
              <w:rPr>
                <w:rFonts w:cstheme="minorHAnsi"/>
                <w:b/>
                <w:bCs/>
                <w:i/>
                <w:iCs/>
                <w:u w:val="single"/>
                <w:lang w:val="en-GB"/>
              </w:rPr>
              <w:t>law</w:t>
            </w:r>
            <w:r w:rsidRPr="00B5470F">
              <w:rPr>
                <w:rFonts w:cstheme="minorHAnsi"/>
                <w:i/>
                <w:iCs/>
                <w:lang w:val="en-GB"/>
              </w:rPr>
              <w:t xml:space="preserve"> to address complaints filed by complainants,</w:t>
            </w:r>
            <w:r w:rsidRPr="00B5470F">
              <w:rPr>
                <w:rFonts w:cstheme="minorHAnsi"/>
                <w:lang w:val="en-GB"/>
              </w:rPr>
              <w:t xml:space="preserve"> </w:t>
            </w:r>
            <w:r w:rsidRPr="00B5470F">
              <w:rPr>
                <w:rFonts w:cstheme="minorHAnsi"/>
                <w:i/>
                <w:iCs/>
                <w:lang w:val="en-GB"/>
              </w:rPr>
              <w:t>[…]</w:t>
            </w:r>
            <w:r w:rsidRPr="00B5470F">
              <w:rPr>
                <w:rFonts w:cstheme="minorHAnsi"/>
                <w:lang w:val="en-GB"/>
              </w:rPr>
              <w:t>”</w:t>
            </w:r>
          </w:p>
          <w:p w14:paraId="7956DC31" w14:textId="77777777" w:rsidR="00DB4FE3" w:rsidRPr="00B5470F" w:rsidRDefault="00DB4FE3" w:rsidP="00B5470F">
            <w:pPr>
              <w:pStyle w:val="ListParagraph"/>
              <w:numPr>
                <w:ilvl w:val="1"/>
                <w:numId w:val="7"/>
              </w:numPr>
              <w:spacing w:after="0" w:line="240" w:lineRule="auto"/>
              <w:rPr>
                <w:rFonts w:cstheme="minorHAnsi"/>
                <w:lang w:val="en-GB"/>
              </w:rPr>
            </w:pPr>
            <w:r w:rsidRPr="00B5470F">
              <w:rPr>
                <w:rFonts w:cstheme="minorHAnsi"/>
                <w:lang w:val="en-GB"/>
              </w:rPr>
              <w:t xml:space="preserve">Article 5-3(c): </w:t>
            </w:r>
            <w:r w:rsidRPr="00B5470F">
              <w:rPr>
                <w:rFonts w:cstheme="minorHAnsi"/>
                <w:i/>
                <w:iCs/>
                <w:lang w:val="en-GB"/>
              </w:rPr>
              <w:t xml:space="preserve">“(or any final decision, where </w:t>
            </w:r>
            <w:r w:rsidRPr="00B5470F">
              <w:rPr>
                <w:rFonts w:cstheme="minorHAnsi"/>
                <w:b/>
                <w:bCs/>
                <w:i/>
                <w:iCs/>
                <w:u w:val="single"/>
                <w:lang w:val="en-GB"/>
              </w:rPr>
              <w:t>required by</w:t>
            </w:r>
            <w:r w:rsidRPr="00B5470F">
              <w:rPr>
                <w:rFonts w:cstheme="minorHAnsi"/>
                <w:i/>
                <w:iCs/>
                <w:lang w:val="en-GB"/>
              </w:rPr>
              <w:t xml:space="preserve"> national </w:t>
            </w:r>
            <w:r w:rsidRPr="00B5470F">
              <w:rPr>
                <w:rFonts w:cstheme="minorHAnsi"/>
                <w:b/>
                <w:bCs/>
                <w:i/>
                <w:iCs/>
                <w:u w:val="single"/>
                <w:lang w:val="en-GB"/>
              </w:rPr>
              <w:t>law</w:t>
            </w:r>
            <w:r w:rsidRPr="00B5470F">
              <w:rPr>
                <w:rFonts w:cstheme="minorHAnsi"/>
                <w:i/>
                <w:iCs/>
                <w:lang w:val="en-GB"/>
              </w:rPr>
              <w:t>)</w:t>
            </w:r>
            <w:r w:rsidRPr="00B5470F">
              <w:rPr>
                <w:rFonts w:cstheme="minorHAnsi"/>
                <w:lang w:val="en-GB"/>
              </w:rPr>
              <w:t>”</w:t>
            </w:r>
          </w:p>
          <w:p w14:paraId="144A2E34" w14:textId="77777777" w:rsidR="00DB4FE3" w:rsidRPr="00B5470F" w:rsidRDefault="00DB4FE3" w:rsidP="00B5470F">
            <w:pPr>
              <w:pStyle w:val="ListParagraph"/>
              <w:numPr>
                <w:ilvl w:val="1"/>
                <w:numId w:val="7"/>
              </w:numPr>
              <w:spacing w:after="0" w:line="240" w:lineRule="auto"/>
              <w:rPr>
                <w:rFonts w:cstheme="minorHAnsi"/>
                <w:lang w:val="en-GB"/>
              </w:rPr>
            </w:pPr>
            <w:r w:rsidRPr="00B5470F">
              <w:rPr>
                <w:rFonts w:cstheme="minorHAnsi"/>
                <w:lang w:val="en-GB"/>
              </w:rPr>
              <w:t xml:space="preserve">Article 6(c)(iv): </w:t>
            </w:r>
            <w:r w:rsidRPr="00B5470F">
              <w:rPr>
                <w:rFonts w:cstheme="minorHAnsi"/>
                <w:i/>
                <w:iCs/>
                <w:lang w:val="en-GB"/>
              </w:rPr>
              <w:t xml:space="preserve">“[…] within a reasonable period of time or in accordance with </w:t>
            </w:r>
            <w:r w:rsidRPr="00B5470F">
              <w:rPr>
                <w:rFonts w:cstheme="minorHAnsi"/>
                <w:b/>
                <w:bCs/>
                <w:i/>
                <w:iCs/>
                <w:u w:val="single"/>
                <w:lang w:val="en-GB"/>
              </w:rPr>
              <w:t>requirements of national law, where</w:t>
            </w:r>
            <w:r w:rsidRPr="00B5470F">
              <w:rPr>
                <w:rFonts w:cstheme="minorHAnsi"/>
                <w:i/>
                <w:iCs/>
                <w:lang w:val="en-GB"/>
              </w:rPr>
              <w:t xml:space="preserve"> applicabl</w:t>
            </w:r>
            <w:r w:rsidRPr="00B5470F">
              <w:rPr>
                <w:rFonts w:cstheme="minorHAnsi"/>
                <w:b/>
                <w:bCs/>
                <w:i/>
                <w:iCs/>
                <w:u w:val="single"/>
                <w:lang w:val="en-GB"/>
              </w:rPr>
              <w:t>e.</w:t>
            </w:r>
            <w:r w:rsidRPr="00B5470F">
              <w:rPr>
                <w:rFonts w:cstheme="minorHAnsi"/>
                <w:b/>
                <w:bCs/>
                <w:u w:val="single"/>
                <w:lang w:val="en-GB"/>
              </w:rPr>
              <w:t>”</w:t>
            </w:r>
          </w:p>
          <w:p w14:paraId="3135030B" w14:textId="772FFE8D" w:rsidR="00AE71F1" w:rsidRPr="00B5470F" w:rsidRDefault="00AE71F1" w:rsidP="00B5470F">
            <w:pPr>
              <w:rPr>
                <w:lang w:val="en-GB"/>
              </w:rPr>
            </w:pPr>
          </w:p>
        </w:tc>
      </w:tr>
    </w:tbl>
    <w:p w14:paraId="1EA19715" w14:textId="77777777" w:rsidR="00CC1644" w:rsidRPr="00B5470F" w:rsidRDefault="00CC1644" w:rsidP="00372ADF">
      <w:pPr>
        <w:rPr>
          <w:rFonts w:cstheme="minorHAnsi"/>
          <w:lang w:val="en-GB"/>
        </w:rPr>
      </w:pPr>
    </w:p>
    <w:p w14:paraId="4E600A97" w14:textId="77777777" w:rsidR="00CC1644" w:rsidRPr="00212A52" w:rsidRDefault="00CC1644" w:rsidP="00DA60A0">
      <w:pPr>
        <w:rPr>
          <w:rFonts w:asciiTheme="majorHAnsi" w:hAnsiTheme="majorHAnsi" w:cstheme="majorHAnsi"/>
          <w:lang w:val="en-GB"/>
        </w:rPr>
      </w:pPr>
    </w:p>
    <w:p w14:paraId="21CB4C05" w14:textId="77777777" w:rsidR="00CC1644" w:rsidRPr="00212A52" w:rsidRDefault="00CC1644" w:rsidP="00DA60A0">
      <w:pPr>
        <w:rPr>
          <w:rFonts w:asciiTheme="majorHAnsi" w:hAnsiTheme="majorHAnsi" w:cstheme="majorHAnsi"/>
          <w:lang w:val="en-GB"/>
        </w:rPr>
      </w:pPr>
    </w:p>
    <w:p w14:paraId="18AC2960" w14:textId="77777777" w:rsidR="00DA60A0" w:rsidRPr="00212A52" w:rsidRDefault="00DA60A0" w:rsidP="00DA60A0">
      <w:pPr>
        <w:rPr>
          <w:rFonts w:asciiTheme="majorHAnsi" w:hAnsiTheme="majorHAnsi" w:cstheme="majorHAnsi"/>
          <w:lang w:val="en-GB"/>
        </w:rPr>
      </w:pPr>
      <w:r w:rsidRPr="00212A52">
        <w:rPr>
          <w:rFonts w:asciiTheme="majorHAnsi" w:hAnsiTheme="majorHAnsi" w:cstheme="majorHAnsi"/>
          <w:lang w:val="en-GB"/>
        </w:rPr>
        <w:t xml:space="preserve">Contacts: </w:t>
      </w:r>
      <w:hyperlink r:id="rId35" w:history="1">
        <w:r w:rsidRPr="00212A52">
          <w:rPr>
            <w:rStyle w:val="Hyperlink"/>
            <w:rFonts w:asciiTheme="majorHAnsi" w:hAnsiTheme="majorHAnsi" w:cstheme="majorHAnsi"/>
            <w:lang w:val="en-GB"/>
          </w:rPr>
          <w:t>digital@abbl.lu</w:t>
        </w:r>
      </w:hyperlink>
      <w:r w:rsidRPr="00212A52">
        <w:rPr>
          <w:rFonts w:asciiTheme="majorHAnsi" w:hAnsiTheme="majorHAnsi" w:cstheme="majorHAnsi"/>
          <w:lang w:val="en-GB"/>
        </w:rPr>
        <w:t xml:space="preserve"> </w:t>
      </w:r>
    </w:p>
    <w:p w14:paraId="06E0EFD5" w14:textId="77777777" w:rsidR="006B04CE" w:rsidRPr="00212A52" w:rsidRDefault="006B04CE">
      <w:pPr>
        <w:rPr>
          <w:rFonts w:asciiTheme="majorHAnsi" w:hAnsiTheme="majorHAnsi" w:cstheme="majorHAnsi"/>
          <w:lang w:val="en-GB"/>
        </w:rPr>
      </w:pPr>
    </w:p>
    <w:sectPr w:rsidR="006B04CE" w:rsidRPr="00212A52">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E8AQgB1AGwAbABlAH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EE7D" w14:textId="77777777" w:rsidR="00F4400C" w:rsidRDefault="00F4400C">
      <w:r>
        <w:separator/>
      </w:r>
    </w:p>
  </w:endnote>
  <w:endnote w:type="continuationSeparator" w:id="0">
    <w:p w14:paraId="4A450ED5" w14:textId="77777777" w:rsidR="00F4400C" w:rsidRDefault="00F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B0A1" w14:textId="77777777" w:rsidR="006270CE" w:rsidRDefault="00627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726C" w14:textId="77777777" w:rsidR="006270CE" w:rsidRDefault="00463B5B">
    <w:pPr>
      <w:pStyle w:val="Footer"/>
    </w:pPr>
    <w:r>
      <w:rPr>
        <w:noProof/>
      </w:rPr>
      <w:drawing>
        <wp:anchor distT="0" distB="0" distL="114300" distR="114300" simplePos="0" relativeHeight="251660288" behindDoc="1" locked="1" layoutInCell="1" allowOverlap="1" wp14:anchorId="6D3DDC06" wp14:editId="792ECF88">
          <wp:simplePos x="0" y="0"/>
          <wp:positionH relativeFrom="page">
            <wp:posOffset>19050</wp:posOffset>
          </wp:positionH>
          <wp:positionV relativeFrom="page">
            <wp:posOffset>9775825</wp:posOffset>
          </wp:positionV>
          <wp:extent cx="7555865" cy="914400"/>
          <wp:effectExtent l="0" t="0" r="0" b="0"/>
          <wp:wrapThrough wrapText="bothSides">
            <wp:wrapPolygon edited="0">
              <wp:start x="18008" y="2400"/>
              <wp:lineTo x="1017" y="6000"/>
              <wp:lineTo x="944" y="9300"/>
              <wp:lineTo x="944" y="13200"/>
              <wp:lineTo x="1888" y="14100"/>
              <wp:lineTo x="12380" y="14100"/>
              <wp:lineTo x="20295" y="13200"/>
              <wp:lineTo x="20259" y="12600"/>
              <wp:lineTo x="20585" y="9600"/>
              <wp:lineTo x="20585" y="8400"/>
              <wp:lineTo x="20331" y="7800"/>
              <wp:lineTo x="20259" y="6300"/>
              <wp:lineTo x="19895" y="2400"/>
              <wp:lineTo x="18008" y="2400"/>
            </wp:wrapPolygon>
          </wp:wrapThrough>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srcRect t="91441"/>
                  <a:stretch/>
                </pic:blipFill>
                <pic:spPr bwMode="auto">
                  <a:xfrm>
                    <a:off x="0" y="0"/>
                    <a:ext cx="755586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14E3" w14:textId="77777777" w:rsidR="006270CE" w:rsidRDefault="0062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7444" w14:textId="77777777" w:rsidR="00F4400C" w:rsidRDefault="00F4400C">
      <w:r>
        <w:separator/>
      </w:r>
    </w:p>
  </w:footnote>
  <w:footnote w:type="continuationSeparator" w:id="0">
    <w:p w14:paraId="3549B966" w14:textId="77777777" w:rsidR="00F4400C" w:rsidRDefault="00F4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F6B5" w14:textId="77777777" w:rsidR="006270CE" w:rsidRDefault="00627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B352" w14:textId="77777777" w:rsidR="006270CE" w:rsidRDefault="00463B5B">
    <w:pPr>
      <w:pStyle w:val="Header"/>
    </w:pPr>
    <w:r>
      <w:rPr>
        <w:noProof/>
      </w:rPr>
      <w:drawing>
        <wp:anchor distT="0" distB="0" distL="114300" distR="114300" simplePos="0" relativeHeight="251659264" behindDoc="0" locked="0" layoutInCell="1" allowOverlap="1" wp14:anchorId="26340479" wp14:editId="349C5A38">
          <wp:simplePos x="0" y="0"/>
          <wp:positionH relativeFrom="column">
            <wp:posOffset>-941502</wp:posOffset>
          </wp:positionH>
          <wp:positionV relativeFrom="paragraph">
            <wp:posOffset>-330835</wp:posOffset>
          </wp:positionV>
          <wp:extent cx="3599815" cy="1180465"/>
          <wp:effectExtent l="0" t="0" r="0" b="0"/>
          <wp:wrapThrough wrapText="bothSides">
            <wp:wrapPolygon edited="0">
              <wp:start x="3429" y="6739"/>
              <wp:lineTo x="2210" y="14408"/>
              <wp:lineTo x="10135" y="14873"/>
              <wp:lineTo x="15088" y="14873"/>
              <wp:lineTo x="16308" y="12084"/>
              <wp:lineTo x="16460" y="11154"/>
              <wp:lineTo x="19356" y="10690"/>
              <wp:lineTo x="19203" y="9063"/>
              <wp:lineTo x="7163" y="6739"/>
              <wp:lineTo x="3429" y="6739"/>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9815" cy="1180465"/>
                  </a:xfrm>
                  <a:prstGeom prst="rect">
                    <a:avLst/>
                  </a:prstGeom>
                </pic:spPr>
              </pic:pic>
            </a:graphicData>
          </a:graphic>
          <wp14:sizeRelH relativeFrom="page">
            <wp14:pctWidth>0</wp14:pctWidth>
          </wp14:sizeRelH>
          <wp14:sizeRelV relativeFrom="page">
            <wp14:pctHeight>0</wp14:pctHeight>
          </wp14:sizeRelV>
        </wp:anchor>
      </w:drawing>
    </w:r>
  </w:p>
  <w:p w14:paraId="67EA07C9" w14:textId="77777777" w:rsidR="006270CE" w:rsidRDefault="006270CE">
    <w:pPr>
      <w:pStyle w:val="Header"/>
    </w:pPr>
  </w:p>
  <w:p w14:paraId="1839904D" w14:textId="77777777" w:rsidR="006270CE" w:rsidRDefault="006270CE">
    <w:pPr>
      <w:pStyle w:val="Header"/>
    </w:pPr>
  </w:p>
  <w:p w14:paraId="73618B1F" w14:textId="77777777" w:rsidR="006270CE" w:rsidRDefault="0062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4611" w14:textId="77777777" w:rsidR="006270CE" w:rsidRDefault="0062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7AE"/>
    <w:multiLevelType w:val="hybridMultilevel"/>
    <w:tmpl w:val="BD7A733A"/>
    <w:lvl w:ilvl="0" w:tplc="0D60986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02E3"/>
    <w:multiLevelType w:val="hybridMultilevel"/>
    <w:tmpl w:val="CDB67A24"/>
    <w:lvl w:ilvl="0" w:tplc="50FE89F4">
      <w:numFmt w:val="bullet"/>
      <w:lvlText w:val=""/>
      <w:lvlJc w:val="left"/>
      <w:pPr>
        <w:ind w:left="720" w:hanging="360"/>
      </w:pPr>
      <w:rPr>
        <w:rFonts w:ascii="Symbol" w:eastAsiaTheme="minorEastAsia"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82CBE"/>
    <w:multiLevelType w:val="hybridMultilevel"/>
    <w:tmpl w:val="20FEFF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455BD"/>
    <w:multiLevelType w:val="hybridMultilevel"/>
    <w:tmpl w:val="BF326B2E"/>
    <w:lvl w:ilvl="0" w:tplc="7E24CAFC">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5635E03"/>
    <w:multiLevelType w:val="hybridMultilevel"/>
    <w:tmpl w:val="DEB419E8"/>
    <w:lvl w:ilvl="0" w:tplc="541E613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B45F43"/>
    <w:multiLevelType w:val="hybridMultilevel"/>
    <w:tmpl w:val="C2222C38"/>
    <w:lvl w:ilvl="0" w:tplc="BBBA851A">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97708"/>
    <w:multiLevelType w:val="multilevel"/>
    <w:tmpl w:val="564E49EE"/>
    <w:lvl w:ilvl="0">
      <w:numFmt w:val="bullet"/>
      <w:lvlText w:val="-"/>
      <w:lvlJc w:val="left"/>
      <w:pPr>
        <w:ind w:left="0" w:firstLine="0"/>
      </w:pPr>
      <w:rPr>
        <w:rFonts w:ascii="Times New Roman" w:eastAsiaTheme="minorHAnsi" w:hAnsi="Times New Roman" w:cs="Times New Roman"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8" w15:restartNumberingAfterBreak="0">
    <w:nsid w:val="586720F9"/>
    <w:multiLevelType w:val="hybridMultilevel"/>
    <w:tmpl w:val="8DD2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E1B4B"/>
    <w:multiLevelType w:val="hybridMultilevel"/>
    <w:tmpl w:val="AD62FE8E"/>
    <w:lvl w:ilvl="0" w:tplc="AEC0A6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B65E29"/>
    <w:multiLevelType w:val="multilevel"/>
    <w:tmpl w:val="9D6E324E"/>
    <w:name w:val="AODoc"/>
    <w:lvl w:ilvl="0">
      <w:start w:val="1"/>
      <w:numFmt w:val="none"/>
      <w:pStyle w:val="AODocTxt"/>
      <w:suff w:val="nothing"/>
      <w:lvlText w:val="%1"/>
      <w:lvlJc w:val="left"/>
      <w:pPr>
        <w:ind w:left="0" w:firstLine="0"/>
      </w:pPr>
      <w:rPr>
        <w:rFonts w:hint="default"/>
      </w:rPr>
    </w:lvl>
    <w:lvl w:ilvl="1">
      <w:start w:val="1"/>
      <w:numFmt w:val="none"/>
      <w:pStyle w:val="AODocTxtL1"/>
      <w:suff w:val="nothing"/>
      <w:lvlText w:val="%2"/>
      <w:lvlJc w:val="left"/>
      <w:pPr>
        <w:ind w:left="720" w:firstLine="0"/>
      </w:pPr>
      <w:rPr>
        <w:rFonts w:hint="default"/>
      </w:rPr>
    </w:lvl>
    <w:lvl w:ilvl="2">
      <w:start w:val="1"/>
      <w:numFmt w:val="none"/>
      <w:pStyle w:val="AODocTxtL2"/>
      <w:suff w:val="nothing"/>
      <w:lvlText w:val="%3"/>
      <w:lvlJc w:val="left"/>
      <w:pPr>
        <w:ind w:left="1440" w:firstLine="0"/>
      </w:pPr>
      <w:rPr>
        <w:rFonts w:hint="default"/>
      </w:rPr>
    </w:lvl>
    <w:lvl w:ilvl="3">
      <w:start w:val="1"/>
      <w:numFmt w:val="none"/>
      <w:pStyle w:val="AODocTxtL3"/>
      <w:suff w:val="nothing"/>
      <w:lvlText w:val=""/>
      <w:lvlJc w:val="left"/>
      <w:pPr>
        <w:ind w:left="2160" w:firstLine="0"/>
      </w:pPr>
      <w:rPr>
        <w:rFonts w:hint="default"/>
      </w:rPr>
    </w:lvl>
    <w:lvl w:ilvl="4">
      <w:start w:val="1"/>
      <w:numFmt w:val="none"/>
      <w:pStyle w:val="AODocTxtL4"/>
      <w:suff w:val="nothing"/>
      <w:lvlText w:val=""/>
      <w:lvlJc w:val="left"/>
      <w:pPr>
        <w:ind w:left="2880" w:firstLine="0"/>
      </w:pPr>
      <w:rPr>
        <w:rFonts w:hint="default"/>
      </w:rPr>
    </w:lvl>
    <w:lvl w:ilvl="5">
      <w:start w:val="1"/>
      <w:numFmt w:val="none"/>
      <w:pStyle w:val="AODocTxtL5"/>
      <w:suff w:val="nothing"/>
      <w:lvlText w:val=""/>
      <w:lvlJc w:val="left"/>
      <w:pPr>
        <w:ind w:left="3600" w:firstLine="0"/>
      </w:pPr>
      <w:rPr>
        <w:rFonts w:hint="default"/>
      </w:rPr>
    </w:lvl>
    <w:lvl w:ilvl="6">
      <w:start w:val="1"/>
      <w:numFmt w:val="none"/>
      <w:pStyle w:val="AODocTxtL6"/>
      <w:suff w:val="nothing"/>
      <w:lvlText w:val=""/>
      <w:lvlJc w:val="left"/>
      <w:pPr>
        <w:ind w:left="4321" w:firstLine="0"/>
      </w:pPr>
      <w:rPr>
        <w:rFonts w:hint="default"/>
      </w:rPr>
    </w:lvl>
    <w:lvl w:ilvl="7">
      <w:start w:val="1"/>
      <w:numFmt w:val="none"/>
      <w:pStyle w:val="AODocTxtL7"/>
      <w:suff w:val="nothing"/>
      <w:lvlText w:val="%8"/>
      <w:lvlJc w:val="left"/>
      <w:pPr>
        <w:ind w:left="5041" w:firstLine="0"/>
      </w:pPr>
      <w:rPr>
        <w:rFonts w:hint="default"/>
      </w:rPr>
    </w:lvl>
    <w:lvl w:ilvl="8">
      <w:start w:val="1"/>
      <w:numFmt w:val="none"/>
      <w:pStyle w:val="AODocTxtL8"/>
      <w:suff w:val="nothing"/>
      <w:lvlText w:val=""/>
      <w:lvlJc w:val="left"/>
      <w:pPr>
        <w:ind w:left="5761" w:firstLine="0"/>
      </w:pPr>
      <w:rPr>
        <w:rFonts w:hint="default"/>
      </w:rPr>
    </w:lvl>
  </w:abstractNum>
  <w:num w:numId="1" w16cid:durableId="276765851">
    <w:abstractNumId w:val="2"/>
  </w:num>
  <w:num w:numId="2" w16cid:durableId="1426149531">
    <w:abstractNumId w:val="4"/>
  </w:num>
  <w:num w:numId="3" w16cid:durableId="1746105989">
    <w:abstractNumId w:val="10"/>
  </w:num>
  <w:num w:numId="4" w16cid:durableId="668601072">
    <w:abstractNumId w:val="3"/>
  </w:num>
  <w:num w:numId="5" w16cid:durableId="1599947798">
    <w:abstractNumId w:val="8"/>
  </w:num>
  <w:num w:numId="6" w16cid:durableId="1282569581">
    <w:abstractNumId w:val="7"/>
  </w:num>
  <w:num w:numId="7" w16cid:durableId="231623941">
    <w:abstractNumId w:val="0"/>
  </w:num>
  <w:num w:numId="8" w16cid:durableId="1690330596">
    <w:abstractNumId w:val="1"/>
  </w:num>
  <w:num w:numId="9" w16cid:durableId="155265246">
    <w:abstractNumId w:val="9"/>
  </w:num>
  <w:num w:numId="10" w16cid:durableId="362364291">
    <w:abstractNumId w:val="6"/>
  </w:num>
  <w:num w:numId="11" w16cid:durableId="1940940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A0"/>
    <w:rsid w:val="00001461"/>
    <w:rsid w:val="000064EE"/>
    <w:rsid w:val="00012F9E"/>
    <w:rsid w:val="000154BB"/>
    <w:rsid w:val="00017139"/>
    <w:rsid w:val="00022041"/>
    <w:rsid w:val="000424C3"/>
    <w:rsid w:val="00045255"/>
    <w:rsid w:val="0005556F"/>
    <w:rsid w:val="00073ECA"/>
    <w:rsid w:val="000901A0"/>
    <w:rsid w:val="00091E0E"/>
    <w:rsid w:val="00095CE7"/>
    <w:rsid w:val="000B71D9"/>
    <w:rsid w:val="000C5730"/>
    <w:rsid w:val="000D4B89"/>
    <w:rsid w:val="000F6D7B"/>
    <w:rsid w:val="00112F64"/>
    <w:rsid w:val="00124AF1"/>
    <w:rsid w:val="00133137"/>
    <w:rsid w:val="00174D84"/>
    <w:rsid w:val="00181D92"/>
    <w:rsid w:val="001866D6"/>
    <w:rsid w:val="001A6FDD"/>
    <w:rsid w:val="001B6736"/>
    <w:rsid w:val="001C2A4B"/>
    <w:rsid w:val="001C4B8D"/>
    <w:rsid w:val="001C5702"/>
    <w:rsid w:val="001C7DA0"/>
    <w:rsid w:val="001D15E1"/>
    <w:rsid w:val="001F00D7"/>
    <w:rsid w:val="001F5D78"/>
    <w:rsid w:val="001F73B7"/>
    <w:rsid w:val="00212A52"/>
    <w:rsid w:val="00241BB9"/>
    <w:rsid w:val="00250511"/>
    <w:rsid w:val="00251827"/>
    <w:rsid w:val="00257DC4"/>
    <w:rsid w:val="00295290"/>
    <w:rsid w:val="002E062F"/>
    <w:rsid w:val="002E176F"/>
    <w:rsid w:val="002E35F2"/>
    <w:rsid w:val="00303258"/>
    <w:rsid w:val="00303646"/>
    <w:rsid w:val="003175E8"/>
    <w:rsid w:val="00325402"/>
    <w:rsid w:val="003273BF"/>
    <w:rsid w:val="00337DF1"/>
    <w:rsid w:val="00341F34"/>
    <w:rsid w:val="00343BC1"/>
    <w:rsid w:val="00354055"/>
    <w:rsid w:val="00357BCB"/>
    <w:rsid w:val="003609DD"/>
    <w:rsid w:val="00362100"/>
    <w:rsid w:val="003626E9"/>
    <w:rsid w:val="00372ADF"/>
    <w:rsid w:val="00380084"/>
    <w:rsid w:val="003835F8"/>
    <w:rsid w:val="00383CDF"/>
    <w:rsid w:val="003A0E3B"/>
    <w:rsid w:val="003A1B7F"/>
    <w:rsid w:val="003A41B3"/>
    <w:rsid w:val="003B4595"/>
    <w:rsid w:val="003C2D9F"/>
    <w:rsid w:val="003C2F88"/>
    <w:rsid w:val="003D0B1E"/>
    <w:rsid w:val="003D3B7E"/>
    <w:rsid w:val="003E4769"/>
    <w:rsid w:val="003F4304"/>
    <w:rsid w:val="0040152C"/>
    <w:rsid w:val="00425254"/>
    <w:rsid w:val="004519C9"/>
    <w:rsid w:val="0045646A"/>
    <w:rsid w:val="004637E8"/>
    <w:rsid w:val="00463B5B"/>
    <w:rsid w:val="00473E58"/>
    <w:rsid w:val="0048349D"/>
    <w:rsid w:val="00490DE3"/>
    <w:rsid w:val="00495473"/>
    <w:rsid w:val="004D14DF"/>
    <w:rsid w:val="004D6F7F"/>
    <w:rsid w:val="004F3156"/>
    <w:rsid w:val="00500E67"/>
    <w:rsid w:val="0050157C"/>
    <w:rsid w:val="00505271"/>
    <w:rsid w:val="005054C4"/>
    <w:rsid w:val="00511E86"/>
    <w:rsid w:val="005126E1"/>
    <w:rsid w:val="00515342"/>
    <w:rsid w:val="00520AD4"/>
    <w:rsid w:val="00533F72"/>
    <w:rsid w:val="00536A46"/>
    <w:rsid w:val="00545991"/>
    <w:rsid w:val="00546275"/>
    <w:rsid w:val="00555701"/>
    <w:rsid w:val="005749C5"/>
    <w:rsid w:val="005C1526"/>
    <w:rsid w:val="005D1E12"/>
    <w:rsid w:val="005E1F3C"/>
    <w:rsid w:val="005F18DB"/>
    <w:rsid w:val="00603934"/>
    <w:rsid w:val="006050D3"/>
    <w:rsid w:val="00610977"/>
    <w:rsid w:val="00610EB5"/>
    <w:rsid w:val="00611BD1"/>
    <w:rsid w:val="00623099"/>
    <w:rsid w:val="006270CE"/>
    <w:rsid w:val="00641A35"/>
    <w:rsid w:val="00662676"/>
    <w:rsid w:val="00665F56"/>
    <w:rsid w:val="00666B12"/>
    <w:rsid w:val="00670A32"/>
    <w:rsid w:val="00676331"/>
    <w:rsid w:val="00676636"/>
    <w:rsid w:val="0068089B"/>
    <w:rsid w:val="006A49AF"/>
    <w:rsid w:val="006B04CE"/>
    <w:rsid w:val="006C1B5F"/>
    <w:rsid w:val="006D114C"/>
    <w:rsid w:val="00700977"/>
    <w:rsid w:val="00715B4A"/>
    <w:rsid w:val="00727B75"/>
    <w:rsid w:val="007667F9"/>
    <w:rsid w:val="00784A1D"/>
    <w:rsid w:val="007A3BC9"/>
    <w:rsid w:val="007A40F8"/>
    <w:rsid w:val="007C091B"/>
    <w:rsid w:val="007D45AF"/>
    <w:rsid w:val="007E3AE9"/>
    <w:rsid w:val="007F6C0F"/>
    <w:rsid w:val="007F70BE"/>
    <w:rsid w:val="00810455"/>
    <w:rsid w:val="00844C1E"/>
    <w:rsid w:val="00854BCE"/>
    <w:rsid w:val="00854D3E"/>
    <w:rsid w:val="00882A3B"/>
    <w:rsid w:val="008846E2"/>
    <w:rsid w:val="008866FA"/>
    <w:rsid w:val="008962ED"/>
    <w:rsid w:val="008A4E09"/>
    <w:rsid w:val="008A7175"/>
    <w:rsid w:val="008C02C0"/>
    <w:rsid w:val="008D02E9"/>
    <w:rsid w:val="008D1DA8"/>
    <w:rsid w:val="008E5E7D"/>
    <w:rsid w:val="008E709D"/>
    <w:rsid w:val="00906E69"/>
    <w:rsid w:val="009133A9"/>
    <w:rsid w:val="00914A8A"/>
    <w:rsid w:val="00965C9F"/>
    <w:rsid w:val="009745A8"/>
    <w:rsid w:val="009748CF"/>
    <w:rsid w:val="00974A20"/>
    <w:rsid w:val="00986A2E"/>
    <w:rsid w:val="009943A3"/>
    <w:rsid w:val="009A45D4"/>
    <w:rsid w:val="009E3B8A"/>
    <w:rsid w:val="009F37C9"/>
    <w:rsid w:val="00A0423E"/>
    <w:rsid w:val="00A20D1E"/>
    <w:rsid w:val="00A23B88"/>
    <w:rsid w:val="00A26FE1"/>
    <w:rsid w:val="00A40EFC"/>
    <w:rsid w:val="00A5562F"/>
    <w:rsid w:val="00A7725D"/>
    <w:rsid w:val="00A8062C"/>
    <w:rsid w:val="00A81A04"/>
    <w:rsid w:val="00A84DE1"/>
    <w:rsid w:val="00A870A4"/>
    <w:rsid w:val="00A95685"/>
    <w:rsid w:val="00AA0FC7"/>
    <w:rsid w:val="00AA4228"/>
    <w:rsid w:val="00AB6D2D"/>
    <w:rsid w:val="00AE0370"/>
    <w:rsid w:val="00AE718A"/>
    <w:rsid w:val="00AE71F1"/>
    <w:rsid w:val="00AF26A1"/>
    <w:rsid w:val="00AF47F5"/>
    <w:rsid w:val="00B303F8"/>
    <w:rsid w:val="00B42C0A"/>
    <w:rsid w:val="00B45E67"/>
    <w:rsid w:val="00B5470F"/>
    <w:rsid w:val="00B57B7F"/>
    <w:rsid w:val="00B71DFB"/>
    <w:rsid w:val="00B74999"/>
    <w:rsid w:val="00B7631C"/>
    <w:rsid w:val="00B978D7"/>
    <w:rsid w:val="00BA3903"/>
    <w:rsid w:val="00BB11FA"/>
    <w:rsid w:val="00BB73AF"/>
    <w:rsid w:val="00BC2285"/>
    <w:rsid w:val="00BD1F07"/>
    <w:rsid w:val="00BD4EC1"/>
    <w:rsid w:val="00BE6E83"/>
    <w:rsid w:val="00BF2E22"/>
    <w:rsid w:val="00BF3BD4"/>
    <w:rsid w:val="00C024B1"/>
    <w:rsid w:val="00C026A1"/>
    <w:rsid w:val="00C05ED7"/>
    <w:rsid w:val="00C07D30"/>
    <w:rsid w:val="00C37C95"/>
    <w:rsid w:val="00C42FDC"/>
    <w:rsid w:val="00C50680"/>
    <w:rsid w:val="00C53FD4"/>
    <w:rsid w:val="00C54707"/>
    <w:rsid w:val="00C66C1A"/>
    <w:rsid w:val="00C86522"/>
    <w:rsid w:val="00C96785"/>
    <w:rsid w:val="00C967CE"/>
    <w:rsid w:val="00C97B30"/>
    <w:rsid w:val="00CA2DE5"/>
    <w:rsid w:val="00CA6E99"/>
    <w:rsid w:val="00CB1279"/>
    <w:rsid w:val="00CC051C"/>
    <w:rsid w:val="00CC1644"/>
    <w:rsid w:val="00CE1BCC"/>
    <w:rsid w:val="00CE2172"/>
    <w:rsid w:val="00CF04AA"/>
    <w:rsid w:val="00D12F1F"/>
    <w:rsid w:val="00D27C24"/>
    <w:rsid w:val="00D30AE7"/>
    <w:rsid w:val="00D33816"/>
    <w:rsid w:val="00D3462A"/>
    <w:rsid w:val="00D371F4"/>
    <w:rsid w:val="00D577B3"/>
    <w:rsid w:val="00D653E0"/>
    <w:rsid w:val="00D800CC"/>
    <w:rsid w:val="00D86FAF"/>
    <w:rsid w:val="00D90C34"/>
    <w:rsid w:val="00DA60A0"/>
    <w:rsid w:val="00DA6916"/>
    <w:rsid w:val="00DB4FE3"/>
    <w:rsid w:val="00DC2DB0"/>
    <w:rsid w:val="00E06A44"/>
    <w:rsid w:val="00E10B3F"/>
    <w:rsid w:val="00E23CC2"/>
    <w:rsid w:val="00E24F25"/>
    <w:rsid w:val="00E2682F"/>
    <w:rsid w:val="00E26E55"/>
    <w:rsid w:val="00E31748"/>
    <w:rsid w:val="00E32FA8"/>
    <w:rsid w:val="00E6020F"/>
    <w:rsid w:val="00E607FC"/>
    <w:rsid w:val="00E625F7"/>
    <w:rsid w:val="00E83B31"/>
    <w:rsid w:val="00EA3DDB"/>
    <w:rsid w:val="00EB231F"/>
    <w:rsid w:val="00ED2A29"/>
    <w:rsid w:val="00ED38A5"/>
    <w:rsid w:val="00EE62F9"/>
    <w:rsid w:val="00EE7921"/>
    <w:rsid w:val="00F0459D"/>
    <w:rsid w:val="00F1083A"/>
    <w:rsid w:val="00F11CE4"/>
    <w:rsid w:val="00F343C1"/>
    <w:rsid w:val="00F430E7"/>
    <w:rsid w:val="00F4400C"/>
    <w:rsid w:val="00F468E1"/>
    <w:rsid w:val="00F51F07"/>
    <w:rsid w:val="00F53E60"/>
    <w:rsid w:val="00F60557"/>
    <w:rsid w:val="00F618B7"/>
    <w:rsid w:val="00F8031F"/>
    <w:rsid w:val="00F843EB"/>
    <w:rsid w:val="00F86C0F"/>
    <w:rsid w:val="00F901F6"/>
    <w:rsid w:val="00F93947"/>
    <w:rsid w:val="00FA5A5A"/>
    <w:rsid w:val="00FB0523"/>
    <w:rsid w:val="00FB09A5"/>
    <w:rsid w:val="00FC6EC4"/>
    <w:rsid w:val="00FD14D5"/>
    <w:rsid w:val="00FE2DEF"/>
    <w:rsid w:val="00FE39B4"/>
    <w:rsid w:val="00FF4CA3"/>
    <w:rsid w:val="00FF6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922B"/>
  <w15:chartTrackingRefBased/>
  <w15:docId w15:val="{29701C30-9933-CA43-865D-BAC74FAE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B1"/>
    <w:rPr>
      <w:kern w:val="0"/>
      <w:lang w:val="en-US"/>
      <w14:ligatures w14:val="none"/>
    </w:rPr>
  </w:style>
  <w:style w:type="paragraph" w:styleId="Heading3">
    <w:name w:val="heading 3"/>
    <w:basedOn w:val="Normal"/>
    <w:next w:val="Normal"/>
    <w:link w:val="Heading3Char"/>
    <w:uiPriority w:val="9"/>
    <w:unhideWhenUsed/>
    <w:qFormat/>
    <w:rsid w:val="00DA60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0A0"/>
    <w:rPr>
      <w:rFonts w:asciiTheme="majorHAnsi" w:eastAsiaTheme="majorEastAsia" w:hAnsiTheme="majorHAnsi" w:cstheme="majorBidi"/>
      <w:color w:val="1F3763" w:themeColor="accent1" w:themeShade="7F"/>
      <w:kern w:val="0"/>
      <w:lang w:val="en-US"/>
      <w14:ligatures w14:val="none"/>
    </w:rPr>
  </w:style>
  <w:style w:type="paragraph" w:styleId="Header">
    <w:name w:val="header"/>
    <w:basedOn w:val="Normal"/>
    <w:link w:val="HeaderChar"/>
    <w:uiPriority w:val="99"/>
    <w:unhideWhenUsed/>
    <w:rsid w:val="00DA60A0"/>
    <w:pPr>
      <w:tabs>
        <w:tab w:val="center" w:pos="4513"/>
        <w:tab w:val="right" w:pos="9026"/>
      </w:tabs>
    </w:pPr>
  </w:style>
  <w:style w:type="character" w:customStyle="1" w:styleId="HeaderChar">
    <w:name w:val="Header Char"/>
    <w:basedOn w:val="DefaultParagraphFont"/>
    <w:link w:val="Header"/>
    <w:uiPriority w:val="99"/>
    <w:rsid w:val="00DA60A0"/>
    <w:rPr>
      <w:kern w:val="0"/>
      <w:lang w:val="en-US"/>
      <w14:ligatures w14:val="none"/>
    </w:rPr>
  </w:style>
  <w:style w:type="paragraph" w:styleId="Footer">
    <w:name w:val="footer"/>
    <w:basedOn w:val="Normal"/>
    <w:link w:val="FooterChar"/>
    <w:uiPriority w:val="99"/>
    <w:unhideWhenUsed/>
    <w:rsid w:val="00DA60A0"/>
    <w:pPr>
      <w:tabs>
        <w:tab w:val="center" w:pos="4513"/>
        <w:tab w:val="right" w:pos="9026"/>
      </w:tabs>
    </w:pPr>
  </w:style>
  <w:style w:type="character" w:customStyle="1" w:styleId="FooterChar">
    <w:name w:val="Footer Char"/>
    <w:basedOn w:val="DefaultParagraphFont"/>
    <w:link w:val="Footer"/>
    <w:uiPriority w:val="99"/>
    <w:rsid w:val="00DA60A0"/>
    <w:rPr>
      <w:kern w:val="0"/>
      <w:lang w:val="en-US"/>
      <w14:ligatures w14:val="none"/>
    </w:rPr>
  </w:style>
  <w:style w:type="paragraph" w:styleId="ListParagraph">
    <w:name w:val="List Paragraph"/>
    <w:aliases w:val="List Paragraph Main,List first level,Paragraphe EI,Paragraphe de liste1,EC,OBC Bullet,List Paragraph11,List Paragrap,Colorful List - Accent 12,Bullet Styl,Bullet,No Spacing11,L,Recommendation,Recommendati,Recommendatio,List Paragraph3,lp1"/>
    <w:basedOn w:val="Normal"/>
    <w:link w:val="ListParagraphChar"/>
    <w:uiPriority w:val="34"/>
    <w:qFormat/>
    <w:rsid w:val="00DA60A0"/>
    <w:pPr>
      <w:ind w:left="720"/>
      <w:contextualSpacing/>
    </w:pPr>
  </w:style>
  <w:style w:type="table" w:styleId="TableGrid">
    <w:name w:val="Table Grid"/>
    <w:basedOn w:val="TableNormal"/>
    <w:uiPriority w:val="39"/>
    <w:rsid w:val="00DA60A0"/>
    <w:pPr>
      <w:spacing w:after="200" w:line="276" w:lineRule="auto"/>
      <w:jc w:val="both"/>
    </w:pPr>
    <w:rPr>
      <w:rFonts w:eastAsiaTheme="minorEastAsia"/>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0A0"/>
    <w:pPr>
      <w:autoSpaceDE w:val="0"/>
      <w:autoSpaceDN w:val="0"/>
      <w:adjustRightInd w:val="0"/>
    </w:pPr>
    <w:rPr>
      <w:rFonts w:ascii="Times New Roman" w:hAnsi="Times New Roman" w:cs="Times New Roman"/>
      <w:color w:val="000000"/>
      <w:kern w:val="0"/>
      <w14:ligatures w14:val="none"/>
    </w:rPr>
  </w:style>
  <w:style w:type="character" w:customStyle="1" w:styleId="ListParagraphChar">
    <w:name w:val="List Paragraph Char"/>
    <w:aliases w:val="List Paragraph Main Char,List first level Char,Paragraphe EI Char,Paragraphe de liste1 Char,EC Char,OBC Bullet Char,List Paragraph11 Char,List Paragrap Char,Colorful List - Accent 12 Char,Bullet Styl Char,Bullet Char,L Char,lp1 Char"/>
    <w:basedOn w:val="DefaultParagraphFont"/>
    <w:link w:val="ListParagraph"/>
    <w:uiPriority w:val="34"/>
    <w:qFormat/>
    <w:locked/>
    <w:rsid w:val="00DA60A0"/>
    <w:rPr>
      <w:kern w:val="0"/>
      <w:lang w:val="en-US"/>
      <w14:ligatures w14:val="none"/>
    </w:rPr>
  </w:style>
  <w:style w:type="character" w:styleId="Hyperlink">
    <w:name w:val="Hyperlink"/>
    <w:basedOn w:val="DefaultParagraphFont"/>
    <w:uiPriority w:val="99"/>
    <w:unhideWhenUsed/>
    <w:rsid w:val="00DA60A0"/>
    <w:rPr>
      <w:color w:val="0563C1" w:themeColor="hyperlink"/>
      <w:u w:val="single"/>
    </w:rPr>
  </w:style>
  <w:style w:type="paragraph" w:customStyle="1" w:styleId="AODocTxt">
    <w:name w:val="AODocTxt"/>
    <w:basedOn w:val="Normal"/>
    <w:qFormat/>
    <w:rsid w:val="00DA60A0"/>
    <w:pPr>
      <w:numPr>
        <w:numId w:val="3"/>
      </w:numPr>
      <w:spacing w:before="240" w:line="260" w:lineRule="atLeast"/>
      <w:jc w:val="both"/>
    </w:pPr>
    <w:rPr>
      <w:rFonts w:ascii="Times New Roman" w:hAnsi="Times New Roman" w:cs="Times New Roman"/>
      <w:sz w:val="22"/>
      <w:szCs w:val="22"/>
      <w:lang w:val="fr-FR"/>
    </w:rPr>
  </w:style>
  <w:style w:type="paragraph" w:customStyle="1" w:styleId="AODocTxtL1">
    <w:name w:val="AODocTxtL1"/>
    <w:basedOn w:val="AODocTxt"/>
    <w:uiPriority w:val="49"/>
    <w:rsid w:val="00DA60A0"/>
    <w:pPr>
      <w:numPr>
        <w:ilvl w:val="1"/>
      </w:numPr>
      <w:tabs>
        <w:tab w:val="num" w:pos="0"/>
      </w:tabs>
      <w:ind w:left="0"/>
    </w:pPr>
  </w:style>
  <w:style w:type="paragraph" w:customStyle="1" w:styleId="AODocTxtL2">
    <w:name w:val="AODocTxtL2"/>
    <w:basedOn w:val="AODocTxt"/>
    <w:uiPriority w:val="49"/>
    <w:rsid w:val="00DA60A0"/>
    <w:pPr>
      <w:numPr>
        <w:ilvl w:val="2"/>
      </w:numPr>
      <w:tabs>
        <w:tab w:val="num" w:pos="0"/>
      </w:tabs>
      <w:ind w:left="0"/>
    </w:pPr>
  </w:style>
  <w:style w:type="paragraph" w:customStyle="1" w:styleId="AODocTxtL3">
    <w:name w:val="AODocTxtL3"/>
    <w:basedOn w:val="AODocTxt"/>
    <w:uiPriority w:val="49"/>
    <w:rsid w:val="00DA60A0"/>
    <w:pPr>
      <w:numPr>
        <w:ilvl w:val="3"/>
      </w:numPr>
      <w:tabs>
        <w:tab w:val="num" w:pos="0"/>
      </w:tabs>
      <w:ind w:left="0"/>
    </w:pPr>
  </w:style>
  <w:style w:type="paragraph" w:customStyle="1" w:styleId="AODocTxtL4">
    <w:name w:val="AODocTxtL4"/>
    <w:basedOn w:val="AODocTxt"/>
    <w:uiPriority w:val="49"/>
    <w:rsid w:val="00DA60A0"/>
    <w:pPr>
      <w:numPr>
        <w:ilvl w:val="4"/>
      </w:numPr>
      <w:tabs>
        <w:tab w:val="num" w:pos="0"/>
      </w:tabs>
      <w:ind w:left="0"/>
    </w:pPr>
  </w:style>
  <w:style w:type="paragraph" w:customStyle="1" w:styleId="AODocTxtL5">
    <w:name w:val="AODocTxtL5"/>
    <w:basedOn w:val="AODocTxt"/>
    <w:uiPriority w:val="49"/>
    <w:rsid w:val="00DA60A0"/>
    <w:pPr>
      <w:numPr>
        <w:ilvl w:val="5"/>
      </w:numPr>
      <w:tabs>
        <w:tab w:val="num" w:pos="0"/>
      </w:tabs>
      <w:ind w:left="0"/>
    </w:pPr>
  </w:style>
  <w:style w:type="paragraph" w:customStyle="1" w:styleId="AODocTxtL6">
    <w:name w:val="AODocTxtL6"/>
    <w:basedOn w:val="AODocTxt"/>
    <w:uiPriority w:val="49"/>
    <w:rsid w:val="00DA60A0"/>
    <w:pPr>
      <w:numPr>
        <w:ilvl w:val="6"/>
      </w:numPr>
      <w:tabs>
        <w:tab w:val="num" w:pos="0"/>
      </w:tabs>
      <w:ind w:left="0"/>
    </w:pPr>
  </w:style>
  <w:style w:type="paragraph" w:customStyle="1" w:styleId="AODocTxtL7">
    <w:name w:val="AODocTxtL7"/>
    <w:basedOn w:val="AODocTxt"/>
    <w:uiPriority w:val="49"/>
    <w:rsid w:val="00DA60A0"/>
    <w:pPr>
      <w:numPr>
        <w:ilvl w:val="7"/>
      </w:numPr>
      <w:tabs>
        <w:tab w:val="num" w:pos="0"/>
      </w:tabs>
      <w:ind w:left="0"/>
    </w:pPr>
  </w:style>
  <w:style w:type="paragraph" w:customStyle="1" w:styleId="AODocTxtL8">
    <w:name w:val="AODocTxtL8"/>
    <w:basedOn w:val="AODocTxt"/>
    <w:uiPriority w:val="49"/>
    <w:rsid w:val="00DA60A0"/>
    <w:pPr>
      <w:numPr>
        <w:ilvl w:val="8"/>
      </w:numPr>
      <w:tabs>
        <w:tab w:val="num" w:pos="0"/>
      </w:tabs>
      <w:ind w:left="0"/>
    </w:pPr>
  </w:style>
  <w:style w:type="paragraph" w:customStyle="1" w:styleId="AOBullet">
    <w:name w:val="AOBullet"/>
    <w:basedOn w:val="Normal"/>
    <w:uiPriority w:val="49"/>
    <w:rsid w:val="00DA60A0"/>
    <w:pPr>
      <w:numPr>
        <w:numId w:val="2"/>
      </w:numPr>
      <w:tabs>
        <w:tab w:val="clear" w:pos="720"/>
      </w:tabs>
      <w:spacing w:before="240" w:line="260" w:lineRule="atLeast"/>
      <w:jc w:val="both"/>
    </w:pPr>
    <w:rPr>
      <w:rFonts w:ascii="Times New Roman" w:hAnsi="Times New Roman" w:cs="Times New Roman"/>
      <w:sz w:val="22"/>
      <w:szCs w:val="22"/>
      <w:lang w:val="fr-FR"/>
    </w:rPr>
  </w:style>
  <w:style w:type="paragraph" w:styleId="NormalWeb">
    <w:name w:val="Normal (Web)"/>
    <w:basedOn w:val="Normal"/>
    <w:uiPriority w:val="99"/>
    <w:semiHidden/>
    <w:unhideWhenUsed/>
    <w:rsid w:val="00CC164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D38A5"/>
    <w:rPr>
      <w:kern w:val="0"/>
      <w:lang w:val="en-US"/>
      <w14:ligatures w14:val="none"/>
    </w:rPr>
  </w:style>
  <w:style w:type="character" w:styleId="CommentReference">
    <w:name w:val="annotation reference"/>
    <w:basedOn w:val="DefaultParagraphFont"/>
    <w:uiPriority w:val="99"/>
    <w:semiHidden/>
    <w:unhideWhenUsed/>
    <w:rsid w:val="00463B5B"/>
    <w:rPr>
      <w:sz w:val="16"/>
      <w:szCs w:val="16"/>
    </w:rPr>
  </w:style>
  <w:style w:type="paragraph" w:styleId="CommentText">
    <w:name w:val="annotation text"/>
    <w:basedOn w:val="Normal"/>
    <w:link w:val="CommentTextChar"/>
    <w:uiPriority w:val="99"/>
    <w:unhideWhenUsed/>
    <w:rsid w:val="00463B5B"/>
    <w:rPr>
      <w:sz w:val="20"/>
      <w:szCs w:val="20"/>
    </w:rPr>
  </w:style>
  <w:style w:type="character" w:customStyle="1" w:styleId="CommentTextChar">
    <w:name w:val="Comment Text Char"/>
    <w:basedOn w:val="DefaultParagraphFont"/>
    <w:link w:val="CommentText"/>
    <w:uiPriority w:val="99"/>
    <w:rsid w:val="00463B5B"/>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63B5B"/>
    <w:rPr>
      <w:b/>
      <w:bCs/>
    </w:rPr>
  </w:style>
  <w:style w:type="character" w:customStyle="1" w:styleId="CommentSubjectChar">
    <w:name w:val="Comment Subject Char"/>
    <w:basedOn w:val="CommentTextChar"/>
    <w:link w:val="CommentSubject"/>
    <w:uiPriority w:val="99"/>
    <w:semiHidden/>
    <w:rsid w:val="00463B5B"/>
    <w:rPr>
      <w:b/>
      <w:bCs/>
      <w:kern w:val="0"/>
      <w:sz w:val="20"/>
      <w:szCs w:val="20"/>
      <w:lang w:val="en-US"/>
      <w14:ligatures w14:val="none"/>
    </w:rPr>
  </w:style>
  <w:style w:type="character" w:styleId="UnresolvedMention">
    <w:name w:val="Unresolved Mention"/>
    <w:basedOn w:val="DefaultParagraphFont"/>
    <w:uiPriority w:val="99"/>
    <w:semiHidden/>
    <w:unhideWhenUsed/>
    <w:rsid w:val="00E06A44"/>
    <w:rPr>
      <w:color w:val="605E5C"/>
      <w:shd w:val="clear" w:color="auto" w:fill="E1DFDD"/>
    </w:rPr>
  </w:style>
  <w:style w:type="paragraph" w:styleId="FootnoteText">
    <w:name w:val="footnote text"/>
    <w:basedOn w:val="Normal"/>
    <w:link w:val="FootnoteTextChar"/>
    <w:uiPriority w:val="99"/>
    <w:semiHidden/>
    <w:unhideWhenUsed/>
    <w:rsid w:val="00882A3B"/>
    <w:rPr>
      <w:sz w:val="20"/>
      <w:szCs w:val="20"/>
    </w:rPr>
  </w:style>
  <w:style w:type="character" w:customStyle="1" w:styleId="FootnoteTextChar">
    <w:name w:val="Footnote Text Char"/>
    <w:basedOn w:val="DefaultParagraphFont"/>
    <w:link w:val="FootnoteText"/>
    <w:uiPriority w:val="99"/>
    <w:semiHidden/>
    <w:rsid w:val="00882A3B"/>
    <w:rPr>
      <w:kern w:val="0"/>
      <w:sz w:val="20"/>
      <w:szCs w:val="20"/>
      <w:lang w:val="en-US"/>
      <w14:ligatures w14:val="none"/>
    </w:rPr>
  </w:style>
  <w:style w:type="character" w:styleId="FootnoteReference">
    <w:name w:val="footnote reference"/>
    <w:basedOn w:val="DefaultParagraphFont"/>
    <w:uiPriority w:val="99"/>
    <w:semiHidden/>
    <w:unhideWhenUsed/>
    <w:rsid w:val="00882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7405">
      <w:bodyDiv w:val="1"/>
      <w:marLeft w:val="0"/>
      <w:marRight w:val="0"/>
      <w:marTop w:val="0"/>
      <w:marBottom w:val="0"/>
      <w:divBdr>
        <w:top w:val="none" w:sz="0" w:space="0" w:color="auto"/>
        <w:left w:val="none" w:sz="0" w:space="0" w:color="auto"/>
        <w:bottom w:val="none" w:sz="0" w:space="0" w:color="auto"/>
        <w:right w:val="none" w:sz="0" w:space="0" w:color="auto"/>
      </w:divBdr>
    </w:div>
    <w:div w:id="1272857514">
      <w:bodyDiv w:val="1"/>
      <w:marLeft w:val="0"/>
      <w:marRight w:val="0"/>
      <w:marTop w:val="0"/>
      <w:marBottom w:val="0"/>
      <w:divBdr>
        <w:top w:val="none" w:sz="0" w:space="0" w:color="auto"/>
        <w:left w:val="none" w:sz="0" w:space="0" w:color="auto"/>
        <w:bottom w:val="none" w:sz="0" w:space="0" w:color="auto"/>
        <w:right w:val="none" w:sz="0" w:space="0" w:color="auto"/>
      </w:divBdr>
    </w:div>
    <w:div w:id="1782334997">
      <w:bodyDiv w:val="1"/>
      <w:marLeft w:val="0"/>
      <w:marRight w:val="0"/>
      <w:marTop w:val="0"/>
      <w:marBottom w:val="0"/>
      <w:divBdr>
        <w:top w:val="none" w:sz="0" w:space="0" w:color="auto"/>
        <w:left w:val="none" w:sz="0" w:space="0" w:color="auto"/>
        <w:bottom w:val="none" w:sz="0" w:space="0" w:color="auto"/>
        <w:right w:val="none" w:sz="0" w:space="0" w:color="auto"/>
      </w:divBdr>
    </w:div>
    <w:div w:id="21453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HTML/?uri=CELEX:32023R1114" TargetMode="External"/><Relationship Id="rId18" Type="http://schemas.openxmlformats.org/officeDocument/2006/relationships/hyperlink" Target="https://eur-lex.europa.eu/legal-content/EN/TXT/HTML/?uri=CELEX:32023R1114" TargetMode="External"/><Relationship Id="rId26" Type="http://schemas.openxmlformats.org/officeDocument/2006/relationships/hyperlink" Target="https://www.eba.europa.eu/sites/default/documents/files/document_library/Publications/Consultations/2023/Consultation%20on%20draft%20RTS%20on%20the%20requirements%2C%20templates%20and%20procedures%20for%20handling%20complaints%20under%20MiCAR/1057528/CP%20on%20draft%20RTS%20on%20complaints%20handling%20under%20MiCAR.pdf" TargetMode="External"/><Relationship Id="rId39" Type="http://schemas.openxmlformats.org/officeDocument/2006/relationships/footer" Target="footer2.xml"/><Relationship Id="rId21" Type="http://schemas.openxmlformats.org/officeDocument/2006/relationships/hyperlink" Target="https://eur-lex.europa.eu/legal-content/EN/TXT/HTML/?uri=CELEX:32023R1114" TargetMode="External"/><Relationship Id="rId34" Type="http://schemas.openxmlformats.org/officeDocument/2006/relationships/hyperlink" Target="https://eur-lex.europa.eu/legal-content/EN/TXT/HTML/?uri=CELEX:02016R0679-20160504"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eba.europa.eu/sites/default/documents/files/document_library/Publications/Consultations/2023/Consultation%20on%20draft%20RTS%20on%20the%20requirements%2C%20templates%20and%20procedures%20for%20handling%20complaints%20under%20MiCAR/1057528/CP%20on%20draft%20RTS%20on%20complaints%20handling%20under%20MiCAR.pdf" TargetMode="External"/><Relationship Id="rId20" Type="http://schemas.openxmlformats.org/officeDocument/2006/relationships/hyperlink" Target="https://eur-lex.europa.eu/legal-content/EN/TXT/HTML/?uri=CELEX:32023R1114" TargetMode="External"/><Relationship Id="rId29" Type="http://schemas.openxmlformats.org/officeDocument/2006/relationships/hyperlink" Target="https://eur-lex.europa.eu/legal-content/EN/TXT/HTML/?uri=CELEX:32023R1114" TargetMode="External"/><Relationship Id="rId41"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ur-lex.europa.eu/legal-content/EN/TXT/HTML/?uri=CELEX:32023R1114" TargetMode="External"/><Relationship Id="rId24" Type="http://schemas.openxmlformats.org/officeDocument/2006/relationships/hyperlink" Target="https://eur-lex.europa.eu/legal-content/EN/TXT/HTML/?uri=CELEX:32023R1114" TargetMode="External"/><Relationship Id="rId32" Type="http://schemas.openxmlformats.org/officeDocument/2006/relationships/hyperlink" Target="https://eur-lex.europa.eu/legal-content/EN/TXT/HTML/?uri=CELEX:02016R0679-2016050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ur-lex.europa.eu/legal-content/EN/TXT/HTML/?uri=CELEX:32023R1114" TargetMode="External"/><Relationship Id="rId23" Type="http://schemas.openxmlformats.org/officeDocument/2006/relationships/hyperlink" Target="https://eur-lex.europa.eu/legal-content/EN/TXT/HTML/?uri=CELEX:32023R1114" TargetMode="External"/><Relationship Id="rId28" Type="http://schemas.openxmlformats.org/officeDocument/2006/relationships/hyperlink" Target="https://eur-lex.europa.eu/legal-content/EN/TXT/HTML/?uri=CELEX:02016R0679-20160504" TargetMode="External"/><Relationship Id="rId36" Type="http://schemas.openxmlformats.org/officeDocument/2006/relationships/header" Target="header1.xml"/><Relationship Id="rId10" Type="http://schemas.openxmlformats.org/officeDocument/2006/relationships/hyperlink" Target="https://eur-lex.europa.eu/legal-content/EN/TXT/HTML/?uri=CELEX:32023R1114" TargetMode="External"/><Relationship Id="rId19" Type="http://schemas.openxmlformats.org/officeDocument/2006/relationships/hyperlink" Target="https://eur-lex.europa.eu/legal-content/EN/TXT/HTML/?uri=CELEX:32023R1114" TargetMode="External"/><Relationship Id="rId31" Type="http://schemas.openxmlformats.org/officeDocument/2006/relationships/hyperlink" Target="https://eur-lex.europa.eu/legal-content/EN/TXT/HTML/?uri=CELEX:32011L0083" TargetMode="External"/><Relationship Id="rId4" Type="http://schemas.openxmlformats.org/officeDocument/2006/relationships/styles" Target="styles.xml"/><Relationship Id="rId9" Type="http://schemas.openxmlformats.org/officeDocument/2006/relationships/hyperlink" Target="https://eur-lex.europa.eu/legal-content/EN/TXT/HTML/?uri=CELEX:32023R1114" TargetMode="External"/><Relationship Id="rId14" Type="http://schemas.openxmlformats.org/officeDocument/2006/relationships/hyperlink" Target="https://eur-lex.europa.eu/legal-content/EN/TXT/HTML/?uri=CELEX:32023R1114" TargetMode="External"/><Relationship Id="rId22" Type="http://schemas.openxmlformats.org/officeDocument/2006/relationships/hyperlink" Target="https://eur-lex.europa.eu/legal-content/EN/TXT/HTML/?uri=CELEX:32023R1114" TargetMode="External"/><Relationship Id="rId27" Type="http://schemas.openxmlformats.org/officeDocument/2006/relationships/hyperlink" Target="https://eur-lex.europa.eu/legal-content/EN/TXT/HTML/?uri=CELEX:32011L0083" TargetMode="External"/><Relationship Id="rId30" Type="http://schemas.openxmlformats.org/officeDocument/2006/relationships/hyperlink" Target="https://eur-lex.europa.eu/legal-content/EN/TXT/HTML/?uri=CELEX:32023R1114" TargetMode="External"/><Relationship Id="rId35" Type="http://schemas.openxmlformats.org/officeDocument/2006/relationships/hyperlink" Target="mailto:digital@abbl.lu"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ur-lex.europa.eu/legal-content/EN/TXT/HTML/?uri=CELEX:32023R1114" TargetMode="External"/><Relationship Id="rId17" Type="http://schemas.openxmlformats.org/officeDocument/2006/relationships/hyperlink" Target="https://eur-lex.europa.eu/legal-content/EN/TXT/HTML/?uri=CELEX:32023R1114" TargetMode="External"/><Relationship Id="rId25" Type="http://schemas.openxmlformats.org/officeDocument/2006/relationships/hyperlink" Target="https://eur-lex.europa.eu/legal-content/EN/TXT/HTML/?uri=CELEX:32023R1114" TargetMode="External"/><Relationship Id="rId33" Type="http://schemas.openxmlformats.org/officeDocument/2006/relationships/hyperlink" Target="https://eur-lex.europa.eu/legal-content/EN/TXT/HTML/?uri=CELEX:32023R1114"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 G E D _ A M ! 3 9 9 2 7 3 2 2 . 1 < / d o c u m e n t i d >  
     < s e n d e r i d > M M O < / s e n d e r i d >  
     < s e n d e r e m a i l > M A R C . M O U T O N @ A R E N D T . C O M < / s e n d e r e m a i l >  
     < l a s t m o d i f i e d > 2 0 2 3 - 1 0 - 0 5 T 1 6 : 0 8 : 0 0 . 0 0 0 0 0 0 0 + 0 2 : 0 0 < / l a s t m o d i f i e d >  
     < d a t a b a s e > G E D _ A M < / d a t a b a s e >  
 < / p r o p e r t i e s > 
</file>

<file path=customXml/itemProps1.xml><?xml version="1.0" encoding="utf-8"?>
<ds:datastoreItem xmlns:ds="http://schemas.openxmlformats.org/officeDocument/2006/customXml" ds:itemID="{5D0B95F1-2553-4E33-B342-9009522B94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ABBL</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ABBL</dc:creator>
  <cp:keywords/>
  <dc:description/>
  <cp:lastModifiedBy>Andrey MARTOVOY</cp:lastModifiedBy>
  <cp:revision>3</cp:revision>
  <dcterms:created xsi:type="dcterms:W3CDTF">2023-10-12T15:09:00Z</dcterms:created>
  <dcterms:modified xsi:type="dcterms:W3CDTF">2023-10-12T15:10:00Z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