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31" w:rsidRPr="00415854" w:rsidRDefault="00C10B31">
      <w:pPr>
        <w:rPr>
          <w:b/>
          <w:u w:val="single"/>
        </w:rPr>
      </w:pPr>
    </w:p>
    <w:tbl>
      <w:tblPr>
        <w:tblW w:w="14400" w:type="dxa"/>
        <w:tblLayout w:type="fixed"/>
        <w:tblCellMar>
          <w:left w:w="70" w:type="dxa"/>
          <w:right w:w="70" w:type="dxa"/>
        </w:tblCellMar>
        <w:tblLook w:val="0000" w:firstRow="0" w:lastRow="0" w:firstColumn="0" w:lastColumn="0" w:noHBand="0" w:noVBand="0"/>
      </w:tblPr>
      <w:tblGrid>
        <w:gridCol w:w="5102"/>
        <w:gridCol w:w="4649"/>
        <w:gridCol w:w="4649"/>
      </w:tblGrid>
      <w:tr w:rsidR="00F92824" w:rsidRPr="002038DC" w:rsidTr="00F92824">
        <w:trPr>
          <w:trHeight w:hRule="exact" w:val="3261"/>
        </w:trPr>
        <w:tc>
          <w:tcPr>
            <w:tcW w:w="5102" w:type="dxa"/>
          </w:tcPr>
          <w:p w:rsidR="00F92824" w:rsidRPr="002038DC" w:rsidRDefault="00C973E6" w:rsidP="00A555B1">
            <w:pPr>
              <w:ind w:right="-1"/>
              <w:rPr>
                <w:b/>
                <w:szCs w:val="22"/>
                <w:lang w:val="pt-BR"/>
              </w:rPr>
            </w:pPr>
            <w:r>
              <w:rPr>
                <w:lang w:val="fi-FI"/>
              </w:rPr>
              <w:br/>
            </w:r>
            <w:r>
              <w:rPr>
                <w:lang w:val="fi-FI"/>
              </w:rPr>
              <w:br/>
              <w:t>European Banking Authority (EBA)</w:t>
            </w:r>
          </w:p>
        </w:tc>
        <w:tc>
          <w:tcPr>
            <w:tcW w:w="4649" w:type="dxa"/>
          </w:tcPr>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F92824" w:rsidRPr="00D364F4" w:rsidRDefault="00F92824" w:rsidP="00551EFB">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F92824" w:rsidRPr="00D364F4" w:rsidRDefault="00F92824" w:rsidP="00551EFB">
            <w:pPr>
              <w:spacing w:line="260" w:lineRule="atLeast"/>
              <w:jc w:val="right"/>
              <w:rPr>
                <w:color w:val="000000"/>
                <w:sz w:val="18"/>
                <w:szCs w:val="18"/>
              </w:rPr>
            </w:pPr>
            <w:r w:rsidRPr="00D364F4">
              <w:rPr>
                <w:noProof/>
                <w:color w:val="000000"/>
                <w:sz w:val="18"/>
                <w:szCs w:val="18"/>
              </w:rPr>
              <w:t>Wiedner Hauptstraße 63 | P.O. Box 320</w:t>
            </w:r>
          </w:p>
          <w:p w:rsidR="00F92824" w:rsidRPr="00D364F4" w:rsidRDefault="00F92824" w:rsidP="00551EFB">
            <w:pPr>
              <w:spacing w:line="260" w:lineRule="atLeast"/>
              <w:jc w:val="right"/>
              <w:rPr>
                <w:color w:val="000000"/>
                <w:sz w:val="18"/>
                <w:szCs w:val="18"/>
              </w:rPr>
            </w:pPr>
            <w:r w:rsidRPr="00D364F4">
              <w:rPr>
                <w:noProof/>
                <w:color w:val="000000"/>
                <w:sz w:val="18"/>
                <w:szCs w:val="18"/>
              </w:rPr>
              <w:t>1045 Vienna</w:t>
            </w:r>
          </w:p>
          <w:p w:rsidR="00F92824" w:rsidRPr="00D364F4" w:rsidRDefault="00F92824" w:rsidP="00551EFB">
            <w:pPr>
              <w:spacing w:line="260" w:lineRule="atLeast"/>
              <w:jc w:val="right"/>
              <w:rPr>
                <w:color w:val="000000"/>
                <w:sz w:val="18"/>
                <w:szCs w:val="18"/>
              </w:rPr>
            </w:pPr>
            <w:r w:rsidRPr="00D364F4">
              <w:rPr>
                <w:noProof/>
                <w:color w:val="000000"/>
                <w:sz w:val="18"/>
                <w:szCs w:val="18"/>
              </w:rPr>
              <w:t>T +43 (0)5 90 900-DW | F +43 (0)5 90 900-272</w:t>
            </w:r>
          </w:p>
          <w:p w:rsidR="00F92824" w:rsidRPr="00D364F4" w:rsidRDefault="00F92824" w:rsidP="00551EFB">
            <w:pPr>
              <w:spacing w:line="260" w:lineRule="atLeast"/>
              <w:jc w:val="right"/>
              <w:rPr>
                <w:color w:val="000000"/>
                <w:sz w:val="18"/>
                <w:szCs w:val="18"/>
              </w:rPr>
            </w:pPr>
            <w:r w:rsidRPr="00D364F4">
              <w:rPr>
                <w:noProof/>
                <w:color w:val="000000"/>
                <w:sz w:val="18"/>
                <w:szCs w:val="18"/>
              </w:rPr>
              <w:t>E  bsbv@wko.at</w:t>
            </w:r>
          </w:p>
          <w:p w:rsidR="00F92824" w:rsidRPr="00D364F4" w:rsidRDefault="00F92824" w:rsidP="00551EFB">
            <w:pPr>
              <w:spacing w:line="260" w:lineRule="atLeast"/>
              <w:jc w:val="right"/>
              <w:rPr>
                <w:lang w:val="en-GB"/>
              </w:rPr>
            </w:pPr>
            <w:r w:rsidRPr="00D364F4">
              <w:rPr>
                <w:noProof/>
                <w:color w:val="000000"/>
                <w:sz w:val="18"/>
                <w:szCs w:val="18"/>
                <w:lang w:val="en-GB"/>
              </w:rPr>
              <w:t>W  http://wko.at/bsbv</w:t>
            </w:r>
          </w:p>
        </w:tc>
        <w:tc>
          <w:tcPr>
            <w:tcW w:w="4649" w:type="dxa"/>
          </w:tcPr>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60" w:lineRule="atLeast"/>
              <w:ind w:right="255"/>
              <w:jc w:val="right"/>
              <w:rPr>
                <w:b/>
                <w:snapToGrid w:val="0"/>
                <w:color w:val="000000"/>
                <w:sz w:val="18"/>
                <w:szCs w:val="18"/>
                <w:u w:color="000000"/>
              </w:rPr>
            </w:pPr>
            <w:r w:rsidRPr="002038DC">
              <w:rPr>
                <w:b/>
                <w:snapToGrid w:val="0"/>
                <w:color w:val="000000"/>
                <w:sz w:val="18"/>
                <w:szCs w:val="18"/>
                <w:u w:color="000000"/>
              </w:rPr>
              <w:t>Bundessparte Bank und Versicherung</w:t>
            </w:r>
            <w:bookmarkStart w:id="0" w:name="abs1"/>
            <w:bookmarkEnd w:id="0"/>
          </w:p>
          <w:p w:rsidR="00F92824" w:rsidRPr="002038DC" w:rsidRDefault="00F92824" w:rsidP="00F0083F">
            <w:pPr>
              <w:spacing w:line="260" w:lineRule="atLeast"/>
              <w:ind w:right="255"/>
              <w:jc w:val="right"/>
              <w:rPr>
                <w:b/>
                <w:snapToGrid w:val="0"/>
                <w:color w:val="000000"/>
                <w:sz w:val="18"/>
                <w:szCs w:val="18"/>
                <w:u w:color="000000"/>
              </w:rPr>
            </w:pPr>
            <w:r w:rsidRPr="002038DC">
              <w:rPr>
                <w:b/>
                <w:snapToGrid w:val="0"/>
                <w:color w:val="000000"/>
                <w:sz w:val="18"/>
                <w:szCs w:val="18"/>
                <w:u w:color="000000"/>
              </w:rPr>
              <w:t>Wirtschaftskammer Österreich</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Wiedner Hauptstraße 63 | Postfach 320</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1045 Wien</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T +43 (0)5 90 900-DW | F +43 (0)5 90 900-272</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E  bsbv@wko.at</w:t>
            </w:r>
          </w:p>
          <w:p w:rsidR="00F92824" w:rsidRPr="008E69FC" w:rsidRDefault="00F92824" w:rsidP="00F0083F">
            <w:pPr>
              <w:spacing w:line="260" w:lineRule="atLeast"/>
              <w:ind w:right="255"/>
              <w:jc w:val="right"/>
              <w:rPr>
                <w:lang w:val="de-AT"/>
              </w:rPr>
            </w:pPr>
            <w:r w:rsidRPr="008E69FC">
              <w:rPr>
                <w:snapToGrid w:val="0"/>
                <w:color w:val="000000"/>
                <w:sz w:val="18"/>
                <w:szCs w:val="18"/>
                <w:u w:color="000000"/>
                <w:lang w:val="de-AT"/>
              </w:rPr>
              <w:t>W  http://wko.at/bsbv</w:t>
            </w:r>
          </w:p>
        </w:tc>
      </w:tr>
    </w:tbl>
    <w:p w:rsidR="00C10B31" w:rsidRPr="00945373" w:rsidRDefault="00C10B31" w:rsidP="00F0083F">
      <w:pPr>
        <w:spacing w:line="240" w:lineRule="auto"/>
        <w:ind w:right="-1"/>
        <w:rPr>
          <w:snapToGrid w:val="0"/>
          <w:color w:val="000000"/>
          <w:sz w:val="24"/>
          <w:szCs w:val="24"/>
          <w:u w:color="000000"/>
        </w:rPr>
      </w:pPr>
    </w:p>
    <w:p w:rsidR="00237B76" w:rsidRDefault="00237B76" w:rsidP="00237B76">
      <w:pPr>
        <w:tabs>
          <w:tab w:val="left" w:pos="2977"/>
          <w:tab w:val="left" w:pos="5954"/>
          <w:tab w:val="left" w:pos="7655"/>
          <w:tab w:val="left" w:pos="8364"/>
        </w:tabs>
        <w:ind w:right="-1"/>
        <w:rPr>
          <w:sz w:val="16"/>
        </w:rPr>
      </w:pPr>
      <w:r>
        <w:rPr>
          <w:sz w:val="16"/>
        </w:rPr>
        <w:t>Ihr Zeichen, Ihre Nachricht vom</w:t>
      </w:r>
      <w:r>
        <w:rPr>
          <w:sz w:val="16"/>
        </w:rPr>
        <w:tab/>
        <w:t>Unser Zeichen, Sacharbeiter</w:t>
      </w:r>
      <w:r>
        <w:rPr>
          <w:sz w:val="16"/>
        </w:rPr>
        <w:tab/>
        <w:t>Durchwahl</w:t>
      </w:r>
      <w:r>
        <w:rPr>
          <w:sz w:val="16"/>
        </w:rPr>
        <w:tab/>
        <w:t>Datum</w:t>
      </w:r>
    </w:p>
    <w:p w:rsidR="00237B76" w:rsidRDefault="00237B76" w:rsidP="00AD62C1">
      <w:pPr>
        <w:tabs>
          <w:tab w:val="left" w:pos="2977"/>
          <w:tab w:val="left" w:pos="5954"/>
          <w:tab w:val="left" w:pos="7655"/>
        </w:tabs>
        <w:ind w:right="-1"/>
        <w:rPr>
          <w:snapToGrid w:val="0"/>
          <w:color w:val="000000"/>
          <w:szCs w:val="22"/>
          <w:u w:color="000000"/>
        </w:rPr>
      </w:pPr>
      <w:r>
        <w:rPr>
          <w:snapToGrid w:val="0"/>
          <w:color w:val="000000"/>
          <w:szCs w:val="22"/>
          <w:u w:color="000000"/>
        </w:rPr>
        <w:tab/>
        <w:t xml:space="preserve">BSBV </w:t>
      </w:r>
      <w:r w:rsidR="00F92824">
        <w:rPr>
          <w:snapToGrid w:val="0"/>
          <w:color w:val="000000"/>
          <w:szCs w:val="22"/>
          <w:u w:color="000000"/>
        </w:rPr>
        <w:t>115</w:t>
      </w:r>
      <w:r w:rsidR="00AD62C1">
        <w:rPr>
          <w:snapToGrid w:val="0"/>
          <w:color w:val="000000"/>
          <w:szCs w:val="22"/>
          <w:u w:color="000000"/>
        </w:rPr>
        <w:t>/</w:t>
      </w:r>
      <w:proofErr w:type="spellStart"/>
      <w:r w:rsidR="00AD62C1">
        <w:rPr>
          <w:snapToGrid w:val="0"/>
          <w:color w:val="000000"/>
          <w:szCs w:val="22"/>
          <w:u w:color="000000"/>
        </w:rPr>
        <w:t>Dr.</w:t>
      </w:r>
      <w:r w:rsidR="005F3730">
        <w:rPr>
          <w:snapToGrid w:val="0"/>
          <w:color w:val="000000"/>
          <w:szCs w:val="22"/>
          <w:u w:color="000000"/>
        </w:rPr>
        <w:t>Egger</w:t>
      </w:r>
      <w:proofErr w:type="spellEnd"/>
      <w:r w:rsidR="00FE2AE8">
        <w:rPr>
          <w:snapToGrid w:val="0"/>
          <w:color w:val="000000"/>
          <w:szCs w:val="22"/>
          <w:u w:color="000000"/>
        </w:rPr>
        <w:t>/</w:t>
      </w:r>
      <w:proofErr w:type="spellStart"/>
      <w:r w:rsidR="00FE2AE8">
        <w:rPr>
          <w:snapToGrid w:val="0"/>
          <w:color w:val="000000"/>
          <w:szCs w:val="22"/>
          <w:u w:color="000000"/>
        </w:rPr>
        <w:t>We</w:t>
      </w:r>
      <w:proofErr w:type="spellEnd"/>
      <w:r w:rsidR="005F3730">
        <w:rPr>
          <w:snapToGrid w:val="0"/>
          <w:color w:val="000000"/>
          <w:szCs w:val="22"/>
          <w:u w:color="000000"/>
        </w:rPr>
        <w:tab/>
        <w:t xml:space="preserve">3137            </w:t>
      </w:r>
      <w:r w:rsidR="009845AD">
        <w:rPr>
          <w:snapToGrid w:val="0"/>
          <w:color w:val="000000"/>
          <w:szCs w:val="22"/>
          <w:u w:color="000000"/>
        </w:rPr>
        <w:t xml:space="preserve"> </w:t>
      </w:r>
      <w:r w:rsidR="00F500B2">
        <w:rPr>
          <w:snapToGrid w:val="0"/>
          <w:color w:val="000000"/>
          <w:szCs w:val="22"/>
          <w:u w:color="000000"/>
        </w:rPr>
        <w:t xml:space="preserve"> </w:t>
      </w:r>
      <w:r w:rsidR="0022490E">
        <w:rPr>
          <w:snapToGrid w:val="0"/>
          <w:color w:val="000000"/>
          <w:szCs w:val="22"/>
          <w:u w:color="000000"/>
        </w:rPr>
        <w:t xml:space="preserve">    </w:t>
      </w:r>
      <w:r w:rsidR="00C12058">
        <w:rPr>
          <w:snapToGrid w:val="0"/>
          <w:color w:val="000000"/>
          <w:szCs w:val="22"/>
          <w:u w:color="000000"/>
        </w:rPr>
        <w:t>5 May</w:t>
      </w:r>
      <w:r w:rsidR="00F500B2">
        <w:rPr>
          <w:snapToGrid w:val="0"/>
          <w:color w:val="000000"/>
          <w:szCs w:val="22"/>
          <w:u w:color="000000"/>
        </w:rPr>
        <w:t xml:space="preserve"> 2015</w:t>
      </w:r>
      <w:r w:rsidR="00F92824">
        <w:rPr>
          <w:snapToGrid w:val="0"/>
          <w:color w:val="000000"/>
          <w:szCs w:val="22"/>
          <w:u w:color="000000"/>
        </w:rPr>
        <w:t xml:space="preserve"> </w:t>
      </w:r>
    </w:p>
    <w:p w:rsidR="00154A68" w:rsidRDefault="00154A68" w:rsidP="00154A68"/>
    <w:p w:rsidR="0094573F" w:rsidRDefault="0094573F" w:rsidP="00154A68"/>
    <w:p w:rsidR="0022490E" w:rsidRDefault="00F92824" w:rsidP="00154A68">
      <w:pPr>
        <w:rPr>
          <w:b/>
          <w:u w:val="single"/>
        </w:rPr>
      </w:pPr>
      <w:r w:rsidRPr="00F92824">
        <w:rPr>
          <w:b/>
          <w:u w:val="single"/>
        </w:rPr>
        <w:t>EBA</w:t>
      </w:r>
      <w:r w:rsidR="00C12058">
        <w:rPr>
          <w:b/>
          <w:u w:val="single"/>
        </w:rPr>
        <w:t xml:space="preserve"> - </w:t>
      </w:r>
      <w:proofErr w:type="spellStart"/>
      <w:r w:rsidR="0022490E">
        <w:rPr>
          <w:b/>
          <w:u w:val="single"/>
        </w:rPr>
        <w:t>Discussion</w:t>
      </w:r>
      <w:proofErr w:type="spellEnd"/>
      <w:r w:rsidR="0022490E">
        <w:rPr>
          <w:b/>
          <w:u w:val="single"/>
        </w:rPr>
        <w:t xml:space="preserve"> Paper „Future </w:t>
      </w:r>
      <w:proofErr w:type="spellStart"/>
      <w:r w:rsidR="0022490E">
        <w:rPr>
          <w:b/>
          <w:u w:val="single"/>
        </w:rPr>
        <w:t>of</w:t>
      </w:r>
      <w:proofErr w:type="spellEnd"/>
      <w:r w:rsidR="0022490E">
        <w:rPr>
          <w:b/>
          <w:u w:val="single"/>
        </w:rPr>
        <w:t xml:space="preserve"> </w:t>
      </w:r>
      <w:proofErr w:type="spellStart"/>
      <w:r w:rsidR="0022490E">
        <w:rPr>
          <w:b/>
          <w:u w:val="single"/>
        </w:rPr>
        <w:t>the</w:t>
      </w:r>
      <w:proofErr w:type="spellEnd"/>
      <w:r w:rsidR="0022490E">
        <w:rPr>
          <w:b/>
          <w:u w:val="single"/>
        </w:rPr>
        <w:t xml:space="preserve"> IRB Approach“</w:t>
      </w:r>
    </w:p>
    <w:p w:rsidR="00D973D5" w:rsidRDefault="00D973D5" w:rsidP="0010363C">
      <w:pPr>
        <w:spacing w:line="240" w:lineRule="auto"/>
        <w:ind w:right="-1"/>
        <w:rPr>
          <w:szCs w:val="22"/>
          <w:lang w:eastAsia="de-AT"/>
        </w:rPr>
      </w:pPr>
    </w:p>
    <w:p w:rsidR="0010363C" w:rsidRPr="00322AE6" w:rsidRDefault="00F92824" w:rsidP="0010363C">
      <w:pPr>
        <w:spacing w:line="240" w:lineRule="auto"/>
        <w:ind w:right="-1"/>
        <w:rPr>
          <w:rFonts w:cs="Arial"/>
          <w:color w:val="000000"/>
          <w:lang w:val="en-GB" w:eastAsia="en-US"/>
        </w:rPr>
      </w:pPr>
      <w:r w:rsidRPr="005B5CD9">
        <w:rPr>
          <w:lang w:val="en-GB"/>
        </w:rPr>
        <w:t>The Division Bank and Insurance of the Austrian Federal Economic Chamber, as representative of the entire Austrian banking industry, appreciates the possibility to</w:t>
      </w:r>
      <w:r w:rsidRPr="005B5CD9">
        <w:rPr>
          <w:rFonts w:cs="Arial"/>
          <w:color w:val="000000"/>
          <w:lang w:val="en-GB" w:eastAsia="en-US"/>
        </w:rPr>
        <w:t xml:space="preserve"> comment on</w:t>
      </w:r>
      <w:r>
        <w:rPr>
          <w:rFonts w:cs="Arial"/>
          <w:color w:val="000000"/>
          <w:lang w:val="en-GB" w:eastAsia="en-US"/>
        </w:rPr>
        <w:t xml:space="preserve"> the </w:t>
      </w:r>
      <w:r w:rsidR="005D1FDD">
        <w:rPr>
          <w:rFonts w:cs="Arial"/>
          <w:color w:val="000000"/>
          <w:lang w:val="en-GB" w:eastAsia="en-US"/>
        </w:rPr>
        <w:t xml:space="preserve">above mentioned </w:t>
      </w:r>
      <w:r w:rsidR="00CA4BBE">
        <w:rPr>
          <w:rFonts w:cs="Arial"/>
          <w:color w:val="000000"/>
          <w:lang w:val="en-GB" w:eastAsia="en-US"/>
        </w:rPr>
        <w:t>Discussion</w:t>
      </w:r>
      <w:r w:rsidR="005D1FDD">
        <w:rPr>
          <w:rFonts w:cs="Arial"/>
          <w:color w:val="000000"/>
          <w:lang w:val="en-GB" w:eastAsia="en-US"/>
        </w:rPr>
        <w:t xml:space="preserve"> Paper </w:t>
      </w:r>
      <w:r w:rsidRPr="005B5CD9">
        <w:rPr>
          <w:rFonts w:cs="Arial"/>
          <w:color w:val="000000"/>
          <w:lang w:val="en-GB" w:eastAsia="en-US"/>
        </w:rPr>
        <w:t>and would like to submit the following position</w:t>
      </w:r>
      <w:r>
        <w:rPr>
          <w:rFonts w:cs="Arial"/>
          <w:color w:val="000000"/>
          <w:lang w:val="en-GB" w:eastAsia="en-US"/>
        </w:rPr>
        <w:t>:</w:t>
      </w:r>
      <w:r>
        <w:rPr>
          <w:szCs w:val="22"/>
          <w:lang w:eastAsia="de-AT"/>
        </w:rPr>
        <w:t xml:space="preserve"> </w:t>
      </w:r>
    </w:p>
    <w:p w:rsidR="005D1FDD" w:rsidRDefault="005D1FDD" w:rsidP="0010363C">
      <w:pPr>
        <w:spacing w:line="240" w:lineRule="auto"/>
        <w:ind w:right="-1"/>
        <w:rPr>
          <w:lang w:val="en-GB"/>
        </w:rPr>
      </w:pPr>
    </w:p>
    <w:p w:rsidR="00365057" w:rsidRPr="00C12058" w:rsidRDefault="00365057" w:rsidP="00365057">
      <w:pPr>
        <w:spacing w:line="240" w:lineRule="auto"/>
        <w:rPr>
          <w:i/>
          <w:lang w:val="en-US"/>
        </w:rPr>
      </w:pPr>
      <w:r w:rsidRPr="006D3EDC">
        <w:rPr>
          <w:b/>
          <w:lang w:val="en-US"/>
        </w:rPr>
        <w:t>Q1</w:t>
      </w:r>
      <w:r w:rsidR="0036078F">
        <w:rPr>
          <w:b/>
          <w:lang w:val="en-US"/>
        </w:rPr>
        <w:t>:</w:t>
      </w:r>
      <w:r w:rsidRPr="006D3EDC">
        <w:rPr>
          <w:lang w:val="en-US"/>
        </w:rPr>
        <w:t xml:space="preserve"> </w:t>
      </w:r>
      <w:r w:rsidR="006D3EDC">
        <w:rPr>
          <w:lang w:val="en-US"/>
        </w:rPr>
        <w:br/>
      </w:r>
      <w:r w:rsidRPr="00C12058">
        <w:rPr>
          <w:i/>
          <w:lang w:val="en-US"/>
        </w:rPr>
        <w:t xml:space="preserve">The proposed </w:t>
      </w:r>
      <w:proofErr w:type="spellStart"/>
      <w:r w:rsidRPr="00C12058">
        <w:rPr>
          <w:i/>
          <w:lang w:val="en-US"/>
        </w:rPr>
        <w:t>prioritisation</w:t>
      </w:r>
      <w:proofErr w:type="spellEnd"/>
      <w:r w:rsidRPr="00C12058">
        <w:rPr>
          <w:i/>
          <w:lang w:val="en-US"/>
        </w:rPr>
        <w:t xml:space="preserve"> of regulatory products is based on the grouping of such elements</w:t>
      </w:r>
    </w:p>
    <w:p w:rsidR="00365057" w:rsidRPr="00C12058" w:rsidRDefault="00365057" w:rsidP="00365057">
      <w:pPr>
        <w:spacing w:line="240" w:lineRule="auto"/>
        <w:rPr>
          <w:i/>
          <w:lang w:val="en-US"/>
        </w:rPr>
      </w:pPr>
      <w:proofErr w:type="gramStart"/>
      <w:r w:rsidRPr="00C12058">
        <w:rPr>
          <w:i/>
          <w:lang w:val="en-US"/>
        </w:rPr>
        <w:t>that</w:t>
      </w:r>
      <w:proofErr w:type="gramEnd"/>
      <w:r w:rsidRPr="00C12058">
        <w:rPr>
          <w:i/>
          <w:lang w:val="en-US"/>
        </w:rPr>
        <w:t xml:space="preserve"> in the EBA’s view can be implemented in a sequential manner. Do you agree with the</w:t>
      </w:r>
    </w:p>
    <w:p w:rsidR="00365057" w:rsidRPr="00C12058" w:rsidRDefault="00365057" w:rsidP="00365057">
      <w:pPr>
        <w:spacing w:line="240" w:lineRule="auto"/>
        <w:rPr>
          <w:i/>
          <w:lang w:val="en-US"/>
        </w:rPr>
      </w:pPr>
      <w:proofErr w:type="gramStart"/>
      <w:r w:rsidRPr="00C12058">
        <w:rPr>
          <w:i/>
          <w:lang w:val="en-US"/>
        </w:rPr>
        <w:t>proposed</w:t>
      </w:r>
      <w:proofErr w:type="gramEnd"/>
      <w:r w:rsidRPr="00C12058">
        <w:rPr>
          <w:i/>
          <w:lang w:val="en-US"/>
        </w:rPr>
        <w:t xml:space="preserve"> grouping? If not, what alternative grouping would you suggest?</w:t>
      </w:r>
    </w:p>
    <w:p w:rsidR="00365057" w:rsidRPr="006D3EDC" w:rsidRDefault="00365057" w:rsidP="00365057">
      <w:pPr>
        <w:spacing w:line="240" w:lineRule="auto"/>
        <w:rPr>
          <w:lang w:val="en-US"/>
        </w:rPr>
      </w:pPr>
    </w:p>
    <w:p w:rsidR="00365057" w:rsidRPr="006D3EDC" w:rsidRDefault="00365057" w:rsidP="00365057">
      <w:pPr>
        <w:rPr>
          <w:lang w:val="en-US"/>
        </w:rPr>
      </w:pPr>
      <w:r w:rsidRPr="0036078F">
        <w:rPr>
          <w:b/>
          <w:lang w:val="en-US"/>
        </w:rPr>
        <w:t>Comment:</w:t>
      </w:r>
      <w:r w:rsidRPr="006D3EDC">
        <w:rPr>
          <w:lang w:val="en-US"/>
        </w:rPr>
        <w:t xml:space="preserve"> </w:t>
      </w:r>
      <w:r w:rsidR="0036078F">
        <w:rPr>
          <w:lang w:val="en-US"/>
        </w:rPr>
        <w:br/>
      </w:r>
      <w:r w:rsidRPr="006D3EDC">
        <w:rPr>
          <w:lang w:val="en-US"/>
        </w:rPr>
        <w:t>We agree with the grouping of topics.</w:t>
      </w:r>
    </w:p>
    <w:p w:rsidR="006D3EDC" w:rsidRDefault="006D3EDC" w:rsidP="00365057">
      <w:pPr>
        <w:spacing w:line="240" w:lineRule="auto"/>
        <w:rPr>
          <w:lang w:val="en-US"/>
        </w:rPr>
      </w:pPr>
    </w:p>
    <w:p w:rsidR="006D3EDC" w:rsidRDefault="00365057" w:rsidP="00365057">
      <w:pPr>
        <w:spacing w:line="240" w:lineRule="auto"/>
        <w:rPr>
          <w:lang w:val="en-US"/>
        </w:rPr>
      </w:pPr>
      <w:r w:rsidRPr="006D3EDC">
        <w:rPr>
          <w:b/>
          <w:lang w:val="en-US"/>
        </w:rPr>
        <w:t>Q2</w:t>
      </w:r>
      <w:r w:rsidR="0036078F">
        <w:rPr>
          <w:b/>
          <w:lang w:val="en-US"/>
        </w:rPr>
        <w:t>:</w:t>
      </w:r>
      <w:r w:rsidRPr="006D3EDC">
        <w:rPr>
          <w:lang w:val="en-US"/>
        </w:rPr>
        <w:t xml:space="preserve"> </w:t>
      </w:r>
    </w:p>
    <w:p w:rsidR="00365057" w:rsidRPr="00C12058" w:rsidRDefault="00365057" w:rsidP="00365057">
      <w:pPr>
        <w:spacing w:line="240" w:lineRule="auto"/>
        <w:rPr>
          <w:i/>
          <w:lang w:val="en-US"/>
        </w:rPr>
      </w:pPr>
      <w:r w:rsidRPr="00C12058">
        <w:rPr>
          <w:i/>
          <w:lang w:val="en-US"/>
        </w:rPr>
        <w:t>What would you consider the areas of priorities?</w:t>
      </w:r>
    </w:p>
    <w:p w:rsidR="00365057" w:rsidRPr="006D3EDC" w:rsidRDefault="00365057" w:rsidP="00365057">
      <w:pPr>
        <w:spacing w:line="240" w:lineRule="auto"/>
        <w:rPr>
          <w:lang w:val="en-US"/>
        </w:rPr>
      </w:pPr>
    </w:p>
    <w:p w:rsidR="00365057" w:rsidRPr="006D3EDC" w:rsidRDefault="00365057" w:rsidP="00365057">
      <w:pPr>
        <w:spacing w:line="240" w:lineRule="auto"/>
        <w:rPr>
          <w:lang w:val="en-US"/>
        </w:rPr>
      </w:pPr>
      <w:r w:rsidRPr="0036078F">
        <w:rPr>
          <w:b/>
          <w:lang w:val="en-US"/>
        </w:rPr>
        <w:t>Comment:</w:t>
      </w:r>
      <w:r w:rsidRPr="006D3EDC">
        <w:rPr>
          <w:lang w:val="en-US"/>
        </w:rPr>
        <w:t xml:space="preserve"> </w:t>
      </w:r>
      <w:r w:rsidR="0036078F">
        <w:rPr>
          <w:lang w:val="en-US"/>
        </w:rPr>
        <w:br/>
      </w:r>
      <w:r w:rsidRPr="006D3EDC">
        <w:rPr>
          <w:lang w:val="en-US"/>
        </w:rPr>
        <w:t xml:space="preserve">Due to the costs and resources related to data collection, model redevelopment, calibration, implementation and the related supervisory approval process, we suggest taking into account aspects of how the costs could be minimized </w:t>
      </w:r>
      <w:r w:rsidR="00C12058">
        <w:rPr>
          <w:lang w:val="en-US"/>
        </w:rPr>
        <w:t xml:space="preserve">when prioritization is set up. </w:t>
      </w:r>
      <w:r w:rsidRPr="006D3EDC">
        <w:rPr>
          <w:lang w:val="en-US"/>
        </w:rPr>
        <w:t>Our suggestion in this regard would be to prioritize the ‘scope of IRB’ as first topic and revise PPU scope, especially the inclusion of LDPs. In case a decision is made that PPU scope is potentially applicable for LDPs, or other boundaries of the current PPU would be removed, all the costs related to IRB changes could be saved for such portfolios that could qualify for PPU. It would not make sense to carry on the whole exercise of data collection, model redevelopment and a full scale regulatory approval process for portfolios that a year later would qualify for PPU.</w:t>
      </w:r>
    </w:p>
    <w:p w:rsidR="00365057" w:rsidRPr="006D3EDC" w:rsidRDefault="00365057" w:rsidP="00365057">
      <w:pPr>
        <w:spacing w:line="240" w:lineRule="auto"/>
        <w:rPr>
          <w:lang w:val="en-US"/>
        </w:rPr>
      </w:pPr>
      <w:r w:rsidRPr="006D3EDC">
        <w:rPr>
          <w:lang w:val="en-US"/>
        </w:rPr>
        <w:t>Once IRB scope is prioritized at first, we agree with the further prioritization as suggested.</w:t>
      </w:r>
    </w:p>
    <w:p w:rsidR="00365057" w:rsidRPr="006D3EDC" w:rsidRDefault="00365057" w:rsidP="00365057">
      <w:pPr>
        <w:spacing w:line="240" w:lineRule="auto"/>
        <w:rPr>
          <w:lang w:val="en-US"/>
        </w:rPr>
      </w:pPr>
    </w:p>
    <w:p w:rsidR="0036078F" w:rsidRDefault="00365057" w:rsidP="00365057">
      <w:pPr>
        <w:spacing w:line="240" w:lineRule="auto"/>
        <w:rPr>
          <w:lang w:val="en-US"/>
        </w:rPr>
      </w:pPr>
      <w:r w:rsidRPr="0036078F">
        <w:rPr>
          <w:b/>
          <w:lang w:val="en-US"/>
        </w:rPr>
        <w:t>Q3</w:t>
      </w:r>
      <w:r w:rsidR="0036078F">
        <w:rPr>
          <w:lang w:val="en-US"/>
        </w:rPr>
        <w:t>:</w:t>
      </w:r>
      <w:r w:rsidRPr="006D3EDC">
        <w:rPr>
          <w:lang w:val="en-US"/>
        </w:rPr>
        <w:t xml:space="preserve"> </w:t>
      </w:r>
    </w:p>
    <w:p w:rsidR="00365057" w:rsidRPr="00C12058" w:rsidRDefault="00365057" w:rsidP="00365057">
      <w:pPr>
        <w:spacing w:line="240" w:lineRule="auto"/>
        <w:rPr>
          <w:i/>
          <w:lang w:val="en-US"/>
        </w:rPr>
      </w:pPr>
      <w:r w:rsidRPr="00C12058">
        <w:rPr>
          <w:i/>
          <w:lang w:val="en-US"/>
        </w:rPr>
        <w:t>Do you consider the proposed timeframe reasonable? In particular do you consider reasonable</w:t>
      </w:r>
    </w:p>
    <w:p w:rsidR="00365057" w:rsidRPr="00C12058" w:rsidRDefault="00365057" w:rsidP="00365057">
      <w:pPr>
        <w:spacing w:line="240" w:lineRule="auto"/>
        <w:rPr>
          <w:i/>
          <w:lang w:val="en-US"/>
        </w:rPr>
      </w:pPr>
      <w:proofErr w:type="gramStart"/>
      <w:r w:rsidRPr="00C12058">
        <w:rPr>
          <w:i/>
          <w:lang w:val="en-US"/>
        </w:rPr>
        <w:t>the</w:t>
      </w:r>
      <w:proofErr w:type="gramEnd"/>
      <w:r w:rsidRPr="00C12058">
        <w:rPr>
          <w:i/>
          <w:lang w:val="en-US"/>
        </w:rPr>
        <w:t xml:space="preserve"> proposed timeline for the implementation of the changes in the area of:</w:t>
      </w:r>
    </w:p>
    <w:p w:rsidR="00365057" w:rsidRPr="00C12058" w:rsidRDefault="00365057" w:rsidP="00365057">
      <w:pPr>
        <w:spacing w:line="240" w:lineRule="auto"/>
        <w:rPr>
          <w:i/>
          <w:lang w:val="en-US"/>
        </w:rPr>
      </w:pPr>
      <w:proofErr w:type="gramStart"/>
      <w:r w:rsidRPr="00C12058">
        <w:rPr>
          <w:i/>
          <w:lang w:val="en-US"/>
        </w:rPr>
        <w:t>a</w:t>
      </w:r>
      <w:proofErr w:type="gramEnd"/>
      <w:r w:rsidRPr="00C12058">
        <w:rPr>
          <w:i/>
          <w:lang w:val="en-US"/>
        </w:rPr>
        <w:t>. definition of default;</w:t>
      </w:r>
    </w:p>
    <w:p w:rsidR="00365057" w:rsidRPr="00C12058" w:rsidRDefault="00365057" w:rsidP="00365057">
      <w:pPr>
        <w:spacing w:line="240" w:lineRule="auto"/>
        <w:rPr>
          <w:i/>
          <w:lang w:val="en-US"/>
        </w:rPr>
      </w:pPr>
      <w:r w:rsidRPr="00C12058">
        <w:rPr>
          <w:i/>
          <w:lang w:val="en-US"/>
        </w:rPr>
        <w:t>b. LGD and conversion factor estimation;</w:t>
      </w:r>
    </w:p>
    <w:p w:rsidR="00365057" w:rsidRPr="00C12058" w:rsidRDefault="00365057" w:rsidP="00365057">
      <w:pPr>
        <w:spacing w:line="240" w:lineRule="auto"/>
        <w:rPr>
          <w:i/>
          <w:lang w:val="en-US"/>
        </w:rPr>
      </w:pPr>
      <w:r w:rsidRPr="00C12058">
        <w:rPr>
          <w:i/>
          <w:lang w:val="en-US"/>
        </w:rPr>
        <w:t>c. PD estimation;</w:t>
      </w:r>
    </w:p>
    <w:p w:rsidR="00365057" w:rsidRPr="00C12058" w:rsidRDefault="00365057" w:rsidP="00365057">
      <w:pPr>
        <w:spacing w:line="240" w:lineRule="auto"/>
        <w:rPr>
          <w:i/>
          <w:lang w:val="en-US"/>
        </w:rPr>
      </w:pPr>
      <w:proofErr w:type="gramStart"/>
      <w:r w:rsidRPr="00C12058">
        <w:rPr>
          <w:i/>
          <w:lang w:val="en-US"/>
        </w:rPr>
        <w:lastRenderedPageBreak/>
        <w:t>d</w:t>
      </w:r>
      <w:proofErr w:type="gramEnd"/>
      <w:r w:rsidRPr="00C12058">
        <w:rPr>
          <w:i/>
          <w:lang w:val="en-US"/>
        </w:rPr>
        <w:t>. treatment of defaulted assets;</w:t>
      </w:r>
    </w:p>
    <w:p w:rsidR="00365057" w:rsidRPr="00C12058" w:rsidRDefault="00365057" w:rsidP="00365057">
      <w:pPr>
        <w:spacing w:line="240" w:lineRule="auto"/>
        <w:rPr>
          <w:i/>
          <w:lang w:val="en-US"/>
        </w:rPr>
      </w:pPr>
      <w:r w:rsidRPr="00C12058">
        <w:rPr>
          <w:i/>
          <w:lang w:val="en-US"/>
        </w:rPr>
        <w:t>e. CRM?</w:t>
      </w:r>
    </w:p>
    <w:p w:rsidR="00365057" w:rsidRPr="006D3EDC" w:rsidRDefault="00365057" w:rsidP="00365057">
      <w:pPr>
        <w:spacing w:line="240" w:lineRule="auto"/>
        <w:rPr>
          <w:lang w:val="en-US"/>
        </w:rPr>
      </w:pPr>
    </w:p>
    <w:p w:rsidR="00365057" w:rsidRPr="006D3EDC" w:rsidRDefault="00365057" w:rsidP="00365057">
      <w:pPr>
        <w:spacing w:line="240" w:lineRule="auto"/>
        <w:rPr>
          <w:lang w:val="en-US"/>
        </w:rPr>
      </w:pPr>
      <w:r w:rsidRPr="0036078F">
        <w:rPr>
          <w:b/>
          <w:lang w:val="en-US"/>
        </w:rPr>
        <w:t>Comment:</w:t>
      </w:r>
      <w:r w:rsidRPr="006D3EDC">
        <w:rPr>
          <w:lang w:val="en-US"/>
        </w:rPr>
        <w:t xml:space="preserve"> </w:t>
      </w:r>
      <w:r w:rsidR="0036078F">
        <w:rPr>
          <w:lang w:val="en-US"/>
        </w:rPr>
        <w:br/>
      </w:r>
      <w:r w:rsidR="00FF2245">
        <w:rPr>
          <w:lang w:val="en-US"/>
        </w:rPr>
        <w:t>For the topics a)-d) we do not</w:t>
      </w:r>
      <w:r w:rsidRPr="006D3EDC">
        <w:rPr>
          <w:lang w:val="en-US"/>
        </w:rPr>
        <w:t xml:space="preserve"> consider the proposed timeline realistic at all. In case backward data collection is necessary, we cannot imagine that a 2 year time line would manageable including not ju</w:t>
      </w:r>
      <w:bookmarkStart w:id="1" w:name="_GoBack"/>
      <w:r w:rsidRPr="006D3EDC">
        <w:rPr>
          <w:lang w:val="en-US"/>
        </w:rPr>
        <w:t>s</w:t>
      </w:r>
      <w:bookmarkEnd w:id="1"/>
      <w:r w:rsidRPr="006D3EDC">
        <w:rPr>
          <w:lang w:val="en-US"/>
        </w:rPr>
        <w:t>t data collection, but also redevelopment, calibration, and change approval by supervisors. Even if data could be collected backwards, the quality of that data would be questioned by the supervisors in a conservative way, where again the exercise would lead to increased conservativism and less risk-sensitivity of models. (This we see especially unmanageable for internationally active banks, where historical data is often only available in diverse geographic locations.)</w:t>
      </w:r>
    </w:p>
    <w:p w:rsidR="00365057" w:rsidRPr="006D3EDC" w:rsidRDefault="00FF2245" w:rsidP="00365057">
      <w:pPr>
        <w:spacing w:line="240" w:lineRule="auto"/>
        <w:rPr>
          <w:lang w:val="en-US"/>
        </w:rPr>
      </w:pPr>
      <w:r>
        <w:rPr>
          <w:lang w:val="en-US"/>
        </w:rPr>
        <w:t>Therefore we suggest</w:t>
      </w:r>
      <w:r w:rsidR="00365057" w:rsidRPr="006D3EDC">
        <w:rPr>
          <w:lang w:val="en-US"/>
        </w:rPr>
        <w:t xml:space="preserve"> </w:t>
      </w:r>
      <w:proofErr w:type="gramStart"/>
      <w:r w:rsidR="00365057" w:rsidRPr="006D3EDC">
        <w:rPr>
          <w:lang w:val="en-US"/>
        </w:rPr>
        <w:t>to increase</w:t>
      </w:r>
      <w:proofErr w:type="gramEnd"/>
      <w:r w:rsidR="00365057" w:rsidRPr="006D3EDC">
        <w:rPr>
          <w:lang w:val="en-US"/>
        </w:rPr>
        <w:t xml:space="preserve"> the time period in such a way that no backward data collection would be necessary. This would mean 5 years of data collection and another two years for calibration and development before filing an application for material changes.</w:t>
      </w:r>
    </w:p>
    <w:p w:rsidR="00365057" w:rsidRPr="006D3EDC" w:rsidRDefault="00365057" w:rsidP="00365057">
      <w:pPr>
        <w:spacing w:line="240" w:lineRule="auto"/>
        <w:rPr>
          <w:lang w:val="en-US"/>
        </w:rPr>
      </w:pPr>
    </w:p>
    <w:p w:rsidR="00365057" w:rsidRPr="006D3EDC" w:rsidRDefault="00365057" w:rsidP="00365057">
      <w:pPr>
        <w:spacing w:line="240" w:lineRule="auto"/>
        <w:rPr>
          <w:lang w:val="en-US"/>
        </w:rPr>
      </w:pPr>
      <w:r w:rsidRPr="006D3EDC">
        <w:rPr>
          <w:lang w:val="en-US"/>
        </w:rPr>
        <w:t>For point e), we agree with the suggested one year horizon, in case the changes do not trigger material changes in parameter estimations, especially in LGD. In that case additional time is necessary.</w:t>
      </w:r>
    </w:p>
    <w:p w:rsidR="00365057" w:rsidRPr="006D3EDC" w:rsidRDefault="00365057" w:rsidP="00365057">
      <w:pPr>
        <w:spacing w:line="240" w:lineRule="auto"/>
        <w:rPr>
          <w:lang w:val="en-US"/>
        </w:rPr>
      </w:pPr>
    </w:p>
    <w:p w:rsidR="0036078F" w:rsidRDefault="00365057" w:rsidP="00365057">
      <w:pPr>
        <w:spacing w:line="240" w:lineRule="auto"/>
        <w:rPr>
          <w:lang w:val="en-US"/>
        </w:rPr>
      </w:pPr>
      <w:r w:rsidRPr="0036078F">
        <w:rPr>
          <w:b/>
          <w:lang w:val="en-US"/>
        </w:rPr>
        <w:t>Q4</w:t>
      </w:r>
      <w:r w:rsidR="0036078F">
        <w:rPr>
          <w:lang w:val="en-US"/>
        </w:rPr>
        <w:t>:</w:t>
      </w:r>
      <w:r w:rsidRPr="006D3EDC">
        <w:rPr>
          <w:lang w:val="en-US"/>
        </w:rPr>
        <w:t xml:space="preserve"> </w:t>
      </w:r>
    </w:p>
    <w:p w:rsidR="00365057" w:rsidRPr="00C12058" w:rsidRDefault="00365057" w:rsidP="00365057">
      <w:pPr>
        <w:spacing w:line="240" w:lineRule="auto"/>
        <w:rPr>
          <w:i/>
          <w:lang w:val="en-US"/>
        </w:rPr>
      </w:pPr>
      <w:r w:rsidRPr="00C12058">
        <w:rPr>
          <w:i/>
          <w:lang w:val="en-US"/>
        </w:rPr>
        <w:t>Are there any other aspects related with the application of the definition of default that should</w:t>
      </w:r>
      <w:r w:rsidR="00C12058">
        <w:rPr>
          <w:i/>
          <w:lang w:val="en-US"/>
        </w:rPr>
        <w:t xml:space="preserve"> </w:t>
      </w:r>
      <w:r w:rsidRPr="00C12058">
        <w:rPr>
          <w:i/>
          <w:lang w:val="en-US"/>
        </w:rPr>
        <w:t>be clarified in the GL?</w:t>
      </w:r>
    </w:p>
    <w:p w:rsidR="0036078F" w:rsidRDefault="0036078F" w:rsidP="00365057">
      <w:pPr>
        <w:spacing w:line="240" w:lineRule="auto"/>
        <w:rPr>
          <w:lang w:val="en-US"/>
        </w:rPr>
      </w:pPr>
    </w:p>
    <w:p w:rsidR="00365057" w:rsidRPr="006D3EDC" w:rsidRDefault="00FF2245" w:rsidP="00365057">
      <w:pPr>
        <w:spacing w:line="240" w:lineRule="auto"/>
        <w:rPr>
          <w:lang w:val="en-US"/>
        </w:rPr>
      </w:pPr>
      <w:r>
        <w:rPr>
          <w:lang w:val="en-US"/>
        </w:rPr>
        <w:t>No comment</w:t>
      </w:r>
    </w:p>
    <w:p w:rsidR="00365057" w:rsidRPr="006D3EDC" w:rsidRDefault="00365057" w:rsidP="00365057">
      <w:pPr>
        <w:spacing w:line="240" w:lineRule="auto"/>
        <w:rPr>
          <w:lang w:val="en-US"/>
        </w:rPr>
      </w:pPr>
    </w:p>
    <w:p w:rsidR="0036078F" w:rsidRDefault="00365057" w:rsidP="00365057">
      <w:pPr>
        <w:spacing w:line="240" w:lineRule="auto"/>
        <w:rPr>
          <w:lang w:val="en-US"/>
        </w:rPr>
      </w:pPr>
      <w:r w:rsidRPr="0036078F">
        <w:rPr>
          <w:b/>
          <w:lang w:val="en-US"/>
        </w:rPr>
        <w:t>Q5</w:t>
      </w:r>
      <w:r w:rsidR="0036078F">
        <w:rPr>
          <w:lang w:val="en-US"/>
        </w:rPr>
        <w:t>:</w:t>
      </w:r>
      <w:r w:rsidRPr="006D3EDC">
        <w:rPr>
          <w:lang w:val="en-US"/>
        </w:rPr>
        <w:t xml:space="preserve"> </w:t>
      </w:r>
    </w:p>
    <w:p w:rsidR="00365057" w:rsidRPr="00C12058" w:rsidRDefault="00365057" w:rsidP="00365057">
      <w:pPr>
        <w:spacing w:line="240" w:lineRule="auto"/>
        <w:rPr>
          <w:i/>
          <w:lang w:val="en-US"/>
        </w:rPr>
      </w:pPr>
      <w:r w:rsidRPr="00C12058">
        <w:rPr>
          <w:i/>
          <w:lang w:val="en-US"/>
        </w:rPr>
        <w:t>Do you have experience with adjustments of historical data? What are the methods that you</w:t>
      </w:r>
    </w:p>
    <w:p w:rsidR="00365057" w:rsidRPr="00C12058" w:rsidRDefault="00365057" w:rsidP="00365057">
      <w:pPr>
        <w:spacing w:line="240" w:lineRule="auto"/>
        <w:rPr>
          <w:i/>
          <w:lang w:val="en-US"/>
        </w:rPr>
      </w:pPr>
      <w:proofErr w:type="gramStart"/>
      <w:r w:rsidRPr="00C12058">
        <w:rPr>
          <w:i/>
          <w:lang w:val="en-US"/>
        </w:rPr>
        <w:t>used</w:t>
      </w:r>
      <w:proofErr w:type="gramEnd"/>
      <w:r w:rsidRPr="00C12058">
        <w:rPr>
          <w:i/>
          <w:lang w:val="en-US"/>
        </w:rPr>
        <w:t xml:space="preserve"> to adjust historical data, including both internal and external data?</w:t>
      </w:r>
    </w:p>
    <w:p w:rsidR="0036078F" w:rsidRDefault="0036078F" w:rsidP="00365057">
      <w:pPr>
        <w:spacing w:line="240" w:lineRule="auto"/>
        <w:rPr>
          <w:lang w:val="en-US"/>
        </w:rPr>
      </w:pPr>
    </w:p>
    <w:p w:rsidR="00365057" w:rsidRPr="006D3EDC" w:rsidRDefault="00365057" w:rsidP="00365057">
      <w:pPr>
        <w:spacing w:line="240" w:lineRule="auto"/>
        <w:rPr>
          <w:lang w:val="en-US"/>
        </w:rPr>
      </w:pPr>
      <w:r w:rsidRPr="0036078F">
        <w:rPr>
          <w:b/>
          <w:lang w:val="en-US"/>
        </w:rPr>
        <w:t>Comment:</w:t>
      </w:r>
      <w:r w:rsidRPr="006D3EDC">
        <w:rPr>
          <w:lang w:val="en-US"/>
        </w:rPr>
        <w:t xml:space="preserve"> </w:t>
      </w:r>
      <w:r w:rsidR="0036078F">
        <w:rPr>
          <w:lang w:val="en-US"/>
        </w:rPr>
        <w:br/>
      </w:r>
      <w:r w:rsidRPr="006D3EDC">
        <w:rPr>
          <w:lang w:val="en-US"/>
        </w:rPr>
        <w:t xml:space="preserve">We believe that this question is </w:t>
      </w:r>
      <w:r w:rsidR="00FF2245">
        <w:rPr>
          <w:lang w:val="en-US"/>
        </w:rPr>
        <w:t xml:space="preserve">a </w:t>
      </w:r>
      <w:r w:rsidRPr="006D3EDC">
        <w:rPr>
          <w:lang w:val="en-US"/>
        </w:rPr>
        <w:t xml:space="preserve">very important one, and when EBA publishes the related guidelines, the supervisory standards for evaluating the historical data collections should be also specified. There should be no big deviation in the assessment </w:t>
      </w:r>
      <w:proofErr w:type="gramStart"/>
      <w:r w:rsidRPr="006D3EDC">
        <w:rPr>
          <w:lang w:val="en-US"/>
        </w:rPr>
        <w:t>standards,</w:t>
      </w:r>
      <w:proofErr w:type="gramEnd"/>
      <w:r w:rsidRPr="006D3EDC">
        <w:rPr>
          <w:lang w:val="en-US"/>
        </w:rPr>
        <w:t xml:space="preserve"> otherwise the variability of the IRB models will be just reinforced for as long as the backward data is influencing the models. (The standards are especially critical for retail and small businesses, where no external data collection is possible.)</w:t>
      </w:r>
    </w:p>
    <w:p w:rsidR="00365057" w:rsidRPr="006D3EDC" w:rsidRDefault="00365057" w:rsidP="00365057">
      <w:pPr>
        <w:spacing w:line="240" w:lineRule="auto"/>
        <w:rPr>
          <w:lang w:val="en-US"/>
        </w:rPr>
      </w:pPr>
      <w:r w:rsidRPr="006D3EDC">
        <w:rPr>
          <w:lang w:val="en-US"/>
        </w:rPr>
        <w:t>We suggest that EBA defines minimum standards for the supervisory tolerance of historical data collections and related data quality expectations either in the meaning of defining what could be not acceptable or in the way o</w:t>
      </w:r>
      <w:r w:rsidR="00FF2245">
        <w:rPr>
          <w:lang w:val="en-US"/>
        </w:rPr>
        <w:t xml:space="preserve">f defining acceptable methods. </w:t>
      </w:r>
      <w:r w:rsidRPr="006D3EDC">
        <w:rPr>
          <w:lang w:val="en-US"/>
        </w:rPr>
        <w:t>For example, whether it would be acceptable to monitor differences between curren</w:t>
      </w:r>
      <w:r w:rsidR="00FF2245">
        <w:rPr>
          <w:lang w:val="en-US"/>
        </w:rPr>
        <w:t>t and proposed definitions for one</w:t>
      </w:r>
      <w:r w:rsidRPr="006D3EDC">
        <w:rPr>
          <w:lang w:val="en-US"/>
        </w:rPr>
        <w:t xml:space="preserve"> year and adjust the data history backward accordingly. The clarity in the supervisory assessment would reduce the costs that the industry faces in a significant way, especially related to the uncertainty in the approval process and would also contribute to the reduction of the variability of models.</w:t>
      </w:r>
    </w:p>
    <w:p w:rsidR="00365057" w:rsidRPr="006D3EDC" w:rsidRDefault="00365057" w:rsidP="00365057">
      <w:pPr>
        <w:spacing w:line="240" w:lineRule="auto"/>
        <w:rPr>
          <w:lang w:val="en-US"/>
        </w:rPr>
      </w:pPr>
    </w:p>
    <w:p w:rsidR="00365057" w:rsidRPr="00C12058" w:rsidRDefault="00365057" w:rsidP="00365057">
      <w:pPr>
        <w:spacing w:line="240" w:lineRule="auto"/>
        <w:rPr>
          <w:i/>
          <w:lang w:val="en-US"/>
        </w:rPr>
      </w:pPr>
      <w:r w:rsidRPr="0036078F">
        <w:rPr>
          <w:b/>
          <w:lang w:val="en-US"/>
        </w:rPr>
        <w:t>Q6</w:t>
      </w:r>
      <w:r w:rsidR="0036078F">
        <w:rPr>
          <w:lang w:val="en-US"/>
        </w:rPr>
        <w:t>:</w:t>
      </w:r>
      <w:r w:rsidRPr="006D3EDC">
        <w:rPr>
          <w:lang w:val="en-US"/>
        </w:rPr>
        <w:t xml:space="preserve"> </w:t>
      </w:r>
      <w:r w:rsidR="0036078F">
        <w:rPr>
          <w:lang w:val="en-US"/>
        </w:rPr>
        <w:br/>
      </w:r>
      <w:r w:rsidRPr="00C12058">
        <w:rPr>
          <w:i/>
          <w:lang w:val="en-US"/>
        </w:rPr>
        <w:t xml:space="preserve">To what extent is it possible to adjust your historical data to the proposed concept </w:t>
      </w:r>
      <w:proofErr w:type="gramStart"/>
      <w:r w:rsidRPr="00C12058">
        <w:rPr>
          <w:i/>
          <w:lang w:val="en-US"/>
        </w:rPr>
        <w:t>of</w:t>
      </w:r>
      <w:proofErr w:type="gramEnd"/>
      <w:r w:rsidR="0036078F" w:rsidRPr="00C12058">
        <w:rPr>
          <w:i/>
          <w:lang w:val="en-US"/>
        </w:rPr>
        <w:t xml:space="preserve"> </w:t>
      </w:r>
    </w:p>
    <w:p w:rsidR="00365057" w:rsidRPr="00C12058" w:rsidRDefault="00365057" w:rsidP="00365057">
      <w:pPr>
        <w:spacing w:line="240" w:lineRule="auto"/>
        <w:rPr>
          <w:i/>
          <w:lang w:val="en-US"/>
        </w:rPr>
      </w:pPr>
      <w:proofErr w:type="gramStart"/>
      <w:r w:rsidRPr="00C12058">
        <w:rPr>
          <w:i/>
          <w:lang w:val="en-US"/>
        </w:rPr>
        <w:t>materiality</w:t>
      </w:r>
      <w:proofErr w:type="gramEnd"/>
      <w:r w:rsidRPr="00C12058">
        <w:rPr>
          <w:i/>
          <w:lang w:val="en-US"/>
        </w:rPr>
        <w:t xml:space="preserve"> threshold for the purpose of calibration of risk estimates?</w:t>
      </w:r>
    </w:p>
    <w:p w:rsidR="00365057" w:rsidRPr="006D3EDC" w:rsidRDefault="00365057" w:rsidP="00365057">
      <w:pPr>
        <w:spacing w:line="240" w:lineRule="auto"/>
        <w:rPr>
          <w:lang w:val="en-US"/>
        </w:rPr>
      </w:pPr>
    </w:p>
    <w:p w:rsidR="00365057" w:rsidRPr="006D3EDC" w:rsidRDefault="00365057" w:rsidP="00365057">
      <w:pPr>
        <w:spacing w:line="240" w:lineRule="auto"/>
        <w:rPr>
          <w:lang w:val="en-US"/>
        </w:rPr>
      </w:pPr>
      <w:r w:rsidRPr="0036078F">
        <w:rPr>
          <w:b/>
          <w:lang w:val="en-US"/>
        </w:rPr>
        <w:t>Comment:</w:t>
      </w:r>
      <w:r w:rsidRPr="006D3EDC">
        <w:rPr>
          <w:lang w:val="en-US"/>
        </w:rPr>
        <w:t xml:space="preserve"> </w:t>
      </w:r>
      <w:r w:rsidR="0036078F">
        <w:rPr>
          <w:lang w:val="en-US"/>
        </w:rPr>
        <w:br/>
      </w:r>
      <w:r w:rsidR="00C12058">
        <w:rPr>
          <w:lang w:val="en-US"/>
        </w:rPr>
        <w:t>We do no</w:t>
      </w:r>
      <w:r w:rsidRPr="006D3EDC">
        <w:rPr>
          <w:lang w:val="en-US"/>
        </w:rPr>
        <w:t>t see currently an opportunity to collect default data backwards in such a quality that it would comply with existing standards. Low quality or ‘estimated’ default data is especially not acceptable, when the change has</w:t>
      </w:r>
      <w:r w:rsidR="00FF2245">
        <w:rPr>
          <w:lang w:val="en-US"/>
        </w:rPr>
        <w:t xml:space="preserve"> significant effect on RWAs or expected l</w:t>
      </w:r>
      <w:r w:rsidRPr="006D3EDC">
        <w:rPr>
          <w:lang w:val="en-US"/>
        </w:rPr>
        <w:t xml:space="preserve">osses, not mentioning the extreme work of redeveloping dozens of models and re-estimating </w:t>
      </w:r>
      <w:r w:rsidRPr="006D3EDC">
        <w:rPr>
          <w:lang w:val="en-US"/>
        </w:rPr>
        <w:lastRenderedPageBreak/>
        <w:t>all related parameters. On the other hand, when the default data would b</w:t>
      </w:r>
      <w:r w:rsidR="00FF2245">
        <w:rPr>
          <w:lang w:val="en-US"/>
        </w:rPr>
        <w:t>e based only on a two</w:t>
      </w:r>
      <w:r w:rsidRPr="006D3EDC">
        <w:rPr>
          <w:lang w:val="en-US"/>
        </w:rPr>
        <w:t xml:space="preserve"> year horizon, the results would be very cyclical requiring frequent adjustments/ redevelopments of models. In addition, we would expect that the conservatism required by supervisors would be punishing due to the uncertainty of the short time horizon.</w:t>
      </w:r>
    </w:p>
    <w:p w:rsidR="00365057" w:rsidRPr="006D3EDC" w:rsidRDefault="00365057" w:rsidP="00365057">
      <w:pPr>
        <w:spacing w:line="240" w:lineRule="auto"/>
        <w:rPr>
          <w:lang w:val="en-US"/>
        </w:rPr>
      </w:pPr>
    </w:p>
    <w:p w:rsidR="00365057" w:rsidRPr="00C12058" w:rsidRDefault="00365057" w:rsidP="00365057">
      <w:pPr>
        <w:spacing w:line="240" w:lineRule="auto"/>
        <w:rPr>
          <w:i/>
          <w:lang w:val="en-US"/>
        </w:rPr>
      </w:pPr>
      <w:r w:rsidRPr="0036078F">
        <w:rPr>
          <w:b/>
          <w:lang w:val="en-US"/>
        </w:rPr>
        <w:t>Q7</w:t>
      </w:r>
      <w:r w:rsidR="0036078F">
        <w:rPr>
          <w:lang w:val="en-US"/>
        </w:rPr>
        <w:t>:</w:t>
      </w:r>
      <w:r w:rsidRPr="006D3EDC">
        <w:rPr>
          <w:lang w:val="en-US"/>
        </w:rPr>
        <w:t xml:space="preserve"> </w:t>
      </w:r>
      <w:r w:rsidR="0036078F">
        <w:rPr>
          <w:lang w:val="en-US"/>
        </w:rPr>
        <w:br/>
      </w:r>
      <w:r w:rsidRPr="00C12058">
        <w:rPr>
          <w:i/>
          <w:lang w:val="en-US"/>
        </w:rPr>
        <w:t>What is the expected materiality of the changes in your IRB models that will result from the</w:t>
      </w:r>
    </w:p>
    <w:p w:rsidR="00365057" w:rsidRPr="00C12058" w:rsidRDefault="00365057" w:rsidP="00365057">
      <w:pPr>
        <w:spacing w:line="240" w:lineRule="auto"/>
        <w:rPr>
          <w:i/>
          <w:lang w:val="en-US"/>
        </w:rPr>
      </w:pPr>
      <w:proofErr w:type="gramStart"/>
      <w:r w:rsidRPr="00C12058">
        <w:rPr>
          <w:i/>
          <w:lang w:val="en-US"/>
        </w:rPr>
        <w:t>proposed</w:t>
      </w:r>
      <w:proofErr w:type="gramEnd"/>
      <w:r w:rsidRPr="00C12058">
        <w:rPr>
          <w:i/>
          <w:lang w:val="en-US"/>
        </w:rPr>
        <w:t xml:space="preserve"> clarifications as described in section 4.3.2?</w:t>
      </w:r>
    </w:p>
    <w:p w:rsidR="00365057" w:rsidRPr="006D3EDC" w:rsidRDefault="0036078F" w:rsidP="00365057">
      <w:pPr>
        <w:spacing w:line="240" w:lineRule="auto"/>
        <w:rPr>
          <w:lang w:val="en-US"/>
        </w:rPr>
      </w:pPr>
      <w:r>
        <w:rPr>
          <w:lang w:val="en-US"/>
        </w:rPr>
        <w:br/>
      </w:r>
      <w:r w:rsidR="00FF2245">
        <w:rPr>
          <w:lang w:val="en-US"/>
        </w:rPr>
        <w:t>No comment</w:t>
      </w:r>
    </w:p>
    <w:p w:rsidR="00365057" w:rsidRPr="006D3EDC" w:rsidRDefault="00365057" w:rsidP="00365057">
      <w:pPr>
        <w:spacing w:line="240" w:lineRule="auto"/>
        <w:rPr>
          <w:lang w:val="en-US"/>
        </w:rPr>
      </w:pPr>
    </w:p>
    <w:p w:rsidR="0036078F" w:rsidRDefault="00365057" w:rsidP="00365057">
      <w:pPr>
        <w:spacing w:line="240" w:lineRule="auto"/>
        <w:rPr>
          <w:lang w:val="en-US"/>
        </w:rPr>
      </w:pPr>
      <w:r w:rsidRPr="0036078F">
        <w:rPr>
          <w:b/>
          <w:lang w:val="en-US"/>
        </w:rPr>
        <w:t>Q8</w:t>
      </w:r>
      <w:r w:rsidR="0036078F">
        <w:rPr>
          <w:lang w:val="en-US"/>
        </w:rPr>
        <w:t>:</w:t>
      </w:r>
      <w:r w:rsidRPr="006D3EDC">
        <w:rPr>
          <w:lang w:val="en-US"/>
        </w:rPr>
        <w:t xml:space="preserve"> </w:t>
      </w:r>
    </w:p>
    <w:p w:rsidR="00365057" w:rsidRPr="00C12058" w:rsidRDefault="00365057" w:rsidP="00365057">
      <w:pPr>
        <w:spacing w:line="240" w:lineRule="auto"/>
        <w:rPr>
          <w:i/>
          <w:lang w:val="en-US"/>
        </w:rPr>
      </w:pPr>
      <w:r w:rsidRPr="00C12058">
        <w:rPr>
          <w:i/>
          <w:lang w:val="en-US"/>
        </w:rPr>
        <w:t xml:space="preserve">Do you consider the direction of the proposed changes adequate to address the </w:t>
      </w:r>
      <w:proofErr w:type="gramStart"/>
      <w:r w:rsidRPr="00C12058">
        <w:rPr>
          <w:i/>
          <w:lang w:val="en-US"/>
        </w:rPr>
        <w:t>weaknesses</w:t>
      </w:r>
      <w:proofErr w:type="gramEnd"/>
    </w:p>
    <w:p w:rsidR="00365057" w:rsidRPr="00C12058" w:rsidRDefault="00365057" w:rsidP="00365057">
      <w:pPr>
        <w:spacing w:line="240" w:lineRule="auto"/>
        <w:rPr>
          <w:i/>
          <w:lang w:val="en-US"/>
        </w:rPr>
      </w:pPr>
      <w:proofErr w:type="gramStart"/>
      <w:r w:rsidRPr="00C12058">
        <w:rPr>
          <w:i/>
          <w:lang w:val="en-US"/>
        </w:rPr>
        <w:t>and</w:t>
      </w:r>
      <w:proofErr w:type="gramEnd"/>
      <w:r w:rsidRPr="00C12058">
        <w:rPr>
          <w:i/>
          <w:lang w:val="en-US"/>
        </w:rPr>
        <w:t xml:space="preserve"> divergences in the models across institutions?</w:t>
      </w:r>
    </w:p>
    <w:p w:rsidR="0036078F" w:rsidRDefault="0036078F" w:rsidP="00365057">
      <w:pPr>
        <w:spacing w:line="240" w:lineRule="auto"/>
        <w:rPr>
          <w:lang w:val="en-US"/>
        </w:rPr>
      </w:pPr>
    </w:p>
    <w:p w:rsidR="00365057" w:rsidRPr="006D3EDC" w:rsidRDefault="00365057" w:rsidP="00365057">
      <w:pPr>
        <w:spacing w:line="240" w:lineRule="auto"/>
        <w:rPr>
          <w:lang w:val="en-US"/>
        </w:rPr>
      </w:pPr>
      <w:r w:rsidRPr="0036078F">
        <w:rPr>
          <w:b/>
          <w:lang w:val="en-US"/>
        </w:rPr>
        <w:t>Comment:</w:t>
      </w:r>
      <w:r w:rsidRPr="006D3EDC">
        <w:rPr>
          <w:lang w:val="en-US"/>
        </w:rPr>
        <w:t xml:space="preserve"> </w:t>
      </w:r>
      <w:r w:rsidR="0036078F">
        <w:rPr>
          <w:lang w:val="en-US"/>
        </w:rPr>
        <w:br/>
      </w:r>
      <w:r w:rsidRPr="006D3EDC">
        <w:rPr>
          <w:lang w:val="en-US"/>
        </w:rPr>
        <w:t xml:space="preserve">In our opinion, it has to </w:t>
      </w:r>
      <w:r w:rsidR="00C12058">
        <w:rPr>
          <w:lang w:val="en-US"/>
        </w:rPr>
        <w:t xml:space="preserve">be </w:t>
      </w:r>
      <w:r w:rsidRPr="006D3EDC">
        <w:rPr>
          <w:lang w:val="en-US"/>
        </w:rPr>
        <w:t>carefully chosen in what detail the chang</w:t>
      </w:r>
      <w:r w:rsidR="00C12058">
        <w:rPr>
          <w:lang w:val="en-US"/>
        </w:rPr>
        <w:t>es will be specified in the RTS</w:t>
      </w:r>
      <w:r w:rsidRPr="006D3EDC">
        <w:rPr>
          <w:lang w:val="en-US"/>
        </w:rPr>
        <w:t xml:space="preserve"> or in the Guidelines. Too many details would mean material changes for most </w:t>
      </w:r>
      <w:proofErr w:type="gramStart"/>
      <w:r w:rsidRPr="006D3EDC">
        <w:rPr>
          <w:lang w:val="en-US"/>
        </w:rPr>
        <w:t>institution</w:t>
      </w:r>
      <w:r w:rsidR="00C12058">
        <w:rPr>
          <w:lang w:val="en-US"/>
        </w:rPr>
        <w:t>s</w:t>
      </w:r>
      <w:r w:rsidRPr="006D3EDC">
        <w:rPr>
          <w:lang w:val="en-US"/>
        </w:rPr>
        <w:t>,</w:t>
      </w:r>
      <w:proofErr w:type="gramEnd"/>
      <w:r w:rsidRPr="006D3EDC">
        <w:rPr>
          <w:lang w:val="en-US"/>
        </w:rPr>
        <w:t xml:space="preserve"> on the other hand, if a description is not specific enough, then the envisioned convergence of models will not be achieved.</w:t>
      </w:r>
    </w:p>
    <w:p w:rsidR="00365057" w:rsidRPr="006D3EDC" w:rsidRDefault="00365057" w:rsidP="00365057">
      <w:pPr>
        <w:spacing w:line="240" w:lineRule="auto"/>
        <w:rPr>
          <w:lang w:val="en-US"/>
        </w:rPr>
      </w:pPr>
    </w:p>
    <w:p w:rsidR="0036078F" w:rsidRDefault="00365057" w:rsidP="00365057">
      <w:pPr>
        <w:spacing w:line="240" w:lineRule="auto"/>
        <w:rPr>
          <w:lang w:val="en-US"/>
        </w:rPr>
      </w:pPr>
      <w:r w:rsidRPr="0036078F">
        <w:rPr>
          <w:b/>
          <w:lang w:val="en-US"/>
        </w:rPr>
        <w:t>Q9</w:t>
      </w:r>
      <w:r w:rsidR="0036078F">
        <w:rPr>
          <w:b/>
          <w:lang w:val="en-US"/>
        </w:rPr>
        <w:t>:</w:t>
      </w:r>
      <w:r w:rsidRPr="006D3EDC">
        <w:rPr>
          <w:lang w:val="en-US"/>
        </w:rPr>
        <w:t xml:space="preserve"> </w:t>
      </w:r>
    </w:p>
    <w:p w:rsidR="00365057" w:rsidRPr="00C12058" w:rsidRDefault="00365057" w:rsidP="00365057">
      <w:pPr>
        <w:spacing w:line="240" w:lineRule="auto"/>
        <w:rPr>
          <w:i/>
          <w:lang w:val="en-US"/>
        </w:rPr>
      </w:pPr>
      <w:r w:rsidRPr="00C12058">
        <w:rPr>
          <w:i/>
          <w:lang w:val="en-US"/>
        </w:rPr>
        <w:t>Are there any other aspects related with the estimation of risk parameters that should be</w:t>
      </w:r>
    </w:p>
    <w:p w:rsidR="00365057" w:rsidRPr="00C12058" w:rsidRDefault="00365057" w:rsidP="00365057">
      <w:pPr>
        <w:spacing w:line="240" w:lineRule="auto"/>
        <w:rPr>
          <w:i/>
          <w:lang w:val="en-US"/>
        </w:rPr>
      </w:pPr>
      <w:proofErr w:type="gramStart"/>
      <w:r w:rsidRPr="00C12058">
        <w:rPr>
          <w:i/>
          <w:lang w:val="en-US"/>
        </w:rPr>
        <w:t>clarified</w:t>
      </w:r>
      <w:proofErr w:type="gramEnd"/>
      <w:r w:rsidRPr="00C12058">
        <w:rPr>
          <w:i/>
          <w:lang w:val="en-US"/>
        </w:rPr>
        <w:t xml:space="preserve"> in the EBA guidelines?</w:t>
      </w:r>
    </w:p>
    <w:p w:rsidR="0036078F" w:rsidRDefault="0036078F" w:rsidP="00365057">
      <w:pPr>
        <w:spacing w:line="240" w:lineRule="auto"/>
        <w:rPr>
          <w:lang w:val="en-US"/>
        </w:rPr>
      </w:pPr>
    </w:p>
    <w:p w:rsidR="00365057" w:rsidRPr="006D3EDC" w:rsidRDefault="00365057" w:rsidP="00365057">
      <w:pPr>
        <w:spacing w:line="240" w:lineRule="auto"/>
        <w:rPr>
          <w:lang w:val="en-US"/>
        </w:rPr>
      </w:pPr>
      <w:r w:rsidRPr="0036078F">
        <w:rPr>
          <w:b/>
          <w:lang w:val="en-US"/>
        </w:rPr>
        <w:t>Comment:</w:t>
      </w:r>
      <w:r w:rsidRPr="006D3EDC">
        <w:rPr>
          <w:lang w:val="en-US"/>
        </w:rPr>
        <w:t xml:space="preserve"> </w:t>
      </w:r>
      <w:r w:rsidR="0036078F">
        <w:rPr>
          <w:lang w:val="en-US"/>
        </w:rPr>
        <w:br/>
      </w:r>
      <w:r w:rsidRPr="006D3EDC">
        <w:rPr>
          <w:lang w:val="en-US"/>
        </w:rPr>
        <w:t xml:space="preserve">We would appreciate, if EBA could also make more specific criteria to the definition of “long run average” or “economic cycle”, especially with regard to how many minimum or maximum years are to be taken into account or what criteria could define beginning and end of a cycle in such a way that it is acceptable to supervisors. In addition, more specific </w:t>
      </w:r>
      <w:r w:rsidR="00FF2245">
        <w:rPr>
          <w:lang w:val="en-US"/>
        </w:rPr>
        <w:t xml:space="preserve">information </w:t>
      </w:r>
      <w:r w:rsidRPr="006D3EDC">
        <w:rPr>
          <w:lang w:val="en-US"/>
        </w:rPr>
        <w:t>would be needed on such related questions as whether the estimation based on long run averages also requires validation on long run data. (And also how supervisors should assess when due to the long run ‘average’ there could be years when rates/estimates measured on one year data are above the average.)</w:t>
      </w:r>
    </w:p>
    <w:p w:rsidR="00365057" w:rsidRPr="006D3EDC" w:rsidRDefault="00365057" w:rsidP="00365057">
      <w:pPr>
        <w:spacing w:line="240" w:lineRule="auto"/>
        <w:rPr>
          <w:lang w:val="en-US"/>
        </w:rPr>
      </w:pPr>
    </w:p>
    <w:p w:rsidR="0036078F" w:rsidRDefault="00365057" w:rsidP="00365057">
      <w:pPr>
        <w:spacing w:line="240" w:lineRule="auto"/>
        <w:rPr>
          <w:lang w:val="en-US"/>
        </w:rPr>
      </w:pPr>
      <w:r w:rsidRPr="0036078F">
        <w:rPr>
          <w:b/>
          <w:lang w:val="en-US"/>
        </w:rPr>
        <w:t>Q10</w:t>
      </w:r>
      <w:r w:rsidR="0036078F">
        <w:rPr>
          <w:lang w:val="en-US"/>
        </w:rPr>
        <w:t>:</w:t>
      </w:r>
      <w:r w:rsidRPr="006D3EDC">
        <w:rPr>
          <w:lang w:val="en-US"/>
        </w:rPr>
        <w:t xml:space="preserve"> </w:t>
      </w:r>
    </w:p>
    <w:p w:rsidR="00365057" w:rsidRPr="00C12058" w:rsidRDefault="00365057" w:rsidP="00365057">
      <w:pPr>
        <w:spacing w:line="240" w:lineRule="auto"/>
        <w:rPr>
          <w:i/>
          <w:lang w:val="en-US"/>
        </w:rPr>
      </w:pPr>
      <w:r w:rsidRPr="00C12058">
        <w:rPr>
          <w:i/>
          <w:lang w:val="en-US"/>
        </w:rPr>
        <w:t>Do you have dedicated LGD models for exposures in default that fulfil the requirements</w:t>
      </w:r>
    </w:p>
    <w:p w:rsidR="00365057" w:rsidRPr="00C12058" w:rsidRDefault="00365057" w:rsidP="00365057">
      <w:pPr>
        <w:spacing w:line="240" w:lineRule="auto"/>
        <w:rPr>
          <w:i/>
          <w:lang w:val="en-US"/>
        </w:rPr>
      </w:pPr>
      <w:proofErr w:type="gramStart"/>
      <w:r w:rsidRPr="00C12058">
        <w:rPr>
          <w:i/>
          <w:lang w:val="en-US"/>
        </w:rPr>
        <w:t>specified</w:t>
      </w:r>
      <w:proofErr w:type="gramEnd"/>
      <w:r w:rsidRPr="00C12058">
        <w:rPr>
          <w:i/>
          <w:lang w:val="en-US"/>
        </w:rPr>
        <w:t xml:space="preserve"> in section 4.3.4.(ii)?</w:t>
      </w:r>
    </w:p>
    <w:p w:rsidR="0036078F" w:rsidRDefault="0036078F" w:rsidP="00365057">
      <w:pPr>
        <w:spacing w:line="240" w:lineRule="auto"/>
        <w:rPr>
          <w:lang w:val="en-US"/>
        </w:rPr>
      </w:pPr>
    </w:p>
    <w:p w:rsidR="00365057" w:rsidRPr="006D3EDC" w:rsidRDefault="00FF2245" w:rsidP="00365057">
      <w:pPr>
        <w:spacing w:line="240" w:lineRule="auto"/>
        <w:rPr>
          <w:lang w:val="en-US"/>
        </w:rPr>
      </w:pPr>
      <w:r>
        <w:rPr>
          <w:lang w:val="en-US"/>
        </w:rPr>
        <w:t>No comment</w:t>
      </w:r>
    </w:p>
    <w:p w:rsidR="00365057" w:rsidRPr="0036078F" w:rsidRDefault="00365057" w:rsidP="00365057">
      <w:pPr>
        <w:spacing w:line="240" w:lineRule="auto"/>
        <w:rPr>
          <w:b/>
          <w:lang w:val="en-US"/>
        </w:rPr>
      </w:pPr>
    </w:p>
    <w:p w:rsidR="0036078F" w:rsidRDefault="00365057" w:rsidP="00365057">
      <w:pPr>
        <w:spacing w:line="240" w:lineRule="auto"/>
        <w:rPr>
          <w:b/>
          <w:lang w:val="en-US"/>
        </w:rPr>
      </w:pPr>
      <w:r w:rsidRPr="0036078F">
        <w:rPr>
          <w:b/>
          <w:lang w:val="en-US"/>
        </w:rPr>
        <w:t>Q11</w:t>
      </w:r>
      <w:r w:rsidR="0036078F">
        <w:rPr>
          <w:b/>
          <w:lang w:val="en-US"/>
        </w:rPr>
        <w:t>:</w:t>
      </w:r>
    </w:p>
    <w:p w:rsidR="00365057" w:rsidRPr="00C12058" w:rsidRDefault="0036078F" w:rsidP="00365057">
      <w:pPr>
        <w:spacing w:line="240" w:lineRule="auto"/>
        <w:rPr>
          <w:i/>
          <w:lang w:val="en-US"/>
        </w:rPr>
      </w:pPr>
      <w:r w:rsidRPr="00C12058">
        <w:rPr>
          <w:i/>
          <w:lang w:val="en-US"/>
        </w:rPr>
        <w:t xml:space="preserve">Do </w:t>
      </w:r>
      <w:r w:rsidR="00365057" w:rsidRPr="00C12058">
        <w:rPr>
          <w:i/>
          <w:lang w:val="en-US"/>
        </w:rPr>
        <w:t xml:space="preserve">you consider the direction of the proposed changes adequate to address the </w:t>
      </w:r>
      <w:proofErr w:type="gramStart"/>
      <w:r w:rsidR="00365057" w:rsidRPr="00C12058">
        <w:rPr>
          <w:i/>
          <w:lang w:val="en-US"/>
        </w:rPr>
        <w:t>weaknesses</w:t>
      </w:r>
      <w:proofErr w:type="gramEnd"/>
    </w:p>
    <w:p w:rsidR="00365057" w:rsidRPr="00C12058" w:rsidRDefault="00365057" w:rsidP="00365057">
      <w:pPr>
        <w:spacing w:line="240" w:lineRule="auto"/>
        <w:rPr>
          <w:i/>
          <w:lang w:val="en-US"/>
        </w:rPr>
      </w:pPr>
      <w:proofErr w:type="gramStart"/>
      <w:r w:rsidRPr="00C12058">
        <w:rPr>
          <w:i/>
          <w:lang w:val="en-US"/>
        </w:rPr>
        <w:t>and</w:t>
      </w:r>
      <w:proofErr w:type="gramEnd"/>
      <w:r w:rsidRPr="00C12058">
        <w:rPr>
          <w:i/>
          <w:lang w:val="en-US"/>
        </w:rPr>
        <w:t xml:space="preserve"> divergences in the treatment of defaulted assets across institutions?</w:t>
      </w:r>
    </w:p>
    <w:p w:rsidR="0036078F" w:rsidRPr="00C12058" w:rsidRDefault="0036078F" w:rsidP="00365057">
      <w:pPr>
        <w:spacing w:line="240" w:lineRule="auto"/>
        <w:rPr>
          <w:i/>
          <w:lang w:val="en-US"/>
        </w:rPr>
      </w:pPr>
    </w:p>
    <w:p w:rsidR="00365057" w:rsidRPr="006D3EDC" w:rsidRDefault="00FF2245" w:rsidP="00365057">
      <w:pPr>
        <w:spacing w:line="240" w:lineRule="auto"/>
        <w:rPr>
          <w:lang w:val="en-US"/>
        </w:rPr>
      </w:pPr>
      <w:r>
        <w:rPr>
          <w:lang w:val="en-US"/>
        </w:rPr>
        <w:t>No comment</w:t>
      </w:r>
    </w:p>
    <w:p w:rsidR="00365057" w:rsidRPr="006D3EDC" w:rsidRDefault="00365057" w:rsidP="00365057">
      <w:pPr>
        <w:spacing w:line="240" w:lineRule="auto"/>
        <w:rPr>
          <w:lang w:val="en-US"/>
        </w:rPr>
      </w:pPr>
    </w:p>
    <w:p w:rsidR="00365057" w:rsidRPr="00C12058" w:rsidRDefault="00365057" w:rsidP="00365057">
      <w:pPr>
        <w:spacing w:line="240" w:lineRule="auto"/>
        <w:rPr>
          <w:i/>
          <w:lang w:val="en-US"/>
        </w:rPr>
      </w:pPr>
      <w:r w:rsidRPr="0036078F">
        <w:rPr>
          <w:b/>
          <w:lang w:val="en-US"/>
        </w:rPr>
        <w:t>Q12</w:t>
      </w:r>
      <w:r w:rsidR="0036078F">
        <w:rPr>
          <w:lang w:val="en-US"/>
        </w:rPr>
        <w:t>:</w:t>
      </w:r>
      <w:r w:rsidRPr="006D3EDC">
        <w:rPr>
          <w:lang w:val="en-US"/>
        </w:rPr>
        <w:t xml:space="preserve"> </w:t>
      </w:r>
      <w:r w:rsidR="0036078F">
        <w:rPr>
          <w:lang w:val="en-US"/>
        </w:rPr>
        <w:br/>
      </w:r>
      <w:r w:rsidRPr="00C12058">
        <w:rPr>
          <w:i/>
          <w:lang w:val="en-US"/>
        </w:rPr>
        <w:t>What else should be covered by the GL on the treatment of defaulted assets?</w:t>
      </w:r>
    </w:p>
    <w:p w:rsidR="00365057" w:rsidRPr="006D3EDC" w:rsidRDefault="0036078F" w:rsidP="00365057">
      <w:pPr>
        <w:spacing w:line="240" w:lineRule="auto"/>
        <w:rPr>
          <w:lang w:val="en-US"/>
        </w:rPr>
      </w:pPr>
      <w:r>
        <w:rPr>
          <w:lang w:val="en-US"/>
        </w:rPr>
        <w:br/>
      </w:r>
      <w:r w:rsidR="00FF2245">
        <w:rPr>
          <w:lang w:val="en-US"/>
        </w:rPr>
        <w:t>No comment</w:t>
      </w:r>
    </w:p>
    <w:p w:rsidR="0036078F" w:rsidRDefault="0036078F">
      <w:pPr>
        <w:spacing w:line="240" w:lineRule="auto"/>
        <w:rPr>
          <w:lang w:val="en-US"/>
        </w:rPr>
      </w:pPr>
      <w:r>
        <w:rPr>
          <w:lang w:val="en-US"/>
        </w:rPr>
        <w:br w:type="page"/>
      </w:r>
    </w:p>
    <w:p w:rsidR="00365057" w:rsidRPr="006D3EDC" w:rsidRDefault="00365057" w:rsidP="00365057">
      <w:pPr>
        <w:spacing w:line="240" w:lineRule="auto"/>
        <w:rPr>
          <w:lang w:val="en-US"/>
        </w:rPr>
      </w:pPr>
    </w:p>
    <w:p w:rsidR="0036078F" w:rsidRDefault="00365057" w:rsidP="00365057">
      <w:pPr>
        <w:spacing w:line="240" w:lineRule="auto"/>
        <w:rPr>
          <w:lang w:val="en-US"/>
        </w:rPr>
      </w:pPr>
      <w:r w:rsidRPr="0036078F">
        <w:rPr>
          <w:b/>
          <w:lang w:val="en-US"/>
        </w:rPr>
        <w:t>Q13</w:t>
      </w:r>
      <w:r w:rsidR="0036078F">
        <w:rPr>
          <w:lang w:val="en-US"/>
        </w:rPr>
        <w:t>:</w:t>
      </w:r>
      <w:r w:rsidRPr="006D3EDC">
        <w:rPr>
          <w:lang w:val="en-US"/>
        </w:rPr>
        <w:t xml:space="preserve"> </w:t>
      </w:r>
    </w:p>
    <w:p w:rsidR="00365057" w:rsidRPr="00C12058" w:rsidRDefault="00365057" w:rsidP="00365057">
      <w:pPr>
        <w:spacing w:line="240" w:lineRule="auto"/>
        <w:rPr>
          <w:i/>
          <w:lang w:val="en-US"/>
        </w:rPr>
      </w:pPr>
      <w:r w:rsidRPr="00C12058">
        <w:rPr>
          <w:i/>
          <w:lang w:val="en-US"/>
        </w:rPr>
        <w:t>What are the impacts for the institutions that should be considered when specifying the</w:t>
      </w:r>
    </w:p>
    <w:p w:rsidR="00365057" w:rsidRPr="00C12058" w:rsidRDefault="00365057" w:rsidP="00365057">
      <w:pPr>
        <w:spacing w:line="240" w:lineRule="auto"/>
        <w:rPr>
          <w:i/>
          <w:lang w:val="en-US"/>
        </w:rPr>
      </w:pPr>
      <w:proofErr w:type="gramStart"/>
      <w:r w:rsidRPr="00C12058">
        <w:rPr>
          <w:i/>
          <w:lang w:val="en-US"/>
        </w:rPr>
        <w:t>conditions</w:t>
      </w:r>
      <w:proofErr w:type="gramEnd"/>
      <w:r w:rsidRPr="00C12058">
        <w:rPr>
          <w:i/>
          <w:lang w:val="en-US"/>
        </w:rPr>
        <w:t xml:space="preserve"> for PPU and roll-out?</w:t>
      </w:r>
    </w:p>
    <w:p w:rsidR="0036078F" w:rsidRDefault="0036078F" w:rsidP="00365057">
      <w:pPr>
        <w:spacing w:line="240" w:lineRule="auto"/>
        <w:rPr>
          <w:lang w:val="en-US"/>
        </w:rPr>
      </w:pPr>
    </w:p>
    <w:p w:rsidR="00365057" w:rsidRPr="006D3EDC" w:rsidRDefault="00365057" w:rsidP="00365057">
      <w:pPr>
        <w:spacing w:line="240" w:lineRule="auto"/>
        <w:rPr>
          <w:lang w:val="en-US"/>
        </w:rPr>
      </w:pPr>
      <w:r w:rsidRPr="0036078F">
        <w:rPr>
          <w:b/>
          <w:lang w:val="en-US"/>
        </w:rPr>
        <w:t>Comment:</w:t>
      </w:r>
      <w:r w:rsidRPr="006D3EDC">
        <w:rPr>
          <w:lang w:val="en-US"/>
        </w:rPr>
        <w:t xml:space="preserve"> </w:t>
      </w:r>
      <w:r w:rsidR="0036078F">
        <w:rPr>
          <w:lang w:val="en-US"/>
        </w:rPr>
        <w:br/>
      </w:r>
      <w:r w:rsidRPr="006D3EDC">
        <w:rPr>
          <w:lang w:val="en-US"/>
        </w:rPr>
        <w:t>In our opinion it would be important to define the base measure for PPU and TPU. Especially in case of PPU it is unclear, whether it should be measured only for credit institutions and investment firms (i.e. “institutions”) within a consolidated group, or all small legal entities, where naturally/legally (i.e. not covered by CRR on stand-al</w:t>
      </w:r>
      <w:r w:rsidR="00FF2245">
        <w:rPr>
          <w:lang w:val="en-US"/>
        </w:rPr>
        <w:t>one basis) only PPU can be used</w:t>
      </w:r>
      <w:r w:rsidRPr="006D3EDC">
        <w:rPr>
          <w:lang w:val="en-US"/>
        </w:rPr>
        <w:t xml:space="preserve"> </w:t>
      </w:r>
      <w:r w:rsidR="00FF2245">
        <w:rPr>
          <w:lang w:val="en-US"/>
        </w:rPr>
        <w:t xml:space="preserve">(this </w:t>
      </w:r>
      <w:r w:rsidRPr="006D3EDC">
        <w:rPr>
          <w:lang w:val="en-US"/>
        </w:rPr>
        <w:t>would count for PPU scope</w:t>
      </w:r>
      <w:r w:rsidR="00FF2245">
        <w:rPr>
          <w:lang w:val="en-US"/>
        </w:rPr>
        <w:t>)</w:t>
      </w:r>
      <w:r w:rsidRPr="006D3EDC">
        <w:rPr>
          <w:lang w:val="en-US"/>
        </w:rPr>
        <w:t xml:space="preserve">. (As currently PPU </w:t>
      </w:r>
      <w:r w:rsidR="00FF2245">
        <w:rPr>
          <w:lang w:val="en-US"/>
        </w:rPr>
        <w:t xml:space="preserve">is applied </w:t>
      </w:r>
      <w:r w:rsidRPr="006D3EDC">
        <w:rPr>
          <w:lang w:val="en-US"/>
        </w:rPr>
        <w:t xml:space="preserve">for small legal entities, doing ancillary activities, the ratio of PPU is considerably higher on consolidated level as on single institution level.)  Clarity in such respect would be important for consistent treatment within </w:t>
      </w:r>
      <w:r w:rsidR="00FF2245">
        <w:rPr>
          <w:lang w:val="en-US"/>
        </w:rPr>
        <w:t xml:space="preserve">the </w:t>
      </w:r>
      <w:r w:rsidRPr="006D3EDC">
        <w:rPr>
          <w:lang w:val="en-US"/>
        </w:rPr>
        <w:t>EU.</w:t>
      </w:r>
    </w:p>
    <w:p w:rsidR="00365057" w:rsidRPr="006D3EDC" w:rsidRDefault="00365057" w:rsidP="00365057">
      <w:pPr>
        <w:spacing w:line="240" w:lineRule="auto"/>
        <w:rPr>
          <w:lang w:val="en-US"/>
        </w:rPr>
      </w:pPr>
    </w:p>
    <w:p w:rsidR="0036078F" w:rsidRDefault="00365057" w:rsidP="00365057">
      <w:pPr>
        <w:spacing w:line="240" w:lineRule="auto"/>
        <w:rPr>
          <w:lang w:val="en-US"/>
        </w:rPr>
      </w:pPr>
      <w:r w:rsidRPr="0036078F">
        <w:rPr>
          <w:b/>
          <w:lang w:val="en-US"/>
        </w:rPr>
        <w:t>Q14</w:t>
      </w:r>
      <w:r w:rsidR="0036078F">
        <w:rPr>
          <w:b/>
          <w:lang w:val="en-US"/>
        </w:rPr>
        <w:t>:</w:t>
      </w:r>
      <w:r w:rsidRPr="006D3EDC">
        <w:rPr>
          <w:lang w:val="en-US"/>
        </w:rPr>
        <w:t xml:space="preserve"> </w:t>
      </w:r>
    </w:p>
    <w:p w:rsidR="00365057" w:rsidRPr="00C12058" w:rsidRDefault="00365057" w:rsidP="00365057">
      <w:pPr>
        <w:spacing w:line="240" w:lineRule="auto"/>
        <w:rPr>
          <w:i/>
          <w:lang w:val="en-US"/>
        </w:rPr>
      </w:pPr>
      <w:r w:rsidRPr="00C12058">
        <w:rPr>
          <w:i/>
          <w:lang w:val="en-US"/>
        </w:rPr>
        <w:t xml:space="preserve">Do you expect that your </w:t>
      </w:r>
      <w:proofErr w:type="spellStart"/>
      <w:r w:rsidRPr="00C12058">
        <w:rPr>
          <w:i/>
          <w:lang w:val="en-US"/>
        </w:rPr>
        <w:t>organisational</w:t>
      </w:r>
      <w:proofErr w:type="spellEnd"/>
      <w:r w:rsidRPr="00C12058">
        <w:rPr>
          <w:i/>
          <w:lang w:val="en-US"/>
        </w:rPr>
        <w:t xml:space="preserve"> structure and/or allocation of responsibilities will have</w:t>
      </w:r>
      <w:r w:rsidR="00C12058">
        <w:rPr>
          <w:i/>
          <w:lang w:val="en-US"/>
        </w:rPr>
        <w:t xml:space="preserve"> </w:t>
      </w:r>
      <w:r w:rsidRPr="00C12058">
        <w:rPr>
          <w:i/>
          <w:lang w:val="en-US"/>
        </w:rPr>
        <w:t>to be changed as a result of the rules described in section 4.3.5?</w:t>
      </w:r>
    </w:p>
    <w:p w:rsidR="0036078F" w:rsidRPr="0036078F" w:rsidRDefault="0036078F" w:rsidP="00365057">
      <w:pPr>
        <w:spacing w:line="240" w:lineRule="auto"/>
        <w:rPr>
          <w:b/>
          <w:lang w:val="en-US"/>
        </w:rPr>
      </w:pPr>
    </w:p>
    <w:p w:rsidR="00365057" w:rsidRPr="006D3EDC" w:rsidRDefault="00365057" w:rsidP="00365057">
      <w:pPr>
        <w:spacing w:line="240" w:lineRule="auto"/>
        <w:rPr>
          <w:lang w:val="en-US"/>
        </w:rPr>
      </w:pPr>
      <w:r w:rsidRPr="0036078F">
        <w:rPr>
          <w:b/>
          <w:lang w:val="en-US"/>
        </w:rPr>
        <w:t>Comment:</w:t>
      </w:r>
      <w:r w:rsidRPr="006D3EDC">
        <w:rPr>
          <w:lang w:val="en-US"/>
        </w:rPr>
        <w:t xml:space="preserve"> </w:t>
      </w:r>
      <w:r w:rsidR="0036078F">
        <w:rPr>
          <w:lang w:val="en-US"/>
        </w:rPr>
        <w:br/>
      </w:r>
      <w:r w:rsidR="00FF2245">
        <w:rPr>
          <w:lang w:val="en-US"/>
        </w:rPr>
        <w:t xml:space="preserve">Yes. </w:t>
      </w:r>
      <w:r w:rsidRPr="006D3EDC">
        <w:rPr>
          <w:lang w:val="en-US"/>
        </w:rPr>
        <w:t>The independence of the validation function, including separate reporting lines, may require considerable re-</w:t>
      </w:r>
      <w:proofErr w:type="spellStart"/>
      <w:r w:rsidRPr="006D3EDC">
        <w:rPr>
          <w:lang w:val="en-US"/>
        </w:rPr>
        <w:t>organisation</w:t>
      </w:r>
      <w:proofErr w:type="spellEnd"/>
      <w:r w:rsidRPr="006D3EDC">
        <w:rPr>
          <w:lang w:val="en-US"/>
        </w:rPr>
        <w:t xml:space="preserve"> by   banks. It could also lead to staffing issues, both in terms of hiring and retaining qualified staff. Creating a completely separate validation function may cause difficulties such as high turnover of qualified staff as the work can be seen as repetitive. Availability of experienced staff to conduct validation functions is limited and expensive. It goes without saying that such an important function should not be </w:t>
      </w:r>
      <w:r w:rsidR="00FF2245">
        <w:rPr>
          <w:lang w:val="en-US"/>
        </w:rPr>
        <w:t>covered by inexperienced staff.</w:t>
      </w:r>
    </w:p>
    <w:p w:rsidR="00365057" w:rsidRPr="006D3EDC" w:rsidRDefault="00365057" w:rsidP="00365057">
      <w:pPr>
        <w:spacing w:line="240" w:lineRule="auto"/>
        <w:rPr>
          <w:lang w:val="en-US"/>
        </w:rPr>
      </w:pPr>
    </w:p>
    <w:p w:rsidR="0036078F" w:rsidRPr="00C12058" w:rsidRDefault="00365057" w:rsidP="00365057">
      <w:pPr>
        <w:spacing w:line="240" w:lineRule="auto"/>
        <w:rPr>
          <w:b/>
          <w:lang w:val="en-US"/>
        </w:rPr>
      </w:pPr>
      <w:r w:rsidRPr="00C12058">
        <w:rPr>
          <w:b/>
          <w:lang w:val="en-US"/>
        </w:rPr>
        <w:t>Q15</w:t>
      </w:r>
      <w:r w:rsidR="00C12058" w:rsidRPr="00C12058">
        <w:rPr>
          <w:b/>
          <w:lang w:val="en-US"/>
        </w:rPr>
        <w:t xml:space="preserve"> – 19:</w:t>
      </w:r>
    </w:p>
    <w:p w:rsidR="00C12058" w:rsidRDefault="00FF2245" w:rsidP="00365057">
      <w:pPr>
        <w:spacing w:line="240" w:lineRule="auto"/>
        <w:rPr>
          <w:lang w:val="en-US"/>
        </w:rPr>
      </w:pPr>
      <w:r>
        <w:rPr>
          <w:lang w:val="en-US"/>
        </w:rPr>
        <w:t>No comment</w:t>
      </w:r>
    </w:p>
    <w:p w:rsidR="00365057" w:rsidRPr="006D3EDC" w:rsidRDefault="00365057" w:rsidP="00365057">
      <w:pPr>
        <w:spacing w:line="240" w:lineRule="auto"/>
        <w:rPr>
          <w:lang w:val="en-US"/>
        </w:rPr>
      </w:pPr>
    </w:p>
    <w:p w:rsidR="0036078F" w:rsidRDefault="00365057" w:rsidP="00365057">
      <w:pPr>
        <w:spacing w:line="240" w:lineRule="auto"/>
        <w:rPr>
          <w:lang w:val="en-US"/>
        </w:rPr>
      </w:pPr>
      <w:r w:rsidRPr="0036078F">
        <w:rPr>
          <w:b/>
          <w:lang w:val="en-US"/>
        </w:rPr>
        <w:t>Q20</w:t>
      </w:r>
      <w:r w:rsidR="0036078F">
        <w:rPr>
          <w:lang w:val="en-US"/>
        </w:rPr>
        <w:t>:</w:t>
      </w:r>
      <w:r w:rsidRPr="006D3EDC">
        <w:rPr>
          <w:lang w:val="en-US"/>
        </w:rPr>
        <w:t xml:space="preserve"> </w:t>
      </w:r>
    </w:p>
    <w:p w:rsidR="00365057" w:rsidRPr="00C12058" w:rsidRDefault="00365057" w:rsidP="00365057">
      <w:pPr>
        <w:spacing w:line="240" w:lineRule="auto"/>
        <w:rPr>
          <w:i/>
          <w:lang w:val="en-US"/>
        </w:rPr>
      </w:pPr>
      <w:r w:rsidRPr="00C12058">
        <w:rPr>
          <w:i/>
          <w:lang w:val="en-US"/>
        </w:rPr>
        <w:t>What would you consider an appropriate solution with regard to the definition and treatment</w:t>
      </w:r>
      <w:r w:rsidR="00C12058">
        <w:rPr>
          <w:i/>
          <w:lang w:val="en-US"/>
        </w:rPr>
        <w:t xml:space="preserve"> </w:t>
      </w:r>
      <w:r w:rsidRPr="00C12058">
        <w:rPr>
          <w:i/>
          <w:lang w:val="en-US"/>
        </w:rPr>
        <w:t>(modelling restrictions) of the low default portfolios?</w:t>
      </w:r>
    </w:p>
    <w:p w:rsidR="0036078F" w:rsidRDefault="0036078F" w:rsidP="00365057">
      <w:pPr>
        <w:spacing w:line="240" w:lineRule="auto"/>
        <w:rPr>
          <w:lang w:val="en-US"/>
        </w:rPr>
      </w:pPr>
    </w:p>
    <w:p w:rsidR="00365057" w:rsidRPr="006D3EDC" w:rsidRDefault="00365057" w:rsidP="00365057">
      <w:pPr>
        <w:spacing w:line="240" w:lineRule="auto"/>
        <w:rPr>
          <w:lang w:val="en-US"/>
        </w:rPr>
      </w:pPr>
      <w:r w:rsidRPr="0036078F">
        <w:rPr>
          <w:b/>
          <w:lang w:val="en-US"/>
        </w:rPr>
        <w:t>Comment:</w:t>
      </w:r>
      <w:r w:rsidRPr="006D3EDC">
        <w:rPr>
          <w:lang w:val="en-US"/>
        </w:rPr>
        <w:t xml:space="preserve"> </w:t>
      </w:r>
      <w:r w:rsidR="0036078F">
        <w:rPr>
          <w:lang w:val="en-US"/>
        </w:rPr>
        <w:br/>
      </w:r>
      <w:r w:rsidRPr="006D3EDC">
        <w:rPr>
          <w:lang w:val="en-US"/>
        </w:rPr>
        <w:t xml:space="preserve">We support that the definition of LDPs moves away from the ‘exposure segment based’ approach to the qualitative and quantitative definition taking into account the number of defaults identified and the availability of external data. </w:t>
      </w:r>
    </w:p>
    <w:p w:rsidR="00365057" w:rsidRPr="006D3EDC" w:rsidRDefault="00365057" w:rsidP="00365057">
      <w:pPr>
        <w:spacing w:line="240" w:lineRule="auto"/>
        <w:rPr>
          <w:lang w:val="en-US"/>
        </w:rPr>
      </w:pPr>
      <w:r w:rsidRPr="006D3EDC">
        <w:rPr>
          <w:lang w:val="en-US"/>
        </w:rPr>
        <w:t>As for the treatment of LDPs, we believe that the identified difficulties of internal modelling is a very important topic, and as mentioned in the first question we suggest to prioritize as first step in the sequence of regulatory changes in order to save costs in the implementation of the expected regulatory changes. We support the use of the STA approach, as the standards are well known and implemented in all banks. Creating a new regulatory model would further increase the complexity of credit risk approaches, and the definitions of standards, the implementation and a potential approval would be again long lasting and burdensome.</w:t>
      </w:r>
    </w:p>
    <w:p w:rsidR="00365057" w:rsidRPr="006D3EDC" w:rsidRDefault="00365057" w:rsidP="00365057">
      <w:pPr>
        <w:spacing w:line="240" w:lineRule="auto"/>
        <w:rPr>
          <w:lang w:val="en-US"/>
        </w:rPr>
      </w:pPr>
    </w:p>
    <w:p w:rsidR="0036078F" w:rsidRDefault="00365057" w:rsidP="00365057">
      <w:pPr>
        <w:spacing w:line="240" w:lineRule="auto"/>
        <w:rPr>
          <w:lang w:val="en-US"/>
        </w:rPr>
      </w:pPr>
      <w:r w:rsidRPr="0036078F">
        <w:rPr>
          <w:b/>
          <w:lang w:val="en-US"/>
        </w:rPr>
        <w:t>Q21</w:t>
      </w:r>
      <w:r w:rsidR="0036078F">
        <w:rPr>
          <w:b/>
          <w:lang w:val="en-US"/>
        </w:rPr>
        <w:t>:</w:t>
      </w:r>
      <w:r w:rsidRPr="006D3EDC">
        <w:rPr>
          <w:lang w:val="en-US"/>
        </w:rPr>
        <w:t xml:space="preserve"> </w:t>
      </w:r>
    </w:p>
    <w:p w:rsidR="00365057" w:rsidRDefault="00C12058" w:rsidP="00365057">
      <w:pPr>
        <w:spacing w:line="240" w:lineRule="auto"/>
        <w:rPr>
          <w:lang w:val="en-US"/>
        </w:rPr>
      </w:pPr>
      <w:r>
        <w:rPr>
          <w:lang w:val="en-US"/>
        </w:rPr>
        <w:t>No comment</w:t>
      </w:r>
    </w:p>
    <w:p w:rsidR="00C12058" w:rsidRPr="006D3EDC" w:rsidRDefault="00C12058" w:rsidP="00365057">
      <w:pPr>
        <w:spacing w:line="240" w:lineRule="auto"/>
        <w:rPr>
          <w:lang w:val="en-US"/>
        </w:rPr>
      </w:pPr>
    </w:p>
    <w:p w:rsidR="0036078F" w:rsidRPr="0036078F" w:rsidRDefault="00365057" w:rsidP="00365057">
      <w:pPr>
        <w:spacing w:line="240" w:lineRule="auto"/>
        <w:rPr>
          <w:b/>
          <w:lang w:val="en-US"/>
        </w:rPr>
      </w:pPr>
      <w:r w:rsidRPr="0036078F">
        <w:rPr>
          <w:b/>
          <w:lang w:val="en-US"/>
        </w:rPr>
        <w:t>Q22</w:t>
      </w:r>
      <w:r w:rsidR="0036078F" w:rsidRPr="0036078F">
        <w:rPr>
          <w:b/>
          <w:lang w:val="en-US"/>
        </w:rPr>
        <w:t>:</w:t>
      </w:r>
    </w:p>
    <w:p w:rsidR="00365057" w:rsidRPr="00C12058" w:rsidRDefault="00365057" w:rsidP="00365057">
      <w:pPr>
        <w:spacing w:line="240" w:lineRule="auto"/>
        <w:rPr>
          <w:i/>
          <w:lang w:val="en-US"/>
        </w:rPr>
      </w:pPr>
      <w:r w:rsidRPr="00C12058">
        <w:rPr>
          <w:i/>
          <w:lang w:val="en-US"/>
        </w:rPr>
        <w:t xml:space="preserve">Do you see merit in moving towards the </w:t>
      </w:r>
      <w:proofErr w:type="spellStart"/>
      <w:r w:rsidRPr="00C12058">
        <w:rPr>
          <w:i/>
          <w:lang w:val="en-US"/>
        </w:rPr>
        <w:t>harmonisation</w:t>
      </w:r>
      <w:proofErr w:type="spellEnd"/>
      <w:r w:rsidRPr="00C12058">
        <w:rPr>
          <w:i/>
          <w:lang w:val="en-US"/>
        </w:rPr>
        <w:t xml:space="preserve"> of the exposure classes for the purpose</w:t>
      </w:r>
      <w:r w:rsidR="00C12058">
        <w:rPr>
          <w:i/>
          <w:lang w:val="en-US"/>
        </w:rPr>
        <w:t xml:space="preserve"> </w:t>
      </w:r>
      <w:r w:rsidRPr="00C12058">
        <w:rPr>
          <w:i/>
          <w:lang w:val="en-US"/>
        </w:rPr>
        <w:t xml:space="preserve">of the IRB and the </w:t>
      </w:r>
      <w:proofErr w:type="spellStart"/>
      <w:r w:rsidRPr="00C12058">
        <w:rPr>
          <w:i/>
          <w:lang w:val="en-US"/>
        </w:rPr>
        <w:t>Standardised</w:t>
      </w:r>
      <w:proofErr w:type="spellEnd"/>
      <w:r w:rsidRPr="00C12058">
        <w:rPr>
          <w:i/>
          <w:lang w:val="en-US"/>
        </w:rPr>
        <w:t xml:space="preserve"> Approach?</w:t>
      </w:r>
    </w:p>
    <w:p w:rsidR="0036078F" w:rsidRPr="00C12058" w:rsidRDefault="0036078F" w:rsidP="00365057">
      <w:pPr>
        <w:spacing w:line="240" w:lineRule="auto"/>
        <w:rPr>
          <w:i/>
          <w:lang w:val="en-US"/>
        </w:rPr>
      </w:pPr>
    </w:p>
    <w:p w:rsidR="0036078F" w:rsidRPr="0036078F" w:rsidRDefault="00365057" w:rsidP="00365057">
      <w:pPr>
        <w:spacing w:line="240" w:lineRule="auto"/>
        <w:rPr>
          <w:b/>
          <w:lang w:val="en-US"/>
        </w:rPr>
      </w:pPr>
      <w:r w:rsidRPr="0036078F">
        <w:rPr>
          <w:b/>
          <w:lang w:val="en-US"/>
        </w:rPr>
        <w:lastRenderedPageBreak/>
        <w:t xml:space="preserve">Comment: </w:t>
      </w:r>
    </w:p>
    <w:p w:rsidR="00365057" w:rsidRPr="006D3EDC" w:rsidRDefault="0036078F" w:rsidP="00365057">
      <w:pPr>
        <w:spacing w:line="240" w:lineRule="auto"/>
        <w:rPr>
          <w:lang w:val="en-US"/>
        </w:rPr>
      </w:pPr>
      <w:r>
        <w:rPr>
          <w:lang w:val="en-US"/>
        </w:rPr>
        <w:t>B</w:t>
      </w:r>
      <w:r w:rsidR="00365057" w:rsidRPr="006D3EDC">
        <w:rPr>
          <w:lang w:val="en-US"/>
        </w:rPr>
        <w:t>ased on the provided description it is not clear enough what such harmonization would mean and why it woul</w:t>
      </w:r>
      <w:r>
        <w:rPr>
          <w:lang w:val="en-US"/>
        </w:rPr>
        <w:t>d</w:t>
      </w:r>
      <w:r w:rsidR="00365057" w:rsidRPr="006D3EDC">
        <w:rPr>
          <w:lang w:val="en-US"/>
        </w:rPr>
        <w:t xml:space="preserve"> restrict modelling choices under the IRB approach.</w:t>
      </w:r>
    </w:p>
    <w:p w:rsidR="00365057" w:rsidRPr="006D3EDC" w:rsidRDefault="00365057" w:rsidP="00365057">
      <w:pPr>
        <w:spacing w:line="240" w:lineRule="auto"/>
        <w:rPr>
          <w:lang w:val="en-US"/>
        </w:rPr>
      </w:pPr>
    </w:p>
    <w:p w:rsidR="0036078F" w:rsidRDefault="00365057" w:rsidP="00365057">
      <w:pPr>
        <w:spacing w:line="240" w:lineRule="auto"/>
        <w:rPr>
          <w:lang w:val="en-US"/>
        </w:rPr>
      </w:pPr>
      <w:r w:rsidRPr="0036078F">
        <w:rPr>
          <w:b/>
          <w:lang w:val="en-US"/>
        </w:rPr>
        <w:t>Q23</w:t>
      </w:r>
      <w:r w:rsidR="0036078F">
        <w:rPr>
          <w:b/>
          <w:lang w:val="en-US"/>
        </w:rPr>
        <w:t>:</w:t>
      </w:r>
      <w:r w:rsidRPr="006D3EDC">
        <w:rPr>
          <w:lang w:val="en-US"/>
        </w:rPr>
        <w:t xml:space="preserve"> </w:t>
      </w:r>
    </w:p>
    <w:p w:rsidR="00365057" w:rsidRPr="00C12058" w:rsidRDefault="00365057" w:rsidP="00365057">
      <w:pPr>
        <w:spacing w:line="240" w:lineRule="auto"/>
        <w:rPr>
          <w:i/>
          <w:lang w:val="en-US"/>
        </w:rPr>
      </w:pPr>
      <w:r w:rsidRPr="00C12058">
        <w:rPr>
          <w:i/>
          <w:lang w:val="en-US"/>
        </w:rPr>
        <w:t>Would the requirement to use TTC approach in the rating systems lead to significant</w:t>
      </w:r>
    </w:p>
    <w:p w:rsidR="00365057" w:rsidRPr="00C12058" w:rsidRDefault="00365057" w:rsidP="00365057">
      <w:pPr>
        <w:spacing w:line="240" w:lineRule="auto"/>
        <w:rPr>
          <w:i/>
          <w:lang w:val="en-US"/>
        </w:rPr>
      </w:pPr>
      <w:proofErr w:type="gramStart"/>
      <w:r w:rsidRPr="00C12058">
        <w:rPr>
          <w:i/>
          <w:lang w:val="en-US"/>
        </w:rPr>
        <w:t>divergences</w:t>
      </w:r>
      <w:proofErr w:type="gramEnd"/>
      <w:r w:rsidRPr="00C12058">
        <w:rPr>
          <w:i/>
          <w:lang w:val="en-US"/>
        </w:rPr>
        <w:t xml:space="preserve"> with the internal risk management practices?</w:t>
      </w:r>
    </w:p>
    <w:p w:rsidR="0036078F" w:rsidRPr="006D3EDC" w:rsidRDefault="0036078F" w:rsidP="00365057">
      <w:pPr>
        <w:spacing w:line="240" w:lineRule="auto"/>
        <w:rPr>
          <w:lang w:val="en-US"/>
        </w:rPr>
      </w:pPr>
    </w:p>
    <w:p w:rsidR="00365057" w:rsidRPr="006D3EDC" w:rsidRDefault="00365057" w:rsidP="00365057">
      <w:pPr>
        <w:spacing w:line="240" w:lineRule="auto"/>
        <w:rPr>
          <w:lang w:val="en-US"/>
        </w:rPr>
      </w:pPr>
      <w:r w:rsidRPr="0036078F">
        <w:rPr>
          <w:b/>
          <w:lang w:val="en-US"/>
        </w:rPr>
        <w:t>Comment:</w:t>
      </w:r>
      <w:r w:rsidRPr="006D3EDC">
        <w:rPr>
          <w:lang w:val="en-US"/>
        </w:rPr>
        <w:t xml:space="preserve"> </w:t>
      </w:r>
      <w:r w:rsidR="0036078F">
        <w:rPr>
          <w:lang w:val="en-US"/>
        </w:rPr>
        <w:br/>
      </w:r>
      <w:r w:rsidRPr="006D3EDC">
        <w:rPr>
          <w:lang w:val="en-US"/>
        </w:rPr>
        <w:t>In o</w:t>
      </w:r>
      <w:r w:rsidR="00FF2245">
        <w:rPr>
          <w:lang w:val="en-US"/>
        </w:rPr>
        <w:t>ur opinion, TTC approach does not</w:t>
      </w:r>
      <w:r w:rsidRPr="006D3EDC">
        <w:rPr>
          <w:lang w:val="en-US"/>
        </w:rPr>
        <w:t xml:space="preserve"> lead to divergences with internal risk management practices.</w:t>
      </w:r>
    </w:p>
    <w:p w:rsidR="00365057" w:rsidRPr="006D3EDC" w:rsidRDefault="00365057" w:rsidP="00365057">
      <w:pPr>
        <w:spacing w:line="240" w:lineRule="auto"/>
        <w:rPr>
          <w:lang w:val="en-US"/>
        </w:rPr>
      </w:pPr>
    </w:p>
    <w:p w:rsidR="00365057" w:rsidRDefault="00365057" w:rsidP="00C12058">
      <w:pPr>
        <w:spacing w:line="240" w:lineRule="auto"/>
        <w:rPr>
          <w:b/>
          <w:lang w:val="en-US"/>
        </w:rPr>
      </w:pPr>
      <w:r w:rsidRPr="0036078F">
        <w:rPr>
          <w:b/>
          <w:lang w:val="en-US"/>
        </w:rPr>
        <w:t>Q24</w:t>
      </w:r>
      <w:r w:rsidR="00C12058">
        <w:rPr>
          <w:b/>
          <w:lang w:val="en-US"/>
        </w:rPr>
        <w:t xml:space="preserve"> – 25:</w:t>
      </w:r>
    </w:p>
    <w:p w:rsidR="00C12058" w:rsidRPr="00C12058" w:rsidRDefault="00FF2245" w:rsidP="00C12058">
      <w:pPr>
        <w:spacing w:line="240" w:lineRule="auto"/>
        <w:rPr>
          <w:lang w:val="en-US"/>
        </w:rPr>
      </w:pPr>
      <w:r>
        <w:rPr>
          <w:lang w:val="en-US"/>
        </w:rPr>
        <w:t>No comment</w:t>
      </w:r>
    </w:p>
    <w:p w:rsidR="00C15616" w:rsidRDefault="00C15616" w:rsidP="0010363C">
      <w:pPr>
        <w:spacing w:line="240" w:lineRule="auto"/>
        <w:ind w:right="-1"/>
        <w:rPr>
          <w:lang w:val="en-GB"/>
        </w:rPr>
      </w:pPr>
    </w:p>
    <w:p w:rsidR="00C12058" w:rsidRPr="006D3EDC" w:rsidRDefault="00C12058" w:rsidP="0010363C">
      <w:pPr>
        <w:spacing w:line="240" w:lineRule="auto"/>
        <w:ind w:right="-1"/>
        <w:rPr>
          <w:lang w:val="en-GB"/>
        </w:rPr>
      </w:pPr>
    </w:p>
    <w:p w:rsidR="00EB6FE5" w:rsidRPr="006D3EDC" w:rsidRDefault="00EB6FE5" w:rsidP="0010363C">
      <w:pPr>
        <w:spacing w:line="240" w:lineRule="auto"/>
        <w:ind w:right="-1"/>
        <w:rPr>
          <w:lang w:val="en-GB"/>
        </w:rPr>
      </w:pPr>
      <w:r w:rsidRPr="006D3EDC">
        <w:rPr>
          <w:lang w:val="en-GB"/>
        </w:rPr>
        <w:t>Please give our concerns due consideration.</w:t>
      </w:r>
    </w:p>
    <w:p w:rsidR="00A55AE6" w:rsidRDefault="00A55AE6" w:rsidP="00A55AE6">
      <w:pPr>
        <w:spacing w:line="240" w:lineRule="auto"/>
        <w:rPr>
          <w:lang w:val="en-GB"/>
        </w:rPr>
      </w:pPr>
    </w:p>
    <w:p w:rsidR="00C12058" w:rsidRPr="006D3EDC" w:rsidRDefault="00C12058" w:rsidP="00A55AE6">
      <w:pPr>
        <w:spacing w:line="240" w:lineRule="auto"/>
        <w:rPr>
          <w:rFonts w:cs="Arial"/>
          <w:color w:val="000000"/>
          <w:lang w:val="en-GB" w:eastAsia="en-US"/>
        </w:rPr>
      </w:pPr>
    </w:p>
    <w:p w:rsidR="00A55AE6" w:rsidRPr="006D3EDC" w:rsidRDefault="00A55AE6" w:rsidP="00A55AE6">
      <w:pPr>
        <w:spacing w:line="240" w:lineRule="auto"/>
        <w:rPr>
          <w:rFonts w:cs="Arial"/>
          <w:color w:val="000000"/>
          <w:lang w:val="en-GB" w:eastAsia="en-US"/>
        </w:rPr>
      </w:pPr>
      <w:r w:rsidRPr="006D3EDC">
        <w:rPr>
          <w:rFonts w:cs="Arial"/>
          <w:color w:val="000000"/>
          <w:lang w:val="en-GB" w:eastAsia="en-US"/>
        </w:rPr>
        <w:t>Yours sincerely,</w:t>
      </w:r>
    </w:p>
    <w:p w:rsidR="00A55AE6" w:rsidRPr="006D3EDC" w:rsidRDefault="00A55AE6" w:rsidP="00A55AE6">
      <w:pPr>
        <w:spacing w:line="240" w:lineRule="auto"/>
        <w:rPr>
          <w:rFonts w:cs="Arial"/>
          <w:color w:val="000000"/>
          <w:lang w:val="en-GB" w:eastAsia="en-US"/>
        </w:rPr>
      </w:pPr>
    </w:p>
    <w:p w:rsidR="00A55AE6" w:rsidRPr="006D3EDC" w:rsidRDefault="00A55AE6" w:rsidP="00A55AE6">
      <w:pPr>
        <w:spacing w:line="240" w:lineRule="auto"/>
        <w:rPr>
          <w:rFonts w:cs="Arial"/>
          <w:color w:val="000000"/>
          <w:lang w:val="en-GB" w:eastAsia="en-US"/>
        </w:rPr>
      </w:pPr>
    </w:p>
    <w:p w:rsidR="00A55AE6" w:rsidRPr="006D3EDC" w:rsidRDefault="00A55AE6" w:rsidP="00A55AE6">
      <w:pPr>
        <w:spacing w:line="240" w:lineRule="auto"/>
        <w:rPr>
          <w:rFonts w:cs="Arial"/>
          <w:color w:val="000000"/>
          <w:lang w:val="en-GB" w:eastAsia="en-US"/>
        </w:rPr>
      </w:pPr>
    </w:p>
    <w:p w:rsidR="00A55AE6" w:rsidRPr="006D3EDC" w:rsidRDefault="00A55AE6" w:rsidP="00A55AE6">
      <w:pPr>
        <w:spacing w:line="240" w:lineRule="auto"/>
        <w:rPr>
          <w:rFonts w:cs="Arial"/>
          <w:color w:val="000000"/>
          <w:lang w:val="en-GB" w:eastAsia="en-US"/>
        </w:rPr>
      </w:pPr>
      <w:r w:rsidRPr="006D3EDC">
        <w:rPr>
          <w:rFonts w:cs="Arial"/>
          <w:color w:val="000000"/>
          <w:lang w:val="en-GB" w:eastAsia="en-US"/>
        </w:rPr>
        <w:t>Dr. Franz Rudorfer</w:t>
      </w:r>
    </w:p>
    <w:p w:rsidR="00A55AE6" w:rsidRPr="006D3EDC" w:rsidRDefault="00A55AE6" w:rsidP="00A55AE6">
      <w:pPr>
        <w:spacing w:line="240" w:lineRule="auto"/>
        <w:rPr>
          <w:rFonts w:cs="Arial"/>
          <w:color w:val="000000"/>
          <w:lang w:val="en-GB" w:eastAsia="en-US"/>
        </w:rPr>
      </w:pPr>
      <w:r w:rsidRPr="006D3EDC">
        <w:rPr>
          <w:rFonts w:cs="Arial"/>
          <w:color w:val="000000"/>
          <w:lang w:val="en-GB" w:eastAsia="en-US"/>
        </w:rPr>
        <w:t>Managing Director</w:t>
      </w:r>
    </w:p>
    <w:p w:rsidR="00A55AE6" w:rsidRPr="006D3EDC" w:rsidRDefault="00A55AE6" w:rsidP="00A55AE6">
      <w:pPr>
        <w:spacing w:line="240" w:lineRule="auto"/>
        <w:rPr>
          <w:noProof/>
          <w:lang w:val="en-GB"/>
        </w:rPr>
      </w:pPr>
      <w:r w:rsidRPr="006D3EDC">
        <w:rPr>
          <w:rFonts w:cs="Arial"/>
          <w:color w:val="000000"/>
          <w:lang w:val="en-GB" w:eastAsia="en-US"/>
        </w:rPr>
        <w:t>Division Bank and Insurance</w:t>
      </w:r>
    </w:p>
    <w:p w:rsidR="00A55AE6" w:rsidRPr="006D3EDC" w:rsidRDefault="00A55AE6" w:rsidP="00EB6FE5">
      <w:pPr>
        <w:spacing w:line="240" w:lineRule="auto"/>
        <w:ind w:right="-1"/>
        <w:rPr>
          <w:lang w:val="en-GB"/>
        </w:rPr>
      </w:pPr>
    </w:p>
    <w:sectPr w:rsidR="00A55AE6" w:rsidRPr="006D3EDC" w:rsidSect="00B57120">
      <w:footerReference w:type="default" r:id="rId9"/>
      <w:headerReference w:type="first" r:id="rId10"/>
      <w:footerReference w:type="first" r:id="rId11"/>
      <w:pgSz w:w="11906" w:h="16838"/>
      <w:pgMar w:top="1701" w:right="1133"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33" w:rsidRDefault="00295A33">
      <w:r>
        <w:separator/>
      </w:r>
    </w:p>
  </w:endnote>
  <w:endnote w:type="continuationSeparator" w:id="0">
    <w:p w:rsidR="00295A33" w:rsidRDefault="0029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pPr>
      <w:pStyle w:val="Fuzeile"/>
      <w:rPr>
        <w:szCs w:val="22"/>
      </w:rPr>
    </w:pPr>
    <w:r w:rsidRPr="007C6CFC">
      <w:rPr>
        <w:sz w:val="16"/>
        <w:szCs w:val="16"/>
      </w:rPr>
      <w:tab/>
    </w:r>
    <w:r w:rsidRPr="007C6CFC">
      <w:rPr>
        <w:szCs w:val="22"/>
      </w:rPr>
      <w:t xml:space="preserve">- </w:t>
    </w:r>
    <w:r w:rsidRPr="007C6CFC">
      <w:rPr>
        <w:szCs w:val="22"/>
      </w:rPr>
      <w:fldChar w:fldCharType="begin"/>
    </w:r>
    <w:r w:rsidRPr="007C6CFC">
      <w:rPr>
        <w:szCs w:val="22"/>
      </w:rPr>
      <w:instrText xml:space="preserve"> PAGE </w:instrText>
    </w:r>
    <w:r w:rsidRPr="007C6CFC">
      <w:rPr>
        <w:szCs w:val="22"/>
      </w:rPr>
      <w:fldChar w:fldCharType="separate"/>
    </w:r>
    <w:r w:rsidR="00FF2245">
      <w:rPr>
        <w:noProof/>
        <w:szCs w:val="22"/>
      </w:rPr>
      <w:t>2</w:t>
    </w:r>
    <w:r w:rsidRPr="007C6CFC">
      <w:rPr>
        <w:szCs w:val="22"/>
      </w:rPr>
      <w:fldChar w:fldCharType="end"/>
    </w:r>
    <w:r w:rsidRPr="007C6CFC">
      <w:rPr>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rsidP="00BC0955">
    <w:pPr>
      <w:pStyle w:val="Fuzeile"/>
      <w:rPr>
        <w:snapToGrid w:val="0"/>
        <w:color w:val="000000"/>
        <w:szCs w:val="22"/>
        <w:u w:color="000000"/>
      </w:rPr>
    </w:pPr>
    <w:r>
      <w:rPr>
        <w:snapToGrid w:val="0"/>
        <w:color w:val="000000"/>
        <w:sz w:val="16"/>
        <w:szCs w:val="16"/>
        <w:u w:color="000000"/>
      </w:rPr>
      <w:tab/>
    </w:r>
    <w:r w:rsidRPr="007C6CFC">
      <w:rPr>
        <w:snapToGrid w:val="0"/>
        <w:color w:val="000000"/>
        <w:szCs w:val="22"/>
        <w:u w:color="000000"/>
      </w:rPr>
      <w:t xml:space="preserve">- </w:t>
    </w:r>
    <w:r w:rsidRPr="007C6CFC">
      <w:rPr>
        <w:snapToGrid w:val="0"/>
        <w:color w:val="000000"/>
        <w:szCs w:val="22"/>
        <w:u w:color="000000"/>
      </w:rPr>
      <w:fldChar w:fldCharType="begin"/>
    </w:r>
    <w:r w:rsidRPr="007C6CFC">
      <w:rPr>
        <w:snapToGrid w:val="0"/>
        <w:color w:val="000000"/>
        <w:szCs w:val="22"/>
        <w:u w:color="000000"/>
      </w:rPr>
      <w:instrText xml:space="preserve"> PAGE </w:instrText>
    </w:r>
    <w:r w:rsidRPr="007C6CFC">
      <w:rPr>
        <w:snapToGrid w:val="0"/>
        <w:color w:val="000000"/>
        <w:szCs w:val="22"/>
        <w:u w:color="000000"/>
      </w:rPr>
      <w:fldChar w:fldCharType="separate"/>
    </w:r>
    <w:r w:rsidR="00FF2245">
      <w:rPr>
        <w:noProof/>
        <w:snapToGrid w:val="0"/>
        <w:color w:val="000000"/>
        <w:szCs w:val="22"/>
        <w:u w:color="000000"/>
      </w:rPr>
      <w:t>1</w:t>
    </w:r>
    <w:r w:rsidRPr="007C6CFC">
      <w:rPr>
        <w:snapToGrid w:val="0"/>
        <w:color w:val="000000"/>
        <w:szCs w:val="22"/>
        <w:u w:color="000000"/>
      </w:rPr>
      <w:fldChar w:fldCharType="end"/>
    </w:r>
    <w:r w:rsidRPr="007C6CFC">
      <w:rPr>
        <w:snapToGrid w:val="0"/>
        <w:color w:val="000000"/>
        <w:szCs w:val="22"/>
        <w:u w:color="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33" w:rsidRDefault="00295A33">
      <w:r>
        <w:separator/>
      </w:r>
    </w:p>
  </w:footnote>
  <w:footnote w:type="continuationSeparator" w:id="0">
    <w:p w:rsidR="00295A33" w:rsidRDefault="0029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81262C" w:rsidRDefault="00295A33" w:rsidP="00F0083F">
    <w:pPr>
      <w:pStyle w:val="Kopfzeile"/>
      <w:tabs>
        <w:tab w:val="clear" w:pos="9072"/>
        <w:tab w:val="right" w:pos="9498"/>
      </w:tabs>
      <w:jc w:val="right"/>
    </w:pPr>
    <w:r>
      <w:rPr>
        <w:noProof/>
        <w:lang w:val="de-AT" w:eastAsia="de-AT"/>
      </w:rPr>
      <w:drawing>
        <wp:anchor distT="0" distB="0" distL="114300" distR="114300" simplePos="0" relativeHeight="251657728" behindDoc="0" locked="1" layoutInCell="1" allowOverlap="1" wp14:anchorId="252BD5FA" wp14:editId="1DBC96D6">
          <wp:simplePos x="0" y="0"/>
          <wp:positionH relativeFrom="page">
            <wp:posOffset>4859655</wp:posOffset>
          </wp:positionH>
          <wp:positionV relativeFrom="page">
            <wp:posOffset>197485</wp:posOffset>
          </wp:positionV>
          <wp:extent cx="2210435" cy="861695"/>
          <wp:effectExtent l="1905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10435" cy="8616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A7C"/>
    <w:multiLevelType w:val="hybridMultilevel"/>
    <w:tmpl w:val="ADBECCE0"/>
    <w:lvl w:ilvl="0" w:tplc="0C070013">
      <w:start w:val="1"/>
      <w:numFmt w:val="upperRoman"/>
      <w:lvlText w:val="%1."/>
      <w:lvlJc w:val="righ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nsid w:val="08B82C7E"/>
    <w:multiLevelType w:val="hybridMultilevel"/>
    <w:tmpl w:val="4B56974E"/>
    <w:lvl w:ilvl="0" w:tplc="93886BE2">
      <w:start w:val="3"/>
      <w:numFmt w:val="bullet"/>
      <w:lvlText w:val="-"/>
      <w:lvlJc w:val="left"/>
      <w:pPr>
        <w:ind w:left="720" w:hanging="360"/>
      </w:pPr>
      <w:rPr>
        <w:rFonts w:ascii="Consolas" w:eastAsiaTheme="minorHAnsi" w:hAnsi="Consolas" w:cs="Consola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A2C73A7"/>
    <w:multiLevelType w:val="hybridMultilevel"/>
    <w:tmpl w:val="3F0C2284"/>
    <w:lvl w:ilvl="0" w:tplc="0C070001">
      <w:start w:val="1"/>
      <w:numFmt w:val="bullet"/>
      <w:lvlText w:val=""/>
      <w:lvlJc w:val="left"/>
      <w:pPr>
        <w:ind w:left="2844" w:hanging="360"/>
      </w:pPr>
      <w:rPr>
        <w:rFonts w:ascii="Symbol" w:hAnsi="Symbol" w:hint="default"/>
      </w:rPr>
    </w:lvl>
    <w:lvl w:ilvl="1" w:tplc="0C070003" w:tentative="1">
      <w:start w:val="1"/>
      <w:numFmt w:val="bullet"/>
      <w:lvlText w:val="o"/>
      <w:lvlJc w:val="left"/>
      <w:pPr>
        <w:ind w:left="3564" w:hanging="360"/>
      </w:pPr>
      <w:rPr>
        <w:rFonts w:ascii="Courier New" w:hAnsi="Courier New" w:hint="default"/>
      </w:rPr>
    </w:lvl>
    <w:lvl w:ilvl="2" w:tplc="0C070005" w:tentative="1">
      <w:start w:val="1"/>
      <w:numFmt w:val="bullet"/>
      <w:lvlText w:val=""/>
      <w:lvlJc w:val="left"/>
      <w:pPr>
        <w:ind w:left="4284" w:hanging="360"/>
      </w:pPr>
      <w:rPr>
        <w:rFonts w:ascii="Wingdings" w:hAnsi="Wingdings" w:hint="default"/>
      </w:rPr>
    </w:lvl>
    <w:lvl w:ilvl="3" w:tplc="0C070001" w:tentative="1">
      <w:start w:val="1"/>
      <w:numFmt w:val="bullet"/>
      <w:lvlText w:val=""/>
      <w:lvlJc w:val="left"/>
      <w:pPr>
        <w:ind w:left="5004" w:hanging="360"/>
      </w:pPr>
      <w:rPr>
        <w:rFonts w:ascii="Symbol" w:hAnsi="Symbol" w:hint="default"/>
      </w:rPr>
    </w:lvl>
    <w:lvl w:ilvl="4" w:tplc="0C070003" w:tentative="1">
      <w:start w:val="1"/>
      <w:numFmt w:val="bullet"/>
      <w:lvlText w:val="o"/>
      <w:lvlJc w:val="left"/>
      <w:pPr>
        <w:ind w:left="5724" w:hanging="360"/>
      </w:pPr>
      <w:rPr>
        <w:rFonts w:ascii="Courier New" w:hAnsi="Courier New" w:hint="default"/>
      </w:rPr>
    </w:lvl>
    <w:lvl w:ilvl="5" w:tplc="0C070005" w:tentative="1">
      <w:start w:val="1"/>
      <w:numFmt w:val="bullet"/>
      <w:lvlText w:val=""/>
      <w:lvlJc w:val="left"/>
      <w:pPr>
        <w:ind w:left="6444" w:hanging="360"/>
      </w:pPr>
      <w:rPr>
        <w:rFonts w:ascii="Wingdings" w:hAnsi="Wingdings" w:hint="default"/>
      </w:rPr>
    </w:lvl>
    <w:lvl w:ilvl="6" w:tplc="0C070001" w:tentative="1">
      <w:start w:val="1"/>
      <w:numFmt w:val="bullet"/>
      <w:lvlText w:val=""/>
      <w:lvlJc w:val="left"/>
      <w:pPr>
        <w:ind w:left="7164" w:hanging="360"/>
      </w:pPr>
      <w:rPr>
        <w:rFonts w:ascii="Symbol" w:hAnsi="Symbol" w:hint="default"/>
      </w:rPr>
    </w:lvl>
    <w:lvl w:ilvl="7" w:tplc="0C070003" w:tentative="1">
      <w:start w:val="1"/>
      <w:numFmt w:val="bullet"/>
      <w:lvlText w:val="o"/>
      <w:lvlJc w:val="left"/>
      <w:pPr>
        <w:ind w:left="7884" w:hanging="360"/>
      </w:pPr>
      <w:rPr>
        <w:rFonts w:ascii="Courier New" w:hAnsi="Courier New" w:hint="default"/>
      </w:rPr>
    </w:lvl>
    <w:lvl w:ilvl="8" w:tplc="0C070005" w:tentative="1">
      <w:start w:val="1"/>
      <w:numFmt w:val="bullet"/>
      <w:lvlText w:val=""/>
      <w:lvlJc w:val="left"/>
      <w:pPr>
        <w:ind w:left="8604" w:hanging="360"/>
      </w:pPr>
      <w:rPr>
        <w:rFonts w:ascii="Wingdings" w:hAnsi="Wingdings" w:hint="default"/>
      </w:rPr>
    </w:lvl>
  </w:abstractNum>
  <w:abstractNum w:abstractNumId="3">
    <w:nsid w:val="0BA5631E"/>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056668F"/>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4B224A7"/>
    <w:multiLevelType w:val="hybridMultilevel"/>
    <w:tmpl w:val="07440C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nsid w:val="1C145EF6"/>
    <w:multiLevelType w:val="hybridMultilevel"/>
    <w:tmpl w:val="35ECE8FA"/>
    <w:lvl w:ilvl="0" w:tplc="7EE214A4">
      <w:numFmt w:val="bullet"/>
      <w:lvlText w:val="-"/>
      <w:lvlJc w:val="left"/>
      <w:pPr>
        <w:ind w:left="360" w:hanging="360"/>
      </w:pPr>
      <w:rPr>
        <w:rFonts w:ascii="Calibri" w:eastAsiaTheme="minorHAnsi" w:hAnsi="Calibri" w:cstheme="minorBidi" w:hint="default"/>
      </w:rPr>
    </w:lvl>
    <w:lvl w:ilvl="1" w:tplc="0C070003">
      <w:start w:val="1"/>
      <w:numFmt w:val="bullet"/>
      <w:lvlText w:val="o"/>
      <w:lvlJc w:val="left"/>
      <w:pPr>
        <w:ind w:left="1222" w:hanging="360"/>
      </w:pPr>
      <w:rPr>
        <w:rFonts w:ascii="Courier New" w:hAnsi="Courier New" w:cs="Courier New" w:hint="default"/>
      </w:rPr>
    </w:lvl>
    <w:lvl w:ilvl="2" w:tplc="0C070005">
      <w:start w:val="1"/>
      <w:numFmt w:val="bullet"/>
      <w:lvlText w:val=""/>
      <w:lvlJc w:val="left"/>
      <w:pPr>
        <w:ind w:left="1636"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7">
    <w:nsid w:val="2179500E"/>
    <w:multiLevelType w:val="hybridMultilevel"/>
    <w:tmpl w:val="01AEC23E"/>
    <w:lvl w:ilvl="0" w:tplc="0C070011">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nsid w:val="23995024"/>
    <w:multiLevelType w:val="hybridMultilevel"/>
    <w:tmpl w:val="4DD8AE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6141567"/>
    <w:multiLevelType w:val="hybridMultilevel"/>
    <w:tmpl w:val="64FA4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B56EC9"/>
    <w:multiLevelType w:val="hybridMultilevel"/>
    <w:tmpl w:val="538A464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400D66BE"/>
    <w:multiLevelType w:val="hybridMultilevel"/>
    <w:tmpl w:val="ABBAAB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1686A47"/>
    <w:multiLevelType w:val="hybridMultilevel"/>
    <w:tmpl w:val="C130EB18"/>
    <w:lvl w:ilvl="0" w:tplc="06C87BB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4534281E"/>
    <w:multiLevelType w:val="hybridMultilevel"/>
    <w:tmpl w:val="C2C0E2B8"/>
    <w:lvl w:ilvl="0" w:tplc="F31C391C">
      <w:start w:val="1"/>
      <w:numFmt w:val="upperRoman"/>
      <w:lvlText w:val="%1."/>
      <w:lvlJc w:val="left"/>
      <w:pPr>
        <w:ind w:left="1080" w:hanging="72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47F25788"/>
    <w:multiLevelType w:val="hybridMultilevel"/>
    <w:tmpl w:val="17E02B80"/>
    <w:lvl w:ilvl="0" w:tplc="0C070001">
      <w:start w:val="1"/>
      <w:numFmt w:val="bullet"/>
      <w:lvlText w:val=""/>
      <w:lvlJc w:val="left"/>
      <w:pPr>
        <w:ind w:left="2421" w:hanging="360"/>
      </w:pPr>
      <w:rPr>
        <w:rFonts w:ascii="Symbol" w:hAnsi="Symbol" w:hint="default"/>
      </w:rPr>
    </w:lvl>
    <w:lvl w:ilvl="1" w:tplc="0C070003" w:tentative="1">
      <w:start w:val="1"/>
      <w:numFmt w:val="bullet"/>
      <w:lvlText w:val="o"/>
      <w:lvlJc w:val="left"/>
      <w:pPr>
        <w:ind w:left="3141" w:hanging="360"/>
      </w:pPr>
      <w:rPr>
        <w:rFonts w:ascii="Courier New" w:hAnsi="Courier New" w:hint="default"/>
      </w:rPr>
    </w:lvl>
    <w:lvl w:ilvl="2" w:tplc="0C070005" w:tentative="1">
      <w:start w:val="1"/>
      <w:numFmt w:val="bullet"/>
      <w:lvlText w:val=""/>
      <w:lvlJc w:val="left"/>
      <w:pPr>
        <w:ind w:left="3861" w:hanging="360"/>
      </w:pPr>
      <w:rPr>
        <w:rFonts w:ascii="Wingdings" w:hAnsi="Wingdings" w:hint="default"/>
      </w:rPr>
    </w:lvl>
    <w:lvl w:ilvl="3" w:tplc="0C070001" w:tentative="1">
      <w:start w:val="1"/>
      <w:numFmt w:val="bullet"/>
      <w:lvlText w:val=""/>
      <w:lvlJc w:val="left"/>
      <w:pPr>
        <w:ind w:left="4581" w:hanging="360"/>
      </w:pPr>
      <w:rPr>
        <w:rFonts w:ascii="Symbol" w:hAnsi="Symbol" w:hint="default"/>
      </w:rPr>
    </w:lvl>
    <w:lvl w:ilvl="4" w:tplc="0C070003" w:tentative="1">
      <w:start w:val="1"/>
      <w:numFmt w:val="bullet"/>
      <w:lvlText w:val="o"/>
      <w:lvlJc w:val="left"/>
      <w:pPr>
        <w:ind w:left="5301" w:hanging="360"/>
      </w:pPr>
      <w:rPr>
        <w:rFonts w:ascii="Courier New" w:hAnsi="Courier New" w:hint="default"/>
      </w:rPr>
    </w:lvl>
    <w:lvl w:ilvl="5" w:tplc="0C070005" w:tentative="1">
      <w:start w:val="1"/>
      <w:numFmt w:val="bullet"/>
      <w:lvlText w:val=""/>
      <w:lvlJc w:val="left"/>
      <w:pPr>
        <w:ind w:left="6021" w:hanging="360"/>
      </w:pPr>
      <w:rPr>
        <w:rFonts w:ascii="Wingdings" w:hAnsi="Wingdings" w:hint="default"/>
      </w:rPr>
    </w:lvl>
    <w:lvl w:ilvl="6" w:tplc="0C070001" w:tentative="1">
      <w:start w:val="1"/>
      <w:numFmt w:val="bullet"/>
      <w:lvlText w:val=""/>
      <w:lvlJc w:val="left"/>
      <w:pPr>
        <w:ind w:left="6741" w:hanging="360"/>
      </w:pPr>
      <w:rPr>
        <w:rFonts w:ascii="Symbol" w:hAnsi="Symbol" w:hint="default"/>
      </w:rPr>
    </w:lvl>
    <w:lvl w:ilvl="7" w:tplc="0C070003" w:tentative="1">
      <w:start w:val="1"/>
      <w:numFmt w:val="bullet"/>
      <w:lvlText w:val="o"/>
      <w:lvlJc w:val="left"/>
      <w:pPr>
        <w:ind w:left="7461" w:hanging="360"/>
      </w:pPr>
      <w:rPr>
        <w:rFonts w:ascii="Courier New" w:hAnsi="Courier New" w:hint="default"/>
      </w:rPr>
    </w:lvl>
    <w:lvl w:ilvl="8" w:tplc="0C070005" w:tentative="1">
      <w:start w:val="1"/>
      <w:numFmt w:val="bullet"/>
      <w:lvlText w:val=""/>
      <w:lvlJc w:val="left"/>
      <w:pPr>
        <w:ind w:left="8181" w:hanging="360"/>
      </w:pPr>
      <w:rPr>
        <w:rFonts w:ascii="Wingdings" w:hAnsi="Wingdings" w:hint="default"/>
      </w:rPr>
    </w:lvl>
  </w:abstractNum>
  <w:abstractNum w:abstractNumId="15">
    <w:nsid w:val="506C7420"/>
    <w:multiLevelType w:val="multilevel"/>
    <w:tmpl w:val="A27E6A3A"/>
    <w:name w:val="zzmpVIE2||VIE2 kurz, bl|2|3|0|1|2|33||1|2|0||1|2|0||1|2|0||mpNA||mpNA||mpNA||mpNA||mpNA||"/>
    <w:lvl w:ilvl="0">
      <w:start w:val="1"/>
      <w:numFmt w:val="decimal"/>
      <w:pStyle w:val="VIE2L1"/>
      <w:lvlText w:val="%1."/>
      <w:lvlJc w:val="left"/>
      <w:pPr>
        <w:tabs>
          <w:tab w:val="num" w:pos="720"/>
        </w:tabs>
        <w:ind w:left="720" w:hanging="720"/>
      </w:pPr>
      <w:rPr>
        <w:b/>
        <w:i w:val="0"/>
        <w:caps w:val="0"/>
        <w:strike w:val="0"/>
        <w:dstrike w:val="0"/>
        <w:u w:val="none"/>
        <w:effect w:val="none"/>
      </w:rPr>
    </w:lvl>
    <w:lvl w:ilvl="1">
      <w:start w:val="1"/>
      <w:numFmt w:val="decimal"/>
      <w:pStyle w:val="VIE2L2"/>
      <w:isLgl/>
      <w:lvlText w:val="%1.%2"/>
      <w:lvlJc w:val="left"/>
      <w:pPr>
        <w:tabs>
          <w:tab w:val="num" w:pos="720"/>
        </w:tabs>
        <w:ind w:left="720" w:hanging="720"/>
      </w:pPr>
      <w:rPr>
        <w:b w:val="0"/>
        <w:i w:val="0"/>
        <w:caps w:val="0"/>
        <w:strike w:val="0"/>
        <w:dstrike w:val="0"/>
        <w:u w:val="none"/>
        <w:effect w:val="none"/>
      </w:rPr>
    </w:lvl>
    <w:lvl w:ilvl="2">
      <w:start w:val="1"/>
      <w:numFmt w:val="lowerLetter"/>
      <w:pStyle w:val="VIE2L3"/>
      <w:lvlText w:val="(%3)"/>
      <w:lvlJc w:val="left"/>
      <w:pPr>
        <w:tabs>
          <w:tab w:val="num" w:pos="1440"/>
        </w:tabs>
        <w:ind w:left="1440" w:hanging="720"/>
      </w:pPr>
      <w:rPr>
        <w:b w:val="0"/>
        <w:i w:val="0"/>
        <w:caps w:val="0"/>
        <w:strike w:val="0"/>
        <w:dstrike w:val="0"/>
        <w:u w:val="none"/>
        <w:effect w:val="none"/>
      </w:rPr>
    </w:lvl>
    <w:lvl w:ilvl="3">
      <w:start w:val="1"/>
      <w:numFmt w:val="lowerRoman"/>
      <w:pStyle w:val="VIE2L4"/>
      <w:lvlText w:val="(%4)"/>
      <w:lvlJc w:val="left"/>
      <w:pPr>
        <w:tabs>
          <w:tab w:val="num" w:pos="1440"/>
        </w:tabs>
        <w:ind w:left="1440" w:hanging="720"/>
      </w:pPr>
      <w:rPr>
        <w:b w:val="0"/>
        <w:i w:val="0"/>
        <w:caps w:val="0"/>
        <w:strike w:val="0"/>
        <w:dstrike w:val="0"/>
        <w:color w:val="auto"/>
        <w:u w:val="none"/>
        <w:effect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2E35BE"/>
    <w:multiLevelType w:val="hybridMultilevel"/>
    <w:tmpl w:val="D4F8C71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5C5A256E"/>
    <w:multiLevelType w:val="hybridMultilevel"/>
    <w:tmpl w:val="AE36FD9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nsid w:val="635A368B"/>
    <w:multiLevelType w:val="hybridMultilevel"/>
    <w:tmpl w:val="E692F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B3D3228"/>
    <w:multiLevelType w:val="hybridMultilevel"/>
    <w:tmpl w:val="FB34861E"/>
    <w:lvl w:ilvl="0" w:tplc="CB02868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0">
    <w:nsid w:val="7F43724C"/>
    <w:multiLevelType w:val="hybridMultilevel"/>
    <w:tmpl w:val="90847A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4"/>
  </w:num>
  <w:num w:numId="2">
    <w:abstractNumId w:val="16"/>
  </w:num>
  <w:num w:numId="3">
    <w:abstractNumId w:val="11"/>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9"/>
  </w:num>
  <w:num w:numId="9">
    <w:abstractNumId w:val="18"/>
  </w:num>
  <w:num w:numId="10">
    <w:abstractNumId w:val="4"/>
  </w:num>
  <w:num w:numId="11">
    <w:abstractNumId w:val="1"/>
  </w:num>
  <w:num w:numId="12">
    <w:abstractNumId w:val="8"/>
  </w:num>
  <w:num w:numId="13">
    <w:abstractNumId w:val="3"/>
  </w:num>
  <w:num w:numId="14">
    <w:abstractNumId w:val="17"/>
  </w:num>
  <w:num w:numId="15">
    <w:abstractNumId w:val="20"/>
  </w:num>
  <w:num w:numId="16">
    <w:abstractNumId w:val="10"/>
  </w:num>
  <w:num w:numId="17">
    <w:abstractNumId w:val="0"/>
  </w:num>
  <w:num w:numId="18">
    <w:abstractNumId w:val="7"/>
  </w:num>
  <w:num w:numId="19">
    <w:abstractNumId w:val="12"/>
  </w:num>
  <w:num w:numId="20">
    <w:abstractNumId w:val="9"/>
  </w:num>
  <w:num w:numId="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2C"/>
    <w:rsid w:val="0000192C"/>
    <w:rsid w:val="00002869"/>
    <w:rsid w:val="00002AE3"/>
    <w:rsid w:val="00022162"/>
    <w:rsid w:val="00022E3E"/>
    <w:rsid w:val="00027D5E"/>
    <w:rsid w:val="000345E6"/>
    <w:rsid w:val="00034E26"/>
    <w:rsid w:val="0003734B"/>
    <w:rsid w:val="00037FE2"/>
    <w:rsid w:val="00047215"/>
    <w:rsid w:val="00060833"/>
    <w:rsid w:val="00064C5A"/>
    <w:rsid w:val="0007255B"/>
    <w:rsid w:val="00081515"/>
    <w:rsid w:val="00081E90"/>
    <w:rsid w:val="00082236"/>
    <w:rsid w:val="0009402A"/>
    <w:rsid w:val="000B445F"/>
    <w:rsid w:val="000B72BC"/>
    <w:rsid w:val="000B743B"/>
    <w:rsid w:val="000C2A7F"/>
    <w:rsid w:val="000C7E1D"/>
    <w:rsid w:val="000D3944"/>
    <w:rsid w:val="000E264C"/>
    <w:rsid w:val="000E50B4"/>
    <w:rsid w:val="0010363C"/>
    <w:rsid w:val="00105589"/>
    <w:rsid w:val="001072DF"/>
    <w:rsid w:val="001100E8"/>
    <w:rsid w:val="001157FD"/>
    <w:rsid w:val="00122243"/>
    <w:rsid w:val="001231B3"/>
    <w:rsid w:val="001266AB"/>
    <w:rsid w:val="0013167F"/>
    <w:rsid w:val="00135B33"/>
    <w:rsid w:val="00137D1A"/>
    <w:rsid w:val="00140840"/>
    <w:rsid w:val="00142215"/>
    <w:rsid w:val="00145075"/>
    <w:rsid w:val="00154A68"/>
    <w:rsid w:val="00154B0A"/>
    <w:rsid w:val="0015559A"/>
    <w:rsid w:val="001628C5"/>
    <w:rsid w:val="001669D8"/>
    <w:rsid w:val="00166A32"/>
    <w:rsid w:val="00181BC8"/>
    <w:rsid w:val="001829FA"/>
    <w:rsid w:val="00185ED2"/>
    <w:rsid w:val="00190AE7"/>
    <w:rsid w:val="001914C7"/>
    <w:rsid w:val="001B326E"/>
    <w:rsid w:val="001B472D"/>
    <w:rsid w:val="001B75C9"/>
    <w:rsid w:val="001D493B"/>
    <w:rsid w:val="001D7741"/>
    <w:rsid w:val="001D7E2A"/>
    <w:rsid w:val="001E5A71"/>
    <w:rsid w:val="001F1973"/>
    <w:rsid w:val="00201BA1"/>
    <w:rsid w:val="002038DC"/>
    <w:rsid w:val="00203C40"/>
    <w:rsid w:val="00206C50"/>
    <w:rsid w:val="00212962"/>
    <w:rsid w:val="002138E8"/>
    <w:rsid w:val="002150FD"/>
    <w:rsid w:val="00215A3D"/>
    <w:rsid w:val="00222E53"/>
    <w:rsid w:val="00222F24"/>
    <w:rsid w:val="0022490E"/>
    <w:rsid w:val="00230DE4"/>
    <w:rsid w:val="00230F3E"/>
    <w:rsid w:val="00237B76"/>
    <w:rsid w:val="00243539"/>
    <w:rsid w:val="00253D85"/>
    <w:rsid w:val="00255015"/>
    <w:rsid w:val="0026741D"/>
    <w:rsid w:val="002834AA"/>
    <w:rsid w:val="00283AD0"/>
    <w:rsid w:val="0028735C"/>
    <w:rsid w:val="00287BC7"/>
    <w:rsid w:val="0029417F"/>
    <w:rsid w:val="00295A33"/>
    <w:rsid w:val="00295EBD"/>
    <w:rsid w:val="002C1CDC"/>
    <w:rsid w:val="002D424B"/>
    <w:rsid w:val="002D4EDD"/>
    <w:rsid w:val="002E2DD9"/>
    <w:rsid w:val="002E5502"/>
    <w:rsid w:val="00300864"/>
    <w:rsid w:val="003058F8"/>
    <w:rsid w:val="0031542A"/>
    <w:rsid w:val="00322AE6"/>
    <w:rsid w:val="00324CBF"/>
    <w:rsid w:val="00330879"/>
    <w:rsid w:val="00340F56"/>
    <w:rsid w:val="0034723E"/>
    <w:rsid w:val="00352BEC"/>
    <w:rsid w:val="0036014E"/>
    <w:rsid w:val="0036078F"/>
    <w:rsid w:val="003629A3"/>
    <w:rsid w:val="00365057"/>
    <w:rsid w:val="00371EC8"/>
    <w:rsid w:val="0038214C"/>
    <w:rsid w:val="00390AFC"/>
    <w:rsid w:val="00394D41"/>
    <w:rsid w:val="003A3AED"/>
    <w:rsid w:val="003B493B"/>
    <w:rsid w:val="003B6FDA"/>
    <w:rsid w:val="003B7FC8"/>
    <w:rsid w:val="003C1D0A"/>
    <w:rsid w:val="003E2214"/>
    <w:rsid w:val="003E4A87"/>
    <w:rsid w:val="003E775F"/>
    <w:rsid w:val="003F04D5"/>
    <w:rsid w:val="003F0F26"/>
    <w:rsid w:val="003F7E1B"/>
    <w:rsid w:val="004076E5"/>
    <w:rsid w:val="00410C22"/>
    <w:rsid w:val="00413A5E"/>
    <w:rsid w:val="00415854"/>
    <w:rsid w:val="00422F18"/>
    <w:rsid w:val="00423258"/>
    <w:rsid w:val="0042491E"/>
    <w:rsid w:val="00426E66"/>
    <w:rsid w:val="004414C5"/>
    <w:rsid w:val="004501DA"/>
    <w:rsid w:val="00450541"/>
    <w:rsid w:val="00456578"/>
    <w:rsid w:val="00461E46"/>
    <w:rsid w:val="004639B4"/>
    <w:rsid w:val="0046510E"/>
    <w:rsid w:val="004660A0"/>
    <w:rsid w:val="00471CAF"/>
    <w:rsid w:val="0049380D"/>
    <w:rsid w:val="00495FD1"/>
    <w:rsid w:val="004A5E30"/>
    <w:rsid w:val="004B5017"/>
    <w:rsid w:val="004C3F26"/>
    <w:rsid w:val="004E3797"/>
    <w:rsid w:val="004E3F8D"/>
    <w:rsid w:val="004F2117"/>
    <w:rsid w:val="004F5C9C"/>
    <w:rsid w:val="004F716A"/>
    <w:rsid w:val="0050486A"/>
    <w:rsid w:val="00505288"/>
    <w:rsid w:val="00515614"/>
    <w:rsid w:val="0052008F"/>
    <w:rsid w:val="00526668"/>
    <w:rsid w:val="00526735"/>
    <w:rsid w:val="00535EEE"/>
    <w:rsid w:val="005428AB"/>
    <w:rsid w:val="00546DF6"/>
    <w:rsid w:val="00547E82"/>
    <w:rsid w:val="00552476"/>
    <w:rsid w:val="00564015"/>
    <w:rsid w:val="00565278"/>
    <w:rsid w:val="0057254C"/>
    <w:rsid w:val="005736F9"/>
    <w:rsid w:val="005874F6"/>
    <w:rsid w:val="00591A98"/>
    <w:rsid w:val="005B5707"/>
    <w:rsid w:val="005B5AD8"/>
    <w:rsid w:val="005C0A2B"/>
    <w:rsid w:val="005C40BB"/>
    <w:rsid w:val="005D1823"/>
    <w:rsid w:val="005D1FDD"/>
    <w:rsid w:val="005D3F1D"/>
    <w:rsid w:val="005E1BA6"/>
    <w:rsid w:val="005E3AAF"/>
    <w:rsid w:val="005F0908"/>
    <w:rsid w:val="005F3730"/>
    <w:rsid w:val="005F3C37"/>
    <w:rsid w:val="005F6F88"/>
    <w:rsid w:val="00601398"/>
    <w:rsid w:val="00612894"/>
    <w:rsid w:val="0062389E"/>
    <w:rsid w:val="00650A4A"/>
    <w:rsid w:val="006641EF"/>
    <w:rsid w:val="00666C97"/>
    <w:rsid w:val="00672BE8"/>
    <w:rsid w:val="006842B3"/>
    <w:rsid w:val="00685127"/>
    <w:rsid w:val="006950F7"/>
    <w:rsid w:val="006A6CFB"/>
    <w:rsid w:val="006A70A2"/>
    <w:rsid w:val="006B3DEE"/>
    <w:rsid w:val="006C2795"/>
    <w:rsid w:val="006C2B9A"/>
    <w:rsid w:val="006C4B6E"/>
    <w:rsid w:val="006C708A"/>
    <w:rsid w:val="006D3EDC"/>
    <w:rsid w:val="006D4937"/>
    <w:rsid w:val="006D5C3A"/>
    <w:rsid w:val="006E173F"/>
    <w:rsid w:val="006E4A35"/>
    <w:rsid w:val="006E4B16"/>
    <w:rsid w:val="006E65D9"/>
    <w:rsid w:val="00700ED1"/>
    <w:rsid w:val="00715FEB"/>
    <w:rsid w:val="007260F4"/>
    <w:rsid w:val="00732C5E"/>
    <w:rsid w:val="00734266"/>
    <w:rsid w:val="00737196"/>
    <w:rsid w:val="00737203"/>
    <w:rsid w:val="0074664B"/>
    <w:rsid w:val="00761AFE"/>
    <w:rsid w:val="007649D7"/>
    <w:rsid w:val="007675FD"/>
    <w:rsid w:val="00771D3C"/>
    <w:rsid w:val="0077291D"/>
    <w:rsid w:val="00777764"/>
    <w:rsid w:val="0078559D"/>
    <w:rsid w:val="007A0876"/>
    <w:rsid w:val="007A0E8D"/>
    <w:rsid w:val="007A5C00"/>
    <w:rsid w:val="007A66C5"/>
    <w:rsid w:val="007B301F"/>
    <w:rsid w:val="007B5A8C"/>
    <w:rsid w:val="007B63BB"/>
    <w:rsid w:val="007B7B12"/>
    <w:rsid w:val="007C06B1"/>
    <w:rsid w:val="007C6CFC"/>
    <w:rsid w:val="007C7134"/>
    <w:rsid w:val="007E49FA"/>
    <w:rsid w:val="007E5B2E"/>
    <w:rsid w:val="007F0E88"/>
    <w:rsid w:val="007F1369"/>
    <w:rsid w:val="007F3BC5"/>
    <w:rsid w:val="00803E9D"/>
    <w:rsid w:val="00806F9F"/>
    <w:rsid w:val="0081262C"/>
    <w:rsid w:val="00815543"/>
    <w:rsid w:val="00815EF0"/>
    <w:rsid w:val="008166CA"/>
    <w:rsid w:val="00817A25"/>
    <w:rsid w:val="008220E6"/>
    <w:rsid w:val="008235D3"/>
    <w:rsid w:val="0083509D"/>
    <w:rsid w:val="008367D4"/>
    <w:rsid w:val="00840D12"/>
    <w:rsid w:val="00845243"/>
    <w:rsid w:val="00845592"/>
    <w:rsid w:val="0085027F"/>
    <w:rsid w:val="00850ED8"/>
    <w:rsid w:val="00865AEA"/>
    <w:rsid w:val="00871935"/>
    <w:rsid w:val="0087314E"/>
    <w:rsid w:val="0087723A"/>
    <w:rsid w:val="00891282"/>
    <w:rsid w:val="00892909"/>
    <w:rsid w:val="008954E9"/>
    <w:rsid w:val="008C27E5"/>
    <w:rsid w:val="008C2809"/>
    <w:rsid w:val="008C48B6"/>
    <w:rsid w:val="008D19D9"/>
    <w:rsid w:val="008E69FC"/>
    <w:rsid w:val="008F2BCA"/>
    <w:rsid w:val="008F3D21"/>
    <w:rsid w:val="0090014C"/>
    <w:rsid w:val="00902309"/>
    <w:rsid w:val="0091341A"/>
    <w:rsid w:val="009233A8"/>
    <w:rsid w:val="0092680A"/>
    <w:rsid w:val="00927A25"/>
    <w:rsid w:val="00945373"/>
    <w:rsid w:val="0094573F"/>
    <w:rsid w:val="00952EF8"/>
    <w:rsid w:val="00955061"/>
    <w:rsid w:val="00971425"/>
    <w:rsid w:val="00981BE4"/>
    <w:rsid w:val="0098417F"/>
    <w:rsid w:val="009845AD"/>
    <w:rsid w:val="009924AB"/>
    <w:rsid w:val="00994063"/>
    <w:rsid w:val="009A6323"/>
    <w:rsid w:val="009B4685"/>
    <w:rsid w:val="009C25A0"/>
    <w:rsid w:val="009C2649"/>
    <w:rsid w:val="009C4BD6"/>
    <w:rsid w:val="009E6514"/>
    <w:rsid w:val="009F0A81"/>
    <w:rsid w:val="009F2828"/>
    <w:rsid w:val="00A012D7"/>
    <w:rsid w:val="00A01CFD"/>
    <w:rsid w:val="00A0356E"/>
    <w:rsid w:val="00A11D27"/>
    <w:rsid w:val="00A17DE8"/>
    <w:rsid w:val="00A22F7C"/>
    <w:rsid w:val="00A30DEB"/>
    <w:rsid w:val="00A4252A"/>
    <w:rsid w:val="00A429D4"/>
    <w:rsid w:val="00A44D9F"/>
    <w:rsid w:val="00A51D85"/>
    <w:rsid w:val="00A555B1"/>
    <w:rsid w:val="00A55AE6"/>
    <w:rsid w:val="00A5773B"/>
    <w:rsid w:val="00A616A3"/>
    <w:rsid w:val="00A62335"/>
    <w:rsid w:val="00A80280"/>
    <w:rsid w:val="00A854B2"/>
    <w:rsid w:val="00A91644"/>
    <w:rsid w:val="00A937FD"/>
    <w:rsid w:val="00A959F8"/>
    <w:rsid w:val="00A978D6"/>
    <w:rsid w:val="00AA1606"/>
    <w:rsid w:val="00AA3155"/>
    <w:rsid w:val="00AB27E0"/>
    <w:rsid w:val="00AB6A97"/>
    <w:rsid w:val="00AB7B66"/>
    <w:rsid w:val="00AD3FEF"/>
    <w:rsid w:val="00AD5B1A"/>
    <w:rsid w:val="00AD62C1"/>
    <w:rsid w:val="00AE1C5F"/>
    <w:rsid w:val="00AF2229"/>
    <w:rsid w:val="00AF66BC"/>
    <w:rsid w:val="00AF6A84"/>
    <w:rsid w:val="00AF6CB0"/>
    <w:rsid w:val="00AF6E41"/>
    <w:rsid w:val="00B05686"/>
    <w:rsid w:val="00B119FE"/>
    <w:rsid w:val="00B138AB"/>
    <w:rsid w:val="00B17B8E"/>
    <w:rsid w:val="00B17D6F"/>
    <w:rsid w:val="00B31CF0"/>
    <w:rsid w:val="00B33A8F"/>
    <w:rsid w:val="00B47517"/>
    <w:rsid w:val="00B57120"/>
    <w:rsid w:val="00B61253"/>
    <w:rsid w:val="00B64A59"/>
    <w:rsid w:val="00B709BB"/>
    <w:rsid w:val="00B817E4"/>
    <w:rsid w:val="00B827C7"/>
    <w:rsid w:val="00BA02A4"/>
    <w:rsid w:val="00BA20FA"/>
    <w:rsid w:val="00BC0955"/>
    <w:rsid w:val="00BC693D"/>
    <w:rsid w:val="00BD2A0B"/>
    <w:rsid w:val="00BD3F4F"/>
    <w:rsid w:val="00BD4A6C"/>
    <w:rsid w:val="00BF0F7C"/>
    <w:rsid w:val="00BF27D6"/>
    <w:rsid w:val="00C0007B"/>
    <w:rsid w:val="00C0405C"/>
    <w:rsid w:val="00C0414D"/>
    <w:rsid w:val="00C10B31"/>
    <w:rsid w:val="00C12058"/>
    <w:rsid w:val="00C14C89"/>
    <w:rsid w:val="00C15616"/>
    <w:rsid w:val="00C255FD"/>
    <w:rsid w:val="00C33ADB"/>
    <w:rsid w:val="00C37EC5"/>
    <w:rsid w:val="00C4504F"/>
    <w:rsid w:val="00C532A4"/>
    <w:rsid w:val="00C607BA"/>
    <w:rsid w:val="00C6657D"/>
    <w:rsid w:val="00C70879"/>
    <w:rsid w:val="00C72973"/>
    <w:rsid w:val="00C82127"/>
    <w:rsid w:val="00C82DD8"/>
    <w:rsid w:val="00C833E9"/>
    <w:rsid w:val="00C921B5"/>
    <w:rsid w:val="00C940A8"/>
    <w:rsid w:val="00C96514"/>
    <w:rsid w:val="00C973E6"/>
    <w:rsid w:val="00CA0FEE"/>
    <w:rsid w:val="00CA4BBE"/>
    <w:rsid w:val="00CB76DB"/>
    <w:rsid w:val="00CC563A"/>
    <w:rsid w:val="00CE63B1"/>
    <w:rsid w:val="00CF356C"/>
    <w:rsid w:val="00CF3664"/>
    <w:rsid w:val="00CF59D9"/>
    <w:rsid w:val="00D05A34"/>
    <w:rsid w:val="00D13267"/>
    <w:rsid w:val="00D26801"/>
    <w:rsid w:val="00D31CF6"/>
    <w:rsid w:val="00D372B6"/>
    <w:rsid w:val="00D37387"/>
    <w:rsid w:val="00D455B6"/>
    <w:rsid w:val="00D466B5"/>
    <w:rsid w:val="00D52EA1"/>
    <w:rsid w:val="00D55973"/>
    <w:rsid w:val="00D561E3"/>
    <w:rsid w:val="00D602D4"/>
    <w:rsid w:val="00D641CE"/>
    <w:rsid w:val="00D90E27"/>
    <w:rsid w:val="00D94527"/>
    <w:rsid w:val="00D95018"/>
    <w:rsid w:val="00D973D5"/>
    <w:rsid w:val="00DA0882"/>
    <w:rsid w:val="00DA093D"/>
    <w:rsid w:val="00DA6E3B"/>
    <w:rsid w:val="00DC505B"/>
    <w:rsid w:val="00DC6E67"/>
    <w:rsid w:val="00DE0E46"/>
    <w:rsid w:val="00DE6886"/>
    <w:rsid w:val="00E4709C"/>
    <w:rsid w:val="00E50A3B"/>
    <w:rsid w:val="00E559BE"/>
    <w:rsid w:val="00E73411"/>
    <w:rsid w:val="00E75A9F"/>
    <w:rsid w:val="00E761D4"/>
    <w:rsid w:val="00E779C2"/>
    <w:rsid w:val="00E83742"/>
    <w:rsid w:val="00E86690"/>
    <w:rsid w:val="00E91A24"/>
    <w:rsid w:val="00E94B72"/>
    <w:rsid w:val="00EA0873"/>
    <w:rsid w:val="00EA2407"/>
    <w:rsid w:val="00EB2DE1"/>
    <w:rsid w:val="00EB6FE5"/>
    <w:rsid w:val="00EC27D6"/>
    <w:rsid w:val="00EC2929"/>
    <w:rsid w:val="00EC6212"/>
    <w:rsid w:val="00ED2DD6"/>
    <w:rsid w:val="00ED6AF5"/>
    <w:rsid w:val="00F0083F"/>
    <w:rsid w:val="00F26632"/>
    <w:rsid w:val="00F309FC"/>
    <w:rsid w:val="00F32618"/>
    <w:rsid w:val="00F32E59"/>
    <w:rsid w:val="00F341DD"/>
    <w:rsid w:val="00F34255"/>
    <w:rsid w:val="00F500B2"/>
    <w:rsid w:val="00F63D39"/>
    <w:rsid w:val="00F75A6E"/>
    <w:rsid w:val="00F7743D"/>
    <w:rsid w:val="00F77D8B"/>
    <w:rsid w:val="00F87143"/>
    <w:rsid w:val="00F923F5"/>
    <w:rsid w:val="00F92824"/>
    <w:rsid w:val="00F93908"/>
    <w:rsid w:val="00F9450E"/>
    <w:rsid w:val="00F94D42"/>
    <w:rsid w:val="00F95C0C"/>
    <w:rsid w:val="00F96BEF"/>
    <w:rsid w:val="00FB1CA4"/>
    <w:rsid w:val="00FB7E8C"/>
    <w:rsid w:val="00FC43AB"/>
    <w:rsid w:val="00FC77B2"/>
    <w:rsid w:val="00FD5274"/>
    <w:rsid w:val="00FE2AE8"/>
    <w:rsid w:val="00FE7609"/>
    <w:rsid w:val="00FF22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uiPriority w:val="59"/>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uiPriority w:val="59"/>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952">
      <w:bodyDiv w:val="1"/>
      <w:marLeft w:val="0"/>
      <w:marRight w:val="0"/>
      <w:marTop w:val="0"/>
      <w:marBottom w:val="0"/>
      <w:divBdr>
        <w:top w:val="none" w:sz="0" w:space="0" w:color="auto"/>
        <w:left w:val="none" w:sz="0" w:space="0" w:color="auto"/>
        <w:bottom w:val="none" w:sz="0" w:space="0" w:color="auto"/>
        <w:right w:val="none" w:sz="0" w:space="0" w:color="auto"/>
      </w:divBdr>
    </w:div>
    <w:div w:id="37320598">
      <w:bodyDiv w:val="1"/>
      <w:marLeft w:val="0"/>
      <w:marRight w:val="0"/>
      <w:marTop w:val="0"/>
      <w:marBottom w:val="0"/>
      <w:divBdr>
        <w:top w:val="none" w:sz="0" w:space="0" w:color="auto"/>
        <w:left w:val="none" w:sz="0" w:space="0" w:color="auto"/>
        <w:bottom w:val="none" w:sz="0" w:space="0" w:color="auto"/>
        <w:right w:val="none" w:sz="0" w:space="0" w:color="auto"/>
      </w:divBdr>
    </w:div>
    <w:div w:id="49966655">
      <w:bodyDiv w:val="1"/>
      <w:marLeft w:val="0"/>
      <w:marRight w:val="0"/>
      <w:marTop w:val="0"/>
      <w:marBottom w:val="0"/>
      <w:divBdr>
        <w:top w:val="none" w:sz="0" w:space="0" w:color="auto"/>
        <w:left w:val="none" w:sz="0" w:space="0" w:color="auto"/>
        <w:bottom w:val="none" w:sz="0" w:space="0" w:color="auto"/>
        <w:right w:val="none" w:sz="0" w:space="0" w:color="auto"/>
      </w:divBdr>
    </w:div>
    <w:div w:id="91752816">
      <w:bodyDiv w:val="1"/>
      <w:marLeft w:val="0"/>
      <w:marRight w:val="0"/>
      <w:marTop w:val="0"/>
      <w:marBottom w:val="0"/>
      <w:divBdr>
        <w:top w:val="none" w:sz="0" w:space="0" w:color="auto"/>
        <w:left w:val="none" w:sz="0" w:space="0" w:color="auto"/>
        <w:bottom w:val="none" w:sz="0" w:space="0" w:color="auto"/>
        <w:right w:val="none" w:sz="0" w:space="0" w:color="auto"/>
      </w:divBdr>
    </w:div>
    <w:div w:id="93942496">
      <w:bodyDiv w:val="1"/>
      <w:marLeft w:val="0"/>
      <w:marRight w:val="0"/>
      <w:marTop w:val="0"/>
      <w:marBottom w:val="0"/>
      <w:divBdr>
        <w:top w:val="none" w:sz="0" w:space="0" w:color="auto"/>
        <w:left w:val="none" w:sz="0" w:space="0" w:color="auto"/>
        <w:bottom w:val="none" w:sz="0" w:space="0" w:color="auto"/>
        <w:right w:val="none" w:sz="0" w:space="0" w:color="auto"/>
      </w:divBdr>
    </w:div>
    <w:div w:id="119153639">
      <w:bodyDiv w:val="1"/>
      <w:marLeft w:val="0"/>
      <w:marRight w:val="0"/>
      <w:marTop w:val="0"/>
      <w:marBottom w:val="0"/>
      <w:divBdr>
        <w:top w:val="none" w:sz="0" w:space="0" w:color="auto"/>
        <w:left w:val="none" w:sz="0" w:space="0" w:color="auto"/>
        <w:bottom w:val="none" w:sz="0" w:space="0" w:color="auto"/>
        <w:right w:val="none" w:sz="0" w:space="0" w:color="auto"/>
      </w:divBdr>
    </w:div>
    <w:div w:id="121854178">
      <w:bodyDiv w:val="1"/>
      <w:marLeft w:val="0"/>
      <w:marRight w:val="0"/>
      <w:marTop w:val="0"/>
      <w:marBottom w:val="0"/>
      <w:divBdr>
        <w:top w:val="none" w:sz="0" w:space="0" w:color="auto"/>
        <w:left w:val="none" w:sz="0" w:space="0" w:color="auto"/>
        <w:bottom w:val="none" w:sz="0" w:space="0" w:color="auto"/>
        <w:right w:val="none" w:sz="0" w:space="0" w:color="auto"/>
      </w:divBdr>
    </w:div>
    <w:div w:id="189151992">
      <w:bodyDiv w:val="1"/>
      <w:marLeft w:val="0"/>
      <w:marRight w:val="0"/>
      <w:marTop w:val="0"/>
      <w:marBottom w:val="0"/>
      <w:divBdr>
        <w:top w:val="none" w:sz="0" w:space="0" w:color="auto"/>
        <w:left w:val="none" w:sz="0" w:space="0" w:color="auto"/>
        <w:bottom w:val="none" w:sz="0" w:space="0" w:color="auto"/>
        <w:right w:val="none" w:sz="0" w:space="0" w:color="auto"/>
      </w:divBdr>
    </w:div>
    <w:div w:id="225843884">
      <w:bodyDiv w:val="1"/>
      <w:marLeft w:val="0"/>
      <w:marRight w:val="0"/>
      <w:marTop w:val="0"/>
      <w:marBottom w:val="0"/>
      <w:divBdr>
        <w:top w:val="none" w:sz="0" w:space="0" w:color="auto"/>
        <w:left w:val="none" w:sz="0" w:space="0" w:color="auto"/>
        <w:bottom w:val="none" w:sz="0" w:space="0" w:color="auto"/>
        <w:right w:val="none" w:sz="0" w:space="0" w:color="auto"/>
      </w:divBdr>
    </w:div>
    <w:div w:id="226305528">
      <w:bodyDiv w:val="1"/>
      <w:marLeft w:val="0"/>
      <w:marRight w:val="0"/>
      <w:marTop w:val="0"/>
      <w:marBottom w:val="0"/>
      <w:divBdr>
        <w:top w:val="none" w:sz="0" w:space="0" w:color="auto"/>
        <w:left w:val="none" w:sz="0" w:space="0" w:color="auto"/>
        <w:bottom w:val="none" w:sz="0" w:space="0" w:color="auto"/>
        <w:right w:val="none" w:sz="0" w:space="0" w:color="auto"/>
      </w:divBdr>
    </w:div>
    <w:div w:id="275799535">
      <w:bodyDiv w:val="1"/>
      <w:marLeft w:val="0"/>
      <w:marRight w:val="0"/>
      <w:marTop w:val="0"/>
      <w:marBottom w:val="0"/>
      <w:divBdr>
        <w:top w:val="none" w:sz="0" w:space="0" w:color="auto"/>
        <w:left w:val="none" w:sz="0" w:space="0" w:color="auto"/>
        <w:bottom w:val="none" w:sz="0" w:space="0" w:color="auto"/>
        <w:right w:val="none" w:sz="0" w:space="0" w:color="auto"/>
      </w:divBdr>
    </w:div>
    <w:div w:id="287049058">
      <w:bodyDiv w:val="1"/>
      <w:marLeft w:val="0"/>
      <w:marRight w:val="0"/>
      <w:marTop w:val="0"/>
      <w:marBottom w:val="0"/>
      <w:divBdr>
        <w:top w:val="none" w:sz="0" w:space="0" w:color="auto"/>
        <w:left w:val="none" w:sz="0" w:space="0" w:color="auto"/>
        <w:bottom w:val="none" w:sz="0" w:space="0" w:color="auto"/>
        <w:right w:val="none" w:sz="0" w:space="0" w:color="auto"/>
      </w:divBdr>
    </w:div>
    <w:div w:id="288051687">
      <w:bodyDiv w:val="1"/>
      <w:marLeft w:val="0"/>
      <w:marRight w:val="0"/>
      <w:marTop w:val="0"/>
      <w:marBottom w:val="0"/>
      <w:divBdr>
        <w:top w:val="none" w:sz="0" w:space="0" w:color="auto"/>
        <w:left w:val="none" w:sz="0" w:space="0" w:color="auto"/>
        <w:bottom w:val="none" w:sz="0" w:space="0" w:color="auto"/>
        <w:right w:val="none" w:sz="0" w:space="0" w:color="auto"/>
      </w:divBdr>
    </w:div>
    <w:div w:id="295257968">
      <w:bodyDiv w:val="1"/>
      <w:marLeft w:val="0"/>
      <w:marRight w:val="0"/>
      <w:marTop w:val="0"/>
      <w:marBottom w:val="0"/>
      <w:divBdr>
        <w:top w:val="none" w:sz="0" w:space="0" w:color="auto"/>
        <w:left w:val="none" w:sz="0" w:space="0" w:color="auto"/>
        <w:bottom w:val="none" w:sz="0" w:space="0" w:color="auto"/>
        <w:right w:val="none" w:sz="0" w:space="0" w:color="auto"/>
      </w:divBdr>
    </w:div>
    <w:div w:id="353002061">
      <w:bodyDiv w:val="1"/>
      <w:marLeft w:val="0"/>
      <w:marRight w:val="0"/>
      <w:marTop w:val="0"/>
      <w:marBottom w:val="0"/>
      <w:divBdr>
        <w:top w:val="none" w:sz="0" w:space="0" w:color="auto"/>
        <w:left w:val="none" w:sz="0" w:space="0" w:color="auto"/>
        <w:bottom w:val="none" w:sz="0" w:space="0" w:color="auto"/>
        <w:right w:val="none" w:sz="0" w:space="0" w:color="auto"/>
      </w:divBdr>
    </w:div>
    <w:div w:id="361828135">
      <w:bodyDiv w:val="1"/>
      <w:marLeft w:val="0"/>
      <w:marRight w:val="0"/>
      <w:marTop w:val="0"/>
      <w:marBottom w:val="0"/>
      <w:divBdr>
        <w:top w:val="none" w:sz="0" w:space="0" w:color="auto"/>
        <w:left w:val="none" w:sz="0" w:space="0" w:color="auto"/>
        <w:bottom w:val="none" w:sz="0" w:space="0" w:color="auto"/>
        <w:right w:val="none" w:sz="0" w:space="0" w:color="auto"/>
      </w:divBdr>
    </w:div>
    <w:div w:id="380978603">
      <w:bodyDiv w:val="1"/>
      <w:marLeft w:val="0"/>
      <w:marRight w:val="0"/>
      <w:marTop w:val="0"/>
      <w:marBottom w:val="0"/>
      <w:divBdr>
        <w:top w:val="none" w:sz="0" w:space="0" w:color="auto"/>
        <w:left w:val="none" w:sz="0" w:space="0" w:color="auto"/>
        <w:bottom w:val="none" w:sz="0" w:space="0" w:color="auto"/>
        <w:right w:val="none" w:sz="0" w:space="0" w:color="auto"/>
      </w:divBdr>
    </w:div>
    <w:div w:id="389234778">
      <w:bodyDiv w:val="1"/>
      <w:marLeft w:val="0"/>
      <w:marRight w:val="0"/>
      <w:marTop w:val="0"/>
      <w:marBottom w:val="0"/>
      <w:divBdr>
        <w:top w:val="none" w:sz="0" w:space="0" w:color="auto"/>
        <w:left w:val="none" w:sz="0" w:space="0" w:color="auto"/>
        <w:bottom w:val="none" w:sz="0" w:space="0" w:color="auto"/>
        <w:right w:val="none" w:sz="0" w:space="0" w:color="auto"/>
      </w:divBdr>
    </w:div>
    <w:div w:id="464391801">
      <w:bodyDiv w:val="1"/>
      <w:marLeft w:val="0"/>
      <w:marRight w:val="0"/>
      <w:marTop w:val="0"/>
      <w:marBottom w:val="0"/>
      <w:divBdr>
        <w:top w:val="none" w:sz="0" w:space="0" w:color="auto"/>
        <w:left w:val="none" w:sz="0" w:space="0" w:color="auto"/>
        <w:bottom w:val="none" w:sz="0" w:space="0" w:color="auto"/>
        <w:right w:val="none" w:sz="0" w:space="0" w:color="auto"/>
      </w:divBdr>
    </w:div>
    <w:div w:id="501043414">
      <w:bodyDiv w:val="1"/>
      <w:marLeft w:val="0"/>
      <w:marRight w:val="0"/>
      <w:marTop w:val="0"/>
      <w:marBottom w:val="0"/>
      <w:divBdr>
        <w:top w:val="none" w:sz="0" w:space="0" w:color="auto"/>
        <w:left w:val="none" w:sz="0" w:space="0" w:color="auto"/>
        <w:bottom w:val="none" w:sz="0" w:space="0" w:color="auto"/>
        <w:right w:val="none" w:sz="0" w:space="0" w:color="auto"/>
      </w:divBdr>
    </w:div>
    <w:div w:id="508910533">
      <w:bodyDiv w:val="1"/>
      <w:marLeft w:val="0"/>
      <w:marRight w:val="0"/>
      <w:marTop w:val="0"/>
      <w:marBottom w:val="0"/>
      <w:divBdr>
        <w:top w:val="none" w:sz="0" w:space="0" w:color="auto"/>
        <w:left w:val="none" w:sz="0" w:space="0" w:color="auto"/>
        <w:bottom w:val="none" w:sz="0" w:space="0" w:color="auto"/>
        <w:right w:val="none" w:sz="0" w:space="0" w:color="auto"/>
      </w:divBdr>
    </w:div>
    <w:div w:id="611789156">
      <w:bodyDiv w:val="1"/>
      <w:marLeft w:val="0"/>
      <w:marRight w:val="0"/>
      <w:marTop w:val="0"/>
      <w:marBottom w:val="0"/>
      <w:divBdr>
        <w:top w:val="none" w:sz="0" w:space="0" w:color="auto"/>
        <w:left w:val="none" w:sz="0" w:space="0" w:color="auto"/>
        <w:bottom w:val="none" w:sz="0" w:space="0" w:color="auto"/>
        <w:right w:val="none" w:sz="0" w:space="0" w:color="auto"/>
      </w:divBdr>
    </w:div>
    <w:div w:id="642974984">
      <w:bodyDiv w:val="1"/>
      <w:marLeft w:val="0"/>
      <w:marRight w:val="0"/>
      <w:marTop w:val="0"/>
      <w:marBottom w:val="0"/>
      <w:divBdr>
        <w:top w:val="none" w:sz="0" w:space="0" w:color="auto"/>
        <w:left w:val="none" w:sz="0" w:space="0" w:color="auto"/>
        <w:bottom w:val="none" w:sz="0" w:space="0" w:color="auto"/>
        <w:right w:val="none" w:sz="0" w:space="0" w:color="auto"/>
      </w:divBdr>
    </w:div>
    <w:div w:id="653483965">
      <w:bodyDiv w:val="1"/>
      <w:marLeft w:val="0"/>
      <w:marRight w:val="0"/>
      <w:marTop w:val="0"/>
      <w:marBottom w:val="0"/>
      <w:divBdr>
        <w:top w:val="none" w:sz="0" w:space="0" w:color="auto"/>
        <w:left w:val="none" w:sz="0" w:space="0" w:color="auto"/>
        <w:bottom w:val="none" w:sz="0" w:space="0" w:color="auto"/>
        <w:right w:val="none" w:sz="0" w:space="0" w:color="auto"/>
      </w:divBdr>
    </w:div>
    <w:div w:id="658775695">
      <w:bodyDiv w:val="1"/>
      <w:marLeft w:val="0"/>
      <w:marRight w:val="0"/>
      <w:marTop w:val="0"/>
      <w:marBottom w:val="0"/>
      <w:divBdr>
        <w:top w:val="none" w:sz="0" w:space="0" w:color="auto"/>
        <w:left w:val="none" w:sz="0" w:space="0" w:color="auto"/>
        <w:bottom w:val="none" w:sz="0" w:space="0" w:color="auto"/>
        <w:right w:val="none" w:sz="0" w:space="0" w:color="auto"/>
      </w:divBdr>
    </w:div>
    <w:div w:id="665982812">
      <w:bodyDiv w:val="1"/>
      <w:marLeft w:val="0"/>
      <w:marRight w:val="0"/>
      <w:marTop w:val="0"/>
      <w:marBottom w:val="0"/>
      <w:divBdr>
        <w:top w:val="none" w:sz="0" w:space="0" w:color="auto"/>
        <w:left w:val="none" w:sz="0" w:space="0" w:color="auto"/>
        <w:bottom w:val="none" w:sz="0" w:space="0" w:color="auto"/>
        <w:right w:val="none" w:sz="0" w:space="0" w:color="auto"/>
      </w:divBdr>
    </w:div>
    <w:div w:id="672538048">
      <w:bodyDiv w:val="1"/>
      <w:marLeft w:val="0"/>
      <w:marRight w:val="0"/>
      <w:marTop w:val="0"/>
      <w:marBottom w:val="0"/>
      <w:divBdr>
        <w:top w:val="none" w:sz="0" w:space="0" w:color="auto"/>
        <w:left w:val="none" w:sz="0" w:space="0" w:color="auto"/>
        <w:bottom w:val="none" w:sz="0" w:space="0" w:color="auto"/>
        <w:right w:val="none" w:sz="0" w:space="0" w:color="auto"/>
      </w:divBdr>
    </w:div>
    <w:div w:id="691806594">
      <w:bodyDiv w:val="1"/>
      <w:marLeft w:val="0"/>
      <w:marRight w:val="0"/>
      <w:marTop w:val="0"/>
      <w:marBottom w:val="0"/>
      <w:divBdr>
        <w:top w:val="none" w:sz="0" w:space="0" w:color="auto"/>
        <w:left w:val="none" w:sz="0" w:space="0" w:color="auto"/>
        <w:bottom w:val="none" w:sz="0" w:space="0" w:color="auto"/>
        <w:right w:val="none" w:sz="0" w:space="0" w:color="auto"/>
      </w:divBdr>
    </w:div>
    <w:div w:id="715545184">
      <w:bodyDiv w:val="1"/>
      <w:marLeft w:val="0"/>
      <w:marRight w:val="0"/>
      <w:marTop w:val="0"/>
      <w:marBottom w:val="0"/>
      <w:divBdr>
        <w:top w:val="none" w:sz="0" w:space="0" w:color="auto"/>
        <w:left w:val="none" w:sz="0" w:space="0" w:color="auto"/>
        <w:bottom w:val="none" w:sz="0" w:space="0" w:color="auto"/>
        <w:right w:val="none" w:sz="0" w:space="0" w:color="auto"/>
      </w:divBdr>
    </w:div>
    <w:div w:id="736170313">
      <w:bodyDiv w:val="1"/>
      <w:marLeft w:val="0"/>
      <w:marRight w:val="0"/>
      <w:marTop w:val="0"/>
      <w:marBottom w:val="0"/>
      <w:divBdr>
        <w:top w:val="none" w:sz="0" w:space="0" w:color="auto"/>
        <w:left w:val="none" w:sz="0" w:space="0" w:color="auto"/>
        <w:bottom w:val="none" w:sz="0" w:space="0" w:color="auto"/>
        <w:right w:val="none" w:sz="0" w:space="0" w:color="auto"/>
      </w:divBdr>
    </w:div>
    <w:div w:id="748431185">
      <w:bodyDiv w:val="1"/>
      <w:marLeft w:val="0"/>
      <w:marRight w:val="0"/>
      <w:marTop w:val="0"/>
      <w:marBottom w:val="0"/>
      <w:divBdr>
        <w:top w:val="none" w:sz="0" w:space="0" w:color="auto"/>
        <w:left w:val="none" w:sz="0" w:space="0" w:color="auto"/>
        <w:bottom w:val="none" w:sz="0" w:space="0" w:color="auto"/>
        <w:right w:val="none" w:sz="0" w:space="0" w:color="auto"/>
      </w:divBdr>
    </w:div>
    <w:div w:id="769787156">
      <w:bodyDiv w:val="1"/>
      <w:marLeft w:val="0"/>
      <w:marRight w:val="0"/>
      <w:marTop w:val="0"/>
      <w:marBottom w:val="0"/>
      <w:divBdr>
        <w:top w:val="none" w:sz="0" w:space="0" w:color="auto"/>
        <w:left w:val="none" w:sz="0" w:space="0" w:color="auto"/>
        <w:bottom w:val="none" w:sz="0" w:space="0" w:color="auto"/>
        <w:right w:val="none" w:sz="0" w:space="0" w:color="auto"/>
      </w:divBdr>
    </w:div>
    <w:div w:id="813638609">
      <w:bodyDiv w:val="1"/>
      <w:marLeft w:val="0"/>
      <w:marRight w:val="0"/>
      <w:marTop w:val="0"/>
      <w:marBottom w:val="0"/>
      <w:divBdr>
        <w:top w:val="none" w:sz="0" w:space="0" w:color="auto"/>
        <w:left w:val="none" w:sz="0" w:space="0" w:color="auto"/>
        <w:bottom w:val="none" w:sz="0" w:space="0" w:color="auto"/>
        <w:right w:val="none" w:sz="0" w:space="0" w:color="auto"/>
      </w:divBdr>
    </w:div>
    <w:div w:id="888104019">
      <w:bodyDiv w:val="1"/>
      <w:marLeft w:val="0"/>
      <w:marRight w:val="0"/>
      <w:marTop w:val="0"/>
      <w:marBottom w:val="0"/>
      <w:divBdr>
        <w:top w:val="none" w:sz="0" w:space="0" w:color="auto"/>
        <w:left w:val="none" w:sz="0" w:space="0" w:color="auto"/>
        <w:bottom w:val="none" w:sz="0" w:space="0" w:color="auto"/>
        <w:right w:val="none" w:sz="0" w:space="0" w:color="auto"/>
      </w:divBdr>
    </w:div>
    <w:div w:id="888297086">
      <w:bodyDiv w:val="1"/>
      <w:marLeft w:val="0"/>
      <w:marRight w:val="0"/>
      <w:marTop w:val="0"/>
      <w:marBottom w:val="0"/>
      <w:divBdr>
        <w:top w:val="none" w:sz="0" w:space="0" w:color="auto"/>
        <w:left w:val="none" w:sz="0" w:space="0" w:color="auto"/>
        <w:bottom w:val="none" w:sz="0" w:space="0" w:color="auto"/>
        <w:right w:val="none" w:sz="0" w:space="0" w:color="auto"/>
      </w:divBdr>
    </w:div>
    <w:div w:id="891114702">
      <w:bodyDiv w:val="1"/>
      <w:marLeft w:val="0"/>
      <w:marRight w:val="0"/>
      <w:marTop w:val="0"/>
      <w:marBottom w:val="0"/>
      <w:divBdr>
        <w:top w:val="none" w:sz="0" w:space="0" w:color="auto"/>
        <w:left w:val="none" w:sz="0" w:space="0" w:color="auto"/>
        <w:bottom w:val="none" w:sz="0" w:space="0" w:color="auto"/>
        <w:right w:val="none" w:sz="0" w:space="0" w:color="auto"/>
      </w:divBdr>
    </w:div>
    <w:div w:id="976494882">
      <w:bodyDiv w:val="1"/>
      <w:marLeft w:val="0"/>
      <w:marRight w:val="0"/>
      <w:marTop w:val="0"/>
      <w:marBottom w:val="0"/>
      <w:divBdr>
        <w:top w:val="none" w:sz="0" w:space="0" w:color="auto"/>
        <w:left w:val="none" w:sz="0" w:space="0" w:color="auto"/>
        <w:bottom w:val="none" w:sz="0" w:space="0" w:color="auto"/>
        <w:right w:val="none" w:sz="0" w:space="0" w:color="auto"/>
      </w:divBdr>
    </w:div>
    <w:div w:id="995300604">
      <w:bodyDiv w:val="1"/>
      <w:marLeft w:val="0"/>
      <w:marRight w:val="0"/>
      <w:marTop w:val="0"/>
      <w:marBottom w:val="0"/>
      <w:divBdr>
        <w:top w:val="none" w:sz="0" w:space="0" w:color="auto"/>
        <w:left w:val="none" w:sz="0" w:space="0" w:color="auto"/>
        <w:bottom w:val="none" w:sz="0" w:space="0" w:color="auto"/>
        <w:right w:val="none" w:sz="0" w:space="0" w:color="auto"/>
      </w:divBdr>
    </w:div>
    <w:div w:id="1033574749">
      <w:bodyDiv w:val="1"/>
      <w:marLeft w:val="0"/>
      <w:marRight w:val="0"/>
      <w:marTop w:val="0"/>
      <w:marBottom w:val="0"/>
      <w:divBdr>
        <w:top w:val="none" w:sz="0" w:space="0" w:color="auto"/>
        <w:left w:val="none" w:sz="0" w:space="0" w:color="auto"/>
        <w:bottom w:val="none" w:sz="0" w:space="0" w:color="auto"/>
        <w:right w:val="none" w:sz="0" w:space="0" w:color="auto"/>
      </w:divBdr>
    </w:div>
    <w:div w:id="1044331105">
      <w:bodyDiv w:val="1"/>
      <w:marLeft w:val="0"/>
      <w:marRight w:val="0"/>
      <w:marTop w:val="0"/>
      <w:marBottom w:val="0"/>
      <w:divBdr>
        <w:top w:val="none" w:sz="0" w:space="0" w:color="auto"/>
        <w:left w:val="none" w:sz="0" w:space="0" w:color="auto"/>
        <w:bottom w:val="none" w:sz="0" w:space="0" w:color="auto"/>
        <w:right w:val="none" w:sz="0" w:space="0" w:color="auto"/>
      </w:divBdr>
    </w:div>
    <w:div w:id="1095706353">
      <w:bodyDiv w:val="1"/>
      <w:marLeft w:val="0"/>
      <w:marRight w:val="0"/>
      <w:marTop w:val="0"/>
      <w:marBottom w:val="0"/>
      <w:divBdr>
        <w:top w:val="none" w:sz="0" w:space="0" w:color="auto"/>
        <w:left w:val="none" w:sz="0" w:space="0" w:color="auto"/>
        <w:bottom w:val="none" w:sz="0" w:space="0" w:color="auto"/>
        <w:right w:val="none" w:sz="0" w:space="0" w:color="auto"/>
      </w:divBdr>
    </w:div>
    <w:div w:id="1137918135">
      <w:bodyDiv w:val="1"/>
      <w:marLeft w:val="0"/>
      <w:marRight w:val="0"/>
      <w:marTop w:val="0"/>
      <w:marBottom w:val="0"/>
      <w:divBdr>
        <w:top w:val="none" w:sz="0" w:space="0" w:color="auto"/>
        <w:left w:val="none" w:sz="0" w:space="0" w:color="auto"/>
        <w:bottom w:val="none" w:sz="0" w:space="0" w:color="auto"/>
        <w:right w:val="none" w:sz="0" w:space="0" w:color="auto"/>
      </w:divBdr>
    </w:div>
    <w:div w:id="1139955535">
      <w:bodyDiv w:val="1"/>
      <w:marLeft w:val="0"/>
      <w:marRight w:val="0"/>
      <w:marTop w:val="0"/>
      <w:marBottom w:val="0"/>
      <w:divBdr>
        <w:top w:val="none" w:sz="0" w:space="0" w:color="auto"/>
        <w:left w:val="none" w:sz="0" w:space="0" w:color="auto"/>
        <w:bottom w:val="none" w:sz="0" w:space="0" w:color="auto"/>
        <w:right w:val="none" w:sz="0" w:space="0" w:color="auto"/>
      </w:divBdr>
    </w:div>
    <w:div w:id="1211918062">
      <w:bodyDiv w:val="1"/>
      <w:marLeft w:val="0"/>
      <w:marRight w:val="0"/>
      <w:marTop w:val="0"/>
      <w:marBottom w:val="0"/>
      <w:divBdr>
        <w:top w:val="none" w:sz="0" w:space="0" w:color="auto"/>
        <w:left w:val="none" w:sz="0" w:space="0" w:color="auto"/>
        <w:bottom w:val="none" w:sz="0" w:space="0" w:color="auto"/>
        <w:right w:val="none" w:sz="0" w:space="0" w:color="auto"/>
      </w:divBdr>
    </w:div>
    <w:div w:id="1215502519">
      <w:bodyDiv w:val="1"/>
      <w:marLeft w:val="0"/>
      <w:marRight w:val="0"/>
      <w:marTop w:val="0"/>
      <w:marBottom w:val="0"/>
      <w:divBdr>
        <w:top w:val="none" w:sz="0" w:space="0" w:color="auto"/>
        <w:left w:val="none" w:sz="0" w:space="0" w:color="auto"/>
        <w:bottom w:val="none" w:sz="0" w:space="0" w:color="auto"/>
        <w:right w:val="none" w:sz="0" w:space="0" w:color="auto"/>
      </w:divBdr>
    </w:div>
    <w:div w:id="1263339510">
      <w:bodyDiv w:val="1"/>
      <w:marLeft w:val="0"/>
      <w:marRight w:val="0"/>
      <w:marTop w:val="0"/>
      <w:marBottom w:val="0"/>
      <w:divBdr>
        <w:top w:val="none" w:sz="0" w:space="0" w:color="auto"/>
        <w:left w:val="none" w:sz="0" w:space="0" w:color="auto"/>
        <w:bottom w:val="none" w:sz="0" w:space="0" w:color="auto"/>
        <w:right w:val="none" w:sz="0" w:space="0" w:color="auto"/>
      </w:divBdr>
    </w:div>
    <w:div w:id="1354184124">
      <w:bodyDiv w:val="1"/>
      <w:marLeft w:val="0"/>
      <w:marRight w:val="0"/>
      <w:marTop w:val="0"/>
      <w:marBottom w:val="0"/>
      <w:divBdr>
        <w:top w:val="none" w:sz="0" w:space="0" w:color="auto"/>
        <w:left w:val="none" w:sz="0" w:space="0" w:color="auto"/>
        <w:bottom w:val="none" w:sz="0" w:space="0" w:color="auto"/>
        <w:right w:val="none" w:sz="0" w:space="0" w:color="auto"/>
      </w:divBdr>
    </w:div>
    <w:div w:id="1362704239">
      <w:bodyDiv w:val="1"/>
      <w:marLeft w:val="0"/>
      <w:marRight w:val="0"/>
      <w:marTop w:val="0"/>
      <w:marBottom w:val="0"/>
      <w:divBdr>
        <w:top w:val="none" w:sz="0" w:space="0" w:color="auto"/>
        <w:left w:val="none" w:sz="0" w:space="0" w:color="auto"/>
        <w:bottom w:val="none" w:sz="0" w:space="0" w:color="auto"/>
        <w:right w:val="none" w:sz="0" w:space="0" w:color="auto"/>
      </w:divBdr>
    </w:div>
    <w:div w:id="1394960952">
      <w:bodyDiv w:val="1"/>
      <w:marLeft w:val="0"/>
      <w:marRight w:val="0"/>
      <w:marTop w:val="0"/>
      <w:marBottom w:val="0"/>
      <w:divBdr>
        <w:top w:val="none" w:sz="0" w:space="0" w:color="auto"/>
        <w:left w:val="none" w:sz="0" w:space="0" w:color="auto"/>
        <w:bottom w:val="none" w:sz="0" w:space="0" w:color="auto"/>
        <w:right w:val="none" w:sz="0" w:space="0" w:color="auto"/>
      </w:divBdr>
    </w:div>
    <w:div w:id="1421679063">
      <w:bodyDiv w:val="1"/>
      <w:marLeft w:val="0"/>
      <w:marRight w:val="0"/>
      <w:marTop w:val="0"/>
      <w:marBottom w:val="0"/>
      <w:divBdr>
        <w:top w:val="none" w:sz="0" w:space="0" w:color="auto"/>
        <w:left w:val="none" w:sz="0" w:space="0" w:color="auto"/>
        <w:bottom w:val="none" w:sz="0" w:space="0" w:color="auto"/>
        <w:right w:val="none" w:sz="0" w:space="0" w:color="auto"/>
      </w:divBdr>
    </w:div>
    <w:div w:id="1442651929">
      <w:bodyDiv w:val="1"/>
      <w:marLeft w:val="0"/>
      <w:marRight w:val="0"/>
      <w:marTop w:val="0"/>
      <w:marBottom w:val="0"/>
      <w:divBdr>
        <w:top w:val="none" w:sz="0" w:space="0" w:color="auto"/>
        <w:left w:val="none" w:sz="0" w:space="0" w:color="auto"/>
        <w:bottom w:val="none" w:sz="0" w:space="0" w:color="auto"/>
        <w:right w:val="none" w:sz="0" w:space="0" w:color="auto"/>
      </w:divBdr>
    </w:div>
    <w:div w:id="1444156653">
      <w:bodyDiv w:val="1"/>
      <w:marLeft w:val="0"/>
      <w:marRight w:val="0"/>
      <w:marTop w:val="0"/>
      <w:marBottom w:val="0"/>
      <w:divBdr>
        <w:top w:val="none" w:sz="0" w:space="0" w:color="auto"/>
        <w:left w:val="none" w:sz="0" w:space="0" w:color="auto"/>
        <w:bottom w:val="none" w:sz="0" w:space="0" w:color="auto"/>
        <w:right w:val="none" w:sz="0" w:space="0" w:color="auto"/>
      </w:divBdr>
    </w:div>
    <w:div w:id="1512917074">
      <w:bodyDiv w:val="1"/>
      <w:marLeft w:val="0"/>
      <w:marRight w:val="0"/>
      <w:marTop w:val="0"/>
      <w:marBottom w:val="0"/>
      <w:divBdr>
        <w:top w:val="none" w:sz="0" w:space="0" w:color="auto"/>
        <w:left w:val="none" w:sz="0" w:space="0" w:color="auto"/>
        <w:bottom w:val="none" w:sz="0" w:space="0" w:color="auto"/>
        <w:right w:val="none" w:sz="0" w:space="0" w:color="auto"/>
      </w:divBdr>
    </w:div>
    <w:div w:id="1529878705">
      <w:bodyDiv w:val="1"/>
      <w:marLeft w:val="0"/>
      <w:marRight w:val="0"/>
      <w:marTop w:val="0"/>
      <w:marBottom w:val="0"/>
      <w:divBdr>
        <w:top w:val="none" w:sz="0" w:space="0" w:color="auto"/>
        <w:left w:val="none" w:sz="0" w:space="0" w:color="auto"/>
        <w:bottom w:val="none" w:sz="0" w:space="0" w:color="auto"/>
        <w:right w:val="none" w:sz="0" w:space="0" w:color="auto"/>
      </w:divBdr>
    </w:div>
    <w:div w:id="1571767282">
      <w:bodyDiv w:val="1"/>
      <w:marLeft w:val="0"/>
      <w:marRight w:val="0"/>
      <w:marTop w:val="0"/>
      <w:marBottom w:val="0"/>
      <w:divBdr>
        <w:top w:val="none" w:sz="0" w:space="0" w:color="auto"/>
        <w:left w:val="none" w:sz="0" w:space="0" w:color="auto"/>
        <w:bottom w:val="none" w:sz="0" w:space="0" w:color="auto"/>
        <w:right w:val="none" w:sz="0" w:space="0" w:color="auto"/>
      </w:divBdr>
    </w:div>
    <w:div w:id="1620720423">
      <w:bodyDiv w:val="1"/>
      <w:marLeft w:val="0"/>
      <w:marRight w:val="0"/>
      <w:marTop w:val="0"/>
      <w:marBottom w:val="0"/>
      <w:divBdr>
        <w:top w:val="none" w:sz="0" w:space="0" w:color="auto"/>
        <w:left w:val="none" w:sz="0" w:space="0" w:color="auto"/>
        <w:bottom w:val="none" w:sz="0" w:space="0" w:color="auto"/>
        <w:right w:val="none" w:sz="0" w:space="0" w:color="auto"/>
      </w:divBdr>
    </w:div>
    <w:div w:id="1712487497">
      <w:bodyDiv w:val="1"/>
      <w:marLeft w:val="0"/>
      <w:marRight w:val="0"/>
      <w:marTop w:val="0"/>
      <w:marBottom w:val="0"/>
      <w:divBdr>
        <w:top w:val="none" w:sz="0" w:space="0" w:color="auto"/>
        <w:left w:val="none" w:sz="0" w:space="0" w:color="auto"/>
        <w:bottom w:val="none" w:sz="0" w:space="0" w:color="auto"/>
        <w:right w:val="none" w:sz="0" w:space="0" w:color="auto"/>
      </w:divBdr>
    </w:div>
    <w:div w:id="1760297803">
      <w:bodyDiv w:val="1"/>
      <w:marLeft w:val="0"/>
      <w:marRight w:val="0"/>
      <w:marTop w:val="0"/>
      <w:marBottom w:val="0"/>
      <w:divBdr>
        <w:top w:val="none" w:sz="0" w:space="0" w:color="auto"/>
        <w:left w:val="none" w:sz="0" w:space="0" w:color="auto"/>
        <w:bottom w:val="none" w:sz="0" w:space="0" w:color="auto"/>
        <w:right w:val="none" w:sz="0" w:space="0" w:color="auto"/>
      </w:divBdr>
    </w:div>
    <w:div w:id="1774352921">
      <w:bodyDiv w:val="1"/>
      <w:marLeft w:val="0"/>
      <w:marRight w:val="0"/>
      <w:marTop w:val="0"/>
      <w:marBottom w:val="0"/>
      <w:divBdr>
        <w:top w:val="none" w:sz="0" w:space="0" w:color="auto"/>
        <w:left w:val="none" w:sz="0" w:space="0" w:color="auto"/>
        <w:bottom w:val="none" w:sz="0" w:space="0" w:color="auto"/>
        <w:right w:val="none" w:sz="0" w:space="0" w:color="auto"/>
      </w:divBdr>
    </w:div>
    <w:div w:id="1775979668">
      <w:bodyDiv w:val="1"/>
      <w:marLeft w:val="0"/>
      <w:marRight w:val="0"/>
      <w:marTop w:val="0"/>
      <w:marBottom w:val="0"/>
      <w:divBdr>
        <w:top w:val="none" w:sz="0" w:space="0" w:color="auto"/>
        <w:left w:val="none" w:sz="0" w:space="0" w:color="auto"/>
        <w:bottom w:val="none" w:sz="0" w:space="0" w:color="auto"/>
        <w:right w:val="none" w:sz="0" w:space="0" w:color="auto"/>
      </w:divBdr>
    </w:div>
    <w:div w:id="1786000330">
      <w:bodyDiv w:val="1"/>
      <w:marLeft w:val="0"/>
      <w:marRight w:val="0"/>
      <w:marTop w:val="0"/>
      <w:marBottom w:val="0"/>
      <w:divBdr>
        <w:top w:val="none" w:sz="0" w:space="0" w:color="auto"/>
        <w:left w:val="none" w:sz="0" w:space="0" w:color="auto"/>
        <w:bottom w:val="none" w:sz="0" w:space="0" w:color="auto"/>
        <w:right w:val="none" w:sz="0" w:space="0" w:color="auto"/>
      </w:divBdr>
    </w:div>
    <w:div w:id="1901014274">
      <w:bodyDiv w:val="1"/>
      <w:marLeft w:val="0"/>
      <w:marRight w:val="0"/>
      <w:marTop w:val="0"/>
      <w:marBottom w:val="0"/>
      <w:divBdr>
        <w:top w:val="none" w:sz="0" w:space="0" w:color="auto"/>
        <w:left w:val="none" w:sz="0" w:space="0" w:color="auto"/>
        <w:bottom w:val="none" w:sz="0" w:space="0" w:color="auto"/>
        <w:right w:val="none" w:sz="0" w:space="0" w:color="auto"/>
      </w:divBdr>
    </w:div>
    <w:div w:id="1959679272">
      <w:bodyDiv w:val="1"/>
      <w:marLeft w:val="0"/>
      <w:marRight w:val="0"/>
      <w:marTop w:val="0"/>
      <w:marBottom w:val="0"/>
      <w:divBdr>
        <w:top w:val="none" w:sz="0" w:space="0" w:color="auto"/>
        <w:left w:val="none" w:sz="0" w:space="0" w:color="auto"/>
        <w:bottom w:val="none" w:sz="0" w:space="0" w:color="auto"/>
        <w:right w:val="none" w:sz="0" w:space="0" w:color="auto"/>
      </w:divBdr>
    </w:div>
    <w:div w:id="1976329900">
      <w:bodyDiv w:val="1"/>
      <w:marLeft w:val="0"/>
      <w:marRight w:val="0"/>
      <w:marTop w:val="0"/>
      <w:marBottom w:val="0"/>
      <w:divBdr>
        <w:top w:val="none" w:sz="0" w:space="0" w:color="auto"/>
        <w:left w:val="none" w:sz="0" w:space="0" w:color="auto"/>
        <w:bottom w:val="none" w:sz="0" w:space="0" w:color="auto"/>
        <w:right w:val="none" w:sz="0" w:space="0" w:color="auto"/>
      </w:divBdr>
    </w:div>
    <w:div w:id="2043509609">
      <w:bodyDiv w:val="1"/>
      <w:marLeft w:val="0"/>
      <w:marRight w:val="0"/>
      <w:marTop w:val="0"/>
      <w:marBottom w:val="0"/>
      <w:divBdr>
        <w:top w:val="none" w:sz="0" w:space="0" w:color="auto"/>
        <w:left w:val="none" w:sz="0" w:space="0" w:color="auto"/>
        <w:bottom w:val="none" w:sz="0" w:space="0" w:color="auto"/>
        <w:right w:val="none" w:sz="0" w:space="0" w:color="auto"/>
      </w:divBdr>
    </w:div>
    <w:div w:id="2096854678">
      <w:bodyDiv w:val="1"/>
      <w:marLeft w:val="0"/>
      <w:marRight w:val="0"/>
      <w:marTop w:val="0"/>
      <w:marBottom w:val="0"/>
      <w:divBdr>
        <w:top w:val="none" w:sz="0" w:space="0" w:color="auto"/>
        <w:left w:val="none" w:sz="0" w:space="0" w:color="auto"/>
        <w:bottom w:val="none" w:sz="0" w:space="0" w:color="auto"/>
        <w:right w:val="none" w:sz="0" w:space="0" w:color="auto"/>
      </w:divBdr>
      <w:divsChild>
        <w:div w:id="984549960">
          <w:marLeft w:val="0"/>
          <w:marRight w:val="0"/>
          <w:marTop w:val="0"/>
          <w:marBottom w:val="0"/>
          <w:divBdr>
            <w:top w:val="none" w:sz="0" w:space="0" w:color="auto"/>
            <w:left w:val="none" w:sz="0" w:space="0" w:color="auto"/>
            <w:bottom w:val="none" w:sz="0" w:space="0" w:color="auto"/>
            <w:right w:val="none" w:sz="0" w:space="0" w:color="auto"/>
          </w:divBdr>
          <w:divsChild>
            <w:div w:id="1791823147">
              <w:marLeft w:val="0"/>
              <w:marRight w:val="0"/>
              <w:marTop w:val="0"/>
              <w:marBottom w:val="0"/>
              <w:divBdr>
                <w:top w:val="none" w:sz="0" w:space="0" w:color="auto"/>
                <w:left w:val="none" w:sz="0" w:space="0" w:color="auto"/>
                <w:bottom w:val="none" w:sz="0" w:space="0" w:color="auto"/>
                <w:right w:val="none" w:sz="0" w:space="0" w:color="auto"/>
              </w:divBdr>
              <w:divsChild>
                <w:div w:id="250283061">
                  <w:marLeft w:val="0"/>
                  <w:marRight w:val="0"/>
                  <w:marTop w:val="0"/>
                  <w:marBottom w:val="0"/>
                  <w:divBdr>
                    <w:top w:val="none" w:sz="0" w:space="0" w:color="auto"/>
                    <w:left w:val="none" w:sz="0" w:space="0" w:color="auto"/>
                    <w:bottom w:val="none" w:sz="0" w:space="0" w:color="auto"/>
                    <w:right w:val="none" w:sz="0" w:space="0" w:color="auto"/>
                  </w:divBdr>
                  <w:divsChild>
                    <w:div w:id="39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7C43-849B-43E5-A24A-518191F2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1767</Words>
  <Characters>9501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WKOe</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 Ruth, WKÖ BSBV</dc:creator>
  <cp:lastModifiedBy>Egger Bernhard, Dr, WKÖ BSBV</cp:lastModifiedBy>
  <cp:revision>15</cp:revision>
  <cp:lastPrinted>2014-09-12T10:39:00Z</cp:lastPrinted>
  <dcterms:created xsi:type="dcterms:W3CDTF">2015-04-30T09:56:00Z</dcterms:created>
  <dcterms:modified xsi:type="dcterms:W3CDTF">2015-05-05T14:11:00Z</dcterms:modified>
</cp:coreProperties>
</file>