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70F" w:rsidRDefault="00987274" w:rsidP="00D929B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bCs/>
          <w:lang w:val="en-US"/>
        </w:rPr>
      </w:pPr>
      <w:r>
        <w:rPr>
          <w:rFonts w:cstheme="minorHAnsi"/>
          <w:b/>
          <w:bCs/>
          <w:lang w:val="en-US"/>
        </w:rPr>
        <w:t>F</w:t>
      </w:r>
      <w:r w:rsidR="0025370F">
        <w:rPr>
          <w:rFonts w:cstheme="minorHAnsi"/>
          <w:b/>
          <w:bCs/>
          <w:lang w:val="en-US"/>
        </w:rPr>
        <w:t>rench banking Federation</w:t>
      </w:r>
      <w:r>
        <w:rPr>
          <w:rFonts w:cstheme="minorHAnsi"/>
          <w:b/>
          <w:bCs/>
          <w:lang w:val="en-US"/>
        </w:rPr>
        <w:t xml:space="preserve"> answers to</w:t>
      </w:r>
      <w:r w:rsidR="00F62CEC" w:rsidRPr="0090066C">
        <w:rPr>
          <w:rFonts w:cstheme="minorHAnsi"/>
          <w:b/>
          <w:bCs/>
          <w:lang w:val="en-US"/>
        </w:rPr>
        <w:t xml:space="preserve"> the draft guidelines on sound remuneration policies </w:t>
      </w:r>
    </w:p>
    <w:p w:rsidR="00D929BE" w:rsidRPr="0090066C" w:rsidRDefault="0025370F" w:rsidP="00D929B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bCs/>
          <w:lang w:val="en-US"/>
        </w:rPr>
      </w:pPr>
      <w:r>
        <w:rPr>
          <w:rFonts w:cstheme="minorHAnsi"/>
          <w:b/>
          <w:bCs/>
          <w:lang w:val="en-US"/>
        </w:rPr>
        <w:t>May</w:t>
      </w:r>
      <w:r w:rsidR="00F62CEC" w:rsidRPr="0090066C">
        <w:rPr>
          <w:rFonts w:cstheme="minorHAnsi"/>
          <w:b/>
          <w:bCs/>
          <w:lang w:val="en-US"/>
        </w:rPr>
        <w:t xml:space="preserve"> 2015</w:t>
      </w:r>
    </w:p>
    <w:p w:rsidR="00D929BE" w:rsidRPr="0090066C" w:rsidRDefault="00842227" w:rsidP="00001377">
      <w:pPr>
        <w:autoSpaceDE w:val="0"/>
        <w:autoSpaceDN w:val="0"/>
        <w:adjustRightInd w:val="0"/>
        <w:spacing w:after="0" w:line="240" w:lineRule="auto"/>
        <w:jc w:val="both"/>
        <w:rPr>
          <w:rFonts w:cstheme="minorHAnsi"/>
          <w:bCs/>
          <w:lang w:val="en-US"/>
        </w:rPr>
      </w:pPr>
    </w:p>
    <w:p w:rsidR="00D25A4F" w:rsidRPr="004A0633" w:rsidRDefault="00F62CEC" w:rsidP="0090066C">
      <w:pPr>
        <w:autoSpaceDE w:val="0"/>
        <w:autoSpaceDN w:val="0"/>
        <w:adjustRightInd w:val="0"/>
        <w:spacing w:after="0" w:line="240" w:lineRule="auto"/>
        <w:jc w:val="both"/>
        <w:rPr>
          <w:rFonts w:cstheme="minorHAnsi"/>
          <w:bCs/>
          <w:lang w:val="en-US"/>
        </w:rPr>
      </w:pPr>
      <w:r w:rsidRPr="004A0633">
        <w:rPr>
          <w:rFonts w:cstheme="minorHAnsi"/>
          <w:bCs/>
          <w:lang w:val="en-US"/>
        </w:rPr>
        <w:t>The European Banking Authority (EBA) launched on 4</w:t>
      </w:r>
      <w:r w:rsidRPr="004A0633">
        <w:rPr>
          <w:rFonts w:cstheme="minorHAnsi"/>
          <w:bCs/>
          <w:vertAlign w:val="superscript"/>
          <w:lang w:val="en-US"/>
        </w:rPr>
        <w:t>th</w:t>
      </w:r>
      <w:r w:rsidRPr="004A0633">
        <w:rPr>
          <w:rFonts w:cstheme="minorHAnsi"/>
          <w:bCs/>
          <w:lang w:val="en-US"/>
        </w:rPr>
        <w:t xml:space="preserve"> March, 2015 a 3-month public consultation on its Guidelines on sound remuneration policies, answers expected by 4</w:t>
      </w:r>
      <w:r w:rsidRPr="004A0633">
        <w:rPr>
          <w:rFonts w:cstheme="minorHAnsi"/>
          <w:bCs/>
          <w:vertAlign w:val="superscript"/>
          <w:lang w:val="en-US"/>
        </w:rPr>
        <w:t>th</w:t>
      </w:r>
      <w:r w:rsidRPr="004A0633">
        <w:rPr>
          <w:rFonts w:cstheme="minorHAnsi"/>
          <w:bCs/>
          <w:lang w:val="en-US"/>
        </w:rPr>
        <w:t xml:space="preserve"> June 2015 at the latest. These guidelines aiming at replacing 2010 CEBS guidelines on CRD</w:t>
      </w:r>
      <w:r w:rsidR="00C07B0A" w:rsidRPr="004A0633">
        <w:rPr>
          <w:rFonts w:cstheme="minorHAnsi"/>
          <w:bCs/>
          <w:lang w:val="en-US"/>
        </w:rPr>
        <w:t>III</w:t>
      </w:r>
      <w:r w:rsidRPr="004A0633">
        <w:rPr>
          <w:rFonts w:cstheme="minorHAnsi"/>
          <w:bCs/>
          <w:lang w:val="en-US"/>
        </w:rPr>
        <w:t xml:space="preserve"> should be issued in the second half of 2015 and </w:t>
      </w:r>
      <w:r w:rsidR="00871E11" w:rsidRPr="004A0633">
        <w:rPr>
          <w:rFonts w:cstheme="minorHAnsi"/>
          <w:bCs/>
          <w:lang w:val="en-US"/>
        </w:rPr>
        <w:t xml:space="preserve">we understand they will be </w:t>
      </w:r>
      <w:r w:rsidRPr="004A0633">
        <w:rPr>
          <w:rFonts w:cstheme="minorHAnsi"/>
          <w:bCs/>
          <w:lang w:val="en-US"/>
        </w:rPr>
        <w:t>applicable from 1</w:t>
      </w:r>
      <w:r w:rsidRPr="004A0633">
        <w:rPr>
          <w:rFonts w:cstheme="minorHAnsi"/>
          <w:bCs/>
          <w:vertAlign w:val="superscript"/>
          <w:lang w:val="en-US"/>
        </w:rPr>
        <w:t>st</w:t>
      </w:r>
      <w:r w:rsidRPr="004A0633">
        <w:rPr>
          <w:rFonts w:cstheme="minorHAnsi"/>
          <w:bCs/>
          <w:lang w:val="en-US"/>
        </w:rPr>
        <w:t xml:space="preserve"> January 2016</w:t>
      </w:r>
      <w:r w:rsidR="00871E11" w:rsidRPr="004A0633">
        <w:rPr>
          <w:rFonts w:cstheme="minorHAnsi"/>
          <w:bCs/>
          <w:lang w:val="en-US"/>
        </w:rPr>
        <w:t xml:space="preserve"> for awards made in 2017 based on 2016 performance year. </w:t>
      </w:r>
    </w:p>
    <w:p w:rsidR="00C47A9B" w:rsidRPr="004A0633" w:rsidRDefault="00842227" w:rsidP="0090066C">
      <w:pPr>
        <w:autoSpaceDE w:val="0"/>
        <w:autoSpaceDN w:val="0"/>
        <w:adjustRightInd w:val="0"/>
        <w:spacing w:after="0" w:line="240" w:lineRule="auto"/>
        <w:jc w:val="both"/>
        <w:rPr>
          <w:rFonts w:cstheme="minorHAnsi"/>
          <w:b/>
          <w:bCs/>
          <w:lang w:val="en-US"/>
        </w:rPr>
      </w:pPr>
    </w:p>
    <w:p w:rsidR="00590C6E" w:rsidRPr="004A0633" w:rsidRDefault="00F62CEC" w:rsidP="007A3408">
      <w:pPr>
        <w:autoSpaceDE w:val="0"/>
        <w:autoSpaceDN w:val="0"/>
        <w:adjustRightInd w:val="0"/>
        <w:spacing w:after="0" w:line="240" w:lineRule="auto"/>
        <w:jc w:val="both"/>
        <w:rPr>
          <w:rFonts w:cstheme="minorHAnsi"/>
          <w:lang w:val="en-GB"/>
        </w:rPr>
      </w:pPr>
      <w:r w:rsidRPr="004A0633">
        <w:rPr>
          <w:rFonts w:cstheme="minorHAnsi"/>
          <w:lang w:val="en-GB"/>
        </w:rPr>
        <w:t xml:space="preserve">French Banks fully support the EBA initiative to update the 2010 CEBS guidelines in order to enable consistent, efficient and effective implementation of the requirements by all institutions and to promote sound compensation practices for the whole financial sector. </w:t>
      </w:r>
    </w:p>
    <w:p w:rsidR="00590C6E" w:rsidRPr="004A0633" w:rsidRDefault="00842227" w:rsidP="007A3408">
      <w:pPr>
        <w:autoSpaceDE w:val="0"/>
        <w:autoSpaceDN w:val="0"/>
        <w:adjustRightInd w:val="0"/>
        <w:spacing w:after="0" w:line="240" w:lineRule="auto"/>
        <w:jc w:val="both"/>
        <w:rPr>
          <w:rFonts w:cstheme="minorHAnsi"/>
          <w:lang w:val="en-GB"/>
        </w:rPr>
      </w:pPr>
    </w:p>
    <w:p w:rsidR="0090066C" w:rsidRPr="004A0633" w:rsidRDefault="00F62CEC" w:rsidP="007A3408">
      <w:pPr>
        <w:autoSpaceDE w:val="0"/>
        <w:autoSpaceDN w:val="0"/>
        <w:adjustRightInd w:val="0"/>
        <w:spacing w:after="0" w:line="240" w:lineRule="auto"/>
        <w:jc w:val="both"/>
        <w:rPr>
          <w:rFonts w:cstheme="minorHAnsi"/>
          <w:color w:val="FF0000"/>
          <w:lang w:val="en-GB"/>
        </w:rPr>
      </w:pPr>
      <w:r w:rsidRPr="004A0633">
        <w:rPr>
          <w:rFonts w:cstheme="minorHAnsi"/>
          <w:b/>
          <w:lang w:val="en-GB"/>
        </w:rPr>
        <w:t>Nevertheless, these new draft guidelines introduce new requirements on top of CRD</w:t>
      </w:r>
      <w:r w:rsidR="00C07B0A" w:rsidRPr="004A0633">
        <w:rPr>
          <w:rFonts w:cstheme="minorHAnsi"/>
          <w:b/>
          <w:lang w:val="en-GB"/>
        </w:rPr>
        <w:t>IV</w:t>
      </w:r>
      <w:r w:rsidRPr="004A0633">
        <w:rPr>
          <w:rFonts w:cstheme="minorHAnsi"/>
          <w:b/>
          <w:lang w:val="en-GB"/>
        </w:rPr>
        <w:t xml:space="preserve"> rules which go far beyond the rules applicable until now to European Institutions (which themselves go far beyond the FSB principles applied everywhere outside Europe, except for </w:t>
      </w:r>
      <w:r w:rsidR="00BD3FE3" w:rsidRPr="004A0633">
        <w:rPr>
          <w:rFonts w:cstheme="minorHAnsi"/>
          <w:b/>
          <w:lang w:val="en-GB"/>
        </w:rPr>
        <w:t xml:space="preserve">EEA </w:t>
      </w:r>
      <w:r w:rsidRPr="004A0633">
        <w:rPr>
          <w:rFonts w:cstheme="minorHAnsi"/>
          <w:b/>
          <w:lang w:val="en-GB"/>
        </w:rPr>
        <w:t>Banks</w:t>
      </w:r>
      <w:r w:rsidR="00871E11" w:rsidRPr="004A0633">
        <w:rPr>
          <w:rFonts w:cstheme="minorHAnsi"/>
          <w:b/>
          <w:lang w:val="en-GB"/>
        </w:rPr>
        <w:t xml:space="preserve"> who must apply UE rules worldwide</w:t>
      </w:r>
      <w:r w:rsidRPr="004A0633">
        <w:rPr>
          <w:rFonts w:cstheme="minorHAnsi"/>
          <w:b/>
          <w:lang w:val="en-GB"/>
        </w:rPr>
        <w:t>)</w:t>
      </w:r>
      <w:r w:rsidR="00383214" w:rsidRPr="004A0633">
        <w:rPr>
          <w:rFonts w:cstheme="minorHAnsi"/>
          <w:b/>
          <w:lang w:val="en-GB"/>
        </w:rPr>
        <w:t>.</w:t>
      </w:r>
      <w:r w:rsidR="002B34BA" w:rsidRPr="004A0633">
        <w:rPr>
          <w:rFonts w:cstheme="minorHAnsi"/>
          <w:bCs/>
          <w:lang w:val="en-US"/>
        </w:rPr>
        <w:t xml:space="preserve"> </w:t>
      </w:r>
      <w:r w:rsidR="00040C32" w:rsidRPr="004A0633">
        <w:rPr>
          <w:rFonts w:cstheme="minorHAnsi"/>
          <w:lang w:val="en-GB"/>
        </w:rPr>
        <w:t>Moreover</w:t>
      </w:r>
      <w:r w:rsidR="00383214" w:rsidRPr="004A0633">
        <w:rPr>
          <w:rFonts w:cstheme="minorHAnsi"/>
          <w:lang w:val="en-GB"/>
        </w:rPr>
        <w:t>, these new guidelines do not</w:t>
      </w:r>
      <w:r w:rsidRPr="004A0633">
        <w:rPr>
          <w:rFonts w:cstheme="minorHAnsi"/>
          <w:lang w:val="en-GB"/>
        </w:rPr>
        <w:t xml:space="preserve"> seem consistent with the objective of CRD</w:t>
      </w:r>
      <w:r w:rsidR="00C07B0A" w:rsidRPr="004A0633">
        <w:rPr>
          <w:rFonts w:cstheme="minorHAnsi"/>
          <w:lang w:val="en-GB"/>
        </w:rPr>
        <w:t>IV</w:t>
      </w:r>
      <w:r w:rsidRPr="004A0633">
        <w:rPr>
          <w:rFonts w:cstheme="minorHAnsi"/>
          <w:lang w:val="en-GB"/>
        </w:rPr>
        <w:t xml:space="preserve"> to target material risk takers, i.e. staff members who have a material impact on the risk profile of the institution. </w:t>
      </w:r>
    </w:p>
    <w:p w:rsidR="0090066C" w:rsidRPr="004A0633" w:rsidRDefault="00842227" w:rsidP="0090066C">
      <w:pPr>
        <w:autoSpaceDE w:val="0"/>
        <w:autoSpaceDN w:val="0"/>
        <w:adjustRightInd w:val="0"/>
        <w:spacing w:after="0" w:line="240" w:lineRule="auto"/>
        <w:jc w:val="both"/>
        <w:rPr>
          <w:rFonts w:cstheme="minorHAnsi"/>
          <w:b/>
          <w:bCs/>
          <w:lang w:val="en-US"/>
        </w:rPr>
      </w:pPr>
    </w:p>
    <w:p w:rsidR="003D52A5" w:rsidRPr="004A0633" w:rsidRDefault="00F62CEC" w:rsidP="00740930">
      <w:pPr>
        <w:autoSpaceDE w:val="0"/>
        <w:autoSpaceDN w:val="0"/>
        <w:adjustRightInd w:val="0"/>
        <w:spacing w:after="0" w:line="240" w:lineRule="auto"/>
        <w:jc w:val="both"/>
        <w:rPr>
          <w:rFonts w:cstheme="minorHAnsi"/>
          <w:lang w:val="en-GB"/>
        </w:rPr>
      </w:pPr>
      <w:r w:rsidRPr="004A0633">
        <w:rPr>
          <w:rFonts w:cstheme="minorHAnsi"/>
          <w:lang w:val="en-GB"/>
        </w:rPr>
        <w:t xml:space="preserve">The new rules represent for European institutions significant changes in the way </w:t>
      </w:r>
      <w:r w:rsidR="00351576" w:rsidRPr="004A0633">
        <w:rPr>
          <w:rFonts w:cstheme="minorHAnsi"/>
          <w:lang w:val="en-GB"/>
        </w:rPr>
        <w:t xml:space="preserve">they </w:t>
      </w:r>
      <w:r w:rsidRPr="004A0633">
        <w:rPr>
          <w:rFonts w:cstheme="minorHAnsi"/>
          <w:lang w:val="en-GB"/>
        </w:rPr>
        <w:t xml:space="preserve">implement regulation on remuneration and </w:t>
      </w:r>
      <w:r w:rsidRPr="004A0633">
        <w:rPr>
          <w:rFonts w:cstheme="minorHAnsi"/>
          <w:b/>
          <w:lang w:val="en-GB"/>
        </w:rPr>
        <w:t>are often in contradiction with national legislation recently amended in member states following the adoption and the transposition of CRD</w:t>
      </w:r>
      <w:r w:rsidR="00BD3FE3" w:rsidRPr="004A0633">
        <w:rPr>
          <w:rFonts w:cstheme="minorHAnsi"/>
          <w:b/>
          <w:lang w:val="en-GB"/>
        </w:rPr>
        <w:t>IV</w:t>
      </w:r>
      <w:r w:rsidRPr="004A0633">
        <w:rPr>
          <w:rFonts w:cstheme="minorHAnsi"/>
          <w:b/>
          <w:lang w:val="en-GB"/>
        </w:rPr>
        <w:t xml:space="preserve"> rules</w:t>
      </w:r>
      <w:r w:rsidR="003227D6">
        <w:rPr>
          <w:rFonts w:cstheme="minorHAnsi"/>
          <w:b/>
          <w:lang w:val="en-GB"/>
        </w:rPr>
        <w:t xml:space="preserve"> and which take into account the proportionality principle</w:t>
      </w:r>
      <w:r w:rsidRPr="004A0633">
        <w:rPr>
          <w:rFonts w:cstheme="minorHAnsi"/>
          <w:lang w:val="en-GB"/>
        </w:rPr>
        <w:t>.</w:t>
      </w:r>
      <w:r w:rsidRPr="004A0633">
        <w:rPr>
          <w:rFonts w:cstheme="minorHAnsi"/>
          <w:color w:val="FF0000"/>
          <w:lang w:val="en-GB"/>
        </w:rPr>
        <w:t xml:space="preserve"> </w:t>
      </w:r>
      <w:r w:rsidR="00CC6FF6" w:rsidRPr="004A0633">
        <w:rPr>
          <w:rFonts w:cstheme="minorHAnsi"/>
          <w:lang w:val="en-US"/>
        </w:rPr>
        <w:t>In addition, t</w:t>
      </w:r>
      <w:r w:rsidR="00423316" w:rsidRPr="004A0633">
        <w:rPr>
          <w:rFonts w:cstheme="minorHAnsi"/>
          <w:lang w:val="en-GB"/>
        </w:rPr>
        <w:t xml:space="preserve">he risks associated with activities such as Asset Management and Insurance are </w:t>
      </w:r>
      <w:r w:rsidR="00CC6FF6" w:rsidRPr="004A0633">
        <w:rPr>
          <w:rFonts w:cstheme="minorHAnsi"/>
          <w:lang w:val="en-GB"/>
        </w:rPr>
        <w:t xml:space="preserve">very </w:t>
      </w:r>
      <w:r w:rsidR="00423316" w:rsidRPr="004A0633">
        <w:rPr>
          <w:rFonts w:cstheme="minorHAnsi"/>
          <w:lang w:val="en-GB"/>
        </w:rPr>
        <w:t xml:space="preserve">different from the ones </w:t>
      </w:r>
      <w:r w:rsidR="00CC6FF6" w:rsidRPr="004A0633">
        <w:rPr>
          <w:rFonts w:cstheme="minorHAnsi"/>
          <w:lang w:val="en-GB"/>
        </w:rPr>
        <w:t xml:space="preserve">induced by banking activities: we therefore believe that there is a strong rationale to maintain the existing dissociation between AIFMD/UCITS, Solvency and CRD. </w:t>
      </w:r>
    </w:p>
    <w:p w:rsidR="00CC6FF6" w:rsidRPr="004A0633" w:rsidRDefault="00CC6FF6" w:rsidP="0090066C">
      <w:pPr>
        <w:spacing w:after="0" w:line="240" w:lineRule="auto"/>
        <w:jc w:val="both"/>
        <w:rPr>
          <w:rFonts w:cstheme="minorHAnsi"/>
          <w:lang w:val="en-GB"/>
        </w:rPr>
      </w:pPr>
    </w:p>
    <w:p w:rsidR="0090066C" w:rsidRDefault="00F62CEC" w:rsidP="0090066C">
      <w:pPr>
        <w:spacing w:after="0" w:line="240" w:lineRule="auto"/>
        <w:jc w:val="both"/>
        <w:rPr>
          <w:rFonts w:cstheme="minorHAnsi"/>
          <w:bCs/>
          <w:lang w:val="en-US"/>
        </w:rPr>
      </w:pPr>
      <w:r w:rsidRPr="004A0633">
        <w:rPr>
          <w:rFonts w:cstheme="minorHAnsi"/>
          <w:bCs/>
          <w:lang w:val="en-US"/>
        </w:rPr>
        <w:t xml:space="preserve">Finally, these new requirements would imply </w:t>
      </w:r>
      <w:r w:rsidRPr="004A0633">
        <w:rPr>
          <w:rFonts w:cstheme="minorHAnsi"/>
          <w:b/>
          <w:bCs/>
          <w:lang w:val="en-US"/>
        </w:rPr>
        <w:t>significant changes and potential major impacts for French banks</w:t>
      </w:r>
      <w:r w:rsidRPr="004A0633">
        <w:rPr>
          <w:rFonts w:cstheme="minorHAnsi"/>
          <w:bCs/>
          <w:lang w:val="en-US"/>
        </w:rPr>
        <w:t xml:space="preserve"> in particular on the following main aspects: (i) </w:t>
      </w:r>
      <w:r w:rsidR="008D10EE" w:rsidRPr="004A0633">
        <w:rPr>
          <w:rFonts w:cstheme="minorHAnsi"/>
          <w:bCs/>
          <w:lang w:val="en-US"/>
        </w:rPr>
        <w:t>remuneration policy</w:t>
      </w:r>
      <w:r w:rsidRPr="004A0633">
        <w:rPr>
          <w:rFonts w:cstheme="minorHAnsi"/>
          <w:bCs/>
          <w:lang w:val="en-US"/>
        </w:rPr>
        <w:t xml:space="preserve"> and group context, (ii) interpretation of proportionality principles </w:t>
      </w:r>
      <w:r w:rsidR="00383214" w:rsidRPr="004A0633">
        <w:rPr>
          <w:rFonts w:cstheme="minorHAnsi"/>
          <w:bCs/>
          <w:lang w:val="en-US"/>
        </w:rPr>
        <w:t xml:space="preserve">at </w:t>
      </w:r>
      <w:r w:rsidRPr="004A0633">
        <w:rPr>
          <w:rFonts w:cstheme="minorHAnsi"/>
          <w:bCs/>
          <w:lang w:val="en-US"/>
        </w:rPr>
        <w:t xml:space="preserve">individual </w:t>
      </w:r>
      <w:r w:rsidR="00383214" w:rsidRPr="004A0633">
        <w:rPr>
          <w:rFonts w:cstheme="minorHAnsi"/>
          <w:bCs/>
          <w:lang w:val="en-US"/>
        </w:rPr>
        <w:t>level</w:t>
      </w:r>
      <w:r w:rsidR="002B34BA" w:rsidRPr="004A0633">
        <w:rPr>
          <w:rFonts w:cstheme="minorHAnsi"/>
          <w:bCs/>
          <w:lang w:val="en-US"/>
        </w:rPr>
        <w:t>,</w:t>
      </w:r>
      <w:r w:rsidRPr="004A0633">
        <w:rPr>
          <w:rFonts w:cstheme="minorHAnsi"/>
          <w:bCs/>
          <w:lang w:val="en-US"/>
        </w:rPr>
        <w:t xml:space="preserve"> (iii) remuneration structure</w:t>
      </w:r>
      <w:r w:rsidR="00740930" w:rsidRPr="004A0633">
        <w:rPr>
          <w:rFonts w:cstheme="minorHAnsi"/>
          <w:bCs/>
          <w:lang w:val="en-US"/>
        </w:rPr>
        <w:t xml:space="preserve"> and </w:t>
      </w:r>
      <w:proofErr w:type="gramStart"/>
      <w:r w:rsidR="00740930" w:rsidRPr="004A0633">
        <w:rPr>
          <w:rFonts w:cstheme="minorHAnsi"/>
          <w:bCs/>
          <w:lang w:val="en-US"/>
        </w:rPr>
        <w:t>(iv)</w:t>
      </w:r>
      <w:r w:rsidR="00565F1A" w:rsidRPr="004A0633">
        <w:rPr>
          <w:rFonts w:cstheme="minorHAnsi"/>
          <w:bCs/>
          <w:lang w:val="en-US"/>
        </w:rPr>
        <w:t xml:space="preserve"> </w:t>
      </w:r>
      <w:r w:rsidR="002B34BA" w:rsidRPr="004A0633">
        <w:rPr>
          <w:rFonts w:cstheme="minorHAnsi"/>
          <w:bCs/>
          <w:lang w:val="en-US"/>
        </w:rPr>
        <w:t>governance</w:t>
      </w:r>
      <w:proofErr w:type="gramEnd"/>
      <w:r w:rsidR="002B34BA" w:rsidRPr="004A0633">
        <w:rPr>
          <w:rFonts w:cstheme="minorHAnsi"/>
          <w:bCs/>
          <w:lang w:val="en-US"/>
        </w:rPr>
        <w:t xml:space="preserve"> of remuneration</w:t>
      </w:r>
      <w:r w:rsidR="002B3222" w:rsidRPr="004A0633">
        <w:rPr>
          <w:rFonts w:cstheme="minorHAnsi"/>
          <w:bCs/>
          <w:lang w:val="en-US"/>
        </w:rPr>
        <w:t xml:space="preserve"> policy</w:t>
      </w:r>
      <w:r w:rsidR="00740930" w:rsidRPr="004A0633">
        <w:rPr>
          <w:rFonts w:cstheme="minorHAnsi"/>
          <w:bCs/>
          <w:lang w:val="en-US"/>
        </w:rPr>
        <w:t>.</w:t>
      </w:r>
    </w:p>
    <w:p w:rsidR="00DD57C3" w:rsidRDefault="00DD57C3" w:rsidP="0090066C">
      <w:pPr>
        <w:spacing w:after="0" w:line="240" w:lineRule="auto"/>
        <w:jc w:val="both"/>
        <w:rPr>
          <w:rFonts w:cstheme="minorHAnsi"/>
          <w:bCs/>
          <w:lang w:val="en-US"/>
        </w:rPr>
      </w:pPr>
    </w:p>
    <w:p w:rsidR="00DD57C3" w:rsidRPr="004A0633" w:rsidRDefault="00DD57C3" w:rsidP="0090066C">
      <w:pPr>
        <w:spacing w:after="0" w:line="240" w:lineRule="auto"/>
        <w:jc w:val="both"/>
        <w:rPr>
          <w:rFonts w:cstheme="minorHAnsi"/>
          <w:bCs/>
          <w:lang w:val="en-US"/>
        </w:rPr>
      </w:pPr>
      <w:r>
        <w:rPr>
          <w:rFonts w:cstheme="minorHAnsi"/>
          <w:bCs/>
          <w:lang w:val="en-US"/>
        </w:rPr>
        <w:t xml:space="preserve">French banks propose below alternative solutions aiming at simplifying and harmonizing the application of CRDIV requirements, whilst remaining fully compliant with the regulation. </w:t>
      </w:r>
    </w:p>
    <w:p w:rsidR="009479B6" w:rsidRPr="004A0633" w:rsidRDefault="009479B6" w:rsidP="0090066C">
      <w:pPr>
        <w:spacing w:after="0" w:line="240" w:lineRule="auto"/>
        <w:jc w:val="both"/>
        <w:rPr>
          <w:rFonts w:cstheme="minorHAnsi"/>
          <w:bCs/>
          <w:lang w:val="en-US"/>
        </w:rPr>
      </w:pPr>
    </w:p>
    <w:p w:rsidR="00587CF4" w:rsidRPr="004A0633" w:rsidRDefault="008F138C" w:rsidP="0090066C">
      <w:pPr>
        <w:spacing w:after="0" w:line="240" w:lineRule="auto"/>
        <w:jc w:val="both"/>
        <w:rPr>
          <w:rFonts w:cstheme="minorHAnsi"/>
          <w:bCs/>
          <w:lang w:val="en-US"/>
        </w:rPr>
      </w:pPr>
      <w:r w:rsidRPr="008F138C">
        <w:rPr>
          <w:rFonts w:cstheme="minorHAnsi"/>
          <w:noProof/>
          <w:lang w:eastAsia="fr-FR"/>
        </w:rPr>
        <w:pict>
          <v:rect id="_x0000_s1041" style="position:absolute;left:0;text-align:left;margin-left:-10.2pt;margin-top:7.25pt;width:477.75pt;height:203.85pt;z-index:-251649024;visibility:visible;mso-wrap-style:square;mso-width-percent:0;mso-wrap-distance-left:9pt;mso-wrap-distance-top:0;mso-wrap-distance-right:9pt;mso-wrap-distance-bottom:0;mso-position-horizontal-relative:text;mso-position-vertical-relative:text;mso-width-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" fillcolor="#f2f2f2 [3052]" strokecolor="black [3213]" strokeweight=".5pt">
            <v:path arrowok="t"/>
          </v:rect>
        </w:pict>
      </w:r>
    </w:p>
    <w:p w:rsidR="00927C45" w:rsidRPr="004A0633" w:rsidRDefault="00927C45" w:rsidP="00927C45">
      <w:pPr>
        <w:pStyle w:val="Paragraphedeliste"/>
        <w:numPr>
          <w:ilvl w:val="0"/>
          <w:numId w:val="10"/>
        </w:numPr>
        <w:spacing w:after="0" w:line="240" w:lineRule="auto"/>
        <w:ind w:left="284" w:hanging="284"/>
        <w:jc w:val="both"/>
        <w:rPr>
          <w:rFonts w:cstheme="minorHAnsi"/>
          <w:b/>
          <w:lang w:val="en-GB"/>
        </w:rPr>
      </w:pPr>
      <w:r w:rsidRPr="004A0633">
        <w:rPr>
          <w:rFonts w:cstheme="minorHAnsi"/>
          <w:b/>
          <w:lang w:val="en-GB"/>
        </w:rPr>
        <w:t>Remuneration policy and Group Context</w:t>
      </w:r>
    </w:p>
    <w:p w:rsidR="00927C45" w:rsidRPr="004A0633" w:rsidRDefault="00927C45" w:rsidP="00927C45">
      <w:pPr>
        <w:spacing w:after="0" w:line="240" w:lineRule="auto"/>
        <w:jc w:val="both"/>
        <w:rPr>
          <w:rFonts w:cstheme="minorHAnsi"/>
          <w:lang w:val="en-US"/>
        </w:rPr>
      </w:pPr>
      <w:r w:rsidRPr="004A0633">
        <w:rPr>
          <w:rFonts w:cstheme="minorHAnsi"/>
          <w:lang w:val="en-US"/>
        </w:rPr>
        <w:t>French Banks would request that the EBA remains the application of the proportionality principles applicable and suggest</w:t>
      </w:r>
      <w:r w:rsidR="00DD57C3">
        <w:rPr>
          <w:rFonts w:cstheme="minorHAnsi"/>
          <w:lang w:val="en-US"/>
        </w:rPr>
        <w:t>:</w:t>
      </w:r>
      <w:r w:rsidRPr="004A0633">
        <w:rPr>
          <w:rFonts w:cstheme="minorHAnsi"/>
          <w:lang w:val="en-US"/>
        </w:rPr>
        <w:t xml:space="preserve"> </w:t>
      </w:r>
    </w:p>
    <w:p w:rsidR="00927C45" w:rsidRPr="004A0633" w:rsidRDefault="00927C45" w:rsidP="00927C45">
      <w:pPr>
        <w:pStyle w:val="Paragraphedeliste"/>
        <w:numPr>
          <w:ilvl w:val="0"/>
          <w:numId w:val="31"/>
        </w:numPr>
        <w:spacing w:after="0" w:line="240" w:lineRule="auto"/>
        <w:jc w:val="both"/>
        <w:rPr>
          <w:rFonts w:cstheme="minorHAnsi"/>
          <w:lang w:val="en-US"/>
        </w:rPr>
      </w:pPr>
      <w:r w:rsidRPr="004A0633">
        <w:rPr>
          <w:rFonts w:cstheme="minorHAnsi"/>
          <w:lang w:val="en-US"/>
        </w:rPr>
        <w:t xml:space="preserve">Defining a single common threshold of 10 B€ of total assets at EEA level to promote a consistent application of the rules between member states </w:t>
      </w:r>
    </w:p>
    <w:p w:rsidR="00927C45" w:rsidRPr="004A0633" w:rsidRDefault="00DD57C3" w:rsidP="00927C45">
      <w:pPr>
        <w:pStyle w:val="Paragraphedeliste"/>
        <w:numPr>
          <w:ilvl w:val="0"/>
          <w:numId w:val="31"/>
        </w:numPr>
        <w:spacing w:after="0" w:line="240" w:lineRule="auto"/>
        <w:jc w:val="both"/>
        <w:rPr>
          <w:rFonts w:cstheme="minorHAnsi"/>
          <w:lang w:val="en-US"/>
        </w:rPr>
      </w:pPr>
      <w:r>
        <w:rPr>
          <w:rFonts w:cstheme="minorHAnsi"/>
          <w:lang w:val="en-US"/>
        </w:rPr>
        <w:t>Expressing</w:t>
      </w:r>
      <w:r w:rsidR="00927C45" w:rsidRPr="004A0633">
        <w:rPr>
          <w:rFonts w:cstheme="minorHAnsi"/>
          <w:lang w:val="en-US"/>
        </w:rPr>
        <w:t xml:space="preserve"> that dispositions are applicable at Group level or solo basis level without taking into account sub-consolidated perimeter that only mirror an accounting organization. </w:t>
      </w:r>
    </w:p>
    <w:p w:rsidR="00927C45" w:rsidRDefault="00AD1D66" w:rsidP="00927C45">
      <w:pPr>
        <w:pStyle w:val="Paragraphedeliste"/>
        <w:numPr>
          <w:ilvl w:val="0"/>
          <w:numId w:val="31"/>
        </w:numPr>
        <w:autoSpaceDE w:val="0"/>
        <w:autoSpaceDN w:val="0"/>
        <w:adjustRightInd w:val="0"/>
        <w:spacing w:after="0" w:line="240" w:lineRule="auto"/>
        <w:jc w:val="both"/>
        <w:rPr>
          <w:rFonts w:cstheme="minorHAnsi"/>
          <w:bCs/>
          <w:lang w:val="en-US"/>
        </w:rPr>
      </w:pPr>
      <w:r>
        <w:rPr>
          <w:rFonts w:cstheme="minorHAnsi"/>
          <w:bCs/>
          <w:lang w:val="en-US"/>
        </w:rPr>
        <w:t xml:space="preserve">Exempting </w:t>
      </w:r>
      <w:r w:rsidR="007E797D">
        <w:rPr>
          <w:rFonts w:cstheme="minorHAnsi"/>
          <w:bCs/>
          <w:lang w:val="en-US"/>
        </w:rPr>
        <w:t>from</w:t>
      </w:r>
      <w:r w:rsidR="007E797D" w:rsidRPr="004A0633">
        <w:rPr>
          <w:rFonts w:cstheme="minorHAnsi"/>
          <w:bCs/>
          <w:lang w:val="en-US"/>
        </w:rPr>
        <w:t xml:space="preserve"> the bonus cap</w:t>
      </w:r>
      <w:r w:rsidR="007E797D">
        <w:rPr>
          <w:rFonts w:cstheme="minorHAnsi"/>
          <w:bCs/>
          <w:lang w:val="en-US"/>
        </w:rPr>
        <w:t xml:space="preserve"> </w:t>
      </w:r>
      <w:r>
        <w:rPr>
          <w:rFonts w:cstheme="minorHAnsi"/>
          <w:bCs/>
          <w:lang w:val="en-US"/>
        </w:rPr>
        <w:t>e</w:t>
      </w:r>
      <w:r w:rsidR="00927C45" w:rsidRPr="004A0633">
        <w:rPr>
          <w:rFonts w:cstheme="minorHAnsi"/>
          <w:bCs/>
          <w:lang w:val="en-US"/>
        </w:rPr>
        <w:t xml:space="preserve">mployees working within asset management activities, or insurance company </w:t>
      </w:r>
      <w:r w:rsidR="002907FD" w:rsidRPr="004A0633">
        <w:rPr>
          <w:rFonts w:cstheme="minorHAnsi"/>
          <w:bCs/>
          <w:lang w:val="en-US"/>
        </w:rPr>
        <w:t xml:space="preserve">who will be </w:t>
      </w:r>
      <w:r w:rsidR="00927C45" w:rsidRPr="004A0633">
        <w:rPr>
          <w:rFonts w:cstheme="minorHAnsi"/>
          <w:bCs/>
          <w:lang w:val="en-US"/>
        </w:rPr>
        <w:t xml:space="preserve">identified as MRTs at Group level due to their remuneration threshold or their inclusion in a MBU for the </w:t>
      </w:r>
      <w:proofErr w:type="gramStart"/>
      <w:r w:rsidR="00927C45" w:rsidRPr="004A0633">
        <w:rPr>
          <w:rFonts w:cstheme="minorHAnsi"/>
          <w:bCs/>
          <w:lang w:val="en-US"/>
        </w:rPr>
        <w:t xml:space="preserve">Group </w:t>
      </w:r>
      <w:r w:rsidR="002907FD" w:rsidRPr="004A0633">
        <w:rPr>
          <w:rFonts w:cstheme="minorHAnsi"/>
          <w:bCs/>
          <w:lang w:val="en-US"/>
        </w:rPr>
        <w:t>,</w:t>
      </w:r>
      <w:proofErr w:type="gramEnd"/>
      <w:r w:rsidR="002907FD" w:rsidRPr="004A0633">
        <w:rPr>
          <w:rFonts w:cstheme="minorHAnsi"/>
          <w:bCs/>
          <w:lang w:val="en-US"/>
        </w:rPr>
        <w:t xml:space="preserve"> while</w:t>
      </w:r>
      <w:r w:rsidR="00927C45" w:rsidRPr="004A0633">
        <w:rPr>
          <w:rFonts w:cstheme="minorHAnsi"/>
          <w:bCs/>
          <w:lang w:val="en-US"/>
        </w:rPr>
        <w:t xml:space="preserve"> this is not a requirement outside credit institutions. </w:t>
      </w:r>
      <w:r w:rsidR="00FB25F3" w:rsidRPr="004A0633">
        <w:rPr>
          <w:rFonts w:cstheme="minorHAnsi"/>
          <w:bCs/>
          <w:lang w:val="en-US"/>
        </w:rPr>
        <w:t>Otherwise, t</w:t>
      </w:r>
      <w:r w:rsidR="00927C45" w:rsidRPr="004A0633">
        <w:rPr>
          <w:rFonts w:cstheme="minorHAnsi"/>
          <w:bCs/>
          <w:lang w:val="en-US"/>
        </w:rPr>
        <w:t xml:space="preserve">his would lead to major competitive distortions in the insurance and asset management industries.  </w:t>
      </w:r>
    </w:p>
    <w:p w:rsidR="00CF1626" w:rsidRPr="004A0633" w:rsidRDefault="00CF1626" w:rsidP="00CF1626">
      <w:pPr>
        <w:pStyle w:val="Paragraphedeliste"/>
        <w:autoSpaceDE w:val="0"/>
        <w:autoSpaceDN w:val="0"/>
        <w:adjustRightInd w:val="0"/>
        <w:spacing w:after="0" w:line="240" w:lineRule="auto"/>
        <w:jc w:val="both"/>
        <w:rPr>
          <w:rFonts w:cstheme="minorHAnsi"/>
          <w:bCs/>
          <w:lang w:val="en-US"/>
        </w:rPr>
      </w:pPr>
    </w:p>
    <w:p w:rsidR="00871E11" w:rsidRPr="004A0633" w:rsidRDefault="00871E11" w:rsidP="0090066C">
      <w:pPr>
        <w:spacing w:after="0" w:line="240" w:lineRule="auto"/>
        <w:jc w:val="both"/>
        <w:rPr>
          <w:rFonts w:cstheme="minorHAnsi"/>
          <w:lang w:val="en-US"/>
        </w:rPr>
      </w:pPr>
    </w:p>
    <w:p w:rsidR="00927C45" w:rsidRPr="004A0633" w:rsidRDefault="008F138C" w:rsidP="008751AA">
      <w:pPr>
        <w:pStyle w:val="Paragraphedeliste"/>
        <w:numPr>
          <w:ilvl w:val="0"/>
          <w:numId w:val="10"/>
        </w:numPr>
        <w:spacing w:after="0" w:line="240" w:lineRule="auto"/>
        <w:ind w:left="284" w:hanging="284"/>
        <w:jc w:val="both"/>
        <w:rPr>
          <w:rFonts w:cstheme="minorHAnsi"/>
          <w:b/>
          <w:lang w:val="en-GB"/>
        </w:rPr>
      </w:pPr>
      <w:r w:rsidRPr="008F138C">
        <w:rPr>
          <w:rFonts w:cstheme="minorHAnsi"/>
          <w:noProof/>
          <w:lang w:eastAsia="fr-FR"/>
        </w:rPr>
        <w:lastRenderedPageBreak/>
        <w:pict>
          <v:rect id="_x0000_s1042" style="position:absolute;left:0;text-align:left;margin-left:-8.6pt;margin-top:-1.55pt;width:475.7pt;height:693.75pt;z-index:-251648000;visibility:visible;mso-wrap-style:square;mso-wrap-distance-left:9pt;mso-wrap-distance-top:0;mso-wrap-distance-right:9pt;mso-wrap-distance-bottom:0;mso-position-horizontal-relative:text;mso-position-vertical-relative:text;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" fillcolor="#f2f2f2 [3052]" strokecolor="black [3213]" strokeweight=".5pt">
            <v:path arrowok="t"/>
          </v:rect>
        </w:pict>
      </w:r>
      <w:r w:rsidR="00927C45" w:rsidRPr="004A0633">
        <w:rPr>
          <w:rFonts w:cstheme="minorHAnsi"/>
          <w:b/>
          <w:lang w:val="en-GB"/>
        </w:rPr>
        <w:t>Proportionality principle to individuals</w:t>
      </w:r>
    </w:p>
    <w:p w:rsidR="00AE6B91" w:rsidRPr="004A0633" w:rsidRDefault="00AE6B91" w:rsidP="00AE6B91">
      <w:pPr>
        <w:pStyle w:val="Paragraphedeliste"/>
        <w:spacing w:after="0" w:line="240" w:lineRule="auto"/>
        <w:ind w:left="284"/>
        <w:jc w:val="both"/>
        <w:rPr>
          <w:rFonts w:cstheme="minorHAnsi"/>
          <w:b/>
          <w:lang w:val="en-GB"/>
        </w:rPr>
      </w:pPr>
    </w:p>
    <w:p w:rsidR="00871E11" w:rsidRPr="004A0633" w:rsidRDefault="00927C45" w:rsidP="0090066C">
      <w:pPr>
        <w:spacing w:after="0" w:line="240" w:lineRule="auto"/>
        <w:jc w:val="both"/>
        <w:rPr>
          <w:rFonts w:cstheme="minorHAnsi"/>
          <w:lang w:val="en-US"/>
        </w:rPr>
      </w:pPr>
      <w:r w:rsidRPr="004A0633">
        <w:rPr>
          <w:rFonts w:cstheme="minorHAnsi"/>
          <w:lang w:val="en-US"/>
        </w:rPr>
        <w:t xml:space="preserve">French Banks would request that the EBA maintains a broader application of the proportionality principles as it was allowed within the previous CEBS remuneration guidelines, with the possible neutralization of some requirements, mainly on payment conditions (i.e. deferral and instruments), </w:t>
      </w:r>
      <w:r w:rsidR="007E797D">
        <w:rPr>
          <w:rFonts w:cstheme="minorHAnsi"/>
          <w:lang w:val="en-US"/>
        </w:rPr>
        <w:t>and</w:t>
      </w:r>
      <w:r w:rsidR="00CF1626">
        <w:rPr>
          <w:rFonts w:cstheme="minorHAnsi"/>
          <w:lang w:val="en-US"/>
        </w:rPr>
        <w:t xml:space="preserve"> </w:t>
      </w:r>
      <w:r w:rsidRPr="004A0633">
        <w:rPr>
          <w:rFonts w:cstheme="minorHAnsi"/>
          <w:lang w:val="en-US"/>
        </w:rPr>
        <w:t xml:space="preserve">defines a single </w:t>
      </w:r>
      <w:r w:rsidRPr="004A0633">
        <w:rPr>
          <w:rFonts w:cstheme="minorHAnsi"/>
          <w:i/>
          <w:lang w:val="en-US"/>
        </w:rPr>
        <w:t xml:space="preserve">de </w:t>
      </w:r>
      <w:proofErr w:type="spellStart"/>
      <w:r w:rsidRPr="004A0633">
        <w:rPr>
          <w:rFonts w:cstheme="minorHAnsi"/>
          <w:i/>
          <w:lang w:val="en-US"/>
        </w:rPr>
        <w:t>minimis</w:t>
      </w:r>
      <w:proofErr w:type="spellEnd"/>
      <w:r w:rsidRPr="004A0633">
        <w:rPr>
          <w:rFonts w:cstheme="minorHAnsi"/>
          <w:lang w:val="en-US"/>
        </w:rPr>
        <w:t xml:space="preserve"> threshold that could be applicable consistently to the EU banking industry, below which requirements relating to deferral, payment in instruments, retention periods could be neutralized</w:t>
      </w:r>
      <w:r w:rsidR="00987274" w:rsidRPr="004A0633">
        <w:rPr>
          <w:rFonts w:cstheme="minorHAnsi"/>
          <w:lang w:val="en-US"/>
        </w:rPr>
        <w:t>.</w:t>
      </w:r>
      <w:r w:rsidR="00F75559">
        <w:rPr>
          <w:rFonts w:cstheme="minorHAnsi"/>
          <w:lang w:val="en-US"/>
        </w:rPr>
        <w:t xml:space="preserve"> </w:t>
      </w:r>
      <w:r w:rsidR="00755EED">
        <w:rPr>
          <w:rFonts w:cstheme="minorHAnsi"/>
          <w:lang w:val="en-US"/>
        </w:rPr>
        <w:t xml:space="preserve">A threshold of </w:t>
      </w:r>
      <w:r w:rsidR="00F75559">
        <w:rPr>
          <w:rFonts w:cstheme="minorHAnsi"/>
          <w:lang w:val="en-US"/>
        </w:rPr>
        <w:t xml:space="preserve">100 k€ would </w:t>
      </w:r>
      <w:r w:rsidR="00755EED">
        <w:rPr>
          <w:rFonts w:cstheme="minorHAnsi"/>
          <w:lang w:val="en-US"/>
        </w:rPr>
        <w:t xml:space="preserve">seem reasonable, taking into account market considerations and operational constraints in terms of management of deferral (100 k€ corresponding to </w:t>
      </w:r>
      <w:r w:rsidR="00842227">
        <w:rPr>
          <w:rFonts w:cstheme="minorHAnsi"/>
          <w:lang w:val="en-US"/>
        </w:rPr>
        <w:t xml:space="preserve">annual </w:t>
      </w:r>
      <w:r w:rsidR="00755EED">
        <w:rPr>
          <w:rFonts w:cstheme="minorHAnsi"/>
          <w:lang w:val="en-US"/>
        </w:rPr>
        <w:t xml:space="preserve">deferred installments of </w:t>
      </w:r>
      <w:r w:rsidR="007663CF">
        <w:rPr>
          <w:rFonts w:cstheme="minorHAnsi"/>
          <w:lang w:val="en-US"/>
        </w:rPr>
        <w:t>6.6 K€ in cash and 6.6K€ in instrument</w:t>
      </w:r>
      <w:bookmarkStart w:id="0" w:name="_GoBack"/>
      <w:bookmarkEnd w:id="0"/>
      <w:r w:rsidR="00842227">
        <w:rPr>
          <w:rFonts w:cstheme="minorHAnsi"/>
          <w:lang w:val="en-US"/>
        </w:rPr>
        <w:t>s</w:t>
      </w:r>
      <w:r w:rsidR="00755EED">
        <w:rPr>
          <w:rFonts w:cstheme="minorHAnsi"/>
          <w:lang w:val="en-US"/>
        </w:rPr>
        <w:t>)</w:t>
      </w:r>
      <w:r w:rsidR="00F75559">
        <w:rPr>
          <w:rFonts w:cstheme="minorHAnsi"/>
          <w:lang w:val="en-US"/>
        </w:rPr>
        <w:t xml:space="preserve"> </w:t>
      </w:r>
    </w:p>
    <w:p w:rsidR="00871E11" w:rsidRPr="004A0633" w:rsidRDefault="00871E11" w:rsidP="0090066C">
      <w:pPr>
        <w:spacing w:after="0" w:line="240" w:lineRule="auto"/>
        <w:jc w:val="both"/>
        <w:rPr>
          <w:rFonts w:cstheme="minorHAnsi"/>
          <w:lang w:val="en-US"/>
        </w:rPr>
      </w:pPr>
    </w:p>
    <w:p w:rsidR="00927C45" w:rsidRPr="004A0633" w:rsidRDefault="00927C45" w:rsidP="008751AA">
      <w:pPr>
        <w:pStyle w:val="Paragraphedeliste"/>
        <w:numPr>
          <w:ilvl w:val="0"/>
          <w:numId w:val="10"/>
        </w:numPr>
        <w:spacing w:after="0" w:line="240" w:lineRule="auto"/>
        <w:ind w:left="284" w:hanging="284"/>
        <w:jc w:val="both"/>
        <w:rPr>
          <w:rFonts w:cstheme="minorHAnsi"/>
          <w:b/>
          <w:lang w:val="en-GB"/>
        </w:rPr>
      </w:pPr>
      <w:r w:rsidRPr="004A0633">
        <w:rPr>
          <w:rFonts w:cstheme="minorHAnsi"/>
          <w:b/>
          <w:lang w:val="en-GB"/>
        </w:rPr>
        <w:t>Remuneration structure</w:t>
      </w:r>
    </w:p>
    <w:p w:rsidR="00CE428E" w:rsidRPr="004A0633" w:rsidRDefault="00927C45" w:rsidP="00587CF4">
      <w:pPr>
        <w:spacing w:after="0" w:line="240" w:lineRule="auto"/>
        <w:jc w:val="both"/>
        <w:rPr>
          <w:rFonts w:cstheme="minorHAnsi"/>
          <w:bCs/>
          <w:lang w:val="en-US"/>
        </w:rPr>
      </w:pPr>
      <w:r w:rsidRPr="004A0633">
        <w:rPr>
          <w:rFonts w:cstheme="minorHAnsi"/>
          <w:u w:val="single"/>
          <w:lang w:val="en-US"/>
        </w:rPr>
        <w:t>Use of instruments for the payment of variable compensation</w:t>
      </w:r>
      <w:r w:rsidR="00587CF4" w:rsidRPr="004A0633">
        <w:rPr>
          <w:rFonts w:cstheme="minorHAnsi"/>
          <w:lang w:val="en-US"/>
        </w:rPr>
        <w:t xml:space="preserve">: </w:t>
      </w:r>
      <w:r w:rsidRPr="004A0633">
        <w:rPr>
          <w:rFonts w:cstheme="minorHAnsi"/>
          <w:bCs/>
          <w:lang w:val="en-US"/>
        </w:rPr>
        <w:t xml:space="preserve">French Banks would appreciate that EBA maintains flexibility </w:t>
      </w:r>
      <w:r w:rsidR="00F75559">
        <w:rPr>
          <w:rFonts w:cstheme="minorHAnsi"/>
          <w:bCs/>
          <w:lang w:val="en-US"/>
        </w:rPr>
        <w:t xml:space="preserve">and simplicity </w:t>
      </w:r>
      <w:r w:rsidRPr="004A0633">
        <w:rPr>
          <w:rFonts w:cstheme="minorHAnsi"/>
          <w:bCs/>
          <w:lang w:val="en-US"/>
        </w:rPr>
        <w:t>on the use of</w:t>
      </w:r>
      <w:r w:rsidR="00F75559">
        <w:rPr>
          <w:rFonts w:cstheme="minorHAnsi"/>
          <w:bCs/>
          <w:lang w:val="en-US"/>
        </w:rPr>
        <w:t>:</w:t>
      </w:r>
    </w:p>
    <w:p w:rsidR="00CE428E" w:rsidRPr="004A0633" w:rsidRDefault="00CE428E" w:rsidP="00CE428E">
      <w:pPr>
        <w:pStyle w:val="Paragraphedeliste"/>
        <w:numPr>
          <w:ilvl w:val="0"/>
          <w:numId w:val="33"/>
        </w:numPr>
        <w:autoSpaceDE w:val="0"/>
        <w:autoSpaceDN w:val="0"/>
        <w:adjustRightInd w:val="0"/>
        <w:spacing w:after="0" w:line="240" w:lineRule="auto"/>
        <w:ind w:left="426" w:hanging="425"/>
        <w:jc w:val="both"/>
        <w:rPr>
          <w:rFonts w:cstheme="minorHAnsi"/>
          <w:bCs/>
          <w:lang w:val="en-US"/>
        </w:rPr>
      </w:pPr>
      <w:proofErr w:type="gramStart"/>
      <w:r w:rsidRPr="004A0633">
        <w:rPr>
          <w:rFonts w:cstheme="minorHAnsi"/>
          <w:bCs/>
          <w:lang w:val="en-US"/>
        </w:rPr>
        <w:t>share-type</w:t>
      </w:r>
      <w:proofErr w:type="gramEnd"/>
      <w:r w:rsidRPr="004A0633">
        <w:rPr>
          <w:rFonts w:cstheme="minorHAnsi"/>
          <w:bCs/>
          <w:lang w:val="en-US"/>
        </w:rPr>
        <w:t xml:space="preserve"> </w:t>
      </w:r>
      <w:r w:rsidR="00927C45" w:rsidRPr="004A0633">
        <w:rPr>
          <w:rFonts w:cstheme="minorHAnsi"/>
          <w:bCs/>
          <w:lang w:val="en-US"/>
        </w:rPr>
        <w:t xml:space="preserve">instruments for the payment of variable compensation. Indeed, the payment into share-linked instruments </w:t>
      </w:r>
      <w:r w:rsidR="00F75559">
        <w:rPr>
          <w:rFonts w:cstheme="minorHAnsi"/>
          <w:bCs/>
          <w:lang w:val="en-US"/>
        </w:rPr>
        <w:t xml:space="preserve">can be applied uniformly on a worldwide basis, which is not the case of shares (different legal, regulatory, accounting and tax constraints and formalities depending on the countries). In the same time, it </w:t>
      </w:r>
      <w:r w:rsidR="00927C45" w:rsidRPr="004A0633">
        <w:rPr>
          <w:rFonts w:cstheme="minorHAnsi"/>
          <w:bCs/>
          <w:lang w:val="en-US"/>
        </w:rPr>
        <w:t xml:space="preserve">has exactly the same effect as payment into shares in terms </w:t>
      </w:r>
      <w:r w:rsidR="00842227">
        <w:rPr>
          <w:rFonts w:cstheme="minorHAnsi"/>
          <w:bCs/>
          <w:lang w:val="en-US"/>
        </w:rPr>
        <w:t>of risk alignment with the long-</w:t>
      </w:r>
      <w:r w:rsidR="00927C45" w:rsidRPr="004A0633">
        <w:rPr>
          <w:rFonts w:cstheme="minorHAnsi"/>
          <w:bCs/>
          <w:lang w:val="en-US"/>
        </w:rPr>
        <w:t>term interest</w:t>
      </w:r>
      <w:r w:rsidR="00842227">
        <w:rPr>
          <w:rFonts w:cstheme="minorHAnsi"/>
          <w:bCs/>
          <w:lang w:val="en-US"/>
        </w:rPr>
        <w:t>s</w:t>
      </w:r>
      <w:r w:rsidR="00927C45" w:rsidRPr="004A0633">
        <w:rPr>
          <w:rFonts w:cstheme="minorHAnsi"/>
          <w:bCs/>
          <w:lang w:val="en-US"/>
        </w:rPr>
        <w:t xml:space="preserve"> of the institutions and with </w:t>
      </w:r>
      <w:r w:rsidR="00842227">
        <w:rPr>
          <w:rFonts w:cstheme="minorHAnsi"/>
          <w:bCs/>
          <w:lang w:val="en-US"/>
        </w:rPr>
        <w:t xml:space="preserve">those of </w:t>
      </w:r>
      <w:r w:rsidR="00927C45" w:rsidRPr="004A0633">
        <w:rPr>
          <w:rFonts w:cstheme="minorHAnsi"/>
          <w:bCs/>
          <w:lang w:val="en-US"/>
        </w:rPr>
        <w:t>the shareholders</w:t>
      </w:r>
      <w:r w:rsidR="00F75559">
        <w:rPr>
          <w:rFonts w:cstheme="minorHAnsi"/>
          <w:bCs/>
          <w:lang w:val="en-US"/>
        </w:rPr>
        <w:t xml:space="preserve">. Finally, </w:t>
      </w:r>
      <w:r w:rsidR="0013604B">
        <w:rPr>
          <w:rFonts w:cstheme="minorHAnsi"/>
          <w:bCs/>
          <w:lang w:val="en-US"/>
        </w:rPr>
        <w:t>i</w:t>
      </w:r>
      <w:r w:rsidR="00927C45" w:rsidRPr="004A0633">
        <w:rPr>
          <w:rFonts w:cstheme="minorHAnsi"/>
          <w:bCs/>
          <w:lang w:val="en-US"/>
        </w:rPr>
        <w:t>t is</w:t>
      </w:r>
      <w:r w:rsidR="00CF1626">
        <w:rPr>
          <w:rFonts w:cstheme="minorHAnsi"/>
          <w:bCs/>
          <w:lang w:val="en-US"/>
        </w:rPr>
        <w:t xml:space="preserve"> </w:t>
      </w:r>
      <w:r w:rsidR="00927C45" w:rsidRPr="004A0633">
        <w:rPr>
          <w:rFonts w:cstheme="minorHAnsi"/>
          <w:bCs/>
          <w:lang w:val="en-US"/>
        </w:rPr>
        <w:t>operationally much less complex</w:t>
      </w:r>
      <w:r w:rsidR="00F75559">
        <w:rPr>
          <w:rFonts w:cstheme="minorHAnsi"/>
          <w:bCs/>
          <w:lang w:val="en-US"/>
        </w:rPr>
        <w:t>.</w:t>
      </w:r>
      <w:r w:rsidRPr="004A0633">
        <w:rPr>
          <w:rFonts w:cstheme="minorHAnsi"/>
          <w:bCs/>
          <w:lang w:val="en-US"/>
        </w:rPr>
        <w:t xml:space="preserve"> </w:t>
      </w:r>
    </w:p>
    <w:p w:rsidR="00927C45" w:rsidRPr="004A0633" w:rsidRDefault="00CE428E" w:rsidP="00CE428E">
      <w:pPr>
        <w:pStyle w:val="Paragraphedeliste"/>
        <w:numPr>
          <w:ilvl w:val="0"/>
          <w:numId w:val="33"/>
        </w:numPr>
        <w:autoSpaceDE w:val="0"/>
        <w:autoSpaceDN w:val="0"/>
        <w:adjustRightInd w:val="0"/>
        <w:spacing w:after="0" w:line="240" w:lineRule="auto"/>
        <w:ind w:left="426" w:hanging="425"/>
        <w:jc w:val="both"/>
        <w:rPr>
          <w:rFonts w:cstheme="minorHAnsi"/>
          <w:bCs/>
          <w:lang w:val="en-US"/>
        </w:rPr>
      </w:pPr>
      <w:proofErr w:type="gramStart"/>
      <w:r w:rsidRPr="004A0633">
        <w:rPr>
          <w:rFonts w:cstheme="minorHAnsi"/>
          <w:bCs/>
          <w:lang w:val="en-US"/>
        </w:rPr>
        <w:t>contingent</w:t>
      </w:r>
      <w:proofErr w:type="gramEnd"/>
      <w:r w:rsidRPr="004A0633">
        <w:rPr>
          <w:rFonts w:cstheme="minorHAnsi"/>
          <w:bCs/>
          <w:lang w:val="en-US"/>
        </w:rPr>
        <w:t xml:space="preserve"> capital instruments which are quite complex to put in place in particular for “retail” populations. The possibility to use them for specific populations should be offered but not the obligation to put them in place for the entire MRT population. It should also be possible to use synthetic instruments as for shares.</w:t>
      </w:r>
    </w:p>
    <w:p w:rsidR="00871E11" w:rsidRPr="004A0633" w:rsidRDefault="00871E11" w:rsidP="0090066C">
      <w:pPr>
        <w:spacing w:after="0" w:line="240" w:lineRule="auto"/>
        <w:jc w:val="both"/>
        <w:rPr>
          <w:rFonts w:cstheme="minorHAnsi"/>
          <w:lang w:val="en-US"/>
        </w:rPr>
      </w:pPr>
    </w:p>
    <w:p w:rsidR="00927C45" w:rsidRPr="004A0633" w:rsidRDefault="00927C45" w:rsidP="00927C45">
      <w:pPr>
        <w:spacing w:after="0" w:line="240" w:lineRule="auto"/>
        <w:jc w:val="both"/>
        <w:rPr>
          <w:rFonts w:cstheme="minorHAnsi"/>
          <w:bCs/>
          <w:lang w:val="en-US"/>
        </w:rPr>
      </w:pPr>
      <w:r w:rsidRPr="004A0633">
        <w:rPr>
          <w:rFonts w:cstheme="minorHAnsi"/>
          <w:u w:val="single"/>
          <w:lang w:val="en-US"/>
        </w:rPr>
        <w:t>Performance-based long-term incentive plans (LTIPs)</w:t>
      </w:r>
      <w:r w:rsidR="00587CF4" w:rsidRPr="00842227">
        <w:rPr>
          <w:rFonts w:cstheme="minorHAnsi"/>
          <w:lang w:val="en-US"/>
        </w:rPr>
        <w:t xml:space="preserve">: </w:t>
      </w:r>
      <w:r w:rsidRPr="004A0633">
        <w:rPr>
          <w:rFonts w:cstheme="minorHAnsi"/>
          <w:bCs/>
          <w:lang w:val="en-US"/>
        </w:rPr>
        <w:t>French banks suggest that EBA reexamine LTIP definition and that awards under LTIPs subject to performance conditions continue to be considered as deferred variable compensation for the purpose of the ratio calculation at their fair market value at the award date, in compliance with the previous CEBS remuneration guidelines.</w:t>
      </w:r>
    </w:p>
    <w:p w:rsidR="00871E11" w:rsidRPr="004A0633" w:rsidRDefault="00871E11" w:rsidP="0090066C">
      <w:pPr>
        <w:spacing w:after="0" w:line="240" w:lineRule="auto"/>
        <w:jc w:val="both"/>
        <w:rPr>
          <w:rFonts w:cstheme="minorHAnsi"/>
          <w:lang w:val="en-US"/>
        </w:rPr>
      </w:pPr>
    </w:p>
    <w:p w:rsidR="00AB25D8" w:rsidRPr="004A0633" w:rsidRDefault="00AB25D8" w:rsidP="00927C45">
      <w:pPr>
        <w:spacing w:after="0" w:line="240" w:lineRule="auto"/>
        <w:jc w:val="both"/>
        <w:rPr>
          <w:rFonts w:cstheme="minorHAnsi"/>
          <w:u w:val="single"/>
          <w:lang w:val="en-US"/>
        </w:rPr>
      </w:pPr>
      <w:r w:rsidRPr="004A0633">
        <w:rPr>
          <w:rFonts w:cstheme="minorHAnsi"/>
          <w:u w:val="single"/>
          <w:lang w:val="en-US"/>
        </w:rPr>
        <w:t>Retention period</w:t>
      </w:r>
      <w:r w:rsidR="00587CF4" w:rsidRPr="00842227">
        <w:rPr>
          <w:rFonts w:cstheme="minorHAnsi"/>
          <w:lang w:val="en-US"/>
        </w:rPr>
        <w:t xml:space="preserve">: </w:t>
      </w:r>
      <w:r w:rsidRPr="004A0633">
        <w:rPr>
          <w:rFonts w:cstheme="minorHAnsi"/>
          <w:bCs/>
          <w:lang w:val="en-US"/>
        </w:rPr>
        <w:t>French banks would suggest that the appropriate retention period shall clearly be defined according to the current market practices as a 6-month retention period to ensure a consistent application among EEA member states, or at least inferior to one year to avoid tax penalties to employees</w:t>
      </w:r>
      <w:r w:rsidR="00987274" w:rsidRPr="004A0633">
        <w:rPr>
          <w:rFonts w:cstheme="minorHAnsi"/>
          <w:bCs/>
          <w:lang w:val="en-US"/>
        </w:rPr>
        <w:t>.</w:t>
      </w:r>
    </w:p>
    <w:p w:rsidR="00AB25D8" w:rsidRPr="004A0633" w:rsidRDefault="00AB25D8" w:rsidP="00927C45">
      <w:pPr>
        <w:spacing w:after="0" w:line="240" w:lineRule="auto"/>
        <w:jc w:val="both"/>
        <w:rPr>
          <w:rFonts w:cstheme="minorHAnsi"/>
          <w:u w:val="single"/>
          <w:lang w:val="en-US"/>
        </w:rPr>
      </w:pPr>
    </w:p>
    <w:p w:rsidR="00927C45" w:rsidRPr="004A0633" w:rsidRDefault="00927C45" w:rsidP="00587CF4">
      <w:pPr>
        <w:spacing w:after="0" w:line="240" w:lineRule="auto"/>
        <w:jc w:val="both"/>
        <w:rPr>
          <w:rFonts w:cstheme="minorHAnsi"/>
          <w:lang w:val="en-US"/>
        </w:rPr>
      </w:pPr>
      <w:r w:rsidRPr="004A0633">
        <w:rPr>
          <w:rFonts w:cstheme="minorHAnsi"/>
          <w:u w:val="single"/>
          <w:lang w:val="en-US"/>
        </w:rPr>
        <w:t>Allowances</w:t>
      </w:r>
      <w:r w:rsidR="00587CF4" w:rsidRPr="00842227">
        <w:rPr>
          <w:rFonts w:cstheme="minorHAnsi"/>
          <w:lang w:val="en-US"/>
        </w:rPr>
        <w:t xml:space="preserve">: </w:t>
      </w:r>
      <w:r w:rsidRPr="004A0633">
        <w:rPr>
          <w:rFonts w:cstheme="minorHAnsi"/>
          <w:lang w:val="en-US"/>
        </w:rPr>
        <w:t xml:space="preserve">French banks consider that the definition is in contradiction with local labor law. Besides, even the base salary does not comply with the very strict definition. Indeed, it is based not only on the employee’s responsibilities but also on his/her expertise and experience. In addition, it can change, even if the job position remains the same. </w:t>
      </w:r>
    </w:p>
    <w:p w:rsidR="00927C45" w:rsidRPr="004A0633" w:rsidRDefault="00927C45" w:rsidP="00927C45">
      <w:pPr>
        <w:autoSpaceDE w:val="0"/>
        <w:autoSpaceDN w:val="0"/>
        <w:adjustRightInd w:val="0"/>
        <w:spacing w:after="0" w:line="240" w:lineRule="auto"/>
        <w:jc w:val="both"/>
        <w:rPr>
          <w:rFonts w:cstheme="minorHAnsi"/>
          <w:lang w:val="en-US"/>
        </w:rPr>
      </w:pPr>
    </w:p>
    <w:p w:rsidR="00871E11" w:rsidRPr="004A0633" w:rsidRDefault="00871E11" w:rsidP="0090066C">
      <w:pPr>
        <w:spacing w:after="0" w:line="240" w:lineRule="auto"/>
        <w:jc w:val="both"/>
        <w:rPr>
          <w:rFonts w:cstheme="minorHAnsi"/>
          <w:lang w:val="en-US"/>
        </w:rPr>
      </w:pPr>
    </w:p>
    <w:p w:rsidR="00927C45" w:rsidRPr="004A0633" w:rsidRDefault="00927C45" w:rsidP="008751AA">
      <w:pPr>
        <w:pStyle w:val="Paragraphedeliste"/>
        <w:numPr>
          <w:ilvl w:val="0"/>
          <w:numId w:val="10"/>
        </w:numPr>
        <w:spacing w:after="0" w:line="240" w:lineRule="auto"/>
        <w:ind w:left="284" w:hanging="284"/>
        <w:jc w:val="both"/>
        <w:rPr>
          <w:rFonts w:cstheme="minorHAnsi"/>
          <w:b/>
          <w:lang w:val="en-GB"/>
        </w:rPr>
      </w:pPr>
      <w:r w:rsidRPr="004A0633">
        <w:rPr>
          <w:rFonts w:cstheme="minorHAnsi"/>
          <w:b/>
          <w:lang w:val="en-GB"/>
        </w:rPr>
        <w:t>Governance of remuneration</w:t>
      </w:r>
    </w:p>
    <w:p w:rsidR="00AE6B91" w:rsidRPr="004A0633" w:rsidRDefault="00AE6B91" w:rsidP="00AE6B91">
      <w:pPr>
        <w:pStyle w:val="Paragraphedeliste"/>
        <w:spacing w:after="0" w:line="240" w:lineRule="auto"/>
        <w:ind w:left="284"/>
        <w:jc w:val="both"/>
        <w:rPr>
          <w:rFonts w:cstheme="minorHAnsi"/>
          <w:b/>
          <w:lang w:val="en-GB"/>
        </w:rPr>
      </w:pPr>
    </w:p>
    <w:p w:rsidR="00927C45" w:rsidRPr="004A0633" w:rsidRDefault="00927C45" w:rsidP="00D95FC9">
      <w:pPr>
        <w:pStyle w:val="Bulletlevel1"/>
        <w:numPr>
          <w:ilvl w:val="0"/>
          <w:numId w:val="0"/>
        </w:numPr>
        <w:spacing w:after="0" w:line="240" w:lineRule="auto"/>
        <w:rPr>
          <w:rFonts w:asciiTheme="minorHAnsi" w:eastAsia="Calibri" w:hAnsiTheme="minorHAnsi" w:cstheme="minorHAnsi"/>
          <w:color w:val="auto"/>
          <w:szCs w:val="22"/>
        </w:rPr>
      </w:pPr>
      <w:r w:rsidRPr="004A0633">
        <w:rPr>
          <w:rFonts w:asciiTheme="minorHAnsi" w:eastAsia="Calibri" w:hAnsiTheme="minorHAnsi" w:cstheme="minorHAnsi"/>
          <w:color w:val="auto"/>
          <w:szCs w:val="22"/>
        </w:rPr>
        <w:t xml:space="preserve">French Banks encourage the EBA to maintain the role of the remuneration committee and the supervisory board as it is defined in CRDIV, i.e. in charge of adopting and reviewing the general principles of remuneration policy and not reviewing the remuneration policy in all details. </w:t>
      </w:r>
    </w:p>
    <w:p w:rsidR="00987274" w:rsidRPr="004A0633" w:rsidRDefault="00927C45" w:rsidP="00D95FC9">
      <w:pPr>
        <w:pStyle w:val="Bulletlevel1"/>
        <w:numPr>
          <w:ilvl w:val="0"/>
          <w:numId w:val="0"/>
        </w:numPr>
        <w:spacing w:after="0" w:line="240" w:lineRule="auto"/>
        <w:rPr>
          <w:rFonts w:asciiTheme="minorHAnsi" w:eastAsia="Calibri" w:hAnsiTheme="minorHAnsi" w:cstheme="minorHAnsi"/>
          <w:color w:val="auto"/>
          <w:szCs w:val="22"/>
        </w:rPr>
      </w:pPr>
      <w:r w:rsidRPr="004A0633">
        <w:rPr>
          <w:rFonts w:asciiTheme="minorHAnsi" w:eastAsia="Calibri" w:hAnsiTheme="minorHAnsi" w:cstheme="minorHAnsi"/>
          <w:color w:val="auto"/>
          <w:szCs w:val="22"/>
        </w:rPr>
        <w:t>Furthermore, French banks would like to insist on the necessity to have EBA guidelines compliant with national laws and European directive requirements and not going beyond these national and European regulations.</w:t>
      </w:r>
    </w:p>
    <w:p w:rsidR="00987274" w:rsidRPr="004A0633" w:rsidRDefault="00987274" w:rsidP="00D95FC9">
      <w:pPr>
        <w:pStyle w:val="Bulletlevel1"/>
        <w:numPr>
          <w:ilvl w:val="0"/>
          <w:numId w:val="0"/>
        </w:numPr>
        <w:spacing w:after="0" w:line="240" w:lineRule="auto"/>
        <w:rPr>
          <w:rFonts w:asciiTheme="minorHAnsi" w:eastAsia="Calibri" w:hAnsiTheme="minorHAnsi" w:cstheme="minorHAnsi"/>
          <w:color w:val="auto"/>
          <w:szCs w:val="22"/>
        </w:rPr>
      </w:pPr>
    </w:p>
    <w:p w:rsidR="0025370F" w:rsidRPr="004A0633" w:rsidRDefault="0025370F" w:rsidP="00987274">
      <w:pPr>
        <w:spacing w:after="0" w:line="240" w:lineRule="auto"/>
        <w:jc w:val="both"/>
        <w:rPr>
          <w:rFonts w:cstheme="minorHAnsi"/>
          <w:b/>
          <w:bCs/>
          <w:lang w:val="en-US"/>
        </w:rPr>
      </w:pPr>
    </w:p>
    <w:p w:rsidR="0025370F" w:rsidRPr="004A0633" w:rsidRDefault="0025370F" w:rsidP="00987274">
      <w:pPr>
        <w:spacing w:after="0" w:line="240" w:lineRule="auto"/>
        <w:jc w:val="both"/>
        <w:rPr>
          <w:rFonts w:cstheme="minorHAnsi"/>
          <w:b/>
          <w:bCs/>
          <w:lang w:val="en-US"/>
        </w:rPr>
      </w:pPr>
    </w:p>
    <w:p w:rsidR="0025370F" w:rsidRPr="004A0633" w:rsidRDefault="008F138C" w:rsidP="00987274">
      <w:pPr>
        <w:spacing w:after="0" w:line="240" w:lineRule="auto"/>
        <w:jc w:val="both"/>
        <w:rPr>
          <w:rFonts w:cstheme="minorHAnsi"/>
          <w:b/>
          <w:bCs/>
          <w:lang w:val="en-US"/>
        </w:rPr>
      </w:pPr>
      <w:r w:rsidRPr="008F138C">
        <w:rPr>
          <w:rFonts w:cstheme="minorHAnsi"/>
          <w:noProof/>
          <w:lang w:eastAsia="fr-FR"/>
        </w:rPr>
        <w:pict>
          <v:rect id="_x0000_s1038" style="position:absolute;left:0;text-align:left;margin-left:-10.65pt;margin-top:5.7pt;width:477.75pt;height:230pt;z-index:-251650048;visibility:visible;mso-wrap-style:square;mso-width-percent:0;mso-wrap-distance-left:9pt;mso-wrap-distance-top:0;mso-wrap-distance-right:9pt;mso-wrap-distance-bottom:0;mso-position-horizontal-relative:text;mso-position-vertical-relative:text;mso-width-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" fillcolor="#f2f2f2 [3052]" strokecolor="black [3213]" strokeweight=".5pt">
            <v:path arrowok="t"/>
          </v:rect>
        </w:pict>
      </w:r>
    </w:p>
    <w:p w:rsidR="00987274" w:rsidRPr="004A0633" w:rsidRDefault="00987274" w:rsidP="00987274">
      <w:pPr>
        <w:spacing w:after="0" w:line="240" w:lineRule="auto"/>
        <w:jc w:val="both"/>
        <w:rPr>
          <w:rFonts w:cstheme="minorHAnsi"/>
          <w:b/>
          <w:bCs/>
          <w:lang w:val="en-US"/>
        </w:rPr>
      </w:pPr>
      <w:r w:rsidRPr="004A0633">
        <w:rPr>
          <w:rFonts w:cstheme="minorHAnsi"/>
          <w:b/>
          <w:bCs/>
          <w:lang w:val="en-US"/>
        </w:rPr>
        <w:t>Conclusion</w:t>
      </w:r>
    </w:p>
    <w:p w:rsidR="00987274" w:rsidRPr="004A0633" w:rsidRDefault="00987274" w:rsidP="00987274">
      <w:pPr>
        <w:autoSpaceDE w:val="0"/>
        <w:autoSpaceDN w:val="0"/>
        <w:adjustRightInd w:val="0"/>
        <w:spacing w:after="0" w:line="240" w:lineRule="auto"/>
        <w:jc w:val="both"/>
        <w:rPr>
          <w:rFonts w:cstheme="minorHAnsi"/>
          <w:bCs/>
          <w:lang w:val="en-US"/>
        </w:rPr>
      </w:pPr>
    </w:p>
    <w:p w:rsidR="00987274" w:rsidRPr="004A0633" w:rsidRDefault="00987274" w:rsidP="00987274">
      <w:pPr>
        <w:autoSpaceDE w:val="0"/>
        <w:autoSpaceDN w:val="0"/>
        <w:adjustRightInd w:val="0"/>
        <w:spacing w:after="0" w:line="240" w:lineRule="auto"/>
        <w:jc w:val="both"/>
        <w:rPr>
          <w:rFonts w:cstheme="minorHAnsi"/>
          <w:bCs/>
          <w:lang w:val="en-US"/>
        </w:rPr>
      </w:pPr>
      <w:r w:rsidRPr="004A0633">
        <w:rPr>
          <w:rFonts w:cstheme="minorHAnsi"/>
          <w:bCs/>
          <w:lang w:val="en-US"/>
        </w:rPr>
        <w:t xml:space="preserve">All the points raised in our </w:t>
      </w:r>
      <w:r w:rsidR="004A0633" w:rsidRPr="004A0633">
        <w:rPr>
          <w:rFonts w:cstheme="minorHAnsi"/>
          <w:bCs/>
          <w:lang w:val="en-US"/>
        </w:rPr>
        <w:t xml:space="preserve">different </w:t>
      </w:r>
      <w:r w:rsidRPr="004A0633">
        <w:rPr>
          <w:rFonts w:cstheme="minorHAnsi"/>
          <w:bCs/>
          <w:lang w:val="en-US"/>
        </w:rPr>
        <w:t xml:space="preserve">answers to the questions as well as other less significant changes introduced in the draft guidelines will have major impacts for all French and European Banks, increasing strongly the complexity </w:t>
      </w:r>
      <w:r w:rsidR="007B512A">
        <w:rPr>
          <w:rFonts w:cstheme="minorHAnsi"/>
          <w:bCs/>
          <w:lang w:val="en-US"/>
        </w:rPr>
        <w:t xml:space="preserve">and heterogeneity </w:t>
      </w:r>
      <w:r w:rsidRPr="004A0633">
        <w:rPr>
          <w:rFonts w:cstheme="minorHAnsi"/>
          <w:bCs/>
          <w:lang w:val="en-US"/>
        </w:rPr>
        <w:t xml:space="preserve">of implementation and leading to administrative burden and additional costs, without improving the risk alignment of the remuneration policies. </w:t>
      </w:r>
    </w:p>
    <w:p w:rsidR="00987274" w:rsidRPr="0013604B" w:rsidRDefault="00F30097" w:rsidP="00987274">
      <w:pPr>
        <w:pStyle w:val="Bulletlevel1"/>
        <w:numPr>
          <w:ilvl w:val="0"/>
          <w:numId w:val="0"/>
        </w:numPr>
        <w:spacing w:after="0" w:line="240" w:lineRule="auto"/>
        <w:rPr>
          <w:rFonts w:asciiTheme="minorHAnsi" w:hAnsiTheme="minorHAnsi" w:cstheme="minorHAnsi"/>
          <w:bCs/>
          <w:color w:val="auto"/>
          <w:szCs w:val="22"/>
          <w:lang w:val="en-US"/>
        </w:rPr>
      </w:pPr>
      <w:r w:rsidRPr="00F30097">
        <w:rPr>
          <w:rFonts w:asciiTheme="minorHAnsi" w:hAnsiTheme="minorHAnsi" w:cstheme="minorHAnsi"/>
          <w:bCs/>
          <w:color w:val="auto"/>
          <w:szCs w:val="22"/>
          <w:lang w:val="en-US"/>
        </w:rPr>
        <w:t>Moreover, these new requirements more stringent than CRDIV will extend the gap with the FSB principles applicable worldwide to all banking institutions and worsen the uneven playing field for EEA based institutions compared to their peers based in third countries.</w:t>
      </w:r>
    </w:p>
    <w:p w:rsidR="00987274" w:rsidRPr="004A0633" w:rsidRDefault="00987274" w:rsidP="00987274">
      <w:pPr>
        <w:pStyle w:val="Bulletlevel1"/>
        <w:numPr>
          <w:ilvl w:val="0"/>
          <w:numId w:val="0"/>
        </w:numPr>
        <w:spacing w:after="0" w:line="240" w:lineRule="auto"/>
        <w:rPr>
          <w:rFonts w:asciiTheme="minorHAnsi" w:hAnsiTheme="minorHAnsi" w:cstheme="minorHAnsi"/>
          <w:bCs/>
          <w:szCs w:val="22"/>
          <w:lang w:val="en-US"/>
        </w:rPr>
      </w:pPr>
    </w:p>
    <w:p w:rsidR="00987274" w:rsidRPr="004A0633" w:rsidRDefault="00987274" w:rsidP="00987274">
      <w:pPr>
        <w:pStyle w:val="Bulletlevel1"/>
        <w:numPr>
          <w:ilvl w:val="0"/>
          <w:numId w:val="0"/>
        </w:numPr>
        <w:spacing w:after="0" w:line="240" w:lineRule="auto"/>
        <w:rPr>
          <w:rFonts w:asciiTheme="minorHAnsi" w:hAnsiTheme="minorHAnsi" w:cstheme="minorHAnsi"/>
          <w:bCs/>
          <w:szCs w:val="22"/>
          <w:lang w:val="en-US"/>
        </w:rPr>
      </w:pPr>
      <w:r w:rsidRPr="004A0633">
        <w:rPr>
          <w:rFonts w:asciiTheme="minorHAnsi" w:eastAsia="Calibri" w:hAnsiTheme="minorHAnsi" w:cstheme="minorHAnsi"/>
          <w:b/>
          <w:color w:val="auto"/>
          <w:szCs w:val="22"/>
        </w:rPr>
        <w:t>French Banks encourage the EBA to maintain a sufficient level of flexibility</w:t>
      </w:r>
      <w:r w:rsidR="007B512A">
        <w:rPr>
          <w:rFonts w:asciiTheme="minorHAnsi" w:eastAsia="Calibri" w:hAnsiTheme="minorHAnsi" w:cstheme="minorHAnsi"/>
          <w:b/>
          <w:color w:val="auto"/>
          <w:szCs w:val="22"/>
        </w:rPr>
        <w:t>, simplification and harmonization</w:t>
      </w:r>
      <w:r w:rsidRPr="004A0633">
        <w:rPr>
          <w:rFonts w:asciiTheme="minorHAnsi" w:eastAsia="Calibri" w:hAnsiTheme="minorHAnsi" w:cstheme="minorHAnsi"/>
          <w:b/>
          <w:color w:val="auto"/>
          <w:szCs w:val="22"/>
        </w:rPr>
        <w:t xml:space="preserve"> in their Remuneration Guidelines, which would not prevent from complying with the ultimate policy objective of an appropriate alignment of risk and reward, and to be less strict on the interpretation of the proportionality principle to ensure a level playing field within the banking sector.</w:t>
      </w:r>
    </w:p>
    <w:p w:rsidR="00987274" w:rsidRDefault="00987274" w:rsidP="00987274">
      <w:pPr>
        <w:pStyle w:val="Paragraphedeliste"/>
        <w:spacing w:after="0" w:line="240" w:lineRule="auto"/>
        <w:ind w:left="743"/>
        <w:rPr>
          <w:rFonts w:cstheme="minorHAnsi"/>
          <w:lang w:val="en-US"/>
        </w:rPr>
      </w:pPr>
    </w:p>
    <w:p w:rsidR="00987274" w:rsidRPr="001B36D2" w:rsidRDefault="00987274" w:rsidP="00987274">
      <w:pPr>
        <w:spacing w:after="0" w:line="240" w:lineRule="auto"/>
        <w:rPr>
          <w:rFonts w:cstheme="minorHAnsi"/>
          <w:lang w:val="en-US"/>
        </w:rPr>
      </w:pPr>
    </w:p>
    <w:p w:rsidR="002B34BA" w:rsidRPr="001649F4" w:rsidRDefault="002B34BA" w:rsidP="005C2B9F">
      <w:pPr>
        <w:spacing w:after="0" w:line="240" w:lineRule="auto"/>
        <w:jc w:val="both"/>
        <w:rPr>
          <w:rFonts w:cstheme="minorHAnsi"/>
          <w:b/>
          <w:bCs/>
          <w:color w:val="0070C0"/>
          <w:lang w:val="en-US"/>
        </w:rPr>
      </w:pPr>
    </w:p>
    <w:sectPr w:rsidR="002B34BA" w:rsidRPr="001649F4" w:rsidSect="00D929B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9E7" w:rsidRDefault="002109E7" w:rsidP="001A5FF3">
      <w:pPr>
        <w:spacing w:after="0" w:line="240" w:lineRule="auto"/>
      </w:pPr>
      <w:r>
        <w:separator/>
      </w:r>
    </w:p>
  </w:endnote>
  <w:endnote w:type="continuationSeparator" w:id="0">
    <w:p w:rsidR="002109E7" w:rsidRDefault="002109E7" w:rsidP="001A5F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ill Sans MT">
    <w:altName w:val="Segoe UI"/>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3967299"/>
      <w:docPartObj>
        <w:docPartGallery w:val="Page Numbers (Bottom of Page)"/>
        <w:docPartUnique/>
      </w:docPartObj>
    </w:sdtPr>
    <w:sdtContent>
      <w:p w:rsidR="000F5F9D" w:rsidRDefault="008F138C">
        <w:pPr>
          <w:pStyle w:val="Pieddepage"/>
          <w:jc w:val="right"/>
        </w:pPr>
        <w:r>
          <w:fldChar w:fldCharType="begin"/>
        </w:r>
        <w:r w:rsidR="004843D8">
          <w:instrText>PAGE   \* MERGEFORMAT</w:instrText>
        </w:r>
        <w:r>
          <w:fldChar w:fldCharType="separate"/>
        </w:r>
        <w:r w:rsidR="00842227">
          <w:rPr>
            <w:noProof/>
          </w:rPr>
          <w:t>2</w:t>
        </w:r>
        <w:r>
          <w:rPr>
            <w:noProof/>
          </w:rPr>
          <w:fldChar w:fldCharType="end"/>
        </w:r>
      </w:p>
    </w:sdtContent>
  </w:sdt>
  <w:p w:rsidR="000F5F9D" w:rsidRDefault="0084222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9E7" w:rsidRDefault="002109E7" w:rsidP="001A5FF3">
      <w:pPr>
        <w:spacing w:after="0" w:line="240" w:lineRule="auto"/>
      </w:pPr>
      <w:r>
        <w:separator/>
      </w:r>
    </w:p>
  </w:footnote>
  <w:footnote w:type="continuationSeparator" w:id="0">
    <w:p w:rsidR="002109E7" w:rsidRDefault="002109E7" w:rsidP="001A5F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F9D" w:rsidRDefault="00987274">
    <w:pPr>
      <w:pStyle w:val="En-tte"/>
    </w:pPr>
    <w:r>
      <w:t>04/06/2015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74.05pt;height:61.15pt" o:bullet="t">
        <v:imagedata r:id="rId1" o:title="PUCE_ORANGE"/>
      </v:shape>
    </w:pict>
  </w:numPicBullet>
  <w:numPicBullet w:numPicBulletId="1">
    <w:pict>
      <v:shape id="_x0000_i1067" type="#_x0000_t75" style="width:74.05pt;height:61.15pt" o:bullet="t">
        <v:imagedata r:id="rId2" o:title="PUCE_VERTE"/>
      </v:shape>
    </w:pict>
  </w:numPicBullet>
  <w:numPicBullet w:numPicBulletId="2">
    <w:pict>
      <v:shape id="_x0000_i1068" type="#_x0000_t75" style="width:74.05pt;height:61.15pt" o:bullet="t">
        <v:imagedata r:id="rId3" o:title="PUCE_MAGENTA"/>
      </v:shape>
    </w:pict>
  </w:numPicBullet>
  <w:numPicBullet w:numPicBulletId="3">
    <w:pict>
      <v:shape id="_x0000_i1069" type="#_x0000_t75" style="width:74.05pt;height:61.15pt" o:bullet="t">
        <v:imagedata r:id="rId4" o:title="PUCE_BLEUE"/>
      </v:shape>
    </w:pict>
  </w:numPicBullet>
  <w:abstractNum w:abstractNumId="0">
    <w:nsid w:val="012632F9"/>
    <w:multiLevelType w:val="hybridMultilevel"/>
    <w:tmpl w:val="5900D408"/>
    <w:lvl w:ilvl="0" w:tplc="1652C850">
      <w:start w:val="1"/>
      <w:numFmt w:val="lowerRoman"/>
      <w:lvlText w:val="(%1)"/>
      <w:lvlJc w:val="left"/>
      <w:pPr>
        <w:ind w:left="765" w:hanging="72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
    <w:nsid w:val="0CA36D49"/>
    <w:multiLevelType w:val="hybridMultilevel"/>
    <w:tmpl w:val="6A9414D2"/>
    <w:lvl w:ilvl="0" w:tplc="F64C46F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98117B3"/>
    <w:multiLevelType w:val="hybridMultilevel"/>
    <w:tmpl w:val="1682C392"/>
    <w:lvl w:ilvl="0" w:tplc="F64C46F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B1D5AFC"/>
    <w:multiLevelType w:val="hybridMultilevel"/>
    <w:tmpl w:val="870A2A46"/>
    <w:lvl w:ilvl="0" w:tplc="75E09E8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3C45FED"/>
    <w:multiLevelType w:val="hybridMultilevel"/>
    <w:tmpl w:val="A9ACCBBC"/>
    <w:lvl w:ilvl="0" w:tplc="E8B029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438307C"/>
    <w:multiLevelType w:val="hybridMultilevel"/>
    <w:tmpl w:val="71DC78E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1B65B2B"/>
    <w:multiLevelType w:val="hybridMultilevel"/>
    <w:tmpl w:val="1682C392"/>
    <w:lvl w:ilvl="0" w:tplc="F64C46F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71146A4"/>
    <w:multiLevelType w:val="hybridMultilevel"/>
    <w:tmpl w:val="4D98316E"/>
    <w:lvl w:ilvl="0" w:tplc="4568F778">
      <w:numFmt w:val="bullet"/>
      <w:lvlText w:val="-"/>
      <w:lvlJc w:val="left"/>
      <w:pPr>
        <w:ind w:left="720" w:hanging="360"/>
      </w:pPr>
      <w:rPr>
        <w:rFonts w:ascii="Calibri" w:eastAsiaTheme="minorHAnsi" w:hAnsi="Calibri" w:cs="Calibri" w:hint="default"/>
      </w:rPr>
    </w:lvl>
    <w:lvl w:ilvl="1" w:tplc="040C0005">
      <w:start w:val="1"/>
      <w:numFmt w:val="bullet"/>
      <w:lvlText w:val=""/>
      <w:lvlJc w:val="left"/>
      <w:pPr>
        <w:ind w:left="1440" w:hanging="360"/>
      </w:pPr>
      <w:rPr>
        <w:rFonts w:ascii="Wingdings" w:hAnsi="Wingdings" w:hint="default"/>
      </w:rPr>
    </w:lvl>
    <w:lvl w:ilvl="2" w:tplc="F644338C">
      <w:start w:val="1"/>
      <w:numFmt w:val="bullet"/>
      <w:lvlText w:val="-"/>
      <w:lvlJc w:val="left"/>
      <w:pPr>
        <w:ind w:left="2160" w:hanging="360"/>
      </w:pPr>
      <w:rPr>
        <w:rFonts w:ascii="Calibri" w:eastAsia="Calibri" w:hAnsi="Calibri" w:cs="Calibri"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81714BC"/>
    <w:multiLevelType w:val="hybridMultilevel"/>
    <w:tmpl w:val="58704B26"/>
    <w:lvl w:ilvl="0" w:tplc="EB107B1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A7A2726"/>
    <w:multiLevelType w:val="hybridMultilevel"/>
    <w:tmpl w:val="0B7E63F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D930419"/>
    <w:multiLevelType w:val="hybridMultilevel"/>
    <w:tmpl w:val="B284DE12"/>
    <w:lvl w:ilvl="0" w:tplc="EB107B1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E38256A"/>
    <w:multiLevelType w:val="hybridMultilevel"/>
    <w:tmpl w:val="6E2028C2"/>
    <w:lvl w:ilvl="0" w:tplc="4568F77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E4A56EE"/>
    <w:multiLevelType w:val="hybridMultilevel"/>
    <w:tmpl w:val="7724281A"/>
    <w:lvl w:ilvl="0" w:tplc="2A58E660">
      <w:start w:val="1"/>
      <w:numFmt w:val="bullet"/>
      <w:lvlText w:val=""/>
      <w:lvlJc w:val="left"/>
      <w:pPr>
        <w:ind w:left="720" w:hanging="360"/>
      </w:pPr>
      <w:rPr>
        <w:rFonts w:ascii="Wingdings" w:hAnsi="Wingdings" w:hint="default"/>
        <w:color w:val="00808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EB91177"/>
    <w:multiLevelType w:val="hybridMultilevel"/>
    <w:tmpl w:val="7188D52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1A46E94"/>
    <w:multiLevelType w:val="hybridMultilevel"/>
    <w:tmpl w:val="CCC8C532"/>
    <w:lvl w:ilvl="0" w:tplc="EBCC948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1D663A3"/>
    <w:multiLevelType w:val="hybridMultilevel"/>
    <w:tmpl w:val="BF444B64"/>
    <w:lvl w:ilvl="0" w:tplc="040C0001">
      <w:start w:val="1"/>
      <w:numFmt w:val="bullet"/>
      <w:lvlText w:val=""/>
      <w:lvlJc w:val="left"/>
      <w:pPr>
        <w:ind w:left="720" w:hanging="360"/>
      </w:pPr>
      <w:rPr>
        <w:rFonts w:ascii="Symbol" w:hAnsi="Symbol" w:hint="default"/>
        <w:color w:val="auto"/>
      </w:rPr>
    </w:lvl>
    <w:lvl w:ilvl="1" w:tplc="040C0001">
      <w:start w:val="1"/>
      <w:numFmt w:val="bullet"/>
      <w:lvlText w:val=""/>
      <w:lvlJc w:val="left"/>
      <w:pPr>
        <w:tabs>
          <w:tab w:val="num" w:pos="1440"/>
        </w:tabs>
        <w:ind w:left="1440" w:hanging="360"/>
      </w:pPr>
      <w:rPr>
        <w:rFonts w:ascii="Symbol" w:hAnsi="Symbol" w:hint="default"/>
      </w:rPr>
    </w:lvl>
    <w:lvl w:ilvl="2" w:tplc="040C0001">
      <w:start w:val="1"/>
      <w:numFmt w:val="bullet"/>
      <w:lvlText w:val=""/>
      <w:lvlJc w:val="left"/>
      <w:pPr>
        <w:tabs>
          <w:tab w:val="num" w:pos="2160"/>
        </w:tabs>
        <w:ind w:left="2160" w:hanging="360"/>
      </w:pPr>
      <w:rPr>
        <w:rFonts w:ascii="Symbol" w:hAnsi="Symbol" w:hint="default"/>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6">
    <w:nsid w:val="48B767F8"/>
    <w:multiLevelType w:val="hybridMultilevel"/>
    <w:tmpl w:val="EAFEAD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9947B88"/>
    <w:multiLevelType w:val="hybridMultilevel"/>
    <w:tmpl w:val="524A4166"/>
    <w:lvl w:ilvl="0" w:tplc="11589E24">
      <w:start w:val="101"/>
      <w:numFmt w:val="bullet"/>
      <w:lvlText w:val="-"/>
      <w:lvlJc w:val="left"/>
      <w:pPr>
        <w:ind w:left="2508" w:hanging="360"/>
      </w:pPr>
      <w:rPr>
        <w:rFonts w:ascii="Arial Narrow" w:eastAsia="Calibri" w:hAnsi="Arial Narrow" w:cs="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nsid w:val="4AB970C8"/>
    <w:multiLevelType w:val="hybridMultilevel"/>
    <w:tmpl w:val="0224978C"/>
    <w:lvl w:ilvl="0" w:tplc="040C0001">
      <w:start w:val="1"/>
      <w:numFmt w:val="bullet"/>
      <w:lvlText w:val=""/>
      <w:lvlJc w:val="left"/>
      <w:pPr>
        <w:ind w:left="720" w:hanging="360"/>
      </w:pPr>
      <w:rPr>
        <w:rFonts w:ascii="Symbol" w:hAnsi="Symbol" w:hint="default"/>
        <w:color w:val="auto"/>
      </w:rPr>
    </w:lvl>
    <w:lvl w:ilvl="1" w:tplc="040C0001">
      <w:start w:val="1"/>
      <w:numFmt w:val="bullet"/>
      <w:lvlText w:val=""/>
      <w:lvlJc w:val="left"/>
      <w:pPr>
        <w:tabs>
          <w:tab w:val="num" w:pos="1440"/>
        </w:tabs>
        <w:ind w:left="1440" w:hanging="360"/>
      </w:pPr>
      <w:rPr>
        <w:rFonts w:ascii="Symbol" w:hAnsi="Symbol" w:hint="default"/>
      </w:rPr>
    </w:lvl>
    <w:lvl w:ilvl="2" w:tplc="F644338C">
      <w:start w:val="1"/>
      <w:numFmt w:val="bullet"/>
      <w:lvlText w:val="-"/>
      <w:lvlJc w:val="left"/>
      <w:pPr>
        <w:tabs>
          <w:tab w:val="num" w:pos="2160"/>
        </w:tabs>
        <w:ind w:left="2160" w:hanging="360"/>
      </w:pPr>
      <w:rPr>
        <w:rFonts w:ascii="Calibri" w:eastAsia="Calibri" w:hAnsi="Calibri" w:cs="Calibri" w:hint="default"/>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9">
    <w:nsid w:val="504D63D6"/>
    <w:multiLevelType w:val="hybridMultilevel"/>
    <w:tmpl w:val="917CD7DA"/>
    <w:lvl w:ilvl="0" w:tplc="4568F77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8A14F77"/>
    <w:multiLevelType w:val="hybridMultilevel"/>
    <w:tmpl w:val="E03E6C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C823DB8"/>
    <w:multiLevelType w:val="hybridMultilevel"/>
    <w:tmpl w:val="DF58DE3C"/>
    <w:lvl w:ilvl="0" w:tplc="EB107B1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CE15F62"/>
    <w:multiLevelType w:val="hybridMultilevel"/>
    <w:tmpl w:val="B4BE6440"/>
    <w:lvl w:ilvl="0" w:tplc="9CB69D50">
      <w:start w:val="28"/>
      <w:numFmt w:val="bullet"/>
      <w:lvlText w:val="-"/>
      <w:lvlJc w:val="left"/>
      <w:pPr>
        <w:ind w:left="720" w:hanging="360"/>
      </w:pPr>
      <w:rPr>
        <w:rFonts w:ascii="Calibri" w:eastAsia="Calibri" w:hAnsi="Calibri" w:cs="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3">
    <w:nsid w:val="5DB65D28"/>
    <w:multiLevelType w:val="hybridMultilevel"/>
    <w:tmpl w:val="365AACE8"/>
    <w:lvl w:ilvl="0" w:tplc="F64C46F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E0D5C99"/>
    <w:multiLevelType w:val="multilevel"/>
    <w:tmpl w:val="6C5C9628"/>
    <w:lvl w:ilvl="0">
      <w:start w:val="1"/>
      <w:numFmt w:val="bullet"/>
      <w:lvlText w:val=""/>
      <w:lvlPicBulletId w:val="0"/>
      <w:lvlJc w:val="left"/>
      <w:pPr>
        <w:tabs>
          <w:tab w:val="num" w:pos="454"/>
        </w:tabs>
        <w:ind w:left="454" w:hanging="454"/>
      </w:pPr>
      <w:rPr>
        <w:rFonts w:ascii="Symbol" w:hAnsi="Symbol" w:hint="default"/>
        <w:color w:val="auto"/>
      </w:rPr>
    </w:lvl>
    <w:lvl w:ilvl="1">
      <w:start w:val="1"/>
      <w:numFmt w:val="bullet"/>
      <w:lvlText w:val=""/>
      <w:lvlPicBulletId w:val="1"/>
      <w:lvlJc w:val="left"/>
      <w:pPr>
        <w:tabs>
          <w:tab w:val="num" w:pos="720"/>
        </w:tabs>
        <w:ind w:left="720" w:hanging="360"/>
      </w:pPr>
      <w:rPr>
        <w:rFonts w:ascii="Symbol" w:hAnsi="Symbol" w:hint="default"/>
        <w:color w:val="auto"/>
      </w:rPr>
    </w:lvl>
    <w:lvl w:ilvl="2">
      <w:start w:val="1"/>
      <w:numFmt w:val="bullet"/>
      <w:lvlText w:val=""/>
      <w:lvlPicBulletId w:val="2"/>
      <w:lvlJc w:val="left"/>
      <w:pPr>
        <w:tabs>
          <w:tab w:val="num" w:pos="1080"/>
        </w:tabs>
        <w:ind w:left="1080" w:hanging="360"/>
      </w:pPr>
      <w:rPr>
        <w:rFonts w:ascii="Symbol" w:hAnsi="Symbol" w:hint="default"/>
        <w:color w:val="auto"/>
      </w:rPr>
    </w:lvl>
    <w:lvl w:ilvl="3">
      <w:start w:val="1"/>
      <w:numFmt w:val="bullet"/>
      <w:lvlText w:val=""/>
      <w:lvlPicBulletId w:val="3"/>
      <w:lvlJc w:val="left"/>
      <w:pPr>
        <w:tabs>
          <w:tab w:val="num" w:pos="1440"/>
        </w:tabs>
        <w:ind w:left="1440" w:hanging="360"/>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nsid w:val="5E5C30C1"/>
    <w:multiLevelType w:val="hybridMultilevel"/>
    <w:tmpl w:val="B8BE0696"/>
    <w:lvl w:ilvl="0" w:tplc="7B6083C6">
      <w:start w:val="93"/>
      <w:numFmt w:val="bullet"/>
      <w:lvlText w:val=""/>
      <w:lvlJc w:val="left"/>
      <w:pPr>
        <w:ind w:left="420" w:hanging="360"/>
      </w:pPr>
      <w:rPr>
        <w:rFonts w:ascii="Wingdings" w:eastAsiaTheme="minorHAnsi" w:hAnsi="Wingdings" w:cs="Calibr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6">
    <w:nsid w:val="639A53BA"/>
    <w:multiLevelType w:val="hybridMultilevel"/>
    <w:tmpl w:val="AD7C0D4C"/>
    <w:lvl w:ilvl="0" w:tplc="040C0005">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7">
    <w:nsid w:val="65E54039"/>
    <w:multiLevelType w:val="hybridMultilevel"/>
    <w:tmpl w:val="169E256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nsid w:val="67822C6B"/>
    <w:multiLevelType w:val="hybridMultilevel"/>
    <w:tmpl w:val="05608A00"/>
    <w:lvl w:ilvl="0" w:tplc="EB107B1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8D57FA5"/>
    <w:multiLevelType w:val="hybridMultilevel"/>
    <w:tmpl w:val="1682C392"/>
    <w:lvl w:ilvl="0" w:tplc="F64C46F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0554ECD"/>
    <w:multiLevelType w:val="hybridMultilevel"/>
    <w:tmpl w:val="630AEA88"/>
    <w:lvl w:ilvl="0" w:tplc="290C0EA8">
      <w:start w:val="1"/>
      <w:numFmt w:val="bullet"/>
      <w:pStyle w:val="Bulletlevel1"/>
      <w:lvlText w:val=""/>
      <w:lvlJc w:val="left"/>
      <w:pPr>
        <w:ind w:left="360" w:hanging="360"/>
      </w:pPr>
      <w:rPr>
        <w:rFonts w:ascii="Symbol" w:hAnsi="Symbol" w:hint="default"/>
        <w:color w:val="A6A6A6" w:themeColor="background1" w:themeShade="A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0A53EFC"/>
    <w:multiLevelType w:val="hybridMultilevel"/>
    <w:tmpl w:val="31F883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E5A1EB3"/>
    <w:multiLevelType w:val="hybridMultilevel"/>
    <w:tmpl w:val="DA0C9F24"/>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28"/>
  </w:num>
  <w:num w:numId="4">
    <w:abstractNumId w:val="27"/>
  </w:num>
  <w:num w:numId="5">
    <w:abstractNumId w:val="30"/>
  </w:num>
  <w:num w:numId="6">
    <w:abstractNumId w:val="4"/>
  </w:num>
  <w:num w:numId="7">
    <w:abstractNumId w:val="19"/>
  </w:num>
  <w:num w:numId="8">
    <w:abstractNumId w:val="8"/>
  </w:num>
  <w:num w:numId="9">
    <w:abstractNumId w:val="21"/>
  </w:num>
  <w:num w:numId="10">
    <w:abstractNumId w:val="2"/>
  </w:num>
  <w:num w:numId="11">
    <w:abstractNumId w:val="10"/>
  </w:num>
  <w:num w:numId="12">
    <w:abstractNumId w:val="32"/>
  </w:num>
  <w:num w:numId="13">
    <w:abstractNumId w:val="16"/>
  </w:num>
  <w:num w:numId="14">
    <w:abstractNumId w:val="13"/>
  </w:num>
  <w:num w:numId="15">
    <w:abstractNumId w:val="7"/>
  </w:num>
  <w:num w:numId="16">
    <w:abstractNumId w:val="26"/>
  </w:num>
  <w:num w:numId="17">
    <w:abstractNumId w:val="31"/>
  </w:num>
  <w:num w:numId="18">
    <w:abstractNumId w:val="9"/>
  </w:num>
  <w:num w:numId="19">
    <w:abstractNumId w:val="30"/>
  </w:num>
  <w:num w:numId="20">
    <w:abstractNumId w:val="14"/>
  </w:num>
  <w:num w:numId="21">
    <w:abstractNumId w:val="20"/>
  </w:num>
  <w:num w:numId="22">
    <w:abstractNumId w:val="5"/>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8"/>
  </w:num>
  <w:num w:numId="26">
    <w:abstractNumId w:val="15"/>
  </w:num>
  <w:num w:numId="27">
    <w:abstractNumId w:val="3"/>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6"/>
  </w:num>
  <w:num w:numId="31">
    <w:abstractNumId w:val="12"/>
  </w:num>
  <w:num w:numId="32">
    <w:abstractNumId w:val="0"/>
  </w:num>
  <w:num w:numId="33">
    <w:abstractNumId w:val="23"/>
  </w:num>
  <w:num w:numId="34">
    <w:abstractNumId w:val="30"/>
  </w:num>
  <w:num w:numId="35">
    <w:abstractNumId w:val="29"/>
  </w:num>
  <w:num w:numId="3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rsids>
    <w:rsidRoot w:val="00001377"/>
    <w:rsid w:val="00001377"/>
    <w:rsid w:val="00020BE3"/>
    <w:rsid w:val="00040C32"/>
    <w:rsid w:val="00077AC8"/>
    <w:rsid w:val="000841E1"/>
    <w:rsid w:val="000A3DEC"/>
    <w:rsid w:val="000D1C39"/>
    <w:rsid w:val="000F51C3"/>
    <w:rsid w:val="0013604B"/>
    <w:rsid w:val="001649F4"/>
    <w:rsid w:val="001D161B"/>
    <w:rsid w:val="002109E7"/>
    <w:rsid w:val="0025370F"/>
    <w:rsid w:val="002907FD"/>
    <w:rsid w:val="002977C8"/>
    <w:rsid w:val="002B3222"/>
    <w:rsid w:val="002B34BA"/>
    <w:rsid w:val="002D2D69"/>
    <w:rsid w:val="00303D5B"/>
    <w:rsid w:val="003227D6"/>
    <w:rsid w:val="0032786F"/>
    <w:rsid w:val="00351576"/>
    <w:rsid w:val="00383214"/>
    <w:rsid w:val="003E159D"/>
    <w:rsid w:val="0042298A"/>
    <w:rsid w:val="00423316"/>
    <w:rsid w:val="004843D8"/>
    <w:rsid w:val="004A0633"/>
    <w:rsid w:val="00505649"/>
    <w:rsid w:val="00506A53"/>
    <w:rsid w:val="00522191"/>
    <w:rsid w:val="00535FAC"/>
    <w:rsid w:val="00565F1A"/>
    <w:rsid w:val="00587CF4"/>
    <w:rsid w:val="0064334A"/>
    <w:rsid w:val="006935EC"/>
    <w:rsid w:val="006E522A"/>
    <w:rsid w:val="00740930"/>
    <w:rsid w:val="00755EED"/>
    <w:rsid w:val="007663CF"/>
    <w:rsid w:val="007716F6"/>
    <w:rsid w:val="007B512A"/>
    <w:rsid w:val="007E797D"/>
    <w:rsid w:val="00842227"/>
    <w:rsid w:val="00871E11"/>
    <w:rsid w:val="008751AA"/>
    <w:rsid w:val="008B1C43"/>
    <w:rsid w:val="008B520E"/>
    <w:rsid w:val="008D10EE"/>
    <w:rsid w:val="008F138C"/>
    <w:rsid w:val="00926CBA"/>
    <w:rsid w:val="00927C45"/>
    <w:rsid w:val="009479B6"/>
    <w:rsid w:val="00962CEF"/>
    <w:rsid w:val="00987274"/>
    <w:rsid w:val="00995DAF"/>
    <w:rsid w:val="00A4649C"/>
    <w:rsid w:val="00A67437"/>
    <w:rsid w:val="00A76563"/>
    <w:rsid w:val="00AB25D8"/>
    <w:rsid w:val="00AB64FF"/>
    <w:rsid w:val="00AD1D66"/>
    <w:rsid w:val="00AE6B91"/>
    <w:rsid w:val="00B0452D"/>
    <w:rsid w:val="00B3002A"/>
    <w:rsid w:val="00BD3FE3"/>
    <w:rsid w:val="00C07B0A"/>
    <w:rsid w:val="00C328D5"/>
    <w:rsid w:val="00C74830"/>
    <w:rsid w:val="00CB09C5"/>
    <w:rsid w:val="00CC517B"/>
    <w:rsid w:val="00CC6FF6"/>
    <w:rsid w:val="00CD3FB3"/>
    <w:rsid w:val="00CE428E"/>
    <w:rsid w:val="00CF1626"/>
    <w:rsid w:val="00D1692F"/>
    <w:rsid w:val="00D84C44"/>
    <w:rsid w:val="00D95FC9"/>
    <w:rsid w:val="00DD57C3"/>
    <w:rsid w:val="00EB007F"/>
    <w:rsid w:val="00EB3DA7"/>
    <w:rsid w:val="00EE4E18"/>
    <w:rsid w:val="00EF7249"/>
    <w:rsid w:val="00F13036"/>
    <w:rsid w:val="00F257E5"/>
    <w:rsid w:val="00F30097"/>
    <w:rsid w:val="00F40C0B"/>
    <w:rsid w:val="00F5298E"/>
    <w:rsid w:val="00F62CEC"/>
    <w:rsid w:val="00F65523"/>
    <w:rsid w:val="00F75559"/>
    <w:rsid w:val="00FB25F3"/>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17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1377"/>
    <w:pPr>
      <w:ind w:left="720"/>
      <w:contextualSpacing/>
    </w:pPr>
  </w:style>
  <w:style w:type="paragraph" w:styleId="En-tte">
    <w:name w:val="header"/>
    <w:basedOn w:val="Normal"/>
    <w:link w:val="En-tteCar"/>
    <w:uiPriority w:val="99"/>
    <w:unhideWhenUsed/>
    <w:rsid w:val="001A5FF3"/>
    <w:pPr>
      <w:tabs>
        <w:tab w:val="center" w:pos="4536"/>
        <w:tab w:val="right" w:pos="9072"/>
      </w:tabs>
      <w:spacing w:after="0" w:line="240" w:lineRule="auto"/>
    </w:pPr>
  </w:style>
  <w:style w:type="character" w:customStyle="1" w:styleId="En-tteCar">
    <w:name w:val="En-tête Car"/>
    <w:basedOn w:val="Policepardfaut"/>
    <w:link w:val="En-tte"/>
    <w:uiPriority w:val="99"/>
    <w:rsid w:val="001A5FF3"/>
  </w:style>
  <w:style w:type="paragraph" w:styleId="Pieddepage">
    <w:name w:val="footer"/>
    <w:basedOn w:val="Normal"/>
    <w:link w:val="PieddepageCar"/>
    <w:uiPriority w:val="99"/>
    <w:unhideWhenUsed/>
    <w:rsid w:val="001A5F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5FF3"/>
  </w:style>
  <w:style w:type="paragraph" w:customStyle="1" w:styleId="Default">
    <w:name w:val="Default"/>
    <w:uiPriority w:val="99"/>
    <w:rsid w:val="00D25A4F"/>
    <w:pPr>
      <w:autoSpaceDE w:val="0"/>
      <w:autoSpaceDN w:val="0"/>
      <w:adjustRightInd w:val="0"/>
      <w:spacing w:before="120" w:after="0" w:line="240" w:lineRule="auto"/>
      <w:jc w:val="both"/>
    </w:pPr>
    <w:rPr>
      <w:rFonts w:ascii="Cambria" w:hAnsi="Cambria" w:cs="Cambria"/>
      <w:color w:val="000000"/>
      <w:sz w:val="24"/>
      <w:szCs w:val="24"/>
      <w:lang w:val="en-US"/>
    </w:rPr>
  </w:style>
  <w:style w:type="paragraph" w:customStyle="1" w:styleId="Bulletlevel1">
    <w:name w:val="Bullet level 1"/>
    <w:basedOn w:val="Normal"/>
    <w:link w:val="Bulletlevel1Char"/>
    <w:uiPriority w:val="99"/>
    <w:qFormat/>
    <w:rsid w:val="00D25A4F"/>
    <w:pPr>
      <w:numPr>
        <w:numId w:val="5"/>
      </w:numPr>
      <w:suppressAutoHyphens/>
      <w:autoSpaceDE w:val="0"/>
      <w:autoSpaceDN w:val="0"/>
      <w:adjustRightInd w:val="0"/>
      <w:spacing w:after="120" w:line="264" w:lineRule="auto"/>
      <w:contextualSpacing/>
      <w:jc w:val="both"/>
      <w:textAlignment w:val="center"/>
    </w:pPr>
    <w:rPr>
      <w:rFonts w:ascii="Gill Sans MT" w:eastAsia="Gill Sans MT" w:hAnsi="Gill Sans MT" w:cs="Calibri"/>
      <w:color w:val="38383A"/>
      <w:szCs w:val="18"/>
      <w:lang w:val="en-GB"/>
    </w:rPr>
  </w:style>
  <w:style w:type="character" w:customStyle="1" w:styleId="Bulletlevel1Char">
    <w:name w:val="Bullet level 1 Char"/>
    <w:link w:val="Bulletlevel1"/>
    <w:uiPriority w:val="99"/>
    <w:rsid w:val="00D25A4F"/>
    <w:rPr>
      <w:rFonts w:ascii="Gill Sans MT" w:eastAsia="Gill Sans MT" w:hAnsi="Gill Sans MT" w:cs="Calibri"/>
      <w:color w:val="38383A"/>
      <w:szCs w:val="18"/>
      <w:lang w:val="en-GB"/>
    </w:rPr>
  </w:style>
  <w:style w:type="paragraph" w:styleId="Textedebulles">
    <w:name w:val="Balloon Text"/>
    <w:basedOn w:val="Normal"/>
    <w:link w:val="TextedebullesCar"/>
    <w:uiPriority w:val="99"/>
    <w:semiHidden/>
    <w:unhideWhenUsed/>
    <w:rsid w:val="005C2B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2B9F"/>
    <w:rPr>
      <w:rFonts w:ascii="Tahoma" w:hAnsi="Tahoma" w:cs="Tahoma"/>
      <w:sz w:val="16"/>
      <w:szCs w:val="16"/>
    </w:rPr>
  </w:style>
  <w:style w:type="character" w:styleId="Marquedecommentaire">
    <w:name w:val="annotation reference"/>
    <w:basedOn w:val="Policepardfaut"/>
    <w:uiPriority w:val="99"/>
    <w:semiHidden/>
    <w:unhideWhenUsed/>
    <w:rsid w:val="00D929BE"/>
    <w:rPr>
      <w:sz w:val="16"/>
      <w:szCs w:val="16"/>
    </w:rPr>
  </w:style>
  <w:style w:type="paragraph" w:styleId="Commentaire">
    <w:name w:val="annotation text"/>
    <w:basedOn w:val="Normal"/>
    <w:link w:val="CommentaireCar"/>
    <w:uiPriority w:val="99"/>
    <w:semiHidden/>
    <w:unhideWhenUsed/>
    <w:rsid w:val="00D929BE"/>
    <w:pPr>
      <w:spacing w:line="240" w:lineRule="auto"/>
    </w:pPr>
    <w:rPr>
      <w:sz w:val="20"/>
      <w:szCs w:val="20"/>
    </w:rPr>
  </w:style>
  <w:style w:type="character" w:customStyle="1" w:styleId="CommentaireCar">
    <w:name w:val="Commentaire Car"/>
    <w:basedOn w:val="Policepardfaut"/>
    <w:link w:val="Commentaire"/>
    <w:uiPriority w:val="99"/>
    <w:semiHidden/>
    <w:rsid w:val="00D929BE"/>
    <w:rPr>
      <w:sz w:val="20"/>
      <w:szCs w:val="20"/>
    </w:rPr>
  </w:style>
  <w:style w:type="paragraph" w:styleId="Objetducommentaire">
    <w:name w:val="annotation subject"/>
    <w:basedOn w:val="Commentaire"/>
    <w:next w:val="Commentaire"/>
    <w:link w:val="ObjetducommentaireCar"/>
    <w:uiPriority w:val="99"/>
    <w:semiHidden/>
    <w:unhideWhenUsed/>
    <w:rsid w:val="00D929BE"/>
    <w:rPr>
      <w:b/>
      <w:bCs/>
    </w:rPr>
  </w:style>
  <w:style w:type="character" w:customStyle="1" w:styleId="ObjetducommentaireCar">
    <w:name w:val="Objet du commentaire Car"/>
    <w:basedOn w:val="CommentaireCar"/>
    <w:link w:val="Objetducommentaire"/>
    <w:uiPriority w:val="99"/>
    <w:semiHidden/>
    <w:rsid w:val="00D929BE"/>
    <w:rPr>
      <w:b/>
      <w:bCs/>
      <w:sz w:val="20"/>
      <w:szCs w:val="20"/>
    </w:rPr>
  </w:style>
  <w:style w:type="paragraph" w:styleId="NormalWeb">
    <w:name w:val="Normal (Web)"/>
    <w:basedOn w:val="Normal"/>
    <w:uiPriority w:val="99"/>
    <w:rsid w:val="000F5F9D"/>
    <w:pPr>
      <w:spacing w:beforeLines="1" w:afterLines="1" w:line="240" w:lineRule="auto"/>
    </w:pPr>
    <w:rPr>
      <w:rFonts w:ascii="Times" w:hAnsi="Times" w:cs="Times New Roman"/>
      <w:sz w:val="20"/>
      <w:szCs w:val="20"/>
      <w:lang w:eastAsia="fr-FR"/>
    </w:rPr>
  </w:style>
  <w:style w:type="table" w:styleId="Grilledutableau">
    <w:name w:val="Table Grid"/>
    <w:basedOn w:val="TableauNormal"/>
    <w:uiPriority w:val="59"/>
    <w:rsid w:val="000F5F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M1">
    <w:name w:val="CM1"/>
    <w:basedOn w:val="Default"/>
    <w:next w:val="Default"/>
    <w:uiPriority w:val="99"/>
    <w:rsid w:val="009479B6"/>
    <w:pPr>
      <w:spacing w:before="0"/>
      <w:jc w:val="left"/>
    </w:pPr>
    <w:rPr>
      <w:rFonts w:ascii="EUAlbertina" w:hAnsi="EUAlbertina" w:cstheme="minorBidi"/>
      <w:color w:val="auto"/>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1377"/>
    <w:pPr>
      <w:ind w:left="720"/>
      <w:contextualSpacing/>
    </w:pPr>
  </w:style>
  <w:style w:type="paragraph" w:styleId="En-tte">
    <w:name w:val="header"/>
    <w:basedOn w:val="Normal"/>
    <w:link w:val="En-tteCar"/>
    <w:uiPriority w:val="99"/>
    <w:unhideWhenUsed/>
    <w:rsid w:val="001A5FF3"/>
    <w:pPr>
      <w:tabs>
        <w:tab w:val="center" w:pos="4536"/>
        <w:tab w:val="right" w:pos="9072"/>
      </w:tabs>
      <w:spacing w:after="0" w:line="240" w:lineRule="auto"/>
    </w:pPr>
  </w:style>
  <w:style w:type="character" w:customStyle="1" w:styleId="En-tteCar">
    <w:name w:val="En-tête Car"/>
    <w:basedOn w:val="Policepardfaut"/>
    <w:link w:val="En-tte"/>
    <w:uiPriority w:val="99"/>
    <w:rsid w:val="001A5FF3"/>
  </w:style>
  <w:style w:type="paragraph" w:styleId="Pieddepage">
    <w:name w:val="footer"/>
    <w:basedOn w:val="Normal"/>
    <w:link w:val="PieddepageCar"/>
    <w:uiPriority w:val="99"/>
    <w:unhideWhenUsed/>
    <w:rsid w:val="001A5F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5FF3"/>
  </w:style>
  <w:style w:type="paragraph" w:customStyle="1" w:styleId="Default">
    <w:name w:val="Default"/>
    <w:uiPriority w:val="99"/>
    <w:rsid w:val="00D25A4F"/>
    <w:pPr>
      <w:autoSpaceDE w:val="0"/>
      <w:autoSpaceDN w:val="0"/>
      <w:adjustRightInd w:val="0"/>
      <w:spacing w:before="120" w:after="0" w:line="240" w:lineRule="auto"/>
      <w:jc w:val="both"/>
    </w:pPr>
    <w:rPr>
      <w:rFonts w:ascii="Cambria" w:hAnsi="Cambria" w:cs="Cambria"/>
      <w:color w:val="000000"/>
      <w:sz w:val="24"/>
      <w:szCs w:val="24"/>
      <w:lang w:val="en-US"/>
    </w:rPr>
  </w:style>
  <w:style w:type="paragraph" w:customStyle="1" w:styleId="Bulletlevel1">
    <w:name w:val="Bullet level 1"/>
    <w:basedOn w:val="Normal"/>
    <w:link w:val="Bulletlevel1Char"/>
    <w:uiPriority w:val="99"/>
    <w:qFormat/>
    <w:rsid w:val="00D25A4F"/>
    <w:pPr>
      <w:numPr>
        <w:numId w:val="5"/>
      </w:numPr>
      <w:suppressAutoHyphens/>
      <w:autoSpaceDE w:val="0"/>
      <w:autoSpaceDN w:val="0"/>
      <w:adjustRightInd w:val="0"/>
      <w:spacing w:after="120" w:line="264" w:lineRule="auto"/>
      <w:contextualSpacing/>
      <w:jc w:val="both"/>
      <w:textAlignment w:val="center"/>
    </w:pPr>
    <w:rPr>
      <w:rFonts w:ascii="Gill Sans MT" w:eastAsia="Gill Sans MT" w:hAnsi="Gill Sans MT" w:cs="Calibri"/>
      <w:color w:val="38383A"/>
      <w:szCs w:val="18"/>
      <w:lang w:val="en-GB"/>
    </w:rPr>
  </w:style>
  <w:style w:type="character" w:customStyle="1" w:styleId="Bulletlevel1Char">
    <w:name w:val="Bullet level 1 Char"/>
    <w:link w:val="Bulletlevel1"/>
    <w:uiPriority w:val="99"/>
    <w:rsid w:val="00D25A4F"/>
    <w:rPr>
      <w:rFonts w:ascii="Gill Sans MT" w:eastAsia="Gill Sans MT" w:hAnsi="Gill Sans MT" w:cs="Calibri"/>
      <w:color w:val="38383A"/>
      <w:szCs w:val="18"/>
      <w:lang w:val="en-GB"/>
    </w:rPr>
  </w:style>
  <w:style w:type="paragraph" w:styleId="Textedebulles">
    <w:name w:val="Balloon Text"/>
    <w:basedOn w:val="Normal"/>
    <w:link w:val="TextedebullesCar"/>
    <w:uiPriority w:val="99"/>
    <w:semiHidden/>
    <w:unhideWhenUsed/>
    <w:rsid w:val="005C2B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2B9F"/>
    <w:rPr>
      <w:rFonts w:ascii="Tahoma" w:hAnsi="Tahoma" w:cs="Tahoma"/>
      <w:sz w:val="16"/>
      <w:szCs w:val="16"/>
    </w:rPr>
  </w:style>
  <w:style w:type="character" w:styleId="Marquedecommentaire">
    <w:name w:val="annotation reference"/>
    <w:basedOn w:val="Policepardfaut"/>
    <w:uiPriority w:val="99"/>
    <w:semiHidden/>
    <w:unhideWhenUsed/>
    <w:rsid w:val="00D929BE"/>
    <w:rPr>
      <w:sz w:val="16"/>
      <w:szCs w:val="16"/>
    </w:rPr>
  </w:style>
  <w:style w:type="paragraph" w:styleId="Commentaire">
    <w:name w:val="annotation text"/>
    <w:basedOn w:val="Normal"/>
    <w:link w:val="CommentaireCar"/>
    <w:uiPriority w:val="99"/>
    <w:semiHidden/>
    <w:unhideWhenUsed/>
    <w:rsid w:val="00D929BE"/>
    <w:pPr>
      <w:spacing w:line="240" w:lineRule="auto"/>
    </w:pPr>
    <w:rPr>
      <w:sz w:val="20"/>
      <w:szCs w:val="20"/>
    </w:rPr>
  </w:style>
  <w:style w:type="character" w:customStyle="1" w:styleId="CommentaireCar">
    <w:name w:val="Commentaire Car"/>
    <w:basedOn w:val="Policepardfaut"/>
    <w:link w:val="Commentaire"/>
    <w:uiPriority w:val="99"/>
    <w:semiHidden/>
    <w:rsid w:val="00D929BE"/>
    <w:rPr>
      <w:sz w:val="20"/>
      <w:szCs w:val="20"/>
    </w:rPr>
  </w:style>
  <w:style w:type="paragraph" w:styleId="Objetducommentaire">
    <w:name w:val="annotation subject"/>
    <w:basedOn w:val="Commentaire"/>
    <w:next w:val="Commentaire"/>
    <w:link w:val="ObjetducommentaireCar"/>
    <w:uiPriority w:val="99"/>
    <w:semiHidden/>
    <w:unhideWhenUsed/>
    <w:rsid w:val="00D929BE"/>
    <w:rPr>
      <w:b/>
      <w:bCs/>
    </w:rPr>
  </w:style>
  <w:style w:type="character" w:customStyle="1" w:styleId="ObjetducommentaireCar">
    <w:name w:val="Objet du commentaire Car"/>
    <w:basedOn w:val="CommentaireCar"/>
    <w:link w:val="Objetducommentaire"/>
    <w:uiPriority w:val="99"/>
    <w:semiHidden/>
    <w:rsid w:val="00D929BE"/>
    <w:rPr>
      <w:b/>
      <w:bCs/>
      <w:sz w:val="20"/>
      <w:szCs w:val="20"/>
    </w:rPr>
  </w:style>
  <w:style w:type="paragraph" w:styleId="NormalWeb">
    <w:name w:val="Normal (Web)"/>
    <w:basedOn w:val="Normal"/>
    <w:uiPriority w:val="99"/>
    <w:rsid w:val="000F5F9D"/>
    <w:pPr>
      <w:spacing w:beforeLines="1" w:afterLines="1" w:line="240" w:lineRule="auto"/>
    </w:pPr>
    <w:rPr>
      <w:rFonts w:ascii="Times" w:hAnsi="Times" w:cs="Times New Roman"/>
      <w:sz w:val="20"/>
      <w:szCs w:val="20"/>
      <w:lang w:eastAsia="fr-FR"/>
    </w:rPr>
  </w:style>
  <w:style w:type="table" w:styleId="Grilledutableau">
    <w:name w:val="Table Grid"/>
    <w:basedOn w:val="TableauNormal"/>
    <w:uiPriority w:val="59"/>
    <w:rsid w:val="000F5F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M1">
    <w:name w:val="CM1"/>
    <w:basedOn w:val="Default"/>
    <w:next w:val="Default"/>
    <w:uiPriority w:val="99"/>
    <w:rsid w:val="009479B6"/>
    <w:pPr>
      <w:spacing w:before="0"/>
      <w:jc w:val="left"/>
    </w:pPr>
    <w:rPr>
      <w:rFonts w:ascii="EUAlbertina" w:hAnsi="EUAlbertina" w:cstheme="minorBidi"/>
      <w:color w:val="auto"/>
      <w:lang w:val="fr-FR"/>
    </w:rPr>
  </w:style>
</w:styles>
</file>

<file path=word/webSettings.xml><?xml version="1.0" encoding="utf-8"?>
<w:webSettings xmlns:r="http://schemas.openxmlformats.org/officeDocument/2006/relationships" xmlns:w="http://schemas.openxmlformats.org/wordprocessingml/2006/main">
  <w:divs>
    <w:div w:id="300187519">
      <w:bodyDiv w:val="1"/>
      <w:marLeft w:val="0"/>
      <w:marRight w:val="0"/>
      <w:marTop w:val="0"/>
      <w:marBottom w:val="0"/>
      <w:divBdr>
        <w:top w:val="none" w:sz="0" w:space="0" w:color="auto"/>
        <w:left w:val="none" w:sz="0" w:space="0" w:color="auto"/>
        <w:bottom w:val="none" w:sz="0" w:space="0" w:color="auto"/>
        <w:right w:val="none" w:sz="0" w:space="0" w:color="auto"/>
      </w:divBdr>
      <w:divsChild>
        <w:div w:id="227304569">
          <w:marLeft w:val="0"/>
          <w:marRight w:val="0"/>
          <w:marTop w:val="0"/>
          <w:marBottom w:val="0"/>
          <w:divBdr>
            <w:top w:val="none" w:sz="0" w:space="0" w:color="auto"/>
            <w:left w:val="none" w:sz="0" w:space="0" w:color="auto"/>
            <w:bottom w:val="none" w:sz="0" w:space="0" w:color="auto"/>
            <w:right w:val="none" w:sz="0" w:space="0" w:color="auto"/>
          </w:divBdr>
          <w:divsChild>
            <w:div w:id="1095900876">
              <w:marLeft w:val="0"/>
              <w:marRight w:val="0"/>
              <w:marTop w:val="0"/>
              <w:marBottom w:val="0"/>
              <w:divBdr>
                <w:top w:val="none" w:sz="0" w:space="0" w:color="auto"/>
                <w:left w:val="none" w:sz="0" w:space="0" w:color="auto"/>
                <w:bottom w:val="none" w:sz="0" w:space="0" w:color="auto"/>
                <w:right w:val="none" w:sz="0" w:space="0" w:color="auto"/>
              </w:divBdr>
              <w:divsChild>
                <w:div w:id="1752006129">
                  <w:marLeft w:val="0"/>
                  <w:marRight w:val="0"/>
                  <w:marTop w:val="0"/>
                  <w:marBottom w:val="0"/>
                  <w:divBdr>
                    <w:top w:val="none" w:sz="0" w:space="0" w:color="auto"/>
                    <w:left w:val="none" w:sz="0" w:space="0" w:color="auto"/>
                    <w:bottom w:val="none" w:sz="0" w:space="0" w:color="auto"/>
                    <w:right w:val="none" w:sz="0" w:space="0" w:color="auto"/>
                  </w:divBdr>
                  <w:divsChild>
                    <w:div w:id="115294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239202">
      <w:bodyDiv w:val="1"/>
      <w:marLeft w:val="0"/>
      <w:marRight w:val="0"/>
      <w:marTop w:val="0"/>
      <w:marBottom w:val="0"/>
      <w:divBdr>
        <w:top w:val="none" w:sz="0" w:space="0" w:color="auto"/>
        <w:left w:val="none" w:sz="0" w:space="0" w:color="auto"/>
        <w:bottom w:val="none" w:sz="0" w:space="0" w:color="auto"/>
        <w:right w:val="none" w:sz="0" w:space="0" w:color="auto"/>
      </w:divBdr>
    </w:div>
    <w:div w:id="1670593569">
      <w:bodyDiv w:val="1"/>
      <w:marLeft w:val="0"/>
      <w:marRight w:val="0"/>
      <w:marTop w:val="0"/>
      <w:marBottom w:val="0"/>
      <w:divBdr>
        <w:top w:val="none" w:sz="0" w:space="0" w:color="auto"/>
        <w:left w:val="none" w:sz="0" w:space="0" w:color="auto"/>
        <w:bottom w:val="none" w:sz="0" w:space="0" w:color="auto"/>
        <w:right w:val="none" w:sz="0" w:space="0" w:color="auto"/>
      </w:divBdr>
      <w:divsChild>
        <w:div w:id="636761581">
          <w:marLeft w:val="0"/>
          <w:marRight w:val="0"/>
          <w:marTop w:val="0"/>
          <w:marBottom w:val="0"/>
          <w:divBdr>
            <w:top w:val="none" w:sz="0" w:space="0" w:color="auto"/>
            <w:left w:val="none" w:sz="0" w:space="0" w:color="auto"/>
            <w:bottom w:val="none" w:sz="0" w:space="0" w:color="auto"/>
            <w:right w:val="none" w:sz="0" w:space="0" w:color="auto"/>
          </w:divBdr>
          <w:divsChild>
            <w:div w:id="53941931">
              <w:marLeft w:val="0"/>
              <w:marRight w:val="0"/>
              <w:marTop w:val="0"/>
              <w:marBottom w:val="0"/>
              <w:divBdr>
                <w:top w:val="none" w:sz="0" w:space="0" w:color="auto"/>
                <w:left w:val="none" w:sz="0" w:space="0" w:color="auto"/>
                <w:bottom w:val="none" w:sz="0" w:space="0" w:color="auto"/>
                <w:right w:val="none" w:sz="0" w:space="0" w:color="auto"/>
              </w:divBdr>
              <w:divsChild>
                <w:div w:id="19687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AA733-F689-4E56-86E7-B57B08B35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1206</Words>
  <Characters>6639</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BNP Paribas</Company>
  <LinksUpToDate>false</LinksUpToDate>
  <CharactersWithSpaces>7830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196661</dc:creator>
  <cp:lastModifiedBy>HELENE LORENTZ (A132737)</cp:lastModifiedBy>
  <cp:revision>3</cp:revision>
  <cp:lastPrinted>2015-05-13T15:40:00Z</cp:lastPrinted>
  <dcterms:created xsi:type="dcterms:W3CDTF">2015-05-19T07:13:00Z</dcterms:created>
  <dcterms:modified xsi:type="dcterms:W3CDTF">2015-05-19T14:23:00Z</dcterms:modified>
</cp:coreProperties>
</file>