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24" w:rsidRPr="00F6484C" w:rsidRDefault="00F6484C" w:rsidP="00F6484C">
      <w:pPr>
        <w:pStyle w:val="ssPara1"/>
        <w:jc w:val="center"/>
        <w:rPr>
          <w:b/>
        </w:rPr>
      </w:pPr>
      <w:r>
        <w:rPr>
          <w:b/>
        </w:rPr>
        <w:t>Response to the EBA’s Consultation Paper on Draft Guidelines on Sound Remuneration Policies</w:t>
      </w:r>
    </w:p>
    <w:p w:rsidR="00C728C9" w:rsidRDefault="00C728C9" w:rsidP="00064251">
      <w:pPr>
        <w:pStyle w:val="Default"/>
        <w:rPr>
          <w:rFonts w:asciiTheme="majorHAnsi" w:hAnsiTheme="majorHAnsi" w:cstheme="majorHAnsi"/>
          <w:sz w:val="20"/>
          <w:szCs w:val="20"/>
        </w:rPr>
      </w:pPr>
      <w:r>
        <w:rPr>
          <w:rFonts w:asciiTheme="majorHAnsi" w:hAnsiTheme="majorHAnsi" w:cstheme="majorHAnsi"/>
          <w:sz w:val="20"/>
          <w:szCs w:val="20"/>
        </w:rPr>
        <w:t>Dear Sirs</w:t>
      </w:r>
    </w:p>
    <w:p w:rsidR="00EC564C" w:rsidRDefault="00EC564C" w:rsidP="00F6484C">
      <w:pPr>
        <w:pStyle w:val="Default"/>
        <w:rPr>
          <w:rFonts w:asciiTheme="majorHAnsi" w:hAnsiTheme="majorHAnsi" w:cstheme="majorHAnsi"/>
          <w:sz w:val="20"/>
          <w:szCs w:val="20"/>
        </w:rPr>
      </w:pPr>
    </w:p>
    <w:p w:rsidR="00F6484C" w:rsidRDefault="0097261B" w:rsidP="00F6484C">
      <w:pPr>
        <w:pStyle w:val="Default"/>
        <w:rPr>
          <w:rFonts w:asciiTheme="majorHAnsi" w:hAnsiTheme="majorHAnsi" w:cstheme="majorHAnsi"/>
          <w:sz w:val="20"/>
          <w:szCs w:val="20"/>
        </w:rPr>
      </w:pPr>
      <w:r>
        <w:rPr>
          <w:rFonts w:asciiTheme="majorHAnsi" w:hAnsiTheme="majorHAnsi" w:cstheme="majorHAnsi"/>
          <w:sz w:val="20"/>
          <w:szCs w:val="20"/>
        </w:rPr>
        <w:t>In response to the EBA’s Consultatio</w:t>
      </w:r>
      <w:r w:rsidR="00F1390E">
        <w:rPr>
          <w:rFonts w:asciiTheme="majorHAnsi" w:hAnsiTheme="majorHAnsi" w:cstheme="majorHAnsi"/>
          <w:sz w:val="20"/>
          <w:szCs w:val="20"/>
        </w:rPr>
        <w:t>n Paper on</w:t>
      </w:r>
      <w:r w:rsidR="002C1635">
        <w:rPr>
          <w:rFonts w:asciiTheme="majorHAnsi" w:hAnsiTheme="majorHAnsi" w:cstheme="majorHAnsi"/>
          <w:sz w:val="20"/>
          <w:szCs w:val="20"/>
        </w:rPr>
        <w:t xml:space="preserve"> the</w:t>
      </w:r>
      <w:r w:rsidR="00F1390E">
        <w:rPr>
          <w:rFonts w:asciiTheme="majorHAnsi" w:hAnsiTheme="majorHAnsi" w:cstheme="majorHAnsi"/>
          <w:sz w:val="20"/>
          <w:szCs w:val="20"/>
        </w:rPr>
        <w:t xml:space="preserve"> Draft Guidelines on s</w:t>
      </w:r>
      <w:r>
        <w:rPr>
          <w:rFonts w:asciiTheme="majorHAnsi" w:hAnsiTheme="majorHAnsi" w:cstheme="majorHAnsi"/>
          <w:sz w:val="20"/>
          <w:szCs w:val="20"/>
        </w:rPr>
        <w:t xml:space="preserve">ound </w:t>
      </w:r>
      <w:r w:rsidR="00F1390E">
        <w:rPr>
          <w:rFonts w:asciiTheme="majorHAnsi" w:hAnsiTheme="majorHAnsi" w:cstheme="majorHAnsi"/>
          <w:sz w:val="20"/>
          <w:szCs w:val="20"/>
        </w:rPr>
        <w:t>r</w:t>
      </w:r>
      <w:r>
        <w:rPr>
          <w:rFonts w:asciiTheme="majorHAnsi" w:hAnsiTheme="majorHAnsi" w:cstheme="majorHAnsi"/>
          <w:sz w:val="20"/>
          <w:szCs w:val="20"/>
        </w:rPr>
        <w:t>emuneration</w:t>
      </w:r>
      <w:r w:rsidR="00F94E79">
        <w:rPr>
          <w:rFonts w:asciiTheme="majorHAnsi" w:hAnsiTheme="majorHAnsi" w:cstheme="majorHAnsi"/>
          <w:sz w:val="20"/>
          <w:szCs w:val="20"/>
        </w:rPr>
        <w:t xml:space="preserve"> </w:t>
      </w:r>
      <w:r w:rsidR="00F1390E">
        <w:rPr>
          <w:rFonts w:asciiTheme="majorHAnsi" w:hAnsiTheme="majorHAnsi" w:cstheme="majorHAnsi"/>
          <w:sz w:val="20"/>
          <w:szCs w:val="20"/>
        </w:rPr>
        <w:t>p</w:t>
      </w:r>
      <w:r>
        <w:rPr>
          <w:rFonts w:asciiTheme="majorHAnsi" w:hAnsiTheme="majorHAnsi" w:cstheme="majorHAnsi"/>
          <w:sz w:val="20"/>
          <w:szCs w:val="20"/>
        </w:rPr>
        <w:t>olicies</w:t>
      </w:r>
      <w:r w:rsidR="00F94E79">
        <w:rPr>
          <w:rFonts w:asciiTheme="majorHAnsi" w:hAnsiTheme="majorHAnsi" w:cstheme="majorHAnsi"/>
          <w:sz w:val="20"/>
          <w:szCs w:val="20"/>
        </w:rPr>
        <w:t xml:space="preserve"> </w:t>
      </w:r>
      <w:r w:rsidR="002C1635">
        <w:rPr>
          <w:rFonts w:asciiTheme="majorHAnsi" w:hAnsiTheme="majorHAnsi" w:cstheme="majorHAnsi"/>
          <w:sz w:val="20"/>
          <w:szCs w:val="20"/>
        </w:rPr>
        <w:t xml:space="preserve">under Article 74(3) and 75 of Directive 2013/36/EU and disclosures under Article 450 of Regulation (EU) No 575/2013 </w:t>
      </w:r>
      <w:r w:rsidR="00F94E79">
        <w:rPr>
          <w:rFonts w:asciiTheme="majorHAnsi" w:hAnsiTheme="majorHAnsi" w:cstheme="majorHAnsi"/>
          <w:sz w:val="20"/>
          <w:szCs w:val="20"/>
        </w:rPr>
        <w:t xml:space="preserve">(the </w:t>
      </w:r>
      <w:r w:rsidR="005E46A8">
        <w:rPr>
          <w:rFonts w:asciiTheme="majorHAnsi" w:hAnsiTheme="majorHAnsi" w:cstheme="majorHAnsi"/>
          <w:sz w:val="20"/>
          <w:szCs w:val="20"/>
        </w:rPr>
        <w:t>“</w:t>
      </w:r>
      <w:r w:rsidR="00F94E79" w:rsidRPr="005E46A8">
        <w:rPr>
          <w:rFonts w:asciiTheme="majorHAnsi" w:hAnsiTheme="majorHAnsi" w:cstheme="majorHAnsi"/>
          <w:sz w:val="20"/>
          <w:szCs w:val="20"/>
        </w:rPr>
        <w:t>Draft Guidelines</w:t>
      </w:r>
      <w:r w:rsidR="005E46A8">
        <w:rPr>
          <w:rFonts w:asciiTheme="majorHAnsi" w:hAnsiTheme="majorHAnsi" w:cstheme="majorHAnsi"/>
          <w:sz w:val="20"/>
          <w:szCs w:val="20"/>
        </w:rPr>
        <w:t>”</w:t>
      </w:r>
      <w:r w:rsidR="00F94E79">
        <w:rPr>
          <w:rFonts w:asciiTheme="majorHAnsi" w:hAnsiTheme="majorHAnsi" w:cstheme="majorHAnsi"/>
          <w:sz w:val="20"/>
          <w:szCs w:val="20"/>
        </w:rPr>
        <w:t>)</w:t>
      </w:r>
      <w:r>
        <w:rPr>
          <w:rFonts w:asciiTheme="majorHAnsi" w:hAnsiTheme="majorHAnsi" w:cstheme="majorHAnsi"/>
          <w:sz w:val="20"/>
          <w:szCs w:val="20"/>
        </w:rPr>
        <w:t xml:space="preserve">, we set out below answers to those questions relating to matters of most significance to our clients. </w:t>
      </w:r>
      <w:r w:rsidR="00F6484C" w:rsidRPr="00F6484C">
        <w:rPr>
          <w:rFonts w:asciiTheme="majorHAnsi" w:hAnsiTheme="majorHAnsi" w:cstheme="majorHAnsi"/>
          <w:sz w:val="20"/>
          <w:szCs w:val="20"/>
        </w:rPr>
        <w:t>The com</w:t>
      </w:r>
      <w:bookmarkStart w:id="0" w:name="_GoBack"/>
      <w:bookmarkEnd w:id="0"/>
      <w:r w:rsidR="00F6484C" w:rsidRPr="00F6484C">
        <w:rPr>
          <w:rFonts w:asciiTheme="majorHAnsi" w:hAnsiTheme="majorHAnsi" w:cstheme="majorHAnsi"/>
          <w:sz w:val="20"/>
          <w:szCs w:val="20"/>
        </w:rPr>
        <w:t>ments reflect the views of this firm as legal advisors as well as those of a number of our clients.</w:t>
      </w:r>
    </w:p>
    <w:p w:rsidR="00F94E79" w:rsidRDefault="00F94E79" w:rsidP="00F6484C">
      <w:pPr>
        <w:pStyle w:val="Default"/>
        <w:rPr>
          <w:rFonts w:asciiTheme="majorHAnsi" w:hAnsiTheme="majorHAnsi" w:cstheme="majorHAnsi"/>
          <w:sz w:val="20"/>
          <w:szCs w:val="20"/>
        </w:rPr>
      </w:pPr>
    </w:p>
    <w:p w:rsidR="00F6484C" w:rsidRPr="005E24BD" w:rsidRDefault="00F94E79" w:rsidP="00F94E79">
      <w:pPr>
        <w:pStyle w:val="Default"/>
      </w:pPr>
      <w:r>
        <w:rPr>
          <w:rFonts w:asciiTheme="majorHAnsi" w:hAnsiTheme="majorHAnsi" w:cstheme="majorHAnsi"/>
          <w:sz w:val="20"/>
          <w:szCs w:val="20"/>
        </w:rPr>
        <w:t>Defined terms used in this letter have the same meaning as used in the Draft Guidelines, unless defined in this letter.</w:t>
      </w:r>
    </w:p>
    <w:p w:rsidR="00D12D01" w:rsidRDefault="00D12D01" w:rsidP="00064251">
      <w:pPr>
        <w:pStyle w:val="Default"/>
        <w:rPr>
          <w:rFonts w:asciiTheme="majorHAnsi" w:hAnsiTheme="majorHAnsi" w:cstheme="majorHAnsi"/>
          <w:sz w:val="20"/>
          <w:szCs w:val="20"/>
        </w:rPr>
      </w:pPr>
    </w:p>
    <w:p w:rsidR="00064251" w:rsidRPr="00367F85" w:rsidRDefault="00064251" w:rsidP="00064251">
      <w:pPr>
        <w:pStyle w:val="Default"/>
        <w:rPr>
          <w:rFonts w:asciiTheme="majorHAnsi" w:hAnsiTheme="majorHAnsi" w:cstheme="majorHAnsi"/>
          <w:b/>
          <w:sz w:val="20"/>
          <w:szCs w:val="20"/>
        </w:rPr>
      </w:pPr>
      <w:r w:rsidRPr="00367F85">
        <w:rPr>
          <w:rFonts w:asciiTheme="majorHAnsi" w:hAnsiTheme="majorHAnsi" w:cstheme="majorHAnsi"/>
          <w:b/>
          <w:sz w:val="20"/>
          <w:szCs w:val="20"/>
        </w:rPr>
        <w:t xml:space="preserve">Q 1: Are the definitions provided sufficiently clear; are additional definitions needed? </w:t>
      </w:r>
    </w:p>
    <w:p w:rsidR="00064251" w:rsidRDefault="00064251" w:rsidP="00064251">
      <w:pPr>
        <w:pStyle w:val="Default"/>
        <w:rPr>
          <w:rFonts w:asciiTheme="majorHAnsi" w:hAnsiTheme="majorHAnsi" w:cstheme="majorHAnsi"/>
          <w:sz w:val="20"/>
          <w:szCs w:val="20"/>
        </w:rPr>
      </w:pPr>
    </w:p>
    <w:p w:rsidR="00140874" w:rsidRPr="00064251" w:rsidRDefault="009E719B" w:rsidP="00064251">
      <w:pPr>
        <w:pStyle w:val="Default"/>
        <w:rPr>
          <w:rFonts w:asciiTheme="majorHAnsi" w:hAnsiTheme="majorHAnsi" w:cstheme="majorHAnsi"/>
          <w:sz w:val="20"/>
          <w:szCs w:val="20"/>
        </w:rPr>
      </w:pPr>
      <w:r>
        <w:rPr>
          <w:rFonts w:asciiTheme="majorHAnsi" w:hAnsiTheme="majorHAnsi" w:cstheme="majorHAnsi"/>
          <w:sz w:val="20"/>
          <w:szCs w:val="20"/>
        </w:rPr>
        <w:t xml:space="preserve">We </w:t>
      </w:r>
      <w:r w:rsidR="00270441">
        <w:rPr>
          <w:rFonts w:asciiTheme="majorHAnsi" w:hAnsiTheme="majorHAnsi" w:cstheme="majorHAnsi"/>
          <w:sz w:val="20"/>
          <w:szCs w:val="20"/>
        </w:rPr>
        <w:t xml:space="preserve">consider the definition of “retention bonus” </w:t>
      </w:r>
      <w:r w:rsidR="00444D9D">
        <w:rPr>
          <w:rFonts w:asciiTheme="majorHAnsi" w:hAnsiTheme="majorHAnsi" w:cstheme="majorHAnsi"/>
          <w:sz w:val="20"/>
          <w:szCs w:val="20"/>
        </w:rPr>
        <w:t xml:space="preserve">contained in the Draft Guidelines </w:t>
      </w:r>
      <w:r w:rsidR="00CB7037">
        <w:rPr>
          <w:rFonts w:asciiTheme="majorHAnsi" w:hAnsiTheme="majorHAnsi" w:cstheme="majorHAnsi"/>
          <w:sz w:val="20"/>
          <w:szCs w:val="20"/>
        </w:rPr>
        <w:t>i</w:t>
      </w:r>
      <w:r w:rsidR="00270441">
        <w:rPr>
          <w:rFonts w:asciiTheme="majorHAnsi" w:hAnsiTheme="majorHAnsi" w:cstheme="majorHAnsi"/>
          <w:sz w:val="20"/>
          <w:szCs w:val="20"/>
        </w:rPr>
        <w:t xml:space="preserve">s too wide. Arguably, many forms of </w:t>
      </w:r>
      <w:r w:rsidR="00F2255D">
        <w:rPr>
          <w:rFonts w:asciiTheme="majorHAnsi" w:hAnsiTheme="majorHAnsi" w:cstheme="majorHAnsi"/>
          <w:sz w:val="20"/>
          <w:szCs w:val="20"/>
        </w:rPr>
        <w:t xml:space="preserve">variable remuneration structured as </w:t>
      </w:r>
      <w:r w:rsidR="00270441">
        <w:rPr>
          <w:rFonts w:asciiTheme="majorHAnsi" w:hAnsiTheme="majorHAnsi" w:cstheme="majorHAnsi"/>
          <w:sz w:val="20"/>
          <w:szCs w:val="20"/>
        </w:rPr>
        <w:t>longer term incentive arrangements, including deferral arrangements, could fall within the scope of this definition on the basis that one of the vesting condition</w:t>
      </w:r>
      <w:r w:rsidR="00D64E4F">
        <w:rPr>
          <w:rFonts w:asciiTheme="majorHAnsi" w:hAnsiTheme="majorHAnsi" w:cstheme="majorHAnsi"/>
          <w:sz w:val="20"/>
          <w:szCs w:val="20"/>
        </w:rPr>
        <w:t>s is continued employment.</w:t>
      </w:r>
      <w:r w:rsidR="00AE35DE">
        <w:rPr>
          <w:rFonts w:asciiTheme="majorHAnsi" w:hAnsiTheme="majorHAnsi" w:cstheme="majorHAnsi"/>
          <w:sz w:val="20"/>
          <w:szCs w:val="20"/>
        </w:rPr>
        <w:t xml:space="preserve"> We suggest omission of this definition </w:t>
      </w:r>
      <w:r w:rsidR="00F94E79">
        <w:rPr>
          <w:rFonts w:asciiTheme="majorHAnsi" w:hAnsiTheme="majorHAnsi" w:cstheme="majorHAnsi"/>
          <w:sz w:val="20"/>
          <w:szCs w:val="20"/>
        </w:rPr>
        <w:t>in the EBA’s finalised guidelines.</w:t>
      </w:r>
      <w:r w:rsidR="00AE35DE">
        <w:rPr>
          <w:rFonts w:asciiTheme="majorHAnsi" w:hAnsiTheme="majorHAnsi" w:cstheme="majorHAnsi"/>
          <w:sz w:val="20"/>
          <w:szCs w:val="20"/>
        </w:rPr>
        <w:t xml:space="preserve"> </w:t>
      </w:r>
    </w:p>
    <w:p w:rsidR="00064251" w:rsidRDefault="00064251" w:rsidP="00064251">
      <w:pPr>
        <w:pStyle w:val="Default"/>
        <w:rPr>
          <w:rFonts w:asciiTheme="majorHAnsi" w:hAnsiTheme="majorHAnsi" w:cstheme="majorHAnsi"/>
          <w:sz w:val="20"/>
          <w:szCs w:val="20"/>
        </w:rPr>
      </w:pPr>
    </w:p>
    <w:p w:rsidR="00064251" w:rsidRPr="000F0BB9" w:rsidRDefault="00064251" w:rsidP="00064251">
      <w:pPr>
        <w:pStyle w:val="Default"/>
        <w:rPr>
          <w:rFonts w:asciiTheme="majorHAnsi" w:hAnsiTheme="majorHAnsi" w:cstheme="majorHAnsi"/>
          <w:b/>
          <w:sz w:val="20"/>
          <w:szCs w:val="20"/>
        </w:rPr>
      </w:pPr>
      <w:r w:rsidRPr="000F0BB9">
        <w:rPr>
          <w:rFonts w:asciiTheme="majorHAnsi" w:hAnsiTheme="majorHAnsi" w:cstheme="majorHAnsi"/>
          <w:b/>
          <w:sz w:val="20"/>
          <w:szCs w:val="20"/>
        </w:rPr>
        <w:t xml:space="preserve">Q 4: Are the guidelines regarding remuneration policies and group context appropriate and sufficiently clear? </w:t>
      </w:r>
    </w:p>
    <w:p w:rsidR="00064251" w:rsidRDefault="00064251" w:rsidP="00064251">
      <w:pPr>
        <w:pStyle w:val="Default"/>
        <w:rPr>
          <w:rFonts w:asciiTheme="majorHAnsi" w:hAnsiTheme="majorHAnsi" w:cstheme="majorHAnsi"/>
          <w:sz w:val="20"/>
          <w:szCs w:val="20"/>
        </w:rPr>
      </w:pPr>
    </w:p>
    <w:p w:rsidR="00B778F6" w:rsidRDefault="009E719B" w:rsidP="00064251">
      <w:pPr>
        <w:pStyle w:val="Default"/>
        <w:rPr>
          <w:rFonts w:asciiTheme="majorHAnsi" w:hAnsiTheme="majorHAnsi" w:cstheme="majorHAnsi"/>
          <w:sz w:val="20"/>
          <w:szCs w:val="20"/>
        </w:rPr>
      </w:pPr>
      <w:r>
        <w:rPr>
          <w:rFonts w:asciiTheme="majorHAnsi" w:hAnsiTheme="majorHAnsi" w:cstheme="majorHAnsi"/>
          <w:sz w:val="20"/>
          <w:szCs w:val="20"/>
        </w:rPr>
        <w:t xml:space="preserve">Many </w:t>
      </w:r>
      <w:r w:rsidR="002B6416">
        <w:rPr>
          <w:rFonts w:asciiTheme="majorHAnsi" w:hAnsiTheme="majorHAnsi" w:cstheme="majorHAnsi"/>
          <w:sz w:val="20"/>
          <w:szCs w:val="20"/>
        </w:rPr>
        <w:t>clients consider the requirement for all significant institutions at individual, parent com</w:t>
      </w:r>
      <w:r w:rsidR="00E023C3">
        <w:rPr>
          <w:rFonts w:asciiTheme="majorHAnsi" w:hAnsiTheme="majorHAnsi" w:cstheme="majorHAnsi"/>
          <w:sz w:val="20"/>
          <w:szCs w:val="20"/>
        </w:rPr>
        <w:t>pany and group level to have a r</w:t>
      </w:r>
      <w:r w:rsidR="002B6416">
        <w:rPr>
          <w:rFonts w:asciiTheme="majorHAnsi" w:hAnsiTheme="majorHAnsi" w:cstheme="majorHAnsi"/>
          <w:sz w:val="20"/>
          <w:szCs w:val="20"/>
        </w:rPr>
        <w:t xml:space="preserve">emuneration </w:t>
      </w:r>
      <w:r w:rsidR="00E023C3">
        <w:rPr>
          <w:rFonts w:asciiTheme="majorHAnsi" w:hAnsiTheme="majorHAnsi" w:cstheme="majorHAnsi"/>
          <w:sz w:val="20"/>
          <w:szCs w:val="20"/>
        </w:rPr>
        <w:t>c</w:t>
      </w:r>
      <w:r w:rsidR="002B6416">
        <w:rPr>
          <w:rFonts w:asciiTheme="majorHAnsi" w:hAnsiTheme="majorHAnsi" w:cstheme="majorHAnsi"/>
          <w:sz w:val="20"/>
          <w:szCs w:val="20"/>
        </w:rPr>
        <w:t xml:space="preserve">ommittee to be inappropriate. This requirement </w:t>
      </w:r>
      <w:r w:rsidR="007D2719">
        <w:rPr>
          <w:rFonts w:asciiTheme="majorHAnsi" w:hAnsiTheme="majorHAnsi" w:cstheme="majorHAnsi"/>
          <w:sz w:val="20"/>
          <w:szCs w:val="20"/>
        </w:rPr>
        <w:t>would necessitate</w:t>
      </w:r>
      <w:r>
        <w:rPr>
          <w:rFonts w:asciiTheme="majorHAnsi" w:hAnsiTheme="majorHAnsi" w:cstheme="majorHAnsi"/>
          <w:sz w:val="20"/>
          <w:szCs w:val="20"/>
        </w:rPr>
        <w:t xml:space="preserve"> duplication of </w:t>
      </w:r>
      <w:r w:rsidR="00E023C3">
        <w:rPr>
          <w:rFonts w:asciiTheme="majorHAnsi" w:hAnsiTheme="majorHAnsi" w:cstheme="majorHAnsi"/>
          <w:sz w:val="20"/>
          <w:szCs w:val="20"/>
        </w:rPr>
        <w:t>r</w:t>
      </w:r>
      <w:r>
        <w:rPr>
          <w:rFonts w:asciiTheme="majorHAnsi" w:hAnsiTheme="majorHAnsi" w:cstheme="majorHAnsi"/>
          <w:sz w:val="20"/>
          <w:szCs w:val="20"/>
        </w:rPr>
        <w:t xml:space="preserve">emuneration </w:t>
      </w:r>
      <w:r w:rsidR="00E023C3">
        <w:rPr>
          <w:rFonts w:asciiTheme="majorHAnsi" w:hAnsiTheme="majorHAnsi" w:cstheme="majorHAnsi"/>
          <w:sz w:val="20"/>
          <w:szCs w:val="20"/>
        </w:rPr>
        <w:t>c</w:t>
      </w:r>
      <w:r>
        <w:rPr>
          <w:rFonts w:asciiTheme="majorHAnsi" w:hAnsiTheme="majorHAnsi" w:cstheme="majorHAnsi"/>
          <w:sz w:val="20"/>
          <w:szCs w:val="20"/>
        </w:rPr>
        <w:t>ommittees where any subsidiary ent</w:t>
      </w:r>
      <w:r w:rsidR="007D2719">
        <w:rPr>
          <w:rFonts w:asciiTheme="majorHAnsi" w:hAnsiTheme="majorHAnsi" w:cstheme="majorHAnsi"/>
          <w:sz w:val="20"/>
          <w:szCs w:val="20"/>
        </w:rPr>
        <w:t>ity is “significant” even where</w:t>
      </w:r>
      <w:r>
        <w:rPr>
          <w:rFonts w:asciiTheme="majorHAnsi" w:hAnsiTheme="majorHAnsi" w:cstheme="majorHAnsi"/>
          <w:sz w:val="20"/>
          <w:szCs w:val="20"/>
        </w:rPr>
        <w:t xml:space="preserve"> there is a group-wide remuneration committee. This </w:t>
      </w:r>
      <w:r w:rsidR="002B6416">
        <w:rPr>
          <w:rFonts w:asciiTheme="majorHAnsi" w:hAnsiTheme="majorHAnsi" w:cstheme="majorHAnsi"/>
          <w:sz w:val="20"/>
          <w:szCs w:val="20"/>
        </w:rPr>
        <w:t xml:space="preserve">does not reflect the governance structures </w:t>
      </w:r>
      <w:r w:rsidR="007D2719">
        <w:rPr>
          <w:rFonts w:asciiTheme="majorHAnsi" w:hAnsiTheme="majorHAnsi" w:cstheme="majorHAnsi"/>
          <w:sz w:val="20"/>
          <w:szCs w:val="20"/>
        </w:rPr>
        <w:t>at many</w:t>
      </w:r>
      <w:r w:rsidR="002B6416">
        <w:rPr>
          <w:rFonts w:asciiTheme="majorHAnsi" w:hAnsiTheme="majorHAnsi" w:cstheme="majorHAnsi"/>
          <w:sz w:val="20"/>
          <w:szCs w:val="20"/>
        </w:rPr>
        <w:t xml:space="preserve"> of our clients</w:t>
      </w:r>
      <w:r w:rsidR="007D2719">
        <w:rPr>
          <w:rFonts w:asciiTheme="majorHAnsi" w:hAnsiTheme="majorHAnsi" w:cstheme="majorHAnsi"/>
          <w:sz w:val="20"/>
          <w:szCs w:val="20"/>
        </w:rPr>
        <w:t>, which operate on a global basis with a remuneration committee at parent company level. The proposed</w:t>
      </w:r>
      <w:r w:rsidR="002B6416">
        <w:rPr>
          <w:rFonts w:asciiTheme="majorHAnsi" w:hAnsiTheme="majorHAnsi" w:cstheme="majorHAnsi"/>
          <w:sz w:val="20"/>
          <w:szCs w:val="20"/>
        </w:rPr>
        <w:t xml:space="preserve"> requirement would lead to increased </w:t>
      </w:r>
      <w:r w:rsidR="002B6416" w:rsidRPr="002B6416">
        <w:rPr>
          <w:rFonts w:asciiTheme="majorHAnsi" w:hAnsiTheme="majorHAnsi" w:cstheme="majorHAnsi"/>
          <w:sz w:val="20"/>
          <w:szCs w:val="20"/>
        </w:rPr>
        <w:t>bureaucracy</w:t>
      </w:r>
      <w:r w:rsidR="002B6416">
        <w:rPr>
          <w:rFonts w:asciiTheme="majorHAnsi" w:hAnsiTheme="majorHAnsi" w:cstheme="majorHAnsi"/>
          <w:sz w:val="20"/>
          <w:szCs w:val="20"/>
        </w:rPr>
        <w:t xml:space="preserve"> and costs</w:t>
      </w:r>
      <w:r w:rsidR="002B0D0B">
        <w:rPr>
          <w:rFonts w:asciiTheme="majorHAnsi" w:hAnsiTheme="majorHAnsi" w:cstheme="majorHAnsi"/>
          <w:sz w:val="20"/>
          <w:szCs w:val="20"/>
        </w:rPr>
        <w:t xml:space="preserve"> and will n</w:t>
      </w:r>
      <w:r w:rsidR="00C362BB">
        <w:rPr>
          <w:rFonts w:asciiTheme="majorHAnsi" w:hAnsiTheme="majorHAnsi" w:cstheme="majorHAnsi"/>
          <w:sz w:val="20"/>
          <w:szCs w:val="20"/>
        </w:rPr>
        <w:t>ot contribute towards</w:t>
      </w:r>
      <w:r w:rsidR="002B0D0B">
        <w:rPr>
          <w:rFonts w:asciiTheme="majorHAnsi" w:hAnsiTheme="majorHAnsi" w:cstheme="majorHAnsi"/>
          <w:sz w:val="20"/>
          <w:szCs w:val="20"/>
        </w:rPr>
        <w:t xml:space="preserve"> improved governance within firms</w:t>
      </w:r>
      <w:r w:rsidR="00C362BB">
        <w:rPr>
          <w:rFonts w:asciiTheme="majorHAnsi" w:hAnsiTheme="majorHAnsi" w:cstheme="majorHAnsi"/>
          <w:sz w:val="20"/>
          <w:szCs w:val="20"/>
        </w:rPr>
        <w:t xml:space="preserve">. The </w:t>
      </w:r>
      <w:r w:rsidR="002B6416">
        <w:rPr>
          <w:rFonts w:asciiTheme="majorHAnsi" w:hAnsiTheme="majorHAnsi" w:cstheme="majorHAnsi"/>
          <w:sz w:val="20"/>
          <w:szCs w:val="20"/>
        </w:rPr>
        <w:t xml:space="preserve">commonly adopted structure of a single </w:t>
      </w:r>
      <w:r w:rsidR="00C362BB">
        <w:rPr>
          <w:rFonts w:asciiTheme="majorHAnsi" w:hAnsiTheme="majorHAnsi" w:cstheme="majorHAnsi"/>
          <w:sz w:val="20"/>
          <w:szCs w:val="20"/>
        </w:rPr>
        <w:t xml:space="preserve">group remuneration committee overseeing group-wide remuneration policies and procedures </w:t>
      </w:r>
      <w:r w:rsidR="00C22057">
        <w:rPr>
          <w:rFonts w:asciiTheme="majorHAnsi" w:hAnsiTheme="majorHAnsi" w:cstheme="majorHAnsi"/>
          <w:sz w:val="20"/>
          <w:szCs w:val="20"/>
        </w:rPr>
        <w:t>is c</w:t>
      </w:r>
      <w:r w:rsidR="00C362BB">
        <w:rPr>
          <w:rFonts w:asciiTheme="majorHAnsi" w:hAnsiTheme="majorHAnsi" w:cstheme="majorHAnsi"/>
          <w:sz w:val="20"/>
          <w:szCs w:val="20"/>
        </w:rPr>
        <w:t xml:space="preserve">onsidered by our clients to be the most </w:t>
      </w:r>
      <w:r w:rsidR="000B254F">
        <w:rPr>
          <w:rFonts w:asciiTheme="majorHAnsi" w:hAnsiTheme="majorHAnsi" w:cstheme="majorHAnsi"/>
          <w:sz w:val="20"/>
          <w:szCs w:val="20"/>
        </w:rPr>
        <w:t>appropriate and effective arrangement for managing the risks associated with remuneration policies</w:t>
      </w:r>
      <w:r w:rsidR="00C22057">
        <w:rPr>
          <w:rFonts w:asciiTheme="majorHAnsi" w:hAnsiTheme="majorHAnsi" w:cstheme="majorHAnsi"/>
          <w:sz w:val="20"/>
          <w:szCs w:val="20"/>
        </w:rPr>
        <w:t xml:space="preserve">. </w:t>
      </w:r>
    </w:p>
    <w:p w:rsidR="00B778F6" w:rsidRDefault="00B778F6" w:rsidP="00064251">
      <w:pPr>
        <w:pStyle w:val="Default"/>
        <w:rPr>
          <w:rFonts w:asciiTheme="majorHAnsi" w:hAnsiTheme="majorHAnsi" w:cstheme="majorHAnsi"/>
          <w:sz w:val="20"/>
          <w:szCs w:val="20"/>
        </w:rPr>
      </w:pPr>
    </w:p>
    <w:p w:rsidR="00064251" w:rsidRPr="000F0BB9" w:rsidRDefault="00064251" w:rsidP="00064251">
      <w:pPr>
        <w:pStyle w:val="Default"/>
        <w:rPr>
          <w:rFonts w:asciiTheme="majorHAnsi" w:hAnsiTheme="majorHAnsi" w:cstheme="majorHAnsi"/>
          <w:b/>
          <w:sz w:val="20"/>
          <w:szCs w:val="20"/>
        </w:rPr>
      </w:pPr>
      <w:r w:rsidRPr="000F0BB9">
        <w:rPr>
          <w:rFonts w:asciiTheme="majorHAnsi" w:hAnsiTheme="majorHAnsi" w:cstheme="majorHAnsi"/>
          <w:b/>
          <w:sz w:val="20"/>
          <w:szCs w:val="20"/>
        </w:rPr>
        <w:t xml:space="preserve">Q 5: All respondents are welcome to provide their comments on the chapter on proportionality, with particular reference to the change of the approach on ‘neutralisations’ that was required following the interpretation of the wording of the CRD. In particular institutions that used ‘neutralisations’ under the previous guidelines for the whole institution or identified staff receiving only a low amount of variable remuneration are asked to provide an estimate of the implementation costs in absolute and relative terms and to point to impediments resulting from their nature, including their legal form, if they were required to apply, for the variable remuneration of identified staff: a) deferral </w:t>
      </w:r>
      <w:proofErr w:type="gramStart"/>
      <w:r w:rsidRPr="000F0BB9">
        <w:rPr>
          <w:rFonts w:asciiTheme="majorHAnsi" w:hAnsiTheme="majorHAnsi" w:cstheme="majorHAnsi"/>
          <w:b/>
          <w:sz w:val="20"/>
          <w:szCs w:val="20"/>
        </w:rPr>
        <w:t>arrangements</w:t>
      </w:r>
      <w:proofErr w:type="gramEnd"/>
      <w:r w:rsidRPr="000F0BB9">
        <w:rPr>
          <w:rFonts w:asciiTheme="majorHAnsi" w:hAnsiTheme="majorHAnsi" w:cstheme="majorHAnsi"/>
          <w:b/>
          <w:sz w:val="20"/>
          <w:szCs w:val="20"/>
        </w:rPr>
        <w:t xml:space="preserve">, b) the pay out in instruments and, c) malus (with respect to the deferred variable remuneration). In addition those institutions are welcome to explain the anticipated changes to the remuneration policy which will need to be made to comply with all requirements. Wherever possible the estimated impact and costs should be quantified, supported by a short explanation of the methodology applied for their estimation and provided separately for the three listed aspects. </w:t>
      </w:r>
    </w:p>
    <w:p w:rsidR="00064251" w:rsidRDefault="00064251" w:rsidP="00064251">
      <w:pPr>
        <w:pStyle w:val="Default"/>
        <w:rPr>
          <w:rFonts w:asciiTheme="majorHAnsi" w:hAnsiTheme="majorHAnsi" w:cstheme="majorHAnsi"/>
          <w:sz w:val="20"/>
          <w:szCs w:val="20"/>
        </w:rPr>
      </w:pPr>
    </w:p>
    <w:p w:rsidR="00577106" w:rsidRDefault="00773349" w:rsidP="00064251">
      <w:pPr>
        <w:pStyle w:val="Default"/>
        <w:rPr>
          <w:rFonts w:asciiTheme="majorHAnsi" w:hAnsiTheme="majorHAnsi" w:cstheme="majorHAnsi"/>
          <w:sz w:val="20"/>
          <w:szCs w:val="20"/>
        </w:rPr>
      </w:pPr>
      <w:r>
        <w:rPr>
          <w:rFonts w:asciiTheme="majorHAnsi" w:hAnsiTheme="majorHAnsi" w:cstheme="majorHAnsi"/>
          <w:sz w:val="20"/>
          <w:szCs w:val="20"/>
        </w:rPr>
        <w:t xml:space="preserve">Our clients </w:t>
      </w:r>
      <w:r w:rsidRPr="00773349">
        <w:rPr>
          <w:rFonts w:asciiTheme="majorHAnsi" w:hAnsiTheme="majorHAnsi" w:cstheme="majorHAnsi"/>
          <w:sz w:val="20"/>
          <w:szCs w:val="20"/>
        </w:rPr>
        <w:t xml:space="preserve">strongly disagree </w:t>
      </w:r>
      <w:r>
        <w:rPr>
          <w:rFonts w:asciiTheme="majorHAnsi" w:hAnsiTheme="majorHAnsi" w:cstheme="majorHAnsi"/>
          <w:sz w:val="20"/>
          <w:szCs w:val="20"/>
        </w:rPr>
        <w:t>with the approach taken in the Draft Guidelines</w:t>
      </w:r>
      <w:r w:rsidR="00ED4FBB">
        <w:rPr>
          <w:rFonts w:asciiTheme="majorHAnsi" w:hAnsiTheme="majorHAnsi" w:cstheme="majorHAnsi"/>
          <w:sz w:val="20"/>
          <w:szCs w:val="20"/>
        </w:rPr>
        <w:t xml:space="preserve"> in relation</w:t>
      </w:r>
      <w:r>
        <w:rPr>
          <w:rFonts w:asciiTheme="majorHAnsi" w:hAnsiTheme="majorHAnsi" w:cstheme="majorHAnsi"/>
          <w:sz w:val="20"/>
          <w:szCs w:val="20"/>
        </w:rPr>
        <w:t xml:space="preserve"> to proportionality</w:t>
      </w:r>
      <w:r w:rsidR="00ED4FBB">
        <w:rPr>
          <w:rFonts w:asciiTheme="majorHAnsi" w:hAnsiTheme="majorHAnsi" w:cstheme="majorHAnsi"/>
          <w:sz w:val="20"/>
          <w:szCs w:val="20"/>
        </w:rPr>
        <w:t xml:space="preserve">. In particular, our clients do not agree with the resulting </w:t>
      </w:r>
      <w:r w:rsidR="00337391">
        <w:rPr>
          <w:rFonts w:asciiTheme="majorHAnsi" w:hAnsiTheme="majorHAnsi" w:cstheme="majorHAnsi"/>
          <w:sz w:val="20"/>
          <w:szCs w:val="20"/>
        </w:rPr>
        <w:t>increased application</w:t>
      </w:r>
      <w:r w:rsidR="00ED4FBB">
        <w:rPr>
          <w:rFonts w:asciiTheme="majorHAnsi" w:hAnsiTheme="majorHAnsi" w:cstheme="majorHAnsi"/>
          <w:sz w:val="20"/>
          <w:szCs w:val="20"/>
        </w:rPr>
        <w:t xml:space="preserve"> of the</w:t>
      </w:r>
      <w:r w:rsidR="00337391">
        <w:rPr>
          <w:rFonts w:asciiTheme="majorHAnsi" w:hAnsiTheme="majorHAnsi" w:cstheme="majorHAnsi"/>
          <w:sz w:val="20"/>
          <w:szCs w:val="20"/>
        </w:rPr>
        <w:t xml:space="preserve"> “Pay-Out Process Rules” (i.e. those</w:t>
      </w:r>
      <w:r w:rsidR="00ED4FBB">
        <w:rPr>
          <w:rFonts w:asciiTheme="majorHAnsi" w:hAnsiTheme="majorHAnsi" w:cstheme="majorHAnsi"/>
          <w:sz w:val="20"/>
          <w:szCs w:val="20"/>
        </w:rPr>
        <w:t xml:space="preserve"> relating to (i</w:t>
      </w:r>
      <w:r w:rsidR="00ED4FBB" w:rsidRPr="00116468">
        <w:rPr>
          <w:rFonts w:asciiTheme="majorHAnsi" w:hAnsiTheme="majorHAnsi" w:cstheme="majorHAnsi"/>
          <w:sz w:val="20"/>
          <w:szCs w:val="20"/>
        </w:rPr>
        <w:t>) ratio (fixed versus variable) limits</w:t>
      </w:r>
      <w:r w:rsidR="00874339">
        <w:rPr>
          <w:rFonts w:asciiTheme="majorHAnsi" w:hAnsiTheme="majorHAnsi" w:cstheme="majorHAnsi"/>
          <w:sz w:val="20"/>
          <w:szCs w:val="20"/>
        </w:rPr>
        <w:t xml:space="preserve"> (the “Ratio Cap”)</w:t>
      </w:r>
      <w:r w:rsidR="00ED4FBB" w:rsidRPr="00116468">
        <w:rPr>
          <w:rFonts w:asciiTheme="majorHAnsi" w:hAnsiTheme="majorHAnsi" w:cstheme="majorHAnsi"/>
          <w:sz w:val="20"/>
          <w:szCs w:val="20"/>
        </w:rPr>
        <w:t>,</w:t>
      </w:r>
      <w:r w:rsidR="00ED4FBB">
        <w:rPr>
          <w:rFonts w:asciiTheme="majorHAnsi" w:hAnsiTheme="majorHAnsi" w:cstheme="majorHAnsi"/>
          <w:sz w:val="20"/>
          <w:szCs w:val="20"/>
        </w:rPr>
        <w:t xml:space="preserve"> (i</w:t>
      </w:r>
      <w:r w:rsidR="00ED4FBB" w:rsidRPr="00116468">
        <w:rPr>
          <w:rFonts w:asciiTheme="majorHAnsi" w:hAnsiTheme="majorHAnsi" w:cstheme="majorHAnsi"/>
          <w:sz w:val="20"/>
          <w:szCs w:val="20"/>
        </w:rPr>
        <w:t>i) retained</w:t>
      </w:r>
      <w:r w:rsidR="00ED4FBB">
        <w:rPr>
          <w:rFonts w:asciiTheme="majorHAnsi" w:hAnsiTheme="majorHAnsi" w:cstheme="majorHAnsi"/>
          <w:sz w:val="20"/>
          <w:szCs w:val="20"/>
        </w:rPr>
        <w:t xml:space="preserve"> shares or other Instruments, (iii</w:t>
      </w:r>
      <w:r w:rsidR="00ED4FBB" w:rsidRPr="00116468">
        <w:rPr>
          <w:rFonts w:asciiTheme="majorHAnsi" w:hAnsiTheme="majorHAnsi" w:cstheme="majorHAnsi"/>
          <w:sz w:val="20"/>
          <w:szCs w:val="20"/>
        </w:rPr>
        <w:t xml:space="preserve">) deferral and </w:t>
      </w:r>
      <w:proofErr w:type="gramStart"/>
      <w:r w:rsidR="00ED4FBB" w:rsidRPr="00116468">
        <w:rPr>
          <w:rFonts w:asciiTheme="majorHAnsi" w:hAnsiTheme="majorHAnsi" w:cstheme="majorHAnsi"/>
          <w:sz w:val="20"/>
          <w:szCs w:val="20"/>
        </w:rPr>
        <w:t>(</w:t>
      </w:r>
      <w:r w:rsidR="00ED4FBB">
        <w:rPr>
          <w:rFonts w:asciiTheme="majorHAnsi" w:hAnsiTheme="majorHAnsi" w:cstheme="majorHAnsi"/>
          <w:sz w:val="20"/>
          <w:szCs w:val="20"/>
        </w:rPr>
        <w:t>i</w:t>
      </w:r>
      <w:r w:rsidR="00ED4FBB" w:rsidRPr="00116468">
        <w:rPr>
          <w:rFonts w:asciiTheme="majorHAnsi" w:hAnsiTheme="majorHAnsi" w:cstheme="majorHAnsi"/>
          <w:sz w:val="20"/>
          <w:szCs w:val="20"/>
        </w:rPr>
        <w:t>v) performance</w:t>
      </w:r>
      <w:proofErr w:type="gramEnd"/>
      <w:r w:rsidR="00ED4FBB" w:rsidRPr="00116468">
        <w:rPr>
          <w:rFonts w:asciiTheme="majorHAnsi" w:hAnsiTheme="majorHAnsi" w:cstheme="majorHAnsi"/>
          <w:sz w:val="20"/>
          <w:szCs w:val="20"/>
        </w:rPr>
        <w:t xml:space="preserve"> adjustment</w:t>
      </w:r>
      <w:r w:rsidR="00470EAF">
        <w:rPr>
          <w:rFonts w:asciiTheme="majorHAnsi" w:hAnsiTheme="majorHAnsi" w:cstheme="majorHAnsi"/>
          <w:sz w:val="20"/>
          <w:szCs w:val="20"/>
        </w:rPr>
        <w:t>)</w:t>
      </w:r>
      <w:r w:rsidR="00337391">
        <w:rPr>
          <w:rFonts w:asciiTheme="majorHAnsi" w:hAnsiTheme="majorHAnsi" w:cstheme="majorHAnsi"/>
          <w:sz w:val="20"/>
          <w:szCs w:val="20"/>
        </w:rPr>
        <w:t xml:space="preserve">. </w:t>
      </w:r>
      <w:r w:rsidR="00B60F6B">
        <w:rPr>
          <w:rFonts w:asciiTheme="majorHAnsi" w:hAnsiTheme="majorHAnsi" w:cstheme="majorHAnsi"/>
          <w:sz w:val="20"/>
          <w:szCs w:val="20"/>
        </w:rPr>
        <w:t xml:space="preserve">This has serious implications for firms that can currently neutralise the Pay-Out Process Rules (about 1,000 in the UK) and firms able to </w:t>
      </w:r>
      <w:r w:rsidR="007D2719">
        <w:rPr>
          <w:rFonts w:asciiTheme="majorHAnsi" w:hAnsiTheme="majorHAnsi" w:cstheme="majorHAnsi"/>
          <w:sz w:val="20"/>
          <w:szCs w:val="20"/>
        </w:rPr>
        <w:t>operate de minimis concessions in the UK and elsewhere.</w:t>
      </w:r>
    </w:p>
    <w:p w:rsidR="00577106" w:rsidRDefault="00577106" w:rsidP="00064251">
      <w:pPr>
        <w:pStyle w:val="Default"/>
        <w:rPr>
          <w:rFonts w:asciiTheme="majorHAnsi" w:hAnsiTheme="majorHAnsi" w:cstheme="majorHAnsi"/>
          <w:sz w:val="20"/>
          <w:szCs w:val="20"/>
        </w:rPr>
      </w:pPr>
    </w:p>
    <w:p w:rsidR="00B60F6B" w:rsidRDefault="00B60F6B" w:rsidP="00064251">
      <w:pPr>
        <w:pStyle w:val="Default"/>
        <w:rPr>
          <w:rFonts w:asciiTheme="majorHAnsi" w:hAnsiTheme="majorHAnsi" w:cstheme="majorHAnsi"/>
          <w:sz w:val="20"/>
          <w:szCs w:val="20"/>
        </w:rPr>
      </w:pPr>
      <w:r>
        <w:rPr>
          <w:rFonts w:asciiTheme="majorHAnsi" w:hAnsiTheme="majorHAnsi" w:cstheme="majorHAnsi"/>
          <w:sz w:val="20"/>
          <w:szCs w:val="20"/>
        </w:rPr>
        <w:t>We do not consider that the proposed interpretation of the remuneration rules in CRD is correct for the following reasons.</w:t>
      </w:r>
    </w:p>
    <w:p w:rsidR="009D3219" w:rsidRDefault="009D3219" w:rsidP="00064251">
      <w:pPr>
        <w:pStyle w:val="Default"/>
        <w:rPr>
          <w:rFonts w:asciiTheme="majorHAnsi" w:hAnsiTheme="majorHAnsi" w:cstheme="majorHAnsi"/>
          <w:sz w:val="20"/>
          <w:szCs w:val="20"/>
        </w:rPr>
      </w:pPr>
    </w:p>
    <w:p w:rsidR="009D3219" w:rsidRPr="00DA4602" w:rsidRDefault="0043174F" w:rsidP="00064251">
      <w:pPr>
        <w:pStyle w:val="Default"/>
        <w:rPr>
          <w:rFonts w:asciiTheme="majorHAnsi" w:hAnsiTheme="majorHAnsi" w:cstheme="majorHAnsi"/>
          <w:b/>
          <w:sz w:val="20"/>
          <w:szCs w:val="20"/>
        </w:rPr>
      </w:pPr>
      <w:r w:rsidRPr="00DA4602">
        <w:rPr>
          <w:rFonts w:asciiTheme="majorHAnsi" w:hAnsiTheme="majorHAnsi" w:cstheme="majorHAnsi"/>
          <w:b/>
          <w:sz w:val="20"/>
          <w:szCs w:val="20"/>
        </w:rPr>
        <w:t>Legal position</w:t>
      </w:r>
    </w:p>
    <w:p w:rsidR="00B60F6B" w:rsidRDefault="00B60F6B" w:rsidP="00064251">
      <w:pPr>
        <w:pStyle w:val="Default"/>
        <w:rPr>
          <w:rFonts w:asciiTheme="majorHAnsi" w:hAnsiTheme="majorHAnsi" w:cstheme="majorHAnsi"/>
          <w:sz w:val="20"/>
          <w:szCs w:val="20"/>
        </w:rPr>
      </w:pPr>
    </w:p>
    <w:p w:rsidR="00B60F6B" w:rsidRDefault="00B60F6B" w:rsidP="00064251">
      <w:pPr>
        <w:pStyle w:val="Default"/>
        <w:rPr>
          <w:rFonts w:asciiTheme="majorHAnsi" w:hAnsiTheme="majorHAnsi" w:cstheme="majorHAnsi"/>
          <w:sz w:val="20"/>
          <w:szCs w:val="20"/>
        </w:rPr>
      </w:pPr>
      <w:r>
        <w:rPr>
          <w:rFonts w:asciiTheme="majorHAnsi" w:hAnsiTheme="majorHAnsi" w:cstheme="majorHAnsi"/>
          <w:sz w:val="20"/>
          <w:szCs w:val="20"/>
        </w:rPr>
        <w:t xml:space="preserve">Recital 66 of CRD </w:t>
      </w:r>
      <w:r w:rsidR="000B254F">
        <w:rPr>
          <w:rFonts w:asciiTheme="majorHAnsi" w:hAnsiTheme="majorHAnsi" w:cstheme="majorHAnsi"/>
          <w:sz w:val="20"/>
          <w:szCs w:val="20"/>
        </w:rPr>
        <w:t xml:space="preserve">makes clear that the remuneration provisions should be applied proportionately and that it </w:t>
      </w:r>
      <w:r>
        <w:rPr>
          <w:rFonts w:asciiTheme="majorHAnsi" w:hAnsiTheme="majorHAnsi" w:cstheme="majorHAnsi"/>
          <w:sz w:val="20"/>
          <w:szCs w:val="20"/>
        </w:rPr>
        <w:t xml:space="preserve">would not be proportionate for certain types of investment firms to comply with all of the remuneration </w:t>
      </w:r>
      <w:r>
        <w:rPr>
          <w:rFonts w:asciiTheme="majorHAnsi" w:hAnsiTheme="majorHAnsi" w:cstheme="majorHAnsi"/>
          <w:sz w:val="20"/>
          <w:szCs w:val="20"/>
        </w:rPr>
        <w:lastRenderedPageBreak/>
        <w:t>principles of CRD</w:t>
      </w:r>
      <w:r w:rsidR="000B254F">
        <w:rPr>
          <w:rFonts w:asciiTheme="majorHAnsi" w:hAnsiTheme="majorHAnsi" w:cstheme="majorHAnsi"/>
          <w:sz w:val="20"/>
          <w:szCs w:val="20"/>
        </w:rPr>
        <w:t>.</w:t>
      </w:r>
      <w:r w:rsidR="007D2719">
        <w:rPr>
          <w:rFonts w:asciiTheme="majorHAnsi" w:hAnsiTheme="majorHAnsi" w:cstheme="majorHAnsi"/>
          <w:sz w:val="20"/>
          <w:szCs w:val="20"/>
        </w:rPr>
        <w:t xml:space="preserve">  </w:t>
      </w:r>
      <w:r w:rsidR="000B254F">
        <w:rPr>
          <w:rFonts w:asciiTheme="majorHAnsi" w:hAnsiTheme="majorHAnsi" w:cstheme="majorHAnsi"/>
          <w:sz w:val="20"/>
          <w:szCs w:val="20"/>
        </w:rPr>
        <w:t>S</w:t>
      </w:r>
      <w:r>
        <w:rPr>
          <w:rFonts w:asciiTheme="majorHAnsi" w:hAnsiTheme="majorHAnsi" w:cstheme="majorHAnsi"/>
          <w:sz w:val="20"/>
          <w:szCs w:val="20"/>
        </w:rPr>
        <w:t>o</w:t>
      </w:r>
      <w:r w:rsidR="000B254F">
        <w:rPr>
          <w:rFonts w:asciiTheme="majorHAnsi" w:hAnsiTheme="majorHAnsi" w:cstheme="majorHAnsi"/>
          <w:sz w:val="20"/>
          <w:szCs w:val="20"/>
        </w:rPr>
        <w:t>,</w:t>
      </w:r>
      <w:r>
        <w:rPr>
          <w:rFonts w:asciiTheme="majorHAnsi" w:hAnsiTheme="majorHAnsi" w:cstheme="majorHAnsi"/>
          <w:sz w:val="20"/>
          <w:szCs w:val="20"/>
        </w:rPr>
        <w:t xml:space="preserve"> it is clear that proportionality means</w:t>
      </w:r>
      <w:r w:rsidR="000B254F">
        <w:rPr>
          <w:rFonts w:asciiTheme="majorHAnsi" w:hAnsiTheme="majorHAnsi" w:cstheme="majorHAnsi"/>
          <w:sz w:val="20"/>
          <w:szCs w:val="20"/>
        </w:rPr>
        <w:t xml:space="preserve"> that</w:t>
      </w:r>
      <w:r>
        <w:rPr>
          <w:rFonts w:asciiTheme="majorHAnsi" w:hAnsiTheme="majorHAnsi" w:cstheme="majorHAnsi"/>
          <w:sz w:val="20"/>
          <w:szCs w:val="20"/>
        </w:rPr>
        <w:t xml:space="preserve"> neutralisation</w:t>
      </w:r>
      <w:r w:rsidR="007D2719">
        <w:rPr>
          <w:rFonts w:asciiTheme="majorHAnsi" w:hAnsiTheme="majorHAnsi" w:cstheme="majorHAnsi"/>
          <w:sz w:val="20"/>
          <w:szCs w:val="20"/>
        </w:rPr>
        <w:t xml:space="preserve"> is possible</w:t>
      </w:r>
      <w:r>
        <w:rPr>
          <w:rFonts w:asciiTheme="majorHAnsi" w:hAnsiTheme="majorHAnsi" w:cstheme="majorHAnsi"/>
          <w:sz w:val="20"/>
          <w:szCs w:val="20"/>
        </w:rPr>
        <w:t>, in particular in relation to investment firms.</w:t>
      </w:r>
    </w:p>
    <w:p w:rsidR="00D14983" w:rsidRDefault="00D14983" w:rsidP="00F308E2">
      <w:pPr>
        <w:pStyle w:val="Default"/>
        <w:rPr>
          <w:rFonts w:asciiTheme="majorHAnsi" w:hAnsiTheme="majorHAnsi" w:cstheme="majorHAnsi"/>
          <w:sz w:val="20"/>
          <w:szCs w:val="20"/>
        </w:rPr>
      </w:pPr>
    </w:p>
    <w:p w:rsidR="002A1FDE" w:rsidRDefault="00F308E2" w:rsidP="00F308E2">
      <w:pPr>
        <w:pStyle w:val="Default"/>
        <w:rPr>
          <w:rFonts w:asciiTheme="majorHAnsi" w:hAnsiTheme="majorHAnsi" w:cstheme="majorHAnsi"/>
          <w:sz w:val="20"/>
          <w:szCs w:val="20"/>
        </w:rPr>
      </w:pPr>
      <w:r>
        <w:rPr>
          <w:rFonts w:asciiTheme="majorHAnsi" w:hAnsiTheme="majorHAnsi" w:cstheme="majorHAnsi"/>
          <w:sz w:val="20"/>
          <w:szCs w:val="20"/>
        </w:rPr>
        <w:t>Article 92</w:t>
      </w:r>
      <w:r w:rsidR="009729C3">
        <w:rPr>
          <w:rFonts w:asciiTheme="majorHAnsi" w:hAnsiTheme="majorHAnsi" w:cstheme="majorHAnsi"/>
          <w:sz w:val="20"/>
          <w:szCs w:val="20"/>
        </w:rPr>
        <w:t>(2)</w:t>
      </w:r>
      <w:r>
        <w:rPr>
          <w:rFonts w:asciiTheme="majorHAnsi" w:hAnsiTheme="majorHAnsi" w:cstheme="majorHAnsi"/>
          <w:sz w:val="20"/>
          <w:szCs w:val="20"/>
        </w:rPr>
        <w:t xml:space="preserve"> of </w:t>
      </w:r>
      <w:r w:rsidR="00072462">
        <w:rPr>
          <w:rFonts w:asciiTheme="majorHAnsi" w:hAnsiTheme="majorHAnsi" w:cstheme="majorHAnsi"/>
          <w:sz w:val="20"/>
          <w:szCs w:val="20"/>
        </w:rPr>
        <w:t>CRD</w:t>
      </w:r>
      <w:r>
        <w:rPr>
          <w:rFonts w:asciiTheme="majorHAnsi" w:hAnsiTheme="majorHAnsi" w:cstheme="majorHAnsi"/>
          <w:sz w:val="20"/>
          <w:szCs w:val="20"/>
        </w:rPr>
        <w:t xml:space="preserve"> provides that competent authorities</w:t>
      </w:r>
      <w:r w:rsidR="00C362BB">
        <w:rPr>
          <w:rFonts w:asciiTheme="majorHAnsi" w:hAnsiTheme="majorHAnsi" w:cstheme="majorHAnsi"/>
          <w:sz w:val="20"/>
          <w:szCs w:val="20"/>
        </w:rPr>
        <w:t xml:space="preserve"> must</w:t>
      </w:r>
      <w:r>
        <w:rPr>
          <w:rFonts w:asciiTheme="majorHAnsi" w:hAnsiTheme="majorHAnsi" w:cstheme="majorHAnsi"/>
          <w:sz w:val="20"/>
          <w:szCs w:val="20"/>
        </w:rPr>
        <w:t xml:space="preserve"> ensure that institutions apply </w:t>
      </w:r>
      <w:r w:rsidR="00D3795A">
        <w:rPr>
          <w:rFonts w:asciiTheme="majorHAnsi" w:hAnsiTheme="majorHAnsi" w:cstheme="majorHAnsi"/>
          <w:sz w:val="20"/>
          <w:szCs w:val="20"/>
        </w:rPr>
        <w:t xml:space="preserve">total remuneration policies for </w:t>
      </w:r>
      <w:r w:rsidR="006B520C">
        <w:rPr>
          <w:rFonts w:asciiTheme="majorHAnsi" w:hAnsiTheme="majorHAnsi" w:cstheme="majorHAnsi"/>
          <w:sz w:val="20"/>
          <w:szCs w:val="20"/>
        </w:rPr>
        <w:t xml:space="preserve">material risk takers </w:t>
      </w:r>
      <w:r w:rsidR="00D3795A" w:rsidRPr="00D11ADD">
        <w:rPr>
          <w:rFonts w:asciiTheme="majorHAnsi" w:hAnsiTheme="majorHAnsi" w:cstheme="majorHAnsi"/>
          <w:i/>
          <w:sz w:val="20"/>
          <w:szCs w:val="20"/>
        </w:rPr>
        <w:t>to the extent that</w:t>
      </w:r>
      <w:r w:rsidR="00D3795A">
        <w:rPr>
          <w:rFonts w:asciiTheme="majorHAnsi" w:hAnsiTheme="majorHAnsi" w:cstheme="majorHAnsi"/>
          <w:sz w:val="20"/>
          <w:szCs w:val="20"/>
        </w:rPr>
        <w:t xml:space="preserve"> it is appropriate to their size, internal organisation and the nature, scope and complexity of their activities.</w:t>
      </w:r>
      <w:r w:rsidR="00811BC0">
        <w:rPr>
          <w:rFonts w:asciiTheme="majorHAnsi" w:hAnsiTheme="majorHAnsi" w:cstheme="majorHAnsi"/>
          <w:sz w:val="20"/>
          <w:szCs w:val="20"/>
        </w:rPr>
        <w:t xml:space="preserve"> The words “to the extent that”, given Recital 66, must result in the a</w:t>
      </w:r>
      <w:r w:rsidR="00470EAF">
        <w:rPr>
          <w:rFonts w:asciiTheme="majorHAnsi" w:hAnsiTheme="majorHAnsi" w:cstheme="majorHAnsi"/>
          <w:sz w:val="20"/>
          <w:szCs w:val="20"/>
        </w:rPr>
        <w:t>bility to neutralise the Pay-Out</w:t>
      </w:r>
      <w:r w:rsidR="00811BC0">
        <w:rPr>
          <w:rFonts w:asciiTheme="majorHAnsi" w:hAnsiTheme="majorHAnsi" w:cstheme="majorHAnsi"/>
          <w:sz w:val="20"/>
          <w:szCs w:val="20"/>
        </w:rPr>
        <w:t xml:space="preserve"> Process Rules. </w:t>
      </w:r>
      <w:r w:rsidR="00D3795A">
        <w:rPr>
          <w:rFonts w:asciiTheme="majorHAnsi" w:hAnsiTheme="majorHAnsi" w:cstheme="majorHAnsi"/>
          <w:sz w:val="20"/>
          <w:szCs w:val="20"/>
        </w:rPr>
        <w:t>Article 94</w:t>
      </w:r>
      <w:r w:rsidR="00116468">
        <w:rPr>
          <w:rFonts w:asciiTheme="majorHAnsi" w:hAnsiTheme="majorHAnsi" w:cstheme="majorHAnsi"/>
          <w:sz w:val="20"/>
          <w:szCs w:val="20"/>
        </w:rPr>
        <w:t xml:space="preserve"> </w:t>
      </w:r>
      <w:r w:rsidR="00A917CA">
        <w:rPr>
          <w:rFonts w:asciiTheme="majorHAnsi" w:hAnsiTheme="majorHAnsi" w:cstheme="majorHAnsi"/>
          <w:sz w:val="20"/>
          <w:szCs w:val="20"/>
        </w:rPr>
        <w:t>specifically applies proportionalit</w:t>
      </w:r>
      <w:r w:rsidR="00BC075E">
        <w:rPr>
          <w:rFonts w:asciiTheme="majorHAnsi" w:hAnsiTheme="majorHAnsi" w:cstheme="majorHAnsi"/>
          <w:sz w:val="20"/>
          <w:szCs w:val="20"/>
        </w:rPr>
        <w:t>y to the Pay-Out Process Rule</w:t>
      </w:r>
      <w:r w:rsidR="00577106">
        <w:rPr>
          <w:rFonts w:asciiTheme="majorHAnsi" w:hAnsiTheme="majorHAnsi" w:cstheme="majorHAnsi"/>
          <w:sz w:val="20"/>
          <w:szCs w:val="20"/>
        </w:rPr>
        <w:t>s</w:t>
      </w:r>
      <w:r w:rsidR="00BC075E">
        <w:rPr>
          <w:rFonts w:asciiTheme="majorHAnsi" w:hAnsiTheme="majorHAnsi" w:cstheme="majorHAnsi"/>
          <w:sz w:val="20"/>
          <w:szCs w:val="20"/>
        </w:rPr>
        <w:t xml:space="preserve">, which it states </w:t>
      </w:r>
      <w:r w:rsidR="00682FF1">
        <w:rPr>
          <w:rFonts w:asciiTheme="majorHAnsi" w:hAnsiTheme="majorHAnsi" w:cstheme="majorHAnsi"/>
          <w:sz w:val="20"/>
          <w:szCs w:val="20"/>
        </w:rPr>
        <w:t xml:space="preserve">apply in addition to and </w:t>
      </w:r>
      <w:r w:rsidR="00682FF1" w:rsidRPr="00D11ADD">
        <w:rPr>
          <w:rFonts w:asciiTheme="majorHAnsi" w:hAnsiTheme="majorHAnsi" w:cstheme="majorHAnsi"/>
          <w:i/>
          <w:sz w:val="20"/>
          <w:szCs w:val="20"/>
        </w:rPr>
        <w:t>under the same conditions</w:t>
      </w:r>
      <w:r w:rsidR="00682FF1">
        <w:rPr>
          <w:rFonts w:asciiTheme="majorHAnsi" w:hAnsiTheme="majorHAnsi" w:cstheme="majorHAnsi"/>
          <w:sz w:val="20"/>
          <w:szCs w:val="20"/>
        </w:rPr>
        <w:t xml:space="preserve"> as </w:t>
      </w:r>
      <w:r w:rsidR="000D5E45">
        <w:rPr>
          <w:rFonts w:asciiTheme="majorHAnsi" w:hAnsiTheme="majorHAnsi" w:cstheme="majorHAnsi"/>
          <w:sz w:val="20"/>
          <w:szCs w:val="20"/>
        </w:rPr>
        <w:t xml:space="preserve">those set out in Article 92(2)). </w:t>
      </w:r>
    </w:p>
    <w:p w:rsidR="00E00A93" w:rsidRDefault="00E00A93" w:rsidP="00F308E2">
      <w:pPr>
        <w:pStyle w:val="Default"/>
        <w:rPr>
          <w:rFonts w:asciiTheme="majorHAnsi" w:hAnsiTheme="majorHAnsi" w:cstheme="majorHAnsi"/>
          <w:sz w:val="20"/>
          <w:szCs w:val="20"/>
        </w:rPr>
      </w:pPr>
    </w:p>
    <w:p w:rsidR="00E54618" w:rsidRDefault="00E54618" w:rsidP="00E54618">
      <w:pPr>
        <w:pStyle w:val="Default"/>
        <w:rPr>
          <w:rFonts w:asciiTheme="majorHAnsi" w:hAnsiTheme="majorHAnsi" w:cstheme="majorHAnsi"/>
          <w:sz w:val="20"/>
          <w:szCs w:val="20"/>
        </w:rPr>
      </w:pPr>
      <w:r>
        <w:rPr>
          <w:rFonts w:asciiTheme="majorHAnsi" w:hAnsiTheme="majorHAnsi" w:cstheme="majorHAnsi"/>
          <w:sz w:val="20"/>
          <w:szCs w:val="20"/>
        </w:rPr>
        <w:t xml:space="preserve">As mentioned in the Consultation Paper, CEBS published </w:t>
      </w:r>
      <w:r w:rsidR="00017271">
        <w:rPr>
          <w:rFonts w:asciiTheme="majorHAnsi" w:hAnsiTheme="majorHAnsi" w:cstheme="majorHAnsi"/>
          <w:sz w:val="20"/>
          <w:szCs w:val="20"/>
        </w:rPr>
        <w:t xml:space="preserve">its </w:t>
      </w:r>
      <w:r>
        <w:rPr>
          <w:rFonts w:asciiTheme="majorHAnsi" w:hAnsiTheme="majorHAnsi" w:cstheme="majorHAnsi"/>
          <w:sz w:val="20"/>
          <w:szCs w:val="20"/>
        </w:rPr>
        <w:t xml:space="preserve">Guidelines, including </w:t>
      </w:r>
      <w:r w:rsidR="007D2719">
        <w:rPr>
          <w:rFonts w:asciiTheme="majorHAnsi" w:hAnsiTheme="majorHAnsi" w:cstheme="majorHAnsi"/>
          <w:sz w:val="20"/>
          <w:szCs w:val="20"/>
        </w:rPr>
        <w:t xml:space="preserve">in relation to </w:t>
      </w:r>
      <w:r>
        <w:rPr>
          <w:rFonts w:asciiTheme="majorHAnsi" w:hAnsiTheme="majorHAnsi" w:cstheme="majorHAnsi"/>
          <w:sz w:val="20"/>
          <w:szCs w:val="20"/>
        </w:rPr>
        <w:t>the concept of proportionality</w:t>
      </w:r>
      <w:r w:rsidR="00C362BB">
        <w:rPr>
          <w:rFonts w:asciiTheme="majorHAnsi" w:hAnsiTheme="majorHAnsi" w:cstheme="majorHAnsi"/>
          <w:sz w:val="20"/>
          <w:szCs w:val="20"/>
        </w:rPr>
        <w:t xml:space="preserve"> in December 2010</w:t>
      </w:r>
      <w:r>
        <w:rPr>
          <w:rFonts w:asciiTheme="majorHAnsi" w:hAnsiTheme="majorHAnsi" w:cstheme="majorHAnsi"/>
          <w:sz w:val="20"/>
          <w:szCs w:val="20"/>
        </w:rPr>
        <w:t>,</w:t>
      </w:r>
      <w:r w:rsidR="00CD3A8D">
        <w:rPr>
          <w:rFonts w:asciiTheme="majorHAnsi" w:hAnsiTheme="majorHAnsi" w:cstheme="majorHAnsi"/>
          <w:sz w:val="20"/>
          <w:szCs w:val="20"/>
        </w:rPr>
        <w:t xml:space="preserve"> well</w:t>
      </w:r>
      <w:r>
        <w:rPr>
          <w:rFonts w:asciiTheme="majorHAnsi" w:hAnsiTheme="majorHAnsi" w:cstheme="majorHAnsi"/>
          <w:sz w:val="20"/>
          <w:szCs w:val="20"/>
        </w:rPr>
        <w:t xml:space="preserve"> before CRD</w:t>
      </w:r>
      <w:r w:rsidR="00455248">
        <w:rPr>
          <w:rFonts w:asciiTheme="majorHAnsi" w:hAnsiTheme="majorHAnsi" w:cstheme="majorHAnsi"/>
          <w:sz w:val="20"/>
          <w:szCs w:val="20"/>
        </w:rPr>
        <w:t xml:space="preserve"> IV</w:t>
      </w:r>
      <w:r>
        <w:rPr>
          <w:rFonts w:asciiTheme="majorHAnsi" w:hAnsiTheme="majorHAnsi" w:cstheme="majorHAnsi"/>
          <w:sz w:val="20"/>
          <w:szCs w:val="20"/>
        </w:rPr>
        <w:t xml:space="preserve"> was negotiated between the European Parliament and the European Council.  If the European </w:t>
      </w:r>
      <w:r w:rsidR="00BC075E">
        <w:rPr>
          <w:rFonts w:asciiTheme="majorHAnsi" w:hAnsiTheme="majorHAnsi" w:cstheme="majorHAnsi"/>
          <w:sz w:val="20"/>
          <w:szCs w:val="20"/>
        </w:rPr>
        <w:t>co-legislators</w:t>
      </w:r>
      <w:r>
        <w:rPr>
          <w:rFonts w:asciiTheme="majorHAnsi" w:hAnsiTheme="majorHAnsi" w:cstheme="majorHAnsi"/>
          <w:sz w:val="20"/>
          <w:szCs w:val="20"/>
        </w:rPr>
        <w:t xml:space="preserve"> had intended to reverse the approach of CEBS in rel</w:t>
      </w:r>
      <w:r w:rsidR="008F1D01">
        <w:rPr>
          <w:rFonts w:asciiTheme="majorHAnsi" w:hAnsiTheme="majorHAnsi" w:cstheme="majorHAnsi"/>
          <w:sz w:val="20"/>
          <w:szCs w:val="20"/>
        </w:rPr>
        <w:t>ation to proportionality, this sh</w:t>
      </w:r>
      <w:r>
        <w:rPr>
          <w:rFonts w:asciiTheme="majorHAnsi" w:hAnsiTheme="majorHAnsi" w:cstheme="majorHAnsi"/>
          <w:sz w:val="20"/>
          <w:szCs w:val="20"/>
        </w:rPr>
        <w:t>ould have been reflected in CRD</w:t>
      </w:r>
      <w:r w:rsidR="00455248">
        <w:rPr>
          <w:rFonts w:asciiTheme="majorHAnsi" w:hAnsiTheme="majorHAnsi" w:cstheme="majorHAnsi"/>
          <w:sz w:val="20"/>
          <w:szCs w:val="20"/>
        </w:rPr>
        <w:t xml:space="preserve"> IV</w:t>
      </w:r>
      <w:r>
        <w:rPr>
          <w:rFonts w:asciiTheme="majorHAnsi" w:hAnsiTheme="majorHAnsi" w:cstheme="majorHAnsi"/>
          <w:sz w:val="20"/>
          <w:szCs w:val="20"/>
        </w:rPr>
        <w:t xml:space="preserve"> itself by the removal</w:t>
      </w:r>
      <w:r w:rsidR="008F1D01">
        <w:rPr>
          <w:rFonts w:asciiTheme="majorHAnsi" w:hAnsiTheme="majorHAnsi" w:cstheme="majorHAnsi"/>
          <w:sz w:val="20"/>
          <w:szCs w:val="20"/>
        </w:rPr>
        <w:t xml:space="preserve"> or amendment</w:t>
      </w:r>
      <w:r>
        <w:rPr>
          <w:rFonts w:asciiTheme="majorHAnsi" w:hAnsiTheme="majorHAnsi" w:cstheme="majorHAnsi"/>
          <w:sz w:val="20"/>
          <w:szCs w:val="20"/>
        </w:rPr>
        <w:t xml:space="preserve"> of the relevant provisions</w:t>
      </w:r>
      <w:r w:rsidR="00C84B0F">
        <w:rPr>
          <w:rFonts w:asciiTheme="majorHAnsi" w:hAnsiTheme="majorHAnsi" w:cstheme="majorHAnsi"/>
          <w:sz w:val="20"/>
          <w:szCs w:val="20"/>
        </w:rPr>
        <w:t xml:space="preserve"> (i.e. </w:t>
      </w:r>
      <w:r w:rsidR="00F30626">
        <w:rPr>
          <w:rFonts w:asciiTheme="majorHAnsi" w:hAnsiTheme="majorHAnsi" w:cstheme="majorHAnsi"/>
          <w:sz w:val="20"/>
          <w:szCs w:val="20"/>
        </w:rPr>
        <w:t xml:space="preserve">by </w:t>
      </w:r>
      <w:r w:rsidR="00C84B0F">
        <w:rPr>
          <w:rFonts w:asciiTheme="majorHAnsi" w:hAnsiTheme="majorHAnsi" w:cstheme="majorHAnsi"/>
          <w:sz w:val="20"/>
          <w:szCs w:val="20"/>
        </w:rPr>
        <w:t>not including the proportionality wording within the provisions of the pay-out process rules)</w:t>
      </w:r>
      <w:r>
        <w:rPr>
          <w:rFonts w:asciiTheme="majorHAnsi" w:hAnsiTheme="majorHAnsi" w:cstheme="majorHAnsi"/>
          <w:sz w:val="20"/>
          <w:szCs w:val="20"/>
        </w:rPr>
        <w:t xml:space="preserve">. Given that the European </w:t>
      </w:r>
      <w:r w:rsidR="00BC075E">
        <w:rPr>
          <w:rFonts w:asciiTheme="majorHAnsi" w:hAnsiTheme="majorHAnsi" w:cstheme="majorHAnsi"/>
          <w:sz w:val="20"/>
          <w:szCs w:val="20"/>
        </w:rPr>
        <w:t>co-legislators</w:t>
      </w:r>
      <w:r>
        <w:rPr>
          <w:rFonts w:asciiTheme="majorHAnsi" w:hAnsiTheme="majorHAnsi" w:cstheme="majorHAnsi"/>
          <w:sz w:val="20"/>
          <w:szCs w:val="20"/>
        </w:rPr>
        <w:t xml:space="preserve"> did not take that approach, the</w:t>
      </w:r>
      <w:r w:rsidR="00D70BC3">
        <w:rPr>
          <w:rFonts w:asciiTheme="majorHAnsi" w:hAnsiTheme="majorHAnsi" w:cstheme="majorHAnsi"/>
          <w:sz w:val="20"/>
          <w:szCs w:val="20"/>
        </w:rPr>
        <w:t>y must have considered the</w:t>
      </w:r>
      <w:r>
        <w:rPr>
          <w:rFonts w:asciiTheme="majorHAnsi" w:hAnsiTheme="majorHAnsi" w:cstheme="majorHAnsi"/>
          <w:sz w:val="20"/>
          <w:szCs w:val="20"/>
        </w:rPr>
        <w:t xml:space="preserve"> CEBS interpretation </w:t>
      </w:r>
      <w:r w:rsidR="00D70BC3">
        <w:rPr>
          <w:rFonts w:asciiTheme="majorHAnsi" w:hAnsiTheme="majorHAnsi" w:cstheme="majorHAnsi"/>
          <w:sz w:val="20"/>
          <w:szCs w:val="20"/>
        </w:rPr>
        <w:t>to</w:t>
      </w:r>
      <w:r>
        <w:rPr>
          <w:rFonts w:asciiTheme="majorHAnsi" w:hAnsiTheme="majorHAnsi" w:cstheme="majorHAnsi"/>
          <w:sz w:val="20"/>
          <w:szCs w:val="20"/>
        </w:rPr>
        <w:t xml:space="preserve"> be correct. If the EBA reverse</w:t>
      </w:r>
      <w:r w:rsidR="00D70BC3">
        <w:rPr>
          <w:rFonts w:asciiTheme="majorHAnsi" w:hAnsiTheme="majorHAnsi" w:cstheme="majorHAnsi"/>
          <w:sz w:val="20"/>
          <w:szCs w:val="20"/>
        </w:rPr>
        <w:t>s</w:t>
      </w:r>
      <w:r>
        <w:rPr>
          <w:rFonts w:asciiTheme="majorHAnsi" w:hAnsiTheme="majorHAnsi" w:cstheme="majorHAnsi"/>
          <w:sz w:val="20"/>
          <w:szCs w:val="20"/>
        </w:rPr>
        <w:t xml:space="preserve"> the legal position relating to proportionality as set out</w:t>
      </w:r>
      <w:r w:rsidR="00470EAF">
        <w:rPr>
          <w:rFonts w:asciiTheme="majorHAnsi" w:hAnsiTheme="majorHAnsi" w:cstheme="majorHAnsi"/>
          <w:sz w:val="20"/>
          <w:szCs w:val="20"/>
        </w:rPr>
        <w:t xml:space="preserve"> in</w:t>
      </w:r>
      <w:r>
        <w:rPr>
          <w:rFonts w:asciiTheme="majorHAnsi" w:hAnsiTheme="majorHAnsi" w:cstheme="majorHAnsi"/>
          <w:sz w:val="20"/>
          <w:szCs w:val="20"/>
        </w:rPr>
        <w:t xml:space="preserve"> </w:t>
      </w:r>
      <w:r w:rsidR="00D70BC3">
        <w:rPr>
          <w:rFonts w:asciiTheme="majorHAnsi" w:hAnsiTheme="majorHAnsi" w:cstheme="majorHAnsi"/>
          <w:sz w:val="20"/>
          <w:szCs w:val="20"/>
        </w:rPr>
        <w:t xml:space="preserve">Recital 66 and </w:t>
      </w:r>
      <w:r>
        <w:rPr>
          <w:rFonts w:asciiTheme="majorHAnsi" w:hAnsiTheme="majorHAnsi" w:cstheme="majorHAnsi"/>
          <w:sz w:val="20"/>
          <w:szCs w:val="20"/>
        </w:rPr>
        <w:t>Articles 92</w:t>
      </w:r>
      <w:r w:rsidR="00470EAF">
        <w:rPr>
          <w:rFonts w:asciiTheme="majorHAnsi" w:hAnsiTheme="majorHAnsi" w:cstheme="majorHAnsi"/>
          <w:sz w:val="20"/>
          <w:szCs w:val="20"/>
        </w:rPr>
        <w:t>(2)</w:t>
      </w:r>
      <w:r>
        <w:rPr>
          <w:rFonts w:asciiTheme="majorHAnsi" w:hAnsiTheme="majorHAnsi" w:cstheme="majorHAnsi"/>
          <w:sz w:val="20"/>
          <w:szCs w:val="20"/>
        </w:rPr>
        <w:t xml:space="preserve"> and 94 </w:t>
      </w:r>
      <w:r w:rsidR="00D70BC3">
        <w:rPr>
          <w:rFonts w:asciiTheme="majorHAnsi" w:hAnsiTheme="majorHAnsi" w:cstheme="majorHAnsi"/>
          <w:sz w:val="20"/>
          <w:szCs w:val="20"/>
        </w:rPr>
        <w:t>of CRD</w:t>
      </w:r>
      <w:r>
        <w:rPr>
          <w:rFonts w:asciiTheme="majorHAnsi" w:hAnsiTheme="majorHAnsi" w:cstheme="majorHAnsi"/>
          <w:sz w:val="20"/>
          <w:szCs w:val="20"/>
        </w:rPr>
        <w:t xml:space="preserve">, it would effectively be </w:t>
      </w:r>
      <w:r w:rsidR="00D70BC3">
        <w:rPr>
          <w:rFonts w:asciiTheme="majorHAnsi" w:hAnsiTheme="majorHAnsi" w:cstheme="majorHAnsi"/>
          <w:sz w:val="20"/>
          <w:szCs w:val="20"/>
        </w:rPr>
        <w:t>changing</w:t>
      </w:r>
      <w:r>
        <w:rPr>
          <w:rFonts w:asciiTheme="majorHAnsi" w:hAnsiTheme="majorHAnsi" w:cstheme="majorHAnsi"/>
          <w:sz w:val="20"/>
          <w:szCs w:val="20"/>
        </w:rPr>
        <w:t xml:space="preserve"> the legislative position, which is beyond the scope of the EBA’s powers. Any such change should be debated between the European Parliament and European Council</w:t>
      </w:r>
      <w:r w:rsidR="00470EAF">
        <w:rPr>
          <w:rFonts w:asciiTheme="majorHAnsi" w:hAnsiTheme="majorHAnsi" w:cstheme="majorHAnsi"/>
          <w:sz w:val="20"/>
          <w:szCs w:val="20"/>
        </w:rPr>
        <w:t xml:space="preserve"> and enacted</w:t>
      </w:r>
      <w:r w:rsidR="00960318">
        <w:rPr>
          <w:rFonts w:asciiTheme="majorHAnsi" w:hAnsiTheme="majorHAnsi" w:cstheme="majorHAnsi"/>
          <w:sz w:val="20"/>
          <w:szCs w:val="20"/>
        </w:rPr>
        <w:t xml:space="preserve"> (if at all)</w:t>
      </w:r>
      <w:r w:rsidR="00470EAF">
        <w:rPr>
          <w:rFonts w:asciiTheme="majorHAnsi" w:hAnsiTheme="majorHAnsi" w:cstheme="majorHAnsi"/>
          <w:sz w:val="20"/>
          <w:szCs w:val="20"/>
        </w:rPr>
        <w:t xml:space="preserve"> in the appropriate way</w:t>
      </w:r>
      <w:r>
        <w:rPr>
          <w:rFonts w:asciiTheme="majorHAnsi" w:hAnsiTheme="majorHAnsi" w:cstheme="majorHAnsi"/>
          <w:sz w:val="20"/>
          <w:szCs w:val="20"/>
        </w:rPr>
        <w:t>.</w:t>
      </w:r>
    </w:p>
    <w:p w:rsidR="00E54618" w:rsidRDefault="00E54618" w:rsidP="00F308E2">
      <w:pPr>
        <w:pStyle w:val="Default"/>
        <w:rPr>
          <w:rFonts w:asciiTheme="majorHAnsi" w:hAnsiTheme="majorHAnsi" w:cstheme="majorHAnsi"/>
          <w:sz w:val="20"/>
          <w:szCs w:val="20"/>
        </w:rPr>
      </w:pPr>
    </w:p>
    <w:p w:rsidR="00960318" w:rsidRDefault="005E2817" w:rsidP="00F308E2">
      <w:pPr>
        <w:pStyle w:val="Default"/>
        <w:rPr>
          <w:rFonts w:asciiTheme="majorHAnsi" w:hAnsiTheme="majorHAnsi" w:cstheme="majorHAnsi"/>
          <w:b/>
          <w:sz w:val="20"/>
          <w:szCs w:val="20"/>
        </w:rPr>
      </w:pPr>
      <w:r w:rsidRPr="005E2817">
        <w:rPr>
          <w:rFonts w:asciiTheme="majorHAnsi" w:hAnsiTheme="majorHAnsi" w:cstheme="majorHAnsi"/>
          <w:b/>
          <w:sz w:val="20"/>
          <w:szCs w:val="20"/>
        </w:rPr>
        <w:t>Reasons for applying proportionality to neutralise particular requirements</w:t>
      </w:r>
    </w:p>
    <w:p w:rsidR="005E2817" w:rsidRDefault="005E2817" w:rsidP="00F308E2">
      <w:pPr>
        <w:pStyle w:val="Default"/>
        <w:rPr>
          <w:rFonts w:asciiTheme="majorHAnsi" w:hAnsiTheme="majorHAnsi" w:cstheme="majorHAnsi"/>
          <w:b/>
          <w:sz w:val="20"/>
          <w:szCs w:val="20"/>
        </w:rPr>
      </w:pPr>
    </w:p>
    <w:p w:rsidR="005E2817" w:rsidRDefault="00C362BB" w:rsidP="005E2817">
      <w:pPr>
        <w:pStyle w:val="Default"/>
        <w:rPr>
          <w:rFonts w:asciiTheme="majorHAnsi" w:hAnsiTheme="majorHAnsi" w:cstheme="majorHAnsi"/>
          <w:sz w:val="20"/>
          <w:szCs w:val="20"/>
        </w:rPr>
      </w:pPr>
      <w:r>
        <w:rPr>
          <w:rFonts w:asciiTheme="majorHAnsi" w:hAnsiTheme="majorHAnsi" w:cstheme="majorHAnsi"/>
          <w:sz w:val="20"/>
          <w:szCs w:val="20"/>
        </w:rPr>
        <w:t xml:space="preserve">As the text of </w:t>
      </w:r>
      <w:r w:rsidR="006E47D2">
        <w:rPr>
          <w:rFonts w:asciiTheme="majorHAnsi" w:hAnsiTheme="majorHAnsi" w:cstheme="majorHAnsi"/>
          <w:sz w:val="20"/>
          <w:szCs w:val="20"/>
        </w:rPr>
        <w:t xml:space="preserve">CRD </w:t>
      </w:r>
      <w:r>
        <w:rPr>
          <w:rFonts w:asciiTheme="majorHAnsi" w:hAnsiTheme="majorHAnsi" w:cstheme="majorHAnsi"/>
          <w:sz w:val="20"/>
          <w:szCs w:val="20"/>
        </w:rPr>
        <w:t xml:space="preserve">allows </w:t>
      </w:r>
      <w:r w:rsidR="005E2817">
        <w:rPr>
          <w:rFonts w:asciiTheme="majorHAnsi" w:hAnsiTheme="majorHAnsi" w:cstheme="majorHAnsi"/>
          <w:sz w:val="20"/>
          <w:szCs w:val="20"/>
        </w:rPr>
        <w:t>firms and competent authorities to neutralise p</w:t>
      </w:r>
      <w:r>
        <w:rPr>
          <w:rFonts w:asciiTheme="majorHAnsi" w:hAnsiTheme="majorHAnsi" w:cstheme="majorHAnsi"/>
          <w:sz w:val="20"/>
          <w:szCs w:val="20"/>
        </w:rPr>
        <w:t xml:space="preserve">articular requirements (as reflected in </w:t>
      </w:r>
      <w:r w:rsidR="005E2817">
        <w:rPr>
          <w:rFonts w:asciiTheme="majorHAnsi" w:hAnsiTheme="majorHAnsi" w:cstheme="majorHAnsi"/>
          <w:sz w:val="20"/>
          <w:szCs w:val="20"/>
        </w:rPr>
        <w:t xml:space="preserve">the CEBS guidance), the EBA </w:t>
      </w:r>
      <w:r w:rsidR="00017271">
        <w:rPr>
          <w:rFonts w:asciiTheme="majorHAnsi" w:hAnsiTheme="majorHAnsi" w:cstheme="majorHAnsi"/>
          <w:sz w:val="20"/>
          <w:szCs w:val="20"/>
        </w:rPr>
        <w:t>should issue</w:t>
      </w:r>
      <w:r w:rsidR="005E2817">
        <w:rPr>
          <w:rFonts w:asciiTheme="majorHAnsi" w:hAnsiTheme="majorHAnsi" w:cstheme="majorHAnsi"/>
          <w:sz w:val="20"/>
          <w:szCs w:val="20"/>
        </w:rPr>
        <w:t xml:space="preserve"> guida</w:t>
      </w:r>
      <w:r w:rsidR="00596A09">
        <w:rPr>
          <w:rFonts w:asciiTheme="majorHAnsi" w:hAnsiTheme="majorHAnsi" w:cstheme="majorHAnsi"/>
          <w:sz w:val="20"/>
          <w:szCs w:val="20"/>
        </w:rPr>
        <w:t>nce which reflects the differing</w:t>
      </w:r>
      <w:r w:rsidR="005E2817">
        <w:rPr>
          <w:rFonts w:asciiTheme="majorHAnsi" w:hAnsiTheme="majorHAnsi" w:cstheme="majorHAnsi"/>
          <w:sz w:val="20"/>
          <w:szCs w:val="20"/>
        </w:rPr>
        <w:t xml:space="preserve"> position</w:t>
      </w:r>
      <w:r w:rsidR="00596A09">
        <w:rPr>
          <w:rFonts w:asciiTheme="majorHAnsi" w:hAnsiTheme="majorHAnsi" w:cstheme="majorHAnsi"/>
          <w:sz w:val="20"/>
          <w:szCs w:val="20"/>
        </w:rPr>
        <w:t>s</w:t>
      </w:r>
      <w:r w:rsidR="00444D6C">
        <w:rPr>
          <w:rFonts w:asciiTheme="majorHAnsi" w:hAnsiTheme="majorHAnsi" w:cstheme="majorHAnsi"/>
          <w:sz w:val="20"/>
          <w:szCs w:val="20"/>
        </w:rPr>
        <w:t xml:space="preserve"> </w:t>
      </w:r>
      <w:r w:rsidR="005E2817">
        <w:rPr>
          <w:rFonts w:asciiTheme="majorHAnsi" w:hAnsiTheme="majorHAnsi" w:cstheme="majorHAnsi"/>
          <w:sz w:val="20"/>
          <w:szCs w:val="20"/>
        </w:rPr>
        <w:t xml:space="preserve">of different firms.  </w:t>
      </w:r>
    </w:p>
    <w:p w:rsidR="005E2817" w:rsidRDefault="005E2817" w:rsidP="00F308E2">
      <w:pPr>
        <w:pStyle w:val="Default"/>
        <w:rPr>
          <w:rFonts w:asciiTheme="majorHAnsi" w:hAnsiTheme="majorHAnsi" w:cstheme="majorHAnsi"/>
          <w:sz w:val="20"/>
          <w:szCs w:val="20"/>
        </w:rPr>
      </w:pPr>
    </w:p>
    <w:p w:rsidR="00FF061E" w:rsidRDefault="00130560" w:rsidP="00FF061E">
      <w:pPr>
        <w:pStyle w:val="Default"/>
        <w:rPr>
          <w:rFonts w:asciiTheme="majorHAnsi" w:hAnsiTheme="majorHAnsi" w:cstheme="majorHAnsi"/>
          <w:sz w:val="20"/>
          <w:szCs w:val="20"/>
        </w:rPr>
      </w:pPr>
      <w:r>
        <w:rPr>
          <w:rFonts w:asciiTheme="majorHAnsi" w:hAnsiTheme="majorHAnsi" w:cstheme="majorHAnsi"/>
          <w:sz w:val="20"/>
          <w:szCs w:val="20"/>
        </w:rPr>
        <w:t>C</w:t>
      </w:r>
      <w:r w:rsidR="008967CC">
        <w:rPr>
          <w:rFonts w:asciiTheme="majorHAnsi" w:hAnsiTheme="majorHAnsi" w:cstheme="majorHAnsi"/>
          <w:sz w:val="20"/>
          <w:szCs w:val="20"/>
        </w:rPr>
        <w:t xml:space="preserve">urrently, </w:t>
      </w:r>
      <w:r w:rsidR="007D2719">
        <w:rPr>
          <w:rFonts w:asciiTheme="majorHAnsi" w:hAnsiTheme="majorHAnsi" w:cstheme="majorHAnsi"/>
          <w:sz w:val="20"/>
          <w:szCs w:val="20"/>
        </w:rPr>
        <w:t>many</w:t>
      </w:r>
      <w:r w:rsidR="00FF061E">
        <w:rPr>
          <w:rFonts w:asciiTheme="majorHAnsi" w:hAnsiTheme="majorHAnsi" w:cstheme="majorHAnsi"/>
          <w:sz w:val="20"/>
          <w:szCs w:val="20"/>
        </w:rPr>
        <w:t xml:space="preserve"> firms</w:t>
      </w:r>
      <w:r w:rsidR="008967CC">
        <w:rPr>
          <w:rFonts w:asciiTheme="majorHAnsi" w:hAnsiTheme="majorHAnsi" w:cstheme="majorHAnsi"/>
          <w:sz w:val="20"/>
          <w:szCs w:val="20"/>
        </w:rPr>
        <w:t xml:space="preserve"> do not apply the Pay-Out Process Rules on the basis of proportionality un</w:t>
      </w:r>
      <w:r w:rsidR="00EA7449">
        <w:rPr>
          <w:rFonts w:asciiTheme="majorHAnsi" w:hAnsiTheme="majorHAnsi" w:cstheme="majorHAnsi"/>
          <w:sz w:val="20"/>
          <w:szCs w:val="20"/>
        </w:rPr>
        <w:t>der CRD</w:t>
      </w:r>
      <w:r w:rsidR="008967CC">
        <w:rPr>
          <w:rFonts w:asciiTheme="majorHAnsi" w:hAnsiTheme="majorHAnsi" w:cstheme="majorHAnsi"/>
          <w:sz w:val="20"/>
          <w:szCs w:val="20"/>
        </w:rPr>
        <w:t>. The proposal to require such firms to apply the Pay-Out P</w:t>
      </w:r>
      <w:r w:rsidR="00FF061E">
        <w:rPr>
          <w:rFonts w:asciiTheme="majorHAnsi" w:hAnsiTheme="majorHAnsi" w:cstheme="majorHAnsi"/>
          <w:sz w:val="20"/>
          <w:szCs w:val="20"/>
        </w:rPr>
        <w:t xml:space="preserve">rocess Rules </w:t>
      </w:r>
      <w:r w:rsidR="00C362BB">
        <w:rPr>
          <w:rFonts w:asciiTheme="majorHAnsi" w:hAnsiTheme="majorHAnsi" w:cstheme="majorHAnsi"/>
          <w:sz w:val="20"/>
          <w:szCs w:val="20"/>
        </w:rPr>
        <w:t xml:space="preserve">would result in </w:t>
      </w:r>
      <w:r w:rsidR="007D2719">
        <w:rPr>
          <w:rFonts w:asciiTheme="majorHAnsi" w:hAnsiTheme="majorHAnsi" w:cstheme="majorHAnsi"/>
          <w:sz w:val="20"/>
          <w:szCs w:val="20"/>
        </w:rPr>
        <w:t>a</w:t>
      </w:r>
      <w:r w:rsidR="00FF061E">
        <w:rPr>
          <w:rFonts w:asciiTheme="majorHAnsi" w:hAnsiTheme="majorHAnsi" w:cstheme="majorHAnsi"/>
          <w:sz w:val="20"/>
          <w:szCs w:val="20"/>
        </w:rPr>
        <w:t xml:space="preserve"> significant </w:t>
      </w:r>
      <w:r w:rsidR="007D2719">
        <w:rPr>
          <w:rFonts w:asciiTheme="majorHAnsi" w:hAnsiTheme="majorHAnsi" w:cstheme="majorHAnsi"/>
          <w:sz w:val="20"/>
          <w:szCs w:val="20"/>
        </w:rPr>
        <w:t xml:space="preserve">change </w:t>
      </w:r>
      <w:r w:rsidR="00FF061E">
        <w:rPr>
          <w:rFonts w:asciiTheme="majorHAnsi" w:hAnsiTheme="majorHAnsi" w:cstheme="majorHAnsi"/>
          <w:sz w:val="20"/>
          <w:szCs w:val="20"/>
        </w:rPr>
        <w:t>in terms of direct costs and, it is anticipated, staff turnover. Our clients express concern about the adv</w:t>
      </w:r>
      <w:r w:rsidR="006E47D2">
        <w:rPr>
          <w:rFonts w:asciiTheme="majorHAnsi" w:hAnsiTheme="majorHAnsi" w:cstheme="majorHAnsi"/>
          <w:sz w:val="20"/>
          <w:szCs w:val="20"/>
        </w:rPr>
        <w:t>erse impact on their businesses</w:t>
      </w:r>
      <w:r w:rsidR="00FF061E">
        <w:rPr>
          <w:rFonts w:asciiTheme="majorHAnsi" w:hAnsiTheme="majorHAnsi" w:cstheme="majorHAnsi"/>
          <w:sz w:val="20"/>
          <w:szCs w:val="20"/>
        </w:rPr>
        <w:t>. This is of particular relevance for UK firms in proportionality level three,</w:t>
      </w:r>
      <w:r w:rsidR="00CD5E6C">
        <w:rPr>
          <w:rFonts w:asciiTheme="majorHAnsi" w:hAnsiTheme="majorHAnsi" w:cstheme="majorHAnsi"/>
          <w:sz w:val="20"/>
          <w:szCs w:val="20"/>
        </w:rPr>
        <w:t xml:space="preserve"> compromising</w:t>
      </w:r>
      <w:r w:rsidR="009E70D7">
        <w:rPr>
          <w:rFonts w:asciiTheme="majorHAnsi" w:hAnsiTheme="majorHAnsi" w:cstheme="majorHAnsi"/>
          <w:sz w:val="20"/>
          <w:szCs w:val="20"/>
        </w:rPr>
        <w:t xml:space="preserve"> organisations including</w:t>
      </w:r>
      <w:r w:rsidR="00CD5E6C">
        <w:rPr>
          <w:rFonts w:asciiTheme="majorHAnsi" w:hAnsiTheme="majorHAnsi" w:cstheme="majorHAnsi"/>
          <w:sz w:val="20"/>
          <w:szCs w:val="20"/>
        </w:rPr>
        <w:t xml:space="preserve"> investment managers,</w:t>
      </w:r>
      <w:r w:rsidR="009E70D7">
        <w:rPr>
          <w:rFonts w:asciiTheme="majorHAnsi" w:hAnsiTheme="majorHAnsi" w:cstheme="majorHAnsi"/>
          <w:sz w:val="20"/>
          <w:szCs w:val="20"/>
        </w:rPr>
        <w:t xml:space="preserve"> small and non-systemically important banks and broker/dealers</w:t>
      </w:r>
      <w:r w:rsidR="0082677B">
        <w:rPr>
          <w:rFonts w:asciiTheme="majorHAnsi" w:hAnsiTheme="majorHAnsi" w:cstheme="majorHAnsi"/>
          <w:sz w:val="20"/>
          <w:szCs w:val="20"/>
        </w:rPr>
        <w:t xml:space="preserve"> which consider any </w:t>
      </w:r>
      <w:r w:rsidR="00FF061E">
        <w:rPr>
          <w:rFonts w:asciiTheme="majorHAnsi" w:hAnsiTheme="majorHAnsi" w:cstheme="majorHAnsi"/>
          <w:sz w:val="20"/>
          <w:szCs w:val="20"/>
        </w:rPr>
        <w:t xml:space="preserve">requirement to apply the Pay-Out Process Rules </w:t>
      </w:r>
      <w:r w:rsidR="002B4493">
        <w:rPr>
          <w:rFonts w:asciiTheme="majorHAnsi" w:hAnsiTheme="majorHAnsi" w:cstheme="majorHAnsi"/>
          <w:sz w:val="20"/>
          <w:szCs w:val="20"/>
        </w:rPr>
        <w:t>to</w:t>
      </w:r>
      <w:r w:rsidR="00FF061E">
        <w:rPr>
          <w:rFonts w:asciiTheme="majorHAnsi" w:hAnsiTheme="majorHAnsi" w:cstheme="majorHAnsi"/>
          <w:sz w:val="20"/>
          <w:szCs w:val="20"/>
        </w:rPr>
        <w:t xml:space="preserve"> be</w:t>
      </w:r>
      <w:r w:rsidR="007B74AF">
        <w:rPr>
          <w:rFonts w:asciiTheme="majorHAnsi" w:hAnsiTheme="majorHAnsi" w:cstheme="majorHAnsi"/>
          <w:sz w:val="20"/>
          <w:szCs w:val="20"/>
        </w:rPr>
        <w:t xml:space="preserve"> unnecessary from a risk management perspective and</w:t>
      </w:r>
      <w:r w:rsidR="00FF061E">
        <w:rPr>
          <w:rFonts w:asciiTheme="majorHAnsi" w:hAnsiTheme="majorHAnsi" w:cstheme="majorHAnsi"/>
          <w:sz w:val="20"/>
          <w:szCs w:val="20"/>
        </w:rPr>
        <w:t xml:space="preserve"> disproportionality burdensome.  Clients also express concern that the lack of consistency </w:t>
      </w:r>
      <w:r w:rsidR="00B43C25">
        <w:rPr>
          <w:rFonts w:asciiTheme="majorHAnsi" w:hAnsiTheme="majorHAnsi" w:cstheme="majorHAnsi"/>
          <w:sz w:val="20"/>
          <w:szCs w:val="20"/>
        </w:rPr>
        <w:t>in the regulatory approach</w:t>
      </w:r>
      <w:r w:rsidR="00E83BA9">
        <w:rPr>
          <w:rFonts w:asciiTheme="majorHAnsi" w:hAnsiTheme="majorHAnsi" w:cstheme="majorHAnsi"/>
          <w:sz w:val="20"/>
          <w:szCs w:val="20"/>
        </w:rPr>
        <w:t xml:space="preserve"> to</w:t>
      </w:r>
      <w:r w:rsidR="00FF061E">
        <w:rPr>
          <w:rFonts w:asciiTheme="majorHAnsi" w:hAnsiTheme="majorHAnsi" w:cstheme="majorHAnsi"/>
          <w:sz w:val="20"/>
          <w:szCs w:val="20"/>
        </w:rPr>
        <w:t xml:space="preserve"> this matter is damaging for businesses. </w:t>
      </w:r>
    </w:p>
    <w:p w:rsidR="00FF061E" w:rsidRDefault="00FF061E" w:rsidP="00F308E2">
      <w:pPr>
        <w:pStyle w:val="Default"/>
        <w:rPr>
          <w:rFonts w:asciiTheme="majorHAnsi" w:hAnsiTheme="majorHAnsi" w:cstheme="majorHAnsi"/>
          <w:sz w:val="20"/>
          <w:szCs w:val="20"/>
        </w:rPr>
      </w:pPr>
    </w:p>
    <w:p w:rsidR="00487524" w:rsidRDefault="00C362BB" w:rsidP="00575510">
      <w:pPr>
        <w:pStyle w:val="Default"/>
        <w:rPr>
          <w:rFonts w:asciiTheme="majorHAnsi" w:hAnsiTheme="majorHAnsi" w:cstheme="majorHAnsi"/>
          <w:sz w:val="20"/>
          <w:szCs w:val="20"/>
        </w:rPr>
      </w:pPr>
      <w:r>
        <w:rPr>
          <w:rFonts w:asciiTheme="majorHAnsi" w:hAnsiTheme="majorHAnsi" w:cstheme="majorHAnsi"/>
          <w:b/>
          <w:sz w:val="20"/>
          <w:szCs w:val="20"/>
        </w:rPr>
        <w:t>Banking groups</w:t>
      </w:r>
      <w:r w:rsidR="00130560" w:rsidRPr="00130560">
        <w:rPr>
          <w:rFonts w:asciiTheme="majorHAnsi" w:hAnsiTheme="majorHAnsi" w:cstheme="majorHAnsi"/>
          <w:b/>
          <w:sz w:val="20"/>
          <w:szCs w:val="20"/>
        </w:rPr>
        <w:t>:</w:t>
      </w:r>
      <w:r w:rsidR="00130560">
        <w:rPr>
          <w:rFonts w:asciiTheme="majorHAnsi" w:hAnsiTheme="majorHAnsi" w:cstheme="majorHAnsi"/>
          <w:sz w:val="20"/>
          <w:szCs w:val="20"/>
        </w:rPr>
        <w:t xml:space="preserve"> </w:t>
      </w:r>
      <w:r w:rsidR="00487524">
        <w:rPr>
          <w:rFonts w:asciiTheme="majorHAnsi" w:hAnsiTheme="majorHAnsi" w:cstheme="majorHAnsi"/>
          <w:sz w:val="20"/>
          <w:szCs w:val="20"/>
        </w:rPr>
        <w:t xml:space="preserve">The </w:t>
      </w:r>
      <w:r w:rsidR="00427621">
        <w:rPr>
          <w:rFonts w:asciiTheme="majorHAnsi" w:hAnsiTheme="majorHAnsi" w:cstheme="majorHAnsi"/>
          <w:sz w:val="20"/>
          <w:szCs w:val="20"/>
        </w:rPr>
        <w:t>proposal to apply</w:t>
      </w:r>
      <w:r w:rsidR="00072BFA">
        <w:rPr>
          <w:rFonts w:asciiTheme="majorHAnsi" w:hAnsiTheme="majorHAnsi" w:cstheme="majorHAnsi"/>
          <w:sz w:val="20"/>
          <w:szCs w:val="20"/>
        </w:rPr>
        <w:t xml:space="preserve"> Pay-Out Process Rules</w:t>
      </w:r>
      <w:r w:rsidR="007D2719">
        <w:rPr>
          <w:rFonts w:asciiTheme="majorHAnsi" w:hAnsiTheme="majorHAnsi" w:cstheme="majorHAnsi"/>
          <w:sz w:val="20"/>
          <w:szCs w:val="20"/>
        </w:rPr>
        <w:t xml:space="preserve"> on a group-wide basis</w:t>
      </w:r>
      <w:r w:rsidR="00072BFA">
        <w:rPr>
          <w:rFonts w:asciiTheme="majorHAnsi" w:hAnsiTheme="majorHAnsi" w:cstheme="majorHAnsi"/>
          <w:sz w:val="20"/>
          <w:szCs w:val="20"/>
        </w:rPr>
        <w:t xml:space="preserve"> </w:t>
      </w:r>
      <w:r>
        <w:rPr>
          <w:rFonts w:asciiTheme="majorHAnsi" w:hAnsiTheme="majorHAnsi" w:cstheme="majorHAnsi"/>
          <w:sz w:val="20"/>
          <w:szCs w:val="20"/>
        </w:rPr>
        <w:t xml:space="preserve">both </w:t>
      </w:r>
      <w:r w:rsidR="007D2719">
        <w:rPr>
          <w:rFonts w:asciiTheme="majorHAnsi" w:hAnsiTheme="majorHAnsi" w:cstheme="majorHAnsi"/>
          <w:sz w:val="20"/>
          <w:szCs w:val="20"/>
        </w:rPr>
        <w:t>to</w:t>
      </w:r>
      <w:r w:rsidR="00F718CA">
        <w:rPr>
          <w:rFonts w:asciiTheme="majorHAnsi" w:hAnsiTheme="majorHAnsi" w:cstheme="majorHAnsi"/>
          <w:sz w:val="20"/>
          <w:szCs w:val="20"/>
        </w:rPr>
        <w:t xml:space="preserve"> firms w</w:t>
      </w:r>
      <w:r w:rsidR="007D2719">
        <w:rPr>
          <w:rFonts w:asciiTheme="majorHAnsi" w:hAnsiTheme="majorHAnsi" w:cstheme="majorHAnsi"/>
          <w:sz w:val="20"/>
          <w:szCs w:val="20"/>
        </w:rPr>
        <w:t xml:space="preserve">ithin the scope of CRD and </w:t>
      </w:r>
      <w:r>
        <w:rPr>
          <w:rFonts w:asciiTheme="majorHAnsi" w:hAnsiTheme="majorHAnsi" w:cstheme="majorHAnsi"/>
          <w:sz w:val="20"/>
          <w:szCs w:val="20"/>
        </w:rPr>
        <w:t xml:space="preserve">to </w:t>
      </w:r>
      <w:r w:rsidR="007D2719">
        <w:rPr>
          <w:rFonts w:asciiTheme="majorHAnsi" w:hAnsiTheme="majorHAnsi" w:cstheme="majorHAnsi"/>
          <w:sz w:val="20"/>
          <w:szCs w:val="20"/>
        </w:rPr>
        <w:t>other group</w:t>
      </w:r>
      <w:r>
        <w:rPr>
          <w:rFonts w:asciiTheme="majorHAnsi" w:hAnsiTheme="majorHAnsi" w:cstheme="majorHAnsi"/>
          <w:sz w:val="20"/>
          <w:szCs w:val="20"/>
        </w:rPr>
        <w:t xml:space="preserve"> firms outside </w:t>
      </w:r>
      <w:r w:rsidR="00F718CA">
        <w:rPr>
          <w:rFonts w:asciiTheme="majorHAnsi" w:hAnsiTheme="majorHAnsi" w:cstheme="majorHAnsi"/>
          <w:sz w:val="20"/>
          <w:szCs w:val="20"/>
        </w:rPr>
        <w:t xml:space="preserve">the scope of CRD (including firms subject to </w:t>
      </w:r>
      <w:r w:rsidR="00427621">
        <w:rPr>
          <w:rFonts w:asciiTheme="majorHAnsi" w:hAnsiTheme="majorHAnsi" w:cstheme="majorHAnsi"/>
          <w:sz w:val="20"/>
          <w:szCs w:val="20"/>
        </w:rPr>
        <w:t>AIFMD and the UCITS Directive</w:t>
      </w:r>
      <w:r w:rsidR="00F718CA">
        <w:rPr>
          <w:rFonts w:asciiTheme="majorHAnsi" w:hAnsiTheme="majorHAnsi" w:cstheme="majorHAnsi"/>
          <w:sz w:val="20"/>
          <w:szCs w:val="20"/>
        </w:rPr>
        <w:t>) is arbitrary</w:t>
      </w:r>
      <w:r w:rsidR="00DA7167">
        <w:rPr>
          <w:rFonts w:asciiTheme="majorHAnsi" w:hAnsiTheme="majorHAnsi" w:cstheme="majorHAnsi"/>
          <w:sz w:val="20"/>
          <w:szCs w:val="20"/>
        </w:rPr>
        <w:t xml:space="preserve"> and unfair given that </w:t>
      </w:r>
      <w:r w:rsidR="007D2719">
        <w:rPr>
          <w:rFonts w:asciiTheme="majorHAnsi" w:hAnsiTheme="majorHAnsi" w:cstheme="majorHAnsi"/>
          <w:sz w:val="20"/>
          <w:szCs w:val="20"/>
        </w:rPr>
        <w:t xml:space="preserve">other </w:t>
      </w:r>
      <w:r w:rsidR="00DA7167">
        <w:rPr>
          <w:rFonts w:asciiTheme="majorHAnsi" w:hAnsiTheme="majorHAnsi" w:cstheme="majorHAnsi"/>
          <w:sz w:val="20"/>
          <w:szCs w:val="20"/>
        </w:rPr>
        <w:t xml:space="preserve">firms regulated by AIFMD and </w:t>
      </w:r>
      <w:r w:rsidR="00427621">
        <w:rPr>
          <w:rFonts w:asciiTheme="majorHAnsi" w:hAnsiTheme="majorHAnsi" w:cstheme="majorHAnsi"/>
          <w:sz w:val="20"/>
          <w:szCs w:val="20"/>
        </w:rPr>
        <w:t>the UCITS Directive</w:t>
      </w:r>
      <w:r w:rsidR="00DA7167">
        <w:rPr>
          <w:rFonts w:asciiTheme="majorHAnsi" w:hAnsiTheme="majorHAnsi" w:cstheme="majorHAnsi"/>
          <w:sz w:val="20"/>
          <w:szCs w:val="20"/>
        </w:rPr>
        <w:t xml:space="preserve"> are not subject to </w:t>
      </w:r>
      <w:r w:rsidR="007D2719">
        <w:rPr>
          <w:rFonts w:asciiTheme="majorHAnsi" w:hAnsiTheme="majorHAnsi" w:cstheme="majorHAnsi"/>
          <w:sz w:val="20"/>
          <w:szCs w:val="20"/>
        </w:rPr>
        <w:t>the same rules</w:t>
      </w:r>
      <w:r w:rsidR="00DA7167">
        <w:rPr>
          <w:rFonts w:asciiTheme="majorHAnsi" w:hAnsiTheme="majorHAnsi" w:cstheme="majorHAnsi"/>
          <w:sz w:val="20"/>
          <w:szCs w:val="20"/>
        </w:rPr>
        <w:t xml:space="preserve">. It should be noted that the European </w:t>
      </w:r>
      <w:r w:rsidR="00A02B3F">
        <w:rPr>
          <w:rFonts w:asciiTheme="majorHAnsi" w:hAnsiTheme="majorHAnsi" w:cstheme="majorHAnsi"/>
          <w:sz w:val="20"/>
          <w:szCs w:val="20"/>
        </w:rPr>
        <w:t xml:space="preserve">legislators </w:t>
      </w:r>
      <w:r w:rsidR="00DA7167">
        <w:rPr>
          <w:rFonts w:asciiTheme="majorHAnsi" w:hAnsiTheme="majorHAnsi" w:cstheme="majorHAnsi"/>
          <w:sz w:val="20"/>
          <w:szCs w:val="20"/>
        </w:rPr>
        <w:t>specifically con</w:t>
      </w:r>
      <w:r w:rsidR="00874339">
        <w:rPr>
          <w:rFonts w:asciiTheme="majorHAnsi" w:hAnsiTheme="majorHAnsi" w:cstheme="majorHAnsi"/>
          <w:sz w:val="20"/>
          <w:szCs w:val="20"/>
        </w:rPr>
        <w:t>sidered the application of the R</w:t>
      </w:r>
      <w:r w:rsidR="00DA7167">
        <w:rPr>
          <w:rFonts w:asciiTheme="majorHAnsi" w:hAnsiTheme="majorHAnsi" w:cstheme="majorHAnsi"/>
          <w:sz w:val="20"/>
          <w:szCs w:val="20"/>
        </w:rPr>
        <w:t xml:space="preserve">atio </w:t>
      </w:r>
      <w:r w:rsidR="00874339">
        <w:rPr>
          <w:rFonts w:asciiTheme="majorHAnsi" w:hAnsiTheme="majorHAnsi" w:cstheme="majorHAnsi"/>
          <w:sz w:val="20"/>
          <w:szCs w:val="20"/>
        </w:rPr>
        <w:t>Cap</w:t>
      </w:r>
      <w:r w:rsidR="00DA7167">
        <w:rPr>
          <w:rFonts w:asciiTheme="majorHAnsi" w:hAnsiTheme="majorHAnsi" w:cstheme="majorHAnsi"/>
          <w:sz w:val="20"/>
          <w:szCs w:val="20"/>
        </w:rPr>
        <w:t xml:space="preserve"> in the context of UCITS V and did n</w:t>
      </w:r>
      <w:r>
        <w:rPr>
          <w:rFonts w:asciiTheme="majorHAnsi" w:hAnsiTheme="majorHAnsi" w:cstheme="majorHAnsi"/>
          <w:sz w:val="20"/>
          <w:szCs w:val="20"/>
        </w:rPr>
        <w:t xml:space="preserve">ot accept it. </w:t>
      </w:r>
    </w:p>
    <w:p w:rsidR="00C362BB" w:rsidRDefault="00C362BB" w:rsidP="00427621">
      <w:pPr>
        <w:pStyle w:val="Default"/>
        <w:rPr>
          <w:rFonts w:asciiTheme="majorHAnsi" w:hAnsiTheme="majorHAnsi" w:cstheme="majorHAnsi"/>
          <w:sz w:val="20"/>
          <w:szCs w:val="20"/>
        </w:rPr>
      </w:pPr>
    </w:p>
    <w:p w:rsidR="00C362BB" w:rsidRDefault="00C362BB" w:rsidP="00427621">
      <w:pPr>
        <w:pStyle w:val="Default"/>
        <w:rPr>
          <w:rFonts w:asciiTheme="majorHAnsi" w:hAnsiTheme="majorHAnsi" w:cstheme="majorHAnsi"/>
          <w:sz w:val="20"/>
          <w:szCs w:val="20"/>
        </w:rPr>
      </w:pPr>
      <w:r>
        <w:rPr>
          <w:rFonts w:asciiTheme="majorHAnsi" w:hAnsiTheme="majorHAnsi" w:cstheme="majorHAnsi"/>
          <w:b/>
          <w:sz w:val="20"/>
          <w:szCs w:val="20"/>
        </w:rPr>
        <w:t xml:space="preserve">Investment firms: </w:t>
      </w:r>
      <w:r w:rsidR="007D2719">
        <w:rPr>
          <w:rFonts w:asciiTheme="majorHAnsi" w:hAnsiTheme="majorHAnsi" w:cstheme="majorHAnsi"/>
          <w:sz w:val="20"/>
          <w:szCs w:val="20"/>
        </w:rPr>
        <w:t xml:space="preserve">Article 66 of CRD clearly provides for investment </w:t>
      </w:r>
      <w:r w:rsidR="00427621">
        <w:rPr>
          <w:rFonts w:asciiTheme="majorHAnsi" w:hAnsiTheme="majorHAnsi" w:cstheme="majorHAnsi"/>
          <w:sz w:val="20"/>
          <w:szCs w:val="20"/>
        </w:rPr>
        <w:t>firms</w:t>
      </w:r>
      <w:r w:rsidR="007D2719">
        <w:rPr>
          <w:rFonts w:asciiTheme="majorHAnsi" w:hAnsiTheme="majorHAnsi" w:cstheme="majorHAnsi"/>
          <w:sz w:val="20"/>
          <w:szCs w:val="20"/>
        </w:rPr>
        <w:t xml:space="preserve"> to</w:t>
      </w:r>
      <w:r w:rsidR="00427621">
        <w:rPr>
          <w:rFonts w:asciiTheme="majorHAnsi" w:hAnsiTheme="majorHAnsi" w:cstheme="majorHAnsi"/>
          <w:sz w:val="20"/>
          <w:szCs w:val="20"/>
        </w:rPr>
        <w:t xml:space="preserve"> have the flexibility to structure remuneration</w:t>
      </w:r>
      <w:r w:rsidR="00361F28">
        <w:rPr>
          <w:rFonts w:asciiTheme="majorHAnsi" w:hAnsiTheme="majorHAnsi" w:cstheme="majorHAnsi"/>
          <w:sz w:val="20"/>
          <w:szCs w:val="20"/>
        </w:rPr>
        <w:t xml:space="preserve"> by neutralising the Pay-Out Process Rules</w:t>
      </w:r>
      <w:r w:rsidR="00A30290">
        <w:rPr>
          <w:rFonts w:asciiTheme="majorHAnsi" w:hAnsiTheme="majorHAnsi" w:cstheme="majorHAnsi"/>
          <w:sz w:val="20"/>
          <w:szCs w:val="20"/>
        </w:rPr>
        <w:t>.</w:t>
      </w:r>
      <w:r>
        <w:rPr>
          <w:rFonts w:asciiTheme="majorHAnsi" w:hAnsiTheme="majorHAnsi" w:cstheme="majorHAnsi"/>
          <w:sz w:val="20"/>
          <w:szCs w:val="20"/>
        </w:rPr>
        <w:t xml:space="preserve"> To require such firms to apply the Pay-Out Process Rules puts them at a significant commercial disadvantage with respect to other asset managers </w:t>
      </w:r>
      <w:r w:rsidR="00DC5812">
        <w:rPr>
          <w:rFonts w:asciiTheme="majorHAnsi" w:hAnsiTheme="majorHAnsi" w:cstheme="majorHAnsi"/>
          <w:sz w:val="20"/>
          <w:szCs w:val="20"/>
        </w:rPr>
        <w:t xml:space="preserve">that are not subject to CRD </w:t>
      </w:r>
      <w:r>
        <w:rPr>
          <w:rFonts w:asciiTheme="majorHAnsi" w:hAnsiTheme="majorHAnsi" w:cstheme="majorHAnsi"/>
          <w:sz w:val="20"/>
          <w:szCs w:val="20"/>
        </w:rPr>
        <w:t xml:space="preserve">and creates an un-level playing field.  </w:t>
      </w:r>
    </w:p>
    <w:p w:rsidR="00A02B3F" w:rsidRDefault="00A02B3F" w:rsidP="00427621">
      <w:pPr>
        <w:pStyle w:val="Default"/>
        <w:rPr>
          <w:rFonts w:asciiTheme="majorHAnsi" w:hAnsiTheme="majorHAnsi" w:cstheme="majorHAnsi"/>
          <w:sz w:val="20"/>
          <w:szCs w:val="20"/>
        </w:rPr>
      </w:pPr>
    </w:p>
    <w:p w:rsidR="00427621" w:rsidRDefault="00C362BB" w:rsidP="00427621">
      <w:pPr>
        <w:pStyle w:val="Default"/>
        <w:rPr>
          <w:rFonts w:asciiTheme="majorHAnsi" w:hAnsiTheme="majorHAnsi" w:cstheme="majorHAnsi"/>
          <w:sz w:val="20"/>
          <w:szCs w:val="20"/>
        </w:rPr>
      </w:pPr>
      <w:r>
        <w:rPr>
          <w:rFonts w:asciiTheme="majorHAnsi" w:hAnsiTheme="majorHAnsi" w:cstheme="majorHAnsi"/>
          <w:sz w:val="20"/>
          <w:szCs w:val="20"/>
        </w:rPr>
        <w:t>In addition,</w:t>
      </w:r>
      <w:r w:rsidR="00391EB8">
        <w:rPr>
          <w:rFonts w:asciiTheme="majorHAnsi" w:hAnsiTheme="majorHAnsi" w:cstheme="majorHAnsi"/>
          <w:sz w:val="20"/>
          <w:szCs w:val="20"/>
        </w:rPr>
        <w:t xml:space="preserve"> it is usual practice for investment firms to design remuneration structures and levels of variable remuneration to reflect client experience and fees</w:t>
      </w:r>
      <w:r w:rsidR="00DC5812">
        <w:rPr>
          <w:rFonts w:asciiTheme="majorHAnsi" w:hAnsiTheme="majorHAnsi" w:cstheme="majorHAnsi"/>
          <w:sz w:val="20"/>
          <w:szCs w:val="20"/>
        </w:rPr>
        <w:t xml:space="preserve"> (which normally reflect performance based on appropriate authority provided by specific client mandates)</w:t>
      </w:r>
      <w:r w:rsidR="00391EB8">
        <w:rPr>
          <w:rFonts w:asciiTheme="majorHAnsi" w:hAnsiTheme="majorHAnsi" w:cstheme="majorHAnsi"/>
          <w:sz w:val="20"/>
          <w:szCs w:val="20"/>
        </w:rPr>
        <w:t>.</w:t>
      </w:r>
      <w:r w:rsidR="00A30290">
        <w:rPr>
          <w:rFonts w:asciiTheme="majorHAnsi" w:hAnsiTheme="majorHAnsi" w:cstheme="majorHAnsi"/>
          <w:sz w:val="20"/>
          <w:szCs w:val="20"/>
        </w:rPr>
        <w:t xml:space="preserve"> The Ratio Cap is inappropriate where firm capital is not put at risk and </w:t>
      </w:r>
      <w:r w:rsidR="00DC5812">
        <w:rPr>
          <w:rFonts w:asciiTheme="majorHAnsi" w:hAnsiTheme="majorHAnsi" w:cstheme="majorHAnsi"/>
          <w:sz w:val="20"/>
          <w:szCs w:val="20"/>
        </w:rPr>
        <w:t>investment firms</w:t>
      </w:r>
      <w:r w:rsidR="00A30290">
        <w:rPr>
          <w:rFonts w:asciiTheme="majorHAnsi" w:hAnsiTheme="majorHAnsi" w:cstheme="majorHAnsi"/>
          <w:sz w:val="20"/>
          <w:szCs w:val="20"/>
        </w:rPr>
        <w:t xml:space="preserve"> should be able to retain flexibility in relation to structuring remuneration to reflect performance</w:t>
      </w:r>
      <w:r w:rsidR="00DC5812">
        <w:rPr>
          <w:rFonts w:asciiTheme="majorHAnsi" w:hAnsiTheme="majorHAnsi" w:cstheme="majorHAnsi"/>
          <w:sz w:val="20"/>
          <w:szCs w:val="20"/>
        </w:rPr>
        <w:t xml:space="preserve">. </w:t>
      </w:r>
      <w:r w:rsidR="00A30290">
        <w:rPr>
          <w:rFonts w:asciiTheme="majorHAnsi" w:hAnsiTheme="majorHAnsi" w:cstheme="majorHAnsi"/>
          <w:sz w:val="20"/>
          <w:szCs w:val="20"/>
        </w:rPr>
        <w:t xml:space="preserve"> </w:t>
      </w:r>
      <w:r w:rsidR="00391EB8">
        <w:rPr>
          <w:rFonts w:asciiTheme="majorHAnsi" w:hAnsiTheme="majorHAnsi" w:cstheme="majorHAnsi"/>
          <w:sz w:val="20"/>
          <w:szCs w:val="20"/>
        </w:rPr>
        <w:t>T</w:t>
      </w:r>
      <w:r w:rsidR="00427621">
        <w:rPr>
          <w:rFonts w:asciiTheme="majorHAnsi" w:hAnsiTheme="majorHAnsi" w:cstheme="majorHAnsi"/>
          <w:sz w:val="20"/>
          <w:szCs w:val="20"/>
        </w:rPr>
        <w:t xml:space="preserve">he application of the </w:t>
      </w:r>
      <w:r w:rsidR="00EB26CE">
        <w:rPr>
          <w:rFonts w:asciiTheme="majorHAnsi" w:hAnsiTheme="majorHAnsi" w:cstheme="majorHAnsi"/>
          <w:sz w:val="20"/>
          <w:szCs w:val="20"/>
        </w:rPr>
        <w:t>Ratio Cap</w:t>
      </w:r>
      <w:r w:rsidR="00427621">
        <w:rPr>
          <w:rFonts w:asciiTheme="majorHAnsi" w:hAnsiTheme="majorHAnsi" w:cstheme="majorHAnsi"/>
          <w:sz w:val="20"/>
          <w:szCs w:val="20"/>
        </w:rPr>
        <w:t xml:space="preserve"> </w:t>
      </w:r>
      <w:r w:rsidR="007D2719">
        <w:rPr>
          <w:rFonts w:asciiTheme="majorHAnsi" w:hAnsiTheme="majorHAnsi" w:cstheme="majorHAnsi"/>
          <w:sz w:val="20"/>
          <w:szCs w:val="20"/>
        </w:rPr>
        <w:t>would force investment</w:t>
      </w:r>
      <w:r w:rsidR="00427621">
        <w:rPr>
          <w:rFonts w:asciiTheme="majorHAnsi" w:hAnsiTheme="majorHAnsi" w:cstheme="majorHAnsi"/>
          <w:sz w:val="20"/>
          <w:szCs w:val="20"/>
        </w:rPr>
        <w:t xml:space="preserve"> firms to maintain higher levels of fixed remuneration, i.e. committing them to a higher cost base regardless of the firm’s actual profit performance and irrespective of the commercial arrangements agreed with clients</w:t>
      </w:r>
      <w:r w:rsidR="004B75B2">
        <w:rPr>
          <w:rFonts w:asciiTheme="majorHAnsi" w:hAnsiTheme="majorHAnsi" w:cstheme="majorHAnsi"/>
          <w:sz w:val="20"/>
          <w:szCs w:val="20"/>
        </w:rPr>
        <w:t>.</w:t>
      </w:r>
      <w:r w:rsidR="00427621">
        <w:rPr>
          <w:rFonts w:asciiTheme="majorHAnsi" w:hAnsiTheme="majorHAnsi" w:cstheme="majorHAnsi"/>
          <w:sz w:val="20"/>
          <w:szCs w:val="20"/>
        </w:rPr>
        <w:t xml:space="preserve"> Increased proportions of fixed remuneration inhibit a firm’s ability to adapt remuneration to reflect changing financial circumstances and to reward staff appropriately. Our clients consider that th</w:t>
      </w:r>
      <w:r w:rsidR="00EB26CE">
        <w:rPr>
          <w:rFonts w:asciiTheme="majorHAnsi" w:hAnsiTheme="majorHAnsi" w:cstheme="majorHAnsi"/>
          <w:sz w:val="20"/>
          <w:szCs w:val="20"/>
        </w:rPr>
        <w:t>e application of the R</w:t>
      </w:r>
      <w:r w:rsidR="00427621">
        <w:rPr>
          <w:rFonts w:asciiTheme="majorHAnsi" w:hAnsiTheme="majorHAnsi" w:cstheme="majorHAnsi"/>
          <w:sz w:val="20"/>
          <w:szCs w:val="20"/>
        </w:rPr>
        <w:t xml:space="preserve">atio </w:t>
      </w:r>
      <w:r w:rsidR="00EB26CE">
        <w:rPr>
          <w:rFonts w:asciiTheme="majorHAnsi" w:hAnsiTheme="majorHAnsi" w:cstheme="majorHAnsi"/>
          <w:sz w:val="20"/>
          <w:szCs w:val="20"/>
        </w:rPr>
        <w:t xml:space="preserve">Cap </w:t>
      </w:r>
      <w:r w:rsidR="00427621">
        <w:rPr>
          <w:rFonts w:asciiTheme="majorHAnsi" w:hAnsiTheme="majorHAnsi" w:cstheme="majorHAnsi"/>
          <w:sz w:val="20"/>
          <w:szCs w:val="20"/>
        </w:rPr>
        <w:t>could ultimately lead to</w:t>
      </w:r>
      <w:r w:rsidR="00877B52">
        <w:rPr>
          <w:rFonts w:asciiTheme="majorHAnsi" w:hAnsiTheme="majorHAnsi" w:cstheme="majorHAnsi"/>
          <w:sz w:val="20"/>
          <w:szCs w:val="20"/>
        </w:rPr>
        <w:t xml:space="preserve"> (i)</w:t>
      </w:r>
      <w:r w:rsidR="00427621">
        <w:rPr>
          <w:rFonts w:asciiTheme="majorHAnsi" w:hAnsiTheme="majorHAnsi" w:cstheme="majorHAnsi"/>
          <w:sz w:val="20"/>
          <w:szCs w:val="20"/>
        </w:rPr>
        <w:t xml:space="preserve"> </w:t>
      </w:r>
      <w:r w:rsidR="002E6337">
        <w:rPr>
          <w:rFonts w:asciiTheme="majorHAnsi" w:hAnsiTheme="majorHAnsi" w:cstheme="majorHAnsi"/>
          <w:sz w:val="20"/>
          <w:szCs w:val="20"/>
        </w:rPr>
        <w:t xml:space="preserve">higher fixed salaries </w:t>
      </w:r>
      <w:r w:rsidR="00877B52">
        <w:rPr>
          <w:rFonts w:asciiTheme="majorHAnsi" w:hAnsiTheme="majorHAnsi" w:cstheme="majorHAnsi"/>
          <w:sz w:val="20"/>
          <w:szCs w:val="20"/>
        </w:rPr>
        <w:t xml:space="preserve">in order to retain staff </w:t>
      </w:r>
      <w:r w:rsidR="002E6337">
        <w:rPr>
          <w:rFonts w:asciiTheme="majorHAnsi" w:hAnsiTheme="majorHAnsi" w:cstheme="majorHAnsi"/>
          <w:sz w:val="20"/>
          <w:szCs w:val="20"/>
        </w:rPr>
        <w:t xml:space="preserve">and </w:t>
      </w:r>
      <w:r w:rsidR="00877B52">
        <w:rPr>
          <w:rFonts w:asciiTheme="majorHAnsi" w:hAnsiTheme="majorHAnsi" w:cstheme="majorHAnsi"/>
          <w:sz w:val="20"/>
          <w:szCs w:val="20"/>
        </w:rPr>
        <w:t xml:space="preserve">(ii) </w:t>
      </w:r>
      <w:r w:rsidR="00BA71A6">
        <w:rPr>
          <w:rFonts w:asciiTheme="majorHAnsi" w:hAnsiTheme="majorHAnsi" w:cstheme="majorHAnsi"/>
          <w:sz w:val="20"/>
          <w:szCs w:val="20"/>
        </w:rPr>
        <w:t xml:space="preserve">potential </w:t>
      </w:r>
      <w:r w:rsidR="00427621">
        <w:rPr>
          <w:rFonts w:asciiTheme="majorHAnsi" w:hAnsiTheme="majorHAnsi" w:cstheme="majorHAnsi"/>
          <w:sz w:val="20"/>
          <w:szCs w:val="20"/>
        </w:rPr>
        <w:t>reward for failure</w:t>
      </w:r>
      <w:r w:rsidR="00877B52">
        <w:rPr>
          <w:rFonts w:asciiTheme="majorHAnsi" w:hAnsiTheme="majorHAnsi" w:cstheme="majorHAnsi"/>
          <w:sz w:val="20"/>
          <w:szCs w:val="20"/>
        </w:rPr>
        <w:t>. In addition, it would lead to greater volatility during times of market instability by encouraging firms to reduce staff numbers, rather than simply allowing variable remuneration to reflect financial performance. For these reasons, the Ratio Cap, particularly in relation to investment firms is considered to be c</w:t>
      </w:r>
      <w:r w:rsidR="00AC596B">
        <w:rPr>
          <w:rFonts w:asciiTheme="majorHAnsi" w:hAnsiTheme="majorHAnsi" w:cstheme="majorHAnsi"/>
          <w:sz w:val="20"/>
          <w:szCs w:val="20"/>
        </w:rPr>
        <w:t>ontrary to sound</w:t>
      </w:r>
      <w:r w:rsidR="007D2719">
        <w:rPr>
          <w:rFonts w:asciiTheme="majorHAnsi" w:hAnsiTheme="majorHAnsi" w:cstheme="majorHAnsi"/>
          <w:sz w:val="20"/>
          <w:szCs w:val="20"/>
        </w:rPr>
        <w:t xml:space="preserve"> and effective risk management.  </w:t>
      </w:r>
    </w:p>
    <w:p w:rsidR="00D72CD9" w:rsidRDefault="00D72CD9" w:rsidP="00427621">
      <w:pPr>
        <w:pStyle w:val="Default"/>
        <w:rPr>
          <w:rFonts w:asciiTheme="majorHAnsi" w:hAnsiTheme="majorHAnsi" w:cstheme="majorHAnsi"/>
          <w:sz w:val="20"/>
          <w:szCs w:val="20"/>
        </w:rPr>
      </w:pPr>
    </w:p>
    <w:p w:rsidR="00D72CD9" w:rsidRDefault="00D72CD9" w:rsidP="00D72CD9">
      <w:pPr>
        <w:pStyle w:val="Default"/>
        <w:rPr>
          <w:rFonts w:asciiTheme="majorHAnsi" w:hAnsiTheme="majorHAnsi" w:cstheme="majorHAnsi"/>
          <w:sz w:val="20"/>
          <w:szCs w:val="20"/>
        </w:rPr>
      </w:pPr>
      <w:r w:rsidRPr="00B82EB9">
        <w:rPr>
          <w:rFonts w:asciiTheme="majorHAnsi" w:hAnsiTheme="majorHAnsi" w:cstheme="majorHAnsi"/>
          <w:b/>
          <w:sz w:val="20"/>
          <w:szCs w:val="20"/>
        </w:rPr>
        <w:lastRenderedPageBreak/>
        <w:t>Other firms which do not risk their own capital and whose profits are based on realised revenue:</w:t>
      </w:r>
      <w:r>
        <w:rPr>
          <w:rFonts w:asciiTheme="majorHAnsi" w:hAnsiTheme="majorHAnsi" w:cstheme="majorHAnsi"/>
          <w:sz w:val="20"/>
          <w:szCs w:val="20"/>
        </w:rPr>
        <w:t xml:space="preserve"> the same analysis applies to other organisations whose revenues and profits are realised at the relevant time and may vary sign</w:t>
      </w:r>
      <w:r w:rsidR="00184CD8">
        <w:rPr>
          <w:rFonts w:asciiTheme="majorHAnsi" w:hAnsiTheme="majorHAnsi" w:cstheme="majorHAnsi"/>
          <w:sz w:val="20"/>
          <w:szCs w:val="20"/>
        </w:rPr>
        <w:t>ificantly from year to year (e.</w:t>
      </w:r>
      <w:r>
        <w:rPr>
          <w:rFonts w:asciiTheme="majorHAnsi" w:hAnsiTheme="majorHAnsi" w:cstheme="majorHAnsi"/>
          <w:sz w:val="20"/>
          <w:szCs w:val="20"/>
        </w:rPr>
        <w:t>g</w:t>
      </w:r>
      <w:r w:rsidR="00184CD8">
        <w:rPr>
          <w:rFonts w:asciiTheme="majorHAnsi" w:hAnsiTheme="majorHAnsi" w:cstheme="majorHAnsi"/>
          <w:sz w:val="20"/>
          <w:szCs w:val="20"/>
        </w:rPr>
        <w:t>.</w:t>
      </w:r>
      <w:r>
        <w:rPr>
          <w:rFonts w:asciiTheme="majorHAnsi" w:hAnsiTheme="majorHAnsi" w:cstheme="majorHAnsi"/>
          <w:sz w:val="20"/>
          <w:szCs w:val="20"/>
        </w:rPr>
        <w:t xml:space="preserve"> broker dealers).  Again, it is appropriate</w:t>
      </w:r>
      <w:r w:rsidR="00A874E8">
        <w:rPr>
          <w:rFonts w:asciiTheme="majorHAnsi" w:hAnsiTheme="majorHAnsi" w:cstheme="majorHAnsi"/>
          <w:sz w:val="20"/>
          <w:szCs w:val="20"/>
        </w:rPr>
        <w:t>,</w:t>
      </w:r>
      <w:r>
        <w:rPr>
          <w:rFonts w:asciiTheme="majorHAnsi" w:hAnsiTheme="majorHAnsi" w:cstheme="majorHAnsi"/>
          <w:sz w:val="20"/>
          <w:szCs w:val="20"/>
        </w:rPr>
        <w:t xml:space="preserve"> in particular</w:t>
      </w:r>
      <w:r w:rsidR="00A874E8">
        <w:rPr>
          <w:rFonts w:asciiTheme="majorHAnsi" w:hAnsiTheme="majorHAnsi" w:cstheme="majorHAnsi"/>
          <w:sz w:val="20"/>
          <w:szCs w:val="20"/>
        </w:rPr>
        <w:t>,</w:t>
      </w:r>
      <w:r>
        <w:rPr>
          <w:rFonts w:asciiTheme="majorHAnsi" w:hAnsiTheme="majorHAnsi" w:cstheme="majorHAnsi"/>
          <w:sz w:val="20"/>
          <w:szCs w:val="20"/>
        </w:rPr>
        <w:t xml:space="preserve"> for these organisations to disapply the Pay-out Process rules </w:t>
      </w:r>
      <w:r w:rsidR="00BA71A6">
        <w:rPr>
          <w:rFonts w:asciiTheme="majorHAnsi" w:hAnsiTheme="majorHAnsi" w:cstheme="majorHAnsi"/>
          <w:sz w:val="20"/>
          <w:szCs w:val="20"/>
        </w:rPr>
        <w:t>(including</w:t>
      </w:r>
      <w:r>
        <w:rPr>
          <w:rFonts w:asciiTheme="majorHAnsi" w:hAnsiTheme="majorHAnsi" w:cstheme="majorHAnsi"/>
          <w:sz w:val="20"/>
          <w:szCs w:val="20"/>
        </w:rPr>
        <w:t xml:space="preserve"> the Ratio Cap</w:t>
      </w:r>
      <w:r w:rsidR="00BA71A6">
        <w:rPr>
          <w:rFonts w:asciiTheme="majorHAnsi" w:hAnsiTheme="majorHAnsi" w:cstheme="majorHAnsi"/>
          <w:sz w:val="20"/>
          <w:szCs w:val="20"/>
        </w:rPr>
        <w:t>)</w:t>
      </w:r>
      <w:r>
        <w:rPr>
          <w:rFonts w:asciiTheme="majorHAnsi" w:hAnsiTheme="majorHAnsi" w:cstheme="majorHAnsi"/>
          <w:sz w:val="20"/>
          <w:szCs w:val="20"/>
        </w:rPr>
        <w:t xml:space="preserve"> so as to align the interests of their shareholders and stakeholders with those of employees.</w:t>
      </w:r>
    </w:p>
    <w:p w:rsidR="00D72CD9" w:rsidRDefault="00D72CD9" w:rsidP="00D72CD9">
      <w:pPr>
        <w:pStyle w:val="Default"/>
        <w:rPr>
          <w:rFonts w:asciiTheme="majorHAnsi" w:hAnsiTheme="majorHAnsi" w:cstheme="majorHAnsi"/>
          <w:sz w:val="20"/>
          <w:szCs w:val="20"/>
        </w:rPr>
      </w:pPr>
    </w:p>
    <w:p w:rsidR="00D72CD9" w:rsidRPr="00B05CD2" w:rsidRDefault="00D72CD9" w:rsidP="00D72CD9">
      <w:pPr>
        <w:pStyle w:val="Default"/>
        <w:rPr>
          <w:rFonts w:asciiTheme="majorHAnsi" w:hAnsiTheme="majorHAnsi" w:cstheme="majorHAnsi"/>
          <w:sz w:val="20"/>
          <w:szCs w:val="20"/>
        </w:rPr>
      </w:pPr>
      <w:r>
        <w:rPr>
          <w:rFonts w:asciiTheme="majorHAnsi" w:hAnsiTheme="majorHAnsi" w:cstheme="majorHAnsi"/>
          <w:b/>
          <w:sz w:val="20"/>
          <w:szCs w:val="20"/>
        </w:rPr>
        <w:t xml:space="preserve">Other smaller/less significant institutions:  </w:t>
      </w:r>
      <w:r>
        <w:rPr>
          <w:rFonts w:asciiTheme="majorHAnsi" w:hAnsiTheme="majorHAnsi" w:cstheme="majorHAnsi"/>
          <w:sz w:val="20"/>
          <w:szCs w:val="20"/>
        </w:rPr>
        <w:t xml:space="preserve">other institutions are currently not required to comply with </w:t>
      </w:r>
      <w:r w:rsidR="00A874E8">
        <w:rPr>
          <w:rFonts w:asciiTheme="majorHAnsi" w:hAnsiTheme="majorHAnsi" w:cstheme="majorHAnsi"/>
          <w:sz w:val="20"/>
          <w:szCs w:val="20"/>
        </w:rPr>
        <w:t xml:space="preserve">the </w:t>
      </w:r>
      <w:r>
        <w:rPr>
          <w:rFonts w:asciiTheme="majorHAnsi" w:hAnsiTheme="majorHAnsi" w:cstheme="majorHAnsi"/>
          <w:sz w:val="20"/>
          <w:szCs w:val="20"/>
        </w:rPr>
        <w:t xml:space="preserve">detailed </w:t>
      </w:r>
      <w:r w:rsidR="00A874E8">
        <w:rPr>
          <w:rFonts w:asciiTheme="majorHAnsi" w:hAnsiTheme="majorHAnsi" w:cstheme="majorHAnsi"/>
          <w:sz w:val="20"/>
          <w:szCs w:val="20"/>
        </w:rPr>
        <w:t>Pay-Out Process Rules</w:t>
      </w:r>
      <w:r>
        <w:rPr>
          <w:rFonts w:asciiTheme="majorHAnsi" w:hAnsiTheme="majorHAnsi" w:cstheme="majorHAnsi"/>
          <w:sz w:val="20"/>
          <w:szCs w:val="20"/>
        </w:rPr>
        <w:t xml:space="preserve"> on the basis of proportionality, the nature of their bus</w:t>
      </w:r>
      <w:r w:rsidR="00C362BB">
        <w:rPr>
          <w:rFonts w:asciiTheme="majorHAnsi" w:hAnsiTheme="majorHAnsi" w:cstheme="majorHAnsi"/>
          <w:sz w:val="20"/>
          <w:szCs w:val="20"/>
        </w:rPr>
        <w:t>iness and the absence of systemic risk.  We consider this to be the correct application of the CRD text.</w:t>
      </w:r>
    </w:p>
    <w:p w:rsidR="00D72CD9" w:rsidRDefault="00D72CD9" w:rsidP="00427621">
      <w:pPr>
        <w:pStyle w:val="Default"/>
        <w:rPr>
          <w:rFonts w:asciiTheme="majorHAnsi" w:hAnsiTheme="majorHAnsi" w:cstheme="majorHAnsi"/>
          <w:sz w:val="20"/>
          <w:szCs w:val="20"/>
        </w:rPr>
      </w:pPr>
    </w:p>
    <w:p w:rsidR="008F38D4" w:rsidRDefault="004F7E8A" w:rsidP="00F718CA">
      <w:pPr>
        <w:pStyle w:val="Default"/>
        <w:rPr>
          <w:rFonts w:asciiTheme="majorHAnsi" w:hAnsiTheme="majorHAnsi" w:cstheme="majorHAnsi"/>
          <w:b/>
          <w:sz w:val="20"/>
          <w:szCs w:val="20"/>
        </w:rPr>
      </w:pPr>
      <w:r w:rsidRPr="004F7E8A">
        <w:rPr>
          <w:rFonts w:asciiTheme="majorHAnsi" w:hAnsiTheme="majorHAnsi" w:cstheme="majorHAnsi"/>
          <w:b/>
          <w:sz w:val="20"/>
          <w:szCs w:val="20"/>
        </w:rPr>
        <w:t>D</w:t>
      </w:r>
      <w:r w:rsidR="003062B7" w:rsidRPr="004F7E8A">
        <w:rPr>
          <w:rFonts w:asciiTheme="majorHAnsi" w:hAnsiTheme="majorHAnsi" w:cstheme="majorHAnsi"/>
          <w:b/>
          <w:sz w:val="20"/>
          <w:szCs w:val="20"/>
        </w:rPr>
        <w:t>e minimis</w:t>
      </w:r>
      <w:r w:rsidRPr="004F7E8A">
        <w:rPr>
          <w:rFonts w:asciiTheme="majorHAnsi" w:hAnsiTheme="majorHAnsi" w:cstheme="majorHAnsi"/>
          <w:b/>
          <w:sz w:val="20"/>
          <w:szCs w:val="20"/>
        </w:rPr>
        <w:t>:</w:t>
      </w:r>
      <w:r>
        <w:rPr>
          <w:rFonts w:asciiTheme="majorHAnsi" w:hAnsiTheme="majorHAnsi" w:cstheme="majorHAnsi"/>
          <w:b/>
          <w:sz w:val="20"/>
          <w:szCs w:val="20"/>
        </w:rPr>
        <w:t xml:space="preserve"> </w:t>
      </w:r>
      <w:r w:rsidR="00F718CA">
        <w:rPr>
          <w:rFonts w:asciiTheme="majorHAnsi" w:hAnsiTheme="majorHAnsi" w:cstheme="majorHAnsi"/>
          <w:sz w:val="20"/>
          <w:szCs w:val="20"/>
        </w:rPr>
        <w:t>In addition to the concerns expressed about proportionality generally and the inability for certain firms to neutralise particular principles, our clients believe that there should be a lower limit beyond which it is not necess</w:t>
      </w:r>
      <w:r w:rsidR="00874339">
        <w:rPr>
          <w:rFonts w:asciiTheme="majorHAnsi" w:hAnsiTheme="majorHAnsi" w:cstheme="majorHAnsi"/>
          <w:sz w:val="20"/>
          <w:szCs w:val="20"/>
        </w:rPr>
        <w:t>ary to apply the Pay-O</w:t>
      </w:r>
      <w:r w:rsidR="00F718CA">
        <w:rPr>
          <w:rFonts w:asciiTheme="majorHAnsi" w:hAnsiTheme="majorHAnsi" w:cstheme="majorHAnsi"/>
          <w:sz w:val="20"/>
          <w:szCs w:val="20"/>
        </w:rPr>
        <w:t>ut Proc</w:t>
      </w:r>
      <w:r w:rsidR="003D01DA">
        <w:rPr>
          <w:rFonts w:asciiTheme="majorHAnsi" w:hAnsiTheme="majorHAnsi" w:cstheme="majorHAnsi"/>
          <w:sz w:val="20"/>
          <w:szCs w:val="20"/>
        </w:rPr>
        <w:t>e</w:t>
      </w:r>
      <w:r w:rsidR="00F718CA">
        <w:rPr>
          <w:rFonts w:asciiTheme="majorHAnsi" w:hAnsiTheme="majorHAnsi" w:cstheme="majorHAnsi"/>
          <w:sz w:val="20"/>
          <w:szCs w:val="20"/>
        </w:rPr>
        <w:t xml:space="preserve">ss </w:t>
      </w:r>
      <w:r w:rsidR="00874339">
        <w:rPr>
          <w:rFonts w:asciiTheme="majorHAnsi" w:hAnsiTheme="majorHAnsi" w:cstheme="majorHAnsi"/>
          <w:sz w:val="20"/>
          <w:szCs w:val="20"/>
        </w:rPr>
        <w:t>R</w:t>
      </w:r>
      <w:r w:rsidR="00F718CA">
        <w:rPr>
          <w:rFonts w:asciiTheme="majorHAnsi" w:hAnsiTheme="majorHAnsi" w:cstheme="majorHAnsi"/>
          <w:sz w:val="20"/>
          <w:szCs w:val="20"/>
        </w:rPr>
        <w:t>ules</w:t>
      </w:r>
      <w:r w:rsidR="007D2719">
        <w:rPr>
          <w:rFonts w:asciiTheme="majorHAnsi" w:hAnsiTheme="majorHAnsi" w:cstheme="majorHAnsi"/>
          <w:sz w:val="20"/>
          <w:szCs w:val="20"/>
        </w:rPr>
        <w:t xml:space="preserve"> in line with the rules operated by the </w:t>
      </w:r>
      <w:r w:rsidR="00AC596B" w:rsidRPr="00AC596B">
        <w:rPr>
          <w:rFonts w:asciiTheme="majorHAnsi" w:hAnsiTheme="majorHAnsi" w:cstheme="majorHAnsi"/>
          <w:sz w:val="20"/>
          <w:szCs w:val="20"/>
        </w:rPr>
        <w:t>PR</w:t>
      </w:r>
      <w:r w:rsidR="007D2719" w:rsidRPr="00AC596B">
        <w:rPr>
          <w:rFonts w:asciiTheme="majorHAnsi" w:hAnsiTheme="majorHAnsi" w:cstheme="majorHAnsi"/>
          <w:sz w:val="20"/>
          <w:szCs w:val="20"/>
        </w:rPr>
        <w:t>A/FCA in</w:t>
      </w:r>
      <w:r w:rsidR="007D2719">
        <w:rPr>
          <w:rFonts w:asciiTheme="majorHAnsi" w:hAnsiTheme="majorHAnsi" w:cstheme="majorHAnsi"/>
          <w:sz w:val="20"/>
          <w:szCs w:val="20"/>
        </w:rPr>
        <w:t xml:space="preserve"> the UK</w:t>
      </w:r>
      <w:r w:rsidR="00F718CA">
        <w:rPr>
          <w:rFonts w:asciiTheme="majorHAnsi" w:hAnsiTheme="majorHAnsi" w:cstheme="majorHAnsi"/>
          <w:sz w:val="20"/>
          <w:szCs w:val="20"/>
        </w:rPr>
        <w:t xml:space="preserve">. For example, we understand that some of our clients have staff in control functions who are identified as </w:t>
      </w:r>
      <w:r w:rsidR="00F15ABD">
        <w:rPr>
          <w:rFonts w:asciiTheme="majorHAnsi" w:hAnsiTheme="majorHAnsi" w:cstheme="majorHAnsi"/>
          <w:sz w:val="20"/>
          <w:szCs w:val="20"/>
        </w:rPr>
        <w:t>Material Risk Takers</w:t>
      </w:r>
      <w:r w:rsidR="007D2719">
        <w:rPr>
          <w:rFonts w:asciiTheme="majorHAnsi" w:hAnsiTheme="majorHAnsi" w:cstheme="majorHAnsi"/>
          <w:sz w:val="20"/>
          <w:szCs w:val="20"/>
        </w:rPr>
        <w:t xml:space="preserve"> only</w:t>
      </w:r>
      <w:r w:rsidR="00F718CA">
        <w:rPr>
          <w:rFonts w:asciiTheme="majorHAnsi" w:hAnsiTheme="majorHAnsi" w:cstheme="majorHAnsi"/>
          <w:sz w:val="20"/>
          <w:szCs w:val="20"/>
        </w:rPr>
        <w:t xml:space="preserve"> on the basis of a signing auth</w:t>
      </w:r>
      <w:r w:rsidR="007D2719">
        <w:rPr>
          <w:rFonts w:asciiTheme="majorHAnsi" w:hAnsiTheme="majorHAnsi" w:cstheme="majorHAnsi"/>
          <w:sz w:val="20"/>
          <w:szCs w:val="20"/>
        </w:rPr>
        <w:t>ority on behalf of the firm</w:t>
      </w:r>
      <w:r w:rsidR="00F718CA">
        <w:rPr>
          <w:rFonts w:asciiTheme="majorHAnsi" w:hAnsiTheme="majorHAnsi" w:cstheme="majorHAnsi"/>
          <w:sz w:val="20"/>
          <w:szCs w:val="20"/>
        </w:rPr>
        <w:t xml:space="preserve"> (and that the firm would not otherwise identify such individuals as </w:t>
      </w:r>
      <w:r w:rsidR="00F15ABD">
        <w:rPr>
          <w:rFonts w:asciiTheme="majorHAnsi" w:hAnsiTheme="majorHAnsi" w:cstheme="majorHAnsi"/>
          <w:sz w:val="20"/>
          <w:szCs w:val="20"/>
        </w:rPr>
        <w:t>Material Risk Takers</w:t>
      </w:r>
      <w:r w:rsidR="00D90414">
        <w:rPr>
          <w:rFonts w:asciiTheme="majorHAnsi" w:hAnsiTheme="majorHAnsi" w:cstheme="majorHAnsi"/>
          <w:sz w:val="20"/>
          <w:szCs w:val="20"/>
        </w:rPr>
        <w:t xml:space="preserve">). If </w:t>
      </w:r>
      <w:r w:rsidR="007D2719">
        <w:rPr>
          <w:rFonts w:asciiTheme="majorHAnsi" w:hAnsiTheme="majorHAnsi" w:cstheme="majorHAnsi"/>
          <w:sz w:val="20"/>
          <w:szCs w:val="20"/>
        </w:rPr>
        <w:t>a</w:t>
      </w:r>
      <w:r w:rsidR="00F718CA">
        <w:rPr>
          <w:rFonts w:asciiTheme="majorHAnsi" w:hAnsiTheme="majorHAnsi" w:cstheme="majorHAnsi"/>
          <w:sz w:val="20"/>
          <w:szCs w:val="20"/>
        </w:rPr>
        <w:t xml:space="preserve"> de minimis exemption</w:t>
      </w:r>
      <w:r w:rsidR="00DE3CFC">
        <w:rPr>
          <w:rFonts w:asciiTheme="majorHAnsi" w:hAnsiTheme="majorHAnsi" w:cstheme="majorHAnsi"/>
          <w:sz w:val="20"/>
          <w:szCs w:val="20"/>
        </w:rPr>
        <w:t xml:space="preserve"> </w:t>
      </w:r>
      <w:r w:rsidR="00F718CA">
        <w:rPr>
          <w:rFonts w:asciiTheme="majorHAnsi" w:hAnsiTheme="majorHAnsi" w:cstheme="majorHAnsi"/>
          <w:sz w:val="20"/>
          <w:szCs w:val="20"/>
        </w:rPr>
        <w:t xml:space="preserve">cannot be used by virtue of the </w:t>
      </w:r>
      <w:r w:rsidR="00D90414">
        <w:rPr>
          <w:rFonts w:asciiTheme="majorHAnsi" w:hAnsiTheme="majorHAnsi" w:cstheme="majorHAnsi"/>
          <w:sz w:val="20"/>
          <w:szCs w:val="20"/>
        </w:rPr>
        <w:t xml:space="preserve">revised </w:t>
      </w:r>
      <w:r w:rsidR="00F718CA">
        <w:rPr>
          <w:rFonts w:asciiTheme="majorHAnsi" w:hAnsiTheme="majorHAnsi" w:cstheme="majorHAnsi"/>
          <w:sz w:val="20"/>
          <w:szCs w:val="20"/>
        </w:rPr>
        <w:t>application of the proportionality principle, this would result in significant changes to the remuneration structure of such employees and our clients consider this to be a threat to staff retention (as employees in such functions may wish to seek employment in businesses which are not under structuring obligations in relation to variable remuneration). This would impact on the stability of th</w:t>
      </w:r>
      <w:r w:rsidR="00DE3CFC">
        <w:rPr>
          <w:rFonts w:asciiTheme="majorHAnsi" w:hAnsiTheme="majorHAnsi" w:cstheme="majorHAnsi"/>
          <w:sz w:val="20"/>
          <w:szCs w:val="20"/>
        </w:rPr>
        <w:t>e control function itself which would increase</w:t>
      </w:r>
      <w:r w:rsidR="00F718CA">
        <w:rPr>
          <w:rFonts w:asciiTheme="majorHAnsi" w:hAnsiTheme="majorHAnsi" w:cstheme="majorHAnsi"/>
          <w:sz w:val="20"/>
          <w:szCs w:val="20"/>
        </w:rPr>
        <w:t xml:space="preserve"> prudential</w:t>
      </w:r>
      <w:r w:rsidR="00DE3CFC">
        <w:rPr>
          <w:rFonts w:asciiTheme="majorHAnsi" w:hAnsiTheme="majorHAnsi" w:cstheme="majorHAnsi"/>
          <w:sz w:val="20"/>
          <w:szCs w:val="20"/>
        </w:rPr>
        <w:t xml:space="preserve"> risk for</w:t>
      </w:r>
      <w:r w:rsidR="00F718CA">
        <w:rPr>
          <w:rFonts w:asciiTheme="majorHAnsi" w:hAnsiTheme="majorHAnsi" w:cstheme="majorHAnsi"/>
          <w:sz w:val="20"/>
          <w:szCs w:val="20"/>
        </w:rPr>
        <w:t xml:space="preserve"> firms.</w:t>
      </w:r>
    </w:p>
    <w:p w:rsidR="008F38D4" w:rsidRPr="008F38D4" w:rsidRDefault="008F38D4" w:rsidP="00F718CA">
      <w:pPr>
        <w:pStyle w:val="Default"/>
        <w:rPr>
          <w:rFonts w:asciiTheme="majorHAnsi" w:hAnsiTheme="majorHAnsi" w:cstheme="majorHAnsi"/>
          <w:b/>
          <w:sz w:val="20"/>
          <w:szCs w:val="20"/>
          <w:lang w:val="en-US"/>
        </w:rPr>
      </w:pPr>
    </w:p>
    <w:p w:rsidR="00064251" w:rsidRPr="000F0BB9" w:rsidRDefault="00064251" w:rsidP="00064251">
      <w:pPr>
        <w:pStyle w:val="Default"/>
        <w:rPr>
          <w:rFonts w:asciiTheme="majorHAnsi" w:hAnsiTheme="majorHAnsi" w:cstheme="majorHAnsi"/>
          <w:b/>
          <w:sz w:val="20"/>
          <w:szCs w:val="20"/>
        </w:rPr>
      </w:pPr>
      <w:r w:rsidRPr="000F0BB9">
        <w:rPr>
          <w:rFonts w:asciiTheme="majorHAnsi" w:hAnsiTheme="majorHAnsi" w:cstheme="majorHAnsi"/>
          <w:b/>
          <w:sz w:val="20"/>
          <w:szCs w:val="20"/>
        </w:rPr>
        <w:t xml:space="preserve">Q 6: Are the guidelines on the identification of staff appropriate and sufficiently clear? </w:t>
      </w:r>
    </w:p>
    <w:p w:rsidR="00064251" w:rsidRDefault="00064251" w:rsidP="00064251">
      <w:pPr>
        <w:pStyle w:val="Default"/>
        <w:rPr>
          <w:rFonts w:asciiTheme="majorHAnsi" w:hAnsiTheme="majorHAnsi" w:cstheme="majorHAnsi"/>
          <w:sz w:val="20"/>
          <w:szCs w:val="20"/>
        </w:rPr>
      </w:pPr>
    </w:p>
    <w:p w:rsidR="00130560" w:rsidRDefault="000E7F69" w:rsidP="00130560">
      <w:pPr>
        <w:pStyle w:val="Default"/>
        <w:rPr>
          <w:rFonts w:asciiTheme="majorHAnsi" w:hAnsiTheme="majorHAnsi" w:cstheme="majorHAnsi"/>
          <w:sz w:val="20"/>
          <w:szCs w:val="20"/>
        </w:rPr>
      </w:pPr>
      <w:r>
        <w:rPr>
          <w:rFonts w:asciiTheme="majorHAnsi" w:hAnsiTheme="majorHAnsi" w:cstheme="majorHAnsi"/>
          <w:sz w:val="20"/>
          <w:szCs w:val="20"/>
        </w:rPr>
        <w:t xml:space="preserve">Given that the </w:t>
      </w:r>
      <w:r w:rsidRPr="000E7F69">
        <w:rPr>
          <w:rFonts w:asciiTheme="majorHAnsi" w:hAnsiTheme="majorHAnsi" w:cstheme="majorHAnsi"/>
          <w:sz w:val="20"/>
          <w:szCs w:val="20"/>
        </w:rPr>
        <w:t>Regulatory Technical Standards (RTS)</w:t>
      </w:r>
      <w:r>
        <w:rPr>
          <w:rFonts w:asciiTheme="majorHAnsi" w:hAnsiTheme="majorHAnsi" w:cstheme="majorHAnsi"/>
          <w:sz w:val="20"/>
          <w:szCs w:val="20"/>
        </w:rPr>
        <w:t xml:space="preserve"> were published so recently, our clients consider it inappropriate and unduly onerous to change the position</w:t>
      </w:r>
      <w:r w:rsidR="003C7468">
        <w:rPr>
          <w:rFonts w:asciiTheme="majorHAnsi" w:hAnsiTheme="majorHAnsi" w:cstheme="majorHAnsi"/>
          <w:sz w:val="20"/>
          <w:szCs w:val="20"/>
        </w:rPr>
        <w:t xml:space="preserve"> on the identification of staff</w:t>
      </w:r>
      <w:r>
        <w:rPr>
          <w:rFonts w:asciiTheme="majorHAnsi" w:hAnsiTheme="majorHAnsi" w:cstheme="majorHAnsi"/>
          <w:sz w:val="20"/>
          <w:szCs w:val="20"/>
        </w:rPr>
        <w:t xml:space="preserve"> under the Draft Guidelines. As it takes time for institutions to comply with new regulatory requirements, our clients strongly request an appropriate opportunity to a</w:t>
      </w:r>
      <w:r w:rsidR="006B520C">
        <w:rPr>
          <w:rFonts w:asciiTheme="majorHAnsi" w:hAnsiTheme="majorHAnsi" w:cstheme="majorHAnsi"/>
          <w:sz w:val="20"/>
          <w:szCs w:val="20"/>
        </w:rPr>
        <w:t xml:space="preserve">llow the current provisions to </w:t>
      </w:r>
      <w:r w:rsidRPr="006B520C">
        <w:rPr>
          <w:rFonts w:asciiTheme="majorHAnsi" w:hAnsiTheme="majorHAnsi" w:cstheme="majorHAnsi"/>
          <w:sz w:val="20"/>
          <w:szCs w:val="20"/>
        </w:rPr>
        <w:t>entrench i</w:t>
      </w:r>
      <w:r>
        <w:rPr>
          <w:rFonts w:asciiTheme="majorHAnsi" w:hAnsiTheme="majorHAnsi" w:cstheme="majorHAnsi"/>
          <w:sz w:val="20"/>
          <w:szCs w:val="20"/>
        </w:rPr>
        <w:t xml:space="preserve">n their businesses. If </w:t>
      </w:r>
      <w:r w:rsidR="008C5863">
        <w:rPr>
          <w:rFonts w:asciiTheme="majorHAnsi" w:hAnsiTheme="majorHAnsi" w:cstheme="majorHAnsi"/>
          <w:sz w:val="20"/>
          <w:szCs w:val="20"/>
        </w:rPr>
        <w:t xml:space="preserve">inadequacies are perceived after such </w:t>
      </w:r>
      <w:r w:rsidR="00705205">
        <w:rPr>
          <w:rFonts w:asciiTheme="majorHAnsi" w:hAnsiTheme="majorHAnsi" w:cstheme="majorHAnsi"/>
          <w:sz w:val="20"/>
          <w:szCs w:val="20"/>
        </w:rPr>
        <w:t xml:space="preserve">an </w:t>
      </w:r>
      <w:r w:rsidR="00D90414">
        <w:rPr>
          <w:rFonts w:asciiTheme="majorHAnsi" w:hAnsiTheme="majorHAnsi" w:cstheme="majorHAnsi"/>
          <w:sz w:val="20"/>
          <w:szCs w:val="20"/>
        </w:rPr>
        <w:t>opportunity,</w:t>
      </w:r>
      <w:r w:rsidR="008C5863">
        <w:rPr>
          <w:rFonts w:asciiTheme="majorHAnsi" w:hAnsiTheme="majorHAnsi" w:cstheme="majorHAnsi"/>
          <w:sz w:val="20"/>
          <w:szCs w:val="20"/>
        </w:rPr>
        <w:t xml:space="preserve"> change could be considered at that</w:t>
      </w:r>
      <w:r w:rsidR="003C7468">
        <w:rPr>
          <w:rFonts w:asciiTheme="majorHAnsi" w:hAnsiTheme="majorHAnsi" w:cstheme="majorHAnsi"/>
          <w:sz w:val="20"/>
          <w:szCs w:val="20"/>
        </w:rPr>
        <w:t xml:space="preserve"> later</w:t>
      </w:r>
      <w:r w:rsidR="008C5863">
        <w:rPr>
          <w:rFonts w:asciiTheme="majorHAnsi" w:hAnsiTheme="majorHAnsi" w:cstheme="majorHAnsi"/>
          <w:sz w:val="20"/>
          <w:szCs w:val="20"/>
        </w:rPr>
        <w:t xml:space="preserve"> stage, if appropriate. </w:t>
      </w:r>
      <w:r w:rsidR="00DE3CFC">
        <w:rPr>
          <w:rFonts w:asciiTheme="majorHAnsi" w:hAnsiTheme="majorHAnsi" w:cstheme="majorHAnsi"/>
          <w:sz w:val="20"/>
          <w:szCs w:val="20"/>
        </w:rPr>
        <w:t>In any event, the obligation to identify Material Risk Takers under quantitative tests at non</w:t>
      </w:r>
      <w:r w:rsidR="00874339">
        <w:rPr>
          <w:rFonts w:asciiTheme="majorHAnsi" w:hAnsiTheme="majorHAnsi" w:cstheme="majorHAnsi"/>
          <w:sz w:val="20"/>
          <w:szCs w:val="20"/>
        </w:rPr>
        <w:t>-</w:t>
      </w:r>
      <w:r w:rsidR="00DE3CFC">
        <w:rPr>
          <w:rFonts w:asciiTheme="majorHAnsi" w:hAnsiTheme="majorHAnsi" w:cstheme="majorHAnsi"/>
          <w:sz w:val="20"/>
          <w:szCs w:val="20"/>
        </w:rPr>
        <w:t>CRD entities merely creates administrative burdens as such individuals will be excluded under Article 4</w:t>
      </w:r>
      <w:r w:rsidR="001374CD">
        <w:rPr>
          <w:rFonts w:asciiTheme="majorHAnsi" w:hAnsiTheme="majorHAnsi" w:cstheme="majorHAnsi"/>
          <w:sz w:val="20"/>
          <w:szCs w:val="20"/>
        </w:rPr>
        <w:t xml:space="preserve"> of the RTS in any event</w:t>
      </w:r>
      <w:r w:rsidR="00DE3CFC">
        <w:rPr>
          <w:rFonts w:asciiTheme="majorHAnsi" w:hAnsiTheme="majorHAnsi" w:cstheme="majorHAnsi"/>
          <w:sz w:val="20"/>
          <w:szCs w:val="20"/>
        </w:rPr>
        <w:t xml:space="preserve">. </w:t>
      </w:r>
      <w:r w:rsidR="008C5863">
        <w:rPr>
          <w:rFonts w:asciiTheme="majorHAnsi" w:hAnsiTheme="majorHAnsi" w:cstheme="majorHAnsi"/>
          <w:sz w:val="20"/>
          <w:szCs w:val="20"/>
        </w:rPr>
        <w:t>Our clients consider the requirements in the Draft Guidelines to be too prescriptive</w:t>
      </w:r>
      <w:r w:rsidR="00EC3401">
        <w:rPr>
          <w:rFonts w:asciiTheme="majorHAnsi" w:hAnsiTheme="majorHAnsi" w:cstheme="majorHAnsi"/>
          <w:sz w:val="20"/>
          <w:szCs w:val="20"/>
        </w:rPr>
        <w:t xml:space="preserve"> and </w:t>
      </w:r>
      <w:r w:rsidR="008C5863">
        <w:rPr>
          <w:rFonts w:asciiTheme="majorHAnsi" w:hAnsiTheme="majorHAnsi" w:cstheme="majorHAnsi"/>
          <w:sz w:val="20"/>
          <w:szCs w:val="20"/>
        </w:rPr>
        <w:t xml:space="preserve">unnecessary and </w:t>
      </w:r>
      <w:r w:rsidR="003C7468">
        <w:rPr>
          <w:rFonts w:asciiTheme="majorHAnsi" w:hAnsiTheme="majorHAnsi" w:cstheme="majorHAnsi"/>
          <w:sz w:val="20"/>
          <w:szCs w:val="20"/>
        </w:rPr>
        <w:t xml:space="preserve">that the relevant provisions </w:t>
      </w:r>
      <w:r w:rsidR="008C5863">
        <w:rPr>
          <w:rFonts w:asciiTheme="majorHAnsi" w:hAnsiTheme="majorHAnsi" w:cstheme="majorHAnsi"/>
          <w:sz w:val="20"/>
          <w:szCs w:val="20"/>
        </w:rPr>
        <w:t>would place a disprop</w:t>
      </w:r>
      <w:r w:rsidR="003C7468">
        <w:rPr>
          <w:rFonts w:asciiTheme="majorHAnsi" w:hAnsiTheme="majorHAnsi" w:cstheme="majorHAnsi"/>
          <w:sz w:val="20"/>
          <w:szCs w:val="20"/>
        </w:rPr>
        <w:t>ortionate strain on resources required to</w:t>
      </w:r>
      <w:r w:rsidR="008C5863">
        <w:rPr>
          <w:rFonts w:asciiTheme="majorHAnsi" w:hAnsiTheme="majorHAnsi" w:cstheme="majorHAnsi"/>
          <w:sz w:val="20"/>
          <w:szCs w:val="20"/>
        </w:rPr>
        <w:t xml:space="preserve"> manage the process of identification of staff. </w:t>
      </w:r>
      <w:r w:rsidR="00483748">
        <w:rPr>
          <w:rFonts w:asciiTheme="majorHAnsi" w:hAnsiTheme="majorHAnsi" w:cstheme="majorHAnsi"/>
          <w:sz w:val="20"/>
          <w:szCs w:val="20"/>
        </w:rPr>
        <w:t xml:space="preserve"> </w:t>
      </w:r>
      <w:r w:rsidR="00130560">
        <w:rPr>
          <w:rFonts w:asciiTheme="majorHAnsi" w:hAnsiTheme="majorHAnsi" w:cstheme="majorHAnsi"/>
          <w:sz w:val="20"/>
          <w:szCs w:val="20"/>
        </w:rPr>
        <w:t xml:space="preserve">There would be no objection if it were made clear that the process was intended to be an example rather than formally required and it were made clear that different organisations will adopt different and/or less formal requirements. It should also be clear that the guidelines do not add additional obligations beyond </w:t>
      </w:r>
      <w:r w:rsidR="00C362BB">
        <w:rPr>
          <w:rFonts w:asciiTheme="majorHAnsi" w:hAnsiTheme="majorHAnsi" w:cstheme="majorHAnsi"/>
          <w:sz w:val="20"/>
          <w:szCs w:val="20"/>
        </w:rPr>
        <w:t xml:space="preserve">a </w:t>
      </w:r>
      <w:r w:rsidR="00130560">
        <w:rPr>
          <w:rFonts w:asciiTheme="majorHAnsi" w:hAnsiTheme="majorHAnsi" w:cstheme="majorHAnsi"/>
          <w:sz w:val="20"/>
          <w:szCs w:val="20"/>
        </w:rPr>
        <w:t>firm’s obligations to identify the appropriate persons under the RTS.</w:t>
      </w:r>
    </w:p>
    <w:p w:rsidR="00764951" w:rsidRDefault="00764951" w:rsidP="00064251">
      <w:pPr>
        <w:pStyle w:val="Default"/>
        <w:rPr>
          <w:rFonts w:asciiTheme="majorHAnsi" w:hAnsiTheme="majorHAnsi" w:cstheme="majorHAnsi"/>
          <w:sz w:val="20"/>
          <w:szCs w:val="20"/>
        </w:rPr>
      </w:pPr>
    </w:p>
    <w:p w:rsidR="00064251" w:rsidRPr="000F0BB9" w:rsidRDefault="00064251" w:rsidP="00064251">
      <w:pPr>
        <w:pStyle w:val="Default"/>
        <w:rPr>
          <w:rFonts w:asciiTheme="majorHAnsi" w:hAnsiTheme="majorHAnsi" w:cstheme="majorHAnsi"/>
          <w:b/>
          <w:sz w:val="20"/>
          <w:szCs w:val="20"/>
        </w:rPr>
      </w:pPr>
      <w:r w:rsidRPr="000F0BB9">
        <w:rPr>
          <w:rFonts w:asciiTheme="majorHAnsi" w:hAnsiTheme="majorHAnsi" w:cstheme="majorHAnsi"/>
          <w:b/>
          <w:sz w:val="20"/>
          <w:szCs w:val="20"/>
        </w:rPr>
        <w:t xml:space="preserve">Q 8: Are the requirements regarding categories of remuneration appropriate and sufficiently clear? </w:t>
      </w:r>
    </w:p>
    <w:p w:rsidR="00064251" w:rsidRDefault="00064251" w:rsidP="00064251">
      <w:pPr>
        <w:pStyle w:val="Default"/>
        <w:rPr>
          <w:rFonts w:asciiTheme="majorHAnsi" w:hAnsiTheme="majorHAnsi" w:cstheme="majorHAnsi"/>
          <w:sz w:val="20"/>
          <w:szCs w:val="20"/>
        </w:rPr>
      </w:pPr>
    </w:p>
    <w:p w:rsidR="003438CD" w:rsidRDefault="006D05E9" w:rsidP="00064251">
      <w:pPr>
        <w:pStyle w:val="Default"/>
        <w:rPr>
          <w:rFonts w:asciiTheme="majorHAnsi" w:hAnsiTheme="majorHAnsi" w:cstheme="majorHAnsi"/>
          <w:sz w:val="20"/>
          <w:szCs w:val="20"/>
        </w:rPr>
      </w:pPr>
      <w:r>
        <w:rPr>
          <w:rFonts w:asciiTheme="majorHAnsi" w:hAnsiTheme="majorHAnsi" w:cstheme="majorHAnsi"/>
          <w:sz w:val="20"/>
          <w:szCs w:val="20"/>
        </w:rPr>
        <w:t xml:space="preserve">Our clients consider that the provisions relating to long term incentive plans (“LTIPs”) </w:t>
      </w:r>
      <w:r w:rsidR="0062535D">
        <w:rPr>
          <w:rFonts w:asciiTheme="majorHAnsi" w:hAnsiTheme="majorHAnsi" w:cstheme="majorHAnsi"/>
          <w:sz w:val="20"/>
          <w:szCs w:val="20"/>
        </w:rPr>
        <w:t xml:space="preserve">makes those vehicles </w:t>
      </w:r>
      <w:r w:rsidR="0088560D">
        <w:rPr>
          <w:rFonts w:asciiTheme="majorHAnsi" w:hAnsiTheme="majorHAnsi" w:cstheme="majorHAnsi"/>
          <w:sz w:val="20"/>
          <w:szCs w:val="20"/>
        </w:rPr>
        <w:t xml:space="preserve">unworkable in the context of the </w:t>
      </w:r>
      <w:r w:rsidR="00705205">
        <w:rPr>
          <w:rFonts w:asciiTheme="majorHAnsi" w:hAnsiTheme="majorHAnsi" w:cstheme="majorHAnsi"/>
          <w:sz w:val="20"/>
          <w:szCs w:val="20"/>
        </w:rPr>
        <w:t xml:space="preserve">Ratio Cap. </w:t>
      </w:r>
      <w:proofErr w:type="gramStart"/>
      <w:r w:rsidR="00341122">
        <w:rPr>
          <w:rFonts w:asciiTheme="majorHAnsi" w:hAnsiTheme="majorHAnsi" w:cstheme="majorHAnsi"/>
          <w:sz w:val="20"/>
          <w:szCs w:val="20"/>
        </w:rPr>
        <w:t>If</w:t>
      </w:r>
      <w:r w:rsidR="00C3787F">
        <w:rPr>
          <w:rFonts w:asciiTheme="majorHAnsi" w:hAnsiTheme="majorHAnsi" w:cstheme="majorHAnsi"/>
          <w:sz w:val="20"/>
          <w:szCs w:val="20"/>
        </w:rPr>
        <w:t xml:space="preserve"> the</w:t>
      </w:r>
      <w:r w:rsidR="00F4743D">
        <w:rPr>
          <w:rFonts w:asciiTheme="majorHAnsi" w:hAnsiTheme="majorHAnsi" w:cstheme="majorHAnsi"/>
          <w:sz w:val="20"/>
          <w:szCs w:val="20"/>
        </w:rPr>
        <w:t xml:space="preserve"> value of LTIP awards is</w:t>
      </w:r>
      <w:r w:rsidR="00341122">
        <w:rPr>
          <w:rFonts w:asciiTheme="majorHAnsi" w:hAnsiTheme="majorHAnsi" w:cstheme="majorHAnsi"/>
          <w:sz w:val="20"/>
          <w:szCs w:val="20"/>
        </w:rPr>
        <w:t xml:space="preserve"> taken into account in the performance year when the remuneration is awarded (i.e. on vesting), </w:t>
      </w:r>
      <w:r w:rsidR="007B551A">
        <w:rPr>
          <w:rFonts w:asciiTheme="majorHAnsi" w:hAnsiTheme="majorHAnsi" w:cstheme="majorHAnsi"/>
          <w:sz w:val="20"/>
          <w:szCs w:val="20"/>
        </w:rPr>
        <w:t>firms would be unable to manage</w:t>
      </w:r>
      <w:r w:rsidR="00F4743D">
        <w:rPr>
          <w:rFonts w:asciiTheme="majorHAnsi" w:hAnsiTheme="majorHAnsi" w:cstheme="majorHAnsi"/>
          <w:sz w:val="20"/>
          <w:szCs w:val="20"/>
        </w:rPr>
        <w:t xml:space="preserve"> and </w:t>
      </w:r>
      <w:r w:rsidR="00C3787F">
        <w:rPr>
          <w:rFonts w:asciiTheme="majorHAnsi" w:hAnsiTheme="majorHAnsi" w:cstheme="majorHAnsi"/>
          <w:sz w:val="20"/>
          <w:szCs w:val="20"/>
        </w:rPr>
        <w:t>regulate</w:t>
      </w:r>
      <w:r w:rsidR="007B551A">
        <w:rPr>
          <w:rFonts w:asciiTheme="majorHAnsi" w:hAnsiTheme="majorHAnsi" w:cstheme="majorHAnsi"/>
          <w:sz w:val="20"/>
          <w:szCs w:val="20"/>
        </w:rPr>
        <w:t xml:space="preserve"> the </w:t>
      </w:r>
      <w:r w:rsidR="00C3787F">
        <w:rPr>
          <w:rFonts w:asciiTheme="majorHAnsi" w:hAnsiTheme="majorHAnsi" w:cstheme="majorHAnsi"/>
          <w:sz w:val="20"/>
          <w:szCs w:val="20"/>
        </w:rPr>
        <w:t>Ratio</w:t>
      </w:r>
      <w:r w:rsidR="007B551A">
        <w:rPr>
          <w:rFonts w:asciiTheme="majorHAnsi" w:hAnsiTheme="majorHAnsi" w:cstheme="majorHAnsi"/>
          <w:sz w:val="20"/>
          <w:szCs w:val="20"/>
        </w:rPr>
        <w:t xml:space="preserve"> Cap</w:t>
      </w:r>
      <w:r w:rsidR="00341122">
        <w:rPr>
          <w:rFonts w:asciiTheme="majorHAnsi" w:hAnsiTheme="majorHAnsi" w:cstheme="majorHAnsi"/>
          <w:sz w:val="20"/>
          <w:szCs w:val="20"/>
        </w:rPr>
        <w:t>.</w:t>
      </w:r>
      <w:proofErr w:type="gramEnd"/>
      <w:r w:rsidR="00341122">
        <w:rPr>
          <w:rFonts w:asciiTheme="majorHAnsi" w:hAnsiTheme="majorHAnsi" w:cstheme="majorHAnsi"/>
          <w:sz w:val="20"/>
          <w:szCs w:val="20"/>
        </w:rPr>
        <w:t xml:space="preserve"> Therefore, from a practical perspective, LTIPs which are structured as conditional awards of shares (the vesting of which is subject to performance</w:t>
      </w:r>
      <w:r w:rsidR="00C3787F">
        <w:rPr>
          <w:rFonts w:asciiTheme="majorHAnsi" w:hAnsiTheme="majorHAnsi" w:cstheme="majorHAnsi"/>
          <w:sz w:val="20"/>
          <w:szCs w:val="20"/>
        </w:rPr>
        <w:t xml:space="preserve"> over a future vesting period</w:t>
      </w:r>
      <w:r w:rsidR="00341122">
        <w:rPr>
          <w:rFonts w:asciiTheme="majorHAnsi" w:hAnsiTheme="majorHAnsi" w:cstheme="majorHAnsi"/>
          <w:sz w:val="20"/>
          <w:szCs w:val="20"/>
        </w:rPr>
        <w:t>), cannot continue to be used</w:t>
      </w:r>
      <w:r w:rsidR="003438CD">
        <w:rPr>
          <w:rFonts w:asciiTheme="majorHAnsi" w:hAnsiTheme="majorHAnsi" w:cstheme="majorHAnsi"/>
          <w:sz w:val="20"/>
          <w:szCs w:val="20"/>
        </w:rPr>
        <w:t xml:space="preserve"> in the form</w:t>
      </w:r>
      <w:r w:rsidR="00C3787F">
        <w:rPr>
          <w:rFonts w:asciiTheme="majorHAnsi" w:hAnsiTheme="majorHAnsi" w:cstheme="majorHAnsi"/>
          <w:sz w:val="20"/>
          <w:szCs w:val="20"/>
        </w:rPr>
        <w:t xml:space="preserve"> currently</w:t>
      </w:r>
      <w:r w:rsidR="003438CD">
        <w:rPr>
          <w:rFonts w:asciiTheme="majorHAnsi" w:hAnsiTheme="majorHAnsi" w:cstheme="majorHAnsi"/>
          <w:sz w:val="20"/>
          <w:szCs w:val="20"/>
        </w:rPr>
        <w:t xml:space="preserve"> adopted by many clients</w:t>
      </w:r>
      <w:r w:rsidR="0062535D">
        <w:rPr>
          <w:rFonts w:asciiTheme="majorHAnsi" w:hAnsiTheme="majorHAnsi" w:cstheme="majorHAnsi"/>
          <w:sz w:val="20"/>
          <w:szCs w:val="20"/>
        </w:rPr>
        <w:t>,</w:t>
      </w:r>
      <w:r w:rsidR="0066244B">
        <w:rPr>
          <w:rFonts w:asciiTheme="majorHAnsi" w:hAnsiTheme="majorHAnsi" w:cstheme="majorHAnsi"/>
          <w:sz w:val="20"/>
          <w:szCs w:val="20"/>
        </w:rPr>
        <w:t xml:space="preserve"> meaning that a widely used and valuable tool for the alignment of the interests of senior staff with those of other stakeholders would be lost</w:t>
      </w:r>
      <w:r w:rsidR="00E01954">
        <w:rPr>
          <w:rFonts w:asciiTheme="majorHAnsi" w:hAnsiTheme="majorHAnsi" w:cstheme="majorHAnsi"/>
          <w:sz w:val="20"/>
          <w:szCs w:val="20"/>
        </w:rPr>
        <w:t xml:space="preserve">. </w:t>
      </w:r>
      <w:r w:rsidR="006B520C">
        <w:rPr>
          <w:rFonts w:asciiTheme="majorHAnsi" w:hAnsiTheme="majorHAnsi" w:cstheme="majorHAnsi"/>
          <w:sz w:val="20"/>
          <w:szCs w:val="20"/>
        </w:rPr>
        <w:t>We</w:t>
      </w:r>
      <w:r w:rsidR="00E01954">
        <w:rPr>
          <w:rFonts w:asciiTheme="majorHAnsi" w:hAnsiTheme="majorHAnsi" w:cstheme="majorHAnsi"/>
          <w:sz w:val="20"/>
          <w:szCs w:val="20"/>
        </w:rPr>
        <w:t xml:space="preserve"> do not believe that th</w:t>
      </w:r>
      <w:r w:rsidR="001374CD">
        <w:rPr>
          <w:rFonts w:asciiTheme="majorHAnsi" w:hAnsiTheme="majorHAnsi" w:cstheme="majorHAnsi"/>
          <w:sz w:val="20"/>
          <w:szCs w:val="20"/>
        </w:rPr>
        <w:t>e EBA’s intention</w:t>
      </w:r>
      <w:r w:rsidR="00E01954">
        <w:rPr>
          <w:rFonts w:asciiTheme="majorHAnsi" w:hAnsiTheme="majorHAnsi" w:cstheme="majorHAnsi"/>
          <w:sz w:val="20"/>
          <w:szCs w:val="20"/>
        </w:rPr>
        <w:t xml:space="preserve"> involves the extinction of LTIPs. </w:t>
      </w:r>
      <w:r w:rsidR="00705205">
        <w:rPr>
          <w:rFonts w:asciiTheme="majorHAnsi" w:hAnsiTheme="majorHAnsi" w:cstheme="majorHAnsi"/>
          <w:sz w:val="20"/>
          <w:szCs w:val="20"/>
        </w:rPr>
        <w:t xml:space="preserve">Instead, </w:t>
      </w:r>
      <w:r w:rsidR="00E01954">
        <w:rPr>
          <w:rFonts w:asciiTheme="majorHAnsi" w:hAnsiTheme="majorHAnsi" w:cstheme="majorHAnsi"/>
          <w:sz w:val="20"/>
          <w:szCs w:val="20"/>
        </w:rPr>
        <w:t>LTIPs should be valued at</w:t>
      </w:r>
      <w:r w:rsidR="008D08A9">
        <w:rPr>
          <w:rFonts w:asciiTheme="majorHAnsi" w:hAnsiTheme="majorHAnsi" w:cstheme="majorHAnsi"/>
          <w:sz w:val="20"/>
          <w:szCs w:val="20"/>
        </w:rPr>
        <w:t xml:space="preserve"> the date of</w:t>
      </w:r>
      <w:r w:rsidR="00E01954">
        <w:rPr>
          <w:rFonts w:asciiTheme="majorHAnsi" w:hAnsiTheme="majorHAnsi" w:cstheme="majorHAnsi"/>
          <w:sz w:val="20"/>
          <w:szCs w:val="20"/>
        </w:rPr>
        <w:t xml:space="preserve"> grant according to appropriate acc</w:t>
      </w:r>
      <w:r w:rsidR="0066244B">
        <w:rPr>
          <w:rFonts w:asciiTheme="majorHAnsi" w:hAnsiTheme="majorHAnsi" w:cstheme="majorHAnsi"/>
          <w:sz w:val="20"/>
          <w:szCs w:val="20"/>
        </w:rPr>
        <w:t>ounting principles.</w:t>
      </w:r>
      <w:r w:rsidR="00117964">
        <w:rPr>
          <w:rFonts w:asciiTheme="majorHAnsi" w:hAnsiTheme="majorHAnsi" w:cstheme="majorHAnsi"/>
          <w:sz w:val="20"/>
          <w:szCs w:val="20"/>
        </w:rPr>
        <w:t xml:space="preserve"> </w:t>
      </w:r>
    </w:p>
    <w:p w:rsidR="00064251" w:rsidRDefault="00064251" w:rsidP="00064251">
      <w:pPr>
        <w:pStyle w:val="Default"/>
        <w:rPr>
          <w:rFonts w:asciiTheme="majorHAnsi" w:hAnsiTheme="majorHAnsi" w:cstheme="majorHAnsi"/>
          <w:sz w:val="20"/>
          <w:szCs w:val="20"/>
        </w:rPr>
      </w:pPr>
    </w:p>
    <w:p w:rsidR="00064251" w:rsidRPr="000F0BB9" w:rsidRDefault="00064251" w:rsidP="00064251">
      <w:pPr>
        <w:pStyle w:val="Default"/>
        <w:rPr>
          <w:rFonts w:asciiTheme="majorHAnsi" w:hAnsiTheme="majorHAnsi" w:cstheme="majorHAnsi"/>
          <w:b/>
          <w:sz w:val="20"/>
          <w:szCs w:val="20"/>
        </w:rPr>
      </w:pPr>
      <w:r w:rsidRPr="000F0BB9">
        <w:rPr>
          <w:rFonts w:asciiTheme="majorHAnsi" w:hAnsiTheme="majorHAnsi" w:cstheme="majorHAnsi"/>
          <w:b/>
          <w:sz w:val="20"/>
          <w:szCs w:val="20"/>
        </w:rPr>
        <w:t xml:space="preserve">Q 9: Are the requirements regarding allowances appropriate and sufficiently clear? </w:t>
      </w:r>
    </w:p>
    <w:p w:rsidR="00064251" w:rsidRDefault="00064251" w:rsidP="00064251">
      <w:pPr>
        <w:pStyle w:val="Default"/>
        <w:rPr>
          <w:rFonts w:asciiTheme="majorHAnsi" w:hAnsiTheme="majorHAnsi" w:cstheme="majorHAnsi"/>
          <w:sz w:val="20"/>
          <w:szCs w:val="20"/>
        </w:rPr>
      </w:pPr>
    </w:p>
    <w:p w:rsidR="00572D2A" w:rsidRDefault="00572D2A" w:rsidP="00572D2A">
      <w:pPr>
        <w:pStyle w:val="Default"/>
        <w:rPr>
          <w:rFonts w:asciiTheme="majorHAnsi" w:hAnsiTheme="majorHAnsi" w:cstheme="majorHAnsi"/>
          <w:sz w:val="20"/>
          <w:szCs w:val="20"/>
        </w:rPr>
      </w:pPr>
      <w:r>
        <w:rPr>
          <w:rFonts w:asciiTheme="majorHAnsi" w:hAnsiTheme="majorHAnsi" w:cstheme="majorHAnsi"/>
          <w:sz w:val="20"/>
          <w:szCs w:val="20"/>
        </w:rPr>
        <w:t xml:space="preserve">Clarity in relation to </w:t>
      </w:r>
      <w:r w:rsidR="004B013F">
        <w:rPr>
          <w:rFonts w:asciiTheme="majorHAnsi" w:hAnsiTheme="majorHAnsi" w:cstheme="majorHAnsi"/>
          <w:sz w:val="20"/>
          <w:szCs w:val="20"/>
        </w:rPr>
        <w:t>the regulators’ expectations is</w:t>
      </w:r>
      <w:r>
        <w:rPr>
          <w:rFonts w:asciiTheme="majorHAnsi" w:hAnsiTheme="majorHAnsi" w:cstheme="majorHAnsi"/>
          <w:sz w:val="20"/>
          <w:szCs w:val="20"/>
        </w:rPr>
        <w:t xml:space="preserve"> of course helpful but our clients consider </w:t>
      </w:r>
      <w:r w:rsidR="002121FD">
        <w:rPr>
          <w:rFonts w:asciiTheme="majorHAnsi" w:hAnsiTheme="majorHAnsi" w:cstheme="majorHAnsi"/>
          <w:sz w:val="20"/>
          <w:szCs w:val="20"/>
        </w:rPr>
        <w:t xml:space="preserve">that </w:t>
      </w:r>
      <w:r>
        <w:rPr>
          <w:rFonts w:asciiTheme="majorHAnsi" w:hAnsiTheme="majorHAnsi" w:cstheme="majorHAnsi"/>
          <w:sz w:val="20"/>
          <w:szCs w:val="20"/>
        </w:rPr>
        <w:t>the provisions of the Draft Guide</w:t>
      </w:r>
      <w:r w:rsidR="008A13CC">
        <w:rPr>
          <w:rFonts w:asciiTheme="majorHAnsi" w:hAnsiTheme="majorHAnsi" w:cstheme="majorHAnsi"/>
          <w:sz w:val="20"/>
          <w:szCs w:val="20"/>
        </w:rPr>
        <w:t>lines relating to allowances go</w:t>
      </w:r>
      <w:r>
        <w:rPr>
          <w:rFonts w:asciiTheme="majorHAnsi" w:hAnsiTheme="majorHAnsi" w:cstheme="majorHAnsi"/>
          <w:sz w:val="20"/>
          <w:szCs w:val="20"/>
        </w:rPr>
        <w:t xml:space="preserve"> beyond the language of the primary legislation</w:t>
      </w:r>
      <w:r w:rsidR="006F4C20">
        <w:rPr>
          <w:rFonts w:asciiTheme="majorHAnsi" w:hAnsiTheme="majorHAnsi" w:cstheme="majorHAnsi"/>
          <w:sz w:val="20"/>
          <w:szCs w:val="20"/>
        </w:rPr>
        <w:t>. In addition, our clients consider the provisions</w:t>
      </w:r>
      <w:r w:rsidR="00FD4B4D">
        <w:rPr>
          <w:rFonts w:asciiTheme="majorHAnsi" w:hAnsiTheme="majorHAnsi" w:cstheme="majorHAnsi"/>
          <w:sz w:val="20"/>
          <w:szCs w:val="20"/>
        </w:rPr>
        <w:t xml:space="preserve"> </w:t>
      </w:r>
      <w:r w:rsidR="00F84AC8">
        <w:rPr>
          <w:rFonts w:asciiTheme="majorHAnsi" w:hAnsiTheme="majorHAnsi" w:cstheme="majorHAnsi"/>
          <w:sz w:val="20"/>
          <w:szCs w:val="20"/>
        </w:rPr>
        <w:t>to be overly prescriptive and based on assumptions regarding employment relationships that are not applicable in all EU member states</w:t>
      </w:r>
      <w:r>
        <w:rPr>
          <w:rFonts w:asciiTheme="majorHAnsi" w:hAnsiTheme="majorHAnsi" w:cstheme="majorHAnsi"/>
          <w:sz w:val="20"/>
          <w:szCs w:val="20"/>
        </w:rPr>
        <w:t xml:space="preserve">. </w:t>
      </w:r>
      <w:r w:rsidR="00FD4B4D">
        <w:rPr>
          <w:rFonts w:asciiTheme="majorHAnsi" w:hAnsiTheme="majorHAnsi" w:cstheme="majorHAnsi"/>
          <w:sz w:val="20"/>
          <w:szCs w:val="20"/>
        </w:rPr>
        <w:t xml:space="preserve">The elements of allowances that allow firms to manage effectively prudential risk should be allowed under the finalised guidelines. </w:t>
      </w:r>
    </w:p>
    <w:p w:rsidR="00CA7E79" w:rsidRDefault="00CA7E79" w:rsidP="00064251">
      <w:pPr>
        <w:pStyle w:val="Default"/>
        <w:rPr>
          <w:rFonts w:asciiTheme="majorHAnsi" w:hAnsiTheme="majorHAnsi" w:cstheme="majorHAnsi"/>
          <w:sz w:val="20"/>
          <w:szCs w:val="20"/>
        </w:rPr>
      </w:pPr>
    </w:p>
    <w:p w:rsidR="00CA7E79" w:rsidRDefault="001374CD" w:rsidP="00CA7E79">
      <w:pPr>
        <w:pStyle w:val="Default"/>
        <w:rPr>
          <w:rFonts w:asciiTheme="majorHAnsi" w:hAnsiTheme="majorHAnsi" w:cstheme="majorHAnsi"/>
          <w:sz w:val="20"/>
          <w:szCs w:val="20"/>
        </w:rPr>
      </w:pPr>
      <w:r>
        <w:rPr>
          <w:rFonts w:asciiTheme="majorHAnsi" w:hAnsiTheme="majorHAnsi" w:cstheme="majorHAnsi"/>
          <w:sz w:val="20"/>
          <w:szCs w:val="20"/>
        </w:rPr>
        <w:t>The distinctions between</w:t>
      </w:r>
      <w:r w:rsidR="002E3F4C">
        <w:rPr>
          <w:rFonts w:asciiTheme="majorHAnsi" w:hAnsiTheme="majorHAnsi" w:cstheme="majorHAnsi"/>
          <w:sz w:val="20"/>
          <w:szCs w:val="20"/>
        </w:rPr>
        <w:t xml:space="preserve"> fixed remuneration and variable remuneration are set out in Article 92 of </w:t>
      </w:r>
      <w:r w:rsidR="00F4743D">
        <w:rPr>
          <w:rFonts w:asciiTheme="majorHAnsi" w:hAnsiTheme="majorHAnsi" w:cstheme="majorHAnsi"/>
          <w:sz w:val="20"/>
          <w:szCs w:val="20"/>
        </w:rPr>
        <w:t>CRD</w:t>
      </w:r>
      <w:r w:rsidR="00CA7E79">
        <w:rPr>
          <w:rFonts w:asciiTheme="majorHAnsi" w:hAnsiTheme="majorHAnsi" w:cstheme="majorHAnsi"/>
          <w:sz w:val="20"/>
          <w:szCs w:val="20"/>
        </w:rPr>
        <w:t xml:space="preserve">. The proposed </w:t>
      </w:r>
      <w:r w:rsidR="003611CE">
        <w:rPr>
          <w:rFonts w:asciiTheme="majorHAnsi" w:hAnsiTheme="majorHAnsi" w:cstheme="majorHAnsi"/>
          <w:sz w:val="20"/>
          <w:szCs w:val="20"/>
        </w:rPr>
        <w:t xml:space="preserve">Draft Guidelines extend the meaning of fixed remuneration to such an extent that it is questionable whether </w:t>
      </w:r>
      <w:r w:rsidR="00CA7E79">
        <w:rPr>
          <w:rFonts w:asciiTheme="majorHAnsi" w:hAnsiTheme="majorHAnsi" w:cstheme="majorHAnsi"/>
          <w:sz w:val="20"/>
          <w:szCs w:val="20"/>
        </w:rPr>
        <w:t>the E</w:t>
      </w:r>
      <w:r w:rsidR="00F4743D">
        <w:rPr>
          <w:rFonts w:asciiTheme="majorHAnsi" w:hAnsiTheme="majorHAnsi" w:cstheme="majorHAnsi"/>
          <w:sz w:val="20"/>
          <w:szCs w:val="20"/>
        </w:rPr>
        <w:t>BA</w:t>
      </w:r>
      <w:r w:rsidR="00B7710D">
        <w:rPr>
          <w:rFonts w:asciiTheme="majorHAnsi" w:hAnsiTheme="majorHAnsi" w:cstheme="majorHAnsi"/>
          <w:sz w:val="20"/>
          <w:szCs w:val="20"/>
        </w:rPr>
        <w:t xml:space="preserve"> is acting within i</w:t>
      </w:r>
      <w:r w:rsidR="00F4743D">
        <w:rPr>
          <w:rFonts w:asciiTheme="majorHAnsi" w:hAnsiTheme="majorHAnsi" w:cstheme="majorHAnsi"/>
          <w:sz w:val="20"/>
          <w:szCs w:val="20"/>
        </w:rPr>
        <w:t>ts authority</w:t>
      </w:r>
      <w:r>
        <w:rPr>
          <w:rFonts w:asciiTheme="majorHAnsi" w:hAnsiTheme="majorHAnsi" w:cstheme="majorHAnsi"/>
          <w:sz w:val="20"/>
          <w:szCs w:val="20"/>
        </w:rPr>
        <w:t xml:space="preserve"> in providing guidelines or rewriting the provisions </w:t>
      </w:r>
      <w:r>
        <w:rPr>
          <w:rFonts w:asciiTheme="majorHAnsi" w:hAnsiTheme="majorHAnsi" w:cstheme="majorHAnsi"/>
          <w:sz w:val="20"/>
          <w:szCs w:val="20"/>
        </w:rPr>
        <w:lastRenderedPageBreak/>
        <w:t>of the Directive</w:t>
      </w:r>
      <w:r w:rsidR="00372973">
        <w:rPr>
          <w:rFonts w:asciiTheme="majorHAnsi" w:hAnsiTheme="majorHAnsi" w:cstheme="majorHAnsi"/>
          <w:sz w:val="20"/>
          <w:szCs w:val="20"/>
        </w:rPr>
        <w:t>. I</w:t>
      </w:r>
      <w:r w:rsidR="00F4743D">
        <w:rPr>
          <w:rFonts w:asciiTheme="majorHAnsi" w:hAnsiTheme="majorHAnsi" w:cstheme="majorHAnsi"/>
          <w:sz w:val="20"/>
          <w:szCs w:val="20"/>
        </w:rPr>
        <w:t>n</w:t>
      </w:r>
      <w:r w:rsidR="00CA7E79">
        <w:rPr>
          <w:rFonts w:asciiTheme="majorHAnsi" w:hAnsiTheme="majorHAnsi" w:cstheme="majorHAnsi"/>
          <w:sz w:val="20"/>
          <w:szCs w:val="20"/>
        </w:rPr>
        <w:t xml:space="preserve"> particular</w:t>
      </w:r>
      <w:r w:rsidR="004D3D90">
        <w:rPr>
          <w:rFonts w:asciiTheme="majorHAnsi" w:hAnsiTheme="majorHAnsi" w:cstheme="majorHAnsi"/>
          <w:sz w:val="20"/>
          <w:szCs w:val="20"/>
        </w:rPr>
        <w:t xml:space="preserve">, the following requirements </w:t>
      </w:r>
      <w:r w:rsidR="002E2531">
        <w:rPr>
          <w:rFonts w:asciiTheme="majorHAnsi" w:hAnsiTheme="majorHAnsi" w:cstheme="majorHAnsi"/>
          <w:sz w:val="20"/>
          <w:szCs w:val="20"/>
        </w:rPr>
        <w:t xml:space="preserve">in </w:t>
      </w:r>
      <w:r w:rsidR="004D3D90">
        <w:rPr>
          <w:rFonts w:asciiTheme="majorHAnsi" w:hAnsiTheme="majorHAnsi" w:cstheme="majorHAnsi"/>
          <w:sz w:val="20"/>
          <w:szCs w:val="20"/>
        </w:rPr>
        <w:t xml:space="preserve">respect of </w:t>
      </w:r>
      <w:r w:rsidR="002E2531">
        <w:rPr>
          <w:rFonts w:asciiTheme="majorHAnsi" w:hAnsiTheme="majorHAnsi" w:cstheme="majorHAnsi"/>
          <w:sz w:val="20"/>
          <w:szCs w:val="20"/>
        </w:rPr>
        <w:t>fixed remuneration</w:t>
      </w:r>
      <w:r w:rsidR="004D3D90">
        <w:rPr>
          <w:rFonts w:asciiTheme="majorHAnsi" w:hAnsiTheme="majorHAnsi" w:cstheme="majorHAnsi"/>
          <w:sz w:val="20"/>
          <w:szCs w:val="20"/>
        </w:rPr>
        <w:t xml:space="preserve"> should be reconsidered</w:t>
      </w:r>
      <w:r w:rsidR="00CA7E79">
        <w:rPr>
          <w:rFonts w:asciiTheme="majorHAnsi" w:hAnsiTheme="majorHAnsi" w:cstheme="majorHAnsi"/>
          <w:sz w:val="20"/>
          <w:szCs w:val="20"/>
        </w:rPr>
        <w:t>:</w:t>
      </w:r>
    </w:p>
    <w:p w:rsidR="00CA7E79" w:rsidRDefault="00CA7E79" w:rsidP="00CA7E79">
      <w:pPr>
        <w:pStyle w:val="Default"/>
        <w:rPr>
          <w:rFonts w:asciiTheme="majorHAnsi" w:hAnsiTheme="majorHAnsi" w:cstheme="majorHAnsi"/>
          <w:sz w:val="20"/>
          <w:szCs w:val="20"/>
        </w:rPr>
      </w:pPr>
    </w:p>
    <w:p w:rsidR="00455248" w:rsidRDefault="006E63B9" w:rsidP="00445601">
      <w:pPr>
        <w:pStyle w:val="Default"/>
        <w:numPr>
          <w:ilvl w:val="0"/>
          <w:numId w:val="24"/>
        </w:numPr>
        <w:rPr>
          <w:rFonts w:asciiTheme="majorHAnsi" w:hAnsiTheme="majorHAnsi" w:cstheme="majorHAnsi"/>
          <w:sz w:val="20"/>
          <w:szCs w:val="20"/>
        </w:rPr>
      </w:pPr>
      <w:proofErr w:type="gramStart"/>
      <w:r w:rsidRPr="002121FD">
        <w:rPr>
          <w:rFonts w:asciiTheme="majorHAnsi" w:hAnsiTheme="majorHAnsi" w:cstheme="majorHAnsi"/>
          <w:i/>
          <w:sz w:val="20"/>
          <w:szCs w:val="20"/>
        </w:rPr>
        <w:t>any</w:t>
      </w:r>
      <w:proofErr w:type="gramEnd"/>
      <w:r w:rsidRPr="002121FD">
        <w:rPr>
          <w:rFonts w:asciiTheme="majorHAnsi" w:hAnsiTheme="majorHAnsi" w:cstheme="majorHAnsi"/>
          <w:i/>
          <w:sz w:val="20"/>
          <w:szCs w:val="20"/>
        </w:rPr>
        <w:t xml:space="preserve"> other staff member fulfilling the same role or having the same organisational responsibility and who is in a comparable situation would be entitled to a comparable allowance</w:t>
      </w:r>
      <w:r w:rsidR="005345A2" w:rsidRPr="00455248">
        <w:rPr>
          <w:rFonts w:asciiTheme="majorHAnsi" w:hAnsiTheme="majorHAnsi" w:cstheme="majorHAnsi"/>
          <w:sz w:val="20"/>
          <w:szCs w:val="20"/>
        </w:rPr>
        <w:t>. T</w:t>
      </w:r>
      <w:r w:rsidR="000B5641" w:rsidRPr="00455248">
        <w:rPr>
          <w:rFonts w:asciiTheme="majorHAnsi" w:hAnsiTheme="majorHAnsi" w:cstheme="majorHAnsi"/>
          <w:sz w:val="20"/>
          <w:szCs w:val="20"/>
        </w:rPr>
        <w:t>his is contrary to employment relationships in many EU member states</w:t>
      </w:r>
      <w:r w:rsidR="0071392E">
        <w:rPr>
          <w:rFonts w:asciiTheme="majorHAnsi" w:hAnsiTheme="majorHAnsi" w:cstheme="majorHAnsi"/>
          <w:sz w:val="20"/>
          <w:szCs w:val="20"/>
        </w:rPr>
        <w:t xml:space="preserve">. </w:t>
      </w:r>
      <w:r w:rsidR="00F56B0C" w:rsidRPr="00455248">
        <w:rPr>
          <w:rFonts w:asciiTheme="majorHAnsi" w:hAnsiTheme="majorHAnsi" w:cstheme="majorHAnsi"/>
          <w:sz w:val="20"/>
          <w:szCs w:val="20"/>
        </w:rPr>
        <w:t>In the financial services sector generally, salaries reflect a multitude of factors including (but not limited to) role, seniority, market value, performance and desire to retain/risk of departure.  It is entirely appropriate for institutions to set salary and other fixed remunera</w:t>
      </w:r>
      <w:r w:rsidR="00F56B0C">
        <w:rPr>
          <w:rFonts w:asciiTheme="majorHAnsi" w:hAnsiTheme="majorHAnsi" w:cstheme="majorHAnsi"/>
          <w:sz w:val="20"/>
          <w:szCs w:val="20"/>
        </w:rPr>
        <w:t>tion in a way which reflects their business objectives</w:t>
      </w:r>
      <w:r w:rsidR="00455248">
        <w:rPr>
          <w:rFonts w:asciiTheme="majorHAnsi" w:hAnsiTheme="majorHAnsi" w:cstheme="majorHAnsi"/>
          <w:sz w:val="20"/>
          <w:szCs w:val="20"/>
        </w:rPr>
        <w:t>;</w:t>
      </w:r>
    </w:p>
    <w:p w:rsidR="00D45FAE" w:rsidRPr="00455248" w:rsidRDefault="002E2531" w:rsidP="00445601">
      <w:pPr>
        <w:pStyle w:val="Default"/>
        <w:numPr>
          <w:ilvl w:val="0"/>
          <w:numId w:val="24"/>
        </w:numPr>
        <w:rPr>
          <w:rFonts w:asciiTheme="majorHAnsi" w:hAnsiTheme="majorHAnsi" w:cstheme="majorHAnsi"/>
          <w:sz w:val="20"/>
          <w:szCs w:val="20"/>
        </w:rPr>
      </w:pPr>
      <w:proofErr w:type="gramStart"/>
      <w:r w:rsidRPr="002121FD">
        <w:rPr>
          <w:rFonts w:asciiTheme="majorHAnsi" w:hAnsiTheme="majorHAnsi" w:cstheme="majorHAnsi"/>
          <w:i/>
          <w:sz w:val="20"/>
          <w:szCs w:val="20"/>
        </w:rPr>
        <w:t>allowances</w:t>
      </w:r>
      <w:proofErr w:type="gramEnd"/>
      <w:r w:rsidRPr="002121FD">
        <w:rPr>
          <w:rFonts w:asciiTheme="majorHAnsi" w:hAnsiTheme="majorHAnsi" w:cstheme="majorHAnsi"/>
          <w:i/>
          <w:sz w:val="20"/>
          <w:szCs w:val="20"/>
        </w:rPr>
        <w:t xml:space="preserve"> are non-revocable; the permanent amount is only changed via collective bargaining or following renegotiation in line with national criteria on wage setting</w:t>
      </w:r>
      <w:r w:rsidR="00D45FAE" w:rsidRPr="00455248">
        <w:rPr>
          <w:rFonts w:asciiTheme="majorHAnsi" w:hAnsiTheme="majorHAnsi" w:cstheme="majorHAnsi"/>
          <w:sz w:val="20"/>
          <w:szCs w:val="20"/>
        </w:rPr>
        <w:t>.</w:t>
      </w:r>
      <w:r w:rsidR="00445601" w:rsidRPr="00455248">
        <w:rPr>
          <w:rFonts w:asciiTheme="majorHAnsi" w:hAnsiTheme="majorHAnsi" w:cstheme="majorHAnsi"/>
          <w:sz w:val="20"/>
          <w:szCs w:val="20"/>
        </w:rPr>
        <w:t xml:space="preserve"> </w:t>
      </w:r>
      <w:r w:rsidR="00572D2A" w:rsidRPr="00455248">
        <w:rPr>
          <w:rFonts w:asciiTheme="majorHAnsi" w:hAnsiTheme="majorHAnsi" w:cstheme="majorHAnsi"/>
          <w:sz w:val="20"/>
          <w:szCs w:val="20"/>
        </w:rPr>
        <w:t xml:space="preserve">In </w:t>
      </w:r>
      <w:r w:rsidR="00AC596B">
        <w:rPr>
          <w:rFonts w:asciiTheme="majorHAnsi" w:hAnsiTheme="majorHAnsi" w:cstheme="majorHAnsi"/>
          <w:sz w:val="20"/>
          <w:szCs w:val="20"/>
        </w:rPr>
        <w:t>many countries in the EU,</w:t>
      </w:r>
      <w:r w:rsidR="00445601" w:rsidRPr="00455248">
        <w:rPr>
          <w:rFonts w:asciiTheme="majorHAnsi" w:hAnsiTheme="majorHAnsi" w:cstheme="majorHAnsi"/>
          <w:sz w:val="20"/>
          <w:szCs w:val="20"/>
        </w:rPr>
        <w:t xml:space="preserve"> salaries are </w:t>
      </w:r>
      <w:r w:rsidR="00AC596B">
        <w:rPr>
          <w:rFonts w:asciiTheme="majorHAnsi" w:hAnsiTheme="majorHAnsi" w:cstheme="majorHAnsi"/>
          <w:sz w:val="20"/>
          <w:szCs w:val="20"/>
        </w:rPr>
        <w:t xml:space="preserve">not </w:t>
      </w:r>
      <w:r w:rsidR="00445601" w:rsidRPr="00455248">
        <w:rPr>
          <w:rFonts w:asciiTheme="majorHAnsi" w:hAnsiTheme="majorHAnsi" w:cstheme="majorHAnsi"/>
          <w:sz w:val="20"/>
          <w:szCs w:val="20"/>
        </w:rPr>
        <w:t>standardised and/</w:t>
      </w:r>
      <w:r w:rsidR="00572D2A" w:rsidRPr="00455248">
        <w:rPr>
          <w:rFonts w:asciiTheme="majorHAnsi" w:hAnsiTheme="majorHAnsi" w:cstheme="majorHAnsi"/>
          <w:sz w:val="20"/>
          <w:szCs w:val="20"/>
        </w:rPr>
        <w:t>or varied by collective bargaining or national criteria</w:t>
      </w:r>
      <w:r w:rsidR="00513E7E">
        <w:rPr>
          <w:rFonts w:asciiTheme="majorHAnsi" w:hAnsiTheme="majorHAnsi" w:cstheme="majorHAnsi"/>
          <w:sz w:val="20"/>
          <w:szCs w:val="20"/>
        </w:rPr>
        <w:t xml:space="preserve"> - in most cases variations are agreed individually</w:t>
      </w:r>
      <w:r w:rsidR="00572D2A" w:rsidRPr="00455248">
        <w:rPr>
          <w:rFonts w:asciiTheme="majorHAnsi" w:hAnsiTheme="majorHAnsi" w:cstheme="majorHAnsi"/>
          <w:sz w:val="20"/>
          <w:szCs w:val="20"/>
        </w:rPr>
        <w:t>.  There is no basis for the EBA to suggest that salary needs to be standardised for role</w:t>
      </w:r>
      <w:r w:rsidR="008C611D" w:rsidRPr="00455248">
        <w:rPr>
          <w:rFonts w:asciiTheme="majorHAnsi" w:hAnsiTheme="majorHAnsi" w:cstheme="majorHAnsi"/>
          <w:sz w:val="20"/>
          <w:szCs w:val="20"/>
        </w:rPr>
        <w:t>s</w:t>
      </w:r>
      <w:r w:rsidR="00572D2A" w:rsidRPr="00455248">
        <w:rPr>
          <w:rFonts w:asciiTheme="majorHAnsi" w:hAnsiTheme="majorHAnsi" w:cstheme="majorHAnsi"/>
          <w:sz w:val="20"/>
          <w:szCs w:val="20"/>
        </w:rPr>
        <w:t xml:space="preserve"> and/or that changes can only be agreed collectively</w:t>
      </w:r>
      <w:r w:rsidR="00940566">
        <w:rPr>
          <w:rFonts w:asciiTheme="majorHAnsi" w:hAnsiTheme="majorHAnsi" w:cstheme="majorHAnsi"/>
          <w:sz w:val="20"/>
          <w:szCs w:val="20"/>
        </w:rPr>
        <w:t xml:space="preserve"> when that is contrary to national requirements</w:t>
      </w:r>
      <w:r w:rsidR="00572D2A" w:rsidRPr="00455248">
        <w:rPr>
          <w:rFonts w:asciiTheme="majorHAnsi" w:hAnsiTheme="majorHAnsi" w:cstheme="majorHAnsi"/>
          <w:sz w:val="20"/>
          <w:szCs w:val="20"/>
        </w:rPr>
        <w:t>.  From a UK perspective</w:t>
      </w:r>
      <w:r w:rsidR="00221B22">
        <w:rPr>
          <w:rFonts w:asciiTheme="majorHAnsi" w:hAnsiTheme="majorHAnsi" w:cstheme="majorHAnsi"/>
          <w:sz w:val="20"/>
          <w:szCs w:val="20"/>
        </w:rPr>
        <w:t xml:space="preserve"> (and that of many other E</w:t>
      </w:r>
      <w:r w:rsidR="00AC596B">
        <w:rPr>
          <w:rFonts w:asciiTheme="majorHAnsi" w:hAnsiTheme="majorHAnsi" w:cstheme="majorHAnsi"/>
          <w:sz w:val="20"/>
          <w:szCs w:val="20"/>
        </w:rPr>
        <w:t>U member states)</w:t>
      </w:r>
      <w:r w:rsidR="00572D2A" w:rsidRPr="00455248">
        <w:rPr>
          <w:rFonts w:asciiTheme="majorHAnsi" w:hAnsiTheme="majorHAnsi" w:cstheme="majorHAnsi"/>
          <w:sz w:val="20"/>
          <w:szCs w:val="20"/>
        </w:rPr>
        <w:t>, most individuals negotiate their terms of employment on thei</w:t>
      </w:r>
      <w:r w:rsidR="002121FD">
        <w:rPr>
          <w:rFonts w:asciiTheme="majorHAnsi" w:hAnsiTheme="majorHAnsi" w:cstheme="majorHAnsi"/>
          <w:sz w:val="20"/>
          <w:szCs w:val="20"/>
        </w:rPr>
        <w:t xml:space="preserve">r own account and a normal annual salary review could result in increased </w:t>
      </w:r>
      <w:r w:rsidR="00BC51B5">
        <w:rPr>
          <w:rFonts w:asciiTheme="majorHAnsi" w:hAnsiTheme="majorHAnsi" w:cstheme="majorHAnsi"/>
          <w:sz w:val="20"/>
          <w:szCs w:val="20"/>
        </w:rPr>
        <w:t>(or even, depending on the circumstances,</w:t>
      </w:r>
      <w:r w:rsidR="002121FD">
        <w:rPr>
          <w:rFonts w:asciiTheme="majorHAnsi" w:hAnsiTheme="majorHAnsi" w:cstheme="majorHAnsi"/>
          <w:sz w:val="20"/>
          <w:szCs w:val="20"/>
        </w:rPr>
        <w:t xml:space="preserve"> decreased salary</w:t>
      </w:r>
      <w:r w:rsidR="00BC51B5">
        <w:rPr>
          <w:rFonts w:asciiTheme="majorHAnsi" w:hAnsiTheme="majorHAnsi" w:cstheme="majorHAnsi"/>
          <w:sz w:val="20"/>
          <w:szCs w:val="20"/>
        </w:rPr>
        <w:t>)</w:t>
      </w:r>
      <w:r w:rsidR="00455248">
        <w:rPr>
          <w:rFonts w:asciiTheme="majorHAnsi" w:hAnsiTheme="majorHAnsi" w:cstheme="majorHAnsi"/>
          <w:sz w:val="20"/>
          <w:szCs w:val="20"/>
        </w:rPr>
        <w:t>; and</w:t>
      </w:r>
      <w:r w:rsidR="00572D2A" w:rsidRPr="00455248">
        <w:rPr>
          <w:rFonts w:asciiTheme="majorHAnsi" w:hAnsiTheme="majorHAnsi" w:cstheme="majorHAnsi"/>
          <w:sz w:val="20"/>
          <w:szCs w:val="20"/>
        </w:rPr>
        <w:t xml:space="preserve"> </w:t>
      </w:r>
    </w:p>
    <w:p w:rsidR="00D715D9" w:rsidRPr="00445601" w:rsidRDefault="00D715D9" w:rsidP="00445601">
      <w:pPr>
        <w:pStyle w:val="Default"/>
        <w:numPr>
          <w:ilvl w:val="0"/>
          <w:numId w:val="24"/>
        </w:numPr>
        <w:rPr>
          <w:rFonts w:asciiTheme="majorHAnsi" w:hAnsiTheme="majorHAnsi" w:cstheme="majorHAnsi"/>
          <w:sz w:val="20"/>
          <w:szCs w:val="20"/>
        </w:rPr>
      </w:pPr>
      <w:proofErr w:type="gramStart"/>
      <w:r w:rsidRPr="007A7B79">
        <w:rPr>
          <w:rFonts w:asciiTheme="majorHAnsi" w:hAnsiTheme="majorHAnsi" w:cstheme="majorHAnsi"/>
          <w:i/>
          <w:sz w:val="20"/>
          <w:szCs w:val="20"/>
        </w:rPr>
        <w:t>transparency</w:t>
      </w:r>
      <w:proofErr w:type="gramEnd"/>
      <w:r>
        <w:rPr>
          <w:rFonts w:asciiTheme="majorHAnsi" w:hAnsiTheme="majorHAnsi" w:cstheme="majorHAnsi"/>
          <w:sz w:val="20"/>
          <w:szCs w:val="20"/>
        </w:rPr>
        <w:t xml:space="preserve">. It is not clear whether transparency (included in paragraph 117 and as it relates to allowances under paragraph 124) means (i) as between an individual employee and employer, in which case the reference is acceptable or (ii) as between an individual employee and the wider employee population, in which case </w:t>
      </w:r>
      <w:r w:rsidR="00AC596B">
        <w:rPr>
          <w:rFonts w:asciiTheme="majorHAnsi" w:hAnsiTheme="majorHAnsi" w:cstheme="majorHAnsi"/>
          <w:sz w:val="20"/>
          <w:szCs w:val="20"/>
        </w:rPr>
        <w:t>the reference to transparency would</w:t>
      </w:r>
      <w:r>
        <w:rPr>
          <w:rFonts w:asciiTheme="majorHAnsi" w:hAnsiTheme="majorHAnsi" w:cstheme="majorHAnsi"/>
          <w:sz w:val="20"/>
          <w:szCs w:val="20"/>
        </w:rPr>
        <w:t xml:space="preserve"> not </w:t>
      </w:r>
      <w:r w:rsidR="00AC596B">
        <w:rPr>
          <w:rFonts w:asciiTheme="majorHAnsi" w:hAnsiTheme="majorHAnsi" w:cstheme="majorHAnsi"/>
          <w:sz w:val="20"/>
          <w:szCs w:val="20"/>
        </w:rPr>
        <w:t xml:space="preserve">be </w:t>
      </w:r>
      <w:r>
        <w:rPr>
          <w:rFonts w:asciiTheme="majorHAnsi" w:hAnsiTheme="majorHAnsi" w:cstheme="majorHAnsi"/>
          <w:sz w:val="20"/>
          <w:szCs w:val="20"/>
        </w:rPr>
        <w:t xml:space="preserve">appropriate. </w:t>
      </w:r>
    </w:p>
    <w:p w:rsidR="00D45FAE" w:rsidRDefault="00D45FAE" w:rsidP="00D45FAE">
      <w:pPr>
        <w:pStyle w:val="Default"/>
        <w:rPr>
          <w:rFonts w:asciiTheme="majorHAnsi" w:hAnsiTheme="majorHAnsi" w:cstheme="majorHAnsi"/>
          <w:sz w:val="20"/>
          <w:szCs w:val="20"/>
        </w:rPr>
      </w:pPr>
    </w:p>
    <w:p w:rsidR="00D45FAE" w:rsidRPr="00D45FAE" w:rsidRDefault="002F3C9D" w:rsidP="00D45FAE">
      <w:pPr>
        <w:pStyle w:val="Default"/>
        <w:rPr>
          <w:rFonts w:asciiTheme="majorHAnsi" w:hAnsiTheme="majorHAnsi" w:cstheme="majorHAnsi"/>
          <w:sz w:val="20"/>
          <w:szCs w:val="20"/>
        </w:rPr>
      </w:pPr>
      <w:r>
        <w:rPr>
          <w:rFonts w:asciiTheme="majorHAnsi" w:hAnsiTheme="majorHAnsi" w:cstheme="majorHAnsi"/>
          <w:sz w:val="20"/>
          <w:szCs w:val="20"/>
        </w:rPr>
        <w:t>Specific characteristics should form no more than an evidential indicator of the nature of a payment and n</w:t>
      </w:r>
      <w:r w:rsidR="00D45FAE">
        <w:rPr>
          <w:rFonts w:asciiTheme="majorHAnsi" w:hAnsiTheme="majorHAnsi" w:cstheme="majorHAnsi"/>
          <w:sz w:val="20"/>
          <w:szCs w:val="20"/>
        </w:rPr>
        <w:t>ational regulators should be given more discretion to determine what is appropriate in</w:t>
      </w:r>
      <w:r w:rsidR="003F1E87">
        <w:rPr>
          <w:rFonts w:asciiTheme="majorHAnsi" w:hAnsiTheme="majorHAnsi" w:cstheme="majorHAnsi"/>
          <w:sz w:val="20"/>
          <w:szCs w:val="20"/>
        </w:rPr>
        <w:t xml:space="preserve"> the context of normal business and employment law practice in</w:t>
      </w:r>
      <w:r w:rsidR="00D45FAE">
        <w:rPr>
          <w:rFonts w:asciiTheme="majorHAnsi" w:hAnsiTheme="majorHAnsi" w:cstheme="majorHAnsi"/>
          <w:sz w:val="20"/>
          <w:szCs w:val="20"/>
        </w:rPr>
        <w:t xml:space="preserve"> their jurisdiction</w:t>
      </w:r>
      <w:r w:rsidR="004F178E">
        <w:rPr>
          <w:rFonts w:asciiTheme="majorHAnsi" w:hAnsiTheme="majorHAnsi" w:cstheme="majorHAnsi"/>
          <w:sz w:val="20"/>
          <w:szCs w:val="20"/>
        </w:rPr>
        <w:t xml:space="preserve"> and to </w:t>
      </w:r>
      <w:r w:rsidR="003F1E87">
        <w:rPr>
          <w:rFonts w:asciiTheme="majorHAnsi" w:hAnsiTheme="majorHAnsi" w:cstheme="majorHAnsi"/>
          <w:sz w:val="20"/>
          <w:szCs w:val="20"/>
        </w:rPr>
        <w:t>require compliance in an appropriate way</w:t>
      </w:r>
      <w:r w:rsidR="00D45FAE">
        <w:rPr>
          <w:rFonts w:asciiTheme="majorHAnsi" w:hAnsiTheme="majorHAnsi" w:cstheme="majorHAnsi"/>
          <w:sz w:val="20"/>
          <w:szCs w:val="20"/>
        </w:rPr>
        <w:t xml:space="preserve">. </w:t>
      </w:r>
    </w:p>
    <w:p w:rsidR="002E2531" w:rsidRPr="002E2531" w:rsidRDefault="002E2531" w:rsidP="002E2531">
      <w:pPr>
        <w:autoSpaceDE w:val="0"/>
        <w:autoSpaceDN w:val="0"/>
        <w:adjustRightInd w:val="0"/>
        <w:ind w:left="720"/>
        <w:jc w:val="left"/>
        <w:rPr>
          <w:rFonts w:ascii="Calibri" w:eastAsia="Arial" w:hAnsi="Calibri" w:cs="Calibri"/>
          <w:color w:val="000000"/>
        </w:rPr>
      </w:pPr>
    </w:p>
    <w:p w:rsidR="00064251" w:rsidRPr="000F0BB9" w:rsidRDefault="00064251" w:rsidP="00E76B35">
      <w:pPr>
        <w:pStyle w:val="Default"/>
        <w:rPr>
          <w:rFonts w:asciiTheme="majorHAnsi" w:hAnsiTheme="majorHAnsi" w:cstheme="majorHAnsi"/>
          <w:b/>
          <w:sz w:val="20"/>
          <w:szCs w:val="20"/>
        </w:rPr>
      </w:pPr>
      <w:r w:rsidRPr="000F0BB9">
        <w:rPr>
          <w:rFonts w:asciiTheme="majorHAnsi" w:hAnsiTheme="majorHAnsi" w:cstheme="majorHAnsi"/>
          <w:b/>
          <w:sz w:val="20"/>
          <w:szCs w:val="20"/>
        </w:rPr>
        <w:t>Q 10: Are the requirements on the retention bonus appropriate a</w:t>
      </w:r>
      <w:r w:rsidR="00F636B6">
        <w:rPr>
          <w:rFonts w:asciiTheme="majorHAnsi" w:hAnsiTheme="majorHAnsi" w:cstheme="majorHAnsi"/>
          <w:b/>
          <w:sz w:val="20"/>
          <w:szCs w:val="20"/>
        </w:rPr>
        <w:t>nd</w:t>
      </w:r>
      <w:r w:rsidRPr="000F0BB9">
        <w:rPr>
          <w:rFonts w:asciiTheme="majorHAnsi" w:hAnsiTheme="majorHAnsi" w:cstheme="majorHAnsi"/>
          <w:b/>
          <w:sz w:val="20"/>
          <w:szCs w:val="20"/>
        </w:rPr>
        <w:t xml:space="preserve"> sufficiently clear? </w:t>
      </w:r>
    </w:p>
    <w:p w:rsidR="00064251" w:rsidRDefault="00064251" w:rsidP="00064251">
      <w:pPr>
        <w:pStyle w:val="Default"/>
        <w:rPr>
          <w:rFonts w:asciiTheme="majorHAnsi" w:hAnsiTheme="majorHAnsi" w:cstheme="majorHAnsi"/>
          <w:sz w:val="20"/>
          <w:szCs w:val="20"/>
        </w:rPr>
      </w:pPr>
    </w:p>
    <w:p w:rsidR="00764951" w:rsidRDefault="000F0BB9" w:rsidP="00064251">
      <w:pPr>
        <w:pStyle w:val="Default"/>
        <w:rPr>
          <w:rFonts w:asciiTheme="majorHAnsi" w:hAnsiTheme="majorHAnsi" w:cstheme="majorHAnsi"/>
          <w:sz w:val="20"/>
          <w:szCs w:val="20"/>
        </w:rPr>
      </w:pPr>
      <w:r>
        <w:rPr>
          <w:rFonts w:asciiTheme="majorHAnsi" w:hAnsiTheme="majorHAnsi" w:cstheme="majorHAnsi"/>
          <w:sz w:val="20"/>
          <w:szCs w:val="20"/>
        </w:rPr>
        <w:t>Please see answer to Question 1. The definition of retention bonus has been drafted too widely for the provisions under section 12.2 to be workable in practice</w:t>
      </w:r>
      <w:r w:rsidR="00F4743D">
        <w:rPr>
          <w:rFonts w:asciiTheme="majorHAnsi" w:hAnsiTheme="majorHAnsi" w:cstheme="majorHAnsi"/>
          <w:sz w:val="20"/>
          <w:szCs w:val="20"/>
        </w:rPr>
        <w:t xml:space="preserve"> and we suggest the definition is omitted in the finalised guidelines</w:t>
      </w:r>
      <w:r w:rsidR="00572D2A">
        <w:rPr>
          <w:rFonts w:asciiTheme="majorHAnsi" w:hAnsiTheme="majorHAnsi" w:cstheme="majorHAnsi"/>
          <w:sz w:val="20"/>
          <w:szCs w:val="20"/>
        </w:rPr>
        <w:t xml:space="preserve"> and/or that is made clear that the EBA is not suggesting that all deferred variable remuneration in within the definition</w:t>
      </w:r>
      <w:r>
        <w:rPr>
          <w:rFonts w:asciiTheme="majorHAnsi" w:hAnsiTheme="majorHAnsi" w:cstheme="majorHAnsi"/>
          <w:sz w:val="20"/>
          <w:szCs w:val="20"/>
        </w:rPr>
        <w:t xml:space="preserve">. </w:t>
      </w:r>
    </w:p>
    <w:p w:rsidR="00764951" w:rsidRDefault="00764951" w:rsidP="00064251">
      <w:pPr>
        <w:pStyle w:val="Default"/>
        <w:rPr>
          <w:rFonts w:asciiTheme="majorHAnsi" w:hAnsiTheme="majorHAnsi" w:cstheme="majorHAnsi"/>
          <w:sz w:val="20"/>
          <w:szCs w:val="20"/>
        </w:rPr>
      </w:pPr>
    </w:p>
    <w:p w:rsidR="00064251" w:rsidRPr="000F0BB9" w:rsidRDefault="00064251" w:rsidP="00064251">
      <w:pPr>
        <w:pStyle w:val="Default"/>
        <w:rPr>
          <w:rFonts w:asciiTheme="majorHAnsi" w:hAnsiTheme="majorHAnsi" w:cstheme="majorHAnsi"/>
          <w:b/>
          <w:sz w:val="20"/>
          <w:szCs w:val="20"/>
        </w:rPr>
      </w:pPr>
      <w:r w:rsidRPr="000F0BB9">
        <w:rPr>
          <w:rFonts w:asciiTheme="majorHAnsi" w:hAnsiTheme="majorHAnsi" w:cstheme="majorHAnsi"/>
          <w:b/>
          <w:sz w:val="20"/>
          <w:szCs w:val="20"/>
        </w:rPr>
        <w:t xml:space="preserve">Q 11: Are the provisions regarding severance payments appropriate and sufficiently clear? </w:t>
      </w:r>
    </w:p>
    <w:p w:rsidR="00064251" w:rsidRDefault="00064251" w:rsidP="00064251">
      <w:pPr>
        <w:pStyle w:val="Default"/>
        <w:rPr>
          <w:rFonts w:asciiTheme="majorHAnsi" w:hAnsiTheme="majorHAnsi" w:cstheme="majorHAnsi"/>
          <w:sz w:val="20"/>
          <w:szCs w:val="20"/>
        </w:rPr>
      </w:pPr>
    </w:p>
    <w:p w:rsidR="00D769A9" w:rsidRDefault="00D769A9" w:rsidP="00064251">
      <w:pPr>
        <w:pStyle w:val="Default"/>
        <w:rPr>
          <w:rFonts w:asciiTheme="majorHAnsi" w:hAnsiTheme="majorHAnsi" w:cstheme="majorHAnsi"/>
          <w:sz w:val="20"/>
          <w:szCs w:val="20"/>
        </w:rPr>
      </w:pPr>
      <w:r>
        <w:rPr>
          <w:rFonts w:asciiTheme="majorHAnsi" w:hAnsiTheme="majorHAnsi" w:cstheme="majorHAnsi"/>
          <w:sz w:val="20"/>
          <w:szCs w:val="20"/>
        </w:rPr>
        <w:t>Our clients consider the provisions of section 13 of the Draft Guidelines in relation to severance payments to be inappropriate.</w:t>
      </w:r>
    </w:p>
    <w:p w:rsidR="00D769A9" w:rsidRDefault="00D769A9" w:rsidP="00064251">
      <w:pPr>
        <w:pStyle w:val="Default"/>
        <w:rPr>
          <w:rFonts w:asciiTheme="majorHAnsi" w:hAnsiTheme="majorHAnsi" w:cstheme="majorHAnsi"/>
          <w:sz w:val="20"/>
          <w:szCs w:val="20"/>
        </w:rPr>
      </w:pPr>
    </w:p>
    <w:p w:rsidR="00D769A9" w:rsidRDefault="00572D2A" w:rsidP="00064251">
      <w:pPr>
        <w:pStyle w:val="Default"/>
        <w:rPr>
          <w:rFonts w:asciiTheme="majorHAnsi" w:hAnsiTheme="majorHAnsi" w:cstheme="majorHAnsi"/>
          <w:sz w:val="20"/>
          <w:szCs w:val="20"/>
        </w:rPr>
      </w:pPr>
      <w:r>
        <w:rPr>
          <w:rFonts w:asciiTheme="majorHAnsi" w:hAnsiTheme="majorHAnsi" w:cstheme="majorHAnsi"/>
          <w:sz w:val="20"/>
          <w:szCs w:val="20"/>
        </w:rPr>
        <w:t xml:space="preserve">Where an employee makes a claim against his or her employer, the surrounding circumstances which result in an employer and employee entering into a settlement agreement in respect of the claim are many and varied. It is not possible to limit the criteria which should be taken into account and we do not think it is helpful to introduce further regulatory overlay in this regard.  </w:t>
      </w:r>
    </w:p>
    <w:p w:rsidR="00BA72BF" w:rsidRDefault="00BA72BF" w:rsidP="00064251">
      <w:pPr>
        <w:pStyle w:val="Default"/>
        <w:rPr>
          <w:rFonts w:asciiTheme="majorHAnsi" w:hAnsiTheme="majorHAnsi" w:cstheme="majorHAnsi"/>
          <w:sz w:val="20"/>
          <w:szCs w:val="20"/>
        </w:rPr>
      </w:pPr>
    </w:p>
    <w:p w:rsidR="00BA72BF" w:rsidRDefault="00BA72BF" w:rsidP="00064251">
      <w:pPr>
        <w:pStyle w:val="Default"/>
        <w:rPr>
          <w:rFonts w:asciiTheme="majorHAnsi" w:hAnsiTheme="majorHAnsi" w:cstheme="majorHAnsi"/>
          <w:b/>
          <w:sz w:val="20"/>
          <w:szCs w:val="20"/>
        </w:rPr>
      </w:pPr>
      <w:r>
        <w:rPr>
          <w:rFonts w:asciiTheme="majorHAnsi" w:hAnsiTheme="majorHAnsi" w:cstheme="majorHAnsi"/>
          <w:b/>
          <w:sz w:val="20"/>
          <w:szCs w:val="20"/>
        </w:rPr>
        <w:t>Paragraph 13 – Exceptional remuneration elements and prohibitions</w:t>
      </w:r>
    </w:p>
    <w:p w:rsidR="00BA72BF" w:rsidRDefault="00BA72BF" w:rsidP="00064251">
      <w:pPr>
        <w:pStyle w:val="Default"/>
        <w:rPr>
          <w:rFonts w:asciiTheme="majorHAnsi" w:hAnsiTheme="majorHAnsi" w:cstheme="majorHAnsi"/>
          <w:b/>
          <w:sz w:val="20"/>
          <w:szCs w:val="20"/>
        </w:rPr>
      </w:pPr>
    </w:p>
    <w:p w:rsidR="00BA72BF" w:rsidRPr="00BA72BF" w:rsidRDefault="00BA72BF" w:rsidP="00064251">
      <w:pPr>
        <w:pStyle w:val="Default"/>
        <w:rPr>
          <w:rFonts w:asciiTheme="majorHAnsi" w:hAnsiTheme="majorHAnsi" w:cstheme="majorHAnsi"/>
          <w:sz w:val="20"/>
          <w:szCs w:val="20"/>
        </w:rPr>
      </w:pPr>
      <w:r>
        <w:rPr>
          <w:rFonts w:asciiTheme="majorHAnsi" w:hAnsiTheme="majorHAnsi" w:cstheme="majorHAnsi"/>
          <w:sz w:val="20"/>
          <w:szCs w:val="20"/>
        </w:rPr>
        <w:t xml:space="preserve">Our clients </w:t>
      </w:r>
      <w:r w:rsidR="00BA71A6">
        <w:rPr>
          <w:rFonts w:asciiTheme="majorHAnsi" w:hAnsiTheme="majorHAnsi" w:cstheme="majorHAnsi"/>
          <w:sz w:val="20"/>
          <w:szCs w:val="20"/>
        </w:rPr>
        <w:t>are concerned about</w:t>
      </w:r>
      <w:r>
        <w:rPr>
          <w:rFonts w:asciiTheme="majorHAnsi" w:hAnsiTheme="majorHAnsi" w:cstheme="majorHAnsi"/>
          <w:sz w:val="20"/>
          <w:szCs w:val="20"/>
        </w:rPr>
        <w:t xml:space="preserve"> the provisions contained in paragraphs 137 and </w:t>
      </w:r>
      <w:r w:rsidR="00600B4E">
        <w:rPr>
          <w:rFonts w:asciiTheme="majorHAnsi" w:hAnsiTheme="majorHAnsi" w:cstheme="majorHAnsi"/>
          <w:sz w:val="20"/>
          <w:szCs w:val="20"/>
        </w:rPr>
        <w:t xml:space="preserve">138 of the Draft Guidelines </w:t>
      </w:r>
      <w:r>
        <w:rPr>
          <w:rFonts w:asciiTheme="majorHAnsi" w:hAnsiTheme="majorHAnsi" w:cstheme="majorHAnsi"/>
          <w:sz w:val="20"/>
          <w:szCs w:val="20"/>
        </w:rPr>
        <w:t xml:space="preserve">and </w:t>
      </w:r>
      <w:r w:rsidR="00BA71A6">
        <w:rPr>
          <w:rFonts w:asciiTheme="majorHAnsi" w:hAnsiTheme="majorHAnsi" w:cstheme="majorHAnsi"/>
          <w:sz w:val="20"/>
          <w:szCs w:val="20"/>
        </w:rPr>
        <w:t xml:space="preserve">consider that </w:t>
      </w:r>
      <w:r>
        <w:rPr>
          <w:rFonts w:asciiTheme="majorHAnsi" w:hAnsiTheme="majorHAnsi" w:cstheme="majorHAnsi"/>
          <w:sz w:val="20"/>
          <w:szCs w:val="20"/>
        </w:rPr>
        <w:t>it is difficult to understand why guarantees would be treated differently to other payments of variable remuneration under th</w:t>
      </w:r>
      <w:r w:rsidR="00BA71A6">
        <w:rPr>
          <w:rFonts w:asciiTheme="majorHAnsi" w:hAnsiTheme="majorHAnsi" w:cstheme="majorHAnsi"/>
          <w:sz w:val="20"/>
          <w:szCs w:val="20"/>
        </w:rPr>
        <w:t>e Draft Guidelines. C</w:t>
      </w:r>
      <w:r>
        <w:rPr>
          <w:rFonts w:asciiTheme="majorHAnsi" w:hAnsiTheme="majorHAnsi" w:cstheme="majorHAnsi"/>
          <w:sz w:val="20"/>
          <w:szCs w:val="20"/>
        </w:rPr>
        <w:t>lients</w:t>
      </w:r>
      <w:r w:rsidR="00BA71A6">
        <w:rPr>
          <w:rFonts w:asciiTheme="majorHAnsi" w:hAnsiTheme="majorHAnsi" w:cstheme="majorHAnsi"/>
          <w:sz w:val="20"/>
          <w:szCs w:val="20"/>
        </w:rPr>
        <w:t xml:space="preserve"> also</w:t>
      </w:r>
      <w:r>
        <w:rPr>
          <w:rFonts w:asciiTheme="majorHAnsi" w:hAnsiTheme="majorHAnsi" w:cstheme="majorHAnsi"/>
          <w:sz w:val="20"/>
          <w:szCs w:val="20"/>
        </w:rPr>
        <w:t xml:space="preserve"> </w:t>
      </w:r>
      <w:r w:rsidR="009E70D7">
        <w:rPr>
          <w:rFonts w:asciiTheme="majorHAnsi" w:hAnsiTheme="majorHAnsi" w:cstheme="majorHAnsi"/>
          <w:sz w:val="20"/>
          <w:szCs w:val="20"/>
        </w:rPr>
        <w:t>consider</w:t>
      </w:r>
      <w:r>
        <w:rPr>
          <w:rFonts w:asciiTheme="majorHAnsi" w:hAnsiTheme="majorHAnsi" w:cstheme="majorHAnsi"/>
          <w:sz w:val="20"/>
          <w:szCs w:val="20"/>
        </w:rPr>
        <w:t xml:space="preserve"> that the provisions of paragraph 13 could encourage employee turnover. </w:t>
      </w:r>
    </w:p>
    <w:p w:rsidR="00064251" w:rsidRDefault="00064251" w:rsidP="00064251">
      <w:pPr>
        <w:pStyle w:val="Default"/>
        <w:rPr>
          <w:rFonts w:asciiTheme="majorHAnsi" w:hAnsiTheme="majorHAnsi" w:cstheme="majorHAnsi"/>
          <w:sz w:val="20"/>
          <w:szCs w:val="20"/>
        </w:rPr>
      </w:pPr>
    </w:p>
    <w:p w:rsidR="00895FD4" w:rsidRDefault="00895FD4" w:rsidP="00064251">
      <w:pPr>
        <w:pStyle w:val="Default"/>
        <w:rPr>
          <w:rFonts w:asciiTheme="majorHAnsi" w:hAnsiTheme="majorHAnsi" w:cstheme="majorHAnsi"/>
          <w:b/>
          <w:sz w:val="20"/>
          <w:szCs w:val="20"/>
        </w:rPr>
      </w:pPr>
    </w:p>
    <w:p w:rsidR="00764951" w:rsidRDefault="00895FD4" w:rsidP="00064251">
      <w:pPr>
        <w:pStyle w:val="Default"/>
        <w:rPr>
          <w:rFonts w:asciiTheme="majorHAnsi" w:hAnsiTheme="majorHAnsi" w:cstheme="majorHAnsi"/>
          <w:b/>
          <w:sz w:val="20"/>
          <w:szCs w:val="20"/>
        </w:rPr>
      </w:pPr>
      <w:r>
        <w:rPr>
          <w:rFonts w:asciiTheme="majorHAnsi" w:hAnsiTheme="majorHAnsi" w:cstheme="majorHAnsi"/>
          <w:b/>
          <w:sz w:val="20"/>
          <w:szCs w:val="20"/>
        </w:rPr>
        <w:t xml:space="preserve">Simmons &amp; Simmons </w:t>
      </w:r>
      <w:r w:rsidR="00EC2A06">
        <w:rPr>
          <w:rFonts w:asciiTheme="majorHAnsi" w:hAnsiTheme="majorHAnsi" w:cstheme="majorHAnsi"/>
          <w:b/>
          <w:sz w:val="20"/>
          <w:szCs w:val="20"/>
        </w:rPr>
        <w:t>LLP</w:t>
      </w:r>
    </w:p>
    <w:p w:rsidR="00895FD4" w:rsidRDefault="00895FD4" w:rsidP="00064251">
      <w:pPr>
        <w:pStyle w:val="Default"/>
        <w:rPr>
          <w:rFonts w:asciiTheme="majorHAnsi" w:hAnsiTheme="majorHAnsi" w:cstheme="majorHAnsi"/>
          <w:b/>
          <w:sz w:val="20"/>
          <w:szCs w:val="20"/>
        </w:rPr>
      </w:pPr>
    </w:p>
    <w:p w:rsidR="00064251" w:rsidRPr="00C362BB" w:rsidRDefault="00A953BA" w:rsidP="00C362BB">
      <w:pPr>
        <w:pStyle w:val="Default"/>
        <w:rPr>
          <w:rFonts w:asciiTheme="majorHAnsi" w:hAnsiTheme="majorHAnsi" w:cstheme="majorHAnsi"/>
          <w:color w:val="auto"/>
          <w:sz w:val="20"/>
          <w:szCs w:val="20"/>
        </w:rPr>
      </w:pPr>
      <w:r>
        <w:rPr>
          <w:rFonts w:asciiTheme="majorHAnsi" w:hAnsiTheme="majorHAnsi" w:cstheme="majorHAnsi"/>
          <w:b/>
          <w:sz w:val="20"/>
          <w:szCs w:val="20"/>
        </w:rPr>
        <w:t>4</w:t>
      </w:r>
      <w:r w:rsidR="00895FD4">
        <w:rPr>
          <w:rFonts w:asciiTheme="majorHAnsi" w:hAnsiTheme="majorHAnsi" w:cstheme="majorHAnsi"/>
          <w:b/>
          <w:sz w:val="20"/>
          <w:szCs w:val="20"/>
        </w:rPr>
        <w:t xml:space="preserve"> June 2015</w:t>
      </w:r>
    </w:p>
    <w:sectPr w:rsidR="00064251" w:rsidRPr="00C362BB" w:rsidSect="002145F3">
      <w:headerReference w:type="even" r:id="rId9"/>
      <w:headerReference w:type="default" r:id="rId10"/>
      <w:footerReference w:type="even" r:id="rId11"/>
      <w:footerReference w:type="default" r:id="rId12"/>
      <w:headerReference w:type="first" r:id="rId13"/>
      <w:footerReference w:type="first" r:id="rId14"/>
      <w:pgSz w:w="11906" w:h="16838" w:code="9"/>
      <w:pgMar w:top="1418" w:right="1191" w:bottom="567" w:left="1191"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D14" w:rsidRDefault="00B12D14" w:rsidP="002145F3">
      <w:r>
        <w:separator/>
      </w:r>
    </w:p>
  </w:endnote>
  <w:endnote w:type="continuationSeparator" w:id="0">
    <w:p w:rsidR="00B12D14" w:rsidRDefault="00B12D14" w:rsidP="0021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88" w:rsidRDefault="00945A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F2" w:rsidRPr="00FA6CFE" w:rsidRDefault="00DB0278" w:rsidP="002172F2">
    <w:pPr>
      <w:pStyle w:val="Footer"/>
      <w:tabs>
        <w:tab w:val="right" w:pos="9540"/>
      </w:tabs>
      <w:rPr>
        <w:sz w:val="20"/>
      </w:rPr>
    </w:pPr>
    <w:bookmarkStart w:id="1" w:name="bmkDocRefContinuation"/>
    <w:r>
      <w:t>PENSIONS/OPEN/-1/BLPC</w:t>
    </w:r>
    <w:bookmarkEnd w:id="1"/>
    <w:r w:rsidR="002145F3" w:rsidRPr="00FA6CFE">
      <w:t xml:space="preserve">   </w:t>
    </w:r>
    <w:bookmarkStart w:id="2" w:name="bmkAssetContinuation"/>
    <w:proofErr w:type="gramStart"/>
    <w:r>
      <w:t>blpc(</w:t>
    </w:r>
    <w:proofErr w:type="gramEnd"/>
    <w:r>
      <w:t>LDN7W23360)</w:t>
    </w:r>
    <w:bookmarkEnd w:id="2"/>
    <w:r w:rsidR="002145F3" w:rsidRPr="00FA6CFE">
      <w:tab/>
    </w:r>
    <w:r w:rsidR="002145F3" w:rsidRPr="00FA6CFE">
      <w:rPr>
        <w:rStyle w:val="PageNumber"/>
      </w:rPr>
      <w:fldChar w:fldCharType="begin"/>
    </w:r>
    <w:r w:rsidR="002145F3" w:rsidRPr="00FA6CFE">
      <w:rPr>
        <w:rStyle w:val="PageNumber"/>
      </w:rPr>
      <w:instrText xml:space="preserve"> PAGE </w:instrText>
    </w:r>
    <w:r w:rsidR="002145F3" w:rsidRPr="00FA6CFE">
      <w:rPr>
        <w:rStyle w:val="PageNumber"/>
      </w:rPr>
      <w:fldChar w:fldCharType="separate"/>
    </w:r>
    <w:r w:rsidR="00CF2EBC">
      <w:rPr>
        <w:rStyle w:val="PageNumber"/>
        <w:noProof/>
      </w:rPr>
      <w:t>4</w:t>
    </w:r>
    <w:r w:rsidR="002145F3" w:rsidRPr="00FA6CFE">
      <w:rPr>
        <w:rStyle w:val="PageNumber"/>
      </w:rPr>
      <w:fldChar w:fldCharType="end"/>
    </w:r>
    <w:r w:rsidR="002145F3" w:rsidRPr="00FA6CFE">
      <w:tab/>
      <w:t xml:space="preserve"> </w:t>
    </w:r>
    <w:bookmarkStart w:id="3" w:name="bmkDocIDContinuation"/>
    <w:r>
      <w:t>L_LIVE_EMEA1:26506404v6</w:t>
    </w:r>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F2" w:rsidRPr="00FA6CFE" w:rsidRDefault="00DB0278">
    <w:pPr>
      <w:pStyle w:val="Footer"/>
      <w:tabs>
        <w:tab w:val="clear" w:pos="4763"/>
        <w:tab w:val="clear" w:pos="9497"/>
        <w:tab w:val="right" w:pos="9540"/>
        <w:tab w:val="right" w:pos="9570"/>
      </w:tabs>
    </w:pPr>
    <w:bookmarkStart w:id="4" w:name="bmkDocRef"/>
    <w:r>
      <w:t>PENSIONS/OPEN/-1/</w:t>
    </w:r>
    <w:proofErr w:type="gramStart"/>
    <w:r>
      <w:t>BLPC</w:t>
    </w:r>
    <w:bookmarkEnd w:id="4"/>
    <w:r w:rsidR="002145F3" w:rsidRPr="00FA6CFE">
      <w:t xml:space="preserve">  </w:t>
    </w:r>
    <w:bookmarkStart w:id="5" w:name="bmkAsset"/>
    <w:r>
      <w:t>blpc</w:t>
    </w:r>
    <w:proofErr w:type="gramEnd"/>
    <w:r>
      <w:t>(LDN7W23360)</w:t>
    </w:r>
    <w:bookmarkEnd w:id="5"/>
    <w:r w:rsidR="002145F3" w:rsidRPr="00FA6CFE">
      <w:tab/>
    </w:r>
    <w:bookmarkStart w:id="6" w:name="bmkDocID"/>
    <w:r>
      <w:t>L_LIVE_EMEA1:26506404v6</w:t>
    </w:r>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D14" w:rsidRDefault="00B12D14" w:rsidP="002145F3">
      <w:r>
        <w:separator/>
      </w:r>
    </w:p>
  </w:footnote>
  <w:footnote w:type="continuationSeparator" w:id="0">
    <w:p w:rsidR="00B12D14" w:rsidRDefault="00B12D14" w:rsidP="00214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88" w:rsidRDefault="00945A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88" w:rsidRDefault="00945A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88" w:rsidRDefault="00945A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0222BC"/>
    <w:lvl w:ilvl="0">
      <w:start w:val="1"/>
      <w:numFmt w:val="decimal"/>
      <w:lvlText w:val="%1."/>
      <w:lvlJc w:val="left"/>
      <w:pPr>
        <w:tabs>
          <w:tab w:val="num" w:pos="1492"/>
        </w:tabs>
        <w:ind w:left="1492" w:hanging="360"/>
      </w:pPr>
    </w:lvl>
  </w:abstractNum>
  <w:abstractNum w:abstractNumId="1">
    <w:nsid w:val="FFFFFF7D"/>
    <w:multiLevelType w:val="singleLevel"/>
    <w:tmpl w:val="0DE0C7AE"/>
    <w:lvl w:ilvl="0">
      <w:start w:val="1"/>
      <w:numFmt w:val="decimal"/>
      <w:lvlText w:val="%1."/>
      <w:lvlJc w:val="left"/>
      <w:pPr>
        <w:tabs>
          <w:tab w:val="num" w:pos="1209"/>
        </w:tabs>
        <w:ind w:left="1209" w:hanging="360"/>
      </w:pPr>
    </w:lvl>
  </w:abstractNum>
  <w:abstractNum w:abstractNumId="2">
    <w:nsid w:val="FFFFFF7E"/>
    <w:multiLevelType w:val="singleLevel"/>
    <w:tmpl w:val="0416FA08"/>
    <w:lvl w:ilvl="0">
      <w:start w:val="1"/>
      <w:numFmt w:val="decimal"/>
      <w:lvlText w:val="%1."/>
      <w:lvlJc w:val="left"/>
      <w:pPr>
        <w:tabs>
          <w:tab w:val="num" w:pos="926"/>
        </w:tabs>
        <w:ind w:left="926" w:hanging="360"/>
      </w:pPr>
    </w:lvl>
  </w:abstractNum>
  <w:abstractNum w:abstractNumId="3">
    <w:nsid w:val="FFFFFF7F"/>
    <w:multiLevelType w:val="singleLevel"/>
    <w:tmpl w:val="EF98302C"/>
    <w:lvl w:ilvl="0">
      <w:start w:val="1"/>
      <w:numFmt w:val="decimal"/>
      <w:lvlText w:val="%1."/>
      <w:lvlJc w:val="left"/>
      <w:pPr>
        <w:tabs>
          <w:tab w:val="num" w:pos="643"/>
        </w:tabs>
        <w:ind w:left="643" w:hanging="360"/>
      </w:pPr>
    </w:lvl>
  </w:abstractNum>
  <w:abstractNum w:abstractNumId="4">
    <w:nsid w:val="FFFFFF80"/>
    <w:multiLevelType w:val="singleLevel"/>
    <w:tmpl w:val="D23AB9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E03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F61D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20E8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8A06EA"/>
    <w:lvl w:ilvl="0">
      <w:start w:val="1"/>
      <w:numFmt w:val="decimal"/>
      <w:lvlText w:val="%1."/>
      <w:lvlJc w:val="left"/>
      <w:pPr>
        <w:tabs>
          <w:tab w:val="num" w:pos="360"/>
        </w:tabs>
        <w:ind w:left="360" w:hanging="360"/>
      </w:pPr>
    </w:lvl>
  </w:abstractNum>
  <w:abstractNum w:abstractNumId="9">
    <w:nsid w:val="FFFFFF89"/>
    <w:multiLevelType w:val="singleLevel"/>
    <w:tmpl w:val="E60ACD42"/>
    <w:lvl w:ilvl="0">
      <w:start w:val="1"/>
      <w:numFmt w:val="bullet"/>
      <w:lvlText w:val=""/>
      <w:lvlJc w:val="left"/>
      <w:pPr>
        <w:tabs>
          <w:tab w:val="num" w:pos="360"/>
        </w:tabs>
        <w:ind w:left="360" w:hanging="360"/>
      </w:pPr>
      <w:rPr>
        <w:rFonts w:ascii="Symbol" w:hAnsi="Symbol" w:hint="default"/>
      </w:rPr>
    </w:lvl>
  </w:abstractNum>
  <w:abstractNum w:abstractNumId="10">
    <w:nsid w:val="07270173"/>
    <w:multiLevelType w:val="multilevel"/>
    <w:tmpl w:val="71CADD9C"/>
    <w:numStyleLink w:val="AppendixNumbering"/>
  </w:abstractNum>
  <w:abstractNum w:abstractNumId="11">
    <w:nsid w:val="159B177C"/>
    <w:multiLevelType w:val="multilevel"/>
    <w:tmpl w:val="E7229E7C"/>
    <w:styleLink w:val="ExhibitNumbering"/>
    <w:lvl w:ilvl="0">
      <w:start w:val="1"/>
      <w:numFmt w:val="none"/>
      <w:pStyle w:val="ssRestartExhibit"/>
      <w:suff w:val="nothing"/>
      <w:lvlText w:val=""/>
      <w:lvlJc w:val="left"/>
      <w:pPr>
        <w:ind w:left="0" w:firstLine="0"/>
      </w:pPr>
      <w:rPr>
        <w:rFonts w:hint="default"/>
      </w:rPr>
    </w:lvl>
    <w:lvl w:ilvl="1">
      <w:start w:val="1"/>
      <w:numFmt w:val="decimal"/>
      <w:pStyle w:val="ssqExhibit"/>
      <w:suff w:val="space"/>
      <w:lvlText w:val="Exhibi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AA4495E"/>
    <w:multiLevelType w:val="multilevel"/>
    <w:tmpl w:val="54D02D98"/>
    <w:styleLink w:val="PartNumbering"/>
    <w:lvl w:ilvl="0">
      <w:start w:val="1"/>
      <w:numFmt w:val="none"/>
      <w:pStyle w:val="ssRestartPart"/>
      <w:suff w:val="nothing"/>
      <w:lvlText w:val=""/>
      <w:lvlJc w:val="left"/>
      <w:pPr>
        <w:ind w:left="0" w:firstLine="0"/>
      </w:pPr>
      <w:rPr>
        <w:rFonts w:hint="default"/>
      </w:rPr>
    </w:lvl>
    <w:lvl w:ilvl="1">
      <w:start w:val="1"/>
      <w:numFmt w:val="decimal"/>
      <w:pStyle w:val="ssqPart"/>
      <w:suff w:val="space"/>
      <w:lvlText w:val="Par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B6A3223"/>
    <w:multiLevelType w:val="multilevel"/>
    <w:tmpl w:val="C8D6362C"/>
    <w:styleLink w:val="ListHeadings"/>
    <w:lvl w:ilvl="0">
      <w:start w:val="1"/>
      <w:numFmt w:val="none"/>
      <w:pStyle w:val="ssRestartNumber"/>
      <w:suff w:val="nothing"/>
      <w:lvlText w:val="%1"/>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b w:val="0"/>
        <w:i w:val="0"/>
        <w:u w:val="none"/>
      </w:rPr>
    </w:lvl>
    <w:lvl w:ilvl="2">
      <w:start w:val="1"/>
      <w:numFmt w:val="decimal"/>
      <w:pStyle w:val="Heading2"/>
      <w:lvlText w:val="%2.%3"/>
      <w:lvlJc w:val="left"/>
      <w:pPr>
        <w:tabs>
          <w:tab w:val="num" w:pos="709"/>
        </w:tabs>
        <w:ind w:left="709" w:hanging="709"/>
      </w:pPr>
      <w:rPr>
        <w:rFonts w:hint="default"/>
        <w:b w:val="0"/>
        <w:i w:val="0"/>
        <w:u w:val="none"/>
      </w:rPr>
    </w:lvl>
    <w:lvl w:ilvl="3">
      <w:start w:val="1"/>
      <w:numFmt w:val="upperLetter"/>
      <w:pStyle w:val="Heading3"/>
      <w:lvlText w:val="(%4)"/>
      <w:lvlJc w:val="left"/>
      <w:pPr>
        <w:tabs>
          <w:tab w:val="num" w:pos="1418"/>
        </w:tabs>
        <w:ind w:left="1418" w:hanging="709"/>
      </w:pPr>
      <w:rPr>
        <w:rFonts w:hint="default"/>
        <w:b w:val="0"/>
        <w:i w:val="0"/>
      </w:rPr>
    </w:lvl>
    <w:lvl w:ilvl="4">
      <w:start w:val="1"/>
      <w:numFmt w:val="decimal"/>
      <w:pStyle w:val="Heading4"/>
      <w:lvlText w:val="(%5)"/>
      <w:lvlJc w:val="left"/>
      <w:pPr>
        <w:tabs>
          <w:tab w:val="num" w:pos="1985"/>
        </w:tabs>
        <w:ind w:left="1985" w:hanging="567"/>
      </w:pPr>
      <w:rPr>
        <w:rFonts w:hint="default"/>
        <w:b w:val="0"/>
        <w:i w:val="0"/>
      </w:rPr>
    </w:lvl>
    <w:lvl w:ilvl="5">
      <w:start w:val="1"/>
      <w:numFmt w:val="lowerLetter"/>
      <w:pStyle w:val="Heading5"/>
      <w:lvlText w:val="(%6)"/>
      <w:lvlJc w:val="left"/>
      <w:pPr>
        <w:tabs>
          <w:tab w:val="num" w:pos="2552"/>
        </w:tabs>
        <w:ind w:left="2552" w:hanging="567"/>
      </w:pPr>
      <w:rPr>
        <w:rFonts w:hint="default"/>
        <w:b w:val="0"/>
        <w:i w:val="0"/>
      </w:rPr>
    </w:lvl>
    <w:lvl w:ilvl="6">
      <w:start w:val="1"/>
      <w:numFmt w:val="lowerRoman"/>
      <w:pStyle w:val="Heading6"/>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0F32210"/>
    <w:multiLevelType w:val="hybridMultilevel"/>
    <w:tmpl w:val="80B2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D5649B"/>
    <w:multiLevelType w:val="multilevel"/>
    <w:tmpl w:val="E7229E7C"/>
    <w:numStyleLink w:val="ExhibitNumbering"/>
  </w:abstractNum>
  <w:abstractNum w:abstractNumId="16">
    <w:nsid w:val="34281940"/>
    <w:multiLevelType w:val="multilevel"/>
    <w:tmpl w:val="71CADD9C"/>
    <w:numStyleLink w:val="AppendixNumbering"/>
  </w:abstractNum>
  <w:abstractNum w:abstractNumId="17">
    <w:nsid w:val="355E0BB2"/>
    <w:multiLevelType w:val="multilevel"/>
    <w:tmpl w:val="54D02D98"/>
    <w:numStyleLink w:val="PartNumbering"/>
  </w:abstractNum>
  <w:abstractNum w:abstractNumId="18">
    <w:nsid w:val="39937EB2"/>
    <w:multiLevelType w:val="multilevel"/>
    <w:tmpl w:val="06E2487A"/>
    <w:styleLink w:val="ScheduleNumbering"/>
    <w:lvl w:ilvl="0">
      <w:start w:val="1"/>
      <w:numFmt w:val="none"/>
      <w:pStyle w:val="ssRestartSchedule"/>
      <w:suff w:val="nothing"/>
      <w:lvlText w:val=""/>
      <w:lvlJc w:val="left"/>
      <w:pPr>
        <w:ind w:left="0" w:firstLine="0"/>
      </w:pPr>
      <w:rPr>
        <w:rFonts w:hint="default"/>
      </w:rPr>
    </w:lvl>
    <w:lvl w:ilvl="1">
      <w:start w:val="1"/>
      <w:numFmt w:val="decimal"/>
      <w:pStyle w:val="ssqSchedule"/>
      <w:suff w:val="space"/>
      <w:lvlText w:val="Schedule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185586C"/>
    <w:multiLevelType w:val="multilevel"/>
    <w:tmpl w:val="E7229E7C"/>
    <w:numStyleLink w:val="ExhibitNumbering"/>
  </w:abstractNum>
  <w:abstractNum w:abstractNumId="20">
    <w:nsid w:val="4400737D"/>
    <w:multiLevelType w:val="multilevel"/>
    <w:tmpl w:val="C8D6362C"/>
    <w:numStyleLink w:val="ListHeadings"/>
  </w:abstractNum>
  <w:abstractNum w:abstractNumId="21">
    <w:nsid w:val="464E539F"/>
    <w:multiLevelType w:val="multilevel"/>
    <w:tmpl w:val="71CADD9C"/>
    <w:styleLink w:val="AppendixNumbering"/>
    <w:lvl w:ilvl="0">
      <w:start w:val="1"/>
      <w:numFmt w:val="none"/>
      <w:pStyle w:val="ssRestartAppendix"/>
      <w:suff w:val="nothing"/>
      <w:lvlText w:val=""/>
      <w:lvlJc w:val="left"/>
      <w:pPr>
        <w:ind w:left="0" w:firstLine="0"/>
      </w:pPr>
      <w:rPr>
        <w:rFonts w:hint="default"/>
      </w:rPr>
    </w:lvl>
    <w:lvl w:ilvl="1">
      <w:start w:val="1"/>
      <w:numFmt w:val="decimal"/>
      <w:pStyle w:val="ssqAppendix"/>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8E29CB"/>
    <w:multiLevelType w:val="multilevel"/>
    <w:tmpl w:val="06E2487A"/>
    <w:numStyleLink w:val="ScheduleNumbering"/>
  </w:abstractNum>
  <w:abstractNum w:abstractNumId="23">
    <w:nsid w:val="6DC023DB"/>
    <w:multiLevelType w:val="multilevel"/>
    <w:tmpl w:val="54D02D98"/>
    <w:numStyleLink w:val="PartNumbering"/>
  </w:abstractNum>
  <w:abstractNum w:abstractNumId="24">
    <w:nsid w:val="752B37AC"/>
    <w:multiLevelType w:val="multilevel"/>
    <w:tmpl w:val="2BCE0584"/>
    <w:name w:val="Simmons&amp;Simmon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num w:numId="1">
    <w:abstractNumId w:val="21"/>
  </w:num>
  <w:num w:numId="2">
    <w:abstractNumId w:val="11"/>
  </w:num>
  <w:num w:numId="3">
    <w:abstractNumId w:val="13"/>
  </w:num>
  <w:num w:numId="4">
    <w:abstractNumId w:val="12"/>
  </w:num>
  <w:num w:numId="5">
    <w:abstractNumId w:val="18"/>
  </w:num>
  <w:num w:numId="6">
    <w:abstractNumId w:val="10"/>
  </w:num>
  <w:num w:numId="7">
    <w:abstractNumId w:val="19"/>
  </w:num>
  <w:num w:numId="8">
    <w:abstractNumId w:val="20"/>
  </w:num>
  <w:num w:numId="9">
    <w:abstractNumId w:val="23"/>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5"/>
  </w:num>
  <w:num w:numId="23">
    <w:abstractNumId w:val="17"/>
  </w:num>
  <w:num w:numId="2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TMS_CultureID" w:val="English-UK"/>
    <w:docVar w:name="TMS_OfficeID" w:val="London"/>
  </w:docVars>
  <w:rsids>
    <w:rsidRoot w:val="00B12D14"/>
    <w:rsid w:val="00004D39"/>
    <w:rsid w:val="00007682"/>
    <w:rsid w:val="00017271"/>
    <w:rsid w:val="000232B4"/>
    <w:rsid w:val="0003032E"/>
    <w:rsid w:val="0003545D"/>
    <w:rsid w:val="00044E5C"/>
    <w:rsid w:val="000507BA"/>
    <w:rsid w:val="00055AF4"/>
    <w:rsid w:val="000623E1"/>
    <w:rsid w:val="00064251"/>
    <w:rsid w:val="00072462"/>
    <w:rsid w:val="00072BFA"/>
    <w:rsid w:val="00077015"/>
    <w:rsid w:val="000874A0"/>
    <w:rsid w:val="000A59F7"/>
    <w:rsid w:val="000B254F"/>
    <w:rsid w:val="000B2590"/>
    <w:rsid w:val="000B39DB"/>
    <w:rsid w:val="000B5641"/>
    <w:rsid w:val="000C26E4"/>
    <w:rsid w:val="000D5E45"/>
    <w:rsid w:val="000E2708"/>
    <w:rsid w:val="000E6DC9"/>
    <w:rsid w:val="000E7F69"/>
    <w:rsid w:val="000F0BB9"/>
    <w:rsid w:val="00101241"/>
    <w:rsid w:val="001060FD"/>
    <w:rsid w:val="001138DB"/>
    <w:rsid w:val="00116468"/>
    <w:rsid w:val="00116C4D"/>
    <w:rsid w:val="00117964"/>
    <w:rsid w:val="00130560"/>
    <w:rsid w:val="00134261"/>
    <w:rsid w:val="001374CD"/>
    <w:rsid w:val="001403C6"/>
    <w:rsid w:val="00140874"/>
    <w:rsid w:val="001416DC"/>
    <w:rsid w:val="0014187E"/>
    <w:rsid w:val="001570C6"/>
    <w:rsid w:val="00176254"/>
    <w:rsid w:val="00184CD8"/>
    <w:rsid w:val="00191C60"/>
    <w:rsid w:val="00193306"/>
    <w:rsid w:val="00194B5A"/>
    <w:rsid w:val="001A3822"/>
    <w:rsid w:val="001C6FEB"/>
    <w:rsid w:val="001D4101"/>
    <w:rsid w:val="001E60FC"/>
    <w:rsid w:val="00204652"/>
    <w:rsid w:val="00206333"/>
    <w:rsid w:val="002068C6"/>
    <w:rsid w:val="002121FD"/>
    <w:rsid w:val="002145F3"/>
    <w:rsid w:val="002172F2"/>
    <w:rsid w:val="00221B22"/>
    <w:rsid w:val="00226798"/>
    <w:rsid w:val="002310AD"/>
    <w:rsid w:val="0023392E"/>
    <w:rsid w:val="0024268B"/>
    <w:rsid w:val="00260099"/>
    <w:rsid w:val="00260729"/>
    <w:rsid w:val="00270441"/>
    <w:rsid w:val="00281773"/>
    <w:rsid w:val="0028177F"/>
    <w:rsid w:val="002A1FDE"/>
    <w:rsid w:val="002A572D"/>
    <w:rsid w:val="002A6353"/>
    <w:rsid w:val="002B0D0B"/>
    <w:rsid w:val="002B301D"/>
    <w:rsid w:val="002B4493"/>
    <w:rsid w:val="002B4D75"/>
    <w:rsid w:val="002B6416"/>
    <w:rsid w:val="002C1635"/>
    <w:rsid w:val="002C45EB"/>
    <w:rsid w:val="002D10F2"/>
    <w:rsid w:val="002E2531"/>
    <w:rsid w:val="002E3F4C"/>
    <w:rsid w:val="002E6337"/>
    <w:rsid w:val="002F3C9D"/>
    <w:rsid w:val="002F4AF4"/>
    <w:rsid w:val="003062B7"/>
    <w:rsid w:val="00307DD9"/>
    <w:rsid w:val="00310B46"/>
    <w:rsid w:val="00337391"/>
    <w:rsid w:val="00341122"/>
    <w:rsid w:val="003438CD"/>
    <w:rsid w:val="0034419F"/>
    <w:rsid w:val="00353652"/>
    <w:rsid w:val="003611CE"/>
    <w:rsid w:val="00361A7C"/>
    <w:rsid w:val="00361F28"/>
    <w:rsid w:val="00362631"/>
    <w:rsid w:val="00363885"/>
    <w:rsid w:val="00367F85"/>
    <w:rsid w:val="00372973"/>
    <w:rsid w:val="00373FD4"/>
    <w:rsid w:val="00391EB8"/>
    <w:rsid w:val="003921FF"/>
    <w:rsid w:val="00393EFD"/>
    <w:rsid w:val="00397156"/>
    <w:rsid w:val="003A25A4"/>
    <w:rsid w:val="003A6A13"/>
    <w:rsid w:val="003B6925"/>
    <w:rsid w:val="003C428D"/>
    <w:rsid w:val="003C7468"/>
    <w:rsid w:val="003D01DA"/>
    <w:rsid w:val="003F1E87"/>
    <w:rsid w:val="003F3A27"/>
    <w:rsid w:val="003F7214"/>
    <w:rsid w:val="004078CF"/>
    <w:rsid w:val="00414928"/>
    <w:rsid w:val="00414ED0"/>
    <w:rsid w:val="00422D0E"/>
    <w:rsid w:val="00425A24"/>
    <w:rsid w:val="00427621"/>
    <w:rsid w:val="0043174F"/>
    <w:rsid w:val="004357E6"/>
    <w:rsid w:val="00441412"/>
    <w:rsid w:val="0044252C"/>
    <w:rsid w:val="00444D6C"/>
    <w:rsid w:val="00444D9D"/>
    <w:rsid w:val="00445601"/>
    <w:rsid w:val="0045407A"/>
    <w:rsid w:val="00455248"/>
    <w:rsid w:val="00455A1A"/>
    <w:rsid w:val="00456031"/>
    <w:rsid w:val="00457E41"/>
    <w:rsid w:val="00461776"/>
    <w:rsid w:val="0046580A"/>
    <w:rsid w:val="00465953"/>
    <w:rsid w:val="00470EAF"/>
    <w:rsid w:val="00483748"/>
    <w:rsid w:val="004863AA"/>
    <w:rsid w:val="00487524"/>
    <w:rsid w:val="004928A1"/>
    <w:rsid w:val="0049295B"/>
    <w:rsid w:val="00493AB4"/>
    <w:rsid w:val="00493ADC"/>
    <w:rsid w:val="0049777D"/>
    <w:rsid w:val="004A0F33"/>
    <w:rsid w:val="004A360E"/>
    <w:rsid w:val="004B013F"/>
    <w:rsid w:val="004B2D76"/>
    <w:rsid w:val="004B75B2"/>
    <w:rsid w:val="004D18EA"/>
    <w:rsid w:val="004D3D90"/>
    <w:rsid w:val="004D74E5"/>
    <w:rsid w:val="004D760D"/>
    <w:rsid w:val="004D78CD"/>
    <w:rsid w:val="004E3E31"/>
    <w:rsid w:val="004E3F51"/>
    <w:rsid w:val="004F178E"/>
    <w:rsid w:val="004F6F3A"/>
    <w:rsid w:val="004F7E8A"/>
    <w:rsid w:val="0050793D"/>
    <w:rsid w:val="00513E7E"/>
    <w:rsid w:val="005142B1"/>
    <w:rsid w:val="005212F4"/>
    <w:rsid w:val="00522B7A"/>
    <w:rsid w:val="00527A57"/>
    <w:rsid w:val="005345A2"/>
    <w:rsid w:val="005657CC"/>
    <w:rsid w:val="00566B4A"/>
    <w:rsid w:val="00572D2A"/>
    <w:rsid w:val="00575510"/>
    <w:rsid w:val="00577106"/>
    <w:rsid w:val="00587F51"/>
    <w:rsid w:val="00591C2F"/>
    <w:rsid w:val="00596A09"/>
    <w:rsid w:val="005E2817"/>
    <w:rsid w:val="005E46A8"/>
    <w:rsid w:val="005F387C"/>
    <w:rsid w:val="00600524"/>
    <w:rsid w:val="00600B4E"/>
    <w:rsid w:val="00602E35"/>
    <w:rsid w:val="00612482"/>
    <w:rsid w:val="00614675"/>
    <w:rsid w:val="00614C44"/>
    <w:rsid w:val="00621CF7"/>
    <w:rsid w:val="0062535D"/>
    <w:rsid w:val="00630B45"/>
    <w:rsid w:val="006330D1"/>
    <w:rsid w:val="00633365"/>
    <w:rsid w:val="006346A2"/>
    <w:rsid w:val="00653F80"/>
    <w:rsid w:val="0066244B"/>
    <w:rsid w:val="00665A99"/>
    <w:rsid w:val="00680B8F"/>
    <w:rsid w:val="00682FF1"/>
    <w:rsid w:val="006916B7"/>
    <w:rsid w:val="006A5971"/>
    <w:rsid w:val="006B50A8"/>
    <w:rsid w:val="006B520C"/>
    <w:rsid w:val="006B5468"/>
    <w:rsid w:val="006C4DB2"/>
    <w:rsid w:val="006D01F6"/>
    <w:rsid w:val="006D05E9"/>
    <w:rsid w:val="006D4FE5"/>
    <w:rsid w:val="006E15B7"/>
    <w:rsid w:val="006E306F"/>
    <w:rsid w:val="006E47D2"/>
    <w:rsid w:val="006E4E77"/>
    <w:rsid w:val="006E63B9"/>
    <w:rsid w:val="006E7DF3"/>
    <w:rsid w:val="006F3382"/>
    <w:rsid w:val="006F4C20"/>
    <w:rsid w:val="00703EDF"/>
    <w:rsid w:val="00705205"/>
    <w:rsid w:val="0071392E"/>
    <w:rsid w:val="0072141D"/>
    <w:rsid w:val="0072322D"/>
    <w:rsid w:val="00724DEA"/>
    <w:rsid w:val="007315D9"/>
    <w:rsid w:val="00732881"/>
    <w:rsid w:val="007329D0"/>
    <w:rsid w:val="0073359A"/>
    <w:rsid w:val="007344D2"/>
    <w:rsid w:val="007445AA"/>
    <w:rsid w:val="00747535"/>
    <w:rsid w:val="00750D8B"/>
    <w:rsid w:val="007511EC"/>
    <w:rsid w:val="0075392A"/>
    <w:rsid w:val="00761BF6"/>
    <w:rsid w:val="00764951"/>
    <w:rsid w:val="00773349"/>
    <w:rsid w:val="00774DB3"/>
    <w:rsid w:val="00775D9D"/>
    <w:rsid w:val="00787C72"/>
    <w:rsid w:val="0079301D"/>
    <w:rsid w:val="007A33BD"/>
    <w:rsid w:val="007A7B79"/>
    <w:rsid w:val="007B3F18"/>
    <w:rsid w:val="007B551A"/>
    <w:rsid w:val="007B74AF"/>
    <w:rsid w:val="007D0B57"/>
    <w:rsid w:val="007D2719"/>
    <w:rsid w:val="007D6E17"/>
    <w:rsid w:val="007E2800"/>
    <w:rsid w:val="007F212C"/>
    <w:rsid w:val="00811BC0"/>
    <w:rsid w:val="00822B72"/>
    <w:rsid w:val="008242B7"/>
    <w:rsid w:val="0082677B"/>
    <w:rsid w:val="0084359C"/>
    <w:rsid w:val="00844008"/>
    <w:rsid w:val="00851935"/>
    <w:rsid w:val="008555FC"/>
    <w:rsid w:val="00867E20"/>
    <w:rsid w:val="00874339"/>
    <w:rsid w:val="00877B52"/>
    <w:rsid w:val="00880BF0"/>
    <w:rsid w:val="00881B23"/>
    <w:rsid w:val="0088560D"/>
    <w:rsid w:val="00893288"/>
    <w:rsid w:val="00895FD4"/>
    <w:rsid w:val="008967CC"/>
    <w:rsid w:val="008A13CC"/>
    <w:rsid w:val="008C0FC8"/>
    <w:rsid w:val="008C467F"/>
    <w:rsid w:val="008C5863"/>
    <w:rsid w:val="008C611D"/>
    <w:rsid w:val="008D06C5"/>
    <w:rsid w:val="008D08A9"/>
    <w:rsid w:val="008E04F8"/>
    <w:rsid w:val="008E2CB9"/>
    <w:rsid w:val="008F1D01"/>
    <w:rsid w:val="008F2F81"/>
    <w:rsid w:val="008F38D4"/>
    <w:rsid w:val="008F46B3"/>
    <w:rsid w:val="00901CFC"/>
    <w:rsid w:val="00902C40"/>
    <w:rsid w:val="0090301C"/>
    <w:rsid w:val="00903624"/>
    <w:rsid w:val="0091758B"/>
    <w:rsid w:val="00923465"/>
    <w:rsid w:val="009307A5"/>
    <w:rsid w:val="00940566"/>
    <w:rsid w:val="00943CD9"/>
    <w:rsid w:val="009452F3"/>
    <w:rsid w:val="00945A88"/>
    <w:rsid w:val="00954FA8"/>
    <w:rsid w:val="00960318"/>
    <w:rsid w:val="009701D8"/>
    <w:rsid w:val="0097261B"/>
    <w:rsid w:val="009729C3"/>
    <w:rsid w:val="00977E43"/>
    <w:rsid w:val="009859E8"/>
    <w:rsid w:val="00991E32"/>
    <w:rsid w:val="00992894"/>
    <w:rsid w:val="00997E73"/>
    <w:rsid w:val="009C48A4"/>
    <w:rsid w:val="009C50C5"/>
    <w:rsid w:val="009D2CAE"/>
    <w:rsid w:val="009D3219"/>
    <w:rsid w:val="009D4EB0"/>
    <w:rsid w:val="009E28F6"/>
    <w:rsid w:val="009E70D7"/>
    <w:rsid w:val="009E719B"/>
    <w:rsid w:val="009E7C71"/>
    <w:rsid w:val="009F102B"/>
    <w:rsid w:val="009F438B"/>
    <w:rsid w:val="00A02B3F"/>
    <w:rsid w:val="00A02CAF"/>
    <w:rsid w:val="00A06A92"/>
    <w:rsid w:val="00A100E0"/>
    <w:rsid w:val="00A13519"/>
    <w:rsid w:val="00A26FE9"/>
    <w:rsid w:val="00A3000A"/>
    <w:rsid w:val="00A30290"/>
    <w:rsid w:val="00A523B5"/>
    <w:rsid w:val="00A53257"/>
    <w:rsid w:val="00A56F50"/>
    <w:rsid w:val="00A67EE8"/>
    <w:rsid w:val="00A74C88"/>
    <w:rsid w:val="00A74E44"/>
    <w:rsid w:val="00A75017"/>
    <w:rsid w:val="00A7648D"/>
    <w:rsid w:val="00A874E8"/>
    <w:rsid w:val="00A87ADC"/>
    <w:rsid w:val="00A917CA"/>
    <w:rsid w:val="00A940BB"/>
    <w:rsid w:val="00A953BA"/>
    <w:rsid w:val="00AA77F7"/>
    <w:rsid w:val="00AA7BC4"/>
    <w:rsid w:val="00AB7673"/>
    <w:rsid w:val="00AC3FDF"/>
    <w:rsid w:val="00AC596B"/>
    <w:rsid w:val="00AD0234"/>
    <w:rsid w:val="00AD27D2"/>
    <w:rsid w:val="00AD7690"/>
    <w:rsid w:val="00AE3342"/>
    <w:rsid w:val="00AE35DE"/>
    <w:rsid w:val="00B00EC2"/>
    <w:rsid w:val="00B02FD9"/>
    <w:rsid w:val="00B04590"/>
    <w:rsid w:val="00B12D14"/>
    <w:rsid w:val="00B147B4"/>
    <w:rsid w:val="00B25E0D"/>
    <w:rsid w:val="00B31F8B"/>
    <w:rsid w:val="00B42DB1"/>
    <w:rsid w:val="00B43C25"/>
    <w:rsid w:val="00B4706B"/>
    <w:rsid w:val="00B52C69"/>
    <w:rsid w:val="00B53B05"/>
    <w:rsid w:val="00B56D3B"/>
    <w:rsid w:val="00B60F6B"/>
    <w:rsid w:val="00B64B57"/>
    <w:rsid w:val="00B7710D"/>
    <w:rsid w:val="00B778F6"/>
    <w:rsid w:val="00B82636"/>
    <w:rsid w:val="00B869D6"/>
    <w:rsid w:val="00B93C31"/>
    <w:rsid w:val="00BA5F91"/>
    <w:rsid w:val="00BA71A6"/>
    <w:rsid w:val="00BA72BF"/>
    <w:rsid w:val="00BB38BE"/>
    <w:rsid w:val="00BB662D"/>
    <w:rsid w:val="00BC075E"/>
    <w:rsid w:val="00BC234D"/>
    <w:rsid w:val="00BC51B5"/>
    <w:rsid w:val="00BE23EC"/>
    <w:rsid w:val="00BE49FC"/>
    <w:rsid w:val="00BE7055"/>
    <w:rsid w:val="00BF6202"/>
    <w:rsid w:val="00C05C5F"/>
    <w:rsid w:val="00C17DED"/>
    <w:rsid w:val="00C22057"/>
    <w:rsid w:val="00C2221C"/>
    <w:rsid w:val="00C2450A"/>
    <w:rsid w:val="00C27431"/>
    <w:rsid w:val="00C31756"/>
    <w:rsid w:val="00C322D6"/>
    <w:rsid w:val="00C323C8"/>
    <w:rsid w:val="00C362BB"/>
    <w:rsid w:val="00C36B16"/>
    <w:rsid w:val="00C3787F"/>
    <w:rsid w:val="00C40DE1"/>
    <w:rsid w:val="00C45AC9"/>
    <w:rsid w:val="00C5136F"/>
    <w:rsid w:val="00C55655"/>
    <w:rsid w:val="00C62009"/>
    <w:rsid w:val="00C666C4"/>
    <w:rsid w:val="00C728C9"/>
    <w:rsid w:val="00C84B0F"/>
    <w:rsid w:val="00CA7E79"/>
    <w:rsid w:val="00CB4152"/>
    <w:rsid w:val="00CB66D4"/>
    <w:rsid w:val="00CB7037"/>
    <w:rsid w:val="00CD2DD3"/>
    <w:rsid w:val="00CD3A8D"/>
    <w:rsid w:val="00CD5E6C"/>
    <w:rsid w:val="00CF2EBC"/>
    <w:rsid w:val="00CF6232"/>
    <w:rsid w:val="00D10B49"/>
    <w:rsid w:val="00D11ADD"/>
    <w:rsid w:val="00D12061"/>
    <w:rsid w:val="00D12D01"/>
    <w:rsid w:val="00D14983"/>
    <w:rsid w:val="00D151E8"/>
    <w:rsid w:val="00D2677F"/>
    <w:rsid w:val="00D27564"/>
    <w:rsid w:val="00D34738"/>
    <w:rsid w:val="00D3795A"/>
    <w:rsid w:val="00D43782"/>
    <w:rsid w:val="00D440E6"/>
    <w:rsid w:val="00D45FAE"/>
    <w:rsid w:val="00D50032"/>
    <w:rsid w:val="00D53BA0"/>
    <w:rsid w:val="00D60D03"/>
    <w:rsid w:val="00D64E4F"/>
    <w:rsid w:val="00D70BC3"/>
    <w:rsid w:val="00D715D9"/>
    <w:rsid w:val="00D72CD9"/>
    <w:rsid w:val="00D743A8"/>
    <w:rsid w:val="00D769A9"/>
    <w:rsid w:val="00D8197C"/>
    <w:rsid w:val="00D8210F"/>
    <w:rsid w:val="00D87CAA"/>
    <w:rsid w:val="00D90414"/>
    <w:rsid w:val="00DA4602"/>
    <w:rsid w:val="00DA7167"/>
    <w:rsid w:val="00DB0278"/>
    <w:rsid w:val="00DB39F3"/>
    <w:rsid w:val="00DC5812"/>
    <w:rsid w:val="00DD5EC5"/>
    <w:rsid w:val="00DE3CFC"/>
    <w:rsid w:val="00DE4107"/>
    <w:rsid w:val="00DE4ACA"/>
    <w:rsid w:val="00DF7ECE"/>
    <w:rsid w:val="00E00A93"/>
    <w:rsid w:val="00E01954"/>
    <w:rsid w:val="00E01A4F"/>
    <w:rsid w:val="00E023C3"/>
    <w:rsid w:val="00E1255E"/>
    <w:rsid w:val="00E147B9"/>
    <w:rsid w:val="00E15816"/>
    <w:rsid w:val="00E23D22"/>
    <w:rsid w:val="00E41389"/>
    <w:rsid w:val="00E42DC2"/>
    <w:rsid w:val="00E4345E"/>
    <w:rsid w:val="00E51D18"/>
    <w:rsid w:val="00E53894"/>
    <w:rsid w:val="00E54618"/>
    <w:rsid w:val="00E600ED"/>
    <w:rsid w:val="00E612B9"/>
    <w:rsid w:val="00E62968"/>
    <w:rsid w:val="00E75B7D"/>
    <w:rsid w:val="00E76B35"/>
    <w:rsid w:val="00E83BA9"/>
    <w:rsid w:val="00E848D5"/>
    <w:rsid w:val="00E85890"/>
    <w:rsid w:val="00E85E09"/>
    <w:rsid w:val="00E87845"/>
    <w:rsid w:val="00E908C6"/>
    <w:rsid w:val="00E9534D"/>
    <w:rsid w:val="00E95447"/>
    <w:rsid w:val="00E966B2"/>
    <w:rsid w:val="00EA5D4F"/>
    <w:rsid w:val="00EA7449"/>
    <w:rsid w:val="00EB26CE"/>
    <w:rsid w:val="00EC2A06"/>
    <w:rsid w:val="00EC3401"/>
    <w:rsid w:val="00EC564C"/>
    <w:rsid w:val="00ED2637"/>
    <w:rsid w:val="00ED4FBB"/>
    <w:rsid w:val="00EE384E"/>
    <w:rsid w:val="00F00BF2"/>
    <w:rsid w:val="00F07EA1"/>
    <w:rsid w:val="00F1390E"/>
    <w:rsid w:val="00F14B19"/>
    <w:rsid w:val="00F15ABD"/>
    <w:rsid w:val="00F2255D"/>
    <w:rsid w:val="00F23067"/>
    <w:rsid w:val="00F252FE"/>
    <w:rsid w:val="00F27B5C"/>
    <w:rsid w:val="00F30626"/>
    <w:rsid w:val="00F308E2"/>
    <w:rsid w:val="00F33F24"/>
    <w:rsid w:val="00F4743D"/>
    <w:rsid w:val="00F56B0C"/>
    <w:rsid w:val="00F636B6"/>
    <w:rsid w:val="00F6484C"/>
    <w:rsid w:val="00F718CA"/>
    <w:rsid w:val="00F830B1"/>
    <w:rsid w:val="00F84AC8"/>
    <w:rsid w:val="00F9135A"/>
    <w:rsid w:val="00F9406A"/>
    <w:rsid w:val="00F94E79"/>
    <w:rsid w:val="00FB47E3"/>
    <w:rsid w:val="00FB70E0"/>
    <w:rsid w:val="00FD3906"/>
    <w:rsid w:val="00FD3D25"/>
    <w:rsid w:val="00FD4B4D"/>
    <w:rsid w:val="00FE584C"/>
    <w:rsid w:val="00FF0476"/>
    <w:rsid w:val="00FF061E"/>
    <w:rsid w:val="00FF1351"/>
    <w:rsid w:val="00FF2537"/>
    <w:rsid w:val="00FF3360"/>
    <w:rsid w:val="00FF3D50"/>
    <w:rsid w:val="00FF5FA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AC9"/>
    <w:pPr>
      <w:jc w:val="both"/>
    </w:pPr>
    <w:rPr>
      <w:rFonts w:asciiTheme="minorHAnsi" w:eastAsia="MingLiU" w:hAnsiTheme="minorHAnsi"/>
    </w:rPr>
  </w:style>
  <w:style w:type="paragraph" w:styleId="Heading1">
    <w:name w:val="heading 1"/>
    <w:basedOn w:val="Normal"/>
    <w:next w:val="ssPara1"/>
    <w:link w:val="Heading1Char"/>
    <w:uiPriority w:val="19"/>
    <w:qFormat/>
    <w:rsid w:val="00C45AC9"/>
    <w:pPr>
      <w:keepNext/>
      <w:keepLines/>
      <w:numPr>
        <w:ilvl w:val="1"/>
        <w:numId w:val="8"/>
      </w:numPr>
      <w:spacing w:after="260"/>
      <w:outlineLvl w:val="0"/>
    </w:pPr>
    <w:rPr>
      <w:rFonts w:asciiTheme="majorHAnsi" w:hAnsiTheme="majorHAnsi"/>
      <w:b/>
      <w:bCs/>
      <w:kern w:val="32"/>
      <w:szCs w:val="28"/>
      <w:u w:val="single"/>
    </w:rPr>
  </w:style>
  <w:style w:type="paragraph" w:styleId="Heading2">
    <w:name w:val="heading 2"/>
    <w:basedOn w:val="Normal"/>
    <w:next w:val="ssPara2"/>
    <w:link w:val="Heading2Char"/>
    <w:uiPriority w:val="19"/>
    <w:qFormat/>
    <w:rsid w:val="00C45AC9"/>
    <w:pPr>
      <w:keepNext/>
      <w:keepLines/>
      <w:numPr>
        <w:ilvl w:val="2"/>
        <w:numId w:val="8"/>
      </w:numPr>
      <w:spacing w:after="260"/>
      <w:outlineLvl w:val="1"/>
    </w:pPr>
    <w:rPr>
      <w:rFonts w:asciiTheme="majorHAnsi" w:hAnsiTheme="majorHAnsi"/>
      <w:b/>
      <w:bCs/>
      <w:szCs w:val="26"/>
    </w:rPr>
  </w:style>
  <w:style w:type="paragraph" w:styleId="Heading3">
    <w:name w:val="heading 3"/>
    <w:basedOn w:val="Normal"/>
    <w:next w:val="ssPara3"/>
    <w:link w:val="Heading3Char"/>
    <w:uiPriority w:val="19"/>
    <w:qFormat/>
    <w:rsid w:val="00C45AC9"/>
    <w:pPr>
      <w:keepNext/>
      <w:keepLines/>
      <w:numPr>
        <w:ilvl w:val="3"/>
        <w:numId w:val="8"/>
      </w:numPr>
      <w:spacing w:after="260"/>
      <w:outlineLvl w:val="2"/>
    </w:pPr>
    <w:rPr>
      <w:rFonts w:asciiTheme="majorHAnsi" w:hAnsiTheme="majorHAnsi"/>
      <w:b/>
      <w:bCs/>
    </w:rPr>
  </w:style>
  <w:style w:type="paragraph" w:styleId="Heading4">
    <w:name w:val="heading 4"/>
    <w:basedOn w:val="Normal"/>
    <w:next w:val="ssPara4"/>
    <w:link w:val="Heading4Char"/>
    <w:uiPriority w:val="19"/>
    <w:qFormat/>
    <w:rsid w:val="00C45AC9"/>
    <w:pPr>
      <w:keepNext/>
      <w:keepLines/>
      <w:numPr>
        <w:ilvl w:val="4"/>
        <w:numId w:val="8"/>
      </w:numPr>
      <w:spacing w:after="260"/>
      <w:outlineLvl w:val="3"/>
    </w:pPr>
    <w:rPr>
      <w:rFonts w:asciiTheme="majorHAnsi" w:hAnsiTheme="majorHAnsi"/>
      <w:b/>
      <w:bCs/>
      <w:iCs/>
    </w:rPr>
  </w:style>
  <w:style w:type="paragraph" w:styleId="Heading5">
    <w:name w:val="heading 5"/>
    <w:basedOn w:val="Normal"/>
    <w:next w:val="ssPara5"/>
    <w:link w:val="Heading5Char"/>
    <w:uiPriority w:val="19"/>
    <w:qFormat/>
    <w:rsid w:val="00C45AC9"/>
    <w:pPr>
      <w:keepNext/>
      <w:keepLines/>
      <w:numPr>
        <w:ilvl w:val="5"/>
        <w:numId w:val="8"/>
      </w:numPr>
      <w:spacing w:after="260"/>
      <w:outlineLvl w:val="4"/>
    </w:pPr>
    <w:rPr>
      <w:rFonts w:asciiTheme="majorHAnsi" w:hAnsiTheme="majorHAnsi"/>
      <w:b/>
    </w:rPr>
  </w:style>
  <w:style w:type="paragraph" w:styleId="Heading6">
    <w:name w:val="heading 6"/>
    <w:basedOn w:val="Normal"/>
    <w:next w:val="ssPara6"/>
    <w:link w:val="Heading6Char"/>
    <w:uiPriority w:val="19"/>
    <w:qFormat/>
    <w:rsid w:val="00C45AC9"/>
    <w:pPr>
      <w:keepNext/>
      <w:keepLines/>
      <w:numPr>
        <w:ilvl w:val="6"/>
        <w:numId w:val="8"/>
      </w:numPr>
      <w:spacing w:after="260"/>
      <w:outlineLvl w:val="5"/>
    </w:pPr>
    <w:rPr>
      <w:rFonts w:asciiTheme="majorHAnsi" w:hAnsiTheme="majorHAns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9"/>
    <w:rsid w:val="00C45AC9"/>
    <w:rPr>
      <w:rFonts w:asciiTheme="majorHAnsi" w:eastAsia="MingLiU" w:hAnsiTheme="majorHAnsi"/>
      <w:b/>
      <w:bCs/>
      <w:kern w:val="32"/>
      <w:szCs w:val="28"/>
      <w:u w:val="single"/>
    </w:rPr>
  </w:style>
  <w:style w:type="character" w:customStyle="1" w:styleId="Heading2Char">
    <w:name w:val="Heading 2 Char"/>
    <w:link w:val="Heading2"/>
    <w:uiPriority w:val="19"/>
    <w:rsid w:val="00C45AC9"/>
    <w:rPr>
      <w:rFonts w:asciiTheme="majorHAnsi" w:eastAsia="MingLiU" w:hAnsiTheme="majorHAnsi"/>
      <w:b/>
      <w:bCs/>
      <w:szCs w:val="26"/>
    </w:rPr>
  </w:style>
  <w:style w:type="character" w:customStyle="1" w:styleId="Heading3Char">
    <w:name w:val="Heading 3 Char"/>
    <w:link w:val="Heading3"/>
    <w:uiPriority w:val="19"/>
    <w:rsid w:val="00C45AC9"/>
    <w:rPr>
      <w:rFonts w:asciiTheme="majorHAnsi" w:eastAsia="MingLiU" w:hAnsiTheme="majorHAnsi"/>
      <w:b/>
      <w:bCs/>
    </w:rPr>
  </w:style>
  <w:style w:type="paragraph" w:styleId="Title">
    <w:name w:val="Title"/>
    <w:basedOn w:val="Normal"/>
    <w:next w:val="Normal"/>
    <w:link w:val="TitleChar"/>
    <w:uiPriority w:val="10"/>
    <w:qFormat/>
    <w:rsid w:val="00455A1A"/>
    <w:pPr>
      <w:pBdr>
        <w:bottom w:val="single" w:sz="8" w:space="4" w:color="4F81BD"/>
      </w:pBdr>
      <w:spacing w:after="300"/>
      <w:contextualSpacing/>
    </w:pPr>
    <w:rPr>
      <w:rFonts w:ascii="Arial" w:eastAsia="Times New Roman" w:hAnsi="Arial"/>
      <w:color w:val="17365D"/>
      <w:spacing w:val="5"/>
      <w:kern w:val="28"/>
      <w:sz w:val="36"/>
      <w:szCs w:val="52"/>
    </w:rPr>
  </w:style>
  <w:style w:type="character" w:customStyle="1" w:styleId="TitleChar">
    <w:name w:val="Title Char"/>
    <w:link w:val="Title"/>
    <w:uiPriority w:val="10"/>
    <w:rsid w:val="00455A1A"/>
    <w:rPr>
      <w:rFonts w:ascii="Arial" w:eastAsia="Times New Roman" w:hAnsi="Arial" w:cs="Times New Roman"/>
      <w:color w:val="17365D"/>
      <w:spacing w:val="5"/>
      <w:kern w:val="28"/>
      <w:sz w:val="36"/>
      <w:szCs w:val="52"/>
    </w:rPr>
  </w:style>
  <w:style w:type="paragraph" w:styleId="NoSpacing">
    <w:name w:val="No Spacing"/>
    <w:link w:val="NoSpacingChar"/>
    <w:uiPriority w:val="1"/>
    <w:qFormat/>
    <w:rsid w:val="00C45AC9"/>
    <w:rPr>
      <w:rFonts w:asciiTheme="minorHAnsi" w:eastAsia="MingLiU" w:hAnsiTheme="minorHAnsi"/>
      <w:lang w:eastAsia="ja-JP"/>
    </w:rPr>
  </w:style>
  <w:style w:type="character" w:customStyle="1" w:styleId="NoSpacingChar">
    <w:name w:val="No Spacing Char"/>
    <w:link w:val="NoSpacing"/>
    <w:uiPriority w:val="1"/>
    <w:rsid w:val="00C45AC9"/>
    <w:rPr>
      <w:rFonts w:asciiTheme="minorHAnsi" w:eastAsia="MingLiU" w:hAnsiTheme="minorHAnsi"/>
      <w:lang w:eastAsia="ja-JP"/>
    </w:rPr>
  </w:style>
  <w:style w:type="paragraph" w:styleId="BodyText">
    <w:name w:val="Body Text"/>
    <w:basedOn w:val="Normal"/>
    <w:link w:val="BodyTextChar"/>
    <w:rsid w:val="00C45AC9"/>
    <w:pPr>
      <w:spacing w:after="120"/>
    </w:pPr>
  </w:style>
  <w:style w:type="character" w:customStyle="1" w:styleId="BodyTextChar">
    <w:name w:val="Body Text Char"/>
    <w:basedOn w:val="DefaultParagraphFont"/>
    <w:link w:val="BodyText"/>
    <w:rsid w:val="00C45AC9"/>
    <w:rPr>
      <w:rFonts w:asciiTheme="minorHAnsi" w:eastAsia="MingLiU" w:hAnsiTheme="minorHAnsi"/>
    </w:rPr>
  </w:style>
  <w:style w:type="table" w:customStyle="1" w:styleId="Training">
    <w:name w:val="Training"/>
    <w:basedOn w:val="TableNormal"/>
    <w:uiPriority w:val="99"/>
    <w:rsid w:val="00455A1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Arial" w:hAnsi="Arial"/>
      </w:rPr>
    </w:tblStylePr>
  </w:style>
  <w:style w:type="paragraph" w:styleId="Footer">
    <w:name w:val="footer"/>
    <w:basedOn w:val="Normal"/>
    <w:link w:val="FooterChar"/>
    <w:rsid w:val="002145F3"/>
    <w:pPr>
      <w:tabs>
        <w:tab w:val="center" w:pos="4763"/>
        <w:tab w:val="right" w:pos="9497"/>
      </w:tabs>
      <w:spacing w:line="260" w:lineRule="atLeast"/>
    </w:pPr>
    <w:rPr>
      <w:rFonts w:ascii="Arial" w:eastAsia="SimSun" w:hAnsi="Arial"/>
      <w:sz w:val="12"/>
      <w:szCs w:val="20"/>
      <w:lang w:eastAsia="zh-CN"/>
    </w:rPr>
  </w:style>
  <w:style w:type="character" w:customStyle="1" w:styleId="FooterChar">
    <w:name w:val="Footer Char"/>
    <w:link w:val="Footer"/>
    <w:rsid w:val="002145F3"/>
    <w:rPr>
      <w:rFonts w:ascii="Arial" w:eastAsia="SimSun" w:hAnsi="Arial" w:cs="Times New Roman"/>
      <w:sz w:val="12"/>
      <w:szCs w:val="20"/>
      <w:lang w:eastAsia="zh-CN"/>
    </w:rPr>
  </w:style>
  <w:style w:type="character" w:styleId="PageNumber">
    <w:name w:val="page number"/>
    <w:rsid w:val="002145F3"/>
    <w:rPr>
      <w:rFonts w:ascii="Arial" w:hAnsi="Arial"/>
      <w:sz w:val="20"/>
    </w:rPr>
  </w:style>
  <w:style w:type="paragraph" w:customStyle="1" w:styleId="ssPara1">
    <w:name w:val="ssPara1"/>
    <w:basedOn w:val="Normal"/>
    <w:uiPriority w:val="34"/>
    <w:qFormat/>
    <w:rsid w:val="00C45AC9"/>
    <w:pPr>
      <w:spacing w:after="260"/>
    </w:pPr>
  </w:style>
  <w:style w:type="paragraph" w:styleId="Header">
    <w:name w:val="header"/>
    <w:basedOn w:val="Normal"/>
    <w:link w:val="HeaderChar"/>
    <w:uiPriority w:val="99"/>
    <w:unhideWhenUsed/>
    <w:rsid w:val="002145F3"/>
    <w:pPr>
      <w:tabs>
        <w:tab w:val="center" w:pos="4513"/>
        <w:tab w:val="right" w:pos="9026"/>
      </w:tabs>
    </w:pPr>
  </w:style>
  <w:style w:type="character" w:customStyle="1" w:styleId="HeaderChar">
    <w:name w:val="Header Char"/>
    <w:basedOn w:val="DefaultParagraphFont"/>
    <w:link w:val="Header"/>
    <w:uiPriority w:val="99"/>
    <w:rsid w:val="002145F3"/>
  </w:style>
  <w:style w:type="character" w:customStyle="1" w:styleId="Heading4Char">
    <w:name w:val="Heading 4 Char"/>
    <w:link w:val="Heading4"/>
    <w:uiPriority w:val="19"/>
    <w:rsid w:val="00C45AC9"/>
    <w:rPr>
      <w:rFonts w:asciiTheme="majorHAnsi" w:eastAsia="MingLiU" w:hAnsiTheme="majorHAnsi"/>
      <w:b/>
      <w:bCs/>
      <w:iCs/>
    </w:rPr>
  </w:style>
  <w:style w:type="character" w:customStyle="1" w:styleId="Heading5Char">
    <w:name w:val="Heading 5 Char"/>
    <w:link w:val="Heading5"/>
    <w:uiPriority w:val="19"/>
    <w:rsid w:val="00C45AC9"/>
    <w:rPr>
      <w:rFonts w:asciiTheme="majorHAnsi" w:eastAsia="MingLiU" w:hAnsiTheme="majorHAnsi"/>
      <w:b/>
    </w:rPr>
  </w:style>
  <w:style w:type="character" w:customStyle="1" w:styleId="Heading6Char">
    <w:name w:val="Heading 6 Char"/>
    <w:link w:val="Heading6"/>
    <w:uiPriority w:val="19"/>
    <w:rsid w:val="00C45AC9"/>
    <w:rPr>
      <w:rFonts w:asciiTheme="majorHAnsi" w:eastAsia="MingLiU" w:hAnsiTheme="majorHAnsi"/>
      <w:b/>
      <w:iCs/>
    </w:rPr>
  </w:style>
  <w:style w:type="numbering" w:customStyle="1" w:styleId="ListHeadings">
    <w:name w:val="List Headings"/>
    <w:uiPriority w:val="99"/>
    <w:rsid w:val="00732881"/>
    <w:pPr>
      <w:numPr>
        <w:numId w:val="3"/>
      </w:numPr>
    </w:pPr>
  </w:style>
  <w:style w:type="paragraph" w:customStyle="1" w:styleId="ssNoHeading1">
    <w:name w:val="ssNoHeading1"/>
    <w:basedOn w:val="Heading1"/>
    <w:uiPriority w:val="29"/>
    <w:qFormat/>
    <w:rsid w:val="00465953"/>
    <w:pPr>
      <w:keepNext w:val="0"/>
      <w:keepLines w:val="0"/>
    </w:pPr>
    <w:rPr>
      <w:b w:val="0"/>
      <w:u w:val="none"/>
    </w:rPr>
  </w:style>
  <w:style w:type="paragraph" w:customStyle="1" w:styleId="ssNoHeading2">
    <w:name w:val="ssNoHeading2"/>
    <w:basedOn w:val="Heading2"/>
    <w:uiPriority w:val="29"/>
    <w:qFormat/>
    <w:rsid w:val="008C0FC8"/>
    <w:pPr>
      <w:keepNext w:val="0"/>
      <w:keepLines w:val="0"/>
    </w:pPr>
    <w:rPr>
      <w:b w:val="0"/>
    </w:rPr>
  </w:style>
  <w:style w:type="paragraph" w:customStyle="1" w:styleId="ssNoHeading3">
    <w:name w:val="ssNoHeading3"/>
    <w:basedOn w:val="Heading3"/>
    <w:uiPriority w:val="29"/>
    <w:qFormat/>
    <w:rsid w:val="008C0FC8"/>
    <w:pPr>
      <w:keepNext w:val="0"/>
      <w:keepLines w:val="0"/>
    </w:pPr>
    <w:rPr>
      <w:b w:val="0"/>
    </w:rPr>
  </w:style>
  <w:style w:type="paragraph" w:customStyle="1" w:styleId="ssNoHeading4">
    <w:name w:val="ssNoHeading4"/>
    <w:basedOn w:val="Heading4"/>
    <w:uiPriority w:val="29"/>
    <w:qFormat/>
    <w:rsid w:val="008C0FC8"/>
    <w:pPr>
      <w:keepNext w:val="0"/>
      <w:keepLines w:val="0"/>
    </w:pPr>
    <w:rPr>
      <w:b w:val="0"/>
    </w:rPr>
  </w:style>
  <w:style w:type="paragraph" w:customStyle="1" w:styleId="ssNoHeading5">
    <w:name w:val="ssNoHeading5"/>
    <w:basedOn w:val="Heading5"/>
    <w:uiPriority w:val="29"/>
    <w:qFormat/>
    <w:rsid w:val="008C0FC8"/>
    <w:pPr>
      <w:keepNext w:val="0"/>
      <w:keepLines w:val="0"/>
    </w:pPr>
    <w:rPr>
      <w:b w:val="0"/>
    </w:rPr>
  </w:style>
  <w:style w:type="paragraph" w:customStyle="1" w:styleId="ssNoHeading6">
    <w:name w:val="ssNoHeading6"/>
    <w:basedOn w:val="Heading6"/>
    <w:uiPriority w:val="29"/>
    <w:qFormat/>
    <w:rsid w:val="008C0FC8"/>
    <w:pPr>
      <w:keepNext w:val="0"/>
      <w:keepLines w:val="0"/>
    </w:pPr>
    <w:rPr>
      <w:b w:val="0"/>
    </w:rPr>
  </w:style>
  <w:style w:type="paragraph" w:customStyle="1" w:styleId="ssPara2">
    <w:name w:val="ssPara2"/>
    <w:basedOn w:val="Normal"/>
    <w:uiPriority w:val="34"/>
    <w:qFormat/>
    <w:rsid w:val="00C45AC9"/>
    <w:pPr>
      <w:spacing w:after="260"/>
      <w:ind w:left="709"/>
    </w:pPr>
  </w:style>
  <w:style w:type="paragraph" w:customStyle="1" w:styleId="ssPara3">
    <w:name w:val="ssPara3"/>
    <w:basedOn w:val="Normal"/>
    <w:uiPriority w:val="34"/>
    <w:qFormat/>
    <w:rsid w:val="00C45AC9"/>
    <w:pPr>
      <w:spacing w:after="260"/>
      <w:ind w:left="1418"/>
    </w:pPr>
  </w:style>
  <w:style w:type="paragraph" w:customStyle="1" w:styleId="ssPara4">
    <w:name w:val="ssPara4"/>
    <w:basedOn w:val="Normal"/>
    <w:uiPriority w:val="34"/>
    <w:qFormat/>
    <w:rsid w:val="00C45AC9"/>
    <w:pPr>
      <w:spacing w:after="260"/>
      <w:ind w:left="1985"/>
    </w:pPr>
  </w:style>
  <w:style w:type="paragraph" w:customStyle="1" w:styleId="ssPara5">
    <w:name w:val="ssPara5"/>
    <w:basedOn w:val="Normal"/>
    <w:uiPriority w:val="34"/>
    <w:qFormat/>
    <w:rsid w:val="00C45AC9"/>
    <w:pPr>
      <w:spacing w:after="260"/>
      <w:ind w:left="2552"/>
    </w:pPr>
  </w:style>
  <w:style w:type="paragraph" w:customStyle="1" w:styleId="ssPara6">
    <w:name w:val="ssPara6"/>
    <w:basedOn w:val="Normal"/>
    <w:uiPriority w:val="34"/>
    <w:qFormat/>
    <w:rsid w:val="00C45AC9"/>
    <w:pPr>
      <w:spacing w:after="260"/>
      <w:ind w:left="3119"/>
    </w:pPr>
  </w:style>
  <w:style w:type="paragraph" w:customStyle="1" w:styleId="ssqAppendix">
    <w:name w:val="ssqAppendix"/>
    <w:basedOn w:val="ssPara1"/>
    <w:next w:val="ssPara1"/>
    <w:uiPriority w:val="39"/>
    <w:qFormat/>
    <w:rsid w:val="00614675"/>
    <w:pPr>
      <w:pageBreakBefore/>
      <w:numPr>
        <w:ilvl w:val="1"/>
        <w:numId w:val="21"/>
      </w:numPr>
      <w:jc w:val="center"/>
    </w:pPr>
    <w:rPr>
      <w:rFonts w:asciiTheme="majorHAnsi" w:hAnsiTheme="majorHAnsi" w:cstheme="minorBidi"/>
      <w:b/>
      <w:caps/>
      <w:lang w:eastAsia="en-US"/>
    </w:rPr>
  </w:style>
  <w:style w:type="paragraph" w:customStyle="1" w:styleId="ssqExhibit">
    <w:name w:val="ssqExhibit"/>
    <w:basedOn w:val="ssPara1"/>
    <w:next w:val="ssPara1"/>
    <w:uiPriority w:val="41"/>
    <w:qFormat/>
    <w:rsid w:val="00851935"/>
    <w:pPr>
      <w:pageBreakBefore/>
      <w:numPr>
        <w:ilvl w:val="1"/>
        <w:numId w:val="22"/>
      </w:numPr>
      <w:jc w:val="center"/>
    </w:pPr>
    <w:rPr>
      <w:rFonts w:asciiTheme="majorHAnsi" w:hAnsiTheme="majorHAnsi" w:cstheme="minorBidi"/>
      <w:b/>
      <w:caps/>
      <w:lang w:eastAsia="en-US"/>
    </w:rPr>
  </w:style>
  <w:style w:type="paragraph" w:customStyle="1" w:styleId="ssqPart">
    <w:name w:val="ssqPart"/>
    <w:basedOn w:val="ssPara1"/>
    <w:next w:val="ssPara1"/>
    <w:uiPriority w:val="43"/>
    <w:qFormat/>
    <w:rsid w:val="00614675"/>
    <w:pPr>
      <w:numPr>
        <w:ilvl w:val="1"/>
        <w:numId w:val="23"/>
      </w:numPr>
      <w:jc w:val="center"/>
    </w:pPr>
    <w:rPr>
      <w:rFonts w:asciiTheme="majorHAnsi" w:hAnsiTheme="majorHAnsi" w:cstheme="minorBidi"/>
      <w:b/>
      <w:caps/>
      <w:lang w:eastAsia="en-US"/>
    </w:rPr>
  </w:style>
  <w:style w:type="paragraph" w:customStyle="1" w:styleId="ssqSchedule">
    <w:name w:val="ssqSchedule"/>
    <w:basedOn w:val="ssPara1"/>
    <w:next w:val="ssPara1"/>
    <w:uiPriority w:val="45"/>
    <w:qFormat/>
    <w:rsid w:val="00C45AC9"/>
    <w:pPr>
      <w:pageBreakBefore/>
      <w:numPr>
        <w:ilvl w:val="1"/>
        <w:numId w:val="10"/>
      </w:numPr>
      <w:jc w:val="center"/>
    </w:pPr>
    <w:rPr>
      <w:rFonts w:asciiTheme="majorHAnsi" w:hAnsiTheme="majorHAnsi" w:cstheme="minorBidi"/>
      <w:b/>
      <w:caps/>
      <w:lang w:eastAsia="en-US"/>
    </w:rPr>
  </w:style>
  <w:style w:type="paragraph" w:customStyle="1" w:styleId="ssqToCAdd">
    <w:name w:val="ssqToCAdd"/>
    <w:basedOn w:val="ssPara1"/>
    <w:next w:val="ssPara1"/>
    <w:uiPriority w:val="49"/>
    <w:qFormat/>
    <w:rsid w:val="008C0FC8"/>
  </w:style>
  <w:style w:type="paragraph" w:customStyle="1" w:styleId="ssRestartAppendix">
    <w:name w:val="ssRestartAppendix"/>
    <w:basedOn w:val="Normal"/>
    <w:next w:val="ssPara1"/>
    <w:uiPriority w:val="40"/>
    <w:rsid w:val="00614675"/>
    <w:pPr>
      <w:numPr>
        <w:numId w:val="21"/>
      </w:numPr>
    </w:pPr>
    <w:rPr>
      <w:rFonts w:eastAsiaTheme="minorHAnsi" w:cstheme="minorBidi"/>
      <w:color w:val="FF0000"/>
      <w:lang w:eastAsia="en-US"/>
    </w:rPr>
  </w:style>
  <w:style w:type="paragraph" w:customStyle="1" w:styleId="ssRestartExhibit">
    <w:name w:val="ssRestartExhibit"/>
    <w:basedOn w:val="Normal"/>
    <w:next w:val="ssPara1"/>
    <w:uiPriority w:val="42"/>
    <w:rsid w:val="00614675"/>
    <w:pPr>
      <w:numPr>
        <w:numId w:val="22"/>
      </w:numPr>
    </w:pPr>
    <w:rPr>
      <w:rFonts w:eastAsiaTheme="minorHAnsi" w:cstheme="minorBidi"/>
      <w:color w:val="FF0000"/>
      <w:lang w:eastAsia="en-US"/>
    </w:rPr>
  </w:style>
  <w:style w:type="paragraph" w:customStyle="1" w:styleId="ssRestartNumber">
    <w:name w:val="ssRestartNumber"/>
    <w:basedOn w:val="Normal"/>
    <w:next w:val="ssPara1"/>
    <w:uiPriority w:val="38"/>
    <w:rsid w:val="00732881"/>
    <w:pPr>
      <w:numPr>
        <w:numId w:val="8"/>
      </w:numPr>
    </w:pPr>
    <w:rPr>
      <w:rFonts w:eastAsia="Times New Roman"/>
      <w:color w:val="FF0000"/>
    </w:rPr>
  </w:style>
  <w:style w:type="paragraph" w:customStyle="1" w:styleId="ssRestartPart">
    <w:name w:val="ssRestartPart"/>
    <w:basedOn w:val="Normal"/>
    <w:next w:val="ssPara1"/>
    <w:uiPriority w:val="44"/>
    <w:rsid w:val="00614675"/>
    <w:pPr>
      <w:numPr>
        <w:numId w:val="23"/>
      </w:numPr>
    </w:pPr>
    <w:rPr>
      <w:rFonts w:eastAsiaTheme="minorHAnsi" w:cstheme="minorBidi"/>
      <w:color w:val="FF0000"/>
      <w:lang w:eastAsia="en-US"/>
    </w:rPr>
  </w:style>
  <w:style w:type="paragraph" w:customStyle="1" w:styleId="ssRestartSchedule">
    <w:name w:val="ssRestartSchedule"/>
    <w:basedOn w:val="Normal"/>
    <w:next w:val="ssPara1"/>
    <w:uiPriority w:val="46"/>
    <w:rsid w:val="00732881"/>
    <w:pPr>
      <w:numPr>
        <w:numId w:val="10"/>
      </w:numPr>
    </w:pPr>
    <w:rPr>
      <w:rFonts w:eastAsiaTheme="minorHAnsi" w:cstheme="minorBidi"/>
      <w:color w:val="FF0000"/>
      <w:lang w:eastAsia="en-US"/>
    </w:rPr>
  </w:style>
  <w:style w:type="numbering" w:customStyle="1" w:styleId="AppendixNumbering">
    <w:name w:val="Appendix Numbering"/>
    <w:uiPriority w:val="99"/>
    <w:rsid w:val="00614675"/>
    <w:pPr>
      <w:numPr>
        <w:numId w:val="1"/>
      </w:numPr>
    </w:pPr>
  </w:style>
  <w:style w:type="numbering" w:customStyle="1" w:styleId="ExhibitNumbering">
    <w:name w:val="Exhibit Numbering"/>
    <w:uiPriority w:val="99"/>
    <w:rsid w:val="00614675"/>
    <w:pPr>
      <w:numPr>
        <w:numId w:val="2"/>
      </w:numPr>
    </w:pPr>
  </w:style>
  <w:style w:type="numbering" w:customStyle="1" w:styleId="PartNumbering">
    <w:name w:val="Part Numbering"/>
    <w:uiPriority w:val="99"/>
    <w:rsid w:val="00614675"/>
    <w:pPr>
      <w:numPr>
        <w:numId w:val="4"/>
      </w:numPr>
    </w:pPr>
  </w:style>
  <w:style w:type="numbering" w:customStyle="1" w:styleId="ScheduleNumbering">
    <w:name w:val="Schedule Numbering"/>
    <w:uiPriority w:val="99"/>
    <w:rsid w:val="00732881"/>
    <w:pPr>
      <w:numPr>
        <w:numId w:val="5"/>
      </w:numPr>
    </w:pPr>
  </w:style>
  <w:style w:type="paragraph" w:styleId="TOC1">
    <w:name w:val="toc 1"/>
    <w:basedOn w:val="Normal"/>
    <w:next w:val="Normal"/>
    <w:autoRedefine/>
    <w:rsid w:val="00FF3360"/>
    <w:pPr>
      <w:tabs>
        <w:tab w:val="right" w:leader="dot" w:pos="9497"/>
      </w:tabs>
      <w:spacing w:before="260"/>
      <w:ind w:left="709" w:right="595" w:hanging="709"/>
    </w:pPr>
    <w:rPr>
      <w:rFonts w:eastAsia="Times New Roman"/>
    </w:rPr>
  </w:style>
  <w:style w:type="paragraph" w:styleId="TOCHeading">
    <w:name w:val="TOC Heading"/>
    <w:basedOn w:val="Heading1"/>
    <w:next w:val="Normal"/>
    <w:uiPriority w:val="39"/>
    <w:semiHidden/>
    <w:unhideWhenUsed/>
    <w:qFormat/>
    <w:rsid w:val="009D4EB0"/>
    <w:pPr>
      <w:numPr>
        <w:ilvl w:val="0"/>
        <w:numId w:val="0"/>
      </w:numPr>
      <w:spacing w:before="480" w:after="0" w:line="276" w:lineRule="auto"/>
      <w:jc w:val="left"/>
      <w:outlineLvl w:val="9"/>
    </w:pPr>
    <w:rPr>
      <w:rFonts w:eastAsiaTheme="majorEastAsia" w:cstheme="majorBidi"/>
      <w:color w:val="365F91" w:themeColor="accent1" w:themeShade="BF"/>
      <w:kern w:val="0"/>
      <w:sz w:val="28"/>
      <w:u w:val="none"/>
      <w:lang w:eastAsia="ja-JP"/>
    </w:rPr>
  </w:style>
  <w:style w:type="character" w:styleId="Hyperlink">
    <w:name w:val="Hyperlink"/>
    <w:basedOn w:val="DefaultParagraphFont"/>
    <w:uiPriority w:val="99"/>
    <w:unhideWhenUsed/>
    <w:rsid w:val="009D4EB0"/>
    <w:rPr>
      <w:color w:val="0000FF" w:themeColor="hyperlink"/>
      <w:u w:val="single"/>
    </w:rPr>
  </w:style>
  <w:style w:type="paragraph" w:styleId="BalloonText">
    <w:name w:val="Balloon Text"/>
    <w:basedOn w:val="Normal"/>
    <w:link w:val="BalloonTextChar"/>
    <w:uiPriority w:val="99"/>
    <w:semiHidden/>
    <w:unhideWhenUsed/>
    <w:rsid w:val="009D4EB0"/>
    <w:rPr>
      <w:rFonts w:ascii="Tahoma" w:hAnsi="Tahoma" w:cs="Tahoma"/>
      <w:sz w:val="16"/>
      <w:szCs w:val="16"/>
    </w:rPr>
  </w:style>
  <w:style w:type="character" w:customStyle="1" w:styleId="BalloonTextChar">
    <w:name w:val="Balloon Text Char"/>
    <w:basedOn w:val="DefaultParagraphFont"/>
    <w:link w:val="BalloonText"/>
    <w:uiPriority w:val="99"/>
    <w:semiHidden/>
    <w:rsid w:val="009D4EB0"/>
    <w:rPr>
      <w:rFonts w:ascii="Tahoma" w:hAnsi="Tahoma" w:cs="Tahoma"/>
      <w:sz w:val="16"/>
      <w:szCs w:val="16"/>
    </w:rPr>
  </w:style>
  <w:style w:type="paragraph" w:styleId="Index1">
    <w:name w:val="index 1"/>
    <w:basedOn w:val="Normal"/>
    <w:next w:val="Normal"/>
    <w:autoRedefine/>
    <w:rsid w:val="00732881"/>
    <w:pPr>
      <w:spacing w:after="120"/>
      <w:ind w:left="221" w:hanging="221"/>
    </w:pPr>
    <w:rPr>
      <w:rFonts w:eastAsia="Times New Roman"/>
    </w:rPr>
  </w:style>
  <w:style w:type="paragraph" w:styleId="IndexHeading">
    <w:name w:val="index heading"/>
    <w:basedOn w:val="Normal"/>
    <w:next w:val="Index1"/>
    <w:rsid w:val="00732881"/>
    <w:pPr>
      <w:jc w:val="left"/>
    </w:pPr>
    <w:rPr>
      <w:rFonts w:asciiTheme="majorHAnsi" w:eastAsiaTheme="majorEastAsia" w:hAnsiTheme="majorHAnsi" w:cstheme="majorBidi"/>
      <w:b/>
      <w:bCs/>
    </w:rPr>
  </w:style>
  <w:style w:type="paragraph" w:styleId="Index2">
    <w:name w:val="index 2"/>
    <w:basedOn w:val="Normal"/>
    <w:next w:val="Normal"/>
    <w:autoRedefine/>
    <w:rsid w:val="00732881"/>
    <w:pPr>
      <w:spacing w:after="120"/>
      <w:ind w:left="442" w:hanging="221"/>
    </w:pPr>
    <w:rPr>
      <w:rFonts w:eastAsia="Times New Roman"/>
    </w:rPr>
  </w:style>
  <w:style w:type="paragraph" w:styleId="TOC2">
    <w:name w:val="toc 2"/>
    <w:basedOn w:val="Normal"/>
    <w:next w:val="Normal"/>
    <w:autoRedefine/>
    <w:semiHidden/>
    <w:rsid w:val="00FF3360"/>
    <w:pPr>
      <w:tabs>
        <w:tab w:val="right" w:leader="dot" w:pos="9497"/>
      </w:tabs>
      <w:spacing w:before="260"/>
      <w:ind w:left="1418" w:right="595" w:hanging="709"/>
    </w:pPr>
    <w:rPr>
      <w:rFonts w:eastAsia="Times New Roman"/>
    </w:rPr>
  </w:style>
  <w:style w:type="paragraph" w:styleId="TOC3">
    <w:name w:val="toc 3"/>
    <w:basedOn w:val="Normal"/>
    <w:next w:val="Normal"/>
    <w:autoRedefine/>
    <w:semiHidden/>
    <w:rsid w:val="00FF3360"/>
    <w:pPr>
      <w:tabs>
        <w:tab w:val="right" w:leader="dot" w:pos="9497"/>
      </w:tabs>
      <w:spacing w:before="260"/>
      <w:ind w:left="2127" w:right="595" w:hanging="709"/>
    </w:pPr>
    <w:rPr>
      <w:rFonts w:eastAsia="Times New Roman"/>
    </w:rPr>
  </w:style>
  <w:style w:type="paragraph" w:styleId="TOC4">
    <w:name w:val="toc 4"/>
    <w:basedOn w:val="Normal"/>
    <w:next w:val="Normal"/>
    <w:autoRedefine/>
    <w:semiHidden/>
    <w:rsid w:val="00FF3360"/>
    <w:pPr>
      <w:tabs>
        <w:tab w:val="right" w:leader="dot" w:pos="9497"/>
      </w:tabs>
      <w:spacing w:before="260"/>
      <w:ind w:left="2694" w:right="595" w:hanging="709"/>
    </w:pPr>
    <w:rPr>
      <w:rFonts w:eastAsia="Times New Roman"/>
    </w:rPr>
  </w:style>
  <w:style w:type="table" w:styleId="TableGrid">
    <w:name w:val="Table Grid"/>
    <w:basedOn w:val="TableNormal"/>
    <w:rsid w:val="00732881"/>
    <w:rPr>
      <w:rFonts w:eastAsia="SimSun"/>
      <w:szCs w:val="20"/>
    </w:rPr>
    <w:tblPr/>
  </w:style>
  <w:style w:type="paragraph" w:styleId="Index3">
    <w:name w:val="index 3"/>
    <w:basedOn w:val="Normal"/>
    <w:next w:val="Normal"/>
    <w:autoRedefine/>
    <w:semiHidden/>
    <w:rsid w:val="00732881"/>
    <w:pPr>
      <w:spacing w:after="120"/>
      <w:ind w:left="663" w:hanging="221"/>
    </w:pPr>
    <w:rPr>
      <w:rFonts w:eastAsia="Times New Roman"/>
    </w:rPr>
  </w:style>
  <w:style w:type="paragraph" w:styleId="Index4">
    <w:name w:val="index 4"/>
    <w:basedOn w:val="Normal"/>
    <w:next w:val="Normal"/>
    <w:autoRedefine/>
    <w:semiHidden/>
    <w:rsid w:val="00732881"/>
    <w:pPr>
      <w:spacing w:after="120"/>
      <w:ind w:left="879" w:hanging="221"/>
    </w:pPr>
    <w:rPr>
      <w:rFonts w:eastAsia="Times New Roman"/>
    </w:rPr>
  </w:style>
  <w:style w:type="paragraph" w:styleId="Index5">
    <w:name w:val="index 5"/>
    <w:basedOn w:val="Normal"/>
    <w:next w:val="Normal"/>
    <w:autoRedefine/>
    <w:semiHidden/>
    <w:rsid w:val="00732881"/>
    <w:pPr>
      <w:spacing w:after="120"/>
      <w:ind w:left="1100" w:hanging="221"/>
    </w:pPr>
    <w:rPr>
      <w:rFonts w:eastAsia="Times New Roman"/>
    </w:rPr>
  </w:style>
  <w:style w:type="paragraph" w:styleId="Index6">
    <w:name w:val="index 6"/>
    <w:basedOn w:val="Normal"/>
    <w:next w:val="Normal"/>
    <w:autoRedefine/>
    <w:semiHidden/>
    <w:rsid w:val="00732881"/>
    <w:pPr>
      <w:spacing w:after="120"/>
      <w:ind w:left="1321" w:hanging="221"/>
    </w:pPr>
    <w:rPr>
      <w:rFonts w:eastAsia="Times New Roman"/>
    </w:rPr>
  </w:style>
  <w:style w:type="paragraph" w:styleId="Index7">
    <w:name w:val="index 7"/>
    <w:basedOn w:val="Normal"/>
    <w:next w:val="Normal"/>
    <w:autoRedefine/>
    <w:semiHidden/>
    <w:rsid w:val="00732881"/>
    <w:pPr>
      <w:spacing w:after="120"/>
      <w:ind w:left="1542" w:hanging="221"/>
    </w:pPr>
    <w:rPr>
      <w:rFonts w:eastAsia="Times New Roman"/>
    </w:rPr>
  </w:style>
  <w:style w:type="paragraph" w:styleId="Index8">
    <w:name w:val="index 8"/>
    <w:basedOn w:val="Normal"/>
    <w:next w:val="Normal"/>
    <w:autoRedefine/>
    <w:semiHidden/>
    <w:rsid w:val="00732881"/>
    <w:pPr>
      <w:spacing w:after="120"/>
      <w:ind w:left="1763" w:hanging="221"/>
    </w:pPr>
    <w:rPr>
      <w:rFonts w:eastAsia="Times New Roman"/>
    </w:rPr>
  </w:style>
  <w:style w:type="paragraph" w:styleId="Index9">
    <w:name w:val="index 9"/>
    <w:basedOn w:val="Normal"/>
    <w:next w:val="Normal"/>
    <w:autoRedefine/>
    <w:semiHidden/>
    <w:rsid w:val="00732881"/>
    <w:pPr>
      <w:spacing w:after="120"/>
      <w:ind w:left="1979" w:hanging="221"/>
    </w:pPr>
    <w:rPr>
      <w:rFonts w:eastAsia="Times New Roman"/>
    </w:rPr>
  </w:style>
  <w:style w:type="paragraph" w:styleId="EnvelopeAddress">
    <w:name w:val="envelope address"/>
    <w:basedOn w:val="Normal"/>
    <w:uiPriority w:val="99"/>
    <w:semiHidden/>
    <w:unhideWhenUsed/>
    <w:rsid w:val="00C45AC9"/>
    <w:pPr>
      <w:framePr w:w="7920" w:h="1980" w:hRule="exact" w:hSpace="180" w:wrap="auto" w:hAnchor="page" w:xAlign="center" w:yAlign="bottom"/>
      <w:ind w:left="2880"/>
    </w:pPr>
    <w:rPr>
      <w:rFonts w:asciiTheme="majorHAnsi" w:hAnsiTheme="majorHAnsi" w:cstheme="majorBidi"/>
      <w:sz w:val="24"/>
      <w:szCs w:val="24"/>
    </w:rPr>
  </w:style>
  <w:style w:type="paragraph" w:customStyle="1" w:styleId="Default">
    <w:name w:val="Default"/>
    <w:rsid w:val="00064251"/>
    <w:pPr>
      <w:autoSpaceDE w:val="0"/>
      <w:autoSpaceDN w:val="0"/>
      <w:adjustRightInd w:val="0"/>
    </w:pPr>
    <w:rPr>
      <w:rFonts w:ascii="Calibri" w:hAnsi="Calibri" w:cs="Calibri"/>
      <w:color w:val="000000"/>
      <w:sz w:val="24"/>
      <w:szCs w:val="24"/>
    </w:rPr>
  </w:style>
  <w:style w:type="paragraph" w:customStyle="1" w:styleId="CM1">
    <w:name w:val="CM1"/>
    <w:basedOn w:val="Default"/>
    <w:next w:val="Default"/>
    <w:uiPriority w:val="99"/>
    <w:rsid w:val="00F308E2"/>
    <w:rPr>
      <w:rFonts w:ascii="EUAlbertina" w:hAnsi="EUAlbertina" w:cs="Times New Roman"/>
      <w:color w:val="auto"/>
    </w:rPr>
  </w:style>
  <w:style w:type="paragraph" w:customStyle="1" w:styleId="CM3">
    <w:name w:val="CM3"/>
    <w:basedOn w:val="Default"/>
    <w:next w:val="Default"/>
    <w:uiPriority w:val="99"/>
    <w:rsid w:val="00F308E2"/>
    <w:rPr>
      <w:rFonts w:ascii="EUAlbertina" w:hAnsi="EUAlbertina"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AC9"/>
    <w:pPr>
      <w:jc w:val="both"/>
    </w:pPr>
    <w:rPr>
      <w:rFonts w:asciiTheme="minorHAnsi" w:eastAsia="MingLiU" w:hAnsiTheme="minorHAnsi"/>
    </w:rPr>
  </w:style>
  <w:style w:type="paragraph" w:styleId="Heading1">
    <w:name w:val="heading 1"/>
    <w:basedOn w:val="Normal"/>
    <w:next w:val="ssPara1"/>
    <w:link w:val="Heading1Char"/>
    <w:uiPriority w:val="19"/>
    <w:qFormat/>
    <w:rsid w:val="00C45AC9"/>
    <w:pPr>
      <w:keepNext/>
      <w:keepLines/>
      <w:numPr>
        <w:ilvl w:val="1"/>
        <w:numId w:val="8"/>
      </w:numPr>
      <w:spacing w:after="260"/>
      <w:outlineLvl w:val="0"/>
    </w:pPr>
    <w:rPr>
      <w:rFonts w:asciiTheme="majorHAnsi" w:hAnsiTheme="majorHAnsi"/>
      <w:b/>
      <w:bCs/>
      <w:kern w:val="32"/>
      <w:szCs w:val="28"/>
      <w:u w:val="single"/>
    </w:rPr>
  </w:style>
  <w:style w:type="paragraph" w:styleId="Heading2">
    <w:name w:val="heading 2"/>
    <w:basedOn w:val="Normal"/>
    <w:next w:val="ssPara2"/>
    <w:link w:val="Heading2Char"/>
    <w:uiPriority w:val="19"/>
    <w:qFormat/>
    <w:rsid w:val="00C45AC9"/>
    <w:pPr>
      <w:keepNext/>
      <w:keepLines/>
      <w:numPr>
        <w:ilvl w:val="2"/>
        <w:numId w:val="8"/>
      </w:numPr>
      <w:spacing w:after="260"/>
      <w:outlineLvl w:val="1"/>
    </w:pPr>
    <w:rPr>
      <w:rFonts w:asciiTheme="majorHAnsi" w:hAnsiTheme="majorHAnsi"/>
      <w:b/>
      <w:bCs/>
      <w:szCs w:val="26"/>
    </w:rPr>
  </w:style>
  <w:style w:type="paragraph" w:styleId="Heading3">
    <w:name w:val="heading 3"/>
    <w:basedOn w:val="Normal"/>
    <w:next w:val="ssPara3"/>
    <w:link w:val="Heading3Char"/>
    <w:uiPriority w:val="19"/>
    <w:qFormat/>
    <w:rsid w:val="00C45AC9"/>
    <w:pPr>
      <w:keepNext/>
      <w:keepLines/>
      <w:numPr>
        <w:ilvl w:val="3"/>
        <w:numId w:val="8"/>
      </w:numPr>
      <w:spacing w:after="260"/>
      <w:outlineLvl w:val="2"/>
    </w:pPr>
    <w:rPr>
      <w:rFonts w:asciiTheme="majorHAnsi" w:hAnsiTheme="majorHAnsi"/>
      <w:b/>
      <w:bCs/>
    </w:rPr>
  </w:style>
  <w:style w:type="paragraph" w:styleId="Heading4">
    <w:name w:val="heading 4"/>
    <w:basedOn w:val="Normal"/>
    <w:next w:val="ssPara4"/>
    <w:link w:val="Heading4Char"/>
    <w:uiPriority w:val="19"/>
    <w:qFormat/>
    <w:rsid w:val="00C45AC9"/>
    <w:pPr>
      <w:keepNext/>
      <w:keepLines/>
      <w:numPr>
        <w:ilvl w:val="4"/>
        <w:numId w:val="8"/>
      </w:numPr>
      <w:spacing w:after="260"/>
      <w:outlineLvl w:val="3"/>
    </w:pPr>
    <w:rPr>
      <w:rFonts w:asciiTheme="majorHAnsi" w:hAnsiTheme="majorHAnsi"/>
      <w:b/>
      <w:bCs/>
      <w:iCs/>
    </w:rPr>
  </w:style>
  <w:style w:type="paragraph" w:styleId="Heading5">
    <w:name w:val="heading 5"/>
    <w:basedOn w:val="Normal"/>
    <w:next w:val="ssPara5"/>
    <w:link w:val="Heading5Char"/>
    <w:uiPriority w:val="19"/>
    <w:qFormat/>
    <w:rsid w:val="00C45AC9"/>
    <w:pPr>
      <w:keepNext/>
      <w:keepLines/>
      <w:numPr>
        <w:ilvl w:val="5"/>
        <w:numId w:val="8"/>
      </w:numPr>
      <w:spacing w:after="260"/>
      <w:outlineLvl w:val="4"/>
    </w:pPr>
    <w:rPr>
      <w:rFonts w:asciiTheme="majorHAnsi" w:hAnsiTheme="majorHAnsi"/>
      <w:b/>
    </w:rPr>
  </w:style>
  <w:style w:type="paragraph" w:styleId="Heading6">
    <w:name w:val="heading 6"/>
    <w:basedOn w:val="Normal"/>
    <w:next w:val="ssPara6"/>
    <w:link w:val="Heading6Char"/>
    <w:uiPriority w:val="19"/>
    <w:qFormat/>
    <w:rsid w:val="00C45AC9"/>
    <w:pPr>
      <w:keepNext/>
      <w:keepLines/>
      <w:numPr>
        <w:ilvl w:val="6"/>
        <w:numId w:val="8"/>
      </w:numPr>
      <w:spacing w:after="260"/>
      <w:outlineLvl w:val="5"/>
    </w:pPr>
    <w:rPr>
      <w:rFonts w:asciiTheme="majorHAnsi" w:hAnsiTheme="majorHAns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9"/>
    <w:rsid w:val="00C45AC9"/>
    <w:rPr>
      <w:rFonts w:asciiTheme="majorHAnsi" w:eastAsia="MingLiU" w:hAnsiTheme="majorHAnsi"/>
      <w:b/>
      <w:bCs/>
      <w:kern w:val="32"/>
      <w:szCs w:val="28"/>
      <w:u w:val="single"/>
    </w:rPr>
  </w:style>
  <w:style w:type="character" w:customStyle="1" w:styleId="Heading2Char">
    <w:name w:val="Heading 2 Char"/>
    <w:link w:val="Heading2"/>
    <w:uiPriority w:val="19"/>
    <w:rsid w:val="00C45AC9"/>
    <w:rPr>
      <w:rFonts w:asciiTheme="majorHAnsi" w:eastAsia="MingLiU" w:hAnsiTheme="majorHAnsi"/>
      <w:b/>
      <w:bCs/>
      <w:szCs w:val="26"/>
    </w:rPr>
  </w:style>
  <w:style w:type="character" w:customStyle="1" w:styleId="Heading3Char">
    <w:name w:val="Heading 3 Char"/>
    <w:link w:val="Heading3"/>
    <w:uiPriority w:val="19"/>
    <w:rsid w:val="00C45AC9"/>
    <w:rPr>
      <w:rFonts w:asciiTheme="majorHAnsi" w:eastAsia="MingLiU" w:hAnsiTheme="majorHAnsi"/>
      <w:b/>
      <w:bCs/>
    </w:rPr>
  </w:style>
  <w:style w:type="paragraph" w:styleId="Title">
    <w:name w:val="Title"/>
    <w:basedOn w:val="Normal"/>
    <w:next w:val="Normal"/>
    <w:link w:val="TitleChar"/>
    <w:uiPriority w:val="10"/>
    <w:qFormat/>
    <w:rsid w:val="00455A1A"/>
    <w:pPr>
      <w:pBdr>
        <w:bottom w:val="single" w:sz="8" w:space="4" w:color="4F81BD"/>
      </w:pBdr>
      <w:spacing w:after="300"/>
      <w:contextualSpacing/>
    </w:pPr>
    <w:rPr>
      <w:rFonts w:ascii="Arial" w:eastAsia="Times New Roman" w:hAnsi="Arial"/>
      <w:color w:val="17365D"/>
      <w:spacing w:val="5"/>
      <w:kern w:val="28"/>
      <w:sz w:val="36"/>
      <w:szCs w:val="52"/>
    </w:rPr>
  </w:style>
  <w:style w:type="character" w:customStyle="1" w:styleId="TitleChar">
    <w:name w:val="Title Char"/>
    <w:link w:val="Title"/>
    <w:uiPriority w:val="10"/>
    <w:rsid w:val="00455A1A"/>
    <w:rPr>
      <w:rFonts w:ascii="Arial" w:eastAsia="Times New Roman" w:hAnsi="Arial" w:cs="Times New Roman"/>
      <w:color w:val="17365D"/>
      <w:spacing w:val="5"/>
      <w:kern w:val="28"/>
      <w:sz w:val="36"/>
      <w:szCs w:val="52"/>
    </w:rPr>
  </w:style>
  <w:style w:type="paragraph" w:styleId="NoSpacing">
    <w:name w:val="No Spacing"/>
    <w:link w:val="NoSpacingChar"/>
    <w:uiPriority w:val="1"/>
    <w:qFormat/>
    <w:rsid w:val="00C45AC9"/>
    <w:rPr>
      <w:rFonts w:asciiTheme="minorHAnsi" w:eastAsia="MingLiU" w:hAnsiTheme="minorHAnsi"/>
      <w:lang w:eastAsia="ja-JP"/>
    </w:rPr>
  </w:style>
  <w:style w:type="character" w:customStyle="1" w:styleId="NoSpacingChar">
    <w:name w:val="No Spacing Char"/>
    <w:link w:val="NoSpacing"/>
    <w:uiPriority w:val="1"/>
    <w:rsid w:val="00C45AC9"/>
    <w:rPr>
      <w:rFonts w:asciiTheme="minorHAnsi" w:eastAsia="MingLiU" w:hAnsiTheme="minorHAnsi"/>
      <w:lang w:eastAsia="ja-JP"/>
    </w:rPr>
  </w:style>
  <w:style w:type="paragraph" w:styleId="BodyText">
    <w:name w:val="Body Text"/>
    <w:basedOn w:val="Normal"/>
    <w:link w:val="BodyTextChar"/>
    <w:rsid w:val="00C45AC9"/>
    <w:pPr>
      <w:spacing w:after="120"/>
    </w:pPr>
  </w:style>
  <w:style w:type="character" w:customStyle="1" w:styleId="BodyTextChar">
    <w:name w:val="Body Text Char"/>
    <w:basedOn w:val="DefaultParagraphFont"/>
    <w:link w:val="BodyText"/>
    <w:rsid w:val="00C45AC9"/>
    <w:rPr>
      <w:rFonts w:asciiTheme="minorHAnsi" w:eastAsia="MingLiU" w:hAnsiTheme="minorHAnsi"/>
    </w:rPr>
  </w:style>
  <w:style w:type="table" w:customStyle="1" w:styleId="Training">
    <w:name w:val="Training"/>
    <w:basedOn w:val="TableNormal"/>
    <w:uiPriority w:val="99"/>
    <w:rsid w:val="00455A1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Arial" w:hAnsi="Arial"/>
      </w:rPr>
    </w:tblStylePr>
  </w:style>
  <w:style w:type="paragraph" w:styleId="Footer">
    <w:name w:val="footer"/>
    <w:basedOn w:val="Normal"/>
    <w:link w:val="FooterChar"/>
    <w:rsid w:val="002145F3"/>
    <w:pPr>
      <w:tabs>
        <w:tab w:val="center" w:pos="4763"/>
        <w:tab w:val="right" w:pos="9497"/>
      </w:tabs>
      <w:spacing w:line="260" w:lineRule="atLeast"/>
    </w:pPr>
    <w:rPr>
      <w:rFonts w:ascii="Arial" w:eastAsia="SimSun" w:hAnsi="Arial"/>
      <w:sz w:val="12"/>
      <w:szCs w:val="20"/>
      <w:lang w:eastAsia="zh-CN"/>
    </w:rPr>
  </w:style>
  <w:style w:type="character" w:customStyle="1" w:styleId="FooterChar">
    <w:name w:val="Footer Char"/>
    <w:link w:val="Footer"/>
    <w:rsid w:val="002145F3"/>
    <w:rPr>
      <w:rFonts w:ascii="Arial" w:eastAsia="SimSun" w:hAnsi="Arial" w:cs="Times New Roman"/>
      <w:sz w:val="12"/>
      <w:szCs w:val="20"/>
      <w:lang w:eastAsia="zh-CN"/>
    </w:rPr>
  </w:style>
  <w:style w:type="character" w:styleId="PageNumber">
    <w:name w:val="page number"/>
    <w:rsid w:val="002145F3"/>
    <w:rPr>
      <w:rFonts w:ascii="Arial" w:hAnsi="Arial"/>
      <w:sz w:val="20"/>
    </w:rPr>
  </w:style>
  <w:style w:type="paragraph" w:customStyle="1" w:styleId="ssPara1">
    <w:name w:val="ssPara1"/>
    <w:basedOn w:val="Normal"/>
    <w:uiPriority w:val="34"/>
    <w:qFormat/>
    <w:rsid w:val="00C45AC9"/>
    <w:pPr>
      <w:spacing w:after="260"/>
    </w:pPr>
  </w:style>
  <w:style w:type="paragraph" w:styleId="Header">
    <w:name w:val="header"/>
    <w:basedOn w:val="Normal"/>
    <w:link w:val="HeaderChar"/>
    <w:uiPriority w:val="99"/>
    <w:unhideWhenUsed/>
    <w:rsid w:val="002145F3"/>
    <w:pPr>
      <w:tabs>
        <w:tab w:val="center" w:pos="4513"/>
        <w:tab w:val="right" w:pos="9026"/>
      </w:tabs>
    </w:pPr>
  </w:style>
  <w:style w:type="character" w:customStyle="1" w:styleId="HeaderChar">
    <w:name w:val="Header Char"/>
    <w:basedOn w:val="DefaultParagraphFont"/>
    <w:link w:val="Header"/>
    <w:uiPriority w:val="99"/>
    <w:rsid w:val="002145F3"/>
  </w:style>
  <w:style w:type="character" w:customStyle="1" w:styleId="Heading4Char">
    <w:name w:val="Heading 4 Char"/>
    <w:link w:val="Heading4"/>
    <w:uiPriority w:val="19"/>
    <w:rsid w:val="00C45AC9"/>
    <w:rPr>
      <w:rFonts w:asciiTheme="majorHAnsi" w:eastAsia="MingLiU" w:hAnsiTheme="majorHAnsi"/>
      <w:b/>
      <w:bCs/>
      <w:iCs/>
    </w:rPr>
  </w:style>
  <w:style w:type="character" w:customStyle="1" w:styleId="Heading5Char">
    <w:name w:val="Heading 5 Char"/>
    <w:link w:val="Heading5"/>
    <w:uiPriority w:val="19"/>
    <w:rsid w:val="00C45AC9"/>
    <w:rPr>
      <w:rFonts w:asciiTheme="majorHAnsi" w:eastAsia="MingLiU" w:hAnsiTheme="majorHAnsi"/>
      <w:b/>
    </w:rPr>
  </w:style>
  <w:style w:type="character" w:customStyle="1" w:styleId="Heading6Char">
    <w:name w:val="Heading 6 Char"/>
    <w:link w:val="Heading6"/>
    <w:uiPriority w:val="19"/>
    <w:rsid w:val="00C45AC9"/>
    <w:rPr>
      <w:rFonts w:asciiTheme="majorHAnsi" w:eastAsia="MingLiU" w:hAnsiTheme="majorHAnsi"/>
      <w:b/>
      <w:iCs/>
    </w:rPr>
  </w:style>
  <w:style w:type="numbering" w:customStyle="1" w:styleId="ListHeadings">
    <w:name w:val="List Headings"/>
    <w:uiPriority w:val="99"/>
    <w:rsid w:val="00732881"/>
    <w:pPr>
      <w:numPr>
        <w:numId w:val="3"/>
      </w:numPr>
    </w:pPr>
  </w:style>
  <w:style w:type="paragraph" w:customStyle="1" w:styleId="ssNoHeading1">
    <w:name w:val="ssNoHeading1"/>
    <w:basedOn w:val="Heading1"/>
    <w:uiPriority w:val="29"/>
    <w:qFormat/>
    <w:rsid w:val="00465953"/>
    <w:pPr>
      <w:keepNext w:val="0"/>
      <w:keepLines w:val="0"/>
    </w:pPr>
    <w:rPr>
      <w:b w:val="0"/>
      <w:u w:val="none"/>
    </w:rPr>
  </w:style>
  <w:style w:type="paragraph" w:customStyle="1" w:styleId="ssNoHeading2">
    <w:name w:val="ssNoHeading2"/>
    <w:basedOn w:val="Heading2"/>
    <w:uiPriority w:val="29"/>
    <w:qFormat/>
    <w:rsid w:val="008C0FC8"/>
    <w:pPr>
      <w:keepNext w:val="0"/>
      <w:keepLines w:val="0"/>
    </w:pPr>
    <w:rPr>
      <w:b w:val="0"/>
    </w:rPr>
  </w:style>
  <w:style w:type="paragraph" w:customStyle="1" w:styleId="ssNoHeading3">
    <w:name w:val="ssNoHeading3"/>
    <w:basedOn w:val="Heading3"/>
    <w:uiPriority w:val="29"/>
    <w:qFormat/>
    <w:rsid w:val="008C0FC8"/>
    <w:pPr>
      <w:keepNext w:val="0"/>
      <w:keepLines w:val="0"/>
    </w:pPr>
    <w:rPr>
      <w:b w:val="0"/>
    </w:rPr>
  </w:style>
  <w:style w:type="paragraph" w:customStyle="1" w:styleId="ssNoHeading4">
    <w:name w:val="ssNoHeading4"/>
    <w:basedOn w:val="Heading4"/>
    <w:uiPriority w:val="29"/>
    <w:qFormat/>
    <w:rsid w:val="008C0FC8"/>
    <w:pPr>
      <w:keepNext w:val="0"/>
      <w:keepLines w:val="0"/>
    </w:pPr>
    <w:rPr>
      <w:b w:val="0"/>
    </w:rPr>
  </w:style>
  <w:style w:type="paragraph" w:customStyle="1" w:styleId="ssNoHeading5">
    <w:name w:val="ssNoHeading5"/>
    <w:basedOn w:val="Heading5"/>
    <w:uiPriority w:val="29"/>
    <w:qFormat/>
    <w:rsid w:val="008C0FC8"/>
    <w:pPr>
      <w:keepNext w:val="0"/>
      <w:keepLines w:val="0"/>
    </w:pPr>
    <w:rPr>
      <w:b w:val="0"/>
    </w:rPr>
  </w:style>
  <w:style w:type="paragraph" w:customStyle="1" w:styleId="ssNoHeading6">
    <w:name w:val="ssNoHeading6"/>
    <w:basedOn w:val="Heading6"/>
    <w:uiPriority w:val="29"/>
    <w:qFormat/>
    <w:rsid w:val="008C0FC8"/>
    <w:pPr>
      <w:keepNext w:val="0"/>
      <w:keepLines w:val="0"/>
    </w:pPr>
    <w:rPr>
      <w:b w:val="0"/>
    </w:rPr>
  </w:style>
  <w:style w:type="paragraph" w:customStyle="1" w:styleId="ssPara2">
    <w:name w:val="ssPara2"/>
    <w:basedOn w:val="Normal"/>
    <w:uiPriority w:val="34"/>
    <w:qFormat/>
    <w:rsid w:val="00C45AC9"/>
    <w:pPr>
      <w:spacing w:after="260"/>
      <w:ind w:left="709"/>
    </w:pPr>
  </w:style>
  <w:style w:type="paragraph" w:customStyle="1" w:styleId="ssPara3">
    <w:name w:val="ssPara3"/>
    <w:basedOn w:val="Normal"/>
    <w:uiPriority w:val="34"/>
    <w:qFormat/>
    <w:rsid w:val="00C45AC9"/>
    <w:pPr>
      <w:spacing w:after="260"/>
      <w:ind w:left="1418"/>
    </w:pPr>
  </w:style>
  <w:style w:type="paragraph" w:customStyle="1" w:styleId="ssPara4">
    <w:name w:val="ssPara4"/>
    <w:basedOn w:val="Normal"/>
    <w:uiPriority w:val="34"/>
    <w:qFormat/>
    <w:rsid w:val="00C45AC9"/>
    <w:pPr>
      <w:spacing w:after="260"/>
      <w:ind w:left="1985"/>
    </w:pPr>
  </w:style>
  <w:style w:type="paragraph" w:customStyle="1" w:styleId="ssPara5">
    <w:name w:val="ssPara5"/>
    <w:basedOn w:val="Normal"/>
    <w:uiPriority w:val="34"/>
    <w:qFormat/>
    <w:rsid w:val="00C45AC9"/>
    <w:pPr>
      <w:spacing w:after="260"/>
      <w:ind w:left="2552"/>
    </w:pPr>
  </w:style>
  <w:style w:type="paragraph" w:customStyle="1" w:styleId="ssPara6">
    <w:name w:val="ssPara6"/>
    <w:basedOn w:val="Normal"/>
    <w:uiPriority w:val="34"/>
    <w:qFormat/>
    <w:rsid w:val="00C45AC9"/>
    <w:pPr>
      <w:spacing w:after="260"/>
      <w:ind w:left="3119"/>
    </w:pPr>
  </w:style>
  <w:style w:type="paragraph" w:customStyle="1" w:styleId="ssqAppendix">
    <w:name w:val="ssqAppendix"/>
    <w:basedOn w:val="ssPara1"/>
    <w:next w:val="ssPara1"/>
    <w:uiPriority w:val="39"/>
    <w:qFormat/>
    <w:rsid w:val="00614675"/>
    <w:pPr>
      <w:pageBreakBefore/>
      <w:numPr>
        <w:ilvl w:val="1"/>
        <w:numId w:val="21"/>
      </w:numPr>
      <w:jc w:val="center"/>
    </w:pPr>
    <w:rPr>
      <w:rFonts w:asciiTheme="majorHAnsi" w:hAnsiTheme="majorHAnsi" w:cstheme="minorBidi"/>
      <w:b/>
      <w:caps/>
      <w:lang w:eastAsia="en-US"/>
    </w:rPr>
  </w:style>
  <w:style w:type="paragraph" w:customStyle="1" w:styleId="ssqExhibit">
    <w:name w:val="ssqExhibit"/>
    <w:basedOn w:val="ssPara1"/>
    <w:next w:val="ssPara1"/>
    <w:uiPriority w:val="41"/>
    <w:qFormat/>
    <w:rsid w:val="00851935"/>
    <w:pPr>
      <w:pageBreakBefore/>
      <w:numPr>
        <w:ilvl w:val="1"/>
        <w:numId w:val="22"/>
      </w:numPr>
      <w:jc w:val="center"/>
    </w:pPr>
    <w:rPr>
      <w:rFonts w:asciiTheme="majorHAnsi" w:hAnsiTheme="majorHAnsi" w:cstheme="minorBidi"/>
      <w:b/>
      <w:caps/>
      <w:lang w:eastAsia="en-US"/>
    </w:rPr>
  </w:style>
  <w:style w:type="paragraph" w:customStyle="1" w:styleId="ssqPart">
    <w:name w:val="ssqPart"/>
    <w:basedOn w:val="ssPara1"/>
    <w:next w:val="ssPara1"/>
    <w:uiPriority w:val="43"/>
    <w:qFormat/>
    <w:rsid w:val="00614675"/>
    <w:pPr>
      <w:numPr>
        <w:ilvl w:val="1"/>
        <w:numId w:val="23"/>
      </w:numPr>
      <w:jc w:val="center"/>
    </w:pPr>
    <w:rPr>
      <w:rFonts w:asciiTheme="majorHAnsi" w:hAnsiTheme="majorHAnsi" w:cstheme="minorBidi"/>
      <w:b/>
      <w:caps/>
      <w:lang w:eastAsia="en-US"/>
    </w:rPr>
  </w:style>
  <w:style w:type="paragraph" w:customStyle="1" w:styleId="ssqSchedule">
    <w:name w:val="ssqSchedule"/>
    <w:basedOn w:val="ssPara1"/>
    <w:next w:val="ssPara1"/>
    <w:uiPriority w:val="45"/>
    <w:qFormat/>
    <w:rsid w:val="00C45AC9"/>
    <w:pPr>
      <w:pageBreakBefore/>
      <w:numPr>
        <w:ilvl w:val="1"/>
        <w:numId w:val="10"/>
      </w:numPr>
      <w:jc w:val="center"/>
    </w:pPr>
    <w:rPr>
      <w:rFonts w:asciiTheme="majorHAnsi" w:hAnsiTheme="majorHAnsi" w:cstheme="minorBidi"/>
      <w:b/>
      <w:caps/>
      <w:lang w:eastAsia="en-US"/>
    </w:rPr>
  </w:style>
  <w:style w:type="paragraph" w:customStyle="1" w:styleId="ssqToCAdd">
    <w:name w:val="ssqToCAdd"/>
    <w:basedOn w:val="ssPara1"/>
    <w:next w:val="ssPara1"/>
    <w:uiPriority w:val="49"/>
    <w:qFormat/>
    <w:rsid w:val="008C0FC8"/>
  </w:style>
  <w:style w:type="paragraph" w:customStyle="1" w:styleId="ssRestartAppendix">
    <w:name w:val="ssRestartAppendix"/>
    <w:basedOn w:val="Normal"/>
    <w:next w:val="ssPara1"/>
    <w:uiPriority w:val="40"/>
    <w:rsid w:val="00614675"/>
    <w:pPr>
      <w:numPr>
        <w:numId w:val="21"/>
      </w:numPr>
    </w:pPr>
    <w:rPr>
      <w:rFonts w:eastAsiaTheme="minorHAnsi" w:cstheme="minorBidi"/>
      <w:color w:val="FF0000"/>
      <w:lang w:eastAsia="en-US"/>
    </w:rPr>
  </w:style>
  <w:style w:type="paragraph" w:customStyle="1" w:styleId="ssRestartExhibit">
    <w:name w:val="ssRestartExhibit"/>
    <w:basedOn w:val="Normal"/>
    <w:next w:val="ssPara1"/>
    <w:uiPriority w:val="42"/>
    <w:rsid w:val="00614675"/>
    <w:pPr>
      <w:numPr>
        <w:numId w:val="22"/>
      </w:numPr>
    </w:pPr>
    <w:rPr>
      <w:rFonts w:eastAsiaTheme="minorHAnsi" w:cstheme="minorBidi"/>
      <w:color w:val="FF0000"/>
      <w:lang w:eastAsia="en-US"/>
    </w:rPr>
  </w:style>
  <w:style w:type="paragraph" w:customStyle="1" w:styleId="ssRestartNumber">
    <w:name w:val="ssRestartNumber"/>
    <w:basedOn w:val="Normal"/>
    <w:next w:val="ssPara1"/>
    <w:uiPriority w:val="38"/>
    <w:rsid w:val="00732881"/>
    <w:pPr>
      <w:numPr>
        <w:numId w:val="8"/>
      </w:numPr>
    </w:pPr>
    <w:rPr>
      <w:rFonts w:eastAsia="Times New Roman"/>
      <w:color w:val="FF0000"/>
    </w:rPr>
  </w:style>
  <w:style w:type="paragraph" w:customStyle="1" w:styleId="ssRestartPart">
    <w:name w:val="ssRestartPart"/>
    <w:basedOn w:val="Normal"/>
    <w:next w:val="ssPara1"/>
    <w:uiPriority w:val="44"/>
    <w:rsid w:val="00614675"/>
    <w:pPr>
      <w:numPr>
        <w:numId w:val="23"/>
      </w:numPr>
    </w:pPr>
    <w:rPr>
      <w:rFonts w:eastAsiaTheme="minorHAnsi" w:cstheme="minorBidi"/>
      <w:color w:val="FF0000"/>
      <w:lang w:eastAsia="en-US"/>
    </w:rPr>
  </w:style>
  <w:style w:type="paragraph" w:customStyle="1" w:styleId="ssRestartSchedule">
    <w:name w:val="ssRestartSchedule"/>
    <w:basedOn w:val="Normal"/>
    <w:next w:val="ssPara1"/>
    <w:uiPriority w:val="46"/>
    <w:rsid w:val="00732881"/>
    <w:pPr>
      <w:numPr>
        <w:numId w:val="10"/>
      </w:numPr>
    </w:pPr>
    <w:rPr>
      <w:rFonts w:eastAsiaTheme="minorHAnsi" w:cstheme="minorBidi"/>
      <w:color w:val="FF0000"/>
      <w:lang w:eastAsia="en-US"/>
    </w:rPr>
  </w:style>
  <w:style w:type="numbering" w:customStyle="1" w:styleId="AppendixNumbering">
    <w:name w:val="Appendix Numbering"/>
    <w:uiPriority w:val="99"/>
    <w:rsid w:val="00614675"/>
    <w:pPr>
      <w:numPr>
        <w:numId w:val="1"/>
      </w:numPr>
    </w:pPr>
  </w:style>
  <w:style w:type="numbering" w:customStyle="1" w:styleId="ExhibitNumbering">
    <w:name w:val="Exhibit Numbering"/>
    <w:uiPriority w:val="99"/>
    <w:rsid w:val="00614675"/>
    <w:pPr>
      <w:numPr>
        <w:numId w:val="2"/>
      </w:numPr>
    </w:pPr>
  </w:style>
  <w:style w:type="numbering" w:customStyle="1" w:styleId="PartNumbering">
    <w:name w:val="Part Numbering"/>
    <w:uiPriority w:val="99"/>
    <w:rsid w:val="00614675"/>
    <w:pPr>
      <w:numPr>
        <w:numId w:val="4"/>
      </w:numPr>
    </w:pPr>
  </w:style>
  <w:style w:type="numbering" w:customStyle="1" w:styleId="ScheduleNumbering">
    <w:name w:val="Schedule Numbering"/>
    <w:uiPriority w:val="99"/>
    <w:rsid w:val="00732881"/>
    <w:pPr>
      <w:numPr>
        <w:numId w:val="5"/>
      </w:numPr>
    </w:pPr>
  </w:style>
  <w:style w:type="paragraph" w:styleId="TOC1">
    <w:name w:val="toc 1"/>
    <w:basedOn w:val="Normal"/>
    <w:next w:val="Normal"/>
    <w:autoRedefine/>
    <w:rsid w:val="00FF3360"/>
    <w:pPr>
      <w:tabs>
        <w:tab w:val="right" w:leader="dot" w:pos="9497"/>
      </w:tabs>
      <w:spacing w:before="260"/>
      <w:ind w:left="709" w:right="595" w:hanging="709"/>
    </w:pPr>
    <w:rPr>
      <w:rFonts w:eastAsia="Times New Roman"/>
    </w:rPr>
  </w:style>
  <w:style w:type="paragraph" w:styleId="TOCHeading">
    <w:name w:val="TOC Heading"/>
    <w:basedOn w:val="Heading1"/>
    <w:next w:val="Normal"/>
    <w:uiPriority w:val="39"/>
    <w:semiHidden/>
    <w:unhideWhenUsed/>
    <w:qFormat/>
    <w:rsid w:val="009D4EB0"/>
    <w:pPr>
      <w:numPr>
        <w:ilvl w:val="0"/>
        <w:numId w:val="0"/>
      </w:numPr>
      <w:spacing w:before="480" w:after="0" w:line="276" w:lineRule="auto"/>
      <w:jc w:val="left"/>
      <w:outlineLvl w:val="9"/>
    </w:pPr>
    <w:rPr>
      <w:rFonts w:eastAsiaTheme="majorEastAsia" w:cstheme="majorBidi"/>
      <w:color w:val="365F91" w:themeColor="accent1" w:themeShade="BF"/>
      <w:kern w:val="0"/>
      <w:sz w:val="28"/>
      <w:u w:val="none"/>
      <w:lang w:eastAsia="ja-JP"/>
    </w:rPr>
  </w:style>
  <w:style w:type="character" w:styleId="Hyperlink">
    <w:name w:val="Hyperlink"/>
    <w:basedOn w:val="DefaultParagraphFont"/>
    <w:uiPriority w:val="99"/>
    <w:unhideWhenUsed/>
    <w:rsid w:val="009D4EB0"/>
    <w:rPr>
      <w:color w:val="0000FF" w:themeColor="hyperlink"/>
      <w:u w:val="single"/>
    </w:rPr>
  </w:style>
  <w:style w:type="paragraph" w:styleId="BalloonText">
    <w:name w:val="Balloon Text"/>
    <w:basedOn w:val="Normal"/>
    <w:link w:val="BalloonTextChar"/>
    <w:uiPriority w:val="99"/>
    <w:semiHidden/>
    <w:unhideWhenUsed/>
    <w:rsid w:val="009D4EB0"/>
    <w:rPr>
      <w:rFonts w:ascii="Tahoma" w:hAnsi="Tahoma" w:cs="Tahoma"/>
      <w:sz w:val="16"/>
      <w:szCs w:val="16"/>
    </w:rPr>
  </w:style>
  <w:style w:type="character" w:customStyle="1" w:styleId="BalloonTextChar">
    <w:name w:val="Balloon Text Char"/>
    <w:basedOn w:val="DefaultParagraphFont"/>
    <w:link w:val="BalloonText"/>
    <w:uiPriority w:val="99"/>
    <w:semiHidden/>
    <w:rsid w:val="009D4EB0"/>
    <w:rPr>
      <w:rFonts w:ascii="Tahoma" w:hAnsi="Tahoma" w:cs="Tahoma"/>
      <w:sz w:val="16"/>
      <w:szCs w:val="16"/>
    </w:rPr>
  </w:style>
  <w:style w:type="paragraph" w:styleId="Index1">
    <w:name w:val="index 1"/>
    <w:basedOn w:val="Normal"/>
    <w:next w:val="Normal"/>
    <w:autoRedefine/>
    <w:rsid w:val="00732881"/>
    <w:pPr>
      <w:spacing w:after="120"/>
      <w:ind w:left="221" w:hanging="221"/>
    </w:pPr>
    <w:rPr>
      <w:rFonts w:eastAsia="Times New Roman"/>
    </w:rPr>
  </w:style>
  <w:style w:type="paragraph" w:styleId="IndexHeading">
    <w:name w:val="index heading"/>
    <w:basedOn w:val="Normal"/>
    <w:next w:val="Index1"/>
    <w:rsid w:val="00732881"/>
    <w:pPr>
      <w:jc w:val="left"/>
    </w:pPr>
    <w:rPr>
      <w:rFonts w:asciiTheme="majorHAnsi" w:eastAsiaTheme="majorEastAsia" w:hAnsiTheme="majorHAnsi" w:cstheme="majorBidi"/>
      <w:b/>
      <w:bCs/>
    </w:rPr>
  </w:style>
  <w:style w:type="paragraph" w:styleId="Index2">
    <w:name w:val="index 2"/>
    <w:basedOn w:val="Normal"/>
    <w:next w:val="Normal"/>
    <w:autoRedefine/>
    <w:rsid w:val="00732881"/>
    <w:pPr>
      <w:spacing w:after="120"/>
      <w:ind w:left="442" w:hanging="221"/>
    </w:pPr>
    <w:rPr>
      <w:rFonts w:eastAsia="Times New Roman"/>
    </w:rPr>
  </w:style>
  <w:style w:type="paragraph" w:styleId="TOC2">
    <w:name w:val="toc 2"/>
    <w:basedOn w:val="Normal"/>
    <w:next w:val="Normal"/>
    <w:autoRedefine/>
    <w:semiHidden/>
    <w:rsid w:val="00FF3360"/>
    <w:pPr>
      <w:tabs>
        <w:tab w:val="right" w:leader="dot" w:pos="9497"/>
      </w:tabs>
      <w:spacing w:before="260"/>
      <w:ind w:left="1418" w:right="595" w:hanging="709"/>
    </w:pPr>
    <w:rPr>
      <w:rFonts w:eastAsia="Times New Roman"/>
    </w:rPr>
  </w:style>
  <w:style w:type="paragraph" w:styleId="TOC3">
    <w:name w:val="toc 3"/>
    <w:basedOn w:val="Normal"/>
    <w:next w:val="Normal"/>
    <w:autoRedefine/>
    <w:semiHidden/>
    <w:rsid w:val="00FF3360"/>
    <w:pPr>
      <w:tabs>
        <w:tab w:val="right" w:leader="dot" w:pos="9497"/>
      </w:tabs>
      <w:spacing w:before="260"/>
      <w:ind w:left="2127" w:right="595" w:hanging="709"/>
    </w:pPr>
    <w:rPr>
      <w:rFonts w:eastAsia="Times New Roman"/>
    </w:rPr>
  </w:style>
  <w:style w:type="paragraph" w:styleId="TOC4">
    <w:name w:val="toc 4"/>
    <w:basedOn w:val="Normal"/>
    <w:next w:val="Normal"/>
    <w:autoRedefine/>
    <w:semiHidden/>
    <w:rsid w:val="00FF3360"/>
    <w:pPr>
      <w:tabs>
        <w:tab w:val="right" w:leader="dot" w:pos="9497"/>
      </w:tabs>
      <w:spacing w:before="260"/>
      <w:ind w:left="2694" w:right="595" w:hanging="709"/>
    </w:pPr>
    <w:rPr>
      <w:rFonts w:eastAsia="Times New Roman"/>
    </w:rPr>
  </w:style>
  <w:style w:type="table" w:styleId="TableGrid">
    <w:name w:val="Table Grid"/>
    <w:basedOn w:val="TableNormal"/>
    <w:rsid w:val="00732881"/>
    <w:rPr>
      <w:rFonts w:eastAsia="SimSun"/>
      <w:szCs w:val="20"/>
    </w:rPr>
    <w:tblPr/>
  </w:style>
  <w:style w:type="paragraph" w:styleId="Index3">
    <w:name w:val="index 3"/>
    <w:basedOn w:val="Normal"/>
    <w:next w:val="Normal"/>
    <w:autoRedefine/>
    <w:semiHidden/>
    <w:rsid w:val="00732881"/>
    <w:pPr>
      <w:spacing w:after="120"/>
      <w:ind w:left="663" w:hanging="221"/>
    </w:pPr>
    <w:rPr>
      <w:rFonts w:eastAsia="Times New Roman"/>
    </w:rPr>
  </w:style>
  <w:style w:type="paragraph" w:styleId="Index4">
    <w:name w:val="index 4"/>
    <w:basedOn w:val="Normal"/>
    <w:next w:val="Normal"/>
    <w:autoRedefine/>
    <w:semiHidden/>
    <w:rsid w:val="00732881"/>
    <w:pPr>
      <w:spacing w:after="120"/>
      <w:ind w:left="879" w:hanging="221"/>
    </w:pPr>
    <w:rPr>
      <w:rFonts w:eastAsia="Times New Roman"/>
    </w:rPr>
  </w:style>
  <w:style w:type="paragraph" w:styleId="Index5">
    <w:name w:val="index 5"/>
    <w:basedOn w:val="Normal"/>
    <w:next w:val="Normal"/>
    <w:autoRedefine/>
    <w:semiHidden/>
    <w:rsid w:val="00732881"/>
    <w:pPr>
      <w:spacing w:after="120"/>
      <w:ind w:left="1100" w:hanging="221"/>
    </w:pPr>
    <w:rPr>
      <w:rFonts w:eastAsia="Times New Roman"/>
    </w:rPr>
  </w:style>
  <w:style w:type="paragraph" w:styleId="Index6">
    <w:name w:val="index 6"/>
    <w:basedOn w:val="Normal"/>
    <w:next w:val="Normal"/>
    <w:autoRedefine/>
    <w:semiHidden/>
    <w:rsid w:val="00732881"/>
    <w:pPr>
      <w:spacing w:after="120"/>
      <w:ind w:left="1321" w:hanging="221"/>
    </w:pPr>
    <w:rPr>
      <w:rFonts w:eastAsia="Times New Roman"/>
    </w:rPr>
  </w:style>
  <w:style w:type="paragraph" w:styleId="Index7">
    <w:name w:val="index 7"/>
    <w:basedOn w:val="Normal"/>
    <w:next w:val="Normal"/>
    <w:autoRedefine/>
    <w:semiHidden/>
    <w:rsid w:val="00732881"/>
    <w:pPr>
      <w:spacing w:after="120"/>
      <w:ind w:left="1542" w:hanging="221"/>
    </w:pPr>
    <w:rPr>
      <w:rFonts w:eastAsia="Times New Roman"/>
    </w:rPr>
  </w:style>
  <w:style w:type="paragraph" w:styleId="Index8">
    <w:name w:val="index 8"/>
    <w:basedOn w:val="Normal"/>
    <w:next w:val="Normal"/>
    <w:autoRedefine/>
    <w:semiHidden/>
    <w:rsid w:val="00732881"/>
    <w:pPr>
      <w:spacing w:after="120"/>
      <w:ind w:left="1763" w:hanging="221"/>
    </w:pPr>
    <w:rPr>
      <w:rFonts w:eastAsia="Times New Roman"/>
    </w:rPr>
  </w:style>
  <w:style w:type="paragraph" w:styleId="Index9">
    <w:name w:val="index 9"/>
    <w:basedOn w:val="Normal"/>
    <w:next w:val="Normal"/>
    <w:autoRedefine/>
    <w:semiHidden/>
    <w:rsid w:val="00732881"/>
    <w:pPr>
      <w:spacing w:after="120"/>
      <w:ind w:left="1979" w:hanging="221"/>
    </w:pPr>
    <w:rPr>
      <w:rFonts w:eastAsia="Times New Roman"/>
    </w:rPr>
  </w:style>
  <w:style w:type="paragraph" w:styleId="EnvelopeAddress">
    <w:name w:val="envelope address"/>
    <w:basedOn w:val="Normal"/>
    <w:uiPriority w:val="99"/>
    <w:semiHidden/>
    <w:unhideWhenUsed/>
    <w:rsid w:val="00C45AC9"/>
    <w:pPr>
      <w:framePr w:w="7920" w:h="1980" w:hRule="exact" w:hSpace="180" w:wrap="auto" w:hAnchor="page" w:xAlign="center" w:yAlign="bottom"/>
      <w:ind w:left="2880"/>
    </w:pPr>
    <w:rPr>
      <w:rFonts w:asciiTheme="majorHAnsi" w:hAnsiTheme="majorHAnsi" w:cstheme="majorBidi"/>
      <w:sz w:val="24"/>
      <w:szCs w:val="24"/>
    </w:rPr>
  </w:style>
  <w:style w:type="paragraph" w:customStyle="1" w:styleId="Default">
    <w:name w:val="Default"/>
    <w:rsid w:val="00064251"/>
    <w:pPr>
      <w:autoSpaceDE w:val="0"/>
      <w:autoSpaceDN w:val="0"/>
      <w:adjustRightInd w:val="0"/>
    </w:pPr>
    <w:rPr>
      <w:rFonts w:ascii="Calibri" w:hAnsi="Calibri" w:cs="Calibri"/>
      <w:color w:val="000000"/>
      <w:sz w:val="24"/>
      <w:szCs w:val="24"/>
    </w:rPr>
  </w:style>
  <w:style w:type="paragraph" w:customStyle="1" w:styleId="CM1">
    <w:name w:val="CM1"/>
    <w:basedOn w:val="Default"/>
    <w:next w:val="Default"/>
    <w:uiPriority w:val="99"/>
    <w:rsid w:val="00F308E2"/>
    <w:rPr>
      <w:rFonts w:ascii="EUAlbertina" w:hAnsi="EUAlbertina" w:cs="Times New Roman"/>
      <w:color w:val="auto"/>
    </w:rPr>
  </w:style>
  <w:style w:type="paragraph" w:customStyle="1" w:styleId="CM3">
    <w:name w:val="CM3"/>
    <w:basedOn w:val="Default"/>
    <w:next w:val="Default"/>
    <w:uiPriority w:val="99"/>
    <w:rsid w:val="00F308E2"/>
    <w:rPr>
      <w:rFonts w:ascii="EUAlbertina" w:hAnsi="EUAlberti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29640">
      <w:bodyDiv w:val="1"/>
      <w:marLeft w:val="0"/>
      <w:marRight w:val="0"/>
      <w:marTop w:val="0"/>
      <w:marBottom w:val="0"/>
      <w:divBdr>
        <w:top w:val="none" w:sz="0" w:space="0" w:color="auto"/>
        <w:left w:val="none" w:sz="0" w:space="0" w:color="auto"/>
        <w:bottom w:val="none" w:sz="0" w:space="0" w:color="auto"/>
        <w:right w:val="none" w:sz="0" w:space="0" w:color="auto"/>
      </w:divBdr>
    </w:div>
    <w:div w:id="1195772375">
      <w:bodyDiv w:val="1"/>
      <w:marLeft w:val="0"/>
      <w:marRight w:val="0"/>
      <w:marTop w:val="0"/>
      <w:marBottom w:val="0"/>
      <w:divBdr>
        <w:top w:val="none" w:sz="0" w:space="0" w:color="auto"/>
        <w:left w:val="none" w:sz="0" w:space="0" w:color="auto"/>
        <w:bottom w:val="none" w:sz="0" w:space="0" w:color="auto"/>
        <w:right w:val="none" w:sz="0" w:space="0" w:color="auto"/>
      </w:divBdr>
    </w:div>
    <w:div w:id="193346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ikit\Template%20Management%20System\Simmons\Templates\General.dotx" TargetMode="External"/></Relationships>
</file>

<file path=word/theme/theme1.xml><?xml version="1.0" encoding="utf-8"?>
<a:theme xmlns:a="http://schemas.openxmlformats.org/drawingml/2006/main" name="Simmon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mmons &amp; Simmo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0649A-9F53-4E59-BBD0-AF13AF60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Template>
  <TotalTime>209</TotalTime>
  <Pages>4</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Simmons &amp; Simmons</dc:creator>
  <cp:lastModifiedBy>Simmons &amp; Simmons</cp:lastModifiedBy>
  <cp:revision>65</cp:revision>
  <cp:lastPrinted>2015-06-04T14:35:00Z</cp:lastPrinted>
  <dcterms:created xsi:type="dcterms:W3CDTF">2015-06-03T07:46:00Z</dcterms:created>
  <dcterms:modified xsi:type="dcterms:W3CDTF">2015-06-04T14:56:00Z</dcterms:modified>
</cp:coreProperties>
</file>