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1" w:rsidRPr="003421FD" w:rsidRDefault="00C10B31">
      <w:pPr>
        <w:rPr>
          <w:b/>
          <w:sz w:val="52"/>
          <w:szCs w:val="52"/>
        </w:rPr>
      </w:pPr>
    </w:p>
    <w:tbl>
      <w:tblPr>
        <w:tblW w:w="14400" w:type="dxa"/>
        <w:tblLayout w:type="fixed"/>
        <w:tblCellMar>
          <w:left w:w="70" w:type="dxa"/>
          <w:right w:w="70" w:type="dxa"/>
        </w:tblCellMar>
        <w:tblLook w:val="0000" w:firstRow="0" w:lastRow="0" w:firstColumn="0" w:lastColumn="0" w:noHBand="0" w:noVBand="0"/>
      </w:tblPr>
      <w:tblGrid>
        <w:gridCol w:w="5102"/>
        <w:gridCol w:w="4649"/>
        <w:gridCol w:w="4649"/>
      </w:tblGrid>
      <w:tr w:rsidR="00F92824" w:rsidRPr="002038DC" w:rsidTr="00F92824">
        <w:trPr>
          <w:trHeight w:hRule="exact" w:val="3261"/>
        </w:trPr>
        <w:tc>
          <w:tcPr>
            <w:tcW w:w="5102" w:type="dxa"/>
          </w:tcPr>
          <w:p w:rsidR="00F92824" w:rsidRPr="002038DC" w:rsidRDefault="00C973E6" w:rsidP="00A555B1">
            <w:pPr>
              <w:ind w:right="-1"/>
              <w:rPr>
                <w:b/>
                <w:szCs w:val="22"/>
                <w:lang w:val="pt-BR"/>
              </w:rPr>
            </w:pPr>
            <w:r>
              <w:rPr>
                <w:lang w:val="fi-FI"/>
              </w:rPr>
              <w:br/>
            </w:r>
            <w:r>
              <w:rPr>
                <w:lang w:val="fi-FI"/>
              </w:rPr>
              <w:br/>
              <w:t>European Banking Authority (EBA)</w:t>
            </w:r>
          </w:p>
        </w:tc>
        <w:tc>
          <w:tcPr>
            <w:tcW w:w="4649" w:type="dxa"/>
          </w:tcPr>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F92824" w:rsidRPr="00D364F4" w:rsidRDefault="00F92824" w:rsidP="00551EFB">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F92824" w:rsidRPr="00D364F4" w:rsidRDefault="00F92824" w:rsidP="00551EFB">
            <w:pPr>
              <w:spacing w:line="260" w:lineRule="atLeast"/>
              <w:jc w:val="right"/>
              <w:rPr>
                <w:color w:val="000000"/>
                <w:sz w:val="18"/>
                <w:szCs w:val="18"/>
              </w:rPr>
            </w:pPr>
            <w:r w:rsidRPr="00D364F4">
              <w:rPr>
                <w:noProof/>
                <w:color w:val="000000"/>
                <w:sz w:val="18"/>
                <w:szCs w:val="18"/>
              </w:rPr>
              <w:t>Wiedner Hauptstraße 63 | P.O. Box 320</w:t>
            </w:r>
          </w:p>
          <w:p w:rsidR="00F92824" w:rsidRPr="00D364F4" w:rsidRDefault="00F92824" w:rsidP="00551EFB">
            <w:pPr>
              <w:spacing w:line="260" w:lineRule="atLeast"/>
              <w:jc w:val="right"/>
              <w:rPr>
                <w:color w:val="000000"/>
                <w:sz w:val="18"/>
                <w:szCs w:val="18"/>
              </w:rPr>
            </w:pPr>
            <w:r w:rsidRPr="00D364F4">
              <w:rPr>
                <w:noProof/>
                <w:color w:val="000000"/>
                <w:sz w:val="18"/>
                <w:szCs w:val="18"/>
              </w:rPr>
              <w:t>1045 Vienna</w:t>
            </w:r>
          </w:p>
          <w:p w:rsidR="00F92824" w:rsidRPr="00D364F4" w:rsidRDefault="00F92824" w:rsidP="00551EFB">
            <w:pPr>
              <w:spacing w:line="260" w:lineRule="atLeast"/>
              <w:jc w:val="right"/>
              <w:rPr>
                <w:color w:val="000000"/>
                <w:sz w:val="18"/>
                <w:szCs w:val="18"/>
              </w:rPr>
            </w:pPr>
            <w:r w:rsidRPr="00D364F4">
              <w:rPr>
                <w:noProof/>
                <w:color w:val="000000"/>
                <w:sz w:val="18"/>
                <w:szCs w:val="18"/>
              </w:rPr>
              <w:t>T +43 (0)5 90 900-DW | F +43 (0)5 90 900-272</w:t>
            </w:r>
          </w:p>
          <w:p w:rsidR="00F92824" w:rsidRPr="00D364F4" w:rsidRDefault="00F92824" w:rsidP="00551EFB">
            <w:pPr>
              <w:spacing w:line="260" w:lineRule="atLeast"/>
              <w:jc w:val="right"/>
              <w:rPr>
                <w:color w:val="000000"/>
                <w:sz w:val="18"/>
                <w:szCs w:val="18"/>
              </w:rPr>
            </w:pPr>
            <w:r w:rsidRPr="00D364F4">
              <w:rPr>
                <w:noProof/>
                <w:color w:val="000000"/>
                <w:sz w:val="18"/>
                <w:szCs w:val="18"/>
              </w:rPr>
              <w:t>E  bsbv@wko.at</w:t>
            </w:r>
          </w:p>
          <w:p w:rsidR="00F92824" w:rsidRPr="00D364F4" w:rsidRDefault="00F92824" w:rsidP="00551EFB">
            <w:pPr>
              <w:spacing w:line="260" w:lineRule="atLeast"/>
              <w:jc w:val="right"/>
              <w:rPr>
                <w:lang w:val="en-GB"/>
              </w:rPr>
            </w:pPr>
            <w:r w:rsidRPr="00D364F4">
              <w:rPr>
                <w:noProof/>
                <w:color w:val="000000"/>
                <w:sz w:val="18"/>
                <w:szCs w:val="18"/>
                <w:lang w:val="en-GB"/>
              </w:rPr>
              <w:t>W  http://wko.at/bsbv</w:t>
            </w:r>
          </w:p>
        </w:tc>
        <w:tc>
          <w:tcPr>
            <w:tcW w:w="4649" w:type="dxa"/>
          </w:tcPr>
          <w:p w:rsidR="00F92824" w:rsidRPr="008E69FC" w:rsidRDefault="00F92824" w:rsidP="00F0083F">
            <w:pPr>
              <w:spacing w:line="260" w:lineRule="atLeast"/>
              <w:ind w:right="255"/>
              <w:jc w:val="right"/>
              <w:rPr>
                <w:lang w:val="de-AT"/>
              </w:rPr>
            </w:pPr>
          </w:p>
        </w:tc>
      </w:tr>
    </w:tbl>
    <w:p w:rsidR="00C10B31" w:rsidRPr="00945373" w:rsidRDefault="00C10B31" w:rsidP="00F0083F">
      <w:pPr>
        <w:spacing w:line="240" w:lineRule="auto"/>
        <w:ind w:right="-1"/>
        <w:rPr>
          <w:snapToGrid w:val="0"/>
          <w:color w:val="000000"/>
          <w:sz w:val="24"/>
          <w:szCs w:val="24"/>
          <w:u w:color="000000"/>
        </w:rPr>
      </w:pPr>
    </w:p>
    <w:p w:rsidR="00237B76" w:rsidRDefault="00237B76" w:rsidP="00237B76">
      <w:pPr>
        <w:tabs>
          <w:tab w:val="left" w:pos="2977"/>
          <w:tab w:val="left" w:pos="5954"/>
          <w:tab w:val="left" w:pos="7655"/>
          <w:tab w:val="left" w:pos="8364"/>
        </w:tabs>
        <w:ind w:right="-1"/>
        <w:rPr>
          <w:sz w:val="16"/>
        </w:rPr>
      </w:pPr>
      <w:r>
        <w:rPr>
          <w:sz w:val="16"/>
        </w:rPr>
        <w:t>Ihr Zeichen, Ihre Nachricht vom</w:t>
      </w:r>
      <w:r>
        <w:rPr>
          <w:sz w:val="16"/>
        </w:rPr>
        <w:tab/>
        <w:t>Unser Zeichen, Sacharbeiter</w:t>
      </w:r>
      <w:r>
        <w:rPr>
          <w:sz w:val="16"/>
        </w:rPr>
        <w:tab/>
        <w:t>Durchwahl</w:t>
      </w:r>
      <w:r>
        <w:rPr>
          <w:sz w:val="16"/>
        </w:rPr>
        <w:tab/>
        <w:t>Datum</w:t>
      </w:r>
    </w:p>
    <w:p w:rsidR="00237B76" w:rsidRDefault="00237B76" w:rsidP="00AD62C1">
      <w:pPr>
        <w:tabs>
          <w:tab w:val="left" w:pos="2977"/>
          <w:tab w:val="left" w:pos="5954"/>
          <w:tab w:val="left" w:pos="7655"/>
        </w:tabs>
        <w:ind w:right="-1"/>
        <w:rPr>
          <w:snapToGrid w:val="0"/>
          <w:color w:val="000000"/>
          <w:szCs w:val="22"/>
          <w:u w:color="000000"/>
        </w:rPr>
      </w:pPr>
      <w:r>
        <w:rPr>
          <w:snapToGrid w:val="0"/>
          <w:color w:val="000000"/>
          <w:szCs w:val="22"/>
          <w:u w:color="000000"/>
        </w:rPr>
        <w:tab/>
        <w:t xml:space="preserve">BSBV </w:t>
      </w:r>
      <w:r w:rsidR="00F92824">
        <w:rPr>
          <w:snapToGrid w:val="0"/>
          <w:color w:val="000000"/>
          <w:szCs w:val="22"/>
          <w:u w:color="000000"/>
        </w:rPr>
        <w:t>115</w:t>
      </w:r>
      <w:r w:rsidR="00AD62C1">
        <w:rPr>
          <w:snapToGrid w:val="0"/>
          <w:color w:val="000000"/>
          <w:szCs w:val="22"/>
          <w:u w:color="000000"/>
        </w:rPr>
        <w:t>/</w:t>
      </w:r>
      <w:proofErr w:type="spellStart"/>
      <w:r w:rsidR="00AD62C1">
        <w:rPr>
          <w:snapToGrid w:val="0"/>
          <w:color w:val="000000"/>
          <w:szCs w:val="22"/>
          <w:u w:color="000000"/>
        </w:rPr>
        <w:t>Dr.</w:t>
      </w:r>
      <w:r w:rsidR="00046619">
        <w:rPr>
          <w:snapToGrid w:val="0"/>
          <w:color w:val="000000"/>
          <w:szCs w:val="22"/>
          <w:u w:color="000000"/>
        </w:rPr>
        <w:t>Egger</w:t>
      </w:r>
      <w:proofErr w:type="spellEnd"/>
      <w:r w:rsidR="005F3730">
        <w:rPr>
          <w:snapToGrid w:val="0"/>
          <w:color w:val="000000"/>
          <w:szCs w:val="22"/>
          <w:u w:color="000000"/>
        </w:rPr>
        <w:tab/>
        <w:t>313</w:t>
      </w:r>
      <w:r w:rsidR="00046619">
        <w:rPr>
          <w:snapToGrid w:val="0"/>
          <w:color w:val="000000"/>
          <w:szCs w:val="22"/>
          <w:u w:color="000000"/>
        </w:rPr>
        <w:t>7</w:t>
      </w:r>
      <w:r w:rsidR="005F3730">
        <w:rPr>
          <w:snapToGrid w:val="0"/>
          <w:color w:val="000000"/>
          <w:szCs w:val="22"/>
          <w:u w:color="000000"/>
        </w:rPr>
        <w:t xml:space="preserve">            </w:t>
      </w:r>
      <w:r w:rsidR="009845AD">
        <w:rPr>
          <w:snapToGrid w:val="0"/>
          <w:color w:val="000000"/>
          <w:szCs w:val="22"/>
          <w:u w:color="000000"/>
        </w:rPr>
        <w:t xml:space="preserve"> </w:t>
      </w:r>
      <w:r w:rsidR="00F500B2">
        <w:rPr>
          <w:snapToGrid w:val="0"/>
          <w:color w:val="000000"/>
          <w:szCs w:val="22"/>
          <w:u w:color="000000"/>
        </w:rPr>
        <w:t xml:space="preserve"> </w:t>
      </w:r>
      <w:r w:rsidR="0022490E">
        <w:rPr>
          <w:snapToGrid w:val="0"/>
          <w:color w:val="000000"/>
          <w:szCs w:val="22"/>
          <w:u w:color="000000"/>
        </w:rPr>
        <w:t xml:space="preserve">    </w:t>
      </w:r>
      <w:r w:rsidR="003053C1">
        <w:rPr>
          <w:snapToGrid w:val="0"/>
          <w:color w:val="000000"/>
          <w:szCs w:val="22"/>
          <w:u w:color="000000"/>
        </w:rPr>
        <w:t>18</w:t>
      </w:r>
      <w:r w:rsidR="008D171E">
        <w:rPr>
          <w:snapToGrid w:val="0"/>
          <w:color w:val="000000"/>
          <w:szCs w:val="22"/>
          <w:u w:color="000000"/>
        </w:rPr>
        <w:t xml:space="preserve"> June</w:t>
      </w:r>
      <w:r w:rsidR="00F500B2">
        <w:rPr>
          <w:snapToGrid w:val="0"/>
          <w:color w:val="000000"/>
          <w:szCs w:val="22"/>
          <w:u w:color="000000"/>
        </w:rPr>
        <w:t xml:space="preserve"> 2015</w:t>
      </w:r>
      <w:r w:rsidR="00F92824">
        <w:rPr>
          <w:snapToGrid w:val="0"/>
          <w:color w:val="000000"/>
          <w:szCs w:val="22"/>
          <w:u w:color="000000"/>
        </w:rPr>
        <w:t xml:space="preserve"> </w:t>
      </w:r>
    </w:p>
    <w:p w:rsidR="00154A68" w:rsidRDefault="00154A68" w:rsidP="00D55023"/>
    <w:p w:rsidR="0094573F" w:rsidRDefault="0094573F" w:rsidP="00D55023"/>
    <w:p w:rsidR="0022490E" w:rsidRPr="00C4261E" w:rsidRDefault="00F92824" w:rsidP="00D55023">
      <w:pPr>
        <w:rPr>
          <w:b/>
          <w:szCs w:val="22"/>
          <w:u w:val="single"/>
          <w:lang w:val="en-US"/>
        </w:rPr>
      </w:pPr>
      <w:r w:rsidRPr="00C4261E">
        <w:rPr>
          <w:b/>
          <w:szCs w:val="22"/>
          <w:u w:val="single"/>
          <w:lang w:val="en-US"/>
        </w:rPr>
        <w:t>EBA</w:t>
      </w:r>
      <w:r w:rsidR="00C12058" w:rsidRPr="00C4261E">
        <w:rPr>
          <w:b/>
          <w:szCs w:val="22"/>
          <w:u w:val="single"/>
          <w:lang w:val="en-US"/>
        </w:rPr>
        <w:t xml:space="preserve"> </w:t>
      </w:r>
      <w:r w:rsidR="00104E21" w:rsidRPr="00C4261E">
        <w:rPr>
          <w:b/>
          <w:szCs w:val="22"/>
          <w:u w:val="single"/>
          <w:lang w:val="en-US"/>
        </w:rPr>
        <w:t>–</w:t>
      </w:r>
      <w:r w:rsidR="00C12058" w:rsidRPr="00C4261E">
        <w:rPr>
          <w:b/>
          <w:szCs w:val="22"/>
          <w:u w:val="single"/>
          <w:lang w:val="en-US"/>
        </w:rPr>
        <w:t xml:space="preserve"> </w:t>
      </w:r>
      <w:r w:rsidR="00104E21" w:rsidRPr="00C4261E">
        <w:rPr>
          <w:b/>
          <w:szCs w:val="22"/>
          <w:u w:val="single"/>
          <w:lang w:val="en-US"/>
        </w:rPr>
        <w:t>Consultation</w:t>
      </w:r>
      <w:r w:rsidR="00593734" w:rsidRPr="00C4261E">
        <w:rPr>
          <w:b/>
          <w:szCs w:val="22"/>
          <w:u w:val="single"/>
          <w:lang w:val="en-US"/>
        </w:rPr>
        <w:t>; Gui</w:t>
      </w:r>
      <w:r w:rsidR="00104E21" w:rsidRPr="00C4261E">
        <w:rPr>
          <w:b/>
          <w:szCs w:val="22"/>
          <w:u w:val="single"/>
          <w:lang w:val="en-US"/>
        </w:rPr>
        <w:t xml:space="preserve">delines </w:t>
      </w:r>
      <w:r w:rsidR="003053C1" w:rsidRPr="00C4261E">
        <w:rPr>
          <w:b/>
          <w:szCs w:val="22"/>
          <w:u w:val="single"/>
          <w:lang w:val="en-US"/>
        </w:rPr>
        <w:t>on limits on exposures to shadow banking entities</w:t>
      </w:r>
    </w:p>
    <w:p w:rsidR="00D973D5" w:rsidRPr="00C4261E" w:rsidRDefault="00D973D5" w:rsidP="00D55023">
      <w:pPr>
        <w:spacing w:line="240" w:lineRule="auto"/>
        <w:ind w:right="-1"/>
        <w:rPr>
          <w:szCs w:val="22"/>
          <w:lang w:val="en-US" w:eastAsia="de-AT"/>
        </w:rPr>
      </w:pPr>
    </w:p>
    <w:p w:rsidR="003053C1" w:rsidRPr="00C4261E" w:rsidRDefault="00F92824" w:rsidP="003053C1">
      <w:pPr>
        <w:spacing w:line="240" w:lineRule="auto"/>
        <w:ind w:right="-1"/>
        <w:rPr>
          <w:szCs w:val="22"/>
          <w:lang w:val="en-GB"/>
        </w:rPr>
      </w:pPr>
      <w:r w:rsidRPr="00C4261E">
        <w:rPr>
          <w:szCs w:val="22"/>
          <w:lang w:val="en-GB"/>
        </w:rPr>
        <w:t>The Division Bank and Insurance of the Austrian Federal Economic Chamber, as representative of the entire Austrian banking industry, appreciates the possibility to</w:t>
      </w:r>
      <w:r w:rsidRPr="00C4261E">
        <w:rPr>
          <w:rFonts w:cs="Arial"/>
          <w:color w:val="000000"/>
          <w:szCs w:val="22"/>
          <w:lang w:val="en-GB" w:eastAsia="en-US"/>
        </w:rPr>
        <w:t xml:space="preserve"> comment on the </w:t>
      </w:r>
    </w:p>
    <w:p w:rsidR="0010363C" w:rsidRPr="00C4261E" w:rsidRDefault="003053C1" w:rsidP="00D55023">
      <w:pPr>
        <w:spacing w:line="240" w:lineRule="auto"/>
        <w:ind w:right="-1"/>
        <w:rPr>
          <w:szCs w:val="22"/>
          <w:lang w:val="en-GB"/>
        </w:rPr>
      </w:pPr>
      <w:r w:rsidRPr="00C4261E">
        <w:rPr>
          <w:szCs w:val="22"/>
          <w:lang w:val="en-GB"/>
        </w:rPr>
        <w:t xml:space="preserve">Draft EBA Guidelines on limits on exposures to shadow banking entities which carry out banking activities outside a regulated framework under Article 395 para. 2 CRR </w:t>
      </w:r>
      <w:r w:rsidR="00F92824" w:rsidRPr="00C4261E">
        <w:rPr>
          <w:rFonts w:cs="Arial"/>
          <w:color w:val="000000"/>
          <w:szCs w:val="22"/>
          <w:lang w:val="en-GB" w:eastAsia="en-US"/>
        </w:rPr>
        <w:t>and would like to submit the following position:</w:t>
      </w:r>
      <w:r w:rsidR="00F92824" w:rsidRPr="00C4261E">
        <w:rPr>
          <w:szCs w:val="22"/>
          <w:lang w:val="en-US" w:eastAsia="de-AT"/>
        </w:rPr>
        <w:t xml:space="preserve"> </w:t>
      </w:r>
    </w:p>
    <w:p w:rsidR="00A879D8" w:rsidRPr="00C4261E" w:rsidRDefault="00A879D8" w:rsidP="00D55023">
      <w:pPr>
        <w:spacing w:line="240" w:lineRule="auto"/>
        <w:ind w:right="-1"/>
        <w:rPr>
          <w:rFonts w:cs="Trebuchet MS"/>
          <w:snapToGrid w:val="0"/>
          <w:szCs w:val="22"/>
          <w:lang w:val="en-GB" w:eastAsia="de-AT"/>
        </w:rPr>
      </w:pPr>
    </w:p>
    <w:p w:rsidR="003053C1" w:rsidRPr="00C4261E" w:rsidRDefault="003053C1" w:rsidP="003053C1">
      <w:pPr>
        <w:spacing w:line="240" w:lineRule="auto"/>
        <w:ind w:right="-1"/>
        <w:rPr>
          <w:rFonts w:cs="Trebuchet MS"/>
          <w:b/>
          <w:snapToGrid w:val="0"/>
          <w:szCs w:val="22"/>
          <w:lang w:val="en-GB" w:eastAsia="de-AT"/>
        </w:rPr>
      </w:pPr>
      <w:r w:rsidRPr="00C4261E">
        <w:rPr>
          <w:rFonts w:cs="Trebuchet MS"/>
          <w:b/>
          <w:snapToGrid w:val="0"/>
          <w:szCs w:val="22"/>
          <w:lang w:val="en-GB" w:eastAsia="de-AT"/>
        </w:rPr>
        <w:t>General comments</w:t>
      </w: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 </w:t>
      </w: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The proposed EBA Draft GL do not set a lower regulatory hard large exposures limit, but require banks to comply with additional requirements (stricter Pillar 2 limits) for Shadow Banking Entities. We do not agree with an approach based on stricter Pillar 2</w:t>
      </w:r>
      <w:r w:rsidR="005D2F11">
        <w:rPr>
          <w:rFonts w:cs="Trebuchet MS"/>
          <w:snapToGrid w:val="0"/>
          <w:szCs w:val="22"/>
          <w:lang w:val="en-GB" w:eastAsia="de-AT"/>
        </w:rPr>
        <w:t xml:space="preserve"> limits and suggest instead</w:t>
      </w:r>
      <w:r w:rsidRPr="00C4261E">
        <w:rPr>
          <w:rFonts w:cs="Trebuchet MS"/>
          <w:snapToGrid w:val="0"/>
          <w:szCs w:val="22"/>
          <w:lang w:val="en-GB" w:eastAsia="de-AT"/>
        </w:rPr>
        <w:t xml:space="preserve"> an approach that promotes the development and/or improvement of regulatory regimes for Shadow Banking Entities (SBE). While establishing processes and IT systems for identification and control of exposures to shadow banks as suggested by the Draft GL will be a complex task for banks, the Draft GL do not elaborate on</w:t>
      </w:r>
      <w:r w:rsidR="005D2F11">
        <w:rPr>
          <w:rFonts w:cs="Trebuchet MS"/>
          <w:snapToGrid w:val="0"/>
          <w:szCs w:val="22"/>
          <w:lang w:val="en-GB" w:eastAsia="de-AT"/>
        </w:rPr>
        <w:t xml:space="preserve"> </w:t>
      </w:r>
      <w:r w:rsidRPr="00C4261E">
        <w:rPr>
          <w:rFonts w:cs="Trebuchet MS"/>
          <w:snapToGrid w:val="0"/>
          <w:szCs w:val="22"/>
          <w:lang w:val="en-GB" w:eastAsia="de-AT"/>
        </w:rPr>
        <w:t>the consequences for the provision of credit to the real economy or the stability and orderly functioning of financial markets which are part of the EBA mandate accord</w:t>
      </w:r>
      <w:r w:rsidR="005D2F11">
        <w:rPr>
          <w:rFonts w:cs="Trebuchet MS"/>
          <w:snapToGrid w:val="0"/>
          <w:szCs w:val="22"/>
          <w:lang w:val="en-GB" w:eastAsia="de-AT"/>
        </w:rPr>
        <w:t xml:space="preserve">ing to Art. </w:t>
      </w:r>
      <w:proofErr w:type="gramStart"/>
      <w:r w:rsidR="005D2F11">
        <w:rPr>
          <w:rFonts w:cs="Trebuchet MS"/>
          <w:snapToGrid w:val="0"/>
          <w:szCs w:val="22"/>
          <w:lang w:val="en-GB" w:eastAsia="de-AT"/>
        </w:rPr>
        <w:t>395 para.</w:t>
      </w:r>
      <w:proofErr w:type="gramEnd"/>
      <w:r w:rsidR="005D2F11">
        <w:rPr>
          <w:rFonts w:cs="Trebuchet MS"/>
          <w:snapToGrid w:val="0"/>
          <w:szCs w:val="22"/>
          <w:lang w:val="en-GB" w:eastAsia="de-AT"/>
        </w:rPr>
        <w:t xml:space="preserve"> </w:t>
      </w:r>
      <w:proofErr w:type="gramStart"/>
      <w:r w:rsidR="005D2F11">
        <w:rPr>
          <w:rFonts w:cs="Trebuchet MS"/>
          <w:snapToGrid w:val="0"/>
          <w:szCs w:val="22"/>
          <w:lang w:val="en-GB" w:eastAsia="de-AT"/>
        </w:rPr>
        <w:t>2</w:t>
      </w:r>
      <w:r w:rsidRPr="00C4261E">
        <w:rPr>
          <w:rFonts w:cs="Trebuchet MS"/>
          <w:snapToGrid w:val="0"/>
          <w:szCs w:val="22"/>
          <w:lang w:val="en-GB" w:eastAsia="de-AT"/>
        </w:rPr>
        <w:t xml:space="preserve"> CRR.</w:t>
      </w:r>
      <w:proofErr w:type="gramEnd"/>
    </w:p>
    <w:p w:rsidR="003053C1" w:rsidRPr="00C4261E" w:rsidRDefault="003053C1"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b/>
          <w:snapToGrid w:val="0"/>
          <w:szCs w:val="22"/>
          <w:lang w:val="en-GB" w:eastAsia="de-AT"/>
        </w:rPr>
      </w:pPr>
      <w:r w:rsidRPr="00C4261E">
        <w:rPr>
          <w:rFonts w:cs="Trebuchet MS"/>
          <w:b/>
          <w:snapToGrid w:val="0"/>
          <w:szCs w:val="22"/>
          <w:lang w:val="en-GB" w:eastAsia="de-AT"/>
        </w:rPr>
        <w:t>Q1: Do you agree with the approach the EBA has proposed for the purposes of defining shadow banking entities? In particular:</w:t>
      </w:r>
    </w:p>
    <w:p w:rsidR="003053C1" w:rsidRPr="00C4261E" w:rsidRDefault="003053C1" w:rsidP="003053C1">
      <w:pPr>
        <w:pStyle w:val="Listenabsatz"/>
        <w:numPr>
          <w:ilvl w:val="0"/>
          <w:numId w:val="25"/>
        </w:numPr>
        <w:spacing w:line="240" w:lineRule="auto"/>
        <w:ind w:right="-1"/>
        <w:rPr>
          <w:rFonts w:cs="Trebuchet MS"/>
          <w:b/>
          <w:snapToGrid w:val="0"/>
          <w:szCs w:val="22"/>
          <w:lang w:val="en-GB" w:eastAsia="de-AT"/>
        </w:rPr>
      </w:pPr>
      <w:r w:rsidRPr="00C4261E">
        <w:rPr>
          <w:rFonts w:cs="Trebuchet MS"/>
          <w:b/>
          <w:snapToGrid w:val="0"/>
          <w:szCs w:val="22"/>
          <w:lang w:val="en-GB" w:eastAsia="de-AT"/>
        </w:rPr>
        <w:t>Do you consider that this approach is workable in practice? If not, please explain why and present possible alternatives.</w:t>
      </w:r>
    </w:p>
    <w:p w:rsidR="003053C1" w:rsidRPr="00C4261E" w:rsidRDefault="003053C1" w:rsidP="003053C1">
      <w:pPr>
        <w:pStyle w:val="Listenabsatz"/>
        <w:numPr>
          <w:ilvl w:val="0"/>
          <w:numId w:val="25"/>
        </w:numPr>
        <w:spacing w:line="240" w:lineRule="auto"/>
        <w:ind w:right="-1"/>
        <w:rPr>
          <w:rFonts w:cs="Trebuchet MS"/>
          <w:b/>
          <w:snapToGrid w:val="0"/>
          <w:szCs w:val="22"/>
          <w:lang w:val="en-GB" w:eastAsia="de-AT"/>
        </w:rPr>
      </w:pPr>
      <w:r w:rsidRPr="00C4261E">
        <w:rPr>
          <w:rFonts w:cs="Trebuchet MS"/>
          <w:b/>
          <w:snapToGrid w:val="0"/>
          <w:szCs w:val="22"/>
          <w:lang w:val="en-GB" w:eastAsia="de-AT"/>
        </w:rPr>
        <w:t>Do you agree with the proposed approach to the exclusion of certain undertakings, including the approach to the treatment of funds? In particular, do you see any risks stemming from the exclusion of non-MMF UCITS given the size of the industry? If you do not agree with the proposed approach, please explain why not and present the rationale for the alternative approach(</w:t>
      </w:r>
      <w:proofErr w:type="spellStart"/>
      <w:r w:rsidRPr="00C4261E">
        <w:rPr>
          <w:rFonts w:cs="Trebuchet MS"/>
          <w:b/>
          <w:snapToGrid w:val="0"/>
          <w:szCs w:val="22"/>
          <w:lang w:val="en-GB" w:eastAsia="de-AT"/>
        </w:rPr>
        <w:t>es</w:t>
      </w:r>
      <w:proofErr w:type="spellEnd"/>
      <w:r w:rsidRPr="00C4261E">
        <w:rPr>
          <w:rFonts w:cs="Trebuchet MS"/>
          <w:b/>
          <w:snapToGrid w:val="0"/>
          <w:szCs w:val="22"/>
          <w:lang w:val="en-GB" w:eastAsia="de-AT"/>
        </w:rPr>
        <w:t xml:space="preserve">) (e.g. on the basis of specific prudential requirements, redemption limits, maximum liquidity mismatch and leverage </w:t>
      </w:r>
      <w:proofErr w:type="spellStart"/>
      <w:r w:rsidRPr="00C4261E">
        <w:rPr>
          <w:rFonts w:cs="Trebuchet MS"/>
          <w:b/>
          <w:snapToGrid w:val="0"/>
          <w:szCs w:val="22"/>
          <w:lang w:val="en-GB" w:eastAsia="de-AT"/>
        </w:rPr>
        <w:t>etc</w:t>
      </w:r>
      <w:proofErr w:type="spellEnd"/>
      <w:r w:rsidRPr="00C4261E">
        <w:rPr>
          <w:rFonts w:cs="Trebuchet MS"/>
          <w:b/>
          <w:snapToGrid w:val="0"/>
          <w:szCs w:val="22"/>
          <w:lang w:val="en-GB" w:eastAsia="de-AT"/>
        </w:rPr>
        <w:t xml:space="preserve">). </w:t>
      </w:r>
    </w:p>
    <w:p w:rsidR="003053C1" w:rsidRPr="00C4261E" w:rsidRDefault="003053C1"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We consider the definition for shadow banking entities as described in Point 6 (Definitions) of the Draft Guidelines as too imprecise which will result in inconsistency in the interpretation </w:t>
      </w:r>
      <w:r w:rsidRPr="00C4261E">
        <w:rPr>
          <w:rFonts w:cs="Trebuchet MS"/>
          <w:snapToGrid w:val="0"/>
          <w:szCs w:val="22"/>
          <w:lang w:val="en-GB" w:eastAsia="de-AT"/>
        </w:rPr>
        <w:lastRenderedPageBreak/>
        <w:t xml:space="preserve">and not comparable results by the institutions. Furthermore the IT-implementation to identify these entities will be a complex task. </w:t>
      </w:r>
    </w:p>
    <w:p w:rsidR="003053C1" w:rsidRPr="00C4261E" w:rsidRDefault="003053C1" w:rsidP="003053C1">
      <w:pPr>
        <w:spacing w:line="240" w:lineRule="auto"/>
        <w:ind w:right="-1"/>
        <w:rPr>
          <w:rFonts w:cs="Trebuchet MS"/>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The proposed t</w:t>
      </w:r>
      <w:r w:rsidR="00C73D55">
        <w:rPr>
          <w:rFonts w:cs="Trebuchet MS"/>
          <w:snapToGrid w:val="0"/>
          <w:szCs w:val="22"/>
          <w:lang w:val="en-GB" w:eastAsia="de-AT"/>
        </w:rPr>
        <w:t>hreshold for the definition of e</w:t>
      </w:r>
      <w:r w:rsidRPr="00C4261E">
        <w:rPr>
          <w:rFonts w:cs="Trebuchet MS"/>
          <w:snapToGrid w:val="0"/>
          <w:szCs w:val="22"/>
          <w:lang w:val="en-GB" w:eastAsia="de-AT"/>
        </w:rPr>
        <w:t xml:space="preserve">xposures to shadow banking entities with 0.25% of a bank's eligible capital is far too low, as the intended purpose of the guideline is to introduce limits for large exposures according to Art. </w:t>
      </w:r>
      <w:proofErr w:type="gramStart"/>
      <w:r w:rsidRPr="00C4261E">
        <w:rPr>
          <w:rFonts w:cs="Trebuchet MS"/>
          <w:snapToGrid w:val="0"/>
          <w:szCs w:val="22"/>
          <w:lang w:val="en-GB" w:eastAsia="de-AT"/>
        </w:rPr>
        <w:t>395 CRR.</w:t>
      </w:r>
      <w:proofErr w:type="gramEnd"/>
      <w:r w:rsidRPr="00C4261E">
        <w:rPr>
          <w:rFonts w:cs="Trebuchet MS"/>
          <w:snapToGrid w:val="0"/>
          <w:szCs w:val="22"/>
          <w:lang w:val="en-GB" w:eastAsia="de-AT"/>
        </w:rPr>
        <w:t xml:space="preserve"> Moreover it is not defined if this threshold refers to the exposure of a client or of a group of connected clients.  </w:t>
      </w: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 </w:t>
      </w: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As regards excluded undertakings, it is unclear how they have to </w:t>
      </w:r>
      <w:r w:rsidR="00C73D55">
        <w:rPr>
          <w:rFonts w:cs="Trebuchet MS"/>
          <w:snapToGrid w:val="0"/>
          <w:szCs w:val="22"/>
          <w:lang w:val="en-GB" w:eastAsia="de-AT"/>
        </w:rPr>
        <w:t xml:space="preserve">be </w:t>
      </w:r>
      <w:r w:rsidRPr="00C4261E">
        <w:rPr>
          <w:rFonts w:cs="Trebuchet MS"/>
          <w:snapToGrid w:val="0"/>
          <w:szCs w:val="22"/>
          <w:lang w:val="en-GB" w:eastAsia="de-AT"/>
        </w:rPr>
        <w:t>excluded - as single entity or group of connected clients (GCC)? Imagine for instance a GCC consisting of a third country and a bank owned/controlled by that third country (assuming the third country is not equivalent).</w:t>
      </w: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 </w:t>
      </w: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For the treatment of entities within the scope of prudential consolidation, we prefer Option 3 as described under 5. Accompanying documents point 5.1.3 (Options Considered) on page 28. </w:t>
      </w:r>
      <w:r w:rsidR="00C73D55">
        <w:rPr>
          <w:rFonts w:cs="Trebuchet MS"/>
          <w:snapToGrid w:val="0"/>
          <w:szCs w:val="22"/>
          <w:lang w:val="en-GB" w:eastAsia="de-AT"/>
        </w:rPr>
        <w:t>With regards to</w:t>
      </w:r>
      <w:r w:rsidRPr="00C4261E">
        <w:rPr>
          <w:rFonts w:cs="Trebuchet MS"/>
          <w:snapToGrid w:val="0"/>
          <w:szCs w:val="22"/>
          <w:lang w:val="en-GB" w:eastAsia="de-AT"/>
        </w:rPr>
        <w:t xml:space="preserve"> entities which are not within the scope of prudential consolidation we prefer Option 2 (the intermediate approach) on page 29. As regards credit institutions of equivalent third countries, it is not clear if these countries are limited to countries listed in the COM Implementing Act dated Dec. 2014 which would be too narrow.</w:t>
      </w:r>
    </w:p>
    <w:p w:rsidR="003053C1" w:rsidRPr="00C4261E" w:rsidRDefault="003053C1" w:rsidP="003053C1">
      <w:pPr>
        <w:spacing w:line="240" w:lineRule="auto"/>
        <w:ind w:right="-1"/>
        <w:rPr>
          <w:rFonts w:cs="Trebuchet MS"/>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Under Point 6 (Definitions, page 18) point (3) (g) should be expanded. Not only sovereigns and local governments in </w:t>
      </w:r>
      <w:proofErr w:type="gramStart"/>
      <w:r w:rsidRPr="00C4261E">
        <w:rPr>
          <w:rFonts w:cs="Trebuchet MS"/>
          <w:snapToGrid w:val="0"/>
          <w:szCs w:val="22"/>
          <w:lang w:val="en-GB" w:eastAsia="de-AT"/>
        </w:rPr>
        <w:t>EU  Member</w:t>
      </w:r>
      <w:proofErr w:type="gramEnd"/>
      <w:r w:rsidRPr="00C4261E">
        <w:rPr>
          <w:rFonts w:cs="Trebuchet MS"/>
          <w:snapToGrid w:val="0"/>
          <w:szCs w:val="22"/>
          <w:lang w:val="en-GB" w:eastAsia="de-AT"/>
        </w:rPr>
        <w:t xml:space="preserve"> States should be excluded from the term of shadow banking entity but every sovereign or local government without geographical restriction.</w:t>
      </w:r>
    </w:p>
    <w:p w:rsidR="003053C1" w:rsidRPr="00C4261E" w:rsidRDefault="003053C1" w:rsidP="003053C1">
      <w:pPr>
        <w:spacing w:line="240" w:lineRule="auto"/>
        <w:ind w:right="-1"/>
        <w:rPr>
          <w:rFonts w:cs="Trebuchet MS"/>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We do not support that UCITS Money market funds (MMFs) are not excluded from Shadow Banking Entities - all UCITS funds (MMF and non-MMF) should be excluded.</w:t>
      </w:r>
    </w:p>
    <w:p w:rsidR="003053C1" w:rsidRPr="00C4261E" w:rsidRDefault="003053C1" w:rsidP="003053C1">
      <w:pPr>
        <w:spacing w:line="240" w:lineRule="auto"/>
        <w:ind w:right="-1"/>
        <w:rPr>
          <w:rFonts w:cs="Trebuchet MS"/>
          <w:snapToGrid w:val="0"/>
          <w:szCs w:val="22"/>
          <w:lang w:val="en-GB" w:eastAsia="de-AT"/>
        </w:rPr>
      </w:pPr>
    </w:p>
    <w:p w:rsidR="003053C1" w:rsidRPr="00C4261E" w:rsidRDefault="003053C1" w:rsidP="003053C1">
      <w:pPr>
        <w:spacing w:line="240" w:lineRule="auto"/>
        <w:ind w:right="-1"/>
        <w:rPr>
          <w:rFonts w:cs="Trebuchet MS"/>
          <w:b/>
          <w:snapToGrid w:val="0"/>
          <w:szCs w:val="22"/>
          <w:lang w:val="en-GB" w:eastAsia="de-AT"/>
        </w:rPr>
      </w:pPr>
      <w:r w:rsidRPr="00C4261E">
        <w:rPr>
          <w:rFonts w:cs="Trebuchet MS"/>
          <w:b/>
          <w:snapToGrid w:val="0"/>
          <w:szCs w:val="22"/>
          <w:lang w:val="en-GB" w:eastAsia="de-AT"/>
        </w:rPr>
        <w:t>Q2: Do you agree with the approach the EBA has proposed for the purposes of establishing effective processes and control mechanisms? If not, please explain why and present possible alternatives.</w:t>
      </w:r>
    </w:p>
    <w:p w:rsidR="003053C1" w:rsidRPr="00C4261E" w:rsidRDefault="003053C1"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We are opposed to the idea of introducing additional Pillar 2 qualitative requirements, like the ones in Title II paras 1 and 2, explicitly for shadow banking entities. The qualitative Pillar 2 requirements set by CRD IV have already been implemented in full in national law. It is not clear why these guidelines should set requirements aimed specifically at shadow banks when the same requirements already apply to all borrowers anyway and are already included in various other EBA guidelines (e.g. those on internal governance, SREP). The requirements in Title II, paras 1 and 2 would create unnecessary additional administrative work since separate frameworks, policies and reporting systems would need to be developed specifically for shadow banking entities and these would be subject to separate verification by supervisors and auditors. We do not see any corresponding benefit.</w:t>
      </w:r>
    </w:p>
    <w:p w:rsidR="003053C1" w:rsidRPr="00C4261E" w:rsidRDefault="003053C1"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b/>
          <w:snapToGrid w:val="0"/>
          <w:szCs w:val="22"/>
          <w:lang w:val="en-GB" w:eastAsia="de-AT"/>
        </w:rPr>
      </w:pPr>
      <w:r w:rsidRPr="00C4261E">
        <w:rPr>
          <w:rFonts w:cs="Trebuchet MS"/>
          <w:b/>
          <w:snapToGrid w:val="0"/>
          <w:szCs w:val="22"/>
          <w:lang w:val="en-GB" w:eastAsia="de-AT"/>
        </w:rPr>
        <w:t>Q3: Do you agree with the approach the EBA has proposed for the purposes of establishing appropriate oversight arrangements? If not, please explain why and present possible alternatives.</w:t>
      </w:r>
    </w:p>
    <w:p w:rsidR="003053C1" w:rsidRPr="00C4261E" w:rsidRDefault="003053C1"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As outlined in our comments to question two, we do oppose the idea of introducing special qualitative requirements for SBEs only that are usually part of other regulation for Pillar II. Risk management processes are reviewed by the management body on a regular basis. But this assessment covers the entire risk portfolio. In addition we would like to draw again the attention on the fact that SBEs should not be considered as a single risk category.  </w:t>
      </w:r>
    </w:p>
    <w:p w:rsidR="003053C1" w:rsidRPr="00C4261E" w:rsidRDefault="003053C1"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b/>
          <w:snapToGrid w:val="0"/>
          <w:szCs w:val="22"/>
          <w:lang w:val="en-GB" w:eastAsia="de-AT"/>
        </w:rPr>
      </w:pPr>
      <w:r w:rsidRPr="00C4261E">
        <w:rPr>
          <w:rFonts w:cs="Trebuchet MS"/>
          <w:b/>
          <w:snapToGrid w:val="0"/>
          <w:szCs w:val="22"/>
          <w:lang w:val="en-GB" w:eastAsia="de-AT"/>
        </w:rPr>
        <w:t>Q4: Do you agree with the approaches the EBA has proposed for the purposes of establishing aggregate and individual limits? If not, please explain why and present possible alternatives.</w:t>
      </w:r>
    </w:p>
    <w:p w:rsidR="003053C1" w:rsidRPr="00C4261E" w:rsidRDefault="003053C1"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We do not believe it makes good sense to set special aggregate and/or individual limits on exposures to shadow banking entities under Pillar 2 since the shadow banking sector is highly heterogeneous and no risk management benefits would ensue, which should always be a prerequisite for setting a limit. In any event, individual limits are already set for every client and group of connected clients as a result of routine lending processes or banks’ strategies for managing credit risk.</w:t>
      </w:r>
    </w:p>
    <w:p w:rsidR="003053C1" w:rsidRPr="00C4261E" w:rsidRDefault="003053C1" w:rsidP="003053C1">
      <w:pPr>
        <w:spacing w:line="240" w:lineRule="auto"/>
        <w:ind w:right="-1"/>
        <w:rPr>
          <w:rFonts w:cs="Trebuchet MS"/>
          <w:b/>
          <w:snapToGrid w:val="0"/>
          <w:szCs w:val="22"/>
          <w:lang w:val="en-GB" w:eastAsia="de-AT"/>
        </w:rPr>
      </w:pPr>
    </w:p>
    <w:p w:rsidR="007E6DD4" w:rsidRDefault="007E6DD4" w:rsidP="003053C1">
      <w:pPr>
        <w:spacing w:line="240" w:lineRule="auto"/>
        <w:ind w:right="-1"/>
        <w:rPr>
          <w:rFonts w:cs="Trebuchet MS"/>
          <w:b/>
          <w:snapToGrid w:val="0"/>
          <w:szCs w:val="22"/>
          <w:lang w:val="en-GB" w:eastAsia="de-AT"/>
        </w:rPr>
      </w:pPr>
      <w:r w:rsidRPr="007E6DD4">
        <w:rPr>
          <w:rFonts w:cs="Trebuchet MS"/>
          <w:b/>
          <w:snapToGrid w:val="0"/>
          <w:szCs w:val="22"/>
          <w:lang w:val="en-GB" w:eastAsia="de-AT"/>
        </w:rPr>
        <w:t xml:space="preserve">Q5: Do you think that Option 2 is preferable to Option 1 for the </w:t>
      </w:r>
      <w:proofErr w:type="spellStart"/>
      <w:r w:rsidRPr="007E6DD4">
        <w:rPr>
          <w:rFonts w:cs="Trebuchet MS"/>
          <w:b/>
          <w:snapToGrid w:val="0"/>
          <w:szCs w:val="22"/>
          <w:lang w:val="en-GB" w:eastAsia="de-AT"/>
        </w:rPr>
        <w:t>fallback</w:t>
      </w:r>
      <w:proofErr w:type="spellEnd"/>
      <w:r w:rsidRPr="007E6DD4">
        <w:rPr>
          <w:rFonts w:cs="Trebuchet MS"/>
          <w:b/>
          <w:snapToGrid w:val="0"/>
          <w:szCs w:val="22"/>
          <w:lang w:val="en-GB" w:eastAsia="de-AT"/>
        </w:rPr>
        <w:t xml:space="preserve"> approac</w:t>
      </w:r>
      <w:r>
        <w:rPr>
          <w:rFonts w:cs="Trebuchet MS"/>
          <w:b/>
          <w:snapToGrid w:val="0"/>
          <w:szCs w:val="22"/>
          <w:lang w:val="en-GB" w:eastAsia="de-AT"/>
        </w:rPr>
        <w:t xml:space="preserve">h? </w:t>
      </w:r>
      <w:proofErr w:type="gramStart"/>
      <w:r>
        <w:rPr>
          <w:rFonts w:cs="Trebuchet MS"/>
          <w:b/>
          <w:snapToGrid w:val="0"/>
          <w:szCs w:val="22"/>
          <w:lang w:val="en-GB" w:eastAsia="de-AT"/>
        </w:rPr>
        <w:t>If so, why?</w:t>
      </w:r>
      <w:proofErr w:type="gramEnd"/>
      <w:r>
        <w:rPr>
          <w:rFonts w:cs="Trebuchet MS"/>
          <w:b/>
          <w:snapToGrid w:val="0"/>
          <w:szCs w:val="22"/>
          <w:lang w:val="en-GB" w:eastAsia="de-AT"/>
        </w:rPr>
        <w:t xml:space="preserve"> In particular: </w:t>
      </w:r>
    </w:p>
    <w:p w:rsidR="007E6DD4" w:rsidRDefault="007E6DD4" w:rsidP="007E6DD4">
      <w:pPr>
        <w:pStyle w:val="Listenabsatz"/>
        <w:numPr>
          <w:ilvl w:val="0"/>
          <w:numId w:val="25"/>
        </w:numPr>
        <w:spacing w:line="240" w:lineRule="auto"/>
        <w:ind w:right="-1"/>
        <w:rPr>
          <w:rFonts w:cs="Trebuchet MS"/>
          <w:b/>
          <w:snapToGrid w:val="0"/>
          <w:szCs w:val="22"/>
          <w:lang w:val="en-GB" w:eastAsia="de-AT"/>
        </w:rPr>
      </w:pPr>
      <w:r w:rsidRPr="007E6DD4">
        <w:rPr>
          <w:rFonts w:cs="Trebuchet MS"/>
          <w:b/>
          <w:snapToGrid w:val="0"/>
          <w:szCs w:val="22"/>
          <w:lang w:val="en-GB" w:eastAsia="de-AT"/>
        </w:rPr>
        <w:t>Do you believe that Option 2 provides more incentives to gather information a</w:t>
      </w:r>
      <w:r>
        <w:rPr>
          <w:rFonts w:cs="Trebuchet MS"/>
          <w:b/>
          <w:snapToGrid w:val="0"/>
          <w:szCs w:val="22"/>
          <w:lang w:val="en-GB" w:eastAsia="de-AT"/>
        </w:rPr>
        <w:t>bout exposures than Option 1?</w:t>
      </w:r>
    </w:p>
    <w:p w:rsidR="007E6DD4" w:rsidRDefault="007E6DD4" w:rsidP="007E6DD4">
      <w:pPr>
        <w:pStyle w:val="Listenabsatz"/>
        <w:numPr>
          <w:ilvl w:val="0"/>
          <w:numId w:val="25"/>
        </w:numPr>
        <w:spacing w:line="240" w:lineRule="auto"/>
        <w:ind w:right="-1"/>
        <w:rPr>
          <w:rFonts w:cs="Trebuchet MS"/>
          <w:b/>
          <w:snapToGrid w:val="0"/>
          <w:szCs w:val="22"/>
          <w:lang w:val="en-GB" w:eastAsia="de-AT"/>
        </w:rPr>
      </w:pPr>
      <w:r w:rsidRPr="007E6DD4">
        <w:rPr>
          <w:rFonts w:cs="Trebuchet MS"/>
          <w:b/>
          <w:snapToGrid w:val="0"/>
          <w:szCs w:val="22"/>
          <w:lang w:val="en-GB" w:eastAsia="de-AT"/>
        </w:rPr>
        <w:t>Do you believe that Option 2 can be more conservativ</w:t>
      </w:r>
      <w:r>
        <w:rPr>
          <w:rFonts w:cs="Trebuchet MS"/>
          <w:b/>
          <w:snapToGrid w:val="0"/>
          <w:szCs w:val="22"/>
          <w:lang w:val="en-GB" w:eastAsia="de-AT"/>
        </w:rPr>
        <w:t>e than Option 1? If so, when?</w:t>
      </w:r>
    </w:p>
    <w:p w:rsidR="003053C1" w:rsidRPr="007E6DD4" w:rsidRDefault="007E6DD4" w:rsidP="007E6DD4">
      <w:pPr>
        <w:pStyle w:val="Listenabsatz"/>
        <w:numPr>
          <w:ilvl w:val="0"/>
          <w:numId w:val="25"/>
        </w:numPr>
        <w:spacing w:line="240" w:lineRule="auto"/>
        <w:ind w:right="-1"/>
        <w:rPr>
          <w:rFonts w:cs="Trebuchet MS"/>
          <w:b/>
          <w:snapToGrid w:val="0"/>
          <w:szCs w:val="22"/>
          <w:lang w:val="en-GB" w:eastAsia="de-AT"/>
        </w:rPr>
      </w:pPr>
      <w:r w:rsidRPr="007E6DD4">
        <w:rPr>
          <w:rFonts w:cs="Trebuchet MS"/>
          <w:b/>
          <w:snapToGrid w:val="0"/>
          <w:szCs w:val="22"/>
          <w:lang w:val="en-GB" w:eastAsia="de-AT"/>
        </w:rPr>
        <w:t>Do you see some practical issues in implementing one option rather than the other?</w:t>
      </w:r>
    </w:p>
    <w:p w:rsidR="007E6DD4" w:rsidRPr="00C4261E" w:rsidRDefault="007E6DD4"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We prefer </w:t>
      </w:r>
      <w:r w:rsidR="007E6DD4">
        <w:rPr>
          <w:rFonts w:cs="Trebuchet MS"/>
          <w:snapToGrid w:val="0"/>
          <w:szCs w:val="22"/>
          <w:lang w:val="en-GB" w:eastAsia="de-AT"/>
        </w:rPr>
        <w:t xml:space="preserve">a </w:t>
      </w:r>
      <w:proofErr w:type="spellStart"/>
      <w:r w:rsidRPr="00C4261E">
        <w:rPr>
          <w:rFonts w:cs="Trebuchet MS"/>
          <w:snapToGrid w:val="0"/>
          <w:szCs w:val="22"/>
          <w:lang w:val="en-GB" w:eastAsia="de-AT"/>
        </w:rPr>
        <w:t>fallback</w:t>
      </w:r>
      <w:proofErr w:type="spellEnd"/>
      <w:r w:rsidRPr="00C4261E">
        <w:rPr>
          <w:rFonts w:cs="Trebuchet MS"/>
          <w:snapToGrid w:val="0"/>
          <w:szCs w:val="22"/>
          <w:lang w:val="en-GB" w:eastAsia="de-AT"/>
        </w:rPr>
        <w:t xml:space="preserve"> approach based on option 2. SBE </w:t>
      </w:r>
      <w:proofErr w:type="gramStart"/>
      <w:r w:rsidRPr="00C4261E">
        <w:rPr>
          <w:rFonts w:cs="Trebuchet MS"/>
          <w:snapToGrid w:val="0"/>
          <w:szCs w:val="22"/>
          <w:lang w:val="en-GB" w:eastAsia="de-AT"/>
        </w:rPr>
        <w:t>are</w:t>
      </w:r>
      <w:proofErr w:type="gramEnd"/>
      <w:r w:rsidRPr="00C4261E">
        <w:rPr>
          <w:rFonts w:cs="Trebuchet MS"/>
          <w:snapToGrid w:val="0"/>
          <w:szCs w:val="22"/>
          <w:lang w:val="en-GB" w:eastAsia="de-AT"/>
        </w:rPr>
        <w:t xml:space="preserve"> a very heterogeneous group with different business models, levels of disclosure and with different risk levels within their portfolios. Based on this heterogeneity, it does not seem appropriate that, if a credit institution gathers all required information for the majority of those entities but, for a small group of SBE, cannot obtain the information required to set a meaningful limits framework, all the bank’s exposures to all SBE (regardless of the information obtained) should be perceived as an exposure to the “same client” and, as such, will be subject to a 25% aggregate limit. </w:t>
      </w:r>
    </w:p>
    <w:p w:rsidR="003053C1" w:rsidRPr="00C4261E" w:rsidRDefault="003053C1" w:rsidP="003053C1">
      <w:pPr>
        <w:spacing w:line="240" w:lineRule="auto"/>
        <w:ind w:right="-1"/>
        <w:rPr>
          <w:rFonts w:cs="Trebuchet MS"/>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Option 1 does not provide incentives to develop a robust assessment process as the non-compliance with a principal approach for just one SBE exposure will lead to an overall limit to all SBE exposures. Even if, in these situations, banks decide to run</w:t>
      </w:r>
      <w:r w:rsidR="000D0A6E">
        <w:rPr>
          <w:rFonts w:cs="Trebuchet MS"/>
          <w:snapToGrid w:val="0"/>
          <w:szCs w:val="22"/>
          <w:lang w:val="en-GB" w:eastAsia="de-AT"/>
        </w:rPr>
        <w:t xml:space="preserve"> </w:t>
      </w:r>
      <w:r w:rsidRPr="00C4261E">
        <w:rPr>
          <w:rFonts w:cs="Trebuchet MS"/>
          <w:snapToGrid w:val="0"/>
          <w:szCs w:val="22"/>
          <w:lang w:val="en-GB" w:eastAsia="de-AT"/>
        </w:rPr>
        <w:t>off the portfolios to the specific SBEs to which they cannot obtain the required information, this will lead to an increase of exposures to “principal approach compliant” SBE, which, on the other hand, will result in concentration risk challenges. Furthermore, option 1 could lead, on the short term, to swift systemic events res</w:t>
      </w:r>
      <w:r w:rsidR="000D0A6E">
        <w:rPr>
          <w:rFonts w:cs="Trebuchet MS"/>
          <w:snapToGrid w:val="0"/>
          <w:szCs w:val="22"/>
          <w:lang w:val="en-GB" w:eastAsia="de-AT"/>
        </w:rPr>
        <w:t>ulting from the insolvency/</w:t>
      </w:r>
      <w:r w:rsidRPr="00C4261E">
        <w:rPr>
          <w:rFonts w:cs="Trebuchet MS"/>
          <w:snapToGrid w:val="0"/>
          <w:szCs w:val="22"/>
          <w:lang w:val="en-GB" w:eastAsia="de-AT"/>
        </w:rPr>
        <w:t xml:space="preserve">fire sale of assets from the SBE that cannot provide the necessary information of the banking sector. </w:t>
      </w:r>
    </w:p>
    <w:p w:rsidR="00C4261E" w:rsidRPr="00C4261E" w:rsidRDefault="00C4261E" w:rsidP="003053C1">
      <w:pPr>
        <w:spacing w:line="240" w:lineRule="auto"/>
        <w:ind w:right="-1"/>
        <w:rPr>
          <w:rFonts w:cs="Trebuchet MS"/>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In summary, SBEs are different and will be at different stages of evolution, both features that are not controlled by banks. As such, the potential absence of information from specific SBE groups should not lead to restricted limits to other sophisticated SBE groups, as proposed under option 1.</w:t>
      </w:r>
    </w:p>
    <w:p w:rsidR="003053C1" w:rsidRPr="00C4261E" w:rsidRDefault="003053C1" w:rsidP="003053C1">
      <w:pPr>
        <w:spacing w:line="240" w:lineRule="auto"/>
        <w:ind w:right="-1"/>
        <w:rPr>
          <w:rFonts w:cs="Trebuchet MS"/>
          <w:b/>
          <w:snapToGrid w:val="0"/>
          <w:szCs w:val="22"/>
          <w:lang w:val="en-GB" w:eastAsia="de-AT"/>
        </w:rPr>
      </w:pPr>
    </w:p>
    <w:p w:rsidR="003053C1" w:rsidRPr="00C4261E" w:rsidRDefault="003053C1" w:rsidP="003053C1">
      <w:pPr>
        <w:spacing w:line="240" w:lineRule="auto"/>
        <w:ind w:right="-1"/>
        <w:rPr>
          <w:rFonts w:cs="Trebuchet MS"/>
          <w:b/>
          <w:snapToGrid w:val="0"/>
          <w:szCs w:val="22"/>
          <w:lang w:val="en-GB" w:eastAsia="de-AT"/>
        </w:rPr>
      </w:pPr>
      <w:r w:rsidRPr="00C4261E">
        <w:rPr>
          <w:rFonts w:cs="Trebuchet MS"/>
          <w:b/>
          <w:snapToGrid w:val="0"/>
          <w:szCs w:val="22"/>
          <w:lang w:val="en-GB" w:eastAsia="de-AT"/>
        </w:rPr>
        <w:t xml:space="preserve">Q6: Taking into account, in particular, the fact that the 25% limit is consistent with the current limit in the large exposures framework, do you agree it is an adequate limit for the </w:t>
      </w:r>
      <w:proofErr w:type="spellStart"/>
      <w:r w:rsidRPr="00C4261E">
        <w:rPr>
          <w:rFonts w:cs="Trebuchet MS"/>
          <w:b/>
          <w:snapToGrid w:val="0"/>
          <w:szCs w:val="22"/>
          <w:lang w:val="en-GB" w:eastAsia="de-AT"/>
        </w:rPr>
        <w:t>fallback</w:t>
      </w:r>
      <w:proofErr w:type="spellEnd"/>
      <w:r w:rsidRPr="00C4261E">
        <w:rPr>
          <w:rFonts w:cs="Trebuchet MS"/>
          <w:b/>
          <w:snapToGrid w:val="0"/>
          <w:szCs w:val="22"/>
          <w:lang w:val="en-GB" w:eastAsia="de-AT"/>
        </w:rPr>
        <w:t xml:space="preserve"> approach? If not, why? What would the impact of such a limit be in the case of Option 1? </w:t>
      </w:r>
      <w:proofErr w:type="gramStart"/>
      <w:r w:rsidRPr="00C4261E">
        <w:rPr>
          <w:rFonts w:cs="Trebuchet MS"/>
          <w:b/>
          <w:snapToGrid w:val="0"/>
          <w:szCs w:val="22"/>
          <w:lang w:val="en-GB" w:eastAsia="de-AT"/>
        </w:rPr>
        <w:t>And in the case of Option 2?</w:t>
      </w:r>
      <w:proofErr w:type="gramEnd"/>
    </w:p>
    <w:p w:rsidR="003053C1" w:rsidRPr="003053C1" w:rsidRDefault="003053C1" w:rsidP="003053C1">
      <w:pPr>
        <w:spacing w:line="240" w:lineRule="auto"/>
        <w:ind w:right="-1"/>
        <w:rPr>
          <w:rFonts w:cs="Trebuchet MS"/>
          <w:b/>
          <w:snapToGrid w:val="0"/>
          <w:sz w:val="24"/>
          <w:szCs w:val="24"/>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Under fall-back Option 1, an aggregate 25% limit for all exposures to SBE would be overly conservative and spark fire sales thereby destabilising markets and affecting credit mediation</w:t>
      </w:r>
      <w:r w:rsidR="000D0A6E">
        <w:rPr>
          <w:rFonts w:cs="Trebuchet MS"/>
          <w:snapToGrid w:val="0"/>
          <w:szCs w:val="22"/>
          <w:lang w:val="en-GB" w:eastAsia="de-AT"/>
        </w:rPr>
        <w:t>. EBA should</w:t>
      </w:r>
      <w:bookmarkStart w:id="0" w:name="_GoBack"/>
      <w:bookmarkEnd w:id="0"/>
      <w:r w:rsidRPr="00C4261E">
        <w:rPr>
          <w:rFonts w:cs="Trebuchet MS"/>
          <w:snapToGrid w:val="0"/>
          <w:szCs w:val="22"/>
          <w:lang w:val="en-GB" w:eastAsia="de-AT"/>
        </w:rPr>
        <w:t xml:space="preserve"> reconsider this potentially heavy cost of "incentivising" banks to use the principal approach.</w:t>
      </w:r>
    </w:p>
    <w:p w:rsidR="00C4261E" w:rsidRPr="00C4261E" w:rsidRDefault="00C4261E" w:rsidP="003053C1">
      <w:pPr>
        <w:spacing w:line="240" w:lineRule="auto"/>
        <w:ind w:right="-1"/>
        <w:rPr>
          <w:rFonts w:cs="Trebuchet MS"/>
          <w:snapToGrid w:val="0"/>
          <w:szCs w:val="22"/>
          <w:lang w:val="en-GB" w:eastAsia="de-AT"/>
        </w:rPr>
      </w:pPr>
    </w:p>
    <w:p w:rsidR="003053C1" w:rsidRPr="00C4261E" w:rsidRDefault="003053C1" w:rsidP="003053C1">
      <w:pPr>
        <w:spacing w:line="240" w:lineRule="auto"/>
        <w:ind w:right="-1"/>
        <w:rPr>
          <w:rFonts w:cs="Trebuchet MS"/>
          <w:snapToGrid w:val="0"/>
          <w:szCs w:val="22"/>
          <w:lang w:val="en-GB" w:eastAsia="de-AT"/>
        </w:rPr>
      </w:pPr>
      <w:r w:rsidRPr="00C4261E">
        <w:rPr>
          <w:rFonts w:cs="Trebuchet MS"/>
          <w:snapToGrid w:val="0"/>
          <w:szCs w:val="22"/>
          <w:lang w:val="en-GB" w:eastAsia="de-AT"/>
        </w:rPr>
        <w:t xml:space="preserve">We do not agree with the assumption mentioned on page 13 which states that “in the absence of sufficient information, all exposures to shadow banking entities could be connected” and so indicates that they should be understood as the same client. As such, although the information gathered could not allow the compliance with all specific rules of the principal approach under Title II, this does not mean that, based on the information collected, there is an inability to evaluate the interconnection between SBE and so, concluding that they are all </w:t>
      </w:r>
      <w:r w:rsidRPr="00C4261E">
        <w:rPr>
          <w:rFonts w:cs="Trebuchet MS"/>
          <w:snapToGrid w:val="0"/>
          <w:szCs w:val="22"/>
          <w:lang w:val="en-GB" w:eastAsia="de-AT"/>
        </w:rPr>
        <w:lastRenderedPageBreak/>
        <w:t>connected. Moreover, this example also illustrates that the framework does not appropriately capture the risk of the exposure to the SBE thus calling for a different, simpler approach.</w:t>
      </w:r>
    </w:p>
    <w:p w:rsidR="003053C1" w:rsidRDefault="003053C1" w:rsidP="00D55023">
      <w:pPr>
        <w:spacing w:line="240" w:lineRule="auto"/>
        <w:ind w:right="-1"/>
        <w:rPr>
          <w:rFonts w:cs="Trebuchet MS"/>
          <w:b/>
          <w:snapToGrid w:val="0"/>
          <w:sz w:val="24"/>
          <w:szCs w:val="24"/>
          <w:lang w:val="en-GB" w:eastAsia="de-AT"/>
        </w:rPr>
      </w:pPr>
    </w:p>
    <w:p w:rsidR="003053C1" w:rsidRDefault="003053C1" w:rsidP="00D55023">
      <w:pPr>
        <w:spacing w:line="240" w:lineRule="auto"/>
        <w:ind w:right="-1"/>
        <w:rPr>
          <w:lang w:val="en-GB"/>
        </w:rPr>
      </w:pPr>
    </w:p>
    <w:p w:rsidR="00EB6FE5" w:rsidRPr="006D3EDC" w:rsidRDefault="00EB6FE5" w:rsidP="00D55023">
      <w:pPr>
        <w:spacing w:line="240" w:lineRule="auto"/>
        <w:ind w:right="-1"/>
        <w:rPr>
          <w:lang w:val="en-GB"/>
        </w:rPr>
      </w:pPr>
      <w:r w:rsidRPr="006D3EDC">
        <w:rPr>
          <w:lang w:val="en-GB"/>
        </w:rPr>
        <w:t>Please give our concerns due consideration.</w:t>
      </w:r>
    </w:p>
    <w:p w:rsidR="00C12058" w:rsidRPr="006D3EDC" w:rsidRDefault="00C12058" w:rsidP="00D55023">
      <w:pPr>
        <w:spacing w:line="240" w:lineRule="auto"/>
        <w:rPr>
          <w:rFonts w:cs="Arial"/>
          <w:color w:val="000000"/>
          <w:lang w:val="en-GB" w:eastAsia="en-US"/>
        </w:rPr>
      </w:pPr>
    </w:p>
    <w:p w:rsidR="00A879D8" w:rsidRDefault="00A879D8" w:rsidP="00D55023">
      <w:pPr>
        <w:spacing w:line="240" w:lineRule="auto"/>
        <w:rPr>
          <w:rFonts w:cs="Arial"/>
          <w:color w:val="000000"/>
          <w:lang w:val="en-GB" w:eastAsia="en-US"/>
        </w:rPr>
      </w:pPr>
    </w:p>
    <w:p w:rsidR="00A55AE6" w:rsidRPr="006D3EDC" w:rsidRDefault="00A55AE6" w:rsidP="00D55023">
      <w:pPr>
        <w:spacing w:line="240" w:lineRule="auto"/>
        <w:rPr>
          <w:rFonts w:cs="Arial"/>
          <w:color w:val="000000"/>
          <w:lang w:val="en-GB" w:eastAsia="en-US"/>
        </w:rPr>
      </w:pPr>
      <w:r w:rsidRPr="006D3EDC">
        <w:rPr>
          <w:rFonts w:cs="Arial"/>
          <w:color w:val="000000"/>
          <w:lang w:val="en-GB" w:eastAsia="en-US"/>
        </w:rPr>
        <w:t>Yours sincerely,</w:t>
      </w:r>
    </w:p>
    <w:p w:rsidR="00A55AE6" w:rsidRPr="006D3EDC" w:rsidRDefault="00A55AE6" w:rsidP="00D55023">
      <w:pPr>
        <w:spacing w:line="240" w:lineRule="auto"/>
        <w:rPr>
          <w:rFonts w:cs="Arial"/>
          <w:color w:val="000000"/>
          <w:lang w:val="en-GB" w:eastAsia="en-US"/>
        </w:rPr>
      </w:pPr>
    </w:p>
    <w:p w:rsidR="00A55AE6" w:rsidRPr="006D3EDC" w:rsidRDefault="00C4261E" w:rsidP="00D55023">
      <w:pPr>
        <w:spacing w:line="240" w:lineRule="auto"/>
        <w:rPr>
          <w:rFonts w:cs="Arial"/>
          <w:color w:val="000000"/>
          <w:lang w:val="en-GB" w:eastAsia="en-US"/>
        </w:rPr>
      </w:pPr>
      <w:proofErr w:type="spellStart"/>
      <w:r>
        <w:rPr>
          <w:rFonts w:cs="Arial"/>
          <w:color w:val="000000"/>
          <w:lang w:val="en-GB" w:eastAsia="en-US"/>
        </w:rPr>
        <w:t>Dr.</w:t>
      </w:r>
      <w:proofErr w:type="spellEnd"/>
      <w:r>
        <w:rPr>
          <w:rFonts w:cs="Arial"/>
          <w:color w:val="000000"/>
          <w:lang w:val="en-GB" w:eastAsia="en-US"/>
        </w:rPr>
        <w:t xml:space="preserve"> </w:t>
      </w:r>
      <w:r w:rsidR="00A55AE6" w:rsidRPr="006D3EDC">
        <w:rPr>
          <w:rFonts w:cs="Arial"/>
          <w:color w:val="000000"/>
          <w:lang w:val="en-GB" w:eastAsia="en-US"/>
        </w:rPr>
        <w:t>Franz Rudorfer</w:t>
      </w:r>
    </w:p>
    <w:p w:rsidR="00A55AE6" w:rsidRPr="006D3EDC" w:rsidRDefault="00A55AE6" w:rsidP="00D55023">
      <w:pPr>
        <w:spacing w:line="240" w:lineRule="auto"/>
        <w:rPr>
          <w:rFonts w:cs="Arial"/>
          <w:color w:val="000000"/>
          <w:lang w:val="en-GB" w:eastAsia="en-US"/>
        </w:rPr>
      </w:pPr>
      <w:r w:rsidRPr="006D3EDC">
        <w:rPr>
          <w:rFonts w:cs="Arial"/>
          <w:color w:val="000000"/>
          <w:lang w:val="en-GB" w:eastAsia="en-US"/>
        </w:rPr>
        <w:t>Managing Director</w:t>
      </w:r>
    </w:p>
    <w:p w:rsidR="00A55AE6" w:rsidRPr="006D3EDC" w:rsidRDefault="00A55AE6" w:rsidP="00D55023">
      <w:pPr>
        <w:spacing w:line="240" w:lineRule="auto"/>
        <w:rPr>
          <w:noProof/>
          <w:lang w:val="en-GB"/>
        </w:rPr>
      </w:pPr>
      <w:r w:rsidRPr="006D3EDC">
        <w:rPr>
          <w:rFonts w:cs="Arial"/>
          <w:color w:val="000000"/>
          <w:lang w:val="en-GB" w:eastAsia="en-US"/>
        </w:rPr>
        <w:t>Division Bank and Insurance</w:t>
      </w:r>
    </w:p>
    <w:p w:rsidR="00A55AE6" w:rsidRPr="006D3EDC" w:rsidRDefault="00A55AE6" w:rsidP="00EB6FE5">
      <w:pPr>
        <w:spacing w:line="240" w:lineRule="auto"/>
        <w:ind w:right="-1"/>
        <w:rPr>
          <w:lang w:val="en-GB"/>
        </w:rPr>
      </w:pPr>
    </w:p>
    <w:sectPr w:rsidR="00A55AE6" w:rsidRPr="006D3EDC" w:rsidSect="00B57120">
      <w:footerReference w:type="default" r:id="rId9"/>
      <w:headerReference w:type="first" r:id="rId10"/>
      <w:footerReference w:type="first" r:id="rId11"/>
      <w:pgSz w:w="11906" w:h="16838"/>
      <w:pgMar w:top="1701" w:right="1133"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62" w:rsidRDefault="00831662">
      <w:r>
        <w:separator/>
      </w:r>
    </w:p>
  </w:endnote>
  <w:endnote w:type="continuationSeparator" w:id="0">
    <w:p w:rsidR="00831662" w:rsidRDefault="0083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pPr>
      <w:pStyle w:val="Fuzeile"/>
      <w:rPr>
        <w:szCs w:val="22"/>
      </w:rPr>
    </w:pPr>
    <w:r w:rsidRPr="007C6CFC">
      <w:rPr>
        <w:sz w:val="16"/>
        <w:szCs w:val="16"/>
      </w:rPr>
      <w:tab/>
    </w:r>
    <w:r w:rsidRPr="007C6CFC">
      <w:rPr>
        <w:szCs w:val="22"/>
      </w:rPr>
      <w:t xml:space="preserve">- </w:t>
    </w:r>
    <w:r w:rsidRPr="007C6CFC">
      <w:rPr>
        <w:szCs w:val="22"/>
      </w:rPr>
      <w:fldChar w:fldCharType="begin"/>
    </w:r>
    <w:r w:rsidRPr="007C6CFC">
      <w:rPr>
        <w:szCs w:val="22"/>
      </w:rPr>
      <w:instrText xml:space="preserve"> PAGE </w:instrText>
    </w:r>
    <w:r w:rsidRPr="007C6CFC">
      <w:rPr>
        <w:szCs w:val="22"/>
      </w:rPr>
      <w:fldChar w:fldCharType="separate"/>
    </w:r>
    <w:r w:rsidR="000D0A6E">
      <w:rPr>
        <w:noProof/>
        <w:szCs w:val="22"/>
      </w:rPr>
      <w:t>2</w:t>
    </w:r>
    <w:r w:rsidRPr="007C6CFC">
      <w:rPr>
        <w:szCs w:val="22"/>
      </w:rPr>
      <w:fldChar w:fldCharType="end"/>
    </w:r>
    <w:r w:rsidRPr="007C6CFC">
      <w:rPr>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rsidP="00BC0955">
    <w:pPr>
      <w:pStyle w:val="Fuzeile"/>
      <w:rPr>
        <w:snapToGrid w:val="0"/>
        <w:color w:val="000000"/>
        <w:szCs w:val="22"/>
        <w:u w:color="000000"/>
      </w:rPr>
    </w:pPr>
    <w:r>
      <w:rPr>
        <w:snapToGrid w:val="0"/>
        <w:color w:val="000000"/>
        <w:sz w:val="16"/>
        <w:szCs w:val="16"/>
        <w:u w:color="000000"/>
      </w:rPr>
      <w:tab/>
    </w:r>
    <w:r w:rsidRPr="007C6CFC">
      <w:rPr>
        <w:snapToGrid w:val="0"/>
        <w:color w:val="000000"/>
        <w:szCs w:val="22"/>
        <w:u w:color="000000"/>
      </w:rPr>
      <w:t xml:space="preserve">- </w:t>
    </w:r>
    <w:r w:rsidRPr="007C6CFC">
      <w:rPr>
        <w:snapToGrid w:val="0"/>
        <w:color w:val="000000"/>
        <w:szCs w:val="22"/>
        <w:u w:color="000000"/>
      </w:rPr>
      <w:fldChar w:fldCharType="begin"/>
    </w:r>
    <w:r w:rsidRPr="007C6CFC">
      <w:rPr>
        <w:snapToGrid w:val="0"/>
        <w:color w:val="000000"/>
        <w:szCs w:val="22"/>
        <w:u w:color="000000"/>
      </w:rPr>
      <w:instrText xml:space="preserve"> PAGE </w:instrText>
    </w:r>
    <w:r w:rsidRPr="007C6CFC">
      <w:rPr>
        <w:snapToGrid w:val="0"/>
        <w:color w:val="000000"/>
        <w:szCs w:val="22"/>
        <w:u w:color="000000"/>
      </w:rPr>
      <w:fldChar w:fldCharType="separate"/>
    </w:r>
    <w:r w:rsidR="000D0A6E">
      <w:rPr>
        <w:noProof/>
        <w:snapToGrid w:val="0"/>
        <w:color w:val="000000"/>
        <w:szCs w:val="22"/>
        <w:u w:color="000000"/>
      </w:rPr>
      <w:t>1</w:t>
    </w:r>
    <w:r w:rsidRPr="007C6CFC">
      <w:rPr>
        <w:snapToGrid w:val="0"/>
        <w:color w:val="000000"/>
        <w:szCs w:val="22"/>
        <w:u w:color="000000"/>
      </w:rPr>
      <w:fldChar w:fldCharType="end"/>
    </w:r>
    <w:r w:rsidRPr="007C6CFC">
      <w:rPr>
        <w:snapToGrid w:val="0"/>
        <w:color w:val="000000"/>
        <w:szCs w:val="22"/>
        <w:u w:color="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62" w:rsidRDefault="00831662">
      <w:r>
        <w:separator/>
      </w:r>
    </w:p>
  </w:footnote>
  <w:footnote w:type="continuationSeparator" w:id="0">
    <w:p w:rsidR="00831662" w:rsidRDefault="0083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81262C" w:rsidRDefault="00295A33" w:rsidP="00F0083F">
    <w:pPr>
      <w:pStyle w:val="Kopfzeile"/>
      <w:tabs>
        <w:tab w:val="clear" w:pos="9072"/>
        <w:tab w:val="right" w:pos="9498"/>
      </w:tabs>
      <w:jc w:val="right"/>
    </w:pPr>
    <w:r>
      <w:rPr>
        <w:noProof/>
        <w:lang w:val="de-AT" w:eastAsia="de-AT"/>
      </w:rPr>
      <w:drawing>
        <wp:anchor distT="0" distB="0" distL="114300" distR="114300" simplePos="0" relativeHeight="251657728" behindDoc="0" locked="1" layoutInCell="1" allowOverlap="1" wp14:anchorId="252BD5FA" wp14:editId="1DBC96D6">
          <wp:simplePos x="0" y="0"/>
          <wp:positionH relativeFrom="page">
            <wp:posOffset>4859655</wp:posOffset>
          </wp:positionH>
          <wp:positionV relativeFrom="page">
            <wp:posOffset>197485</wp:posOffset>
          </wp:positionV>
          <wp:extent cx="2210435" cy="861695"/>
          <wp:effectExtent l="1905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0435" cy="8616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AF0"/>
    <w:multiLevelType w:val="hybridMultilevel"/>
    <w:tmpl w:val="97EA5A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A23A7C"/>
    <w:multiLevelType w:val="hybridMultilevel"/>
    <w:tmpl w:val="ADBECCE0"/>
    <w:lvl w:ilvl="0" w:tplc="0C070013">
      <w:start w:val="1"/>
      <w:numFmt w:val="upperRoman"/>
      <w:lvlText w:val="%1."/>
      <w:lvlJc w:val="righ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08B82C7E"/>
    <w:multiLevelType w:val="hybridMultilevel"/>
    <w:tmpl w:val="4B56974E"/>
    <w:lvl w:ilvl="0" w:tplc="93886BE2">
      <w:start w:val="3"/>
      <w:numFmt w:val="bullet"/>
      <w:lvlText w:val="-"/>
      <w:lvlJc w:val="left"/>
      <w:pPr>
        <w:ind w:left="720" w:hanging="360"/>
      </w:pPr>
      <w:rPr>
        <w:rFonts w:ascii="Consolas" w:eastAsiaTheme="minorHAnsi" w:hAnsi="Consolas" w:cs="Consola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A2C73A7"/>
    <w:multiLevelType w:val="hybridMultilevel"/>
    <w:tmpl w:val="3F0C2284"/>
    <w:lvl w:ilvl="0" w:tplc="0C070001">
      <w:start w:val="1"/>
      <w:numFmt w:val="bullet"/>
      <w:lvlText w:val=""/>
      <w:lvlJc w:val="left"/>
      <w:pPr>
        <w:ind w:left="2844" w:hanging="360"/>
      </w:pPr>
      <w:rPr>
        <w:rFonts w:ascii="Symbol" w:hAnsi="Symbol" w:hint="default"/>
      </w:rPr>
    </w:lvl>
    <w:lvl w:ilvl="1" w:tplc="0C070003" w:tentative="1">
      <w:start w:val="1"/>
      <w:numFmt w:val="bullet"/>
      <w:lvlText w:val="o"/>
      <w:lvlJc w:val="left"/>
      <w:pPr>
        <w:ind w:left="3564" w:hanging="360"/>
      </w:pPr>
      <w:rPr>
        <w:rFonts w:ascii="Courier New" w:hAnsi="Courier New" w:hint="default"/>
      </w:rPr>
    </w:lvl>
    <w:lvl w:ilvl="2" w:tplc="0C070005" w:tentative="1">
      <w:start w:val="1"/>
      <w:numFmt w:val="bullet"/>
      <w:lvlText w:val=""/>
      <w:lvlJc w:val="left"/>
      <w:pPr>
        <w:ind w:left="4284" w:hanging="360"/>
      </w:pPr>
      <w:rPr>
        <w:rFonts w:ascii="Wingdings" w:hAnsi="Wingdings" w:hint="default"/>
      </w:rPr>
    </w:lvl>
    <w:lvl w:ilvl="3" w:tplc="0C070001" w:tentative="1">
      <w:start w:val="1"/>
      <w:numFmt w:val="bullet"/>
      <w:lvlText w:val=""/>
      <w:lvlJc w:val="left"/>
      <w:pPr>
        <w:ind w:left="5004" w:hanging="360"/>
      </w:pPr>
      <w:rPr>
        <w:rFonts w:ascii="Symbol" w:hAnsi="Symbol" w:hint="default"/>
      </w:rPr>
    </w:lvl>
    <w:lvl w:ilvl="4" w:tplc="0C070003" w:tentative="1">
      <w:start w:val="1"/>
      <w:numFmt w:val="bullet"/>
      <w:lvlText w:val="o"/>
      <w:lvlJc w:val="left"/>
      <w:pPr>
        <w:ind w:left="5724" w:hanging="360"/>
      </w:pPr>
      <w:rPr>
        <w:rFonts w:ascii="Courier New" w:hAnsi="Courier New" w:hint="default"/>
      </w:rPr>
    </w:lvl>
    <w:lvl w:ilvl="5" w:tplc="0C070005" w:tentative="1">
      <w:start w:val="1"/>
      <w:numFmt w:val="bullet"/>
      <w:lvlText w:val=""/>
      <w:lvlJc w:val="left"/>
      <w:pPr>
        <w:ind w:left="6444" w:hanging="360"/>
      </w:pPr>
      <w:rPr>
        <w:rFonts w:ascii="Wingdings" w:hAnsi="Wingdings" w:hint="default"/>
      </w:rPr>
    </w:lvl>
    <w:lvl w:ilvl="6" w:tplc="0C070001" w:tentative="1">
      <w:start w:val="1"/>
      <w:numFmt w:val="bullet"/>
      <w:lvlText w:val=""/>
      <w:lvlJc w:val="left"/>
      <w:pPr>
        <w:ind w:left="7164" w:hanging="360"/>
      </w:pPr>
      <w:rPr>
        <w:rFonts w:ascii="Symbol" w:hAnsi="Symbol" w:hint="default"/>
      </w:rPr>
    </w:lvl>
    <w:lvl w:ilvl="7" w:tplc="0C070003" w:tentative="1">
      <w:start w:val="1"/>
      <w:numFmt w:val="bullet"/>
      <w:lvlText w:val="o"/>
      <w:lvlJc w:val="left"/>
      <w:pPr>
        <w:ind w:left="7884" w:hanging="360"/>
      </w:pPr>
      <w:rPr>
        <w:rFonts w:ascii="Courier New" w:hAnsi="Courier New" w:hint="default"/>
      </w:rPr>
    </w:lvl>
    <w:lvl w:ilvl="8" w:tplc="0C070005" w:tentative="1">
      <w:start w:val="1"/>
      <w:numFmt w:val="bullet"/>
      <w:lvlText w:val=""/>
      <w:lvlJc w:val="left"/>
      <w:pPr>
        <w:ind w:left="8604" w:hanging="360"/>
      </w:pPr>
      <w:rPr>
        <w:rFonts w:ascii="Wingdings" w:hAnsi="Wingdings" w:hint="default"/>
      </w:rPr>
    </w:lvl>
  </w:abstractNum>
  <w:abstractNum w:abstractNumId="4">
    <w:nsid w:val="0BA5631E"/>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056668F"/>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4B224A7"/>
    <w:multiLevelType w:val="hybridMultilevel"/>
    <w:tmpl w:val="07440C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nsid w:val="1C145EF6"/>
    <w:multiLevelType w:val="hybridMultilevel"/>
    <w:tmpl w:val="35ECE8FA"/>
    <w:lvl w:ilvl="0" w:tplc="7EE214A4">
      <w:numFmt w:val="bullet"/>
      <w:lvlText w:val="-"/>
      <w:lvlJc w:val="left"/>
      <w:pPr>
        <w:ind w:left="360" w:hanging="360"/>
      </w:pPr>
      <w:rPr>
        <w:rFonts w:ascii="Calibri" w:eastAsiaTheme="minorHAnsi" w:hAnsi="Calibri" w:cstheme="minorBidi" w:hint="default"/>
      </w:rPr>
    </w:lvl>
    <w:lvl w:ilvl="1" w:tplc="0C070003">
      <w:start w:val="1"/>
      <w:numFmt w:val="bullet"/>
      <w:lvlText w:val="o"/>
      <w:lvlJc w:val="left"/>
      <w:pPr>
        <w:ind w:left="1222" w:hanging="360"/>
      </w:pPr>
      <w:rPr>
        <w:rFonts w:ascii="Courier New" w:hAnsi="Courier New" w:cs="Courier New" w:hint="default"/>
      </w:rPr>
    </w:lvl>
    <w:lvl w:ilvl="2" w:tplc="0C070005">
      <w:start w:val="1"/>
      <w:numFmt w:val="bullet"/>
      <w:lvlText w:val=""/>
      <w:lvlJc w:val="left"/>
      <w:pPr>
        <w:ind w:left="1636"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8">
    <w:nsid w:val="20FD4022"/>
    <w:multiLevelType w:val="hybridMultilevel"/>
    <w:tmpl w:val="3E84D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179500E"/>
    <w:multiLevelType w:val="hybridMultilevel"/>
    <w:tmpl w:val="01AEC23E"/>
    <w:lvl w:ilvl="0" w:tplc="0C070011">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nsid w:val="23995024"/>
    <w:multiLevelType w:val="hybridMultilevel"/>
    <w:tmpl w:val="4DD8AE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6141567"/>
    <w:multiLevelType w:val="hybridMultilevel"/>
    <w:tmpl w:val="64FA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B56EC9"/>
    <w:multiLevelType w:val="hybridMultilevel"/>
    <w:tmpl w:val="538A464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400D66BE"/>
    <w:multiLevelType w:val="hybridMultilevel"/>
    <w:tmpl w:val="ABBAAB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1686A47"/>
    <w:multiLevelType w:val="hybridMultilevel"/>
    <w:tmpl w:val="C130EB18"/>
    <w:lvl w:ilvl="0" w:tplc="06C87BB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4534281E"/>
    <w:multiLevelType w:val="hybridMultilevel"/>
    <w:tmpl w:val="C2C0E2B8"/>
    <w:lvl w:ilvl="0" w:tplc="F31C391C">
      <w:start w:val="1"/>
      <w:numFmt w:val="upperRoman"/>
      <w:lvlText w:val="%1."/>
      <w:lvlJc w:val="left"/>
      <w:pPr>
        <w:ind w:left="1080" w:hanging="72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47F25788"/>
    <w:multiLevelType w:val="hybridMultilevel"/>
    <w:tmpl w:val="17E02B80"/>
    <w:lvl w:ilvl="0" w:tplc="0C070001">
      <w:start w:val="1"/>
      <w:numFmt w:val="bullet"/>
      <w:lvlText w:val=""/>
      <w:lvlJc w:val="left"/>
      <w:pPr>
        <w:ind w:left="2421" w:hanging="360"/>
      </w:pPr>
      <w:rPr>
        <w:rFonts w:ascii="Symbol" w:hAnsi="Symbol" w:hint="default"/>
      </w:rPr>
    </w:lvl>
    <w:lvl w:ilvl="1" w:tplc="0C070003" w:tentative="1">
      <w:start w:val="1"/>
      <w:numFmt w:val="bullet"/>
      <w:lvlText w:val="o"/>
      <w:lvlJc w:val="left"/>
      <w:pPr>
        <w:ind w:left="3141" w:hanging="360"/>
      </w:pPr>
      <w:rPr>
        <w:rFonts w:ascii="Courier New" w:hAnsi="Courier New" w:hint="default"/>
      </w:rPr>
    </w:lvl>
    <w:lvl w:ilvl="2" w:tplc="0C070005" w:tentative="1">
      <w:start w:val="1"/>
      <w:numFmt w:val="bullet"/>
      <w:lvlText w:val=""/>
      <w:lvlJc w:val="left"/>
      <w:pPr>
        <w:ind w:left="3861" w:hanging="360"/>
      </w:pPr>
      <w:rPr>
        <w:rFonts w:ascii="Wingdings" w:hAnsi="Wingdings" w:hint="default"/>
      </w:rPr>
    </w:lvl>
    <w:lvl w:ilvl="3" w:tplc="0C070001" w:tentative="1">
      <w:start w:val="1"/>
      <w:numFmt w:val="bullet"/>
      <w:lvlText w:val=""/>
      <w:lvlJc w:val="left"/>
      <w:pPr>
        <w:ind w:left="4581" w:hanging="360"/>
      </w:pPr>
      <w:rPr>
        <w:rFonts w:ascii="Symbol" w:hAnsi="Symbol" w:hint="default"/>
      </w:rPr>
    </w:lvl>
    <w:lvl w:ilvl="4" w:tplc="0C070003" w:tentative="1">
      <w:start w:val="1"/>
      <w:numFmt w:val="bullet"/>
      <w:lvlText w:val="o"/>
      <w:lvlJc w:val="left"/>
      <w:pPr>
        <w:ind w:left="5301" w:hanging="360"/>
      </w:pPr>
      <w:rPr>
        <w:rFonts w:ascii="Courier New" w:hAnsi="Courier New" w:hint="default"/>
      </w:rPr>
    </w:lvl>
    <w:lvl w:ilvl="5" w:tplc="0C070005" w:tentative="1">
      <w:start w:val="1"/>
      <w:numFmt w:val="bullet"/>
      <w:lvlText w:val=""/>
      <w:lvlJc w:val="left"/>
      <w:pPr>
        <w:ind w:left="6021" w:hanging="360"/>
      </w:pPr>
      <w:rPr>
        <w:rFonts w:ascii="Wingdings" w:hAnsi="Wingdings" w:hint="default"/>
      </w:rPr>
    </w:lvl>
    <w:lvl w:ilvl="6" w:tplc="0C070001" w:tentative="1">
      <w:start w:val="1"/>
      <w:numFmt w:val="bullet"/>
      <w:lvlText w:val=""/>
      <w:lvlJc w:val="left"/>
      <w:pPr>
        <w:ind w:left="6741" w:hanging="360"/>
      </w:pPr>
      <w:rPr>
        <w:rFonts w:ascii="Symbol" w:hAnsi="Symbol" w:hint="default"/>
      </w:rPr>
    </w:lvl>
    <w:lvl w:ilvl="7" w:tplc="0C070003" w:tentative="1">
      <w:start w:val="1"/>
      <w:numFmt w:val="bullet"/>
      <w:lvlText w:val="o"/>
      <w:lvlJc w:val="left"/>
      <w:pPr>
        <w:ind w:left="7461" w:hanging="360"/>
      </w:pPr>
      <w:rPr>
        <w:rFonts w:ascii="Courier New" w:hAnsi="Courier New" w:hint="default"/>
      </w:rPr>
    </w:lvl>
    <w:lvl w:ilvl="8" w:tplc="0C070005" w:tentative="1">
      <w:start w:val="1"/>
      <w:numFmt w:val="bullet"/>
      <w:lvlText w:val=""/>
      <w:lvlJc w:val="left"/>
      <w:pPr>
        <w:ind w:left="8181" w:hanging="360"/>
      </w:pPr>
      <w:rPr>
        <w:rFonts w:ascii="Wingdings" w:hAnsi="Wingdings" w:hint="default"/>
      </w:rPr>
    </w:lvl>
  </w:abstractNum>
  <w:abstractNum w:abstractNumId="17">
    <w:nsid w:val="506C7420"/>
    <w:multiLevelType w:val="multilevel"/>
    <w:tmpl w:val="A27E6A3A"/>
    <w:name w:val="zzmpVIE2||VIE2 kurz, bl|2|3|0|1|2|33||1|2|0||1|2|0||1|2|0||mpNA||mpNA||mpNA||mpNA||mpNA||"/>
    <w:lvl w:ilvl="0">
      <w:start w:val="1"/>
      <w:numFmt w:val="decimal"/>
      <w:pStyle w:val="VIE2L1"/>
      <w:lvlText w:val="%1."/>
      <w:lvlJc w:val="left"/>
      <w:pPr>
        <w:tabs>
          <w:tab w:val="num" w:pos="720"/>
        </w:tabs>
        <w:ind w:left="720" w:hanging="720"/>
      </w:pPr>
      <w:rPr>
        <w:b/>
        <w:i w:val="0"/>
        <w:caps w:val="0"/>
        <w:strike w:val="0"/>
        <w:dstrike w:val="0"/>
        <w:u w:val="none"/>
        <w:effect w:val="none"/>
      </w:rPr>
    </w:lvl>
    <w:lvl w:ilvl="1">
      <w:start w:val="1"/>
      <w:numFmt w:val="decimal"/>
      <w:pStyle w:val="VIE2L2"/>
      <w:isLgl/>
      <w:lvlText w:val="%1.%2"/>
      <w:lvlJc w:val="left"/>
      <w:pPr>
        <w:tabs>
          <w:tab w:val="num" w:pos="720"/>
        </w:tabs>
        <w:ind w:left="720" w:hanging="720"/>
      </w:pPr>
      <w:rPr>
        <w:b w:val="0"/>
        <w:i w:val="0"/>
        <w:caps w:val="0"/>
        <w:strike w:val="0"/>
        <w:dstrike w:val="0"/>
        <w:u w:val="none"/>
        <w:effect w:val="none"/>
      </w:rPr>
    </w:lvl>
    <w:lvl w:ilvl="2">
      <w:start w:val="1"/>
      <w:numFmt w:val="lowerLetter"/>
      <w:pStyle w:val="VIE2L3"/>
      <w:lvlText w:val="(%3)"/>
      <w:lvlJc w:val="left"/>
      <w:pPr>
        <w:tabs>
          <w:tab w:val="num" w:pos="1440"/>
        </w:tabs>
        <w:ind w:left="1440" w:hanging="720"/>
      </w:pPr>
      <w:rPr>
        <w:b w:val="0"/>
        <w:i w:val="0"/>
        <w:caps w:val="0"/>
        <w:strike w:val="0"/>
        <w:dstrike w:val="0"/>
        <w:u w:val="none"/>
        <w:effect w:val="none"/>
      </w:rPr>
    </w:lvl>
    <w:lvl w:ilvl="3">
      <w:start w:val="1"/>
      <w:numFmt w:val="lowerRoman"/>
      <w:pStyle w:val="VIE2L4"/>
      <w:lvlText w:val="(%4)"/>
      <w:lvlJc w:val="left"/>
      <w:pPr>
        <w:tabs>
          <w:tab w:val="num" w:pos="1440"/>
        </w:tabs>
        <w:ind w:left="1440" w:hanging="720"/>
      </w:pPr>
      <w:rPr>
        <w:b w:val="0"/>
        <w:i w:val="0"/>
        <w:caps w:val="0"/>
        <w:strike w:val="0"/>
        <w:dstrike w:val="0"/>
        <w:color w:val="auto"/>
        <w:u w:val="none"/>
        <w:effect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2E35BE"/>
    <w:multiLevelType w:val="hybridMultilevel"/>
    <w:tmpl w:val="D4F8C71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5C5A256E"/>
    <w:multiLevelType w:val="hybridMultilevel"/>
    <w:tmpl w:val="AE36FD9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nsid w:val="635A368B"/>
    <w:multiLevelType w:val="hybridMultilevel"/>
    <w:tmpl w:val="E692F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BCB1405"/>
    <w:multiLevelType w:val="hybridMultilevel"/>
    <w:tmpl w:val="722C7EFA"/>
    <w:lvl w:ilvl="0" w:tplc="A0F08A0C">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B3D3228"/>
    <w:multiLevelType w:val="hybridMultilevel"/>
    <w:tmpl w:val="FB34861E"/>
    <w:lvl w:ilvl="0" w:tplc="CB02868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3">
    <w:nsid w:val="7E2E755E"/>
    <w:multiLevelType w:val="hybridMultilevel"/>
    <w:tmpl w:val="B8CAC7AA"/>
    <w:lvl w:ilvl="0" w:tplc="5B5C5566">
      <w:numFmt w:val="bullet"/>
      <w:lvlText w:val="•"/>
      <w:lvlJc w:val="left"/>
      <w:pPr>
        <w:ind w:left="1065" w:hanging="705"/>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7F43724C"/>
    <w:multiLevelType w:val="hybridMultilevel"/>
    <w:tmpl w:val="90847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8"/>
  </w:num>
  <w:num w:numId="3">
    <w:abstractNumId w:val="13"/>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22"/>
  </w:num>
  <w:num w:numId="9">
    <w:abstractNumId w:val="20"/>
  </w:num>
  <w:num w:numId="10">
    <w:abstractNumId w:val="5"/>
  </w:num>
  <w:num w:numId="11">
    <w:abstractNumId w:val="2"/>
  </w:num>
  <w:num w:numId="12">
    <w:abstractNumId w:val="10"/>
  </w:num>
  <w:num w:numId="13">
    <w:abstractNumId w:val="4"/>
  </w:num>
  <w:num w:numId="14">
    <w:abstractNumId w:val="19"/>
  </w:num>
  <w:num w:numId="15">
    <w:abstractNumId w:val="24"/>
  </w:num>
  <w:num w:numId="16">
    <w:abstractNumId w:val="12"/>
  </w:num>
  <w:num w:numId="17">
    <w:abstractNumId w:val="1"/>
  </w:num>
  <w:num w:numId="18">
    <w:abstractNumId w:val="9"/>
  </w:num>
  <w:num w:numId="19">
    <w:abstractNumId w:val="14"/>
  </w:num>
  <w:num w:numId="20">
    <w:abstractNumId w:val="11"/>
  </w:num>
  <w:num w:numId="21">
    <w:abstractNumId w:val="6"/>
  </w:num>
  <w:num w:numId="22">
    <w:abstractNumId w:val="0"/>
  </w:num>
  <w:num w:numId="23">
    <w:abstractNumId w:val="23"/>
  </w:num>
  <w:num w:numId="24">
    <w:abstractNumId w:val="8"/>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2C"/>
    <w:rsid w:val="0000192C"/>
    <w:rsid w:val="00002869"/>
    <w:rsid w:val="00002AE3"/>
    <w:rsid w:val="00022162"/>
    <w:rsid w:val="00022E3E"/>
    <w:rsid w:val="000247DE"/>
    <w:rsid w:val="000255F0"/>
    <w:rsid w:val="00027D5E"/>
    <w:rsid w:val="000345E6"/>
    <w:rsid w:val="00034E26"/>
    <w:rsid w:val="00036F06"/>
    <w:rsid w:val="0003734B"/>
    <w:rsid w:val="00037FE2"/>
    <w:rsid w:val="00041FDB"/>
    <w:rsid w:val="00046619"/>
    <w:rsid w:val="00047215"/>
    <w:rsid w:val="000572A1"/>
    <w:rsid w:val="00060833"/>
    <w:rsid w:val="00064C5A"/>
    <w:rsid w:val="0007255B"/>
    <w:rsid w:val="00074E4F"/>
    <w:rsid w:val="00081515"/>
    <w:rsid w:val="00081E90"/>
    <w:rsid w:val="00082236"/>
    <w:rsid w:val="0009402A"/>
    <w:rsid w:val="00094435"/>
    <w:rsid w:val="000B445F"/>
    <w:rsid w:val="000B72BC"/>
    <w:rsid w:val="000B743B"/>
    <w:rsid w:val="000C2A7F"/>
    <w:rsid w:val="000C7E1D"/>
    <w:rsid w:val="000D0A6E"/>
    <w:rsid w:val="000D3944"/>
    <w:rsid w:val="000E264C"/>
    <w:rsid w:val="000E50B4"/>
    <w:rsid w:val="0010363C"/>
    <w:rsid w:val="00104E21"/>
    <w:rsid w:val="00105589"/>
    <w:rsid w:val="001072DF"/>
    <w:rsid w:val="001100E8"/>
    <w:rsid w:val="001157FD"/>
    <w:rsid w:val="00122243"/>
    <w:rsid w:val="001231B3"/>
    <w:rsid w:val="001266AB"/>
    <w:rsid w:val="0013167F"/>
    <w:rsid w:val="00135B33"/>
    <w:rsid w:val="00137D1A"/>
    <w:rsid w:val="00140840"/>
    <w:rsid w:val="00142215"/>
    <w:rsid w:val="00145075"/>
    <w:rsid w:val="00154A68"/>
    <w:rsid w:val="00154B0A"/>
    <w:rsid w:val="0015559A"/>
    <w:rsid w:val="001628C5"/>
    <w:rsid w:val="001669D8"/>
    <w:rsid w:val="00166A32"/>
    <w:rsid w:val="00181BC8"/>
    <w:rsid w:val="001829FA"/>
    <w:rsid w:val="00185ED2"/>
    <w:rsid w:val="00190AE7"/>
    <w:rsid w:val="001914C7"/>
    <w:rsid w:val="00193F3F"/>
    <w:rsid w:val="001B326E"/>
    <w:rsid w:val="001B472D"/>
    <w:rsid w:val="001B75C9"/>
    <w:rsid w:val="001D493B"/>
    <w:rsid w:val="001D7741"/>
    <w:rsid w:val="001D7E2A"/>
    <w:rsid w:val="001E08E6"/>
    <w:rsid w:val="001E5A71"/>
    <w:rsid w:val="001F1973"/>
    <w:rsid w:val="001F1F6B"/>
    <w:rsid w:val="001F3F5A"/>
    <w:rsid w:val="00201BA1"/>
    <w:rsid w:val="002038DC"/>
    <w:rsid w:val="00203C40"/>
    <w:rsid w:val="00206C50"/>
    <w:rsid w:val="00212962"/>
    <w:rsid w:val="002138E8"/>
    <w:rsid w:val="002150FD"/>
    <w:rsid w:val="00215A3D"/>
    <w:rsid w:val="00222E53"/>
    <w:rsid w:val="00222F24"/>
    <w:rsid w:val="0022490E"/>
    <w:rsid w:val="00230DE4"/>
    <w:rsid w:val="00230F3E"/>
    <w:rsid w:val="00234D08"/>
    <w:rsid w:val="00237B76"/>
    <w:rsid w:val="00243539"/>
    <w:rsid w:val="00253D85"/>
    <w:rsid w:val="00255015"/>
    <w:rsid w:val="0026741D"/>
    <w:rsid w:val="00271CCE"/>
    <w:rsid w:val="0027544E"/>
    <w:rsid w:val="002834AA"/>
    <w:rsid w:val="00283AD0"/>
    <w:rsid w:val="0028735C"/>
    <w:rsid w:val="00287BC7"/>
    <w:rsid w:val="0029417F"/>
    <w:rsid w:val="00295A33"/>
    <w:rsid w:val="00295EBD"/>
    <w:rsid w:val="002C1CDC"/>
    <w:rsid w:val="002D424B"/>
    <w:rsid w:val="002D4EDD"/>
    <w:rsid w:val="002E2DD9"/>
    <w:rsid w:val="002E5502"/>
    <w:rsid w:val="00300864"/>
    <w:rsid w:val="003053C1"/>
    <w:rsid w:val="003058F8"/>
    <w:rsid w:val="0031542A"/>
    <w:rsid w:val="0032297E"/>
    <w:rsid w:val="00322AE6"/>
    <w:rsid w:val="00324CBF"/>
    <w:rsid w:val="00330879"/>
    <w:rsid w:val="00340F56"/>
    <w:rsid w:val="003421FD"/>
    <w:rsid w:val="0034723E"/>
    <w:rsid w:val="00347AC1"/>
    <w:rsid w:val="00352BEC"/>
    <w:rsid w:val="0036014E"/>
    <w:rsid w:val="0036078F"/>
    <w:rsid w:val="003629A3"/>
    <w:rsid w:val="00365057"/>
    <w:rsid w:val="00370C57"/>
    <w:rsid w:val="00371EC8"/>
    <w:rsid w:val="0038214C"/>
    <w:rsid w:val="00390AFC"/>
    <w:rsid w:val="00394D41"/>
    <w:rsid w:val="003A14EE"/>
    <w:rsid w:val="003A3AED"/>
    <w:rsid w:val="003B493B"/>
    <w:rsid w:val="003B6FDA"/>
    <w:rsid w:val="003B7FC8"/>
    <w:rsid w:val="003C1D0A"/>
    <w:rsid w:val="003D5A73"/>
    <w:rsid w:val="003E2214"/>
    <w:rsid w:val="003E4A87"/>
    <w:rsid w:val="003E775F"/>
    <w:rsid w:val="003F04D5"/>
    <w:rsid w:val="003F0F26"/>
    <w:rsid w:val="003F7E1B"/>
    <w:rsid w:val="004076E5"/>
    <w:rsid w:val="00410C22"/>
    <w:rsid w:val="00413A5E"/>
    <w:rsid w:val="00415854"/>
    <w:rsid w:val="00422F18"/>
    <w:rsid w:val="00423258"/>
    <w:rsid w:val="0042491E"/>
    <w:rsid w:val="00426E66"/>
    <w:rsid w:val="004414C5"/>
    <w:rsid w:val="00444FF4"/>
    <w:rsid w:val="004501DA"/>
    <w:rsid w:val="00450541"/>
    <w:rsid w:val="00456578"/>
    <w:rsid w:val="00461E46"/>
    <w:rsid w:val="00463724"/>
    <w:rsid w:val="004639B4"/>
    <w:rsid w:val="0046510E"/>
    <w:rsid w:val="004660A0"/>
    <w:rsid w:val="00471CAF"/>
    <w:rsid w:val="00473414"/>
    <w:rsid w:val="0049380D"/>
    <w:rsid w:val="00495FD1"/>
    <w:rsid w:val="00496601"/>
    <w:rsid w:val="004A5E30"/>
    <w:rsid w:val="004A7D08"/>
    <w:rsid w:val="004B5017"/>
    <w:rsid w:val="004C3F26"/>
    <w:rsid w:val="004D000B"/>
    <w:rsid w:val="004E3797"/>
    <w:rsid w:val="004E3F8D"/>
    <w:rsid w:val="004F2117"/>
    <w:rsid w:val="004F5C9C"/>
    <w:rsid w:val="004F716A"/>
    <w:rsid w:val="0050486A"/>
    <w:rsid w:val="00505288"/>
    <w:rsid w:val="00515614"/>
    <w:rsid w:val="0052008F"/>
    <w:rsid w:val="00522544"/>
    <w:rsid w:val="00526668"/>
    <w:rsid w:val="00526735"/>
    <w:rsid w:val="0053425F"/>
    <w:rsid w:val="00535EEE"/>
    <w:rsid w:val="005428AB"/>
    <w:rsid w:val="00546DF6"/>
    <w:rsid w:val="00547E82"/>
    <w:rsid w:val="00552476"/>
    <w:rsid w:val="00564015"/>
    <w:rsid w:val="00565278"/>
    <w:rsid w:val="0057254C"/>
    <w:rsid w:val="005736F9"/>
    <w:rsid w:val="005874F6"/>
    <w:rsid w:val="00591A98"/>
    <w:rsid w:val="00593734"/>
    <w:rsid w:val="005B5707"/>
    <w:rsid w:val="005B5AD8"/>
    <w:rsid w:val="005C0A2B"/>
    <w:rsid w:val="005C40BB"/>
    <w:rsid w:val="005C5C46"/>
    <w:rsid w:val="005D1823"/>
    <w:rsid w:val="005D1FDD"/>
    <w:rsid w:val="005D2F11"/>
    <w:rsid w:val="005D3F1D"/>
    <w:rsid w:val="005E1BA6"/>
    <w:rsid w:val="005E3AAF"/>
    <w:rsid w:val="005F0908"/>
    <w:rsid w:val="005F3730"/>
    <w:rsid w:val="005F3C37"/>
    <w:rsid w:val="005F6F88"/>
    <w:rsid w:val="00601398"/>
    <w:rsid w:val="0060591F"/>
    <w:rsid w:val="00612894"/>
    <w:rsid w:val="0062389E"/>
    <w:rsid w:val="00650A4A"/>
    <w:rsid w:val="006641EF"/>
    <w:rsid w:val="00666C97"/>
    <w:rsid w:val="006709A5"/>
    <w:rsid w:val="00672BE8"/>
    <w:rsid w:val="006842B3"/>
    <w:rsid w:val="00685127"/>
    <w:rsid w:val="006950F7"/>
    <w:rsid w:val="006A512D"/>
    <w:rsid w:val="006A6CFB"/>
    <w:rsid w:val="006A70A2"/>
    <w:rsid w:val="006B3DEE"/>
    <w:rsid w:val="006C2795"/>
    <w:rsid w:val="006C2B9A"/>
    <w:rsid w:val="006C4B6E"/>
    <w:rsid w:val="006C708A"/>
    <w:rsid w:val="006D3EDC"/>
    <w:rsid w:val="006D4937"/>
    <w:rsid w:val="006D5C3A"/>
    <w:rsid w:val="006E173F"/>
    <w:rsid w:val="006E4A35"/>
    <w:rsid w:val="006E4B16"/>
    <w:rsid w:val="006E65D9"/>
    <w:rsid w:val="00700ED1"/>
    <w:rsid w:val="00706722"/>
    <w:rsid w:val="00715FEB"/>
    <w:rsid w:val="00717E1B"/>
    <w:rsid w:val="007244BE"/>
    <w:rsid w:val="007260F4"/>
    <w:rsid w:val="00732C5E"/>
    <w:rsid w:val="00734266"/>
    <w:rsid w:val="00737196"/>
    <w:rsid w:val="00737203"/>
    <w:rsid w:val="00742B25"/>
    <w:rsid w:val="0074664B"/>
    <w:rsid w:val="00761AFE"/>
    <w:rsid w:val="007649D7"/>
    <w:rsid w:val="007675FD"/>
    <w:rsid w:val="00771D3C"/>
    <w:rsid w:val="0077291D"/>
    <w:rsid w:val="00777764"/>
    <w:rsid w:val="00782661"/>
    <w:rsid w:val="0078559D"/>
    <w:rsid w:val="00787E85"/>
    <w:rsid w:val="007A0876"/>
    <w:rsid w:val="007A0E8D"/>
    <w:rsid w:val="007A5C00"/>
    <w:rsid w:val="007A66C5"/>
    <w:rsid w:val="007B301F"/>
    <w:rsid w:val="007B5A8C"/>
    <w:rsid w:val="007B63BB"/>
    <w:rsid w:val="007B7B12"/>
    <w:rsid w:val="007C06B1"/>
    <w:rsid w:val="007C6CFC"/>
    <w:rsid w:val="007C7134"/>
    <w:rsid w:val="007E49FA"/>
    <w:rsid w:val="007E5B2E"/>
    <w:rsid w:val="007E6DD4"/>
    <w:rsid w:val="007F0E88"/>
    <w:rsid w:val="007F1369"/>
    <w:rsid w:val="007F3BC5"/>
    <w:rsid w:val="00803E9D"/>
    <w:rsid w:val="00805B38"/>
    <w:rsid w:val="00806F9F"/>
    <w:rsid w:val="0081262C"/>
    <w:rsid w:val="00814F81"/>
    <w:rsid w:val="00815543"/>
    <w:rsid w:val="00815EF0"/>
    <w:rsid w:val="008166CA"/>
    <w:rsid w:val="00817A25"/>
    <w:rsid w:val="008220E6"/>
    <w:rsid w:val="008235D3"/>
    <w:rsid w:val="00831662"/>
    <w:rsid w:val="00833921"/>
    <w:rsid w:val="0083509D"/>
    <w:rsid w:val="008367D4"/>
    <w:rsid w:val="00840D12"/>
    <w:rsid w:val="00845243"/>
    <w:rsid w:val="00845592"/>
    <w:rsid w:val="0085027F"/>
    <w:rsid w:val="00850ED8"/>
    <w:rsid w:val="0085251A"/>
    <w:rsid w:val="00853785"/>
    <w:rsid w:val="00854734"/>
    <w:rsid w:val="00865AEA"/>
    <w:rsid w:val="00871935"/>
    <w:rsid w:val="0087314E"/>
    <w:rsid w:val="0087723A"/>
    <w:rsid w:val="00891282"/>
    <w:rsid w:val="00892909"/>
    <w:rsid w:val="008954E9"/>
    <w:rsid w:val="008C27E5"/>
    <w:rsid w:val="008C2809"/>
    <w:rsid w:val="008C48B6"/>
    <w:rsid w:val="008D171E"/>
    <w:rsid w:val="008D19D9"/>
    <w:rsid w:val="008E047F"/>
    <w:rsid w:val="008E69FC"/>
    <w:rsid w:val="008F2BCA"/>
    <w:rsid w:val="008F3D21"/>
    <w:rsid w:val="0090014C"/>
    <w:rsid w:val="00902309"/>
    <w:rsid w:val="0091341A"/>
    <w:rsid w:val="009233A8"/>
    <w:rsid w:val="0092433E"/>
    <w:rsid w:val="0092499D"/>
    <w:rsid w:val="0092680A"/>
    <w:rsid w:val="00927A25"/>
    <w:rsid w:val="00945373"/>
    <w:rsid w:val="0094573F"/>
    <w:rsid w:val="00952EF8"/>
    <w:rsid w:val="00955061"/>
    <w:rsid w:val="009614CC"/>
    <w:rsid w:val="00971425"/>
    <w:rsid w:val="00981BE4"/>
    <w:rsid w:val="0098417F"/>
    <w:rsid w:val="009845AD"/>
    <w:rsid w:val="009924AB"/>
    <w:rsid w:val="00994063"/>
    <w:rsid w:val="009A6323"/>
    <w:rsid w:val="009B2BA3"/>
    <w:rsid w:val="009B4685"/>
    <w:rsid w:val="009C25A0"/>
    <w:rsid w:val="009C2649"/>
    <w:rsid w:val="009C4BD6"/>
    <w:rsid w:val="009E6514"/>
    <w:rsid w:val="009F0A81"/>
    <w:rsid w:val="009F2828"/>
    <w:rsid w:val="00A012D7"/>
    <w:rsid w:val="00A01CFD"/>
    <w:rsid w:val="00A0356E"/>
    <w:rsid w:val="00A11D27"/>
    <w:rsid w:val="00A15965"/>
    <w:rsid w:val="00A17DE8"/>
    <w:rsid w:val="00A22F7C"/>
    <w:rsid w:val="00A30DEB"/>
    <w:rsid w:val="00A4252A"/>
    <w:rsid w:val="00A429D4"/>
    <w:rsid w:val="00A44D9F"/>
    <w:rsid w:val="00A51D85"/>
    <w:rsid w:val="00A555B1"/>
    <w:rsid w:val="00A55AE6"/>
    <w:rsid w:val="00A5773B"/>
    <w:rsid w:val="00A616A3"/>
    <w:rsid w:val="00A62335"/>
    <w:rsid w:val="00A80280"/>
    <w:rsid w:val="00A854B2"/>
    <w:rsid w:val="00A86829"/>
    <w:rsid w:val="00A879D8"/>
    <w:rsid w:val="00A91644"/>
    <w:rsid w:val="00A937FD"/>
    <w:rsid w:val="00A959F8"/>
    <w:rsid w:val="00A978D6"/>
    <w:rsid w:val="00AA1606"/>
    <w:rsid w:val="00AA3155"/>
    <w:rsid w:val="00AB27E0"/>
    <w:rsid w:val="00AB3B3D"/>
    <w:rsid w:val="00AB54C7"/>
    <w:rsid w:val="00AB6A97"/>
    <w:rsid w:val="00AB7B66"/>
    <w:rsid w:val="00AC3F3D"/>
    <w:rsid w:val="00AD3FEF"/>
    <w:rsid w:val="00AD5B1A"/>
    <w:rsid w:val="00AD62C1"/>
    <w:rsid w:val="00AE0427"/>
    <w:rsid w:val="00AE1C5F"/>
    <w:rsid w:val="00AE6BDA"/>
    <w:rsid w:val="00AF2229"/>
    <w:rsid w:val="00AF66BC"/>
    <w:rsid w:val="00AF6A84"/>
    <w:rsid w:val="00AF6CB0"/>
    <w:rsid w:val="00AF6E41"/>
    <w:rsid w:val="00B05686"/>
    <w:rsid w:val="00B119FE"/>
    <w:rsid w:val="00B138AB"/>
    <w:rsid w:val="00B17578"/>
    <w:rsid w:val="00B17B8E"/>
    <w:rsid w:val="00B17D6F"/>
    <w:rsid w:val="00B31CF0"/>
    <w:rsid w:val="00B33A8F"/>
    <w:rsid w:val="00B417CD"/>
    <w:rsid w:val="00B47517"/>
    <w:rsid w:val="00B57120"/>
    <w:rsid w:val="00B61253"/>
    <w:rsid w:val="00B64A59"/>
    <w:rsid w:val="00B709BB"/>
    <w:rsid w:val="00B817E4"/>
    <w:rsid w:val="00B827C7"/>
    <w:rsid w:val="00B9567D"/>
    <w:rsid w:val="00BA02A4"/>
    <w:rsid w:val="00BA20FA"/>
    <w:rsid w:val="00BC0955"/>
    <w:rsid w:val="00BC693D"/>
    <w:rsid w:val="00BD2A0B"/>
    <w:rsid w:val="00BD3F4F"/>
    <w:rsid w:val="00BD4A6C"/>
    <w:rsid w:val="00BF0F7C"/>
    <w:rsid w:val="00BF27D6"/>
    <w:rsid w:val="00C0007B"/>
    <w:rsid w:val="00C0405C"/>
    <w:rsid w:val="00C0414D"/>
    <w:rsid w:val="00C10B31"/>
    <w:rsid w:val="00C12058"/>
    <w:rsid w:val="00C14C89"/>
    <w:rsid w:val="00C15616"/>
    <w:rsid w:val="00C255FD"/>
    <w:rsid w:val="00C33ADB"/>
    <w:rsid w:val="00C37EC5"/>
    <w:rsid w:val="00C4261E"/>
    <w:rsid w:val="00C4504F"/>
    <w:rsid w:val="00C47D56"/>
    <w:rsid w:val="00C532A4"/>
    <w:rsid w:val="00C607BA"/>
    <w:rsid w:val="00C6657D"/>
    <w:rsid w:val="00C70879"/>
    <w:rsid w:val="00C72973"/>
    <w:rsid w:val="00C73D55"/>
    <w:rsid w:val="00C82127"/>
    <w:rsid w:val="00C82DD8"/>
    <w:rsid w:val="00C833E9"/>
    <w:rsid w:val="00C83647"/>
    <w:rsid w:val="00C921B5"/>
    <w:rsid w:val="00C940A8"/>
    <w:rsid w:val="00C96514"/>
    <w:rsid w:val="00C973E6"/>
    <w:rsid w:val="00CA0FEE"/>
    <w:rsid w:val="00CA4BBE"/>
    <w:rsid w:val="00CB1A93"/>
    <w:rsid w:val="00CB76DB"/>
    <w:rsid w:val="00CC5359"/>
    <w:rsid w:val="00CC563A"/>
    <w:rsid w:val="00CE63B1"/>
    <w:rsid w:val="00CF356C"/>
    <w:rsid w:val="00CF3664"/>
    <w:rsid w:val="00CF59D9"/>
    <w:rsid w:val="00D05A34"/>
    <w:rsid w:val="00D10A4C"/>
    <w:rsid w:val="00D13267"/>
    <w:rsid w:val="00D26801"/>
    <w:rsid w:val="00D31CF6"/>
    <w:rsid w:val="00D372B6"/>
    <w:rsid w:val="00D37387"/>
    <w:rsid w:val="00D455B6"/>
    <w:rsid w:val="00D466B5"/>
    <w:rsid w:val="00D52EA1"/>
    <w:rsid w:val="00D55023"/>
    <w:rsid w:val="00D55973"/>
    <w:rsid w:val="00D561E3"/>
    <w:rsid w:val="00D602D4"/>
    <w:rsid w:val="00D63BE6"/>
    <w:rsid w:val="00D641CE"/>
    <w:rsid w:val="00D90E27"/>
    <w:rsid w:val="00D94527"/>
    <w:rsid w:val="00D95018"/>
    <w:rsid w:val="00D973D5"/>
    <w:rsid w:val="00DA0882"/>
    <w:rsid w:val="00DA093D"/>
    <w:rsid w:val="00DA6E3B"/>
    <w:rsid w:val="00DC2133"/>
    <w:rsid w:val="00DC505B"/>
    <w:rsid w:val="00DC6E67"/>
    <w:rsid w:val="00DD7BE1"/>
    <w:rsid w:val="00DE0E46"/>
    <w:rsid w:val="00DE6886"/>
    <w:rsid w:val="00E4709C"/>
    <w:rsid w:val="00E50A3B"/>
    <w:rsid w:val="00E559BE"/>
    <w:rsid w:val="00E73411"/>
    <w:rsid w:val="00E75A9F"/>
    <w:rsid w:val="00E761D4"/>
    <w:rsid w:val="00E779C2"/>
    <w:rsid w:val="00E83742"/>
    <w:rsid w:val="00E86690"/>
    <w:rsid w:val="00E91A24"/>
    <w:rsid w:val="00E94B72"/>
    <w:rsid w:val="00EA0873"/>
    <w:rsid w:val="00EA2407"/>
    <w:rsid w:val="00EB2DE1"/>
    <w:rsid w:val="00EB6FE5"/>
    <w:rsid w:val="00EC27D6"/>
    <w:rsid w:val="00EC2929"/>
    <w:rsid w:val="00EC6212"/>
    <w:rsid w:val="00EC7D97"/>
    <w:rsid w:val="00ED2DD6"/>
    <w:rsid w:val="00ED6AF5"/>
    <w:rsid w:val="00F0004D"/>
    <w:rsid w:val="00F0083F"/>
    <w:rsid w:val="00F10B90"/>
    <w:rsid w:val="00F26632"/>
    <w:rsid w:val="00F309FC"/>
    <w:rsid w:val="00F32618"/>
    <w:rsid w:val="00F32E08"/>
    <w:rsid w:val="00F32E59"/>
    <w:rsid w:val="00F341DD"/>
    <w:rsid w:val="00F34255"/>
    <w:rsid w:val="00F424B8"/>
    <w:rsid w:val="00F436F1"/>
    <w:rsid w:val="00F500B2"/>
    <w:rsid w:val="00F63D39"/>
    <w:rsid w:val="00F71501"/>
    <w:rsid w:val="00F75A6E"/>
    <w:rsid w:val="00F7743D"/>
    <w:rsid w:val="00F77D8B"/>
    <w:rsid w:val="00F87143"/>
    <w:rsid w:val="00F923F5"/>
    <w:rsid w:val="00F92824"/>
    <w:rsid w:val="00F93908"/>
    <w:rsid w:val="00F9450E"/>
    <w:rsid w:val="00F94D42"/>
    <w:rsid w:val="00F95C0C"/>
    <w:rsid w:val="00F96BEF"/>
    <w:rsid w:val="00FA3B9F"/>
    <w:rsid w:val="00FB1CA4"/>
    <w:rsid w:val="00FB6624"/>
    <w:rsid w:val="00FB7E8C"/>
    <w:rsid w:val="00FC43AB"/>
    <w:rsid w:val="00FC77B2"/>
    <w:rsid w:val="00FD5274"/>
    <w:rsid w:val="00FE2AE8"/>
    <w:rsid w:val="00FE7609"/>
    <w:rsid w:val="00FF2245"/>
    <w:rsid w:val="00FF5C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rsid w:val="001E08E6"/>
    <w:rPr>
      <w:sz w:val="16"/>
      <w:szCs w:val="16"/>
    </w:rPr>
  </w:style>
  <w:style w:type="paragraph" w:styleId="Kommentartext">
    <w:name w:val="annotation text"/>
    <w:basedOn w:val="Standard"/>
    <w:link w:val="KommentartextZchn"/>
    <w:rsid w:val="001E08E6"/>
    <w:pPr>
      <w:spacing w:line="240" w:lineRule="auto"/>
    </w:pPr>
    <w:rPr>
      <w:sz w:val="20"/>
    </w:rPr>
  </w:style>
  <w:style w:type="character" w:customStyle="1" w:styleId="KommentartextZchn">
    <w:name w:val="Kommentartext Zchn"/>
    <w:basedOn w:val="Absatz-Standardschriftart"/>
    <w:link w:val="Kommentartext"/>
    <w:rsid w:val="001E08E6"/>
    <w:rPr>
      <w:rFonts w:ascii="Trebuchet MS" w:hAnsi="Trebuchet MS"/>
      <w:lang w:val="de-DE" w:eastAsia="de-DE"/>
    </w:rPr>
  </w:style>
  <w:style w:type="paragraph" w:styleId="Kommentarthema">
    <w:name w:val="annotation subject"/>
    <w:basedOn w:val="Kommentartext"/>
    <w:next w:val="Kommentartext"/>
    <w:link w:val="KommentarthemaZchn"/>
    <w:rsid w:val="001E08E6"/>
    <w:rPr>
      <w:b/>
      <w:bCs/>
    </w:rPr>
  </w:style>
  <w:style w:type="character" w:customStyle="1" w:styleId="KommentarthemaZchn">
    <w:name w:val="Kommentarthema Zchn"/>
    <w:basedOn w:val="KommentartextZchn"/>
    <w:link w:val="Kommentarthema"/>
    <w:rsid w:val="001E08E6"/>
    <w:rPr>
      <w:rFonts w:ascii="Trebuchet MS" w:hAnsi="Trebuchet MS"/>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rsid w:val="001E08E6"/>
    <w:rPr>
      <w:sz w:val="16"/>
      <w:szCs w:val="16"/>
    </w:rPr>
  </w:style>
  <w:style w:type="paragraph" w:styleId="Kommentartext">
    <w:name w:val="annotation text"/>
    <w:basedOn w:val="Standard"/>
    <w:link w:val="KommentartextZchn"/>
    <w:rsid w:val="001E08E6"/>
    <w:pPr>
      <w:spacing w:line="240" w:lineRule="auto"/>
    </w:pPr>
    <w:rPr>
      <w:sz w:val="20"/>
    </w:rPr>
  </w:style>
  <w:style w:type="character" w:customStyle="1" w:styleId="KommentartextZchn">
    <w:name w:val="Kommentartext Zchn"/>
    <w:basedOn w:val="Absatz-Standardschriftart"/>
    <w:link w:val="Kommentartext"/>
    <w:rsid w:val="001E08E6"/>
    <w:rPr>
      <w:rFonts w:ascii="Trebuchet MS" w:hAnsi="Trebuchet MS"/>
      <w:lang w:val="de-DE" w:eastAsia="de-DE"/>
    </w:rPr>
  </w:style>
  <w:style w:type="paragraph" w:styleId="Kommentarthema">
    <w:name w:val="annotation subject"/>
    <w:basedOn w:val="Kommentartext"/>
    <w:next w:val="Kommentartext"/>
    <w:link w:val="KommentarthemaZchn"/>
    <w:rsid w:val="001E08E6"/>
    <w:rPr>
      <w:b/>
      <w:bCs/>
    </w:rPr>
  </w:style>
  <w:style w:type="character" w:customStyle="1" w:styleId="KommentarthemaZchn">
    <w:name w:val="Kommentarthema Zchn"/>
    <w:basedOn w:val="KommentartextZchn"/>
    <w:link w:val="Kommentarthema"/>
    <w:rsid w:val="001E08E6"/>
    <w:rPr>
      <w:rFonts w:ascii="Trebuchet MS" w:hAnsi="Trebuchet M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952">
      <w:bodyDiv w:val="1"/>
      <w:marLeft w:val="0"/>
      <w:marRight w:val="0"/>
      <w:marTop w:val="0"/>
      <w:marBottom w:val="0"/>
      <w:divBdr>
        <w:top w:val="none" w:sz="0" w:space="0" w:color="auto"/>
        <w:left w:val="none" w:sz="0" w:space="0" w:color="auto"/>
        <w:bottom w:val="none" w:sz="0" w:space="0" w:color="auto"/>
        <w:right w:val="none" w:sz="0" w:space="0" w:color="auto"/>
      </w:divBdr>
    </w:div>
    <w:div w:id="37320598">
      <w:bodyDiv w:val="1"/>
      <w:marLeft w:val="0"/>
      <w:marRight w:val="0"/>
      <w:marTop w:val="0"/>
      <w:marBottom w:val="0"/>
      <w:divBdr>
        <w:top w:val="none" w:sz="0" w:space="0" w:color="auto"/>
        <w:left w:val="none" w:sz="0" w:space="0" w:color="auto"/>
        <w:bottom w:val="none" w:sz="0" w:space="0" w:color="auto"/>
        <w:right w:val="none" w:sz="0" w:space="0" w:color="auto"/>
      </w:divBdr>
    </w:div>
    <w:div w:id="49966655">
      <w:bodyDiv w:val="1"/>
      <w:marLeft w:val="0"/>
      <w:marRight w:val="0"/>
      <w:marTop w:val="0"/>
      <w:marBottom w:val="0"/>
      <w:divBdr>
        <w:top w:val="none" w:sz="0" w:space="0" w:color="auto"/>
        <w:left w:val="none" w:sz="0" w:space="0" w:color="auto"/>
        <w:bottom w:val="none" w:sz="0" w:space="0" w:color="auto"/>
        <w:right w:val="none" w:sz="0" w:space="0" w:color="auto"/>
      </w:divBdr>
    </w:div>
    <w:div w:id="91752816">
      <w:bodyDiv w:val="1"/>
      <w:marLeft w:val="0"/>
      <w:marRight w:val="0"/>
      <w:marTop w:val="0"/>
      <w:marBottom w:val="0"/>
      <w:divBdr>
        <w:top w:val="none" w:sz="0" w:space="0" w:color="auto"/>
        <w:left w:val="none" w:sz="0" w:space="0" w:color="auto"/>
        <w:bottom w:val="none" w:sz="0" w:space="0" w:color="auto"/>
        <w:right w:val="none" w:sz="0" w:space="0" w:color="auto"/>
      </w:divBdr>
    </w:div>
    <w:div w:id="93942496">
      <w:bodyDiv w:val="1"/>
      <w:marLeft w:val="0"/>
      <w:marRight w:val="0"/>
      <w:marTop w:val="0"/>
      <w:marBottom w:val="0"/>
      <w:divBdr>
        <w:top w:val="none" w:sz="0" w:space="0" w:color="auto"/>
        <w:left w:val="none" w:sz="0" w:space="0" w:color="auto"/>
        <w:bottom w:val="none" w:sz="0" w:space="0" w:color="auto"/>
        <w:right w:val="none" w:sz="0" w:space="0" w:color="auto"/>
      </w:divBdr>
    </w:div>
    <w:div w:id="95251891">
      <w:bodyDiv w:val="1"/>
      <w:marLeft w:val="0"/>
      <w:marRight w:val="0"/>
      <w:marTop w:val="0"/>
      <w:marBottom w:val="0"/>
      <w:divBdr>
        <w:top w:val="none" w:sz="0" w:space="0" w:color="auto"/>
        <w:left w:val="none" w:sz="0" w:space="0" w:color="auto"/>
        <w:bottom w:val="none" w:sz="0" w:space="0" w:color="auto"/>
        <w:right w:val="none" w:sz="0" w:space="0" w:color="auto"/>
      </w:divBdr>
    </w:div>
    <w:div w:id="99108827">
      <w:bodyDiv w:val="1"/>
      <w:marLeft w:val="0"/>
      <w:marRight w:val="0"/>
      <w:marTop w:val="0"/>
      <w:marBottom w:val="0"/>
      <w:divBdr>
        <w:top w:val="none" w:sz="0" w:space="0" w:color="auto"/>
        <w:left w:val="none" w:sz="0" w:space="0" w:color="auto"/>
        <w:bottom w:val="none" w:sz="0" w:space="0" w:color="auto"/>
        <w:right w:val="none" w:sz="0" w:space="0" w:color="auto"/>
      </w:divBdr>
    </w:div>
    <w:div w:id="119153639">
      <w:bodyDiv w:val="1"/>
      <w:marLeft w:val="0"/>
      <w:marRight w:val="0"/>
      <w:marTop w:val="0"/>
      <w:marBottom w:val="0"/>
      <w:divBdr>
        <w:top w:val="none" w:sz="0" w:space="0" w:color="auto"/>
        <w:left w:val="none" w:sz="0" w:space="0" w:color="auto"/>
        <w:bottom w:val="none" w:sz="0" w:space="0" w:color="auto"/>
        <w:right w:val="none" w:sz="0" w:space="0" w:color="auto"/>
      </w:divBdr>
    </w:div>
    <w:div w:id="121854178">
      <w:bodyDiv w:val="1"/>
      <w:marLeft w:val="0"/>
      <w:marRight w:val="0"/>
      <w:marTop w:val="0"/>
      <w:marBottom w:val="0"/>
      <w:divBdr>
        <w:top w:val="none" w:sz="0" w:space="0" w:color="auto"/>
        <w:left w:val="none" w:sz="0" w:space="0" w:color="auto"/>
        <w:bottom w:val="none" w:sz="0" w:space="0" w:color="auto"/>
        <w:right w:val="none" w:sz="0" w:space="0" w:color="auto"/>
      </w:divBdr>
    </w:div>
    <w:div w:id="134875144">
      <w:bodyDiv w:val="1"/>
      <w:marLeft w:val="0"/>
      <w:marRight w:val="0"/>
      <w:marTop w:val="0"/>
      <w:marBottom w:val="0"/>
      <w:divBdr>
        <w:top w:val="none" w:sz="0" w:space="0" w:color="auto"/>
        <w:left w:val="none" w:sz="0" w:space="0" w:color="auto"/>
        <w:bottom w:val="none" w:sz="0" w:space="0" w:color="auto"/>
        <w:right w:val="none" w:sz="0" w:space="0" w:color="auto"/>
      </w:divBdr>
    </w:div>
    <w:div w:id="189151992">
      <w:bodyDiv w:val="1"/>
      <w:marLeft w:val="0"/>
      <w:marRight w:val="0"/>
      <w:marTop w:val="0"/>
      <w:marBottom w:val="0"/>
      <w:divBdr>
        <w:top w:val="none" w:sz="0" w:space="0" w:color="auto"/>
        <w:left w:val="none" w:sz="0" w:space="0" w:color="auto"/>
        <w:bottom w:val="none" w:sz="0" w:space="0" w:color="auto"/>
        <w:right w:val="none" w:sz="0" w:space="0" w:color="auto"/>
      </w:divBdr>
    </w:div>
    <w:div w:id="190266149">
      <w:bodyDiv w:val="1"/>
      <w:marLeft w:val="0"/>
      <w:marRight w:val="0"/>
      <w:marTop w:val="0"/>
      <w:marBottom w:val="0"/>
      <w:divBdr>
        <w:top w:val="none" w:sz="0" w:space="0" w:color="auto"/>
        <w:left w:val="none" w:sz="0" w:space="0" w:color="auto"/>
        <w:bottom w:val="none" w:sz="0" w:space="0" w:color="auto"/>
        <w:right w:val="none" w:sz="0" w:space="0" w:color="auto"/>
      </w:divBdr>
    </w:div>
    <w:div w:id="225843884">
      <w:bodyDiv w:val="1"/>
      <w:marLeft w:val="0"/>
      <w:marRight w:val="0"/>
      <w:marTop w:val="0"/>
      <w:marBottom w:val="0"/>
      <w:divBdr>
        <w:top w:val="none" w:sz="0" w:space="0" w:color="auto"/>
        <w:left w:val="none" w:sz="0" w:space="0" w:color="auto"/>
        <w:bottom w:val="none" w:sz="0" w:space="0" w:color="auto"/>
        <w:right w:val="none" w:sz="0" w:space="0" w:color="auto"/>
      </w:divBdr>
    </w:div>
    <w:div w:id="226305528">
      <w:bodyDiv w:val="1"/>
      <w:marLeft w:val="0"/>
      <w:marRight w:val="0"/>
      <w:marTop w:val="0"/>
      <w:marBottom w:val="0"/>
      <w:divBdr>
        <w:top w:val="none" w:sz="0" w:space="0" w:color="auto"/>
        <w:left w:val="none" w:sz="0" w:space="0" w:color="auto"/>
        <w:bottom w:val="none" w:sz="0" w:space="0" w:color="auto"/>
        <w:right w:val="none" w:sz="0" w:space="0" w:color="auto"/>
      </w:divBdr>
    </w:div>
    <w:div w:id="250748260">
      <w:bodyDiv w:val="1"/>
      <w:marLeft w:val="0"/>
      <w:marRight w:val="0"/>
      <w:marTop w:val="0"/>
      <w:marBottom w:val="0"/>
      <w:divBdr>
        <w:top w:val="none" w:sz="0" w:space="0" w:color="auto"/>
        <w:left w:val="none" w:sz="0" w:space="0" w:color="auto"/>
        <w:bottom w:val="none" w:sz="0" w:space="0" w:color="auto"/>
        <w:right w:val="none" w:sz="0" w:space="0" w:color="auto"/>
      </w:divBdr>
    </w:div>
    <w:div w:id="275799535">
      <w:bodyDiv w:val="1"/>
      <w:marLeft w:val="0"/>
      <w:marRight w:val="0"/>
      <w:marTop w:val="0"/>
      <w:marBottom w:val="0"/>
      <w:divBdr>
        <w:top w:val="none" w:sz="0" w:space="0" w:color="auto"/>
        <w:left w:val="none" w:sz="0" w:space="0" w:color="auto"/>
        <w:bottom w:val="none" w:sz="0" w:space="0" w:color="auto"/>
        <w:right w:val="none" w:sz="0" w:space="0" w:color="auto"/>
      </w:divBdr>
    </w:div>
    <w:div w:id="287049058">
      <w:bodyDiv w:val="1"/>
      <w:marLeft w:val="0"/>
      <w:marRight w:val="0"/>
      <w:marTop w:val="0"/>
      <w:marBottom w:val="0"/>
      <w:divBdr>
        <w:top w:val="none" w:sz="0" w:space="0" w:color="auto"/>
        <w:left w:val="none" w:sz="0" w:space="0" w:color="auto"/>
        <w:bottom w:val="none" w:sz="0" w:space="0" w:color="auto"/>
        <w:right w:val="none" w:sz="0" w:space="0" w:color="auto"/>
      </w:divBdr>
    </w:div>
    <w:div w:id="288051687">
      <w:bodyDiv w:val="1"/>
      <w:marLeft w:val="0"/>
      <w:marRight w:val="0"/>
      <w:marTop w:val="0"/>
      <w:marBottom w:val="0"/>
      <w:divBdr>
        <w:top w:val="none" w:sz="0" w:space="0" w:color="auto"/>
        <w:left w:val="none" w:sz="0" w:space="0" w:color="auto"/>
        <w:bottom w:val="none" w:sz="0" w:space="0" w:color="auto"/>
        <w:right w:val="none" w:sz="0" w:space="0" w:color="auto"/>
      </w:divBdr>
    </w:div>
    <w:div w:id="295257968">
      <w:bodyDiv w:val="1"/>
      <w:marLeft w:val="0"/>
      <w:marRight w:val="0"/>
      <w:marTop w:val="0"/>
      <w:marBottom w:val="0"/>
      <w:divBdr>
        <w:top w:val="none" w:sz="0" w:space="0" w:color="auto"/>
        <w:left w:val="none" w:sz="0" w:space="0" w:color="auto"/>
        <w:bottom w:val="none" w:sz="0" w:space="0" w:color="auto"/>
        <w:right w:val="none" w:sz="0" w:space="0" w:color="auto"/>
      </w:divBdr>
    </w:div>
    <w:div w:id="353002061">
      <w:bodyDiv w:val="1"/>
      <w:marLeft w:val="0"/>
      <w:marRight w:val="0"/>
      <w:marTop w:val="0"/>
      <w:marBottom w:val="0"/>
      <w:divBdr>
        <w:top w:val="none" w:sz="0" w:space="0" w:color="auto"/>
        <w:left w:val="none" w:sz="0" w:space="0" w:color="auto"/>
        <w:bottom w:val="none" w:sz="0" w:space="0" w:color="auto"/>
        <w:right w:val="none" w:sz="0" w:space="0" w:color="auto"/>
      </w:divBdr>
    </w:div>
    <w:div w:id="361828135">
      <w:bodyDiv w:val="1"/>
      <w:marLeft w:val="0"/>
      <w:marRight w:val="0"/>
      <w:marTop w:val="0"/>
      <w:marBottom w:val="0"/>
      <w:divBdr>
        <w:top w:val="none" w:sz="0" w:space="0" w:color="auto"/>
        <w:left w:val="none" w:sz="0" w:space="0" w:color="auto"/>
        <w:bottom w:val="none" w:sz="0" w:space="0" w:color="auto"/>
        <w:right w:val="none" w:sz="0" w:space="0" w:color="auto"/>
      </w:divBdr>
    </w:div>
    <w:div w:id="380978603">
      <w:bodyDiv w:val="1"/>
      <w:marLeft w:val="0"/>
      <w:marRight w:val="0"/>
      <w:marTop w:val="0"/>
      <w:marBottom w:val="0"/>
      <w:divBdr>
        <w:top w:val="none" w:sz="0" w:space="0" w:color="auto"/>
        <w:left w:val="none" w:sz="0" w:space="0" w:color="auto"/>
        <w:bottom w:val="none" w:sz="0" w:space="0" w:color="auto"/>
        <w:right w:val="none" w:sz="0" w:space="0" w:color="auto"/>
      </w:divBdr>
    </w:div>
    <w:div w:id="389234778">
      <w:bodyDiv w:val="1"/>
      <w:marLeft w:val="0"/>
      <w:marRight w:val="0"/>
      <w:marTop w:val="0"/>
      <w:marBottom w:val="0"/>
      <w:divBdr>
        <w:top w:val="none" w:sz="0" w:space="0" w:color="auto"/>
        <w:left w:val="none" w:sz="0" w:space="0" w:color="auto"/>
        <w:bottom w:val="none" w:sz="0" w:space="0" w:color="auto"/>
        <w:right w:val="none" w:sz="0" w:space="0" w:color="auto"/>
      </w:divBdr>
    </w:div>
    <w:div w:id="464391801">
      <w:bodyDiv w:val="1"/>
      <w:marLeft w:val="0"/>
      <w:marRight w:val="0"/>
      <w:marTop w:val="0"/>
      <w:marBottom w:val="0"/>
      <w:divBdr>
        <w:top w:val="none" w:sz="0" w:space="0" w:color="auto"/>
        <w:left w:val="none" w:sz="0" w:space="0" w:color="auto"/>
        <w:bottom w:val="none" w:sz="0" w:space="0" w:color="auto"/>
        <w:right w:val="none" w:sz="0" w:space="0" w:color="auto"/>
      </w:divBdr>
    </w:div>
    <w:div w:id="486360408">
      <w:bodyDiv w:val="1"/>
      <w:marLeft w:val="0"/>
      <w:marRight w:val="0"/>
      <w:marTop w:val="0"/>
      <w:marBottom w:val="0"/>
      <w:divBdr>
        <w:top w:val="none" w:sz="0" w:space="0" w:color="auto"/>
        <w:left w:val="none" w:sz="0" w:space="0" w:color="auto"/>
        <w:bottom w:val="none" w:sz="0" w:space="0" w:color="auto"/>
        <w:right w:val="none" w:sz="0" w:space="0" w:color="auto"/>
      </w:divBdr>
    </w:div>
    <w:div w:id="501043414">
      <w:bodyDiv w:val="1"/>
      <w:marLeft w:val="0"/>
      <w:marRight w:val="0"/>
      <w:marTop w:val="0"/>
      <w:marBottom w:val="0"/>
      <w:divBdr>
        <w:top w:val="none" w:sz="0" w:space="0" w:color="auto"/>
        <w:left w:val="none" w:sz="0" w:space="0" w:color="auto"/>
        <w:bottom w:val="none" w:sz="0" w:space="0" w:color="auto"/>
        <w:right w:val="none" w:sz="0" w:space="0" w:color="auto"/>
      </w:divBdr>
    </w:div>
    <w:div w:id="508910533">
      <w:bodyDiv w:val="1"/>
      <w:marLeft w:val="0"/>
      <w:marRight w:val="0"/>
      <w:marTop w:val="0"/>
      <w:marBottom w:val="0"/>
      <w:divBdr>
        <w:top w:val="none" w:sz="0" w:space="0" w:color="auto"/>
        <w:left w:val="none" w:sz="0" w:space="0" w:color="auto"/>
        <w:bottom w:val="none" w:sz="0" w:space="0" w:color="auto"/>
        <w:right w:val="none" w:sz="0" w:space="0" w:color="auto"/>
      </w:divBdr>
    </w:div>
    <w:div w:id="516893099">
      <w:bodyDiv w:val="1"/>
      <w:marLeft w:val="0"/>
      <w:marRight w:val="0"/>
      <w:marTop w:val="0"/>
      <w:marBottom w:val="0"/>
      <w:divBdr>
        <w:top w:val="none" w:sz="0" w:space="0" w:color="auto"/>
        <w:left w:val="none" w:sz="0" w:space="0" w:color="auto"/>
        <w:bottom w:val="none" w:sz="0" w:space="0" w:color="auto"/>
        <w:right w:val="none" w:sz="0" w:space="0" w:color="auto"/>
      </w:divBdr>
    </w:div>
    <w:div w:id="526259112">
      <w:bodyDiv w:val="1"/>
      <w:marLeft w:val="0"/>
      <w:marRight w:val="0"/>
      <w:marTop w:val="0"/>
      <w:marBottom w:val="0"/>
      <w:divBdr>
        <w:top w:val="none" w:sz="0" w:space="0" w:color="auto"/>
        <w:left w:val="none" w:sz="0" w:space="0" w:color="auto"/>
        <w:bottom w:val="none" w:sz="0" w:space="0" w:color="auto"/>
        <w:right w:val="none" w:sz="0" w:space="0" w:color="auto"/>
      </w:divBdr>
    </w:div>
    <w:div w:id="576550281">
      <w:bodyDiv w:val="1"/>
      <w:marLeft w:val="0"/>
      <w:marRight w:val="0"/>
      <w:marTop w:val="0"/>
      <w:marBottom w:val="0"/>
      <w:divBdr>
        <w:top w:val="none" w:sz="0" w:space="0" w:color="auto"/>
        <w:left w:val="none" w:sz="0" w:space="0" w:color="auto"/>
        <w:bottom w:val="none" w:sz="0" w:space="0" w:color="auto"/>
        <w:right w:val="none" w:sz="0" w:space="0" w:color="auto"/>
      </w:divBdr>
    </w:div>
    <w:div w:id="611789156">
      <w:bodyDiv w:val="1"/>
      <w:marLeft w:val="0"/>
      <w:marRight w:val="0"/>
      <w:marTop w:val="0"/>
      <w:marBottom w:val="0"/>
      <w:divBdr>
        <w:top w:val="none" w:sz="0" w:space="0" w:color="auto"/>
        <w:left w:val="none" w:sz="0" w:space="0" w:color="auto"/>
        <w:bottom w:val="none" w:sz="0" w:space="0" w:color="auto"/>
        <w:right w:val="none" w:sz="0" w:space="0" w:color="auto"/>
      </w:divBdr>
    </w:div>
    <w:div w:id="637224542">
      <w:bodyDiv w:val="1"/>
      <w:marLeft w:val="0"/>
      <w:marRight w:val="0"/>
      <w:marTop w:val="0"/>
      <w:marBottom w:val="0"/>
      <w:divBdr>
        <w:top w:val="none" w:sz="0" w:space="0" w:color="auto"/>
        <w:left w:val="none" w:sz="0" w:space="0" w:color="auto"/>
        <w:bottom w:val="none" w:sz="0" w:space="0" w:color="auto"/>
        <w:right w:val="none" w:sz="0" w:space="0" w:color="auto"/>
      </w:divBdr>
    </w:div>
    <w:div w:id="642974984">
      <w:bodyDiv w:val="1"/>
      <w:marLeft w:val="0"/>
      <w:marRight w:val="0"/>
      <w:marTop w:val="0"/>
      <w:marBottom w:val="0"/>
      <w:divBdr>
        <w:top w:val="none" w:sz="0" w:space="0" w:color="auto"/>
        <w:left w:val="none" w:sz="0" w:space="0" w:color="auto"/>
        <w:bottom w:val="none" w:sz="0" w:space="0" w:color="auto"/>
        <w:right w:val="none" w:sz="0" w:space="0" w:color="auto"/>
      </w:divBdr>
    </w:div>
    <w:div w:id="653483965">
      <w:bodyDiv w:val="1"/>
      <w:marLeft w:val="0"/>
      <w:marRight w:val="0"/>
      <w:marTop w:val="0"/>
      <w:marBottom w:val="0"/>
      <w:divBdr>
        <w:top w:val="none" w:sz="0" w:space="0" w:color="auto"/>
        <w:left w:val="none" w:sz="0" w:space="0" w:color="auto"/>
        <w:bottom w:val="none" w:sz="0" w:space="0" w:color="auto"/>
        <w:right w:val="none" w:sz="0" w:space="0" w:color="auto"/>
      </w:divBdr>
    </w:div>
    <w:div w:id="658775695">
      <w:bodyDiv w:val="1"/>
      <w:marLeft w:val="0"/>
      <w:marRight w:val="0"/>
      <w:marTop w:val="0"/>
      <w:marBottom w:val="0"/>
      <w:divBdr>
        <w:top w:val="none" w:sz="0" w:space="0" w:color="auto"/>
        <w:left w:val="none" w:sz="0" w:space="0" w:color="auto"/>
        <w:bottom w:val="none" w:sz="0" w:space="0" w:color="auto"/>
        <w:right w:val="none" w:sz="0" w:space="0" w:color="auto"/>
      </w:divBdr>
    </w:div>
    <w:div w:id="665982812">
      <w:bodyDiv w:val="1"/>
      <w:marLeft w:val="0"/>
      <w:marRight w:val="0"/>
      <w:marTop w:val="0"/>
      <w:marBottom w:val="0"/>
      <w:divBdr>
        <w:top w:val="none" w:sz="0" w:space="0" w:color="auto"/>
        <w:left w:val="none" w:sz="0" w:space="0" w:color="auto"/>
        <w:bottom w:val="none" w:sz="0" w:space="0" w:color="auto"/>
        <w:right w:val="none" w:sz="0" w:space="0" w:color="auto"/>
      </w:divBdr>
    </w:div>
    <w:div w:id="672538048">
      <w:bodyDiv w:val="1"/>
      <w:marLeft w:val="0"/>
      <w:marRight w:val="0"/>
      <w:marTop w:val="0"/>
      <w:marBottom w:val="0"/>
      <w:divBdr>
        <w:top w:val="none" w:sz="0" w:space="0" w:color="auto"/>
        <w:left w:val="none" w:sz="0" w:space="0" w:color="auto"/>
        <w:bottom w:val="none" w:sz="0" w:space="0" w:color="auto"/>
        <w:right w:val="none" w:sz="0" w:space="0" w:color="auto"/>
      </w:divBdr>
    </w:div>
    <w:div w:id="691806594">
      <w:bodyDiv w:val="1"/>
      <w:marLeft w:val="0"/>
      <w:marRight w:val="0"/>
      <w:marTop w:val="0"/>
      <w:marBottom w:val="0"/>
      <w:divBdr>
        <w:top w:val="none" w:sz="0" w:space="0" w:color="auto"/>
        <w:left w:val="none" w:sz="0" w:space="0" w:color="auto"/>
        <w:bottom w:val="none" w:sz="0" w:space="0" w:color="auto"/>
        <w:right w:val="none" w:sz="0" w:space="0" w:color="auto"/>
      </w:divBdr>
    </w:div>
    <w:div w:id="715545184">
      <w:bodyDiv w:val="1"/>
      <w:marLeft w:val="0"/>
      <w:marRight w:val="0"/>
      <w:marTop w:val="0"/>
      <w:marBottom w:val="0"/>
      <w:divBdr>
        <w:top w:val="none" w:sz="0" w:space="0" w:color="auto"/>
        <w:left w:val="none" w:sz="0" w:space="0" w:color="auto"/>
        <w:bottom w:val="none" w:sz="0" w:space="0" w:color="auto"/>
        <w:right w:val="none" w:sz="0" w:space="0" w:color="auto"/>
      </w:divBdr>
    </w:div>
    <w:div w:id="736170313">
      <w:bodyDiv w:val="1"/>
      <w:marLeft w:val="0"/>
      <w:marRight w:val="0"/>
      <w:marTop w:val="0"/>
      <w:marBottom w:val="0"/>
      <w:divBdr>
        <w:top w:val="none" w:sz="0" w:space="0" w:color="auto"/>
        <w:left w:val="none" w:sz="0" w:space="0" w:color="auto"/>
        <w:bottom w:val="none" w:sz="0" w:space="0" w:color="auto"/>
        <w:right w:val="none" w:sz="0" w:space="0" w:color="auto"/>
      </w:divBdr>
    </w:div>
    <w:div w:id="748431185">
      <w:bodyDiv w:val="1"/>
      <w:marLeft w:val="0"/>
      <w:marRight w:val="0"/>
      <w:marTop w:val="0"/>
      <w:marBottom w:val="0"/>
      <w:divBdr>
        <w:top w:val="none" w:sz="0" w:space="0" w:color="auto"/>
        <w:left w:val="none" w:sz="0" w:space="0" w:color="auto"/>
        <w:bottom w:val="none" w:sz="0" w:space="0" w:color="auto"/>
        <w:right w:val="none" w:sz="0" w:space="0" w:color="auto"/>
      </w:divBdr>
    </w:div>
    <w:div w:id="769787156">
      <w:bodyDiv w:val="1"/>
      <w:marLeft w:val="0"/>
      <w:marRight w:val="0"/>
      <w:marTop w:val="0"/>
      <w:marBottom w:val="0"/>
      <w:divBdr>
        <w:top w:val="none" w:sz="0" w:space="0" w:color="auto"/>
        <w:left w:val="none" w:sz="0" w:space="0" w:color="auto"/>
        <w:bottom w:val="none" w:sz="0" w:space="0" w:color="auto"/>
        <w:right w:val="none" w:sz="0" w:space="0" w:color="auto"/>
      </w:divBdr>
    </w:div>
    <w:div w:id="813638609">
      <w:bodyDiv w:val="1"/>
      <w:marLeft w:val="0"/>
      <w:marRight w:val="0"/>
      <w:marTop w:val="0"/>
      <w:marBottom w:val="0"/>
      <w:divBdr>
        <w:top w:val="none" w:sz="0" w:space="0" w:color="auto"/>
        <w:left w:val="none" w:sz="0" w:space="0" w:color="auto"/>
        <w:bottom w:val="none" w:sz="0" w:space="0" w:color="auto"/>
        <w:right w:val="none" w:sz="0" w:space="0" w:color="auto"/>
      </w:divBdr>
    </w:div>
    <w:div w:id="848568242">
      <w:bodyDiv w:val="1"/>
      <w:marLeft w:val="0"/>
      <w:marRight w:val="0"/>
      <w:marTop w:val="0"/>
      <w:marBottom w:val="0"/>
      <w:divBdr>
        <w:top w:val="none" w:sz="0" w:space="0" w:color="auto"/>
        <w:left w:val="none" w:sz="0" w:space="0" w:color="auto"/>
        <w:bottom w:val="none" w:sz="0" w:space="0" w:color="auto"/>
        <w:right w:val="none" w:sz="0" w:space="0" w:color="auto"/>
      </w:divBdr>
    </w:div>
    <w:div w:id="888104019">
      <w:bodyDiv w:val="1"/>
      <w:marLeft w:val="0"/>
      <w:marRight w:val="0"/>
      <w:marTop w:val="0"/>
      <w:marBottom w:val="0"/>
      <w:divBdr>
        <w:top w:val="none" w:sz="0" w:space="0" w:color="auto"/>
        <w:left w:val="none" w:sz="0" w:space="0" w:color="auto"/>
        <w:bottom w:val="none" w:sz="0" w:space="0" w:color="auto"/>
        <w:right w:val="none" w:sz="0" w:space="0" w:color="auto"/>
      </w:divBdr>
    </w:div>
    <w:div w:id="888297086">
      <w:bodyDiv w:val="1"/>
      <w:marLeft w:val="0"/>
      <w:marRight w:val="0"/>
      <w:marTop w:val="0"/>
      <w:marBottom w:val="0"/>
      <w:divBdr>
        <w:top w:val="none" w:sz="0" w:space="0" w:color="auto"/>
        <w:left w:val="none" w:sz="0" w:space="0" w:color="auto"/>
        <w:bottom w:val="none" w:sz="0" w:space="0" w:color="auto"/>
        <w:right w:val="none" w:sz="0" w:space="0" w:color="auto"/>
      </w:divBdr>
    </w:div>
    <w:div w:id="891114702">
      <w:bodyDiv w:val="1"/>
      <w:marLeft w:val="0"/>
      <w:marRight w:val="0"/>
      <w:marTop w:val="0"/>
      <w:marBottom w:val="0"/>
      <w:divBdr>
        <w:top w:val="none" w:sz="0" w:space="0" w:color="auto"/>
        <w:left w:val="none" w:sz="0" w:space="0" w:color="auto"/>
        <w:bottom w:val="none" w:sz="0" w:space="0" w:color="auto"/>
        <w:right w:val="none" w:sz="0" w:space="0" w:color="auto"/>
      </w:divBdr>
    </w:div>
    <w:div w:id="976494882">
      <w:bodyDiv w:val="1"/>
      <w:marLeft w:val="0"/>
      <w:marRight w:val="0"/>
      <w:marTop w:val="0"/>
      <w:marBottom w:val="0"/>
      <w:divBdr>
        <w:top w:val="none" w:sz="0" w:space="0" w:color="auto"/>
        <w:left w:val="none" w:sz="0" w:space="0" w:color="auto"/>
        <w:bottom w:val="none" w:sz="0" w:space="0" w:color="auto"/>
        <w:right w:val="none" w:sz="0" w:space="0" w:color="auto"/>
      </w:divBdr>
    </w:div>
    <w:div w:id="995300604">
      <w:bodyDiv w:val="1"/>
      <w:marLeft w:val="0"/>
      <w:marRight w:val="0"/>
      <w:marTop w:val="0"/>
      <w:marBottom w:val="0"/>
      <w:divBdr>
        <w:top w:val="none" w:sz="0" w:space="0" w:color="auto"/>
        <w:left w:val="none" w:sz="0" w:space="0" w:color="auto"/>
        <w:bottom w:val="none" w:sz="0" w:space="0" w:color="auto"/>
        <w:right w:val="none" w:sz="0" w:space="0" w:color="auto"/>
      </w:divBdr>
    </w:div>
    <w:div w:id="1033574749">
      <w:bodyDiv w:val="1"/>
      <w:marLeft w:val="0"/>
      <w:marRight w:val="0"/>
      <w:marTop w:val="0"/>
      <w:marBottom w:val="0"/>
      <w:divBdr>
        <w:top w:val="none" w:sz="0" w:space="0" w:color="auto"/>
        <w:left w:val="none" w:sz="0" w:space="0" w:color="auto"/>
        <w:bottom w:val="none" w:sz="0" w:space="0" w:color="auto"/>
        <w:right w:val="none" w:sz="0" w:space="0" w:color="auto"/>
      </w:divBdr>
    </w:div>
    <w:div w:id="1044331105">
      <w:bodyDiv w:val="1"/>
      <w:marLeft w:val="0"/>
      <w:marRight w:val="0"/>
      <w:marTop w:val="0"/>
      <w:marBottom w:val="0"/>
      <w:divBdr>
        <w:top w:val="none" w:sz="0" w:space="0" w:color="auto"/>
        <w:left w:val="none" w:sz="0" w:space="0" w:color="auto"/>
        <w:bottom w:val="none" w:sz="0" w:space="0" w:color="auto"/>
        <w:right w:val="none" w:sz="0" w:space="0" w:color="auto"/>
      </w:divBdr>
    </w:div>
    <w:div w:id="1095706353">
      <w:bodyDiv w:val="1"/>
      <w:marLeft w:val="0"/>
      <w:marRight w:val="0"/>
      <w:marTop w:val="0"/>
      <w:marBottom w:val="0"/>
      <w:divBdr>
        <w:top w:val="none" w:sz="0" w:space="0" w:color="auto"/>
        <w:left w:val="none" w:sz="0" w:space="0" w:color="auto"/>
        <w:bottom w:val="none" w:sz="0" w:space="0" w:color="auto"/>
        <w:right w:val="none" w:sz="0" w:space="0" w:color="auto"/>
      </w:divBdr>
    </w:div>
    <w:div w:id="1137918135">
      <w:bodyDiv w:val="1"/>
      <w:marLeft w:val="0"/>
      <w:marRight w:val="0"/>
      <w:marTop w:val="0"/>
      <w:marBottom w:val="0"/>
      <w:divBdr>
        <w:top w:val="none" w:sz="0" w:space="0" w:color="auto"/>
        <w:left w:val="none" w:sz="0" w:space="0" w:color="auto"/>
        <w:bottom w:val="none" w:sz="0" w:space="0" w:color="auto"/>
        <w:right w:val="none" w:sz="0" w:space="0" w:color="auto"/>
      </w:divBdr>
    </w:div>
    <w:div w:id="1139955535">
      <w:bodyDiv w:val="1"/>
      <w:marLeft w:val="0"/>
      <w:marRight w:val="0"/>
      <w:marTop w:val="0"/>
      <w:marBottom w:val="0"/>
      <w:divBdr>
        <w:top w:val="none" w:sz="0" w:space="0" w:color="auto"/>
        <w:left w:val="none" w:sz="0" w:space="0" w:color="auto"/>
        <w:bottom w:val="none" w:sz="0" w:space="0" w:color="auto"/>
        <w:right w:val="none" w:sz="0" w:space="0" w:color="auto"/>
      </w:divBdr>
    </w:div>
    <w:div w:id="1144392378">
      <w:bodyDiv w:val="1"/>
      <w:marLeft w:val="0"/>
      <w:marRight w:val="0"/>
      <w:marTop w:val="0"/>
      <w:marBottom w:val="0"/>
      <w:divBdr>
        <w:top w:val="none" w:sz="0" w:space="0" w:color="auto"/>
        <w:left w:val="none" w:sz="0" w:space="0" w:color="auto"/>
        <w:bottom w:val="none" w:sz="0" w:space="0" w:color="auto"/>
        <w:right w:val="none" w:sz="0" w:space="0" w:color="auto"/>
      </w:divBdr>
    </w:div>
    <w:div w:id="1211918062">
      <w:bodyDiv w:val="1"/>
      <w:marLeft w:val="0"/>
      <w:marRight w:val="0"/>
      <w:marTop w:val="0"/>
      <w:marBottom w:val="0"/>
      <w:divBdr>
        <w:top w:val="none" w:sz="0" w:space="0" w:color="auto"/>
        <w:left w:val="none" w:sz="0" w:space="0" w:color="auto"/>
        <w:bottom w:val="none" w:sz="0" w:space="0" w:color="auto"/>
        <w:right w:val="none" w:sz="0" w:space="0" w:color="auto"/>
      </w:divBdr>
    </w:div>
    <w:div w:id="1215502519">
      <w:bodyDiv w:val="1"/>
      <w:marLeft w:val="0"/>
      <w:marRight w:val="0"/>
      <w:marTop w:val="0"/>
      <w:marBottom w:val="0"/>
      <w:divBdr>
        <w:top w:val="none" w:sz="0" w:space="0" w:color="auto"/>
        <w:left w:val="none" w:sz="0" w:space="0" w:color="auto"/>
        <w:bottom w:val="none" w:sz="0" w:space="0" w:color="auto"/>
        <w:right w:val="none" w:sz="0" w:space="0" w:color="auto"/>
      </w:divBdr>
    </w:div>
    <w:div w:id="1263339510">
      <w:bodyDiv w:val="1"/>
      <w:marLeft w:val="0"/>
      <w:marRight w:val="0"/>
      <w:marTop w:val="0"/>
      <w:marBottom w:val="0"/>
      <w:divBdr>
        <w:top w:val="none" w:sz="0" w:space="0" w:color="auto"/>
        <w:left w:val="none" w:sz="0" w:space="0" w:color="auto"/>
        <w:bottom w:val="none" w:sz="0" w:space="0" w:color="auto"/>
        <w:right w:val="none" w:sz="0" w:space="0" w:color="auto"/>
      </w:divBdr>
    </w:div>
    <w:div w:id="1326393156">
      <w:bodyDiv w:val="1"/>
      <w:marLeft w:val="0"/>
      <w:marRight w:val="0"/>
      <w:marTop w:val="0"/>
      <w:marBottom w:val="0"/>
      <w:divBdr>
        <w:top w:val="none" w:sz="0" w:space="0" w:color="auto"/>
        <w:left w:val="none" w:sz="0" w:space="0" w:color="auto"/>
        <w:bottom w:val="none" w:sz="0" w:space="0" w:color="auto"/>
        <w:right w:val="none" w:sz="0" w:space="0" w:color="auto"/>
      </w:divBdr>
    </w:div>
    <w:div w:id="1354184124">
      <w:bodyDiv w:val="1"/>
      <w:marLeft w:val="0"/>
      <w:marRight w:val="0"/>
      <w:marTop w:val="0"/>
      <w:marBottom w:val="0"/>
      <w:divBdr>
        <w:top w:val="none" w:sz="0" w:space="0" w:color="auto"/>
        <w:left w:val="none" w:sz="0" w:space="0" w:color="auto"/>
        <w:bottom w:val="none" w:sz="0" w:space="0" w:color="auto"/>
        <w:right w:val="none" w:sz="0" w:space="0" w:color="auto"/>
      </w:divBdr>
    </w:div>
    <w:div w:id="1362704239">
      <w:bodyDiv w:val="1"/>
      <w:marLeft w:val="0"/>
      <w:marRight w:val="0"/>
      <w:marTop w:val="0"/>
      <w:marBottom w:val="0"/>
      <w:divBdr>
        <w:top w:val="none" w:sz="0" w:space="0" w:color="auto"/>
        <w:left w:val="none" w:sz="0" w:space="0" w:color="auto"/>
        <w:bottom w:val="none" w:sz="0" w:space="0" w:color="auto"/>
        <w:right w:val="none" w:sz="0" w:space="0" w:color="auto"/>
      </w:divBdr>
    </w:div>
    <w:div w:id="1394960952">
      <w:bodyDiv w:val="1"/>
      <w:marLeft w:val="0"/>
      <w:marRight w:val="0"/>
      <w:marTop w:val="0"/>
      <w:marBottom w:val="0"/>
      <w:divBdr>
        <w:top w:val="none" w:sz="0" w:space="0" w:color="auto"/>
        <w:left w:val="none" w:sz="0" w:space="0" w:color="auto"/>
        <w:bottom w:val="none" w:sz="0" w:space="0" w:color="auto"/>
        <w:right w:val="none" w:sz="0" w:space="0" w:color="auto"/>
      </w:divBdr>
    </w:div>
    <w:div w:id="1421679063">
      <w:bodyDiv w:val="1"/>
      <w:marLeft w:val="0"/>
      <w:marRight w:val="0"/>
      <w:marTop w:val="0"/>
      <w:marBottom w:val="0"/>
      <w:divBdr>
        <w:top w:val="none" w:sz="0" w:space="0" w:color="auto"/>
        <w:left w:val="none" w:sz="0" w:space="0" w:color="auto"/>
        <w:bottom w:val="none" w:sz="0" w:space="0" w:color="auto"/>
        <w:right w:val="none" w:sz="0" w:space="0" w:color="auto"/>
      </w:divBdr>
    </w:div>
    <w:div w:id="1442651929">
      <w:bodyDiv w:val="1"/>
      <w:marLeft w:val="0"/>
      <w:marRight w:val="0"/>
      <w:marTop w:val="0"/>
      <w:marBottom w:val="0"/>
      <w:divBdr>
        <w:top w:val="none" w:sz="0" w:space="0" w:color="auto"/>
        <w:left w:val="none" w:sz="0" w:space="0" w:color="auto"/>
        <w:bottom w:val="none" w:sz="0" w:space="0" w:color="auto"/>
        <w:right w:val="none" w:sz="0" w:space="0" w:color="auto"/>
      </w:divBdr>
    </w:div>
    <w:div w:id="1444156653">
      <w:bodyDiv w:val="1"/>
      <w:marLeft w:val="0"/>
      <w:marRight w:val="0"/>
      <w:marTop w:val="0"/>
      <w:marBottom w:val="0"/>
      <w:divBdr>
        <w:top w:val="none" w:sz="0" w:space="0" w:color="auto"/>
        <w:left w:val="none" w:sz="0" w:space="0" w:color="auto"/>
        <w:bottom w:val="none" w:sz="0" w:space="0" w:color="auto"/>
        <w:right w:val="none" w:sz="0" w:space="0" w:color="auto"/>
      </w:divBdr>
    </w:div>
    <w:div w:id="1512917074">
      <w:bodyDiv w:val="1"/>
      <w:marLeft w:val="0"/>
      <w:marRight w:val="0"/>
      <w:marTop w:val="0"/>
      <w:marBottom w:val="0"/>
      <w:divBdr>
        <w:top w:val="none" w:sz="0" w:space="0" w:color="auto"/>
        <w:left w:val="none" w:sz="0" w:space="0" w:color="auto"/>
        <w:bottom w:val="none" w:sz="0" w:space="0" w:color="auto"/>
        <w:right w:val="none" w:sz="0" w:space="0" w:color="auto"/>
      </w:divBdr>
    </w:div>
    <w:div w:id="1529878705">
      <w:bodyDiv w:val="1"/>
      <w:marLeft w:val="0"/>
      <w:marRight w:val="0"/>
      <w:marTop w:val="0"/>
      <w:marBottom w:val="0"/>
      <w:divBdr>
        <w:top w:val="none" w:sz="0" w:space="0" w:color="auto"/>
        <w:left w:val="none" w:sz="0" w:space="0" w:color="auto"/>
        <w:bottom w:val="none" w:sz="0" w:space="0" w:color="auto"/>
        <w:right w:val="none" w:sz="0" w:space="0" w:color="auto"/>
      </w:divBdr>
    </w:div>
    <w:div w:id="1571767282">
      <w:bodyDiv w:val="1"/>
      <w:marLeft w:val="0"/>
      <w:marRight w:val="0"/>
      <w:marTop w:val="0"/>
      <w:marBottom w:val="0"/>
      <w:divBdr>
        <w:top w:val="none" w:sz="0" w:space="0" w:color="auto"/>
        <w:left w:val="none" w:sz="0" w:space="0" w:color="auto"/>
        <w:bottom w:val="none" w:sz="0" w:space="0" w:color="auto"/>
        <w:right w:val="none" w:sz="0" w:space="0" w:color="auto"/>
      </w:divBdr>
    </w:div>
    <w:div w:id="1620720423">
      <w:bodyDiv w:val="1"/>
      <w:marLeft w:val="0"/>
      <w:marRight w:val="0"/>
      <w:marTop w:val="0"/>
      <w:marBottom w:val="0"/>
      <w:divBdr>
        <w:top w:val="none" w:sz="0" w:space="0" w:color="auto"/>
        <w:left w:val="none" w:sz="0" w:space="0" w:color="auto"/>
        <w:bottom w:val="none" w:sz="0" w:space="0" w:color="auto"/>
        <w:right w:val="none" w:sz="0" w:space="0" w:color="auto"/>
      </w:divBdr>
    </w:div>
    <w:div w:id="1712487497">
      <w:bodyDiv w:val="1"/>
      <w:marLeft w:val="0"/>
      <w:marRight w:val="0"/>
      <w:marTop w:val="0"/>
      <w:marBottom w:val="0"/>
      <w:divBdr>
        <w:top w:val="none" w:sz="0" w:space="0" w:color="auto"/>
        <w:left w:val="none" w:sz="0" w:space="0" w:color="auto"/>
        <w:bottom w:val="none" w:sz="0" w:space="0" w:color="auto"/>
        <w:right w:val="none" w:sz="0" w:space="0" w:color="auto"/>
      </w:divBdr>
    </w:div>
    <w:div w:id="1760297803">
      <w:bodyDiv w:val="1"/>
      <w:marLeft w:val="0"/>
      <w:marRight w:val="0"/>
      <w:marTop w:val="0"/>
      <w:marBottom w:val="0"/>
      <w:divBdr>
        <w:top w:val="none" w:sz="0" w:space="0" w:color="auto"/>
        <w:left w:val="none" w:sz="0" w:space="0" w:color="auto"/>
        <w:bottom w:val="none" w:sz="0" w:space="0" w:color="auto"/>
        <w:right w:val="none" w:sz="0" w:space="0" w:color="auto"/>
      </w:divBdr>
    </w:div>
    <w:div w:id="1774352921">
      <w:bodyDiv w:val="1"/>
      <w:marLeft w:val="0"/>
      <w:marRight w:val="0"/>
      <w:marTop w:val="0"/>
      <w:marBottom w:val="0"/>
      <w:divBdr>
        <w:top w:val="none" w:sz="0" w:space="0" w:color="auto"/>
        <w:left w:val="none" w:sz="0" w:space="0" w:color="auto"/>
        <w:bottom w:val="none" w:sz="0" w:space="0" w:color="auto"/>
        <w:right w:val="none" w:sz="0" w:space="0" w:color="auto"/>
      </w:divBdr>
    </w:div>
    <w:div w:id="1775979668">
      <w:bodyDiv w:val="1"/>
      <w:marLeft w:val="0"/>
      <w:marRight w:val="0"/>
      <w:marTop w:val="0"/>
      <w:marBottom w:val="0"/>
      <w:divBdr>
        <w:top w:val="none" w:sz="0" w:space="0" w:color="auto"/>
        <w:left w:val="none" w:sz="0" w:space="0" w:color="auto"/>
        <w:bottom w:val="none" w:sz="0" w:space="0" w:color="auto"/>
        <w:right w:val="none" w:sz="0" w:space="0" w:color="auto"/>
      </w:divBdr>
    </w:div>
    <w:div w:id="1786000330">
      <w:bodyDiv w:val="1"/>
      <w:marLeft w:val="0"/>
      <w:marRight w:val="0"/>
      <w:marTop w:val="0"/>
      <w:marBottom w:val="0"/>
      <w:divBdr>
        <w:top w:val="none" w:sz="0" w:space="0" w:color="auto"/>
        <w:left w:val="none" w:sz="0" w:space="0" w:color="auto"/>
        <w:bottom w:val="none" w:sz="0" w:space="0" w:color="auto"/>
        <w:right w:val="none" w:sz="0" w:space="0" w:color="auto"/>
      </w:divBdr>
    </w:div>
    <w:div w:id="1901014274">
      <w:bodyDiv w:val="1"/>
      <w:marLeft w:val="0"/>
      <w:marRight w:val="0"/>
      <w:marTop w:val="0"/>
      <w:marBottom w:val="0"/>
      <w:divBdr>
        <w:top w:val="none" w:sz="0" w:space="0" w:color="auto"/>
        <w:left w:val="none" w:sz="0" w:space="0" w:color="auto"/>
        <w:bottom w:val="none" w:sz="0" w:space="0" w:color="auto"/>
        <w:right w:val="none" w:sz="0" w:space="0" w:color="auto"/>
      </w:divBdr>
    </w:div>
    <w:div w:id="1959679272">
      <w:bodyDiv w:val="1"/>
      <w:marLeft w:val="0"/>
      <w:marRight w:val="0"/>
      <w:marTop w:val="0"/>
      <w:marBottom w:val="0"/>
      <w:divBdr>
        <w:top w:val="none" w:sz="0" w:space="0" w:color="auto"/>
        <w:left w:val="none" w:sz="0" w:space="0" w:color="auto"/>
        <w:bottom w:val="none" w:sz="0" w:space="0" w:color="auto"/>
        <w:right w:val="none" w:sz="0" w:space="0" w:color="auto"/>
      </w:divBdr>
    </w:div>
    <w:div w:id="1976329900">
      <w:bodyDiv w:val="1"/>
      <w:marLeft w:val="0"/>
      <w:marRight w:val="0"/>
      <w:marTop w:val="0"/>
      <w:marBottom w:val="0"/>
      <w:divBdr>
        <w:top w:val="none" w:sz="0" w:space="0" w:color="auto"/>
        <w:left w:val="none" w:sz="0" w:space="0" w:color="auto"/>
        <w:bottom w:val="none" w:sz="0" w:space="0" w:color="auto"/>
        <w:right w:val="none" w:sz="0" w:space="0" w:color="auto"/>
      </w:divBdr>
    </w:div>
    <w:div w:id="2002662619">
      <w:bodyDiv w:val="1"/>
      <w:marLeft w:val="0"/>
      <w:marRight w:val="0"/>
      <w:marTop w:val="0"/>
      <w:marBottom w:val="0"/>
      <w:divBdr>
        <w:top w:val="none" w:sz="0" w:space="0" w:color="auto"/>
        <w:left w:val="none" w:sz="0" w:space="0" w:color="auto"/>
        <w:bottom w:val="none" w:sz="0" w:space="0" w:color="auto"/>
        <w:right w:val="none" w:sz="0" w:space="0" w:color="auto"/>
      </w:divBdr>
    </w:div>
    <w:div w:id="2043509609">
      <w:bodyDiv w:val="1"/>
      <w:marLeft w:val="0"/>
      <w:marRight w:val="0"/>
      <w:marTop w:val="0"/>
      <w:marBottom w:val="0"/>
      <w:divBdr>
        <w:top w:val="none" w:sz="0" w:space="0" w:color="auto"/>
        <w:left w:val="none" w:sz="0" w:space="0" w:color="auto"/>
        <w:bottom w:val="none" w:sz="0" w:space="0" w:color="auto"/>
        <w:right w:val="none" w:sz="0" w:space="0" w:color="auto"/>
      </w:divBdr>
    </w:div>
    <w:div w:id="2088964040">
      <w:bodyDiv w:val="1"/>
      <w:marLeft w:val="0"/>
      <w:marRight w:val="0"/>
      <w:marTop w:val="0"/>
      <w:marBottom w:val="0"/>
      <w:divBdr>
        <w:top w:val="none" w:sz="0" w:space="0" w:color="auto"/>
        <w:left w:val="none" w:sz="0" w:space="0" w:color="auto"/>
        <w:bottom w:val="none" w:sz="0" w:space="0" w:color="auto"/>
        <w:right w:val="none" w:sz="0" w:space="0" w:color="auto"/>
      </w:divBdr>
    </w:div>
    <w:div w:id="2096854678">
      <w:bodyDiv w:val="1"/>
      <w:marLeft w:val="0"/>
      <w:marRight w:val="0"/>
      <w:marTop w:val="0"/>
      <w:marBottom w:val="0"/>
      <w:divBdr>
        <w:top w:val="none" w:sz="0" w:space="0" w:color="auto"/>
        <w:left w:val="none" w:sz="0" w:space="0" w:color="auto"/>
        <w:bottom w:val="none" w:sz="0" w:space="0" w:color="auto"/>
        <w:right w:val="none" w:sz="0" w:space="0" w:color="auto"/>
      </w:divBdr>
      <w:divsChild>
        <w:div w:id="984549960">
          <w:marLeft w:val="0"/>
          <w:marRight w:val="0"/>
          <w:marTop w:val="0"/>
          <w:marBottom w:val="0"/>
          <w:divBdr>
            <w:top w:val="none" w:sz="0" w:space="0" w:color="auto"/>
            <w:left w:val="none" w:sz="0" w:space="0" w:color="auto"/>
            <w:bottom w:val="none" w:sz="0" w:space="0" w:color="auto"/>
            <w:right w:val="none" w:sz="0" w:space="0" w:color="auto"/>
          </w:divBdr>
          <w:divsChild>
            <w:div w:id="1791823147">
              <w:marLeft w:val="0"/>
              <w:marRight w:val="0"/>
              <w:marTop w:val="0"/>
              <w:marBottom w:val="0"/>
              <w:divBdr>
                <w:top w:val="none" w:sz="0" w:space="0" w:color="auto"/>
                <w:left w:val="none" w:sz="0" w:space="0" w:color="auto"/>
                <w:bottom w:val="none" w:sz="0" w:space="0" w:color="auto"/>
                <w:right w:val="none" w:sz="0" w:space="0" w:color="auto"/>
              </w:divBdr>
              <w:divsChild>
                <w:div w:id="250283061">
                  <w:marLeft w:val="0"/>
                  <w:marRight w:val="0"/>
                  <w:marTop w:val="0"/>
                  <w:marBottom w:val="0"/>
                  <w:divBdr>
                    <w:top w:val="none" w:sz="0" w:space="0" w:color="auto"/>
                    <w:left w:val="none" w:sz="0" w:space="0" w:color="auto"/>
                    <w:bottom w:val="none" w:sz="0" w:space="0" w:color="auto"/>
                    <w:right w:val="none" w:sz="0" w:space="0" w:color="auto"/>
                  </w:divBdr>
                  <w:divsChild>
                    <w:div w:id="39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1C92-C870-4627-8CDE-8A7118BC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8618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WKOe</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 Ruth, WKÖ BSBV</dc:creator>
  <cp:lastModifiedBy>Egger Bernhard, Dr, WKÖ BSBV</cp:lastModifiedBy>
  <cp:revision>3</cp:revision>
  <cp:lastPrinted>2015-06-01T16:17:00Z</cp:lastPrinted>
  <dcterms:created xsi:type="dcterms:W3CDTF">2015-06-18T13:06:00Z</dcterms:created>
  <dcterms:modified xsi:type="dcterms:W3CDTF">2015-06-18T14:16:00Z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1954048681</vt:i4>
  </property>
  <property fmtid="{D5CDD505-2E9C-101B-9397-08002B2CF9AE}" pid="3" name="_NewReviewCycle">
    <vt:lpwstr/>
  </property>
  <property fmtid="{D5CDD505-2E9C-101B-9397-08002B2CF9AE}" pid="4" name="_EmailSubject">
    <vt:lpwstr>EBA-Konsultation Vergütungs-Guidelines; Entwurf einer Stellungnahme</vt:lpwstr>
  </property>
  <property fmtid="{D5CDD505-2E9C-101B-9397-08002B2CF9AE}" pid="5" name="_AuthorEmail">
    <vt:lpwstr>bsbv@wko.at</vt:lpwstr>
  </property>
  <property fmtid="{D5CDD505-2E9C-101B-9397-08002B2CF9AE}" pid="6" name="_AuthorEmailDisplayName">
    <vt:lpwstr>WKÖ BSBV</vt:lpwstr>
  </property>
  <property fmtid="{D5CDD505-2E9C-101B-9397-08002B2CF9AE}" pid="7" name="_ReviewingToolsShownOnce">
    <vt:lpwstr/>
  </property>
</Properties>
</file>