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31" w:rsidRPr="00415854" w:rsidRDefault="00C10B31">
      <w:pPr>
        <w:rPr>
          <w:b/>
          <w:u w:val="single"/>
        </w:rPr>
      </w:pPr>
    </w:p>
    <w:tbl>
      <w:tblPr>
        <w:tblW w:w="14400" w:type="dxa"/>
        <w:tblLayout w:type="fixed"/>
        <w:tblCellMar>
          <w:left w:w="70" w:type="dxa"/>
          <w:right w:w="70" w:type="dxa"/>
        </w:tblCellMar>
        <w:tblLook w:val="0000" w:firstRow="0" w:lastRow="0" w:firstColumn="0" w:lastColumn="0" w:noHBand="0" w:noVBand="0"/>
      </w:tblPr>
      <w:tblGrid>
        <w:gridCol w:w="5102"/>
        <w:gridCol w:w="4649"/>
        <w:gridCol w:w="4649"/>
      </w:tblGrid>
      <w:tr w:rsidR="00F92824" w:rsidRPr="002038DC" w:rsidTr="00F92824">
        <w:trPr>
          <w:trHeight w:hRule="exact" w:val="3261"/>
        </w:trPr>
        <w:tc>
          <w:tcPr>
            <w:tcW w:w="5102" w:type="dxa"/>
          </w:tcPr>
          <w:p w:rsidR="00F92824" w:rsidRPr="002038DC" w:rsidRDefault="00C973E6" w:rsidP="00A555B1">
            <w:pPr>
              <w:ind w:right="-1"/>
              <w:rPr>
                <w:b/>
                <w:szCs w:val="22"/>
                <w:lang w:val="pt-BR"/>
              </w:rPr>
            </w:pPr>
            <w:r>
              <w:rPr>
                <w:lang w:val="fi-FI"/>
              </w:rPr>
              <w:br/>
            </w:r>
            <w:r>
              <w:rPr>
                <w:lang w:val="fi-FI"/>
              </w:rPr>
              <w:br/>
              <w:t>European Banking Authority (EBA)</w:t>
            </w:r>
          </w:p>
        </w:tc>
        <w:tc>
          <w:tcPr>
            <w:tcW w:w="4649" w:type="dxa"/>
          </w:tcPr>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20" w:lineRule="atLeast"/>
              <w:jc w:val="right"/>
              <w:rPr>
                <w:b/>
                <w:bCs/>
                <w:color w:val="000000"/>
                <w:sz w:val="6"/>
                <w:szCs w:val="6"/>
                <w:lang w:val="fi-FI"/>
              </w:rPr>
            </w:pPr>
          </w:p>
          <w:p w:rsidR="00F92824" w:rsidRPr="00D364F4" w:rsidRDefault="00F92824" w:rsidP="00551EFB">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92824" w:rsidRPr="00D364F4" w:rsidRDefault="00F92824" w:rsidP="00551EFB">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92824" w:rsidRPr="00D364F4" w:rsidRDefault="00F92824" w:rsidP="00551EFB">
            <w:pPr>
              <w:spacing w:line="260" w:lineRule="atLeast"/>
              <w:jc w:val="right"/>
              <w:rPr>
                <w:color w:val="000000"/>
                <w:sz w:val="18"/>
                <w:szCs w:val="18"/>
              </w:rPr>
            </w:pPr>
            <w:r w:rsidRPr="00D364F4">
              <w:rPr>
                <w:noProof/>
                <w:color w:val="000000"/>
                <w:sz w:val="18"/>
                <w:szCs w:val="18"/>
              </w:rPr>
              <w:t>Wiedner Hauptstraße 63 | P.O. Box 320</w:t>
            </w:r>
          </w:p>
          <w:p w:rsidR="00F92824" w:rsidRPr="00D364F4" w:rsidRDefault="00F92824" w:rsidP="00551EFB">
            <w:pPr>
              <w:spacing w:line="260" w:lineRule="atLeast"/>
              <w:jc w:val="right"/>
              <w:rPr>
                <w:color w:val="000000"/>
                <w:sz w:val="18"/>
                <w:szCs w:val="18"/>
              </w:rPr>
            </w:pPr>
            <w:r w:rsidRPr="00D364F4">
              <w:rPr>
                <w:noProof/>
                <w:color w:val="000000"/>
                <w:sz w:val="18"/>
                <w:szCs w:val="18"/>
              </w:rPr>
              <w:t>1045 Vienna</w:t>
            </w:r>
          </w:p>
          <w:p w:rsidR="00F92824" w:rsidRPr="00D364F4" w:rsidRDefault="00F92824" w:rsidP="00551EFB">
            <w:pPr>
              <w:spacing w:line="260" w:lineRule="atLeast"/>
              <w:jc w:val="right"/>
              <w:rPr>
                <w:color w:val="000000"/>
                <w:sz w:val="18"/>
                <w:szCs w:val="18"/>
              </w:rPr>
            </w:pPr>
            <w:r w:rsidRPr="00D364F4">
              <w:rPr>
                <w:noProof/>
                <w:color w:val="000000"/>
                <w:sz w:val="18"/>
                <w:szCs w:val="18"/>
              </w:rPr>
              <w:t>T +43 (0)5 90 900-DW | F +43 (0)5 90 900-272</w:t>
            </w:r>
          </w:p>
          <w:p w:rsidR="00F92824" w:rsidRPr="00D364F4" w:rsidRDefault="00F92824" w:rsidP="00551EFB">
            <w:pPr>
              <w:spacing w:line="260" w:lineRule="atLeast"/>
              <w:jc w:val="right"/>
              <w:rPr>
                <w:color w:val="000000"/>
                <w:sz w:val="18"/>
                <w:szCs w:val="18"/>
              </w:rPr>
            </w:pPr>
            <w:r w:rsidRPr="00D364F4">
              <w:rPr>
                <w:noProof/>
                <w:color w:val="000000"/>
                <w:sz w:val="18"/>
                <w:szCs w:val="18"/>
              </w:rPr>
              <w:t>E  bsbv@wko.at</w:t>
            </w:r>
          </w:p>
          <w:p w:rsidR="00F92824" w:rsidRPr="00D364F4" w:rsidRDefault="00F92824" w:rsidP="00551EFB">
            <w:pPr>
              <w:spacing w:line="260" w:lineRule="atLeast"/>
              <w:jc w:val="right"/>
              <w:rPr>
                <w:lang w:val="en-GB"/>
              </w:rPr>
            </w:pPr>
            <w:r w:rsidRPr="00D364F4">
              <w:rPr>
                <w:noProof/>
                <w:color w:val="000000"/>
                <w:sz w:val="18"/>
                <w:szCs w:val="18"/>
                <w:lang w:val="en-GB"/>
              </w:rPr>
              <w:t>W  http://wko.at/bsbv</w:t>
            </w:r>
          </w:p>
        </w:tc>
        <w:tc>
          <w:tcPr>
            <w:tcW w:w="4649" w:type="dxa"/>
          </w:tcPr>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20" w:lineRule="atLeast"/>
              <w:ind w:right="255"/>
              <w:jc w:val="right"/>
              <w:rPr>
                <w:b/>
                <w:snapToGrid w:val="0"/>
                <w:color w:val="000000"/>
                <w:sz w:val="6"/>
                <w:szCs w:val="6"/>
                <w:u w:color="000000"/>
                <w:lang w:val="pt-BR"/>
              </w:rPr>
            </w:pPr>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Bundessparte Bank und Versicherung</w:t>
            </w:r>
            <w:bookmarkStart w:id="0" w:name="abs1"/>
            <w:bookmarkEnd w:id="0"/>
          </w:p>
          <w:p w:rsidR="00F92824" w:rsidRPr="002038DC" w:rsidRDefault="00F92824" w:rsidP="00F0083F">
            <w:pPr>
              <w:spacing w:line="260" w:lineRule="atLeast"/>
              <w:ind w:right="255"/>
              <w:jc w:val="right"/>
              <w:rPr>
                <w:b/>
                <w:snapToGrid w:val="0"/>
                <w:color w:val="000000"/>
                <w:sz w:val="18"/>
                <w:szCs w:val="18"/>
                <w:u w:color="000000"/>
              </w:rPr>
            </w:pPr>
            <w:r w:rsidRPr="002038DC">
              <w:rPr>
                <w:b/>
                <w:snapToGrid w:val="0"/>
                <w:color w:val="000000"/>
                <w:sz w:val="18"/>
                <w:szCs w:val="18"/>
                <w:u w:color="000000"/>
              </w:rPr>
              <w:t>Wirtschaftskammer Österreich</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Wiedner Hauptstraße 63 | Postfach 320</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1045 Wien</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T +43 (0)5 90 900-DW | F +43 (0)5 90 900-272</w:t>
            </w:r>
          </w:p>
          <w:p w:rsidR="00F92824" w:rsidRPr="002038DC" w:rsidRDefault="00F92824" w:rsidP="00F0083F">
            <w:pPr>
              <w:spacing w:line="260" w:lineRule="atLeast"/>
              <w:ind w:right="255"/>
              <w:jc w:val="right"/>
              <w:rPr>
                <w:snapToGrid w:val="0"/>
                <w:color w:val="000000"/>
                <w:sz w:val="18"/>
                <w:szCs w:val="18"/>
                <w:u w:color="000000"/>
              </w:rPr>
            </w:pPr>
            <w:r w:rsidRPr="002038DC">
              <w:rPr>
                <w:snapToGrid w:val="0"/>
                <w:color w:val="000000"/>
                <w:sz w:val="18"/>
                <w:szCs w:val="18"/>
                <w:u w:color="000000"/>
              </w:rPr>
              <w:t>E  bsbv@wko.at</w:t>
            </w:r>
          </w:p>
          <w:p w:rsidR="00F92824" w:rsidRPr="008E69FC" w:rsidRDefault="00F92824" w:rsidP="00F0083F">
            <w:pPr>
              <w:spacing w:line="260" w:lineRule="atLeast"/>
              <w:ind w:right="255"/>
              <w:jc w:val="right"/>
              <w:rPr>
                <w:lang w:val="de-AT"/>
              </w:rPr>
            </w:pPr>
            <w:r w:rsidRPr="008E69FC">
              <w:rPr>
                <w:snapToGrid w:val="0"/>
                <w:color w:val="000000"/>
                <w:sz w:val="18"/>
                <w:szCs w:val="18"/>
                <w:u w:color="000000"/>
                <w:lang w:val="de-AT"/>
              </w:rPr>
              <w:t>W  http://wko.at/bsbv</w:t>
            </w:r>
          </w:p>
        </w:tc>
      </w:tr>
    </w:tbl>
    <w:p w:rsidR="00C10B31" w:rsidRPr="00945373" w:rsidRDefault="00C10B31" w:rsidP="00F0083F">
      <w:pPr>
        <w:spacing w:line="240" w:lineRule="auto"/>
        <w:ind w:right="-1"/>
        <w:rPr>
          <w:snapToGrid w:val="0"/>
          <w:color w:val="000000"/>
          <w:sz w:val="24"/>
          <w:szCs w:val="24"/>
          <w:u w:color="000000"/>
        </w:rPr>
      </w:pPr>
    </w:p>
    <w:p w:rsidR="00237B76" w:rsidRDefault="00237B76" w:rsidP="00237B76">
      <w:pPr>
        <w:tabs>
          <w:tab w:val="left" w:pos="2977"/>
          <w:tab w:val="left" w:pos="5954"/>
          <w:tab w:val="left" w:pos="7655"/>
          <w:tab w:val="left" w:pos="8364"/>
        </w:tabs>
        <w:ind w:right="-1"/>
        <w:rPr>
          <w:sz w:val="16"/>
        </w:rPr>
      </w:pPr>
      <w:r>
        <w:rPr>
          <w:sz w:val="16"/>
        </w:rPr>
        <w:t>Ihr Zeichen, Ihre Nachricht vom</w:t>
      </w:r>
      <w:r>
        <w:rPr>
          <w:sz w:val="16"/>
        </w:rPr>
        <w:tab/>
        <w:t>Unser Zeichen, Sacharbeiter</w:t>
      </w:r>
      <w:r>
        <w:rPr>
          <w:sz w:val="16"/>
        </w:rPr>
        <w:tab/>
        <w:t>Durchwahl</w:t>
      </w:r>
      <w:r>
        <w:rPr>
          <w:sz w:val="16"/>
        </w:rPr>
        <w:tab/>
        <w:t>Datum</w:t>
      </w:r>
    </w:p>
    <w:p w:rsidR="00237B76" w:rsidRDefault="00237B76" w:rsidP="00AD62C1">
      <w:pPr>
        <w:tabs>
          <w:tab w:val="left" w:pos="2977"/>
          <w:tab w:val="left" w:pos="5954"/>
          <w:tab w:val="left" w:pos="7655"/>
        </w:tabs>
        <w:ind w:right="-1"/>
        <w:rPr>
          <w:snapToGrid w:val="0"/>
          <w:color w:val="000000"/>
          <w:szCs w:val="22"/>
          <w:u w:color="000000"/>
        </w:rPr>
      </w:pPr>
      <w:r>
        <w:rPr>
          <w:snapToGrid w:val="0"/>
          <w:color w:val="000000"/>
          <w:szCs w:val="22"/>
          <w:u w:color="000000"/>
        </w:rPr>
        <w:tab/>
        <w:t xml:space="preserve">BSBV </w:t>
      </w:r>
      <w:r w:rsidR="00F92824">
        <w:rPr>
          <w:snapToGrid w:val="0"/>
          <w:color w:val="000000"/>
          <w:szCs w:val="22"/>
          <w:u w:color="000000"/>
        </w:rPr>
        <w:t>115</w:t>
      </w:r>
      <w:r w:rsidR="00AD62C1">
        <w:rPr>
          <w:snapToGrid w:val="0"/>
          <w:color w:val="000000"/>
          <w:szCs w:val="22"/>
          <w:u w:color="000000"/>
        </w:rPr>
        <w:t>/</w:t>
      </w:r>
      <w:proofErr w:type="spellStart"/>
      <w:r w:rsidR="00AD62C1">
        <w:rPr>
          <w:snapToGrid w:val="0"/>
          <w:color w:val="000000"/>
          <w:szCs w:val="22"/>
          <w:u w:color="000000"/>
        </w:rPr>
        <w:t>Dr.</w:t>
      </w:r>
      <w:r w:rsidR="005F3730">
        <w:rPr>
          <w:snapToGrid w:val="0"/>
          <w:color w:val="000000"/>
          <w:szCs w:val="22"/>
          <w:u w:color="000000"/>
        </w:rPr>
        <w:t>Egger</w:t>
      </w:r>
      <w:proofErr w:type="spellEnd"/>
      <w:r w:rsidR="00FE2AE8">
        <w:rPr>
          <w:snapToGrid w:val="0"/>
          <w:color w:val="000000"/>
          <w:szCs w:val="22"/>
          <w:u w:color="000000"/>
        </w:rPr>
        <w:t>/</w:t>
      </w:r>
      <w:proofErr w:type="spellStart"/>
      <w:r w:rsidR="00FE2AE8">
        <w:rPr>
          <w:snapToGrid w:val="0"/>
          <w:color w:val="000000"/>
          <w:szCs w:val="22"/>
          <w:u w:color="000000"/>
        </w:rPr>
        <w:t>We</w:t>
      </w:r>
      <w:proofErr w:type="spellEnd"/>
      <w:r w:rsidR="005F3730">
        <w:rPr>
          <w:snapToGrid w:val="0"/>
          <w:color w:val="000000"/>
          <w:szCs w:val="22"/>
          <w:u w:color="000000"/>
        </w:rPr>
        <w:tab/>
        <w:t xml:space="preserve">3137            </w:t>
      </w:r>
      <w:r w:rsidR="009845AD">
        <w:rPr>
          <w:snapToGrid w:val="0"/>
          <w:color w:val="000000"/>
          <w:szCs w:val="22"/>
          <w:u w:color="000000"/>
        </w:rPr>
        <w:t xml:space="preserve"> </w:t>
      </w:r>
      <w:r w:rsidR="00F500B2">
        <w:rPr>
          <w:snapToGrid w:val="0"/>
          <w:color w:val="000000"/>
          <w:szCs w:val="22"/>
          <w:u w:color="000000"/>
        </w:rPr>
        <w:t xml:space="preserve"> </w:t>
      </w:r>
      <w:r w:rsidR="0022490E">
        <w:rPr>
          <w:snapToGrid w:val="0"/>
          <w:color w:val="000000"/>
          <w:szCs w:val="22"/>
          <w:u w:color="000000"/>
        </w:rPr>
        <w:t xml:space="preserve">    </w:t>
      </w:r>
      <w:r w:rsidR="00031CC6">
        <w:rPr>
          <w:snapToGrid w:val="0"/>
          <w:color w:val="000000"/>
          <w:szCs w:val="22"/>
          <w:u w:color="000000"/>
        </w:rPr>
        <w:t>7 August</w:t>
      </w:r>
      <w:r w:rsidR="00F500B2">
        <w:rPr>
          <w:snapToGrid w:val="0"/>
          <w:color w:val="000000"/>
          <w:szCs w:val="22"/>
          <w:u w:color="000000"/>
        </w:rPr>
        <w:t xml:space="preserve"> 2015</w:t>
      </w:r>
      <w:r w:rsidR="00F92824">
        <w:rPr>
          <w:snapToGrid w:val="0"/>
          <w:color w:val="000000"/>
          <w:szCs w:val="22"/>
          <w:u w:color="000000"/>
        </w:rPr>
        <w:t xml:space="preserve"> </w:t>
      </w:r>
    </w:p>
    <w:p w:rsidR="00154A68" w:rsidRDefault="00154A68" w:rsidP="00154A68"/>
    <w:p w:rsidR="0094573F" w:rsidRDefault="0094573F" w:rsidP="00154A68"/>
    <w:p w:rsidR="0022490E" w:rsidRPr="00456C8E" w:rsidRDefault="00F92824" w:rsidP="00154A68">
      <w:pPr>
        <w:rPr>
          <w:b/>
          <w:szCs w:val="22"/>
          <w:u w:val="single"/>
        </w:rPr>
      </w:pPr>
      <w:r w:rsidRPr="00456C8E">
        <w:rPr>
          <w:b/>
          <w:szCs w:val="22"/>
          <w:u w:val="single"/>
        </w:rPr>
        <w:t>EBA</w:t>
      </w:r>
      <w:r w:rsidR="00C12058" w:rsidRPr="00456C8E">
        <w:rPr>
          <w:b/>
          <w:szCs w:val="22"/>
          <w:u w:val="single"/>
        </w:rPr>
        <w:t xml:space="preserve"> </w:t>
      </w:r>
      <w:r w:rsidR="00031CC6" w:rsidRPr="00456C8E">
        <w:rPr>
          <w:b/>
          <w:szCs w:val="22"/>
          <w:u w:val="single"/>
        </w:rPr>
        <w:t>–</w:t>
      </w:r>
      <w:r w:rsidR="00C12058" w:rsidRPr="00456C8E">
        <w:rPr>
          <w:b/>
          <w:szCs w:val="22"/>
          <w:u w:val="single"/>
        </w:rPr>
        <w:t xml:space="preserve"> </w:t>
      </w:r>
      <w:proofErr w:type="spellStart"/>
      <w:r w:rsidR="00031CC6" w:rsidRPr="00456C8E">
        <w:rPr>
          <w:b/>
          <w:szCs w:val="22"/>
          <w:u w:val="single"/>
        </w:rPr>
        <w:t>Consultation</w:t>
      </w:r>
      <w:proofErr w:type="spellEnd"/>
      <w:r w:rsidR="00031CC6" w:rsidRPr="00456C8E">
        <w:rPr>
          <w:b/>
          <w:szCs w:val="22"/>
          <w:u w:val="single"/>
        </w:rPr>
        <w:t xml:space="preserve"> </w:t>
      </w:r>
      <w:proofErr w:type="spellStart"/>
      <w:r w:rsidR="00031CC6" w:rsidRPr="00456C8E">
        <w:rPr>
          <w:b/>
          <w:szCs w:val="22"/>
          <w:u w:val="single"/>
        </w:rPr>
        <w:t>Draft</w:t>
      </w:r>
      <w:proofErr w:type="spellEnd"/>
      <w:r w:rsidR="00031CC6" w:rsidRPr="00456C8E">
        <w:rPr>
          <w:b/>
          <w:szCs w:val="22"/>
          <w:u w:val="single"/>
        </w:rPr>
        <w:t xml:space="preserve"> RTS on </w:t>
      </w:r>
      <w:proofErr w:type="spellStart"/>
      <w:r w:rsidR="00031CC6" w:rsidRPr="00456C8E">
        <w:rPr>
          <w:b/>
          <w:szCs w:val="22"/>
          <w:u w:val="single"/>
        </w:rPr>
        <w:t>specialised</w:t>
      </w:r>
      <w:proofErr w:type="spellEnd"/>
      <w:r w:rsidR="00031CC6" w:rsidRPr="00456C8E">
        <w:rPr>
          <w:b/>
          <w:szCs w:val="22"/>
          <w:u w:val="single"/>
        </w:rPr>
        <w:t xml:space="preserve"> </w:t>
      </w:r>
      <w:proofErr w:type="spellStart"/>
      <w:r w:rsidR="00031CC6" w:rsidRPr="00456C8E">
        <w:rPr>
          <w:b/>
          <w:szCs w:val="22"/>
          <w:u w:val="single"/>
        </w:rPr>
        <w:t>lending</w:t>
      </w:r>
      <w:proofErr w:type="spellEnd"/>
      <w:r w:rsidR="00031CC6" w:rsidRPr="00456C8E">
        <w:rPr>
          <w:b/>
          <w:szCs w:val="22"/>
          <w:u w:val="single"/>
        </w:rPr>
        <w:t xml:space="preserve"> </w:t>
      </w:r>
      <w:proofErr w:type="spellStart"/>
      <w:r w:rsidR="00031CC6" w:rsidRPr="00456C8E">
        <w:rPr>
          <w:b/>
          <w:szCs w:val="22"/>
          <w:u w:val="single"/>
        </w:rPr>
        <w:t>exposures</w:t>
      </w:r>
      <w:proofErr w:type="spellEnd"/>
      <w:r w:rsidR="00031CC6" w:rsidRPr="00456C8E">
        <w:rPr>
          <w:b/>
          <w:szCs w:val="22"/>
          <w:u w:val="single"/>
        </w:rPr>
        <w:t xml:space="preserve"> gem. Art. 153 (9) CRR</w:t>
      </w:r>
    </w:p>
    <w:p w:rsidR="00D973D5" w:rsidRPr="00456C8E" w:rsidRDefault="00D973D5" w:rsidP="0010363C">
      <w:pPr>
        <w:spacing w:line="240" w:lineRule="auto"/>
        <w:ind w:right="-1"/>
        <w:rPr>
          <w:szCs w:val="22"/>
          <w:lang w:eastAsia="de-AT"/>
        </w:rPr>
      </w:pPr>
    </w:p>
    <w:p w:rsidR="0010363C" w:rsidRPr="00456C8E" w:rsidRDefault="00F92824" w:rsidP="0010363C">
      <w:pPr>
        <w:spacing w:line="240" w:lineRule="auto"/>
        <w:ind w:right="-1"/>
        <w:rPr>
          <w:rFonts w:cs="Arial"/>
          <w:color w:val="000000"/>
          <w:szCs w:val="22"/>
          <w:lang w:val="en-GB" w:eastAsia="en-US"/>
        </w:rPr>
      </w:pPr>
      <w:r w:rsidRPr="00456C8E">
        <w:rPr>
          <w:szCs w:val="22"/>
          <w:lang w:val="en-GB"/>
        </w:rPr>
        <w:t>The Division Bank and Insurance of the Austrian Federal Economic Chamber, as representative of the entire Austrian banking industry, appreciates the possibility to</w:t>
      </w:r>
      <w:r w:rsidRPr="00456C8E">
        <w:rPr>
          <w:rFonts w:cs="Arial"/>
          <w:color w:val="000000"/>
          <w:szCs w:val="22"/>
          <w:lang w:val="en-GB" w:eastAsia="en-US"/>
        </w:rPr>
        <w:t xml:space="preserve"> comment on the </w:t>
      </w:r>
      <w:r w:rsidR="005D1FDD" w:rsidRPr="00456C8E">
        <w:rPr>
          <w:rFonts w:cs="Arial"/>
          <w:color w:val="000000"/>
          <w:szCs w:val="22"/>
          <w:lang w:val="en-GB" w:eastAsia="en-US"/>
        </w:rPr>
        <w:t xml:space="preserve">above mentioned </w:t>
      </w:r>
      <w:r w:rsidR="00031CC6" w:rsidRPr="00456C8E">
        <w:rPr>
          <w:rFonts w:cs="Arial"/>
          <w:color w:val="000000"/>
          <w:szCs w:val="22"/>
          <w:lang w:val="en-GB" w:eastAsia="en-US"/>
        </w:rPr>
        <w:t>Consultation Paper</w:t>
      </w:r>
      <w:r w:rsidR="005D1FDD" w:rsidRPr="00456C8E">
        <w:rPr>
          <w:rFonts w:cs="Arial"/>
          <w:color w:val="000000"/>
          <w:szCs w:val="22"/>
          <w:lang w:val="en-GB" w:eastAsia="en-US"/>
        </w:rPr>
        <w:t xml:space="preserve"> </w:t>
      </w:r>
      <w:r w:rsidRPr="00456C8E">
        <w:rPr>
          <w:rFonts w:cs="Arial"/>
          <w:color w:val="000000"/>
          <w:szCs w:val="22"/>
          <w:lang w:val="en-GB" w:eastAsia="en-US"/>
        </w:rPr>
        <w:t>and would like to submit the following position:</w:t>
      </w:r>
      <w:r w:rsidRPr="00456C8E">
        <w:rPr>
          <w:szCs w:val="22"/>
          <w:lang w:eastAsia="de-AT"/>
        </w:rPr>
        <w:t xml:space="preserve"> </w:t>
      </w:r>
    </w:p>
    <w:p w:rsidR="005E55A5" w:rsidRPr="00456C8E" w:rsidRDefault="005E55A5" w:rsidP="005E55A5">
      <w:pPr>
        <w:pStyle w:val="Default"/>
        <w:rPr>
          <w:rFonts w:ascii="Trebuchet MS" w:hAnsi="Trebuchet MS"/>
          <w:bC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sz w:val="22"/>
          <w:szCs w:val="22"/>
          <w:lang w:val="en-US"/>
        </w:rPr>
        <w:t>General remarks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 xml:space="preserve">Pursuant to the CRR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exposures should possess the three characteristics given in the Art. </w:t>
      </w:r>
      <w:proofErr w:type="gramStart"/>
      <w:r w:rsidRPr="00456C8E">
        <w:rPr>
          <w:rFonts w:ascii="Trebuchet MS" w:hAnsi="Trebuchet MS"/>
          <w:sz w:val="22"/>
          <w:szCs w:val="22"/>
          <w:lang w:val="en-US"/>
        </w:rPr>
        <w:t>147(8).</w:t>
      </w:r>
      <w:proofErr w:type="gramEnd"/>
      <w:r w:rsidRPr="00456C8E">
        <w:rPr>
          <w:rFonts w:ascii="Trebuchet MS" w:hAnsi="Trebuchet MS"/>
          <w:sz w:val="22"/>
          <w:szCs w:val="22"/>
          <w:lang w:val="en-US"/>
        </w:rPr>
        <w:t xml:space="preserve"> Nevertheless according to the CEBS Guideline 10 not all of these requirements have to be met to the same full extent. The most important criterion is that the primary source of repayment is income generated by the asset. We would like to know whether the implementation of this RTS would change this approach and lead to the equal importance of all defined criteria. Especially it is unclear whether the “entity which was created specifically to finance or operate physical asset” is an indispensable prerequisite in order to qualify an exposure as </w:t>
      </w:r>
      <w:proofErr w:type="spellStart"/>
      <w:r w:rsidRPr="00456C8E">
        <w:rPr>
          <w:rFonts w:ascii="Trebuchet MS" w:hAnsi="Trebuchet MS"/>
          <w:sz w:val="22"/>
          <w:szCs w:val="22"/>
          <w:lang w:val="en-US"/>
        </w:rPr>
        <w:t>specilised</w:t>
      </w:r>
      <w:proofErr w:type="spellEnd"/>
      <w:r w:rsidRPr="00456C8E">
        <w:rPr>
          <w:rFonts w:ascii="Trebuchet MS" w:hAnsi="Trebuchet MS"/>
          <w:sz w:val="22"/>
          <w:szCs w:val="22"/>
          <w:lang w:val="en-US"/>
        </w:rPr>
        <w:t xml:space="preserve"> lending or whether “an economically comparable exposure” can be treated as a structure substitute for SPV (“substance over form” principle).</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Cs/>
          <w:sz w:val="22"/>
          <w:szCs w:val="22"/>
          <w:lang w:val="en-US"/>
        </w:rPr>
      </w:pPr>
      <w:r w:rsidRPr="00456C8E">
        <w:rPr>
          <w:rFonts w:ascii="Trebuchet MS" w:hAnsi="Trebuchet MS"/>
          <w:sz w:val="22"/>
          <w:szCs w:val="22"/>
          <w:lang w:val="en-US"/>
        </w:rPr>
        <w:t xml:space="preserve">In our opinion the assessment criteria should be structured and split into two groups, i.e. quantitative and qualitative risk factors. When possible, factors should be harmonized and used consistently across different categories of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This structure of assessment would be clearer and closer to the actual rating process.</w:t>
      </w:r>
    </w:p>
    <w:p w:rsidR="005E55A5" w:rsidRPr="00456C8E" w:rsidRDefault="005E55A5" w:rsidP="005E55A5">
      <w:pPr>
        <w:pStyle w:val="Default"/>
        <w:rPr>
          <w:rFonts w:ascii="Trebuchet MS" w:hAnsi="Trebuchet MS"/>
          <w:bCs/>
          <w:sz w:val="22"/>
          <w:szCs w:val="22"/>
          <w:lang w:val="en-US"/>
        </w:rPr>
      </w:pPr>
    </w:p>
    <w:p w:rsidR="005E55A5" w:rsidRPr="00456C8E" w:rsidRDefault="005E55A5" w:rsidP="005E55A5">
      <w:pPr>
        <w:pStyle w:val="Default"/>
        <w:rPr>
          <w:rFonts w:ascii="Trebuchet MS" w:hAnsi="Trebuchet MS"/>
          <w:bC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1: </w:t>
      </w:r>
    </w:p>
    <w:p w:rsidR="005E55A5" w:rsidRPr="00456C8E" w:rsidRDefault="005E55A5" w:rsidP="005E55A5">
      <w:pPr>
        <w:pStyle w:val="Default"/>
        <w:rPr>
          <w:rFonts w:ascii="Trebuchet MS" w:hAnsi="Trebuchet MS"/>
          <w:sz w:val="22"/>
          <w:szCs w:val="22"/>
          <w:lang w:val="en-US"/>
        </w:rPr>
      </w:pPr>
    </w:p>
    <w:p w:rsidR="00456C8E" w:rsidRPr="00456C8E" w:rsidRDefault="00456C8E" w:rsidP="00456C8E">
      <w:pPr>
        <w:pStyle w:val="Listenabsatz"/>
        <w:numPr>
          <w:ilvl w:val="1"/>
          <w:numId w:val="25"/>
        </w:numPr>
        <w:spacing w:line="240" w:lineRule="auto"/>
        <w:ind w:left="432"/>
        <w:jc w:val="both"/>
        <w:rPr>
          <w:rFonts w:cs="Arial"/>
          <w:b/>
          <w:szCs w:val="22"/>
          <w:lang w:val="en-GB"/>
        </w:rPr>
      </w:pPr>
      <w:r w:rsidRPr="00456C8E">
        <w:rPr>
          <w:rFonts w:cs="Arial"/>
          <w:b/>
          <w:szCs w:val="22"/>
          <w:lang w:val="en-GB"/>
        </w:rPr>
        <w:t>What are the operational challenges of using the slotting approach?</w:t>
      </w:r>
    </w:p>
    <w:p w:rsidR="00456C8E" w:rsidRPr="00456C8E" w:rsidRDefault="00456C8E" w:rsidP="00456C8E">
      <w:pPr>
        <w:spacing w:line="240" w:lineRule="auto"/>
        <w:jc w:val="both"/>
        <w:rPr>
          <w:rFonts w:cs="Arial"/>
          <w:szCs w:val="22"/>
          <w:lang w:val="en-GB"/>
        </w:rPr>
      </w:pPr>
      <w:r w:rsidRPr="00456C8E">
        <w:rPr>
          <w:rFonts w:cs="Arial"/>
          <w:szCs w:val="22"/>
          <w:lang w:val="en-GB"/>
        </w:rPr>
        <w:t>On entity level we do not see any indication of operational challenges specific to the supervisory slotting approach. Guidelines can be set in place to regulate the assessment by model users (e.g. locally quantifiable and objective threshold for “strong DSCR”) and reduce room for individual interpretation. If required, internal loss experience and / or expert view can be applied to calibrate these thresholds so that the slotting criteria are in line with the EL- and RWA-figures per slotting category as provided in CRR, §158(6) and §153(5).</w:t>
      </w:r>
    </w:p>
    <w:p w:rsidR="00456C8E" w:rsidRPr="00456C8E" w:rsidRDefault="00456C8E" w:rsidP="00456C8E">
      <w:pPr>
        <w:pStyle w:val="Listenabsatz"/>
        <w:ind w:left="1058"/>
        <w:jc w:val="both"/>
        <w:rPr>
          <w:rFonts w:cs="Arial"/>
          <w:szCs w:val="22"/>
          <w:lang w:val="en-GB"/>
        </w:rPr>
      </w:pPr>
    </w:p>
    <w:p w:rsidR="00456C8E" w:rsidRPr="00456C8E" w:rsidRDefault="00456C8E" w:rsidP="00456C8E">
      <w:pPr>
        <w:pStyle w:val="Listenabsatz"/>
        <w:numPr>
          <w:ilvl w:val="1"/>
          <w:numId w:val="25"/>
        </w:numPr>
        <w:spacing w:line="240" w:lineRule="auto"/>
        <w:ind w:left="432"/>
        <w:jc w:val="both"/>
        <w:rPr>
          <w:rFonts w:cs="Arial"/>
          <w:szCs w:val="22"/>
          <w:lang w:val="en-GB"/>
        </w:rPr>
      </w:pPr>
      <w:r w:rsidRPr="00456C8E">
        <w:rPr>
          <w:rFonts w:cs="Arial"/>
          <w:b/>
          <w:szCs w:val="22"/>
          <w:lang w:val="en-GB"/>
        </w:rPr>
        <w:lastRenderedPageBreak/>
        <w:t>Is it possible to obtain comparable capital requirements across institutions using the slotting approach?</w:t>
      </w:r>
    </w:p>
    <w:p w:rsidR="00456C8E" w:rsidRPr="00456C8E" w:rsidRDefault="00456C8E" w:rsidP="00456C8E">
      <w:pPr>
        <w:spacing w:line="240" w:lineRule="auto"/>
        <w:jc w:val="both"/>
        <w:rPr>
          <w:rFonts w:cs="Arial"/>
          <w:szCs w:val="22"/>
          <w:lang w:val="en-GB"/>
        </w:rPr>
      </w:pPr>
      <w:r w:rsidRPr="00456C8E">
        <w:rPr>
          <w:rFonts w:cs="Arial"/>
          <w:szCs w:val="22"/>
          <w:lang w:val="en-GB"/>
        </w:rPr>
        <w:t>Referring to question 1.1., comparability of capital requirements across institutions can only be ensured by the same interpretation of the slotting criteria and by means of consistent calibration.</w:t>
      </w:r>
    </w:p>
    <w:p w:rsidR="00456C8E" w:rsidRPr="00456C8E" w:rsidRDefault="00456C8E" w:rsidP="00456C8E">
      <w:pPr>
        <w:pStyle w:val="Listenabsatz"/>
        <w:ind w:left="1058"/>
        <w:jc w:val="both"/>
        <w:rPr>
          <w:rFonts w:cs="Arial"/>
          <w:szCs w:val="22"/>
          <w:lang w:val="en-GB"/>
        </w:rPr>
      </w:pPr>
    </w:p>
    <w:p w:rsidR="00456C8E" w:rsidRPr="00456C8E" w:rsidRDefault="00456C8E" w:rsidP="00456C8E">
      <w:pPr>
        <w:pStyle w:val="Listenabsatz"/>
        <w:numPr>
          <w:ilvl w:val="1"/>
          <w:numId w:val="25"/>
        </w:numPr>
        <w:spacing w:line="240" w:lineRule="auto"/>
        <w:ind w:left="432"/>
        <w:jc w:val="both"/>
        <w:rPr>
          <w:rFonts w:cs="Arial"/>
          <w:szCs w:val="22"/>
          <w:lang w:val="en-GB"/>
        </w:rPr>
      </w:pPr>
      <w:r w:rsidRPr="00456C8E">
        <w:rPr>
          <w:rFonts w:cs="Arial"/>
          <w:b/>
          <w:szCs w:val="22"/>
          <w:lang w:val="en-GB"/>
        </w:rPr>
        <w:t>Should the slotting approach in your view be extended to other types of exposures, and if yes, for which types of exposures would this be particularly useful?</w:t>
      </w:r>
    </w:p>
    <w:p w:rsidR="005E55A5" w:rsidRPr="00B529FF" w:rsidRDefault="00456C8E" w:rsidP="00B529FF">
      <w:pPr>
        <w:spacing w:line="240" w:lineRule="auto"/>
        <w:jc w:val="both"/>
        <w:rPr>
          <w:rFonts w:cs="Arial"/>
          <w:szCs w:val="22"/>
          <w:lang w:val="en-GB"/>
        </w:rPr>
      </w:pPr>
      <w:r w:rsidRPr="00456C8E">
        <w:rPr>
          <w:rFonts w:cs="Arial"/>
          <w:szCs w:val="22"/>
          <w:lang w:val="en-GB"/>
        </w:rPr>
        <w:t>Given that the historical evolution of the supervisory slotting approach being a ‘simple’ IRB alternative for low default portfolios and since currently the treatment of these low default portfolios are under various regulatory revisions, any consideration of extending the slotting approach to other portfolios should be subsumed by those existing activities. (We are referring to BCBS work on a revised standardized approach, the revisions of the IRB approach and the initiatives with respect to risk weighting of sovereign exposures.)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i/>
          <w:sz w:val="22"/>
          <w:szCs w:val="22"/>
          <w:lang w:val="en-US"/>
        </w:rPr>
      </w:pPr>
      <w:r w:rsidRPr="00456C8E">
        <w:rPr>
          <w:rFonts w:ascii="Trebuchet MS" w:hAnsi="Trebuchet MS"/>
          <w:b/>
          <w:bCs/>
          <w:sz w:val="22"/>
          <w:szCs w:val="22"/>
          <w:lang w:val="en-US"/>
        </w:rPr>
        <w:t>Question 2</w:t>
      </w:r>
      <w:r w:rsidRPr="00456C8E">
        <w:rPr>
          <w:rFonts w:ascii="Trebuchet MS" w:hAnsi="Trebuchet MS"/>
          <w:b/>
          <w:sz w:val="22"/>
          <w:szCs w:val="22"/>
          <w:lang w:val="en-US"/>
        </w:rPr>
        <w:t xml:space="preserve">: </w:t>
      </w:r>
    </w:p>
    <w:p w:rsidR="005E55A5" w:rsidRPr="00456C8E" w:rsidRDefault="005E55A5" w:rsidP="005E55A5">
      <w:pPr>
        <w:pStyle w:val="Default"/>
        <w:rPr>
          <w:rFonts w:ascii="Trebuchet MS" w:hAnsi="Trebuchet MS"/>
          <w:sz w:val="22"/>
          <w:szCs w:val="22"/>
          <w:lang w:val="en-US"/>
        </w:rPr>
      </w:pPr>
    </w:p>
    <w:p w:rsidR="00456C8E" w:rsidRPr="00456C8E" w:rsidRDefault="00456C8E" w:rsidP="00456C8E">
      <w:pPr>
        <w:pStyle w:val="Listenabsatz"/>
        <w:numPr>
          <w:ilvl w:val="1"/>
          <w:numId w:val="29"/>
        </w:numPr>
        <w:spacing w:line="240" w:lineRule="auto"/>
        <w:ind w:left="432"/>
        <w:jc w:val="both"/>
        <w:rPr>
          <w:rFonts w:cs="Arial"/>
          <w:b/>
          <w:szCs w:val="22"/>
          <w:lang w:val="en-GB"/>
        </w:rPr>
      </w:pPr>
      <w:r w:rsidRPr="00456C8E">
        <w:rPr>
          <w:rFonts w:cs="Arial"/>
          <w:b/>
          <w:szCs w:val="22"/>
          <w:lang w:val="en-GB"/>
        </w:rPr>
        <w:t>What would be the preferred approach for the combination of the factors into a final assignment to a category?</w:t>
      </w:r>
    </w:p>
    <w:p w:rsidR="00456C8E" w:rsidRPr="00456C8E" w:rsidRDefault="00456C8E" w:rsidP="00456C8E">
      <w:pPr>
        <w:spacing w:line="240" w:lineRule="auto"/>
        <w:jc w:val="both"/>
        <w:rPr>
          <w:rFonts w:cs="Arial"/>
          <w:szCs w:val="22"/>
          <w:lang w:val="en-GB"/>
        </w:rPr>
      </w:pPr>
      <w:r w:rsidRPr="00456C8E">
        <w:rPr>
          <w:rFonts w:cs="Arial"/>
          <w:szCs w:val="22"/>
          <w:lang w:val="en-GB"/>
        </w:rPr>
        <w:t>We apply a scorecard based approach to obtain slotting categories by mapping scores – through ratings and recovery expectations – to slotting categories. This is the most preferred approach as it is internally applied (e.g. in credit approval and pricing) which requires an increased granularity of scores compared to the four slotting categories:</w:t>
      </w:r>
    </w:p>
    <w:p w:rsidR="00456C8E" w:rsidRPr="00456C8E" w:rsidRDefault="00456C8E" w:rsidP="00456C8E">
      <w:pPr>
        <w:pStyle w:val="Listenabsatz"/>
        <w:numPr>
          <w:ilvl w:val="2"/>
          <w:numId w:val="28"/>
        </w:numPr>
        <w:spacing w:line="240" w:lineRule="auto"/>
        <w:ind w:left="1800"/>
        <w:jc w:val="both"/>
        <w:rPr>
          <w:rFonts w:cs="Arial"/>
          <w:szCs w:val="22"/>
          <w:lang w:val="en-GB"/>
        </w:rPr>
      </w:pPr>
      <w:r w:rsidRPr="00456C8E">
        <w:rPr>
          <w:rFonts w:cs="Arial"/>
          <w:szCs w:val="22"/>
          <w:lang w:val="en-GB"/>
        </w:rPr>
        <w:t>Supervisory slotting criteria is broken down to more granular and clearly defined risk factors</w:t>
      </w:r>
    </w:p>
    <w:p w:rsidR="00456C8E" w:rsidRPr="00456C8E" w:rsidRDefault="00456C8E" w:rsidP="00456C8E">
      <w:pPr>
        <w:pStyle w:val="Listenabsatz"/>
        <w:numPr>
          <w:ilvl w:val="2"/>
          <w:numId w:val="28"/>
        </w:numPr>
        <w:spacing w:line="240" w:lineRule="auto"/>
        <w:ind w:left="1800"/>
        <w:jc w:val="both"/>
        <w:rPr>
          <w:rFonts w:cs="Arial"/>
          <w:b/>
          <w:szCs w:val="22"/>
          <w:lang w:val="en-GB"/>
        </w:rPr>
      </w:pPr>
      <w:r w:rsidRPr="00456C8E">
        <w:rPr>
          <w:rFonts w:cs="Arial"/>
          <w:szCs w:val="22"/>
          <w:lang w:val="en-GB"/>
        </w:rPr>
        <w:t>Segment specific scorecards per sub-portfolio (e.g. real estate type) integrating specific factors of the slotting criteria driving the default risk of a specialised lending project</w:t>
      </w:r>
    </w:p>
    <w:p w:rsidR="00456C8E" w:rsidRPr="00456C8E" w:rsidRDefault="00456C8E" w:rsidP="00456C8E">
      <w:pPr>
        <w:pStyle w:val="Listenabsatz"/>
        <w:numPr>
          <w:ilvl w:val="2"/>
          <w:numId w:val="28"/>
        </w:numPr>
        <w:spacing w:line="240" w:lineRule="auto"/>
        <w:ind w:left="1800"/>
        <w:jc w:val="both"/>
        <w:rPr>
          <w:rFonts w:cs="Arial"/>
          <w:b/>
          <w:szCs w:val="22"/>
          <w:lang w:val="en-GB"/>
        </w:rPr>
      </w:pPr>
      <w:r w:rsidRPr="00456C8E">
        <w:rPr>
          <w:rFonts w:cs="Arial"/>
          <w:szCs w:val="22"/>
          <w:lang w:val="en-GB"/>
        </w:rPr>
        <w:t>Scorecards are calibrated to ratings based on internally available default experience</w:t>
      </w:r>
    </w:p>
    <w:p w:rsidR="00456C8E" w:rsidRPr="00456C8E" w:rsidRDefault="00456C8E" w:rsidP="00456C8E">
      <w:pPr>
        <w:pStyle w:val="Listenabsatz"/>
        <w:numPr>
          <w:ilvl w:val="2"/>
          <w:numId w:val="28"/>
        </w:numPr>
        <w:spacing w:line="240" w:lineRule="auto"/>
        <w:ind w:left="1800"/>
        <w:jc w:val="both"/>
        <w:rPr>
          <w:rFonts w:cs="Arial"/>
          <w:b/>
          <w:szCs w:val="22"/>
          <w:lang w:val="en-GB"/>
        </w:rPr>
      </w:pPr>
      <w:r w:rsidRPr="00456C8E">
        <w:rPr>
          <w:rFonts w:cs="Arial"/>
          <w:szCs w:val="22"/>
          <w:lang w:val="en-GB"/>
        </w:rPr>
        <w:t>The default rating is combined with an estimate of the transaction’s recovery and mapped to a slotting category by means of the expected losses provided in CRR, §158(6).</w:t>
      </w:r>
    </w:p>
    <w:p w:rsidR="00456C8E" w:rsidRPr="00456C8E" w:rsidRDefault="00456C8E" w:rsidP="00456C8E">
      <w:pPr>
        <w:spacing w:line="240" w:lineRule="auto"/>
        <w:jc w:val="both"/>
        <w:rPr>
          <w:rFonts w:cs="Arial"/>
          <w:szCs w:val="22"/>
          <w:lang w:val="en-GB"/>
        </w:rPr>
      </w:pPr>
      <w:r w:rsidRPr="00456C8E">
        <w:rPr>
          <w:rFonts w:cs="Arial"/>
          <w:szCs w:val="22"/>
          <w:lang w:val="en-GB"/>
        </w:rPr>
        <w:t>In view of its scorecard approach and considering the options proposed in the document, we prefer option 2:</w:t>
      </w:r>
    </w:p>
    <w:p w:rsidR="00456C8E" w:rsidRPr="00456C8E" w:rsidRDefault="00456C8E" w:rsidP="00456C8E">
      <w:pPr>
        <w:pStyle w:val="Listenabsatz"/>
        <w:numPr>
          <w:ilvl w:val="2"/>
          <w:numId w:val="27"/>
        </w:numPr>
        <w:spacing w:line="240" w:lineRule="auto"/>
        <w:ind w:left="1800"/>
        <w:jc w:val="both"/>
        <w:rPr>
          <w:rFonts w:cs="Arial"/>
          <w:szCs w:val="22"/>
          <w:lang w:val="en-GB"/>
        </w:rPr>
      </w:pPr>
      <w:r w:rsidRPr="00456C8E">
        <w:rPr>
          <w:rFonts w:cs="Arial"/>
          <w:i/>
          <w:szCs w:val="22"/>
          <w:lang w:val="en-GB"/>
        </w:rPr>
        <w:t>We believe that the above explained scorecard based approach is a direct interpretation of option 2</w:t>
      </w:r>
      <w:r w:rsidRPr="00456C8E">
        <w:rPr>
          <w:rFonts w:cs="Arial"/>
          <w:szCs w:val="22"/>
          <w:lang w:val="en-GB"/>
        </w:rPr>
        <w:t>: The slotting criteria are split up into risk drivers, and the weighted scores assigned to each driver are added up to a total score which is, in turn, calibrated and mapped to a supervisory slotting category I to IV.</w:t>
      </w:r>
    </w:p>
    <w:p w:rsidR="00456C8E" w:rsidRPr="00456C8E" w:rsidRDefault="00456C8E" w:rsidP="00456C8E">
      <w:pPr>
        <w:pStyle w:val="Listenabsatz"/>
        <w:numPr>
          <w:ilvl w:val="2"/>
          <w:numId w:val="27"/>
        </w:numPr>
        <w:spacing w:line="240" w:lineRule="auto"/>
        <w:ind w:left="1800"/>
        <w:jc w:val="both"/>
        <w:rPr>
          <w:rFonts w:cs="Arial"/>
          <w:szCs w:val="22"/>
          <w:lang w:val="en-GB"/>
        </w:rPr>
      </w:pPr>
      <w:r w:rsidRPr="00456C8E">
        <w:rPr>
          <w:rFonts w:cs="Arial"/>
          <w:szCs w:val="22"/>
          <w:lang w:val="en-GB"/>
        </w:rPr>
        <w:t>Option 1 would force us away from the current scorecard approaches it applies a cap on a category level with equal importance (see also 2.2 and 2.4.1). It would hence counteract our internal efforts towards an IRB rating approach in the long run.</w:t>
      </w:r>
    </w:p>
    <w:p w:rsidR="00456C8E" w:rsidRPr="00456C8E" w:rsidRDefault="00456C8E" w:rsidP="00456C8E">
      <w:pPr>
        <w:pStyle w:val="Listenabsatz"/>
        <w:numPr>
          <w:ilvl w:val="2"/>
          <w:numId w:val="27"/>
        </w:numPr>
        <w:spacing w:line="240" w:lineRule="auto"/>
        <w:ind w:left="1800"/>
        <w:jc w:val="both"/>
        <w:rPr>
          <w:rFonts w:cs="Arial"/>
          <w:szCs w:val="22"/>
          <w:lang w:val="en-GB"/>
        </w:rPr>
      </w:pPr>
      <w:r w:rsidRPr="00456C8E">
        <w:rPr>
          <w:rFonts w:cs="Arial"/>
          <w:szCs w:val="22"/>
          <w:lang w:val="en-GB"/>
        </w:rPr>
        <w:t>We capture the key elements of option 1 by applying negative information/warning signals subsequent to model calibration, hence ensuring that critically weak transaction characteristics have a significant impact on the final risk assessment.</w:t>
      </w:r>
    </w:p>
    <w:p w:rsidR="00456C8E" w:rsidRPr="00456C8E" w:rsidRDefault="00456C8E" w:rsidP="00456C8E">
      <w:pPr>
        <w:pStyle w:val="Listenabsatz"/>
        <w:ind w:left="1800"/>
        <w:jc w:val="both"/>
        <w:rPr>
          <w:rFonts w:cs="Arial"/>
          <w:szCs w:val="22"/>
          <w:lang w:val="en-GB"/>
        </w:rPr>
      </w:pPr>
    </w:p>
    <w:p w:rsidR="00456C8E" w:rsidRPr="00456C8E" w:rsidRDefault="00456C8E" w:rsidP="00456C8E">
      <w:pPr>
        <w:pStyle w:val="Listenabsatz"/>
        <w:numPr>
          <w:ilvl w:val="1"/>
          <w:numId w:val="29"/>
        </w:numPr>
        <w:spacing w:line="240" w:lineRule="auto"/>
        <w:ind w:left="432"/>
        <w:jc w:val="both"/>
        <w:rPr>
          <w:rFonts w:cs="Arial"/>
          <w:b/>
          <w:szCs w:val="22"/>
          <w:lang w:val="en-GB"/>
        </w:rPr>
      </w:pPr>
      <w:r w:rsidRPr="00456C8E">
        <w:rPr>
          <w:rFonts w:cs="Arial"/>
          <w:b/>
          <w:szCs w:val="22"/>
          <w:lang w:val="en-GB"/>
        </w:rPr>
        <w:t>What are the advantages and drawbacks of either approach?</w:t>
      </w:r>
    </w:p>
    <w:p w:rsidR="00456C8E" w:rsidRPr="00456C8E" w:rsidRDefault="00456C8E" w:rsidP="00456C8E">
      <w:pPr>
        <w:spacing w:line="240" w:lineRule="auto"/>
        <w:jc w:val="both"/>
        <w:rPr>
          <w:rFonts w:cs="Arial"/>
          <w:szCs w:val="22"/>
          <w:lang w:val="en-GB"/>
        </w:rPr>
      </w:pPr>
      <w:r w:rsidRPr="00456C8E">
        <w:rPr>
          <w:rFonts w:cs="Arial"/>
          <w:szCs w:val="22"/>
          <w:lang w:val="en-GB"/>
        </w:rPr>
        <w:t>We do not see any methodological advantages of option 1 over option 2: In capping the final slot, option 1 assumes equal importance of all risk drivers which, in our opinion, does not seem sufficiently risk sensitive. In particular, option 1 does not show sensitivity to the specific situation of the transaction where certain drivers or combinations thereof might be relatively more important.</w:t>
      </w:r>
    </w:p>
    <w:p w:rsidR="00456C8E" w:rsidRPr="00456C8E" w:rsidRDefault="00456C8E" w:rsidP="00456C8E">
      <w:pPr>
        <w:pStyle w:val="Listenabsatz"/>
        <w:ind w:left="1058"/>
        <w:jc w:val="both"/>
        <w:rPr>
          <w:rFonts w:cs="Arial"/>
          <w:szCs w:val="22"/>
          <w:lang w:val="en-GB"/>
        </w:rPr>
      </w:pPr>
    </w:p>
    <w:p w:rsidR="00456C8E" w:rsidRPr="00456C8E" w:rsidRDefault="00456C8E" w:rsidP="00456C8E">
      <w:pPr>
        <w:pStyle w:val="Listenabsatz"/>
        <w:numPr>
          <w:ilvl w:val="1"/>
          <w:numId w:val="29"/>
        </w:numPr>
        <w:spacing w:line="240" w:lineRule="auto"/>
        <w:ind w:left="432"/>
        <w:jc w:val="both"/>
        <w:rPr>
          <w:rFonts w:cs="Arial"/>
          <w:b/>
          <w:szCs w:val="22"/>
          <w:lang w:val="en-GB"/>
        </w:rPr>
      </w:pPr>
      <w:r w:rsidRPr="00456C8E">
        <w:rPr>
          <w:rFonts w:cs="Arial"/>
          <w:b/>
          <w:szCs w:val="22"/>
          <w:lang w:val="en-GB"/>
        </w:rPr>
        <w:t>What would be the impact of both options on capital requirements?</w:t>
      </w:r>
    </w:p>
    <w:p w:rsidR="00456C8E" w:rsidRPr="00456C8E" w:rsidRDefault="00456C8E" w:rsidP="00456C8E">
      <w:pPr>
        <w:spacing w:line="240" w:lineRule="auto"/>
        <w:jc w:val="both"/>
        <w:rPr>
          <w:rFonts w:cs="Arial"/>
          <w:szCs w:val="22"/>
          <w:lang w:val="en-GB"/>
        </w:rPr>
      </w:pPr>
      <w:r w:rsidRPr="00456C8E">
        <w:rPr>
          <w:rFonts w:cs="Arial"/>
          <w:szCs w:val="22"/>
          <w:lang w:val="en-GB"/>
        </w:rPr>
        <w:t>Given the current scorecard approach (mapped to slots), a capital impact of the two options has not been assessed.</w:t>
      </w:r>
    </w:p>
    <w:p w:rsidR="00456C8E" w:rsidRPr="00456C8E" w:rsidRDefault="00456C8E" w:rsidP="00456C8E">
      <w:pPr>
        <w:pStyle w:val="Listenabsatz"/>
        <w:ind w:left="1058"/>
        <w:jc w:val="both"/>
        <w:rPr>
          <w:rFonts w:cs="Arial"/>
          <w:szCs w:val="22"/>
          <w:lang w:val="en-GB"/>
        </w:rPr>
      </w:pPr>
    </w:p>
    <w:p w:rsidR="00456C8E" w:rsidRPr="00456C8E" w:rsidRDefault="00456C8E" w:rsidP="00456C8E">
      <w:pPr>
        <w:pStyle w:val="Listenabsatz"/>
        <w:numPr>
          <w:ilvl w:val="1"/>
          <w:numId w:val="29"/>
        </w:numPr>
        <w:spacing w:line="240" w:lineRule="auto"/>
        <w:ind w:left="432"/>
        <w:jc w:val="both"/>
        <w:rPr>
          <w:rFonts w:cs="Arial"/>
          <w:b/>
          <w:szCs w:val="22"/>
          <w:lang w:val="en-GB"/>
        </w:rPr>
      </w:pPr>
      <w:r w:rsidRPr="00456C8E">
        <w:rPr>
          <w:rFonts w:cs="Arial"/>
          <w:b/>
          <w:szCs w:val="22"/>
          <w:lang w:val="en-GB"/>
        </w:rPr>
        <w:t xml:space="preserve">Are </w:t>
      </w:r>
      <w:proofErr w:type="gramStart"/>
      <w:r w:rsidRPr="00456C8E">
        <w:rPr>
          <w:rFonts w:cs="Arial"/>
          <w:b/>
          <w:szCs w:val="22"/>
          <w:lang w:val="en-GB"/>
        </w:rPr>
        <w:t>both options equally clear or</w:t>
      </w:r>
      <w:proofErr w:type="gramEnd"/>
      <w:r w:rsidRPr="00456C8E">
        <w:rPr>
          <w:rFonts w:cs="Arial"/>
          <w:b/>
          <w:szCs w:val="22"/>
          <w:lang w:val="en-GB"/>
        </w:rPr>
        <w:t xml:space="preserve"> should further guidance be provided?</w:t>
      </w:r>
    </w:p>
    <w:p w:rsidR="00456C8E" w:rsidRPr="00456C8E" w:rsidRDefault="00456C8E" w:rsidP="00456C8E">
      <w:pPr>
        <w:spacing w:line="240" w:lineRule="auto"/>
        <w:jc w:val="both"/>
        <w:rPr>
          <w:rFonts w:cs="Arial"/>
          <w:szCs w:val="22"/>
          <w:lang w:val="en-GB"/>
        </w:rPr>
      </w:pPr>
      <w:r w:rsidRPr="00456C8E">
        <w:rPr>
          <w:rFonts w:cs="Arial"/>
          <w:szCs w:val="22"/>
          <w:lang w:val="en-GB"/>
        </w:rPr>
        <w:t>Option 1:</w:t>
      </w:r>
    </w:p>
    <w:p w:rsidR="00456C8E" w:rsidRPr="00456C8E" w:rsidRDefault="00456C8E" w:rsidP="00456C8E">
      <w:pPr>
        <w:spacing w:line="240" w:lineRule="auto"/>
        <w:jc w:val="both"/>
        <w:rPr>
          <w:rFonts w:cs="Arial"/>
          <w:szCs w:val="22"/>
          <w:lang w:val="en-GB"/>
        </w:rPr>
      </w:pPr>
      <w:r w:rsidRPr="00456C8E">
        <w:rPr>
          <w:rFonts w:cs="Arial"/>
          <w:szCs w:val="22"/>
          <w:lang w:val="en-GB"/>
        </w:rPr>
        <w:t>General remark: Option 1 regulates how to obtain a cap on the slot but not ‘what’ is capped: Is the final slot supposed to be a capped weighted average slot? In particular, option 1 does not regulate how to obtain categories for the individual sections as e.g. financial strength.</w:t>
      </w:r>
    </w:p>
    <w:p w:rsidR="00456C8E" w:rsidRPr="00456C8E" w:rsidRDefault="00456C8E" w:rsidP="00456C8E">
      <w:pPr>
        <w:spacing w:line="240" w:lineRule="auto"/>
        <w:jc w:val="both"/>
        <w:rPr>
          <w:rFonts w:cs="Arial"/>
          <w:szCs w:val="22"/>
          <w:lang w:val="en-GB"/>
        </w:rPr>
      </w:pPr>
      <w:r w:rsidRPr="00456C8E">
        <w:rPr>
          <w:rFonts w:cs="Arial"/>
          <w:szCs w:val="22"/>
          <w:lang w:val="en-GB"/>
        </w:rPr>
        <w:t>Option 2:</w:t>
      </w:r>
    </w:p>
    <w:p w:rsidR="00456C8E" w:rsidRPr="00456C8E" w:rsidRDefault="00456C8E" w:rsidP="00456C8E">
      <w:pPr>
        <w:pStyle w:val="Listenabsatz"/>
        <w:numPr>
          <w:ilvl w:val="0"/>
          <w:numId w:val="36"/>
        </w:numPr>
        <w:spacing w:line="240" w:lineRule="auto"/>
        <w:jc w:val="both"/>
        <w:rPr>
          <w:rFonts w:cs="Arial"/>
          <w:szCs w:val="22"/>
          <w:lang w:val="en-GB"/>
        </w:rPr>
      </w:pPr>
      <w:r w:rsidRPr="00456C8E">
        <w:rPr>
          <w:rFonts w:cs="Arial"/>
          <w:szCs w:val="22"/>
          <w:lang w:val="en-GB"/>
        </w:rPr>
        <w:t>According to option 2, all criteria should be taken into consideration at least with 10% weight.</w:t>
      </w:r>
    </w:p>
    <w:p w:rsidR="00456C8E" w:rsidRPr="00456C8E" w:rsidRDefault="00456C8E" w:rsidP="00456C8E">
      <w:pPr>
        <w:pStyle w:val="Listenabsatz"/>
        <w:numPr>
          <w:ilvl w:val="0"/>
          <w:numId w:val="36"/>
        </w:numPr>
        <w:spacing w:line="240" w:lineRule="auto"/>
        <w:jc w:val="both"/>
        <w:rPr>
          <w:rFonts w:cs="Arial"/>
          <w:szCs w:val="22"/>
          <w:lang w:val="en-GB"/>
        </w:rPr>
      </w:pPr>
      <w:r w:rsidRPr="00456C8E">
        <w:rPr>
          <w:rFonts w:cs="Arial"/>
          <w:szCs w:val="22"/>
          <w:lang w:val="en-GB"/>
        </w:rPr>
        <w:t>For banks applying the scorecard approach to supervisory slots, it needs to be further regulated if risk drivers not relevant in the scorecard but relevant in the supervisory slotting approach need to be integrated in the scorecard directly. These drivers will lead to a parallel shift of the score which is usually accounted for in the model calibration and, hence, redundant in a scorecard. This question for further regulation particularly addresses our view on Question 4, documentation requirement (d).</w:t>
      </w:r>
    </w:p>
    <w:p w:rsidR="00B529FF" w:rsidRPr="00B529FF" w:rsidRDefault="00B529FF" w:rsidP="00B529FF">
      <w:pPr>
        <w:pStyle w:val="Default"/>
        <w:rPr>
          <w:rFonts w:ascii="Trebuchet MS" w:hAnsi="Trebuchet MS"/>
          <w:color w:val="auto"/>
          <w:sz w:val="22"/>
          <w:szCs w:val="22"/>
          <w:lang w:val="en-GB" w:eastAsia="de-DE"/>
        </w:rPr>
      </w:pPr>
    </w:p>
    <w:p w:rsidR="00B529FF" w:rsidRPr="00B529FF" w:rsidRDefault="00B529FF" w:rsidP="00B529FF">
      <w:pPr>
        <w:pStyle w:val="Default"/>
        <w:rPr>
          <w:rFonts w:ascii="Trebuchet MS" w:hAnsi="Trebuchet MS"/>
          <w:color w:val="auto"/>
          <w:sz w:val="22"/>
          <w:szCs w:val="22"/>
          <w:lang w:val="en-GB" w:eastAsia="de-DE"/>
        </w:rPr>
      </w:pPr>
      <w:r w:rsidRPr="00B529FF">
        <w:rPr>
          <w:rFonts w:ascii="Trebuchet MS" w:hAnsi="Trebuchet MS"/>
          <w:color w:val="auto"/>
          <w:sz w:val="22"/>
          <w:szCs w:val="22"/>
          <w:lang w:val="en-GB" w:eastAsia="de-DE"/>
        </w:rPr>
        <w:t xml:space="preserve">In our opinion the assessment criteria should be structured and split into two groups, i.e. quantitative and qualitative risk factors. When possible, factors should be harmonized and used consistently across different categories of </w:t>
      </w:r>
      <w:proofErr w:type="spellStart"/>
      <w:r w:rsidRPr="00B529FF">
        <w:rPr>
          <w:rFonts w:ascii="Trebuchet MS" w:hAnsi="Trebuchet MS"/>
          <w:color w:val="auto"/>
          <w:sz w:val="22"/>
          <w:szCs w:val="22"/>
          <w:lang w:val="en-GB" w:eastAsia="de-DE"/>
        </w:rPr>
        <w:t>specialised</w:t>
      </w:r>
      <w:proofErr w:type="spellEnd"/>
      <w:r w:rsidRPr="00B529FF">
        <w:rPr>
          <w:rFonts w:ascii="Trebuchet MS" w:hAnsi="Trebuchet MS"/>
          <w:color w:val="auto"/>
          <w:sz w:val="22"/>
          <w:szCs w:val="22"/>
          <w:lang w:val="en-GB" w:eastAsia="de-DE"/>
        </w:rPr>
        <w:t xml:space="preserve"> lending. This structure of assessment would be clearer and closer to the actual rating process.</w:t>
      </w:r>
    </w:p>
    <w:p w:rsidR="00456C8E" w:rsidRPr="00456C8E" w:rsidRDefault="00456C8E" w:rsidP="00456C8E">
      <w:pPr>
        <w:pStyle w:val="Listenabsatz"/>
        <w:ind w:left="1800"/>
        <w:jc w:val="both"/>
        <w:rPr>
          <w:rFonts w:cs="Arial"/>
          <w:szCs w:val="22"/>
          <w:lang w:val="en-GB"/>
        </w:rPr>
      </w:pPr>
    </w:p>
    <w:p w:rsidR="00456C8E" w:rsidRPr="00456C8E" w:rsidRDefault="00456C8E" w:rsidP="00456C8E">
      <w:pPr>
        <w:pStyle w:val="Listenabsatz"/>
        <w:numPr>
          <w:ilvl w:val="1"/>
          <w:numId w:val="29"/>
        </w:numPr>
        <w:spacing w:line="240" w:lineRule="auto"/>
        <w:ind w:left="432"/>
        <w:jc w:val="both"/>
        <w:rPr>
          <w:rFonts w:cs="Arial"/>
          <w:b/>
          <w:szCs w:val="22"/>
          <w:lang w:val="en-GB"/>
        </w:rPr>
      </w:pPr>
      <w:r w:rsidRPr="00456C8E">
        <w:rPr>
          <w:rFonts w:cs="Arial"/>
          <w:b/>
          <w:szCs w:val="22"/>
          <w:lang w:val="en-GB"/>
        </w:rPr>
        <w:t>Are there other approaches that could be used to harmonise how the different factors are combined into a final assignment for the risk weight?</w:t>
      </w:r>
    </w:p>
    <w:p w:rsidR="00456C8E" w:rsidRPr="00456C8E" w:rsidRDefault="00456C8E" w:rsidP="00456C8E">
      <w:pPr>
        <w:spacing w:line="240" w:lineRule="auto"/>
        <w:jc w:val="both"/>
        <w:rPr>
          <w:rFonts w:cs="Arial"/>
          <w:szCs w:val="22"/>
          <w:lang w:val="en-GB"/>
        </w:rPr>
      </w:pPr>
      <w:r w:rsidRPr="00456C8E">
        <w:rPr>
          <w:rFonts w:cs="Arial"/>
          <w:szCs w:val="22"/>
          <w:lang w:val="en-GB"/>
        </w:rPr>
        <w:t>We do not propose any alternative approaches.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3: </w:t>
      </w:r>
      <w:r w:rsidRPr="00456C8E">
        <w:rPr>
          <w:rFonts w:ascii="Trebuchet MS" w:hAnsi="Trebuchet MS"/>
          <w:b/>
          <w:i/>
          <w:sz w:val="22"/>
          <w:szCs w:val="22"/>
          <w:lang w:val="en-US"/>
        </w:rPr>
        <w:t xml:space="preserve">Do you agree with the classification of </w:t>
      </w:r>
      <w:proofErr w:type="spellStart"/>
      <w:r w:rsidRPr="00456C8E">
        <w:rPr>
          <w:rFonts w:ascii="Trebuchet MS" w:hAnsi="Trebuchet MS"/>
          <w:b/>
          <w:i/>
          <w:sz w:val="22"/>
          <w:szCs w:val="22"/>
          <w:lang w:val="en-US"/>
        </w:rPr>
        <w:t>specialised</w:t>
      </w:r>
      <w:proofErr w:type="spellEnd"/>
      <w:r w:rsidRPr="00456C8E">
        <w:rPr>
          <w:rFonts w:ascii="Trebuchet MS" w:hAnsi="Trebuchet MS"/>
          <w:b/>
          <w:i/>
          <w:sz w:val="22"/>
          <w:szCs w:val="22"/>
          <w:lang w:val="en-US"/>
        </w:rPr>
        <w:t xml:space="preserve"> lending and the descriptions given?</w:t>
      </w:r>
      <w:r w:rsidRPr="00456C8E">
        <w:rPr>
          <w:rFonts w:ascii="Trebuchet MS" w:hAnsi="Trebuchet MS"/>
          <w:b/>
          <w:sz w:val="22"/>
          <w:szCs w:val="22"/>
          <w:lang w:val="en-US"/>
        </w:rPr>
        <w:t xml:space="preserve"> </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 xml:space="preserve">Generally we agree with the classification but we propose better harmonization of the wording in the definitions. Especially the point 2(a) should start as follows: “a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exposure shall qualify as ‘project finance’ where the funding is used </w:t>
      </w:r>
      <w:r w:rsidRPr="00456C8E">
        <w:rPr>
          <w:rFonts w:ascii="Trebuchet MS" w:hAnsi="Trebuchet MS"/>
          <w:i/>
          <w:sz w:val="22"/>
          <w:szCs w:val="22"/>
          <w:lang w:val="en-US"/>
        </w:rPr>
        <w:t>to finance the development or acquisition of</w:t>
      </w:r>
      <w:r w:rsidRPr="00456C8E">
        <w:rPr>
          <w:rFonts w:ascii="Trebuchet MS" w:hAnsi="Trebuchet MS"/>
          <w:sz w:val="22"/>
          <w:szCs w:val="22"/>
          <w:lang w:val="en-US"/>
        </w:rPr>
        <w:t xml:space="preserve"> large, complex (…)”.</w:t>
      </w: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 xml:space="preserve">Similarly, for ‘real estate’ definition the text should include the phrase “lease or rental payments </w:t>
      </w:r>
      <w:r w:rsidRPr="00456C8E">
        <w:rPr>
          <w:rFonts w:ascii="Trebuchet MS" w:hAnsi="Trebuchet MS"/>
          <w:i/>
          <w:sz w:val="22"/>
          <w:szCs w:val="22"/>
          <w:lang w:val="en-US"/>
        </w:rPr>
        <w:t>obtained from one or several third parties</w:t>
      </w:r>
      <w:r w:rsidRPr="00456C8E">
        <w:rPr>
          <w:rFonts w:ascii="Trebuchet MS" w:hAnsi="Trebuchet MS"/>
          <w:sz w:val="22"/>
          <w:szCs w:val="22"/>
          <w:lang w:val="en-US"/>
        </w:rPr>
        <w:t xml:space="preserve"> or the proceeds (…)”.</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 xml:space="preserve">Typically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exposures have at least three counterparties/stakeholders involved: (i) Sponsor, (ii) Financial Institution(s), and (iii) Lessee/Off-taker (being not under management control of the Sponsor). Thus we understand that “third parties” has to be interpreted as being not under management control of the Sponsor. Therefore exposures where the Sponsor and the Lessee(s)/Off-taker(s) coincide do not qualify as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 xml:space="preserve">Additionally, in our opinion the acquisition of land should not qualify to the category ‘real estate’. The assessment criteria outlined in Annex 2 cannot be applied to a land plot financing which is more characterized as asset based lending. Land plot financing is not coherent with the basic principle of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i.e. creating or adding/increasing value of the asset(s).</w:t>
      </w:r>
    </w:p>
    <w:p w:rsidR="005E55A5" w:rsidRPr="00456C8E" w:rsidRDefault="005E55A5" w:rsidP="005E55A5">
      <w:pPr>
        <w:pStyle w:val="Default"/>
        <w:rPr>
          <w:rFonts w:ascii="Trebuchet MS" w:hAnsi="Trebuchet MS"/>
          <w:i/>
          <w:sz w:val="22"/>
          <w:szCs w:val="22"/>
          <w:lang w:val="en-US"/>
        </w:rPr>
      </w:pPr>
    </w:p>
    <w:p w:rsidR="00456C8E" w:rsidRPr="00B529FF" w:rsidRDefault="00456C8E" w:rsidP="00B529FF">
      <w:pPr>
        <w:spacing w:line="240" w:lineRule="auto"/>
        <w:jc w:val="both"/>
        <w:rPr>
          <w:rFonts w:cs="Arial"/>
          <w:color w:val="000000"/>
          <w:szCs w:val="22"/>
          <w:lang w:val="en-US" w:eastAsia="de-AT"/>
        </w:rPr>
      </w:pPr>
      <w:r w:rsidRPr="00B529FF">
        <w:rPr>
          <w:rFonts w:cs="Arial"/>
          <w:color w:val="000000"/>
          <w:szCs w:val="22"/>
          <w:lang w:val="en-US" w:eastAsia="de-AT"/>
        </w:rPr>
        <w:t xml:space="preserve">Regarding SL IPRE, </w:t>
      </w:r>
      <w:r w:rsidR="00B529FF">
        <w:rPr>
          <w:rFonts w:cs="Arial"/>
          <w:color w:val="000000"/>
          <w:szCs w:val="22"/>
          <w:lang w:val="en-US" w:eastAsia="de-AT"/>
        </w:rPr>
        <w:t>one of our bigger member institutions is</w:t>
      </w:r>
      <w:r w:rsidRPr="00B529FF">
        <w:rPr>
          <w:rFonts w:cs="Arial"/>
          <w:color w:val="000000"/>
          <w:szCs w:val="22"/>
          <w:lang w:val="en-US" w:eastAsia="de-AT"/>
        </w:rPr>
        <w:t xml:space="preserve"> currently overhauling </w:t>
      </w:r>
      <w:r w:rsidR="00B529FF">
        <w:rPr>
          <w:rFonts w:cs="Arial"/>
          <w:color w:val="000000"/>
          <w:szCs w:val="22"/>
          <w:lang w:val="en-US" w:eastAsia="de-AT"/>
        </w:rPr>
        <w:t>its</w:t>
      </w:r>
      <w:r w:rsidRPr="00B529FF">
        <w:rPr>
          <w:rFonts w:cs="Arial"/>
          <w:color w:val="000000"/>
          <w:szCs w:val="22"/>
          <w:lang w:val="en-US" w:eastAsia="de-AT"/>
        </w:rPr>
        <w:t xml:space="preserve"> SL decision tree particularly delineating SL exposures from cor</w:t>
      </w:r>
      <w:r w:rsidR="00B529FF" w:rsidRPr="00B529FF">
        <w:rPr>
          <w:rFonts w:cs="Arial"/>
          <w:color w:val="000000"/>
          <w:szCs w:val="22"/>
          <w:lang w:val="en-US" w:eastAsia="de-AT"/>
        </w:rPr>
        <w:t>porate exposures. In this regard</w:t>
      </w:r>
      <w:r w:rsidRPr="00B529FF">
        <w:rPr>
          <w:rFonts w:cs="Arial"/>
          <w:color w:val="000000"/>
          <w:szCs w:val="22"/>
          <w:lang w:val="en-US" w:eastAsia="de-AT"/>
        </w:rPr>
        <w:t xml:space="preserve">, </w:t>
      </w:r>
      <w:r w:rsidR="00B529FF">
        <w:rPr>
          <w:rFonts w:cs="Arial"/>
          <w:color w:val="000000"/>
          <w:szCs w:val="22"/>
          <w:lang w:val="en-US" w:eastAsia="de-AT"/>
        </w:rPr>
        <w:t xml:space="preserve">it </w:t>
      </w:r>
      <w:r w:rsidR="00B529FF">
        <w:rPr>
          <w:rFonts w:cs="Arial"/>
          <w:color w:val="000000"/>
          <w:szCs w:val="22"/>
          <w:lang w:val="en-US" w:eastAsia="de-AT"/>
        </w:rPr>
        <w:lastRenderedPageBreak/>
        <w:t>is</w:t>
      </w:r>
      <w:r w:rsidRPr="00B529FF">
        <w:rPr>
          <w:rFonts w:cs="Arial"/>
          <w:color w:val="000000"/>
          <w:szCs w:val="22"/>
          <w:lang w:val="en-US" w:eastAsia="de-AT"/>
        </w:rPr>
        <w:t xml:space="preserve"> </w:t>
      </w:r>
      <w:proofErr w:type="spellStart"/>
      <w:r w:rsidRPr="00B529FF">
        <w:rPr>
          <w:rFonts w:cs="Arial"/>
          <w:color w:val="000000"/>
          <w:szCs w:val="22"/>
          <w:lang w:val="en-US" w:eastAsia="de-AT"/>
        </w:rPr>
        <w:t>analysing</w:t>
      </w:r>
      <w:proofErr w:type="spellEnd"/>
      <w:r w:rsidRPr="00B529FF">
        <w:rPr>
          <w:rFonts w:cs="Arial"/>
          <w:color w:val="000000"/>
          <w:szCs w:val="22"/>
          <w:lang w:val="en-US" w:eastAsia="de-AT"/>
        </w:rPr>
        <w:t xml:space="preserve"> the adequacy of “hotels in operations phase” in certain situations to be assigned to SL exposures as stated in the proposed description.</w:t>
      </w:r>
    </w:p>
    <w:p w:rsidR="00456C8E" w:rsidRPr="00456C8E" w:rsidRDefault="00456C8E"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4: </w:t>
      </w:r>
      <w:r w:rsidRPr="00456C8E">
        <w:rPr>
          <w:rFonts w:ascii="Trebuchet MS" w:hAnsi="Trebuchet MS"/>
          <w:b/>
          <w:i/>
          <w:sz w:val="22"/>
          <w:szCs w:val="22"/>
          <w:lang w:val="en-US"/>
        </w:rPr>
        <w:t xml:space="preserve">Do you agree with these documentation requirements for each </w:t>
      </w:r>
      <w:proofErr w:type="spellStart"/>
      <w:r w:rsidRPr="00456C8E">
        <w:rPr>
          <w:rFonts w:ascii="Trebuchet MS" w:hAnsi="Trebuchet MS"/>
          <w:b/>
          <w:i/>
          <w:sz w:val="22"/>
          <w:szCs w:val="22"/>
          <w:lang w:val="en-US"/>
        </w:rPr>
        <w:t>specialised</w:t>
      </w:r>
      <w:proofErr w:type="spellEnd"/>
      <w:r w:rsidRPr="00456C8E">
        <w:rPr>
          <w:rFonts w:ascii="Trebuchet MS" w:hAnsi="Trebuchet MS"/>
          <w:b/>
          <w:i/>
          <w:sz w:val="22"/>
          <w:szCs w:val="22"/>
          <w:lang w:val="en-US"/>
        </w:rPr>
        <w:t xml:space="preserve"> lending exposure for which risk weights are assigned according to this Regulation?</w:t>
      </w:r>
      <w:r w:rsidRPr="00456C8E">
        <w:rPr>
          <w:rFonts w:ascii="Trebuchet MS" w:hAnsi="Trebuchet MS"/>
          <w:b/>
          <w:sz w:val="22"/>
          <w:szCs w:val="22"/>
          <w:lang w:val="en-US"/>
        </w:rPr>
        <w:t xml:space="preserve"> </w:t>
      </w:r>
    </w:p>
    <w:p w:rsidR="005E55A5" w:rsidRPr="00456C8E" w:rsidRDefault="005E55A5" w:rsidP="005E55A5">
      <w:pPr>
        <w:pStyle w:val="Default"/>
        <w:rPr>
          <w:rFonts w:ascii="Trebuchet MS" w:hAnsi="Trebuchet MS"/>
          <w:sz w:val="22"/>
          <w:szCs w:val="22"/>
          <w:lang w:val="en-US"/>
        </w:rPr>
      </w:pPr>
    </w:p>
    <w:p w:rsidR="00456C8E" w:rsidRDefault="00B529FF" w:rsidP="00456C8E">
      <w:pPr>
        <w:spacing w:line="240" w:lineRule="auto"/>
        <w:jc w:val="both"/>
        <w:rPr>
          <w:rFonts w:cs="Arial"/>
          <w:b/>
          <w:szCs w:val="22"/>
          <w:lang w:val="en-GB"/>
        </w:rPr>
      </w:pPr>
      <w:r>
        <w:rPr>
          <w:rFonts w:cs="Arial"/>
          <w:szCs w:val="22"/>
          <w:lang w:val="en-GB"/>
        </w:rPr>
        <w:t>We generally agree</w:t>
      </w:r>
      <w:r w:rsidR="00456C8E" w:rsidRPr="00456C8E">
        <w:rPr>
          <w:rFonts w:cs="Arial"/>
          <w:szCs w:val="22"/>
          <w:lang w:val="en-GB"/>
        </w:rPr>
        <w:t xml:space="preserve"> with the documentation requirements </w:t>
      </w:r>
      <w:r w:rsidR="00456C8E" w:rsidRPr="00456C8E">
        <w:rPr>
          <w:rFonts w:cs="Arial"/>
          <w:b/>
          <w:szCs w:val="22"/>
          <w:lang w:val="en-GB"/>
        </w:rPr>
        <w:t>(a), (b), (c) and (e)</w:t>
      </w:r>
    </w:p>
    <w:p w:rsidR="00B529FF" w:rsidRPr="00456C8E" w:rsidRDefault="00B529FF" w:rsidP="00456C8E">
      <w:pPr>
        <w:spacing w:line="240" w:lineRule="auto"/>
        <w:jc w:val="both"/>
        <w:rPr>
          <w:rFonts w:cs="Arial"/>
          <w:szCs w:val="22"/>
          <w:lang w:val="en-GB"/>
        </w:rPr>
      </w:pPr>
    </w:p>
    <w:p w:rsidR="00456C8E" w:rsidRPr="00456C8E" w:rsidRDefault="00456C8E" w:rsidP="00456C8E">
      <w:pPr>
        <w:spacing w:line="240" w:lineRule="auto"/>
        <w:jc w:val="both"/>
        <w:rPr>
          <w:rFonts w:cs="Arial"/>
          <w:szCs w:val="22"/>
          <w:lang w:val="en-GB"/>
        </w:rPr>
      </w:pPr>
      <w:r w:rsidRPr="00456C8E">
        <w:rPr>
          <w:rFonts w:cs="Arial"/>
          <w:szCs w:val="22"/>
          <w:lang w:val="en-GB"/>
        </w:rPr>
        <w:t>Re</w:t>
      </w:r>
      <w:r w:rsidR="00B529FF">
        <w:rPr>
          <w:rFonts w:cs="Arial"/>
          <w:szCs w:val="22"/>
          <w:lang w:val="en-GB"/>
        </w:rPr>
        <w:t xml:space="preserve">. </w:t>
      </w:r>
      <w:r w:rsidRPr="00456C8E">
        <w:rPr>
          <w:rFonts w:cs="Arial"/>
          <w:szCs w:val="22"/>
          <w:lang w:val="en-GB"/>
        </w:rPr>
        <w:t xml:space="preserve">requirement </w:t>
      </w:r>
      <w:r w:rsidRPr="00456C8E">
        <w:rPr>
          <w:rFonts w:cs="Arial"/>
          <w:b/>
          <w:szCs w:val="22"/>
          <w:lang w:val="en-GB"/>
        </w:rPr>
        <w:t>(d):</w:t>
      </w:r>
    </w:p>
    <w:p w:rsidR="00456C8E" w:rsidRPr="00456C8E" w:rsidRDefault="00456C8E" w:rsidP="00456C8E">
      <w:pPr>
        <w:pStyle w:val="Listenabsatz"/>
        <w:numPr>
          <w:ilvl w:val="2"/>
          <w:numId w:val="39"/>
        </w:numPr>
        <w:spacing w:line="240" w:lineRule="auto"/>
        <w:ind w:left="1800"/>
        <w:jc w:val="both"/>
        <w:rPr>
          <w:rFonts w:cs="Arial"/>
          <w:szCs w:val="22"/>
          <w:lang w:val="en-GB"/>
        </w:rPr>
      </w:pPr>
      <w:r w:rsidRPr="00456C8E">
        <w:rPr>
          <w:rFonts w:cs="Arial"/>
          <w:szCs w:val="22"/>
          <w:lang w:val="en-GB"/>
        </w:rPr>
        <w:t xml:space="preserve">We map risk drivers of its applied scorecard to the factors and sub-factors “financial strength”, “political and legal environment”, “transaction and/or asset characteristics”, “strength of the sponsor and developer” and “security package” and thereby shows adequate coverage of all assessment criteria. </w:t>
      </w:r>
      <w:r w:rsidRPr="00456C8E">
        <w:rPr>
          <w:rFonts w:cs="Arial"/>
          <w:i/>
          <w:szCs w:val="22"/>
          <w:lang w:val="en-GB"/>
        </w:rPr>
        <w:t>However, we apply a different aggregation scheme of model scores.</w:t>
      </w:r>
    </w:p>
    <w:p w:rsidR="00456C8E" w:rsidRPr="00456C8E" w:rsidRDefault="00456C8E" w:rsidP="00456C8E">
      <w:pPr>
        <w:pStyle w:val="Listenabsatz"/>
        <w:numPr>
          <w:ilvl w:val="2"/>
          <w:numId w:val="39"/>
        </w:numPr>
        <w:spacing w:line="240" w:lineRule="auto"/>
        <w:ind w:left="1800"/>
        <w:jc w:val="both"/>
        <w:rPr>
          <w:rFonts w:cs="Arial"/>
          <w:szCs w:val="22"/>
          <w:lang w:val="en-GB"/>
        </w:rPr>
      </w:pPr>
      <w:r w:rsidRPr="00456C8E">
        <w:rPr>
          <w:rFonts w:cs="Arial"/>
          <w:szCs w:val="22"/>
          <w:lang w:val="en-GB"/>
        </w:rPr>
        <w:t xml:space="preserve">In this regards, we obtain model scores per above sub-factors. </w:t>
      </w:r>
      <w:r w:rsidRPr="00456C8E">
        <w:rPr>
          <w:rFonts w:cs="Arial"/>
          <w:i/>
          <w:szCs w:val="22"/>
          <w:lang w:val="en-GB"/>
        </w:rPr>
        <w:t>This model score, however, is not calibrated to a slot. Calibration to slot takes place on the aggregated / final score level.</w:t>
      </w:r>
    </w:p>
    <w:p w:rsidR="00456C8E" w:rsidRPr="00456C8E" w:rsidRDefault="00456C8E" w:rsidP="00456C8E">
      <w:pPr>
        <w:pStyle w:val="Listenabsatz"/>
        <w:numPr>
          <w:ilvl w:val="2"/>
          <w:numId w:val="39"/>
        </w:numPr>
        <w:spacing w:line="240" w:lineRule="auto"/>
        <w:ind w:left="1800"/>
        <w:jc w:val="both"/>
        <w:rPr>
          <w:rFonts w:cs="Arial"/>
          <w:szCs w:val="22"/>
          <w:lang w:val="en-GB"/>
        </w:rPr>
      </w:pPr>
      <w:r w:rsidRPr="00456C8E">
        <w:rPr>
          <w:rFonts w:cs="Arial"/>
          <w:szCs w:val="22"/>
          <w:lang w:val="en-GB"/>
        </w:rPr>
        <w:t>A calibration of model scores per each of the above named factors and sub-factors would mean a significant calibration effort for our scorecard approach.</w:t>
      </w:r>
    </w:p>
    <w:p w:rsidR="00456C8E" w:rsidRPr="00456C8E" w:rsidRDefault="00456C8E" w:rsidP="00456C8E">
      <w:pPr>
        <w:pStyle w:val="Listenabsatz"/>
        <w:numPr>
          <w:ilvl w:val="2"/>
          <w:numId w:val="39"/>
        </w:numPr>
        <w:spacing w:line="240" w:lineRule="auto"/>
        <w:ind w:left="1800"/>
        <w:jc w:val="both"/>
        <w:rPr>
          <w:rFonts w:cs="Arial"/>
          <w:i/>
          <w:szCs w:val="22"/>
          <w:lang w:val="en-GB"/>
        </w:rPr>
      </w:pPr>
      <w:r w:rsidRPr="00456C8E">
        <w:rPr>
          <w:rFonts w:cs="Arial"/>
          <w:i/>
          <w:szCs w:val="22"/>
          <w:lang w:val="en-GB"/>
        </w:rPr>
        <w:t>Conclusion: Given our understanding of documentation requirement (d), we do not agree and sees this as an additional burden for banks on the path towards IRB-compliance given the additional effort of model score calibrations to slots.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5: </w:t>
      </w:r>
      <w:r w:rsidRPr="00456C8E">
        <w:rPr>
          <w:rFonts w:ascii="Trebuchet MS" w:hAnsi="Trebuchet MS"/>
          <w:b/>
          <w:i/>
          <w:sz w:val="22"/>
          <w:szCs w:val="22"/>
          <w:lang w:val="en-US"/>
        </w:rPr>
        <w:t>Do you have any suggestions or comments on the assessment criteria for project finance?</w:t>
      </w:r>
      <w:r w:rsidRPr="00456C8E">
        <w:rPr>
          <w:rFonts w:ascii="Trebuchet MS" w:hAnsi="Trebuchet MS"/>
          <w:b/>
          <w:sz w:val="22"/>
          <w:szCs w:val="22"/>
          <w:lang w:val="en-US"/>
        </w:rPr>
        <w:t xml:space="preserve"> </w:t>
      </w:r>
    </w:p>
    <w:p w:rsidR="00456C8E" w:rsidRPr="00456C8E" w:rsidRDefault="00456C8E"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In our opinion list of assessment criteria should be broader and harmonized across the categories of specialized lending. The table below summarizes our proposal for additional parameters.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Cs/>
          <w:sz w:val="22"/>
          <w:szCs w:val="22"/>
          <w:lang w:val="en-US"/>
        </w:rPr>
      </w:pPr>
      <w:r w:rsidRPr="00456C8E">
        <w:rPr>
          <w:rFonts w:ascii="Trebuchet MS" w:hAnsi="Trebuchet MS"/>
          <w:sz w:val="22"/>
          <w:szCs w:val="22"/>
          <w:lang w:val="en-US"/>
        </w:rPr>
        <w:t xml:space="preserve">Additionally, as mentioned before, in our opinion the assessment criteria should be structured and split into two groups, i.e. quantitative and qualitative risk factors. When possible, factors should be harmonized and used consistently across different categories of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This structure of assessment would be clearer and closer to the actual rating process.</w:t>
      </w:r>
    </w:p>
    <w:p w:rsidR="005E55A5" w:rsidRPr="00456C8E" w:rsidRDefault="005E55A5" w:rsidP="005E55A5">
      <w:pPr>
        <w:pStyle w:val="Default"/>
        <w:rPr>
          <w:rFonts w:ascii="Trebuchet MS" w:hAnsi="Trebuchet MS"/>
          <w:sz w:val="22"/>
          <w:szCs w:val="22"/>
          <w:lang w:val="en-US"/>
        </w:rPr>
      </w:pPr>
    </w:p>
    <w:tbl>
      <w:tblPr>
        <w:tblStyle w:val="Tabellenraster"/>
        <w:tblW w:w="0" w:type="auto"/>
        <w:tblLook w:val="04A0" w:firstRow="1" w:lastRow="0" w:firstColumn="1" w:lastColumn="0" w:noHBand="0" w:noVBand="1"/>
      </w:tblPr>
      <w:tblGrid>
        <w:gridCol w:w="3227"/>
        <w:gridCol w:w="5985"/>
      </w:tblGrid>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Financial Strength</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Advance Ratio</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Cash-Flow predictability (all three subcategories)</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Political and legal Environment</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ind w:firstLine="708"/>
              <w:rPr>
                <w:rFonts w:ascii="Trebuchet MS" w:hAnsi="Trebuchet MS"/>
                <w:sz w:val="22"/>
                <w:szCs w:val="22"/>
                <w:lang w:val="en-US"/>
              </w:rPr>
            </w:pPr>
            <w:r w:rsidRPr="00456C8E">
              <w:rPr>
                <w:rFonts w:ascii="Trebuchet MS" w:hAnsi="Trebuchet MS"/>
                <w:sz w:val="22"/>
                <w:szCs w:val="22"/>
                <w:lang w:val="en-US"/>
              </w:rPr>
              <w:t>No comments</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Transaction/Asset Characteristics</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Financing term compared to the economic life of asset</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Location</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Operating risk: Permits/licensing</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Strength of Sponsor/Developer</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Financial capacity and will to support the property</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Security Package</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Quality of insurance coverage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Rights/means to monitor location and condition of asset</w:t>
            </w:r>
          </w:p>
        </w:tc>
      </w:tr>
    </w:tbl>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p>
    <w:p w:rsidR="00456C8E" w:rsidRPr="00B529FF" w:rsidRDefault="00456C8E" w:rsidP="00B529FF">
      <w:pPr>
        <w:spacing w:line="240" w:lineRule="auto"/>
        <w:jc w:val="both"/>
        <w:rPr>
          <w:rFonts w:cs="Arial"/>
          <w:color w:val="000000"/>
          <w:szCs w:val="22"/>
          <w:lang w:val="en-US" w:eastAsia="de-AT"/>
        </w:rPr>
      </w:pPr>
      <w:r w:rsidRPr="00B529FF">
        <w:rPr>
          <w:rFonts w:cs="Arial"/>
          <w:color w:val="000000"/>
          <w:szCs w:val="22"/>
          <w:lang w:val="en-US" w:eastAsia="de-AT"/>
        </w:rPr>
        <w:lastRenderedPageBreak/>
        <w:t>For all classes of specialised lending, it is or view that specific extra collateral (e.g. cash collateral accounts covering construction phase or similar) should be taken into account as EL-mitigating measures and, hence, slotting-category / RWA enhancing mechanisms.</w:t>
      </w:r>
    </w:p>
    <w:p w:rsidR="00456C8E" w:rsidRPr="00B529FF" w:rsidRDefault="00456C8E" w:rsidP="00B529FF">
      <w:pPr>
        <w:spacing w:line="240" w:lineRule="auto"/>
        <w:jc w:val="both"/>
        <w:rPr>
          <w:rFonts w:cs="Arial"/>
          <w:color w:val="000000"/>
          <w:szCs w:val="22"/>
          <w:lang w:val="en-US" w:eastAsia="de-AT"/>
        </w:rPr>
      </w:pPr>
      <w:r w:rsidRPr="00B529FF">
        <w:rPr>
          <w:rFonts w:cs="Arial"/>
          <w:color w:val="000000"/>
          <w:szCs w:val="22"/>
          <w:lang w:val="en-US" w:eastAsia="de-AT"/>
        </w:rPr>
        <w:t>The scorecard approach does not take into account any risk driver that does not add to the discriminatory power of the supervisory slot. The effect of such driver is accounted for in the calibration of the model by means of our SL portfolio specific default and loss experience. Such drivers might include constant drivers either due to the economic structure of the portfolio or the lending policy requirements. Changes to such drivers (e.g. changes in the lending policy) would be analysed for impact on the model as part of the associated model governance (e.g. responsibility of the operational model owner to trigger a model review when the lending policy is adjusted).</w:t>
      </w:r>
    </w:p>
    <w:p w:rsidR="00456C8E" w:rsidRPr="00456C8E" w:rsidRDefault="00456C8E" w:rsidP="005E55A5">
      <w:pPr>
        <w:pStyle w:val="Default"/>
        <w:rPr>
          <w:rFonts w:ascii="Trebuchet MS" w:hAnsi="Trebuchet MS"/>
          <w:sz w:val="22"/>
          <w:szCs w:val="22"/>
          <w:lang w:val="en-US"/>
        </w:rPr>
      </w:pPr>
    </w:p>
    <w:p w:rsidR="00456C8E" w:rsidRPr="00456C8E" w:rsidRDefault="00456C8E"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6: </w:t>
      </w:r>
      <w:r w:rsidRPr="00456C8E">
        <w:rPr>
          <w:rFonts w:ascii="Trebuchet MS" w:hAnsi="Trebuchet MS"/>
          <w:b/>
          <w:i/>
          <w:sz w:val="22"/>
          <w:szCs w:val="22"/>
          <w:lang w:val="en-US"/>
        </w:rPr>
        <w:t>Do you have any suggestions or comments on the assessment criteria for real estate?</w:t>
      </w:r>
      <w:r w:rsidRPr="00456C8E">
        <w:rPr>
          <w:rFonts w:ascii="Trebuchet MS" w:hAnsi="Trebuchet MS"/>
          <w:b/>
          <w:sz w:val="22"/>
          <w:szCs w:val="22"/>
          <w:lang w:val="en-US"/>
        </w:rPr>
        <w:t xml:space="preserve"> </w:t>
      </w:r>
    </w:p>
    <w:p w:rsidR="005E55A5" w:rsidRPr="00456C8E" w:rsidRDefault="005E55A5" w:rsidP="005E55A5">
      <w:pPr>
        <w:pStyle w:val="Default"/>
        <w:rPr>
          <w:rFonts w:ascii="Trebuchet MS" w:hAnsi="Trebuchet MS"/>
          <w:sz w:val="22"/>
          <w:szCs w:val="22"/>
          <w:lang w:val="en-US"/>
        </w:rPr>
      </w:pPr>
    </w:p>
    <w:p w:rsidR="00456C8E" w:rsidRPr="00B529FF" w:rsidRDefault="00456C8E" w:rsidP="00456C8E">
      <w:pPr>
        <w:spacing w:line="240" w:lineRule="auto"/>
        <w:jc w:val="both"/>
        <w:rPr>
          <w:rFonts w:cs="Arial"/>
          <w:color w:val="000000"/>
          <w:szCs w:val="22"/>
          <w:lang w:val="en-US" w:eastAsia="de-AT"/>
        </w:rPr>
      </w:pPr>
      <w:r w:rsidRPr="00B529FF">
        <w:rPr>
          <w:rFonts w:cs="Arial"/>
          <w:color w:val="000000"/>
          <w:szCs w:val="22"/>
          <w:lang w:val="en-US" w:eastAsia="de-AT"/>
        </w:rPr>
        <w:t>Under political and legal environment - country specific risks are well represented in case of SLPF slotting criteria and are underrepresented in case of SLIPRE slotting criteria.</w:t>
      </w:r>
    </w:p>
    <w:p w:rsidR="00456C8E" w:rsidRPr="00456C8E" w:rsidRDefault="00456C8E" w:rsidP="005E55A5">
      <w:pPr>
        <w:pStyle w:val="Default"/>
        <w:rPr>
          <w:rFonts w:ascii="Trebuchet MS" w:hAnsi="Trebuchet MS"/>
          <w:i/>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In our opinion list of assessment criteria should be broader and harmonized across the categories of specialized lending. The table below summarizes our proposal for additional parameters.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Cs/>
          <w:sz w:val="22"/>
          <w:szCs w:val="22"/>
          <w:lang w:val="en-US"/>
        </w:rPr>
      </w:pPr>
      <w:r w:rsidRPr="00456C8E">
        <w:rPr>
          <w:rFonts w:ascii="Trebuchet MS" w:hAnsi="Trebuchet MS"/>
          <w:sz w:val="22"/>
          <w:szCs w:val="22"/>
          <w:lang w:val="en-US"/>
        </w:rPr>
        <w:t xml:space="preserve">Additionally, as mentioned before, in our opinion the assessment criteria should be structured and split into two groups, i.e. quantitative and qualitative risk factors. When possible, factors should be harmonized and used consistently across different categories of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This structure of assessment would be clearer and closer to the actual rating process.</w:t>
      </w:r>
    </w:p>
    <w:p w:rsidR="005E55A5" w:rsidRPr="00456C8E" w:rsidRDefault="005E55A5" w:rsidP="005E55A5">
      <w:pPr>
        <w:pStyle w:val="Default"/>
        <w:rPr>
          <w:rFonts w:ascii="Trebuchet MS" w:hAnsi="Trebuchet MS"/>
          <w:sz w:val="22"/>
          <w:szCs w:val="22"/>
          <w:lang w:val="en-US"/>
        </w:rPr>
      </w:pPr>
    </w:p>
    <w:tbl>
      <w:tblPr>
        <w:tblStyle w:val="Tabellenraster"/>
        <w:tblW w:w="0" w:type="auto"/>
        <w:tblLook w:val="04A0" w:firstRow="1" w:lastRow="0" w:firstColumn="1" w:lastColumn="0" w:noHBand="0" w:noVBand="1"/>
      </w:tblPr>
      <w:tblGrid>
        <w:gridCol w:w="3227"/>
        <w:gridCol w:w="5985"/>
      </w:tblGrid>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Financial Strength</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Financial ratios should be harmonized with the point (b) for Project Finance. Additionally in our opinion DSCR and ICR ratios should be considered relevant for the construction phase as well (calculated on the cash flow assumption of the completed property)</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Financial structure (as in point (d)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Foreign exchange risk (as in point (e) for Project Finance)</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Political and legal Environment</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Political risk</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Acquisition of all necessary supports and approvals</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Enforceability of contracts, collateral and security</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Transaction/Asset Characteristics</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Construction risk (as in point (b)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Completion guarantees or liquidated damages (as in point (c)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Track record and financial strength of contractor in constructing similar projects (as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Operating risk: Operator’s expertise, track record, and financial strength</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Operating risk: Permits/licensing</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Financing term compared to the economic life of asset</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Strength of Sponsor/Developer</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 xml:space="preserve">Sponsor support, as evidenced by equity, ownership clause and incentive to inject </w:t>
            </w:r>
            <w:r w:rsidRPr="00456C8E">
              <w:rPr>
                <w:rFonts w:ascii="Trebuchet MS" w:hAnsi="Trebuchet MS"/>
                <w:sz w:val="22"/>
                <w:szCs w:val="22"/>
                <w:lang w:val="en-US"/>
              </w:rPr>
              <w:lastRenderedPageBreak/>
              <w:t>additional cash if necessary</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lastRenderedPageBreak/>
              <w:t>Security Package</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Pledge of accounts</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Rights/means to monitor location and condition of asset</w:t>
            </w:r>
          </w:p>
        </w:tc>
      </w:tr>
    </w:tbl>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7: </w:t>
      </w:r>
      <w:r w:rsidRPr="00456C8E">
        <w:rPr>
          <w:rFonts w:ascii="Trebuchet MS" w:hAnsi="Trebuchet MS"/>
          <w:b/>
          <w:i/>
          <w:sz w:val="22"/>
          <w:szCs w:val="22"/>
          <w:lang w:val="en-US"/>
        </w:rPr>
        <w:t>Do you have any suggestions or comments on the assessment criteria for object finance?</w:t>
      </w:r>
      <w:r w:rsidRPr="00456C8E">
        <w:rPr>
          <w:rFonts w:ascii="Trebuchet MS" w:hAnsi="Trebuchet MS"/>
          <w:b/>
          <w:sz w:val="22"/>
          <w:szCs w:val="22"/>
          <w:lang w:val="en-US"/>
        </w:rPr>
        <w:t xml:space="preserve"> </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Comment: In our opinion list of assessment criteria should be broader and harmonized across the categories of specialized lending. The table below summarizes our proposal for additional parameters.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Cs/>
          <w:sz w:val="22"/>
          <w:szCs w:val="22"/>
          <w:lang w:val="en-US"/>
        </w:rPr>
      </w:pPr>
      <w:r w:rsidRPr="00456C8E">
        <w:rPr>
          <w:rFonts w:ascii="Trebuchet MS" w:hAnsi="Trebuchet MS"/>
          <w:sz w:val="22"/>
          <w:szCs w:val="22"/>
          <w:lang w:val="en-US"/>
        </w:rPr>
        <w:t xml:space="preserve">Additionally, as mentioned before, in our opinion the assessment criteria should be structured and split into two groups, i.e. quantitative and qualitative risk factors. When possible, factors should be harmonized and used consistently across different categories of </w:t>
      </w:r>
      <w:proofErr w:type="spellStart"/>
      <w:r w:rsidRPr="00456C8E">
        <w:rPr>
          <w:rFonts w:ascii="Trebuchet MS" w:hAnsi="Trebuchet MS"/>
          <w:sz w:val="22"/>
          <w:szCs w:val="22"/>
          <w:lang w:val="en-US"/>
        </w:rPr>
        <w:t>specialised</w:t>
      </w:r>
      <w:proofErr w:type="spellEnd"/>
      <w:r w:rsidRPr="00456C8E">
        <w:rPr>
          <w:rFonts w:ascii="Trebuchet MS" w:hAnsi="Trebuchet MS"/>
          <w:sz w:val="22"/>
          <w:szCs w:val="22"/>
          <w:lang w:val="en-US"/>
        </w:rPr>
        <w:t xml:space="preserve"> lending. This structure of assessment would be clearer and closer to the actual rating process.</w:t>
      </w:r>
    </w:p>
    <w:p w:rsidR="005E55A5" w:rsidRPr="00456C8E" w:rsidRDefault="005E55A5" w:rsidP="005E55A5">
      <w:pPr>
        <w:pStyle w:val="Default"/>
        <w:rPr>
          <w:rFonts w:ascii="Trebuchet MS" w:hAnsi="Trebuchet MS"/>
          <w:sz w:val="22"/>
          <w:szCs w:val="22"/>
          <w:lang w:val="en-US"/>
        </w:rPr>
      </w:pPr>
    </w:p>
    <w:tbl>
      <w:tblPr>
        <w:tblStyle w:val="Tabellenraster"/>
        <w:tblW w:w="0" w:type="auto"/>
        <w:tblLook w:val="04A0" w:firstRow="1" w:lastRow="0" w:firstColumn="1" w:lastColumn="0" w:noHBand="0" w:noVBand="1"/>
      </w:tblPr>
      <w:tblGrid>
        <w:gridCol w:w="3227"/>
        <w:gridCol w:w="5985"/>
      </w:tblGrid>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Financial Strength</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Financial ratios should be harmonized with the point (b)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Financial structure (as in point (d)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Foreign exchange risk (as in point (e)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Cash-flow predictability</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Political and legal Environment</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Enforceability of contracts, collateral and security</w:t>
            </w:r>
          </w:p>
        </w:tc>
      </w:tr>
      <w:tr w:rsidR="005E55A5" w:rsidRPr="00456C8E" w:rsidTr="005E55A5">
        <w:tc>
          <w:tcPr>
            <w:tcW w:w="3227" w:type="dxa"/>
            <w:tcBorders>
              <w:top w:val="single" w:sz="4" w:space="0" w:color="auto"/>
              <w:left w:val="single" w:sz="4" w:space="0" w:color="auto"/>
              <w:bottom w:val="single" w:sz="4" w:space="0" w:color="auto"/>
              <w:right w:val="single" w:sz="4" w:space="0" w:color="auto"/>
            </w:tcBorders>
            <w:hideMark/>
          </w:tcPr>
          <w:p w:rsidR="005E55A5" w:rsidRPr="00456C8E" w:rsidRDefault="005E55A5">
            <w:pPr>
              <w:pStyle w:val="Default"/>
              <w:rPr>
                <w:rFonts w:ascii="Trebuchet MS" w:hAnsi="Trebuchet MS"/>
                <w:sz w:val="22"/>
                <w:szCs w:val="22"/>
                <w:lang w:val="en-US"/>
              </w:rPr>
            </w:pPr>
            <w:r w:rsidRPr="00456C8E">
              <w:rPr>
                <w:rFonts w:ascii="Trebuchet MS" w:hAnsi="Trebuchet MS"/>
                <w:sz w:val="22"/>
                <w:szCs w:val="22"/>
                <w:lang w:val="en-US"/>
              </w:rPr>
              <w:t>Transaction/Asset Characteristics</w:t>
            </w:r>
          </w:p>
        </w:tc>
        <w:tc>
          <w:tcPr>
            <w:tcW w:w="5985" w:type="dxa"/>
            <w:tcBorders>
              <w:top w:val="single" w:sz="4" w:space="0" w:color="auto"/>
              <w:left w:val="single" w:sz="4" w:space="0" w:color="auto"/>
              <w:bottom w:val="single" w:sz="4" w:space="0" w:color="auto"/>
              <w:right w:val="single" w:sz="4" w:space="0" w:color="auto"/>
            </w:tcBorders>
            <w:hideMark/>
          </w:tcPr>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Completion guarantees or liquidated damages (as in point (c)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Track record and financial strength of contractor in constructing similar projects (as for Project Finance)</w:t>
            </w:r>
          </w:p>
          <w:p w:rsidR="005E55A5" w:rsidRPr="00456C8E" w:rsidRDefault="005E55A5" w:rsidP="005E55A5">
            <w:pPr>
              <w:pStyle w:val="Default"/>
              <w:numPr>
                <w:ilvl w:val="0"/>
                <w:numId w:val="22"/>
              </w:numPr>
              <w:rPr>
                <w:rFonts w:ascii="Trebuchet MS" w:hAnsi="Trebuchet MS"/>
                <w:sz w:val="22"/>
                <w:szCs w:val="22"/>
                <w:lang w:val="en-US"/>
              </w:rPr>
            </w:pPr>
            <w:r w:rsidRPr="00456C8E">
              <w:rPr>
                <w:rFonts w:ascii="Trebuchet MS" w:hAnsi="Trebuchet MS"/>
                <w:sz w:val="22"/>
                <w:szCs w:val="22"/>
                <w:lang w:val="en-US"/>
              </w:rPr>
              <w:t>Operating risk (as in point (d) for Project Finance)</w:t>
            </w:r>
          </w:p>
        </w:tc>
      </w:tr>
    </w:tbl>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The criterion “Operator’s financial strength, track record in managing the asset type and capability to re-market asset when it comes off-lease” is repeated under “Operating risk” and under “Strength of Sponsor/Developer”. In our opinion this double nomination should be corrected. Operator’s financial strength is part of the operating risk, thus it should be deleted in the “Strength of Sponsor/Developer”</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b/>
          <w:sz w:val="22"/>
          <w:szCs w:val="22"/>
          <w:lang w:val="en-US"/>
        </w:rPr>
      </w:pPr>
      <w:r w:rsidRPr="00456C8E">
        <w:rPr>
          <w:rFonts w:ascii="Trebuchet MS" w:hAnsi="Trebuchet MS"/>
          <w:b/>
          <w:bCs/>
          <w:sz w:val="22"/>
          <w:szCs w:val="22"/>
          <w:lang w:val="en-US"/>
        </w:rPr>
        <w:t xml:space="preserve">Question 8: </w:t>
      </w:r>
      <w:r w:rsidRPr="00456C8E">
        <w:rPr>
          <w:rFonts w:ascii="Trebuchet MS" w:hAnsi="Trebuchet MS"/>
          <w:b/>
          <w:i/>
          <w:sz w:val="22"/>
          <w:szCs w:val="22"/>
          <w:lang w:val="en-US"/>
        </w:rPr>
        <w:t>Do you have any suggestions or comments on the assessment criteria for commodities finance?</w:t>
      </w:r>
      <w:r w:rsidRPr="00456C8E">
        <w:rPr>
          <w:rFonts w:ascii="Trebuchet MS" w:hAnsi="Trebuchet MS"/>
          <w:b/>
          <w:sz w:val="22"/>
          <w:szCs w:val="22"/>
          <w:lang w:val="en-US"/>
        </w:rPr>
        <w:t xml:space="preserve"> </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r w:rsidRPr="00456C8E">
        <w:rPr>
          <w:rFonts w:ascii="Trebuchet MS" w:hAnsi="Trebuchet MS"/>
          <w:sz w:val="22"/>
          <w:szCs w:val="22"/>
          <w:lang w:val="en-US"/>
        </w:rPr>
        <w:t>No comments.</w:t>
      </w: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pStyle w:val="Default"/>
        <w:rPr>
          <w:rFonts w:ascii="Trebuchet MS" w:hAnsi="Trebuchet MS"/>
          <w:sz w:val="22"/>
          <w:szCs w:val="22"/>
          <w:lang w:val="en-US"/>
        </w:rPr>
      </w:pPr>
    </w:p>
    <w:p w:rsidR="005E55A5" w:rsidRPr="00456C8E" w:rsidRDefault="005E55A5" w:rsidP="005E55A5">
      <w:pPr>
        <w:rPr>
          <w:b/>
          <w:szCs w:val="22"/>
          <w:lang w:val="en-US"/>
        </w:rPr>
      </w:pPr>
      <w:r w:rsidRPr="00456C8E">
        <w:rPr>
          <w:b/>
          <w:bCs/>
          <w:szCs w:val="22"/>
          <w:lang w:val="en-US"/>
        </w:rPr>
        <w:t xml:space="preserve">Question 9: </w:t>
      </w:r>
      <w:r w:rsidRPr="00456C8E">
        <w:rPr>
          <w:b/>
          <w:i/>
          <w:szCs w:val="22"/>
          <w:lang w:val="en-US"/>
        </w:rPr>
        <w:t>Do you have any suggestions or comments on the Impact Assessment?</w:t>
      </w:r>
    </w:p>
    <w:p w:rsidR="005E55A5" w:rsidRPr="00456C8E" w:rsidRDefault="005E55A5" w:rsidP="005E55A5">
      <w:pPr>
        <w:rPr>
          <w:szCs w:val="22"/>
          <w:lang w:val="en-US"/>
        </w:rPr>
      </w:pPr>
    </w:p>
    <w:p w:rsidR="005E55A5" w:rsidRPr="00456C8E" w:rsidRDefault="005E55A5" w:rsidP="005E55A5">
      <w:pPr>
        <w:rPr>
          <w:szCs w:val="22"/>
          <w:lang w:val="en-US"/>
        </w:rPr>
      </w:pPr>
      <w:r w:rsidRPr="00456C8E">
        <w:rPr>
          <w:szCs w:val="22"/>
          <w:lang w:val="en-US"/>
        </w:rPr>
        <w:t>No comments.</w:t>
      </w:r>
    </w:p>
    <w:p w:rsidR="00031CC6" w:rsidRPr="00456C8E" w:rsidRDefault="00031CC6" w:rsidP="0010363C">
      <w:pPr>
        <w:spacing w:line="240" w:lineRule="auto"/>
        <w:ind w:right="-1"/>
        <w:rPr>
          <w:b/>
          <w:szCs w:val="22"/>
          <w:lang w:val="en-US"/>
        </w:rPr>
      </w:pPr>
    </w:p>
    <w:p w:rsidR="00031CC6" w:rsidRPr="00456C8E" w:rsidRDefault="00031CC6" w:rsidP="0010363C">
      <w:pPr>
        <w:spacing w:line="240" w:lineRule="auto"/>
        <w:ind w:right="-1"/>
        <w:rPr>
          <w:b/>
          <w:szCs w:val="22"/>
          <w:lang w:val="en-US"/>
        </w:rPr>
      </w:pPr>
    </w:p>
    <w:p w:rsidR="00B529FF" w:rsidRDefault="00EB6FE5" w:rsidP="00B529FF">
      <w:pPr>
        <w:spacing w:line="240" w:lineRule="auto"/>
        <w:ind w:right="-1"/>
        <w:rPr>
          <w:szCs w:val="22"/>
          <w:lang w:val="en-GB"/>
        </w:rPr>
      </w:pPr>
      <w:r w:rsidRPr="00456C8E">
        <w:rPr>
          <w:szCs w:val="22"/>
          <w:lang w:val="en-GB"/>
        </w:rPr>
        <w:t>Please give our concerns due consideration.</w:t>
      </w:r>
    </w:p>
    <w:p w:rsidR="00B529FF" w:rsidRDefault="00B529FF" w:rsidP="00B529FF">
      <w:pPr>
        <w:spacing w:line="240" w:lineRule="auto"/>
        <w:ind w:right="-1"/>
        <w:rPr>
          <w:szCs w:val="22"/>
          <w:lang w:val="en-GB"/>
        </w:rPr>
      </w:pPr>
    </w:p>
    <w:p w:rsidR="00A55AE6" w:rsidRPr="00B529FF" w:rsidRDefault="00A55AE6" w:rsidP="00B529FF">
      <w:pPr>
        <w:spacing w:line="240" w:lineRule="auto"/>
        <w:ind w:right="-1"/>
        <w:rPr>
          <w:szCs w:val="22"/>
          <w:lang w:val="en-GB"/>
        </w:rPr>
      </w:pPr>
      <w:bookmarkStart w:id="1" w:name="_GoBack"/>
      <w:bookmarkEnd w:id="1"/>
      <w:r w:rsidRPr="00456C8E">
        <w:rPr>
          <w:rFonts w:cs="Arial"/>
          <w:color w:val="000000"/>
          <w:szCs w:val="22"/>
          <w:lang w:val="en-GB" w:eastAsia="en-US"/>
        </w:rPr>
        <w:lastRenderedPageBreak/>
        <w:t>Yours sincerely,</w:t>
      </w:r>
    </w:p>
    <w:p w:rsidR="00A55AE6" w:rsidRPr="00456C8E" w:rsidRDefault="00A55AE6" w:rsidP="00A55AE6">
      <w:pPr>
        <w:spacing w:line="240" w:lineRule="auto"/>
        <w:rPr>
          <w:rFonts w:cs="Arial"/>
          <w:color w:val="000000"/>
          <w:szCs w:val="22"/>
          <w:lang w:val="en-GB" w:eastAsia="en-US"/>
        </w:rPr>
      </w:pPr>
    </w:p>
    <w:p w:rsidR="00A55AE6" w:rsidRPr="00456C8E" w:rsidRDefault="00A55AE6" w:rsidP="00A55AE6">
      <w:pPr>
        <w:spacing w:line="240" w:lineRule="auto"/>
        <w:rPr>
          <w:rFonts w:cs="Arial"/>
          <w:color w:val="000000"/>
          <w:szCs w:val="22"/>
          <w:lang w:val="en-GB" w:eastAsia="en-US"/>
        </w:rPr>
      </w:pPr>
    </w:p>
    <w:p w:rsidR="00A55AE6" w:rsidRPr="00456C8E" w:rsidRDefault="00A55AE6" w:rsidP="00A55AE6">
      <w:pPr>
        <w:spacing w:line="240" w:lineRule="auto"/>
        <w:rPr>
          <w:rFonts w:cs="Arial"/>
          <w:color w:val="000000"/>
          <w:szCs w:val="22"/>
          <w:lang w:val="en-GB" w:eastAsia="en-US"/>
        </w:rPr>
      </w:pPr>
    </w:p>
    <w:p w:rsidR="00A55AE6" w:rsidRPr="00456C8E" w:rsidRDefault="00A55AE6" w:rsidP="00A55AE6">
      <w:pPr>
        <w:spacing w:line="240" w:lineRule="auto"/>
        <w:rPr>
          <w:rFonts w:cs="Arial"/>
          <w:color w:val="000000"/>
          <w:szCs w:val="22"/>
          <w:lang w:val="en-GB" w:eastAsia="en-US"/>
        </w:rPr>
      </w:pPr>
      <w:r w:rsidRPr="00456C8E">
        <w:rPr>
          <w:rFonts w:cs="Arial"/>
          <w:color w:val="000000"/>
          <w:szCs w:val="22"/>
          <w:lang w:val="en-GB" w:eastAsia="en-US"/>
        </w:rPr>
        <w:t>Dr. Franz Rudorfer</w:t>
      </w:r>
    </w:p>
    <w:p w:rsidR="00A55AE6" w:rsidRPr="00456C8E" w:rsidRDefault="00A55AE6" w:rsidP="00A55AE6">
      <w:pPr>
        <w:spacing w:line="240" w:lineRule="auto"/>
        <w:rPr>
          <w:rFonts w:cs="Arial"/>
          <w:color w:val="000000"/>
          <w:szCs w:val="22"/>
          <w:lang w:val="en-GB" w:eastAsia="en-US"/>
        </w:rPr>
      </w:pPr>
      <w:r w:rsidRPr="00456C8E">
        <w:rPr>
          <w:rFonts w:cs="Arial"/>
          <w:color w:val="000000"/>
          <w:szCs w:val="22"/>
          <w:lang w:val="en-GB" w:eastAsia="en-US"/>
        </w:rPr>
        <w:t>Managing Director</w:t>
      </w:r>
    </w:p>
    <w:p w:rsidR="00A55AE6" w:rsidRPr="00456C8E" w:rsidRDefault="00A55AE6" w:rsidP="00A55AE6">
      <w:pPr>
        <w:spacing w:line="240" w:lineRule="auto"/>
        <w:rPr>
          <w:noProof/>
          <w:szCs w:val="22"/>
          <w:lang w:val="en-GB"/>
        </w:rPr>
      </w:pPr>
      <w:r w:rsidRPr="00456C8E">
        <w:rPr>
          <w:rFonts w:cs="Arial"/>
          <w:color w:val="000000"/>
          <w:szCs w:val="22"/>
          <w:lang w:val="en-GB" w:eastAsia="en-US"/>
        </w:rPr>
        <w:t>Division Bank and Insurance</w:t>
      </w:r>
    </w:p>
    <w:p w:rsidR="00A55AE6" w:rsidRPr="006D3EDC" w:rsidRDefault="00A55AE6" w:rsidP="00EB6FE5">
      <w:pPr>
        <w:spacing w:line="240" w:lineRule="auto"/>
        <w:ind w:right="-1"/>
        <w:rPr>
          <w:lang w:val="en-GB"/>
        </w:rPr>
      </w:pPr>
    </w:p>
    <w:sectPr w:rsidR="00A55AE6" w:rsidRPr="006D3EDC" w:rsidSect="00B57120">
      <w:footerReference w:type="default" r:id="rId9"/>
      <w:headerReference w:type="first" r:id="rId10"/>
      <w:footerReference w:type="first" r:id="rId11"/>
      <w:pgSz w:w="11906" w:h="16838"/>
      <w:pgMar w:top="1701" w:right="1133"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33" w:rsidRDefault="00295A33">
      <w:r>
        <w:separator/>
      </w:r>
    </w:p>
  </w:endnote>
  <w:endnote w:type="continuationSeparator" w:id="0">
    <w:p w:rsidR="00295A33" w:rsidRDefault="002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pPr>
      <w:pStyle w:val="Fuzeile"/>
      <w:rPr>
        <w:szCs w:val="22"/>
      </w:rPr>
    </w:pPr>
    <w:r w:rsidRPr="007C6CFC">
      <w:rPr>
        <w:sz w:val="16"/>
        <w:szCs w:val="16"/>
      </w:rPr>
      <w:tab/>
    </w:r>
    <w:r w:rsidRPr="007C6CFC">
      <w:rPr>
        <w:szCs w:val="22"/>
      </w:rPr>
      <w:t xml:space="preserve">- </w:t>
    </w:r>
    <w:r w:rsidRPr="007C6CFC">
      <w:rPr>
        <w:szCs w:val="22"/>
      </w:rPr>
      <w:fldChar w:fldCharType="begin"/>
    </w:r>
    <w:r w:rsidRPr="007C6CFC">
      <w:rPr>
        <w:szCs w:val="22"/>
      </w:rPr>
      <w:instrText xml:space="preserve"> PAGE </w:instrText>
    </w:r>
    <w:r w:rsidRPr="007C6CFC">
      <w:rPr>
        <w:szCs w:val="22"/>
      </w:rPr>
      <w:fldChar w:fldCharType="separate"/>
    </w:r>
    <w:r w:rsidR="00B529FF">
      <w:rPr>
        <w:noProof/>
        <w:szCs w:val="22"/>
      </w:rPr>
      <w:t>2</w:t>
    </w:r>
    <w:r w:rsidRPr="007C6CFC">
      <w:rPr>
        <w:szCs w:val="22"/>
      </w:rPr>
      <w:fldChar w:fldCharType="end"/>
    </w:r>
    <w:r w:rsidRPr="007C6CFC">
      <w:rPr>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7C6CFC" w:rsidRDefault="00295A33" w:rsidP="00BC0955">
    <w:pPr>
      <w:pStyle w:val="Fuzeile"/>
      <w:rPr>
        <w:snapToGrid w:val="0"/>
        <w:color w:val="000000"/>
        <w:szCs w:val="22"/>
        <w:u w:color="000000"/>
      </w:rPr>
    </w:pPr>
    <w:r>
      <w:rPr>
        <w:snapToGrid w:val="0"/>
        <w:color w:val="000000"/>
        <w:sz w:val="16"/>
        <w:szCs w:val="16"/>
        <w:u w:color="000000"/>
      </w:rPr>
      <w:tab/>
    </w:r>
    <w:r w:rsidRPr="007C6CFC">
      <w:rPr>
        <w:snapToGrid w:val="0"/>
        <w:color w:val="000000"/>
        <w:szCs w:val="22"/>
        <w:u w:color="000000"/>
      </w:rPr>
      <w:t xml:space="preserve">- </w:t>
    </w:r>
    <w:r w:rsidRPr="007C6CFC">
      <w:rPr>
        <w:snapToGrid w:val="0"/>
        <w:color w:val="000000"/>
        <w:szCs w:val="22"/>
        <w:u w:color="000000"/>
      </w:rPr>
      <w:fldChar w:fldCharType="begin"/>
    </w:r>
    <w:r w:rsidRPr="007C6CFC">
      <w:rPr>
        <w:snapToGrid w:val="0"/>
        <w:color w:val="000000"/>
        <w:szCs w:val="22"/>
        <w:u w:color="000000"/>
      </w:rPr>
      <w:instrText xml:space="preserve"> PAGE </w:instrText>
    </w:r>
    <w:r w:rsidRPr="007C6CFC">
      <w:rPr>
        <w:snapToGrid w:val="0"/>
        <w:color w:val="000000"/>
        <w:szCs w:val="22"/>
        <w:u w:color="000000"/>
      </w:rPr>
      <w:fldChar w:fldCharType="separate"/>
    </w:r>
    <w:r w:rsidR="00B529FF">
      <w:rPr>
        <w:noProof/>
        <w:snapToGrid w:val="0"/>
        <w:color w:val="000000"/>
        <w:szCs w:val="22"/>
        <w:u w:color="000000"/>
      </w:rPr>
      <w:t>1</w:t>
    </w:r>
    <w:r w:rsidRPr="007C6CFC">
      <w:rPr>
        <w:snapToGrid w:val="0"/>
        <w:color w:val="000000"/>
        <w:szCs w:val="22"/>
        <w:u w:color="000000"/>
      </w:rPr>
      <w:fldChar w:fldCharType="end"/>
    </w:r>
    <w:r w:rsidRPr="007C6CFC">
      <w:rPr>
        <w:snapToGrid w:val="0"/>
        <w:color w:val="000000"/>
        <w:szCs w:val="22"/>
        <w:u w:color="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33" w:rsidRDefault="00295A33">
      <w:r>
        <w:separator/>
      </w:r>
    </w:p>
  </w:footnote>
  <w:footnote w:type="continuationSeparator" w:id="0">
    <w:p w:rsidR="00295A33" w:rsidRDefault="0029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33" w:rsidRPr="0081262C" w:rsidRDefault="00295A33" w:rsidP="00F0083F">
    <w:pPr>
      <w:pStyle w:val="Kopfzeile"/>
      <w:tabs>
        <w:tab w:val="clear" w:pos="9072"/>
        <w:tab w:val="right" w:pos="9498"/>
      </w:tabs>
      <w:jc w:val="right"/>
    </w:pPr>
    <w:r>
      <w:rPr>
        <w:noProof/>
        <w:lang w:val="de-AT" w:eastAsia="de-AT"/>
      </w:rPr>
      <w:drawing>
        <wp:anchor distT="0" distB="0" distL="114300" distR="114300" simplePos="0" relativeHeight="251657728" behindDoc="0" locked="1" layoutInCell="1" allowOverlap="1" wp14:anchorId="252BD5FA" wp14:editId="1DBC96D6">
          <wp:simplePos x="0" y="0"/>
          <wp:positionH relativeFrom="page">
            <wp:posOffset>4859655</wp:posOffset>
          </wp:positionH>
          <wp:positionV relativeFrom="page">
            <wp:posOffset>197485</wp:posOffset>
          </wp:positionV>
          <wp:extent cx="2210435" cy="861695"/>
          <wp:effectExtent l="19050" t="0" r="0" b="0"/>
          <wp:wrapTopAndBottom/>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0435" cy="8616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989"/>
    <w:multiLevelType w:val="hybridMultilevel"/>
    <w:tmpl w:val="028AD8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A23A7C"/>
    <w:multiLevelType w:val="hybridMultilevel"/>
    <w:tmpl w:val="ADBECCE0"/>
    <w:lvl w:ilvl="0" w:tplc="0C070013">
      <w:start w:val="1"/>
      <w:numFmt w:val="upperRoman"/>
      <w:lvlText w:val="%1."/>
      <w:lvlJc w:val="righ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nsid w:val="08B82C7E"/>
    <w:multiLevelType w:val="hybridMultilevel"/>
    <w:tmpl w:val="4B56974E"/>
    <w:lvl w:ilvl="0" w:tplc="93886BE2">
      <w:start w:val="3"/>
      <w:numFmt w:val="bullet"/>
      <w:lvlText w:val="-"/>
      <w:lvlJc w:val="left"/>
      <w:pPr>
        <w:ind w:left="720" w:hanging="360"/>
      </w:pPr>
      <w:rPr>
        <w:rFonts w:ascii="Consolas" w:eastAsiaTheme="minorHAnsi" w:hAnsi="Consolas" w:cs="Consola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9DB3713"/>
    <w:multiLevelType w:val="hybridMultilevel"/>
    <w:tmpl w:val="31FC00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2C73A7"/>
    <w:multiLevelType w:val="hybridMultilevel"/>
    <w:tmpl w:val="3F0C2284"/>
    <w:lvl w:ilvl="0" w:tplc="0C070001">
      <w:start w:val="1"/>
      <w:numFmt w:val="bullet"/>
      <w:lvlText w:val=""/>
      <w:lvlJc w:val="left"/>
      <w:pPr>
        <w:ind w:left="2844" w:hanging="360"/>
      </w:pPr>
      <w:rPr>
        <w:rFonts w:ascii="Symbol" w:hAnsi="Symbol" w:hint="default"/>
      </w:rPr>
    </w:lvl>
    <w:lvl w:ilvl="1" w:tplc="0C070003" w:tentative="1">
      <w:start w:val="1"/>
      <w:numFmt w:val="bullet"/>
      <w:lvlText w:val="o"/>
      <w:lvlJc w:val="left"/>
      <w:pPr>
        <w:ind w:left="3564" w:hanging="360"/>
      </w:pPr>
      <w:rPr>
        <w:rFonts w:ascii="Courier New" w:hAnsi="Courier New" w:hint="default"/>
      </w:rPr>
    </w:lvl>
    <w:lvl w:ilvl="2" w:tplc="0C070005" w:tentative="1">
      <w:start w:val="1"/>
      <w:numFmt w:val="bullet"/>
      <w:lvlText w:val=""/>
      <w:lvlJc w:val="left"/>
      <w:pPr>
        <w:ind w:left="4284" w:hanging="360"/>
      </w:pPr>
      <w:rPr>
        <w:rFonts w:ascii="Wingdings" w:hAnsi="Wingdings" w:hint="default"/>
      </w:rPr>
    </w:lvl>
    <w:lvl w:ilvl="3" w:tplc="0C070001" w:tentative="1">
      <w:start w:val="1"/>
      <w:numFmt w:val="bullet"/>
      <w:lvlText w:val=""/>
      <w:lvlJc w:val="left"/>
      <w:pPr>
        <w:ind w:left="5004" w:hanging="360"/>
      </w:pPr>
      <w:rPr>
        <w:rFonts w:ascii="Symbol" w:hAnsi="Symbol" w:hint="default"/>
      </w:rPr>
    </w:lvl>
    <w:lvl w:ilvl="4" w:tplc="0C070003" w:tentative="1">
      <w:start w:val="1"/>
      <w:numFmt w:val="bullet"/>
      <w:lvlText w:val="o"/>
      <w:lvlJc w:val="left"/>
      <w:pPr>
        <w:ind w:left="5724" w:hanging="360"/>
      </w:pPr>
      <w:rPr>
        <w:rFonts w:ascii="Courier New" w:hAnsi="Courier New" w:hint="default"/>
      </w:rPr>
    </w:lvl>
    <w:lvl w:ilvl="5" w:tplc="0C070005" w:tentative="1">
      <w:start w:val="1"/>
      <w:numFmt w:val="bullet"/>
      <w:lvlText w:val=""/>
      <w:lvlJc w:val="left"/>
      <w:pPr>
        <w:ind w:left="6444" w:hanging="360"/>
      </w:pPr>
      <w:rPr>
        <w:rFonts w:ascii="Wingdings" w:hAnsi="Wingdings" w:hint="default"/>
      </w:rPr>
    </w:lvl>
    <w:lvl w:ilvl="6" w:tplc="0C070001" w:tentative="1">
      <w:start w:val="1"/>
      <w:numFmt w:val="bullet"/>
      <w:lvlText w:val=""/>
      <w:lvlJc w:val="left"/>
      <w:pPr>
        <w:ind w:left="7164" w:hanging="360"/>
      </w:pPr>
      <w:rPr>
        <w:rFonts w:ascii="Symbol" w:hAnsi="Symbol" w:hint="default"/>
      </w:rPr>
    </w:lvl>
    <w:lvl w:ilvl="7" w:tplc="0C070003" w:tentative="1">
      <w:start w:val="1"/>
      <w:numFmt w:val="bullet"/>
      <w:lvlText w:val="o"/>
      <w:lvlJc w:val="left"/>
      <w:pPr>
        <w:ind w:left="7884" w:hanging="360"/>
      </w:pPr>
      <w:rPr>
        <w:rFonts w:ascii="Courier New" w:hAnsi="Courier New" w:hint="default"/>
      </w:rPr>
    </w:lvl>
    <w:lvl w:ilvl="8" w:tplc="0C070005" w:tentative="1">
      <w:start w:val="1"/>
      <w:numFmt w:val="bullet"/>
      <w:lvlText w:val=""/>
      <w:lvlJc w:val="left"/>
      <w:pPr>
        <w:ind w:left="8604" w:hanging="360"/>
      </w:pPr>
      <w:rPr>
        <w:rFonts w:ascii="Wingdings" w:hAnsi="Wingdings" w:hint="default"/>
      </w:rPr>
    </w:lvl>
  </w:abstractNum>
  <w:abstractNum w:abstractNumId="5">
    <w:nsid w:val="0BA5631E"/>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DDA05F6"/>
    <w:multiLevelType w:val="hybridMultilevel"/>
    <w:tmpl w:val="99DAAD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C070005">
      <w:start w:val="1"/>
      <w:numFmt w:val="bullet"/>
      <w:lvlText w:val=""/>
      <w:lvlJc w:val="left"/>
      <w:pPr>
        <w:ind w:left="2160" w:hanging="180"/>
      </w:pPr>
      <w:rPr>
        <w:rFonts w:ascii="Wingdings" w:hAnsi="Wingding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56668F"/>
    <w:multiLevelType w:val="hybridMultilevel"/>
    <w:tmpl w:val="73DC61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14B224A7"/>
    <w:multiLevelType w:val="hybridMultilevel"/>
    <w:tmpl w:val="07440C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nsid w:val="18745305"/>
    <w:multiLevelType w:val="hybridMultilevel"/>
    <w:tmpl w:val="E3FCC1C0"/>
    <w:lvl w:ilvl="0" w:tplc="87E6098E">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1932550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C145EF6"/>
    <w:multiLevelType w:val="hybridMultilevel"/>
    <w:tmpl w:val="35ECE8FA"/>
    <w:lvl w:ilvl="0" w:tplc="7EE214A4">
      <w:numFmt w:val="bullet"/>
      <w:lvlText w:val="-"/>
      <w:lvlJc w:val="left"/>
      <w:pPr>
        <w:ind w:left="360" w:hanging="360"/>
      </w:pPr>
      <w:rPr>
        <w:rFonts w:ascii="Calibri" w:eastAsiaTheme="minorHAnsi" w:hAnsi="Calibri" w:cstheme="minorBidi" w:hint="default"/>
      </w:rPr>
    </w:lvl>
    <w:lvl w:ilvl="1" w:tplc="0C070003">
      <w:start w:val="1"/>
      <w:numFmt w:val="bullet"/>
      <w:lvlText w:val="o"/>
      <w:lvlJc w:val="left"/>
      <w:pPr>
        <w:ind w:left="1222" w:hanging="360"/>
      </w:pPr>
      <w:rPr>
        <w:rFonts w:ascii="Courier New" w:hAnsi="Courier New" w:cs="Courier New" w:hint="default"/>
      </w:rPr>
    </w:lvl>
    <w:lvl w:ilvl="2" w:tplc="0C070005">
      <w:start w:val="1"/>
      <w:numFmt w:val="bullet"/>
      <w:lvlText w:val=""/>
      <w:lvlJc w:val="left"/>
      <w:pPr>
        <w:ind w:left="1636"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2">
    <w:nsid w:val="210C7305"/>
    <w:multiLevelType w:val="hybridMultilevel"/>
    <w:tmpl w:val="AAF2BB54"/>
    <w:lvl w:ilvl="0" w:tplc="0C07001B">
      <w:start w:val="1"/>
      <w:numFmt w:val="lowerRoman"/>
      <w:lvlText w:val="%1."/>
      <w:lvlJc w:val="right"/>
      <w:pPr>
        <w:ind w:left="144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2179500E"/>
    <w:multiLevelType w:val="hybridMultilevel"/>
    <w:tmpl w:val="01AEC23E"/>
    <w:lvl w:ilvl="0" w:tplc="0C070011">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nsid w:val="23995024"/>
    <w:multiLevelType w:val="hybridMultilevel"/>
    <w:tmpl w:val="4DD8A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6141567"/>
    <w:multiLevelType w:val="hybridMultilevel"/>
    <w:tmpl w:val="64FA4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B56EC9"/>
    <w:multiLevelType w:val="hybridMultilevel"/>
    <w:tmpl w:val="538A464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39E24664"/>
    <w:multiLevelType w:val="hybridMultilevel"/>
    <w:tmpl w:val="54EA1CB2"/>
    <w:lvl w:ilvl="0" w:tplc="DE062F00">
      <w:start w:val="4"/>
      <w:numFmt w:val="decimal"/>
      <w:lvlText w:val="%1."/>
      <w:lvlJc w:val="left"/>
      <w:pPr>
        <w:ind w:left="720" w:hanging="360"/>
      </w:pPr>
      <w:rPr>
        <w:rFonts w:hint="default"/>
      </w:rPr>
    </w:lvl>
    <w:lvl w:ilvl="1" w:tplc="0C07001B">
      <w:start w:val="1"/>
      <w:numFmt w:val="lowerRoman"/>
      <w:lvlText w:val="%2."/>
      <w:lvlJc w:val="righ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5953AE"/>
    <w:multiLevelType w:val="hybridMultilevel"/>
    <w:tmpl w:val="2AEADBAA"/>
    <w:lvl w:ilvl="0" w:tplc="0407001B">
      <w:start w:val="1"/>
      <w:numFmt w:val="lowerRoman"/>
      <w:lvlText w:val="%1."/>
      <w:lvlJc w:val="right"/>
      <w:pPr>
        <w:ind w:left="2340" w:hanging="360"/>
      </w:pPr>
    </w:lvl>
    <w:lvl w:ilvl="1" w:tplc="0C070019" w:tentative="1">
      <w:start w:val="1"/>
      <w:numFmt w:val="lowerLetter"/>
      <w:lvlText w:val="%2."/>
      <w:lvlJc w:val="left"/>
      <w:pPr>
        <w:ind w:left="3060" w:hanging="360"/>
      </w:pPr>
    </w:lvl>
    <w:lvl w:ilvl="2" w:tplc="0C07001B" w:tentative="1">
      <w:start w:val="1"/>
      <w:numFmt w:val="lowerRoman"/>
      <w:lvlText w:val="%3."/>
      <w:lvlJc w:val="right"/>
      <w:pPr>
        <w:ind w:left="3780" w:hanging="180"/>
      </w:pPr>
    </w:lvl>
    <w:lvl w:ilvl="3" w:tplc="0C07000F" w:tentative="1">
      <w:start w:val="1"/>
      <w:numFmt w:val="decimal"/>
      <w:lvlText w:val="%4."/>
      <w:lvlJc w:val="left"/>
      <w:pPr>
        <w:ind w:left="4500" w:hanging="360"/>
      </w:pPr>
    </w:lvl>
    <w:lvl w:ilvl="4" w:tplc="0C070019" w:tentative="1">
      <w:start w:val="1"/>
      <w:numFmt w:val="lowerLetter"/>
      <w:lvlText w:val="%5."/>
      <w:lvlJc w:val="left"/>
      <w:pPr>
        <w:ind w:left="5220" w:hanging="360"/>
      </w:pPr>
    </w:lvl>
    <w:lvl w:ilvl="5" w:tplc="0C07001B" w:tentative="1">
      <w:start w:val="1"/>
      <w:numFmt w:val="lowerRoman"/>
      <w:lvlText w:val="%6."/>
      <w:lvlJc w:val="right"/>
      <w:pPr>
        <w:ind w:left="5940" w:hanging="180"/>
      </w:pPr>
    </w:lvl>
    <w:lvl w:ilvl="6" w:tplc="0C07000F" w:tentative="1">
      <w:start w:val="1"/>
      <w:numFmt w:val="decimal"/>
      <w:lvlText w:val="%7."/>
      <w:lvlJc w:val="left"/>
      <w:pPr>
        <w:ind w:left="6660" w:hanging="360"/>
      </w:pPr>
    </w:lvl>
    <w:lvl w:ilvl="7" w:tplc="0C070019" w:tentative="1">
      <w:start w:val="1"/>
      <w:numFmt w:val="lowerLetter"/>
      <w:lvlText w:val="%8."/>
      <w:lvlJc w:val="left"/>
      <w:pPr>
        <w:ind w:left="7380" w:hanging="360"/>
      </w:pPr>
    </w:lvl>
    <w:lvl w:ilvl="8" w:tplc="0C07001B" w:tentative="1">
      <w:start w:val="1"/>
      <w:numFmt w:val="lowerRoman"/>
      <w:lvlText w:val="%9."/>
      <w:lvlJc w:val="right"/>
      <w:pPr>
        <w:ind w:left="8100" w:hanging="180"/>
      </w:pPr>
    </w:lvl>
  </w:abstractNum>
  <w:abstractNum w:abstractNumId="19">
    <w:nsid w:val="400D66BE"/>
    <w:multiLevelType w:val="hybridMultilevel"/>
    <w:tmpl w:val="ABBAAB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1686A47"/>
    <w:multiLevelType w:val="hybridMultilevel"/>
    <w:tmpl w:val="C130EB18"/>
    <w:lvl w:ilvl="0" w:tplc="06C87BB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423228D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34281E"/>
    <w:multiLevelType w:val="hybridMultilevel"/>
    <w:tmpl w:val="C2C0E2B8"/>
    <w:lvl w:ilvl="0" w:tplc="F31C391C">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47F25788"/>
    <w:multiLevelType w:val="hybridMultilevel"/>
    <w:tmpl w:val="17E02B80"/>
    <w:lvl w:ilvl="0" w:tplc="0C070001">
      <w:start w:val="1"/>
      <w:numFmt w:val="bullet"/>
      <w:lvlText w:val=""/>
      <w:lvlJc w:val="left"/>
      <w:pPr>
        <w:ind w:left="2421" w:hanging="360"/>
      </w:pPr>
      <w:rPr>
        <w:rFonts w:ascii="Symbol" w:hAnsi="Symbol" w:hint="default"/>
      </w:rPr>
    </w:lvl>
    <w:lvl w:ilvl="1" w:tplc="0C070003" w:tentative="1">
      <w:start w:val="1"/>
      <w:numFmt w:val="bullet"/>
      <w:lvlText w:val="o"/>
      <w:lvlJc w:val="left"/>
      <w:pPr>
        <w:ind w:left="3141" w:hanging="360"/>
      </w:pPr>
      <w:rPr>
        <w:rFonts w:ascii="Courier New" w:hAnsi="Courier New" w:hint="default"/>
      </w:rPr>
    </w:lvl>
    <w:lvl w:ilvl="2" w:tplc="0C070005" w:tentative="1">
      <w:start w:val="1"/>
      <w:numFmt w:val="bullet"/>
      <w:lvlText w:val=""/>
      <w:lvlJc w:val="left"/>
      <w:pPr>
        <w:ind w:left="3861" w:hanging="360"/>
      </w:pPr>
      <w:rPr>
        <w:rFonts w:ascii="Wingdings" w:hAnsi="Wingdings" w:hint="default"/>
      </w:rPr>
    </w:lvl>
    <w:lvl w:ilvl="3" w:tplc="0C070001" w:tentative="1">
      <w:start w:val="1"/>
      <w:numFmt w:val="bullet"/>
      <w:lvlText w:val=""/>
      <w:lvlJc w:val="left"/>
      <w:pPr>
        <w:ind w:left="4581" w:hanging="360"/>
      </w:pPr>
      <w:rPr>
        <w:rFonts w:ascii="Symbol" w:hAnsi="Symbol" w:hint="default"/>
      </w:rPr>
    </w:lvl>
    <w:lvl w:ilvl="4" w:tplc="0C070003" w:tentative="1">
      <w:start w:val="1"/>
      <w:numFmt w:val="bullet"/>
      <w:lvlText w:val="o"/>
      <w:lvlJc w:val="left"/>
      <w:pPr>
        <w:ind w:left="5301" w:hanging="360"/>
      </w:pPr>
      <w:rPr>
        <w:rFonts w:ascii="Courier New" w:hAnsi="Courier New" w:hint="default"/>
      </w:rPr>
    </w:lvl>
    <w:lvl w:ilvl="5" w:tplc="0C070005" w:tentative="1">
      <w:start w:val="1"/>
      <w:numFmt w:val="bullet"/>
      <w:lvlText w:val=""/>
      <w:lvlJc w:val="left"/>
      <w:pPr>
        <w:ind w:left="6021" w:hanging="360"/>
      </w:pPr>
      <w:rPr>
        <w:rFonts w:ascii="Wingdings" w:hAnsi="Wingdings" w:hint="default"/>
      </w:rPr>
    </w:lvl>
    <w:lvl w:ilvl="6" w:tplc="0C070001" w:tentative="1">
      <w:start w:val="1"/>
      <w:numFmt w:val="bullet"/>
      <w:lvlText w:val=""/>
      <w:lvlJc w:val="left"/>
      <w:pPr>
        <w:ind w:left="6741" w:hanging="360"/>
      </w:pPr>
      <w:rPr>
        <w:rFonts w:ascii="Symbol" w:hAnsi="Symbol" w:hint="default"/>
      </w:rPr>
    </w:lvl>
    <w:lvl w:ilvl="7" w:tplc="0C070003" w:tentative="1">
      <w:start w:val="1"/>
      <w:numFmt w:val="bullet"/>
      <w:lvlText w:val="o"/>
      <w:lvlJc w:val="left"/>
      <w:pPr>
        <w:ind w:left="7461" w:hanging="360"/>
      </w:pPr>
      <w:rPr>
        <w:rFonts w:ascii="Courier New" w:hAnsi="Courier New" w:hint="default"/>
      </w:rPr>
    </w:lvl>
    <w:lvl w:ilvl="8" w:tplc="0C070005" w:tentative="1">
      <w:start w:val="1"/>
      <w:numFmt w:val="bullet"/>
      <w:lvlText w:val=""/>
      <w:lvlJc w:val="left"/>
      <w:pPr>
        <w:ind w:left="8181" w:hanging="360"/>
      </w:pPr>
      <w:rPr>
        <w:rFonts w:ascii="Wingdings" w:hAnsi="Wingdings" w:hint="default"/>
      </w:rPr>
    </w:lvl>
  </w:abstractNum>
  <w:abstractNum w:abstractNumId="24">
    <w:nsid w:val="506C7420"/>
    <w:multiLevelType w:val="multilevel"/>
    <w:tmpl w:val="A27E6A3A"/>
    <w:name w:val="zzmpVIE2||VIE2 kurz, bl|2|3|0|1|2|33||1|2|0||1|2|0||1|2|0||mpNA||mpNA||mpNA||mpNA||mpNA||"/>
    <w:lvl w:ilvl="0">
      <w:start w:val="1"/>
      <w:numFmt w:val="decimal"/>
      <w:pStyle w:val="VIE2L1"/>
      <w:lvlText w:val="%1."/>
      <w:lvlJc w:val="left"/>
      <w:pPr>
        <w:tabs>
          <w:tab w:val="num" w:pos="720"/>
        </w:tabs>
        <w:ind w:left="720" w:hanging="720"/>
      </w:pPr>
      <w:rPr>
        <w:b/>
        <w:i w:val="0"/>
        <w:caps w:val="0"/>
        <w:strike w:val="0"/>
        <w:dstrike w:val="0"/>
        <w:u w:val="none"/>
        <w:effect w:val="none"/>
      </w:rPr>
    </w:lvl>
    <w:lvl w:ilvl="1">
      <w:start w:val="1"/>
      <w:numFmt w:val="decimal"/>
      <w:pStyle w:val="VIE2L2"/>
      <w:isLgl/>
      <w:lvlText w:val="%1.%2"/>
      <w:lvlJc w:val="left"/>
      <w:pPr>
        <w:tabs>
          <w:tab w:val="num" w:pos="720"/>
        </w:tabs>
        <w:ind w:left="720" w:hanging="720"/>
      </w:pPr>
      <w:rPr>
        <w:b w:val="0"/>
        <w:i w:val="0"/>
        <w:caps w:val="0"/>
        <w:strike w:val="0"/>
        <w:dstrike w:val="0"/>
        <w:u w:val="none"/>
        <w:effect w:val="none"/>
      </w:rPr>
    </w:lvl>
    <w:lvl w:ilvl="2">
      <w:start w:val="1"/>
      <w:numFmt w:val="lowerLetter"/>
      <w:pStyle w:val="VIE2L3"/>
      <w:lvlText w:val="(%3)"/>
      <w:lvlJc w:val="left"/>
      <w:pPr>
        <w:tabs>
          <w:tab w:val="num" w:pos="1440"/>
        </w:tabs>
        <w:ind w:left="1440" w:hanging="720"/>
      </w:pPr>
      <w:rPr>
        <w:b w:val="0"/>
        <w:i w:val="0"/>
        <w:caps w:val="0"/>
        <w:strike w:val="0"/>
        <w:dstrike w:val="0"/>
        <w:u w:val="none"/>
        <w:effect w:val="none"/>
      </w:rPr>
    </w:lvl>
    <w:lvl w:ilvl="3">
      <w:start w:val="1"/>
      <w:numFmt w:val="lowerRoman"/>
      <w:pStyle w:val="VIE2L4"/>
      <w:lvlText w:val="(%4)"/>
      <w:lvlJc w:val="left"/>
      <w:pPr>
        <w:tabs>
          <w:tab w:val="num" w:pos="1440"/>
        </w:tabs>
        <w:ind w:left="1440" w:hanging="720"/>
      </w:pPr>
      <w:rPr>
        <w:b w:val="0"/>
        <w:i w:val="0"/>
        <w:caps w:val="0"/>
        <w:strike w:val="0"/>
        <w:dstrike w:val="0"/>
        <w:color w:val="auto"/>
        <w:u w:val="none"/>
        <w:effect w:val="no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2AB2707"/>
    <w:multiLevelType w:val="hybridMultilevel"/>
    <w:tmpl w:val="C5E8F8BA"/>
    <w:lvl w:ilvl="0" w:tplc="0407001B">
      <w:start w:val="1"/>
      <w:numFmt w:val="lowerRoman"/>
      <w:lvlText w:val="%1."/>
      <w:lvlJc w:val="right"/>
      <w:pPr>
        <w:ind w:left="2340" w:hanging="360"/>
      </w:pPr>
    </w:lvl>
    <w:lvl w:ilvl="1" w:tplc="0C070019" w:tentative="1">
      <w:start w:val="1"/>
      <w:numFmt w:val="lowerLetter"/>
      <w:lvlText w:val="%2."/>
      <w:lvlJc w:val="left"/>
      <w:pPr>
        <w:ind w:left="3060" w:hanging="360"/>
      </w:pPr>
    </w:lvl>
    <w:lvl w:ilvl="2" w:tplc="0C07001B" w:tentative="1">
      <w:start w:val="1"/>
      <w:numFmt w:val="lowerRoman"/>
      <w:lvlText w:val="%3."/>
      <w:lvlJc w:val="right"/>
      <w:pPr>
        <w:ind w:left="3780" w:hanging="180"/>
      </w:pPr>
    </w:lvl>
    <w:lvl w:ilvl="3" w:tplc="0C07000F" w:tentative="1">
      <w:start w:val="1"/>
      <w:numFmt w:val="decimal"/>
      <w:lvlText w:val="%4."/>
      <w:lvlJc w:val="left"/>
      <w:pPr>
        <w:ind w:left="4500" w:hanging="360"/>
      </w:pPr>
    </w:lvl>
    <w:lvl w:ilvl="4" w:tplc="0C070019" w:tentative="1">
      <w:start w:val="1"/>
      <w:numFmt w:val="lowerLetter"/>
      <w:lvlText w:val="%5."/>
      <w:lvlJc w:val="left"/>
      <w:pPr>
        <w:ind w:left="5220" w:hanging="360"/>
      </w:pPr>
    </w:lvl>
    <w:lvl w:ilvl="5" w:tplc="0C07001B" w:tentative="1">
      <w:start w:val="1"/>
      <w:numFmt w:val="lowerRoman"/>
      <w:lvlText w:val="%6."/>
      <w:lvlJc w:val="right"/>
      <w:pPr>
        <w:ind w:left="5940" w:hanging="180"/>
      </w:pPr>
    </w:lvl>
    <w:lvl w:ilvl="6" w:tplc="0C07000F" w:tentative="1">
      <w:start w:val="1"/>
      <w:numFmt w:val="decimal"/>
      <w:lvlText w:val="%7."/>
      <w:lvlJc w:val="left"/>
      <w:pPr>
        <w:ind w:left="6660" w:hanging="360"/>
      </w:pPr>
    </w:lvl>
    <w:lvl w:ilvl="7" w:tplc="0C070019" w:tentative="1">
      <w:start w:val="1"/>
      <w:numFmt w:val="lowerLetter"/>
      <w:lvlText w:val="%8."/>
      <w:lvlJc w:val="left"/>
      <w:pPr>
        <w:ind w:left="7380" w:hanging="360"/>
      </w:pPr>
    </w:lvl>
    <w:lvl w:ilvl="8" w:tplc="0C07001B" w:tentative="1">
      <w:start w:val="1"/>
      <w:numFmt w:val="lowerRoman"/>
      <w:lvlText w:val="%9."/>
      <w:lvlJc w:val="right"/>
      <w:pPr>
        <w:ind w:left="8100" w:hanging="180"/>
      </w:pPr>
    </w:lvl>
  </w:abstractNum>
  <w:abstractNum w:abstractNumId="26">
    <w:nsid w:val="542E35BE"/>
    <w:multiLevelType w:val="hybridMultilevel"/>
    <w:tmpl w:val="D4F8C71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nsid w:val="56CF08E6"/>
    <w:multiLevelType w:val="hybridMultilevel"/>
    <w:tmpl w:val="AAF2BB54"/>
    <w:lvl w:ilvl="0" w:tplc="0C07001B">
      <w:start w:val="1"/>
      <w:numFmt w:val="lowerRoman"/>
      <w:lvlText w:val="%1."/>
      <w:lvlJc w:val="right"/>
      <w:pPr>
        <w:ind w:left="144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nsid w:val="5C5A256E"/>
    <w:multiLevelType w:val="hybridMultilevel"/>
    <w:tmpl w:val="AE36FD9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nsid w:val="613B59B2"/>
    <w:multiLevelType w:val="hybridMultilevel"/>
    <w:tmpl w:val="AAF2BB54"/>
    <w:lvl w:ilvl="0" w:tplc="0C07001B">
      <w:start w:val="1"/>
      <w:numFmt w:val="lowerRoman"/>
      <w:lvlText w:val="%1."/>
      <w:lvlJc w:val="right"/>
      <w:pPr>
        <w:ind w:left="144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622B4CFE"/>
    <w:multiLevelType w:val="hybridMultilevel"/>
    <w:tmpl w:val="AAF2BB54"/>
    <w:lvl w:ilvl="0" w:tplc="0C07001B">
      <w:start w:val="1"/>
      <w:numFmt w:val="lowerRoman"/>
      <w:lvlText w:val="%1."/>
      <w:lvlJc w:val="right"/>
      <w:pPr>
        <w:ind w:left="144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nsid w:val="6346502E"/>
    <w:multiLevelType w:val="hybridMultilevel"/>
    <w:tmpl w:val="6276DAC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35A368B"/>
    <w:multiLevelType w:val="hybridMultilevel"/>
    <w:tmpl w:val="E692F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695C3797"/>
    <w:multiLevelType w:val="hybridMultilevel"/>
    <w:tmpl w:val="98D4A002"/>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6BB2ABD"/>
    <w:multiLevelType w:val="hybridMultilevel"/>
    <w:tmpl w:val="A9024492"/>
    <w:lvl w:ilvl="0" w:tplc="B4B65316">
      <w:start w:val="2"/>
      <w:numFmt w:val="lowerRoman"/>
      <w:lvlText w:val="%1."/>
      <w:lvlJc w:val="right"/>
      <w:pPr>
        <w:ind w:left="234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7744457A"/>
    <w:multiLevelType w:val="hybridMultilevel"/>
    <w:tmpl w:val="4E105270"/>
    <w:lvl w:ilvl="0" w:tplc="0C07001B">
      <w:start w:val="1"/>
      <w:numFmt w:val="lowerRoman"/>
      <w:lvlText w:val="%1."/>
      <w:lvlJc w:val="right"/>
      <w:pPr>
        <w:ind w:left="144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7842524A"/>
    <w:multiLevelType w:val="hybridMultilevel"/>
    <w:tmpl w:val="8DA217D4"/>
    <w:lvl w:ilvl="0" w:tplc="0544763E">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7">
    <w:nsid w:val="78605CDB"/>
    <w:multiLevelType w:val="hybridMultilevel"/>
    <w:tmpl w:val="2AEADBAA"/>
    <w:lvl w:ilvl="0" w:tplc="0407001B">
      <w:start w:val="1"/>
      <w:numFmt w:val="lowerRoman"/>
      <w:lvlText w:val="%1."/>
      <w:lvlJc w:val="right"/>
      <w:pPr>
        <w:ind w:left="2340" w:hanging="360"/>
      </w:pPr>
    </w:lvl>
    <w:lvl w:ilvl="1" w:tplc="0C070019" w:tentative="1">
      <w:start w:val="1"/>
      <w:numFmt w:val="lowerLetter"/>
      <w:lvlText w:val="%2."/>
      <w:lvlJc w:val="left"/>
      <w:pPr>
        <w:ind w:left="3060" w:hanging="360"/>
      </w:pPr>
    </w:lvl>
    <w:lvl w:ilvl="2" w:tplc="0C07001B" w:tentative="1">
      <w:start w:val="1"/>
      <w:numFmt w:val="lowerRoman"/>
      <w:lvlText w:val="%3."/>
      <w:lvlJc w:val="right"/>
      <w:pPr>
        <w:ind w:left="3780" w:hanging="180"/>
      </w:pPr>
    </w:lvl>
    <w:lvl w:ilvl="3" w:tplc="0C07000F" w:tentative="1">
      <w:start w:val="1"/>
      <w:numFmt w:val="decimal"/>
      <w:lvlText w:val="%4."/>
      <w:lvlJc w:val="left"/>
      <w:pPr>
        <w:ind w:left="4500" w:hanging="360"/>
      </w:pPr>
    </w:lvl>
    <w:lvl w:ilvl="4" w:tplc="0C070019" w:tentative="1">
      <w:start w:val="1"/>
      <w:numFmt w:val="lowerLetter"/>
      <w:lvlText w:val="%5."/>
      <w:lvlJc w:val="left"/>
      <w:pPr>
        <w:ind w:left="5220" w:hanging="360"/>
      </w:pPr>
    </w:lvl>
    <w:lvl w:ilvl="5" w:tplc="0C07001B" w:tentative="1">
      <w:start w:val="1"/>
      <w:numFmt w:val="lowerRoman"/>
      <w:lvlText w:val="%6."/>
      <w:lvlJc w:val="right"/>
      <w:pPr>
        <w:ind w:left="5940" w:hanging="180"/>
      </w:pPr>
    </w:lvl>
    <w:lvl w:ilvl="6" w:tplc="0C07000F" w:tentative="1">
      <w:start w:val="1"/>
      <w:numFmt w:val="decimal"/>
      <w:lvlText w:val="%7."/>
      <w:lvlJc w:val="left"/>
      <w:pPr>
        <w:ind w:left="6660" w:hanging="360"/>
      </w:pPr>
    </w:lvl>
    <w:lvl w:ilvl="7" w:tplc="0C070019" w:tentative="1">
      <w:start w:val="1"/>
      <w:numFmt w:val="lowerLetter"/>
      <w:lvlText w:val="%8."/>
      <w:lvlJc w:val="left"/>
      <w:pPr>
        <w:ind w:left="7380" w:hanging="360"/>
      </w:pPr>
    </w:lvl>
    <w:lvl w:ilvl="8" w:tplc="0C07001B" w:tentative="1">
      <w:start w:val="1"/>
      <w:numFmt w:val="lowerRoman"/>
      <w:lvlText w:val="%9."/>
      <w:lvlJc w:val="right"/>
      <w:pPr>
        <w:ind w:left="8100" w:hanging="180"/>
      </w:pPr>
    </w:lvl>
  </w:abstractNum>
  <w:abstractNum w:abstractNumId="38">
    <w:nsid w:val="7B3D3228"/>
    <w:multiLevelType w:val="hybridMultilevel"/>
    <w:tmpl w:val="FB34861E"/>
    <w:lvl w:ilvl="0" w:tplc="CB02868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9">
    <w:nsid w:val="7C8D10F7"/>
    <w:multiLevelType w:val="hybridMultilevel"/>
    <w:tmpl w:val="2AEADBAA"/>
    <w:lvl w:ilvl="0" w:tplc="0407001B">
      <w:start w:val="1"/>
      <w:numFmt w:val="lowerRoman"/>
      <w:lvlText w:val="%1."/>
      <w:lvlJc w:val="right"/>
      <w:pPr>
        <w:ind w:left="2340" w:hanging="360"/>
      </w:pPr>
    </w:lvl>
    <w:lvl w:ilvl="1" w:tplc="0C070019" w:tentative="1">
      <w:start w:val="1"/>
      <w:numFmt w:val="lowerLetter"/>
      <w:lvlText w:val="%2."/>
      <w:lvlJc w:val="left"/>
      <w:pPr>
        <w:ind w:left="3060" w:hanging="360"/>
      </w:pPr>
    </w:lvl>
    <w:lvl w:ilvl="2" w:tplc="0C07001B" w:tentative="1">
      <w:start w:val="1"/>
      <w:numFmt w:val="lowerRoman"/>
      <w:lvlText w:val="%3."/>
      <w:lvlJc w:val="right"/>
      <w:pPr>
        <w:ind w:left="3780" w:hanging="180"/>
      </w:pPr>
    </w:lvl>
    <w:lvl w:ilvl="3" w:tplc="0C07000F" w:tentative="1">
      <w:start w:val="1"/>
      <w:numFmt w:val="decimal"/>
      <w:lvlText w:val="%4."/>
      <w:lvlJc w:val="left"/>
      <w:pPr>
        <w:ind w:left="4500" w:hanging="360"/>
      </w:pPr>
    </w:lvl>
    <w:lvl w:ilvl="4" w:tplc="0C070019" w:tentative="1">
      <w:start w:val="1"/>
      <w:numFmt w:val="lowerLetter"/>
      <w:lvlText w:val="%5."/>
      <w:lvlJc w:val="left"/>
      <w:pPr>
        <w:ind w:left="5220" w:hanging="360"/>
      </w:pPr>
    </w:lvl>
    <w:lvl w:ilvl="5" w:tplc="0C07001B" w:tentative="1">
      <w:start w:val="1"/>
      <w:numFmt w:val="lowerRoman"/>
      <w:lvlText w:val="%6."/>
      <w:lvlJc w:val="right"/>
      <w:pPr>
        <w:ind w:left="5940" w:hanging="180"/>
      </w:pPr>
    </w:lvl>
    <w:lvl w:ilvl="6" w:tplc="0C07000F" w:tentative="1">
      <w:start w:val="1"/>
      <w:numFmt w:val="decimal"/>
      <w:lvlText w:val="%7."/>
      <w:lvlJc w:val="left"/>
      <w:pPr>
        <w:ind w:left="6660" w:hanging="360"/>
      </w:pPr>
    </w:lvl>
    <w:lvl w:ilvl="7" w:tplc="0C070019" w:tentative="1">
      <w:start w:val="1"/>
      <w:numFmt w:val="lowerLetter"/>
      <w:lvlText w:val="%8."/>
      <w:lvlJc w:val="left"/>
      <w:pPr>
        <w:ind w:left="7380" w:hanging="360"/>
      </w:pPr>
    </w:lvl>
    <w:lvl w:ilvl="8" w:tplc="0C07001B" w:tentative="1">
      <w:start w:val="1"/>
      <w:numFmt w:val="lowerRoman"/>
      <w:lvlText w:val="%9."/>
      <w:lvlJc w:val="right"/>
      <w:pPr>
        <w:ind w:left="8100" w:hanging="180"/>
      </w:pPr>
    </w:lvl>
  </w:abstractNum>
  <w:abstractNum w:abstractNumId="40">
    <w:nsid w:val="7F2345E2"/>
    <w:multiLevelType w:val="hybridMultilevel"/>
    <w:tmpl w:val="4E105270"/>
    <w:lvl w:ilvl="0" w:tplc="0C07001B">
      <w:start w:val="1"/>
      <w:numFmt w:val="lowerRoman"/>
      <w:lvlText w:val="%1."/>
      <w:lvlJc w:val="right"/>
      <w:pPr>
        <w:ind w:left="144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nsid w:val="7F43724C"/>
    <w:multiLevelType w:val="hybridMultilevel"/>
    <w:tmpl w:val="90847A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3"/>
  </w:num>
  <w:num w:numId="2">
    <w:abstractNumId w:val="26"/>
  </w:num>
  <w:num w:numId="3">
    <w:abstractNumId w:val="19"/>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1"/>
  </w:num>
  <w:num w:numId="8">
    <w:abstractNumId w:val="38"/>
  </w:num>
  <w:num w:numId="9">
    <w:abstractNumId w:val="32"/>
  </w:num>
  <w:num w:numId="10">
    <w:abstractNumId w:val="7"/>
  </w:num>
  <w:num w:numId="11">
    <w:abstractNumId w:val="2"/>
  </w:num>
  <w:num w:numId="12">
    <w:abstractNumId w:val="14"/>
  </w:num>
  <w:num w:numId="13">
    <w:abstractNumId w:val="5"/>
  </w:num>
  <w:num w:numId="14">
    <w:abstractNumId w:val="28"/>
  </w:num>
  <w:num w:numId="15">
    <w:abstractNumId w:val="41"/>
  </w:num>
  <w:num w:numId="16">
    <w:abstractNumId w:val="16"/>
  </w:num>
  <w:num w:numId="17">
    <w:abstractNumId w:val="1"/>
  </w:num>
  <w:num w:numId="18">
    <w:abstractNumId w:val="13"/>
  </w:num>
  <w:num w:numId="19">
    <w:abstractNumId w:val="20"/>
  </w:num>
  <w:num w:numId="20">
    <w:abstractNumId w:val="15"/>
  </w:num>
  <w:num w:numId="21">
    <w:abstractNumId w:val="8"/>
  </w:num>
  <w:num w:numId="22">
    <w:abstractNumId w:val="36"/>
  </w:num>
  <w:num w:numId="23">
    <w:abstractNumId w:val="3"/>
  </w:num>
  <w:num w:numId="24">
    <w:abstractNumId w:val="0"/>
  </w:num>
  <w:num w:numId="25">
    <w:abstractNumId w:val="21"/>
  </w:num>
  <w:num w:numId="26">
    <w:abstractNumId w:val="25"/>
  </w:num>
  <w:num w:numId="27">
    <w:abstractNumId w:val="31"/>
  </w:num>
  <w:num w:numId="28">
    <w:abstractNumId w:val="33"/>
  </w:num>
  <w:num w:numId="29">
    <w:abstractNumId w:val="10"/>
  </w:num>
  <w:num w:numId="30">
    <w:abstractNumId w:val="39"/>
  </w:num>
  <w:num w:numId="31">
    <w:abstractNumId w:val="18"/>
  </w:num>
  <w:num w:numId="32">
    <w:abstractNumId w:val="37"/>
  </w:num>
  <w:num w:numId="33">
    <w:abstractNumId w:val="17"/>
  </w:num>
  <w:num w:numId="34">
    <w:abstractNumId w:val="34"/>
  </w:num>
  <w:num w:numId="35">
    <w:abstractNumId w:val="40"/>
  </w:num>
  <w:num w:numId="36">
    <w:abstractNumId w:val="9"/>
  </w:num>
  <w:num w:numId="37">
    <w:abstractNumId w:val="35"/>
  </w:num>
  <w:num w:numId="38">
    <w:abstractNumId w:val="12"/>
  </w:num>
  <w:num w:numId="39">
    <w:abstractNumId w:val="6"/>
  </w:num>
  <w:num w:numId="40">
    <w:abstractNumId w:val="30"/>
  </w:num>
  <w:num w:numId="41">
    <w:abstractNumId w:val="27"/>
  </w:num>
  <w:num w:numId="4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C"/>
    <w:rsid w:val="0000192C"/>
    <w:rsid w:val="00002869"/>
    <w:rsid w:val="00002AE3"/>
    <w:rsid w:val="00022162"/>
    <w:rsid w:val="00022E3E"/>
    <w:rsid w:val="00027D5E"/>
    <w:rsid w:val="00031CC6"/>
    <w:rsid w:val="000345E6"/>
    <w:rsid w:val="00034E26"/>
    <w:rsid w:val="0003734B"/>
    <w:rsid w:val="00037FE2"/>
    <w:rsid w:val="00047215"/>
    <w:rsid w:val="00060833"/>
    <w:rsid w:val="00064C5A"/>
    <w:rsid w:val="0007255B"/>
    <w:rsid w:val="00081515"/>
    <w:rsid w:val="00081E90"/>
    <w:rsid w:val="00082236"/>
    <w:rsid w:val="0009402A"/>
    <w:rsid w:val="000B445F"/>
    <w:rsid w:val="000B72BC"/>
    <w:rsid w:val="000B743B"/>
    <w:rsid w:val="000C2A7F"/>
    <w:rsid w:val="000C7E1D"/>
    <w:rsid w:val="000D3944"/>
    <w:rsid w:val="000E264C"/>
    <w:rsid w:val="000E50B4"/>
    <w:rsid w:val="0010363C"/>
    <w:rsid w:val="00105589"/>
    <w:rsid w:val="001072DF"/>
    <w:rsid w:val="001100E8"/>
    <w:rsid w:val="001157FD"/>
    <w:rsid w:val="00122243"/>
    <w:rsid w:val="001231B3"/>
    <w:rsid w:val="001266AB"/>
    <w:rsid w:val="0013167F"/>
    <w:rsid w:val="00135B33"/>
    <w:rsid w:val="00137D1A"/>
    <w:rsid w:val="00140840"/>
    <w:rsid w:val="00142215"/>
    <w:rsid w:val="00145075"/>
    <w:rsid w:val="00154A68"/>
    <w:rsid w:val="00154B0A"/>
    <w:rsid w:val="0015559A"/>
    <w:rsid w:val="001628C5"/>
    <w:rsid w:val="001669D8"/>
    <w:rsid w:val="00166A32"/>
    <w:rsid w:val="00181BC8"/>
    <w:rsid w:val="001829FA"/>
    <w:rsid w:val="00185ED2"/>
    <w:rsid w:val="00190AE7"/>
    <w:rsid w:val="001914C7"/>
    <w:rsid w:val="001B326E"/>
    <w:rsid w:val="001B472D"/>
    <w:rsid w:val="001B75C9"/>
    <w:rsid w:val="001D493B"/>
    <w:rsid w:val="001D7741"/>
    <w:rsid w:val="001D7E2A"/>
    <w:rsid w:val="001E5A71"/>
    <w:rsid w:val="001F1973"/>
    <w:rsid w:val="00201BA1"/>
    <w:rsid w:val="002038DC"/>
    <w:rsid w:val="00203C40"/>
    <w:rsid w:val="00206C50"/>
    <w:rsid w:val="00212962"/>
    <w:rsid w:val="002138E8"/>
    <w:rsid w:val="002150FD"/>
    <w:rsid w:val="00215A3D"/>
    <w:rsid w:val="00222E53"/>
    <w:rsid w:val="00222F24"/>
    <w:rsid w:val="0022490E"/>
    <w:rsid w:val="00230DE4"/>
    <w:rsid w:val="00230F3E"/>
    <w:rsid w:val="00237B76"/>
    <w:rsid w:val="00243539"/>
    <w:rsid w:val="00253D85"/>
    <w:rsid w:val="00255015"/>
    <w:rsid w:val="0026741D"/>
    <w:rsid w:val="002834AA"/>
    <w:rsid w:val="00283AD0"/>
    <w:rsid w:val="0028735C"/>
    <w:rsid w:val="00287BC7"/>
    <w:rsid w:val="0029417F"/>
    <w:rsid w:val="00295A33"/>
    <w:rsid w:val="00295EBD"/>
    <w:rsid w:val="002C1CDC"/>
    <w:rsid w:val="002D424B"/>
    <w:rsid w:val="002D4EDD"/>
    <w:rsid w:val="002E2DD9"/>
    <w:rsid w:val="002E5502"/>
    <w:rsid w:val="00300864"/>
    <w:rsid w:val="003058F8"/>
    <w:rsid w:val="0031542A"/>
    <w:rsid w:val="00322AE6"/>
    <w:rsid w:val="00324CBF"/>
    <w:rsid w:val="00330879"/>
    <w:rsid w:val="00340F56"/>
    <w:rsid w:val="0034723E"/>
    <w:rsid w:val="00352BEC"/>
    <w:rsid w:val="0036014E"/>
    <w:rsid w:val="0036078F"/>
    <w:rsid w:val="003629A3"/>
    <w:rsid w:val="00365057"/>
    <w:rsid w:val="00371EC8"/>
    <w:rsid w:val="0038214C"/>
    <w:rsid w:val="00390AFC"/>
    <w:rsid w:val="00394D41"/>
    <w:rsid w:val="003A3AED"/>
    <w:rsid w:val="003B493B"/>
    <w:rsid w:val="003B6FDA"/>
    <w:rsid w:val="003B7FC8"/>
    <w:rsid w:val="003C1D0A"/>
    <w:rsid w:val="003E2214"/>
    <w:rsid w:val="003E4A87"/>
    <w:rsid w:val="003E775F"/>
    <w:rsid w:val="003F04D5"/>
    <w:rsid w:val="003F0F26"/>
    <w:rsid w:val="003F7E1B"/>
    <w:rsid w:val="004076E5"/>
    <w:rsid w:val="00410C22"/>
    <w:rsid w:val="00413A5E"/>
    <w:rsid w:val="00415854"/>
    <w:rsid w:val="00422F18"/>
    <w:rsid w:val="00423258"/>
    <w:rsid w:val="0042491E"/>
    <w:rsid w:val="00426E66"/>
    <w:rsid w:val="004414C5"/>
    <w:rsid w:val="004501DA"/>
    <w:rsid w:val="00450541"/>
    <w:rsid w:val="00456578"/>
    <w:rsid w:val="00456C8E"/>
    <w:rsid w:val="00461E46"/>
    <w:rsid w:val="004639B4"/>
    <w:rsid w:val="0046510E"/>
    <w:rsid w:val="004660A0"/>
    <w:rsid w:val="00471CAF"/>
    <w:rsid w:val="0049380D"/>
    <w:rsid w:val="00495FD1"/>
    <w:rsid w:val="004A5E30"/>
    <w:rsid w:val="004B5017"/>
    <w:rsid w:val="004C3F26"/>
    <w:rsid w:val="004E3797"/>
    <w:rsid w:val="004E3F8D"/>
    <w:rsid w:val="004F2117"/>
    <w:rsid w:val="004F5C9C"/>
    <w:rsid w:val="004F716A"/>
    <w:rsid w:val="0050486A"/>
    <w:rsid w:val="00505288"/>
    <w:rsid w:val="00515614"/>
    <w:rsid w:val="0052008F"/>
    <w:rsid w:val="00526668"/>
    <w:rsid w:val="00526735"/>
    <w:rsid w:val="00535EEE"/>
    <w:rsid w:val="005428AB"/>
    <w:rsid w:val="00546DF6"/>
    <w:rsid w:val="00547E82"/>
    <w:rsid w:val="00552476"/>
    <w:rsid w:val="00564015"/>
    <w:rsid w:val="00565278"/>
    <w:rsid w:val="0057254C"/>
    <w:rsid w:val="005736F9"/>
    <w:rsid w:val="005874F6"/>
    <w:rsid w:val="005877C6"/>
    <w:rsid w:val="00591A98"/>
    <w:rsid w:val="005B5707"/>
    <w:rsid w:val="005B5AD8"/>
    <w:rsid w:val="005C0A2B"/>
    <w:rsid w:val="005C40BB"/>
    <w:rsid w:val="005D1823"/>
    <w:rsid w:val="005D1FDD"/>
    <w:rsid w:val="005D3F1D"/>
    <w:rsid w:val="005E1BA6"/>
    <w:rsid w:val="005E3AAF"/>
    <w:rsid w:val="005E55A5"/>
    <w:rsid w:val="005F0908"/>
    <w:rsid w:val="005F3730"/>
    <w:rsid w:val="005F3C37"/>
    <w:rsid w:val="005F6F88"/>
    <w:rsid w:val="00601398"/>
    <w:rsid w:val="00612894"/>
    <w:rsid w:val="0062389E"/>
    <w:rsid w:val="00650A4A"/>
    <w:rsid w:val="006641EF"/>
    <w:rsid w:val="00666C97"/>
    <w:rsid w:val="00672BE8"/>
    <w:rsid w:val="006842B3"/>
    <w:rsid w:val="00685127"/>
    <w:rsid w:val="006950F7"/>
    <w:rsid w:val="006A6CFB"/>
    <w:rsid w:val="006A70A2"/>
    <w:rsid w:val="006B3DEE"/>
    <w:rsid w:val="006C2795"/>
    <w:rsid w:val="006C2B9A"/>
    <w:rsid w:val="006C4B6E"/>
    <w:rsid w:val="006C708A"/>
    <w:rsid w:val="006D3EDC"/>
    <w:rsid w:val="006D4937"/>
    <w:rsid w:val="006D5C3A"/>
    <w:rsid w:val="006E173F"/>
    <w:rsid w:val="006E4A35"/>
    <w:rsid w:val="006E4B16"/>
    <w:rsid w:val="006E65D9"/>
    <w:rsid w:val="00700ED1"/>
    <w:rsid w:val="00715FEB"/>
    <w:rsid w:val="007260F4"/>
    <w:rsid w:val="00732C5E"/>
    <w:rsid w:val="00734266"/>
    <w:rsid w:val="00737196"/>
    <w:rsid w:val="00737203"/>
    <w:rsid w:val="0074664B"/>
    <w:rsid w:val="00761AFE"/>
    <w:rsid w:val="007649D7"/>
    <w:rsid w:val="007675FD"/>
    <w:rsid w:val="00771D3C"/>
    <w:rsid w:val="0077291D"/>
    <w:rsid w:val="00777764"/>
    <w:rsid w:val="0078559D"/>
    <w:rsid w:val="007A0876"/>
    <w:rsid w:val="007A0E8D"/>
    <w:rsid w:val="007A5C00"/>
    <w:rsid w:val="007A66C5"/>
    <w:rsid w:val="007B301F"/>
    <w:rsid w:val="007B5A8C"/>
    <w:rsid w:val="007B63BB"/>
    <w:rsid w:val="007B7B12"/>
    <w:rsid w:val="007C06B1"/>
    <w:rsid w:val="007C6CFC"/>
    <w:rsid w:val="007C7134"/>
    <w:rsid w:val="007E49FA"/>
    <w:rsid w:val="007E5B2E"/>
    <w:rsid w:val="007F0E88"/>
    <w:rsid w:val="007F1369"/>
    <w:rsid w:val="007F3BC5"/>
    <w:rsid w:val="00803E9D"/>
    <w:rsid w:val="00806F9F"/>
    <w:rsid w:val="0081262C"/>
    <w:rsid w:val="00815543"/>
    <w:rsid w:val="00815EF0"/>
    <w:rsid w:val="008166CA"/>
    <w:rsid w:val="00817A25"/>
    <w:rsid w:val="008220E6"/>
    <w:rsid w:val="008235D3"/>
    <w:rsid w:val="0083509D"/>
    <w:rsid w:val="008367D4"/>
    <w:rsid w:val="00840D12"/>
    <w:rsid w:val="00845243"/>
    <w:rsid w:val="00845592"/>
    <w:rsid w:val="0085027F"/>
    <w:rsid w:val="00850ED8"/>
    <w:rsid w:val="00865AEA"/>
    <w:rsid w:val="00871935"/>
    <w:rsid w:val="0087314E"/>
    <w:rsid w:val="0087723A"/>
    <w:rsid w:val="00891282"/>
    <w:rsid w:val="00892909"/>
    <w:rsid w:val="008954E9"/>
    <w:rsid w:val="008C27E5"/>
    <w:rsid w:val="008C2809"/>
    <w:rsid w:val="008C48B6"/>
    <w:rsid w:val="008D19D9"/>
    <w:rsid w:val="008E69FC"/>
    <w:rsid w:val="008F2BCA"/>
    <w:rsid w:val="008F3D21"/>
    <w:rsid w:val="0090014C"/>
    <w:rsid w:val="00902309"/>
    <w:rsid w:val="0091341A"/>
    <w:rsid w:val="009233A8"/>
    <w:rsid w:val="0092680A"/>
    <w:rsid w:val="00927A25"/>
    <w:rsid w:val="00945373"/>
    <w:rsid w:val="0094573F"/>
    <w:rsid w:val="00952EF8"/>
    <w:rsid w:val="00955061"/>
    <w:rsid w:val="00971425"/>
    <w:rsid w:val="00981BE4"/>
    <w:rsid w:val="0098417F"/>
    <w:rsid w:val="009845AD"/>
    <w:rsid w:val="009924AB"/>
    <w:rsid w:val="00994063"/>
    <w:rsid w:val="009A6323"/>
    <w:rsid w:val="009B4685"/>
    <w:rsid w:val="009C25A0"/>
    <w:rsid w:val="009C2649"/>
    <w:rsid w:val="009C4BD6"/>
    <w:rsid w:val="009E6514"/>
    <w:rsid w:val="009F0A81"/>
    <w:rsid w:val="009F2828"/>
    <w:rsid w:val="00A012D7"/>
    <w:rsid w:val="00A01CFD"/>
    <w:rsid w:val="00A0356E"/>
    <w:rsid w:val="00A11D27"/>
    <w:rsid w:val="00A17DE8"/>
    <w:rsid w:val="00A22F7C"/>
    <w:rsid w:val="00A30DEB"/>
    <w:rsid w:val="00A4252A"/>
    <w:rsid w:val="00A429D4"/>
    <w:rsid w:val="00A44D9F"/>
    <w:rsid w:val="00A51D85"/>
    <w:rsid w:val="00A555B1"/>
    <w:rsid w:val="00A55AE6"/>
    <w:rsid w:val="00A5773B"/>
    <w:rsid w:val="00A616A3"/>
    <w:rsid w:val="00A62335"/>
    <w:rsid w:val="00A80280"/>
    <w:rsid w:val="00A854B2"/>
    <w:rsid w:val="00A91644"/>
    <w:rsid w:val="00A937FD"/>
    <w:rsid w:val="00A959F8"/>
    <w:rsid w:val="00A978D6"/>
    <w:rsid w:val="00AA1606"/>
    <w:rsid w:val="00AA3155"/>
    <w:rsid w:val="00AB27E0"/>
    <w:rsid w:val="00AB6A97"/>
    <w:rsid w:val="00AB7B66"/>
    <w:rsid w:val="00AD3FEF"/>
    <w:rsid w:val="00AD5B1A"/>
    <w:rsid w:val="00AD62C1"/>
    <w:rsid w:val="00AE1C5F"/>
    <w:rsid w:val="00AF2229"/>
    <w:rsid w:val="00AF66BC"/>
    <w:rsid w:val="00AF6A84"/>
    <w:rsid w:val="00AF6CB0"/>
    <w:rsid w:val="00AF6E41"/>
    <w:rsid w:val="00B05686"/>
    <w:rsid w:val="00B119FE"/>
    <w:rsid w:val="00B138AB"/>
    <w:rsid w:val="00B17B8E"/>
    <w:rsid w:val="00B17D6F"/>
    <w:rsid w:val="00B31CF0"/>
    <w:rsid w:val="00B33A8F"/>
    <w:rsid w:val="00B47517"/>
    <w:rsid w:val="00B529FF"/>
    <w:rsid w:val="00B57120"/>
    <w:rsid w:val="00B61253"/>
    <w:rsid w:val="00B64A59"/>
    <w:rsid w:val="00B709BB"/>
    <w:rsid w:val="00B817E4"/>
    <w:rsid w:val="00B827C7"/>
    <w:rsid w:val="00BA02A4"/>
    <w:rsid w:val="00BA20FA"/>
    <w:rsid w:val="00BC0955"/>
    <w:rsid w:val="00BC693D"/>
    <w:rsid w:val="00BD2A0B"/>
    <w:rsid w:val="00BD3F4F"/>
    <w:rsid w:val="00BD4A6C"/>
    <w:rsid w:val="00BF0F7C"/>
    <w:rsid w:val="00BF27D6"/>
    <w:rsid w:val="00C0007B"/>
    <w:rsid w:val="00C0405C"/>
    <w:rsid w:val="00C0414D"/>
    <w:rsid w:val="00C10B31"/>
    <w:rsid w:val="00C12058"/>
    <w:rsid w:val="00C14C89"/>
    <w:rsid w:val="00C15616"/>
    <w:rsid w:val="00C255FD"/>
    <w:rsid w:val="00C33ADB"/>
    <w:rsid w:val="00C37EC5"/>
    <w:rsid w:val="00C4504F"/>
    <w:rsid w:val="00C532A4"/>
    <w:rsid w:val="00C607BA"/>
    <w:rsid w:val="00C6657D"/>
    <w:rsid w:val="00C70879"/>
    <w:rsid w:val="00C72973"/>
    <w:rsid w:val="00C82127"/>
    <w:rsid w:val="00C82DD8"/>
    <w:rsid w:val="00C833E9"/>
    <w:rsid w:val="00C921B5"/>
    <w:rsid w:val="00C940A8"/>
    <w:rsid w:val="00C96514"/>
    <w:rsid w:val="00C973E6"/>
    <w:rsid w:val="00CA0FEE"/>
    <w:rsid w:val="00CA4BBE"/>
    <w:rsid w:val="00CB76DB"/>
    <w:rsid w:val="00CC563A"/>
    <w:rsid w:val="00CE63B1"/>
    <w:rsid w:val="00CF356C"/>
    <w:rsid w:val="00CF3664"/>
    <w:rsid w:val="00CF59D9"/>
    <w:rsid w:val="00D05A34"/>
    <w:rsid w:val="00D13267"/>
    <w:rsid w:val="00D26801"/>
    <w:rsid w:val="00D31CF6"/>
    <w:rsid w:val="00D372B6"/>
    <w:rsid w:val="00D37387"/>
    <w:rsid w:val="00D455B6"/>
    <w:rsid w:val="00D466B5"/>
    <w:rsid w:val="00D52EA1"/>
    <w:rsid w:val="00D55973"/>
    <w:rsid w:val="00D561E3"/>
    <w:rsid w:val="00D602D4"/>
    <w:rsid w:val="00D641CE"/>
    <w:rsid w:val="00D90E27"/>
    <w:rsid w:val="00D94527"/>
    <w:rsid w:val="00D95018"/>
    <w:rsid w:val="00D973D5"/>
    <w:rsid w:val="00DA0882"/>
    <w:rsid w:val="00DA093D"/>
    <w:rsid w:val="00DA6E3B"/>
    <w:rsid w:val="00DC505B"/>
    <w:rsid w:val="00DC6E67"/>
    <w:rsid w:val="00DE0E46"/>
    <w:rsid w:val="00DE6886"/>
    <w:rsid w:val="00E4709C"/>
    <w:rsid w:val="00E50A3B"/>
    <w:rsid w:val="00E559BE"/>
    <w:rsid w:val="00E73411"/>
    <w:rsid w:val="00E75A9F"/>
    <w:rsid w:val="00E761D4"/>
    <w:rsid w:val="00E779C2"/>
    <w:rsid w:val="00E83742"/>
    <w:rsid w:val="00E86690"/>
    <w:rsid w:val="00E91A24"/>
    <w:rsid w:val="00E94B72"/>
    <w:rsid w:val="00EA0873"/>
    <w:rsid w:val="00EA2407"/>
    <w:rsid w:val="00EB2DE1"/>
    <w:rsid w:val="00EB6FE5"/>
    <w:rsid w:val="00EC27D6"/>
    <w:rsid w:val="00EC2929"/>
    <w:rsid w:val="00EC6212"/>
    <w:rsid w:val="00ED2DD6"/>
    <w:rsid w:val="00ED6AF5"/>
    <w:rsid w:val="00F0083F"/>
    <w:rsid w:val="00F26632"/>
    <w:rsid w:val="00F309FC"/>
    <w:rsid w:val="00F32618"/>
    <w:rsid w:val="00F32E59"/>
    <w:rsid w:val="00F341DD"/>
    <w:rsid w:val="00F34255"/>
    <w:rsid w:val="00F500B2"/>
    <w:rsid w:val="00F63D39"/>
    <w:rsid w:val="00F75A6E"/>
    <w:rsid w:val="00F7743D"/>
    <w:rsid w:val="00F77D8B"/>
    <w:rsid w:val="00F87143"/>
    <w:rsid w:val="00F923F5"/>
    <w:rsid w:val="00F92824"/>
    <w:rsid w:val="00F93908"/>
    <w:rsid w:val="00F9450E"/>
    <w:rsid w:val="00F94D42"/>
    <w:rsid w:val="00F95C0C"/>
    <w:rsid w:val="00F96BEF"/>
    <w:rsid w:val="00FB1CA4"/>
    <w:rsid w:val="00FB7E8C"/>
    <w:rsid w:val="00FC43AB"/>
    <w:rsid w:val="00FC77B2"/>
    <w:rsid w:val="00FD5274"/>
    <w:rsid w:val="00FE2AE8"/>
    <w:rsid w:val="00FE7609"/>
    <w:rsid w:val="00FF22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6514"/>
    <w:pPr>
      <w:spacing w:line="280" w:lineRule="atLeast"/>
    </w:pPr>
    <w:rPr>
      <w:rFonts w:ascii="Trebuchet MS" w:hAnsi="Trebuchet MS"/>
      <w:sz w:val="22"/>
      <w:lang w:val="de-DE" w:eastAsia="de-DE"/>
    </w:rPr>
  </w:style>
  <w:style w:type="paragraph" w:styleId="berschrift1">
    <w:name w:val="heading 1"/>
    <w:basedOn w:val="Standard"/>
    <w:next w:val="Standard"/>
    <w:link w:val="berschrift1Zchn"/>
    <w:qFormat/>
    <w:rsid w:val="009E6514"/>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9E6514"/>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9E6514"/>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rsid w:val="009E6514"/>
    <w:rPr>
      <w:sz w:val="18"/>
    </w:rPr>
  </w:style>
  <w:style w:type="paragraph" w:styleId="Kopfzeile">
    <w:name w:val="header"/>
    <w:basedOn w:val="Standard"/>
    <w:link w:val="KopfzeileZchn"/>
    <w:rsid w:val="0081262C"/>
    <w:pPr>
      <w:tabs>
        <w:tab w:val="center" w:pos="4536"/>
        <w:tab w:val="right" w:pos="9072"/>
      </w:tabs>
    </w:pPr>
  </w:style>
  <w:style w:type="paragraph" w:styleId="Fuzeile">
    <w:name w:val="footer"/>
    <w:basedOn w:val="Standard"/>
    <w:link w:val="FuzeileZchn"/>
    <w:rsid w:val="0081262C"/>
    <w:pPr>
      <w:tabs>
        <w:tab w:val="center" w:pos="4536"/>
        <w:tab w:val="right" w:pos="9072"/>
      </w:tabs>
    </w:pPr>
  </w:style>
  <w:style w:type="character" w:styleId="Seitenzahl">
    <w:name w:val="page number"/>
    <w:basedOn w:val="Absatz-Standardschriftart"/>
    <w:rsid w:val="0081262C"/>
  </w:style>
  <w:style w:type="paragraph" w:styleId="Sprechblasentext">
    <w:name w:val="Balloon Text"/>
    <w:basedOn w:val="Standard"/>
    <w:link w:val="SprechblasentextZchn"/>
    <w:semiHidden/>
    <w:rsid w:val="00330879"/>
    <w:rPr>
      <w:rFonts w:ascii="Tahoma" w:hAnsi="Tahoma" w:cs="Tahoma"/>
      <w:sz w:val="16"/>
      <w:szCs w:val="16"/>
    </w:rPr>
  </w:style>
  <w:style w:type="character" w:styleId="Hyperlink">
    <w:name w:val="Hyperlink"/>
    <w:basedOn w:val="Absatz-Standardschriftart"/>
    <w:rsid w:val="0009402A"/>
    <w:rPr>
      <w:color w:val="0000FF"/>
      <w:u w:val="single"/>
    </w:rPr>
  </w:style>
  <w:style w:type="paragraph" w:styleId="StandardWeb">
    <w:name w:val="Normal (Web)"/>
    <w:basedOn w:val="Standard"/>
    <w:uiPriority w:val="99"/>
    <w:unhideWhenUsed/>
    <w:rsid w:val="00F26632"/>
    <w:pPr>
      <w:spacing w:before="100" w:beforeAutospacing="1" w:after="100" w:afterAutospacing="1" w:line="240" w:lineRule="auto"/>
    </w:pPr>
    <w:rPr>
      <w:rFonts w:ascii="Times New Roman" w:eastAsia="Calibri" w:hAnsi="Times New Roman"/>
      <w:sz w:val="24"/>
      <w:szCs w:val="24"/>
      <w:lang w:val="de-AT" w:eastAsia="de-AT"/>
    </w:rPr>
  </w:style>
  <w:style w:type="character" w:styleId="Hervorhebung">
    <w:name w:val="Emphasis"/>
    <w:basedOn w:val="Absatz-Standardschriftart"/>
    <w:uiPriority w:val="20"/>
    <w:qFormat/>
    <w:rsid w:val="00F26632"/>
    <w:rPr>
      <w:i/>
      <w:iCs/>
    </w:rPr>
  </w:style>
  <w:style w:type="paragraph" w:styleId="Listenabsatz">
    <w:name w:val="List Paragraph"/>
    <w:basedOn w:val="Standard"/>
    <w:uiPriority w:val="34"/>
    <w:qFormat/>
    <w:rsid w:val="003F04D5"/>
    <w:pPr>
      <w:ind w:left="720"/>
      <w:contextualSpacing/>
    </w:pPr>
  </w:style>
  <w:style w:type="paragraph" w:styleId="NurText">
    <w:name w:val="Plain Text"/>
    <w:basedOn w:val="Standard"/>
    <w:link w:val="NurTextZchn"/>
    <w:uiPriority w:val="99"/>
    <w:unhideWhenUsed/>
    <w:rsid w:val="007A0876"/>
    <w:pPr>
      <w:spacing w:line="240" w:lineRule="auto"/>
    </w:pPr>
    <w:rPr>
      <w:rFonts w:ascii="Consolas" w:eastAsiaTheme="minorHAnsi" w:hAnsi="Consolas" w:cstheme="minorBidi"/>
      <w:sz w:val="21"/>
      <w:szCs w:val="21"/>
      <w:lang w:val="de-AT" w:eastAsia="en-US"/>
    </w:rPr>
  </w:style>
  <w:style w:type="character" w:customStyle="1" w:styleId="NurTextZchn">
    <w:name w:val="Nur Text Zchn"/>
    <w:basedOn w:val="Absatz-Standardschriftart"/>
    <w:link w:val="NurText"/>
    <w:uiPriority w:val="99"/>
    <w:rsid w:val="007A0876"/>
    <w:rPr>
      <w:rFonts w:ascii="Consolas" w:eastAsiaTheme="minorHAnsi" w:hAnsi="Consolas" w:cstheme="minorBidi"/>
      <w:sz w:val="21"/>
      <w:szCs w:val="21"/>
      <w:lang w:eastAsia="en-US"/>
    </w:rPr>
  </w:style>
  <w:style w:type="character" w:customStyle="1" w:styleId="991gldsymbol">
    <w:name w:val="991gldsymbol"/>
    <w:basedOn w:val="Absatz-Standardschriftart"/>
    <w:rsid w:val="00255015"/>
  </w:style>
  <w:style w:type="character" w:styleId="Fett">
    <w:name w:val="Strong"/>
    <w:basedOn w:val="Absatz-Standardschriftart"/>
    <w:uiPriority w:val="22"/>
    <w:qFormat/>
    <w:rsid w:val="00255015"/>
    <w:rPr>
      <w:b/>
      <w:bCs/>
    </w:rPr>
  </w:style>
  <w:style w:type="character" w:customStyle="1" w:styleId="berschrift1Zchn">
    <w:name w:val="Überschrift 1 Zchn"/>
    <w:basedOn w:val="Absatz-Standardschriftart"/>
    <w:link w:val="berschrift1"/>
    <w:rsid w:val="002C1CDC"/>
    <w:rPr>
      <w:rFonts w:ascii="Optima" w:hAnsi="Optima"/>
      <w:b/>
      <w:caps/>
      <w:kern w:val="28"/>
      <w:sz w:val="48"/>
      <w:lang w:val="de-DE" w:eastAsia="de-DE"/>
    </w:rPr>
  </w:style>
  <w:style w:type="character" w:customStyle="1" w:styleId="berschrift2Zchn">
    <w:name w:val="Überschrift 2 Zchn"/>
    <w:basedOn w:val="Absatz-Standardschriftart"/>
    <w:link w:val="berschrift2"/>
    <w:rsid w:val="002C1CDC"/>
    <w:rPr>
      <w:rFonts w:ascii="Optima" w:hAnsi="Optima"/>
      <w:b/>
      <w:caps/>
      <w:sz w:val="32"/>
      <w:lang w:val="de-DE" w:eastAsia="de-DE"/>
    </w:rPr>
  </w:style>
  <w:style w:type="character" w:customStyle="1" w:styleId="berschrift3Zchn">
    <w:name w:val="Überschrift 3 Zchn"/>
    <w:basedOn w:val="Absatz-Standardschriftart"/>
    <w:link w:val="berschrift3"/>
    <w:rsid w:val="002C1CDC"/>
    <w:rPr>
      <w:rFonts w:ascii="Optima" w:hAnsi="Optima"/>
      <w:b/>
      <w:sz w:val="28"/>
      <w:lang w:val="de-DE" w:eastAsia="de-DE"/>
    </w:rPr>
  </w:style>
  <w:style w:type="character" w:customStyle="1" w:styleId="FunotentextZchn">
    <w:name w:val="Fußnotentext Zchn"/>
    <w:basedOn w:val="Absatz-Standardschriftart"/>
    <w:link w:val="Funotentext"/>
    <w:uiPriority w:val="99"/>
    <w:semiHidden/>
    <w:rsid w:val="002C1CDC"/>
    <w:rPr>
      <w:rFonts w:ascii="Trebuchet MS" w:hAnsi="Trebuchet MS"/>
      <w:sz w:val="18"/>
      <w:lang w:val="de-DE" w:eastAsia="de-DE"/>
    </w:rPr>
  </w:style>
  <w:style w:type="character" w:customStyle="1" w:styleId="KopfzeileZchn">
    <w:name w:val="Kopfzeile Zchn"/>
    <w:basedOn w:val="Absatz-Standardschriftart"/>
    <w:link w:val="Kopfzeile"/>
    <w:rsid w:val="002C1CDC"/>
    <w:rPr>
      <w:rFonts w:ascii="Trebuchet MS" w:hAnsi="Trebuchet MS"/>
      <w:sz w:val="22"/>
      <w:lang w:val="de-DE" w:eastAsia="de-DE"/>
    </w:rPr>
  </w:style>
  <w:style w:type="character" w:customStyle="1" w:styleId="FuzeileZchn">
    <w:name w:val="Fußzeile Zchn"/>
    <w:basedOn w:val="Absatz-Standardschriftart"/>
    <w:link w:val="Fuzeile"/>
    <w:rsid w:val="002C1CDC"/>
    <w:rPr>
      <w:rFonts w:ascii="Trebuchet MS" w:hAnsi="Trebuchet MS"/>
      <w:sz w:val="22"/>
      <w:lang w:val="de-DE" w:eastAsia="de-DE"/>
    </w:rPr>
  </w:style>
  <w:style w:type="character" w:customStyle="1" w:styleId="SprechblasentextZchn">
    <w:name w:val="Sprechblasentext Zchn"/>
    <w:basedOn w:val="Absatz-Standardschriftart"/>
    <w:link w:val="Sprechblasentext"/>
    <w:semiHidden/>
    <w:rsid w:val="002C1CDC"/>
    <w:rPr>
      <w:rFonts w:ascii="Tahoma" w:hAnsi="Tahoma" w:cs="Tahoma"/>
      <w:sz w:val="16"/>
      <w:szCs w:val="16"/>
      <w:lang w:val="de-DE" w:eastAsia="de-DE"/>
    </w:rPr>
  </w:style>
  <w:style w:type="character" w:customStyle="1" w:styleId="991GldSymbol0">
    <w:name w:val="991_GldSymbol"/>
    <w:uiPriority w:val="99"/>
    <w:rsid w:val="002C1CDC"/>
    <w:rPr>
      <w:b/>
      <w:color w:val="000000"/>
    </w:rPr>
  </w:style>
  <w:style w:type="paragraph" w:customStyle="1" w:styleId="VIE2L2">
    <w:name w:val="VIE2_L2"/>
    <w:basedOn w:val="Standard"/>
    <w:rsid w:val="002C1CDC"/>
    <w:pPr>
      <w:numPr>
        <w:ilvl w:val="1"/>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1">
    <w:name w:val="VIE2_L1"/>
    <w:basedOn w:val="Standard"/>
    <w:rsid w:val="002C1CDC"/>
    <w:pPr>
      <w:keepNext/>
      <w:numPr>
        <w:numId w:val="5"/>
      </w:numPr>
      <w:spacing w:before="360" w:after="240" w:line="320" w:lineRule="atLeast"/>
      <w:jc w:val="both"/>
    </w:pPr>
    <w:rPr>
      <w:rFonts w:ascii="Times New Roman" w:eastAsiaTheme="minorHAnsi" w:hAnsi="Times New Roman"/>
      <w:b/>
      <w:bCs/>
      <w:sz w:val="24"/>
      <w:szCs w:val="24"/>
      <w:lang w:val="de-AT" w:eastAsia="de-AT"/>
    </w:rPr>
  </w:style>
  <w:style w:type="paragraph" w:customStyle="1" w:styleId="VIE2L3">
    <w:name w:val="VIE2_L3"/>
    <w:basedOn w:val="Standard"/>
    <w:rsid w:val="002C1CDC"/>
    <w:pPr>
      <w:numPr>
        <w:ilvl w:val="2"/>
        <w:numId w:val="5"/>
      </w:numPr>
      <w:spacing w:after="240" w:line="320" w:lineRule="atLeast"/>
      <w:jc w:val="both"/>
    </w:pPr>
    <w:rPr>
      <w:rFonts w:ascii="Times New Roman" w:eastAsiaTheme="minorHAnsi" w:hAnsi="Times New Roman"/>
      <w:sz w:val="24"/>
      <w:szCs w:val="24"/>
      <w:lang w:val="de-AT" w:eastAsia="de-AT"/>
    </w:rPr>
  </w:style>
  <w:style w:type="paragraph" w:customStyle="1" w:styleId="VIE2L4">
    <w:name w:val="VIE2_L4"/>
    <w:basedOn w:val="Standard"/>
    <w:rsid w:val="002C1CDC"/>
    <w:pPr>
      <w:numPr>
        <w:ilvl w:val="3"/>
        <w:numId w:val="5"/>
      </w:numPr>
      <w:spacing w:after="240" w:line="320" w:lineRule="atLeast"/>
      <w:jc w:val="both"/>
    </w:pPr>
    <w:rPr>
      <w:rFonts w:ascii="Times New Roman" w:eastAsiaTheme="minorHAnsi" w:hAnsi="Times New Roman"/>
      <w:sz w:val="24"/>
      <w:szCs w:val="24"/>
      <w:lang w:val="de-AT" w:eastAsia="de-AT"/>
    </w:rPr>
  </w:style>
  <w:style w:type="paragraph" w:customStyle="1" w:styleId="Default">
    <w:name w:val="Default"/>
    <w:rsid w:val="002C1CDC"/>
    <w:pPr>
      <w:autoSpaceDE w:val="0"/>
      <w:autoSpaceDN w:val="0"/>
      <w:adjustRightInd w:val="0"/>
    </w:pPr>
    <w:rPr>
      <w:rFonts w:ascii="Arial" w:hAnsi="Arial" w:cs="Arial"/>
      <w:color w:val="000000"/>
      <w:sz w:val="24"/>
      <w:szCs w:val="24"/>
    </w:rPr>
  </w:style>
  <w:style w:type="character" w:styleId="Funotenzeichen">
    <w:name w:val="footnote reference"/>
    <w:basedOn w:val="Absatz-Standardschriftart"/>
    <w:uiPriority w:val="99"/>
    <w:unhideWhenUsed/>
    <w:rsid w:val="002C1CDC"/>
    <w:rPr>
      <w:vertAlign w:val="superscript"/>
    </w:rPr>
  </w:style>
  <w:style w:type="character" w:customStyle="1" w:styleId="51AbsZchn">
    <w:name w:val="51_Abs Zchn"/>
    <w:basedOn w:val="Absatz-Standardschriftart"/>
    <w:link w:val="51Abs"/>
    <w:locked/>
    <w:rsid w:val="002C1CDC"/>
    <w:rPr>
      <w:color w:val="000000"/>
      <w:lang w:eastAsia="de-DE"/>
    </w:rPr>
  </w:style>
  <w:style w:type="paragraph" w:customStyle="1" w:styleId="51Abs">
    <w:name w:val="51_Abs"/>
    <w:basedOn w:val="Standard"/>
    <w:link w:val="51AbsZchn"/>
    <w:rsid w:val="002C1CDC"/>
    <w:pPr>
      <w:snapToGrid w:val="0"/>
      <w:spacing w:before="80" w:line="220" w:lineRule="exact"/>
      <w:ind w:firstLine="397"/>
      <w:jc w:val="both"/>
    </w:pPr>
    <w:rPr>
      <w:rFonts w:ascii="Times New Roman" w:hAnsi="Times New Roman"/>
      <w:color w:val="000000"/>
      <w:sz w:val="20"/>
      <w:lang w:val="de-AT"/>
    </w:rPr>
  </w:style>
  <w:style w:type="paragraph" w:customStyle="1" w:styleId="21NovAo1">
    <w:name w:val="21_NovAo1"/>
    <w:basedOn w:val="Standard"/>
    <w:rsid w:val="002C1CDC"/>
    <w:pPr>
      <w:keepNext/>
      <w:snapToGrid w:val="0"/>
      <w:spacing w:before="160" w:line="220" w:lineRule="exact"/>
      <w:jc w:val="both"/>
    </w:pPr>
    <w:rPr>
      <w:rFonts w:ascii="Times New Roman" w:eastAsiaTheme="minorHAnsi" w:hAnsi="Times New Roman"/>
      <w:i/>
      <w:iCs/>
      <w:color w:val="000000"/>
      <w:sz w:val="20"/>
      <w:lang w:val="de-AT"/>
    </w:rPr>
  </w:style>
  <w:style w:type="paragraph" w:customStyle="1" w:styleId="53Literae1">
    <w:name w:val="53_Litera_e1"/>
    <w:basedOn w:val="Standard"/>
    <w:rsid w:val="002C1CDC"/>
    <w:pPr>
      <w:snapToGrid w:val="0"/>
      <w:spacing w:before="40" w:line="220" w:lineRule="exact"/>
      <w:ind w:left="680" w:hanging="680"/>
      <w:jc w:val="both"/>
    </w:pPr>
    <w:rPr>
      <w:rFonts w:ascii="Times New Roman" w:eastAsiaTheme="minorHAnsi" w:hAnsi="Times New Roman"/>
      <w:color w:val="000000"/>
      <w:sz w:val="20"/>
      <w:lang w:val="de-AT"/>
    </w:rPr>
  </w:style>
  <w:style w:type="character" w:customStyle="1" w:styleId="52Ziffere1Zchn">
    <w:name w:val="52_Ziffer_e1 Zchn"/>
    <w:link w:val="52Ziffere1"/>
    <w:uiPriority w:val="99"/>
    <w:locked/>
    <w:rsid w:val="0092680A"/>
    <w:rPr>
      <w:color w:val="000000"/>
      <w:lang w:val="de-DE" w:eastAsia="de-DE"/>
    </w:rPr>
  </w:style>
  <w:style w:type="paragraph" w:customStyle="1" w:styleId="52Ziffere1">
    <w:name w:val="52_Ziffer_e1"/>
    <w:basedOn w:val="Standard"/>
    <w:link w:val="52Ziffere1Zchn"/>
    <w:uiPriority w:val="99"/>
    <w:rsid w:val="0092680A"/>
    <w:pPr>
      <w:tabs>
        <w:tab w:val="right" w:pos="624"/>
        <w:tab w:val="left" w:pos="680"/>
      </w:tabs>
      <w:spacing w:before="40" w:line="220" w:lineRule="exact"/>
      <w:ind w:left="680" w:hanging="680"/>
      <w:jc w:val="both"/>
    </w:pPr>
    <w:rPr>
      <w:rFonts w:ascii="Times New Roman" w:hAnsi="Times New Roman"/>
      <w:color w:val="000000"/>
      <w:sz w:val="20"/>
    </w:rPr>
  </w:style>
  <w:style w:type="table" w:styleId="Tabellenraster">
    <w:name w:val="Table Grid"/>
    <w:basedOn w:val="NormaleTabelle"/>
    <w:rsid w:val="00145075"/>
    <w:rPr>
      <w:rFonts w:asciiTheme="minorHAnsi" w:eastAsiaTheme="minorHAnsi" w:hAnsiTheme="minorHAnsi" w:cstheme="minorBidi"/>
      <w:sz w:val="22"/>
      <w:szCs w:val="22"/>
      <w:lang w:val="de-DE"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2952">
      <w:bodyDiv w:val="1"/>
      <w:marLeft w:val="0"/>
      <w:marRight w:val="0"/>
      <w:marTop w:val="0"/>
      <w:marBottom w:val="0"/>
      <w:divBdr>
        <w:top w:val="none" w:sz="0" w:space="0" w:color="auto"/>
        <w:left w:val="none" w:sz="0" w:space="0" w:color="auto"/>
        <w:bottom w:val="none" w:sz="0" w:space="0" w:color="auto"/>
        <w:right w:val="none" w:sz="0" w:space="0" w:color="auto"/>
      </w:divBdr>
    </w:div>
    <w:div w:id="37320598">
      <w:bodyDiv w:val="1"/>
      <w:marLeft w:val="0"/>
      <w:marRight w:val="0"/>
      <w:marTop w:val="0"/>
      <w:marBottom w:val="0"/>
      <w:divBdr>
        <w:top w:val="none" w:sz="0" w:space="0" w:color="auto"/>
        <w:left w:val="none" w:sz="0" w:space="0" w:color="auto"/>
        <w:bottom w:val="none" w:sz="0" w:space="0" w:color="auto"/>
        <w:right w:val="none" w:sz="0" w:space="0" w:color="auto"/>
      </w:divBdr>
    </w:div>
    <w:div w:id="49966655">
      <w:bodyDiv w:val="1"/>
      <w:marLeft w:val="0"/>
      <w:marRight w:val="0"/>
      <w:marTop w:val="0"/>
      <w:marBottom w:val="0"/>
      <w:divBdr>
        <w:top w:val="none" w:sz="0" w:space="0" w:color="auto"/>
        <w:left w:val="none" w:sz="0" w:space="0" w:color="auto"/>
        <w:bottom w:val="none" w:sz="0" w:space="0" w:color="auto"/>
        <w:right w:val="none" w:sz="0" w:space="0" w:color="auto"/>
      </w:divBdr>
    </w:div>
    <w:div w:id="91752816">
      <w:bodyDiv w:val="1"/>
      <w:marLeft w:val="0"/>
      <w:marRight w:val="0"/>
      <w:marTop w:val="0"/>
      <w:marBottom w:val="0"/>
      <w:divBdr>
        <w:top w:val="none" w:sz="0" w:space="0" w:color="auto"/>
        <w:left w:val="none" w:sz="0" w:space="0" w:color="auto"/>
        <w:bottom w:val="none" w:sz="0" w:space="0" w:color="auto"/>
        <w:right w:val="none" w:sz="0" w:space="0" w:color="auto"/>
      </w:divBdr>
    </w:div>
    <w:div w:id="93942496">
      <w:bodyDiv w:val="1"/>
      <w:marLeft w:val="0"/>
      <w:marRight w:val="0"/>
      <w:marTop w:val="0"/>
      <w:marBottom w:val="0"/>
      <w:divBdr>
        <w:top w:val="none" w:sz="0" w:space="0" w:color="auto"/>
        <w:left w:val="none" w:sz="0" w:space="0" w:color="auto"/>
        <w:bottom w:val="none" w:sz="0" w:space="0" w:color="auto"/>
        <w:right w:val="none" w:sz="0" w:space="0" w:color="auto"/>
      </w:divBdr>
    </w:div>
    <w:div w:id="119153639">
      <w:bodyDiv w:val="1"/>
      <w:marLeft w:val="0"/>
      <w:marRight w:val="0"/>
      <w:marTop w:val="0"/>
      <w:marBottom w:val="0"/>
      <w:divBdr>
        <w:top w:val="none" w:sz="0" w:space="0" w:color="auto"/>
        <w:left w:val="none" w:sz="0" w:space="0" w:color="auto"/>
        <w:bottom w:val="none" w:sz="0" w:space="0" w:color="auto"/>
        <w:right w:val="none" w:sz="0" w:space="0" w:color="auto"/>
      </w:divBdr>
    </w:div>
    <w:div w:id="121854178">
      <w:bodyDiv w:val="1"/>
      <w:marLeft w:val="0"/>
      <w:marRight w:val="0"/>
      <w:marTop w:val="0"/>
      <w:marBottom w:val="0"/>
      <w:divBdr>
        <w:top w:val="none" w:sz="0" w:space="0" w:color="auto"/>
        <w:left w:val="none" w:sz="0" w:space="0" w:color="auto"/>
        <w:bottom w:val="none" w:sz="0" w:space="0" w:color="auto"/>
        <w:right w:val="none" w:sz="0" w:space="0" w:color="auto"/>
      </w:divBdr>
    </w:div>
    <w:div w:id="181238163">
      <w:bodyDiv w:val="1"/>
      <w:marLeft w:val="0"/>
      <w:marRight w:val="0"/>
      <w:marTop w:val="0"/>
      <w:marBottom w:val="0"/>
      <w:divBdr>
        <w:top w:val="none" w:sz="0" w:space="0" w:color="auto"/>
        <w:left w:val="none" w:sz="0" w:space="0" w:color="auto"/>
        <w:bottom w:val="none" w:sz="0" w:space="0" w:color="auto"/>
        <w:right w:val="none" w:sz="0" w:space="0" w:color="auto"/>
      </w:divBdr>
    </w:div>
    <w:div w:id="189151992">
      <w:bodyDiv w:val="1"/>
      <w:marLeft w:val="0"/>
      <w:marRight w:val="0"/>
      <w:marTop w:val="0"/>
      <w:marBottom w:val="0"/>
      <w:divBdr>
        <w:top w:val="none" w:sz="0" w:space="0" w:color="auto"/>
        <w:left w:val="none" w:sz="0" w:space="0" w:color="auto"/>
        <w:bottom w:val="none" w:sz="0" w:space="0" w:color="auto"/>
        <w:right w:val="none" w:sz="0" w:space="0" w:color="auto"/>
      </w:divBdr>
    </w:div>
    <w:div w:id="225843884">
      <w:bodyDiv w:val="1"/>
      <w:marLeft w:val="0"/>
      <w:marRight w:val="0"/>
      <w:marTop w:val="0"/>
      <w:marBottom w:val="0"/>
      <w:divBdr>
        <w:top w:val="none" w:sz="0" w:space="0" w:color="auto"/>
        <w:left w:val="none" w:sz="0" w:space="0" w:color="auto"/>
        <w:bottom w:val="none" w:sz="0" w:space="0" w:color="auto"/>
        <w:right w:val="none" w:sz="0" w:space="0" w:color="auto"/>
      </w:divBdr>
    </w:div>
    <w:div w:id="226305528">
      <w:bodyDiv w:val="1"/>
      <w:marLeft w:val="0"/>
      <w:marRight w:val="0"/>
      <w:marTop w:val="0"/>
      <w:marBottom w:val="0"/>
      <w:divBdr>
        <w:top w:val="none" w:sz="0" w:space="0" w:color="auto"/>
        <w:left w:val="none" w:sz="0" w:space="0" w:color="auto"/>
        <w:bottom w:val="none" w:sz="0" w:space="0" w:color="auto"/>
        <w:right w:val="none" w:sz="0" w:space="0" w:color="auto"/>
      </w:divBdr>
    </w:div>
    <w:div w:id="275799535">
      <w:bodyDiv w:val="1"/>
      <w:marLeft w:val="0"/>
      <w:marRight w:val="0"/>
      <w:marTop w:val="0"/>
      <w:marBottom w:val="0"/>
      <w:divBdr>
        <w:top w:val="none" w:sz="0" w:space="0" w:color="auto"/>
        <w:left w:val="none" w:sz="0" w:space="0" w:color="auto"/>
        <w:bottom w:val="none" w:sz="0" w:space="0" w:color="auto"/>
        <w:right w:val="none" w:sz="0" w:space="0" w:color="auto"/>
      </w:divBdr>
    </w:div>
    <w:div w:id="287049058">
      <w:bodyDiv w:val="1"/>
      <w:marLeft w:val="0"/>
      <w:marRight w:val="0"/>
      <w:marTop w:val="0"/>
      <w:marBottom w:val="0"/>
      <w:divBdr>
        <w:top w:val="none" w:sz="0" w:space="0" w:color="auto"/>
        <w:left w:val="none" w:sz="0" w:space="0" w:color="auto"/>
        <w:bottom w:val="none" w:sz="0" w:space="0" w:color="auto"/>
        <w:right w:val="none" w:sz="0" w:space="0" w:color="auto"/>
      </w:divBdr>
    </w:div>
    <w:div w:id="288051687">
      <w:bodyDiv w:val="1"/>
      <w:marLeft w:val="0"/>
      <w:marRight w:val="0"/>
      <w:marTop w:val="0"/>
      <w:marBottom w:val="0"/>
      <w:divBdr>
        <w:top w:val="none" w:sz="0" w:space="0" w:color="auto"/>
        <w:left w:val="none" w:sz="0" w:space="0" w:color="auto"/>
        <w:bottom w:val="none" w:sz="0" w:space="0" w:color="auto"/>
        <w:right w:val="none" w:sz="0" w:space="0" w:color="auto"/>
      </w:divBdr>
    </w:div>
    <w:div w:id="295257968">
      <w:bodyDiv w:val="1"/>
      <w:marLeft w:val="0"/>
      <w:marRight w:val="0"/>
      <w:marTop w:val="0"/>
      <w:marBottom w:val="0"/>
      <w:divBdr>
        <w:top w:val="none" w:sz="0" w:space="0" w:color="auto"/>
        <w:left w:val="none" w:sz="0" w:space="0" w:color="auto"/>
        <w:bottom w:val="none" w:sz="0" w:space="0" w:color="auto"/>
        <w:right w:val="none" w:sz="0" w:space="0" w:color="auto"/>
      </w:divBdr>
    </w:div>
    <w:div w:id="353002061">
      <w:bodyDiv w:val="1"/>
      <w:marLeft w:val="0"/>
      <w:marRight w:val="0"/>
      <w:marTop w:val="0"/>
      <w:marBottom w:val="0"/>
      <w:divBdr>
        <w:top w:val="none" w:sz="0" w:space="0" w:color="auto"/>
        <w:left w:val="none" w:sz="0" w:space="0" w:color="auto"/>
        <w:bottom w:val="none" w:sz="0" w:space="0" w:color="auto"/>
        <w:right w:val="none" w:sz="0" w:space="0" w:color="auto"/>
      </w:divBdr>
    </w:div>
    <w:div w:id="361828135">
      <w:bodyDiv w:val="1"/>
      <w:marLeft w:val="0"/>
      <w:marRight w:val="0"/>
      <w:marTop w:val="0"/>
      <w:marBottom w:val="0"/>
      <w:divBdr>
        <w:top w:val="none" w:sz="0" w:space="0" w:color="auto"/>
        <w:left w:val="none" w:sz="0" w:space="0" w:color="auto"/>
        <w:bottom w:val="none" w:sz="0" w:space="0" w:color="auto"/>
        <w:right w:val="none" w:sz="0" w:space="0" w:color="auto"/>
      </w:divBdr>
    </w:div>
    <w:div w:id="380978603">
      <w:bodyDiv w:val="1"/>
      <w:marLeft w:val="0"/>
      <w:marRight w:val="0"/>
      <w:marTop w:val="0"/>
      <w:marBottom w:val="0"/>
      <w:divBdr>
        <w:top w:val="none" w:sz="0" w:space="0" w:color="auto"/>
        <w:left w:val="none" w:sz="0" w:space="0" w:color="auto"/>
        <w:bottom w:val="none" w:sz="0" w:space="0" w:color="auto"/>
        <w:right w:val="none" w:sz="0" w:space="0" w:color="auto"/>
      </w:divBdr>
    </w:div>
    <w:div w:id="389234778">
      <w:bodyDiv w:val="1"/>
      <w:marLeft w:val="0"/>
      <w:marRight w:val="0"/>
      <w:marTop w:val="0"/>
      <w:marBottom w:val="0"/>
      <w:divBdr>
        <w:top w:val="none" w:sz="0" w:space="0" w:color="auto"/>
        <w:left w:val="none" w:sz="0" w:space="0" w:color="auto"/>
        <w:bottom w:val="none" w:sz="0" w:space="0" w:color="auto"/>
        <w:right w:val="none" w:sz="0" w:space="0" w:color="auto"/>
      </w:divBdr>
    </w:div>
    <w:div w:id="464391801">
      <w:bodyDiv w:val="1"/>
      <w:marLeft w:val="0"/>
      <w:marRight w:val="0"/>
      <w:marTop w:val="0"/>
      <w:marBottom w:val="0"/>
      <w:divBdr>
        <w:top w:val="none" w:sz="0" w:space="0" w:color="auto"/>
        <w:left w:val="none" w:sz="0" w:space="0" w:color="auto"/>
        <w:bottom w:val="none" w:sz="0" w:space="0" w:color="auto"/>
        <w:right w:val="none" w:sz="0" w:space="0" w:color="auto"/>
      </w:divBdr>
    </w:div>
    <w:div w:id="501043414">
      <w:bodyDiv w:val="1"/>
      <w:marLeft w:val="0"/>
      <w:marRight w:val="0"/>
      <w:marTop w:val="0"/>
      <w:marBottom w:val="0"/>
      <w:divBdr>
        <w:top w:val="none" w:sz="0" w:space="0" w:color="auto"/>
        <w:left w:val="none" w:sz="0" w:space="0" w:color="auto"/>
        <w:bottom w:val="none" w:sz="0" w:space="0" w:color="auto"/>
        <w:right w:val="none" w:sz="0" w:space="0" w:color="auto"/>
      </w:divBdr>
    </w:div>
    <w:div w:id="508910533">
      <w:bodyDiv w:val="1"/>
      <w:marLeft w:val="0"/>
      <w:marRight w:val="0"/>
      <w:marTop w:val="0"/>
      <w:marBottom w:val="0"/>
      <w:divBdr>
        <w:top w:val="none" w:sz="0" w:space="0" w:color="auto"/>
        <w:left w:val="none" w:sz="0" w:space="0" w:color="auto"/>
        <w:bottom w:val="none" w:sz="0" w:space="0" w:color="auto"/>
        <w:right w:val="none" w:sz="0" w:space="0" w:color="auto"/>
      </w:divBdr>
    </w:div>
    <w:div w:id="611789156">
      <w:bodyDiv w:val="1"/>
      <w:marLeft w:val="0"/>
      <w:marRight w:val="0"/>
      <w:marTop w:val="0"/>
      <w:marBottom w:val="0"/>
      <w:divBdr>
        <w:top w:val="none" w:sz="0" w:space="0" w:color="auto"/>
        <w:left w:val="none" w:sz="0" w:space="0" w:color="auto"/>
        <w:bottom w:val="none" w:sz="0" w:space="0" w:color="auto"/>
        <w:right w:val="none" w:sz="0" w:space="0" w:color="auto"/>
      </w:divBdr>
    </w:div>
    <w:div w:id="642974984">
      <w:bodyDiv w:val="1"/>
      <w:marLeft w:val="0"/>
      <w:marRight w:val="0"/>
      <w:marTop w:val="0"/>
      <w:marBottom w:val="0"/>
      <w:divBdr>
        <w:top w:val="none" w:sz="0" w:space="0" w:color="auto"/>
        <w:left w:val="none" w:sz="0" w:space="0" w:color="auto"/>
        <w:bottom w:val="none" w:sz="0" w:space="0" w:color="auto"/>
        <w:right w:val="none" w:sz="0" w:space="0" w:color="auto"/>
      </w:divBdr>
    </w:div>
    <w:div w:id="653483965">
      <w:bodyDiv w:val="1"/>
      <w:marLeft w:val="0"/>
      <w:marRight w:val="0"/>
      <w:marTop w:val="0"/>
      <w:marBottom w:val="0"/>
      <w:divBdr>
        <w:top w:val="none" w:sz="0" w:space="0" w:color="auto"/>
        <w:left w:val="none" w:sz="0" w:space="0" w:color="auto"/>
        <w:bottom w:val="none" w:sz="0" w:space="0" w:color="auto"/>
        <w:right w:val="none" w:sz="0" w:space="0" w:color="auto"/>
      </w:divBdr>
    </w:div>
    <w:div w:id="658775695">
      <w:bodyDiv w:val="1"/>
      <w:marLeft w:val="0"/>
      <w:marRight w:val="0"/>
      <w:marTop w:val="0"/>
      <w:marBottom w:val="0"/>
      <w:divBdr>
        <w:top w:val="none" w:sz="0" w:space="0" w:color="auto"/>
        <w:left w:val="none" w:sz="0" w:space="0" w:color="auto"/>
        <w:bottom w:val="none" w:sz="0" w:space="0" w:color="auto"/>
        <w:right w:val="none" w:sz="0" w:space="0" w:color="auto"/>
      </w:divBdr>
    </w:div>
    <w:div w:id="665982812">
      <w:bodyDiv w:val="1"/>
      <w:marLeft w:val="0"/>
      <w:marRight w:val="0"/>
      <w:marTop w:val="0"/>
      <w:marBottom w:val="0"/>
      <w:divBdr>
        <w:top w:val="none" w:sz="0" w:space="0" w:color="auto"/>
        <w:left w:val="none" w:sz="0" w:space="0" w:color="auto"/>
        <w:bottom w:val="none" w:sz="0" w:space="0" w:color="auto"/>
        <w:right w:val="none" w:sz="0" w:space="0" w:color="auto"/>
      </w:divBdr>
    </w:div>
    <w:div w:id="672538048">
      <w:bodyDiv w:val="1"/>
      <w:marLeft w:val="0"/>
      <w:marRight w:val="0"/>
      <w:marTop w:val="0"/>
      <w:marBottom w:val="0"/>
      <w:divBdr>
        <w:top w:val="none" w:sz="0" w:space="0" w:color="auto"/>
        <w:left w:val="none" w:sz="0" w:space="0" w:color="auto"/>
        <w:bottom w:val="none" w:sz="0" w:space="0" w:color="auto"/>
        <w:right w:val="none" w:sz="0" w:space="0" w:color="auto"/>
      </w:divBdr>
    </w:div>
    <w:div w:id="691806594">
      <w:bodyDiv w:val="1"/>
      <w:marLeft w:val="0"/>
      <w:marRight w:val="0"/>
      <w:marTop w:val="0"/>
      <w:marBottom w:val="0"/>
      <w:divBdr>
        <w:top w:val="none" w:sz="0" w:space="0" w:color="auto"/>
        <w:left w:val="none" w:sz="0" w:space="0" w:color="auto"/>
        <w:bottom w:val="none" w:sz="0" w:space="0" w:color="auto"/>
        <w:right w:val="none" w:sz="0" w:space="0" w:color="auto"/>
      </w:divBdr>
    </w:div>
    <w:div w:id="715545184">
      <w:bodyDiv w:val="1"/>
      <w:marLeft w:val="0"/>
      <w:marRight w:val="0"/>
      <w:marTop w:val="0"/>
      <w:marBottom w:val="0"/>
      <w:divBdr>
        <w:top w:val="none" w:sz="0" w:space="0" w:color="auto"/>
        <w:left w:val="none" w:sz="0" w:space="0" w:color="auto"/>
        <w:bottom w:val="none" w:sz="0" w:space="0" w:color="auto"/>
        <w:right w:val="none" w:sz="0" w:space="0" w:color="auto"/>
      </w:divBdr>
    </w:div>
    <w:div w:id="736170313">
      <w:bodyDiv w:val="1"/>
      <w:marLeft w:val="0"/>
      <w:marRight w:val="0"/>
      <w:marTop w:val="0"/>
      <w:marBottom w:val="0"/>
      <w:divBdr>
        <w:top w:val="none" w:sz="0" w:space="0" w:color="auto"/>
        <w:left w:val="none" w:sz="0" w:space="0" w:color="auto"/>
        <w:bottom w:val="none" w:sz="0" w:space="0" w:color="auto"/>
        <w:right w:val="none" w:sz="0" w:space="0" w:color="auto"/>
      </w:divBdr>
    </w:div>
    <w:div w:id="748431185">
      <w:bodyDiv w:val="1"/>
      <w:marLeft w:val="0"/>
      <w:marRight w:val="0"/>
      <w:marTop w:val="0"/>
      <w:marBottom w:val="0"/>
      <w:divBdr>
        <w:top w:val="none" w:sz="0" w:space="0" w:color="auto"/>
        <w:left w:val="none" w:sz="0" w:space="0" w:color="auto"/>
        <w:bottom w:val="none" w:sz="0" w:space="0" w:color="auto"/>
        <w:right w:val="none" w:sz="0" w:space="0" w:color="auto"/>
      </w:divBdr>
    </w:div>
    <w:div w:id="769787156">
      <w:bodyDiv w:val="1"/>
      <w:marLeft w:val="0"/>
      <w:marRight w:val="0"/>
      <w:marTop w:val="0"/>
      <w:marBottom w:val="0"/>
      <w:divBdr>
        <w:top w:val="none" w:sz="0" w:space="0" w:color="auto"/>
        <w:left w:val="none" w:sz="0" w:space="0" w:color="auto"/>
        <w:bottom w:val="none" w:sz="0" w:space="0" w:color="auto"/>
        <w:right w:val="none" w:sz="0" w:space="0" w:color="auto"/>
      </w:divBdr>
    </w:div>
    <w:div w:id="813638609">
      <w:bodyDiv w:val="1"/>
      <w:marLeft w:val="0"/>
      <w:marRight w:val="0"/>
      <w:marTop w:val="0"/>
      <w:marBottom w:val="0"/>
      <w:divBdr>
        <w:top w:val="none" w:sz="0" w:space="0" w:color="auto"/>
        <w:left w:val="none" w:sz="0" w:space="0" w:color="auto"/>
        <w:bottom w:val="none" w:sz="0" w:space="0" w:color="auto"/>
        <w:right w:val="none" w:sz="0" w:space="0" w:color="auto"/>
      </w:divBdr>
    </w:div>
    <w:div w:id="888104019">
      <w:bodyDiv w:val="1"/>
      <w:marLeft w:val="0"/>
      <w:marRight w:val="0"/>
      <w:marTop w:val="0"/>
      <w:marBottom w:val="0"/>
      <w:divBdr>
        <w:top w:val="none" w:sz="0" w:space="0" w:color="auto"/>
        <w:left w:val="none" w:sz="0" w:space="0" w:color="auto"/>
        <w:bottom w:val="none" w:sz="0" w:space="0" w:color="auto"/>
        <w:right w:val="none" w:sz="0" w:space="0" w:color="auto"/>
      </w:divBdr>
    </w:div>
    <w:div w:id="888297086">
      <w:bodyDiv w:val="1"/>
      <w:marLeft w:val="0"/>
      <w:marRight w:val="0"/>
      <w:marTop w:val="0"/>
      <w:marBottom w:val="0"/>
      <w:divBdr>
        <w:top w:val="none" w:sz="0" w:space="0" w:color="auto"/>
        <w:left w:val="none" w:sz="0" w:space="0" w:color="auto"/>
        <w:bottom w:val="none" w:sz="0" w:space="0" w:color="auto"/>
        <w:right w:val="none" w:sz="0" w:space="0" w:color="auto"/>
      </w:divBdr>
    </w:div>
    <w:div w:id="891114702">
      <w:bodyDiv w:val="1"/>
      <w:marLeft w:val="0"/>
      <w:marRight w:val="0"/>
      <w:marTop w:val="0"/>
      <w:marBottom w:val="0"/>
      <w:divBdr>
        <w:top w:val="none" w:sz="0" w:space="0" w:color="auto"/>
        <w:left w:val="none" w:sz="0" w:space="0" w:color="auto"/>
        <w:bottom w:val="none" w:sz="0" w:space="0" w:color="auto"/>
        <w:right w:val="none" w:sz="0" w:space="0" w:color="auto"/>
      </w:divBdr>
    </w:div>
    <w:div w:id="976494882">
      <w:bodyDiv w:val="1"/>
      <w:marLeft w:val="0"/>
      <w:marRight w:val="0"/>
      <w:marTop w:val="0"/>
      <w:marBottom w:val="0"/>
      <w:divBdr>
        <w:top w:val="none" w:sz="0" w:space="0" w:color="auto"/>
        <w:left w:val="none" w:sz="0" w:space="0" w:color="auto"/>
        <w:bottom w:val="none" w:sz="0" w:space="0" w:color="auto"/>
        <w:right w:val="none" w:sz="0" w:space="0" w:color="auto"/>
      </w:divBdr>
    </w:div>
    <w:div w:id="995300604">
      <w:bodyDiv w:val="1"/>
      <w:marLeft w:val="0"/>
      <w:marRight w:val="0"/>
      <w:marTop w:val="0"/>
      <w:marBottom w:val="0"/>
      <w:divBdr>
        <w:top w:val="none" w:sz="0" w:space="0" w:color="auto"/>
        <w:left w:val="none" w:sz="0" w:space="0" w:color="auto"/>
        <w:bottom w:val="none" w:sz="0" w:space="0" w:color="auto"/>
        <w:right w:val="none" w:sz="0" w:space="0" w:color="auto"/>
      </w:divBdr>
    </w:div>
    <w:div w:id="1033574749">
      <w:bodyDiv w:val="1"/>
      <w:marLeft w:val="0"/>
      <w:marRight w:val="0"/>
      <w:marTop w:val="0"/>
      <w:marBottom w:val="0"/>
      <w:divBdr>
        <w:top w:val="none" w:sz="0" w:space="0" w:color="auto"/>
        <w:left w:val="none" w:sz="0" w:space="0" w:color="auto"/>
        <w:bottom w:val="none" w:sz="0" w:space="0" w:color="auto"/>
        <w:right w:val="none" w:sz="0" w:space="0" w:color="auto"/>
      </w:divBdr>
    </w:div>
    <w:div w:id="1044331105">
      <w:bodyDiv w:val="1"/>
      <w:marLeft w:val="0"/>
      <w:marRight w:val="0"/>
      <w:marTop w:val="0"/>
      <w:marBottom w:val="0"/>
      <w:divBdr>
        <w:top w:val="none" w:sz="0" w:space="0" w:color="auto"/>
        <w:left w:val="none" w:sz="0" w:space="0" w:color="auto"/>
        <w:bottom w:val="none" w:sz="0" w:space="0" w:color="auto"/>
        <w:right w:val="none" w:sz="0" w:space="0" w:color="auto"/>
      </w:divBdr>
    </w:div>
    <w:div w:id="1095706353">
      <w:bodyDiv w:val="1"/>
      <w:marLeft w:val="0"/>
      <w:marRight w:val="0"/>
      <w:marTop w:val="0"/>
      <w:marBottom w:val="0"/>
      <w:divBdr>
        <w:top w:val="none" w:sz="0" w:space="0" w:color="auto"/>
        <w:left w:val="none" w:sz="0" w:space="0" w:color="auto"/>
        <w:bottom w:val="none" w:sz="0" w:space="0" w:color="auto"/>
        <w:right w:val="none" w:sz="0" w:space="0" w:color="auto"/>
      </w:divBdr>
    </w:div>
    <w:div w:id="1137918135">
      <w:bodyDiv w:val="1"/>
      <w:marLeft w:val="0"/>
      <w:marRight w:val="0"/>
      <w:marTop w:val="0"/>
      <w:marBottom w:val="0"/>
      <w:divBdr>
        <w:top w:val="none" w:sz="0" w:space="0" w:color="auto"/>
        <w:left w:val="none" w:sz="0" w:space="0" w:color="auto"/>
        <w:bottom w:val="none" w:sz="0" w:space="0" w:color="auto"/>
        <w:right w:val="none" w:sz="0" w:space="0" w:color="auto"/>
      </w:divBdr>
    </w:div>
    <w:div w:id="1139955535">
      <w:bodyDiv w:val="1"/>
      <w:marLeft w:val="0"/>
      <w:marRight w:val="0"/>
      <w:marTop w:val="0"/>
      <w:marBottom w:val="0"/>
      <w:divBdr>
        <w:top w:val="none" w:sz="0" w:space="0" w:color="auto"/>
        <w:left w:val="none" w:sz="0" w:space="0" w:color="auto"/>
        <w:bottom w:val="none" w:sz="0" w:space="0" w:color="auto"/>
        <w:right w:val="none" w:sz="0" w:space="0" w:color="auto"/>
      </w:divBdr>
    </w:div>
    <w:div w:id="1211918062">
      <w:bodyDiv w:val="1"/>
      <w:marLeft w:val="0"/>
      <w:marRight w:val="0"/>
      <w:marTop w:val="0"/>
      <w:marBottom w:val="0"/>
      <w:divBdr>
        <w:top w:val="none" w:sz="0" w:space="0" w:color="auto"/>
        <w:left w:val="none" w:sz="0" w:space="0" w:color="auto"/>
        <w:bottom w:val="none" w:sz="0" w:space="0" w:color="auto"/>
        <w:right w:val="none" w:sz="0" w:space="0" w:color="auto"/>
      </w:divBdr>
    </w:div>
    <w:div w:id="1215502519">
      <w:bodyDiv w:val="1"/>
      <w:marLeft w:val="0"/>
      <w:marRight w:val="0"/>
      <w:marTop w:val="0"/>
      <w:marBottom w:val="0"/>
      <w:divBdr>
        <w:top w:val="none" w:sz="0" w:space="0" w:color="auto"/>
        <w:left w:val="none" w:sz="0" w:space="0" w:color="auto"/>
        <w:bottom w:val="none" w:sz="0" w:space="0" w:color="auto"/>
        <w:right w:val="none" w:sz="0" w:space="0" w:color="auto"/>
      </w:divBdr>
    </w:div>
    <w:div w:id="1263339510">
      <w:bodyDiv w:val="1"/>
      <w:marLeft w:val="0"/>
      <w:marRight w:val="0"/>
      <w:marTop w:val="0"/>
      <w:marBottom w:val="0"/>
      <w:divBdr>
        <w:top w:val="none" w:sz="0" w:space="0" w:color="auto"/>
        <w:left w:val="none" w:sz="0" w:space="0" w:color="auto"/>
        <w:bottom w:val="none" w:sz="0" w:space="0" w:color="auto"/>
        <w:right w:val="none" w:sz="0" w:space="0" w:color="auto"/>
      </w:divBdr>
    </w:div>
    <w:div w:id="1354184124">
      <w:bodyDiv w:val="1"/>
      <w:marLeft w:val="0"/>
      <w:marRight w:val="0"/>
      <w:marTop w:val="0"/>
      <w:marBottom w:val="0"/>
      <w:divBdr>
        <w:top w:val="none" w:sz="0" w:space="0" w:color="auto"/>
        <w:left w:val="none" w:sz="0" w:space="0" w:color="auto"/>
        <w:bottom w:val="none" w:sz="0" w:space="0" w:color="auto"/>
        <w:right w:val="none" w:sz="0" w:space="0" w:color="auto"/>
      </w:divBdr>
    </w:div>
    <w:div w:id="1362704239">
      <w:bodyDiv w:val="1"/>
      <w:marLeft w:val="0"/>
      <w:marRight w:val="0"/>
      <w:marTop w:val="0"/>
      <w:marBottom w:val="0"/>
      <w:divBdr>
        <w:top w:val="none" w:sz="0" w:space="0" w:color="auto"/>
        <w:left w:val="none" w:sz="0" w:space="0" w:color="auto"/>
        <w:bottom w:val="none" w:sz="0" w:space="0" w:color="auto"/>
        <w:right w:val="none" w:sz="0" w:space="0" w:color="auto"/>
      </w:divBdr>
    </w:div>
    <w:div w:id="1394960952">
      <w:bodyDiv w:val="1"/>
      <w:marLeft w:val="0"/>
      <w:marRight w:val="0"/>
      <w:marTop w:val="0"/>
      <w:marBottom w:val="0"/>
      <w:divBdr>
        <w:top w:val="none" w:sz="0" w:space="0" w:color="auto"/>
        <w:left w:val="none" w:sz="0" w:space="0" w:color="auto"/>
        <w:bottom w:val="none" w:sz="0" w:space="0" w:color="auto"/>
        <w:right w:val="none" w:sz="0" w:space="0" w:color="auto"/>
      </w:divBdr>
    </w:div>
    <w:div w:id="1421679063">
      <w:bodyDiv w:val="1"/>
      <w:marLeft w:val="0"/>
      <w:marRight w:val="0"/>
      <w:marTop w:val="0"/>
      <w:marBottom w:val="0"/>
      <w:divBdr>
        <w:top w:val="none" w:sz="0" w:space="0" w:color="auto"/>
        <w:left w:val="none" w:sz="0" w:space="0" w:color="auto"/>
        <w:bottom w:val="none" w:sz="0" w:space="0" w:color="auto"/>
        <w:right w:val="none" w:sz="0" w:space="0" w:color="auto"/>
      </w:divBdr>
    </w:div>
    <w:div w:id="1442651929">
      <w:bodyDiv w:val="1"/>
      <w:marLeft w:val="0"/>
      <w:marRight w:val="0"/>
      <w:marTop w:val="0"/>
      <w:marBottom w:val="0"/>
      <w:divBdr>
        <w:top w:val="none" w:sz="0" w:space="0" w:color="auto"/>
        <w:left w:val="none" w:sz="0" w:space="0" w:color="auto"/>
        <w:bottom w:val="none" w:sz="0" w:space="0" w:color="auto"/>
        <w:right w:val="none" w:sz="0" w:space="0" w:color="auto"/>
      </w:divBdr>
    </w:div>
    <w:div w:id="1444156653">
      <w:bodyDiv w:val="1"/>
      <w:marLeft w:val="0"/>
      <w:marRight w:val="0"/>
      <w:marTop w:val="0"/>
      <w:marBottom w:val="0"/>
      <w:divBdr>
        <w:top w:val="none" w:sz="0" w:space="0" w:color="auto"/>
        <w:left w:val="none" w:sz="0" w:space="0" w:color="auto"/>
        <w:bottom w:val="none" w:sz="0" w:space="0" w:color="auto"/>
        <w:right w:val="none" w:sz="0" w:space="0" w:color="auto"/>
      </w:divBdr>
    </w:div>
    <w:div w:id="1512917074">
      <w:bodyDiv w:val="1"/>
      <w:marLeft w:val="0"/>
      <w:marRight w:val="0"/>
      <w:marTop w:val="0"/>
      <w:marBottom w:val="0"/>
      <w:divBdr>
        <w:top w:val="none" w:sz="0" w:space="0" w:color="auto"/>
        <w:left w:val="none" w:sz="0" w:space="0" w:color="auto"/>
        <w:bottom w:val="none" w:sz="0" w:space="0" w:color="auto"/>
        <w:right w:val="none" w:sz="0" w:space="0" w:color="auto"/>
      </w:divBdr>
    </w:div>
    <w:div w:id="1529878705">
      <w:bodyDiv w:val="1"/>
      <w:marLeft w:val="0"/>
      <w:marRight w:val="0"/>
      <w:marTop w:val="0"/>
      <w:marBottom w:val="0"/>
      <w:divBdr>
        <w:top w:val="none" w:sz="0" w:space="0" w:color="auto"/>
        <w:left w:val="none" w:sz="0" w:space="0" w:color="auto"/>
        <w:bottom w:val="none" w:sz="0" w:space="0" w:color="auto"/>
        <w:right w:val="none" w:sz="0" w:space="0" w:color="auto"/>
      </w:divBdr>
    </w:div>
    <w:div w:id="1571767282">
      <w:bodyDiv w:val="1"/>
      <w:marLeft w:val="0"/>
      <w:marRight w:val="0"/>
      <w:marTop w:val="0"/>
      <w:marBottom w:val="0"/>
      <w:divBdr>
        <w:top w:val="none" w:sz="0" w:space="0" w:color="auto"/>
        <w:left w:val="none" w:sz="0" w:space="0" w:color="auto"/>
        <w:bottom w:val="none" w:sz="0" w:space="0" w:color="auto"/>
        <w:right w:val="none" w:sz="0" w:space="0" w:color="auto"/>
      </w:divBdr>
    </w:div>
    <w:div w:id="1620720423">
      <w:bodyDiv w:val="1"/>
      <w:marLeft w:val="0"/>
      <w:marRight w:val="0"/>
      <w:marTop w:val="0"/>
      <w:marBottom w:val="0"/>
      <w:divBdr>
        <w:top w:val="none" w:sz="0" w:space="0" w:color="auto"/>
        <w:left w:val="none" w:sz="0" w:space="0" w:color="auto"/>
        <w:bottom w:val="none" w:sz="0" w:space="0" w:color="auto"/>
        <w:right w:val="none" w:sz="0" w:space="0" w:color="auto"/>
      </w:divBdr>
    </w:div>
    <w:div w:id="1712487497">
      <w:bodyDiv w:val="1"/>
      <w:marLeft w:val="0"/>
      <w:marRight w:val="0"/>
      <w:marTop w:val="0"/>
      <w:marBottom w:val="0"/>
      <w:divBdr>
        <w:top w:val="none" w:sz="0" w:space="0" w:color="auto"/>
        <w:left w:val="none" w:sz="0" w:space="0" w:color="auto"/>
        <w:bottom w:val="none" w:sz="0" w:space="0" w:color="auto"/>
        <w:right w:val="none" w:sz="0" w:space="0" w:color="auto"/>
      </w:divBdr>
    </w:div>
    <w:div w:id="1760297803">
      <w:bodyDiv w:val="1"/>
      <w:marLeft w:val="0"/>
      <w:marRight w:val="0"/>
      <w:marTop w:val="0"/>
      <w:marBottom w:val="0"/>
      <w:divBdr>
        <w:top w:val="none" w:sz="0" w:space="0" w:color="auto"/>
        <w:left w:val="none" w:sz="0" w:space="0" w:color="auto"/>
        <w:bottom w:val="none" w:sz="0" w:space="0" w:color="auto"/>
        <w:right w:val="none" w:sz="0" w:space="0" w:color="auto"/>
      </w:divBdr>
    </w:div>
    <w:div w:id="1774352921">
      <w:bodyDiv w:val="1"/>
      <w:marLeft w:val="0"/>
      <w:marRight w:val="0"/>
      <w:marTop w:val="0"/>
      <w:marBottom w:val="0"/>
      <w:divBdr>
        <w:top w:val="none" w:sz="0" w:space="0" w:color="auto"/>
        <w:left w:val="none" w:sz="0" w:space="0" w:color="auto"/>
        <w:bottom w:val="none" w:sz="0" w:space="0" w:color="auto"/>
        <w:right w:val="none" w:sz="0" w:space="0" w:color="auto"/>
      </w:divBdr>
    </w:div>
    <w:div w:id="1775979668">
      <w:bodyDiv w:val="1"/>
      <w:marLeft w:val="0"/>
      <w:marRight w:val="0"/>
      <w:marTop w:val="0"/>
      <w:marBottom w:val="0"/>
      <w:divBdr>
        <w:top w:val="none" w:sz="0" w:space="0" w:color="auto"/>
        <w:left w:val="none" w:sz="0" w:space="0" w:color="auto"/>
        <w:bottom w:val="none" w:sz="0" w:space="0" w:color="auto"/>
        <w:right w:val="none" w:sz="0" w:space="0" w:color="auto"/>
      </w:divBdr>
    </w:div>
    <w:div w:id="1786000330">
      <w:bodyDiv w:val="1"/>
      <w:marLeft w:val="0"/>
      <w:marRight w:val="0"/>
      <w:marTop w:val="0"/>
      <w:marBottom w:val="0"/>
      <w:divBdr>
        <w:top w:val="none" w:sz="0" w:space="0" w:color="auto"/>
        <w:left w:val="none" w:sz="0" w:space="0" w:color="auto"/>
        <w:bottom w:val="none" w:sz="0" w:space="0" w:color="auto"/>
        <w:right w:val="none" w:sz="0" w:space="0" w:color="auto"/>
      </w:divBdr>
    </w:div>
    <w:div w:id="1901014274">
      <w:bodyDiv w:val="1"/>
      <w:marLeft w:val="0"/>
      <w:marRight w:val="0"/>
      <w:marTop w:val="0"/>
      <w:marBottom w:val="0"/>
      <w:divBdr>
        <w:top w:val="none" w:sz="0" w:space="0" w:color="auto"/>
        <w:left w:val="none" w:sz="0" w:space="0" w:color="auto"/>
        <w:bottom w:val="none" w:sz="0" w:space="0" w:color="auto"/>
        <w:right w:val="none" w:sz="0" w:space="0" w:color="auto"/>
      </w:divBdr>
    </w:div>
    <w:div w:id="1959679272">
      <w:bodyDiv w:val="1"/>
      <w:marLeft w:val="0"/>
      <w:marRight w:val="0"/>
      <w:marTop w:val="0"/>
      <w:marBottom w:val="0"/>
      <w:divBdr>
        <w:top w:val="none" w:sz="0" w:space="0" w:color="auto"/>
        <w:left w:val="none" w:sz="0" w:space="0" w:color="auto"/>
        <w:bottom w:val="none" w:sz="0" w:space="0" w:color="auto"/>
        <w:right w:val="none" w:sz="0" w:space="0" w:color="auto"/>
      </w:divBdr>
    </w:div>
    <w:div w:id="1976329900">
      <w:bodyDiv w:val="1"/>
      <w:marLeft w:val="0"/>
      <w:marRight w:val="0"/>
      <w:marTop w:val="0"/>
      <w:marBottom w:val="0"/>
      <w:divBdr>
        <w:top w:val="none" w:sz="0" w:space="0" w:color="auto"/>
        <w:left w:val="none" w:sz="0" w:space="0" w:color="auto"/>
        <w:bottom w:val="none" w:sz="0" w:space="0" w:color="auto"/>
        <w:right w:val="none" w:sz="0" w:space="0" w:color="auto"/>
      </w:divBdr>
    </w:div>
    <w:div w:id="2043509609">
      <w:bodyDiv w:val="1"/>
      <w:marLeft w:val="0"/>
      <w:marRight w:val="0"/>
      <w:marTop w:val="0"/>
      <w:marBottom w:val="0"/>
      <w:divBdr>
        <w:top w:val="none" w:sz="0" w:space="0" w:color="auto"/>
        <w:left w:val="none" w:sz="0" w:space="0" w:color="auto"/>
        <w:bottom w:val="none" w:sz="0" w:space="0" w:color="auto"/>
        <w:right w:val="none" w:sz="0" w:space="0" w:color="auto"/>
      </w:divBdr>
    </w:div>
    <w:div w:id="2096854678">
      <w:bodyDiv w:val="1"/>
      <w:marLeft w:val="0"/>
      <w:marRight w:val="0"/>
      <w:marTop w:val="0"/>
      <w:marBottom w:val="0"/>
      <w:divBdr>
        <w:top w:val="none" w:sz="0" w:space="0" w:color="auto"/>
        <w:left w:val="none" w:sz="0" w:space="0" w:color="auto"/>
        <w:bottom w:val="none" w:sz="0" w:space="0" w:color="auto"/>
        <w:right w:val="none" w:sz="0" w:space="0" w:color="auto"/>
      </w:divBdr>
      <w:divsChild>
        <w:div w:id="984549960">
          <w:marLeft w:val="0"/>
          <w:marRight w:val="0"/>
          <w:marTop w:val="0"/>
          <w:marBottom w:val="0"/>
          <w:divBdr>
            <w:top w:val="none" w:sz="0" w:space="0" w:color="auto"/>
            <w:left w:val="none" w:sz="0" w:space="0" w:color="auto"/>
            <w:bottom w:val="none" w:sz="0" w:space="0" w:color="auto"/>
            <w:right w:val="none" w:sz="0" w:space="0" w:color="auto"/>
          </w:divBdr>
          <w:divsChild>
            <w:div w:id="1791823147">
              <w:marLeft w:val="0"/>
              <w:marRight w:val="0"/>
              <w:marTop w:val="0"/>
              <w:marBottom w:val="0"/>
              <w:divBdr>
                <w:top w:val="none" w:sz="0" w:space="0" w:color="auto"/>
                <w:left w:val="none" w:sz="0" w:space="0" w:color="auto"/>
                <w:bottom w:val="none" w:sz="0" w:space="0" w:color="auto"/>
                <w:right w:val="none" w:sz="0" w:space="0" w:color="auto"/>
              </w:divBdr>
              <w:divsChild>
                <w:div w:id="250283061">
                  <w:marLeft w:val="0"/>
                  <w:marRight w:val="0"/>
                  <w:marTop w:val="0"/>
                  <w:marBottom w:val="0"/>
                  <w:divBdr>
                    <w:top w:val="none" w:sz="0" w:space="0" w:color="auto"/>
                    <w:left w:val="none" w:sz="0" w:space="0" w:color="auto"/>
                    <w:bottom w:val="none" w:sz="0" w:space="0" w:color="auto"/>
                    <w:right w:val="none" w:sz="0" w:space="0" w:color="auto"/>
                  </w:divBdr>
                  <w:divsChild>
                    <w:div w:id="39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1F43-6065-4426-925E-1C454210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14388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WKOe</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 Ruth, WKÖ BSBV</dc:creator>
  <cp:lastModifiedBy>Egger Bernhard, Dr, WKÖ BSBV</cp:lastModifiedBy>
  <cp:revision>5</cp:revision>
  <cp:lastPrinted>2014-09-12T10:39:00Z</cp:lastPrinted>
  <dcterms:created xsi:type="dcterms:W3CDTF">2015-08-07T10:15:00Z</dcterms:created>
  <dcterms:modified xsi:type="dcterms:W3CDTF">2015-08-07T13:33:00Z</dcterms:modified>
</cp:coreProperties>
</file>