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5102"/>
        <w:gridCol w:w="4649"/>
      </w:tblGrid>
      <w:tr w:rsidR="00642235" w:rsidRPr="003630D5" w:rsidTr="00D364F4">
        <w:trPr>
          <w:trHeight w:hRule="exact" w:val="3600"/>
        </w:trPr>
        <w:tc>
          <w:tcPr>
            <w:tcW w:w="5102" w:type="dxa"/>
          </w:tcPr>
          <w:p w:rsidR="00B51CB0" w:rsidRPr="00805DBB" w:rsidRDefault="00650AE5" w:rsidP="003630D5">
            <w:r>
              <w:rPr>
                <w:lang w:val="fi-FI"/>
              </w:rPr>
              <w:br/>
            </w:r>
          </w:p>
          <w:p w:rsidR="00B51CB0" w:rsidRDefault="00B51CB0" w:rsidP="00151673">
            <w:pPr>
              <w:rPr>
                <w:lang w:val="fi-FI"/>
              </w:rPr>
            </w:pPr>
          </w:p>
          <w:p w:rsidR="00CB2954" w:rsidRPr="00B22761" w:rsidRDefault="00CB2954" w:rsidP="00151673">
            <w:pPr>
              <w:rPr>
                <w:sz w:val="52"/>
                <w:szCs w:val="52"/>
                <w:lang w:val="fi-FI"/>
              </w:rPr>
            </w:pPr>
          </w:p>
        </w:tc>
        <w:tc>
          <w:tcPr>
            <w:tcW w:w="4649" w:type="dxa"/>
          </w:tcPr>
          <w:p w:rsidR="00642235" w:rsidRPr="00D364F4" w:rsidRDefault="00642235" w:rsidP="00D364F4">
            <w:pPr>
              <w:spacing w:line="220" w:lineRule="atLeast"/>
              <w:jc w:val="right"/>
              <w:rPr>
                <w:b/>
                <w:bCs/>
                <w:color w:val="000000"/>
                <w:sz w:val="6"/>
                <w:szCs w:val="6"/>
                <w:lang w:val="fi-FI"/>
              </w:rPr>
            </w:pPr>
          </w:p>
          <w:p w:rsidR="00642235" w:rsidRPr="00D364F4" w:rsidRDefault="00642235" w:rsidP="00D364F4">
            <w:pPr>
              <w:spacing w:line="220" w:lineRule="atLeast"/>
              <w:jc w:val="right"/>
              <w:rPr>
                <w:b/>
                <w:bCs/>
                <w:color w:val="000000"/>
                <w:sz w:val="6"/>
                <w:szCs w:val="6"/>
                <w:lang w:val="fi-FI"/>
              </w:rPr>
            </w:pPr>
          </w:p>
          <w:p w:rsidR="00642235" w:rsidRPr="00D364F4" w:rsidRDefault="00642235" w:rsidP="00D364F4">
            <w:pPr>
              <w:spacing w:line="220" w:lineRule="atLeast"/>
              <w:jc w:val="right"/>
              <w:rPr>
                <w:b/>
                <w:bCs/>
                <w:color w:val="000000"/>
                <w:sz w:val="6"/>
                <w:szCs w:val="6"/>
                <w:lang w:val="fi-FI"/>
              </w:rPr>
            </w:pPr>
          </w:p>
          <w:p w:rsidR="00642235" w:rsidRPr="00D364F4" w:rsidRDefault="00642235" w:rsidP="00D364F4">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C47B46" w:rsidRPr="00D364F4" w:rsidRDefault="00C47B46" w:rsidP="00D364F4">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642235" w:rsidRPr="003630D5" w:rsidRDefault="00642235" w:rsidP="00D364F4">
            <w:pPr>
              <w:spacing w:line="260" w:lineRule="atLeast"/>
              <w:jc w:val="right"/>
              <w:rPr>
                <w:color w:val="000000"/>
                <w:sz w:val="18"/>
                <w:szCs w:val="18"/>
                <w:lang w:val="de-AT"/>
              </w:rPr>
            </w:pPr>
            <w:r w:rsidRPr="003630D5">
              <w:rPr>
                <w:noProof/>
                <w:color w:val="000000"/>
                <w:sz w:val="18"/>
                <w:szCs w:val="18"/>
                <w:lang w:val="de-AT"/>
              </w:rPr>
              <w:t>Wiedner Hauptstraße 63 | P.O. Box 320</w:t>
            </w:r>
          </w:p>
          <w:p w:rsidR="00642235" w:rsidRPr="003630D5" w:rsidRDefault="00642235" w:rsidP="00D364F4">
            <w:pPr>
              <w:spacing w:line="260" w:lineRule="atLeast"/>
              <w:jc w:val="right"/>
              <w:rPr>
                <w:color w:val="000000"/>
                <w:sz w:val="18"/>
                <w:szCs w:val="18"/>
                <w:lang w:val="de-AT"/>
              </w:rPr>
            </w:pPr>
            <w:r w:rsidRPr="003630D5">
              <w:rPr>
                <w:noProof/>
                <w:color w:val="000000"/>
                <w:sz w:val="18"/>
                <w:szCs w:val="18"/>
                <w:lang w:val="de-AT"/>
              </w:rPr>
              <w:t>1045 Vienna</w:t>
            </w:r>
          </w:p>
          <w:p w:rsidR="00642235" w:rsidRPr="00D364F4" w:rsidRDefault="00642235" w:rsidP="00D364F4">
            <w:pPr>
              <w:spacing w:line="260" w:lineRule="atLeast"/>
              <w:jc w:val="right"/>
              <w:rPr>
                <w:color w:val="000000"/>
                <w:sz w:val="18"/>
                <w:szCs w:val="18"/>
              </w:rPr>
            </w:pPr>
            <w:r w:rsidRPr="00B51CB0">
              <w:rPr>
                <w:noProof/>
                <w:color w:val="000000"/>
                <w:sz w:val="18"/>
                <w:szCs w:val="18"/>
                <w:lang w:val="de-AT"/>
              </w:rPr>
              <w:t>T +43 (0)5 90 900-DW | F +43 (0)5 90 900-27</w:t>
            </w:r>
            <w:r w:rsidRPr="00D364F4">
              <w:rPr>
                <w:noProof/>
                <w:color w:val="000000"/>
                <w:sz w:val="18"/>
                <w:szCs w:val="18"/>
              </w:rPr>
              <w:t>2</w:t>
            </w:r>
          </w:p>
          <w:p w:rsidR="00642235" w:rsidRPr="00D364F4" w:rsidRDefault="00642235" w:rsidP="00D364F4">
            <w:pPr>
              <w:spacing w:line="260" w:lineRule="atLeast"/>
              <w:jc w:val="right"/>
              <w:rPr>
                <w:color w:val="000000"/>
                <w:sz w:val="18"/>
                <w:szCs w:val="18"/>
              </w:rPr>
            </w:pPr>
            <w:r w:rsidRPr="00D364F4">
              <w:rPr>
                <w:noProof/>
                <w:color w:val="000000"/>
                <w:sz w:val="18"/>
                <w:szCs w:val="18"/>
              </w:rPr>
              <w:t>E  bsbv@wko.at</w:t>
            </w:r>
          </w:p>
          <w:p w:rsidR="00642235" w:rsidRPr="00D364F4" w:rsidRDefault="00642235" w:rsidP="00D364F4">
            <w:pPr>
              <w:spacing w:line="260" w:lineRule="atLeast"/>
              <w:jc w:val="right"/>
              <w:rPr>
                <w:lang w:val="en-GB"/>
              </w:rPr>
            </w:pPr>
            <w:r w:rsidRPr="00D364F4">
              <w:rPr>
                <w:noProof/>
                <w:color w:val="000000"/>
                <w:sz w:val="18"/>
                <w:szCs w:val="18"/>
                <w:lang w:val="en-GB"/>
              </w:rPr>
              <w:t>W  http://wko.at/bsbv</w:t>
            </w:r>
          </w:p>
        </w:tc>
      </w:tr>
    </w:tbl>
    <w:p w:rsidR="00642235" w:rsidRPr="00C21BF0" w:rsidRDefault="00642235">
      <w:pPr>
        <w:tabs>
          <w:tab w:val="left" w:pos="2892"/>
          <w:tab w:val="left" w:pos="5783"/>
          <w:tab w:val="left" w:pos="7655"/>
        </w:tabs>
        <w:rPr>
          <w:color w:val="000000"/>
          <w:sz w:val="16"/>
          <w:szCs w:val="16"/>
          <w:lang w:val="en-GB"/>
        </w:rPr>
      </w:pPr>
      <w:r w:rsidRPr="00C21BF0">
        <w:rPr>
          <w:noProof/>
          <w:color w:val="000000"/>
          <w:sz w:val="16"/>
          <w:szCs w:val="16"/>
          <w:lang w:val="en-GB"/>
        </w:rPr>
        <w:t>Your ref., Your message of</w:t>
      </w:r>
      <w:r w:rsidRPr="00C21BF0">
        <w:rPr>
          <w:color w:val="000000"/>
          <w:sz w:val="16"/>
          <w:szCs w:val="16"/>
          <w:lang w:val="en-GB"/>
        </w:rPr>
        <w:tab/>
      </w:r>
      <w:r w:rsidRPr="00C21BF0">
        <w:rPr>
          <w:noProof/>
          <w:color w:val="000000"/>
          <w:sz w:val="16"/>
          <w:szCs w:val="16"/>
          <w:lang w:val="en-GB"/>
        </w:rPr>
        <w:t>Our ref., person in charge</w:t>
      </w:r>
      <w:r w:rsidRPr="00C21BF0">
        <w:rPr>
          <w:color w:val="000000"/>
          <w:sz w:val="16"/>
          <w:szCs w:val="16"/>
          <w:lang w:val="en-GB"/>
        </w:rPr>
        <w:tab/>
      </w:r>
      <w:r w:rsidRPr="00C21BF0">
        <w:rPr>
          <w:noProof/>
          <w:color w:val="000000"/>
          <w:sz w:val="16"/>
          <w:szCs w:val="16"/>
          <w:lang w:val="en-GB"/>
        </w:rPr>
        <w:t>Extension</w:t>
      </w:r>
      <w:r w:rsidRPr="00C21BF0">
        <w:rPr>
          <w:color w:val="000000"/>
          <w:sz w:val="16"/>
          <w:szCs w:val="16"/>
          <w:lang w:val="en-GB"/>
        </w:rPr>
        <w:tab/>
      </w:r>
      <w:r w:rsidRPr="00C21BF0">
        <w:rPr>
          <w:noProof/>
          <w:color w:val="000000"/>
          <w:sz w:val="16"/>
          <w:szCs w:val="16"/>
          <w:lang w:val="en-GB"/>
        </w:rPr>
        <w:t>Date</w:t>
      </w:r>
    </w:p>
    <w:p w:rsidR="00642235" w:rsidRPr="00DC0A36" w:rsidRDefault="00642235">
      <w:pPr>
        <w:tabs>
          <w:tab w:val="left" w:pos="2892"/>
          <w:tab w:val="left" w:pos="5783"/>
          <w:tab w:val="left" w:pos="7655"/>
        </w:tabs>
        <w:rPr>
          <w:color w:val="000000"/>
          <w:lang w:val="en-GB"/>
        </w:rPr>
      </w:pPr>
      <w:r w:rsidRPr="00C21BF0">
        <w:rPr>
          <w:color w:val="000000"/>
          <w:lang w:val="en-GB"/>
        </w:rPr>
        <w:tab/>
      </w:r>
      <w:r w:rsidRPr="00DC0A36">
        <w:rPr>
          <w:noProof/>
          <w:color w:val="000000"/>
          <w:lang w:val="en-GB"/>
        </w:rPr>
        <w:t>BSBV</w:t>
      </w:r>
      <w:r w:rsidR="00641DC4" w:rsidRPr="00DC0A36">
        <w:rPr>
          <w:noProof/>
          <w:color w:val="000000"/>
          <w:lang w:val="en-GB"/>
        </w:rPr>
        <w:t xml:space="preserve"> 115/</w:t>
      </w:r>
      <w:r w:rsidR="00007060">
        <w:rPr>
          <w:noProof/>
          <w:color w:val="000000"/>
          <w:lang w:val="en-GB"/>
        </w:rPr>
        <w:t>Horvath</w:t>
      </w:r>
      <w:r w:rsidR="00641DC4" w:rsidRPr="00DC0A36">
        <w:rPr>
          <w:noProof/>
          <w:color w:val="000000"/>
          <w:lang w:val="en-GB"/>
        </w:rPr>
        <w:tab/>
      </w:r>
      <w:r w:rsidR="00007060">
        <w:rPr>
          <w:noProof/>
          <w:color w:val="000000"/>
          <w:lang w:val="en-GB"/>
        </w:rPr>
        <w:t>3141</w:t>
      </w:r>
      <w:r w:rsidRPr="00DC0A36">
        <w:rPr>
          <w:color w:val="000000"/>
          <w:lang w:val="en-GB"/>
        </w:rPr>
        <w:tab/>
      </w:r>
      <w:r w:rsidR="00007060">
        <w:rPr>
          <w:color w:val="000000"/>
          <w:lang w:val="en-GB"/>
        </w:rPr>
        <w:t>7 January</w:t>
      </w:r>
      <w:r w:rsidR="003568E9">
        <w:rPr>
          <w:color w:val="000000"/>
          <w:lang w:val="en-GB"/>
        </w:rPr>
        <w:t xml:space="preserve"> </w:t>
      </w:r>
      <w:r w:rsidR="00D82226" w:rsidRPr="00DC0A36">
        <w:rPr>
          <w:color w:val="000000"/>
          <w:lang w:val="en-GB"/>
        </w:rPr>
        <w:t>201</w:t>
      </w:r>
      <w:r w:rsidR="00007060">
        <w:rPr>
          <w:color w:val="000000"/>
          <w:lang w:val="en-GB"/>
        </w:rPr>
        <w:t>6</w:t>
      </w:r>
    </w:p>
    <w:p w:rsidR="00E754C8" w:rsidRDefault="00E754C8">
      <w:pPr>
        <w:rPr>
          <w:color w:val="000000"/>
          <w:sz w:val="24"/>
          <w:szCs w:val="24"/>
          <w:lang w:val="en-GB"/>
        </w:rPr>
      </w:pPr>
    </w:p>
    <w:p w:rsidR="00A82C13" w:rsidRPr="00DC0A36" w:rsidRDefault="00A82C13">
      <w:pPr>
        <w:rPr>
          <w:color w:val="000000"/>
          <w:sz w:val="24"/>
          <w:szCs w:val="24"/>
          <w:lang w:val="en-GB"/>
        </w:rPr>
      </w:pPr>
    </w:p>
    <w:p w:rsidR="00C02F42" w:rsidRDefault="003568E9" w:rsidP="001F3545">
      <w:pPr>
        <w:rPr>
          <w:b/>
          <w:sz w:val="24"/>
          <w:szCs w:val="24"/>
          <w:lang w:val="en-GB"/>
        </w:rPr>
      </w:pPr>
      <w:r w:rsidRPr="003568E9">
        <w:rPr>
          <w:b/>
          <w:sz w:val="24"/>
          <w:szCs w:val="24"/>
          <w:lang w:val="en-GB"/>
        </w:rPr>
        <w:t xml:space="preserve">EBA </w:t>
      </w:r>
      <w:r w:rsidR="003630D5">
        <w:rPr>
          <w:b/>
          <w:sz w:val="24"/>
          <w:szCs w:val="24"/>
          <w:lang w:val="en-GB"/>
        </w:rPr>
        <w:t>Consultation on criteria for a preferential treatment in cross-border intragroup financial support under LCR</w:t>
      </w:r>
    </w:p>
    <w:p w:rsidR="00B22761" w:rsidRDefault="00B22761" w:rsidP="00D82226">
      <w:pPr>
        <w:rPr>
          <w:lang w:val="en-GB"/>
        </w:rPr>
      </w:pPr>
    </w:p>
    <w:p w:rsidR="00DC0A36" w:rsidRPr="009D188F" w:rsidRDefault="00DC0A36" w:rsidP="00D82226">
      <w:pPr>
        <w:rPr>
          <w:lang w:val="en-GB"/>
        </w:rPr>
      </w:pPr>
      <w:r w:rsidRPr="00DC0A36">
        <w:rPr>
          <w:lang w:val="en-GB"/>
        </w:rPr>
        <w:t>The Division Bank and Insurance of the Austrian Federal Economic Chamber, as representative of the entire Austrian banking industry, appreciates the possibility to</w:t>
      </w:r>
      <w:r w:rsidR="00B467F0" w:rsidRPr="00487A00">
        <w:rPr>
          <w:rFonts w:cs="Arial"/>
          <w:color w:val="000000"/>
          <w:lang w:val="en-GB" w:eastAsia="en-US"/>
        </w:rPr>
        <w:t xml:space="preserve"> comment on </w:t>
      </w:r>
      <w:r w:rsidR="00B467F0">
        <w:rPr>
          <w:rFonts w:cs="Arial"/>
          <w:color w:val="000000"/>
          <w:lang w:val="en-GB" w:eastAsia="en-US"/>
        </w:rPr>
        <w:t xml:space="preserve">the above cited </w:t>
      </w:r>
      <w:r w:rsidR="003630D5">
        <w:rPr>
          <w:rFonts w:cs="Arial"/>
          <w:color w:val="000000"/>
          <w:lang w:val="en-GB" w:eastAsia="en-US"/>
        </w:rPr>
        <w:t>consultation</w:t>
      </w:r>
      <w:r w:rsidR="00B467F0">
        <w:rPr>
          <w:rFonts w:cs="Arial"/>
          <w:color w:val="000000"/>
          <w:lang w:val="en-GB" w:eastAsia="en-US"/>
        </w:rPr>
        <w:t xml:space="preserve"> </w:t>
      </w:r>
      <w:r w:rsidR="00B467F0" w:rsidRPr="00487A00">
        <w:rPr>
          <w:rFonts w:cs="Arial"/>
          <w:color w:val="000000"/>
          <w:lang w:val="en-GB" w:eastAsia="en-US"/>
        </w:rPr>
        <w:t>an</w:t>
      </w:r>
      <w:bookmarkStart w:id="0" w:name="_GoBack"/>
      <w:bookmarkEnd w:id="0"/>
      <w:r w:rsidR="00B467F0" w:rsidRPr="00487A00">
        <w:rPr>
          <w:rFonts w:cs="Arial"/>
          <w:color w:val="000000"/>
          <w:lang w:val="en-GB" w:eastAsia="en-US"/>
        </w:rPr>
        <w:t>d would like to submit the following position:</w:t>
      </w:r>
    </w:p>
    <w:p w:rsidR="00C02F42" w:rsidRPr="008C0AE8" w:rsidRDefault="00C02F42" w:rsidP="00C02F42">
      <w:pPr>
        <w:rPr>
          <w:lang w:val="en-GB"/>
        </w:rPr>
      </w:pPr>
    </w:p>
    <w:p w:rsidR="003630D5" w:rsidRPr="007751BD" w:rsidRDefault="003630D5" w:rsidP="003630D5">
      <w:pPr>
        <w:rPr>
          <w:rFonts w:cs="Arial"/>
          <w:b/>
          <w:color w:val="000000"/>
          <w:lang w:val="en-GB" w:eastAsia="en-US"/>
        </w:rPr>
      </w:pPr>
      <w:r w:rsidRPr="003630D5">
        <w:rPr>
          <w:rFonts w:cs="Arial"/>
          <w:b/>
          <w:color w:val="000000"/>
          <w:lang w:val="en-GB" w:eastAsia="en-US"/>
        </w:rPr>
        <w:t>Q1:</w:t>
      </w:r>
      <w:r w:rsidR="007751BD" w:rsidRPr="007751BD">
        <w:rPr>
          <w:b/>
          <w:bCs/>
          <w:lang w:val="en-GB"/>
        </w:rPr>
        <w:t xml:space="preserve"> </w:t>
      </w:r>
      <w:r w:rsidR="007751BD" w:rsidRPr="007751BD">
        <w:rPr>
          <w:b/>
          <w:bCs/>
          <w:lang w:val="en-GB"/>
        </w:rPr>
        <w:t>Do respondents agree with the specifications of the criterion relating to the low liquidity risk profile? If not, what alternatives would you suggest to assess the liquidity risk profile of the liquidity receiver and provider?</w:t>
      </w:r>
    </w:p>
    <w:p w:rsidR="003630D5" w:rsidRPr="003630D5" w:rsidRDefault="003630D5" w:rsidP="003630D5">
      <w:pPr>
        <w:rPr>
          <w:rFonts w:cs="Arial"/>
          <w:color w:val="000000"/>
          <w:lang w:val="en-GB" w:eastAsia="en-US"/>
        </w:rPr>
      </w:pPr>
      <w:r w:rsidRPr="003630D5">
        <w:rPr>
          <w:rFonts w:cs="Arial"/>
          <w:color w:val="000000"/>
          <w:lang w:val="en-GB" w:eastAsia="en-US"/>
        </w:rPr>
        <w:t xml:space="preserve">We would appreciate if the text of Art. 2(a) of the Draft RTS could be clarified in the way that any plan to be prepared and communicated to the responsible supervisory authority shall be prepared only when it is required according to Art. </w:t>
      </w:r>
      <w:proofErr w:type="gramStart"/>
      <w:r w:rsidRPr="003630D5">
        <w:rPr>
          <w:rFonts w:cs="Arial"/>
          <w:color w:val="000000"/>
          <w:lang w:val="en-GB" w:eastAsia="en-US"/>
        </w:rPr>
        <w:t>414 CRR.</w:t>
      </w:r>
      <w:proofErr w:type="gramEnd"/>
      <w:r w:rsidRPr="003630D5">
        <w:rPr>
          <w:rFonts w:cs="Arial"/>
          <w:color w:val="000000"/>
          <w:lang w:val="en-GB" w:eastAsia="en-US"/>
        </w:rPr>
        <w:t xml:space="preserve"> </w:t>
      </w:r>
    </w:p>
    <w:p w:rsidR="003630D5" w:rsidRPr="003630D5" w:rsidRDefault="003630D5" w:rsidP="003630D5">
      <w:pPr>
        <w:rPr>
          <w:rFonts w:cs="Arial"/>
          <w:color w:val="000000"/>
          <w:lang w:val="en-GB" w:eastAsia="en-US"/>
        </w:rPr>
      </w:pPr>
      <w:r w:rsidRPr="003630D5">
        <w:rPr>
          <w:rFonts w:cs="Arial"/>
          <w:color w:val="000000"/>
          <w:lang w:val="en-GB" w:eastAsia="en-US"/>
        </w:rPr>
        <w:t xml:space="preserve">To avoid contagion and unintended effects the potential change of a preferential treatment, initiated following the assessment by “involved authorities”, should be combined with a transitional period. This would ensure that the provider will not be overly burdened by an abrupt change and would have an adequate time for necessary changes with liquidity levels and to be compliant with regulative ratios at any time. Any automatism needs to be avoided.   </w:t>
      </w:r>
    </w:p>
    <w:p w:rsidR="003630D5" w:rsidRPr="003630D5" w:rsidRDefault="003630D5" w:rsidP="003630D5">
      <w:pPr>
        <w:rPr>
          <w:rFonts w:cs="Arial"/>
          <w:color w:val="000000"/>
          <w:lang w:val="en-GB" w:eastAsia="en-US"/>
        </w:rPr>
      </w:pPr>
      <w:r w:rsidRPr="003630D5">
        <w:rPr>
          <w:rFonts w:cs="Arial"/>
          <w:color w:val="000000"/>
          <w:lang w:val="en-GB" w:eastAsia="en-US"/>
        </w:rPr>
        <w:t> </w:t>
      </w:r>
    </w:p>
    <w:p w:rsidR="003630D5" w:rsidRPr="007751BD" w:rsidRDefault="003630D5" w:rsidP="003630D5">
      <w:pPr>
        <w:rPr>
          <w:rFonts w:cs="Arial"/>
          <w:b/>
          <w:color w:val="000000"/>
          <w:lang w:val="en-GB" w:eastAsia="en-US"/>
        </w:rPr>
      </w:pPr>
      <w:r w:rsidRPr="003630D5">
        <w:rPr>
          <w:rFonts w:cs="Arial"/>
          <w:b/>
          <w:color w:val="000000"/>
          <w:lang w:val="en-GB" w:eastAsia="en-US"/>
        </w:rPr>
        <w:t>Q2:</w:t>
      </w:r>
      <w:r w:rsidR="007751BD" w:rsidRPr="007751BD">
        <w:rPr>
          <w:b/>
          <w:bCs/>
          <w:lang w:val="en-GB"/>
        </w:rPr>
        <w:t xml:space="preserve"> </w:t>
      </w:r>
      <w:r w:rsidR="007751BD" w:rsidRPr="007751BD">
        <w:rPr>
          <w:b/>
          <w:bCs/>
          <w:lang w:val="en-GB"/>
        </w:rPr>
        <w:t>Do respondents agree with the specifications of the criterion relating to binding agreements and commitments?</w:t>
      </w:r>
    </w:p>
    <w:p w:rsidR="003630D5" w:rsidRPr="003630D5" w:rsidRDefault="003630D5" w:rsidP="003630D5">
      <w:pPr>
        <w:rPr>
          <w:rFonts w:cs="Arial"/>
          <w:color w:val="000000"/>
          <w:lang w:val="en-GB" w:eastAsia="en-US"/>
        </w:rPr>
      </w:pPr>
      <w:r w:rsidRPr="003630D5">
        <w:rPr>
          <w:rFonts w:cs="Arial"/>
          <w:color w:val="000000"/>
          <w:lang w:val="en-GB" w:eastAsia="en-US"/>
        </w:rPr>
        <w:t xml:space="preserve">The background and rationale of the RTS is a more detailed description of objective criteria that are in general already given by the CRR and the LCR DA. The aim should not be the creation of new burdens by excessive requirements for Groups and IPS. One example for excessive requirements can be found in Art. </w:t>
      </w:r>
      <w:proofErr w:type="gramStart"/>
      <w:r w:rsidRPr="003630D5">
        <w:rPr>
          <w:rFonts w:cs="Arial"/>
          <w:color w:val="000000"/>
          <w:lang w:val="en-GB" w:eastAsia="en-US"/>
        </w:rPr>
        <w:t>3(b) Draft RTS which requires the fixing of a currency alignment of potential liquidity flows.</w:t>
      </w:r>
      <w:proofErr w:type="gramEnd"/>
      <w:r w:rsidRPr="003630D5">
        <w:rPr>
          <w:rFonts w:cs="Arial"/>
          <w:color w:val="000000"/>
          <w:lang w:val="en-GB" w:eastAsia="en-US"/>
        </w:rPr>
        <w:t xml:space="preserve"> The CRR or LCR DA (here: Art. 7 and 8) already set conditions for the management of liquidity flows and its risks which is not limited to actual liquidity transactions but is also relevant for contractual agreed transactions. The risks that will be already observed by a bank’s risk management include risks that come along with different currencies. We also talk about already harmonized regulatory conditions for relevant regions that would be affected by these </w:t>
      </w:r>
      <w:proofErr w:type="gramStart"/>
      <w:r w:rsidRPr="003630D5">
        <w:rPr>
          <w:rFonts w:cs="Arial"/>
          <w:color w:val="000000"/>
          <w:lang w:val="en-GB" w:eastAsia="en-US"/>
        </w:rPr>
        <w:t>kind</w:t>
      </w:r>
      <w:proofErr w:type="gramEnd"/>
      <w:r w:rsidRPr="003630D5">
        <w:rPr>
          <w:rFonts w:cs="Arial"/>
          <w:color w:val="000000"/>
          <w:lang w:val="en-GB" w:eastAsia="en-US"/>
        </w:rPr>
        <w:t xml:space="preserve"> of liquidity transfers. Hence we do not see the necessity for any further conditions of that kind. </w:t>
      </w:r>
    </w:p>
    <w:p w:rsidR="003630D5" w:rsidRPr="003630D5" w:rsidRDefault="003630D5" w:rsidP="003630D5">
      <w:pPr>
        <w:rPr>
          <w:rFonts w:cs="Arial"/>
          <w:color w:val="000000"/>
          <w:lang w:val="en-GB" w:eastAsia="en-US"/>
        </w:rPr>
      </w:pPr>
      <w:r w:rsidRPr="003630D5">
        <w:rPr>
          <w:rFonts w:cs="Arial"/>
          <w:color w:val="000000"/>
          <w:lang w:val="en-GB" w:eastAsia="en-US"/>
        </w:rPr>
        <w:t> </w:t>
      </w:r>
    </w:p>
    <w:p w:rsidR="003630D5" w:rsidRPr="003630D5" w:rsidRDefault="003630D5" w:rsidP="003630D5">
      <w:pPr>
        <w:rPr>
          <w:rFonts w:cs="Arial"/>
          <w:color w:val="000000"/>
          <w:lang w:val="en-GB" w:eastAsia="en-US"/>
        </w:rPr>
      </w:pPr>
      <w:r w:rsidRPr="003630D5">
        <w:rPr>
          <w:rFonts w:cs="Arial"/>
          <w:color w:val="000000"/>
          <w:lang w:val="en-GB" w:eastAsia="en-US"/>
        </w:rPr>
        <w:lastRenderedPageBreak/>
        <w:t>Another aspect would be the requirement to provide “an external written and reasoned legal opinion” (see Art. 3(a) of the Draft RTS). We suggest not making a difference between an external and an internal “written and reasoned legal opinion”. A number of reasons can be given for why this requirement would be an unnecessary burden:</w:t>
      </w:r>
    </w:p>
    <w:p w:rsidR="003630D5" w:rsidRPr="003630D5" w:rsidRDefault="003630D5" w:rsidP="003630D5">
      <w:pPr>
        <w:pStyle w:val="Listenabsatz"/>
        <w:numPr>
          <w:ilvl w:val="0"/>
          <w:numId w:val="6"/>
        </w:numPr>
        <w:spacing w:line="240" w:lineRule="auto"/>
        <w:contextualSpacing w:val="0"/>
        <w:rPr>
          <w:rFonts w:cs="Arial"/>
          <w:color w:val="000000"/>
          <w:lang w:val="en-GB" w:eastAsia="en-US"/>
        </w:rPr>
      </w:pPr>
      <w:r w:rsidRPr="003630D5">
        <w:rPr>
          <w:rFonts w:cs="Arial"/>
          <w:color w:val="000000"/>
          <w:lang w:val="en-GB" w:eastAsia="en-US"/>
        </w:rPr>
        <w:t>The responsible authority will be notified on a regular basis (at least yearly), and hence it would be able to intervene when it observes any undue risks;</w:t>
      </w:r>
    </w:p>
    <w:p w:rsidR="003630D5" w:rsidRPr="003630D5" w:rsidRDefault="003630D5" w:rsidP="003630D5">
      <w:pPr>
        <w:pStyle w:val="Listenabsatz"/>
        <w:numPr>
          <w:ilvl w:val="0"/>
          <w:numId w:val="6"/>
        </w:numPr>
        <w:spacing w:line="240" w:lineRule="auto"/>
        <w:contextualSpacing w:val="0"/>
        <w:rPr>
          <w:rFonts w:cs="Arial"/>
          <w:color w:val="000000"/>
          <w:lang w:val="en-GB" w:eastAsia="en-US"/>
        </w:rPr>
      </w:pPr>
      <w:r w:rsidRPr="003630D5">
        <w:rPr>
          <w:rFonts w:cs="Arial"/>
          <w:color w:val="000000"/>
          <w:lang w:val="en-GB" w:eastAsia="en-US"/>
        </w:rPr>
        <w:t>There is no rationale why internal statements are worse than external opinions;</w:t>
      </w:r>
    </w:p>
    <w:p w:rsidR="003630D5" w:rsidRPr="003630D5" w:rsidRDefault="003630D5" w:rsidP="003630D5">
      <w:pPr>
        <w:pStyle w:val="Listenabsatz"/>
        <w:numPr>
          <w:ilvl w:val="0"/>
          <w:numId w:val="6"/>
        </w:numPr>
        <w:spacing w:line="240" w:lineRule="auto"/>
        <w:contextualSpacing w:val="0"/>
        <w:rPr>
          <w:rFonts w:cs="Arial"/>
          <w:color w:val="000000"/>
          <w:lang w:val="en-GB" w:eastAsia="en-US"/>
        </w:rPr>
      </w:pPr>
      <w:r w:rsidRPr="003630D5">
        <w:rPr>
          <w:rFonts w:cs="Arial"/>
          <w:color w:val="000000"/>
          <w:lang w:val="en-GB" w:eastAsia="en-US"/>
        </w:rPr>
        <w:t>External statements are always an additional cost driver;</w:t>
      </w:r>
    </w:p>
    <w:p w:rsidR="003630D5" w:rsidRPr="003630D5" w:rsidRDefault="003630D5" w:rsidP="003630D5">
      <w:pPr>
        <w:pStyle w:val="Listenabsatz"/>
        <w:numPr>
          <w:ilvl w:val="0"/>
          <w:numId w:val="6"/>
        </w:numPr>
        <w:spacing w:line="240" w:lineRule="auto"/>
        <w:contextualSpacing w:val="0"/>
        <w:rPr>
          <w:rFonts w:cs="Arial"/>
          <w:color w:val="000000"/>
          <w:lang w:val="en-GB" w:eastAsia="en-US"/>
        </w:rPr>
      </w:pPr>
      <w:r w:rsidRPr="003630D5">
        <w:rPr>
          <w:rFonts w:cs="Arial"/>
          <w:color w:val="000000"/>
          <w:lang w:val="en-GB" w:eastAsia="en-US"/>
        </w:rPr>
        <w:t>In combination with the authority’s approval process the bank’s legal statements would always be challenged.</w:t>
      </w:r>
    </w:p>
    <w:p w:rsidR="003630D5" w:rsidRPr="003630D5" w:rsidRDefault="003630D5" w:rsidP="003630D5">
      <w:pPr>
        <w:rPr>
          <w:rFonts w:cs="Arial"/>
          <w:color w:val="000000"/>
          <w:lang w:val="en-GB" w:eastAsia="en-US"/>
        </w:rPr>
      </w:pPr>
      <w:r w:rsidRPr="003630D5">
        <w:rPr>
          <w:rFonts w:cs="Arial"/>
          <w:color w:val="000000"/>
          <w:lang w:val="en-GB" w:eastAsia="en-US"/>
        </w:rPr>
        <w:t>Therefore we argue to delete the condition of a mandatory external state</w:t>
      </w:r>
      <w:r>
        <w:rPr>
          <w:rFonts w:cs="Arial"/>
          <w:color w:val="000000"/>
          <w:lang w:val="en-GB" w:eastAsia="en-US"/>
        </w:rPr>
        <w:t>ment for liquidity agreements.</w:t>
      </w:r>
    </w:p>
    <w:p w:rsidR="003630D5" w:rsidRPr="003630D5" w:rsidRDefault="003630D5" w:rsidP="003630D5">
      <w:pPr>
        <w:rPr>
          <w:rFonts w:cs="Arial"/>
          <w:color w:val="000000"/>
          <w:lang w:val="en-GB" w:eastAsia="en-US"/>
        </w:rPr>
      </w:pPr>
      <w:r w:rsidRPr="003630D5">
        <w:rPr>
          <w:rFonts w:cs="Arial"/>
          <w:color w:val="000000"/>
          <w:lang w:val="en-GB" w:eastAsia="en-US"/>
        </w:rPr>
        <w:t> </w:t>
      </w:r>
    </w:p>
    <w:p w:rsidR="003630D5" w:rsidRPr="007751BD" w:rsidRDefault="003630D5" w:rsidP="003630D5">
      <w:pPr>
        <w:rPr>
          <w:rFonts w:cs="Arial"/>
          <w:b/>
          <w:color w:val="000000"/>
          <w:lang w:val="en-GB" w:eastAsia="en-US"/>
        </w:rPr>
      </w:pPr>
      <w:r w:rsidRPr="003630D5">
        <w:rPr>
          <w:rFonts w:cs="Arial"/>
          <w:b/>
          <w:color w:val="000000"/>
          <w:lang w:val="en-GB" w:eastAsia="en-US"/>
        </w:rPr>
        <w:t>Q3:</w:t>
      </w:r>
      <w:r w:rsidR="007751BD" w:rsidRPr="007751BD">
        <w:rPr>
          <w:b/>
          <w:bCs/>
          <w:lang w:val="en-GB"/>
        </w:rPr>
        <w:t xml:space="preserve"> </w:t>
      </w:r>
      <w:r w:rsidR="007751BD" w:rsidRPr="007751BD">
        <w:rPr>
          <w:b/>
          <w:bCs/>
          <w:lang w:val="en-GB"/>
        </w:rPr>
        <w:t>Do respondents agree with the specifications of the criterion relating to liquidity risk management of the liquidity provider?</w:t>
      </w:r>
    </w:p>
    <w:p w:rsidR="003630D5" w:rsidRPr="003630D5" w:rsidRDefault="003630D5" w:rsidP="003630D5">
      <w:pPr>
        <w:rPr>
          <w:rFonts w:cs="Arial"/>
          <w:color w:val="000000"/>
          <w:lang w:val="en-GB" w:eastAsia="en-US"/>
        </w:rPr>
      </w:pPr>
      <w:r w:rsidRPr="003630D5">
        <w:rPr>
          <w:rFonts w:cs="Arial"/>
          <w:color w:val="000000"/>
          <w:lang w:val="en-GB" w:eastAsia="en-US"/>
        </w:rPr>
        <w:t xml:space="preserve">When it comes to a liquidity support it seems to be reasonable to “monitor and oversee the liquidity position of the receiver”. This regulation could be seen as a parallel condition as to other institutions that fall below the liquidity coverage ratio (see Art. 414 CRR). Nevertheless, the CRR is conditioning a daily monitoring and/or reporting only to those institutions that already fall short the ratio. In contrast, Art. 4 of the Draft RTS </w:t>
      </w:r>
      <w:proofErr w:type="gramStart"/>
      <w:r w:rsidRPr="003630D5">
        <w:rPr>
          <w:rFonts w:cs="Arial"/>
          <w:color w:val="000000"/>
          <w:lang w:val="en-GB" w:eastAsia="en-US"/>
        </w:rPr>
        <w:t>is</w:t>
      </w:r>
      <w:proofErr w:type="gramEnd"/>
      <w:r w:rsidRPr="003630D5">
        <w:rPr>
          <w:rFonts w:cs="Arial"/>
          <w:color w:val="000000"/>
          <w:lang w:val="en-GB" w:eastAsia="en-US"/>
        </w:rPr>
        <w:t xml:space="preserve"> demanding this condition at all times, as long as the preferential treatment is given. Again here we see this regulation as an unnecessary and overburdening condition that needs to be deleted or at least modified to get in line with the regulation in Art. </w:t>
      </w:r>
      <w:proofErr w:type="gramStart"/>
      <w:r w:rsidRPr="003630D5">
        <w:rPr>
          <w:rFonts w:cs="Arial"/>
          <w:color w:val="000000"/>
          <w:lang w:val="en-GB" w:eastAsia="en-US"/>
        </w:rPr>
        <w:t>414 CRR.</w:t>
      </w:r>
      <w:proofErr w:type="gramEnd"/>
    </w:p>
    <w:p w:rsidR="003568E9" w:rsidRDefault="003568E9" w:rsidP="00C02F42">
      <w:pPr>
        <w:rPr>
          <w:lang w:val="en-US"/>
        </w:rPr>
      </w:pPr>
    </w:p>
    <w:p w:rsidR="00007060" w:rsidRPr="003630D5" w:rsidRDefault="00007060" w:rsidP="00C02F42">
      <w:pPr>
        <w:rPr>
          <w:lang w:val="en-US"/>
        </w:rPr>
      </w:pPr>
    </w:p>
    <w:p w:rsidR="00C84D8A" w:rsidRPr="00767DA3" w:rsidRDefault="00C66013" w:rsidP="007C2846">
      <w:pPr>
        <w:spacing w:line="240" w:lineRule="auto"/>
        <w:rPr>
          <w:rFonts w:cs="Arial"/>
          <w:color w:val="000000"/>
          <w:lang w:val="en-GB" w:eastAsia="en-US"/>
        </w:rPr>
      </w:pPr>
      <w:r w:rsidRPr="00767DA3">
        <w:rPr>
          <w:rFonts w:cs="Arial"/>
          <w:color w:val="000000"/>
          <w:lang w:val="en-GB" w:eastAsia="en-US"/>
        </w:rPr>
        <w:t>We ask you to give our remarks du</w:t>
      </w:r>
      <w:r w:rsidR="00B960F5" w:rsidRPr="00767DA3">
        <w:rPr>
          <w:rFonts w:cs="Arial"/>
          <w:color w:val="000000"/>
          <w:lang w:val="en-GB" w:eastAsia="en-US"/>
        </w:rPr>
        <w:t>e consideration.</w:t>
      </w:r>
    </w:p>
    <w:p w:rsidR="00686189" w:rsidRPr="00767DA3" w:rsidRDefault="00686189" w:rsidP="007C2846">
      <w:pPr>
        <w:spacing w:line="240" w:lineRule="auto"/>
        <w:rPr>
          <w:rFonts w:cs="Arial"/>
          <w:color w:val="000000"/>
          <w:lang w:val="en-GB" w:eastAsia="en-US"/>
        </w:rPr>
      </w:pPr>
    </w:p>
    <w:p w:rsidR="00C84D8A" w:rsidRPr="00767DA3" w:rsidRDefault="00686189" w:rsidP="007C2846">
      <w:pPr>
        <w:spacing w:line="240" w:lineRule="auto"/>
        <w:rPr>
          <w:rFonts w:cs="Arial"/>
          <w:color w:val="000000"/>
          <w:lang w:val="en-GB" w:eastAsia="en-US"/>
        </w:rPr>
      </w:pPr>
      <w:r w:rsidRPr="00767DA3">
        <w:rPr>
          <w:rFonts w:cs="Arial"/>
          <w:color w:val="000000"/>
          <w:lang w:val="en-GB" w:eastAsia="en-US"/>
        </w:rPr>
        <w:t>Y</w:t>
      </w:r>
      <w:r w:rsidR="00C84D8A" w:rsidRPr="00767DA3">
        <w:rPr>
          <w:rFonts w:cs="Arial"/>
          <w:color w:val="000000"/>
          <w:lang w:val="en-GB" w:eastAsia="en-US"/>
        </w:rPr>
        <w:t xml:space="preserve">ours </w:t>
      </w:r>
      <w:r w:rsidR="004A01A9" w:rsidRPr="00767DA3">
        <w:rPr>
          <w:rFonts w:cs="Arial"/>
          <w:color w:val="000000"/>
          <w:lang w:val="en-GB" w:eastAsia="en-US"/>
        </w:rPr>
        <w:t>sincerely</w:t>
      </w:r>
      <w:r w:rsidR="00C84D8A" w:rsidRPr="00767DA3">
        <w:rPr>
          <w:rFonts w:cs="Arial"/>
          <w:color w:val="000000"/>
          <w:lang w:val="en-GB" w:eastAsia="en-US"/>
        </w:rPr>
        <w:t>,</w:t>
      </w:r>
    </w:p>
    <w:p w:rsidR="00F31CB0" w:rsidRPr="00767DA3" w:rsidRDefault="00F31CB0" w:rsidP="007C2846">
      <w:pPr>
        <w:spacing w:line="240" w:lineRule="auto"/>
        <w:rPr>
          <w:rFonts w:cs="Arial"/>
          <w:color w:val="000000"/>
          <w:lang w:val="en-GB" w:eastAsia="en-US"/>
        </w:rPr>
      </w:pPr>
    </w:p>
    <w:p w:rsidR="00C84D8A" w:rsidRPr="00767DA3" w:rsidRDefault="00C84D8A" w:rsidP="007C2846">
      <w:pPr>
        <w:spacing w:line="240" w:lineRule="auto"/>
        <w:rPr>
          <w:rFonts w:cs="Arial"/>
          <w:color w:val="000000"/>
          <w:lang w:val="en-GB" w:eastAsia="en-US"/>
        </w:rPr>
      </w:pPr>
      <w:r w:rsidRPr="00767DA3">
        <w:rPr>
          <w:rFonts w:cs="Arial"/>
          <w:color w:val="000000"/>
          <w:lang w:val="en-GB" w:eastAsia="en-US"/>
        </w:rPr>
        <w:t>Dr. Franz Rudorfer</w:t>
      </w:r>
    </w:p>
    <w:p w:rsidR="00C84D8A" w:rsidRPr="00767DA3" w:rsidRDefault="00C84D8A" w:rsidP="007C2846">
      <w:pPr>
        <w:spacing w:line="240" w:lineRule="auto"/>
        <w:rPr>
          <w:rFonts w:cs="Arial"/>
          <w:color w:val="000000"/>
          <w:lang w:val="en-GB" w:eastAsia="en-US"/>
        </w:rPr>
      </w:pPr>
      <w:r w:rsidRPr="00767DA3">
        <w:rPr>
          <w:rFonts w:cs="Arial"/>
          <w:color w:val="000000"/>
          <w:lang w:val="en-GB" w:eastAsia="en-US"/>
        </w:rPr>
        <w:t>Managing Director</w:t>
      </w:r>
    </w:p>
    <w:p w:rsidR="005E1BA5" w:rsidRPr="00767DA3" w:rsidRDefault="00C84D8A" w:rsidP="007C2846">
      <w:pPr>
        <w:spacing w:line="240" w:lineRule="auto"/>
        <w:rPr>
          <w:noProof/>
          <w:lang w:val="en-GB"/>
        </w:rPr>
      </w:pPr>
      <w:r w:rsidRPr="00767DA3">
        <w:rPr>
          <w:rFonts w:cs="Arial"/>
          <w:color w:val="000000"/>
          <w:lang w:val="en-GB" w:eastAsia="en-US"/>
        </w:rPr>
        <w:t>Division Bank and Insurance</w:t>
      </w:r>
    </w:p>
    <w:p w:rsidR="00346DF4" w:rsidRPr="007C2846" w:rsidRDefault="00346DF4">
      <w:pPr>
        <w:spacing w:line="240" w:lineRule="auto"/>
        <w:rPr>
          <w:noProof/>
          <w:lang w:val="en-GB"/>
        </w:rPr>
      </w:pPr>
    </w:p>
    <w:sectPr w:rsidR="00346DF4" w:rsidRPr="007C2846" w:rsidSect="00F700E4">
      <w:headerReference w:type="default" r:id="rId9"/>
      <w:headerReference w:type="first" r:id="rId10"/>
      <w:pgSz w:w="11906" w:h="16838"/>
      <w:pgMar w:top="1701" w:right="851" w:bottom="1134" w:left="1418"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18E" w:rsidRDefault="0014018E">
      <w:r>
        <w:separator/>
      </w:r>
    </w:p>
  </w:endnote>
  <w:endnote w:type="continuationSeparator" w:id="0">
    <w:p w:rsidR="0014018E" w:rsidRDefault="00140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18E" w:rsidRDefault="0014018E">
      <w:r>
        <w:separator/>
      </w:r>
    </w:p>
  </w:footnote>
  <w:footnote w:type="continuationSeparator" w:id="0">
    <w:p w:rsidR="0014018E" w:rsidRDefault="00140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E" w:rsidRDefault="0014018E">
    <w:pPr>
      <w:pStyle w:val="Kopfzeile"/>
      <w:jc w:val="center"/>
    </w:pPr>
    <w:r>
      <w:t xml:space="preserve">- </w:t>
    </w:r>
    <w:r w:rsidR="008D5D3B">
      <w:rPr>
        <w:rStyle w:val="Seitenzahl"/>
      </w:rPr>
      <w:fldChar w:fldCharType="begin"/>
    </w:r>
    <w:r>
      <w:rPr>
        <w:rStyle w:val="Seitenzahl"/>
      </w:rPr>
      <w:instrText xml:space="preserve"> PAGE </w:instrText>
    </w:r>
    <w:r w:rsidR="008D5D3B">
      <w:rPr>
        <w:rStyle w:val="Seitenzahl"/>
      </w:rPr>
      <w:fldChar w:fldCharType="separate"/>
    </w:r>
    <w:r w:rsidR="00007060">
      <w:rPr>
        <w:rStyle w:val="Seitenzahl"/>
        <w:noProof/>
      </w:rPr>
      <w:t>2</w:t>
    </w:r>
    <w:r w:rsidR="008D5D3B">
      <w:rPr>
        <w:rStyle w:val="Seitenzahl"/>
      </w:rPr>
      <w:fldChar w:fldCharType="end"/>
    </w:r>
    <w:r>
      <w:rPr>
        <w:rStyle w:val="Seitenzah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E" w:rsidRDefault="0014018E">
    <w:pPr>
      <w:pStyle w:val="Kopfzeile"/>
      <w:jc w:val="right"/>
    </w:pPr>
    <w:r>
      <w:rPr>
        <w:noProof/>
        <w:snapToGrid/>
        <w:lang w:val="de-AT"/>
      </w:rPr>
      <w:drawing>
        <wp:anchor distT="0" distB="0" distL="114300" distR="114300" simplePos="0" relativeHeight="251657728" behindDoc="0" locked="1" layoutInCell="0" allowOverlap="1">
          <wp:simplePos x="0" y="0"/>
          <wp:positionH relativeFrom="page">
            <wp:posOffset>4859655</wp:posOffset>
          </wp:positionH>
          <wp:positionV relativeFrom="page">
            <wp:posOffset>197485</wp:posOffset>
          </wp:positionV>
          <wp:extent cx="2210435" cy="861695"/>
          <wp:effectExtent l="1905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11676"/>
    <w:multiLevelType w:val="hybridMultilevel"/>
    <w:tmpl w:val="AD7626E6"/>
    <w:lvl w:ilvl="0" w:tplc="AE685328">
      <w:numFmt w:val="bullet"/>
      <w:lvlText w:val="-"/>
      <w:lvlJc w:val="left"/>
      <w:pPr>
        <w:ind w:left="1065" w:hanging="705"/>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nsid w:val="21FB435A"/>
    <w:multiLevelType w:val="hybridMultilevel"/>
    <w:tmpl w:val="430A2FC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nsid w:val="2F7E33E9"/>
    <w:multiLevelType w:val="hybridMultilevel"/>
    <w:tmpl w:val="AE08DD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nsid w:val="587A10D2"/>
    <w:multiLevelType w:val="hybridMultilevel"/>
    <w:tmpl w:val="1D8E3446"/>
    <w:lvl w:ilvl="0" w:tplc="61902CC4">
      <w:numFmt w:val="bullet"/>
      <w:lvlText w:val="-"/>
      <w:lvlJc w:val="left"/>
      <w:pPr>
        <w:ind w:left="720" w:hanging="360"/>
      </w:pPr>
      <w:rPr>
        <w:rFonts w:ascii="Trebuchet MS" w:eastAsia="Times New Roman" w:hAnsi="Trebuchet M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6DFA673E"/>
    <w:multiLevelType w:val="hybridMultilevel"/>
    <w:tmpl w:val="E04C417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nsid w:val="7C004F2D"/>
    <w:multiLevelType w:val="hybridMultilevel"/>
    <w:tmpl w:val="6E82D81A"/>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5"/>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CC"/>
    <w:rsid w:val="00001730"/>
    <w:rsid w:val="00007060"/>
    <w:rsid w:val="000135FB"/>
    <w:rsid w:val="000163E0"/>
    <w:rsid w:val="00021DBA"/>
    <w:rsid w:val="00024D8C"/>
    <w:rsid w:val="00026657"/>
    <w:rsid w:val="00035D58"/>
    <w:rsid w:val="00044A71"/>
    <w:rsid w:val="00053316"/>
    <w:rsid w:val="00057439"/>
    <w:rsid w:val="00061814"/>
    <w:rsid w:val="000619FB"/>
    <w:rsid w:val="0006215B"/>
    <w:rsid w:val="00071436"/>
    <w:rsid w:val="00071BF7"/>
    <w:rsid w:val="00080E83"/>
    <w:rsid w:val="0008171B"/>
    <w:rsid w:val="0008527D"/>
    <w:rsid w:val="0008698A"/>
    <w:rsid w:val="00086BFB"/>
    <w:rsid w:val="000919C4"/>
    <w:rsid w:val="00094EB8"/>
    <w:rsid w:val="0009753B"/>
    <w:rsid w:val="000A0183"/>
    <w:rsid w:val="000A205C"/>
    <w:rsid w:val="000A4FC6"/>
    <w:rsid w:val="000A771B"/>
    <w:rsid w:val="000A7D13"/>
    <w:rsid w:val="000B2CE7"/>
    <w:rsid w:val="000B449E"/>
    <w:rsid w:val="000B4D96"/>
    <w:rsid w:val="000B572C"/>
    <w:rsid w:val="000D7538"/>
    <w:rsid w:val="000E511B"/>
    <w:rsid w:val="000F1070"/>
    <w:rsid w:val="000F2220"/>
    <w:rsid w:val="000F28BB"/>
    <w:rsid w:val="000F3572"/>
    <w:rsid w:val="000F74C7"/>
    <w:rsid w:val="00101144"/>
    <w:rsid w:val="00101383"/>
    <w:rsid w:val="001042B8"/>
    <w:rsid w:val="00105F0E"/>
    <w:rsid w:val="0011743A"/>
    <w:rsid w:val="00121770"/>
    <w:rsid w:val="00121CBD"/>
    <w:rsid w:val="001276A5"/>
    <w:rsid w:val="00127F3B"/>
    <w:rsid w:val="00131416"/>
    <w:rsid w:val="00131A98"/>
    <w:rsid w:val="00135A40"/>
    <w:rsid w:val="00137EF5"/>
    <w:rsid w:val="0014018E"/>
    <w:rsid w:val="0014746B"/>
    <w:rsid w:val="00151673"/>
    <w:rsid w:val="00151A78"/>
    <w:rsid w:val="00155AEE"/>
    <w:rsid w:val="00161914"/>
    <w:rsid w:val="00163CC0"/>
    <w:rsid w:val="00163DDA"/>
    <w:rsid w:val="00174D0C"/>
    <w:rsid w:val="00183969"/>
    <w:rsid w:val="00196D5C"/>
    <w:rsid w:val="00196EB4"/>
    <w:rsid w:val="001974F7"/>
    <w:rsid w:val="001B0788"/>
    <w:rsid w:val="001B4AB0"/>
    <w:rsid w:val="001C4931"/>
    <w:rsid w:val="001C49F8"/>
    <w:rsid w:val="001D40CC"/>
    <w:rsid w:val="001E0374"/>
    <w:rsid w:val="001F3545"/>
    <w:rsid w:val="002045CC"/>
    <w:rsid w:val="00205DE9"/>
    <w:rsid w:val="002061DD"/>
    <w:rsid w:val="00207AC9"/>
    <w:rsid w:val="00210FDF"/>
    <w:rsid w:val="00224981"/>
    <w:rsid w:val="00240D9B"/>
    <w:rsid w:val="0026358F"/>
    <w:rsid w:val="00264C67"/>
    <w:rsid w:val="00265C18"/>
    <w:rsid w:val="002711FC"/>
    <w:rsid w:val="00272C43"/>
    <w:rsid w:val="00280548"/>
    <w:rsid w:val="00282636"/>
    <w:rsid w:val="0028446E"/>
    <w:rsid w:val="00287819"/>
    <w:rsid w:val="00293410"/>
    <w:rsid w:val="00296269"/>
    <w:rsid w:val="002A00E4"/>
    <w:rsid w:val="002A15C7"/>
    <w:rsid w:val="002A3540"/>
    <w:rsid w:val="002B08BD"/>
    <w:rsid w:val="002B3BF4"/>
    <w:rsid w:val="002B4B41"/>
    <w:rsid w:val="002D14BF"/>
    <w:rsid w:val="002D4A90"/>
    <w:rsid w:val="002D69C4"/>
    <w:rsid w:val="002E4BD0"/>
    <w:rsid w:val="002F1DC4"/>
    <w:rsid w:val="003104AE"/>
    <w:rsid w:val="00312578"/>
    <w:rsid w:val="00316718"/>
    <w:rsid w:val="0031680D"/>
    <w:rsid w:val="00320A42"/>
    <w:rsid w:val="00325FCF"/>
    <w:rsid w:val="00327DD3"/>
    <w:rsid w:val="003303C4"/>
    <w:rsid w:val="00344DB8"/>
    <w:rsid w:val="00346DF4"/>
    <w:rsid w:val="003568E9"/>
    <w:rsid w:val="00361B24"/>
    <w:rsid w:val="003630D5"/>
    <w:rsid w:val="003814C3"/>
    <w:rsid w:val="00384948"/>
    <w:rsid w:val="00390AC7"/>
    <w:rsid w:val="003933A5"/>
    <w:rsid w:val="0039371D"/>
    <w:rsid w:val="003A5633"/>
    <w:rsid w:val="003B3D28"/>
    <w:rsid w:val="003B6B36"/>
    <w:rsid w:val="003C5804"/>
    <w:rsid w:val="003C622F"/>
    <w:rsid w:val="003C7778"/>
    <w:rsid w:val="003D07A4"/>
    <w:rsid w:val="003E09A5"/>
    <w:rsid w:val="003E6845"/>
    <w:rsid w:val="003F44A2"/>
    <w:rsid w:val="003F5EEF"/>
    <w:rsid w:val="003F6706"/>
    <w:rsid w:val="00404863"/>
    <w:rsid w:val="004235FB"/>
    <w:rsid w:val="00425684"/>
    <w:rsid w:val="00430245"/>
    <w:rsid w:val="004302FD"/>
    <w:rsid w:val="004339AE"/>
    <w:rsid w:val="004400CB"/>
    <w:rsid w:val="00445FAF"/>
    <w:rsid w:val="0044708F"/>
    <w:rsid w:val="00450B6F"/>
    <w:rsid w:val="00461F65"/>
    <w:rsid w:val="004632A4"/>
    <w:rsid w:val="00470480"/>
    <w:rsid w:val="004745CD"/>
    <w:rsid w:val="00480120"/>
    <w:rsid w:val="00482639"/>
    <w:rsid w:val="00485220"/>
    <w:rsid w:val="0048523B"/>
    <w:rsid w:val="00487A00"/>
    <w:rsid w:val="004926F1"/>
    <w:rsid w:val="004A01A9"/>
    <w:rsid w:val="004A115F"/>
    <w:rsid w:val="004B2194"/>
    <w:rsid w:val="004C0E9B"/>
    <w:rsid w:val="004C5E94"/>
    <w:rsid w:val="004C6FA4"/>
    <w:rsid w:val="004D1102"/>
    <w:rsid w:val="004D1A1E"/>
    <w:rsid w:val="004E2249"/>
    <w:rsid w:val="004E2A45"/>
    <w:rsid w:val="004E51E5"/>
    <w:rsid w:val="004F1B60"/>
    <w:rsid w:val="004F53C0"/>
    <w:rsid w:val="004F6198"/>
    <w:rsid w:val="00505343"/>
    <w:rsid w:val="0051495A"/>
    <w:rsid w:val="00517690"/>
    <w:rsid w:val="00521B7F"/>
    <w:rsid w:val="00535CF4"/>
    <w:rsid w:val="00550380"/>
    <w:rsid w:val="005548F9"/>
    <w:rsid w:val="00556359"/>
    <w:rsid w:val="00560A66"/>
    <w:rsid w:val="00562C44"/>
    <w:rsid w:val="00576F32"/>
    <w:rsid w:val="00590AAE"/>
    <w:rsid w:val="005A2D33"/>
    <w:rsid w:val="005B1218"/>
    <w:rsid w:val="005B3FB7"/>
    <w:rsid w:val="005C04FF"/>
    <w:rsid w:val="005C218C"/>
    <w:rsid w:val="005D0470"/>
    <w:rsid w:val="005D08DC"/>
    <w:rsid w:val="005D0B33"/>
    <w:rsid w:val="005D1620"/>
    <w:rsid w:val="005D4F47"/>
    <w:rsid w:val="005E1BA5"/>
    <w:rsid w:val="005E7180"/>
    <w:rsid w:val="005F5B48"/>
    <w:rsid w:val="005F632A"/>
    <w:rsid w:val="00606AFA"/>
    <w:rsid w:val="00622B51"/>
    <w:rsid w:val="00623752"/>
    <w:rsid w:val="00623872"/>
    <w:rsid w:val="006261AF"/>
    <w:rsid w:val="00641DC4"/>
    <w:rsid w:val="00642235"/>
    <w:rsid w:val="00642A57"/>
    <w:rsid w:val="006471E3"/>
    <w:rsid w:val="00650AE5"/>
    <w:rsid w:val="006518A3"/>
    <w:rsid w:val="0065464B"/>
    <w:rsid w:val="00677F47"/>
    <w:rsid w:val="00683614"/>
    <w:rsid w:val="0068403B"/>
    <w:rsid w:val="00686189"/>
    <w:rsid w:val="0069309F"/>
    <w:rsid w:val="00694B28"/>
    <w:rsid w:val="006A55B4"/>
    <w:rsid w:val="006C33D2"/>
    <w:rsid w:val="006D6427"/>
    <w:rsid w:val="006E0163"/>
    <w:rsid w:val="006E5185"/>
    <w:rsid w:val="0070253E"/>
    <w:rsid w:val="007053E7"/>
    <w:rsid w:val="007114EC"/>
    <w:rsid w:val="007203E6"/>
    <w:rsid w:val="007230AC"/>
    <w:rsid w:val="00724C39"/>
    <w:rsid w:val="0072798F"/>
    <w:rsid w:val="00732AFB"/>
    <w:rsid w:val="0073402F"/>
    <w:rsid w:val="0073440E"/>
    <w:rsid w:val="00743A63"/>
    <w:rsid w:val="00754BAF"/>
    <w:rsid w:val="00766B69"/>
    <w:rsid w:val="00767DA3"/>
    <w:rsid w:val="007751BD"/>
    <w:rsid w:val="007755BF"/>
    <w:rsid w:val="007757A9"/>
    <w:rsid w:val="007762A4"/>
    <w:rsid w:val="00776348"/>
    <w:rsid w:val="007816E4"/>
    <w:rsid w:val="00782541"/>
    <w:rsid w:val="00783F4D"/>
    <w:rsid w:val="007846C2"/>
    <w:rsid w:val="00795782"/>
    <w:rsid w:val="007A01B8"/>
    <w:rsid w:val="007A1751"/>
    <w:rsid w:val="007B32D2"/>
    <w:rsid w:val="007B3A82"/>
    <w:rsid w:val="007B3EA1"/>
    <w:rsid w:val="007B641D"/>
    <w:rsid w:val="007C2846"/>
    <w:rsid w:val="007C2F92"/>
    <w:rsid w:val="007D0A79"/>
    <w:rsid w:val="007D3573"/>
    <w:rsid w:val="007D4FE3"/>
    <w:rsid w:val="007E6B3B"/>
    <w:rsid w:val="00801234"/>
    <w:rsid w:val="0080414A"/>
    <w:rsid w:val="0081169B"/>
    <w:rsid w:val="00811CE5"/>
    <w:rsid w:val="00812F74"/>
    <w:rsid w:val="00815C5E"/>
    <w:rsid w:val="00816598"/>
    <w:rsid w:val="008255E7"/>
    <w:rsid w:val="008351DF"/>
    <w:rsid w:val="008406BB"/>
    <w:rsid w:val="0084684D"/>
    <w:rsid w:val="0086077B"/>
    <w:rsid w:val="00864AF6"/>
    <w:rsid w:val="008720A6"/>
    <w:rsid w:val="008745CD"/>
    <w:rsid w:val="00881BC0"/>
    <w:rsid w:val="00884544"/>
    <w:rsid w:val="0088500E"/>
    <w:rsid w:val="0089476E"/>
    <w:rsid w:val="008953FC"/>
    <w:rsid w:val="008B1362"/>
    <w:rsid w:val="008B1D1A"/>
    <w:rsid w:val="008C0AE8"/>
    <w:rsid w:val="008C0C66"/>
    <w:rsid w:val="008C679C"/>
    <w:rsid w:val="008D1E25"/>
    <w:rsid w:val="008D469D"/>
    <w:rsid w:val="008D5D3B"/>
    <w:rsid w:val="008D70E6"/>
    <w:rsid w:val="008E02AC"/>
    <w:rsid w:val="008F1DD3"/>
    <w:rsid w:val="008F3076"/>
    <w:rsid w:val="008F3EA3"/>
    <w:rsid w:val="0091585E"/>
    <w:rsid w:val="009303DC"/>
    <w:rsid w:val="00935B03"/>
    <w:rsid w:val="00935BB6"/>
    <w:rsid w:val="0093708A"/>
    <w:rsid w:val="00942F6C"/>
    <w:rsid w:val="0094333B"/>
    <w:rsid w:val="0094518B"/>
    <w:rsid w:val="009458C0"/>
    <w:rsid w:val="009632CC"/>
    <w:rsid w:val="00965380"/>
    <w:rsid w:val="009853E1"/>
    <w:rsid w:val="009922DC"/>
    <w:rsid w:val="009A6947"/>
    <w:rsid w:val="009B6C3A"/>
    <w:rsid w:val="009C1E08"/>
    <w:rsid w:val="009C6136"/>
    <w:rsid w:val="009D188F"/>
    <w:rsid w:val="009D58FA"/>
    <w:rsid w:val="009E1189"/>
    <w:rsid w:val="009E5929"/>
    <w:rsid w:val="009E5A12"/>
    <w:rsid w:val="009E66CA"/>
    <w:rsid w:val="009F4450"/>
    <w:rsid w:val="009F57DA"/>
    <w:rsid w:val="009F6A00"/>
    <w:rsid w:val="00A01B18"/>
    <w:rsid w:val="00A0265B"/>
    <w:rsid w:val="00A07FE0"/>
    <w:rsid w:val="00A147F7"/>
    <w:rsid w:val="00A21AEC"/>
    <w:rsid w:val="00A23371"/>
    <w:rsid w:val="00A23661"/>
    <w:rsid w:val="00A36834"/>
    <w:rsid w:val="00A42F7B"/>
    <w:rsid w:val="00A437DE"/>
    <w:rsid w:val="00A44D5F"/>
    <w:rsid w:val="00A500F1"/>
    <w:rsid w:val="00A5381E"/>
    <w:rsid w:val="00A54C2F"/>
    <w:rsid w:val="00A55757"/>
    <w:rsid w:val="00A64C34"/>
    <w:rsid w:val="00A705F5"/>
    <w:rsid w:val="00A707A7"/>
    <w:rsid w:val="00A70C7D"/>
    <w:rsid w:val="00A81341"/>
    <w:rsid w:val="00A82C13"/>
    <w:rsid w:val="00A8532A"/>
    <w:rsid w:val="00A955F6"/>
    <w:rsid w:val="00A97AE7"/>
    <w:rsid w:val="00AA0432"/>
    <w:rsid w:val="00AB5857"/>
    <w:rsid w:val="00AB59B3"/>
    <w:rsid w:val="00AD053F"/>
    <w:rsid w:val="00AE02B3"/>
    <w:rsid w:val="00AE457B"/>
    <w:rsid w:val="00AE6511"/>
    <w:rsid w:val="00B10218"/>
    <w:rsid w:val="00B17B80"/>
    <w:rsid w:val="00B22761"/>
    <w:rsid w:val="00B32456"/>
    <w:rsid w:val="00B36C46"/>
    <w:rsid w:val="00B447AA"/>
    <w:rsid w:val="00B467F0"/>
    <w:rsid w:val="00B46C57"/>
    <w:rsid w:val="00B51CB0"/>
    <w:rsid w:val="00B532F2"/>
    <w:rsid w:val="00B55633"/>
    <w:rsid w:val="00B57C55"/>
    <w:rsid w:val="00B6209E"/>
    <w:rsid w:val="00B63C71"/>
    <w:rsid w:val="00B64838"/>
    <w:rsid w:val="00B6488D"/>
    <w:rsid w:val="00B6710C"/>
    <w:rsid w:val="00B67CEF"/>
    <w:rsid w:val="00B85379"/>
    <w:rsid w:val="00B8623F"/>
    <w:rsid w:val="00B960F5"/>
    <w:rsid w:val="00BA5BEC"/>
    <w:rsid w:val="00BA5E95"/>
    <w:rsid w:val="00BA6878"/>
    <w:rsid w:val="00BA7A5E"/>
    <w:rsid w:val="00BB344D"/>
    <w:rsid w:val="00BC6569"/>
    <w:rsid w:val="00BD2D5E"/>
    <w:rsid w:val="00BD3A1D"/>
    <w:rsid w:val="00BD7362"/>
    <w:rsid w:val="00BE7A33"/>
    <w:rsid w:val="00BF1820"/>
    <w:rsid w:val="00BF2A57"/>
    <w:rsid w:val="00BF3BB7"/>
    <w:rsid w:val="00C02F42"/>
    <w:rsid w:val="00C044AE"/>
    <w:rsid w:val="00C21BF0"/>
    <w:rsid w:val="00C23AED"/>
    <w:rsid w:val="00C3459A"/>
    <w:rsid w:val="00C34E41"/>
    <w:rsid w:val="00C358D5"/>
    <w:rsid w:val="00C376E8"/>
    <w:rsid w:val="00C406D2"/>
    <w:rsid w:val="00C47B46"/>
    <w:rsid w:val="00C519C2"/>
    <w:rsid w:val="00C543F8"/>
    <w:rsid w:val="00C64B6E"/>
    <w:rsid w:val="00C66013"/>
    <w:rsid w:val="00C728A8"/>
    <w:rsid w:val="00C84D8A"/>
    <w:rsid w:val="00C97D15"/>
    <w:rsid w:val="00CA1356"/>
    <w:rsid w:val="00CA6A50"/>
    <w:rsid w:val="00CB2954"/>
    <w:rsid w:val="00CB797F"/>
    <w:rsid w:val="00CC1072"/>
    <w:rsid w:val="00CD2A67"/>
    <w:rsid w:val="00CD4E8C"/>
    <w:rsid w:val="00CD4ED3"/>
    <w:rsid w:val="00CE1526"/>
    <w:rsid w:val="00CE1A19"/>
    <w:rsid w:val="00CE3F94"/>
    <w:rsid w:val="00CE4DD7"/>
    <w:rsid w:val="00CF63BD"/>
    <w:rsid w:val="00D10757"/>
    <w:rsid w:val="00D1088D"/>
    <w:rsid w:val="00D35759"/>
    <w:rsid w:val="00D364F4"/>
    <w:rsid w:val="00D371BE"/>
    <w:rsid w:val="00D37B81"/>
    <w:rsid w:val="00D42F9C"/>
    <w:rsid w:val="00D51EC2"/>
    <w:rsid w:val="00D55968"/>
    <w:rsid w:val="00D57833"/>
    <w:rsid w:val="00D614D3"/>
    <w:rsid w:val="00D61E2F"/>
    <w:rsid w:val="00D63F9C"/>
    <w:rsid w:val="00D6614C"/>
    <w:rsid w:val="00D679C5"/>
    <w:rsid w:val="00D708D7"/>
    <w:rsid w:val="00D76BDD"/>
    <w:rsid w:val="00D77C55"/>
    <w:rsid w:val="00D82226"/>
    <w:rsid w:val="00D84A26"/>
    <w:rsid w:val="00D90D34"/>
    <w:rsid w:val="00D9226A"/>
    <w:rsid w:val="00DA13B9"/>
    <w:rsid w:val="00DA5251"/>
    <w:rsid w:val="00DB117B"/>
    <w:rsid w:val="00DB4FF8"/>
    <w:rsid w:val="00DC0A36"/>
    <w:rsid w:val="00DC2F9C"/>
    <w:rsid w:val="00DD4E27"/>
    <w:rsid w:val="00DE0704"/>
    <w:rsid w:val="00E0664D"/>
    <w:rsid w:val="00E2444D"/>
    <w:rsid w:val="00E25162"/>
    <w:rsid w:val="00E260A8"/>
    <w:rsid w:val="00E376EA"/>
    <w:rsid w:val="00E40277"/>
    <w:rsid w:val="00E41DFD"/>
    <w:rsid w:val="00E4233B"/>
    <w:rsid w:val="00E45332"/>
    <w:rsid w:val="00E505CF"/>
    <w:rsid w:val="00E51B60"/>
    <w:rsid w:val="00E72490"/>
    <w:rsid w:val="00E754C8"/>
    <w:rsid w:val="00E8006A"/>
    <w:rsid w:val="00E81371"/>
    <w:rsid w:val="00E82191"/>
    <w:rsid w:val="00E87DCD"/>
    <w:rsid w:val="00E95C5D"/>
    <w:rsid w:val="00EA1FF4"/>
    <w:rsid w:val="00EB13E2"/>
    <w:rsid w:val="00EB2182"/>
    <w:rsid w:val="00EB3B01"/>
    <w:rsid w:val="00EC6597"/>
    <w:rsid w:val="00ED0561"/>
    <w:rsid w:val="00ED171E"/>
    <w:rsid w:val="00ED2466"/>
    <w:rsid w:val="00EE33EF"/>
    <w:rsid w:val="00F039F2"/>
    <w:rsid w:val="00F06018"/>
    <w:rsid w:val="00F17F3D"/>
    <w:rsid w:val="00F253EA"/>
    <w:rsid w:val="00F26986"/>
    <w:rsid w:val="00F31CB0"/>
    <w:rsid w:val="00F37341"/>
    <w:rsid w:val="00F42876"/>
    <w:rsid w:val="00F472AC"/>
    <w:rsid w:val="00F57342"/>
    <w:rsid w:val="00F700E4"/>
    <w:rsid w:val="00F71922"/>
    <w:rsid w:val="00F744E0"/>
    <w:rsid w:val="00F77CC4"/>
    <w:rsid w:val="00F77E12"/>
    <w:rsid w:val="00F8025E"/>
    <w:rsid w:val="00F83CF8"/>
    <w:rsid w:val="00F878D2"/>
    <w:rsid w:val="00F90148"/>
    <w:rsid w:val="00F9470D"/>
    <w:rsid w:val="00F9528C"/>
    <w:rsid w:val="00FB464A"/>
    <w:rsid w:val="00FB6113"/>
    <w:rsid w:val="00FC5F01"/>
    <w:rsid w:val="00FD1999"/>
    <w:rsid w:val="00FD1D18"/>
    <w:rsid w:val="00FD48B2"/>
    <w:rsid w:val="00FD4B23"/>
    <w:rsid w:val="00FE48D6"/>
    <w:rsid w:val="00FF18C9"/>
    <w:rsid w:val="00FF7E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basedOn w:val="Standard"/>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basedOn w:val="Standard"/>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54276874">
      <w:bodyDiv w:val="1"/>
      <w:marLeft w:val="0"/>
      <w:marRight w:val="0"/>
      <w:marTop w:val="0"/>
      <w:marBottom w:val="0"/>
      <w:divBdr>
        <w:top w:val="none" w:sz="0" w:space="0" w:color="auto"/>
        <w:left w:val="none" w:sz="0" w:space="0" w:color="auto"/>
        <w:bottom w:val="none" w:sz="0" w:space="0" w:color="auto"/>
        <w:right w:val="none" w:sz="0" w:space="0" w:color="auto"/>
      </w:divBdr>
    </w:div>
    <w:div w:id="78412682">
      <w:bodyDiv w:val="1"/>
      <w:marLeft w:val="0"/>
      <w:marRight w:val="0"/>
      <w:marTop w:val="0"/>
      <w:marBottom w:val="0"/>
      <w:divBdr>
        <w:top w:val="none" w:sz="0" w:space="0" w:color="auto"/>
        <w:left w:val="none" w:sz="0" w:space="0" w:color="auto"/>
        <w:bottom w:val="none" w:sz="0" w:space="0" w:color="auto"/>
        <w:right w:val="none" w:sz="0" w:space="0" w:color="auto"/>
      </w:divBdr>
    </w:div>
    <w:div w:id="117992046">
      <w:bodyDiv w:val="1"/>
      <w:marLeft w:val="0"/>
      <w:marRight w:val="0"/>
      <w:marTop w:val="0"/>
      <w:marBottom w:val="0"/>
      <w:divBdr>
        <w:top w:val="none" w:sz="0" w:space="0" w:color="auto"/>
        <w:left w:val="none" w:sz="0" w:space="0" w:color="auto"/>
        <w:bottom w:val="none" w:sz="0" w:space="0" w:color="auto"/>
        <w:right w:val="none" w:sz="0" w:space="0" w:color="auto"/>
      </w:divBdr>
    </w:div>
    <w:div w:id="161164005">
      <w:bodyDiv w:val="1"/>
      <w:marLeft w:val="0"/>
      <w:marRight w:val="0"/>
      <w:marTop w:val="0"/>
      <w:marBottom w:val="0"/>
      <w:divBdr>
        <w:top w:val="none" w:sz="0" w:space="0" w:color="auto"/>
        <w:left w:val="none" w:sz="0" w:space="0" w:color="auto"/>
        <w:bottom w:val="none" w:sz="0" w:space="0" w:color="auto"/>
        <w:right w:val="none" w:sz="0" w:space="0" w:color="auto"/>
      </w:divBdr>
    </w:div>
    <w:div w:id="198661731">
      <w:bodyDiv w:val="1"/>
      <w:marLeft w:val="0"/>
      <w:marRight w:val="0"/>
      <w:marTop w:val="0"/>
      <w:marBottom w:val="0"/>
      <w:divBdr>
        <w:top w:val="none" w:sz="0" w:space="0" w:color="auto"/>
        <w:left w:val="none" w:sz="0" w:space="0" w:color="auto"/>
        <w:bottom w:val="none" w:sz="0" w:space="0" w:color="auto"/>
        <w:right w:val="none" w:sz="0" w:space="0" w:color="auto"/>
      </w:divBdr>
    </w:div>
    <w:div w:id="224804073">
      <w:bodyDiv w:val="1"/>
      <w:marLeft w:val="0"/>
      <w:marRight w:val="0"/>
      <w:marTop w:val="0"/>
      <w:marBottom w:val="0"/>
      <w:divBdr>
        <w:top w:val="none" w:sz="0" w:space="0" w:color="auto"/>
        <w:left w:val="none" w:sz="0" w:space="0" w:color="auto"/>
        <w:bottom w:val="none" w:sz="0" w:space="0" w:color="auto"/>
        <w:right w:val="none" w:sz="0" w:space="0" w:color="auto"/>
      </w:divBdr>
    </w:div>
    <w:div w:id="234628101">
      <w:bodyDiv w:val="1"/>
      <w:marLeft w:val="0"/>
      <w:marRight w:val="0"/>
      <w:marTop w:val="0"/>
      <w:marBottom w:val="0"/>
      <w:divBdr>
        <w:top w:val="none" w:sz="0" w:space="0" w:color="auto"/>
        <w:left w:val="none" w:sz="0" w:space="0" w:color="auto"/>
        <w:bottom w:val="none" w:sz="0" w:space="0" w:color="auto"/>
        <w:right w:val="none" w:sz="0" w:space="0" w:color="auto"/>
      </w:divBdr>
    </w:div>
    <w:div w:id="302588301">
      <w:bodyDiv w:val="1"/>
      <w:marLeft w:val="0"/>
      <w:marRight w:val="0"/>
      <w:marTop w:val="0"/>
      <w:marBottom w:val="0"/>
      <w:divBdr>
        <w:top w:val="none" w:sz="0" w:space="0" w:color="auto"/>
        <w:left w:val="none" w:sz="0" w:space="0" w:color="auto"/>
        <w:bottom w:val="none" w:sz="0" w:space="0" w:color="auto"/>
        <w:right w:val="none" w:sz="0" w:space="0" w:color="auto"/>
      </w:divBdr>
    </w:div>
    <w:div w:id="337125047">
      <w:bodyDiv w:val="1"/>
      <w:marLeft w:val="0"/>
      <w:marRight w:val="0"/>
      <w:marTop w:val="0"/>
      <w:marBottom w:val="0"/>
      <w:divBdr>
        <w:top w:val="none" w:sz="0" w:space="0" w:color="auto"/>
        <w:left w:val="none" w:sz="0" w:space="0" w:color="auto"/>
        <w:bottom w:val="none" w:sz="0" w:space="0" w:color="auto"/>
        <w:right w:val="none" w:sz="0" w:space="0" w:color="auto"/>
      </w:divBdr>
    </w:div>
    <w:div w:id="351954080">
      <w:bodyDiv w:val="1"/>
      <w:marLeft w:val="0"/>
      <w:marRight w:val="0"/>
      <w:marTop w:val="0"/>
      <w:marBottom w:val="0"/>
      <w:divBdr>
        <w:top w:val="none" w:sz="0" w:space="0" w:color="auto"/>
        <w:left w:val="none" w:sz="0" w:space="0" w:color="auto"/>
        <w:bottom w:val="none" w:sz="0" w:space="0" w:color="auto"/>
        <w:right w:val="none" w:sz="0" w:space="0" w:color="auto"/>
      </w:divBdr>
    </w:div>
    <w:div w:id="427432364">
      <w:bodyDiv w:val="1"/>
      <w:marLeft w:val="0"/>
      <w:marRight w:val="0"/>
      <w:marTop w:val="0"/>
      <w:marBottom w:val="0"/>
      <w:divBdr>
        <w:top w:val="none" w:sz="0" w:space="0" w:color="auto"/>
        <w:left w:val="none" w:sz="0" w:space="0" w:color="auto"/>
        <w:bottom w:val="none" w:sz="0" w:space="0" w:color="auto"/>
        <w:right w:val="none" w:sz="0" w:space="0" w:color="auto"/>
      </w:divBdr>
    </w:div>
    <w:div w:id="450175200">
      <w:bodyDiv w:val="1"/>
      <w:marLeft w:val="0"/>
      <w:marRight w:val="0"/>
      <w:marTop w:val="0"/>
      <w:marBottom w:val="0"/>
      <w:divBdr>
        <w:top w:val="none" w:sz="0" w:space="0" w:color="auto"/>
        <w:left w:val="none" w:sz="0" w:space="0" w:color="auto"/>
        <w:bottom w:val="none" w:sz="0" w:space="0" w:color="auto"/>
        <w:right w:val="none" w:sz="0" w:space="0" w:color="auto"/>
      </w:divBdr>
    </w:div>
    <w:div w:id="464276662">
      <w:bodyDiv w:val="1"/>
      <w:marLeft w:val="0"/>
      <w:marRight w:val="0"/>
      <w:marTop w:val="0"/>
      <w:marBottom w:val="0"/>
      <w:divBdr>
        <w:top w:val="none" w:sz="0" w:space="0" w:color="auto"/>
        <w:left w:val="none" w:sz="0" w:space="0" w:color="auto"/>
        <w:bottom w:val="none" w:sz="0" w:space="0" w:color="auto"/>
        <w:right w:val="none" w:sz="0" w:space="0" w:color="auto"/>
      </w:divBdr>
    </w:div>
    <w:div w:id="537739201">
      <w:bodyDiv w:val="1"/>
      <w:marLeft w:val="0"/>
      <w:marRight w:val="0"/>
      <w:marTop w:val="0"/>
      <w:marBottom w:val="0"/>
      <w:divBdr>
        <w:top w:val="none" w:sz="0" w:space="0" w:color="auto"/>
        <w:left w:val="none" w:sz="0" w:space="0" w:color="auto"/>
        <w:bottom w:val="none" w:sz="0" w:space="0" w:color="auto"/>
        <w:right w:val="none" w:sz="0" w:space="0" w:color="auto"/>
      </w:divBdr>
    </w:div>
    <w:div w:id="546066532">
      <w:bodyDiv w:val="1"/>
      <w:marLeft w:val="0"/>
      <w:marRight w:val="0"/>
      <w:marTop w:val="0"/>
      <w:marBottom w:val="0"/>
      <w:divBdr>
        <w:top w:val="none" w:sz="0" w:space="0" w:color="auto"/>
        <w:left w:val="none" w:sz="0" w:space="0" w:color="auto"/>
        <w:bottom w:val="none" w:sz="0" w:space="0" w:color="auto"/>
        <w:right w:val="none" w:sz="0" w:space="0" w:color="auto"/>
      </w:divBdr>
    </w:div>
    <w:div w:id="601913484">
      <w:bodyDiv w:val="1"/>
      <w:marLeft w:val="0"/>
      <w:marRight w:val="0"/>
      <w:marTop w:val="0"/>
      <w:marBottom w:val="0"/>
      <w:divBdr>
        <w:top w:val="none" w:sz="0" w:space="0" w:color="auto"/>
        <w:left w:val="none" w:sz="0" w:space="0" w:color="auto"/>
        <w:bottom w:val="none" w:sz="0" w:space="0" w:color="auto"/>
        <w:right w:val="none" w:sz="0" w:space="0" w:color="auto"/>
      </w:divBdr>
    </w:div>
    <w:div w:id="674309752">
      <w:bodyDiv w:val="1"/>
      <w:marLeft w:val="0"/>
      <w:marRight w:val="0"/>
      <w:marTop w:val="0"/>
      <w:marBottom w:val="0"/>
      <w:divBdr>
        <w:top w:val="none" w:sz="0" w:space="0" w:color="auto"/>
        <w:left w:val="none" w:sz="0" w:space="0" w:color="auto"/>
        <w:bottom w:val="none" w:sz="0" w:space="0" w:color="auto"/>
        <w:right w:val="none" w:sz="0" w:space="0" w:color="auto"/>
      </w:divBdr>
    </w:div>
    <w:div w:id="678191585">
      <w:bodyDiv w:val="1"/>
      <w:marLeft w:val="0"/>
      <w:marRight w:val="0"/>
      <w:marTop w:val="0"/>
      <w:marBottom w:val="0"/>
      <w:divBdr>
        <w:top w:val="none" w:sz="0" w:space="0" w:color="auto"/>
        <w:left w:val="none" w:sz="0" w:space="0" w:color="auto"/>
        <w:bottom w:val="none" w:sz="0" w:space="0" w:color="auto"/>
        <w:right w:val="none" w:sz="0" w:space="0" w:color="auto"/>
      </w:divBdr>
    </w:div>
    <w:div w:id="769204917">
      <w:bodyDiv w:val="1"/>
      <w:marLeft w:val="0"/>
      <w:marRight w:val="0"/>
      <w:marTop w:val="0"/>
      <w:marBottom w:val="0"/>
      <w:divBdr>
        <w:top w:val="none" w:sz="0" w:space="0" w:color="auto"/>
        <w:left w:val="none" w:sz="0" w:space="0" w:color="auto"/>
        <w:bottom w:val="none" w:sz="0" w:space="0" w:color="auto"/>
        <w:right w:val="none" w:sz="0" w:space="0" w:color="auto"/>
      </w:divBdr>
    </w:div>
    <w:div w:id="815998986">
      <w:bodyDiv w:val="1"/>
      <w:marLeft w:val="0"/>
      <w:marRight w:val="0"/>
      <w:marTop w:val="0"/>
      <w:marBottom w:val="0"/>
      <w:divBdr>
        <w:top w:val="none" w:sz="0" w:space="0" w:color="auto"/>
        <w:left w:val="none" w:sz="0" w:space="0" w:color="auto"/>
        <w:bottom w:val="none" w:sz="0" w:space="0" w:color="auto"/>
        <w:right w:val="none" w:sz="0" w:space="0" w:color="auto"/>
      </w:divBdr>
    </w:div>
    <w:div w:id="855340421">
      <w:bodyDiv w:val="1"/>
      <w:marLeft w:val="0"/>
      <w:marRight w:val="0"/>
      <w:marTop w:val="0"/>
      <w:marBottom w:val="0"/>
      <w:divBdr>
        <w:top w:val="none" w:sz="0" w:space="0" w:color="auto"/>
        <w:left w:val="none" w:sz="0" w:space="0" w:color="auto"/>
        <w:bottom w:val="none" w:sz="0" w:space="0" w:color="auto"/>
        <w:right w:val="none" w:sz="0" w:space="0" w:color="auto"/>
      </w:divBdr>
    </w:div>
    <w:div w:id="862595549">
      <w:bodyDiv w:val="1"/>
      <w:marLeft w:val="0"/>
      <w:marRight w:val="0"/>
      <w:marTop w:val="0"/>
      <w:marBottom w:val="0"/>
      <w:divBdr>
        <w:top w:val="none" w:sz="0" w:space="0" w:color="auto"/>
        <w:left w:val="none" w:sz="0" w:space="0" w:color="auto"/>
        <w:bottom w:val="none" w:sz="0" w:space="0" w:color="auto"/>
        <w:right w:val="none" w:sz="0" w:space="0" w:color="auto"/>
      </w:divBdr>
    </w:div>
    <w:div w:id="883759583">
      <w:bodyDiv w:val="1"/>
      <w:marLeft w:val="0"/>
      <w:marRight w:val="0"/>
      <w:marTop w:val="0"/>
      <w:marBottom w:val="0"/>
      <w:divBdr>
        <w:top w:val="none" w:sz="0" w:space="0" w:color="auto"/>
        <w:left w:val="none" w:sz="0" w:space="0" w:color="auto"/>
        <w:bottom w:val="none" w:sz="0" w:space="0" w:color="auto"/>
        <w:right w:val="none" w:sz="0" w:space="0" w:color="auto"/>
      </w:divBdr>
    </w:div>
    <w:div w:id="903637825">
      <w:bodyDiv w:val="1"/>
      <w:marLeft w:val="0"/>
      <w:marRight w:val="0"/>
      <w:marTop w:val="0"/>
      <w:marBottom w:val="0"/>
      <w:divBdr>
        <w:top w:val="none" w:sz="0" w:space="0" w:color="auto"/>
        <w:left w:val="none" w:sz="0" w:space="0" w:color="auto"/>
        <w:bottom w:val="none" w:sz="0" w:space="0" w:color="auto"/>
        <w:right w:val="none" w:sz="0" w:space="0" w:color="auto"/>
      </w:divBdr>
    </w:div>
    <w:div w:id="914778966">
      <w:bodyDiv w:val="1"/>
      <w:marLeft w:val="0"/>
      <w:marRight w:val="0"/>
      <w:marTop w:val="0"/>
      <w:marBottom w:val="0"/>
      <w:divBdr>
        <w:top w:val="none" w:sz="0" w:space="0" w:color="auto"/>
        <w:left w:val="none" w:sz="0" w:space="0" w:color="auto"/>
        <w:bottom w:val="none" w:sz="0" w:space="0" w:color="auto"/>
        <w:right w:val="none" w:sz="0" w:space="0" w:color="auto"/>
      </w:divBdr>
    </w:div>
    <w:div w:id="958217177">
      <w:bodyDiv w:val="1"/>
      <w:marLeft w:val="0"/>
      <w:marRight w:val="0"/>
      <w:marTop w:val="0"/>
      <w:marBottom w:val="0"/>
      <w:divBdr>
        <w:top w:val="none" w:sz="0" w:space="0" w:color="auto"/>
        <w:left w:val="none" w:sz="0" w:space="0" w:color="auto"/>
        <w:bottom w:val="none" w:sz="0" w:space="0" w:color="auto"/>
        <w:right w:val="none" w:sz="0" w:space="0" w:color="auto"/>
      </w:divBdr>
    </w:div>
    <w:div w:id="978919423">
      <w:bodyDiv w:val="1"/>
      <w:marLeft w:val="0"/>
      <w:marRight w:val="0"/>
      <w:marTop w:val="0"/>
      <w:marBottom w:val="0"/>
      <w:divBdr>
        <w:top w:val="none" w:sz="0" w:space="0" w:color="auto"/>
        <w:left w:val="none" w:sz="0" w:space="0" w:color="auto"/>
        <w:bottom w:val="none" w:sz="0" w:space="0" w:color="auto"/>
        <w:right w:val="none" w:sz="0" w:space="0" w:color="auto"/>
      </w:divBdr>
    </w:div>
    <w:div w:id="1006325011">
      <w:bodyDiv w:val="1"/>
      <w:marLeft w:val="0"/>
      <w:marRight w:val="0"/>
      <w:marTop w:val="0"/>
      <w:marBottom w:val="0"/>
      <w:divBdr>
        <w:top w:val="none" w:sz="0" w:space="0" w:color="auto"/>
        <w:left w:val="none" w:sz="0" w:space="0" w:color="auto"/>
        <w:bottom w:val="none" w:sz="0" w:space="0" w:color="auto"/>
        <w:right w:val="none" w:sz="0" w:space="0" w:color="auto"/>
      </w:divBdr>
    </w:div>
    <w:div w:id="1087001069">
      <w:bodyDiv w:val="1"/>
      <w:marLeft w:val="0"/>
      <w:marRight w:val="0"/>
      <w:marTop w:val="0"/>
      <w:marBottom w:val="0"/>
      <w:divBdr>
        <w:top w:val="none" w:sz="0" w:space="0" w:color="auto"/>
        <w:left w:val="none" w:sz="0" w:space="0" w:color="auto"/>
        <w:bottom w:val="none" w:sz="0" w:space="0" w:color="auto"/>
        <w:right w:val="none" w:sz="0" w:space="0" w:color="auto"/>
      </w:divBdr>
    </w:div>
    <w:div w:id="1175993054">
      <w:bodyDiv w:val="1"/>
      <w:marLeft w:val="0"/>
      <w:marRight w:val="0"/>
      <w:marTop w:val="0"/>
      <w:marBottom w:val="0"/>
      <w:divBdr>
        <w:top w:val="none" w:sz="0" w:space="0" w:color="auto"/>
        <w:left w:val="none" w:sz="0" w:space="0" w:color="auto"/>
        <w:bottom w:val="none" w:sz="0" w:space="0" w:color="auto"/>
        <w:right w:val="none" w:sz="0" w:space="0" w:color="auto"/>
      </w:divBdr>
    </w:div>
    <w:div w:id="1209225123">
      <w:bodyDiv w:val="1"/>
      <w:marLeft w:val="0"/>
      <w:marRight w:val="0"/>
      <w:marTop w:val="0"/>
      <w:marBottom w:val="0"/>
      <w:divBdr>
        <w:top w:val="none" w:sz="0" w:space="0" w:color="auto"/>
        <w:left w:val="none" w:sz="0" w:space="0" w:color="auto"/>
        <w:bottom w:val="none" w:sz="0" w:space="0" w:color="auto"/>
        <w:right w:val="none" w:sz="0" w:space="0" w:color="auto"/>
      </w:divBdr>
    </w:div>
    <w:div w:id="1210145135">
      <w:bodyDiv w:val="1"/>
      <w:marLeft w:val="0"/>
      <w:marRight w:val="0"/>
      <w:marTop w:val="0"/>
      <w:marBottom w:val="0"/>
      <w:divBdr>
        <w:top w:val="none" w:sz="0" w:space="0" w:color="auto"/>
        <w:left w:val="none" w:sz="0" w:space="0" w:color="auto"/>
        <w:bottom w:val="none" w:sz="0" w:space="0" w:color="auto"/>
        <w:right w:val="none" w:sz="0" w:space="0" w:color="auto"/>
      </w:divBdr>
    </w:div>
    <w:div w:id="1283347804">
      <w:bodyDiv w:val="1"/>
      <w:marLeft w:val="0"/>
      <w:marRight w:val="0"/>
      <w:marTop w:val="0"/>
      <w:marBottom w:val="0"/>
      <w:divBdr>
        <w:top w:val="none" w:sz="0" w:space="0" w:color="auto"/>
        <w:left w:val="none" w:sz="0" w:space="0" w:color="auto"/>
        <w:bottom w:val="none" w:sz="0" w:space="0" w:color="auto"/>
        <w:right w:val="none" w:sz="0" w:space="0" w:color="auto"/>
      </w:divBdr>
    </w:div>
    <w:div w:id="1375353865">
      <w:bodyDiv w:val="1"/>
      <w:marLeft w:val="0"/>
      <w:marRight w:val="0"/>
      <w:marTop w:val="0"/>
      <w:marBottom w:val="0"/>
      <w:divBdr>
        <w:top w:val="none" w:sz="0" w:space="0" w:color="auto"/>
        <w:left w:val="none" w:sz="0" w:space="0" w:color="auto"/>
        <w:bottom w:val="none" w:sz="0" w:space="0" w:color="auto"/>
        <w:right w:val="none" w:sz="0" w:space="0" w:color="auto"/>
      </w:divBdr>
    </w:div>
    <w:div w:id="1401950921">
      <w:bodyDiv w:val="1"/>
      <w:marLeft w:val="0"/>
      <w:marRight w:val="0"/>
      <w:marTop w:val="0"/>
      <w:marBottom w:val="0"/>
      <w:divBdr>
        <w:top w:val="none" w:sz="0" w:space="0" w:color="auto"/>
        <w:left w:val="none" w:sz="0" w:space="0" w:color="auto"/>
        <w:bottom w:val="none" w:sz="0" w:space="0" w:color="auto"/>
        <w:right w:val="none" w:sz="0" w:space="0" w:color="auto"/>
      </w:divBdr>
    </w:div>
    <w:div w:id="1436289696">
      <w:bodyDiv w:val="1"/>
      <w:marLeft w:val="0"/>
      <w:marRight w:val="0"/>
      <w:marTop w:val="0"/>
      <w:marBottom w:val="0"/>
      <w:divBdr>
        <w:top w:val="none" w:sz="0" w:space="0" w:color="auto"/>
        <w:left w:val="none" w:sz="0" w:space="0" w:color="auto"/>
        <w:bottom w:val="none" w:sz="0" w:space="0" w:color="auto"/>
        <w:right w:val="none" w:sz="0" w:space="0" w:color="auto"/>
      </w:divBdr>
    </w:div>
    <w:div w:id="1511212493">
      <w:bodyDiv w:val="1"/>
      <w:marLeft w:val="0"/>
      <w:marRight w:val="0"/>
      <w:marTop w:val="0"/>
      <w:marBottom w:val="0"/>
      <w:divBdr>
        <w:top w:val="none" w:sz="0" w:space="0" w:color="auto"/>
        <w:left w:val="none" w:sz="0" w:space="0" w:color="auto"/>
        <w:bottom w:val="none" w:sz="0" w:space="0" w:color="auto"/>
        <w:right w:val="none" w:sz="0" w:space="0" w:color="auto"/>
      </w:divBdr>
    </w:div>
    <w:div w:id="1572078641">
      <w:bodyDiv w:val="1"/>
      <w:marLeft w:val="0"/>
      <w:marRight w:val="0"/>
      <w:marTop w:val="0"/>
      <w:marBottom w:val="0"/>
      <w:divBdr>
        <w:top w:val="none" w:sz="0" w:space="0" w:color="auto"/>
        <w:left w:val="none" w:sz="0" w:space="0" w:color="auto"/>
        <w:bottom w:val="none" w:sz="0" w:space="0" w:color="auto"/>
        <w:right w:val="none" w:sz="0" w:space="0" w:color="auto"/>
      </w:divBdr>
    </w:div>
    <w:div w:id="1581714927">
      <w:bodyDiv w:val="1"/>
      <w:marLeft w:val="0"/>
      <w:marRight w:val="0"/>
      <w:marTop w:val="0"/>
      <w:marBottom w:val="0"/>
      <w:divBdr>
        <w:top w:val="none" w:sz="0" w:space="0" w:color="auto"/>
        <w:left w:val="none" w:sz="0" w:space="0" w:color="auto"/>
        <w:bottom w:val="none" w:sz="0" w:space="0" w:color="auto"/>
        <w:right w:val="none" w:sz="0" w:space="0" w:color="auto"/>
      </w:divBdr>
    </w:div>
    <w:div w:id="1606305908">
      <w:bodyDiv w:val="1"/>
      <w:marLeft w:val="0"/>
      <w:marRight w:val="0"/>
      <w:marTop w:val="0"/>
      <w:marBottom w:val="0"/>
      <w:divBdr>
        <w:top w:val="none" w:sz="0" w:space="0" w:color="auto"/>
        <w:left w:val="none" w:sz="0" w:space="0" w:color="auto"/>
        <w:bottom w:val="none" w:sz="0" w:space="0" w:color="auto"/>
        <w:right w:val="none" w:sz="0" w:space="0" w:color="auto"/>
      </w:divBdr>
    </w:div>
    <w:div w:id="1660037952">
      <w:bodyDiv w:val="1"/>
      <w:marLeft w:val="0"/>
      <w:marRight w:val="0"/>
      <w:marTop w:val="0"/>
      <w:marBottom w:val="0"/>
      <w:divBdr>
        <w:top w:val="none" w:sz="0" w:space="0" w:color="auto"/>
        <w:left w:val="none" w:sz="0" w:space="0" w:color="auto"/>
        <w:bottom w:val="none" w:sz="0" w:space="0" w:color="auto"/>
        <w:right w:val="none" w:sz="0" w:space="0" w:color="auto"/>
      </w:divBdr>
    </w:div>
    <w:div w:id="1832208781">
      <w:bodyDiv w:val="1"/>
      <w:marLeft w:val="0"/>
      <w:marRight w:val="0"/>
      <w:marTop w:val="0"/>
      <w:marBottom w:val="0"/>
      <w:divBdr>
        <w:top w:val="none" w:sz="0" w:space="0" w:color="auto"/>
        <w:left w:val="none" w:sz="0" w:space="0" w:color="auto"/>
        <w:bottom w:val="none" w:sz="0" w:space="0" w:color="auto"/>
        <w:right w:val="none" w:sz="0" w:space="0" w:color="auto"/>
      </w:divBdr>
    </w:div>
    <w:div w:id="1955208613">
      <w:bodyDiv w:val="1"/>
      <w:marLeft w:val="0"/>
      <w:marRight w:val="0"/>
      <w:marTop w:val="0"/>
      <w:marBottom w:val="0"/>
      <w:divBdr>
        <w:top w:val="none" w:sz="0" w:space="0" w:color="auto"/>
        <w:left w:val="none" w:sz="0" w:space="0" w:color="auto"/>
        <w:bottom w:val="none" w:sz="0" w:space="0" w:color="auto"/>
        <w:right w:val="none" w:sz="0" w:space="0" w:color="auto"/>
      </w:divBdr>
    </w:div>
    <w:div w:id="1970088177">
      <w:bodyDiv w:val="1"/>
      <w:marLeft w:val="0"/>
      <w:marRight w:val="0"/>
      <w:marTop w:val="0"/>
      <w:marBottom w:val="0"/>
      <w:divBdr>
        <w:top w:val="none" w:sz="0" w:space="0" w:color="auto"/>
        <w:left w:val="none" w:sz="0" w:space="0" w:color="auto"/>
        <w:bottom w:val="none" w:sz="0" w:space="0" w:color="auto"/>
        <w:right w:val="none" w:sz="0" w:space="0" w:color="auto"/>
      </w:divBdr>
    </w:div>
    <w:div w:id="1998993635">
      <w:bodyDiv w:val="1"/>
      <w:marLeft w:val="0"/>
      <w:marRight w:val="0"/>
      <w:marTop w:val="0"/>
      <w:marBottom w:val="0"/>
      <w:divBdr>
        <w:top w:val="none" w:sz="0" w:space="0" w:color="auto"/>
        <w:left w:val="none" w:sz="0" w:space="0" w:color="auto"/>
        <w:bottom w:val="none" w:sz="0" w:space="0" w:color="auto"/>
        <w:right w:val="none" w:sz="0" w:space="0" w:color="auto"/>
      </w:divBdr>
    </w:div>
    <w:div w:id="2025087811">
      <w:bodyDiv w:val="1"/>
      <w:marLeft w:val="0"/>
      <w:marRight w:val="0"/>
      <w:marTop w:val="0"/>
      <w:marBottom w:val="0"/>
      <w:divBdr>
        <w:top w:val="none" w:sz="0" w:space="0" w:color="auto"/>
        <w:left w:val="none" w:sz="0" w:space="0" w:color="auto"/>
        <w:bottom w:val="none" w:sz="0" w:space="0" w:color="auto"/>
        <w:right w:val="none" w:sz="0" w:space="0" w:color="auto"/>
      </w:divBdr>
    </w:div>
    <w:div w:id="21349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618E-E210-4789-97EF-C6A620D2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3802</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Manuela Bruck</dc:creator>
  <dc:description>Translation: www.brainstorm.at</dc:description>
  <cp:lastModifiedBy>Horvath Philipp, LL.M., WKÖ BSBV</cp:lastModifiedBy>
  <cp:revision>4</cp:revision>
  <cp:lastPrinted>2015-09-30T08:11:00Z</cp:lastPrinted>
  <dcterms:created xsi:type="dcterms:W3CDTF">2016-01-07T12:19:00Z</dcterms:created>
  <dcterms:modified xsi:type="dcterms:W3CDTF">2016-01-07T12:32:00Z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ies>
</file>