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5102"/>
        <w:gridCol w:w="4649"/>
      </w:tblGrid>
      <w:tr w:rsidR="00642235" w:rsidRPr="00CE5D6F" w:rsidTr="00D364F4">
        <w:trPr>
          <w:trHeight w:hRule="exact" w:val="3600"/>
        </w:trPr>
        <w:tc>
          <w:tcPr>
            <w:tcW w:w="5102" w:type="dxa"/>
          </w:tcPr>
          <w:p w:rsidR="00B51CB0" w:rsidRPr="00805DBB" w:rsidRDefault="00650AE5" w:rsidP="00CE5D6F">
            <w:r>
              <w:rPr>
                <w:lang w:val="fi-FI"/>
              </w:rPr>
              <w:br/>
            </w:r>
          </w:p>
          <w:p w:rsidR="00B51CB0" w:rsidRDefault="00B51CB0" w:rsidP="00CE5D6F">
            <w:pPr>
              <w:rPr>
                <w:lang w:val="fi-FI"/>
              </w:rPr>
            </w:pPr>
          </w:p>
          <w:p w:rsidR="00CB2954" w:rsidRPr="00B22761" w:rsidRDefault="00CB2954" w:rsidP="00CE5D6F">
            <w:pPr>
              <w:rPr>
                <w:sz w:val="52"/>
                <w:szCs w:val="52"/>
                <w:lang w:val="fi-FI"/>
              </w:rPr>
            </w:pPr>
          </w:p>
        </w:tc>
        <w:tc>
          <w:tcPr>
            <w:tcW w:w="4649" w:type="dxa"/>
          </w:tcPr>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60" w:lineRule="atLeast"/>
              <w:jc w:val="right"/>
              <w:rPr>
                <w:b/>
                <w:bCs/>
                <w:noProof/>
                <w:color w:val="000000"/>
                <w:sz w:val="18"/>
                <w:szCs w:val="18"/>
                <w:lang w:val="en-GB"/>
              </w:rPr>
            </w:pPr>
            <w:r w:rsidRPr="00B55633">
              <w:rPr>
                <w:b/>
                <w:bCs/>
                <w:noProof/>
                <w:color w:val="000000"/>
                <w:sz w:val="18"/>
                <w:szCs w:val="18"/>
                <w:lang w:val="fi-FI"/>
              </w:rPr>
              <w:t xml:space="preserve"> </w:t>
            </w:r>
            <w:r w:rsidRPr="00D364F4">
              <w:rPr>
                <w:b/>
                <w:bCs/>
                <w:noProof/>
                <w:color w:val="000000"/>
                <w:sz w:val="18"/>
                <w:szCs w:val="18"/>
                <w:lang w:val="en-GB"/>
              </w:rPr>
              <w:t>Division Bank and Insurance</w:t>
            </w:r>
          </w:p>
          <w:p w:rsidR="00C47B46" w:rsidRPr="00D364F4" w:rsidRDefault="00C47B46" w:rsidP="00CE5D6F">
            <w:pPr>
              <w:spacing w:line="260" w:lineRule="atLeast"/>
              <w:jc w:val="right"/>
              <w:rPr>
                <w:bCs/>
                <w:color w:val="000000"/>
                <w:sz w:val="18"/>
                <w:szCs w:val="18"/>
                <w:lang w:val="en-GB"/>
              </w:rPr>
            </w:pPr>
            <w:r w:rsidRPr="00D364F4">
              <w:rPr>
                <w:bCs/>
                <w:noProof/>
                <w:color w:val="000000"/>
                <w:sz w:val="18"/>
                <w:szCs w:val="18"/>
                <w:lang w:val="en-GB"/>
              </w:rPr>
              <w:t>Austrian Federal Economic Chamber</w:t>
            </w:r>
          </w:p>
          <w:p w:rsidR="00642235" w:rsidRPr="00CE5D6F" w:rsidRDefault="00642235" w:rsidP="00CE5D6F">
            <w:pPr>
              <w:spacing w:line="260" w:lineRule="atLeast"/>
              <w:jc w:val="right"/>
              <w:rPr>
                <w:color w:val="000000"/>
                <w:sz w:val="18"/>
                <w:szCs w:val="18"/>
                <w:lang w:val="de-AT"/>
              </w:rPr>
            </w:pPr>
            <w:r w:rsidRPr="00CE5D6F">
              <w:rPr>
                <w:noProof/>
                <w:color w:val="000000"/>
                <w:sz w:val="18"/>
                <w:szCs w:val="18"/>
                <w:lang w:val="de-AT"/>
              </w:rPr>
              <w:t>Wiedner Hauptstraße 63 | P.O. Box 320</w:t>
            </w:r>
          </w:p>
          <w:p w:rsidR="00642235" w:rsidRPr="00CE5D6F" w:rsidRDefault="00642235" w:rsidP="00CE5D6F">
            <w:pPr>
              <w:spacing w:line="260" w:lineRule="atLeast"/>
              <w:jc w:val="right"/>
              <w:rPr>
                <w:color w:val="000000"/>
                <w:sz w:val="18"/>
                <w:szCs w:val="18"/>
                <w:lang w:val="de-AT"/>
              </w:rPr>
            </w:pPr>
            <w:r w:rsidRPr="00CE5D6F">
              <w:rPr>
                <w:noProof/>
                <w:color w:val="000000"/>
                <w:sz w:val="18"/>
                <w:szCs w:val="18"/>
                <w:lang w:val="de-AT"/>
              </w:rPr>
              <w:t>1045 Vienna</w:t>
            </w:r>
          </w:p>
          <w:p w:rsidR="00642235" w:rsidRPr="00D364F4" w:rsidRDefault="00642235" w:rsidP="00CE5D6F">
            <w:pPr>
              <w:spacing w:line="260" w:lineRule="atLeast"/>
              <w:jc w:val="right"/>
              <w:rPr>
                <w:color w:val="000000"/>
                <w:sz w:val="18"/>
                <w:szCs w:val="18"/>
              </w:rPr>
            </w:pPr>
            <w:r w:rsidRPr="00B51CB0">
              <w:rPr>
                <w:noProof/>
                <w:color w:val="000000"/>
                <w:sz w:val="18"/>
                <w:szCs w:val="18"/>
                <w:lang w:val="de-AT"/>
              </w:rPr>
              <w:t>T +43 (0)5 90 900-DW | F +43 (0)5 90 900-27</w:t>
            </w:r>
            <w:r w:rsidRPr="00D364F4">
              <w:rPr>
                <w:noProof/>
                <w:color w:val="000000"/>
                <w:sz w:val="18"/>
                <w:szCs w:val="18"/>
              </w:rPr>
              <w:t>2</w:t>
            </w:r>
          </w:p>
          <w:p w:rsidR="00642235" w:rsidRPr="00D364F4" w:rsidRDefault="00642235" w:rsidP="00CE5D6F">
            <w:pPr>
              <w:spacing w:line="260" w:lineRule="atLeast"/>
              <w:jc w:val="right"/>
              <w:rPr>
                <w:color w:val="000000"/>
                <w:sz w:val="18"/>
                <w:szCs w:val="18"/>
              </w:rPr>
            </w:pPr>
            <w:r w:rsidRPr="00D364F4">
              <w:rPr>
                <w:noProof/>
                <w:color w:val="000000"/>
                <w:sz w:val="18"/>
                <w:szCs w:val="18"/>
              </w:rPr>
              <w:t>E  bsbv@wko.at</w:t>
            </w:r>
          </w:p>
          <w:p w:rsidR="00642235" w:rsidRPr="00D364F4" w:rsidRDefault="00642235" w:rsidP="00CE5D6F">
            <w:pPr>
              <w:spacing w:line="260" w:lineRule="atLeast"/>
              <w:jc w:val="right"/>
              <w:rPr>
                <w:lang w:val="en-GB"/>
              </w:rPr>
            </w:pPr>
            <w:r w:rsidRPr="00D364F4">
              <w:rPr>
                <w:noProof/>
                <w:color w:val="000000"/>
                <w:sz w:val="18"/>
                <w:szCs w:val="18"/>
                <w:lang w:val="en-GB"/>
              </w:rPr>
              <w:t>W  http://wko.at/bsbv</w:t>
            </w:r>
          </w:p>
        </w:tc>
      </w:tr>
    </w:tbl>
    <w:p w:rsidR="00642235" w:rsidRPr="00C21BF0" w:rsidRDefault="00642235" w:rsidP="00CE5D6F">
      <w:pPr>
        <w:tabs>
          <w:tab w:val="left" w:pos="2892"/>
          <w:tab w:val="left" w:pos="5783"/>
          <w:tab w:val="left" w:pos="7655"/>
        </w:tabs>
        <w:rPr>
          <w:color w:val="000000"/>
          <w:sz w:val="16"/>
          <w:szCs w:val="16"/>
          <w:lang w:val="en-GB"/>
        </w:rPr>
      </w:pPr>
      <w:r w:rsidRPr="00C21BF0">
        <w:rPr>
          <w:noProof/>
          <w:color w:val="000000"/>
          <w:sz w:val="16"/>
          <w:szCs w:val="16"/>
          <w:lang w:val="en-GB"/>
        </w:rPr>
        <w:t>Your ref., Your message of</w:t>
      </w:r>
      <w:r w:rsidRPr="00C21BF0">
        <w:rPr>
          <w:color w:val="000000"/>
          <w:sz w:val="16"/>
          <w:szCs w:val="16"/>
          <w:lang w:val="en-GB"/>
        </w:rPr>
        <w:tab/>
      </w:r>
      <w:r w:rsidRPr="00C21BF0">
        <w:rPr>
          <w:noProof/>
          <w:color w:val="000000"/>
          <w:sz w:val="16"/>
          <w:szCs w:val="16"/>
          <w:lang w:val="en-GB"/>
        </w:rPr>
        <w:t>Our ref., person in charge</w:t>
      </w:r>
      <w:r w:rsidRPr="00C21BF0">
        <w:rPr>
          <w:color w:val="000000"/>
          <w:sz w:val="16"/>
          <w:szCs w:val="16"/>
          <w:lang w:val="en-GB"/>
        </w:rPr>
        <w:tab/>
      </w:r>
      <w:r w:rsidRPr="00C21BF0">
        <w:rPr>
          <w:noProof/>
          <w:color w:val="000000"/>
          <w:sz w:val="16"/>
          <w:szCs w:val="16"/>
          <w:lang w:val="en-GB"/>
        </w:rPr>
        <w:t>Extension</w:t>
      </w:r>
      <w:r w:rsidRPr="00C21BF0">
        <w:rPr>
          <w:color w:val="000000"/>
          <w:sz w:val="16"/>
          <w:szCs w:val="16"/>
          <w:lang w:val="en-GB"/>
        </w:rPr>
        <w:tab/>
      </w:r>
      <w:r w:rsidRPr="00C21BF0">
        <w:rPr>
          <w:noProof/>
          <w:color w:val="000000"/>
          <w:sz w:val="16"/>
          <w:szCs w:val="16"/>
          <w:lang w:val="en-GB"/>
        </w:rPr>
        <w:t>Date</w:t>
      </w:r>
    </w:p>
    <w:p w:rsidR="00642235" w:rsidRPr="00DC0A36" w:rsidRDefault="00642235" w:rsidP="00CE5D6F">
      <w:pPr>
        <w:tabs>
          <w:tab w:val="left" w:pos="2892"/>
          <w:tab w:val="left" w:pos="5783"/>
          <w:tab w:val="left" w:pos="7655"/>
        </w:tabs>
        <w:rPr>
          <w:color w:val="000000"/>
          <w:lang w:val="en-GB"/>
        </w:rPr>
      </w:pPr>
      <w:r w:rsidRPr="00C21BF0">
        <w:rPr>
          <w:color w:val="000000"/>
          <w:lang w:val="en-GB"/>
        </w:rPr>
        <w:tab/>
      </w:r>
      <w:r w:rsidRPr="00DC0A36">
        <w:rPr>
          <w:noProof/>
          <w:color w:val="000000"/>
          <w:lang w:val="en-GB"/>
        </w:rPr>
        <w:t>BSBV</w:t>
      </w:r>
      <w:r w:rsidR="00CE5D6F">
        <w:rPr>
          <w:noProof/>
          <w:color w:val="000000"/>
          <w:lang w:val="en-GB"/>
        </w:rPr>
        <w:t xml:space="preserve"> 99</w:t>
      </w:r>
      <w:r w:rsidR="00641DC4" w:rsidRPr="00DC0A36">
        <w:rPr>
          <w:noProof/>
          <w:color w:val="000000"/>
          <w:lang w:val="en-GB"/>
        </w:rPr>
        <w:t>/</w:t>
      </w:r>
      <w:r w:rsidR="00CE5D6F">
        <w:rPr>
          <w:noProof/>
          <w:color w:val="000000"/>
          <w:lang w:val="en-GB"/>
        </w:rPr>
        <w:t>Horvath</w:t>
      </w:r>
      <w:r w:rsidR="00641DC4" w:rsidRPr="00DC0A36">
        <w:rPr>
          <w:noProof/>
          <w:color w:val="000000"/>
          <w:lang w:val="en-GB"/>
        </w:rPr>
        <w:tab/>
        <w:t>31</w:t>
      </w:r>
      <w:r w:rsidR="00CE5D6F">
        <w:rPr>
          <w:noProof/>
          <w:color w:val="000000"/>
          <w:lang w:val="en-GB"/>
        </w:rPr>
        <w:t>41</w:t>
      </w:r>
      <w:r w:rsidRPr="00DC0A36">
        <w:rPr>
          <w:color w:val="000000"/>
          <w:lang w:val="en-GB"/>
        </w:rPr>
        <w:tab/>
      </w:r>
      <w:r w:rsidR="00CE5D6F">
        <w:rPr>
          <w:color w:val="000000"/>
          <w:lang w:val="en-GB"/>
        </w:rPr>
        <w:t>12</w:t>
      </w:r>
      <w:r w:rsidR="00C358D5">
        <w:rPr>
          <w:color w:val="000000"/>
          <w:lang w:val="en-GB"/>
        </w:rPr>
        <w:t xml:space="preserve"> </w:t>
      </w:r>
      <w:r w:rsidR="00CE5D6F">
        <w:rPr>
          <w:color w:val="000000"/>
          <w:lang w:val="en-GB"/>
        </w:rPr>
        <w:t>Jan</w:t>
      </w:r>
      <w:r w:rsidR="003568E9">
        <w:rPr>
          <w:color w:val="000000"/>
          <w:lang w:val="en-GB"/>
        </w:rPr>
        <w:t xml:space="preserve"> </w:t>
      </w:r>
      <w:r w:rsidR="00D82226" w:rsidRPr="00DC0A36">
        <w:rPr>
          <w:color w:val="000000"/>
          <w:lang w:val="en-GB"/>
        </w:rPr>
        <w:t>201</w:t>
      </w:r>
      <w:r w:rsidR="00CE5D6F">
        <w:rPr>
          <w:color w:val="000000"/>
          <w:lang w:val="en-GB"/>
        </w:rPr>
        <w:t>6</w:t>
      </w:r>
    </w:p>
    <w:p w:rsidR="00E754C8" w:rsidRDefault="00E754C8" w:rsidP="00CE5D6F">
      <w:pPr>
        <w:rPr>
          <w:color w:val="000000"/>
          <w:sz w:val="24"/>
          <w:szCs w:val="24"/>
          <w:lang w:val="en-GB"/>
        </w:rPr>
      </w:pPr>
    </w:p>
    <w:p w:rsidR="00A82C13" w:rsidRPr="00DC0A36" w:rsidRDefault="00A82C13" w:rsidP="00CE5D6F">
      <w:pPr>
        <w:rPr>
          <w:color w:val="000000"/>
          <w:sz w:val="24"/>
          <w:szCs w:val="24"/>
          <w:lang w:val="en-GB"/>
        </w:rPr>
      </w:pPr>
    </w:p>
    <w:p w:rsidR="00C02F42" w:rsidRDefault="00CE5D6F" w:rsidP="00CE5D6F">
      <w:pPr>
        <w:rPr>
          <w:b/>
          <w:sz w:val="24"/>
          <w:szCs w:val="24"/>
          <w:lang w:val="en-GB"/>
        </w:rPr>
      </w:pPr>
      <w:r>
        <w:rPr>
          <w:b/>
          <w:sz w:val="24"/>
          <w:szCs w:val="24"/>
          <w:lang w:val="en-GB"/>
        </w:rPr>
        <w:t>Joint Consultation: Joint G</w:t>
      </w:r>
      <w:r w:rsidRPr="00CE5D6F">
        <w:rPr>
          <w:b/>
          <w:sz w:val="24"/>
          <w:szCs w:val="24"/>
          <w:lang w:val="en-GB"/>
        </w:rPr>
        <w:t>uidelines under Article 17 and 18</w:t>
      </w:r>
      <w:r>
        <w:rPr>
          <w:b/>
          <w:sz w:val="24"/>
          <w:szCs w:val="24"/>
          <w:lang w:val="en-GB"/>
        </w:rPr>
        <w:t xml:space="preserve"> </w:t>
      </w:r>
      <w:r w:rsidRPr="00CE5D6F">
        <w:rPr>
          <w:b/>
          <w:sz w:val="24"/>
          <w:szCs w:val="24"/>
          <w:lang w:val="en-GB"/>
        </w:rPr>
        <w:t>(4) of Directive (EU) 2015/849 on simplified and enhanced customer due diligence and the factors credit and financial institutions should consider when assessing the money laundering and terrorist financing risk associated with individual business relationships and occasional transactions</w:t>
      </w:r>
    </w:p>
    <w:p w:rsidR="00B22761" w:rsidRDefault="00B22761" w:rsidP="00CE5D6F">
      <w:pPr>
        <w:rPr>
          <w:lang w:val="en-GB"/>
        </w:rPr>
      </w:pPr>
    </w:p>
    <w:p w:rsidR="00DC0A36" w:rsidRPr="009D188F" w:rsidRDefault="00DC0A36" w:rsidP="00CE5D6F">
      <w:pPr>
        <w:rPr>
          <w:lang w:val="en-GB"/>
        </w:rPr>
      </w:pPr>
      <w:r w:rsidRPr="00DC0A36">
        <w:rPr>
          <w:lang w:val="en-GB"/>
        </w:rPr>
        <w:t xml:space="preserve">The Division Bank and Insurance of the Austrian Federal Economic </w:t>
      </w:r>
      <w:proofErr w:type="gramStart"/>
      <w:r w:rsidRPr="00DC0A36">
        <w:rPr>
          <w:lang w:val="en-GB"/>
        </w:rPr>
        <w:t>Chamber,</w:t>
      </w:r>
      <w:proofErr w:type="gramEnd"/>
      <w:r w:rsidRPr="00DC0A36">
        <w:rPr>
          <w:lang w:val="en-GB"/>
        </w:rPr>
        <w:t xml:space="preserve"> as representative of the entire Austrian banking industry, appreciates the possibility to</w:t>
      </w:r>
      <w:r w:rsidR="00B467F0" w:rsidRPr="00487A00">
        <w:rPr>
          <w:rFonts w:cs="Arial"/>
          <w:color w:val="000000"/>
          <w:lang w:val="en-GB" w:eastAsia="en-US"/>
        </w:rPr>
        <w:t xml:space="preserve"> comment on </w:t>
      </w:r>
      <w:r w:rsidR="00B467F0">
        <w:rPr>
          <w:rFonts w:cs="Arial"/>
          <w:color w:val="000000"/>
          <w:lang w:val="en-GB" w:eastAsia="en-US"/>
        </w:rPr>
        <w:t xml:space="preserve">the above cited </w:t>
      </w:r>
      <w:r w:rsidR="00CE5D6F">
        <w:rPr>
          <w:rFonts w:cs="Arial"/>
          <w:color w:val="000000"/>
          <w:lang w:val="en-GB" w:eastAsia="en-US"/>
        </w:rPr>
        <w:t>joint consultation pape</w:t>
      </w:r>
      <w:r w:rsidR="00B467F0">
        <w:rPr>
          <w:rFonts w:cs="Arial"/>
          <w:color w:val="000000"/>
          <w:lang w:val="en-GB" w:eastAsia="en-US"/>
        </w:rPr>
        <w:t xml:space="preserve">r </w:t>
      </w:r>
      <w:r w:rsidR="00B467F0" w:rsidRPr="00487A00">
        <w:rPr>
          <w:rFonts w:cs="Arial"/>
          <w:color w:val="000000"/>
          <w:lang w:val="en-GB" w:eastAsia="en-US"/>
        </w:rPr>
        <w:t>and would like to submit the following position:</w:t>
      </w:r>
    </w:p>
    <w:p w:rsidR="00C02F42" w:rsidRPr="008C0AE8" w:rsidRDefault="00C02F42" w:rsidP="00CE5D6F">
      <w:pPr>
        <w:rPr>
          <w:lang w:val="en-GB"/>
        </w:rPr>
      </w:pPr>
    </w:p>
    <w:p w:rsidR="00CE5D6F" w:rsidRPr="00CE5D6F" w:rsidRDefault="00CE5D6F" w:rsidP="00CE5D6F">
      <w:pPr>
        <w:rPr>
          <w:lang w:val="en-GB"/>
        </w:rPr>
      </w:pPr>
      <w:r w:rsidRPr="00CE5D6F">
        <w:rPr>
          <w:lang w:val="en-GB"/>
        </w:rPr>
        <w:t xml:space="preserve">Below you will find our input to the consultation (numbers at the start of each of the comments point at the item of the draft which is being commented, capitalized terms have the meaning as given to them in the drafts). </w:t>
      </w:r>
    </w:p>
    <w:p w:rsidR="00CE5D6F" w:rsidRPr="00CE5D6F" w:rsidRDefault="00CE5D6F" w:rsidP="00CE5D6F">
      <w:pPr>
        <w:pStyle w:val="Default"/>
        <w:rPr>
          <w:rFonts w:ascii="Trebuchet MS" w:eastAsia="Times New Roman" w:hAnsi="Trebuchet MS" w:cs="Trebuchet MS"/>
          <w:snapToGrid w:val="0"/>
          <w:color w:val="auto"/>
          <w:sz w:val="22"/>
          <w:szCs w:val="22"/>
          <w:lang w:val="en-GB" w:eastAsia="de-AT"/>
        </w:rPr>
      </w:pPr>
      <w:r w:rsidRPr="00CE5D6F">
        <w:rPr>
          <w:rFonts w:ascii="Trebuchet MS" w:eastAsia="Times New Roman" w:hAnsi="Trebuchet MS" w:cs="Trebuchet MS"/>
          <w:snapToGrid w:val="0"/>
          <w:color w:val="auto"/>
          <w:sz w:val="22"/>
          <w:szCs w:val="22"/>
          <w:lang w:val="en-GB" w:eastAsia="de-AT"/>
        </w:rPr>
        <w:t> </w:t>
      </w:r>
    </w:p>
    <w:p w:rsidR="00CE5D6F" w:rsidRPr="00CE5D6F" w:rsidRDefault="00CE5D6F" w:rsidP="00CE5D6F">
      <w:pPr>
        <w:pStyle w:val="Listenabsatz"/>
        <w:numPr>
          <w:ilvl w:val="0"/>
          <w:numId w:val="6"/>
        </w:numPr>
        <w:spacing w:after="120" w:line="264" w:lineRule="auto"/>
        <w:ind w:left="0" w:firstLine="0"/>
        <w:contextualSpacing w:val="0"/>
        <w:rPr>
          <w:lang w:val="en-GB"/>
        </w:rPr>
      </w:pPr>
      <w:r w:rsidRPr="00CE5D6F">
        <w:rPr>
          <w:lang w:val="en-GB"/>
        </w:rPr>
        <w:t>(15), 3rd bullet point: The “</w:t>
      </w:r>
      <w:r>
        <w:rPr>
          <w:lang w:val="en-GB"/>
        </w:rPr>
        <w:t>reasoning</w:t>
      </w:r>
      <w:r w:rsidRPr="00CE5D6F">
        <w:rPr>
          <w:lang w:val="en-GB"/>
        </w:rPr>
        <w:t xml:space="preserve"> set out in regulatory fines” will only be known to a firm which has been fined. Due to the fact that such firms will certainly have an interest to not be charged with any additional fines for a continued non-compliance and other firms will typically have no knowledge of the fine (not to talk about the reasoning for such fine) the second half of the sentence should be deleted (starting from “and the reasoning…”);</w:t>
      </w:r>
    </w:p>
    <w:p w:rsidR="00CE5D6F" w:rsidRPr="00CE5D6F" w:rsidRDefault="00CE5D6F" w:rsidP="00CE5D6F">
      <w:pPr>
        <w:pStyle w:val="Listenabsatz"/>
        <w:numPr>
          <w:ilvl w:val="0"/>
          <w:numId w:val="6"/>
        </w:numPr>
        <w:spacing w:after="120" w:line="264" w:lineRule="auto"/>
        <w:ind w:left="0" w:firstLine="0"/>
        <w:contextualSpacing w:val="0"/>
        <w:rPr>
          <w:lang w:val="en-GB"/>
        </w:rPr>
      </w:pPr>
      <w:r w:rsidRPr="00CE5D6F">
        <w:rPr>
          <w:lang w:val="en-GB"/>
        </w:rPr>
        <w:t>(16), 2nd and last bullet point are too unspecific and too broad and should be deleted;</w:t>
      </w:r>
    </w:p>
    <w:p w:rsidR="00CE5D6F" w:rsidRPr="00CE5D6F" w:rsidRDefault="00CE5D6F" w:rsidP="00CE5D6F">
      <w:pPr>
        <w:pStyle w:val="Listenabsatz"/>
        <w:numPr>
          <w:ilvl w:val="0"/>
          <w:numId w:val="6"/>
        </w:numPr>
        <w:spacing w:after="120" w:line="264" w:lineRule="auto"/>
        <w:ind w:left="0" w:firstLine="0"/>
        <w:contextualSpacing w:val="0"/>
        <w:rPr>
          <w:lang w:val="en-GB"/>
        </w:rPr>
      </w:pPr>
      <w:r w:rsidRPr="00CE5D6F">
        <w:rPr>
          <w:lang w:val="en-GB"/>
        </w:rPr>
        <w:t xml:space="preserve">(18), items b) and c) </w:t>
      </w:r>
    </w:p>
    <w:p w:rsidR="00CE5D6F" w:rsidRPr="00CE5D6F" w:rsidRDefault="00CE5D6F" w:rsidP="00CE5D6F">
      <w:pPr>
        <w:pStyle w:val="Listenabsatz"/>
        <w:spacing w:before="120" w:after="120" w:line="264" w:lineRule="auto"/>
        <w:ind w:left="0"/>
        <w:rPr>
          <w:lang w:val="en-GB"/>
        </w:rPr>
      </w:pPr>
      <w:r w:rsidRPr="00CE5D6F">
        <w:rPr>
          <w:lang w:val="en-GB"/>
        </w:rPr>
        <w:t xml:space="preserve">Since Firms are in no position to track a customer’s (or even a beneficial owner’s) “nature and </w:t>
      </w:r>
      <w:proofErr w:type="spellStart"/>
      <w:r w:rsidRPr="00CE5D6F">
        <w:rPr>
          <w:lang w:val="en-GB"/>
        </w:rPr>
        <w:t>behaviour</w:t>
      </w:r>
      <w:proofErr w:type="spellEnd"/>
      <w:r w:rsidRPr="00CE5D6F">
        <w:rPr>
          <w:lang w:val="en-GB"/>
        </w:rPr>
        <w:t>” and since these terms are way too unspecific, the item c) should be deleted. Also it is suggested to keep out generally reputational risk aspects and therefor to delete also sub-item b);</w:t>
      </w:r>
    </w:p>
    <w:p w:rsidR="00CE5D6F" w:rsidRPr="00CE5D6F" w:rsidRDefault="00CE5D6F" w:rsidP="00CE5D6F">
      <w:pPr>
        <w:pStyle w:val="Listenabsatz"/>
        <w:numPr>
          <w:ilvl w:val="0"/>
          <w:numId w:val="6"/>
        </w:numPr>
        <w:spacing w:before="240" w:after="120" w:line="264" w:lineRule="auto"/>
        <w:ind w:left="0" w:firstLine="0"/>
        <w:contextualSpacing w:val="0"/>
        <w:rPr>
          <w:lang w:val="en-GB"/>
        </w:rPr>
      </w:pPr>
      <w:r w:rsidRPr="00CE5D6F">
        <w:rPr>
          <w:lang w:val="en-GB"/>
        </w:rPr>
        <w:t xml:space="preserve">(19), 1st, 2nd and 3rd bullet points: Since most, if not all, retail clients of a firm will every now and then buy at (e.g.) a pharmacy, each such retail client will have a link to pharmaceuticals. Thus, it is suggested that the EBA defines a conclusive industry list setting out, which specific industries come together in EBA’s opinion with an enhanced “corruption risk”/”higher ML or TF risk”/”sectors that involve significant amount of cash”, rather than raising the question whether there are links to any such industries/sectors. At least it should be </w:t>
      </w:r>
      <w:r w:rsidRPr="00CE5D6F">
        <w:rPr>
          <w:lang w:val="en-GB"/>
        </w:rPr>
        <w:lastRenderedPageBreak/>
        <w:t>clearly described which quality such links should have in order for such link to qualify as risk factor. However, if this is not possible, we suggest to delete these items;</w:t>
      </w:r>
    </w:p>
    <w:p w:rsidR="00CE5D6F" w:rsidRPr="00CE5D6F" w:rsidRDefault="00CE5D6F" w:rsidP="00CE5D6F">
      <w:pPr>
        <w:pStyle w:val="Listenabsatz"/>
        <w:numPr>
          <w:ilvl w:val="0"/>
          <w:numId w:val="6"/>
        </w:numPr>
        <w:spacing w:after="120" w:line="264" w:lineRule="auto"/>
        <w:ind w:left="0" w:firstLine="0"/>
        <w:contextualSpacing w:val="0"/>
        <w:rPr>
          <w:lang w:val="en-GB"/>
        </w:rPr>
      </w:pPr>
      <w:r w:rsidRPr="00CE5D6F">
        <w:rPr>
          <w:lang w:val="en-GB"/>
        </w:rPr>
        <w:t>(19), 4th bullet point: in Austria (and other jurisdictions) firms can rely on the certificate of registration once they check a company (e.g. for granting a loan). For a bank transaction to be valid and enforceable firms do not have the obligation to verify a company’s constitutional document (</w:t>
      </w:r>
      <w:proofErr w:type="spellStart"/>
      <w:r w:rsidRPr="00CE5D6F">
        <w:rPr>
          <w:lang w:val="en-GB"/>
        </w:rPr>
        <w:t>e.g.articles</w:t>
      </w:r>
      <w:proofErr w:type="spellEnd"/>
      <w:r w:rsidRPr="00CE5D6F">
        <w:rPr>
          <w:lang w:val="en-GB"/>
        </w:rPr>
        <w:t xml:space="preserve"> of association), which typically sets out the purpose of a company. In addition the constitutional documents of a company may not be easily accessible. Therefore the requirement “purpose of their establishment” should be either rephrased in the sense that it may constitute an additional risk factor if a firm positively knows from one of its customers (legal person) to act beyond its legal capacity, but it should not be suggested that firms have to check the purpose of a customer’s establishment;</w:t>
      </w:r>
    </w:p>
    <w:p w:rsidR="00CE5D6F" w:rsidRPr="00CE5D6F" w:rsidRDefault="00CE5D6F" w:rsidP="00CE5D6F">
      <w:pPr>
        <w:pStyle w:val="Listenabsatz"/>
        <w:numPr>
          <w:ilvl w:val="0"/>
          <w:numId w:val="6"/>
        </w:numPr>
        <w:spacing w:after="120" w:line="264" w:lineRule="auto"/>
        <w:ind w:left="0" w:firstLine="0"/>
        <w:contextualSpacing w:val="0"/>
        <w:rPr>
          <w:lang w:val="en-GB"/>
        </w:rPr>
      </w:pPr>
      <w:r w:rsidRPr="00CE5D6F">
        <w:rPr>
          <w:lang w:val="en-GB"/>
        </w:rPr>
        <w:t>(19), 5th bullet point: From the Directive itself it is clear that PEPs have to be identified and monitored. Other than “family members” and “persons known to be close associates” (each as defined in the Directive) the Directive is not suggesting any requirement for a firm to investigate into any broader political “connections” or “links” to a PEP. Thus, this sub-item should be deleted.</w:t>
      </w:r>
    </w:p>
    <w:p w:rsidR="00CE5D6F" w:rsidRPr="00CE5D6F" w:rsidRDefault="00CE5D6F" w:rsidP="00CE5D6F">
      <w:pPr>
        <w:pStyle w:val="Listenabsatz"/>
        <w:numPr>
          <w:ilvl w:val="0"/>
          <w:numId w:val="6"/>
        </w:numPr>
        <w:spacing w:after="120" w:line="264" w:lineRule="auto"/>
        <w:ind w:left="0" w:firstLine="0"/>
        <w:contextualSpacing w:val="0"/>
        <w:rPr>
          <w:lang w:val="en-GB"/>
        </w:rPr>
      </w:pPr>
      <w:r w:rsidRPr="00CE5D6F">
        <w:rPr>
          <w:lang w:val="en-GB"/>
        </w:rPr>
        <w:t>(19), 6th bullet point: It shall either be specified what such holding of “another public position” actually is (other than a position which classifies a customer as PEP); otherwise, the point should be deleted;</w:t>
      </w:r>
    </w:p>
    <w:p w:rsidR="00CE5D6F" w:rsidRPr="00CE5D6F" w:rsidRDefault="00CE5D6F" w:rsidP="00CE5D6F">
      <w:pPr>
        <w:pStyle w:val="Listenabsatz"/>
        <w:numPr>
          <w:ilvl w:val="0"/>
          <w:numId w:val="6"/>
        </w:numPr>
        <w:spacing w:after="120" w:line="264" w:lineRule="auto"/>
        <w:ind w:left="0" w:firstLine="0"/>
        <w:contextualSpacing w:val="0"/>
        <w:rPr>
          <w:lang w:val="en-GB"/>
        </w:rPr>
      </w:pPr>
      <w:r w:rsidRPr="00CE5D6F">
        <w:rPr>
          <w:lang w:val="en-GB"/>
        </w:rPr>
        <w:t xml:space="preserve">(19), 7th bullet point: firms will not be able to assess if such requirements are “enforceable” or actually can provide such sureness and reliability. Even if there </w:t>
      </w:r>
      <w:proofErr w:type="gramStart"/>
      <w:r w:rsidRPr="00CE5D6F">
        <w:rPr>
          <w:lang w:val="en-GB"/>
        </w:rPr>
        <w:t>are any such requirements the extent</w:t>
      </w:r>
      <w:proofErr w:type="gramEnd"/>
      <w:r w:rsidRPr="00CE5D6F">
        <w:rPr>
          <w:lang w:val="en-GB"/>
        </w:rPr>
        <w:t xml:space="preserve"> of the disclosure requirements are often debatable and are always subject to change over time. Firms shall not be forced to give a binding opinion or only to make close investigations on such matters (this should be stated in the guidelines);</w:t>
      </w:r>
    </w:p>
    <w:p w:rsidR="00CE5D6F" w:rsidRPr="00CE5D6F" w:rsidRDefault="00CE5D6F" w:rsidP="00CE5D6F">
      <w:pPr>
        <w:pStyle w:val="Listenabsatz"/>
        <w:numPr>
          <w:ilvl w:val="0"/>
          <w:numId w:val="6"/>
        </w:numPr>
        <w:spacing w:after="120" w:line="264" w:lineRule="auto"/>
        <w:ind w:left="0" w:firstLine="0"/>
        <w:contextualSpacing w:val="0"/>
        <w:rPr>
          <w:lang w:val="en-GB"/>
        </w:rPr>
      </w:pPr>
      <w:r w:rsidRPr="00CE5D6F">
        <w:rPr>
          <w:lang w:val="en-GB"/>
        </w:rPr>
        <w:t>(19), 8th bullet point: Same comment as for item (viii) above but with reference to the quality of such “AML/CFT regime”/”obligations”;</w:t>
      </w:r>
    </w:p>
    <w:p w:rsidR="00CE5D6F" w:rsidRPr="00CE5D6F" w:rsidRDefault="00CE5D6F" w:rsidP="00CE5D6F">
      <w:pPr>
        <w:pStyle w:val="Listenabsatz"/>
        <w:numPr>
          <w:ilvl w:val="0"/>
          <w:numId w:val="6"/>
        </w:numPr>
        <w:spacing w:after="120" w:line="264" w:lineRule="auto"/>
        <w:ind w:left="0" w:firstLine="0"/>
        <w:contextualSpacing w:val="0"/>
        <w:rPr>
          <w:lang w:val="en-GB"/>
        </w:rPr>
      </w:pPr>
      <w:r w:rsidRPr="00CE5D6F">
        <w:rPr>
          <w:lang w:val="en-GB"/>
        </w:rPr>
        <w:t>(19), 9th bullet point: The guidelines should either (preferred) specify which jurisdictions are considered to have a “</w:t>
      </w:r>
      <w:r w:rsidR="007F5F54">
        <w:rPr>
          <w:lang w:val="en-GB"/>
        </w:rPr>
        <w:t xml:space="preserve">low level of </w:t>
      </w:r>
      <w:r w:rsidRPr="00CE5D6F">
        <w:rPr>
          <w:lang w:val="en-GB"/>
        </w:rPr>
        <w:t>corruption”, or set out which source(s) can be considered as binding for ranking such jurisdictions;</w:t>
      </w:r>
    </w:p>
    <w:p w:rsidR="00CE5D6F" w:rsidRPr="00CE5D6F" w:rsidRDefault="00CE5D6F" w:rsidP="00CE5D6F">
      <w:pPr>
        <w:pStyle w:val="Listenabsatz"/>
        <w:numPr>
          <w:ilvl w:val="0"/>
          <w:numId w:val="6"/>
        </w:numPr>
        <w:spacing w:after="120" w:line="264" w:lineRule="auto"/>
        <w:ind w:left="0" w:firstLine="0"/>
        <w:contextualSpacing w:val="0"/>
        <w:rPr>
          <w:lang w:val="en-GB"/>
        </w:rPr>
      </w:pPr>
      <w:r w:rsidRPr="00CE5D6F">
        <w:rPr>
          <w:lang w:val="en-GB"/>
        </w:rPr>
        <w:t>(19), 10th bullet point: It should be specified what such “background” actually is. A firm should not be required to dig into the history of its customers, thus the reference to “the former business” should be taken out and there should be given much more specific guidance on how a firm is expected to investigate into “the planned business activity” of a customer;</w:t>
      </w:r>
    </w:p>
    <w:p w:rsidR="00CE5D6F" w:rsidRPr="00CE5D6F" w:rsidRDefault="00CE5D6F" w:rsidP="00CE5D6F">
      <w:pPr>
        <w:pStyle w:val="Listenabsatz"/>
        <w:numPr>
          <w:ilvl w:val="0"/>
          <w:numId w:val="6"/>
        </w:numPr>
        <w:spacing w:after="120" w:line="264" w:lineRule="auto"/>
        <w:ind w:left="0" w:firstLine="0"/>
        <w:contextualSpacing w:val="0"/>
        <w:rPr>
          <w:lang w:val="en-GB"/>
        </w:rPr>
      </w:pPr>
      <w:r w:rsidRPr="00CE5D6F">
        <w:rPr>
          <w:lang w:val="en-GB"/>
        </w:rPr>
        <w:t xml:space="preserve">(20), 1st, 2nd and 4th bullet point as well as (64), 2nd bullet point, sub item ii. : </w:t>
      </w:r>
      <w:proofErr w:type="gramStart"/>
      <w:r w:rsidRPr="00CE5D6F">
        <w:rPr>
          <w:lang w:val="en-GB"/>
        </w:rPr>
        <w:t>a</w:t>
      </w:r>
      <w:proofErr w:type="gramEnd"/>
      <w:r w:rsidRPr="00CE5D6F">
        <w:rPr>
          <w:lang w:val="en-GB"/>
        </w:rPr>
        <w:t xml:space="preserve"> freeze of assets will only be known to a firm if the asset freeze is directed against a customer’s asset held within such firm (typically an account). Prior to an asset freeze and/or an order for an account opening, a firm will typically not have positive knowledge about any criminal proceedings. Thus, such information is not available to any of the other firms in contrast to the one which is notified by the authority/court of any such procedures. Such a customer is anyhow already targeted by the </w:t>
      </w:r>
      <w:proofErr w:type="gramStart"/>
      <w:r w:rsidRPr="00CE5D6F">
        <w:rPr>
          <w:lang w:val="en-GB"/>
        </w:rPr>
        <w:t>authority,</w:t>
      </w:r>
      <w:proofErr w:type="gramEnd"/>
      <w:r w:rsidRPr="00CE5D6F">
        <w:rPr>
          <w:lang w:val="en-GB"/>
        </w:rPr>
        <w:t xml:space="preserve"> therefore the 2nd bullet point is either pointless or superfluous. To include risk factors only on the basis of rumors (“allegations”, “proven or not”, “suggestions”) should be clearly avoided (above all it conflicts with the presumption of the principle of innocence);</w:t>
      </w:r>
    </w:p>
    <w:p w:rsidR="00CE5D6F" w:rsidRPr="00CE5D6F" w:rsidRDefault="00CE5D6F" w:rsidP="00CE5D6F">
      <w:pPr>
        <w:pStyle w:val="Listenabsatz"/>
        <w:numPr>
          <w:ilvl w:val="0"/>
          <w:numId w:val="6"/>
        </w:numPr>
        <w:spacing w:after="120" w:line="264" w:lineRule="auto"/>
        <w:ind w:left="0" w:firstLine="0"/>
        <w:contextualSpacing w:val="0"/>
        <w:rPr>
          <w:lang w:val="en-GB"/>
        </w:rPr>
      </w:pPr>
      <w:r w:rsidRPr="00CE5D6F">
        <w:rPr>
          <w:lang w:val="en-GB"/>
        </w:rPr>
        <w:t xml:space="preserve">(21), 1st bullet point: if a firm has doubts about the veracity or accuracy of the customer´s or beneficial owners identity, it will not be entitled to onboard such a client, </w:t>
      </w:r>
      <w:r w:rsidRPr="00CE5D6F">
        <w:rPr>
          <w:lang w:val="en-GB"/>
        </w:rPr>
        <w:lastRenderedPageBreak/>
        <w:t>respectively it will have to do a suspicion report and/or terminate the business relationship. Since all of this is part of given law anyway there is no room for guidance;</w:t>
      </w:r>
    </w:p>
    <w:p w:rsidR="00CE5D6F" w:rsidRPr="00CE5D6F" w:rsidRDefault="00CE5D6F" w:rsidP="00CE5D6F">
      <w:pPr>
        <w:pStyle w:val="Listenabsatz"/>
        <w:numPr>
          <w:ilvl w:val="0"/>
          <w:numId w:val="6"/>
        </w:numPr>
        <w:spacing w:after="120" w:line="264" w:lineRule="auto"/>
        <w:ind w:left="0" w:firstLine="0"/>
        <w:contextualSpacing w:val="0"/>
        <w:rPr>
          <w:lang w:val="en-GB"/>
        </w:rPr>
      </w:pPr>
      <w:r w:rsidRPr="00CE5D6F">
        <w:rPr>
          <w:lang w:val="en-GB"/>
        </w:rPr>
        <w:t xml:space="preserve">(21), 2nd bullet point: if a customer avoids a business relationship, he would not be </w:t>
      </w:r>
      <w:proofErr w:type="spellStart"/>
      <w:r w:rsidRPr="00CE5D6F">
        <w:rPr>
          <w:lang w:val="en-GB"/>
        </w:rPr>
        <w:t>onboarded</w:t>
      </w:r>
      <w:proofErr w:type="spellEnd"/>
      <w:r w:rsidRPr="00CE5D6F">
        <w:rPr>
          <w:lang w:val="en-GB"/>
        </w:rPr>
        <w:t xml:space="preserve"> or the rules for an occasional transaction will apply;</w:t>
      </w:r>
    </w:p>
    <w:p w:rsidR="00CE5D6F" w:rsidRPr="00CE5D6F" w:rsidRDefault="00CE5D6F" w:rsidP="00CE5D6F">
      <w:pPr>
        <w:pStyle w:val="Listenabsatz"/>
        <w:numPr>
          <w:ilvl w:val="0"/>
          <w:numId w:val="6"/>
        </w:numPr>
        <w:spacing w:after="120" w:line="264" w:lineRule="auto"/>
        <w:ind w:left="0" w:firstLine="0"/>
        <w:contextualSpacing w:val="0"/>
        <w:rPr>
          <w:lang w:val="en-GB"/>
        </w:rPr>
      </w:pPr>
      <w:r w:rsidRPr="00CE5D6F">
        <w:rPr>
          <w:lang w:val="en-GB"/>
        </w:rPr>
        <w:t xml:space="preserve">(21), 3rd bullet point: Whether a company structure makes sense or not, is first and foremost a company matter. A firm may not have the ability to judge whether a given structure makes sense. This should be rephrased to indicate that only if a firm has a reason to believe that such a structure gives reason to believe that there may be an AML/CTF matter, the respective customer should be monitored and put under enhanced due diligence or reported. Without having a meter for transparency there will be no objective criteria for distinguishing transparent from </w:t>
      </w:r>
      <w:proofErr w:type="spellStart"/>
      <w:r w:rsidRPr="00CE5D6F">
        <w:rPr>
          <w:lang w:val="en-GB"/>
        </w:rPr>
        <w:t>intransparent</w:t>
      </w:r>
      <w:proofErr w:type="spellEnd"/>
      <w:r w:rsidRPr="00CE5D6F">
        <w:rPr>
          <w:lang w:val="en-GB"/>
        </w:rPr>
        <w:t xml:space="preserve"> structures;</w:t>
      </w:r>
    </w:p>
    <w:p w:rsidR="00CE5D6F" w:rsidRPr="00CE5D6F" w:rsidRDefault="00CE5D6F" w:rsidP="00CE5D6F">
      <w:pPr>
        <w:pStyle w:val="Listenabsatz"/>
        <w:numPr>
          <w:ilvl w:val="0"/>
          <w:numId w:val="6"/>
        </w:numPr>
        <w:spacing w:after="120" w:line="264" w:lineRule="auto"/>
        <w:ind w:left="0" w:firstLine="0"/>
        <w:contextualSpacing w:val="0"/>
        <w:rPr>
          <w:lang w:val="en-GB"/>
        </w:rPr>
      </w:pPr>
      <w:r w:rsidRPr="00CE5D6F">
        <w:rPr>
          <w:lang w:val="en-GB"/>
        </w:rPr>
        <w:t>(21), 5th bullet point: What is meant by an “asset holding vehicle”? Companies will in many cases hold assets. If this point refers to fiduciary/trust schemes the wording should be redrafted;</w:t>
      </w:r>
    </w:p>
    <w:p w:rsidR="00CE5D6F" w:rsidRPr="00CE5D6F" w:rsidRDefault="00CE5D6F" w:rsidP="00CE5D6F">
      <w:pPr>
        <w:pStyle w:val="Listenabsatz"/>
        <w:numPr>
          <w:ilvl w:val="0"/>
          <w:numId w:val="6"/>
        </w:numPr>
        <w:spacing w:after="120" w:line="264" w:lineRule="auto"/>
        <w:ind w:left="0" w:firstLine="0"/>
        <w:contextualSpacing w:val="0"/>
        <w:rPr>
          <w:lang w:val="en-GB"/>
        </w:rPr>
      </w:pPr>
      <w:r w:rsidRPr="00CE5D6F">
        <w:rPr>
          <w:lang w:val="en-GB"/>
        </w:rPr>
        <w:t>(21), 6th bullet point: firms will not be able to judge the sound reason for the change of the customer´s ownership;</w:t>
      </w:r>
    </w:p>
    <w:p w:rsidR="00CE5D6F" w:rsidRPr="00CE5D6F" w:rsidRDefault="00CE5D6F" w:rsidP="00CE5D6F">
      <w:pPr>
        <w:pStyle w:val="Listenabsatz"/>
        <w:numPr>
          <w:ilvl w:val="0"/>
          <w:numId w:val="6"/>
        </w:numPr>
        <w:spacing w:after="120" w:line="264" w:lineRule="auto"/>
        <w:ind w:left="0" w:firstLine="0"/>
        <w:contextualSpacing w:val="0"/>
        <w:rPr>
          <w:lang w:val="en-GB"/>
        </w:rPr>
      </w:pPr>
      <w:r w:rsidRPr="00CE5D6F">
        <w:rPr>
          <w:lang w:val="en-GB"/>
        </w:rPr>
        <w:t>(21), 7th bullet point: It should be specified which thresholds are meant;</w:t>
      </w:r>
    </w:p>
    <w:p w:rsidR="00CE5D6F" w:rsidRPr="00CE5D6F" w:rsidRDefault="00CE5D6F" w:rsidP="00CE5D6F">
      <w:pPr>
        <w:pStyle w:val="Listenabsatz"/>
        <w:numPr>
          <w:ilvl w:val="0"/>
          <w:numId w:val="6"/>
        </w:numPr>
        <w:spacing w:after="120" w:line="264" w:lineRule="auto"/>
        <w:ind w:left="0" w:firstLine="0"/>
        <w:contextualSpacing w:val="0"/>
        <w:rPr>
          <w:lang w:val="en-GB"/>
        </w:rPr>
      </w:pPr>
      <w:r w:rsidRPr="00CE5D6F">
        <w:rPr>
          <w:lang w:val="en-GB"/>
        </w:rPr>
        <w:t>(21), 9th bullet point: It should be clearly expressed that only a plausibility check but no full proof should be expected;</w:t>
      </w:r>
    </w:p>
    <w:p w:rsidR="00CE5D6F" w:rsidRPr="00CE5D6F" w:rsidRDefault="00CE5D6F" w:rsidP="00CE5D6F">
      <w:pPr>
        <w:pStyle w:val="Listenabsatz"/>
        <w:numPr>
          <w:ilvl w:val="0"/>
          <w:numId w:val="6"/>
        </w:numPr>
        <w:spacing w:after="120" w:line="264" w:lineRule="auto"/>
        <w:ind w:left="0" w:firstLine="0"/>
        <w:contextualSpacing w:val="0"/>
        <w:rPr>
          <w:lang w:val="en-GB"/>
        </w:rPr>
      </w:pPr>
      <w:r w:rsidRPr="00CE5D6F">
        <w:rPr>
          <w:lang w:val="en-GB"/>
        </w:rPr>
        <w:t>(21), 10th bullet point: Please specify what is meant with the wording “their products”;</w:t>
      </w:r>
    </w:p>
    <w:p w:rsidR="00CE5D6F" w:rsidRPr="00CE5D6F" w:rsidRDefault="00CE5D6F" w:rsidP="00CE5D6F">
      <w:pPr>
        <w:pStyle w:val="Listenabsatz"/>
        <w:numPr>
          <w:ilvl w:val="0"/>
          <w:numId w:val="6"/>
        </w:numPr>
        <w:spacing w:after="120" w:line="264" w:lineRule="auto"/>
        <w:ind w:left="0" w:firstLine="0"/>
        <w:contextualSpacing w:val="0"/>
        <w:rPr>
          <w:lang w:val="en-GB"/>
        </w:rPr>
      </w:pPr>
      <w:r w:rsidRPr="00CE5D6F">
        <w:rPr>
          <w:lang w:val="en-GB"/>
        </w:rPr>
        <w:t>(21), 11th bullet point: Again it should only be a plausible but at the same time “economic AND lawful rationale”;</w:t>
      </w:r>
    </w:p>
    <w:p w:rsidR="00CE5D6F" w:rsidRPr="00CE5D6F" w:rsidRDefault="00CE5D6F" w:rsidP="00CE5D6F">
      <w:pPr>
        <w:pStyle w:val="Listenabsatz"/>
        <w:numPr>
          <w:ilvl w:val="0"/>
          <w:numId w:val="6"/>
        </w:numPr>
        <w:spacing w:after="120" w:line="264" w:lineRule="auto"/>
        <w:ind w:left="0" w:firstLine="0"/>
        <w:contextualSpacing w:val="0"/>
        <w:rPr>
          <w:lang w:val="en-GB"/>
        </w:rPr>
      </w:pPr>
      <w:r w:rsidRPr="00CE5D6F">
        <w:rPr>
          <w:lang w:val="en-GB"/>
        </w:rPr>
        <w:t>(22), item c): please specify “personal links”;</w:t>
      </w:r>
    </w:p>
    <w:p w:rsidR="00CE5D6F" w:rsidRPr="00CE5D6F" w:rsidRDefault="00CE5D6F" w:rsidP="00CE5D6F">
      <w:pPr>
        <w:pStyle w:val="Listenabsatz"/>
        <w:numPr>
          <w:ilvl w:val="0"/>
          <w:numId w:val="6"/>
        </w:numPr>
        <w:spacing w:after="120" w:line="264" w:lineRule="auto"/>
        <w:ind w:left="0" w:firstLine="0"/>
        <w:contextualSpacing w:val="0"/>
        <w:rPr>
          <w:lang w:val="en-GB"/>
        </w:rPr>
      </w:pPr>
      <w:r w:rsidRPr="00CE5D6F">
        <w:rPr>
          <w:lang w:val="en-GB"/>
        </w:rPr>
        <w:t>(23) – throughout: item “23”should only express that a firm should consider the quality of a jurisdiction by applying a trustworthy source;</w:t>
      </w:r>
    </w:p>
    <w:p w:rsidR="00CE5D6F" w:rsidRPr="00CE5D6F" w:rsidRDefault="00CE5D6F" w:rsidP="00CE5D6F">
      <w:pPr>
        <w:pStyle w:val="Listenabsatz"/>
        <w:numPr>
          <w:ilvl w:val="0"/>
          <w:numId w:val="6"/>
        </w:numPr>
        <w:spacing w:after="120" w:line="264" w:lineRule="auto"/>
        <w:ind w:left="0" w:firstLine="0"/>
        <w:contextualSpacing w:val="0"/>
        <w:rPr>
          <w:lang w:val="en-GB"/>
        </w:rPr>
      </w:pPr>
      <w:r w:rsidRPr="00CE5D6F">
        <w:rPr>
          <w:lang w:val="en-GB"/>
        </w:rPr>
        <w:t>(23), 3rd bullet point: What would be the consequences in the case of such information? Putting a customer domiciled in such jurisdiction into a higher risk category only for this reason? Law enforcement typically does not provide any such information whilst reliance on media reports only is not recommended.</w:t>
      </w:r>
    </w:p>
    <w:p w:rsidR="00CE5D6F" w:rsidRPr="00CE5D6F" w:rsidRDefault="00CE5D6F" w:rsidP="00CE5D6F">
      <w:pPr>
        <w:pStyle w:val="Listenabsatz"/>
        <w:numPr>
          <w:ilvl w:val="0"/>
          <w:numId w:val="6"/>
        </w:numPr>
        <w:spacing w:after="120" w:line="264" w:lineRule="auto"/>
        <w:ind w:left="0" w:firstLine="0"/>
        <w:contextualSpacing w:val="0"/>
        <w:rPr>
          <w:lang w:val="en-GB"/>
        </w:rPr>
      </w:pPr>
      <w:r w:rsidRPr="00CE5D6F">
        <w:rPr>
          <w:lang w:val="en-GB"/>
        </w:rPr>
        <w:t>(23), 5th bullet point:  a clear definition for each of these terms, or even better a list of jurisdictions which qualify as “tax haven”, “secrecy haven” or “offshore jurisdiction” would be very helpful;</w:t>
      </w:r>
    </w:p>
    <w:p w:rsidR="00CE5D6F" w:rsidRPr="00CE5D6F" w:rsidRDefault="00CE5D6F" w:rsidP="00CE5D6F">
      <w:pPr>
        <w:pStyle w:val="Listenabsatz"/>
        <w:numPr>
          <w:ilvl w:val="0"/>
          <w:numId w:val="6"/>
        </w:numPr>
        <w:spacing w:after="120" w:line="264" w:lineRule="auto"/>
        <w:ind w:left="0" w:firstLine="0"/>
        <w:contextualSpacing w:val="0"/>
        <w:rPr>
          <w:lang w:val="en-GB"/>
        </w:rPr>
      </w:pPr>
      <w:r w:rsidRPr="00CE5D6F">
        <w:rPr>
          <w:lang w:val="en-GB"/>
        </w:rPr>
        <w:t>(23), 8th bullet point: a firm will not be able to judge on whether or not a jurisdiction is “politically stable“ (whatever this means);</w:t>
      </w:r>
    </w:p>
    <w:p w:rsidR="00CE5D6F" w:rsidRPr="00CE5D6F" w:rsidRDefault="00CE5D6F" w:rsidP="00CE5D6F">
      <w:pPr>
        <w:pStyle w:val="Listenabsatz"/>
        <w:numPr>
          <w:ilvl w:val="0"/>
          <w:numId w:val="6"/>
        </w:numPr>
        <w:spacing w:after="120" w:line="264" w:lineRule="auto"/>
        <w:ind w:left="0" w:firstLine="0"/>
        <w:contextualSpacing w:val="0"/>
        <w:rPr>
          <w:lang w:val="en-GB"/>
        </w:rPr>
      </w:pPr>
      <w:r w:rsidRPr="00CE5D6F">
        <w:rPr>
          <w:lang w:val="en-GB"/>
        </w:rPr>
        <w:t>(26), 2nd bullet point: firms will not be able to investigate if any such third party will indeed have a possibility to give any such instructions;</w:t>
      </w:r>
    </w:p>
    <w:p w:rsidR="00CE5D6F" w:rsidRPr="00CE5D6F" w:rsidRDefault="00CE5D6F" w:rsidP="00CE5D6F">
      <w:pPr>
        <w:pStyle w:val="Listenabsatz"/>
        <w:numPr>
          <w:ilvl w:val="0"/>
          <w:numId w:val="6"/>
        </w:numPr>
        <w:spacing w:after="120" w:line="264" w:lineRule="auto"/>
        <w:ind w:left="0" w:firstLine="0"/>
        <w:contextualSpacing w:val="0"/>
        <w:rPr>
          <w:lang w:val="en-GB"/>
        </w:rPr>
      </w:pPr>
      <w:r w:rsidRPr="00CE5D6F">
        <w:rPr>
          <w:lang w:val="en-GB"/>
        </w:rPr>
        <w:t>(27), 2nd bullet point: any current account will allow – as receiving account – to be finally credited from a third party (such as in the event where an invoice is being paid not by the debtor (addressee of the invoice) but someone else). Is this a risk factor to be included? Is a mortgage loan which is prepaid (which happens often) to be seen as such “certain mortgage … product”? Again, an official list of products which bear higher (or lower) risk would be helpful;</w:t>
      </w:r>
    </w:p>
    <w:p w:rsidR="00CE5D6F" w:rsidRPr="00CE5D6F" w:rsidRDefault="00CE5D6F" w:rsidP="00CE5D6F">
      <w:pPr>
        <w:pStyle w:val="Listenabsatz"/>
        <w:numPr>
          <w:ilvl w:val="0"/>
          <w:numId w:val="6"/>
        </w:numPr>
        <w:spacing w:after="120" w:line="264" w:lineRule="auto"/>
        <w:ind w:left="0" w:firstLine="0"/>
        <w:contextualSpacing w:val="0"/>
        <w:rPr>
          <w:lang w:val="en-GB"/>
        </w:rPr>
      </w:pPr>
      <w:r w:rsidRPr="00CE5D6F">
        <w:rPr>
          <w:lang w:val="en-GB"/>
        </w:rPr>
        <w:t xml:space="preserve">(28), 2nd bullet point: the credit balance will finally determine to which extent a current account will facilitate a high value transaction. On the same token, the nominal value of a bond </w:t>
      </w:r>
      <w:r w:rsidRPr="00CE5D6F">
        <w:rPr>
          <w:lang w:val="en-GB"/>
        </w:rPr>
        <w:lastRenderedPageBreak/>
        <w:t>determines the potential transaction value. Again it would be helpful to have a list of products which EBA considers to fall within this category;</w:t>
      </w:r>
    </w:p>
    <w:p w:rsidR="00CE5D6F" w:rsidRPr="00CE5D6F" w:rsidRDefault="00CE5D6F" w:rsidP="00CE5D6F">
      <w:pPr>
        <w:pStyle w:val="Listenabsatz"/>
        <w:numPr>
          <w:ilvl w:val="0"/>
          <w:numId w:val="6"/>
        </w:numPr>
        <w:spacing w:after="120" w:line="264" w:lineRule="auto"/>
        <w:ind w:left="0" w:firstLine="0"/>
        <w:contextualSpacing w:val="0"/>
        <w:rPr>
          <w:lang w:val="en-GB"/>
        </w:rPr>
      </w:pPr>
      <w:r w:rsidRPr="00CE5D6F">
        <w:rPr>
          <w:lang w:val="en-GB"/>
        </w:rPr>
        <w:t>(29), item a): does this mean that all internet banking activities (like giving a transfer order) will be high risk activities</w:t>
      </w:r>
      <w:proofErr w:type="gramStart"/>
      <w:r w:rsidRPr="00CE5D6F">
        <w:rPr>
          <w:lang w:val="en-GB"/>
        </w:rPr>
        <w:t>?;</w:t>
      </w:r>
      <w:proofErr w:type="gramEnd"/>
    </w:p>
    <w:p w:rsidR="00CE5D6F" w:rsidRPr="00CE5D6F" w:rsidRDefault="00CE5D6F" w:rsidP="00CE5D6F">
      <w:pPr>
        <w:pStyle w:val="Listenabsatz"/>
        <w:numPr>
          <w:ilvl w:val="0"/>
          <w:numId w:val="6"/>
        </w:numPr>
        <w:spacing w:after="120" w:line="264" w:lineRule="auto"/>
        <w:ind w:left="0" w:firstLine="0"/>
        <w:contextualSpacing w:val="0"/>
        <w:rPr>
          <w:lang w:val="en-GB"/>
        </w:rPr>
      </w:pPr>
      <w:r w:rsidRPr="00CE5D6F">
        <w:rPr>
          <w:lang w:val="en-GB"/>
        </w:rPr>
        <w:t xml:space="preserve">(42), 2nd bullet point, </w:t>
      </w:r>
      <w:proofErr w:type="spellStart"/>
      <w:r w:rsidRPr="00CE5D6F">
        <w:rPr>
          <w:lang w:val="en-GB"/>
        </w:rPr>
        <w:t>subitem</w:t>
      </w:r>
      <w:proofErr w:type="spellEnd"/>
      <w:r w:rsidRPr="00CE5D6F">
        <w:rPr>
          <w:lang w:val="en-GB"/>
        </w:rPr>
        <w:t xml:space="preserve"> i.: reversely, does this mean, in the case of applying normal or enhanced CDD, a firm will have to take, for example a passport and an ID-card from a private individual when taking-on as new client?;</w:t>
      </w:r>
    </w:p>
    <w:p w:rsidR="00CE5D6F" w:rsidRPr="00CE5D6F" w:rsidRDefault="00CE5D6F" w:rsidP="00CE5D6F">
      <w:pPr>
        <w:pStyle w:val="Listenabsatz"/>
        <w:numPr>
          <w:ilvl w:val="0"/>
          <w:numId w:val="6"/>
        </w:numPr>
        <w:spacing w:after="120" w:line="264" w:lineRule="auto"/>
        <w:ind w:left="0" w:firstLine="0"/>
        <w:contextualSpacing w:val="0"/>
        <w:rPr>
          <w:lang w:val="en-GB"/>
        </w:rPr>
      </w:pPr>
      <w:r w:rsidRPr="00CE5D6F">
        <w:rPr>
          <w:lang w:val="en-GB"/>
        </w:rPr>
        <w:t>(49), 2nd bullet poi</w:t>
      </w:r>
      <w:bookmarkStart w:id="0" w:name="_GoBack"/>
      <w:bookmarkEnd w:id="0"/>
      <w:r w:rsidRPr="00CE5D6F">
        <w:rPr>
          <w:lang w:val="en-GB"/>
        </w:rPr>
        <w:t xml:space="preserve">nt: once a business relationship has been established with </w:t>
      </w:r>
      <w:proofErr w:type="gramStart"/>
      <w:r w:rsidRPr="00CE5D6F">
        <w:rPr>
          <w:lang w:val="en-GB"/>
        </w:rPr>
        <w:t>a PEP</w:t>
      </w:r>
      <w:proofErr w:type="gramEnd"/>
      <w:r w:rsidRPr="00CE5D6F">
        <w:rPr>
          <w:lang w:val="en-GB"/>
        </w:rPr>
        <w:t xml:space="preserve">, e.g. by opening a current account, the business is typically continuous. Therefore, the description “or continuing” should be deleted; </w:t>
      </w:r>
    </w:p>
    <w:p w:rsidR="00CE5D6F" w:rsidRPr="00CE5D6F" w:rsidRDefault="00CE5D6F" w:rsidP="00CE5D6F">
      <w:pPr>
        <w:pStyle w:val="Listenabsatz"/>
        <w:numPr>
          <w:ilvl w:val="0"/>
          <w:numId w:val="6"/>
        </w:numPr>
        <w:spacing w:after="120" w:line="264" w:lineRule="auto"/>
        <w:ind w:left="0" w:firstLine="0"/>
        <w:contextualSpacing w:val="0"/>
        <w:rPr>
          <w:lang w:val="en-GB"/>
        </w:rPr>
      </w:pPr>
      <w:r w:rsidRPr="00CE5D6F">
        <w:rPr>
          <w:lang w:val="en-GB"/>
        </w:rPr>
        <w:t xml:space="preserve">(57), 1st bullet point, </w:t>
      </w:r>
      <w:proofErr w:type="spellStart"/>
      <w:r w:rsidRPr="00CE5D6F">
        <w:rPr>
          <w:lang w:val="en-GB"/>
        </w:rPr>
        <w:t>subitem</w:t>
      </w:r>
      <w:proofErr w:type="spellEnd"/>
      <w:r w:rsidRPr="00CE5D6F">
        <w:rPr>
          <w:lang w:val="en-GB"/>
        </w:rPr>
        <w:t xml:space="preserve"> </w:t>
      </w:r>
      <w:proofErr w:type="spellStart"/>
      <w:r w:rsidRPr="00CE5D6F">
        <w:rPr>
          <w:lang w:val="en-GB"/>
        </w:rPr>
        <w:t>i.a</w:t>
      </w:r>
      <w:proofErr w:type="spellEnd"/>
      <w:r w:rsidRPr="00CE5D6F">
        <w:rPr>
          <w:lang w:val="en-GB"/>
        </w:rPr>
        <w:t>.: advers</w:t>
      </w:r>
      <w:r w:rsidR="00B93882">
        <w:rPr>
          <w:lang w:val="en-GB"/>
        </w:rPr>
        <w:t>e information</w:t>
      </w:r>
      <w:r w:rsidRPr="00CE5D6F">
        <w:rPr>
          <w:lang w:val="en-GB"/>
        </w:rPr>
        <w:t xml:space="preserve"> about any family member of a customer must and will often not have any link towards the customer itself;</w:t>
      </w:r>
    </w:p>
    <w:p w:rsidR="003568E9" w:rsidRPr="008C0AE8" w:rsidRDefault="003568E9" w:rsidP="00CE5D6F">
      <w:pPr>
        <w:rPr>
          <w:lang w:val="en-GB"/>
        </w:rPr>
      </w:pPr>
    </w:p>
    <w:p w:rsidR="00C84D8A" w:rsidRPr="00767DA3" w:rsidRDefault="00C66013" w:rsidP="00CE5D6F">
      <w:pPr>
        <w:spacing w:line="240" w:lineRule="auto"/>
        <w:rPr>
          <w:rFonts w:cs="Arial"/>
          <w:color w:val="000000"/>
          <w:lang w:val="en-GB" w:eastAsia="en-US"/>
        </w:rPr>
      </w:pPr>
      <w:r w:rsidRPr="00767DA3">
        <w:rPr>
          <w:rFonts w:cs="Arial"/>
          <w:color w:val="000000"/>
          <w:lang w:val="en-GB" w:eastAsia="en-US"/>
        </w:rPr>
        <w:t>We ask you to give our remarks du</w:t>
      </w:r>
      <w:r w:rsidR="00B960F5" w:rsidRPr="00767DA3">
        <w:rPr>
          <w:rFonts w:cs="Arial"/>
          <w:color w:val="000000"/>
          <w:lang w:val="en-GB" w:eastAsia="en-US"/>
        </w:rPr>
        <w:t>e consideration.</w:t>
      </w:r>
    </w:p>
    <w:p w:rsidR="00686189" w:rsidRPr="00767DA3" w:rsidRDefault="00686189" w:rsidP="00CE5D6F">
      <w:pPr>
        <w:spacing w:line="240" w:lineRule="auto"/>
        <w:rPr>
          <w:rFonts w:cs="Arial"/>
          <w:color w:val="000000"/>
          <w:lang w:val="en-GB" w:eastAsia="en-US"/>
        </w:rPr>
      </w:pPr>
    </w:p>
    <w:p w:rsidR="00686189" w:rsidRPr="00767DA3" w:rsidRDefault="00686189" w:rsidP="00CE5D6F">
      <w:pPr>
        <w:spacing w:line="240" w:lineRule="auto"/>
        <w:rPr>
          <w:rFonts w:cs="Arial"/>
          <w:color w:val="000000"/>
          <w:lang w:val="en-GB" w:eastAsia="en-US"/>
        </w:rPr>
      </w:pPr>
    </w:p>
    <w:p w:rsidR="00C84D8A" w:rsidRPr="00767DA3" w:rsidRDefault="00686189" w:rsidP="00CE5D6F">
      <w:pPr>
        <w:spacing w:line="240" w:lineRule="auto"/>
        <w:rPr>
          <w:rFonts w:cs="Arial"/>
          <w:color w:val="000000"/>
          <w:lang w:val="en-GB" w:eastAsia="en-US"/>
        </w:rPr>
      </w:pPr>
      <w:r w:rsidRPr="00767DA3">
        <w:rPr>
          <w:rFonts w:cs="Arial"/>
          <w:color w:val="000000"/>
          <w:lang w:val="en-GB" w:eastAsia="en-US"/>
        </w:rPr>
        <w:t>Y</w:t>
      </w:r>
      <w:r w:rsidR="00C84D8A" w:rsidRPr="00767DA3">
        <w:rPr>
          <w:rFonts w:cs="Arial"/>
          <w:color w:val="000000"/>
          <w:lang w:val="en-GB" w:eastAsia="en-US"/>
        </w:rPr>
        <w:t xml:space="preserve">ours </w:t>
      </w:r>
      <w:r w:rsidR="004A01A9" w:rsidRPr="00767DA3">
        <w:rPr>
          <w:rFonts w:cs="Arial"/>
          <w:color w:val="000000"/>
          <w:lang w:val="en-GB" w:eastAsia="en-US"/>
        </w:rPr>
        <w:t>sincerely</w:t>
      </w:r>
      <w:r w:rsidR="00C84D8A" w:rsidRPr="00767DA3">
        <w:rPr>
          <w:rFonts w:cs="Arial"/>
          <w:color w:val="000000"/>
          <w:lang w:val="en-GB" w:eastAsia="en-US"/>
        </w:rPr>
        <w:t>,</w:t>
      </w:r>
    </w:p>
    <w:p w:rsidR="00F31CB0" w:rsidRPr="00767DA3" w:rsidRDefault="00F31CB0" w:rsidP="00CE5D6F">
      <w:pPr>
        <w:spacing w:line="240" w:lineRule="auto"/>
        <w:rPr>
          <w:rFonts w:cs="Arial"/>
          <w:color w:val="000000"/>
          <w:lang w:val="en-GB" w:eastAsia="en-US"/>
        </w:rPr>
      </w:pPr>
    </w:p>
    <w:p w:rsidR="00C84D8A" w:rsidRPr="00767DA3" w:rsidRDefault="00C84D8A" w:rsidP="00CE5D6F">
      <w:pPr>
        <w:spacing w:line="240" w:lineRule="auto"/>
        <w:rPr>
          <w:rFonts w:cs="Arial"/>
          <w:color w:val="000000"/>
          <w:lang w:val="en-GB" w:eastAsia="en-US"/>
        </w:rPr>
      </w:pPr>
      <w:r w:rsidRPr="00767DA3">
        <w:rPr>
          <w:rFonts w:cs="Arial"/>
          <w:color w:val="000000"/>
          <w:lang w:val="en-GB" w:eastAsia="en-US"/>
        </w:rPr>
        <w:t>Dr. Franz Rudorfer</w:t>
      </w:r>
    </w:p>
    <w:p w:rsidR="00C84D8A" w:rsidRPr="00767DA3" w:rsidRDefault="00C84D8A" w:rsidP="00CE5D6F">
      <w:pPr>
        <w:spacing w:line="240" w:lineRule="auto"/>
        <w:rPr>
          <w:rFonts w:cs="Arial"/>
          <w:color w:val="000000"/>
          <w:lang w:val="en-GB" w:eastAsia="en-US"/>
        </w:rPr>
      </w:pPr>
      <w:r w:rsidRPr="00767DA3">
        <w:rPr>
          <w:rFonts w:cs="Arial"/>
          <w:color w:val="000000"/>
          <w:lang w:val="en-GB" w:eastAsia="en-US"/>
        </w:rPr>
        <w:t>Managing Director</w:t>
      </w:r>
    </w:p>
    <w:p w:rsidR="005E1BA5" w:rsidRPr="00767DA3" w:rsidRDefault="00C84D8A" w:rsidP="00CE5D6F">
      <w:pPr>
        <w:spacing w:line="240" w:lineRule="auto"/>
        <w:rPr>
          <w:noProof/>
          <w:lang w:val="en-GB"/>
        </w:rPr>
      </w:pPr>
      <w:r w:rsidRPr="00767DA3">
        <w:rPr>
          <w:rFonts w:cs="Arial"/>
          <w:color w:val="000000"/>
          <w:lang w:val="en-GB" w:eastAsia="en-US"/>
        </w:rPr>
        <w:t>Division Bank and Insurance</w:t>
      </w:r>
    </w:p>
    <w:p w:rsidR="00346DF4" w:rsidRPr="007C2846" w:rsidRDefault="00346DF4" w:rsidP="00CE5D6F">
      <w:pPr>
        <w:spacing w:line="240" w:lineRule="auto"/>
        <w:rPr>
          <w:noProof/>
          <w:lang w:val="en-GB"/>
        </w:rPr>
      </w:pPr>
    </w:p>
    <w:sectPr w:rsidR="00346DF4" w:rsidRPr="007C2846" w:rsidSect="00F700E4">
      <w:headerReference w:type="default" r:id="rId9"/>
      <w:headerReference w:type="first" r:id="rId10"/>
      <w:pgSz w:w="11906" w:h="16838"/>
      <w:pgMar w:top="1701" w:right="851" w:bottom="1134" w:left="1418"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18E" w:rsidRDefault="0014018E">
      <w:r>
        <w:separator/>
      </w:r>
    </w:p>
  </w:endnote>
  <w:endnote w:type="continuationSeparator" w:id="0">
    <w:p w:rsidR="0014018E" w:rsidRDefault="0014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18E" w:rsidRDefault="0014018E">
      <w:r>
        <w:separator/>
      </w:r>
    </w:p>
  </w:footnote>
  <w:footnote w:type="continuationSeparator" w:id="0">
    <w:p w:rsidR="0014018E" w:rsidRDefault="00140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8E" w:rsidRDefault="0014018E">
    <w:pPr>
      <w:pStyle w:val="Kopfzeile"/>
      <w:jc w:val="center"/>
    </w:pPr>
    <w:r>
      <w:t xml:space="preserve">- </w:t>
    </w:r>
    <w:r w:rsidR="008D5D3B">
      <w:rPr>
        <w:rStyle w:val="Seitenzahl"/>
      </w:rPr>
      <w:fldChar w:fldCharType="begin"/>
    </w:r>
    <w:r>
      <w:rPr>
        <w:rStyle w:val="Seitenzahl"/>
      </w:rPr>
      <w:instrText xml:space="preserve"> PAGE </w:instrText>
    </w:r>
    <w:r w:rsidR="008D5D3B">
      <w:rPr>
        <w:rStyle w:val="Seitenzahl"/>
      </w:rPr>
      <w:fldChar w:fldCharType="separate"/>
    </w:r>
    <w:r w:rsidR="004445DA">
      <w:rPr>
        <w:rStyle w:val="Seitenzahl"/>
        <w:noProof/>
      </w:rPr>
      <w:t>2</w:t>
    </w:r>
    <w:r w:rsidR="008D5D3B">
      <w:rPr>
        <w:rStyle w:val="Seitenzahl"/>
      </w:rPr>
      <w:fldChar w:fldCharType="end"/>
    </w:r>
    <w:r>
      <w:rPr>
        <w:rStyle w:val="Seitenzah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8E" w:rsidRDefault="0014018E">
    <w:pPr>
      <w:pStyle w:val="Kopfzeile"/>
      <w:jc w:val="right"/>
    </w:pPr>
    <w:r>
      <w:rPr>
        <w:noProof/>
        <w:snapToGrid/>
        <w:lang w:val="de-AT"/>
      </w:rPr>
      <w:drawing>
        <wp:anchor distT="0" distB="0" distL="114300" distR="114300" simplePos="0" relativeHeight="251657728" behindDoc="0" locked="1" layoutInCell="0" allowOverlap="1">
          <wp:simplePos x="0" y="0"/>
          <wp:positionH relativeFrom="page">
            <wp:posOffset>4859655</wp:posOffset>
          </wp:positionH>
          <wp:positionV relativeFrom="page">
            <wp:posOffset>197485</wp:posOffset>
          </wp:positionV>
          <wp:extent cx="2210435" cy="861695"/>
          <wp:effectExtent l="19050" t="0" r="0" b="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10435" cy="8616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B435A"/>
    <w:multiLevelType w:val="hybridMultilevel"/>
    <w:tmpl w:val="430A2FC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
    <w:nsid w:val="2F7E33E9"/>
    <w:multiLevelType w:val="hybridMultilevel"/>
    <w:tmpl w:val="AE08DD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nsid w:val="587A10D2"/>
    <w:multiLevelType w:val="hybridMultilevel"/>
    <w:tmpl w:val="1D8E3446"/>
    <w:lvl w:ilvl="0" w:tplc="61902CC4">
      <w:numFmt w:val="bullet"/>
      <w:lvlText w:val="-"/>
      <w:lvlJc w:val="left"/>
      <w:pPr>
        <w:ind w:left="720" w:hanging="360"/>
      </w:pPr>
      <w:rPr>
        <w:rFonts w:ascii="Trebuchet MS" w:eastAsia="Times New Roman" w:hAnsi="Trebuchet MS" w:cs="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65C210E1"/>
    <w:multiLevelType w:val="hybridMultilevel"/>
    <w:tmpl w:val="D2EC6886"/>
    <w:lvl w:ilvl="0" w:tplc="516AC5AA">
      <w:start w:val="1"/>
      <w:numFmt w:val="lowerRoman"/>
      <w:lvlText w:val="(%1)"/>
      <w:lvlJc w:val="left"/>
      <w:pPr>
        <w:ind w:left="1440" w:hanging="720"/>
      </w:pPr>
      <w:rPr>
        <w:rFonts w:ascii="Trebuchet MS" w:eastAsia="Calibri" w:hAnsi="Trebuchet MS" w:cs="Times New Roman"/>
      </w:rPr>
    </w:lvl>
    <w:lvl w:ilvl="1" w:tplc="0C070019">
      <w:start w:val="1"/>
      <w:numFmt w:val="lowerLetter"/>
      <w:lvlText w:val="%2."/>
      <w:lvlJc w:val="left"/>
      <w:pPr>
        <w:ind w:left="1800" w:hanging="360"/>
      </w:pPr>
    </w:lvl>
    <w:lvl w:ilvl="2" w:tplc="0C07001B">
      <w:start w:val="1"/>
      <w:numFmt w:val="lowerRoman"/>
      <w:lvlText w:val="%3."/>
      <w:lvlJc w:val="right"/>
      <w:pPr>
        <w:ind w:left="2520" w:hanging="180"/>
      </w:pPr>
    </w:lvl>
    <w:lvl w:ilvl="3" w:tplc="0C07000F">
      <w:start w:val="1"/>
      <w:numFmt w:val="decimal"/>
      <w:lvlText w:val="%4."/>
      <w:lvlJc w:val="left"/>
      <w:pPr>
        <w:ind w:left="3240" w:hanging="360"/>
      </w:pPr>
    </w:lvl>
    <w:lvl w:ilvl="4" w:tplc="0C070019">
      <w:start w:val="1"/>
      <w:numFmt w:val="lowerLetter"/>
      <w:lvlText w:val="%5."/>
      <w:lvlJc w:val="left"/>
      <w:pPr>
        <w:ind w:left="3960" w:hanging="360"/>
      </w:pPr>
    </w:lvl>
    <w:lvl w:ilvl="5" w:tplc="0C07001B">
      <w:start w:val="1"/>
      <w:numFmt w:val="lowerRoman"/>
      <w:lvlText w:val="%6."/>
      <w:lvlJc w:val="right"/>
      <w:pPr>
        <w:ind w:left="4680" w:hanging="180"/>
      </w:pPr>
    </w:lvl>
    <w:lvl w:ilvl="6" w:tplc="0C07000F">
      <w:start w:val="1"/>
      <w:numFmt w:val="decimal"/>
      <w:lvlText w:val="%7."/>
      <w:lvlJc w:val="left"/>
      <w:pPr>
        <w:ind w:left="5400" w:hanging="360"/>
      </w:pPr>
    </w:lvl>
    <w:lvl w:ilvl="7" w:tplc="0C070019">
      <w:start w:val="1"/>
      <w:numFmt w:val="lowerLetter"/>
      <w:lvlText w:val="%8."/>
      <w:lvlJc w:val="left"/>
      <w:pPr>
        <w:ind w:left="6120" w:hanging="360"/>
      </w:pPr>
    </w:lvl>
    <w:lvl w:ilvl="8" w:tplc="0C07001B">
      <w:start w:val="1"/>
      <w:numFmt w:val="lowerRoman"/>
      <w:lvlText w:val="%9."/>
      <w:lvlJc w:val="right"/>
      <w:pPr>
        <w:ind w:left="6840" w:hanging="180"/>
      </w:pPr>
    </w:lvl>
  </w:abstractNum>
  <w:abstractNum w:abstractNumId="4">
    <w:nsid w:val="6DFA673E"/>
    <w:multiLevelType w:val="hybridMultilevel"/>
    <w:tmpl w:val="E04C417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nsid w:val="7C004F2D"/>
    <w:multiLevelType w:val="hybridMultilevel"/>
    <w:tmpl w:val="6E82D81A"/>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0CC"/>
    <w:rsid w:val="00001730"/>
    <w:rsid w:val="000135FB"/>
    <w:rsid w:val="000163E0"/>
    <w:rsid w:val="00021DBA"/>
    <w:rsid w:val="00024D8C"/>
    <w:rsid w:val="00026657"/>
    <w:rsid w:val="00035D58"/>
    <w:rsid w:val="00044A71"/>
    <w:rsid w:val="00053316"/>
    <w:rsid w:val="00057439"/>
    <w:rsid w:val="00061814"/>
    <w:rsid w:val="000619FB"/>
    <w:rsid w:val="0006215B"/>
    <w:rsid w:val="00071436"/>
    <w:rsid w:val="00071BF7"/>
    <w:rsid w:val="00080E83"/>
    <w:rsid w:val="0008171B"/>
    <w:rsid w:val="0008527D"/>
    <w:rsid w:val="0008698A"/>
    <w:rsid w:val="00086BFB"/>
    <w:rsid w:val="000919C4"/>
    <w:rsid w:val="00094EB8"/>
    <w:rsid w:val="0009753B"/>
    <w:rsid w:val="000A0183"/>
    <w:rsid w:val="000A205C"/>
    <w:rsid w:val="000A4FC6"/>
    <w:rsid w:val="000A771B"/>
    <w:rsid w:val="000A7D13"/>
    <w:rsid w:val="000B2CE7"/>
    <w:rsid w:val="000B449E"/>
    <w:rsid w:val="000B4D96"/>
    <w:rsid w:val="000B572C"/>
    <w:rsid w:val="000D7538"/>
    <w:rsid w:val="000E511B"/>
    <w:rsid w:val="000F1070"/>
    <w:rsid w:val="000F2220"/>
    <w:rsid w:val="000F28BB"/>
    <w:rsid w:val="000F3572"/>
    <w:rsid w:val="000F74C7"/>
    <w:rsid w:val="00101144"/>
    <w:rsid w:val="00101383"/>
    <w:rsid w:val="001042B8"/>
    <w:rsid w:val="00105F0E"/>
    <w:rsid w:val="0011743A"/>
    <w:rsid w:val="00121770"/>
    <w:rsid w:val="00121CBD"/>
    <w:rsid w:val="001276A5"/>
    <w:rsid w:val="00127F3B"/>
    <w:rsid w:val="00131416"/>
    <w:rsid w:val="00131A98"/>
    <w:rsid w:val="00135A40"/>
    <w:rsid w:val="00137EF5"/>
    <w:rsid w:val="0014018E"/>
    <w:rsid w:val="0014746B"/>
    <w:rsid w:val="00151673"/>
    <w:rsid w:val="00151A78"/>
    <w:rsid w:val="00155AEE"/>
    <w:rsid w:val="00161914"/>
    <w:rsid w:val="00163CC0"/>
    <w:rsid w:val="00163DDA"/>
    <w:rsid w:val="00174D0C"/>
    <w:rsid w:val="00183969"/>
    <w:rsid w:val="00196D5C"/>
    <w:rsid w:val="00196EB4"/>
    <w:rsid w:val="001974F7"/>
    <w:rsid w:val="001B0788"/>
    <w:rsid w:val="001B4AB0"/>
    <w:rsid w:val="001C4931"/>
    <w:rsid w:val="001C49F8"/>
    <w:rsid w:val="001D40CC"/>
    <w:rsid w:val="001E0374"/>
    <w:rsid w:val="001F3545"/>
    <w:rsid w:val="002045CC"/>
    <w:rsid w:val="00205DE9"/>
    <w:rsid w:val="002061DD"/>
    <w:rsid w:val="00207AC9"/>
    <w:rsid w:val="00210FDF"/>
    <w:rsid w:val="00224981"/>
    <w:rsid w:val="00240D9B"/>
    <w:rsid w:val="0026358F"/>
    <w:rsid w:val="00264C67"/>
    <w:rsid w:val="00265C18"/>
    <w:rsid w:val="002711FC"/>
    <w:rsid w:val="00272C43"/>
    <w:rsid w:val="00280548"/>
    <w:rsid w:val="00282636"/>
    <w:rsid w:val="0028446E"/>
    <w:rsid w:val="00287819"/>
    <w:rsid w:val="00293410"/>
    <w:rsid w:val="00296269"/>
    <w:rsid w:val="002A00E4"/>
    <w:rsid w:val="002A15C7"/>
    <w:rsid w:val="002A3540"/>
    <w:rsid w:val="002B08BD"/>
    <w:rsid w:val="002B3BF4"/>
    <w:rsid w:val="002B4B41"/>
    <w:rsid w:val="002D14BF"/>
    <w:rsid w:val="002D4A90"/>
    <w:rsid w:val="002D69C4"/>
    <w:rsid w:val="002E4BD0"/>
    <w:rsid w:val="002F1DC4"/>
    <w:rsid w:val="003104AE"/>
    <w:rsid w:val="00312578"/>
    <w:rsid w:val="00316718"/>
    <w:rsid w:val="0031680D"/>
    <w:rsid w:val="00320A42"/>
    <w:rsid w:val="00325FCF"/>
    <w:rsid w:val="00327DD3"/>
    <w:rsid w:val="003303C4"/>
    <w:rsid w:val="00344DB8"/>
    <w:rsid w:val="00346DF4"/>
    <w:rsid w:val="003568E9"/>
    <w:rsid w:val="00361B24"/>
    <w:rsid w:val="003814C3"/>
    <w:rsid w:val="00384948"/>
    <w:rsid w:val="00390AC7"/>
    <w:rsid w:val="003933A5"/>
    <w:rsid w:val="0039371D"/>
    <w:rsid w:val="003A5633"/>
    <w:rsid w:val="003B3D28"/>
    <w:rsid w:val="003B6B36"/>
    <w:rsid w:val="003C5804"/>
    <w:rsid w:val="003C622F"/>
    <w:rsid w:val="003C7778"/>
    <w:rsid w:val="003D07A4"/>
    <w:rsid w:val="003E09A5"/>
    <w:rsid w:val="003E6845"/>
    <w:rsid w:val="003F44A2"/>
    <w:rsid w:val="003F5EEF"/>
    <w:rsid w:val="003F6706"/>
    <w:rsid w:val="00404863"/>
    <w:rsid w:val="004235FB"/>
    <w:rsid w:val="00425684"/>
    <w:rsid w:val="00430245"/>
    <w:rsid w:val="004302FD"/>
    <w:rsid w:val="004339AE"/>
    <w:rsid w:val="004400CB"/>
    <w:rsid w:val="004445DA"/>
    <w:rsid w:val="00445FAF"/>
    <w:rsid w:val="0044708F"/>
    <w:rsid w:val="00450B6F"/>
    <w:rsid w:val="00461F65"/>
    <w:rsid w:val="004632A4"/>
    <w:rsid w:val="00470480"/>
    <w:rsid w:val="004745CD"/>
    <w:rsid w:val="00480120"/>
    <w:rsid w:val="00482639"/>
    <w:rsid w:val="00485220"/>
    <w:rsid w:val="0048523B"/>
    <w:rsid w:val="00487A00"/>
    <w:rsid w:val="004926F1"/>
    <w:rsid w:val="004A01A9"/>
    <w:rsid w:val="004A115F"/>
    <w:rsid w:val="004B2194"/>
    <w:rsid w:val="004C0E9B"/>
    <w:rsid w:val="004C5E94"/>
    <w:rsid w:val="004C6FA4"/>
    <w:rsid w:val="004D1102"/>
    <w:rsid w:val="004D1A1E"/>
    <w:rsid w:val="004E2249"/>
    <w:rsid w:val="004E2A45"/>
    <w:rsid w:val="004E51E5"/>
    <w:rsid w:val="004F1B60"/>
    <w:rsid w:val="004F53C0"/>
    <w:rsid w:val="004F6198"/>
    <w:rsid w:val="00505343"/>
    <w:rsid w:val="0051495A"/>
    <w:rsid w:val="00517690"/>
    <w:rsid w:val="00521B7F"/>
    <w:rsid w:val="00535CF4"/>
    <w:rsid w:val="00550380"/>
    <w:rsid w:val="005548F9"/>
    <w:rsid w:val="00556359"/>
    <w:rsid w:val="00560A66"/>
    <w:rsid w:val="00562C44"/>
    <w:rsid w:val="00576F32"/>
    <w:rsid w:val="00590AAE"/>
    <w:rsid w:val="005A2D33"/>
    <w:rsid w:val="005B1218"/>
    <w:rsid w:val="005B3FB7"/>
    <w:rsid w:val="005C04FF"/>
    <w:rsid w:val="005C218C"/>
    <w:rsid w:val="005D0470"/>
    <w:rsid w:val="005D08DC"/>
    <w:rsid w:val="005D0B33"/>
    <w:rsid w:val="005D1620"/>
    <w:rsid w:val="005D4F47"/>
    <w:rsid w:val="005E1BA5"/>
    <w:rsid w:val="005E7180"/>
    <w:rsid w:val="005F5B48"/>
    <w:rsid w:val="005F632A"/>
    <w:rsid w:val="00606AFA"/>
    <w:rsid w:val="00622B51"/>
    <w:rsid w:val="00623752"/>
    <w:rsid w:val="00623872"/>
    <w:rsid w:val="006261AF"/>
    <w:rsid w:val="00641DC4"/>
    <w:rsid w:val="00642235"/>
    <w:rsid w:val="00642A57"/>
    <w:rsid w:val="006471E3"/>
    <w:rsid w:val="00650AE5"/>
    <w:rsid w:val="006518A3"/>
    <w:rsid w:val="0065464B"/>
    <w:rsid w:val="00677F47"/>
    <w:rsid w:val="00683614"/>
    <w:rsid w:val="0068403B"/>
    <w:rsid w:val="00686189"/>
    <w:rsid w:val="0069309F"/>
    <w:rsid w:val="00694B28"/>
    <w:rsid w:val="006A55B4"/>
    <w:rsid w:val="006C33D2"/>
    <w:rsid w:val="006D6427"/>
    <w:rsid w:val="006E0163"/>
    <w:rsid w:val="006E5185"/>
    <w:rsid w:val="0070253E"/>
    <w:rsid w:val="007053E7"/>
    <w:rsid w:val="007114EC"/>
    <w:rsid w:val="007203E6"/>
    <w:rsid w:val="007230AC"/>
    <w:rsid w:val="00724C39"/>
    <w:rsid w:val="0072798F"/>
    <w:rsid w:val="00732AFB"/>
    <w:rsid w:val="0073402F"/>
    <w:rsid w:val="0073440E"/>
    <w:rsid w:val="00743A63"/>
    <w:rsid w:val="00754BAF"/>
    <w:rsid w:val="00766B69"/>
    <w:rsid w:val="00767DA3"/>
    <w:rsid w:val="007755BF"/>
    <w:rsid w:val="007757A9"/>
    <w:rsid w:val="007762A4"/>
    <w:rsid w:val="00776348"/>
    <w:rsid w:val="007816E4"/>
    <w:rsid w:val="00782541"/>
    <w:rsid w:val="00783F4D"/>
    <w:rsid w:val="007846C2"/>
    <w:rsid w:val="00795782"/>
    <w:rsid w:val="007A01B8"/>
    <w:rsid w:val="007A1751"/>
    <w:rsid w:val="007B32D2"/>
    <w:rsid w:val="007B3A82"/>
    <w:rsid w:val="007B3EA1"/>
    <w:rsid w:val="007B641D"/>
    <w:rsid w:val="007C2846"/>
    <w:rsid w:val="007C2F92"/>
    <w:rsid w:val="007D0A79"/>
    <w:rsid w:val="007D3573"/>
    <w:rsid w:val="007D4FE3"/>
    <w:rsid w:val="007E6B3B"/>
    <w:rsid w:val="007F5F54"/>
    <w:rsid w:val="00801234"/>
    <w:rsid w:val="0080414A"/>
    <w:rsid w:val="0081169B"/>
    <w:rsid w:val="00811CE5"/>
    <w:rsid w:val="00812F74"/>
    <w:rsid w:val="00815C5E"/>
    <w:rsid w:val="00816598"/>
    <w:rsid w:val="008255E7"/>
    <w:rsid w:val="008351DF"/>
    <w:rsid w:val="008406BB"/>
    <w:rsid w:val="0084684D"/>
    <w:rsid w:val="0086077B"/>
    <w:rsid w:val="00864AF6"/>
    <w:rsid w:val="008720A6"/>
    <w:rsid w:val="008745CD"/>
    <w:rsid w:val="00881BC0"/>
    <w:rsid w:val="00884544"/>
    <w:rsid w:val="0088500E"/>
    <w:rsid w:val="0089476E"/>
    <w:rsid w:val="008953FC"/>
    <w:rsid w:val="008B1362"/>
    <w:rsid w:val="008B1D1A"/>
    <w:rsid w:val="008C0AE8"/>
    <w:rsid w:val="008C0C66"/>
    <w:rsid w:val="008C679C"/>
    <w:rsid w:val="008D1E25"/>
    <w:rsid w:val="008D469D"/>
    <w:rsid w:val="008D5D3B"/>
    <w:rsid w:val="008D70E6"/>
    <w:rsid w:val="008E02AC"/>
    <w:rsid w:val="008F1DD3"/>
    <w:rsid w:val="008F3076"/>
    <w:rsid w:val="008F3EA3"/>
    <w:rsid w:val="0091585E"/>
    <w:rsid w:val="009303DC"/>
    <w:rsid w:val="00935B03"/>
    <w:rsid w:val="00935BB6"/>
    <w:rsid w:val="0093708A"/>
    <w:rsid w:val="00942F6C"/>
    <w:rsid w:val="0094333B"/>
    <w:rsid w:val="0094518B"/>
    <w:rsid w:val="009458C0"/>
    <w:rsid w:val="009632CC"/>
    <w:rsid w:val="00965380"/>
    <w:rsid w:val="009853E1"/>
    <w:rsid w:val="009922DC"/>
    <w:rsid w:val="009A6947"/>
    <w:rsid w:val="009B6C3A"/>
    <w:rsid w:val="009C1E08"/>
    <w:rsid w:val="009C6136"/>
    <w:rsid w:val="009D188F"/>
    <w:rsid w:val="009D58FA"/>
    <w:rsid w:val="009E1189"/>
    <w:rsid w:val="009E5929"/>
    <w:rsid w:val="009E5A12"/>
    <w:rsid w:val="009E66CA"/>
    <w:rsid w:val="009F4450"/>
    <w:rsid w:val="009F57DA"/>
    <w:rsid w:val="009F6A00"/>
    <w:rsid w:val="00A01B18"/>
    <w:rsid w:val="00A0265B"/>
    <w:rsid w:val="00A07FE0"/>
    <w:rsid w:val="00A147F7"/>
    <w:rsid w:val="00A21AEC"/>
    <w:rsid w:val="00A23371"/>
    <w:rsid w:val="00A23661"/>
    <w:rsid w:val="00A36834"/>
    <w:rsid w:val="00A42F7B"/>
    <w:rsid w:val="00A437DE"/>
    <w:rsid w:val="00A44D5F"/>
    <w:rsid w:val="00A500F1"/>
    <w:rsid w:val="00A5381E"/>
    <w:rsid w:val="00A54C2F"/>
    <w:rsid w:val="00A55757"/>
    <w:rsid w:val="00A64C34"/>
    <w:rsid w:val="00A705F5"/>
    <w:rsid w:val="00A707A7"/>
    <w:rsid w:val="00A70C7D"/>
    <w:rsid w:val="00A81341"/>
    <w:rsid w:val="00A82C13"/>
    <w:rsid w:val="00A8532A"/>
    <w:rsid w:val="00A955F6"/>
    <w:rsid w:val="00A97AE7"/>
    <w:rsid w:val="00AA0432"/>
    <w:rsid w:val="00AB5857"/>
    <w:rsid w:val="00AB59B3"/>
    <w:rsid w:val="00AD053F"/>
    <w:rsid w:val="00AE02B3"/>
    <w:rsid w:val="00AE457B"/>
    <w:rsid w:val="00AE6511"/>
    <w:rsid w:val="00B10218"/>
    <w:rsid w:val="00B17B80"/>
    <w:rsid w:val="00B22761"/>
    <w:rsid w:val="00B32456"/>
    <w:rsid w:val="00B36C46"/>
    <w:rsid w:val="00B447AA"/>
    <w:rsid w:val="00B467F0"/>
    <w:rsid w:val="00B46C57"/>
    <w:rsid w:val="00B51CB0"/>
    <w:rsid w:val="00B532F2"/>
    <w:rsid w:val="00B55633"/>
    <w:rsid w:val="00B57C55"/>
    <w:rsid w:val="00B6209E"/>
    <w:rsid w:val="00B63C71"/>
    <w:rsid w:val="00B64838"/>
    <w:rsid w:val="00B6488D"/>
    <w:rsid w:val="00B6710C"/>
    <w:rsid w:val="00B67CEF"/>
    <w:rsid w:val="00B85379"/>
    <w:rsid w:val="00B8623F"/>
    <w:rsid w:val="00B93882"/>
    <w:rsid w:val="00B960F5"/>
    <w:rsid w:val="00BA5BEC"/>
    <w:rsid w:val="00BA5E95"/>
    <w:rsid w:val="00BA6878"/>
    <w:rsid w:val="00BA7A5E"/>
    <w:rsid w:val="00BB344D"/>
    <w:rsid w:val="00BC6569"/>
    <w:rsid w:val="00BD2D5E"/>
    <w:rsid w:val="00BD3A1D"/>
    <w:rsid w:val="00BD7362"/>
    <w:rsid w:val="00BE7A33"/>
    <w:rsid w:val="00BF1820"/>
    <w:rsid w:val="00BF2A57"/>
    <w:rsid w:val="00BF3BB7"/>
    <w:rsid w:val="00C02F42"/>
    <w:rsid w:val="00C044AE"/>
    <w:rsid w:val="00C21BF0"/>
    <w:rsid w:val="00C23AED"/>
    <w:rsid w:val="00C3459A"/>
    <w:rsid w:val="00C34E41"/>
    <w:rsid w:val="00C358D5"/>
    <w:rsid w:val="00C376E8"/>
    <w:rsid w:val="00C406D2"/>
    <w:rsid w:val="00C47B46"/>
    <w:rsid w:val="00C519C2"/>
    <w:rsid w:val="00C543F8"/>
    <w:rsid w:val="00C64B6E"/>
    <w:rsid w:val="00C66013"/>
    <w:rsid w:val="00C728A8"/>
    <w:rsid w:val="00C84D8A"/>
    <w:rsid w:val="00C97D15"/>
    <w:rsid w:val="00CA1356"/>
    <w:rsid w:val="00CA6A50"/>
    <w:rsid w:val="00CB2954"/>
    <w:rsid w:val="00CB797F"/>
    <w:rsid w:val="00CC1072"/>
    <w:rsid w:val="00CD2A67"/>
    <w:rsid w:val="00CD4E8C"/>
    <w:rsid w:val="00CD4ED3"/>
    <w:rsid w:val="00CE1526"/>
    <w:rsid w:val="00CE1A19"/>
    <w:rsid w:val="00CE3F94"/>
    <w:rsid w:val="00CE4DD7"/>
    <w:rsid w:val="00CE5D6F"/>
    <w:rsid w:val="00CF63BD"/>
    <w:rsid w:val="00D10757"/>
    <w:rsid w:val="00D1088D"/>
    <w:rsid w:val="00D35759"/>
    <w:rsid w:val="00D364F4"/>
    <w:rsid w:val="00D371BE"/>
    <w:rsid w:val="00D37B81"/>
    <w:rsid w:val="00D42F9C"/>
    <w:rsid w:val="00D51EC2"/>
    <w:rsid w:val="00D55968"/>
    <w:rsid w:val="00D57833"/>
    <w:rsid w:val="00D614D3"/>
    <w:rsid w:val="00D61E2F"/>
    <w:rsid w:val="00D63F9C"/>
    <w:rsid w:val="00D6614C"/>
    <w:rsid w:val="00D679C5"/>
    <w:rsid w:val="00D708D7"/>
    <w:rsid w:val="00D76BDD"/>
    <w:rsid w:val="00D77C55"/>
    <w:rsid w:val="00D82226"/>
    <w:rsid w:val="00D84A26"/>
    <w:rsid w:val="00D90D34"/>
    <w:rsid w:val="00D9226A"/>
    <w:rsid w:val="00DA13B9"/>
    <w:rsid w:val="00DA5251"/>
    <w:rsid w:val="00DB117B"/>
    <w:rsid w:val="00DB4FF8"/>
    <w:rsid w:val="00DC0A36"/>
    <w:rsid w:val="00DC2F9C"/>
    <w:rsid w:val="00DD4E27"/>
    <w:rsid w:val="00DE0704"/>
    <w:rsid w:val="00E0664D"/>
    <w:rsid w:val="00E2444D"/>
    <w:rsid w:val="00E25162"/>
    <w:rsid w:val="00E260A8"/>
    <w:rsid w:val="00E376EA"/>
    <w:rsid w:val="00E40277"/>
    <w:rsid w:val="00E41DFD"/>
    <w:rsid w:val="00E4233B"/>
    <w:rsid w:val="00E45332"/>
    <w:rsid w:val="00E505CF"/>
    <w:rsid w:val="00E51B60"/>
    <w:rsid w:val="00E72490"/>
    <w:rsid w:val="00E754C8"/>
    <w:rsid w:val="00E8006A"/>
    <w:rsid w:val="00E81371"/>
    <w:rsid w:val="00E82191"/>
    <w:rsid w:val="00E87DCD"/>
    <w:rsid w:val="00E95C5D"/>
    <w:rsid w:val="00EA1FF4"/>
    <w:rsid w:val="00EB13E2"/>
    <w:rsid w:val="00EB2182"/>
    <w:rsid w:val="00EB3B01"/>
    <w:rsid w:val="00EC6597"/>
    <w:rsid w:val="00ED0561"/>
    <w:rsid w:val="00ED171E"/>
    <w:rsid w:val="00ED2466"/>
    <w:rsid w:val="00EE33EF"/>
    <w:rsid w:val="00F039F2"/>
    <w:rsid w:val="00F06018"/>
    <w:rsid w:val="00F17F3D"/>
    <w:rsid w:val="00F253EA"/>
    <w:rsid w:val="00F26986"/>
    <w:rsid w:val="00F31CB0"/>
    <w:rsid w:val="00F37341"/>
    <w:rsid w:val="00F42876"/>
    <w:rsid w:val="00F472AC"/>
    <w:rsid w:val="00F57342"/>
    <w:rsid w:val="00F700E4"/>
    <w:rsid w:val="00F71922"/>
    <w:rsid w:val="00F744E0"/>
    <w:rsid w:val="00F77CC4"/>
    <w:rsid w:val="00F77E12"/>
    <w:rsid w:val="00F8025E"/>
    <w:rsid w:val="00F83CF8"/>
    <w:rsid w:val="00F878D2"/>
    <w:rsid w:val="00F90148"/>
    <w:rsid w:val="00F9470D"/>
    <w:rsid w:val="00F9528C"/>
    <w:rsid w:val="00FB464A"/>
    <w:rsid w:val="00FB6113"/>
    <w:rsid w:val="00FC5F01"/>
    <w:rsid w:val="00FD1999"/>
    <w:rsid w:val="00FD1D18"/>
    <w:rsid w:val="00FD48B2"/>
    <w:rsid w:val="00FD4B23"/>
    <w:rsid w:val="00FE48D6"/>
    <w:rsid w:val="00FF18C9"/>
    <w:rsid w:val="00FF7E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basedOn w:val="Standard"/>
    <w:uiPriority w:val="34"/>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rsid w:val="005B3FB7"/>
    <w:rPr>
      <w:color w:val="0000FF" w:themeColor="hyperlink"/>
      <w:u w:val="single"/>
    </w:rPr>
  </w:style>
  <w:style w:type="paragraph" w:customStyle="1" w:styleId="Default">
    <w:name w:val="Default"/>
    <w:rsid w:val="007755BF"/>
    <w:pPr>
      <w:widowControl w:val="0"/>
      <w:autoSpaceDE w:val="0"/>
      <w:autoSpaceDN w:val="0"/>
      <w:adjustRightInd w:val="0"/>
    </w:pPr>
    <w:rPr>
      <w:rFonts w:ascii="Arial" w:eastAsiaTheme="minorHAnsi" w:hAnsi="Arial" w:cs="Arial"/>
      <w:color w:val="000000"/>
      <w:sz w:val="24"/>
      <w:szCs w:val="24"/>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basedOn w:val="Standard"/>
    <w:uiPriority w:val="34"/>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rsid w:val="005B3FB7"/>
    <w:rPr>
      <w:color w:val="0000FF" w:themeColor="hyperlink"/>
      <w:u w:val="single"/>
    </w:rPr>
  </w:style>
  <w:style w:type="paragraph" w:customStyle="1" w:styleId="Default">
    <w:name w:val="Default"/>
    <w:rsid w:val="007755BF"/>
    <w:pPr>
      <w:widowControl w:val="0"/>
      <w:autoSpaceDE w:val="0"/>
      <w:autoSpaceDN w:val="0"/>
      <w:adjustRightInd w:val="0"/>
    </w:pPr>
    <w:rPr>
      <w:rFonts w:ascii="Arial" w:eastAsiaTheme="minorHAnsi" w:hAnsi="Arial" w:cs="Arial"/>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54276874">
      <w:bodyDiv w:val="1"/>
      <w:marLeft w:val="0"/>
      <w:marRight w:val="0"/>
      <w:marTop w:val="0"/>
      <w:marBottom w:val="0"/>
      <w:divBdr>
        <w:top w:val="none" w:sz="0" w:space="0" w:color="auto"/>
        <w:left w:val="none" w:sz="0" w:space="0" w:color="auto"/>
        <w:bottom w:val="none" w:sz="0" w:space="0" w:color="auto"/>
        <w:right w:val="none" w:sz="0" w:space="0" w:color="auto"/>
      </w:divBdr>
    </w:div>
    <w:div w:id="78412682">
      <w:bodyDiv w:val="1"/>
      <w:marLeft w:val="0"/>
      <w:marRight w:val="0"/>
      <w:marTop w:val="0"/>
      <w:marBottom w:val="0"/>
      <w:divBdr>
        <w:top w:val="none" w:sz="0" w:space="0" w:color="auto"/>
        <w:left w:val="none" w:sz="0" w:space="0" w:color="auto"/>
        <w:bottom w:val="none" w:sz="0" w:space="0" w:color="auto"/>
        <w:right w:val="none" w:sz="0" w:space="0" w:color="auto"/>
      </w:divBdr>
    </w:div>
    <w:div w:id="117992046">
      <w:bodyDiv w:val="1"/>
      <w:marLeft w:val="0"/>
      <w:marRight w:val="0"/>
      <w:marTop w:val="0"/>
      <w:marBottom w:val="0"/>
      <w:divBdr>
        <w:top w:val="none" w:sz="0" w:space="0" w:color="auto"/>
        <w:left w:val="none" w:sz="0" w:space="0" w:color="auto"/>
        <w:bottom w:val="none" w:sz="0" w:space="0" w:color="auto"/>
        <w:right w:val="none" w:sz="0" w:space="0" w:color="auto"/>
      </w:divBdr>
    </w:div>
    <w:div w:id="161164005">
      <w:bodyDiv w:val="1"/>
      <w:marLeft w:val="0"/>
      <w:marRight w:val="0"/>
      <w:marTop w:val="0"/>
      <w:marBottom w:val="0"/>
      <w:divBdr>
        <w:top w:val="none" w:sz="0" w:space="0" w:color="auto"/>
        <w:left w:val="none" w:sz="0" w:space="0" w:color="auto"/>
        <w:bottom w:val="none" w:sz="0" w:space="0" w:color="auto"/>
        <w:right w:val="none" w:sz="0" w:space="0" w:color="auto"/>
      </w:divBdr>
    </w:div>
    <w:div w:id="198661731">
      <w:bodyDiv w:val="1"/>
      <w:marLeft w:val="0"/>
      <w:marRight w:val="0"/>
      <w:marTop w:val="0"/>
      <w:marBottom w:val="0"/>
      <w:divBdr>
        <w:top w:val="none" w:sz="0" w:space="0" w:color="auto"/>
        <w:left w:val="none" w:sz="0" w:space="0" w:color="auto"/>
        <w:bottom w:val="none" w:sz="0" w:space="0" w:color="auto"/>
        <w:right w:val="none" w:sz="0" w:space="0" w:color="auto"/>
      </w:divBdr>
    </w:div>
    <w:div w:id="224804073">
      <w:bodyDiv w:val="1"/>
      <w:marLeft w:val="0"/>
      <w:marRight w:val="0"/>
      <w:marTop w:val="0"/>
      <w:marBottom w:val="0"/>
      <w:divBdr>
        <w:top w:val="none" w:sz="0" w:space="0" w:color="auto"/>
        <w:left w:val="none" w:sz="0" w:space="0" w:color="auto"/>
        <w:bottom w:val="none" w:sz="0" w:space="0" w:color="auto"/>
        <w:right w:val="none" w:sz="0" w:space="0" w:color="auto"/>
      </w:divBdr>
    </w:div>
    <w:div w:id="234628101">
      <w:bodyDiv w:val="1"/>
      <w:marLeft w:val="0"/>
      <w:marRight w:val="0"/>
      <w:marTop w:val="0"/>
      <w:marBottom w:val="0"/>
      <w:divBdr>
        <w:top w:val="none" w:sz="0" w:space="0" w:color="auto"/>
        <w:left w:val="none" w:sz="0" w:space="0" w:color="auto"/>
        <w:bottom w:val="none" w:sz="0" w:space="0" w:color="auto"/>
        <w:right w:val="none" w:sz="0" w:space="0" w:color="auto"/>
      </w:divBdr>
    </w:div>
    <w:div w:id="302588301">
      <w:bodyDiv w:val="1"/>
      <w:marLeft w:val="0"/>
      <w:marRight w:val="0"/>
      <w:marTop w:val="0"/>
      <w:marBottom w:val="0"/>
      <w:divBdr>
        <w:top w:val="none" w:sz="0" w:space="0" w:color="auto"/>
        <w:left w:val="none" w:sz="0" w:space="0" w:color="auto"/>
        <w:bottom w:val="none" w:sz="0" w:space="0" w:color="auto"/>
        <w:right w:val="none" w:sz="0" w:space="0" w:color="auto"/>
      </w:divBdr>
    </w:div>
    <w:div w:id="337125047">
      <w:bodyDiv w:val="1"/>
      <w:marLeft w:val="0"/>
      <w:marRight w:val="0"/>
      <w:marTop w:val="0"/>
      <w:marBottom w:val="0"/>
      <w:divBdr>
        <w:top w:val="none" w:sz="0" w:space="0" w:color="auto"/>
        <w:left w:val="none" w:sz="0" w:space="0" w:color="auto"/>
        <w:bottom w:val="none" w:sz="0" w:space="0" w:color="auto"/>
        <w:right w:val="none" w:sz="0" w:space="0" w:color="auto"/>
      </w:divBdr>
    </w:div>
    <w:div w:id="351954080">
      <w:bodyDiv w:val="1"/>
      <w:marLeft w:val="0"/>
      <w:marRight w:val="0"/>
      <w:marTop w:val="0"/>
      <w:marBottom w:val="0"/>
      <w:divBdr>
        <w:top w:val="none" w:sz="0" w:space="0" w:color="auto"/>
        <w:left w:val="none" w:sz="0" w:space="0" w:color="auto"/>
        <w:bottom w:val="none" w:sz="0" w:space="0" w:color="auto"/>
        <w:right w:val="none" w:sz="0" w:space="0" w:color="auto"/>
      </w:divBdr>
    </w:div>
    <w:div w:id="427432364">
      <w:bodyDiv w:val="1"/>
      <w:marLeft w:val="0"/>
      <w:marRight w:val="0"/>
      <w:marTop w:val="0"/>
      <w:marBottom w:val="0"/>
      <w:divBdr>
        <w:top w:val="none" w:sz="0" w:space="0" w:color="auto"/>
        <w:left w:val="none" w:sz="0" w:space="0" w:color="auto"/>
        <w:bottom w:val="none" w:sz="0" w:space="0" w:color="auto"/>
        <w:right w:val="none" w:sz="0" w:space="0" w:color="auto"/>
      </w:divBdr>
    </w:div>
    <w:div w:id="450175200">
      <w:bodyDiv w:val="1"/>
      <w:marLeft w:val="0"/>
      <w:marRight w:val="0"/>
      <w:marTop w:val="0"/>
      <w:marBottom w:val="0"/>
      <w:divBdr>
        <w:top w:val="none" w:sz="0" w:space="0" w:color="auto"/>
        <w:left w:val="none" w:sz="0" w:space="0" w:color="auto"/>
        <w:bottom w:val="none" w:sz="0" w:space="0" w:color="auto"/>
        <w:right w:val="none" w:sz="0" w:space="0" w:color="auto"/>
      </w:divBdr>
    </w:div>
    <w:div w:id="464276662">
      <w:bodyDiv w:val="1"/>
      <w:marLeft w:val="0"/>
      <w:marRight w:val="0"/>
      <w:marTop w:val="0"/>
      <w:marBottom w:val="0"/>
      <w:divBdr>
        <w:top w:val="none" w:sz="0" w:space="0" w:color="auto"/>
        <w:left w:val="none" w:sz="0" w:space="0" w:color="auto"/>
        <w:bottom w:val="none" w:sz="0" w:space="0" w:color="auto"/>
        <w:right w:val="none" w:sz="0" w:space="0" w:color="auto"/>
      </w:divBdr>
    </w:div>
    <w:div w:id="537739201">
      <w:bodyDiv w:val="1"/>
      <w:marLeft w:val="0"/>
      <w:marRight w:val="0"/>
      <w:marTop w:val="0"/>
      <w:marBottom w:val="0"/>
      <w:divBdr>
        <w:top w:val="none" w:sz="0" w:space="0" w:color="auto"/>
        <w:left w:val="none" w:sz="0" w:space="0" w:color="auto"/>
        <w:bottom w:val="none" w:sz="0" w:space="0" w:color="auto"/>
        <w:right w:val="none" w:sz="0" w:space="0" w:color="auto"/>
      </w:divBdr>
    </w:div>
    <w:div w:id="546066532">
      <w:bodyDiv w:val="1"/>
      <w:marLeft w:val="0"/>
      <w:marRight w:val="0"/>
      <w:marTop w:val="0"/>
      <w:marBottom w:val="0"/>
      <w:divBdr>
        <w:top w:val="none" w:sz="0" w:space="0" w:color="auto"/>
        <w:left w:val="none" w:sz="0" w:space="0" w:color="auto"/>
        <w:bottom w:val="none" w:sz="0" w:space="0" w:color="auto"/>
        <w:right w:val="none" w:sz="0" w:space="0" w:color="auto"/>
      </w:divBdr>
    </w:div>
    <w:div w:id="601913484">
      <w:bodyDiv w:val="1"/>
      <w:marLeft w:val="0"/>
      <w:marRight w:val="0"/>
      <w:marTop w:val="0"/>
      <w:marBottom w:val="0"/>
      <w:divBdr>
        <w:top w:val="none" w:sz="0" w:space="0" w:color="auto"/>
        <w:left w:val="none" w:sz="0" w:space="0" w:color="auto"/>
        <w:bottom w:val="none" w:sz="0" w:space="0" w:color="auto"/>
        <w:right w:val="none" w:sz="0" w:space="0" w:color="auto"/>
      </w:divBdr>
    </w:div>
    <w:div w:id="674309752">
      <w:bodyDiv w:val="1"/>
      <w:marLeft w:val="0"/>
      <w:marRight w:val="0"/>
      <w:marTop w:val="0"/>
      <w:marBottom w:val="0"/>
      <w:divBdr>
        <w:top w:val="none" w:sz="0" w:space="0" w:color="auto"/>
        <w:left w:val="none" w:sz="0" w:space="0" w:color="auto"/>
        <w:bottom w:val="none" w:sz="0" w:space="0" w:color="auto"/>
        <w:right w:val="none" w:sz="0" w:space="0" w:color="auto"/>
      </w:divBdr>
    </w:div>
    <w:div w:id="678191585">
      <w:bodyDiv w:val="1"/>
      <w:marLeft w:val="0"/>
      <w:marRight w:val="0"/>
      <w:marTop w:val="0"/>
      <w:marBottom w:val="0"/>
      <w:divBdr>
        <w:top w:val="none" w:sz="0" w:space="0" w:color="auto"/>
        <w:left w:val="none" w:sz="0" w:space="0" w:color="auto"/>
        <w:bottom w:val="none" w:sz="0" w:space="0" w:color="auto"/>
        <w:right w:val="none" w:sz="0" w:space="0" w:color="auto"/>
      </w:divBdr>
    </w:div>
    <w:div w:id="769204917">
      <w:bodyDiv w:val="1"/>
      <w:marLeft w:val="0"/>
      <w:marRight w:val="0"/>
      <w:marTop w:val="0"/>
      <w:marBottom w:val="0"/>
      <w:divBdr>
        <w:top w:val="none" w:sz="0" w:space="0" w:color="auto"/>
        <w:left w:val="none" w:sz="0" w:space="0" w:color="auto"/>
        <w:bottom w:val="none" w:sz="0" w:space="0" w:color="auto"/>
        <w:right w:val="none" w:sz="0" w:space="0" w:color="auto"/>
      </w:divBdr>
    </w:div>
    <w:div w:id="815998986">
      <w:bodyDiv w:val="1"/>
      <w:marLeft w:val="0"/>
      <w:marRight w:val="0"/>
      <w:marTop w:val="0"/>
      <w:marBottom w:val="0"/>
      <w:divBdr>
        <w:top w:val="none" w:sz="0" w:space="0" w:color="auto"/>
        <w:left w:val="none" w:sz="0" w:space="0" w:color="auto"/>
        <w:bottom w:val="none" w:sz="0" w:space="0" w:color="auto"/>
        <w:right w:val="none" w:sz="0" w:space="0" w:color="auto"/>
      </w:divBdr>
    </w:div>
    <w:div w:id="855340421">
      <w:bodyDiv w:val="1"/>
      <w:marLeft w:val="0"/>
      <w:marRight w:val="0"/>
      <w:marTop w:val="0"/>
      <w:marBottom w:val="0"/>
      <w:divBdr>
        <w:top w:val="none" w:sz="0" w:space="0" w:color="auto"/>
        <w:left w:val="none" w:sz="0" w:space="0" w:color="auto"/>
        <w:bottom w:val="none" w:sz="0" w:space="0" w:color="auto"/>
        <w:right w:val="none" w:sz="0" w:space="0" w:color="auto"/>
      </w:divBdr>
    </w:div>
    <w:div w:id="862595549">
      <w:bodyDiv w:val="1"/>
      <w:marLeft w:val="0"/>
      <w:marRight w:val="0"/>
      <w:marTop w:val="0"/>
      <w:marBottom w:val="0"/>
      <w:divBdr>
        <w:top w:val="none" w:sz="0" w:space="0" w:color="auto"/>
        <w:left w:val="none" w:sz="0" w:space="0" w:color="auto"/>
        <w:bottom w:val="none" w:sz="0" w:space="0" w:color="auto"/>
        <w:right w:val="none" w:sz="0" w:space="0" w:color="auto"/>
      </w:divBdr>
    </w:div>
    <w:div w:id="883759583">
      <w:bodyDiv w:val="1"/>
      <w:marLeft w:val="0"/>
      <w:marRight w:val="0"/>
      <w:marTop w:val="0"/>
      <w:marBottom w:val="0"/>
      <w:divBdr>
        <w:top w:val="none" w:sz="0" w:space="0" w:color="auto"/>
        <w:left w:val="none" w:sz="0" w:space="0" w:color="auto"/>
        <w:bottom w:val="none" w:sz="0" w:space="0" w:color="auto"/>
        <w:right w:val="none" w:sz="0" w:space="0" w:color="auto"/>
      </w:divBdr>
    </w:div>
    <w:div w:id="903637825">
      <w:bodyDiv w:val="1"/>
      <w:marLeft w:val="0"/>
      <w:marRight w:val="0"/>
      <w:marTop w:val="0"/>
      <w:marBottom w:val="0"/>
      <w:divBdr>
        <w:top w:val="none" w:sz="0" w:space="0" w:color="auto"/>
        <w:left w:val="none" w:sz="0" w:space="0" w:color="auto"/>
        <w:bottom w:val="none" w:sz="0" w:space="0" w:color="auto"/>
        <w:right w:val="none" w:sz="0" w:space="0" w:color="auto"/>
      </w:divBdr>
    </w:div>
    <w:div w:id="914778966">
      <w:bodyDiv w:val="1"/>
      <w:marLeft w:val="0"/>
      <w:marRight w:val="0"/>
      <w:marTop w:val="0"/>
      <w:marBottom w:val="0"/>
      <w:divBdr>
        <w:top w:val="none" w:sz="0" w:space="0" w:color="auto"/>
        <w:left w:val="none" w:sz="0" w:space="0" w:color="auto"/>
        <w:bottom w:val="none" w:sz="0" w:space="0" w:color="auto"/>
        <w:right w:val="none" w:sz="0" w:space="0" w:color="auto"/>
      </w:divBdr>
    </w:div>
    <w:div w:id="958217177">
      <w:bodyDiv w:val="1"/>
      <w:marLeft w:val="0"/>
      <w:marRight w:val="0"/>
      <w:marTop w:val="0"/>
      <w:marBottom w:val="0"/>
      <w:divBdr>
        <w:top w:val="none" w:sz="0" w:space="0" w:color="auto"/>
        <w:left w:val="none" w:sz="0" w:space="0" w:color="auto"/>
        <w:bottom w:val="none" w:sz="0" w:space="0" w:color="auto"/>
        <w:right w:val="none" w:sz="0" w:space="0" w:color="auto"/>
      </w:divBdr>
    </w:div>
    <w:div w:id="978919423">
      <w:bodyDiv w:val="1"/>
      <w:marLeft w:val="0"/>
      <w:marRight w:val="0"/>
      <w:marTop w:val="0"/>
      <w:marBottom w:val="0"/>
      <w:divBdr>
        <w:top w:val="none" w:sz="0" w:space="0" w:color="auto"/>
        <w:left w:val="none" w:sz="0" w:space="0" w:color="auto"/>
        <w:bottom w:val="none" w:sz="0" w:space="0" w:color="auto"/>
        <w:right w:val="none" w:sz="0" w:space="0" w:color="auto"/>
      </w:divBdr>
    </w:div>
    <w:div w:id="1006325011">
      <w:bodyDiv w:val="1"/>
      <w:marLeft w:val="0"/>
      <w:marRight w:val="0"/>
      <w:marTop w:val="0"/>
      <w:marBottom w:val="0"/>
      <w:divBdr>
        <w:top w:val="none" w:sz="0" w:space="0" w:color="auto"/>
        <w:left w:val="none" w:sz="0" w:space="0" w:color="auto"/>
        <w:bottom w:val="none" w:sz="0" w:space="0" w:color="auto"/>
        <w:right w:val="none" w:sz="0" w:space="0" w:color="auto"/>
      </w:divBdr>
    </w:div>
    <w:div w:id="1087001069">
      <w:bodyDiv w:val="1"/>
      <w:marLeft w:val="0"/>
      <w:marRight w:val="0"/>
      <w:marTop w:val="0"/>
      <w:marBottom w:val="0"/>
      <w:divBdr>
        <w:top w:val="none" w:sz="0" w:space="0" w:color="auto"/>
        <w:left w:val="none" w:sz="0" w:space="0" w:color="auto"/>
        <w:bottom w:val="none" w:sz="0" w:space="0" w:color="auto"/>
        <w:right w:val="none" w:sz="0" w:space="0" w:color="auto"/>
      </w:divBdr>
    </w:div>
    <w:div w:id="1175993054">
      <w:bodyDiv w:val="1"/>
      <w:marLeft w:val="0"/>
      <w:marRight w:val="0"/>
      <w:marTop w:val="0"/>
      <w:marBottom w:val="0"/>
      <w:divBdr>
        <w:top w:val="none" w:sz="0" w:space="0" w:color="auto"/>
        <w:left w:val="none" w:sz="0" w:space="0" w:color="auto"/>
        <w:bottom w:val="none" w:sz="0" w:space="0" w:color="auto"/>
        <w:right w:val="none" w:sz="0" w:space="0" w:color="auto"/>
      </w:divBdr>
    </w:div>
    <w:div w:id="1209225123">
      <w:bodyDiv w:val="1"/>
      <w:marLeft w:val="0"/>
      <w:marRight w:val="0"/>
      <w:marTop w:val="0"/>
      <w:marBottom w:val="0"/>
      <w:divBdr>
        <w:top w:val="none" w:sz="0" w:space="0" w:color="auto"/>
        <w:left w:val="none" w:sz="0" w:space="0" w:color="auto"/>
        <w:bottom w:val="none" w:sz="0" w:space="0" w:color="auto"/>
        <w:right w:val="none" w:sz="0" w:space="0" w:color="auto"/>
      </w:divBdr>
    </w:div>
    <w:div w:id="1210145135">
      <w:bodyDiv w:val="1"/>
      <w:marLeft w:val="0"/>
      <w:marRight w:val="0"/>
      <w:marTop w:val="0"/>
      <w:marBottom w:val="0"/>
      <w:divBdr>
        <w:top w:val="none" w:sz="0" w:space="0" w:color="auto"/>
        <w:left w:val="none" w:sz="0" w:space="0" w:color="auto"/>
        <w:bottom w:val="none" w:sz="0" w:space="0" w:color="auto"/>
        <w:right w:val="none" w:sz="0" w:space="0" w:color="auto"/>
      </w:divBdr>
    </w:div>
    <w:div w:id="1283347804">
      <w:bodyDiv w:val="1"/>
      <w:marLeft w:val="0"/>
      <w:marRight w:val="0"/>
      <w:marTop w:val="0"/>
      <w:marBottom w:val="0"/>
      <w:divBdr>
        <w:top w:val="none" w:sz="0" w:space="0" w:color="auto"/>
        <w:left w:val="none" w:sz="0" w:space="0" w:color="auto"/>
        <w:bottom w:val="none" w:sz="0" w:space="0" w:color="auto"/>
        <w:right w:val="none" w:sz="0" w:space="0" w:color="auto"/>
      </w:divBdr>
    </w:div>
    <w:div w:id="1375353865">
      <w:bodyDiv w:val="1"/>
      <w:marLeft w:val="0"/>
      <w:marRight w:val="0"/>
      <w:marTop w:val="0"/>
      <w:marBottom w:val="0"/>
      <w:divBdr>
        <w:top w:val="none" w:sz="0" w:space="0" w:color="auto"/>
        <w:left w:val="none" w:sz="0" w:space="0" w:color="auto"/>
        <w:bottom w:val="none" w:sz="0" w:space="0" w:color="auto"/>
        <w:right w:val="none" w:sz="0" w:space="0" w:color="auto"/>
      </w:divBdr>
    </w:div>
    <w:div w:id="1401950921">
      <w:bodyDiv w:val="1"/>
      <w:marLeft w:val="0"/>
      <w:marRight w:val="0"/>
      <w:marTop w:val="0"/>
      <w:marBottom w:val="0"/>
      <w:divBdr>
        <w:top w:val="none" w:sz="0" w:space="0" w:color="auto"/>
        <w:left w:val="none" w:sz="0" w:space="0" w:color="auto"/>
        <w:bottom w:val="none" w:sz="0" w:space="0" w:color="auto"/>
        <w:right w:val="none" w:sz="0" w:space="0" w:color="auto"/>
      </w:divBdr>
    </w:div>
    <w:div w:id="1436289696">
      <w:bodyDiv w:val="1"/>
      <w:marLeft w:val="0"/>
      <w:marRight w:val="0"/>
      <w:marTop w:val="0"/>
      <w:marBottom w:val="0"/>
      <w:divBdr>
        <w:top w:val="none" w:sz="0" w:space="0" w:color="auto"/>
        <w:left w:val="none" w:sz="0" w:space="0" w:color="auto"/>
        <w:bottom w:val="none" w:sz="0" w:space="0" w:color="auto"/>
        <w:right w:val="none" w:sz="0" w:space="0" w:color="auto"/>
      </w:divBdr>
    </w:div>
    <w:div w:id="1572078641">
      <w:bodyDiv w:val="1"/>
      <w:marLeft w:val="0"/>
      <w:marRight w:val="0"/>
      <w:marTop w:val="0"/>
      <w:marBottom w:val="0"/>
      <w:divBdr>
        <w:top w:val="none" w:sz="0" w:space="0" w:color="auto"/>
        <w:left w:val="none" w:sz="0" w:space="0" w:color="auto"/>
        <w:bottom w:val="none" w:sz="0" w:space="0" w:color="auto"/>
        <w:right w:val="none" w:sz="0" w:space="0" w:color="auto"/>
      </w:divBdr>
    </w:div>
    <w:div w:id="1581714927">
      <w:bodyDiv w:val="1"/>
      <w:marLeft w:val="0"/>
      <w:marRight w:val="0"/>
      <w:marTop w:val="0"/>
      <w:marBottom w:val="0"/>
      <w:divBdr>
        <w:top w:val="none" w:sz="0" w:space="0" w:color="auto"/>
        <w:left w:val="none" w:sz="0" w:space="0" w:color="auto"/>
        <w:bottom w:val="none" w:sz="0" w:space="0" w:color="auto"/>
        <w:right w:val="none" w:sz="0" w:space="0" w:color="auto"/>
      </w:divBdr>
    </w:div>
    <w:div w:id="1606305908">
      <w:bodyDiv w:val="1"/>
      <w:marLeft w:val="0"/>
      <w:marRight w:val="0"/>
      <w:marTop w:val="0"/>
      <w:marBottom w:val="0"/>
      <w:divBdr>
        <w:top w:val="none" w:sz="0" w:space="0" w:color="auto"/>
        <w:left w:val="none" w:sz="0" w:space="0" w:color="auto"/>
        <w:bottom w:val="none" w:sz="0" w:space="0" w:color="auto"/>
        <w:right w:val="none" w:sz="0" w:space="0" w:color="auto"/>
      </w:divBdr>
    </w:div>
    <w:div w:id="1660037952">
      <w:bodyDiv w:val="1"/>
      <w:marLeft w:val="0"/>
      <w:marRight w:val="0"/>
      <w:marTop w:val="0"/>
      <w:marBottom w:val="0"/>
      <w:divBdr>
        <w:top w:val="none" w:sz="0" w:space="0" w:color="auto"/>
        <w:left w:val="none" w:sz="0" w:space="0" w:color="auto"/>
        <w:bottom w:val="none" w:sz="0" w:space="0" w:color="auto"/>
        <w:right w:val="none" w:sz="0" w:space="0" w:color="auto"/>
      </w:divBdr>
    </w:div>
    <w:div w:id="1832208781">
      <w:bodyDiv w:val="1"/>
      <w:marLeft w:val="0"/>
      <w:marRight w:val="0"/>
      <w:marTop w:val="0"/>
      <w:marBottom w:val="0"/>
      <w:divBdr>
        <w:top w:val="none" w:sz="0" w:space="0" w:color="auto"/>
        <w:left w:val="none" w:sz="0" w:space="0" w:color="auto"/>
        <w:bottom w:val="none" w:sz="0" w:space="0" w:color="auto"/>
        <w:right w:val="none" w:sz="0" w:space="0" w:color="auto"/>
      </w:divBdr>
    </w:div>
    <w:div w:id="1841189066">
      <w:bodyDiv w:val="1"/>
      <w:marLeft w:val="0"/>
      <w:marRight w:val="0"/>
      <w:marTop w:val="0"/>
      <w:marBottom w:val="0"/>
      <w:divBdr>
        <w:top w:val="none" w:sz="0" w:space="0" w:color="auto"/>
        <w:left w:val="none" w:sz="0" w:space="0" w:color="auto"/>
        <w:bottom w:val="none" w:sz="0" w:space="0" w:color="auto"/>
        <w:right w:val="none" w:sz="0" w:space="0" w:color="auto"/>
      </w:divBdr>
    </w:div>
    <w:div w:id="1955208613">
      <w:bodyDiv w:val="1"/>
      <w:marLeft w:val="0"/>
      <w:marRight w:val="0"/>
      <w:marTop w:val="0"/>
      <w:marBottom w:val="0"/>
      <w:divBdr>
        <w:top w:val="none" w:sz="0" w:space="0" w:color="auto"/>
        <w:left w:val="none" w:sz="0" w:space="0" w:color="auto"/>
        <w:bottom w:val="none" w:sz="0" w:space="0" w:color="auto"/>
        <w:right w:val="none" w:sz="0" w:space="0" w:color="auto"/>
      </w:divBdr>
    </w:div>
    <w:div w:id="1970088177">
      <w:bodyDiv w:val="1"/>
      <w:marLeft w:val="0"/>
      <w:marRight w:val="0"/>
      <w:marTop w:val="0"/>
      <w:marBottom w:val="0"/>
      <w:divBdr>
        <w:top w:val="none" w:sz="0" w:space="0" w:color="auto"/>
        <w:left w:val="none" w:sz="0" w:space="0" w:color="auto"/>
        <w:bottom w:val="none" w:sz="0" w:space="0" w:color="auto"/>
        <w:right w:val="none" w:sz="0" w:space="0" w:color="auto"/>
      </w:divBdr>
    </w:div>
    <w:div w:id="1998993635">
      <w:bodyDiv w:val="1"/>
      <w:marLeft w:val="0"/>
      <w:marRight w:val="0"/>
      <w:marTop w:val="0"/>
      <w:marBottom w:val="0"/>
      <w:divBdr>
        <w:top w:val="none" w:sz="0" w:space="0" w:color="auto"/>
        <w:left w:val="none" w:sz="0" w:space="0" w:color="auto"/>
        <w:bottom w:val="none" w:sz="0" w:space="0" w:color="auto"/>
        <w:right w:val="none" w:sz="0" w:space="0" w:color="auto"/>
      </w:divBdr>
    </w:div>
    <w:div w:id="2025087811">
      <w:bodyDiv w:val="1"/>
      <w:marLeft w:val="0"/>
      <w:marRight w:val="0"/>
      <w:marTop w:val="0"/>
      <w:marBottom w:val="0"/>
      <w:divBdr>
        <w:top w:val="none" w:sz="0" w:space="0" w:color="auto"/>
        <w:left w:val="none" w:sz="0" w:space="0" w:color="auto"/>
        <w:bottom w:val="none" w:sz="0" w:space="0" w:color="auto"/>
        <w:right w:val="none" w:sz="0" w:space="0" w:color="auto"/>
      </w:divBdr>
    </w:div>
    <w:div w:id="21349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F2504-0E96-4D4E-9ACE-1709BAAF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1796</Words>
  <Characters>8885</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Translation: www.brainstorm.at</vt:lpstr>
    </vt:vector>
  </TitlesOfParts>
  <Company>Translation: www.brainstorm.at</Company>
  <LinksUpToDate>false</LinksUpToDate>
  <CharactersWithSpaces>10660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 www.brainstorm.at</dc:title>
  <dc:creator>Manuela Bruck</dc:creator>
  <dc:description>Translation: www.brainstorm.at</dc:description>
  <cp:lastModifiedBy>Horvath Philipp, LL.M., WKÖ BSBV</cp:lastModifiedBy>
  <cp:revision>2</cp:revision>
  <cp:lastPrinted>2015-09-30T08:11:00Z</cp:lastPrinted>
  <dcterms:created xsi:type="dcterms:W3CDTF">2016-01-12T11:56:00Z</dcterms:created>
  <dcterms:modified xsi:type="dcterms:W3CDTF">2016-01-12T11:56:00Z</dcterms:modified>
  <cp:category>Translation: www.brainstorm.at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ion">
    <vt:lpwstr>Translation: www.brainstorm.at</vt:lpwstr>
  </property>
</Properties>
</file>