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C94CB" w14:textId="77777777" w:rsidR="006E3A85" w:rsidRPr="00410FB2" w:rsidRDefault="006E3A85" w:rsidP="006E3A85">
      <w:pPr>
        <w:rPr>
          <w:rFonts w:ascii="Apex New Book" w:hAnsi="Apex New Book"/>
          <w:b/>
          <w:sz w:val="24"/>
          <w:lang w:val="en-US"/>
        </w:rPr>
      </w:pPr>
      <w:bookmarkStart w:id="0" w:name="_GoBack"/>
      <w:bookmarkEnd w:id="0"/>
      <w:r w:rsidRPr="00410FB2">
        <w:rPr>
          <w:rFonts w:ascii="Apex New Book" w:hAnsi="Apex New Book"/>
          <w:b/>
          <w:sz w:val="24"/>
          <w:lang w:val="en-US"/>
        </w:rPr>
        <w:t xml:space="preserve">Q1: Do you agree with the </w:t>
      </w:r>
      <w:r w:rsidR="006E01E6" w:rsidRPr="00410FB2">
        <w:rPr>
          <w:rFonts w:ascii="Apex New Book" w:hAnsi="Apex New Book"/>
          <w:b/>
          <w:sz w:val="24"/>
          <w:lang w:val="en-US"/>
        </w:rPr>
        <w:t>definition of technical defaults? Do you believe that other situations should be included in this definition? If yes, please provide detailed proposals on how to address further possible situations.</w:t>
      </w:r>
    </w:p>
    <w:p w14:paraId="4564F9D0" w14:textId="77777777" w:rsidR="006E3A85" w:rsidRPr="00410FB2" w:rsidRDefault="006E3A85" w:rsidP="006E3A85">
      <w:pPr>
        <w:rPr>
          <w:rFonts w:ascii="Apex New Book" w:hAnsi="Apex New Book"/>
          <w:lang w:val="en-US"/>
        </w:rPr>
      </w:pPr>
    </w:p>
    <w:p w14:paraId="4DD07C63" w14:textId="77777777" w:rsidR="00657F54" w:rsidRPr="00410FB2" w:rsidRDefault="006E01E6" w:rsidP="000535CD">
      <w:pPr>
        <w:jc w:val="both"/>
        <w:rPr>
          <w:rFonts w:ascii="Apex New Book" w:hAnsi="Apex New Book"/>
          <w:lang w:val="en-US"/>
        </w:rPr>
      </w:pPr>
      <w:r w:rsidRPr="00410FB2">
        <w:rPr>
          <w:rFonts w:ascii="Apex New Book" w:hAnsi="Apex New Book"/>
          <w:lang w:val="en-US"/>
        </w:rPr>
        <w:t xml:space="preserve">We agree with the proposed definition, even though this definition would supposedly imply a </w:t>
      </w:r>
      <w:r w:rsidR="00657F54" w:rsidRPr="00410FB2">
        <w:rPr>
          <w:rFonts w:ascii="Apex New Book" w:hAnsi="Apex New Book"/>
          <w:lang w:val="en-US"/>
        </w:rPr>
        <w:t xml:space="preserve">not negligible </w:t>
      </w:r>
      <w:r w:rsidRPr="00410FB2">
        <w:rPr>
          <w:rFonts w:ascii="Apex New Book" w:hAnsi="Apex New Book"/>
          <w:lang w:val="en-US"/>
        </w:rPr>
        <w:t>increase of default rates and cure rates in jurisdictions where a more extensive definition of technical default was in place. The extent of such impact depends on the level of materiality thresholds that will be set along with the impact of probation period on multiple defaults</w:t>
      </w:r>
      <w:r w:rsidR="00657F54" w:rsidRPr="00410FB2">
        <w:rPr>
          <w:rFonts w:ascii="Apex New Book" w:hAnsi="Apex New Book"/>
          <w:lang w:val="en-US"/>
        </w:rPr>
        <w:t>.</w:t>
      </w:r>
    </w:p>
    <w:p w14:paraId="20695FB4" w14:textId="5E3D55E4" w:rsidR="00644B18" w:rsidRDefault="00FB7312" w:rsidP="000535CD">
      <w:pPr>
        <w:jc w:val="both"/>
        <w:rPr>
          <w:rFonts w:ascii="Apex New Book" w:hAnsi="Apex New Book"/>
          <w:lang w:val="en-US"/>
        </w:rPr>
      </w:pPr>
      <w:r w:rsidRPr="00644B18">
        <w:rPr>
          <w:rFonts w:ascii="Apex New Book" w:hAnsi="Apex New Book"/>
          <w:lang w:val="en-US"/>
        </w:rPr>
        <w:t>Even though it is not object of this CP, w</w:t>
      </w:r>
      <w:r w:rsidR="00ED51FA" w:rsidRPr="00644B18">
        <w:rPr>
          <w:rFonts w:ascii="Apex New Book" w:hAnsi="Apex New Book"/>
          <w:lang w:val="en-US"/>
        </w:rPr>
        <w:t>e appreciated the variation introduced in the QIS provi</w:t>
      </w:r>
      <w:r w:rsidR="003C72FD" w:rsidRPr="00644B18">
        <w:rPr>
          <w:rFonts w:ascii="Apex New Book" w:hAnsi="Apex New Book"/>
          <w:lang w:val="en-US"/>
        </w:rPr>
        <w:t>s</w:t>
      </w:r>
      <w:r w:rsidR="00ED51FA" w:rsidRPr="00644B18">
        <w:rPr>
          <w:rFonts w:ascii="Apex New Book" w:hAnsi="Apex New Book"/>
          <w:lang w:val="en-US"/>
        </w:rPr>
        <w:t>ions for exposures “</w:t>
      </w:r>
      <w:r w:rsidRPr="00644B18">
        <w:rPr>
          <w:rFonts w:ascii="Apex New Book" w:hAnsi="Apex New Book"/>
          <w:lang w:val="en-US"/>
        </w:rPr>
        <w:t>other tha</w:t>
      </w:r>
      <w:r w:rsidR="00ED51FA" w:rsidRPr="00644B18">
        <w:rPr>
          <w:rFonts w:ascii="Apex New Book" w:hAnsi="Apex New Book"/>
          <w:lang w:val="en-US"/>
        </w:rPr>
        <w:t xml:space="preserve">n retail”, switching from </w:t>
      </w:r>
      <w:r w:rsidRPr="00644B18">
        <w:rPr>
          <w:rFonts w:ascii="Apex New Book" w:hAnsi="Apex New Book"/>
          <w:lang w:val="en-US"/>
        </w:rPr>
        <w:t xml:space="preserve">a </w:t>
      </w:r>
      <w:r w:rsidR="00ED51FA" w:rsidRPr="00644B18">
        <w:rPr>
          <w:rFonts w:ascii="Apex New Book" w:hAnsi="Apex New Book"/>
          <w:lang w:val="en-US"/>
        </w:rPr>
        <w:t xml:space="preserve">relative </w:t>
      </w:r>
      <w:r w:rsidRPr="00644B18">
        <w:rPr>
          <w:rFonts w:ascii="Apex New Book" w:hAnsi="Apex New Book"/>
          <w:lang w:val="en-US"/>
        </w:rPr>
        <w:t>“</w:t>
      </w:r>
      <w:r w:rsidR="00ED51FA" w:rsidRPr="00644B18">
        <w:rPr>
          <w:rFonts w:ascii="Apex New Book" w:hAnsi="Apex New Book"/>
          <w:lang w:val="en-US"/>
        </w:rPr>
        <w:t>or</w:t>
      </w:r>
      <w:r w:rsidRPr="00644B18">
        <w:rPr>
          <w:rFonts w:ascii="Apex New Book" w:hAnsi="Apex New Book"/>
          <w:lang w:val="en-US"/>
        </w:rPr>
        <w:t>”</w:t>
      </w:r>
      <w:r w:rsidR="00ED51FA" w:rsidRPr="00644B18">
        <w:rPr>
          <w:rFonts w:ascii="Apex New Book" w:hAnsi="Apex New Book"/>
          <w:lang w:val="en-US"/>
        </w:rPr>
        <w:t xml:space="preserve"> </w:t>
      </w:r>
      <w:r w:rsidRPr="00644B18">
        <w:rPr>
          <w:rFonts w:ascii="Apex New Book" w:hAnsi="Apex New Book"/>
          <w:lang w:val="en-US"/>
        </w:rPr>
        <w:t xml:space="preserve">absolute </w:t>
      </w:r>
      <w:r w:rsidR="00ED51FA" w:rsidRPr="00644B18">
        <w:rPr>
          <w:rFonts w:ascii="Apex New Book" w:hAnsi="Apex New Book"/>
          <w:lang w:val="en-US"/>
        </w:rPr>
        <w:t xml:space="preserve">threshold breached as </w:t>
      </w:r>
      <w:r w:rsidRPr="00644B18">
        <w:rPr>
          <w:rFonts w:ascii="Apex New Book" w:hAnsi="Apex New Book"/>
          <w:lang w:val="en-US"/>
        </w:rPr>
        <w:t>preferred</w:t>
      </w:r>
      <w:r w:rsidR="00ED51FA" w:rsidRPr="00644B18">
        <w:rPr>
          <w:rFonts w:ascii="Apex New Book" w:hAnsi="Apex New Book"/>
          <w:lang w:val="en-US"/>
        </w:rPr>
        <w:t xml:space="preserve"> option outlined on EBA CP </w:t>
      </w:r>
      <w:r w:rsidRPr="00644B18">
        <w:rPr>
          <w:rFonts w:ascii="Apex New Book" w:hAnsi="Apex New Book"/>
          <w:lang w:val="en-US"/>
        </w:rPr>
        <w:t>2014/32 to a criteria of default as “both” triggers are breached. We believe this would better control the insurgence of “zero-losses defaults”.</w:t>
      </w:r>
    </w:p>
    <w:p w14:paraId="5240BFA0" w14:textId="7214EE5B" w:rsidR="00ED51FA" w:rsidRPr="00410FB2" w:rsidRDefault="00FB7312" w:rsidP="000535CD">
      <w:pPr>
        <w:jc w:val="both"/>
        <w:rPr>
          <w:rFonts w:ascii="Apex New Book" w:hAnsi="Apex New Book"/>
          <w:lang w:val="en-US"/>
        </w:rPr>
      </w:pPr>
      <w:r w:rsidRPr="00410FB2">
        <w:rPr>
          <w:rFonts w:ascii="Apex New Book" w:hAnsi="Apex New Book"/>
          <w:lang w:val="en-US"/>
        </w:rPr>
        <w:t>The system would be further enhanced whether similar provisions were extended to retail. A general adoption of a FIFO option, which is a standard payment allocation in Italy due to law prescriptions, where contracts do not provide different criteria of customers do not specify what payments are made explicitly for, would also provide a better balance in avoiding “zero-losses” defaults.</w:t>
      </w:r>
    </w:p>
    <w:p w14:paraId="1F27D0F8" w14:textId="69EDCC8F" w:rsidR="009C3A61" w:rsidRPr="00410FB2" w:rsidRDefault="00AD0E85" w:rsidP="00304ED1">
      <w:pPr>
        <w:jc w:val="both"/>
        <w:rPr>
          <w:rFonts w:ascii="Apex New Book" w:hAnsi="Apex New Book"/>
          <w:lang w:val="en-US"/>
        </w:rPr>
      </w:pPr>
      <w:r w:rsidRPr="00410FB2">
        <w:rPr>
          <w:rFonts w:ascii="Apex New Book" w:hAnsi="Apex New Book"/>
          <w:lang w:val="en-US"/>
        </w:rPr>
        <w:t xml:space="preserve">Insofar as the impact on </w:t>
      </w:r>
      <w:r w:rsidR="0092509E" w:rsidRPr="00410FB2">
        <w:rPr>
          <w:rFonts w:ascii="Apex New Book" w:hAnsi="Apex New Book"/>
          <w:lang w:val="en-US"/>
        </w:rPr>
        <w:t>models’ re</w:t>
      </w:r>
      <w:r w:rsidRPr="00410FB2">
        <w:rPr>
          <w:rFonts w:ascii="Apex New Book" w:hAnsi="Apex New Book"/>
          <w:lang w:val="en-US"/>
        </w:rPr>
        <w:t xml:space="preserve">calibration is concerned, </w:t>
      </w:r>
      <w:r w:rsidR="00FB7312" w:rsidRPr="00410FB2">
        <w:rPr>
          <w:rFonts w:ascii="Apex New Book" w:hAnsi="Apex New Book"/>
          <w:lang w:val="en-US"/>
        </w:rPr>
        <w:t xml:space="preserve">different in extent under different options, we </w:t>
      </w:r>
      <w:r w:rsidR="00B73F13" w:rsidRPr="00410FB2">
        <w:rPr>
          <w:rFonts w:ascii="Apex New Book" w:hAnsi="Apex New Book"/>
          <w:lang w:val="en-US"/>
        </w:rPr>
        <w:t xml:space="preserve">expect it to be </w:t>
      </w:r>
      <w:r w:rsidR="00657F54" w:rsidRPr="00410FB2">
        <w:rPr>
          <w:rFonts w:ascii="Apex New Book" w:hAnsi="Apex New Book"/>
          <w:lang w:val="en-US"/>
        </w:rPr>
        <w:t>larger on historical data tha</w:t>
      </w:r>
      <w:r w:rsidR="00FB7312" w:rsidRPr="00410FB2">
        <w:rPr>
          <w:rFonts w:ascii="Apex New Book" w:hAnsi="Apex New Book"/>
          <w:lang w:val="en-US"/>
        </w:rPr>
        <w:t>n</w:t>
      </w:r>
      <w:r w:rsidR="00657F54" w:rsidRPr="00410FB2">
        <w:rPr>
          <w:rFonts w:ascii="Apex New Book" w:hAnsi="Apex New Book"/>
          <w:lang w:val="en-US"/>
        </w:rPr>
        <w:t xml:space="preserve"> à regime</w:t>
      </w:r>
      <w:r w:rsidR="00FB7312" w:rsidRPr="00410FB2">
        <w:rPr>
          <w:rFonts w:ascii="Apex New Book" w:hAnsi="Apex New Book"/>
          <w:lang w:val="en-US"/>
        </w:rPr>
        <w:t>. T</w:t>
      </w:r>
      <w:r w:rsidR="00657F54" w:rsidRPr="00410FB2">
        <w:rPr>
          <w:rFonts w:ascii="Apex New Book" w:hAnsi="Apex New Book"/>
          <w:lang w:val="en-US"/>
        </w:rPr>
        <w:t xml:space="preserve">hus </w:t>
      </w:r>
      <w:r w:rsidR="00FB7312" w:rsidRPr="00410FB2">
        <w:rPr>
          <w:rFonts w:ascii="Apex New Book" w:hAnsi="Apex New Book"/>
          <w:lang w:val="en-US"/>
        </w:rPr>
        <w:t xml:space="preserve">some data cleasing on historical data </w:t>
      </w:r>
      <w:r w:rsidR="00162C97" w:rsidRPr="00410FB2">
        <w:rPr>
          <w:rFonts w:ascii="Apex New Book" w:hAnsi="Apex New Book"/>
          <w:lang w:val="en-US"/>
        </w:rPr>
        <w:t xml:space="preserve">might </w:t>
      </w:r>
      <w:r w:rsidRPr="00410FB2">
        <w:rPr>
          <w:rFonts w:ascii="Apex New Book" w:hAnsi="Apex New Book"/>
          <w:lang w:val="en-US"/>
        </w:rPr>
        <w:t>still be appropriate</w:t>
      </w:r>
      <w:r w:rsidR="00B73F13" w:rsidRPr="00410FB2">
        <w:rPr>
          <w:rFonts w:ascii="Apex New Book" w:hAnsi="Apex New Book"/>
          <w:lang w:val="en-US"/>
        </w:rPr>
        <w:t xml:space="preserve"> </w:t>
      </w:r>
      <w:r w:rsidR="00FB7312" w:rsidRPr="00410FB2">
        <w:rPr>
          <w:rFonts w:ascii="Apex New Book" w:hAnsi="Apex New Book"/>
          <w:lang w:val="en-US"/>
        </w:rPr>
        <w:t xml:space="preserve">without assuming </w:t>
      </w:r>
      <w:r w:rsidR="00B73F13" w:rsidRPr="00410FB2">
        <w:rPr>
          <w:rFonts w:ascii="Apex New Book" w:hAnsi="Apex New Book"/>
          <w:lang w:val="en-US"/>
        </w:rPr>
        <w:t xml:space="preserve">this to </w:t>
      </w:r>
      <w:r w:rsidR="00FB7312" w:rsidRPr="00410FB2">
        <w:rPr>
          <w:rFonts w:ascii="Apex New Book" w:hAnsi="Apex New Book"/>
          <w:lang w:val="en-US"/>
        </w:rPr>
        <w:t xml:space="preserve">automatically </w:t>
      </w:r>
      <w:r w:rsidR="00B73F13" w:rsidRPr="00410FB2">
        <w:rPr>
          <w:rFonts w:ascii="Apex New Book" w:hAnsi="Apex New Book"/>
          <w:lang w:val="en-US"/>
        </w:rPr>
        <w:t>require</w:t>
      </w:r>
      <w:r w:rsidR="00FB7312" w:rsidRPr="00410FB2">
        <w:rPr>
          <w:rFonts w:ascii="Apex New Book" w:hAnsi="Apex New Book"/>
          <w:lang w:val="en-US"/>
        </w:rPr>
        <w:t xml:space="preserve"> the introduction of specific margins of conservativism. </w:t>
      </w:r>
      <w:r w:rsidR="00162C97" w:rsidRPr="00410FB2">
        <w:rPr>
          <w:rFonts w:ascii="Apex New Book" w:hAnsi="Apex New Book"/>
          <w:lang w:val="en-US"/>
        </w:rPr>
        <w:t>For instance, as in some jurisdicti</w:t>
      </w:r>
      <w:r w:rsidR="00657F54" w:rsidRPr="00410FB2">
        <w:rPr>
          <w:rFonts w:ascii="Apex New Book" w:hAnsi="Apex New Book"/>
          <w:lang w:val="en-US"/>
        </w:rPr>
        <w:t>ons</w:t>
      </w:r>
      <w:r w:rsidR="00162C97" w:rsidRPr="00410FB2">
        <w:rPr>
          <w:rFonts w:ascii="Apex New Book" w:hAnsi="Apex New Book"/>
          <w:lang w:val="en-US"/>
        </w:rPr>
        <w:t xml:space="preserve"> defaults were triggered at 180 days past due</w:t>
      </w:r>
      <w:r w:rsidR="00657F54" w:rsidRPr="00410FB2">
        <w:rPr>
          <w:rFonts w:ascii="Apex New Book" w:hAnsi="Apex New Book"/>
          <w:lang w:val="en-US"/>
        </w:rPr>
        <w:t xml:space="preserve">, than a backward simulation of the 90 days past due may </w:t>
      </w:r>
      <w:r w:rsidR="00B73F13" w:rsidRPr="00410FB2">
        <w:rPr>
          <w:rFonts w:ascii="Apex New Book" w:hAnsi="Apex New Book"/>
          <w:lang w:val="en-US"/>
        </w:rPr>
        <w:t>itself lead to calibrate models on large amounts of default historically “cured” as the 180 days was approaching</w:t>
      </w:r>
      <w:r w:rsidR="00644B18">
        <w:rPr>
          <w:rFonts w:ascii="Apex New Book" w:hAnsi="Apex New Book"/>
          <w:lang w:val="en-US"/>
        </w:rPr>
        <w:t xml:space="preserve"> based on monitoring processes targeting this threshold. Some data cleasing and adjustments might be in such circumstances be required for calibrating unbiased risk parameters</w:t>
      </w:r>
      <w:r w:rsidR="00B73F13" w:rsidRPr="00410FB2">
        <w:rPr>
          <w:rFonts w:ascii="Apex New Book" w:hAnsi="Apex New Book"/>
          <w:lang w:val="en-US"/>
        </w:rPr>
        <w:t>.</w:t>
      </w:r>
      <w:r w:rsidR="00644B18">
        <w:rPr>
          <w:rFonts w:ascii="Apex New Book" w:hAnsi="Apex New Book"/>
          <w:lang w:val="en-US"/>
        </w:rPr>
        <w:t xml:space="preserve"> </w:t>
      </w:r>
      <w:r w:rsidR="009C3A61" w:rsidRPr="00410FB2">
        <w:rPr>
          <w:rFonts w:ascii="Apex New Book" w:hAnsi="Apex New Book"/>
          <w:lang w:val="en-US"/>
        </w:rPr>
        <w:t>This might be especially true for LGD where a longer time lag for calibration is expected.</w:t>
      </w:r>
    </w:p>
    <w:p w14:paraId="55886BB2" w14:textId="77777777" w:rsidR="006B492D" w:rsidRPr="00410FB2" w:rsidRDefault="006B492D" w:rsidP="006E3A85">
      <w:pPr>
        <w:jc w:val="both"/>
        <w:rPr>
          <w:rFonts w:ascii="Apex New Book" w:hAnsi="Apex New Book"/>
          <w:lang w:val="en-US"/>
        </w:rPr>
      </w:pPr>
    </w:p>
    <w:p w14:paraId="6D986EF1" w14:textId="77777777" w:rsidR="006E3A85" w:rsidRPr="00410FB2" w:rsidRDefault="006E3A85" w:rsidP="006E3A85">
      <w:pPr>
        <w:rPr>
          <w:rFonts w:ascii="Apex New Book" w:hAnsi="Apex New Book"/>
          <w:b/>
          <w:sz w:val="24"/>
          <w:lang w:val="en-US"/>
        </w:rPr>
      </w:pPr>
      <w:r w:rsidRPr="00410FB2">
        <w:rPr>
          <w:rFonts w:ascii="Apex New Book" w:hAnsi="Apex New Book"/>
          <w:b/>
          <w:sz w:val="24"/>
          <w:lang w:val="en-US"/>
        </w:rPr>
        <w:t xml:space="preserve">Q2: Do you </w:t>
      </w:r>
      <w:r w:rsidR="00205F8F" w:rsidRPr="00410FB2">
        <w:rPr>
          <w:rFonts w:ascii="Apex New Book" w:hAnsi="Apex New Book"/>
          <w:b/>
          <w:sz w:val="24"/>
          <w:lang w:val="en-US"/>
        </w:rPr>
        <w:t>consider the requirements on the treatment of factoring arrangements as appropriate and sufficiently clear? If not, plea</w:t>
      </w:r>
      <w:r w:rsidR="000836CD" w:rsidRPr="00410FB2">
        <w:rPr>
          <w:rFonts w:ascii="Apex New Book" w:hAnsi="Apex New Book"/>
          <w:b/>
          <w:sz w:val="24"/>
          <w:lang w:val="en-US"/>
        </w:rPr>
        <w:t>s</w:t>
      </w:r>
      <w:r w:rsidR="00205F8F" w:rsidRPr="00410FB2">
        <w:rPr>
          <w:rFonts w:ascii="Apex New Book" w:hAnsi="Apex New Book"/>
          <w:b/>
          <w:sz w:val="24"/>
          <w:lang w:val="en-US"/>
        </w:rPr>
        <w:t>e provide proposals for additional clarifications.</w:t>
      </w:r>
    </w:p>
    <w:p w14:paraId="0BE5073E" w14:textId="77777777" w:rsidR="006E3A85" w:rsidRPr="00410FB2" w:rsidRDefault="006E3A85" w:rsidP="006E3A85">
      <w:pPr>
        <w:rPr>
          <w:rFonts w:ascii="Apex New Book" w:hAnsi="Apex New Book"/>
          <w:b/>
          <w:sz w:val="24"/>
          <w:lang w:val="en-US"/>
        </w:rPr>
      </w:pPr>
    </w:p>
    <w:p w14:paraId="6C539A61" w14:textId="77777777" w:rsidR="003D02F5" w:rsidRPr="00410FB2" w:rsidRDefault="00205F8F" w:rsidP="00653459">
      <w:pPr>
        <w:jc w:val="both"/>
        <w:rPr>
          <w:rFonts w:ascii="Apex New Book" w:hAnsi="Apex New Book"/>
          <w:lang w:val="en-US"/>
        </w:rPr>
      </w:pPr>
      <w:r w:rsidRPr="00410FB2">
        <w:rPr>
          <w:rFonts w:ascii="Apex New Book" w:hAnsi="Apex New Book"/>
          <w:lang w:val="en-US"/>
        </w:rPr>
        <w:t>Yes</w:t>
      </w:r>
      <w:r w:rsidR="0092509E" w:rsidRPr="00410FB2">
        <w:rPr>
          <w:rFonts w:ascii="Apex New Book" w:hAnsi="Apex New Book"/>
          <w:lang w:val="en-US"/>
        </w:rPr>
        <w:t>.</w:t>
      </w:r>
    </w:p>
    <w:p w14:paraId="5E5678AB" w14:textId="77777777" w:rsidR="006E3A85" w:rsidRPr="00410FB2" w:rsidRDefault="006E3A85" w:rsidP="006E3A85">
      <w:pPr>
        <w:rPr>
          <w:rFonts w:ascii="Apex New Book" w:hAnsi="Apex New Book"/>
          <w:b/>
          <w:sz w:val="24"/>
          <w:lang w:val="en-US"/>
        </w:rPr>
      </w:pPr>
    </w:p>
    <w:p w14:paraId="366014A9" w14:textId="77777777" w:rsidR="006E3A85" w:rsidRPr="00410FB2" w:rsidRDefault="006E3A85" w:rsidP="006E3A85">
      <w:pPr>
        <w:rPr>
          <w:rFonts w:ascii="Apex New Book" w:hAnsi="Apex New Book"/>
          <w:b/>
          <w:sz w:val="24"/>
          <w:lang w:val="en-US"/>
        </w:rPr>
      </w:pPr>
      <w:r w:rsidRPr="00410FB2">
        <w:rPr>
          <w:rFonts w:ascii="Apex New Book" w:hAnsi="Apex New Book"/>
          <w:b/>
          <w:sz w:val="24"/>
          <w:lang w:val="en-US"/>
        </w:rPr>
        <w:t xml:space="preserve">Q3: </w:t>
      </w:r>
      <w:r w:rsidR="00205F8F" w:rsidRPr="00410FB2">
        <w:rPr>
          <w:rFonts w:ascii="Apex New Book" w:hAnsi="Apex New Book"/>
          <w:b/>
          <w:sz w:val="24"/>
          <w:lang w:val="en-US"/>
        </w:rPr>
        <w:t>Do you agree with the approach proposed for the treatment of specific credit risk adjustments?</w:t>
      </w:r>
    </w:p>
    <w:p w14:paraId="1F055763" w14:textId="77777777" w:rsidR="000C4A97" w:rsidRPr="00410FB2" w:rsidRDefault="000C4A97" w:rsidP="00410FB2">
      <w:pPr>
        <w:jc w:val="both"/>
        <w:rPr>
          <w:rFonts w:ascii="Apex New Book" w:hAnsi="Apex New Book"/>
          <w:sz w:val="24"/>
          <w:lang w:val="en-US"/>
        </w:rPr>
      </w:pPr>
      <w:r w:rsidRPr="00410FB2">
        <w:rPr>
          <w:rFonts w:ascii="Apex New Book" w:hAnsi="Apex New Book"/>
          <w:sz w:val="24"/>
          <w:lang w:val="en-US"/>
        </w:rPr>
        <w:t xml:space="preserve">As of Article 5 of RTS on the specification of the calculation of the specific and general credit risk adjustments (as adopted in REGULATION (EU) No 183/2014), Specific Credit Risk Adjustments relevant for </w:t>
      </w:r>
      <w:r w:rsidRPr="00410FB2">
        <w:rPr>
          <w:rFonts w:ascii="Apex New Book" w:hAnsi="Apex New Book"/>
          <w:sz w:val="24"/>
          <w:u w:val="single"/>
          <w:lang w:val="en-US"/>
        </w:rPr>
        <w:t>default</w:t>
      </w:r>
      <w:r w:rsidRPr="00410FB2">
        <w:rPr>
          <w:rFonts w:ascii="Apex New Book" w:hAnsi="Apex New Book"/>
          <w:sz w:val="24"/>
          <w:lang w:val="en-US"/>
        </w:rPr>
        <w:t xml:space="preserve"> as specified in article 178(3) point (b) of CRR</w:t>
      </w:r>
      <w:r w:rsidRPr="00410FB2">
        <w:rPr>
          <w:rFonts w:ascii="Apex New Book" w:hAnsi="Apex New Book"/>
          <w:sz w:val="24"/>
          <w:u w:val="single"/>
          <w:lang w:val="en-US"/>
        </w:rPr>
        <w:t xml:space="preserve"> include those SCRA related to the credit risk of a single exposure or single obligor only.</w:t>
      </w:r>
    </w:p>
    <w:p w14:paraId="2AF62916" w14:textId="77777777" w:rsidR="0092509E" w:rsidRPr="00410FB2" w:rsidRDefault="0092509E" w:rsidP="00410FB2">
      <w:pPr>
        <w:jc w:val="both"/>
        <w:rPr>
          <w:rFonts w:ascii="Apex New Book" w:hAnsi="Apex New Book"/>
          <w:sz w:val="24"/>
          <w:lang w:val="en-US"/>
        </w:rPr>
      </w:pPr>
      <w:r w:rsidRPr="00410FB2">
        <w:rPr>
          <w:rFonts w:ascii="Apex New Book" w:hAnsi="Apex New Book"/>
          <w:sz w:val="24"/>
          <w:lang w:val="en-US"/>
        </w:rPr>
        <w:lastRenderedPageBreak/>
        <w:t xml:space="preserve">We have some concern on the proposed article 25 of guidelines draft, for the part that assumes that </w:t>
      </w:r>
      <w:r w:rsidR="0013229C" w:rsidRPr="00410FB2">
        <w:rPr>
          <w:rFonts w:ascii="Apex New Book" w:hAnsi="Apex New Book"/>
          <w:sz w:val="24"/>
          <w:lang w:val="en-US"/>
        </w:rPr>
        <w:t xml:space="preserve">every </w:t>
      </w:r>
      <w:r w:rsidRPr="00410FB2">
        <w:rPr>
          <w:rFonts w:ascii="Apex New Book" w:hAnsi="Apex New Book"/>
          <w:sz w:val="24"/>
          <w:lang w:val="en-US"/>
        </w:rPr>
        <w:t>SCRA should be considered to be the result of a significant perceived decline in credit quality</w:t>
      </w:r>
      <w:r w:rsidR="0013229C" w:rsidRPr="00410FB2">
        <w:rPr>
          <w:rFonts w:ascii="Apex New Book" w:hAnsi="Apex New Book"/>
          <w:sz w:val="24"/>
          <w:lang w:val="en-US"/>
        </w:rPr>
        <w:t xml:space="preserve">, thus innovating the CRR, </w:t>
      </w:r>
      <w:r w:rsidRPr="00410FB2">
        <w:rPr>
          <w:rFonts w:ascii="Apex New Book" w:hAnsi="Apex New Book"/>
          <w:sz w:val="24"/>
          <w:lang w:val="en-US"/>
        </w:rPr>
        <w:t>not depending on the amount</w:t>
      </w:r>
      <w:r w:rsidR="0013229C" w:rsidRPr="00410FB2">
        <w:rPr>
          <w:rFonts w:ascii="Apex New Book" w:hAnsi="Apex New Book"/>
          <w:sz w:val="24"/>
          <w:lang w:val="en-US"/>
        </w:rPr>
        <w:t>/materiality</w:t>
      </w:r>
      <w:r w:rsidRPr="00410FB2">
        <w:rPr>
          <w:rFonts w:ascii="Apex New Book" w:hAnsi="Apex New Book"/>
          <w:sz w:val="24"/>
          <w:lang w:val="en-US"/>
        </w:rPr>
        <w:t xml:space="preserve"> of the adjust</w:t>
      </w:r>
      <w:r w:rsidR="0013229C" w:rsidRPr="00410FB2">
        <w:rPr>
          <w:rFonts w:ascii="Apex New Book" w:hAnsi="Apex New Book"/>
          <w:sz w:val="24"/>
          <w:lang w:val="en-US"/>
        </w:rPr>
        <w:t>ment.</w:t>
      </w:r>
    </w:p>
    <w:p w14:paraId="64227477" w14:textId="77777777" w:rsidR="00F00988" w:rsidRDefault="00F00988" w:rsidP="0013229C">
      <w:pPr>
        <w:jc w:val="both"/>
        <w:rPr>
          <w:rFonts w:ascii="Apex New Book" w:hAnsi="Apex New Book"/>
          <w:sz w:val="24"/>
          <w:lang w:val="en-US"/>
        </w:rPr>
      </w:pPr>
    </w:p>
    <w:p w14:paraId="40930CB4" w14:textId="01E94F77" w:rsidR="0013229C" w:rsidRPr="00410FB2" w:rsidRDefault="0013229C" w:rsidP="0013229C">
      <w:pPr>
        <w:jc w:val="both"/>
        <w:rPr>
          <w:rFonts w:ascii="Apex New Book" w:hAnsi="Apex New Book"/>
          <w:sz w:val="24"/>
          <w:lang w:val="en-US"/>
        </w:rPr>
      </w:pPr>
      <w:r w:rsidRPr="003204CC">
        <w:rPr>
          <w:rFonts w:ascii="Apex New Book" w:hAnsi="Apex New Book"/>
          <w:sz w:val="24"/>
          <w:lang w:val="en-US"/>
        </w:rPr>
        <w:t xml:space="preserve">Explanatory text to this CP further extends this to situations where the amount of provisions is calculated collectively for a certain portfolio but all exposures in this portfolio are expected to lead to losses for the bank (note that this this rule is not explicitly included in the Guidelines). At this regard, the reference to expectations might be misleading since every exposure on the portfolio are expected to lead to losses with a </w:t>
      </w:r>
      <w:r w:rsidR="000D7DFD" w:rsidRPr="00D51C12">
        <w:rPr>
          <w:rFonts w:ascii="Apex New Book" w:hAnsi="Apex New Book"/>
          <w:sz w:val="24"/>
          <w:lang w:val="en-US"/>
        </w:rPr>
        <w:t xml:space="preserve">certain </w:t>
      </w:r>
      <w:r w:rsidRPr="003204CC">
        <w:rPr>
          <w:rFonts w:ascii="Apex New Book" w:hAnsi="Apex New Book"/>
          <w:sz w:val="24"/>
          <w:lang w:val="en-US"/>
        </w:rPr>
        <w:t>probability.</w:t>
      </w:r>
    </w:p>
    <w:p w14:paraId="18DAD279" w14:textId="77777777" w:rsidR="00F00988" w:rsidRDefault="00F00988" w:rsidP="0092509E">
      <w:pPr>
        <w:jc w:val="both"/>
        <w:rPr>
          <w:rFonts w:ascii="Apex New Book" w:hAnsi="Apex New Book"/>
          <w:sz w:val="24"/>
          <w:lang w:val="en-US"/>
        </w:rPr>
      </w:pPr>
    </w:p>
    <w:p w14:paraId="645B3BD1" w14:textId="3C01F6E6" w:rsidR="0092509E" w:rsidRPr="00410FB2" w:rsidRDefault="0013229C" w:rsidP="0092509E">
      <w:pPr>
        <w:jc w:val="both"/>
        <w:rPr>
          <w:rFonts w:ascii="Apex New Book" w:hAnsi="Apex New Book"/>
          <w:sz w:val="24"/>
          <w:lang w:val="en-US"/>
        </w:rPr>
      </w:pPr>
      <w:r w:rsidRPr="00410FB2">
        <w:rPr>
          <w:rFonts w:ascii="Apex New Book" w:hAnsi="Apex New Book"/>
          <w:sz w:val="24"/>
          <w:lang w:val="en-US"/>
        </w:rPr>
        <w:t>Finally, i</w:t>
      </w:r>
      <w:r w:rsidR="0092509E" w:rsidRPr="00410FB2">
        <w:rPr>
          <w:rFonts w:ascii="Apex New Book" w:hAnsi="Apex New Book"/>
          <w:sz w:val="24"/>
          <w:lang w:val="en-US"/>
        </w:rPr>
        <w:t xml:space="preserve">nsofar as SCRA can be individually or collectively assessed based on the decline in credit quality other than “significant” or on a portfolio bases based on forward looking expectations of specific geographic areas or industries, then assuming “significant decline” </w:t>
      </w:r>
      <w:r w:rsidRPr="00410FB2">
        <w:rPr>
          <w:rFonts w:ascii="Apex New Book" w:hAnsi="Apex New Book"/>
          <w:sz w:val="24"/>
          <w:lang w:val="en-US"/>
        </w:rPr>
        <w:t xml:space="preserve">and extending the application from individually assessed SCRA to portfolio-assessed ones, </w:t>
      </w:r>
      <w:r w:rsidR="0092509E" w:rsidRPr="00410FB2">
        <w:rPr>
          <w:rFonts w:ascii="Apex New Book" w:hAnsi="Apex New Book"/>
          <w:sz w:val="24"/>
          <w:lang w:val="en-US"/>
        </w:rPr>
        <w:t xml:space="preserve">would </w:t>
      </w:r>
      <w:r w:rsidR="000D7DFD">
        <w:rPr>
          <w:rFonts w:ascii="Apex New Book" w:hAnsi="Apex New Book"/>
          <w:sz w:val="24"/>
          <w:lang w:val="en-US"/>
        </w:rPr>
        <w:t>potentially</w:t>
      </w:r>
      <w:r w:rsidR="000D7DFD" w:rsidRPr="00410FB2">
        <w:rPr>
          <w:rFonts w:ascii="Apex New Book" w:hAnsi="Apex New Book"/>
          <w:sz w:val="24"/>
          <w:lang w:val="en-US"/>
        </w:rPr>
        <w:t xml:space="preserve"> </w:t>
      </w:r>
      <w:r w:rsidR="0092509E" w:rsidRPr="00410FB2">
        <w:rPr>
          <w:rFonts w:ascii="Apex New Book" w:hAnsi="Apex New Book"/>
          <w:sz w:val="24"/>
          <w:lang w:val="en-US"/>
        </w:rPr>
        <w:t xml:space="preserve">imply </w:t>
      </w:r>
      <w:r w:rsidRPr="00410FB2">
        <w:rPr>
          <w:rFonts w:ascii="Apex New Book" w:hAnsi="Apex New Book"/>
          <w:sz w:val="24"/>
          <w:lang w:val="en-US"/>
        </w:rPr>
        <w:t>triggering</w:t>
      </w:r>
      <w:r w:rsidR="0092509E" w:rsidRPr="00410FB2">
        <w:rPr>
          <w:rFonts w:ascii="Apex New Book" w:hAnsi="Apex New Book"/>
          <w:sz w:val="24"/>
          <w:lang w:val="en-US"/>
        </w:rPr>
        <w:t xml:space="preserve"> default according to CRR</w:t>
      </w:r>
      <w:r w:rsidRPr="00410FB2">
        <w:rPr>
          <w:rFonts w:ascii="Apex New Book" w:hAnsi="Apex New Book"/>
          <w:sz w:val="24"/>
          <w:lang w:val="en-US"/>
        </w:rPr>
        <w:t xml:space="preserve"> to large portions of portfolio.</w:t>
      </w:r>
    </w:p>
    <w:p w14:paraId="1DC92C3F" w14:textId="77777777" w:rsidR="00F00988" w:rsidRDefault="00F00988" w:rsidP="00410FB2">
      <w:pPr>
        <w:jc w:val="both"/>
        <w:rPr>
          <w:rFonts w:ascii="Apex New Book" w:hAnsi="Apex New Book"/>
          <w:sz w:val="24"/>
          <w:lang w:val="en-US"/>
        </w:rPr>
      </w:pPr>
    </w:p>
    <w:p w14:paraId="1B12A662" w14:textId="1B8606D9" w:rsidR="000C4A97" w:rsidRPr="00410FB2" w:rsidRDefault="00787168" w:rsidP="00410FB2">
      <w:pPr>
        <w:jc w:val="both"/>
        <w:rPr>
          <w:rFonts w:ascii="Apex New Book" w:hAnsi="Apex New Book"/>
          <w:sz w:val="24"/>
          <w:lang w:val="en-US"/>
        </w:rPr>
      </w:pPr>
      <w:r w:rsidRPr="00410FB2">
        <w:rPr>
          <w:rFonts w:ascii="Apex New Book" w:hAnsi="Apex New Book"/>
          <w:sz w:val="24"/>
          <w:lang w:val="en-US"/>
        </w:rPr>
        <w:t>A</w:t>
      </w:r>
      <w:r w:rsidR="00615066" w:rsidRPr="00410FB2">
        <w:rPr>
          <w:rFonts w:ascii="Apex New Book" w:hAnsi="Apex New Book"/>
          <w:sz w:val="24"/>
          <w:lang w:val="en-US"/>
        </w:rPr>
        <w:t xml:space="preserve">s </w:t>
      </w:r>
      <w:r w:rsidR="0013229C" w:rsidRPr="00410FB2">
        <w:rPr>
          <w:rFonts w:ascii="Apex New Book" w:hAnsi="Apex New Book"/>
          <w:sz w:val="24"/>
          <w:lang w:val="en-US"/>
        </w:rPr>
        <w:t xml:space="preserve">innovating article 5 of regulation 183/2014 </w:t>
      </w:r>
      <w:r w:rsidR="008D6E7A" w:rsidRPr="00410FB2">
        <w:rPr>
          <w:rFonts w:ascii="Apex New Book" w:hAnsi="Apex New Book"/>
          <w:sz w:val="24"/>
          <w:lang w:val="en-US"/>
        </w:rPr>
        <w:t>with the</w:t>
      </w:r>
      <w:r w:rsidR="0013229C" w:rsidRPr="00410FB2">
        <w:rPr>
          <w:rFonts w:ascii="Apex New Book" w:hAnsi="Apex New Book"/>
          <w:sz w:val="24"/>
          <w:lang w:val="en-US"/>
        </w:rPr>
        <w:t>s</w:t>
      </w:r>
      <w:r w:rsidR="008D6E7A" w:rsidRPr="00410FB2">
        <w:rPr>
          <w:rFonts w:ascii="Apex New Book" w:hAnsi="Apex New Book"/>
          <w:sz w:val="24"/>
          <w:lang w:val="en-US"/>
        </w:rPr>
        <w:t>e</w:t>
      </w:r>
      <w:r w:rsidR="0013229C" w:rsidRPr="00410FB2">
        <w:rPr>
          <w:rFonts w:ascii="Apex New Book" w:hAnsi="Apex New Book"/>
          <w:sz w:val="24"/>
          <w:lang w:val="en-US"/>
        </w:rPr>
        <w:t xml:space="preserve"> guidelines may also raise some concern on the legal basis of such provisions, </w:t>
      </w:r>
      <w:r w:rsidR="00615066" w:rsidRPr="00410FB2">
        <w:rPr>
          <w:rFonts w:ascii="Apex New Book" w:hAnsi="Apex New Book"/>
          <w:sz w:val="24"/>
          <w:lang w:val="en-US"/>
        </w:rPr>
        <w:t xml:space="preserve">we </w:t>
      </w:r>
      <w:r w:rsidR="0013229C" w:rsidRPr="00410FB2">
        <w:rPr>
          <w:rFonts w:ascii="Apex New Book" w:hAnsi="Apex New Book"/>
          <w:sz w:val="24"/>
          <w:lang w:val="en-US"/>
        </w:rPr>
        <w:t xml:space="preserve">would rather suggest to rely on concepts of “rebuttable presumption” in article </w:t>
      </w:r>
      <w:r w:rsidR="008D6E7A" w:rsidRPr="00410FB2">
        <w:rPr>
          <w:rFonts w:ascii="Apex New Book" w:hAnsi="Apex New Book"/>
          <w:sz w:val="24"/>
          <w:lang w:val="en-US"/>
        </w:rPr>
        <w:t>25 of the proposed regulation or</w:t>
      </w:r>
      <w:r w:rsidR="0013229C" w:rsidRPr="00410FB2">
        <w:rPr>
          <w:rFonts w:ascii="Apex New Book" w:hAnsi="Apex New Book"/>
          <w:sz w:val="24"/>
          <w:lang w:val="en-US"/>
        </w:rPr>
        <w:t xml:space="preserve"> rather to refer to such situations among other indicators of unlikely-to-pay as </w:t>
      </w:r>
      <w:r w:rsidR="00615066" w:rsidRPr="00410FB2">
        <w:rPr>
          <w:rFonts w:ascii="Apex New Book" w:hAnsi="Apex New Book"/>
          <w:sz w:val="24"/>
          <w:lang w:val="en-US"/>
        </w:rPr>
        <w:t>of article 47.</w:t>
      </w:r>
    </w:p>
    <w:p w14:paraId="3585AED5" w14:textId="77777777" w:rsidR="001E0995" w:rsidRPr="00410FB2" w:rsidRDefault="001E0995" w:rsidP="006E3A85">
      <w:pPr>
        <w:rPr>
          <w:rFonts w:ascii="Apex New Book" w:hAnsi="Apex New Book"/>
          <w:sz w:val="24"/>
          <w:lang w:val="en-US"/>
        </w:rPr>
      </w:pPr>
    </w:p>
    <w:p w14:paraId="6490E1D1" w14:textId="77777777" w:rsidR="006E3A85" w:rsidRPr="00410FB2" w:rsidRDefault="006E3A85" w:rsidP="006E3A85">
      <w:pPr>
        <w:rPr>
          <w:rFonts w:ascii="Apex New Book" w:hAnsi="Apex New Book"/>
          <w:b/>
          <w:sz w:val="24"/>
          <w:lang w:val="en-US"/>
        </w:rPr>
      </w:pPr>
      <w:r w:rsidRPr="00410FB2">
        <w:rPr>
          <w:rFonts w:ascii="Apex New Book" w:hAnsi="Apex New Book"/>
          <w:b/>
          <w:sz w:val="24"/>
          <w:lang w:val="en-US"/>
        </w:rPr>
        <w:t xml:space="preserve">Q4: Do you </w:t>
      </w:r>
      <w:r w:rsidR="00B66D66" w:rsidRPr="00410FB2">
        <w:rPr>
          <w:rFonts w:ascii="Apex New Book" w:hAnsi="Apex New Book"/>
          <w:b/>
          <w:sz w:val="24"/>
          <w:lang w:val="en-US"/>
        </w:rPr>
        <w:t>consider that proposed treatment of the sale of credit obligation appropriate for the purpose of identification of default?</w:t>
      </w:r>
    </w:p>
    <w:p w14:paraId="2533F0DC" w14:textId="77777777" w:rsidR="0077549A" w:rsidRPr="00410FB2" w:rsidRDefault="0077549A" w:rsidP="006E3A85">
      <w:pPr>
        <w:rPr>
          <w:rFonts w:ascii="Apex New Book" w:hAnsi="Apex New Book"/>
          <w:b/>
          <w:sz w:val="24"/>
          <w:lang w:val="en-US"/>
        </w:rPr>
      </w:pPr>
    </w:p>
    <w:p w14:paraId="54ABEAE8" w14:textId="4143AE1B" w:rsidR="006307E2" w:rsidRDefault="00B66D66" w:rsidP="00E462F6">
      <w:pPr>
        <w:jc w:val="both"/>
        <w:rPr>
          <w:rFonts w:ascii="Apex New Book" w:hAnsi="Apex New Book"/>
          <w:sz w:val="24"/>
          <w:lang w:val="en-US"/>
        </w:rPr>
      </w:pPr>
      <w:r w:rsidRPr="00410FB2">
        <w:rPr>
          <w:rFonts w:ascii="Apex New Book" w:hAnsi="Apex New Book"/>
          <w:sz w:val="24"/>
          <w:lang w:val="en-US"/>
        </w:rPr>
        <w:t xml:space="preserve">We agree that sales at significant discount </w:t>
      </w:r>
      <w:r w:rsidR="00F77D16" w:rsidRPr="00410FB2">
        <w:rPr>
          <w:rFonts w:ascii="Apex New Book" w:hAnsi="Apex New Book"/>
          <w:sz w:val="24"/>
          <w:lang w:val="en-US"/>
        </w:rPr>
        <w:t>are likely to occur under “unlikeliness to pay” conditions,</w:t>
      </w:r>
      <w:r w:rsidR="0013229C" w:rsidRPr="00410FB2">
        <w:rPr>
          <w:rFonts w:ascii="Apex New Book" w:hAnsi="Apex New Book"/>
          <w:sz w:val="24"/>
          <w:lang w:val="en-US"/>
        </w:rPr>
        <w:t xml:space="preserve"> and that ideally this should occur for positions already</w:t>
      </w:r>
      <w:r w:rsidR="006307E2" w:rsidRPr="00410FB2">
        <w:rPr>
          <w:rFonts w:ascii="Apex New Book" w:hAnsi="Apex New Book"/>
          <w:sz w:val="24"/>
          <w:lang w:val="en-US"/>
        </w:rPr>
        <w:t xml:space="preserve"> classified as default</w:t>
      </w:r>
      <w:r w:rsidR="007B4C85">
        <w:rPr>
          <w:rFonts w:ascii="Apex New Book" w:hAnsi="Apex New Book"/>
          <w:sz w:val="24"/>
          <w:lang w:val="en-US"/>
        </w:rPr>
        <w:t>ed</w:t>
      </w:r>
      <w:r w:rsidR="006307E2" w:rsidRPr="00410FB2">
        <w:rPr>
          <w:rFonts w:ascii="Apex New Book" w:hAnsi="Apex New Book"/>
          <w:sz w:val="24"/>
          <w:lang w:val="en-US"/>
        </w:rPr>
        <w:t>.</w:t>
      </w:r>
    </w:p>
    <w:p w14:paraId="12E1A5B9" w14:textId="77777777" w:rsidR="00F00988" w:rsidRPr="00410FB2" w:rsidRDefault="00F00988" w:rsidP="00E462F6">
      <w:pPr>
        <w:jc w:val="both"/>
        <w:rPr>
          <w:rFonts w:ascii="Apex New Book" w:hAnsi="Apex New Book"/>
          <w:sz w:val="24"/>
          <w:lang w:val="en-US"/>
        </w:rPr>
      </w:pPr>
    </w:p>
    <w:p w14:paraId="625FAEF4" w14:textId="6E9A3B8E" w:rsidR="003B1999" w:rsidRPr="00410FB2" w:rsidRDefault="006307E2" w:rsidP="003B1999">
      <w:pPr>
        <w:jc w:val="both"/>
        <w:rPr>
          <w:rFonts w:ascii="Apex New Book" w:hAnsi="Apex New Book"/>
          <w:sz w:val="24"/>
          <w:lang w:val="en-US"/>
        </w:rPr>
      </w:pPr>
      <w:r w:rsidRPr="00410FB2">
        <w:rPr>
          <w:rFonts w:ascii="Apex New Book" w:hAnsi="Apex New Book"/>
          <w:sz w:val="24"/>
          <w:lang w:val="en-US"/>
        </w:rPr>
        <w:t xml:space="preserve">We acknowledge </w:t>
      </w:r>
      <w:r w:rsidR="000D7DFD">
        <w:rPr>
          <w:rFonts w:ascii="Apex New Book" w:hAnsi="Apex New Book"/>
          <w:sz w:val="24"/>
          <w:lang w:val="en-US"/>
        </w:rPr>
        <w:t xml:space="preserve">CP </w:t>
      </w:r>
      <w:r w:rsidRPr="00410FB2">
        <w:rPr>
          <w:rFonts w:ascii="Apex New Book" w:hAnsi="Apex New Book"/>
          <w:sz w:val="24"/>
          <w:lang w:val="en-US"/>
        </w:rPr>
        <w:t xml:space="preserve">provisions are mainly devoted to force the inclusion of such situations in risk parameters calibration, yet from a </w:t>
      </w:r>
      <w:r w:rsidR="000D7DFD">
        <w:rPr>
          <w:rFonts w:ascii="Apex New Book" w:hAnsi="Apex New Book"/>
          <w:sz w:val="24"/>
          <w:lang w:val="en-US"/>
        </w:rPr>
        <w:t xml:space="preserve">more </w:t>
      </w:r>
      <w:r w:rsidRPr="00410FB2">
        <w:rPr>
          <w:rFonts w:ascii="Apex New Book" w:hAnsi="Apex New Book"/>
          <w:sz w:val="24"/>
          <w:lang w:val="en-US"/>
        </w:rPr>
        <w:t xml:space="preserve">general perspective </w:t>
      </w:r>
      <w:r w:rsidRPr="000D7DFD">
        <w:rPr>
          <w:rFonts w:ascii="Apex New Book" w:hAnsi="Apex New Book"/>
          <w:sz w:val="24"/>
          <w:lang w:val="en-US"/>
        </w:rPr>
        <w:t>we think a symmetric ruling for purchased would be most appropriate.</w:t>
      </w:r>
      <w:r w:rsidR="003B1999" w:rsidRPr="000D7DFD">
        <w:rPr>
          <w:rFonts w:ascii="Apex New Book" w:hAnsi="Apex New Book"/>
          <w:sz w:val="24"/>
          <w:lang w:val="en-US"/>
        </w:rPr>
        <w:t xml:space="preserve"> Ideally</w:t>
      </w:r>
      <w:r w:rsidR="003B1999" w:rsidRPr="00410FB2">
        <w:rPr>
          <w:rFonts w:ascii="Apex New Book" w:hAnsi="Apex New Book"/>
          <w:sz w:val="24"/>
          <w:lang w:val="en-US"/>
        </w:rPr>
        <w:t>,</w:t>
      </w:r>
      <w:r w:rsidRPr="00410FB2">
        <w:rPr>
          <w:rFonts w:ascii="Apex New Book" w:hAnsi="Apex New Book"/>
          <w:sz w:val="24"/>
          <w:lang w:val="en-US"/>
        </w:rPr>
        <w:t xml:space="preserve"> from the </w:t>
      </w:r>
      <w:r w:rsidR="003B1999" w:rsidRPr="00410FB2">
        <w:rPr>
          <w:rFonts w:ascii="Apex New Book" w:hAnsi="Apex New Book"/>
          <w:sz w:val="24"/>
          <w:lang w:val="en-US"/>
        </w:rPr>
        <w:t>systemic point of view, default should never be discontinued by virtue of sales/purchases operations until a full restore of the credit worthiness is realized.</w:t>
      </w:r>
    </w:p>
    <w:p w14:paraId="759F5780" w14:textId="77777777" w:rsidR="00F00988" w:rsidRDefault="00F00988" w:rsidP="003B1999">
      <w:pPr>
        <w:jc w:val="both"/>
        <w:rPr>
          <w:rFonts w:ascii="Apex New Book" w:hAnsi="Apex New Book"/>
          <w:sz w:val="24"/>
          <w:lang w:val="en-US"/>
        </w:rPr>
      </w:pPr>
    </w:p>
    <w:p w14:paraId="0BC7BD55" w14:textId="77082035" w:rsidR="003B1999" w:rsidRDefault="003B1999" w:rsidP="003B1999">
      <w:pPr>
        <w:jc w:val="both"/>
        <w:rPr>
          <w:rFonts w:ascii="Apex New Book" w:hAnsi="Apex New Book"/>
          <w:sz w:val="24"/>
          <w:lang w:val="en-US"/>
        </w:rPr>
      </w:pPr>
      <w:r w:rsidRPr="00410FB2">
        <w:rPr>
          <w:rFonts w:ascii="Apex New Book" w:hAnsi="Apex New Book"/>
          <w:sz w:val="24"/>
          <w:lang w:val="en-US"/>
        </w:rPr>
        <w:t xml:space="preserve">In this context, we think EBA </w:t>
      </w:r>
      <w:r w:rsidR="007B4C85">
        <w:rPr>
          <w:rFonts w:ascii="Apex New Book" w:hAnsi="Apex New Book"/>
          <w:sz w:val="24"/>
          <w:lang w:val="en-US"/>
        </w:rPr>
        <w:t>might</w:t>
      </w:r>
      <w:r w:rsidR="007B4C85" w:rsidRPr="00410FB2">
        <w:rPr>
          <w:rFonts w:ascii="Apex New Book" w:hAnsi="Apex New Book"/>
          <w:sz w:val="24"/>
          <w:lang w:val="en-US"/>
        </w:rPr>
        <w:t xml:space="preserve"> </w:t>
      </w:r>
      <w:r w:rsidRPr="00410FB2">
        <w:rPr>
          <w:rFonts w:ascii="Apex New Book" w:hAnsi="Apex New Book"/>
          <w:sz w:val="24"/>
          <w:lang w:val="en-US"/>
        </w:rPr>
        <w:t>consider achiev</w:t>
      </w:r>
      <w:r w:rsidR="007B4C85">
        <w:rPr>
          <w:rFonts w:ascii="Apex New Book" w:hAnsi="Apex New Book"/>
          <w:sz w:val="24"/>
          <w:lang w:val="en-US"/>
        </w:rPr>
        <w:t>ing</w:t>
      </w:r>
      <w:r w:rsidRPr="00410FB2">
        <w:rPr>
          <w:rFonts w:ascii="Apex New Book" w:hAnsi="Apex New Book"/>
          <w:sz w:val="24"/>
          <w:lang w:val="en-US"/>
        </w:rPr>
        <w:t xml:space="preserve"> asymmetry either relying to the general ruling for “unlikely-to-pay” potential triggering situations as of Article 47 for sales as well, or rather </w:t>
      </w:r>
      <w:r w:rsidRPr="00410FB2">
        <w:rPr>
          <w:rFonts w:ascii="Apex New Book" w:hAnsi="Apex New Book"/>
          <w:sz w:val="24"/>
          <w:lang w:val="en-US"/>
        </w:rPr>
        <w:lastRenderedPageBreak/>
        <w:t xml:space="preserve">define symmetric objective ruling for credit origination/purchases, with the latter </w:t>
      </w:r>
      <w:r w:rsidR="00E71A27">
        <w:rPr>
          <w:rFonts w:ascii="Apex New Book" w:hAnsi="Apex New Book"/>
          <w:sz w:val="24"/>
          <w:lang w:val="en-US"/>
        </w:rPr>
        <w:t xml:space="preserve">being </w:t>
      </w:r>
      <w:r w:rsidR="00E71A27" w:rsidRPr="00410FB2">
        <w:rPr>
          <w:rFonts w:ascii="Apex New Book" w:hAnsi="Apex New Book"/>
          <w:sz w:val="24"/>
          <w:lang w:val="en-US"/>
        </w:rPr>
        <w:t>mo</w:t>
      </w:r>
      <w:r w:rsidR="00E71A27">
        <w:rPr>
          <w:rFonts w:ascii="Apex New Book" w:hAnsi="Apex New Book"/>
          <w:sz w:val="24"/>
          <w:lang w:val="en-US"/>
        </w:rPr>
        <w:t>re</w:t>
      </w:r>
      <w:r w:rsidR="00E71A27" w:rsidRPr="00410FB2">
        <w:rPr>
          <w:rFonts w:ascii="Apex New Book" w:hAnsi="Apex New Book"/>
          <w:sz w:val="24"/>
          <w:lang w:val="en-US"/>
        </w:rPr>
        <w:t xml:space="preserve"> </w:t>
      </w:r>
      <w:r w:rsidRPr="00410FB2">
        <w:rPr>
          <w:rFonts w:ascii="Apex New Book" w:hAnsi="Apex New Book"/>
          <w:sz w:val="24"/>
          <w:lang w:val="en-US"/>
        </w:rPr>
        <w:t>appropriate only if an effective and unbiased test and threshold can be set.</w:t>
      </w:r>
    </w:p>
    <w:p w14:paraId="7CECAEE9" w14:textId="77777777" w:rsidR="00F00988" w:rsidRDefault="00F00988" w:rsidP="00D51C12">
      <w:pPr>
        <w:rPr>
          <w:rFonts w:ascii="Apex New Book" w:hAnsi="Apex New Book"/>
          <w:sz w:val="24"/>
          <w:lang w:val="en-US"/>
        </w:rPr>
      </w:pPr>
    </w:p>
    <w:p w14:paraId="575CBF79" w14:textId="2CFDFE6A" w:rsidR="00E71A27" w:rsidRDefault="000D7DFD" w:rsidP="00D51C12">
      <w:pPr>
        <w:rPr>
          <w:rFonts w:ascii="Apex New Book" w:hAnsi="Apex New Book"/>
          <w:sz w:val="24"/>
          <w:lang w:val="en-US"/>
        </w:rPr>
      </w:pPr>
      <w:r w:rsidRPr="00D51C12">
        <w:rPr>
          <w:rFonts w:ascii="Apex New Book" w:hAnsi="Apex New Book"/>
          <w:sz w:val="24"/>
          <w:lang w:val="en-US"/>
        </w:rPr>
        <w:t xml:space="preserve">As we acknowledge objective ruling in this area is not straightforward, we think that the consulted test is subject to </w:t>
      </w:r>
      <w:r w:rsidR="00056880">
        <w:rPr>
          <w:rFonts w:ascii="Apex New Book" w:hAnsi="Apex New Book"/>
          <w:sz w:val="24"/>
          <w:lang w:val="en-US"/>
        </w:rPr>
        <w:t xml:space="preserve">possible </w:t>
      </w:r>
      <w:r w:rsidR="008E2B1C" w:rsidRPr="00D51C12">
        <w:rPr>
          <w:rFonts w:ascii="Apex New Book" w:hAnsi="Apex New Book"/>
          <w:sz w:val="24"/>
          <w:lang w:val="en-US"/>
        </w:rPr>
        <w:t>shortcomings</w:t>
      </w:r>
      <w:r w:rsidR="00F00988">
        <w:rPr>
          <w:rFonts w:ascii="Apex New Book" w:hAnsi="Apex New Book"/>
          <w:sz w:val="24"/>
          <w:lang w:val="en-US"/>
        </w:rPr>
        <w:t>.</w:t>
      </w:r>
    </w:p>
    <w:p w14:paraId="5DFE0749" w14:textId="5DAC4614" w:rsidR="00DB6C45" w:rsidRDefault="00E71A27" w:rsidP="00D51C12">
      <w:pPr>
        <w:rPr>
          <w:rFonts w:ascii="Apex New Book" w:hAnsi="Apex New Book"/>
          <w:sz w:val="24"/>
          <w:lang w:val="en-US"/>
        </w:rPr>
      </w:pPr>
      <w:r>
        <w:rPr>
          <w:rFonts w:ascii="Apex New Book" w:hAnsi="Apex New Book"/>
          <w:sz w:val="24"/>
          <w:lang w:val="en-US"/>
        </w:rPr>
        <w:t>We comment here on such shortcomings that might be mitigated by revising some provisions but that taken together might suggest excluding objective tests in the form proposed relying rather on more general Article 47 provisions</w:t>
      </w:r>
      <w:r w:rsidR="00DB6C45">
        <w:rPr>
          <w:rFonts w:ascii="Apex New Book" w:hAnsi="Apex New Book"/>
          <w:sz w:val="24"/>
          <w:lang w:val="en-US"/>
        </w:rPr>
        <w:t>.</w:t>
      </w:r>
    </w:p>
    <w:p w14:paraId="51D702D0" w14:textId="350955B7" w:rsidR="0055544B" w:rsidRDefault="0055544B" w:rsidP="00D51C12">
      <w:pPr>
        <w:rPr>
          <w:rFonts w:ascii="Apex New Book" w:hAnsi="Apex New Book"/>
          <w:sz w:val="24"/>
          <w:lang w:val="en-US"/>
        </w:rPr>
      </w:pPr>
    </w:p>
    <w:p w14:paraId="410FD0B3" w14:textId="422A2F43" w:rsidR="0055544B" w:rsidRDefault="0055544B" w:rsidP="00D51C12">
      <w:pPr>
        <w:rPr>
          <w:rFonts w:ascii="Apex New Book" w:hAnsi="Apex New Book"/>
          <w:sz w:val="24"/>
          <w:lang w:val="en-US"/>
        </w:rPr>
      </w:pPr>
      <w:r>
        <w:rPr>
          <w:rFonts w:ascii="Apex New Book" w:hAnsi="Apex New Book"/>
          <w:sz w:val="24"/>
          <w:lang w:val="en-US"/>
        </w:rPr>
        <w:t>First</w:t>
      </w:r>
      <w:r w:rsidR="00336EFA">
        <w:rPr>
          <w:rFonts w:ascii="Apex New Book" w:hAnsi="Apex New Book"/>
          <w:sz w:val="24"/>
          <w:lang w:val="en-US"/>
        </w:rPr>
        <w:t>ly</w:t>
      </w:r>
      <w:r>
        <w:rPr>
          <w:rFonts w:ascii="Apex New Book" w:hAnsi="Apex New Book"/>
          <w:sz w:val="24"/>
          <w:lang w:val="en-US"/>
        </w:rPr>
        <w:t xml:space="preserve">, </w:t>
      </w:r>
      <w:r w:rsidRPr="00D51C12">
        <w:rPr>
          <w:rFonts w:ascii="Apex New Book" w:hAnsi="Apex New Book"/>
          <w:sz w:val="24"/>
          <w:lang w:val="en-US"/>
        </w:rPr>
        <w:t>a higher threshold (10%) would better prevent unintended results since discount on defaults</w:t>
      </w:r>
      <w:r w:rsidR="00336EFA">
        <w:rPr>
          <w:rFonts w:ascii="Apex New Book" w:hAnsi="Apex New Book"/>
          <w:sz w:val="24"/>
          <w:lang w:val="en-US"/>
        </w:rPr>
        <w:t>,</w:t>
      </w:r>
      <w:r w:rsidRPr="00D51C12">
        <w:rPr>
          <w:rFonts w:ascii="Apex New Book" w:hAnsi="Apex New Book"/>
          <w:sz w:val="24"/>
          <w:lang w:val="en-US"/>
        </w:rPr>
        <w:t xml:space="preserve"> </w:t>
      </w:r>
      <w:r w:rsidR="00336EFA">
        <w:rPr>
          <w:rFonts w:ascii="Apex New Book" w:hAnsi="Apex New Book"/>
          <w:sz w:val="24"/>
          <w:lang w:val="en-US"/>
        </w:rPr>
        <w:t>if not subject to S</w:t>
      </w:r>
      <w:r w:rsidRPr="00D51C12">
        <w:rPr>
          <w:rFonts w:ascii="Apex New Book" w:hAnsi="Apex New Book"/>
          <w:sz w:val="24"/>
          <w:lang w:val="en-US"/>
        </w:rPr>
        <w:t xml:space="preserve">CRAs </w:t>
      </w:r>
      <w:r w:rsidR="00336EFA">
        <w:rPr>
          <w:rFonts w:ascii="Apex New Book" w:hAnsi="Apex New Book"/>
          <w:sz w:val="24"/>
          <w:lang w:val="en-US"/>
        </w:rPr>
        <w:t xml:space="preserve">already triggering default, </w:t>
      </w:r>
      <w:r w:rsidRPr="00D51C12">
        <w:rPr>
          <w:rFonts w:ascii="Apex New Book" w:hAnsi="Apex New Book"/>
          <w:sz w:val="24"/>
          <w:lang w:val="en-US"/>
        </w:rPr>
        <w:t>would normally be much higher than such a threshold</w:t>
      </w:r>
      <w:r>
        <w:rPr>
          <w:rFonts w:ascii="Apex New Book" w:hAnsi="Apex New Book"/>
          <w:sz w:val="24"/>
          <w:lang w:val="en-US"/>
        </w:rPr>
        <w:t>.</w:t>
      </w:r>
    </w:p>
    <w:p w14:paraId="4FD1E071" w14:textId="77777777" w:rsidR="00F00988" w:rsidRPr="00D51C12" w:rsidRDefault="00F00988" w:rsidP="00D51C12">
      <w:pPr>
        <w:rPr>
          <w:rFonts w:ascii="Apex New Book" w:hAnsi="Apex New Book"/>
          <w:sz w:val="24"/>
          <w:lang w:val="en-US"/>
        </w:rPr>
      </w:pPr>
    </w:p>
    <w:p w14:paraId="1F75FFBB" w14:textId="5DD383DF" w:rsidR="00190B27" w:rsidRDefault="00336EFA" w:rsidP="00D51C12">
      <w:pPr>
        <w:jc w:val="both"/>
        <w:rPr>
          <w:rFonts w:ascii="Apex New Book" w:hAnsi="Apex New Book"/>
          <w:sz w:val="24"/>
          <w:lang w:val="en-US"/>
        </w:rPr>
      </w:pPr>
      <w:r>
        <w:rPr>
          <w:rFonts w:ascii="Apex New Book" w:hAnsi="Apex New Book"/>
          <w:sz w:val="24"/>
          <w:lang w:val="en-US"/>
        </w:rPr>
        <w:t>Secondly</w:t>
      </w:r>
      <w:r w:rsidR="0055544B" w:rsidRPr="00D51C12">
        <w:rPr>
          <w:rFonts w:ascii="Apex New Book" w:hAnsi="Apex New Book"/>
          <w:sz w:val="24"/>
          <w:lang w:val="en-US"/>
        </w:rPr>
        <w:t>, u</w:t>
      </w:r>
      <w:r w:rsidR="0055544B" w:rsidRPr="00D51C12">
        <w:rPr>
          <w:rFonts w:ascii="Apex New Book" w:hAnsi="Apex New Book"/>
          <w:sz w:val="24"/>
          <w:lang w:val="en-US"/>
        </w:rPr>
        <w:t>nder proposed guidance the “loss test” should be performed</w:t>
      </w:r>
      <w:r>
        <w:rPr>
          <w:rFonts w:ascii="Apex New Book" w:hAnsi="Apex New Book"/>
          <w:sz w:val="24"/>
          <w:lang w:val="en-US"/>
        </w:rPr>
        <w:t>, and thus default would be triggered,</w:t>
      </w:r>
      <w:r w:rsidR="0055544B" w:rsidRPr="00D51C12">
        <w:rPr>
          <w:rFonts w:ascii="Apex New Book" w:hAnsi="Apex New Book"/>
          <w:sz w:val="24"/>
          <w:lang w:val="en-US"/>
        </w:rPr>
        <w:t xml:space="preserve"> either at the level of the overall transferred credits or at the </w:t>
      </w:r>
      <w:r>
        <w:rPr>
          <w:rFonts w:ascii="Apex New Book" w:hAnsi="Apex New Book"/>
          <w:sz w:val="24"/>
          <w:lang w:val="en-US"/>
        </w:rPr>
        <w:t xml:space="preserve">level of </w:t>
      </w:r>
      <w:r w:rsidR="0055544B" w:rsidRPr="00D51C12">
        <w:rPr>
          <w:rFonts w:ascii="Apex New Book" w:hAnsi="Apex New Book"/>
          <w:sz w:val="24"/>
          <w:lang w:val="en-US"/>
        </w:rPr>
        <w:t>individual credit</w:t>
      </w:r>
      <w:r>
        <w:rPr>
          <w:rFonts w:ascii="Apex New Book" w:hAnsi="Apex New Book"/>
          <w:sz w:val="24"/>
          <w:lang w:val="en-US"/>
        </w:rPr>
        <w:t>s</w:t>
      </w:r>
      <w:r w:rsidR="0055544B" w:rsidRPr="00D51C12">
        <w:rPr>
          <w:rFonts w:ascii="Apex New Book" w:hAnsi="Apex New Book"/>
          <w:sz w:val="24"/>
          <w:lang w:val="en-US"/>
        </w:rPr>
        <w:t xml:space="preserve"> depending on the price setting </w:t>
      </w:r>
      <w:r>
        <w:rPr>
          <w:rFonts w:ascii="Apex New Book" w:hAnsi="Apex New Book"/>
          <w:sz w:val="24"/>
          <w:lang w:val="en-US"/>
        </w:rPr>
        <w:t>scheme of the transaction</w:t>
      </w:r>
      <w:r w:rsidR="0055544B" w:rsidRPr="00D51C12">
        <w:rPr>
          <w:rFonts w:ascii="Apex New Book" w:hAnsi="Apex New Book"/>
          <w:sz w:val="24"/>
          <w:lang w:val="en-US"/>
        </w:rPr>
        <w:t xml:space="preserve">. </w:t>
      </w:r>
      <w:r w:rsidR="0055544B">
        <w:rPr>
          <w:rFonts w:ascii="Apex New Book" w:hAnsi="Apex New Book"/>
          <w:sz w:val="24"/>
          <w:lang w:val="en-US"/>
        </w:rPr>
        <w:t>At this regard w</w:t>
      </w:r>
      <w:r w:rsidR="00055058" w:rsidRPr="00410FB2">
        <w:rPr>
          <w:rFonts w:ascii="Apex New Book" w:hAnsi="Apex New Book"/>
          <w:sz w:val="24"/>
          <w:lang w:val="en-US"/>
        </w:rPr>
        <w:t xml:space="preserve">e think that seldom a real “facility-based” price setting </w:t>
      </w:r>
      <w:r w:rsidR="007C53B1" w:rsidRPr="00410FB2">
        <w:rPr>
          <w:rFonts w:ascii="Apex New Book" w:hAnsi="Apex New Book"/>
          <w:sz w:val="24"/>
          <w:lang w:val="en-US"/>
        </w:rPr>
        <w:t xml:space="preserve">can be envisaged when the operation </w:t>
      </w:r>
      <w:r w:rsidR="00055058" w:rsidRPr="00410FB2">
        <w:rPr>
          <w:rFonts w:ascii="Apex New Book" w:hAnsi="Apex New Book"/>
          <w:sz w:val="24"/>
          <w:lang w:val="en-US"/>
        </w:rPr>
        <w:t>involves a large number of obligations</w:t>
      </w:r>
      <w:r w:rsidR="007C53B1" w:rsidRPr="00410FB2">
        <w:rPr>
          <w:rFonts w:ascii="Apex New Book" w:hAnsi="Apex New Book"/>
          <w:sz w:val="24"/>
          <w:lang w:val="en-US"/>
        </w:rPr>
        <w:t>.</w:t>
      </w:r>
      <w:r w:rsidR="00DB6C45">
        <w:rPr>
          <w:rFonts w:ascii="Apex New Book" w:hAnsi="Apex New Book"/>
          <w:sz w:val="24"/>
          <w:lang w:val="en-US"/>
        </w:rPr>
        <w:t xml:space="preserve"> </w:t>
      </w:r>
      <w:r w:rsidR="0055544B">
        <w:rPr>
          <w:rFonts w:ascii="Apex New Book" w:hAnsi="Apex New Book"/>
          <w:sz w:val="24"/>
          <w:lang w:val="en-US"/>
        </w:rPr>
        <w:t xml:space="preserve">Risk Parameters figures might </w:t>
      </w:r>
      <w:r w:rsidR="00055058" w:rsidRPr="00410FB2">
        <w:rPr>
          <w:rFonts w:ascii="Apex New Book" w:hAnsi="Apex New Book"/>
          <w:sz w:val="24"/>
          <w:lang w:val="en-US"/>
        </w:rPr>
        <w:t>be biased</w:t>
      </w:r>
      <w:r w:rsidR="0055544B">
        <w:rPr>
          <w:rFonts w:ascii="Apex New Book" w:hAnsi="Apex New Book"/>
          <w:sz w:val="24"/>
          <w:lang w:val="en-US"/>
        </w:rPr>
        <w:t xml:space="preserve"> and price setting schemes be strategically oriented so that</w:t>
      </w:r>
      <w:r w:rsidR="00055058" w:rsidRPr="00410FB2">
        <w:rPr>
          <w:rFonts w:ascii="Apex New Book" w:hAnsi="Apex New Book"/>
          <w:sz w:val="24"/>
          <w:lang w:val="en-US"/>
        </w:rPr>
        <w:t xml:space="preserve"> </w:t>
      </w:r>
      <w:r w:rsidR="0055544B">
        <w:rPr>
          <w:rFonts w:ascii="Apex New Book" w:hAnsi="Apex New Book"/>
          <w:sz w:val="24"/>
          <w:lang w:val="en-US"/>
        </w:rPr>
        <w:t xml:space="preserve">losses </w:t>
      </w:r>
      <w:r w:rsidR="00DB6C45">
        <w:rPr>
          <w:rFonts w:ascii="Apex New Book" w:hAnsi="Apex New Book"/>
          <w:sz w:val="24"/>
          <w:lang w:val="en-US"/>
        </w:rPr>
        <w:t>are</w:t>
      </w:r>
      <w:r w:rsidR="0055544B">
        <w:rPr>
          <w:rFonts w:ascii="Apex New Book" w:hAnsi="Apex New Book"/>
          <w:sz w:val="24"/>
          <w:lang w:val="en-US"/>
        </w:rPr>
        <w:t xml:space="preserve"> </w:t>
      </w:r>
      <w:r w:rsidR="00055058" w:rsidRPr="00410FB2">
        <w:rPr>
          <w:rFonts w:ascii="Apex New Book" w:hAnsi="Apex New Book"/>
          <w:sz w:val="24"/>
          <w:lang w:val="en-US"/>
        </w:rPr>
        <w:t>fictitiously allocate</w:t>
      </w:r>
      <w:r w:rsidR="0055544B">
        <w:rPr>
          <w:rFonts w:ascii="Apex New Book" w:hAnsi="Apex New Book"/>
          <w:sz w:val="24"/>
          <w:lang w:val="en-US"/>
        </w:rPr>
        <w:t>d</w:t>
      </w:r>
      <w:r w:rsidR="00055058" w:rsidRPr="00410FB2">
        <w:rPr>
          <w:rFonts w:ascii="Apex New Book" w:hAnsi="Apex New Book"/>
          <w:sz w:val="24"/>
          <w:lang w:val="en-US"/>
        </w:rPr>
        <w:t xml:space="preserve"> </w:t>
      </w:r>
      <w:r w:rsidR="0055544B">
        <w:rPr>
          <w:rFonts w:ascii="Apex New Book" w:hAnsi="Apex New Book"/>
          <w:sz w:val="24"/>
          <w:lang w:val="en-US"/>
        </w:rPr>
        <w:t>t</w:t>
      </w:r>
      <w:r w:rsidR="00055058" w:rsidRPr="00410FB2">
        <w:rPr>
          <w:rFonts w:ascii="Apex New Book" w:hAnsi="Apex New Book"/>
          <w:sz w:val="24"/>
          <w:lang w:val="en-US"/>
        </w:rPr>
        <w:t xml:space="preserve">o a smaller number of </w:t>
      </w:r>
      <w:r w:rsidR="0055544B">
        <w:rPr>
          <w:rFonts w:ascii="Apex New Book" w:hAnsi="Apex New Book"/>
          <w:sz w:val="24"/>
          <w:lang w:val="en-US"/>
        </w:rPr>
        <w:t>credits</w:t>
      </w:r>
      <w:r w:rsidR="008912D7" w:rsidRPr="00410FB2">
        <w:rPr>
          <w:rFonts w:ascii="Apex New Book" w:hAnsi="Apex New Book"/>
          <w:sz w:val="24"/>
          <w:lang w:val="en-US"/>
        </w:rPr>
        <w:t xml:space="preserve">. This is particularly true </w:t>
      </w:r>
      <w:r>
        <w:rPr>
          <w:rFonts w:ascii="Apex New Book" w:hAnsi="Apex New Book"/>
          <w:sz w:val="24"/>
          <w:lang w:val="en-US"/>
        </w:rPr>
        <w:t>if</w:t>
      </w:r>
      <w:r w:rsidRPr="00410FB2">
        <w:rPr>
          <w:rFonts w:ascii="Apex New Book" w:hAnsi="Apex New Book"/>
          <w:sz w:val="24"/>
          <w:lang w:val="en-US"/>
        </w:rPr>
        <w:t xml:space="preserve"> </w:t>
      </w:r>
      <w:r w:rsidR="008912D7" w:rsidRPr="00410FB2">
        <w:rPr>
          <w:rFonts w:ascii="Apex New Book" w:hAnsi="Apex New Book"/>
          <w:sz w:val="24"/>
          <w:lang w:val="en-US"/>
        </w:rPr>
        <w:t>both “already default” and performing credits are sold within the same transaction, with the latter not triggering new defaults.</w:t>
      </w:r>
      <w:r w:rsidR="0055544B">
        <w:rPr>
          <w:rFonts w:ascii="Apex New Book" w:hAnsi="Apex New Book"/>
          <w:sz w:val="24"/>
          <w:lang w:val="en-US"/>
        </w:rPr>
        <w:t xml:space="preserve"> </w:t>
      </w:r>
      <w:r w:rsidR="008912D7" w:rsidRPr="00410FB2">
        <w:rPr>
          <w:rFonts w:ascii="Apex New Book" w:hAnsi="Apex New Book"/>
          <w:sz w:val="24"/>
          <w:lang w:val="en-US"/>
        </w:rPr>
        <w:t>Banks under Foundation IRB will have an incentive to concentrate losses on a small number of transactions or on “already default” ones. Banks under retail IRB/Advanced IRB will also have an impact on forward-looking LGDs estimates</w:t>
      </w:r>
      <w:r w:rsidR="007C53B1" w:rsidRPr="00410FB2">
        <w:rPr>
          <w:rFonts w:ascii="Apex New Book" w:hAnsi="Apex New Book"/>
          <w:sz w:val="24"/>
          <w:lang w:val="en-US"/>
        </w:rPr>
        <w:t>,</w:t>
      </w:r>
      <w:r w:rsidR="008912D7" w:rsidRPr="00410FB2">
        <w:rPr>
          <w:rFonts w:ascii="Apex New Book" w:hAnsi="Apex New Book"/>
          <w:sz w:val="24"/>
          <w:lang w:val="en-US"/>
        </w:rPr>
        <w:t xml:space="preserve"> and </w:t>
      </w:r>
      <w:r w:rsidR="007C53B1" w:rsidRPr="00410FB2">
        <w:rPr>
          <w:rFonts w:ascii="Apex New Book" w:hAnsi="Apex New Book"/>
          <w:sz w:val="24"/>
          <w:lang w:val="en-US"/>
        </w:rPr>
        <w:t xml:space="preserve">thus </w:t>
      </w:r>
      <w:r w:rsidR="008912D7" w:rsidRPr="00410FB2">
        <w:rPr>
          <w:rFonts w:ascii="Apex New Book" w:hAnsi="Apex New Book"/>
          <w:sz w:val="24"/>
          <w:lang w:val="en-US"/>
        </w:rPr>
        <w:t xml:space="preserve">incentives are less clear. Banks under Standardised-approach are most likely to be not biased </w:t>
      </w:r>
      <w:r w:rsidR="007C53B1" w:rsidRPr="00410FB2">
        <w:rPr>
          <w:rFonts w:ascii="Apex New Book" w:hAnsi="Apex New Book"/>
          <w:sz w:val="24"/>
          <w:lang w:val="en-US"/>
        </w:rPr>
        <w:t xml:space="preserve">in the definition of </w:t>
      </w:r>
      <w:r w:rsidR="008912D7" w:rsidRPr="00410FB2">
        <w:rPr>
          <w:rFonts w:ascii="Apex New Book" w:hAnsi="Apex New Book"/>
          <w:sz w:val="24"/>
          <w:lang w:val="en-US"/>
        </w:rPr>
        <w:t>the price-setting schemes.</w:t>
      </w:r>
      <w:r w:rsidR="00190B27">
        <w:rPr>
          <w:rFonts w:ascii="Apex New Book" w:hAnsi="Apex New Book"/>
          <w:sz w:val="24"/>
          <w:lang w:val="en-US"/>
        </w:rPr>
        <w:t xml:space="preserve"> We believe that homogeneity of application would be enhanced by introducing some </w:t>
      </w:r>
      <w:r w:rsidR="00190B27" w:rsidRPr="00410FB2">
        <w:rPr>
          <w:rFonts w:ascii="Apex New Book" w:hAnsi="Apex New Book"/>
          <w:sz w:val="24"/>
          <w:lang w:val="en-US"/>
        </w:rPr>
        <w:t>counterbalancing of incentives</w:t>
      </w:r>
      <w:r w:rsidR="00190B27">
        <w:rPr>
          <w:rFonts w:ascii="Apex New Book" w:hAnsi="Apex New Book"/>
          <w:sz w:val="24"/>
          <w:lang w:val="en-US"/>
        </w:rPr>
        <w:t xml:space="preserve"> extending rules to purchased credits and possibly by identifying a standard “price splitting” rule independently on the price-setting scheme </w:t>
      </w:r>
      <w:r w:rsidR="00B865CD">
        <w:rPr>
          <w:rFonts w:ascii="Apex New Book" w:hAnsi="Apex New Book"/>
          <w:sz w:val="24"/>
          <w:lang w:val="en-US"/>
        </w:rPr>
        <w:t>assuming proportionality of the price (and thus of the discount) to the net balance sheet value of each individual credit included in the transaction.</w:t>
      </w:r>
    </w:p>
    <w:p w14:paraId="72C579B4" w14:textId="77777777" w:rsidR="003A5934" w:rsidRDefault="003A5934" w:rsidP="00D51C12">
      <w:pPr>
        <w:jc w:val="both"/>
        <w:rPr>
          <w:rFonts w:ascii="Apex New Book" w:hAnsi="Apex New Book"/>
          <w:sz w:val="24"/>
          <w:lang w:val="en-US"/>
        </w:rPr>
      </w:pPr>
    </w:p>
    <w:p w14:paraId="0A46AD11" w14:textId="148A41DD" w:rsidR="00336EFA" w:rsidRDefault="00DB6C45" w:rsidP="00D51C12">
      <w:pPr>
        <w:jc w:val="both"/>
        <w:rPr>
          <w:rFonts w:ascii="Apex New Book" w:hAnsi="Apex New Book"/>
          <w:b/>
          <w:sz w:val="24"/>
          <w:lang w:val="en-US"/>
        </w:rPr>
      </w:pPr>
      <w:r>
        <w:rPr>
          <w:rFonts w:ascii="Apex New Book" w:hAnsi="Apex New Book"/>
          <w:sz w:val="24"/>
          <w:lang w:val="en-US"/>
        </w:rPr>
        <w:t>Furthermore, default classifica</w:t>
      </w:r>
      <w:r w:rsidR="00336EFA">
        <w:rPr>
          <w:rFonts w:ascii="Apex New Book" w:hAnsi="Apex New Book"/>
          <w:sz w:val="24"/>
          <w:lang w:val="en-US"/>
        </w:rPr>
        <w:t>tion impl</w:t>
      </w:r>
      <w:r w:rsidR="00056880">
        <w:rPr>
          <w:rFonts w:ascii="Apex New Book" w:hAnsi="Apex New Book"/>
          <w:sz w:val="24"/>
          <w:lang w:val="en-US"/>
        </w:rPr>
        <w:t>ies</w:t>
      </w:r>
      <w:r w:rsidR="00336EFA">
        <w:rPr>
          <w:rFonts w:ascii="Apex New Book" w:hAnsi="Apex New Book"/>
          <w:sz w:val="24"/>
          <w:lang w:val="en-US"/>
        </w:rPr>
        <w:t xml:space="preserve"> default propagation to unsold credit obligations to the same counterparty. This can be particularly tricky when default is triggered at overall sold portfolio level where not necessarily every transferred credit </w:t>
      </w:r>
      <w:r w:rsidR="00473C5B">
        <w:rPr>
          <w:rFonts w:ascii="Apex New Book" w:hAnsi="Apex New Book"/>
          <w:sz w:val="24"/>
          <w:lang w:val="en-US"/>
        </w:rPr>
        <w:t xml:space="preserve">would otherwise have been assessed as </w:t>
      </w:r>
      <w:r w:rsidR="00336EFA">
        <w:rPr>
          <w:rFonts w:ascii="Apex New Book" w:hAnsi="Apex New Book"/>
          <w:sz w:val="24"/>
          <w:lang w:val="en-US"/>
        </w:rPr>
        <w:t>“unlikely to pay”</w:t>
      </w:r>
      <w:r w:rsidR="00473C5B">
        <w:rPr>
          <w:rFonts w:ascii="Apex New Book" w:hAnsi="Apex New Book"/>
          <w:sz w:val="24"/>
          <w:lang w:val="en-US"/>
        </w:rPr>
        <w:t xml:space="preserve">. Propagation of default can be undue even in some circumstances where material loss is tested at the level of the individual credit: 1) where a “transaction-based” definition of default is applied for retail facilities, such automatic propagation to other sold or unsold obligations should be excluded; 2) where a “counterparty-based” definition of default applies, then propagation should take into consideration the materiality of sold credit </w:t>
      </w:r>
      <w:r w:rsidR="00473C5B">
        <w:rPr>
          <w:rFonts w:ascii="Apex New Book" w:hAnsi="Apex New Book"/>
          <w:sz w:val="24"/>
          <w:lang w:val="en-US"/>
        </w:rPr>
        <w:lastRenderedPageBreak/>
        <w:t>experiencing loss to the overall counterparty position including other obligation with no to little discount and unsold obligations.</w:t>
      </w:r>
    </w:p>
    <w:p w14:paraId="166A6A1C" w14:textId="77777777" w:rsidR="003A5934" w:rsidRPr="00410FB2" w:rsidRDefault="003A5934" w:rsidP="003A5934">
      <w:pPr>
        <w:ind w:left="360"/>
        <w:jc w:val="both"/>
        <w:rPr>
          <w:rFonts w:ascii="Apex New Book" w:hAnsi="Apex New Book"/>
          <w:sz w:val="24"/>
          <w:lang w:val="en-US"/>
        </w:rPr>
      </w:pPr>
    </w:p>
    <w:p w14:paraId="0B75682D" w14:textId="341B19B4" w:rsidR="003A5934" w:rsidRPr="00410FB2" w:rsidRDefault="003A5934" w:rsidP="00D51C12">
      <w:pPr>
        <w:jc w:val="both"/>
        <w:rPr>
          <w:rFonts w:ascii="Apex New Book" w:hAnsi="Apex New Book"/>
          <w:sz w:val="24"/>
          <w:lang w:val="en-US"/>
        </w:rPr>
      </w:pPr>
      <w:r w:rsidRPr="00410FB2">
        <w:rPr>
          <w:rFonts w:ascii="Apex New Book" w:hAnsi="Apex New Book"/>
          <w:sz w:val="24"/>
          <w:lang w:val="en-US"/>
        </w:rPr>
        <w:t xml:space="preserve">Since </w:t>
      </w:r>
      <w:r w:rsidR="00473C5B">
        <w:rPr>
          <w:rFonts w:ascii="Apex New Book" w:hAnsi="Apex New Book"/>
          <w:sz w:val="24"/>
          <w:lang w:val="en-US"/>
        </w:rPr>
        <w:t xml:space="preserve">proposed </w:t>
      </w:r>
      <w:r w:rsidRPr="00410FB2">
        <w:rPr>
          <w:rFonts w:ascii="Apex New Book" w:hAnsi="Apex New Book"/>
          <w:sz w:val="24"/>
          <w:lang w:val="en-US"/>
        </w:rPr>
        <w:t xml:space="preserve">objective rules </w:t>
      </w:r>
      <w:r w:rsidR="00473C5B">
        <w:rPr>
          <w:rFonts w:ascii="Apex New Book" w:hAnsi="Apex New Book"/>
          <w:sz w:val="24"/>
          <w:lang w:val="en-US"/>
        </w:rPr>
        <w:t xml:space="preserve">would </w:t>
      </w:r>
      <w:r w:rsidRPr="00410FB2">
        <w:rPr>
          <w:rFonts w:ascii="Apex New Book" w:hAnsi="Apex New Book"/>
          <w:sz w:val="24"/>
          <w:lang w:val="en-US"/>
        </w:rPr>
        <w:t>trigger the “unlikely-to-pay”</w:t>
      </w:r>
      <w:r w:rsidR="00473C5B">
        <w:rPr>
          <w:rFonts w:ascii="Apex New Book" w:hAnsi="Apex New Book"/>
          <w:sz w:val="24"/>
          <w:lang w:val="en-US"/>
        </w:rPr>
        <w:t xml:space="preserve"> classification</w:t>
      </w:r>
      <w:r w:rsidRPr="00410FB2">
        <w:rPr>
          <w:rFonts w:ascii="Apex New Book" w:hAnsi="Apex New Book"/>
          <w:sz w:val="24"/>
          <w:lang w:val="en-US"/>
        </w:rPr>
        <w:t>, we suggest that guidance as of article 37 should be revised in order to allow that for banks applying a “transaction-based” definition the loss test performed at specific-credit level triggers default on the specific credit</w:t>
      </w:r>
      <w:r w:rsidR="00473C5B">
        <w:rPr>
          <w:rFonts w:ascii="Apex New Book" w:hAnsi="Apex New Book"/>
          <w:sz w:val="24"/>
          <w:lang w:val="en-US"/>
        </w:rPr>
        <w:t>,</w:t>
      </w:r>
      <w:r w:rsidRPr="00410FB2">
        <w:rPr>
          <w:rFonts w:ascii="Apex New Book" w:hAnsi="Apex New Book"/>
          <w:sz w:val="24"/>
          <w:lang w:val="en-US"/>
        </w:rPr>
        <w:t xml:space="preserve"> unless general pulling triggers operationalized as of article 47 (h) apply.</w:t>
      </w:r>
    </w:p>
    <w:p w14:paraId="322A3C13" w14:textId="7358CCC4" w:rsidR="003A5934" w:rsidRPr="00410FB2" w:rsidRDefault="003A5934" w:rsidP="00D51C12">
      <w:pPr>
        <w:jc w:val="both"/>
        <w:rPr>
          <w:rFonts w:ascii="Apex New Book" w:hAnsi="Apex New Book"/>
          <w:sz w:val="24"/>
          <w:lang w:val="en-US"/>
        </w:rPr>
      </w:pPr>
      <w:r w:rsidRPr="00410FB2">
        <w:rPr>
          <w:rFonts w:ascii="Apex New Book" w:hAnsi="Apex New Book"/>
          <w:sz w:val="24"/>
          <w:lang w:val="en-US"/>
        </w:rPr>
        <w:t>Similarly, when the test is performed globally on all sold credits, under a “transaction-based” definition defaults shall be trigger</w:t>
      </w:r>
      <w:r w:rsidR="00E71A27">
        <w:rPr>
          <w:rFonts w:ascii="Apex New Book" w:hAnsi="Apex New Book"/>
          <w:sz w:val="24"/>
          <w:lang w:val="en-US"/>
        </w:rPr>
        <w:t>ed</w:t>
      </w:r>
      <w:r w:rsidRPr="00410FB2">
        <w:rPr>
          <w:rFonts w:ascii="Apex New Book" w:hAnsi="Apex New Book"/>
          <w:sz w:val="24"/>
          <w:lang w:val="en-US"/>
        </w:rPr>
        <w:t xml:space="preserve"> on sold credit facilities only</w:t>
      </w:r>
      <w:r w:rsidR="00E71A27">
        <w:rPr>
          <w:rFonts w:ascii="Apex New Book" w:hAnsi="Apex New Book"/>
          <w:sz w:val="24"/>
          <w:lang w:val="en-US"/>
        </w:rPr>
        <w:t xml:space="preserve">; </w:t>
      </w:r>
      <w:r w:rsidRPr="00410FB2">
        <w:rPr>
          <w:rFonts w:ascii="Apex New Book" w:hAnsi="Apex New Book"/>
          <w:sz w:val="24"/>
          <w:lang w:val="en-US"/>
        </w:rPr>
        <w:t>exten</w:t>
      </w:r>
      <w:r w:rsidR="00F00988">
        <w:rPr>
          <w:rFonts w:ascii="Apex New Book" w:hAnsi="Apex New Book"/>
          <w:sz w:val="24"/>
          <w:lang w:val="en-US"/>
        </w:rPr>
        <w:t>s</w:t>
      </w:r>
      <w:r w:rsidR="00473C5B">
        <w:rPr>
          <w:rFonts w:ascii="Apex New Book" w:hAnsi="Apex New Book"/>
          <w:sz w:val="24"/>
          <w:lang w:val="en-US"/>
        </w:rPr>
        <w:t>ions</w:t>
      </w:r>
      <w:r w:rsidRPr="00410FB2">
        <w:rPr>
          <w:rFonts w:ascii="Apex New Book" w:hAnsi="Apex New Book"/>
          <w:sz w:val="24"/>
          <w:lang w:val="en-US"/>
        </w:rPr>
        <w:t xml:space="preserve"> to unsold credits </w:t>
      </w:r>
      <w:r w:rsidR="00473C5B">
        <w:rPr>
          <w:rFonts w:ascii="Apex New Book" w:hAnsi="Apex New Book"/>
          <w:sz w:val="24"/>
          <w:lang w:val="en-US"/>
        </w:rPr>
        <w:t>should be regulated by potential “</w:t>
      </w:r>
      <w:r w:rsidRPr="00410FB2">
        <w:rPr>
          <w:rFonts w:ascii="Apex New Book" w:hAnsi="Apex New Book"/>
          <w:sz w:val="24"/>
          <w:lang w:val="en-US"/>
        </w:rPr>
        <w:t xml:space="preserve">pulling </w:t>
      </w:r>
      <w:r w:rsidR="00473C5B">
        <w:rPr>
          <w:rFonts w:ascii="Apex New Book" w:hAnsi="Apex New Book"/>
          <w:sz w:val="24"/>
          <w:lang w:val="en-US"/>
        </w:rPr>
        <w:t xml:space="preserve">effect” </w:t>
      </w:r>
      <w:r w:rsidRPr="00410FB2">
        <w:rPr>
          <w:rFonts w:ascii="Apex New Book" w:hAnsi="Apex New Book"/>
          <w:sz w:val="24"/>
          <w:lang w:val="en-US"/>
        </w:rPr>
        <w:t>triggers operationalized as of article 47 (h</w:t>
      </w:r>
      <w:r w:rsidR="00473C5B">
        <w:rPr>
          <w:rFonts w:ascii="Apex New Book" w:hAnsi="Apex New Book"/>
          <w:sz w:val="24"/>
          <w:lang w:val="en-US"/>
        </w:rPr>
        <w:t>)</w:t>
      </w:r>
      <w:r w:rsidRPr="00410FB2">
        <w:rPr>
          <w:rFonts w:ascii="Apex New Book" w:hAnsi="Apex New Book"/>
          <w:sz w:val="24"/>
          <w:lang w:val="en-US"/>
        </w:rPr>
        <w:t>.</w:t>
      </w:r>
    </w:p>
    <w:p w14:paraId="100A347D" w14:textId="30B4635B" w:rsidR="00190B27" w:rsidRDefault="00E71A27" w:rsidP="00D51C12">
      <w:pPr>
        <w:jc w:val="both"/>
        <w:rPr>
          <w:rFonts w:ascii="Apex New Book" w:hAnsi="Apex New Book"/>
          <w:sz w:val="24"/>
          <w:lang w:val="en-US"/>
        </w:rPr>
      </w:pPr>
      <w:r>
        <w:rPr>
          <w:rFonts w:ascii="Apex New Book" w:hAnsi="Apex New Book"/>
          <w:sz w:val="24"/>
          <w:lang w:val="en-US"/>
        </w:rPr>
        <w:t>Finally</w:t>
      </w:r>
      <w:r w:rsidR="00410FB2" w:rsidRPr="00410FB2">
        <w:rPr>
          <w:rFonts w:ascii="Apex New Book" w:hAnsi="Apex New Book"/>
          <w:sz w:val="24"/>
          <w:lang w:val="en-US"/>
        </w:rPr>
        <w:t>, when a “counterparty-wide” definition of default</w:t>
      </w:r>
      <w:r w:rsidR="00473C5B">
        <w:rPr>
          <w:rFonts w:ascii="Apex New Book" w:hAnsi="Apex New Book"/>
          <w:sz w:val="24"/>
          <w:lang w:val="en-US"/>
        </w:rPr>
        <w:t xml:space="preserve"> applies</w:t>
      </w:r>
      <w:r w:rsidR="00410FB2" w:rsidRPr="00410FB2">
        <w:rPr>
          <w:rFonts w:ascii="Apex New Book" w:hAnsi="Apex New Book"/>
          <w:sz w:val="24"/>
          <w:lang w:val="en-US"/>
        </w:rPr>
        <w:t>, as we earlier suggested, the test shall be performed rather considering jointly all sold obligations</w:t>
      </w:r>
      <w:r w:rsidR="00190B27">
        <w:rPr>
          <w:rFonts w:ascii="Apex New Book" w:hAnsi="Apex New Book"/>
          <w:sz w:val="24"/>
          <w:lang w:val="en-US"/>
        </w:rPr>
        <w:t xml:space="preserve"> and adjusted for materiality</w:t>
      </w:r>
      <w:r w:rsidR="00410FB2" w:rsidRPr="00410FB2">
        <w:rPr>
          <w:rFonts w:ascii="Apex New Book" w:hAnsi="Apex New Book"/>
          <w:sz w:val="24"/>
          <w:lang w:val="en-US"/>
        </w:rPr>
        <w:t xml:space="preserve">. </w:t>
      </w:r>
      <w:r w:rsidR="00190B27">
        <w:rPr>
          <w:rFonts w:ascii="Apex New Book" w:hAnsi="Apex New Book"/>
          <w:sz w:val="24"/>
          <w:lang w:val="en-US"/>
        </w:rPr>
        <w:t xml:space="preserve">For instance assuming that materiality is triggered when either obligations sold at material discount </w:t>
      </w:r>
      <w:r>
        <w:rPr>
          <w:rFonts w:ascii="Apex New Book" w:hAnsi="Apex New Book"/>
          <w:sz w:val="24"/>
          <w:lang w:val="en-US"/>
        </w:rPr>
        <w:t>are</w:t>
      </w:r>
      <w:r w:rsidR="00190B27">
        <w:rPr>
          <w:rFonts w:ascii="Apex New Book" w:hAnsi="Apex New Book"/>
          <w:sz w:val="24"/>
          <w:lang w:val="en-US"/>
        </w:rPr>
        <w:t xml:space="preserve"> over a certain percentage (20%) of the overall credit obligation or when the sum of the discounts exceeding the threshold of the loss test plus any past dues amounts on other </w:t>
      </w:r>
      <w:r>
        <w:rPr>
          <w:rFonts w:ascii="Apex New Book" w:hAnsi="Apex New Book"/>
          <w:sz w:val="24"/>
          <w:lang w:val="en-US"/>
        </w:rPr>
        <w:t>sold and unsold credits exceed</w:t>
      </w:r>
      <w:r w:rsidR="00190B27">
        <w:rPr>
          <w:rFonts w:ascii="Apex New Book" w:hAnsi="Apex New Book"/>
          <w:sz w:val="24"/>
          <w:lang w:val="en-US"/>
        </w:rPr>
        <w:t xml:space="preserve"> standard materiality thresholds for past dues.</w:t>
      </w:r>
    </w:p>
    <w:p w14:paraId="32F9D395" w14:textId="3E5510EE" w:rsidR="00190B27" w:rsidRDefault="00190B27" w:rsidP="00D51C12">
      <w:pPr>
        <w:jc w:val="both"/>
        <w:rPr>
          <w:rFonts w:ascii="Apex New Medium" w:hAnsi="Apex New Medium"/>
          <w:sz w:val="24"/>
          <w:lang w:val="en-US"/>
        </w:rPr>
      </w:pPr>
    </w:p>
    <w:p w14:paraId="5ECB3ADA" w14:textId="77777777" w:rsidR="006E3A85" w:rsidRPr="00410FB2" w:rsidRDefault="006E3A85" w:rsidP="006E3A85">
      <w:pPr>
        <w:rPr>
          <w:rFonts w:ascii="Apex New Book" w:hAnsi="Apex New Book"/>
          <w:b/>
          <w:sz w:val="24"/>
          <w:lang w:val="en-US"/>
        </w:rPr>
      </w:pPr>
      <w:r w:rsidRPr="00410FB2">
        <w:rPr>
          <w:rFonts w:ascii="Apex New Book" w:hAnsi="Apex New Book"/>
          <w:b/>
          <w:sz w:val="24"/>
          <w:lang w:val="en-US"/>
        </w:rPr>
        <w:t xml:space="preserve">Q5: </w:t>
      </w:r>
      <w:r w:rsidR="000A4C74" w:rsidRPr="00410FB2">
        <w:rPr>
          <w:rFonts w:ascii="Apex New Book" w:hAnsi="Apex New Book"/>
          <w:b/>
          <w:sz w:val="24"/>
          <w:lang w:val="en-US"/>
        </w:rPr>
        <w:t>Do you agree that expected cash flows before and after distressed restructuring should be discounted with the customer’s original effective rate of would you prefer to use the effective interest rate applicable at the moment before signing the restructuring arrangement? Do you consider the specification of the interest rate used for discounting of cash flows sufficiently clear?</w:t>
      </w:r>
    </w:p>
    <w:p w14:paraId="359DB7A1" w14:textId="77777777" w:rsidR="0043019D" w:rsidRPr="00410FB2" w:rsidRDefault="0043019D" w:rsidP="000A4C74">
      <w:pPr>
        <w:ind w:left="360"/>
        <w:jc w:val="both"/>
        <w:rPr>
          <w:rFonts w:ascii="Apex New Book" w:hAnsi="Apex New Book"/>
          <w:sz w:val="24"/>
          <w:lang w:val="en-US"/>
        </w:rPr>
      </w:pPr>
    </w:p>
    <w:p w14:paraId="7E9A6DAE" w14:textId="62498775" w:rsidR="00FD17D2" w:rsidRPr="00410FB2" w:rsidRDefault="00C72A23" w:rsidP="000A4C74">
      <w:pPr>
        <w:ind w:left="360"/>
        <w:jc w:val="both"/>
        <w:rPr>
          <w:rFonts w:ascii="Apex New Book" w:hAnsi="Apex New Book"/>
          <w:sz w:val="24"/>
          <w:lang w:val="en-US"/>
        </w:rPr>
      </w:pPr>
      <w:r w:rsidRPr="00410FB2">
        <w:rPr>
          <w:rFonts w:ascii="Apex New Book" w:hAnsi="Apex New Book"/>
          <w:sz w:val="24"/>
          <w:lang w:val="en-US"/>
        </w:rPr>
        <w:t xml:space="preserve">We would rather consider </w:t>
      </w:r>
      <w:r w:rsidR="002C5D1F" w:rsidRPr="00410FB2">
        <w:rPr>
          <w:rFonts w:ascii="Apex New Book" w:hAnsi="Apex New Book"/>
          <w:sz w:val="24"/>
          <w:lang w:val="en-US"/>
        </w:rPr>
        <w:t>effective interest rate applicable at the moment before signing the arrangement as economically more relevant</w:t>
      </w:r>
      <w:r w:rsidR="00B865CD">
        <w:rPr>
          <w:rFonts w:ascii="Apex New Book" w:hAnsi="Apex New Book"/>
          <w:sz w:val="24"/>
          <w:lang w:val="en-US"/>
        </w:rPr>
        <w:t xml:space="preserve"> expecially as</w:t>
      </w:r>
      <w:r w:rsidR="00710664" w:rsidRPr="00410FB2">
        <w:rPr>
          <w:rFonts w:ascii="Apex New Book" w:hAnsi="Apex New Book"/>
          <w:sz w:val="24"/>
          <w:lang w:val="en-US"/>
        </w:rPr>
        <w:t xml:space="preserve"> the level of threshold set </w:t>
      </w:r>
      <w:r w:rsidR="00B865CD">
        <w:rPr>
          <w:rFonts w:ascii="Apex New Book" w:hAnsi="Apex New Book"/>
          <w:sz w:val="24"/>
          <w:lang w:val="en-US"/>
        </w:rPr>
        <w:t xml:space="preserve">is rather low </w:t>
      </w:r>
      <w:r w:rsidR="00710664" w:rsidRPr="00410FB2">
        <w:rPr>
          <w:rFonts w:ascii="Apex New Book" w:hAnsi="Apex New Book"/>
          <w:sz w:val="24"/>
          <w:lang w:val="en-US"/>
        </w:rPr>
        <w:t>(1%)</w:t>
      </w:r>
      <w:r w:rsidR="00B865CD">
        <w:rPr>
          <w:rFonts w:ascii="Apex New Book" w:hAnsi="Apex New Book"/>
          <w:sz w:val="24"/>
          <w:lang w:val="en-US"/>
        </w:rPr>
        <w:t xml:space="preserve">. Were </w:t>
      </w:r>
      <w:r w:rsidR="00B865CD" w:rsidRPr="00B865CD">
        <w:rPr>
          <w:rFonts w:ascii="Apex New Book" w:hAnsi="Apex New Book"/>
          <w:sz w:val="24"/>
          <w:lang w:val="en-US"/>
        </w:rPr>
        <w:t>the customer’s original effective rate</w:t>
      </w:r>
      <w:r w:rsidR="00B865CD">
        <w:rPr>
          <w:rFonts w:ascii="Apex New Book" w:hAnsi="Apex New Book"/>
          <w:sz w:val="24"/>
          <w:lang w:val="en-US"/>
        </w:rPr>
        <w:t xml:space="preserve"> we would suggest a material revision of the threshold set (for instance, 5%).</w:t>
      </w:r>
    </w:p>
    <w:p w14:paraId="056EB662" w14:textId="77777777" w:rsidR="002C5D1F" w:rsidRPr="00410FB2" w:rsidRDefault="002C5D1F" w:rsidP="00432094">
      <w:pPr>
        <w:jc w:val="both"/>
        <w:rPr>
          <w:rFonts w:ascii="Apex New Book" w:hAnsi="Apex New Book"/>
          <w:sz w:val="24"/>
          <w:lang w:val="en-US"/>
        </w:rPr>
      </w:pPr>
    </w:p>
    <w:p w14:paraId="03577EFC" w14:textId="77777777" w:rsidR="00432094" w:rsidRPr="00410FB2" w:rsidRDefault="00432094" w:rsidP="00432094">
      <w:pPr>
        <w:rPr>
          <w:rFonts w:ascii="Apex New Book" w:hAnsi="Apex New Book"/>
          <w:b/>
          <w:sz w:val="24"/>
          <w:lang w:val="en-US"/>
        </w:rPr>
      </w:pPr>
      <w:r w:rsidRPr="00410FB2">
        <w:rPr>
          <w:rFonts w:ascii="Apex New Book" w:hAnsi="Apex New Book"/>
          <w:b/>
          <w:sz w:val="24"/>
          <w:lang w:val="en-US"/>
        </w:rPr>
        <w:t>Q6: Do you agree that the purchase or origination of a financial asset at a material discount should be treated as an indication of unlikely to pay?</w:t>
      </w:r>
    </w:p>
    <w:p w14:paraId="4EAF318F" w14:textId="77777777" w:rsidR="0077549A" w:rsidRPr="00410FB2" w:rsidRDefault="0077549A" w:rsidP="006E3A85">
      <w:pPr>
        <w:rPr>
          <w:rFonts w:ascii="Apex New Book" w:hAnsi="Apex New Book"/>
          <w:b/>
          <w:sz w:val="24"/>
          <w:lang w:val="en-US"/>
        </w:rPr>
      </w:pPr>
    </w:p>
    <w:p w14:paraId="320D14A4" w14:textId="24C960EA" w:rsidR="00432094" w:rsidRDefault="00432094" w:rsidP="00D51C12">
      <w:pPr>
        <w:jc w:val="both"/>
        <w:rPr>
          <w:rFonts w:ascii="Apex New Book" w:hAnsi="Apex New Book"/>
          <w:sz w:val="24"/>
          <w:lang w:val="en-US"/>
        </w:rPr>
      </w:pPr>
      <w:r w:rsidRPr="00410FB2">
        <w:rPr>
          <w:rFonts w:ascii="Apex New Book" w:hAnsi="Apex New Book"/>
          <w:sz w:val="24"/>
          <w:lang w:val="en-US"/>
        </w:rPr>
        <w:t xml:space="preserve">As we commented on Question 4, we support </w:t>
      </w:r>
      <w:r w:rsidR="00B865CD">
        <w:rPr>
          <w:rFonts w:ascii="Apex New Book" w:hAnsi="Apex New Book"/>
          <w:sz w:val="24"/>
          <w:lang w:val="en-US"/>
        </w:rPr>
        <w:t>a symmetric treatment of sold and purchased credits</w:t>
      </w:r>
      <w:r w:rsidR="001C35DC">
        <w:rPr>
          <w:rFonts w:ascii="Apex New Book" w:hAnsi="Apex New Book"/>
          <w:sz w:val="24"/>
          <w:lang w:val="en-US"/>
        </w:rPr>
        <w:t>.</w:t>
      </w:r>
      <w:r w:rsidRPr="00410FB2">
        <w:rPr>
          <w:rFonts w:ascii="Apex New Book" w:hAnsi="Apex New Book"/>
          <w:sz w:val="24"/>
          <w:lang w:val="en-US"/>
        </w:rPr>
        <w:t xml:space="preserve"> </w:t>
      </w:r>
      <w:r w:rsidR="00912B4A" w:rsidRPr="00410FB2">
        <w:rPr>
          <w:rFonts w:ascii="Apex New Book" w:hAnsi="Apex New Book"/>
          <w:sz w:val="24"/>
          <w:lang w:val="en-US"/>
        </w:rPr>
        <w:t>A default shouldn’t be discountinued with credit transfer operations unless the credit worthiness of the counterparty is restored.</w:t>
      </w:r>
    </w:p>
    <w:p w14:paraId="0DB4F085" w14:textId="77777777" w:rsidR="00F00988" w:rsidRDefault="00F00988" w:rsidP="00D51C12">
      <w:pPr>
        <w:jc w:val="both"/>
        <w:rPr>
          <w:rFonts w:ascii="Apex New Book" w:hAnsi="Apex New Book"/>
          <w:sz w:val="24"/>
          <w:lang w:val="en-US"/>
        </w:rPr>
      </w:pPr>
    </w:p>
    <w:p w14:paraId="6639C3C6" w14:textId="02EC0410" w:rsidR="001C35DC" w:rsidRDefault="00B865CD" w:rsidP="001C35DC">
      <w:pPr>
        <w:ind w:left="360"/>
        <w:rPr>
          <w:rFonts w:ascii="Apex New Book" w:hAnsi="Apex New Book"/>
          <w:sz w:val="24"/>
          <w:lang w:val="en-US"/>
        </w:rPr>
      </w:pPr>
      <w:r w:rsidRPr="00747287">
        <w:rPr>
          <w:rFonts w:ascii="Apex New Book" w:hAnsi="Apex New Book"/>
          <w:sz w:val="24"/>
          <w:lang w:val="en-US"/>
        </w:rPr>
        <w:lastRenderedPageBreak/>
        <w:t xml:space="preserve">As we acknowledge </w:t>
      </w:r>
      <w:r>
        <w:rPr>
          <w:rFonts w:ascii="Apex New Book" w:hAnsi="Apex New Book"/>
          <w:sz w:val="24"/>
          <w:lang w:val="en-US"/>
        </w:rPr>
        <w:t>and commented earlier from the sell side perspective</w:t>
      </w:r>
      <w:r w:rsidR="001C35DC">
        <w:rPr>
          <w:rFonts w:ascii="Apex New Book" w:hAnsi="Apex New Book"/>
          <w:sz w:val="24"/>
          <w:lang w:val="en-US"/>
        </w:rPr>
        <w:t xml:space="preserve">, </w:t>
      </w:r>
      <w:r w:rsidRPr="00747287">
        <w:rPr>
          <w:rFonts w:ascii="Apex New Book" w:hAnsi="Apex New Book"/>
          <w:sz w:val="24"/>
          <w:lang w:val="en-US"/>
        </w:rPr>
        <w:t>objective ruling in this area is not straightforward</w:t>
      </w:r>
      <w:r w:rsidR="001C35DC">
        <w:rPr>
          <w:rFonts w:ascii="Apex New Book" w:hAnsi="Apex New Book"/>
          <w:sz w:val="24"/>
          <w:lang w:val="en-US"/>
        </w:rPr>
        <w:t>. W</w:t>
      </w:r>
      <w:r w:rsidRPr="00747287">
        <w:rPr>
          <w:rFonts w:ascii="Apex New Book" w:hAnsi="Apex New Book"/>
          <w:sz w:val="24"/>
          <w:lang w:val="en-US"/>
        </w:rPr>
        <w:t xml:space="preserve">e </w:t>
      </w:r>
      <w:r w:rsidR="001C35DC">
        <w:rPr>
          <w:rFonts w:ascii="Apex New Book" w:hAnsi="Apex New Book"/>
          <w:sz w:val="24"/>
          <w:lang w:val="en-US"/>
        </w:rPr>
        <w:t>thus support to restore symmetry by rather requiring internal operationalization as of article 47 for sold credit as well. Were EBA confirming the adoption of objective triggers for sold credit , possibly modified in order to limit shortcomings, similar ruling might be adopted for purchased credits as well.</w:t>
      </w:r>
    </w:p>
    <w:p w14:paraId="3ADD9B50" w14:textId="77777777" w:rsidR="00912B4A" w:rsidRPr="00410FB2" w:rsidRDefault="00912B4A" w:rsidP="00912B4A">
      <w:pPr>
        <w:jc w:val="both"/>
        <w:rPr>
          <w:rFonts w:ascii="Apex New Book" w:hAnsi="Apex New Book"/>
          <w:sz w:val="24"/>
          <w:lang w:val="en-US"/>
        </w:rPr>
      </w:pPr>
    </w:p>
    <w:p w14:paraId="629C2DB1" w14:textId="77777777" w:rsidR="00912B4A" w:rsidRPr="00410FB2" w:rsidRDefault="00912B4A" w:rsidP="00912B4A">
      <w:pPr>
        <w:jc w:val="both"/>
        <w:rPr>
          <w:rFonts w:ascii="Apex New Book" w:hAnsi="Apex New Book"/>
          <w:b/>
          <w:sz w:val="24"/>
          <w:lang w:val="en-US"/>
        </w:rPr>
      </w:pPr>
      <w:r w:rsidRPr="00410FB2">
        <w:rPr>
          <w:rFonts w:ascii="Apex New Book" w:hAnsi="Apex New Book"/>
          <w:b/>
          <w:sz w:val="24"/>
          <w:lang w:val="en-US"/>
        </w:rPr>
        <w:t>Q7: What probation periods before the return from default to non-defaulted status would you consider appropriate for different exposure classes and for distressed restructuring and all other indications of default?</w:t>
      </w:r>
    </w:p>
    <w:p w14:paraId="66079276" w14:textId="434B5B2A" w:rsidR="006F1B35" w:rsidRDefault="00912B4A" w:rsidP="00102B8D">
      <w:pPr>
        <w:ind w:left="360"/>
        <w:jc w:val="both"/>
        <w:rPr>
          <w:rFonts w:ascii="Apex New Book" w:hAnsi="Apex New Book"/>
          <w:sz w:val="24"/>
          <w:lang w:val="en-US"/>
        </w:rPr>
      </w:pPr>
      <w:r w:rsidRPr="00410FB2">
        <w:rPr>
          <w:rFonts w:ascii="Apex New Book" w:hAnsi="Apex New Book"/>
          <w:sz w:val="24"/>
          <w:lang w:val="en-US"/>
        </w:rPr>
        <w:t xml:space="preserve">We agree that a </w:t>
      </w:r>
      <w:r w:rsidR="0043019D" w:rsidRPr="00410FB2">
        <w:rPr>
          <w:rFonts w:ascii="Apex New Book" w:hAnsi="Apex New Book"/>
          <w:sz w:val="24"/>
          <w:lang w:val="en-US"/>
        </w:rPr>
        <w:t>p</w:t>
      </w:r>
      <w:r w:rsidRPr="00410FB2">
        <w:rPr>
          <w:rFonts w:ascii="Apex New Book" w:hAnsi="Apex New Book"/>
          <w:sz w:val="24"/>
          <w:lang w:val="en-US"/>
        </w:rPr>
        <w:t>robation period shall be set in order to avoid multiple defaults. We think that proposed thresholds for distressed restr</w:t>
      </w:r>
      <w:r w:rsidR="004E62EE" w:rsidRPr="00410FB2">
        <w:rPr>
          <w:rFonts w:ascii="Apex New Book" w:hAnsi="Apex New Book"/>
          <w:sz w:val="24"/>
          <w:lang w:val="en-US"/>
        </w:rPr>
        <w:t>u</w:t>
      </w:r>
      <w:r w:rsidRPr="00410FB2">
        <w:rPr>
          <w:rFonts w:ascii="Apex New Book" w:hAnsi="Apex New Book"/>
          <w:sz w:val="24"/>
          <w:lang w:val="en-US"/>
        </w:rPr>
        <w:t>cting and for other defaults</w:t>
      </w:r>
      <w:r w:rsidR="0016188F" w:rsidRPr="00410FB2">
        <w:rPr>
          <w:rFonts w:ascii="Apex New Book" w:hAnsi="Apex New Book"/>
          <w:sz w:val="24"/>
          <w:lang w:val="en-US"/>
        </w:rPr>
        <w:t xml:space="preserve"> are appropriate in most </w:t>
      </w:r>
      <w:r w:rsidR="001C35DC">
        <w:rPr>
          <w:rFonts w:ascii="Apex New Book" w:hAnsi="Apex New Book"/>
          <w:sz w:val="24"/>
          <w:lang w:val="en-US"/>
        </w:rPr>
        <w:t xml:space="preserve">but not </w:t>
      </w:r>
      <w:r w:rsidR="006F1B35">
        <w:rPr>
          <w:rFonts w:ascii="Apex New Book" w:hAnsi="Apex New Book"/>
          <w:sz w:val="24"/>
          <w:lang w:val="en-US"/>
        </w:rPr>
        <w:t>every</w:t>
      </w:r>
      <w:r w:rsidR="001C35DC">
        <w:rPr>
          <w:rFonts w:ascii="Apex New Book" w:hAnsi="Apex New Book"/>
          <w:sz w:val="24"/>
          <w:lang w:val="en-US"/>
        </w:rPr>
        <w:t xml:space="preserve"> </w:t>
      </w:r>
      <w:r w:rsidR="0016188F" w:rsidRPr="00410FB2">
        <w:rPr>
          <w:rFonts w:ascii="Apex New Book" w:hAnsi="Apex New Book"/>
          <w:sz w:val="24"/>
          <w:lang w:val="en-US"/>
        </w:rPr>
        <w:t>case.</w:t>
      </w:r>
      <w:r w:rsidR="006F1B35">
        <w:rPr>
          <w:rFonts w:ascii="Apex New Book" w:hAnsi="Apex New Book"/>
          <w:sz w:val="24"/>
          <w:lang w:val="en-US"/>
        </w:rPr>
        <w:t xml:space="preserve"> Among such </w:t>
      </w:r>
      <w:r w:rsidR="003A508B">
        <w:rPr>
          <w:rFonts w:ascii="Apex New Book" w:hAnsi="Apex New Book"/>
          <w:sz w:val="24"/>
          <w:lang w:val="en-US"/>
        </w:rPr>
        <w:t>cases</w:t>
      </w:r>
      <w:r w:rsidR="006F1B35">
        <w:rPr>
          <w:rFonts w:ascii="Apex New Book" w:hAnsi="Apex New Book"/>
          <w:sz w:val="24"/>
          <w:lang w:val="en-US"/>
        </w:rPr>
        <w:t>, we think that since</w:t>
      </w:r>
      <w:r w:rsidR="006F1B35" w:rsidRPr="00410FB2">
        <w:rPr>
          <w:rFonts w:ascii="Apex New Book" w:hAnsi="Apex New Book"/>
          <w:sz w:val="24"/>
          <w:lang w:val="en-US"/>
        </w:rPr>
        <w:t xml:space="preserve"> materiality thresholds as of EBA CP 2014/32 may </w:t>
      </w:r>
      <w:r w:rsidR="006F1B35">
        <w:rPr>
          <w:rFonts w:ascii="Apex New Book" w:hAnsi="Apex New Book"/>
          <w:sz w:val="24"/>
          <w:lang w:val="en-US"/>
        </w:rPr>
        <w:t xml:space="preserve">still </w:t>
      </w:r>
      <w:r w:rsidR="006F1B35" w:rsidRPr="00410FB2">
        <w:rPr>
          <w:rFonts w:ascii="Apex New Book" w:hAnsi="Apex New Book"/>
          <w:sz w:val="24"/>
          <w:lang w:val="en-US"/>
        </w:rPr>
        <w:t xml:space="preserve">intercept situations </w:t>
      </w:r>
      <w:r w:rsidR="006F1B35">
        <w:rPr>
          <w:rFonts w:ascii="Apex New Book" w:hAnsi="Apex New Book"/>
          <w:sz w:val="24"/>
          <w:lang w:val="en-US"/>
        </w:rPr>
        <w:t>of zero-loss defaults</w:t>
      </w:r>
      <w:r w:rsidR="006F1B35" w:rsidRPr="00410FB2">
        <w:rPr>
          <w:rFonts w:ascii="Apex New Book" w:hAnsi="Apex New Book"/>
          <w:sz w:val="24"/>
          <w:lang w:val="en-US"/>
        </w:rPr>
        <w:t xml:space="preserve">, </w:t>
      </w:r>
      <w:r w:rsidR="006F1B35">
        <w:rPr>
          <w:rFonts w:ascii="Apex New Book" w:hAnsi="Apex New Book"/>
          <w:sz w:val="24"/>
          <w:lang w:val="en-US"/>
        </w:rPr>
        <w:t>then were default triggered by past due only a lower probation period</w:t>
      </w:r>
      <w:r w:rsidR="003A508B">
        <w:rPr>
          <w:rFonts w:ascii="Apex New Book" w:hAnsi="Apex New Book"/>
          <w:sz w:val="24"/>
          <w:lang w:val="en-US"/>
        </w:rPr>
        <w:t>,</w:t>
      </w:r>
      <w:r w:rsidR="006F1B35">
        <w:rPr>
          <w:rFonts w:ascii="Apex New Book" w:hAnsi="Apex New Book"/>
          <w:sz w:val="24"/>
          <w:lang w:val="en-US"/>
        </w:rPr>
        <w:t xml:space="preserve"> </w:t>
      </w:r>
      <w:r w:rsidR="003A508B">
        <w:rPr>
          <w:rFonts w:ascii="Apex New Book" w:hAnsi="Apex New Book"/>
          <w:sz w:val="24"/>
          <w:lang w:val="en-US"/>
        </w:rPr>
        <w:t>if any, should be allowed were past dues amounts fully repaid</w:t>
      </w:r>
      <w:r w:rsidR="006F1B35" w:rsidRPr="00410FB2">
        <w:rPr>
          <w:rFonts w:ascii="Apex New Book" w:hAnsi="Apex New Book"/>
          <w:sz w:val="24"/>
          <w:lang w:val="en-US"/>
        </w:rPr>
        <w:t>.</w:t>
      </w:r>
    </w:p>
    <w:p w14:paraId="714F7C04" w14:textId="77777777" w:rsidR="006E3A85" w:rsidRPr="00410FB2" w:rsidRDefault="006E3A85" w:rsidP="003F76FA">
      <w:pPr>
        <w:rPr>
          <w:rFonts w:ascii="Apex New Book" w:hAnsi="Apex New Book"/>
          <w:lang w:val="en-US"/>
        </w:rPr>
      </w:pPr>
    </w:p>
    <w:p w14:paraId="1155921A" w14:textId="77777777" w:rsidR="00102B8D" w:rsidRPr="00410FB2" w:rsidRDefault="00102B8D" w:rsidP="00102B8D">
      <w:pPr>
        <w:jc w:val="both"/>
        <w:rPr>
          <w:rFonts w:ascii="Apex New Book" w:hAnsi="Apex New Book"/>
          <w:b/>
          <w:sz w:val="24"/>
          <w:lang w:val="en-US"/>
        </w:rPr>
      </w:pPr>
      <w:r w:rsidRPr="00410FB2">
        <w:rPr>
          <w:rFonts w:ascii="Apex New Book" w:hAnsi="Apex New Book"/>
          <w:b/>
          <w:sz w:val="24"/>
          <w:lang w:val="en-US"/>
        </w:rPr>
        <w:t>Q8: Do you agree with the proposed approach as regards the level of application of the definition of default for retail exposures?</w:t>
      </w:r>
    </w:p>
    <w:p w14:paraId="1AD2B19C" w14:textId="77777777" w:rsidR="00102B8D" w:rsidRPr="00410FB2" w:rsidRDefault="00102B8D" w:rsidP="00102B8D">
      <w:pPr>
        <w:jc w:val="both"/>
        <w:rPr>
          <w:rFonts w:ascii="Apex New Book" w:hAnsi="Apex New Book"/>
          <w:b/>
          <w:sz w:val="24"/>
          <w:lang w:val="en-US"/>
        </w:rPr>
      </w:pPr>
    </w:p>
    <w:p w14:paraId="1FF47010" w14:textId="77777777" w:rsidR="006A35A9" w:rsidRPr="00410FB2" w:rsidRDefault="006A35A9" w:rsidP="00102B8D">
      <w:pPr>
        <w:ind w:left="360"/>
        <w:jc w:val="both"/>
        <w:rPr>
          <w:rFonts w:ascii="Apex New Book" w:hAnsi="Apex New Book"/>
          <w:sz w:val="24"/>
          <w:lang w:val="en-US"/>
        </w:rPr>
      </w:pPr>
      <w:r w:rsidRPr="00410FB2">
        <w:rPr>
          <w:rFonts w:ascii="Apex New Book" w:hAnsi="Apex New Book"/>
          <w:sz w:val="24"/>
          <w:lang w:val="en-US"/>
        </w:rPr>
        <w:t>As we fully agree that some unlikely to pay indicators are inherently obligor-wide and that cases of propagation of default to the obligor shall be ruled as of article 47 (h), we partially agree with the proposed level of applicatio</w:t>
      </w:r>
      <w:r w:rsidR="00EC75AB" w:rsidRPr="00410FB2">
        <w:rPr>
          <w:rFonts w:ascii="Apex New Book" w:hAnsi="Apex New Book"/>
          <w:sz w:val="24"/>
          <w:lang w:val="en-US"/>
        </w:rPr>
        <w:t>n of the definition of defa</w:t>
      </w:r>
      <w:r w:rsidR="004775CF" w:rsidRPr="00410FB2">
        <w:rPr>
          <w:rFonts w:ascii="Apex New Book" w:hAnsi="Apex New Book"/>
          <w:sz w:val="24"/>
          <w:lang w:val="en-US"/>
        </w:rPr>
        <w:t>ult since we would have rather preferred a greater flexibility (ref. option c. of paragraph 5.1.D.a of CP).</w:t>
      </w:r>
    </w:p>
    <w:p w14:paraId="0D6F87D3" w14:textId="77777777" w:rsidR="00F00988" w:rsidRDefault="00F00988" w:rsidP="00102B8D">
      <w:pPr>
        <w:ind w:left="360"/>
        <w:jc w:val="both"/>
        <w:rPr>
          <w:rFonts w:ascii="Apex New Book" w:hAnsi="Apex New Book"/>
          <w:sz w:val="24"/>
          <w:lang w:val="en-US"/>
        </w:rPr>
      </w:pPr>
    </w:p>
    <w:p w14:paraId="7F7BC6BD" w14:textId="6C2816B1" w:rsidR="00102B8D" w:rsidRPr="00410FB2" w:rsidRDefault="00386965" w:rsidP="00102B8D">
      <w:pPr>
        <w:ind w:left="360"/>
        <w:jc w:val="both"/>
        <w:rPr>
          <w:rFonts w:ascii="Apex New Book" w:hAnsi="Apex New Book"/>
          <w:sz w:val="24"/>
          <w:lang w:val="en-US"/>
        </w:rPr>
      </w:pPr>
      <w:r w:rsidRPr="00410FB2">
        <w:rPr>
          <w:rFonts w:ascii="Apex New Book" w:hAnsi="Apex New Book"/>
          <w:sz w:val="24"/>
          <w:lang w:val="en-US"/>
        </w:rPr>
        <w:t>We acknowledge CRR provisions might have admitted a much stricter interpretation of “obligor vs facility” option, assuming it was consistently spread across the institution without taking into consideration any specificity. We appreciate this guidance will allow a great</w:t>
      </w:r>
      <w:r w:rsidR="003A508B">
        <w:rPr>
          <w:rFonts w:ascii="Apex New Book" w:hAnsi="Apex New Book"/>
          <w:sz w:val="24"/>
          <w:lang w:val="en-US"/>
        </w:rPr>
        <w:t xml:space="preserve">er </w:t>
      </w:r>
      <w:r w:rsidRPr="00410FB2">
        <w:rPr>
          <w:rFonts w:ascii="Apex New Book" w:hAnsi="Apex New Book"/>
          <w:sz w:val="24"/>
          <w:lang w:val="en-US"/>
        </w:rPr>
        <w:t xml:space="preserve">flexibility allowing mixed-schemes particularly valuable </w:t>
      </w:r>
      <w:r w:rsidR="0043019D" w:rsidRPr="00410FB2">
        <w:rPr>
          <w:rFonts w:ascii="Apex New Book" w:hAnsi="Apex New Book"/>
          <w:sz w:val="24"/>
          <w:lang w:val="en-US"/>
        </w:rPr>
        <w:t xml:space="preserve">for </w:t>
      </w:r>
      <w:r w:rsidRPr="00410FB2">
        <w:rPr>
          <w:rFonts w:ascii="Apex New Book" w:hAnsi="Apex New Book"/>
          <w:sz w:val="24"/>
          <w:lang w:val="en-US"/>
        </w:rPr>
        <w:t>more complex institutions.</w:t>
      </w:r>
    </w:p>
    <w:p w14:paraId="4A8431F4" w14:textId="77777777" w:rsidR="00E9234D" w:rsidRPr="00410FB2" w:rsidRDefault="00386965" w:rsidP="00102B8D">
      <w:pPr>
        <w:ind w:left="360"/>
        <w:jc w:val="both"/>
        <w:rPr>
          <w:rFonts w:ascii="Apex New Book" w:hAnsi="Apex New Book"/>
          <w:sz w:val="24"/>
          <w:lang w:val="en-US"/>
        </w:rPr>
      </w:pPr>
      <w:r w:rsidRPr="00410FB2">
        <w:rPr>
          <w:rFonts w:ascii="Apex New Book" w:hAnsi="Apex New Book"/>
          <w:sz w:val="24"/>
          <w:lang w:val="en-US"/>
        </w:rPr>
        <w:t>We do not fully agree that this flexibility find</w:t>
      </w:r>
      <w:r w:rsidR="009027B5" w:rsidRPr="00410FB2">
        <w:rPr>
          <w:rFonts w:ascii="Apex New Book" w:hAnsi="Apex New Book"/>
          <w:sz w:val="24"/>
          <w:lang w:val="en-US"/>
        </w:rPr>
        <w:t>s</w:t>
      </w:r>
      <w:r w:rsidRPr="00410FB2">
        <w:rPr>
          <w:rFonts w:ascii="Apex New Book" w:hAnsi="Apex New Book"/>
          <w:sz w:val="24"/>
          <w:lang w:val="en-US"/>
        </w:rPr>
        <w:t xml:space="preserve"> a limit in the last proposition of article 74 where it refers to the fact that “there is evidence that the number of situations where the same clients are subject to different definitions of default at different levels of application is kept to a strict minimum”.</w:t>
      </w:r>
      <w:r w:rsidR="009027B5" w:rsidRPr="00410FB2">
        <w:rPr>
          <w:rFonts w:ascii="Apex New Book" w:hAnsi="Apex New Book"/>
          <w:sz w:val="24"/>
          <w:lang w:val="en-US"/>
        </w:rPr>
        <w:t xml:space="preserve"> </w:t>
      </w:r>
      <w:r w:rsidR="00EC75AB" w:rsidRPr="00410FB2">
        <w:rPr>
          <w:rFonts w:ascii="Apex New Book" w:hAnsi="Apex New Book"/>
          <w:sz w:val="24"/>
          <w:lang w:val="en-US"/>
        </w:rPr>
        <w:t>The reason for this</w:t>
      </w:r>
      <w:r w:rsidR="00E9234D" w:rsidRPr="00410FB2">
        <w:rPr>
          <w:rFonts w:ascii="Apex New Book" w:hAnsi="Apex New Book"/>
          <w:sz w:val="24"/>
          <w:lang w:val="en-US"/>
        </w:rPr>
        <w:t xml:space="preserve"> is that we would consider valuable, in a context where the definition is facility-specific, that some interrelated facilities </w:t>
      </w:r>
      <w:r w:rsidR="009027B5" w:rsidRPr="00410FB2">
        <w:rPr>
          <w:rFonts w:ascii="Apex New Book" w:hAnsi="Apex New Book"/>
          <w:sz w:val="24"/>
          <w:lang w:val="en-US"/>
        </w:rPr>
        <w:t xml:space="preserve">could </w:t>
      </w:r>
      <w:r w:rsidR="00E9234D" w:rsidRPr="00410FB2">
        <w:rPr>
          <w:rFonts w:ascii="Apex New Book" w:hAnsi="Apex New Book"/>
          <w:sz w:val="24"/>
          <w:lang w:val="en-US"/>
        </w:rPr>
        <w:t>be cons</w:t>
      </w:r>
      <w:r w:rsidRPr="00410FB2">
        <w:rPr>
          <w:rFonts w:ascii="Apex New Book" w:hAnsi="Apex New Book"/>
          <w:sz w:val="24"/>
          <w:lang w:val="en-US"/>
        </w:rPr>
        <w:t xml:space="preserve">idered on a comprehensive </w:t>
      </w:r>
      <w:r w:rsidR="002537D1" w:rsidRPr="00410FB2">
        <w:rPr>
          <w:rFonts w:ascii="Apex New Book" w:hAnsi="Apex New Book"/>
          <w:sz w:val="24"/>
          <w:lang w:val="en-US"/>
        </w:rPr>
        <w:t>basis.</w:t>
      </w:r>
    </w:p>
    <w:p w14:paraId="4C7D29B1" w14:textId="77777777" w:rsidR="002537D1" w:rsidRPr="00410FB2" w:rsidRDefault="002537D1" w:rsidP="00102B8D">
      <w:pPr>
        <w:ind w:left="360"/>
        <w:jc w:val="both"/>
        <w:rPr>
          <w:rFonts w:ascii="Apex New Book" w:hAnsi="Apex New Book"/>
          <w:sz w:val="24"/>
          <w:lang w:val="en-US"/>
        </w:rPr>
      </w:pPr>
    </w:p>
    <w:p w14:paraId="78B55326" w14:textId="58FB7E95" w:rsidR="00E9234D" w:rsidRPr="00410FB2" w:rsidRDefault="004E4DAF" w:rsidP="00102B8D">
      <w:pPr>
        <w:ind w:left="360"/>
        <w:jc w:val="both"/>
        <w:rPr>
          <w:rFonts w:ascii="Apex New Book" w:hAnsi="Apex New Book"/>
          <w:sz w:val="24"/>
          <w:lang w:val="en-US"/>
        </w:rPr>
      </w:pPr>
      <w:r w:rsidRPr="00410FB2">
        <w:rPr>
          <w:rFonts w:ascii="Apex New Book" w:hAnsi="Apex New Book"/>
          <w:sz w:val="24"/>
          <w:lang w:val="en-US"/>
        </w:rPr>
        <w:lastRenderedPageBreak/>
        <w:t>Retail businesses in some jurisdictions are often financed through credit lines that may be used as overdrafts supp</w:t>
      </w:r>
      <w:r w:rsidR="002537D1" w:rsidRPr="00410FB2">
        <w:rPr>
          <w:rFonts w:ascii="Apex New Book" w:hAnsi="Apex New Book"/>
          <w:sz w:val="24"/>
          <w:lang w:val="en-US"/>
        </w:rPr>
        <w:t>orted by advances on notes. These different</w:t>
      </w:r>
      <w:r w:rsidRPr="00410FB2">
        <w:rPr>
          <w:rFonts w:ascii="Apex New Book" w:hAnsi="Apex New Book"/>
          <w:sz w:val="24"/>
          <w:lang w:val="en-US"/>
        </w:rPr>
        <w:t xml:space="preserve"> </w:t>
      </w:r>
      <w:r w:rsidR="002537D1" w:rsidRPr="00410FB2">
        <w:rPr>
          <w:rFonts w:ascii="Apex New Book" w:hAnsi="Apex New Book"/>
          <w:sz w:val="24"/>
          <w:lang w:val="en-US"/>
        </w:rPr>
        <w:t>facilities</w:t>
      </w:r>
      <w:r w:rsidRPr="00410FB2">
        <w:rPr>
          <w:rFonts w:ascii="Apex New Book" w:hAnsi="Apex New Book"/>
          <w:sz w:val="24"/>
          <w:lang w:val="en-US"/>
        </w:rPr>
        <w:t xml:space="preserve"> </w:t>
      </w:r>
      <w:r w:rsidR="002537D1" w:rsidRPr="00410FB2">
        <w:rPr>
          <w:rFonts w:ascii="Apex New Book" w:hAnsi="Apex New Book"/>
          <w:sz w:val="24"/>
          <w:lang w:val="en-US"/>
        </w:rPr>
        <w:t xml:space="preserve">belong to the same transaction and </w:t>
      </w:r>
      <w:r w:rsidRPr="00410FB2">
        <w:rPr>
          <w:rFonts w:ascii="Apex New Book" w:hAnsi="Apex New Book"/>
          <w:sz w:val="24"/>
          <w:lang w:val="en-US"/>
        </w:rPr>
        <w:t xml:space="preserve">past dues are normally reported on the riskier usage line (the current account) </w:t>
      </w:r>
      <w:r w:rsidR="002537D1" w:rsidRPr="00410FB2">
        <w:rPr>
          <w:rFonts w:ascii="Apex New Book" w:hAnsi="Apex New Book"/>
          <w:sz w:val="24"/>
          <w:lang w:val="en-US"/>
        </w:rPr>
        <w:t xml:space="preserve">but jointly generated, </w:t>
      </w:r>
      <w:r w:rsidRPr="00410FB2">
        <w:rPr>
          <w:rFonts w:ascii="Apex New Book" w:hAnsi="Apex New Book"/>
          <w:sz w:val="24"/>
          <w:lang w:val="en-US"/>
        </w:rPr>
        <w:t>making ideally advances never default. Such transaction may involve different usage lines/current accounts and default may occur on one line, the other o</w:t>
      </w:r>
      <w:r w:rsidR="003A508B">
        <w:rPr>
          <w:rFonts w:ascii="Apex New Book" w:hAnsi="Apex New Book"/>
          <w:sz w:val="24"/>
          <w:lang w:val="en-US"/>
        </w:rPr>
        <w:t>r</w:t>
      </w:r>
      <w:r w:rsidRPr="00410FB2">
        <w:rPr>
          <w:rFonts w:ascii="Apex New Book" w:hAnsi="Apex New Book"/>
          <w:sz w:val="24"/>
          <w:lang w:val="en-US"/>
        </w:rPr>
        <w:t xml:space="preserve"> both depending on the past due registered </w:t>
      </w:r>
      <w:r w:rsidR="002537D1" w:rsidRPr="00410FB2">
        <w:rPr>
          <w:rFonts w:ascii="Apex New Book" w:hAnsi="Apex New Book"/>
          <w:sz w:val="24"/>
          <w:lang w:val="en-US"/>
        </w:rPr>
        <w:t>by virtue of automatic detection.</w:t>
      </w:r>
    </w:p>
    <w:p w14:paraId="5F43CF90" w14:textId="77777777" w:rsidR="004E4DAF" w:rsidRPr="00410FB2" w:rsidRDefault="004E4DAF" w:rsidP="00102B8D">
      <w:pPr>
        <w:ind w:left="360"/>
        <w:jc w:val="both"/>
        <w:rPr>
          <w:rFonts w:ascii="Apex New Book" w:hAnsi="Apex New Book"/>
          <w:sz w:val="24"/>
          <w:lang w:val="en-US"/>
        </w:rPr>
      </w:pPr>
      <w:r w:rsidRPr="00410FB2">
        <w:rPr>
          <w:rFonts w:ascii="Apex New Book" w:hAnsi="Apex New Book"/>
          <w:sz w:val="24"/>
          <w:lang w:val="en-US"/>
        </w:rPr>
        <w:t>Consumer credit, depending on the business model of an institution or subsidiary for more complex institutions, may face similar tricky situations. For instance, a credit card would eventually be charged on the current account without prior check of available funds, in so doing making the latter to default while past due was triggered by credit card usage.</w:t>
      </w:r>
    </w:p>
    <w:p w14:paraId="65292B17" w14:textId="433404C1" w:rsidR="009027B5" w:rsidRPr="00410FB2" w:rsidRDefault="004E4DAF" w:rsidP="009027B5">
      <w:pPr>
        <w:ind w:left="360"/>
        <w:jc w:val="both"/>
        <w:rPr>
          <w:rFonts w:ascii="Apex New Book" w:hAnsi="Apex New Book"/>
          <w:sz w:val="24"/>
          <w:lang w:val="en-US"/>
        </w:rPr>
      </w:pPr>
      <w:r w:rsidRPr="00410FB2">
        <w:rPr>
          <w:rFonts w:ascii="Apex New Book" w:hAnsi="Apex New Book"/>
          <w:sz w:val="24"/>
          <w:lang w:val="en-US"/>
        </w:rPr>
        <w:t xml:space="preserve">Installment lines are normally more segregated, but unsecured lines may follow the same scheme where expired installments might be charged on the account </w:t>
      </w:r>
      <w:r w:rsidR="002537D1" w:rsidRPr="00410FB2">
        <w:rPr>
          <w:rFonts w:ascii="Apex New Book" w:hAnsi="Apex New Book"/>
          <w:sz w:val="24"/>
          <w:lang w:val="en-US"/>
        </w:rPr>
        <w:t xml:space="preserve">without prior check of available funds, as credit cards </w:t>
      </w:r>
      <w:r w:rsidR="003A508B">
        <w:rPr>
          <w:rFonts w:ascii="Apex New Book" w:hAnsi="Apex New Book"/>
          <w:sz w:val="24"/>
          <w:lang w:val="en-US"/>
        </w:rPr>
        <w:t xml:space="preserve">normally </w:t>
      </w:r>
      <w:r w:rsidR="002537D1" w:rsidRPr="00410FB2">
        <w:rPr>
          <w:rFonts w:ascii="Apex New Book" w:hAnsi="Apex New Book"/>
          <w:sz w:val="24"/>
          <w:lang w:val="en-US"/>
        </w:rPr>
        <w:t>are</w:t>
      </w:r>
      <w:r w:rsidRPr="00410FB2">
        <w:rPr>
          <w:rFonts w:ascii="Apex New Book" w:hAnsi="Apex New Book"/>
          <w:sz w:val="24"/>
          <w:lang w:val="en-US"/>
        </w:rPr>
        <w:t>.</w:t>
      </w:r>
      <w:r w:rsidR="00EC75AB" w:rsidRPr="00410FB2">
        <w:rPr>
          <w:rFonts w:ascii="Apex New Book" w:hAnsi="Apex New Book"/>
          <w:sz w:val="24"/>
          <w:lang w:val="en-US"/>
        </w:rPr>
        <w:t xml:space="preserve"> </w:t>
      </w:r>
      <w:r w:rsidRPr="00410FB2">
        <w:rPr>
          <w:rFonts w:ascii="Apex New Book" w:hAnsi="Apex New Book"/>
          <w:sz w:val="24"/>
          <w:lang w:val="en-US"/>
        </w:rPr>
        <w:t xml:space="preserve">The same would </w:t>
      </w:r>
      <w:r w:rsidR="002537D1" w:rsidRPr="00410FB2">
        <w:rPr>
          <w:rFonts w:ascii="Apex New Book" w:hAnsi="Apex New Book"/>
          <w:sz w:val="24"/>
          <w:lang w:val="en-US"/>
        </w:rPr>
        <w:t>seldom</w:t>
      </w:r>
      <w:r w:rsidRPr="00410FB2">
        <w:rPr>
          <w:rFonts w:ascii="Apex New Book" w:hAnsi="Apex New Book"/>
          <w:sz w:val="24"/>
          <w:lang w:val="en-US"/>
        </w:rPr>
        <w:t xml:space="preserve"> happen for mortgag</w:t>
      </w:r>
      <w:r w:rsidR="00EC75AB" w:rsidRPr="00410FB2">
        <w:rPr>
          <w:rFonts w:ascii="Apex New Book" w:hAnsi="Apex New Book"/>
          <w:sz w:val="24"/>
          <w:lang w:val="en-US"/>
        </w:rPr>
        <w:t xml:space="preserve">e </w:t>
      </w:r>
      <w:r w:rsidR="002537D1" w:rsidRPr="00410FB2">
        <w:rPr>
          <w:rFonts w:ascii="Apex New Book" w:hAnsi="Apex New Book"/>
          <w:sz w:val="24"/>
          <w:lang w:val="en-US"/>
        </w:rPr>
        <w:t xml:space="preserve">or other secured lines </w:t>
      </w:r>
      <w:r w:rsidR="00EC75AB" w:rsidRPr="00410FB2">
        <w:rPr>
          <w:rFonts w:ascii="Apex New Book" w:hAnsi="Apex New Book"/>
          <w:sz w:val="24"/>
          <w:lang w:val="en-US"/>
        </w:rPr>
        <w:t>installments</w:t>
      </w:r>
      <w:r w:rsidR="002537D1" w:rsidRPr="00410FB2">
        <w:rPr>
          <w:rFonts w:ascii="Apex New Book" w:hAnsi="Apex New Book"/>
          <w:sz w:val="24"/>
          <w:lang w:val="en-US"/>
        </w:rPr>
        <w:t>.</w:t>
      </w:r>
      <w:r w:rsidR="003A508B">
        <w:rPr>
          <w:rFonts w:ascii="Apex New Book" w:hAnsi="Apex New Book"/>
          <w:sz w:val="24"/>
          <w:lang w:val="en-US"/>
        </w:rPr>
        <w:t xml:space="preserve"> </w:t>
      </w:r>
      <w:r w:rsidR="009027B5" w:rsidRPr="00410FB2">
        <w:rPr>
          <w:rFonts w:ascii="Apex New Book" w:hAnsi="Apex New Book"/>
          <w:sz w:val="24"/>
          <w:lang w:val="en-US"/>
        </w:rPr>
        <w:t>Such situation are obviously particularly cumbersome to deal with for EAD/CCF modelling purposes as well, sometimes leading to an aggregate definition of CCFs.</w:t>
      </w:r>
    </w:p>
    <w:p w14:paraId="7766F8FA" w14:textId="77777777" w:rsidR="009027B5" w:rsidRPr="00410FB2" w:rsidRDefault="009027B5" w:rsidP="00EC75AB">
      <w:pPr>
        <w:ind w:left="360"/>
        <w:jc w:val="both"/>
        <w:rPr>
          <w:rFonts w:ascii="Apex New Book" w:hAnsi="Apex New Book"/>
          <w:sz w:val="24"/>
          <w:lang w:val="en-US"/>
        </w:rPr>
      </w:pPr>
    </w:p>
    <w:p w14:paraId="446A970A" w14:textId="3DA725CC" w:rsidR="00EC75AB" w:rsidRPr="00410FB2" w:rsidRDefault="00EC75AB" w:rsidP="00EC75AB">
      <w:pPr>
        <w:ind w:left="360"/>
        <w:jc w:val="both"/>
        <w:rPr>
          <w:rFonts w:ascii="Apex New Book" w:hAnsi="Apex New Book"/>
          <w:sz w:val="24"/>
          <w:lang w:val="en-US"/>
        </w:rPr>
      </w:pPr>
      <w:r w:rsidRPr="00410FB2">
        <w:rPr>
          <w:rFonts w:ascii="Apex New Book" w:hAnsi="Apex New Book"/>
          <w:sz w:val="24"/>
          <w:lang w:val="en-US"/>
        </w:rPr>
        <w:t xml:space="preserve">As it is allowed that a “facility-based” definition of default </w:t>
      </w:r>
      <w:r w:rsidR="002537D1" w:rsidRPr="00410FB2">
        <w:rPr>
          <w:rFonts w:ascii="Apex New Book" w:hAnsi="Apex New Book"/>
          <w:sz w:val="24"/>
          <w:lang w:val="en-US"/>
        </w:rPr>
        <w:t>is</w:t>
      </w:r>
      <w:r w:rsidRPr="00410FB2">
        <w:rPr>
          <w:rFonts w:ascii="Apex New Book" w:hAnsi="Apex New Book"/>
          <w:sz w:val="24"/>
          <w:lang w:val="en-US"/>
        </w:rPr>
        <w:t xml:space="preserve"> applicable for retail, </w:t>
      </w:r>
      <w:r w:rsidR="002537D1" w:rsidRPr="00410FB2">
        <w:rPr>
          <w:rFonts w:ascii="Apex New Book" w:hAnsi="Apex New Book"/>
          <w:sz w:val="24"/>
          <w:lang w:val="en-US"/>
        </w:rPr>
        <w:t xml:space="preserve">and this can be appropriate for risk reasoning and not only for </w:t>
      </w:r>
      <w:r w:rsidR="0090101E" w:rsidRPr="00410FB2">
        <w:rPr>
          <w:rFonts w:ascii="Apex New Book" w:hAnsi="Apex New Book"/>
          <w:sz w:val="24"/>
          <w:lang w:val="en-US"/>
        </w:rPr>
        <w:t xml:space="preserve">reasons </w:t>
      </w:r>
      <w:r w:rsidR="002537D1" w:rsidRPr="00410FB2">
        <w:rPr>
          <w:rFonts w:ascii="Apex New Book" w:hAnsi="Apex New Book"/>
          <w:sz w:val="24"/>
          <w:lang w:val="en-US"/>
        </w:rPr>
        <w:t xml:space="preserve">related to the complexity of an institution or to its business model, and taking aside inherently obligor-wide unlikely to pay triggers, </w:t>
      </w:r>
      <w:r w:rsidRPr="00410FB2">
        <w:rPr>
          <w:rFonts w:ascii="Apex New Book" w:hAnsi="Apex New Book"/>
          <w:sz w:val="24"/>
          <w:lang w:val="en-US"/>
        </w:rPr>
        <w:t>it would be sound allowing institutions to transparently avoid such situations</w:t>
      </w:r>
      <w:r w:rsidR="009027B5" w:rsidRPr="00410FB2">
        <w:rPr>
          <w:rFonts w:ascii="Apex New Book" w:hAnsi="Apex New Book"/>
          <w:sz w:val="24"/>
          <w:lang w:val="en-US"/>
        </w:rPr>
        <w:t xml:space="preserve"> and adopted a definition of default that is the most appropriate</w:t>
      </w:r>
      <w:r w:rsidR="002537D1" w:rsidRPr="00410FB2">
        <w:rPr>
          <w:rFonts w:ascii="Apex New Book" w:hAnsi="Apex New Book"/>
          <w:sz w:val="24"/>
          <w:lang w:val="en-US"/>
        </w:rPr>
        <w:t>.</w:t>
      </w:r>
      <w:r w:rsidR="009027B5" w:rsidRPr="00410FB2">
        <w:rPr>
          <w:rFonts w:ascii="Apex New Book" w:hAnsi="Apex New Book"/>
          <w:sz w:val="24"/>
          <w:lang w:val="en-US"/>
        </w:rPr>
        <w:t xml:space="preserve"> For instance, e</w:t>
      </w:r>
      <w:r w:rsidRPr="00410FB2">
        <w:rPr>
          <w:rFonts w:ascii="Apex New Book" w:hAnsi="Apex New Book"/>
          <w:sz w:val="24"/>
          <w:lang w:val="en-US"/>
        </w:rPr>
        <w:t>stablishing a layer of facilities where the definition shall be transaction based and a more undifferentiated layer of facilities where the definition should better be cons</w:t>
      </w:r>
      <w:r w:rsidR="002537D1" w:rsidRPr="00410FB2">
        <w:rPr>
          <w:rFonts w:ascii="Apex New Book" w:hAnsi="Apex New Book"/>
          <w:sz w:val="24"/>
          <w:lang w:val="en-US"/>
        </w:rPr>
        <w:t>idered on a comprehensive</w:t>
      </w:r>
      <w:r w:rsidR="009027B5" w:rsidRPr="00410FB2">
        <w:rPr>
          <w:rFonts w:ascii="Apex New Book" w:hAnsi="Apex New Book"/>
          <w:sz w:val="24"/>
          <w:lang w:val="en-US"/>
        </w:rPr>
        <w:t xml:space="preserve"> basis</w:t>
      </w:r>
      <w:r w:rsidR="002537D1" w:rsidRPr="00410FB2">
        <w:rPr>
          <w:rFonts w:ascii="Apex New Book" w:hAnsi="Apex New Book"/>
          <w:sz w:val="24"/>
          <w:lang w:val="en-US"/>
        </w:rPr>
        <w:t xml:space="preserve">, would be valuable in our view, as this choice </w:t>
      </w:r>
      <w:r w:rsidR="009027B5" w:rsidRPr="00410FB2">
        <w:rPr>
          <w:rFonts w:ascii="Apex New Book" w:hAnsi="Apex New Book"/>
          <w:sz w:val="24"/>
          <w:lang w:val="en-US"/>
        </w:rPr>
        <w:t>will be</w:t>
      </w:r>
      <w:r w:rsidR="002537D1" w:rsidRPr="00410FB2">
        <w:rPr>
          <w:rFonts w:ascii="Apex New Book" w:hAnsi="Apex New Book"/>
          <w:sz w:val="24"/>
          <w:lang w:val="en-US"/>
        </w:rPr>
        <w:t xml:space="preserve"> well supported, documented and applied consistently over time.</w:t>
      </w:r>
    </w:p>
    <w:p w14:paraId="48313D2A" w14:textId="77777777" w:rsidR="002537D1" w:rsidRPr="00410FB2" w:rsidRDefault="002537D1" w:rsidP="00EC75AB">
      <w:pPr>
        <w:ind w:left="360"/>
        <w:jc w:val="both"/>
        <w:rPr>
          <w:rFonts w:ascii="Apex New Book" w:hAnsi="Apex New Book"/>
          <w:sz w:val="24"/>
          <w:lang w:val="en-US"/>
        </w:rPr>
      </w:pPr>
    </w:p>
    <w:p w14:paraId="240448A1" w14:textId="77777777" w:rsidR="00EC75AB" w:rsidRPr="00410FB2" w:rsidRDefault="00EC75AB" w:rsidP="00EC75AB">
      <w:pPr>
        <w:ind w:left="360"/>
        <w:jc w:val="both"/>
        <w:rPr>
          <w:rFonts w:ascii="Apex New Book" w:hAnsi="Apex New Book"/>
          <w:sz w:val="24"/>
          <w:lang w:val="en-US"/>
        </w:rPr>
      </w:pPr>
      <w:r w:rsidRPr="00410FB2">
        <w:rPr>
          <w:rFonts w:ascii="Apex New Book" w:hAnsi="Apex New Book"/>
          <w:sz w:val="24"/>
          <w:lang w:val="en-US"/>
        </w:rPr>
        <w:t xml:space="preserve">This objective, where considered valuable by EBA as well, might be achieved in </w:t>
      </w:r>
      <w:r w:rsidR="00A53C0B" w:rsidRPr="00410FB2">
        <w:rPr>
          <w:rFonts w:ascii="Apex New Book" w:hAnsi="Apex New Book"/>
          <w:sz w:val="24"/>
          <w:lang w:val="en-US"/>
        </w:rPr>
        <w:t>four</w:t>
      </w:r>
      <w:r w:rsidRPr="00410FB2">
        <w:rPr>
          <w:rFonts w:ascii="Apex New Book" w:hAnsi="Apex New Book"/>
          <w:sz w:val="24"/>
          <w:lang w:val="en-US"/>
        </w:rPr>
        <w:t xml:space="preserve"> ways:</w:t>
      </w:r>
    </w:p>
    <w:p w14:paraId="53631032" w14:textId="77777777" w:rsidR="00EC75AB" w:rsidRPr="00410FB2" w:rsidRDefault="00EC75AB" w:rsidP="00EC75AB">
      <w:pPr>
        <w:pStyle w:val="ListParagraph"/>
        <w:numPr>
          <w:ilvl w:val="0"/>
          <w:numId w:val="20"/>
        </w:numPr>
        <w:jc w:val="both"/>
        <w:rPr>
          <w:rFonts w:ascii="Apex New Book" w:hAnsi="Apex New Book"/>
          <w:sz w:val="24"/>
          <w:lang w:val="en-US"/>
        </w:rPr>
      </w:pPr>
      <w:r w:rsidRPr="00410FB2">
        <w:rPr>
          <w:rFonts w:ascii="Apex New Book" w:hAnsi="Apex New Book"/>
          <w:sz w:val="24"/>
          <w:lang w:val="en-US"/>
        </w:rPr>
        <w:t xml:space="preserve">allowing the co-existence of different level of definition of default for the same counterparty as long as </w:t>
      </w:r>
      <w:r w:rsidR="00A53C0B" w:rsidRPr="00410FB2">
        <w:rPr>
          <w:rFonts w:ascii="Apex New Book" w:hAnsi="Apex New Book"/>
          <w:sz w:val="24"/>
          <w:lang w:val="en-US"/>
        </w:rPr>
        <w:t xml:space="preserve">the </w:t>
      </w:r>
      <w:r w:rsidRPr="00410FB2">
        <w:rPr>
          <w:rFonts w:ascii="Apex New Book" w:hAnsi="Apex New Book"/>
          <w:sz w:val="24"/>
          <w:lang w:val="en-US"/>
        </w:rPr>
        <w:t>involved facilities belong to different IRB portfolios (such clause would allow segregating mortgages, for instance);</w:t>
      </w:r>
    </w:p>
    <w:p w14:paraId="1A71217D" w14:textId="77777777" w:rsidR="00EC75AB" w:rsidRPr="00410FB2" w:rsidRDefault="00EC75AB" w:rsidP="00EC75AB">
      <w:pPr>
        <w:pStyle w:val="ListParagraph"/>
        <w:numPr>
          <w:ilvl w:val="0"/>
          <w:numId w:val="20"/>
        </w:numPr>
        <w:jc w:val="both"/>
        <w:rPr>
          <w:rFonts w:ascii="Apex New Book" w:hAnsi="Apex New Book"/>
          <w:sz w:val="24"/>
          <w:lang w:val="en-US"/>
        </w:rPr>
      </w:pPr>
      <w:r w:rsidRPr="00410FB2">
        <w:rPr>
          <w:rFonts w:ascii="Apex New Book" w:hAnsi="Apex New Book"/>
          <w:sz w:val="24"/>
          <w:lang w:val="en-US"/>
        </w:rPr>
        <w:t>allowing an interpretation of “facility” that may encompass more than one credit/usage line and exposure where they are inherently interrelated</w:t>
      </w:r>
      <w:r w:rsidR="00A53C0B" w:rsidRPr="00410FB2">
        <w:rPr>
          <w:rFonts w:ascii="Apex New Book" w:hAnsi="Apex New Book"/>
          <w:sz w:val="24"/>
          <w:lang w:val="en-US"/>
        </w:rPr>
        <w:t>;</w:t>
      </w:r>
    </w:p>
    <w:p w14:paraId="011E6B4A" w14:textId="77777777" w:rsidR="00A53C0B" w:rsidRPr="00410FB2" w:rsidRDefault="00A53C0B" w:rsidP="00EC75AB">
      <w:pPr>
        <w:pStyle w:val="ListParagraph"/>
        <w:numPr>
          <w:ilvl w:val="0"/>
          <w:numId w:val="20"/>
        </w:numPr>
        <w:jc w:val="both"/>
        <w:rPr>
          <w:rFonts w:ascii="Apex New Book" w:hAnsi="Apex New Book"/>
          <w:sz w:val="24"/>
          <w:lang w:val="en-US"/>
        </w:rPr>
      </w:pPr>
      <w:r w:rsidRPr="00410FB2">
        <w:rPr>
          <w:rFonts w:ascii="Apex New Book" w:hAnsi="Apex New Book"/>
          <w:sz w:val="24"/>
          <w:lang w:val="en-US"/>
        </w:rPr>
        <w:t>allowing explicitly both;</w:t>
      </w:r>
    </w:p>
    <w:p w14:paraId="0706B62D" w14:textId="5061DA1A" w:rsidR="00A53C0B" w:rsidRPr="00410FB2" w:rsidRDefault="00A53C0B" w:rsidP="00EC75AB">
      <w:pPr>
        <w:pStyle w:val="ListParagraph"/>
        <w:numPr>
          <w:ilvl w:val="0"/>
          <w:numId w:val="20"/>
        </w:numPr>
        <w:jc w:val="both"/>
        <w:rPr>
          <w:rFonts w:ascii="Apex New Book" w:hAnsi="Apex New Book"/>
          <w:sz w:val="24"/>
          <w:lang w:val="en-US"/>
        </w:rPr>
      </w:pPr>
      <w:r w:rsidRPr="00410FB2">
        <w:rPr>
          <w:rFonts w:ascii="Apex New Book" w:hAnsi="Apex New Book"/>
          <w:sz w:val="24"/>
          <w:lang w:val="en-US"/>
        </w:rPr>
        <w:t>exclude explicit limitation to flexibility from guidance, leaving CAs to assess the appropriateness of the application depending on the specificities of jurisdictions, institutions, business model, etc.</w:t>
      </w:r>
    </w:p>
    <w:p w14:paraId="278789FB" w14:textId="77777777" w:rsidR="002537D1" w:rsidRPr="00410FB2" w:rsidRDefault="002537D1" w:rsidP="00A53C0B">
      <w:pPr>
        <w:jc w:val="both"/>
        <w:rPr>
          <w:rFonts w:ascii="Apex New Book" w:hAnsi="Apex New Book"/>
          <w:sz w:val="24"/>
          <w:lang w:val="en-US"/>
        </w:rPr>
      </w:pPr>
    </w:p>
    <w:p w14:paraId="15C538EA" w14:textId="77777777" w:rsidR="00A53C0B" w:rsidRPr="00410FB2" w:rsidRDefault="00A53C0B" w:rsidP="00A53C0B">
      <w:pPr>
        <w:jc w:val="both"/>
        <w:rPr>
          <w:rFonts w:ascii="Apex New Book" w:hAnsi="Apex New Book"/>
          <w:b/>
          <w:sz w:val="24"/>
          <w:lang w:val="en-US"/>
        </w:rPr>
      </w:pPr>
      <w:r w:rsidRPr="00410FB2">
        <w:rPr>
          <w:rFonts w:ascii="Apex New Book" w:hAnsi="Apex New Book"/>
          <w:b/>
          <w:sz w:val="24"/>
          <w:lang w:val="en-US"/>
        </w:rPr>
        <w:lastRenderedPageBreak/>
        <w:t>Q</w:t>
      </w:r>
      <w:r w:rsidR="005C669F" w:rsidRPr="00410FB2">
        <w:rPr>
          <w:rFonts w:ascii="Apex New Book" w:hAnsi="Apex New Book"/>
          <w:b/>
          <w:sz w:val="24"/>
          <w:lang w:val="en-US"/>
        </w:rPr>
        <w:t>9</w:t>
      </w:r>
      <w:r w:rsidRPr="00410FB2">
        <w:rPr>
          <w:rFonts w:ascii="Apex New Book" w:hAnsi="Apex New Book"/>
          <w:b/>
          <w:sz w:val="24"/>
          <w:lang w:val="en-US"/>
        </w:rPr>
        <w:t>: Do you consider that where the obligor is defaulted on a significant part of its exposure this indicates the unlikeliness to pay of the remaining credit obligation of this obligor?</w:t>
      </w:r>
    </w:p>
    <w:p w14:paraId="4A253938" w14:textId="77777777" w:rsidR="00A53C0B" w:rsidRPr="00410FB2" w:rsidRDefault="00A53C0B" w:rsidP="00A53C0B">
      <w:pPr>
        <w:jc w:val="both"/>
        <w:rPr>
          <w:rFonts w:ascii="Apex New Book" w:hAnsi="Apex New Book"/>
          <w:sz w:val="24"/>
          <w:lang w:val="en-US"/>
        </w:rPr>
      </w:pPr>
    </w:p>
    <w:p w14:paraId="1110F120" w14:textId="77777777" w:rsidR="00D556CE" w:rsidRPr="00410FB2" w:rsidRDefault="00A53C0B" w:rsidP="0071047A">
      <w:pPr>
        <w:jc w:val="both"/>
        <w:rPr>
          <w:rFonts w:ascii="Apex New Book" w:hAnsi="Apex New Book"/>
          <w:sz w:val="24"/>
          <w:lang w:val="en-US"/>
        </w:rPr>
      </w:pPr>
      <w:r w:rsidRPr="00410FB2">
        <w:rPr>
          <w:rFonts w:ascii="Apex New Book" w:hAnsi="Apex New Book"/>
          <w:sz w:val="24"/>
          <w:lang w:val="en-US"/>
        </w:rPr>
        <w:t xml:space="preserve">The principle introduced in article 47 (h) and 80 is appropriate. </w:t>
      </w:r>
      <w:r w:rsidR="0071047A" w:rsidRPr="00410FB2">
        <w:rPr>
          <w:rFonts w:ascii="Apex New Book" w:hAnsi="Apex New Book"/>
          <w:sz w:val="24"/>
          <w:lang w:val="en-US"/>
        </w:rPr>
        <w:t xml:space="preserve">As the guidance include objective thresholds in many areas for sake of homogeneity in application, we would have considered a stricter rule appropriate in this area as well. In </w:t>
      </w:r>
      <w:r w:rsidR="00D556CE" w:rsidRPr="00410FB2">
        <w:rPr>
          <w:rFonts w:ascii="Apex New Book" w:hAnsi="Apex New Book"/>
          <w:sz w:val="24"/>
          <w:lang w:val="en-US"/>
        </w:rPr>
        <w:t>substance,</w:t>
      </w:r>
      <w:r w:rsidR="0071047A" w:rsidRPr="00410FB2">
        <w:rPr>
          <w:rFonts w:ascii="Apex New Book" w:hAnsi="Apex New Book"/>
          <w:sz w:val="24"/>
          <w:lang w:val="en-US"/>
        </w:rPr>
        <w:t xml:space="preserve"> we would have considered appropriate option d. at paragraph 5.1.</w:t>
      </w:r>
      <w:r w:rsidR="004775CF" w:rsidRPr="00410FB2">
        <w:rPr>
          <w:rFonts w:ascii="Apex New Book" w:hAnsi="Apex New Book"/>
          <w:sz w:val="24"/>
          <w:lang w:val="en-US"/>
        </w:rPr>
        <w:t>D.</w:t>
      </w:r>
      <w:r w:rsidR="0071047A" w:rsidRPr="00410FB2">
        <w:rPr>
          <w:rFonts w:ascii="Apex New Book" w:hAnsi="Apex New Book"/>
          <w:sz w:val="24"/>
          <w:lang w:val="en-US"/>
        </w:rPr>
        <w:t>b of the CP</w:t>
      </w:r>
      <w:r w:rsidR="00D556CE" w:rsidRPr="00410FB2">
        <w:rPr>
          <w:rFonts w:ascii="Apex New Book" w:hAnsi="Apex New Book"/>
          <w:sz w:val="24"/>
          <w:lang w:val="en-US"/>
        </w:rPr>
        <w:t xml:space="preserve"> </w:t>
      </w:r>
      <w:r w:rsidR="004775CF" w:rsidRPr="00410FB2">
        <w:rPr>
          <w:rFonts w:ascii="Apex New Book" w:hAnsi="Apex New Book"/>
          <w:sz w:val="24"/>
          <w:lang w:val="en-US"/>
        </w:rPr>
        <w:t xml:space="preserve">with the form of a general </w:t>
      </w:r>
      <w:r w:rsidR="00D556CE" w:rsidRPr="00410FB2">
        <w:rPr>
          <w:rFonts w:ascii="Apex New Book" w:hAnsi="Apex New Book"/>
          <w:sz w:val="24"/>
          <w:lang w:val="en-US"/>
        </w:rPr>
        <w:t>refer</w:t>
      </w:r>
      <w:r w:rsidR="004775CF" w:rsidRPr="00410FB2">
        <w:rPr>
          <w:rFonts w:ascii="Apex New Book" w:hAnsi="Apex New Book"/>
          <w:sz w:val="24"/>
          <w:lang w:val="en-US"/>
        </w:rPr>
        <w:t xml:space="preserve">ence to </w:t>
      </w:r>
      <w:r w:rsidR="00D556CE" w:rsidRPr="00410FB2">
        <w:rPr>
          <w:rFonts w:ascii="Apex New Book" w:hAnsi="Apex New Book"/>
          <w:sz w:val="24"/>
          <w:lang w:val="en-US"/>
        </w:rPr>
        <w:t xml:space="preserve">“supervisory reporting framework” </w:t>
      </w:r>
      <w:r w:rsidR="004775CF" w:rsidRPr="00410FB2">
        <w:rPr>
          <w:rFonts w:ascii="Apex New Book" w:hAnsi="Apex New Book"/>
          <w:sz w:val="24"/>
          <w:lang w:val="en-US"/>
        </w:rPr>
        <w:t xml:space="preserve">regulation </w:t>
      </w:r>
      <w:r w:rsidR="00D556CE" w:rsidRPr="00410FB2">
        <w:rPr>
          <w:rFonts w:ascii="Apex New Book" w:hAnsi="Apex New Book"/>
          <w:sz w:val="24"/>
          <w:lang w:val="en-US"/>
        </w:rPr>
        <w:t xml:space="preserve">similarly to the reference to IFRS </w:t>
      </w:r>
      <w:r w:rsidR="009027B5" w:rsidRPr="00410FB2">
        <w:rPr>
          <w:rFonts w:ascii="Apex New Book" w:hAnsi="Apex New Book"/>
          <w:sz w:val="24"/>
          <w:lang w:val="en-US"/>
        </w:rPr>
        <w:t xml:space="preserve">stage </w:t>
      </w:r>
      <w:r w:rsidR="00D556CE" w:rsidRPr="00410FB2">
        <w:rPr>
          <w:rFonts w:ascii="Apex New Book" w:hAnsi="Apex New Book"/>
          <w:sz w:val="24"/>
          <w:lang w:val="en-US"/>
        </w:rPr>
        <w:t>3 as default trigger.</w:t>
      </w:r>
    </w:p>
    <w:p w14:paraId="51FF1744" w14:textId="77777777" w:rsidR="004775CF" w:rsidRPr="00410FB2" w:rsidRDefault="004775CF" w:rsidP="0071047A">
      <w:pPr>
        <w:jc w:val="both"/>
        <w:rPr>
          <w:rFonts w:ascii="Apex New Book" w:hAnsi="Apex New Book"/>
          <w:sz w:val="24"/>
          <w:lang w:val="en-US"/>
        </w:rPr>
      </w:pPr>
      <w:r w:rsidRPr="00410FB2">
        <w:rPr>
          <w:rFonts w:ascii="Apex New Book" w:hAnsi="Apex New Book"/>
          <w:sz w:val="24"/>
          <w:lang w:val="en-US"/>
        </w:rPr>
        <w:t>Since the accompanying document refers to “possible future changes in the supervisory reporting framework” as one reason for not introducing here such prescription, a general reference would make regulation resilient to such changes.</w:t>
      </w:r>
    </w:p>
    <w:p w14:paraId="422C5FD9" w14:textId="6CA3B6D2" w:rsidR="004775CF" w:rsidRDefault="004775CF" w:rsidP="0071047A">
      <w:pPr>
        <w:jc w:val="both"/>
        <w:rPr>
          <w:rFonts w:ascii="Apex New Book" w:hAnsi="Apex New Book"/>
          <w:sz w:val="24"/>
          <w:lang w:val="en-US"/>
        </w:rPr>
      </w:pPr>
      <w:r w:rsidRPr="00410FB2">
        <w:rPr>
          <w:rFonts w:ascii="Apex New Book" w:hAnsi="Apex New Book"/>
          <w:sz w:val="24"/>
          <w:lang w:val="en-US"/>
        </w:rPr>
        <w:t>Of course, a str</w:t>
      </w:r>
      <w:r w:rsidR="00F00988">
        <w:rPr>
          <w:rFonts w:ascii="Apex New Book" w:hAnsi="Apex New Book"/>
          <w:sz w:val="24"/>
          <w:lang w:val="en-US"/>
        </w:rPr>
        <w:t>on</w:t>
      </w:r>
      <w:r w:rsidRPr="00410FB2">
        <w:rPr>
          <w:rFonts w:ascii="Apex New Book" w:hAnsi="Apex New Book"/>
          <w:sz w:val="24"/>
          <w:lang w:val="en-US"/>
        </w:rPr>
        <w:t>ger/fixed threshold rule do not exclude institutions will address</w:t>
      </w:r>
      <w:r w:rsidR="0071047A" w:rsidRPr="00410FB2">
        <w:rPr>
          <w:rFonts w:ascii="Apex New Book" w:hAnsi="Apex New Book"/>
          <w:sz w:val="24"/>
          <w:lang w:val="en-US"/>
        </w:rPr>
        <w:t xml:space="preserve"> more complex situations under article 47(h) </w:t>
      </w:r>
      <w:r w:rsidRPr="00410FB2">
        <w:rPr>
          <w:rFonts w:ascii="Apex New Book" w:hAnsi="Apex New Book"/>
          <w:sz w:val="24"/>
          <w:lang w:val="en-US"/>
        </w:rPr>
        <w:t>related internal pro</w:t>
      </w:r>
      <w:r w:rsidR="0090101E" w:rsidRPr="00410FB2">
        <w:rPr>
          <w:rFonts w:ascii="Apex New Book" w:hAnsi="Apex New Book"/>
          <w:sz w:val="24"/>
          <w:lang w:val="en-US"/>
        </w:rPr>
        <w:t>c</w:t>
      </w:r>
      <w:r w:rsidRPr="00410FB2">
        <w:rPr>
          <w:rFonts w:ascii="Apex New Book" w:hAnsi="Apex New Book"/>
          <w:sz w:val="24"/>
          <w:lang w:val="en-US"/>
        </w:rPr>
        <w:t xml:space="preserve">edures. </w:t>
      </w:r>
      <w:r w:rsidR="0071047A" w:rsidRPr="00410FB2">
        <w:rPr>
          <w:rFonts w:ascii="Apex New Book" w:hAnsi="Apex New Book"/>
          <w:sz w:val="24"/>
          <w:lang w:val="en-US"/>
        </w:rPr>
        <w:t xml:space="preserve">This </w:t>
      </w:r>
      <w:r w:rsidRPr="00410FB2">
        <w:rPr>
          <w:rFonts w:ascii="Apex New Book" w:hAnsi="Apex New Book"/>
          <w:sz w:val="24"/>
          <w:lang w:val="en-US"/>
        </w:rPr>
        <w:t>not meaning that we would have endorsed</w:t>
      </w:r>
      <w:r w:rsidR="0071047A" w:rsidRPr="00410FB2">
        <w:rPr>
          <w:rFonts w:ascii="Apex New Book" w:hAnsi="Apex New Book"/>
          <w:sz w:val="24"/>
          <w:lang w:val="en-US"/>
        </w:rPr>
        <w:t xml:space="preserve"> option c. at paragraph 5.1.</w:t>
      </w:r>
      <w:r w:rsidRPr="00410FB2">
        <w:rPr>
          <w:rFonts w:ascii="Apex New Book" w:hAnsi="Apex New Book"/>
          <w:sz w:val="24"/>
          <w:lang w:val="en-US"/>
        </w:rPr>
        <w:t>D.</w:t>
      </w:r>
      <w:r w:rsidR="0071047A" w:rsidRPr="00410FB2">
        <w:rPr>
          <w:rFonts w:ascii="Apex New Book" w:hAnsi="Apex New Book"/>
          <w:sz w:val="24"/>
          <w:lang w:val="en-US"/>
        </w:rPr>
        <w:t xml:space="preserve">b since </w:t>
      </w:r>
      <w:r w:rsidRPr="00410FB2">
        <w:rPr>
          <w:rFonts w:ascii="Apex New Book" w:hAnsi="Apex New Book"/>
          <w:sz w:val="24"/>
          <w:lang w:val="en-US"/>
        </w:rPr>
        <w:t>such procedures</w:t>
      </w:r>
      <w:r w:rsidR="0071047A" w:rsidRPr="00410FB2">
        <w:rPr>
          <w:rFonts w:ascii="Apex New Book" w:hAnsi="Apex New Book"/>
          <w:sz w:val="24"/>
          <w:lang w:val="en-US"/>
        </w:rPr>
        <w:t xml:space="preserve"> </w:t>
      </w:r>
      <w:r w:rsidR="00D556CE" w:rsidRPr="00410FB2">
        <w:rPr>
          <w:rFonts w:ascii="Apex New Book" w:hAnsi="Apex New Book"/>
          <w:sz w:val="24"/>
          <w:lang w:val="en-US"/>
        </w:rPr>
        <w:t>m</w:t>
      </w:r>
      <w:r w:rsidRPr="00410FB2">
        <w:rPr>
          <w:rFonts w:ascii="Apex New Book" w:hAnsi="Apex New Book"/>
          <w:sz w:val="24"/>
          <w:lang w:val="en-US"/>
        </w:rPr>
        <w:t>ay rather</w:t>
      </w:r>
      <w:r w:rsidR="00D556CE" w:rsidRPr="00410FB2">
        <w:rPr>
          <w:rFonts w:ascii="Apex New Book" w:hAnsi="Apex New Book"/>
          <w:sz w:val="24"/>
          <w:lang w:val="en-US"/>
        </w:rPr>
        <w:t xml:space="preserve"> involve more complex </w:t>
      </w:r>
      <w:r w:rsidRPr="00410FB2">
        <w:rPr>
          <w:rFonts w:ascii="Apex New Book" w:hAnsi="Apex New Book"/>
          <w:sz w:val="24"/>
          <w:lang w:val="en-US"/>
        </w:rPr>
        <w:t xml:space="preserve">propagation-assessment </w:t>
      </w:r>
      <w:r w:rsidR="00D556CE" w:rsidRPr="00410FB2">
        <w:rPr>
          <w:rFonts w:ascii="Apex New Book" w:hAnsi="Apex New Book"/>
          <w:sz w:val="24"/>
          <w:lang w:val="en-US"/>
        </w:rPr>
        <w:t xml:space="preserve">schemes </w:t>
      </w:r>
      <w:r w:rsidRPr="00410FB2">
        <w:rPr>
          <w:rFonts w:ascii="Apex New Book" w:hAnsi="Apex New Book"/>
          <w:sz w:val="24"/>
          <w:lang w:val="en-US"/>
        </w:rPr>
        <w:t>that a simple lower threshold wouldn’t be able to capture.</w:t>
      </w:r>
    </w:p>
    <w:p w14:paraId="50A33D60" w14:textId="77777777" w:rsidR="003A508B" w:rsidRPr="00410FB2" w:rsidRDefault="003A508B" w:rsidP="0071047A">
      <w:pPr>
        <w:jc w:val="both"/>
        <w:rPr>
          <w:rFonts w:ascii="Apex New Book" w:hAnsi="Apex New Book"/>
          <w:sz w:val="24"/>
          <w:lang w:val="en-US"/>
        </w:rPr>
      </w:pPr>
    </w:p>
    <w:p w14:paraId="3B65E0FF" w14:textId="77777777" w:rsidR="004775CF" w:rsidRPr="00410FB2" w:rsidRDefault="004775CF" w:rsidP="004775CF">
      <w:pPr>
        <w:jc w:val="both"/>
        <w:rPr>
          <w:rFonts w:ascii="Apex New Book" w:hAnsi="Apex New Book"/>
          <w:b/>
          <w:sz w:val="24"/>
          <w:lang w:val="en-US"/>
        </w:rPr>
      </w:pPr>
      <w:r w:rsidRPr="00410FB2">
        <w:rPr>
          <w:rFonts w:ascii="Apex New Book" w:hAnsi="Apex New Book"/>
          <w:b/>
          <w:sz w:val="24"/>
          <w:lang w:val="en-US"/>
        </w:rPr>
        <w:t>Q</w:t>
      </w:r>
      <w:r w:rsidR="005C669F" w:rsidRPr="00410FB2">
        <w:rPr>
          <w:rFonts w:ascii="Apex New Book" w:hAnsi="Apex New Book"/>
          <w:b/>
          <w:sz w:val="24"/>
          <w:lang w:val="en-US"/>
        </w:rPr>
        <w:t>10</w:t>
      </w:r>
      <w:r w:rsidRPr="00410FB2">
        <w:rPr>
          <w:rFonts w:ascii="Apex New Book" w:hAnsi="Apex New Book"/>
          <w:b/>
          <w:sz w:val="24"/>
          <w:lang w:val="en-US"/>
        </w:rPr>
        <w:t xml:space="preserve">: Do you </w:t>
      </w:r>
      <w:r w:rsidR="005C669F" w:rsidRPr="00410FB2">
        <w:rPr>
          <w:rFonts w:ascii="Apex New Book" w:hAnsi="Apex New Book"/>
          <w:b/>
          <w:sz w:val="24"/>
          <w:lang w:val="en-US"/>
        </w:rPr>
        <w:t>agree with the approach proposed for the application of materiality thresholds to joint credit obligations?</w:t>
      </w:r>
    </w:p>
    <w:p w14:paraId="4E757652" w14:textId="77777777" w:rsidR="005C669F" w:rsidRPr="00410FB2" w:rsidRDefault="005C669F" w:rsidP="004775CF">
      <w:pPr>
        <w:jc w:val="both"/>
        <w:rPr>
          <w:rFonts w:ascii="Apex New Book" w:hAnsi="Apex New Book"/>
          <w:b/>
          <w:sz w:val="24"/>
          <w:lang w:val="en-US"/>
        </w:rPr>
      </w:pPr>
    </w:p>
    <w:p w14:paraId="0B48FFE9" w14:textId="77777777" w:rsidR="005C669F" w:rsidRPr="00410FB2" w:rsidRDefault="005C669F" w:rsidP="004775CF">
      <w:pPr>
        <w:jc w:val="both"/>
        <w:rPr>
          <w:rFonts w:ascii="Apex New Book" w:hAnsi="Apex New Book"/>
          <w:sz w:val="24"/>
          <w:lang w:val="en-US"/>
        </w:rPr>
      </w:pPr>
      <w:r w:rsidRPr="00410FB2">
        <w:rPr>
          <w:rFonts w:ascii="Apex New Book" w:hAnsi="Apex New Book"/>
          <w:sz w:val="24"/>
          <w:lang w:val="en-US"/>
        </w:rPr>
        <w:t>We fully agree with the approach proposed</w:t>
      </w:r>
      <w:r w:rsidR="00CC666B" w:rsidRPr="00410FB2">
        <w:rPr>
          <w:rFonts w:ascii="Apex New Book" w:hAnsi="Apex New Book"/>
          <w:sz w:val="24"/>
          <w:lang w:val="en-US"/>
        </w:rPr>
        <w:t xml:space="preserve"> and </w:t>
      </w:r>
      <w:r w:rsidR="009027B5" w:rsidRPr="00410FB2">
        <w:rPr>
          <w:rFonts w:ascii="Apex New Book" w:hAnsi="Apex New Book"/>
          <w:sz w:val="24"/>
          <w:lang w:val="en-US"/>
        </w:rPr>
        <w:t xml:space="preserve">that this </w:t>
      </w:r>
      <w:r w:rsidR="00CC666B" w:rsidRPr="00410FB2">
        <w:rPr>
          <w:rFonts w:ascii="Apex New Book" w:hAnsi="Apex New Book"/>
          <w:sz w:val="24"/>
          <w:lang w:val="en-US"/>
        </w:rPr>
        <w:t>will enhance significantly homogeneity of practices.</w:t>
      </w:r>
    </w:p>
    <w:p w14:paraId="0A8E3223" w14:textId="77777777" w:rsidR="00CC666B" w:rsidRPr="00410FB2" w:rsidRDefault="00CC666B" w:rsidP="004775CF">
      <w:pPr>
        <w:jc w:val="both"/>
        <w:rPr>
          <w:rFonts w:ascii="Apex New Book" w:hAnsi="Apex New Book"/>
          <w:sz w:val="24"/>
          <w:lang w:val="en-US"/>
        </w:rPr>
      </w:pPr>
    </w:p>
    <w:p w14:paraId="0C262DCD" w14:textId="77777777" w:rsidR="005C669F" w:rsidRPr="00410FB2" w:rsidRDefault="005C669F" w:rsidP="005C669F">
      <w:pPr>
        <w:jc w:val="both"/>
        <w:rPr>
          <w:rFonts w:ascii="Apex New Book" w:hAnsi="Apex New Book"/>
          <w:b/>
          <w:sz w:val="24"/>
          <w:lang w:val="en-US"/>
        </w:rPr>
      </w:pPr>
      <w:r w:rsidRPr="00410FB2">
        <w:rPr>
          <w:rFonts w:ascii="Apex New Book" w:hAnsi="Apex New Book"/>
          <w:b/>
          <w:sz w:val="24"/>
          <w:lang w:val="en-US"/>
        </w:rPr>
        <w:t>Q11: Do you agree with the requirements on internal governance for banks that use IRB approach?</w:t>
      </w:r>
    </w:p>
    <w:p w14:paraId="2FB7D715" w14:textId="77777777" w:rsidR="005C669F" w:rsidRPr="00A53C0B" w:rsidRDefault="005C669F" w:rsidP="00A53C0B">
      <w:pPr>
        <w:jc w:val="both"/>
        <w:rPr>
          <w:sz w:val="24"/>
          <w:lang w:val="en-US"/>
        </w:rPr>
      </w:pPr>
      <w:r>
        <w:rPr>
          <w:sz w:val="24"/>
          <w:lang w:val="en-US"/>
        </w:rPr>
        <w:t>We agree in full</w:t>
      </w:r>
      <w:r w:rsidR="00E22139">
        <w:rPr>
          <w:sz w:val="24"/>
          <w:lang w:val="en-US"/>
        </w:rPr>
        <w:t>.</w:t>
      </w:r>
    </w:p>
    <w:sectPr w:rsidR="005C669F" w:rsidRPr="00A53C0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140DA" w14:textId="77777777" w:rsidR="001E4202" w:rsidRDefault="001E4202" w:rsidP="00420DBA">
      <w:pPr>
        <w:spacing w:after="0" w:line="240" w:lineRule="auto"/>
      </w:pPr>
      <w:r>
        <w:separator/>
      </w:r>
    </w:p>
  </w:endnote>
  <w:endnote w:type="continuationSeparator" w:id="0">
    <w:p w14:paraId="09246F37" w14:textId="77777777" w:rsidR="001E4202" w:rsidRDefault="001E4202" w:rsidP="0042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ex New Book">
    <w:panose1 w:val="02010600040501010103"/>
    <w:charset w:val="00"/>
    <w:family w:val="auto"/>
    <w:pitch w:val="variable"/>
    <w:sig w:usb0="A00000FF" w:usb1="5001606B" w:usb2="00000010" w:usb3="00000000" w:csb0="0000019B" w:csb1="00000000"/>
  </w:font>
  <w:font w:name="Apex New Medium">
    <w:panose1 w:val="02010600040501010103"/>
    <w:charset w:val="00"/>
    <w:family w:val="auto"/>
    <w:pitch w:val="variable"/>
    <w:sig w:usb0="A00000FF" w:usb1="5001606B" w:usb2="0000001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35650"/>
      <w:docPartObj>
        <w:docPartGallery w:val="Page Numbers (Bottom of Page)"/>
        <w:docPartUnique/>
      </w:docPartObj>
    </w:sdtPr>
    <w:sdtEndPr/>
    <w:sdtContent>
      <w:p w14:paraId="6E20CFDB" w14:textId="6687BFE5" w:rsidR="00DB6C45" w:rsidRDefault="00DB6C45">
        <w:pPr>
          <w:pStyle w:val="Footer"/>
          <w:jc w:val="center"/>
        </w:pPr>
        <w:r>
          <w:fldChar w:fldCharType="begin"/>
        </w:r>
        <w:r>
          <w:instrText>PAGE   \* MERGEFORMAT</w:instrText>
        </w:r>
        <w:r>
          <w:fldChar w:fldCharType="separate"/>
        </w:r>
        <w:r w:rsidR="008C2A6E">
          <w:rPr>
            <w:noProof/>
          </w:rPr>
          <w:t>1</w:t>
        </w:r>
        <w:r>
          <w:fldChar w:fldCharType="end"/>
        </w:r>
      </w:p>
    </w:sdtContent>
  </w:sdt>
  <w:p w14:paraId="485D7C79" w14:textId="77777777" w:rsidR="00DB6C45" w:rsidRDefault="00DB6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EC2D" w14:textId="77777777" w:rsidR="001E4202" w:rsidRDefault="001E4202" w:rsidP="00420DBA">
      <w:pPr>
        <w:spacing w:after="0" w:line="240" w:lineRule="auto"/>
      </w:pPr>
      <w:r>
        <w:separator/>
      </w:r>
    </w:p>
  </w:footnote>
  <w:footnote w:type="continuationSeparator" w:id="0">
    <w:p w14:paraId="7204D9EF" w14:textId="77777777" w:rsidR="001E4202" w:rsidRDefault="001E4202" w:rsidP="00420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4612"/>
    <w:multiLevelType w:val="hybridMultilevel"/>
    <w:tmpl w:val="A2366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A94604"/>
    <w:multiLevelType w:val="hybridMultilevel"/>
    <w:tmpl w:val="B0AADE7A"/>
    <w:lvl w:ilvl="0" w:tplc="8006D5FC">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nsid w:val="141A60AC"/>
    <w:multiLevelType w:val="hybridMultilevel"/>
    <w:tmpl w:val="E56869EE"/>
    <w:lvl w:ilvl="0" w:tplc="4372FAF8">
      <w:start w:val="1"/>
      <w:numFmt w:val="bullet"/>
      <w:lvlText w:val="•"/>
      <w:lvlJc w:val="left"/>
      <w:pPr>
        <w:tabs>
          <w:tab w:val="num" w:pos="1068"/>
        </w:tabs>
        <w:ind w:left="1068" w:hanging="360"/>
      </w:pPr>
      <w:rPr>
        <w:rFonts w:ascii="Arial" w:hAnsi="Arial" w:hint="default"/>
      </w:rPr>
    </w:lvl>
    <w:lvl w:ilvl="1" w:tplc="A6581FEE" w:tentative="1">
      <w:start w:val="1"/>
      <w:numFmt w:val="bullet"/>
      <w:lvlText w:val="•"/>
      <w:lvlJc w:val="left"/>
      <w:pPr>
        <w:tabs>
          <w:tab w:val="num" w:pos="1788"/>
        </w:tabs>
        <w:ind w:left="1788" w:hanging="360"/>
      </w:pPr>
      <w:rPr>
        <w:rFonts w:ascii="Arial" w:hAnsi="Arial" w:hint="default"/>
      </w:rPr>
    </w:lvl>
    <w:lvl w:ilvl="2" w:tplc="75363CC8" w:tentative="1">
      <w:start w:val="1"/>
      <w:numFmt w:val="bullet"/>
      <w:lvlText w:val="•"/>
      <w:lvlJc w:val="left"/>
      <w:pPr>
        <w:tabs>
          <w:tab w:val="num" w:pos="2508"/>
        </w:tabs>
        <w:ind w:left="2508" w:hanging="360"/>
      </w:pPr>
      <w:rPr>
        <w:rFonts w:ascii="Arial" w:hAnsi="Arial" w:hint="default"/>
      </w:rPr>
    </w:lvl>
    <w:lvl w:ilvl="3" w:tplc="51D234E2" w:tentative="1">
      <w:start w:val="1"/>
      <w:numFmt w:val="bullet"/>
      <w:lvlText w:val="•"/>
      <w:lvlJc w:val="left"/>
      <w:pPr>
        <w:tabs>
          <w:tab w:val="num" w:pos="3228"/>
        </w:tabs>
        <w:ind w:left="3228" w:hanging="360"/>
      </w:pPr>
      <w:rPr>
        <w:rFonts w:ascii="Arial" w:hAnsi="Arial" w:hint="default"/>
      </w:rPr>
    </w:lvl>
    <w:lvl w:ilvl="4" w:tplc="2BCCA302" w:tentative="1">
      <w:start w:val="1"/>
      <w:numFmt w:val="bullet"/>
      <w:lvlText w:val="•"/>
      <w:lvlJc w:val="left"/>
      <w:pPr>
        <w:tabs>
          <w:tab w:val="num" w:pos="3948"/>
        </w:tabs>
        <w:ind w:left="3948" w:hanging="360"/>
      </w:pPr>
      <w:rPr>
        <w:rFonts w:ascii="Arial" w:hAnsi="Arial" w:hint="default"/>
      </w:rPr>
    </w:lvl>
    <w:lvl w:ilvl="5" w:tplc="ED300222" w:tentative="1">
      <w:start w:val="1"/>
      <w:numFmt w:val="bullet"/>
      <w:lvlText w:val="•"/>
      <w:lvlJc w:val="left"/>
      <w:pPr>
        <w:tabs>
          <w:tab w:val="num" w:pos="4668"/>
        </w:tabs>
        <w:ind w:left="4668" w:hanging="360"/>
      </w:pPr>
      <w:rPr>
        <w:rFonts w:ascii="Arial" w:hAnsi="Arial" w:hint="default"/>
      </w:rPr>
    </w:lvl>
    <w:lvl w:ilvl="6" w:tplc="38BCDE32" w:tentative="1">
      <w:start w:val="1"/>
      <w:numFmt w:val="bullet"/>
      <w:lvlText w:val="•"/>
      <w:lvlJc w:val="left"/>
      <w:pPr>
        <w:tabs>
          <w:tab w:val="num" w:pos="5388"/>
        </w:tabs>
        <w:ind w:left="5388" w:hanging="360"/>
      </w:pPr>
      <w:rPr>
        <w:rFonts w:ascii="Arial" w:hAnsi="Arial" w:hint="default"/>
      </w:rPr>
    </w:lvl>
    <w:lvl w:ilvl="7" w:tplc="C6289D00" w:tentative="1">
      <w:start w:val="1"/>
      <w:numFmt w:val="bullet"/>
      <w:lvlText w:val="•"/>
      <w:lvlJc w:val="left"/>
      <w:pPr>
        <w:tabs>
          <w:tab w:val="num" w:pos="6108"/>
        </w:tabs>
        <w:ind w:left="6108" w:hanging="360"/>
      </w:pPr>
      <w:rPr>
        <w:rFonts w:ascii="Arial" w:hAnsi="Arial" w:hint="default"/>
      </w:rPr>
    </w:lvl>
    <w:lvl w:ilvl="8" w:tplc="99724576" w:tentative="1">
      <w:start w:val="1"/>
      <w:numFmt w:val="bullet"/>
      <w:lvlText w:val="•"/>
      <w:lvlJc w:val="left"/>
      <w:pPr>
        <w:tabs>
          <w:tab w:val="num" w:pos="6828"/>
        </w:tabs>
        <w:ind w:left="6828" w:hanging="360"/>
      </w:pPr>
      <w:rPr>
        <w:rFonts w:ascii="Arial" w:hAnsi="Arial" w:hint="default"/>
      </w:rPr>
    </w:lvl>
  </w:abstractNum>
  <w:abstractNum w:abstractNumId="3">
    <w:nsid w:val="14EC5364"/>
    <w:multiLevelType w:val="hybridMultilevel"/>
    <w:tmpl w:val="F9E21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D41385"/>
    <w:multiLevelType w:val="hybridMultilevel"/>
    <w:tmpl w:val="1652A7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AC7387"/>
    <w:multiLevelType w:val="hybridMultilevel"/>
    <w:tmpl w:val="97D2B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267358"/>
    <w:multiLevelType w:val="hybridMultilevel"/>
    <w:tmpl w:val="747C160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D91383"/>
    <w:multiLevelType w:val="hybridMultilevel"/>
    <w:tmpl w:val="91DC3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803D33"/>
    <w:multiLevelType w:val="hybridMultilevel"/>
    <w:tmpl w:val="F5F0855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30945592"/>
    <w:multiLevelType w:val="hybridMultilevel"/>
    <w:tmpl w:val="397839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9A1F66"/>
    <w:multiLevelType w:val="hybridMultilevel"/>
    <w:tmpl w:val="7F44D1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3686059"/>
    <w:multiLevelType w:val="hybridMultilevel"/>
    <w:tmpl w:val="7A3A88E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380F1B"/>
    <w:multiLevelType w:val="hybridMultilevel"/>
    <w:tmpl w:val="8FFE8272"/>
    <w:lvl w:ilvl="0" w:tplc="F4FC20B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0F5A06"/>
    <w:multiLevelType w:val="hybridMultilevel"/>
    <w:tmpl w:val="1B029E44"/>
    <w:lvl w:ilvl="0" w:tplc="1EFAA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6A7E9D"/>
    <w:multiLevelType w:val="hybridMultilevel"/>
    <w:tmpl w:val="0436F9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D76282"/>
    <w:multiLevelType w:val="hybridMultilevel"/>
    <w:tmpl w:val="B6DED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C70696"/>
    <w:multiLevelType w:val="hybridMultilevel"/>
    <w:tmpl w:val="9410CE9A"/>
    <w:lvl w:ilvl="0" w:tplc="A5E24488">
      <w:start w:val="1"/>
      <w:numFmt w:val="bullet"/>
      <w:lvlText w:val="•"/>
      <w:lvlJc w:val="left"/>
      <w:pPr>
        <w:tabs>
          <w:tab w:val="num" w:pos="720"/>
        </w:tabs>
        <w:ind w:left="720" w:hanging="360"/>
      </w:pPr>
      <w:rPr>
        <w:rFonts w:ascii="Arial" w:hAnsi="Arial" w:hint="default"/>
      </w:rPr>
    </w:lvl>
    <w:lvl w:ilvl="1" w:tplc="6B2608BA">
      <w:start w:val="1"/>
      <w:numFmt w:val="bullet"/>
      <w:lvlText w:val="•"/>
      <w:lvlJc w:val="left"/>
      <w:pPr>
        <w:tabs>
          <w:tab w:val="num" w:pos="1440"/>
        </w:tabs>
        <w:ind w:left="1440" w:hanging="360"/>
      </w:pPr>
      <w:rPr>
        <w:rFonts w:ascii="Arial" w:hAnsi="Arial" w:hint="default"/>
      </w:rPr>
    </w:lvl>
    <w:lvl w:ilvl="2" w:tplc="3EF8FA04" w:tentative="1">
      <w:start w:val="1"/>
      <w:numFmt w:val="bullet"/>
      <w:lvlText w:val="•"/>
      <w:lvlJc w:val="left"/>
      <w:pPr>
        <w:tabs>
          <w:tab w:val="num" w:pos="2160"/>
        </w:tabs>
        <w:ind w:left="2160" w:hanging="360"/>
      </w:pPr>
      <w:rPr>
        <w:rFonts w:ascii="Arial" w:hAnsi="Arial" w:hint="default"/>
      </w:rPr>
    </w:lvl>
    <w:lvl w:ilvl="3" w:tplc="F1F4B9B2" w:tentative="1">
      <w:start w:val="1"/>
      <w:numFmt w:val="bullet"/>
      <w:lvlText w:val="•"/>
      <w:lvlJc w:val="left"/>
      <w:pPr>
        <w:tabs>
          <w:tab w:val="num" w:pos="2880"/>
        </w:tabs>
        <w:ind w:left="2880" w:hanging="360"/>
      </w:pPr>
      <w:rPr>
        <w:rFonts w:ascii="Arial" w:hAnsi="Arial" w:hint="default"/>
      </w:rPr>
    </w:lvl>
    <w:lvl w:ilvl="4" w:tplc="92A64F32" w:tentative="1">
      <w:start w:val="1"/>
      <w:numFmt w:val="bullet"/>
      <w:lvlText w:val="•"/>
      <w:lvlJc w:val="left"/>
      <w:pPr>
        <w:tabs>
          <w:tab w:val="num" w:pos="3600"/>
        </w:tabs>
        <w:ind w:left="3600" w:hanging="360"/>
      </w:pPr>
      <w:rPr>
        <w:rFonts w:ascii="Arial" w:hAnsi="Arial" w:hint="default"/>
      </w:rPr>
    </w:lvl>
    <w:lvl w:ilvl="5" w:tplc="AAC4B5EC" w:tentative="1">
      <w:start w:val="1"/>
      <w:numFmt w:val="bullet"/>
      <w:lvlText w:val="•"/>
      <w:lvlJc w:val="left"/>
      <w:pPr>
        <w:tabs>
          <w:tab w:val="num" w:pos="4320"/>
        </w:tabs>
        <w:ind w:left="4320" w:hanging="360"/>
      </w:pPr>
      <w:rPr>
        <w:rFonts w:ascii="Arial" w:hAnsi="Arial" w:hint="default"/>
      </w:rPr>
    </w:lvl>
    <w:lvl w:ilvl="6" w:tplc="ABE4CCA8" w:tentative="1">
      <w:start w:val="1"/>
      <w:numFmt w:val="bullet"/>
      <w:lvlText w:val="•"/>
      <w:lvlJc w:val="left"/>
      <w:pPr>
        <w:tabs>
          <w:tab w:val="num" w:pos="5040"/>
        </w:tabs>
        <w:ind w:left="5040" w:hanging="360"/>
      </w:pPr>
      <w:rPr>
        <w:rFonts w:ascii="Arial" w:hAnsi="Arial" w:hint="default"/>
      </w:rPr>
    </w:lvl>
    <w:lvl w:ilvl="7" w:tplc="D520C6B6" w:tentative="1">
      <w:start w:val="1"/>
      <w:numFmt w:val="bullet"/>
      <w:lvlText w:val="•"/>
      <w:lvlJc w:val="left"/>
      <w:pPr>
        <w:tabs>
          <w:tab w:val="num" w:pos="5760"/>
        </w:tabs>
        <w:ind w:left="5760" w:hanging="360"/>
      </w:pPr>
      <w:rPr>
        <w:rFonts w:ascii="Arial" w:hAnsi="Arial" w:hint="default"/>
      </w:rPr>
    </w:lvl>
    <w:lvl w:ilvl="8" w:tplc="BD501BE0" w:tentative="1">
      <w:start w:val="1"/>
      <w:numFmt w:val="bullet"/>
      <w:lvlText w:val="•"/>
      <w:lvlJc w:val="left"/>
      <w:pPr>
        <w:tabs>
          <w:tab w:val="num" w:pos="6480"/>
        </w:tabs>
        <w:ind w:left="6480" w:hanging="360"/>
      </w:pPr>
      <w:rPr>
        <w:rFonts w:ascii="Arial" w:hAnsi="Arial" w:hint="default"/>
      </w:rPr>
    </w:lvl>
  </w:abstractNum>
  <w:abstractNum w:abstractNumId="17">
    <w:nsid w:val="449B3CCA"/>
    <w:multiLevelType w:val="hybridMultilevel"/>
    <w:tmpl w:val="838AC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75ABD"/>
    <w:multiLevelType w:val="hybridMultilevel"/>
    <w:tmpl w:val="8E46821A"/>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9">
    <w:nsid w:val="559A4135"/>
    <w:multiLevelType w:val="hybridMultilevel"/>
    <w:tmpl w:val="9B2C6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EC6F90"/>
    <w:multiLevelType w:val="hybridMultilevel"/>
    <w:tmpl w:val="C400CE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F017ADF"/>
    <w:multiLevelType w:val="hybridMultilevel"/>
    <w:tmpl w:val="16CC05B0"/>
    <w:lvl w:ilvl="0" w:tplc="04100003">
      <w:start w:val="1"/>
      <w:numFmt w:val="bullet"/>
      <w:lvlText w:val="o"/>
      <w:lvlJc w:val="left"/>
      <w:pPr>
        <w:tabs>
          <w:tab w:val="num" w:pos="1068"/>
        </w:tabs>
        <w:ind w:left="1068" w:hanging="360"/>
      </w:pPr>
      <w:rPr>
        <w:rFonts w:ascii="Courier New" w:hAnsi="Courier New" w:cs="Courier New" w:hint="default"/>
      </w:rPr>
    </w:lvl>
    <w:lvl w:ilvl="1" w:tplc="A6581FEE">
      <w:start w:val="1"/>
      <w:numFmt w:val="bullet"/>
      <w:lvlText w:val="•"/>
      <w:lvlJc w:val="left"/>
      <w:pPr>
        <w:tabs>
          <w:tab w:val="num" w:pos="1788"/>
        </w:tabs>
        <w:ind w:left="1788" w:hanging="360"/>
      </w:pPr>
      <w:rPr>
        <w:rFonts w:ascii="Arial" w:hAnsi="Arial" w:hint="default"/>
      </w:rPr>
    </w:lvl>
    <w:lvl w:ilvl="2" w:tplc="75363CC8" w:tentative="1">
      <w:start w:val="1"/>
      <w:numFmt w:val="bullet"/>
      <w:lvlText w:val="•"/>
      <w:lvlJc w:val="left"/>
      <w:pPr>
        <w:tabs>
          <w:tab w:val="num" w:pos="2508"/>
        </w:tabs>
        <w:ind w:left="2508" w:hanging="360"/>
      </w:pPr>
      <w:rPr>
        <w:rFonts w:ascii="Arial" w:hAnsi="Arial" w:hint="default"/>
      </w:rPr>
    </w:lvl>
    <w:lvl w:ilvl="3" w:tplc="51D234E2" w:tentative="1">
      <w:start w:val="1"/>
      <w:numFmt w:val="bullet"/>
      <w:lvlText w:val="•"/>
      <w:lvlJc w:val="left"/>
      <w:pPr>
        <w:tabs>
          <w:tab w:val="num" w:pos="3228"/>
        </w:tabs>
        <w:ind w:left="3228" w:hanging="360"/>
      </w:pPr>
      <w:rPr>
        <w:rFonts w:ascii="Arial" w:hAnsi="Arial" w:hint="default"/>
      </w:rPr>
    </w:lvl>
    <w:lvl w:ilvl="4" w:tplc="2BCCA302" w:tentative="1">
      <w:start w:val="1"/>
      <w:numFmt w:val="bullet"/>
      <w:lvlText w:val="•"/>
      <w:lvlJc w:val="left"/>
      <w:pPr>
        <w:tabs>
          <w:tab w:val="num" w:pos="3948"/>
        </w:tabs>
        <w:ind w:left="3948" w:hanging="360"/>
      </w:pPr>
      <w:rPr>
        <w:rFonts w:ascii="Arial" w:hAnsi="Arial" w:hint="default"/>
      </w:rPr>
    </w:lvl>
    <w:lvl w:ilvl="5" w:tplc="ED300222" w:tentative="1">
      <w:start w:val="1"/>
      <w:numFmt w:val="bullet"/>
      <w:lvlText w:val="•"/>
      <w:lvlJc w:val="left"/>
      <w:pPr>
        <w:tabs>
          <w:tab w:val="num" w:pos="4668"/>
        </w:tabs>
        <w:ind w:left="4668" w:hanging="360"/>
      </w:pPr>
      <w:rPr>
        <w:rFonts w:ascii="Arial" w:hAnsi="Arial" w:hint="default"/>
      </w:rPr>
    </w:lvl>
    <w:lvl w:ilvl="6" w:tplc="38BCDE32" w:tentative="1">
      <w:start w:val="1"/>
      <w:numFmt w:val="bullet"/>
      <w:lvlText w:val="•"/>
      <w:lvlJc w:val="left"/>
      <w:pPr>
        <w:tabs>
          <w:tab w:val="num" w:pos="5388"/>
        </w:tabs>
        <w:ind w:left="5388" w:hanging="360"/>
      </w:pPr>
      <w:rPr>
        <w:rFonts w:ascii="Arial" w:hAnsi="Arial" w:hint="default"/>
      </w:rPr>
    </w:lvl>
    <w:lvl w:ilvl="7" w:tplc="C6289D00" w:tentative="1">
      <w:start w:val="1"/>
      <w:numFmt w:val="bullet"/>
      <w:lvlText w:val="•"/>
      <w:lvlJc w:val="left"/>
      <w:pPr>
        <w:tabs>
          <w:tab w:val="num" w:pos="6108"/>
        </w:tabs>
        <w:ind w:left="6108" w:hanging="360"/>
      </w:pPr>
      <w:rPr>
        <w:rFonts w:ascii="Arial" w:hAnsi="Arial" w:hint="default"/>
      </w:rPr>
    </w:lvl>
    <w:lvl w:ilvl="8" w:tplc="99724576" w:tentative="1">
      <w:start w:val="1"/>
      <w:numFmt w:val="bullet"/>
      <w:lvlText w:val="•"/>
      <w:lvlJc w:val="left"/>
      <w:pPr>
        <w:tabs>
          <w:tab w:val="num" w:pos="6828"/>
        </w:tabs>
        <w:ind w:left="6828" w:hanging="360"/>
      </w:pPr>
      <w:rPr>
        <w:rFonts w:ascii="Arial" w:hAnsi="Arial" w:hint="default"/>
      </w:rPr>
    </w:lvl>
  </w:abstractNum>
  <w:abstractNum w:abstractNumId="22">
    <w:nsid w:val="620066ED"/>
    <w:multiLevelType w:val="hybridMultilevel"/>
    <w:tmpl w:val="B352B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2E66544"/>
    <w:multiLevelType w:val="hybridMultilevel"/>
    <w:tmpl w:val="AB845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FC4822"/>
    <w:multiLevelType w:val="hybridMultilevel"/>
    <w:tmpl w:val="E5906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6C2231"/>
    <w:multiLevelType w:val="hybridMultilevel"/>
    <w:tmpl w:val="F3D00C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CF8021C"/>
    <w:multiLevelType w:val="hybridMultilevel"/>
    <w:tmpl w:val="1B029E44"/>
    <w:lvl w:ilvl="0" w:tplc="1EFAA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3"/>
  </w:num>
  <w:num w:numId="3">
    <w:abstractNumId w:val="0"/>
  </w:num>
  <w:num w:numId="4">
    <w:abstractNumId w:val="15"/>
  </w:num>
  <w:num w:numId="5">
    <w:abstractNumId w:val="5"/>
  </w:num>
  <w:num w:numId="6">
    <w:abstractNumId w:val="19"/>
  </w:num>
  <w:num w:numId="7">
    <w:abstractNumId w:val="7"/>
  </w:num>
  <w:num w:numId="8">
    <w:abstractNumId w:val="20"/>
  </w:num>
  <w:num w:numId="9">
    <w:abstractNumId w:val="8"/>
  </w:num>
  <w:num w:numId="10">
    <w:abstractNumId w:val="1"/>
  </w:num>
  <w:num w:numId="11">
    <w:abstractNumId w:val="24"/>
  </w:num>
  <w:num w:numId="12">
    <w:abstractNumId w:val="2"/>
  </w:num>
  <w:num w:numId="13">
    <w:abstractNumId w:val="21"/>
  </w:num>
  <w:num w:numId="14">
    <w:abstractNumId w:val="6"/>
  </w:num>
  <w:num w:numId="15">
    <w:abstractNumId w:val="16"/>
  </w:num>
  <w:num w:numId="16">
    <w:abstractNumId w:val="25"/>
  </w:num>
  <w:num w:numId="17">
    <w:abstractNumId w:val="9"/>
  </w:num>
  <w:num w:numId="18">
    <w:abstractNumId w:val="14"/>
  </w:num>
  <w:num w:numId="19">
    <w:abstractNumId w:val="12"/>
  </w:num>
  <w:num w:numId="20">
    <w:abstractNumId w:val="26"/>
  </w:num>
  <w:num w:numId="21">
    <w:abstractNumId w:val="13"/>
  </w:num>
  <w:num w:numId="22">
    <w:abstractNumId w:val="10"/>
  </w:num>
  <w:num w:numId="23">
    <w:abstractNumId w:val="4"/>
  </w:num>
  <w:num w:numId="24">
    <w:abstractNumId w:val="3"/>
  </w:num>
  <w:num w:numId="25">
    <w:abstractNumId w:val="1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B7"/>
    <w:rsid w:val="00003499"/>
    <w:rsid w:val="000331E0"/>
    <w:rsid w:val="000535CD"/>
    <w:rsid w:val="00055058"/>
    <w:rsid w:val="00056880"/>
    <w:rsid w:val="000679B0"/>
    <w:rsid w:val="00070A59"/>
    <w:rsid w:val="00071D14"/>
    <w:rsid w:val="000836CD"/>
    <w:rsid w:val="00083984"/>
    <w:rsid w:val="00084D43"/>
    <w:rsid w:val="000938EB"/>
    <w:rsid w:val="00096FA9"/>
    <w:rsid w:val="000A3DE7"/>
    <w:rsid w:val="000A4C74"/>
    <w:rsid w:val="000B3EDD"/>
    <w:rsid w:val="000C4A97"/>
    <w:rsid w:val="000D041D"/>
    <w:rsid w:val="000D7DFD"/>
    <w:rsid w:val="000F2BB7"/>
    <w:rsid w:val="000F6F2B"/>
    <w:rsid w:val="00102B8D"/>
    <w:rsid w:val="00110B26"/>
    <w:rsid w:val="001257D6"/>
    <w:rsid w:val="0013229C"/>
    <w:rsid w:val="0014790F"/>
    <w:rsid w:val="0016188F"/>
    <w:rsid w:val="001622C8"/>
    <w:rsid w:val="00162C97"/>
    <w:rsid w:val="001900EF"/>
    <w:rsid w:val="00190B27"/>
    <w:rsid w:val="00191054"/>
    <w:rsid w:val="001A0110"/>
    <w:rsid w:val="001A7C38"/>
    <w:rsid w:val="001B0CDB"/>
    <w:rsid w:val="001C24A4"/>
    <w:rsid w:val="001C2F2C"/>
    <w:rsid w:val="001C35DC"/>
    <w:rsid w:val="001D2361"/>
    <w:rsid w:val="001E0995"/>
    <w:rsid w:val="001E0C4A"/>
    <w:rsid w:val="001E3565"/>
    <w:rsid w:val="001E4202"/>
    <w:rsid w:val="001E4B99"/>
    <w:rsid w:val="001E633E"/>
    <w:rsid w:val="001E72CE"/>
    <w:rsid w:val="00205F8F"/>
    <w:rsid w:val="00217DD3"/>
    <w:rsid w:val="0024696F"/>
    <w:rsid w:val="002537D1"/>
    <w:rsid w:val="0025429D"/>
    <w:rsid w:val="00265FA6"/>
    <w:rsid w:val="00282D38"/>
    <w:rsid w:val="002A4518"/>
    <w:rsid w:val="002B6E5B"/>
    <w:rsid w:val="002C45F8"/>
    <w:rsid w:val="002C5D1F"/>
    <w:rsid w:val="002C6BF4"/>
    <w:rsid w:val="002D1635"/>
    <w:rsid w:val="002E6EFA"/>
    <w:rsid w:val="00304ED1"/>
    <w:rsid w:val="00306342"/>
    <w:rsid w:val="00312F3C"/>
    <w:rsid w:val="00317A6C"/>
    <w:rsid w:val="003204CC"/>
    <w:rsid w:val="00334AED"/>
    <w:rsid w:val="00336EFA"/>
    <w:rsid w:val="00356707"/>
    <w:rsid w:val="003668B7"/>
    <w:rsid w:val="00386965"/>
    <w:rsid w:val="00386DFC"/>
    <w:rsid w:val="003A508B"/>
    <w:rsid w:val="003A5934"/>
    <w:rsid w:val="003B0100"/>
    <w:rsid w:val="003B1999"/>
    <w:rsid w:val="003B74E3"/>
    <w:rsid w:val="003C72FD"/>
    <w:rsid w:val="003D02F5"/>
    <w:rsid w:val="003D3121"/>
    <w:rsid w:val="003F17D3"/>
    <w:rsid w:val="003F413E"/>
    <w:rsid w:val="003F76FA"/>
    <w:rsid w:val="00410FB2"/>
    <w:rsid w:val="00412CC9"/>
    <w:rsid w:val="00420DBA"/>
    <w:rsid w:val="0043019D"/>
    <w:rsid w:val="00432094"/>
    <w:rsid w:val="00455EBA"/>
    <w:rsid w:val="00473C5B"/>
    <w:rsid w:val="004775CF"/>
    <w:rsid w:val="004C0025"/>
    <w:rsid w:val="004E4DAF"/>
    <w:rsid w:val="004E62EE"/>
    <w:rsid w:val="004F032A"/>
    <w:rsid w:val="004F1BAC"/>
    <w:rsid w:val="004F331C"/>
    <w:rsid w:val="004F4C2B"/>
    <w:rsid w:val="004F7DC9"/>
    <w:rsid w:val="0050715C"/>
    <w:rsid w:val="00530399"/>
    <w:rsid w:val="0054573A"/>
    <w:rsid w:val="0055544B"/>
    <w:rsid w:val="00555688"/>
    <w:rsid w:val="00584C6D"/>
    <w:rsid w:val="005A40C2"/>
    <w:rsid w:val="005C2CE6"/>
    <w:rsid w:val="005C669F"/>
    <w:rsid w:val="005D72B3"/>
    <w:rsid w:val="005E147A"/>
    <w:rsid w:val="005F7493"/>
    <w:rsid w:val="00600DFA"/>
    <w:rsid w:val="00601D6D"/>
    <w:rsid w:val="00615066"/>
    <w:rsid w:val="006302E8"/>
    <w:rsid w:val="006307E2"/>
    <w:rsid w:val="00644B18"/>
    <w:rsid w:val="00646CFD"/>
    <w:rsid w:val="00653459"/>
    <w:rsid w:val="006568B2"/>
    <w:rsid w:val="00657F54"/>
    <w:rsid w:val="00694B2C"/>
    <w:rsid w:val="006A35A9"/>
    <w:rsid w:val="006B492D"/>
    <w:rsid w:val="006B7550"/>
    <w:rsid w:val="006C2315"/>
    <w:rsid w:val="006E01E6"/>
    <w:rsid w:val="006E3A85"/>
    <w:rsid w:val="006E5779"/>
    <w:rsid w:val="006F1768"/>
    <w:rsid w:val="006F1B35"/>
    <w:rsid w:val="006F341E"/>
    <w:rsid w:val="0071047A"/>
    <w:rsid w:val="00710664"/>
    <w:rsid w:val="00711943"/>
    <w:rsid w:val="00720B45"/>
    <w:rsid w:val="00730492"/>
    <w:rsid w:val="00741230"/>
    <w:rsid w:val="00744762"/>
    <w:rsid w:val="007508A5"/>
    <w:rsid w:val="007515A9"/>
    <w:rsid w:val="007619E6"/>
    <w:rsid w:val="00764812"/>
    <w:rsid w:val="00764D84"/>
    <w:rsid w:val="007664A7"/>
    <w:rsid w:val="007666BD"/>
    <w:rsid w:val="0077549A"/>
    <w:rsid w:val="00787168"/>
    <w:rsid w:val="00790282"/>
    <w:rsid w:val="007A79B7"/>
    <w:rsid w:val="007B4C85"/>
    <w:rsid w:val="007B7A1F"/>
    <w:rsid w:val="007C1D03"/>
    <w:rsid w:val="007C53B1"/>
    <w:rsid w:val="007F0FE5"/>
    <w:rsid w:val="007F7649"/>
    <w:rsid w:val="00822B47"/>
    <w:rsid w:val="00833ABC"/>
    <w:rsid w:val="00833D59"/>
    <w:rsid w:val="008522EC"/>
    <w:rsid w:val="00861447"/>
    <w:rsid w:val="008912D7"/>
    <w:rsid w:val="008A704A"/>
    <w:rsid w:val="008C2A6E"/>
    <w:rsid w:val="008D6E7A"/>
    <w:rsid w:val="008E2B1C"/>
    <w:rsid w:val="008F7A2A"/>
    <w:rsid w:val="0090101E"/>
    <w:rsid w:val="009027B5"/>
    <w:rsid w:val="00912B4A"/>
    <w:rsid w:val="00920CCD"/>
    <w:rsid w:val="0092509E"/>
    <w:rsid w:val="0092521C"/>
    <w:rsid w:val="00956AB2"/>
    <w:rsid w:val="00962DEF"/>
    <w:rsid w:val="00972401"/>
    <w:rsid w:val="009809A8"/>
    <w:rsid w:val="009820DA"/>
    <w:rsid w:val="00997D9C"/>
    <w:rsid w:val="009C3A61"/>
    <w:rsid w:val="009E6E95"/>
    <w:rsid w:val="00A330E3"/>
    <w:rsid w:val="00A4385F"/>
    <w:rsid w:val="00A46BBF"/>
    <w:rsid w:val="00A53C0B"/>
    <w:rsid w:val="00A93D9A"/>
    <w:rsid w:val="00A95A31"/>
    <w:rsid w:val="00AA1EC0"/>
    <w:rsid w:val="00AA233B"/>
    <w:rsid w:val="00AB18CC"/>
    <w:rsid w:val="00AC66A7"/>
    <w:rsid w:val="00AD0E85"/>
    <w:rsid w:val="00AE7213"/>
    <w:rsid w:val="00AE7217"/>
    <w:rsid w:val="00B17006"/>
    <w:rsid w:val="00B31F8A"/>
    <w:rsid w:val="00B55F54"/>
    <w:rsid w:val="00B61DF2"/>
    <w:rsid w:val="00B66D66"/>
    <w:rsid w:val="00B73F13"/>
    <w:rsid w:val="00B865CD"/>
    <w:rsid w:val="00B96098"/>
    <w:rsid w:val="00BA6EAD"/>
    <w:rsid w:val="00BB5B74"/>
    <w:rsid w:val="00BE66D3"/>
    <w:rsid w:val="00BF28E4"/>
    <w:rsid w:val="00BF48B5"/>
    <w:rsid w:val="00C44508"/>
    <w:rsid w:val="00C53C33"/>
    <w:rsid w:val="00C72A23"/>
    <w:rsid w:val="00C82134"/>
    <w:rsid w:val="00C85C85"/>
    <w:rsid w:val="00C957C3"/>
    <w:rsid w:val="00CC666B"/>
    <w:rsid w:val="00CC7364"/>
    <w:rsid w:val="00CC7737"/>
    <w:rsid w:val="00CE05F8"/>
    <w:rsid w:val="00CE319A"/>
    <w:rsid w:val="00D12F92"/>
    <w:rsid w:val="00D51C12"/>
    <w:rsid w:val="00D556CE"/>
    <w:rsid w:val="00D91C05"/>
    <w:rsid w:val="00DB6C45"/>
    <w:rsid w:val="00DF6672"/>
    <w:rsid w:val="00E021A7"/>
    <w:rsid w:val="00E136F0"/>
    <w:rsid w:val="00E2095B"/>
    <w:rsid w:val="00E21BB6"/>
    <w:rsid w:val="00E22139"/>
    <w:rsid w:val="00E462F6"/>
    <w:rsid w:val="00E508F8"/>
    <w:rsid w:val="00E52746"/>
    <w:rsid w:val="00E57080"/>
    <w:rsid w:val="00E63A53"/>
    <w:rsid w:val="00E71A27"/>
    <w:rsid w:val="00E859D6"/>
    <w:rsid w:val="00E9234D"/>
    <w:rsid w:val="00EA0FC1"/>
    <w:rsid w:val="00EC75AB"/>
    <w:rsid w:val="00ED24ED"/>
    <w:rsid w:val="00ED51FA"/>
    <w:rsid w:val="00EE023E"/>
    <w:rsid w:val="00F00988"/>
    <w:rsid w:val="00F06CDF"/>
    <w:rsid w:val="00F17F1E"/>
    <w:rsid w:val="00F225CF"/>
    <w:rsid w:val="00F412FF"/>
    <w:rsid w:val="00F5425E"/>
    <w:rsid w:val="00F730D2"/>
    <w:rsid w:val="00F74B0D"/>
    <w:rsid w:val="00F77D16"/>
    <w:rsid w:val="00F901A6"/>
    <w:rsid w:val="00FA22D4"/>
    <w:rsid w:val="00FA59ED"/>
    <w:rsid w:val="00FB7312"/>
    <w:rsid w:val="00FC2BE4"/>
    <w:rsid w:val="00FD17D2"/>
    <w:rsid w:val="00FD4683"/>
    <w:rsid w:val="00FD6F2D"/>
    <w:rsid w:val="00FE1E25"/>
    <w:rsid w:val="00FE739F"/>
    <w:rsid w:val="00FF1441"/>
    <w:rsid w:val="00FF5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84BE"/>
  <w15:docId w15:val="{71E47AD3-104B-4EAC-9741-FCEFF102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0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CC"/>
    <w:pPr>
      <w:ind w:left="720"/>
      <w:contextualSpacing/>
    </w:pPr>
  </w:style>
  <w:style w:type="paragraph" w:styleId="BalloonText">
    <w:name w:val="Balloon Text"/>
    <w:basedOn w:val="Normal"/>
    <w:link w:val="BalloonTextChar"/>
    <w:uiPriority w:val="99"/>
    <w:semiHidden/>
    <w:unhideWhenUsed/>
    <w:rsid w:val="00FA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D4"/>
    <w:rPr>
      <w:rFonts w:ascii="Tahoma" w:hAnsi="Tahoma" w:cs="Tahoma"/>
      <w:sz w:val="16"/>
      <w:szCs w:val="16"/>
    </w:rPr>
  </w:style>
  <w:style w:type="character" w:styleId="CommentReference">
    <w:name w:val="annotation reference"/>
    <w:basedOn w:val="DefaultParagraphFont"/>
    <w:uiPriority w:val="99"/>
    <w:semiHidden/>
    <w:unhideWhenUsed/>
    <w:rsid w:val="004F1BAC"/>
    <w:rPr>
      <w:sz w:val="16"/>
      <w:szCs w:val="16"/>
    </w:rPr>
  </w:style>
  <w:style w:type="paragraph" w:styleId="CommentText">
    <w:name w:val="annotation text"/>
    <w:basedOn w:val="Normal"/>
    <w:link w:val="CommentTextChar"/>
    <w:uiPriority w:val="99"/>
    <w:semiHidden/>
    <w:unhideWhenUsed/>
    <w:rsid w:val="004F1BAC"/>
    <w:pPr>
      <w:spacing w:line="240" w:lineRule="auto"/>
    </w:pPr>
    <w:rPr>
      <w:sz w:val="20"/>
      <w:szCs w:val="20"/>
    </w:rPr>
  </w:style>
  <w:style w:type="character" w:customStyle="1" w:styleId="CommentTextChar">
    <w:name w:val="Comment Text Char"/>
    <w:basedOn w:val="DefaultParagraphFont"/>
    <w:link w:val="CommentText"/>
    <w:uiPriority w:val="99"/>
    <w:semiHidden/>
    <w:rsid w:val="004F1BAC"/>
    <w:rPr>
      <w:sz w:val="20"/>
      <w:szCs w:val="20"/>
    </w:rPr>
  </w:style>
  <w:style w:type="paragraph" w:styleId="CommentSubject">
    <w:name w:val="annotation subject"/>
    <w:basedOn w:val="CommentText"/>
    <w:next w:val="CommentText"/>
    <w:link w:val="CommentSubjectChar"/>
    <w:uiPriority w:val="99"/>
    <w:semiHidden/>
    <w:unhideWhenUsed/>
    <w:rsid w:val="004F1BAC"/>
    <w:rPr>
      <w:b/>
      <w:bCs/>
    </w:rPr>
  </w:style>
  <w:style w:type="character" w:customStyle="1" w:styleId="CommentSubjectChar">
    <w:name w:val="Comment Subject Char"/>
    <w:basedOn w:val="CommentTextChar"/>
    <w:link w:val="CommentSubject"/>
    <w:uiPriority w:val="99"/>
    <w:semiHidden/>
    <w:rsid w:val="004F1BAC"/>
    <w:rPr>
      <w:b/>
      <w:bCs/>
      <w:sz w:val="20"/>
      <w:szCs w:val="20"/>
    </w:rPr>
  </w:style>
  <w:style w:type="character" w:customStyle="1" w:styleId="Heading1Char">
    <w:name w:val="Heading 1 Char"/>
    <w:basedOn w:val="DefaultParagraphFont"/>
    <w:link w:val="Heading1"/>
    <w:uiPriority w:val="9"/>
    <w:rsid w:val="00B9609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96098"/>
    <w:pPr>
      <w:spacing w:line="259" w:lineRule="auto"/>
      <w:outlineLvl w:val="9"/>
    </w:pPr>
    <w:rPr>
      <w:lang w:eastAsia="it-IT"/>
    </w:rPr>
  </w:style>
  <w:style w:type="paragraph" w:styleId="TOC1">
    <w:name w:val="toc 1"/>
    <w:basedOn w:val="Normal"/>
    <w:next w:val="Normal"/>
    <w:autoRedefine/>
    <w:uiPriority w:val="39"/>
    <w:unhideWhenUsed/>
    <w:rsid w:val="00B96098"/>
    <w:pPr>
      <w:spacing w:after="100"/>
    </w:pPr>
  </w:style>
  <w:style w:type="character" w:styleId="Hyperlink">
    <w:name w:val="Hyperlink"/>
    <w:basedOn w:val="DefaultParagraphFont"/>
    <w:uiPriority w:val="99"/>
    <w:unhideWhenUsed/>
    <w:rsid w:val="00B96098"/>
    <w:rPr>
      <w:color w:val="0000FF" w:themeColor="hyperlink"/>
      <w:u w:val="single"/>
    </w:rPr>
  </w:style>
  <w:style w:type="paragraph" w:styleId="Header">
    <w:name w:val="header"/>
    <w:basedOn w:val="Normal"/>
    <w:link w:val="HeaderChar"/>
    <w:uiPriority w:val="99"/>
    <w:unhideWhenUsed/>
    <w:rsid w:val="00420DBA"/>
    <w:pPr>
      <w:tabs>
        <w:tab w:val="center" w:pos="4819"/>
        <w:tab w:val="right" w:pos="9638"/>
      </w:tabs>
      <w:spacing w:after="0" w:line="240" w:lineRule="auto"/>
    </w:pPr>
  </w:style>
  <w:style w:type="character" w:customStyle="1" w:styleId="HeaderChar">
    <w:name w:val="Header Char"/>
    <w:basedOn w:val="DefaultParagraphFont"/>
    <w:link w:val="Header"/>
    <w:uiPriority w:val="99"/>
    <w:rsid w:val="00420DBA"/>
  </w:style>
  <w:style w:type="paragraph" w:styleId="Footer">
    <w:name w:val="footer"/>
    <w:basedOn w:val="Normal"/>
    <w:link w:val="FooterChar"/>
    <w:uiPriority w:val="99"/>
    <w:unhideWhenUsed/>
    <w:rsid w:val="00420DB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20DBA"/>
  </w:style>
  <w:style w:type="paragraph" w:styleId="FootnoteText">
    <w:name w:val="footnote text"/>
    <w:basedOn w:val="Normal"/>
    <w:link w:val="FootnoteTextChar"/>
    <w:uiPriority w:val="99"/>
    <w:semiHidden/>
    <w:unhideWhenUsed/>
    <w:rsid w:val="00420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DBA"/>
    <w:rPr>
      <w:sz w:val="20"/>
      <w:szCs w:val="20"/>
    </w:rPr>
  </w:style>
  <w:style w:type="character" w:styleId="FootnoteReference">
    <w:name w:val="footnote reference"/>
    <w:basedOn w:val="DefaultParagraphFont"/>
    <w:uiPriority w:val="99"/>
    <w:semiHidden/>
    <w:unhideWhenUsed/>
    <w:rsid w:val="00420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857">
      <w:bodyDiv w:val="1"/>
      <w:marLeft w:val="0"/>
      <w:marRight w:val="0"/>
      <w:marTop w:val="0"/>
      <w:marBottom w:val="0"/>
      <w:divBdr>
        <w:top w:val="none" w:sz="0" w:space="0" w:color="auto"/>
        <w:left w:val="none" w:sz="0" w:space="0" w:color="auto"/>
        <w:bottom w:val="none" w:sz="0" w:space="0" w:color="auto"/>
        <w:right w:val="none" w:sz="0" w:space="0" w:color="auto"/>
      </w:divBdr>
    </w:div>
    <w:div w:id="1134717450">
      <w:bodyDiv w:val="1"/>
      <w:marLeft w:val="0"/>
      <w:marRight w:val="0"/>
      <w:marTop w:val="0"/>
      <w:marBottom w:val="0"/>
      <w:divBdr>
        <w:top w:val="none" w:sz="0" w:space="0" w:color="auto"/>
        <w:left w:val="none" w:sz="0" w:space="0" w:color="auto"/>
        <w:bottom w:val="none" w:sz="0" w:space="0" w:color="auto"/>
        <w:right w:val="none" w:sz="0" w:space="0" w:color="auto"/>
      </w:divBdr>
    </w:div>
    <w:div w:id="1170674867">
      <w:bodyDiv w:val="1"/>
      <w:marLeft w:val="0"/>
      <w:marRight w:val="0"/>
      <w:marTop w:val="0"/>
      <w:marBottom w:val="0"/>
      <w:divBdr>
        <w:top w:val="none" w:sz="0" w:space="0" w:color="auto"/>
        <w:left w:val="none" w:sz="0" w:space="0" w:color="auto"/>
        <w:bottom w:val="none" w:sz="0" w:space="0" w:color="auto"/>
        <w:right w:val="none" w:sz="0" w:space="0" w:color="auto"/>
      </w:divBdr>
    </w:div>
    <w:div w:id="1207108169">
      <w:bodyDiv w:val="1"/>
      <w:marLeft w:val="0"/>
      <w:marRight w:val="0"/>
      <w:marTop w:val="0"/>
      <w:marBottom w:val="0"/>
      <w:divBdr>
        <w:top w:val="none" w:sz="0" w:space="0" w:color="auto"/>
        <w:left w:val="none" w:sz="0" w:space="0" w:color="auto"/>
        <w:bottom w:val="none" w:sz="0" w:space="0" w:color="auto"/>
        <w:right w:val="none" w:sz="0" w:space="0" w:color="auto"/>
      </w:divBdr>
    </w:div>
    <w:div w:id="1672222640">
      <w:bodyDiv w:val="1"/>
      <w:marLeft w:val="0"/>
      <w:marRight w:val="0"/>
      <w:marTop w:val="0"/>
      <w:marBottom w:val="0"/>
      <w:divBdr>
        <w:top w:val="none" w:sz="0" w:space="0" w:color="auto"/>
        <w:left w:val="none" w:sz="0" w:space="0" w:color="auto"/>
        <w:bottom w:val="none" w:sz="0" w:space="0" w:color="auto"/>
        <w:right w:val="none" w:sz="0" w:space="0" w:color="auto"/>
      </w:divBdr>
    </w:div>
    <w:div w:id="1769814220">
      <w:bodyDiv w:val="1"/>
      <w:marLeft w:val="0"/>
      <w:marRight w:val="0"/>
      <w:marTop w:val="0"/>
      <w:marBottom w:val="0"/>
      <w:divBdr>
        <w:top w:val="none" w:sz="0" w:space="0" w:color="auto"/>
        <w:left w:val="none" w:sz="0" w:space="0" w:color="auto"/>
        <w:bottom w:val="none" w:sz="0" w:space="0" w:color="auto"/>
        <w:right w:val="none" w:sz="0" w:space="0" w:color="auto"/>
      </w:divBdr>
      <w:divsChild>
        <w:div w:id="1004360018">
          <w:marLeft w:val="1166"/>
          <w:marRight w:val="0"/>
          <w:marTop w:val="0"/>
          <w:marBottom w:val="0"/>
          <w:divBdr>
            <w:top w:val="none" w:sz="0" w:space="0" w:color="auto"/>
            <w:left w:val="none" w:sz="0" w:space="0" w:color="auto"/>
            <w:bottom w:val="none" w:sz="0" w:space="0" w:color="auto"/>
            <w:right w:val="none" w:sz="0" w:space="0" w:color="auto"/>
          </w:divBdr>
        </w:div>
        <w:div w:id="880678372">
          <w:marLeft w:val="1166"/>
          <w:marRight w:val="0"/>
          <w:marTop w:val="0"/>
          <w:marBottom w:val="0"/>
          <w:divBdr>
            <w:top w:val="none" w:sz="0" w:space="0" w:color="auto"/>
            <w:left w:val="none" w:sz="0" w:space="0" w:color="auto"/>
            <w:bottom w:val="none" w:sz="0" w:space="0" w:color="auto"/>
            <w:right w:val="none" w:sz="0" w:space="0" w:color="auto"/>
          </w:divBdr>
        </w:div>
      </w:divsChild>
    </w:div>
    <w:div w:id="1874730455">
      <w:bodyDiv w:val="1"/>
      <w:marLeft w:val="0"/>
      <w:marRight w:val="0"/>
      <w:marTop w:val="0"/>
      <w:marBottom w:val="0"/>
      <w:divBdr>
        <w:top w:val="none" w:sz="0" w:space="0" w:color="auto"/>
        <w:left w:val="none" w:sz="0" w:space="0" w:color="auto"/>
        <w:bottom w:val="none" w:sz="0" w:space="0" w:color="auto"/>
        <w:right w:val="none" w:sz="0" w:space="0" w:color="auto"/>
      </w:divBdr>
      <w:divsChild>
        <w:div w:id="765342107">
          <w:marLeft w:val="446"/>
          <w:marRight w:val="0"/>
          <w:marTop w:val="0"/>
          <w:marBottom w:val="0"/>
          <w:divBdr>
            <w:top w:val="none" w:sz="0" w:space="0" w:color="auto"/>
            <w:left w:val="none" w:sz="0" w:space="0" w:color="auto"/>
            <w:bottom w:val="none" w:sz="0" w:space="0" w:color="auto"/>
            <w:right w:val="none" w:sz="0" w:space="0" w:color="auto"/>
          </w:divBdr>
        </w:div>
        <w:div w:id="1236013517">
          <w:marLeft w:val="446"/>
          <w:marRight w:val="0"/>
          <w:marTop w:val="0"/>
          <w:marBottom w:val="0"/>
          <w:divBdr>
            <w:top w:val="none" w:sz="0" w:space="0" w:color="auto"/>
            <w:left w:val="none" w:sz="0" w:space="0" w:color="auto"/>
            <w:bottom w:val="none" w:sz="0" w:space="0" w:color="auto"/>
            <w:right w:val="none" w:sz="0" w:space="0" w:color="auto"/>
          </w:divBdr>
        </w:div>
        <w:div w:id="1203902735">
          <w:marLeft w:val="446"/>
          <w:marRight w:val="0"/>
          <w:marTop w:val="0"/>
          <w:marBottom w:val="0"/>
          <w:divBdr>
            <w:top w:val="none" w:sz="0" w:space="0" w:color="auto"/>
            <w:left w:val="none" w:sz="0" w:space="0" w:color="auto"/>
            <w:bottom w:val="none" w:sz="0" w:space="0" w:color="auto"/>
            <w:right w:val="none" w:sz="0" w:space="0" w:color="auto"/>
          </w:divBdr>
        </w:div>
        <w:div w:id="18076210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66AD-FA52-4976-9D23-B406D50E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2659</Words>
  <Characters>15160</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Prometeia</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piazzollaa</dc:creator>
  <cp:lastModifiedBy>Andrea Piazzolla</cp:lastModifiedBy>
  <cp:revision>2</cp:revision>
  <cp:lastPrinted>2015-01-29T10:44:00Z</cp:lastPrinted>
  <dcterms:created xsi:type="dcterms:W3CDTF">2016-01-21T16:27:00Z</dcterms:created>
  <dcterms:modified xsi:type="dcterms:W3CDTF">2016-01-21T16:27:00Z</dcterms:modified>
</cp:coreProperties>
</file>