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23" w:rsidRPr="000C1336" w:rsidRDefault="00E60623" w:rsidP="00496C03">
      <w:pPr>
        <w:spacing w:after="0"/>
        <w:jc w:val="center"/>
        <w:rPr>
          <w:rFonts w:ascii="Arial" w:hAnsi="Arial" w:cs="Arial"/>
          <w:b/>
          <w:sz w:val="20"/>
          <w:szCs w:val="20"/>
        </w:rPr>
      </w:pPr>
      <w:r w:rsidRPr="000C1336">
        <w:rPr>
          <w:rFonts w:ascii="Arial" w:hAnsi="Arial" w:cs="Arial"/>
          <w:b/>
          <w:noProof/>
          <w:sz w:val="20"/>
          <w:szCs w:val="20"/>
          <w:lang w:eastAsia="fr-FR"/>
        </w:rPr>
        <w:drawing>
          <wp:inline distT="0" distB="0" distL="0" distR="0" wp14:anchorId="35179A72" wp14:editId="658CCB13">
            <wp:extent cx="926592" cy="621792"/>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01 28 LogoAS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6592" cy="621792"/>
                    </a:xfrm>
                    <a:prstGeom prst="rect">
                      <a:avLst/>
                    </a:prstGeom>
                  </pic:spPr>
                </pic:pic>
              </a:graphicData>
            </a:graphic>
          </wp:inline>
        </w:drawing>
      </w:r>
    </w:p>
    <w:p w:rsidR="00E60623" w:rsidRPr="000C1336" w:rsidRDefault="00E60623" w:rsidP="00496C03">
      <w:pPr>
        <w:spacing w:after="0"/>
        <w:jc w:val="center"/>
        <w:rPr>
          <w:rFonts w:ascii="Arial" w:hAnsi="Arial" w:cs="Arial"/>
          <w:b/>
          <w:sz w:val="20"/>
          <w:szCs w:val="20"/>
        </w:rPr>
      </w:pPr>
    </w:p>
    <w:p w:rsidR="00496C03" w:rsidRPr="000C1336" w:rsidRDefault="000C1336" w:rsidP="00496C03">
      <w:pPr>
        <w:spacing w:after="0"/>
        <w:jc w:val="center"/>
        <w:rPr>
          <w:rFonts w:ascii="Arial" w:hAnsi="Arial" w:cs="Arial"/>
          <w:b/>
          <w:sz w:val="20"/>
          <w:szCs w:val="20"/>
          <w:lang w:val="en-US"/>
        </w:rPr>
      </w:pPr>
      <w:r w:rsidRPr="000C1336">
        <w:rPr>
          <w:rFonts w:ascii="Arial" w:hAnsi="Arial" w:cs="Arial"/>
          <w:b/>
          <w:sz w:val="20"/>
          <w:szCs w:val="20"/>
          <w:lang w:val="en-US"/>
        </w:rPr>
        <w:t xml:space="preserve">EBA </w:t>
      </w:r>
      <w:r w:rsidR="0000147A" w:rsidRPr="000C1336">
        <w:rPr>
          <w:rFonts w:ascii="Arial" w:hAnsi="Arial" w:cs="Arial"/>
          <w:b/>
          <w:sz w:val="20"/>
          <w:szCs w:val="20"/>
          <w:lang w:val="en-US"/>
        </w:rPr>
        <w:t xml:space="preserve">Consultation </w:t>
      </w:r>
      <w:r w:rsidRPr="000C1336">
        <w:rPr>
          <w:rFonts w:ascii="Arial" w:hAnsi="Arial" w:cs="Arial"/>
          <w:b/>
          <w:sz w:val="20"/>
          <w:szCs w:val="20"/>
          <w:lang w:val="en-US"/>
        </w:rPr>
        <w:t>Paper</w:t>
      </w:r>
      <w:r w:rsidR="0000147A" w:rsidRPr="000C1336">
        <w:rPr>
          <w:rFonts w:ascii="Arial" w:hAnsi="Arial" w:cs="Arial"/>
          <w:b/>
          <w:sz w:val="20"/>
          <w:szCs w:val="20"/>
          <w:lang w:val="en-US"/>
        </w:rPr>
        <w:t xml:space="preserve"> </w:t>
      </w:r>
    </w:p>
    <w:p w:rsidR="00496C03" w:rsidRPr="000C1336" w:rsidRDefault="000C1336" w:rsidP="00496C03">
      <w:pPr>
        <w:spacing w:after="0"/>
        <w:jc w:val="center"/>
        <w:rPr>
          <w:rFonts w:ascii="Arial" w:hAnsi="Arial" w:cs="Arial"/>
          <w:b/>
          <w:sz w:val="20"/>
          <w:szCs w:val="20"/>
          <w:lang w:val="en-US"/>
        </w:rPr>
      </w:pPr>
      <w:proofErr w:type="gramStart"/>
      <w:r w:rsidRPr="000C1336">
        <w:rPr>
          <w:rFonts w:ascii="Arial" w:hAnsi="Arial" w:cs="Arial"/>
          <w:b/>
          <w:sz w:val="20"/>
          <w:szCs w:val="20"/>
          <w:lang w:val="en-US"/>
        </w:rPr>
        <w:t>on</w:t>
      </w:r>
      <w:proofErr w:type="gramEnd"/>
      <w:r w:rsidRPr="000C1336">
        <w:rPr>
          <w:rFonts w:ascii="Arial" w:hAnsi="Arial" w:cs="Arial"/>
          <w:b/>
          <w:sz w:val="20"/>
          <w:szCs w:val="20"/>
          <w:lang w:val="en-US"/>
        </w:rPr>
        <w:t xml:space="preserve"> Guidelines on the </w:t>
      </w:r>
      <w:r w:rsidR="0000147A" w:rsidRPr="000C1336">
        <w:rPr>
          <w:rFonts w:ascii="Arial" w:hAnsi="Arial" w:cs="Arial"/>
          <w:b/>
          <w:sz w:val="20"/>
          <w:szCs w:val="20"/>
          <w:lang w:val="en-US"/>
        </w:rPr>
        <w:t xml:space="preserve">application </w:t>
      </w:r>
    </w:p>
    <w:p w:rsidR="00B64981" w:rsidRPr="000C1336" w:rsidRDefault="000C1336" w:rsidP="000C1336">
      <w:pPr>
        <w:pBdr>
          <w:bottom w:val="single" w:sz="4" w:space="1" w:color="auto"/>
        </w:pBdr>
        <w:spacing w:after="0"/>
        <w:jc w:val="center"/>
        <w:rPr>
          <w:rFonts w:ascii="Arial" w:hAnsi="Arial" w:cs="Arial"/>
          <w:b/>
          <w:sz w:val="20"/>
          <w:szCs w:val="20"/>
          <w:lang w:val="en-US"/>
        </w:rPr>
      </w:pPr>
      <w:proofErr w:type="gramStart"/>
      <w:r w:rsidRPr="000C1336">
        <w:rPr>
          <w:rFonts w:ascii="Arial" w:hAnsi="Arial" w:cs="Arial"/>
          <w:b/>
          <w:sz w:val="20"/>
          <w:szCs w:val="20"/>
          <w:lang w:val="en-US"/>
        </w:rPr>
        <w:t>of</w:t>
      </w:r>
      <w:proofErr w:type="gramEnd"/>
      <w:r w:rsidRPr="000C1336">
        <w:rPr>
          <w:rFonts w:ascii="Arial" w:hAnsi="Arial" w:cs="Arial"/>
          <w:b/>
          <w:sz w:val="20"/>
          <w:szCs w:val="20"/>
          <w:lang w:val="en-US"/>
        </w:rPr>
        <w:t xml:space="preserve"> the definition of default under </w:t>
      </w:r>
      <w:r w:rsidR="0000147A" w:rsidRPr="000C1336">
        <w:rPr>
          <w:rFonts w:ascii="Arial" w:hAnsi="Arial" w:cs="Arial"/>
          <w:b/>
          <w:sz w:val="20"/>
          <w:szCs w:val="20"/>
          <w:lang w:val="en-US"/>
        </w:rPr>
        <w:t xml:space="preserve">article 178 </w:t>
      </w:r>
      <w:r w:rsidRPr="000C1336">
        <w:rPr>
          <w:rFonts w:ascii="Arial" w:hAnsi="Arial" w:cs="Arial"/>
          <w:b/>
          <w:sz w:val="20"/>
          <w:szCs w:val="20"/>
          <w:lang w:val="en-US"/>
        </w:rPr>
        <w:t>of regulation (EU) 575/2013</w:t>
      </w:r>
      <w:r w:rsidR="00760287">
        <w:rPr>
          <w:rStyle w:val="Appelnotedebasdep"/>
          <w:rFonts w:ascii="Arial" w:hAnsi="Arial" w:cs="Arial"/>
          <w:b/>
          <w:sz w:val="20"/>
          <w:szCs w:val="20"/>
          <w:lang w:val="en-US"/>
        </w:rPr>
        <w:footnoteReference w:id="1"/>
      </w:r>
      <w:r w:rsidR="0000147A" w:rsidRPr="000C1336">
        <w:rPr>
          <w:rFonts w:ascii="Arial" w:hAnsi="Arial" w:cs="Arial"/>
          <w:b/>
          <w:sz w:val="20"/>
          <w:szCs w:val="20"/>
          <w:lang w:val="en-US"/>
        </w:rPr>
        <w:t>.</w:t>
      </w:r>
    </w:p>
    <w:p w:rsidR="0000147A" w:rsidRPr="000C1336" w:rsidRDefault="0000147A" w:rsidP="00123634">
      <w:pPr>
        <w:spacing w:after="0"/>
        <w:jc w:val="both"/>
        <w:rPr>
          <w:rFonts w:ascii="Arial" w:hAnsi="Arial" w:cs="Arial"/>
          <w:sz w:val="20"/>
          <w:szCs w:val="20"/>
          <w:lang w:val="en-US"/>
        </w:rPr>
      </w:pPr>
    </w:p>
    <w:p w:rsidR="000C1336" w:rsidRPr="000C1336" w:rsidRDefault="000C1336" w:rsidP="000C1336">
      <w:pPr>
        <w:spacing w:after="0"/>
        <w:jc w:val="both"/>
        <w:rPr>
          <w:rFonts w:ascii="Arial" w:hAnsi="Arial" w:cs="Arial"/>
          <w:sz w:val="20"/>
          <w:szCs w:val="20"/>
          <w:lang w:val="en-GB"/>
        </w:rPr>
      </w:pPr>
    </w:p>
    <w:p w:rsidR="000C1336" w:rsidRPr="000C1336" w:rsidRDefault="000C1336" w:rsidP="00DF515E">
      <w:pPr>
        <w:spacing w:after="0" w:line="240" w:lineRule="auto"/>
        <w:jc w:val="both"/>
        <w:rPr>
          <w:rFonts w:ascii="Arial" w:hAnsi="Arial" w:cs="Arial"/>
          <w:sz w:val="20"/>
          <w:szCs w:val="20"/>
          <w:lang w:val="en-GB"/>
        </w:rPr>
      </w:pPr>
      <w:r w:rsidRPr="000C1336">
        <w:rPr>
          <w:rFonts w:ascii="Arial" w:hAnsi="Arial" w:cs="Arial"/>
          <w:sz w:val="20"/>
          <w:szCs w:val="20"/>
          <w:lang w:val="en-GB"/>
        </w:rPr>
        <w:t>As a unique representative body of all</w:t>
      </w:r>
      <w:r w:rsidRPr="000C1336">
        <w:rPr>
          <w:rFonts w:ascii="Arial" w:hAnsi="Arial" w:cs="Arial"/>
          <w:i/>
          <w:sz w:val="20"/>
          <w:szCs w:val="20"/>
          <w:lang w:val="en-GB"/>
        </w:rPr>
        <w:t xml:space="preserve"> </w:t>
      </w:r>
      <w:r w:rsidRPr="000C1336">
        <w:rPr>
          <w:rFonts w:ascii="Arial" w:hAnsi="Arial" w:cs="Arial"/>
          <w:sz w:val="20"/>
          <w:szCs w:val="20"/>
          <w:lang w:val="en-GB"/>
        </w:rPr>
        <w:t>the French specialised credit institutions and financial institutions which represents 290 entities, ASF contributes to an appropriate recognition of the specialised financial activities like equipment and real estate leasing, factoring, consumer credit and auto loans and leases, mutual guarantee societies which – with an outstanding of more than €215 billion in 2014 – accounts for about 20% of total amount of credits to the real economy in France.</w:t>
      </w:r>
    </w:p>
    <w:p w:rsidR="000C1336" w:rsidRPr="000C1336" w:rsidRDefault="000C1336" w:rsidP="00DF515E">
      <w:pPr>
        <w:pStyle w:val="Default"/>
        <w:jc w:val="both"/>
        <w:rPr>
          <w:rFonts w:ascii="Arial" w:hAnsi="Arial" w:cs="Arial"/>
          <w:color w:val="auto"/>
          <w:sz w:val="20"/>
          <w:szCs w:val="20"/>
          <w:lang w:val="en-GB"/>
        </w:rPr>
      </w:pPr>
      <w:r w:rsidRPr="000C1336">
        <w:rPr>
          <w:rFonts w:ascii="Arial" w:hAnsi="Arial" w:cs="Arial"/>
          <w:color w:val="auto"/>
          <w:sz w:val="20"/>
          <w:szCs w:val="20"/>
          <w:lang w:val="en-GB"/>
        </w:rPr>
        <w:t xml:space="preserve">We would like to thank you for giving us the opportunity to respond to the </w:t>
      </w:r>
      <w:r w:rsidRPr="000C1336">
        <w:rPr>
          <w:rFonts w:ascii="Arial" w:hAnsi="Arial" w:cs="Arial"/>
          <w:sz w:val="20"/>
          <w:szCs w:val="20"/>
          <w:lang w:val="en-US"/>
        </w:rPr>
        <w:t>Discussion paper &amp; Call for evidence on SMEs and SME supporting factor</w:t>
      </w:r>
      <w:r w:rsidRPr="000C1336">
        <w:rPr>
          <w:rFonts w:ascii="Arial" w:hAnsi="Arial" w:cs="Arial"/>
          <w:color w:val="auto"/>
          <w:sz w:val="20"/>
          <w:szCs w:val="20"/>
          <w:lang w:val="en-GB"/>
        </w:rPr>
        <w:t xml:space="preserve">. We would like to draw your attention to some facts and suggestions related to the specificities of our credit activities. </w:t>
      </w:r>
    </w:p>
    <w:p w:rsidR="004D4089" w:rsidRDefault="004D4089" w:rsidP="00DF515E">
      <w:pPr>
        <w:spacing w:after="0" w:line="240" w:lineRule="auto"/>
        <w:jc w:val="both"/>
        <w:rPr>
          <w:rFonts w:ascii="Arial" w:hAnsi="Arial" w:cs="Arial"/>
          <w:sz w:val="20"/>
          <w:szCs w:val="20"/>
          <w:lang w:val="en-US"/>
        </w:rPr>
      </w:pPr>
    </w:p>
    <w:p w:rsidR="004F7766" w:rsidRDefault="004F7766" w:rsidP="00DF515E">
      <w:pPr>
        <w:spacing w:after="0" w:line="240" w:lineRule="auto"/>
        <w:jc w:val="both"/>
        <w:rPr>
          <w:rFonts w:ascii="Arial" w:hAnsi="Arial" w:cs="Arial"/>
          <w:sz w:val="20"/>
          <w:szCs w:val="20"/>
          <w:lang w:val="en-US"/>
        </w:rPr>
      </w:pPr>
    </w:p>
    <w:p w:rsidR="00DF515E" w:rsidRPr="0088221E" w:rsidRDefault="00DF515E" w:rsidP="00DF515E">
      <w:pPr>
        <w:spacing w:after="0" w:line="240" w:lineRule="auto"/>
        <w:jc w:val="both"/>
        <w:rPr>
          <w:rFonts w:ascii="Arial" w:hAnsi="Arial" w:cs="Arial"/>
          <w:b/>
          <w:sz w:val="20"/>
          <w:szCs w:val="20"/>
          <w:lang w:val="en-US"/>
        </w:rPr>
      </w:pPr>
      <w:r w:rsidRPr="0088221E">
        <w:rPr>
          <w:rFonts w:ascii="Arial" w:hAnsi="Arial" w:cs="Arial"/>
          <w:b/>
          <w:sz w:val="20"/>
          <w:szCs w:val="20"/>
          <w:lang w:val="en-US"/>
        </w:rPr>
        <w:t>The specificities of factoring and the reasons for a specific treatment</w:t>
      </w:r>
    </w:p>
    <w:p w:rsidR="004F7766" w:rsidRDefault="004F7766" w:rsidP="00DF515E">
      <w:pPr>
        <w:spacing w:after="0" w:line="240" w:lineRule="auto"/>
        <w:jc w:val="both"/>
        <w:rPr>
          <w:rFonts w:ascii="Arial" w:hAnsi="Arial" w:cs="Arial"/>
          <w:sz w:val="20"/>
          <w:szCs w:val="20"/>
          <w:lang w:val="en-US"/>
        </w:rPr>
      </w:pPr>
    </w:p>
    <w:p w:rsidR="00DF515E" w:rsidRPr="00B2754A" w:rsidRDefault="00DF515E" w:rsidP="00DF515E">
      <w:pPr>
        <w:spacing w:after="0" w:line="240" w:lineRule="auto"/>
        <w:jc w:val="both"/>
        <w:rPr>
          <w:rFonts w:ascii="Arial" w:hAnsi="Arial" w:cs="Arial"/>
          <w:sz w:val="20"/>
          <w:szCs w:val="20"/>
          <w:lang w:val="en-US"/>
        </w:rPr>
      </w:pPr>
      <w:r w:rsidRPr="00B2754A">
        <w:rPr>
          <w:rFonts w:ascii="Arial" w:hAnsi="Arial" w:cs="Arial"/>
          <w:sz w:val="20"/>
          <w:szCs w:val="20"/>
          <w:lang w:val="en-US"/>
        </w:rPr>
        <w:t xml:space="preserve">Factoring must be considered as a low risk financial product: Factoring is a flexible form of finance which is secured by way of assignment or purchase of receivables. </w:t>
      </w:r>
    </w:p>
    <w:p w:rsidR="00DF515E" w:rsidRPr="00B2754A" w:rsidRDefault="00DF515E" w:rsidP="00DF515E">
      <w:pPr>
        <w:spacing w:after="0" w:line="240" w:lineRule="auto"/>
        <w:jc w:val="both"/>
        <w:rPr>
          <w:rFonts w:ascii="Arial" w:hAnsi="Arial" w:cs="Arial"/>
          <w:sz w:val="20"/>
          <w:szCs w:val="20"/>
          <w:lang w:val="en-US"/>
        </w:rPr>
      </w:pPr>
      <w:r w:rsidRPr="00B2754A">
        <w:rPr>
          <w:rFonts w:ascii="Arial" w:hAnsi="Arial" w:cs="Arial"/>
          <w:sz w:val="20"/>
          <w:szCs w:val="20"/>
          <w:lang w:val="en-US"/>
        </w:rPr>
        <w:t xml:space="preserve">The peculiar nature of this kind of exposures encompasses some differences from the exposures rising from traditional finance products, that can be summarized as </w:t>
      </w:r>
      <w:proofErr w:type="gramStart"/>
      <w:r w:rsidRPr="00B2754A">
        <w:rPr>
          <w:rFonts w:ascii="Arial" w:hAnsi="Arial" w:cs="Arial"/>
          <w:sz w:val="20"/>
          <w:szCs w:val="20"/>
          <w:lang w:val="en-US"/>
        </w:rPr>
        <w:t>follows :</w:t>
      </w:r>
      <w:proofErr w:type="gramEnd"/>
    </w:p>
    <w:p w:rsidR="00DF515E" w:rsidRPr="00B2754A" w:rsidRDefault="00DF515E" w:rsidP="00DF515E">
      <w:pPr>
        <w:spacing w:after="0" w:line="240" w:lineRule="auto"/>
        <w:ind w:left="851" w:hanging="142"/>
        <w:jc w:val="both"/>
        <w:rPr>
          <w:rFonts w:ascii="Arial" w:hAnsi="Arial" w:cs="Arial"/>
          <w:sz w:val="20"/>
          <w:szCs w:val="20"/>
          <w:lang w:val="en-US"/>
        </w:rPr>
      </w:pPr>
      <w:r w:rsidRPr="00B2754A">
        <w:rPr>
          <w:rFonts w:ascii="Arial" w:hAnsi="Arial" w:cs="Arial"/>
          <w:sz w:val="20"/>
          <w:szCs w:val="20"/>
          <w:lang w:val="en-US"/>
        </w:rPr>
        <w:t>-</w:t>
      </w:r>
      <w:r w:rsidRPr="00B2754A">
        <w:rPr>
          <w:rFonts w:ascii="Arial" w:hAnsi="Arial" w:cs="Arial"/>
          <w:sz w:val="20"/>
          <w:szCs w:val="20"/>
          <w:lang w:val="en-US"/>
        </w:rPr>
        <w:tab/>
      </w:r>
      <w:proofErr w:type="gramStart"/>
      <w:r w:rsidRPr="00B2754A">
        <w:rPr>
          <w:rFonts w:ascii="Arial" w:hAnsi="Arial" w:cs="Arial"/>
          <w:sz w:val="20"/>
          <w:szCs w:val="20"/>
          <w:lang w:val="en-US"/>
        </w:rPr>
        <w:t>the</w:t>
      </w:r>
      <w:proofErr w:type="gramEnd"/>
      <w:r w:rsidRPr="00B2754A">
        <w:rPr>
          <w:rFonts w:ascii="Arial" w:hAnsi="Arial" w:cs="Arial"/>
          <w:sz w:val="20"/>
          <w:szCs w:val="20"/>
          <w:lang w:val="en-US"/>
        </w:rPr>
        <w:t xml:space="preserve"> Factoring agreement is between the Factor and the client, i.e. the supplier, while the debtor does not enter in any contractual relationship with the Factor ;</w:t>
      </w:r>
    </w:p>
    <w:p w:rsidR="00DF515E" w:rsidRPr="00B2754A" w:rsidRDefault="00DF515E" w:rsidP="00DF515E">
      <w:pPr>
        <w:spacing w:after="0" w:line="240" w:lineRule="auto"/>
        <w:ind w:left="851" w:hanging="142"/>
        <w:jc w:val="both"/>
        <w:rPr>
          <w:rFonts w:ascii="Arial" w:hAnsi="Arial" w:cs="Arial"/>
          <w:sz w:val="20"/>
          <w:szCs w:val="20"/>
          <w:lang w:val="en-US"/>
        </w:rPr>
      </w:pPr>
      <w:r w:rsidRPr="00B2754A">
        <w:rPr>
          <w:rFonts w:ascii="Arial" w:hAnsi="Arial" w:cs="Arial"/>
          <w:sz w:val="20"/>
          <w:szCs w:val="20"/>
          <w:lang w:val="en-US"/>
        </w:rPr>
        <w:t>-</w:t>
      </w:r>
      <w:r w:rsidRPr="00B2754A">
        <w:rPr>
          <w:rFonts w:ascii="Arial" w:hAnsi="Arial" w:cs="Arial"/>
          <w:sz w:val="20"/>
          <w:szCs w:val="20"/>
          <w:lang w:val="en-US"/>
        </w:rPr>
        <w:tab/>
        <w:t xml:space="preserve">while traditional lending is subject only to terms, the credit raised from trade receivables is subject to terms and </w:t>
      </w:r>
      <w:proofErr w:type="gramStart"/>
      <w:r w:rsidRPr="00B2754A">
        <w:rPr>
          <w:rFonts w:ascii="Arial" w:hAnsi="Arial" w:cs="Arial"/>
          <w:sz w:val="20"/>
          <w:szCs w:val="20"/>
          <w:lang w:val="en-US"/>
        </w:rPr>
        <w:t>conditions :</w:t>
      </w:r>
      <w:proofErr w:type="gramEnd"/>
      <w:r w:rsidRPr="00B2754A">
        <w:rPr>
          <w:rFonts w:ascii="Arial" w:hAnsi="Arial" w:cs="Arial"/>
          <w:sz w:val="20"/>
          <w:szCs w:val="20"/>
          <w:lang w:val="en-US"/>
        </w:rPr>
        <w:t xml:space="preserve"> that means that the due date of the invoice cannot be considered as fully mandatory in itself for the debtor, as there may be events connected to the trade relationship that reduce the reliability of the due date (we will focus more on this issue in the following) ;</w:t>
      </w:r>
    </w:p>
    <w:p w:rsidR="00DF515E" w:rsidRPr="00B2754A" w:rsidRDefault="00DF515E" w:rsidP="00DF515E">
      <w:pPr>
        <w:spacing w:after="0" w:line="240" w:lineRule="auto"/>
        <w:ind w:left="851" w:hanging="142"/>
        <w:jc w:val="both"/>
        <w:rPr>
          <w:rFonts w:ascii="Arial" w:hAnsi="Arial" w:cs="Arial"/>
          <w:sz w:val="20"/>
          <w:szCs w:val="20"/>
          <w:lang w:val="en-US"/>
        </w:rPr>
      </w:pPr>
      <w:r w:rsidRPr="00B2754A">
        <w:rPr>
          <w:rFonts w:ascii="Arial" w:hAnsi="Arial" w:cs="Arial"/>
          <w:sz w:val="20"/>
          <w:szCs w:val="20"/>
          <w:lang w:val="en-US"/>
        </w:rPr>
        <w:t>-</w:t>
      </w:r>
      <w:r w:rsidRPr="00B2754A">
        <w:rPr>
          <w:rFonts w:ascii="Arial" w:hAnsi="Arial" w:cs="Arial"/>
          <w:sz w:val="20"/>
          <w:szCs w:val="20"/>
          <w:lang w:val="en-US"/>
        </w:rPr>
        <w:tab/>
      </w:r>
      <w:proofErr w:type="gramStart"/>
      <w:r w:rsidRPr="00B2754A">
        <w:rPr>
          <w:rFonts w:ascii="Arial" w:hAnsi="Arial" w:cs="Arial"/>
          <w:sz w:val="20"/>
          <w:szCs w:val="20"/>
          <w:lang w:val="en-US"/>
        </w:rPr>
        <w:t>payment</w:t>
      </w:r>
      <w:proofErr w:type="gramEnd"/>
      <w:r w:rsidRPr="00B2754A">
        <w:rPr>
          <w:rFonts w:ascii="Arial" w:hAnsi="Arial" w:cs="Arial"/>
          <w:sz w:val="20"/>
          <w:szCs w:val="20"/>
          <w:lang w:val="en-US"/>
        </w:rPr>
        <w:t xml:space="preserve"> of trade debts by the debtor is subject to the "payment behavior" of the debtor (habits for buying its commercial payables).</w:t>
      </w:r>
    </w:p>
    <w:p w:rsidR="00DF515E" w:rsidRDefault="00DF515E" w:rsidP="00DF515E">
      <w:pPr>
        <w:spacing w:after="0" w:line="240" w:lineRule="auto"/>
        <w:jc w:val="both"/>
        <w:rPr>
          <w:rFonts w:ascii="Arial" w:hAnsi="Arial" w:cs="Arial"/>
          <w:sz w:val="20"/>
          <w:szCs w:val="20"/>
          <w:lang w:val="en-US"/>
        </w:rPr>
      </w:pPr>
    </w:p>
    <w:p w:rsidR="004F7766" w:rsidRDefault="004F7766" w:rsidP="00DF515E">
      <w:pPr>
        <w:spacing w:after="0" w:line="240" w:lineRule="auto"/>
        <w:jc w:val="both"/>
        <w:rPr>
          <w:rFonts w:ascii="Arial" w:hAnsi="Arial" w:cs="Arial"/>
          <w:sz w:val="20"/>
          <w:szCs w:val="20"/>
          <w:lang w:val="en-US"/>
        </w:rPr>
      </w:pPr>
    </w:p>
    <w:p w:rsidR="004F7766" w:rsidRPr="0088221E" w:rsidRDefault="004F7766" w:rsidP="004F7766">
      <w:pPr>
        <w:spacing w:after="0" w:line="240" w:lineRule="auto"/>
        <w:jc w:val="both"/>
        <w:rPr>
          <w:rFonts w:ascii="Arial" w:hAnsi="Arial" w:cs="Arial"/>
          <w:b/>
          <w:sz w:val="20"/>
          <w:szCs w:val="20"/>
          <w:lang w:val="en-US"/>
        </w:rPr>
      </w:pPr>
      <w:proofErr w:type="gramStart"/>
      <w:r w:rsidRPr="0088221E">
        <w:rPr>
          <w:rFonts w:ascii="Arial" w:hAnsi="Arial" w:cs="Arial"/>
          <w:b/>
          <w:sz w:val="20"/>
          <w:szCs w:val="20"/>
          <w:lang w:val="en-US"/>
        </w:rPr>
        <w:t>Comments on the QIS on the GL on the definition of default.</w:t>
      </w:r>
      <w:proofErr w:type="gramEnd"/>
      <w:r w:rsidRPr="0088221E">
        <w:rPr>
          <w:rFonts w:ascii="Arial" w:hAnsi="Arial" w:cs="Arial"/>
          <w:b/>
          <w:sz w:val="20"/>
          <w:szCs w:val="20"/>
          <w:lang w:val="en-US"/>
        </w:rPr>
        <w:t xml:space="preserve"> § 3.3.1 Materiality threshold</w:t>
      </w:r>
    </w:p>
    <w:p w:rsidR="004F7766" w:rsidRDefault="004F7766" w:rsidP="00DF515E">
      <w:pPr>
        <w:spacing w:after="0" w:line="240" w:lineRule="auto"/>
        <w:jc w:val="both"/>
        <w:rPr>
          <w:rFonts w:ascii="Arial" w:hAnsi="Arial" w:cs="Arial"/>
          <w:sz w:val="20"/>
          <w:szCs w:val="20"/>
          <w:lang w:val="en-US"/>
        </w:rPr>
      </w:pPr>
    </w:p>
    <w:p w:rsidR="00DF515E" w:rsidRPr="00B2754A" w:rsidRDefault="00DF515E" w:rsidP="00DF515E">
      <w:pPr>
        <w:spacing w:after="0" w:line="240" w:lineRule="auto"/>
        <w:jc w:val="both"/>
        <w:rPr>
          <w:rFonts w:ascii="Arial" w:hAnsi="Arial" w:cs="Arial"/>
          <w:sz w:val="20"/>
          <w:szCs w:val="20"/>
          <w:lang w:val="en-US"/>
        </w:rPr>
      </w:pPr>
      <w:r w:rsidRPr="00B2754A">
        <w:rPr>
          <w:rFonts w:ascii="Arial" w:hAnsi="Arial" w:cs="Arial"/>
          <w:sz w:val="20"/>
          <w:szCs w:val="20"/>
          <w:lang w:val="en-US"/>
        </w:rPr>
        <w:t>ASF would like to express its concerns about the policy option the EBA is testing within the QIS regarding the materiality threshold, which might have major impacts on factoring industry.</w:t>
      </w:r>
    </w:p>
    <w:p w:rsidR="00DF515E" w:rsidRPr="00B2754A" w:rsidRDefault="00DF515E" w:rsidP="00DF515E">
      <w:pPr>
        <w:spacing w:after="0" w:line="240" w:lineRule="auto"/>
        <w:jc w:val="both"/>
        <w:rPr>
          <w:rFonts w:ascii="Arial" w:hAnsi="Arial" w:cs="Arial"/>
          <w:sz w:val="20"/>
          <w:szCs w:val="20"/>
          <w:lang w:val="en-US"/>
        </w:rPr>
      </w:pPr>
      <w:r w:rsidRPr="00B2754A">
        <w:rPr>
          <w:rFonts w:ascii="Arial" w:hAnsi="Arial" w:cs="Arial"/>
          <w:sz w:val="20"/>
          <w:szCs w:val="20"/>
          <w:lang w:val="en-US"/>
        </w:rPr>
        <w:t>The new option provides for the increase in both the absolute and relative limits and the trigger as both the limits are exceeded, but it provides a slight but significant change in the approach stating that the counting of the 90 days should start as soon as the amount past due exceeds the two components of the threshold.</w:t>
      </w:r>
    </w:p>
    <w:p w:rsidR="00DF515E" w:rsidRPr="00B2754A" w:rsidRDefault="00DF515E" w:rsidP="00DF515E">
      <w:pPr>
        <w:spacing w:after="0" w:line="240" w:lineRule="auto"/>
        <w:jc w:val="both"/>
        <w:rPr>
          <w:rFonts w:ascii="Arial" w:hAnsi="Arial" w:cs="Arial"/>
          <w:sz w:val="20"/>
          <w:szCs w:val="20"/>
          <w:lang w:val="en-US"/>
        </w:rPr>
      </w:pPr>
      <w:r w:rsidRPr="00B2754A">
        <w:rPr>
          <w:rFonts w:ascii="Arial" w:hAnsi="Arial" w:cs="Arial"/>
          <w:sz w:val="20"/>
          <w:szCs w:val="20"/>
          <w:lang w:val="en-US"/>
        </w:rPr>
        <w:t>The new policy option may bring the unintended result that most if not all the debtors will be considered as past due over 90 days, due to the abovementioned factoring characteristics – and whereas eventually no invoice will rem</w:t>
      </w:r>
      <w:r w:rsidR="004F7766">
        <w:rPr>
          <w:rFonts w:ascii="Arial" w:hAnsi="Arial" w:cs="Arial"/>
          <w:sz w:val="20"/>
          <w:szCs w:val="20"/>
          <w:lang w:val="en-US"/>
        </w:rPr>
        <w:t>ain unpaid</w:t>
      </w:r>
      <w:bookmarkStart w:id="0" w:name="_GoBack"/>
      <w:bookmarkEnd w:id="0"/>
      <w:r w:rsidRPr="00B2754A">
        <w:rPr>
          <w:rFonts w:ascii="Arial" w:hAnsi="Arial" w:cs="Arial"/>
          <w:sz w:val="20"/>
          <w:szCs w:val="20"/>
          <w:lang w:val="en-US"/>
        </w:rPr>
        <w:t>.</w:t>
      </w:r>
    </w:p>
    <w:p w:rsidR="00DF515E" w:rsidRPr="00B2754A" w:rsidRDefault="00DF515E" w:rsidP="00DF515E">
      <w:pPr>
        <w:spacing w:after="0" w:line="240" w:lineRule="auto"/>
        <w:jc w:val="both"/>
        <w:rPr>
          <w:rFonts w:ascii="Arial" w:hAnsi="Arial" w:cs="Arial"/>
          <w:sz w:val="20"/>
          <w:szCs w:val="20"/>
          <w:lang w:val="en-US"/>
        </w:rPr>
      </w:pPr>
      <w:r w:rsidRPr="00B2754A">
        <w:rPr>
          <w:rFonts w:ascii="Arial" w:hAnsi="Arial" w:cs="Arial"/>
          <w:sz w:val="20"/>
          <w:szCs w:val="20"/>
          <w:lang w:val="en-US"/>
        </w:rPr>
        <w:t>Moreover, the debtor may be, at the same time, both a client of the factor itself and of other banks within the banking group, thus implying that the whole exposure of the group on such subject may fall into the non performing class due to reasons other than its actual financial situation.</w:t>
      </w:r>
    </w:p>
    <w:p w:rsidR="00DF515E" w:rsidRPr="0057354C" w:rsidRDefault="00DF515E" w:rsidP="00DF515E">
      <w:pPr>
        <w:spacing w:after="0" w:line="240" w:lineRule="auto"/>
        <w:jc w:val="both"/>
        <w:rPr>
          <w:rFonts w:ascii="Arial" w:hAnsi="Arial" w:cs="Arial"/>
          <w:sz w:val="20"/>
          <w:szCs w:val="20"/>
          <w:lang w:val="en-US"/>
        </w:rPr>
      </w:pPr>
      <w:r w:rsidRPr="00B2754A">
        <w:rPr>
          <w:rFonts w:ascii="Arial" w:hAnsi="Arial" w:cs="Arial"/>
          <w:sz w:val="20"/>
          <w:szCs w:val="20"/>
          <w:lang w:val="en-US"/>
        </w:rPr>
        <w:t xml:space="preserve">One solution to this problem would be to take into account for the definition of the materiality threshold </w:t>
      </w:r>
      <w:r w:rsidRPr="0057354C">
        <w:rPr>
          <w:rFonts w:ascii="Arial" w:hAnsi="Arial" w:cs="Arial"/>
          <w:sz w:val="20"/>
          <w:szCs w:val="20"/>
          <w:lang w:val="en-US"/>
        </w:rPr>
        <w:t>only invoices which are past due of more than 90 days and trigger the default only when absolute and relative thresholds are breached.</w:t>
      </w:r>
    </w:p>
    <w:p w:rsidR="00DF515E" w:rsidRDefault="00DF515E" w:rsidP="00123634">
      <w:pPr>
        <w:spacing w:after="0"/>
        <w:jc w:val="both"/>
        <w:rPr>
          <w:rFonts w:ascii="Arial" w:hAnsi="Arial" w:cs="Arial"/>
          <w:sz w:val="20"/>
          <w:szCs w:val="20"/>
          <w:lang w:val="en-US"/>
        </w:rPr>
      </w:pPr>
    </w:p>
    <w:p w:rsidR="00EF4793" w:rsidRPr="000C1336" w:rsidRDefault="00EF4793" w:rsidP="00EF4793">
      <w:pPr>
        <w:spacing w:after="0" w:line="240" w:lineRule="auto"/>
        <w:jc w:val="both"/>
        <w:rPr>
          <w:rFonts w:ascii="Arial" w:hAnsi="Arial" w:cs="Arial"/>
          <w:i/>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i/>
          <w:sz w:val="20"/>
          <w:szCs w:val="20"/>
          <w:lang w:val="en-US"/>
        </w:rPr>
      </w:pPr>
      <w:r w:rsidRPr="000C1336">
        <w:rPr>
          <w:rFonts w:ascii="Arial" w:eastAsia="Calibri" w:hAnsi="Arial" w:cs="Arial"/>
          <w:b/>
          <w:bCs/>
          <w:i/>
          <w:sz w:val="20"/>
          <w:szCs w:val="20"/>
          <w:lang w:val="en-US"/>
        </w:rPr>
        <w:lastRenderedPageBreak/>
        <w:t xml:space="preserve">Question 1: </w:t>
      </w:r>
      <w:r w:rsidRPr="000C1336">
        <w:rPr>
          <w:rFonts w:ascii="Arial" w:eastAsia="Calibri" w:hAnsi="Arial" w:cs="Arial"/>
          <w:bCs/>
          <w:i/>
          <w:sz w:val="20"/>
          <w:szCs w:val="20"/>
          <w:lang w:val="en-US"/>
        </w:rPr>
        <w:t>Do you agree with the proposed definition of technical defaults? Do you believe that other situations should be included in this definition? If yes, please provide detailed proposals on how to address further possible situations.</w:t>
      </w:r>
    </w:p>
    <w:p w:rsidR="00EF4793" w:rsidRPr="000C1336" w:rsidRDefault="00EF4793" w:rsidP="00EF4793">
      <w:pPr>
        <w:spacing w:after="0" w:line="240" w:lineRule="auto"/>
        <w:jc w:val="both"/>
        <w:rPr>
          <w:rFonts w:ascii="Arial" w:hAnsi="Arial" w:cs="Arial"/>
          <w:sz w:val="20"/>
          <w:szCs w:val="20"/>
          <w:lang w:val="en-US"/>
        </w:rPr>
      </w:pPr>
    </w:p>
    <w:p w:rsidR="000C1336" w:rsidRPr="0057354C" w:rsidRDefault="00D60F6C" w:rsidP="003B39DC">
      <w:pPr>
        <w:spacing w:after="0" w:line="240" w:lineRule="auto"/>
        <w:jc w:val="both"/>
        <w:rPr>
          <w:rFonts w:ascii="Arial" w:hAnsi="Arial" w:cs="Arial"/>
          <w:sz w:val="20"/>
          <w:szCs w:val="20"/>
          <w:lang w:val="en-US"/>
        </w:rPr>
      </w:pPr>
      <w:r w:rsidRPr="0057354C">
        <w:rPr>
          <w:rFonts w:ascii="Arial" w:hAnsi="Arial" w:cs="Arial"/>
          <w:sz w:val="20"/>
          <w:szCs w:val="20"/>
          <w:u w:val="single"/>
          <w:lang w:val="en-US"/>
        </w:rPr>
        <w:t>Firstly</w:t>
      </w:r>
      <w:r w:rsidRPr="0057354C">
        <w:rPr>
          <w:rFonts w:ascii="Arial" w:hAnsi="Arial" w:cs="Arial"/>
          <w:sz w:val="20"/>
          <w:szCs w:val="20"/>
          <w:lang w:val="en-US"/>
        </w:rPr>
        <w:t xml:space="preserve">, ASF has </w:t>
      </w:r>
      <w:r w:rsidRPr="0057354C">
        <w:rPr>
          <w:rFonts w:ascii="Arial" w:hAnsi="Arial" w:cs="Arial"/>
          <w:sz w:val="20"/>
          <w:szCs w:val="20"/>
          <w:u w:val="single"/>
          <w:lang w:val="en-US"/>
        </w:rPr>
        <w:t>general reservations</w:t>
      </w:r>
      <w:r w:rsidRPr="0057354C">
        <w:rPr>
          <w:rFonts w:ascii="Arial" w:hAnsi="Arial" w:cs="Arial"/>
          <w:sz w:val="20"/>
          <w:szCs w:val="20"/>
          <w:lang w:val="en-US"/>
        </w:rPr>
        <w:t xml:space="preserve"> on</w:t>
      </w:r>
      <w:r w:rsidR="00D25E1F" w:rsidRPr="0057354C">
        <w:rPr>
          <w:rFonts w:ascii="Arial" w:hAnsi="Arial" w:cs="Arial"/>
          <w:sz w:val="20"/>
          <w:szCs w:val="20"/>
          <w:lang w:val="en-US"/>
        </w:rPr>
        <w:t xml:space="preserve"> the </w:t>
      </w:r>
      <w:r w:rsidR="003B39DC" w:rsidRPr="0057354C">
        <w:rPr>
          <w:rFonts w:ascii="Arial" w:hAnsi="Arial" w:cs="Arial"/>
          <w:sz w:val="20"/>
          <w:szCs w:val="20"/>
          <w:lang w:val="en-US"/>
        </w:rPr>
        <w:t>proposed definition of technical default</w:t>
      </w:r>
      <w:r w:rsidR="000C1336" w:rsidRPr="0057354C">
        <w:rPr>
          <w:rFonts w:ascii="Arial" w:hAnsi="Arial" w:cs="Arial"/>
          <w:sz w:val="20"/>
          <w:szCs w:val="20"/>
          <w:lang w:val="en-US"/>
        </w:rPr>
        <w:t xml:space="preserve">, </w:t>
      </w:r>
      <w:r w:rsidRPr="0057354C">
        <w:rPr>
          <w:rFonts w:ascii="Arial" w:hAnsi="Arial" w:cs="Arial"/>
          <w:sz w:val="20"/>
          <w:szCs w:val="20"/>
          <w:lang w:val="en-US"/>
        </w:rPr>
        <w:t xml:space="preserve">as </w:t>
      </w:r>
      <w:r w:rsidR="00D25E1F" w:rsidRPr="0057354C">
        <w:rPr>
          <w:rFonts w:ascii="Arial" w:hAnsi="Arial" w:cs="Arial"/>
          <w:sz w:val="20"/>
          <w:szCs w:val="20"/>
          <w:lang w:val="en-US"/>
        </w:rPr>
        <w:t>its</w:t>
      </w:r>
      <w:r w:rsidR="000C1336" w:rsidRPr="0057354C">
        <w:rPr>
          <w:rFonts w:ascii="Arial" w:hAnsi="Arial" w:cs="Arial"/>
          <w:sz w:val="20"/>
          <w:szCs w:val="20"/>
          <w:lang w:val="en-US"/>
        </w:rPr>
        <w:t xml:space="preserve"> scope does not include some cases where the repayment delay does not depend on financial circumstance.</w:t>
      </w:r>
    </w:p>
    <w:p w:rsidR="000C1336" w:rsidRPr="0057354C" w:rsidRDefault="000C1336" w:rsidP="003B39DC">
      <w:pPr>
        <w:spacing w:after="0" w:line="240" w:lineRule="auto"/>
        <w:jc w:val="both"/>
        <w:rPr>
          <w:rFonts w:ascii="Arial" w:hAnsi="Arial" w:cs="Arial"/>
          <w:sz w:val="20"/>
          <w:szCs w:val="20"/>
          <w:lang w:val="en-US"/>
        </w:rPr>
      </w:pPr>
    </w:p>
    <w:p w:rsidR="000C1336" w:rsidRPr="0057354C" w:rsidRDefault="00D60F6C" w:rsidP="00D60F6C">
      <w:pPr>
        <w:pStyle w:val="Paragraphedeliste"/>
        <w:numPr>
          <w:ilvl w:val="0"/>
          <w:numId w:val="6"/>
        </w:numPr>
        <w:spacing w:after="0" w:line="240" w:lineRule="auto"/>
        <w:jc w:val="both"/>
        <w:rPr>
          <w:rFonts w:ascii="Arial" w:hAnsi="Arial" w:cs="Arial"/>
          <w:sz w:val="20"/>
          <w:szCs w:val="20"/>
          <w:lang w:val="en-US"/>
        </w:rPr>
      </w:pPr>
      <w:r w:rsidRPr="0057354C">
        <w:rPr>
          <w:rFonts w:ascii="Arial" w:hAnsi="Arial" w:cs="Arial"/>
          <w:sz w:val="20"/>
          <w:szCs w:val="20"/>
          <w:lang w:val="en-US"/>
        </w:rPr>
        <w:t>W</w:t>
      </w:r>
      <w:r w:rsidR="003B39DC" w:rsidRPr="0057354C">
        <w:rPr>
          <w:rFonts w:ascii="Arial" w:hAnsi="Arial" w:cs="Arial"/>
          <w:sz w:val="20"/>
          <w:szCs w:val="20"/>
          <w:lang w:val="en-US"/>
        </w:rPr>
        <w:t xml:space="preserve">e would like to make sure that payment issues coming from payment transfers, </w:t>
      </w:r>
      <w:proofErr w:type="spellStart"/>
      <w:r w:rsidR="003B39DC" w:rsidRPr="0057354C">
        <w:rPr>
          <w:rFonts w:ascii="Arial" w:hAnsi="Arial" w:cs="Arial"/>
          <w:sz w:val="20"/>
          <w:szCs w:val="20"/>
          <w:lang w:val="en-US"/>
        </w:rPr>
        <w:t>cheques</w:t>
      </w:r>
      <w:proofErr w:type="spellEnd"/>
      <w:r w:rsidR="003B39DC" w:rsidRPr="0057354C">
        <w:rPr>
          <w:rFonts w:ascii="Arial" w:hAnsi="Arial" w:cs="Arial"/>
          <w:sz w:val="20"/>
          <w:szCs w:val="20"/>
          <w:lang w:val="en-US"/>
        </w:rPr>
        <w:t xml:space="preserve"> treatment … are </w:t>
      </w:r>
      <w:r w:rsidR="000906D0" w:rsidRPr="0057354C">
        <w:rPr>
          <w:rFonts w:ascii="Arial" w:hAnsi="Arial" w:cs="Arial"/>
          <w:sz w:val="20"/>
          <w:szCs w:val="20"/>
          <w:lang w:val="en-US"/>
        </w:rPr>
        <w:t xml:space="preserve">considered as technical defaults, i.e. </w:t>
      </w:r>
      <w:r w:rsidR="003B39DC" w:rsidRPr="0057354C">
        <w:rPr>
          <w:rFonts w:ascii="Arial" w:hAnsi="Arial" w:cs="Arial"/>
          <w:sz w:val="20"/>
          <w:szCs w:val="20"/>
          <w:lang w:val="en-US"/>
        </w:rPr>
        <w:t xml:space="preserve">included in the situation “where due to the nature of the transaction there is a time lag between the receipt of the payment by an institution and the allocation of that payment to the relevant account, so that the payment was made before the 90 days and the crediting in the client’s account took place after the 90 days past due”. </w:t>
      </w:r>
    </w:p>
    <w:p w:rsidR="000C1336" w:rsidRPr="0057354C" w:rsidRDefault="00D60F6C" w:rsidP="00D60F6C">
      <w:pPr>
        <w:pStyle w:val="Paragraphedeliste"/>
        <w:numPr>
          <w:ilvl w:val="0"/>
          <w:numId w:val="6"/>
        </w:numPr>
        <w:spacing w:after="0" w:line="240" w:lineRule="auto"/>
        <w:jc w:val="both"/>
        <w:rPr>
          <w:rFonts w:ascii="Arial" w:hAnsi="Arial" w:cs="Arial"/>
          <w:sz w:val="20"/>
          <w:szCs w:val="20"/>
          <w:lang w:val="en-US"/>
        </w:rPr>
      </w:pPr>
      <w:r w:rsidRPr="0057354C">
        <w:rPr>
          <w:rFonts w:ascii="Arial" w:hAnsi="Arial" w:cs="Arial"/>
          <w:sz w:val="20"/>
          <w:szCs w:val="20"/>
          <w:lang w:val="en-US"/>
        </w:rPr>
        <w:t>A</w:t>
      </w:r>
      <w:r w:rsidR="00860E11" w:rsidRPr="0057354C">
        <w:rPr>
          <w:rFonts w:ascii="Arial" w:hAnsi="Arial" w:cs="Arial"/>
          <w:sz w:val="20"/>
          <w:szCs w:val="20"/>
          <w:lang w:val="en-US"/>
        </w:rPr>
        <w:t xml:space="preserve">s far as leasing activities are concerned, </w:t>
      </w:r>
      <w:r w:rsidR="000906D0" w:rsidRPr="0057354C">
        <w:rPr>
          <w:rFonts w:ascii="Arial" w:hAnsi="Arial" w:cs="Arial"/>
          <w:sz w:val="20"/>
          <w:szCs w:val="20"/>
          <w:lang w:val="en-US"/>
        </w:rPr>
        <w:t>d</w:t>
      </w:r>
      <w:r w:rsidR="003B39DC" w:rsidRPr="0057354C">
        <w:rPr>
          <w:rFonts w:ascii="Arial" w:hAnsi="Arial" w:cs="Arial"/>
          <w:sz w:val="20"/>
          <w:szCs w:val="20"/>
          <w:lang w:val="en-US"/>
        </w:rPr>
        <w:t xml:space="preserve">isputes related to the provision of additional services to the financial contract, for example maintenance services associated to the leasing of equipment can often take more than 90 days before being resolved. </w:t>
      </w:r>
      <w:r w:rsidR="000906D0" w:rsidRPr="0057354C">
        <w:rPr>
          <w:rFonts w:ascii="Arial" w:hAnsi="Arial" w:cs="Arial"/>
          <w:sz w:val="20"/>
          <w:szCs w:val="20"/>
          <w:lang w:val="en-US"/>
        </w:rPr>
        <w:t>It may happen that some payments due in relation with the financial contract are suspended due to the non-performance of the provision of the additional service. In these situations, the non-payment is not due to the insolvency of the obligor, and it may take more than 90 days to solve the problem.</w:t>
      </w:r>
    </w:p>
    <w:p w:rsidR="00681CED" w:rsidRPr="0057354C" w:rsidRDefault="00D60F6C" w:rsidP="00D60F6C">
      <w:pPr>
        <w:pStyle w:val="Paragraphedeliste"/>
        <w:numPr>
          <w:ilvl w:val="0"/>
          <w:numId w:val="6"/>
        </w:numPr>
        <w:spacing w:after="0" w:line="240" w:lineRule="auto"/>
        <w:jc w:val="both"/>
        <w:rPr>
          <w:rFonts w:ascii="Arial" w:hAnsi="Arial" w:cs="Arial"/>
          <w:sz w:val="20"/>
          <w:szCs w:val="20"/>
          <w:lang w:val="en-US"/>
        </w:rPr>
      </w:pPr>
      <w:r w:rsidRPr="0057354C">
        <w:rPr>
          <w:rFonts w:ascii="Arial" w:hAnsi="Arial" w:cs="Arial"/>
          <w:sz w:val="20"/>
          <w:szCs w:val="20"/>
          <w:lang w:val="en-US"/>
        </w:rPr>
        <w:t>O</w:t>
      </w:r>
      <w:r w:rsidR="00681CED" w:rsidRPr="0057354C">
        <w:rPr>
          <w:rFonts w:ascii="Arial" w:hAnsi="Arial" w:cs="Arial"/>
          <w:sz w:val="20"/>
          <w:szCs w:val="20"/>
          <w:lang w:val="en-US"/>
        </w:rPr>
        <w:t>ther repayment delays may occur that are not due to insolvency or unlikeliness to pay: in public sector entities or large corporations, internal processes can often lead to repayment delays which are not due to financial circumstances. As these clients are typically highly unlikely to fail and default on their agreements, we would support the ability to suspend the past due counting, in a defined limit, to clarify the “intention to pay”.</w:t>
      </w:r>
    </w:p>
    <w:p w:rsidR="00860E11" w:rsidRPr="0057354C" w:rsidRDefault="00860E11" w:rsidP="003B39DC">
      <w:pPr>
        <w:spacing w:after="0"/>
        <w:jc w:val="both"/>
        <w:rPr>
          <w:rFonts w:ascii="Arial" w:hAnsi="Arial" w:cs="Arial"/>
          <w:sz w:val="20"/>
          <w:szCs w:val="20"/>
          <w:lang w:val="en-US"/>
        </w:rPr>
      </w:pPr>
    </w:p>
    <w:p w:rsidR="00D60F6C" w:rsidRPr="0057354C" w:rsidRDefault="00D60F6C" w:rsidP="003B39DC">
      <w:pPr>
        <w:spacing w:after="0"/>
        <w:jc w:val="both"/>
        <w:rPr>
          <w:rFonts w:ascii="Arial" w:hAnsi="Arial" w:cs="Arial"/>
          <w:sz w:val="20"/>
          <w:szCs w:val="20"/>
          <w:lang w:val="en-US"/>
        </w:rPr>
      </w:pPr>
      <w:r w:rsidRPr="0057354C">
        <w:rPr>
          <w:rFonts w:ascii="Arial" w:hAnsi="Arial" w:cs="Arial"/>
          <w:sz w:val="20"/>
          <w:szCs w:val="20"/>
          <w:u w:val="single"/>
          <w:lang w:val="en-US"/>
        </w:rPr>
        <w:t>Secondly</w:t>
      </w:r>
      <w:r w:rsidRPr="0057354C">
        <w:rPr>
          <w:rFonts w:ascii="Arial" w:hAnsi="Arial" w:cs="Arial"/>
          <w:sz w:val="20"/>
          <w:szCs w:val="20"/>
          <w:lang w:val="en-US"/>
        </w:rPr>
        <w:t xml:space="preserve">, ASF would like to underline the following </w:t>
      </w:r>
      <w:r w:rsidRPr="0057354C">
        <w:rPr>
          <w:rFonts w:ascii="Arial" w:hAnsi="Arial" w:cs="Arial"/>
          <w:sz w:val="20"/>
          <w:szCs w:val="20"/>
          <w:u w:val="single"/>
          <w:lang w:val="en-US"/>
        </w:rPr>
        <w:t>specific reservations concerning factoring</w:t>
      </w:r>
      <w:r w:rsidRPr="0057354C">
        <w:rPr>
          <w:rFonts w:ascii="Arial" w:hAnsi="Arial" w:cs="Arial"/>
          <w:sz w:val="20"/>
          <w:szCs w:val="20"/>
          <w:lang w:val="en-US"/>
        </w:rPr>
        <w:t xml:space="preserve"> activities.</w:t>
      </w:r>
    </w:p>
    <w:p w:rsidR="00D60F6C" w:rsidRPr="0057354C" w:rsidRDefault="00D60F6C" w:rsidP="00D60F6C">
      <w:pPr>
        <w:spacing w:after="0" w:line="240" w:lineRule="auto"/>
        <w:jc w:val="both"/>
        <w:rPr>
          <w:rFonts w:ascii="Arial" w:hAnsi="Arial" w:cs="Arial"/>
          <w:sz w:val="20"/>
          <w:szCs w:val="20"/>
          <w:lang w:val="en-US"/>
        </w:rPr>
      </w:pPr>
    </w:p>
    <w:p w:rsidR="00B2754A" w:rsidRPr="00B2754A" w:rsidRDefault="00B2754A" w:rsidP="00D60F6C">
      <w:pPr>
        <w:spacing w:after="0" w:line="240" w:lineRule="auto"/>
        <w:jc w:val="both"/>
        <w:rPr>
          <w:rFonts w:ascii="Arial" w:hAnsi="Arial" w:cs="Arial"/>
          <w:sz w:val="20"/>
          <w:szCs w:val="20"/>
          <w:lang w:val="en-US"/>
        </w:rPr>
      </w:pPr>
    </w:p>
    <w:p w:rsidR="00D60F6C" w:rsidRPr="0088221E" w:rsidRDefault="00B2754A" w:rsidP="0088221E">
      <w:pPr>
        <w:spacing w:after="0" w:line="240" w:lineRule="auto"/>
        <w:jc w:val="both"/>
        <w:rPr>
          <w:rFonts w:ascii="Arial" w:hAnsi="Arial" w:cs="Arial"/>
          <w:b/>
          <w:sz w:val="20"/>
          <w:szCs w:val="20"/>
          <w:lang w:val="en-US"/>
        </w:rPr>
      </w:pPr>
      <w:r w:rsidRPr="0088221E">
        <w:rPr>
          <w:rFonts w:ascii="Arial" w:hAnsi="Arial" w:cs="Arial"/>
          <w:b/>
          <w:sz w:val="20"/>
          <w:szCs w:val="20"/>
          <w:lang w:val="en-US"/>
        </w:rPr>
        <w:t>Comments on the proposed definition on technical defaults concerning factoring</w:t>
      </w:r>
    </w:p>
    <w:p w:rsidR="00297948" w:rsidRDefault="00297948" w:rsidP="00B2754A">
      <w:pPr>
        <w:spacing w:after="0" w:line="240" w:lineRule="auto"/>
        <w:jc w:val="both"/>
        <w:rPr>
          <w:rFonts w:ascii="Arial" w:hAnsi="Arial" w:cs="Arial"/>
          <w:sz w:val="20"/>
          <w:szCs w:val="20"/>
          <w:lang w:val="en-US"/>
        </w:rPr>
      </w:pPr>
    </w:p>
    <w:p w:rsidR="00B2754A" w:rsidRPr="00B2754A" w:rsidRDefault="00B2754A" w:rsidP="00B2754A">
      <w:pPr>
        <w:spacing w:after="0" w:line="240" w:lineRule="auto"/>
        <w:jc w:val="both"/>
        <w:rPr>
          <w:rFonts w:ascii="Arial" w:hAnsi="Arial" w:cs="Arial"/>
          <w:sz w:val="20"/>
          <w:szCs w:val="20"/>
          <w:lang w:val="en-US"/>
        </w:rPr>
      </w:pPr>
      <w:r w:rsidRPr="00B2754A">
        <w:rPr>
          <w:rFonts w:ascii="Arial" w:hAnsi="Arial" w:cs="Arial"/>
          <w:sz w:val="20"/>
          <w:szCs w:val="20"/>
          <w:lang w:val="en-US"/>
        </w:rPr>
        <w:t xml:space="preserve">Due to technical reasons, a certain delay can be innate in the exposure to debtors within a Factoring agreement with a </w:t>
      </w:r>
      <w:proofErr w:type="gramStart"/>
      <w:r w:rsidRPr="00B2754A">
        <w:rPr>
          <w:rFonts w:ascii="Arial" w:hAnsi="Arial" w:cs="Arial"/>
          <w:sz w:val="20"/>
          <w:szCs w:val="20"/>
          <w:lang w:val="en-US"/>
        </w:rPr>
        <w:t>client :</w:t>
      </w:r>
      <w:proofErr w:type="gramEnd"/>
      <w:r w:rsidRPr="00B2754A">
        <w:rPr>
          <w:rFonts w:ascii="Arial" w:hAnsi="Arial" w:cs="Arial"/>
          <w:sz w:val="20"/>
          <w:szCs w:val="20"/>
          <w:lang w:val="en-US"/>
        </w:rPr>
        <w:t xml:space="preserve"> indeed, the debtor may be or may not be informed about the factor's interest on the ceded receivables. In the former case, the debtor pays directly to the factor's account, and the factor requires some days for reconciliation of the amount collected with the client's account. In the other case if by mistake the debtor pays to the bank account of its supplier, i.e. the factor's client, it may be that the latter requires some days to transfer the collected amount to the factor.</w:t>
      </w:r>
    </w:p>
    <w:p w:rsidR="00B2754A" w:rsidRPr="00B2754A" w:rsidRDefault="00B2754A" w:rsidP="00B2754A">
      <w:pPr>
        <w:spacing w:after="0" w:line="240" w:lineRule="auto"/>
        <w:jc w:val="both"/>
        <w:rPr>
          <w:rFonts w:ascii="Arial" w:hAnsi="Arial" w:cs="Arial"/>
          <w:sz w:val="20"/>
          <w:szCs w:val="20"/>
          <w:lang w:val="en-US"/>
        </w:rPr>
      </w:pPr>
      <w:r w:rsidRPr="00B2754A">
        <w:rPr>
          <w:rFonts w:ascii="Arial" w:hAnsi="Arial" w:cs="Arial"/>
          <w:sz w:val="20"/>
          <w:szCs w:val="20"/>
          <w:lang w:val="en-US"/>
        </w:rPr>
        <w:t>These processes require a variable number of days that depends on the features of the payment. In particular, when the assignment or purchase of receivables has not been disclosed to the debtor, the client can take a few days to collect the payments and transfers the collected amount to the factor.</w:t>
      </w:r>
    </w:p>
    <w:p w:rsidR="00B2754A" w:rsidRPr="0057354C" w:rsidRDefault="00B2754A" w:rsidP="00B2754A">
      <w:pPr>
        <w:spacing w:after="0" w:line="240" w:lineRule="auto"/>
        <w:jc w:val="both"/>
        <w:rPr>
          <w:rFonts w:ascii="Arial" w:hAnsi="Arial" w:cs="Arial"/>
          <w:sz w:val="20"/>
          <w:szCs w:val="20"/>
          <w:lang w:val="en-US"/>
        </w:rPr>
      </w:pPr>
      <w:r w:rsidRPr="00B2754A">
        <w:rPr>
          <w:rFonts w:ascii="Arial" w:hAnsi="Arial" w:cs="Arial"/>
          <w:sz w:val="20"/>
          <w:szCs w:val="20"/>
          <w:lang w:val="en-US"/>
        </w:rPr>
        <w:t xml:space="preserve">Other examples of "technical default" or "technical past due" exist in </w:t>
      </w:r>
      <w:proofErr w:type="gramStart"/>
      <w:r w:rsidRPr="00B2754A">
        <w:rPr>
          <w:rFonts w:ascii="Arial" w:hAnsi="Arial" w:cs="Arial"/>
          <w:sz w:val="20"/>
          <w:szCs w:val="20"/>
          <w:lang w:val="en-US"/>
        </w:rPr>
        <w:t>factoring :</w:t>
      </w:r>
      <w:proofErr w:type="gramEnd"/>
      <w:r w:rsidRPr="00B2754A">
        <w:rPr>
          <w:rFonts w:ascii="Arial" w:hAnsi="Arial" w:cs="Arial"/>
          <w:sz w:val="20"/>
          <w:szCs w:val="20"/>
          <w:lang w:val="en-US"/>
        </w:rPr>
        <w:t xml:space="preserve"> seller not dispatching </w:t>
      </w:r>
      <w:r w:rsidRPr="0057354C">
        <w:rPr>
          <w:rFonts w:ascii="Arial" w:hAnsi="Arial" w:cs="Arial"/>
          <w:sz w:val="20"/>
          <w:szCs w:val="20"/>
          <w:lang w:val="en-US"/>
        </w:rPr>
        <w:t xml:space="preserve">the invoice to the buyer, no communication to the factor of discounts, deductions, netting, </w:t>
      </w:r>
      <w:r w:rsidR="00760287" w:rsidRPr="0057354C">
        <w:rPr>
          <w:rFonts w:ascii="Arial" w:hAnsi="Arial" w:cs="Arial"/>
          <w:sz w:val="20"/>
          <w:szCs w:val="20"/>
          <w:lang w:val="en-US"/>
        </w:rPr>
        <w:t xml:space="preserve">obligors reluctant to factoring, </w:t>
      </w:r>
      <w:r w:rsidRPr="0057354C">
        <w:rPr>
          <w:rFonts w:ascii="Arial" w:hAnsi="Arial" w:cs="Arial"/>
          <w:sz w:val="20"/>
          <w:szCs w:val="20"/>
          <w:lang w:val="en-US"/>
        </w:rPr>
        <w:t>…</w:t>
      </w:r>
    </w:p>
    <w:p w:rsidR="00297948" w:rsidRDefault="00297948" w:rsidP="00B2754A">
      <w:pPr>
        <w:spacing w:after="0" w:line="240" w:lineRule="auto"/>
        <w:jc w:val="both"/>
        <w:rPr>
          <w:rFonts w:ascii="Arial" w:hAnsi="Arial" w:cs="Arial"/>
          <w:sz w:val="20"/>
          <w:szCs w:val="20"/>
          <w:lang w:val="en-US"/>
        </w:rPr>
      </w:pPr>
    </w:p>
    <w:p w:rsidR="00B2754A" w:rsidRPr="0057354C" w:rsidRDefault="00B2754A" w:rsidP="00B2754A">
      <w:pPr>
        <w:spacing w:after="0" w:line="240" w:lineRule="auto"/>
        <w:jc w:val="both"/>
        <w:rPr>
          <w:rFonts w:ascii="Arial" w:hAnsi="Arial" w:cs="Arial"/>
          <w:sz w:val="20"/>
          <w:szCs w:val="20"/>
          <w:lang w:val="en-US"/>
        </w:rPr>
      </w:pPr>
      <w:r w:rsidRPr="00B2754A">
        <w:rPr>
          <w:rFonts w:ascii="Arial" w:hAnsi="Arial" w:cs="Arial"/>
          <w:sz w:val="20"/>
          <w:szCs w:val="20"/>
          <w:lang w:val="en-US"/>
        </w:rPr>
        <w:t xml:space="preserve">A solution to avoid most of the above mentioned issues would be to change in the technical default </w:t>
      </w:r>
      <w:r w:rsidRPr="0057354C">
        <w:rPr>
          <w:rFonts w:ascii="Arial" w:hAnsi="Arial" w:cs="Arial"/>
          <w:sz w:val="20"/>
          <w:szCs w:val="20"/>
          <w:lang w:val="en-US"/>
        </w:rPr>
        <w:t>definition the start of the counting of the days past due</w:t>
      </w:r>
      <w:r w:rsidR="00760287" w:rsidRPr="0057354C">
        <w:rPr>
          <w:rFonts w:ascii="Arial" w:hAnsi="Arial" w:cs="Arial"/>
          <w:sz w:val="20"/>
          <w:szCs w:val="20"/>
          <w:lang w:val="en-US"/>
        </w:rPr>
        <w:t xml:space="preserve"> (for instance</w:t>
      </w:r>
      <w:r w:rsidR="00297948" w:rsidRPr="0057354C">
        <w:rPr>
          <w:rFonts w:ascii="Arial" w:hAnsi="Arial" w:cs="Arial"/>
          <w:sz w:val="20"/>
          <w:szCs w:val="20"/>
          <w:lang w:val="en-US"/>
        </w:rPr>
        <w:t>,</w:t>
      </w:r>
      <w:r w:rsidR="00760287" w:rsidRPr="0057354C">
        <w:rPr>
          <w:rFonts w:ascii="Arial" w:hAnsi="Arial" w:cs="Arial"/>
          <w:sz w:val="20"/>
          <w:szCs w:val="20"/>
          <w:lang w:val="en-US"/>
        </w:rPr>
        <w:t xml:space="preserve"> in case of undisclosed factoring, </w:t>
      </w:r>
      <w:r w:rsidR="00297948" w:rsidRPr="0057354C">
        <w:rPr>
          <w:rFonts w:ascii="Arial" w:hAnsi="Arial" w:cs="Arial"/>
          <w:sz w:val="20"/>
          <w:szCs w:val="20"/>
          <w:lang w:val="en-US"/>
        </w:rPr>
        <w:t xml:space="preserve">when </w:t>
      </w:r>
      <w:r w:rsidR="00760287" w:rsidRPr="0057354C">
        <w:rPr>
          <w:rFonts w:ascii="Arial" w:hAnsi="Arial" w:cs="Arial"/>
          <w:sz w:val="20"/>
          <w:szCs w:val="20"/>
          <w:lang w:val="en-US"/>
        </w:rPr>
        <w:t>the reimburse by the assignor of the collected amounts to the factor becomes due).</w:t>
      </w:r>
    </w:p>
    <w:p w:rsidR="00EF4793" w:rsidRPr="00D60F6C" w:rsidRDefault="00EF4793" w:rsidP="00EF4793">
      <w:pPr>
        <w:spacing w:after="0" w:line="240" w:lineRule="auto"/>
        <w:jc w:val="both"/>
        <w:rPr>
          <w:rFonts w:ascii="Arial" w:hAnsi="Arial" w:cs="Arial"/>
          <w:sz w:val="20"/>
          <w:szCs w:val="20"/>
          <w:lang w:val="en-US"/>
        </w:rPr>
      </w:pPr>
    </w:p>
    <w:p w:rsidR="002C2D14" w:rsidRPr="00D60F6C" w:rsidRDefault="002C2D14" w:rsidP="00EF4793">
      <w:pPr>
        <w:spacing w:after="0" w:line="240" w:lineRule="auto"/>
        <w:jc w:val="both"/>
        <w:rPr>
          <w:rFonts w:ascii="Arial" w:hAnsi="Arial" w:cs="Arial"/>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i/>
          <w:sz w:val="20"/>
          <w:szCs w:val="20"/>
          <w:lang w:val="en-US"/>
        </w:rPr>
      </w:pPr>
      <w:r w:rsidRPr="000C1336">
        <w:rPr>
          <w:rFonts w:ascii="Arial" w:eastAsia="Calibri" w:hAnsi="Arial" w:cs="Arial"/>
          <w:b/>
          <w:bCs/>
          <w:i/>
          <w:sz w:val="20"/>
          <w:szCs w:val="20"/>
          <w:lang w:val="en-US"/>
        </w:rPr>
        <w:t xml:space="preserve">Question 2: </w:t>
      </w:r>
      <w:r w:rsidRPr="000C1336">
        <w:rPr>
          <w:rFonts w:ascii="Arial" w:eastAsia="Calibri" w:hAnsi="Arial" w:cs="Arial"/>
          <w:bCs/>
          <w:i/>
          <w:sz w:val="20"/>
          <w:szCs w:val="20"/>
          <w:lang w:val="en-US"/>
        </w:rPr>
        <w:t>Do you consider the requirements on the treatment of factoring arrangements as appropriate and sufficiently clear? If not, please provide proposals for additional clarifications.</w:t>
      </w:r>
    </w:p>
    <w:p w:rsidR="00EF4793" w:rsidRPr="000C1336" w:rsidRDefault="00EF4793" w:rsidP="00EF4793">
      <w:pPr>
        <w:spacing w:after="0" w:line="240" w:lineRule="auto"/>
        <w:jc w:val="both"/>
        <w:rPr>
          <w:rFonts w:ascii="Arial" w:eastAsia="Calibri" w:hAnsi="Arial" w:cs="Arial"/>
          <w:bCs/>
          <w:i/>
          <w:sz w:val="20"/>
          <w:szCs w:val="20"/>
          <w:lang w:val="en-US"/>
        </w:rPr>
      </w:pPr>
    </w:p>
    <w:p w:rsidR="0088221E" w:rsidRPr="004117C2" w:rsidRDefault="0088221E" w:rsidP="0088221E">
      <w:pPr>
        <w:spacing w:after="0" w:line="240" w:lineRule="auto"/>
        <w:jc w:val="both"/>
        <w:rPr>
          <w:rFonts w:ascii="Arial" w:hAnsi="Arial" w:cs="Arial"/>
          <w:b/>
          <w:sz w:val="20"/>
          <w:szCs w:val="20"/>
          <w:lang w:val="en-US"/>
        </w:rPr>
      </w:pPr>
      <w:r w:rsidRPr="0088221E">
        <w:rPr>
          <w:rFonts w:ascii="Arial" w:hAnsi="Arial" w:cs="Arial"/>
          <w:b/>
          <w:sz w:val="20"/>
          <w:szCs w:val="20"/>
          <w:lang w:val="en-US"/>
        </w:rPr>
        <w:t>Types of factoring</w:t>
      </w:r>
    </w:p>
    <w:p w:rsid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 xml:space="preserve">ASF believes that the approach regarding the treatment of factoring requires clarifications. ASF acknowledges that the IAS/IFRS framework emphasizes two kinds of risk in the balance sheets of the </w:t>
      </w:r>
      <w:proofErr w:type="gramStart"/>
      <w:r w:rsidRPr="0088221E">
        <w:rPr>
          <w:rFonts w:ascii="Arial" w:hAnsi="Arial" w:cs="Arial"/>
          <w:sz w:val="20"/>
          <w:szCs w:val="20"/>
          <w:lang w:val="en-US"/>
        </w:rPr>
        <w:t>factors :</w:t>
      </w:r>
      <w:proofErr w:type="gramEnd"/>
    </w:p>
    <w:p w:rsidR="00E847AD" w:rsidRPr="0088221E" w:rsidRDefault="00E847AD" w:rsidP="0088221E">
      <w:pPr>
        <w:spacing w:after="0" w:line="240" w:lineRule="auto"/>
        <w:jc w:val="both"/>
        <w:rPr>
          <w:rFonts w:ascii="Arial" w:hAnsi="Arial" w:cs="Arial"/>
          <w:sz w:val="20"/>
          <w:szCs w:val="20"/>
          <w:lang w:val="en-US"/>
        </w:rPr>
      </w:pPr>
    </w:p>
    <w:p w:rsidR="0088221E" w:rsidRPr="0088221E" w:rsidRDefault="0088221E" w:rsidP="0088221E">
      <w:pPr>
        <w:pStyle w:val="Paragraphedeliste"/>
        <w:numPr>
          <w:ilvl w:val="0"/>
          <w:numId w:val="7"/>
        </w:numPr>
        <w:spacing w:after="0" w:line="240" w:lineRule="auto"/>
        <w:ind w:hanging="153"/>
        <w:jc w:val="both"/>
        <w:rPr>
          <w:rFonts w:ascii="Arial" w:hAnsi="Arial" w:cs="Arial"/>
          <w:sz w:val="20"/>
          <w:szCs w:val="20"/>
          <w:lang w:val="en-US"/>
        </w:rPr>
      </w:pPr>
      <w:r w:rsidRPr="0088221E">
        <w:rPr>
          <w:rFonts w:ascii="Arial" w:hAnsi="Arial" w:cs="Arial"/>
          <w:sz w:val="20"/>
          <w:szCs w:val="20"/>
          <w:lang w:val="en-US"/>
        </w:rPr>
        <w:t>the risk on the client, represented by the amounts advanced by the factor ;</w:t>
      </w:r>
    </w:p>
    <w:p w:rsidR="0088221E" w:rsidRPr="0088221E" w:rsidRDefault="0088221E" w:rsidP="0088221E">
      <w:pPr>
        <w:pStyle w:val="Paragraphedeliste"/>
        <w:numPr>
          <w:ilvl w:val="0"/>
          <w:numId w:val="7"/>
        </w:numPr>
        <w:spacing w:after="0" w:line="240" w:lineRule="auto"/>
        <w:ind w:hanging="153"/>
        <w:jc w:val="both"/>
        <w:rPr>
          <w:rFonts w:ascii="Arial" w:hAnsi="Arial" w:cs="Arial"/>
          <w:sz w:val="20"/>
          <w:szCs w:val="20"/>
          <w:lang w:val="en-US"/>
        </w:rPr>
      </w:pPr>
      <w:proofErr w:type="gramStart"/>
      <w:r w:rsidRPr="0088221E">
        <w:rPr>
          <w:rFonts w:ascii="Arial" w:hAnsi="Arial" w:cs="Arial"/>
          <w:sz w:val="20"/>
          <w:szCs w:val="20"/>
          <w:lang w:val="en-US"/>
        </w:rPr>
        <w:lastRenderedPageBreak/>
        <w:t>the</w:t>
      </w:r>
      <w:proofErr w:type="gramEnd"/>
      <w:r w:rsidRPr="0088221E">
        <w:rPr>
          <w:rFonts w:ascii="Arial" w:hAnsi="Arial" w:cs="Arial"/>
          <w:sz w:val="20"/>
          <w:szCs w:val="20"/>
          <w:lang w:val="en-US"/>
        </w:rPr>
        <w:t xml:space="preserve"> risk on the debtors, represented by the invoices purchased.</w:t>
      </w:r>
    </w:p>
    <w:p w:rsidR="0088221E" w:rsidRPr="0088221E" w:rsidRDefault="0088221E" w:rsidP="0088221E">
      <w:pPr>
        <w:spacing w:after="0" w:line="240" w:lineRule="auto"/>
        <w:jc w:val="both"/>
        <w:rPr>
          <w:rFonts w:ascii="Arial" w:hAnsi="Arial" w:cs="Arial"/>
          <w:sz w:val="20"/>
          <w:szCs w:val="20"/>
          <w:lang w:val="en-US"/>
        </w:rPr>
      </w:pPr>
    </w:p>
    <w:p w:rsidR="0088221E" w:rsidRPr="0088221E" w:rsidRDefault="0088221E" w:rsidP="0088221E">
      <w:pPr>
        <w:spacing w:after="0" w:line="240" w:lineRule="auto"/>
        <w:jc w:val="both"/>
        <w:rPr>
          <w:rFonts w:ascii="Arial" w:hAnsi="Arial" w:cs="Arial"/>
          <w:sz w:val="20"/>
          <w:szCs w:val="20"/>
          <w:lang w:val="en-US"/>
        </w:rPr>
      </w:pPr>
      <w:r w:rsidRPr="0057354C">
        <w:rPr>
          <w:rFonts w:ascii="Arial" w:hAnsi="Arial" w:cs="Arial"/>
          <w:sz w:val="20"/>
          <w:szCs w:val="20"/>
          <w:lang w:val="en-US"/>
        </w:rPr>
        <w:t xml:space="preserve">Nevertheless, ASF wants to insist on the fact that, at least at solo level, all French factors, </w:t>
      </w:r>
      <w:r w:rsidR="00760287" w:rsidRPr="0057354C">
        <w:rPr>
          <w:rFonts w:ascii="Arial" w:hAnsi="Arial" w:cs="Arial"/>
          <w:sz w:val="20"/>
          <w:szCs w:val="20"/>
          <w:lang w:val="en-US"/>
        </w:rPr>
        <w:t xml:space="preserve">since they do not apply IAS principles at individual level, </w:t>
      </w:r>
      <w:r w:rsidR="00297948" w:rsidRPr="0057354C">
        <w:rPr>
          <w:rFonts w:ascii="Arial" w:hAnsi="Arial" w:cs="Arial"/>
          <w:sz w:val="20"/>
          <w:szCs w:val="20"/>
          <w:lang w:val="en-US"/>
        </w:rPr>
        <w:t>account</w:t>
      </w:r>
      <w:r w:rsidR="00760287" w:rsidRPr="0057354C">
        <w:rPr>
          <w:rFonts w:ascii="Arial" w:hAnsi="Arial" w:cs="Arial"/>
          <w:sz w:val="20"/>
          <w:szCs w:val="20"/>
          <w:lang w:val="en-US"/>
        </w:rPr>
        <w:t>,</w:t>
      </w:r>
      <w:r w:rsidRPr="0057354C">
        <w:rPr>
          <w:rFonts w:ascii="Arial" w:hAnsi="Arial" w:cs="Arial"/>
          <w:sz w:val="20"/>
          <w:szCs w:val="20"/>
          <w:lang w:val="en-US"/>
        </w:rPr>
        <w:t xml:space="preserve"> </w:t>
      </w:r>
      <w:r w:rsidR="00760287" w:rsidRPr="0057354C">
        <w:rPr>
          <w:rFonts w:ascii="Arial" w:hAnsi="Arial" w:cs="Arial"/>
          <w:sz w:val="20"/>
          <w:szCs w:val="20"/>
          <w:lang w:val="en-US"/>
        </w:rPr>
        <w:t xml:space="preserve">for any type of factoring, </w:t>
      </w:r>
      <w:r w:rsidRPr="0057354C">
        <w:rPr>
          <w:rFonts w:ascii="Arial" w:hAnsi="Arial" w:cs="Arial"/>
          <w:sz w:val="20"/>
          <w:szCs w:val="20"/>
          <w:lang w:val="en-US"/>
        </w:rPr>
        <w:t xml:space="preserve">the purchased </w:t>
      </w:r>
      <w:r w:rsidRPr="0088221E">
        <w:rPr>
          <w:rFonts w:ascii="Arial" w:hAnsi="Arial" w:cs="Arial"/>
          <w:sz w:val="20"/>
          <w:szCs w:val="20"/>
          <w:lang w:val="en-US"/>
        </w:rPr>
        <w:t>receivables among the assets, and the retentions, reserves, deposits of guarantees among the liabilities ; the difference between the global amounts of purchased receivables and retention, reserves, deposits of guarantees indicate the amount of the funding granted by the factor – which is not as such written in the balance sheet.</w:t>
      </w:r>
    </w:p>
    <w:p w:rsidR="00AA3245" w:rsidRDefault="00AA3245" w:rsidP="0088221E">
      <w:pPr>
        <w:spacing w:after="0" w:line="240" w:lineRule="auto"/>
        <w:jc w:val="both"/>
        <w:rPr>
          <w:rFonts w:ascii="Arial" w:hAnsi="Arial" w:cs="Arial"/>
          <w:sz w:val="20"/>
          <w:szCs w:val="20"/>
          <w:lang w:val="en-US"/>
        </w:rPr>
      </w:pPr>
    </w:p>
    <w:p w:rsidR="0088221E" w:rsidRPr="0057354C" w:rsidRDefault="00760287" w:rsidP="0088221E">
      <w:pPr>
        <w:spacing w:after="0" w:line="240" w:lineRule="auto"/>
        <w:jc w:val="both"/>
        <w:rPr>
          <w:rFonts w:ascii="Arial" w:hAnsi="Arial" w:cs="Arial"/>
          <w:sz w:val="20"/>
          <w:szCs w:val="20"/>
          <w:lang w:val="en-US"/>
        </w:rPr>
      </w:pPr>
      <w:r w:rsidRPr="0057354C">
        <w:rPr>
          <w:rFonts w:ascii="Arial" w:hAnsi="Arial" w:cs="Arial"/>
          <w:sz w:val="20"/>
          <w:szCs w:val="20"/>
          <w:lang w:val="en-US"/>
        </w:rPr>
        <w:t>Notwithstanding the accounting representation, when assessing the risk of a given agreement, factors usually combine both client and debtor risks</w:t>
      </w:r>
      <w:r w:rsidR="00AA3245">
        <w:rPr>
          <w:rFonts w:ascii="Arial" w:hAnsi="Arial" w:cs="Arial"/>
          <w:sz w:val="20"/>
          <w:szCs w:val="20"/>
          <w:lang w:val="en-US"/>
        </w:rPr>
        <w:t xml:space="preserve"> </w:t>
      </w:r>
      <w:r w:rsidR="00AA3245" w:rsidRPr="00AA3245">
        <w:rPr>
          <w:rFonts w:ascii="Arial" w:hAnsi="Arial" w:cs="Arial"/>
          <w:sz w:val="20"/>
          <w:szCs w:val="20"/>
          <w:lang w:val="en-US"/>
        </w:rPr>
        <w:t xml:space="preserve">to take </w:t>
      </w:r>
      <w:r w:rsidR="00AA3245">
        <w:rPr>
          <w:rFonts w:ascii="Arial" w:hAnsi="Arial" w:cs="Arial"/>
          <w:sz w:val="20"/>
          <w:szCs w:val="20"/>
          <w:lang w:val="en-US"/>
        </w:rPr>
        <w:t>into account the</w:t>
      </w:r>
      <w:r w:rsidR="00AA3245" w:rsidRPr="00AA3245">
        <w:rPr>
          <w:rFonts w:ascii="Arial" w:hAnsi="Arial" w:cs="Arial"/>
          <w:sz w:val="20"/>
          <w:szCs w:val="20"/>
          <w:lang w:val="en-US"/>
        </w:rPr>
        <w:t xml:space="preserve"> specificities of factoring</w:t>
      </w:r>
      <w:r w:rsidRPr="0057354C">
        <w:rPr>
          <w:rFonts w:ascii="Arial" w:hAnsi="Arial" w:cs="Arial"/>
          <w:sz w:val="20"/>
          <w:szCs w:val="20"/>
          <w:lang w:val="en-US"/>
        </w:rPr>
        <w:t>.</w:t>
      </w:r>
    </w:p>
    <w:p w:rsidR="0088221E" w:rsidRPr="0088221E" w:rsidRDefault="0088221E" w:rsidP="0088221E">
      <w:pPr>
        <w:spacing w:after="0" w:line="240" w:lineRule="auto"/>
        <w:jc w:val="both"/>
        <w:rPr>
          <w:rFonts w:ascii="Arial" w:hAnsi="Arial" w:cs="Arial"/>
          <w:sz w:val="20"/>
          <w:szCs w:val="20"/>
          <w:lang w:val="en-US"/>
        </w:rPr>
      </w:pPr>
    </w:p>
    <w:p w:rsidR="0088221E" w:rsidRPr="0088221E" w:rsidRDefault="0088221E" w:rsidP="0088221E">
      <w:pPr>
        <w:spacing w:after="0" w:line="240" w:lineRule="auto"/>
        <w:jc w:val="both"/>
        <w:rPr>
          <w:rFonts w:ascii="Arial" w:hAnsi="Arial" w:cs="Arial"/>
          <w:b/>
          <w:sz w:val="20"/>
          <w:szCs w:val="20"/>
          <w:lang w:val="en-US"/>
        </w:rPr>
      </w:pPr>
      <w:r w:rsidRPr="0088221E">
        <w:rPr>
          <w:rFonts w:ascii="Arial" w:hAnsi="Arial" w:cs="Arial"/>
          <w:b/>
          <w:sz w:val="20"/>
          <w:szCs w:val="20"/>
          <w:lang w:val="en-US"/>
        </w:rPr>
        <w:t>Client side</w:t>
      </w:r>
    </w:p>
    <w:p w:rsidR="0088221E" w:rsidRDefault="0088221E" w:rsidP="0088221E">
      <w:pPr>
        <w:spacing w:after="0" w:line="240" w:lineRule="auto"/>
        <w:jc w:val="both"/>
        <w:rPr>
          <w:rFonts w:ascii="Arial" w:hAnsi="Arial" w:cs="Arial"/>
          <w:i/>
          <w:sz w:val="20"/>
          <w:szCs w:val="20"/>
          <w:lang w:val="en-US"/>
        </w:rPr>
      </w:pPr>
    </w:p>
    <w:p w:rsidR="00760287" w:rsidRPr="0088221E" w:rsidRDefault="00760287" w:rsidP="00760287">
      <w:pPr>
        <w:spacing w:after="0" w:line="240" w:lineRule="auto"/>
        <w:jc w:val="both"/>
        <w:rPr>
          <w:rFonts w:ascii="Arial" w:hAnsi="Arial" w:cs="Arial"/>
          <w:i/>
          <w:sz w:val="20"/>
          <w:szCs w:val="20"/>
          <w:lang w:val="en-US"/>
        </w:rPr>
      </w:pPr>
      <w:r w:rsidRPr="0088221E">
        <w:rPr>
          <w:rFonts w:ascii="Arial" w:hAnsi="Arial" w:cs="Arial"/>
          <w:i/>
          <w:sz w:val="20"/>
          <w:szCs w:val="20"/>
          <w:lang w:val="en-US"/>
        </w:rPr>
        <w:t>Disputes (see debtor side)</w:t>
      </w:r>
    </w:p>
    <w:p w:rsidR="00760287" w:rsidRDefault="00760287" w:rsidP="0088221E">
      <w:pPr>
        <w:spacing w:after="0" w:line="240" w:lineRule="auto"/>
        <w:jc w:val="both"/>
        <w:rPr>
          <w:rFonts w:ascii="Arial" w:hAnsi="Arial" w:cs="Arial"/>
          <w:i/>
          <w:sz w:val="20"/>
          <w:szCs w:val="20"/>
          <w:lang w:val="en-US"/>
        </w:rPr>
      </w:pPr>
    </w:p>
    <w:p w:rsidR="0088221E" w:rsidRPr="0088221E" w:rsidRDefault="0088221E" w:rsidP="0088221E">
      <w:pPr>
        <w:spacing w:after="0" w:line="240" w:lineRule="auto"/>
        <w:jc w:val="both"/>
        <w:rPr>
          <w:rFonts w:ascii="Arial" w:hAnsi="Arial" w:cs="Arial"/>
          <w:i/>
          <w:sz w:val="20"/>
          <w:szCs w:val="20"/>
          <w:lang w:val="en-US"/>
        </w:rPr>
      </w:pPr>
      <w:r w:rsidRPr="0088221E">
        <w:rPr>
          <w:rFonts w:ascii="Arial" w:hAnsi="Arial" w:cs="Arial"/>
          <w:i/>
          <w:sz w:val="20"/>
          <w:szCs w:val="20"/>
          <w:lang w:val="en-US"/>
        </w:rPr>
        <w:t>Factoring account in debit</w:t>
      </w: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On the client side, the financing facility is usually considered as one and limited to a percentage of the amount of the outstanding receivables. ASF reckons that taking into consideration the agreed percentage of advance, as proposed by the EBA in the Consultation Paper, may represent a proper way to treat factoring.</w:t>
      </w:r>
    </w:p>
    <w:p w:rsidR="0088221E" w:rsidRPr="0088221E" w:rsidRDefault="00DF515E" w:rsidP="0088221E">
      <w:pPr>
        <w:spacing w:after="0" w:line="240" w:lineRule="auto"/>
        <w:jc w:val="both"/>
        <w:rPr>
          <w:rFonts w:ascii="Arial" w:hAnsi="Arial" w:cs="Arial"/>
          <w:sz w:val="20"/>
          <w:szCs w:val="20"/>
          <w:lang w:val="en-US"/>
        </w:rPr>
      </w:pPr>
      <w:r w:rsidRPr="00E847AD">
        <w:rPr>
          <w:rFonts w:ascii="Arial" w:hAnsi="Arial" w:cs="Arial"/>
          <w:sz w:val="20"/>
          <w:szCs w:val="20"/>
          <w:lang w:val="en-US"/>
        </w:rPr>
        <w:t xml:space="preserve">In most cases </w:t>
      </w:r>
      <w:r w:rsidR="0088221E" w:rsidRPr="0088221E">
        <w:rPr>
          <w:rFonts w:ascii="Arial" w:hAnsi="Arial" w:cs="Arial"/>
          <w:sz w:val="20"/>
          <w:szCs w:val="20"/>
          <w:lang w:val="en-US"/>
        </w:rPr>
        <w:t>the factor does not inform the client about a percentage of the advance : in those cases, the factor manages the position of the client according to its internal limits and implicitly considers that it is liable up to the total amount of the outstanding debts (i.e. the agreed percentage is equal to 100%).</w:t>
      </w:r>
    </w:p>
    <w:p w:rsidR="0088221E" w:rsidRPr="0088221E" w:rsidRDefault="0088221E" w:rsidP="0088221E">
      <w:pPr>
        <w:spacing w:after="0" w:line="240" w:lineRule="auto"/>
        <w:jc w:val="both"/>
        <w:rPr>
          <w:rFonts w:ascii="Arial" w:hAnsi="Arial" w:cs="Arial"/>
          <w:b/>
          <w:sz w:val="20"/>
          <w:szCs w:val="20"/>
          <w:u w:val="single"/>
          <w:lang w:val="en-US"/>
        </w:rPr>
      </w:pPr>
    </w:p>
    <w:p w:rsidR="0088221E" w:rsidRPr="0088221E" w:rsidRDefault="0088221E" w:rsidP="0088221E">
      <w:pPr>
        <w:spacing w:after="0" w:line="240" w:lineRule="auto"/>
        <w:jc w:val="both"/>
        <w:rPr>
          <w:rFonts w:ascii="Arial" w:hAnsi="Arial" w:cs="Arial"/>
          <w:b/>
          <w:sz w:val="20"/>
          <w:szCs w:val="20"/>
          <w:u w:val="single"/>
          <w:lang w:val="en-US"/>
        </w:rPr>
      </w:pPr>
    </w:p>
    <w:p w:rsidR="0088221E" w:rsidRPr="0088221E" w:rsidRDefault="0088221E" w:rsidP="0088221E">
      <w:pPr>
        <w:spacing w:after="0" w:line="240" w:lineRule="auto"/>
        <w:jc w:val="both"/>
        <w:rPr>
          <w:rFonts w:ascii="Arial" w:hAnsi="Arial" w:cs="Arial"/>
          <w:b/>
          <w:sz w:val="20"/>
          <w:szCs w:val="20"/>
          <w:lang w:val="en-US"/>
        </w:rPr>
      </w:pPr>
      <w:r w:rsidRPr="0088221E">
        <w:rPr>
          <w:rFonts w:ascii="Arial" w:hAnsi="Arial" w:cs="Arial"/>
          <w:b/>
          <w:sz w:val="20"/>
          <w:szCs w:val="20"/>
          <w:lang w:val="en-US"/>
        </w:rPr>
        <w:t>Debtor side</w:t>
      </w:r>
    </w:p>
    <w:p w:rsidR="0088221E" w:rsidRPr="0088221E" w:rsidRDefault="0088221E" w:rsidP="0088221E">
      <w:pPr>
        <w:spacing w:after="0" w:line="240" w:lineRule="auto"/>
        <w:jc w:val="both"/>
        <w:rPr>
          <w:rFonts w:ascii="Arial" w:hAnsi="Arial" w:cs="Arial"/>
          <w:i/>
          <w:sz w:val="20"/>
          <w:szCs w:val="20"/>
          <w:lang w:val="en-US"/>
        </w:rPr>
      </w:pPr>
    </w:p>
    <w:p w:rsidR="0088221E" w:rsidRPr="0088221E" w:rsidRDefault="0088221E" w:rsidP="0088221E">
      <w:pPr>
        <w:spacing w:after="0" w:line="240" w:lineRule="auto"/>
        <w:jc w:val="both"/>
        <w:rPr>
          <w:rFonts w:ascii="Arial" w:hAnsi="Arial" w:cs="Arial"/>
          <w:i/>
          <w:sz w:val="20"/>
          <w:szCs w:val="20"/>
          <w:lang w:val="en-US"/>
        </w:rPr>
      </w:pPr>
      <w:r w:rsidRPr="0088221E">
        <w:rPr>
          <w:rFonts w:ascii="Arial" w:hAnsi="Arial" w:cs="Arial"/>
          <w:i/>
          <w:sz w:val="20"/>
          <w:szCs w:val="20"/>
          <w:lang w:val="en-US"/>
        </w:rPr>
        <w:t>Principle</w:t>
      </w: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In principle, we do not share the view in paragraph 20 that the classification of the obligor as in a defaulted status should not be subject to additional expert judgment. This restrictive definition is likely to strongly increase the default rate and consequently, the provision for credit loss (cost of risk), whereas factoring is known to be an activity with very low cost of risk</w:t>
      </w:r>
      <w:r w:rsidRPr="0088221E">
        <w:rPr>
          <w:rStyle w:val="Appelnotedebasdep"/>
          <w:rFonts w:ascii="Arial" w:hAnsi="Arial" w:cs="Arial"/>
          <w:sz w:val="20"/>
          <w:szCs w:val="20"/>
          <w:lang w:val="en-US"/>
        </w:rPr>
        <w:footnoteReference w:id="2"/>
      </w:r>
    </w:p>
    <w:p w:rsidR="0088221E" w:rsidRPr="0088221E" w:rsidRDefault="0088221E" w:rsidP="0088221E">
      <w:pPr>
        <w:spacing w:after="0" w:line="240" w:lineRule="auto"/>
        <w:jc w:val="both"/>
        <w:rPr>
          <w:rFonts w:ascii="Arial" w:hAnsi="Arial" w:cs="Arial"/>
          <w:sz w:val="20"/>
          <w:szCs w:val="20"/>
          <w:lang w:val="en-US"/>
        </w:rPr>
      </w:pPr>
    </w:p>
    <w:p w:rsidR="0088221E" w:rsidRPr="0088221E" w:rsidRDefault="0088221E" w:rsidP="0088221E">
      <w:pPr>
        <w:spacing w:after="0" w:line="240" w:lineRule="auto"/>
        <w:jc w:val="both"/>
        <w:rPr>
          <w:rFonts w:ascii="Arial" w:hAnsi="Arial" w:cs="Arial"/>
          <w:i/>
          <w:sz w:val="20"/>
          <w:szCs w:val="20"/>
          <w:lang w:val="en-US"/>
        </w:rPr>
      </w:pPr>
      <w:r w:rsidRPr="0088221E">
        <w:rPr>
          <w:rFonts w:ascii="Arial" w:hAnsi="Arial" w:cs="Arial"/>
          <w:i/>
          <w:sz w:val="20"/>
          <w:szCs w:val="20"/>
          <w:lang w:val="en-US"/>
        </w:rPr>
        <w:t>Trade events</w:t>
      </w: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 xml:space="preserve">In factoring, trade events may reduce the reliability of the due date of the invoice as a mandatory payment date for the debtor or postpone the actual payment terms for the buyer according to some conditions. Among the examples of the trade events that we assume fall under the provisions of §17 and §18, we can </w:t>
      </w:r>
      <w:proofErr w:type="gramStart"/>
      <w:r w:rsidRPr="0088221E">
        <w:rPr>
          <w:rFonts w:ascii="Arial" w:hAnsi="Arial" w:cs="Arial"/>
          <w:sz w:val="20"/>
          <w:szCs w:val="20"/>
          <w:lang w:val="en-US"/>
        </w:rPr>
        <w:t>quote :</w:t>
      </w:r>
      <w:proofErr w:type="gramEnd"/>
      <w:r w:rsidRPr="0088221E">
        <w:rPr>
          <w:rFonts w:ascii="Arial" w:hAnsi="Arial" w:cs="Arial"/>
          <w:sz w:val="20"/>
          <w:szCs w:val="20"/>
          <w:lang w:val="en-US"/>
        </w:rPr>
        <w:t xml:space="preserve"> payment after verification of the supply, extension of the payment terms to the buyer, …</w:t>
      </w:r>
    </w:p>
    <w:p w:rsidR="0088221E" w:rsidRPr="0088221E" w:rsidRDefault="0088221E" w:rsidP="0088221E">
      <w:pPr>
        <w:spacing w:after="0" w:line="240" w:lineRule="auto"/>
        <w:jc w:val="both"/>
        <w:rPr>
          <w:rFonts w:ascii="Arial" w:hAnsi="Arial" w:cs="Arial"/>
          <w:sz w:val="20"/>
          <w:szCs w:val="20"/>
          <w:lang w:val="en-US"/>
        </w:rPr>
      </w:pP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This should be recognized, for instance, under the reliefs proposed in §17 and §18 of EBA Consultation Paper</w:t>
      </w:r>
    </w:p>
    <w:p w:rsidR="0088221E" w:rsidRPr="0088221E" w:rsidRDefault="0088221E" w:rsidP="0088221E">
      <w:pPr>
        <w:spacing w:after="0" w:line="240" w:lineRule="auto"/>
        <w:jc w:val="both"/>
        <w:rPr>
          <w:rFonts w:ascii="Arial" w:hAnsi="Arial" w:cs="Arial"/>
          <w:sz w:val="20"/>
          <w:szCs w:val="20"/>
          <w:lang w:val="en-US"/>
        </w:rPr>
      </w:pPr>
    </w:p>
    <w:p w:rsidR="0088221E" w:rsidRPr="0088221E" w:rsidRDefault="0088221E" w:rsidP="0088221E">
      <w:pPr>
        <w:spacing w:after="0" w:line="240" w:lineRule="auto"/>
        <w:jc w:val="both"/>
        <w:rPr>
          <w:rFonts w:ascii="Arial" w:hAnsi="Arial" w:cs="Arial"/>
          <w:i/>
          <w:sz w:val="20"/>
          <w:szCs w:val="20"/>
          <w:lang w:val="en-US"/>
        </w:rPr>
      </w:pPr>
      <w:r w:rsidRPr="0088221E">
        <w:rPr>
          <w:rFonts w:ascii="Arial" w:hAnsi="Arial" w:cs="Arial"/>
          <w:i/>
          <w:sz w:val="20"/>
          <w:szCs w:val="20"/>
          <w:lang w:val="en-US"/>
        </w:rPr>
        <w:t>Disputes</w:t>
      </w: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 xml:space="preserve">From a risk perspective, the disputes, as well as discounts, deductions, netting or in general credit notes issued by the seller are not in the field of default risk but rather in the field of dilution risk </w:t>
      </w: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 xml:space="preserve">These events should be classified within client risk, since they are not covered by credit insurance (and consequently do not represent debtor risk) and since, if they occur, the corresponding amounts are debited from the client account and finally generate client default if they are not reimbursed before 90 days. </w:t>
      </w:r>
    </w:p>
    <w:p w:rsidR="0088221E" w:rsidRPr="0088221E" w:rsidRDefault="0088221E" w:rsidP="0088221E">
      <w:pPr>
        <w:spacing w:after="0" w:line="240" w:lineRule="auto"/>
        <w:jc w:val="both"/>
        <w:rPr>
          <w:rFonts w:ascii="Arial" w:hAnsi="Arial" w:cs="Arial"/>
          <w:sz w:val="20"/>
          <w:szCs w:val="20"/>
          <w:lang w:val="en-US"/>
        </w:rPr>
      </w:pPr>
    </w:p>
    <w:p w:rsidR="0088221E" w:rsidRPr="0088221E" w:rsidRDefault="0088221E" w:rsidP="0088221E">
      <w:pPr>
        <w:spacing w:after="0" w:line="240" w:lineRule="auto"/>
        <w:jc w:val="both"/>
        <w:rPr>
          <w:rFonts w:ascii="Arial" w:hAnsi="Arial" w:cs="Arial"/>
          <w:i/>
          <w:sz w:val="20"/>
          <w:szCs w:val="20"/>
          <w:lang w:val="en-US"/>
        </w:rPr>
      </w:pPr>
      <w:r w:rsidRPr="0088221E">
        <w:rPr>
          <w:rFonts w:ascii="Arial" w:hAnsi="Arial" w:cs="Arial"/>
          <w:i/>
          <w:sz w:val="20"/>
          <w:szCs w:val="20"/>
          <w:lang w:val="en-US"/>
        </w:rPr>
        <w:t>Credit facility approach</w:t>
      </w: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 xml:space="preserve">A clarification is needed regarding §23, where the consultation paper reads as follows: </w:t>
      </w:r>
      <w:r w:rsidRPr="0088221E">
        <w:rPr>
          <w:rFonts w:ascii="Arial" w:hAnsi="Arial" w:cs="Arial"/>
          <w:i/>
          <w:sz w:val="20"/>
          <w:szCs w:val="20"/>
          <w:lang w:val="en-US"/>
        </w:rPr>
        <w:t xml:space="preserve">"[...] for institutions that use the IRB Approach, by virtue of the fact that the ceded receivables are purchased </w:t>
      </w:r>
      <w:r w:rsidRPr="0088221E">
        <w:rPr>
          <w:rFonts w:ascii="Arial" w:hAnsi="Arial" w:cs="Arial"/>
          <w:i/>
          <w:sz w:val="20"/>
          <w:szCs w:val="20"/>
          <w:lang w:val="en-US"/>
        </w:rPr>
        <w:lastRenderedPageBreak/>
        <w:t>receivables, where they meet the requirements of 154(4) of Regulation (EU) No 575/2013 or in the case of purchased corporate receivables the requirements of Article 153(6) of Regulation (EU) No 575/2013, the default definition may be applied as for retail exposures in accordance with Section 9 of these guidelines"</w:t>
      </w:r>
      <w:r w:rsidRPr="0088221E">
        <w:rPr>
          <w:rFonts w:ascii="Arial" w:hAnsi="Arial" w:cs="Arial"/>
          <w:sz w:val="20"/>
          <w:szCs w:val="20"/>
          <w:lang w:val="en-US"/>
        </w:rPr>
        <w:t>.</w:t>
      </w:r>
    </w:p>
    <w:p w:rsidR="0088221E" w:rsidRPr="0088221E" w:rsidRDefault="0088221E" w:rsidP="0088221E">
      <w:pPr>
        <w:spacing w:after="0" w:line="240" w:lineRule="auto"/>
        <w:jc w:val="both"/>
        <w:rPr>
          <w:rFonts w:ascii="Arial" w:hAnsi="Arial" w:cs="Arial"/>
          <w:sz w:val="20"/>
          <w:szCs w:val="20"/>
          <w:lang w:val="en-US"/>
        </w:rPr>
      </w:pP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 xml:space="preserve">According to this wording, it is suggested that the EBA clarifies if the application of the default definition as for retail exposures to purchased receivables, where the requirements of the above-mentioned Article 154(4) or 153(6) of the CRR are met, is available for institutions that use the </w:t>
      </w:r>
      <w:proofErr w:type="spellStart"/>
      <w:r w:rsidRPr="0088221E">
        <w:rPr>
          <w:rFonts w:ascii="Arial" w:hAnsi="Arial" w:cs="Arial"/>
          <w:sz w:val="20"/>
          <w:szCs w:val="20"/>
          <w:lang w:val="en-US"/>
        </w:rPr>
        <w:t>Standardised</w:t>
      </w:r>
      <w:proofErr w:type="spellEnd"/>
      <w:r w:rsidRPr="0088221E">
        <w:rPr>
          <w:rFonts w:ascii="Arial" w:hAnsi="Arial" w:cs="Arial"/>
          <w:sz w:val="20"/>
          <w:szCs w:val="20"/>
          <w:lang w:val="en-US"/>
        </w:rPr>
        <w:t xml:space="preserve"> Approach as well.</w:t>
      </w:r>
    </w:p>
    <w:p w:rsidR="0088221E" w:rsidRPr="0088221E" w:rsidRDefault="0088221E" w:rsidP="0088221E">
      <w:pPr>
        <w:spacing w:after="0" w:line="240" w:lineRule="auto"/>
        <w:jc w:val="both"/>
        <w:rPr>
          <w:rFonts w:ascii="Arial" w:hAnsi="Arial" w:cs="Arial"/>
          <w:sz w:val="20"/>
          <w:szCs w:val="20"/>
          <w:lang w:val="en-US"/>
        </w:rPr>
      </w:pP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Recourse to the credit facility approach, under IRB and SA approach, would bring an interesting solution to the problems above mentioned concerning the application of a materiality threshold to seize default in factoring and concerning the definition of default itself.</w:t>
      </w:r>
    </w:p>
    <w:p w:rsidR="0088221E" w:rsidRPr="0088221E" w:rsidRDefault="0088221E" w:rsidP="0088221E">
      <w:pPr>
        <w:spacing w:after="0" w:line="240" w:lineRule="auto"/>
        <w:jc w:val="both"/>
        <w:rPr>
          <w:rFonts w:ascii="Arial" w:hAnsi="Arial" w:cs="Arial"/>
          <w:sz w:val="20"/>
          <w:szCs w:val="20"/>
          <w:lang w:val="en-US"/>
        </w:rPr>
      </w:pPr>
    </w:p>
    <w:p w:rsidR="0088221E" w:rsidRPr="004117C2" w:rsidRDefault="0088221E" w:rsidP="0088221E">
      <w:pPr>
        <w:spacing w:after="0" w:line="240" w:lineRule="auto"/>
        <w:jc w:val="both"/>
        <w:rPr>
          <w:rFonts w:ascii="Arial" w:hAnsi="Arial" w:cs="Arial"/>
          <w:b/>
          <w:sz w:val="20"/>
          <w:szCs w:val="20"/>
          <w:lang w:val="en-US"/>
        </w:rPr>
      </w:pPr>
      <w:r w:rsidRPr="0088221E">
        <w:rPr>
          <w:rFonts w:ascii="Arial" w:hAnsi="Arial" w:cs="Arial"/>
          <w:b/>
          <w:sz w:val="20"/>
          <w:szCs w:val="20"/>
          <w:lang w:val="en-US"/>
        </w:rPr>
        <w:t>PA Debtors</w:t>
      </w: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PA trade debts are not really a source of credit risk but actually a source of liquidity risk, as the real risk is not losing money but rather getting the money back later than expected.</w:t>
      </w:r>
    </w:p>
    <w:p w:rsidR="0088221E" w:rsidRPr="0088221E" w:rsidRDefault="0088221E" w:rsidP="0088221E">
      <w:pPr>
        <w:spacing w:after="0" w:line="240" w:lineRule="auto"/>
        <w:jc w:val="both"/>
        <w:rPr>
          <w:rFonts w:ascii="Arial" w:hAnsi="Arial" w:cs="Arial"/>
          <w:sz w:val="20"/>
          <w:szCs w:val="20"/>
          <w:lang w:val="en-US"/>
        </w:rPr>
      </w:pPr>
    </w:p>
    <w:p w:rsidR="0088221E" w:rsidRPr="004117C2" w:rsidRDefault="0088221E" w:rsidP="0088221E">
      <w:pPr>
        <w:spacing w:after="0" w:line="240" w:lineRule="auto"/>
        <w:jc w:val="both"/>
        <w:rPr>
          <w:rFonts w:ascii="Arial" w:hAnsi="Arial" w:cs="Arial"/>
          <w:b/>
          <w:sz w:val="20"/>
          <w:szCs w:val="20"/>
          <w:lang w:val="en-US"/>
        </w:rPr>
      </w:pPr>
      <w:r w:rsidRPr="0088221E">
        <w:rPr>
          <w:rFonts w:ascii="Arial" w:hAnsi="Arial" w:cs="Arial"/>
          <w:b/>
          <w:sz w:val="20"/>
          <w:szCs w:val="20"/>
          <w:lang w:val="en-US"/>
        </w:rPr>
        <w:t>Time needed for implementation</w:t>
      </w: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 xml:space="preserve">The impact of the proposed definitions on financial institutions will vary depending on the extent to which the current approaches deviate from the proposals. </w:t>
      </w:r>
    </w:p>
    <w:p w:rsidR="0088221E" w:rsidRPr="0088221E" w:rsidRDefault="0088221E" w:rsidP="0088221E">
      <w:pPr>
        <w:spacing w:after="0" w:line="240" w:lineRule="auto"/>
        <w:jc w:val="both"/>
        <w:rPr>
          <w:rFonts w:ascii="Arial" w:hAnsi="Arial" w:cs="Arial"/>
          <w:sz w:val="20"/>
          <w:szCs w:val="20"/>
          <w:lang w:val="en-US"/>
        </w:rPr>
      </w:pPr>
      <w:r w:rsidRPr="0088221E">
        <w:rPr>
          <w:rFonts w:ascii="Arial" w:hAnsi="Arial" w:cs="Arial"/>
          <w:sz w:val="20"/>
          <w:szCs w:val="20"/>
          <w:lang w:val="en-US"/>
        </w:rPr>
        <w:t>However, given the envisaged significant impact on substantial numbers of institutions, we would like to stress that sufficient time needs to be granted to change all the different operative procedures.</w:t>
      </w:r>
    </w:p>
    <w:p w:rsidR="002C2D14" w:rsidRPr="00D60F6C" w:rsidRDefault="002C2D14" w:rsidP="00EF4793">
      <w:pPr>
        <w:spacing w:after="0" w:line="240" w:lineRule="auto"/>
        <w:jc w:val="both"/>
        <w:rPr>
          <w:rFonts w:ascii="Arial" w:eastAsia="Calibri" w:hAnsi="Arial" w:cs="Arial"/>
          <w:b/>
          <w:bCs/>
          <w:i/>
          <w:sz w:val="20"/>
          <w:szCs w:val="20"/>
          <w:lang w:val="en-US"/>
        </w:rPr>
      </w:pPr>
    </w:p>
    <w:p w:rsidR="002C2D14" w:rsidRPr="00D60F6C" w:rsidRDefault="002C2D14" w:rsidP="00EF4793">
      <w:pPr>
        <w:spacing w:after="0" w:line="240" w:lineRule="auto"/>
        <w:jc w:val="both"/>
        <w:rPr>
          <w:rFonts w:ascii="Arial" w:eastAsia="Calibri" w:hAnsi="Arial" w:cs="Arial"/>
          <w:b/>
          <w:bCs/>
          <w:i/>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i/>
          <w:sz w:val="20"/>
          <w:szCs w:val="20"/>
          <w:lang w:val="en-US"/>
        </w:rPr>
      </w:pPr>
      <w:r w:rsidRPr="000C1336">
        <w:rPr>
          <w:rFonts w:ascii="Arial" w:eastAsia="Calibri" w:hAnsi="Arial" w:cs="Arial"/>
          <w:b/>
          <w:bCs/>
          <w:i/>
          <w:sz w:val="20"/>
          <w:szCs w:val="20"/>
          <w:lang w:val="en-US"/>
        </w:rPr>
        <w:t xml:space="preserve">Question 3: </w:t>
      </w:r>
      <w:r w:rsidRPr="000C1336">
        <w:rPr>
          <w:rFonts w:ascii="Arial" w:eastAsia="Calibri" w:hAnsi="Arial" w:cs="Arial"/>
          <w:bCs/>
          <w:i/>
          <w:sz w:val="20"/>
          <w:szCs w:val="20"/>
          <w:lang w:val="en-US"/>
        </w:rPr>
        <w:t>Do you agree with the approach proposed for the treatment of specific credit risk adjustments?</w:t>
      </w:r>
    </w:p>
    <w:p w:rsidR="002C2D14" w:rsidRDefault="002C2D14" w:rsidP="00D02792">
      <w:pPr>
        <w:spacing w:after="0"/>
        <w:jc w:val="both"/>
        <w:rPr>
          <w:rFonts w:ascii="Arial" w:hAnsi="Arial" w:cs="Arial"/>
          <w:sz w:val="20"/>
          <w:szCs w:val="20"/>
          <w:lang w:val="en-US"/>
        </w:rPr>
      </w:pPr>
    </w:p>
    <w:p w:rsidR="007A41A8" w:rsidRPr="00D60F6C" w:rsidRDefault="0098674A" w:rsidP="00D02792">
      <w:pPr>
        <w:spacing w:after="0"/>
        <w:jc w:val="both"/>
        <w:rPr>
          <w:rFonts w:ascii="Arial" w:hAnsi="Arial" w:cs="Arial"/>
          <w:sz w:val="20"/>
          <w:szCs w:val="20"/>
          <w:lang w:val="en-US"/>
        </w:rPr>
      </w:pPr>
      <w:r w:rsidRPr="00D60F6C">
        <w:rPr>
          <w:rFonts w:ascii="Arial" w:hAnsi="Arial" w:cs="Arial"/>
          <w:sz w:val="20"/>
          <w:szCs w:val="20"/>
          <w:lang w:val="en-US"/>
        </w:rPr>
        <w:t>No specific comment.</w:t>
      </w:r>
    </w:p>
    <w:p w:rsidR="00EF4793" w:rsidRPr="00D60F6C" w:rsidRDefault="00EF4793" w:rsidP="00EF4793">
      <w:pPr>
        <w:spacing w:after="0" w:line="240" w:lineRule="auto"/>
        <w:jc w:val="both"/>
        <w:rPr>
          <w:rFonts w:ascii="Arial" w:eastAsia="Calibri" w:hAnsi="Arial" w:cs="Arial"/>
          <w:b/>
          <w:bCs/>
          <w:i/>
          <w:sz w:val="20"/>
          <w:szCs w:val="20"/>
          <w:lang w:val="en-US"/>
        </w:rPr>
      </w:pPr>
    </w:p>
    <w:p w:rsidR="002C2D14" w:rsidRPr="00D60F6C" w:rsidRDefault="002C2D14" w:rsidP="00EF4793">
      <w:pPr>
        <w:spacing w:after="0" w:line="240" w:lineRule="auto"/>
        <w:jc w:val="both"/>
        <w:rPr>
          <w:rFonts w:ascii="Arial" w:eastAsia="Calibri" w:hAnsi="Arial" w:cs="Arial"/>
          <w:b/>
          <w:bCs/>
          <w:i/>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i/>
          <w:sz w:val="20"/>
          <w:szCs w:val="20"/>
          <w:lang w:val="en-US"/>
        </w:rPr>
      </w:pPr>
      <w:r w:rsidRPr="000C1336">
        <w:rPr>
          <w:rFonts w:ascii="Arial" w:eastAsia="Calibri" w:hAnsi="Arial" w:cs="Arial"/>
          <w:b/>
          <w:bCs/>
          <w:i/>
          <w:sz w:val="20"/>
          <w:szCs w:val="20"/>
          <w:lang w:val="en-US"/>
        </w:rPr>
        <w:t xml:space="preserve">Question 4: </w:t>
      </w:r>
      <w:r w:rsidRPr="000C1336">
        <w:rPr>
          <w:rFonts w:ascii="Arial" w:eastAsia="Calibri" w:hAnsi="Arial" w:cs="Arial"/>
          <w:bCs/>
          <w:i/>
          <w:sz w:val="20"/>
          <w:szCs w:val="20"/>
          <w:lang w:val="en-US"/>
        </w:rPr>
        <w:t>Do you consider the proposed treatment of the sale of credit obligations appropriate for the purpose of identification of default?</w:t>
      </w:r>
    </w:p>
    <w:p w:rsidR="00EF4793" w:rsidRPr="000C1336" w:rsidRDefault="00EF4793" w:rsidP="00EF4793">
      <w:pPr>
        <w:spacing w:after="0" w:line="240" w:lineRule="auto"/>
        <w:jc w:val="both"/>
        <w:rPr>
          <w:rFonts w:ascii="Arial" w:hAnsi="Arial" w:cs="Arial"/>
          <w:sz w:val="20"/>
          <w:szCs w:val="20"/>
          <w:lang w:val="en-US"/>
        </w:rPr>
      </w:pPr>
    </w:p>
    <w:p w:rsidR="00E727D3" w:rsidRPr="00D60F6C" w:rsidRDefault="005A6AB0" w:rsidP="00D02792">
      <w:pPr>
        <w:spacing w:after="0"/>
        <w:jc w:val="both"/>
        <w:rPr>
          <w:rFonts w:ascii="Arial" w:hAnsi="Arial" w:cs="Arial"/>
          <w:sz w:val="20"/>
          <w:szCs w:val="20"/>
          <w:lang w:val="en-US"/>
        </w:rPr>
      </w:pPr>
      <w:r w:rsidRPr="00D60F6C">
        <w:rPr>
          <w:rFonts w:ascii="Arial" w:hAnsi="Arial" w:cs="Arial"/>
          <w:sz w:val="20"/>
          <w:szCs w:val="20"/>
          <w:lang w:val="en-US"/>
        </w:rPr>
        <w:t>No specific comment.</w:t>
      </w:r>
    </w:p>
    <w:p w:rsidR="00EF4793" w:rsidRPr="00D60F6C" w:rsidRDefault="00EF4793" w:rsidP="00EF4793">
      <w:pPr>
        <w:spacing w:after="0" w:line="240" w:lineRule="auto"/>
        <w:jc w:val="both"/>
        <w:rPr>
          <w:rFonts w:ascii="Arial" w:hAnsi="Arial" w:cs="Arial"/>
          <w:sz w:val="20"/>
          <w:szCs w:val="20"/>
          <w:lang w:val="en-US"/>
        </w:rPr>
      </w:pPr>
    </w:p>
    <w:p w:rsidR="002C2D14" w:rsidRPr="00D60F6C" w:rsidRDefault="002C2D14" w:rsidP="00EF4793">
      <w:pPr>
        <w:spacing w:after="0" w:line="240" w:lineRule="auto"/>
        <w:jc w:val="both"/>
        <w:rPr>
          <w:rFonts w:ascii="Arial" w:hAnsi="Arial" w:cs="Arial"/>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i/>
          <w:sz w:val="20"/>
          <w:szCs w:val="20"/>
          <w:lang w:val="en-US"/>
        </w:rPr>
      </w:pPr>
      <w:r w:rsidRPr="000C1336">
        <w:rPr>
          <w:rFonts w:ascii="Arial" w:eastAsia="Calibri" w:hAnsi="Arial" w:cs="Arial"/>
          <w:b/>
          <w:bCs/>
          <w:i/>
          <w:sz w:val="20"/>
          <w:szCs w:val="20"/>
          <w:lang w:val="en-US"/>
        </w:rPr>
        <w:t>Question 5:</w:t>
      </w:r>
      <w:r w:rsidRPr="000C1336">
        <w:rPr>
          <w:rFonts w:ascii="Arial" w:eastAsia="Calibri" w:hAnsi="Arial" w:cs="Arial"/>
          <w:bCs/>
          <w:i/>
          <w:sz w:val="20"/>
          <w:szCs w:val="20"/>
          <w:lang w:val="en-US"/>
        </w:rPr>
        <w:t xml:space="preserve"> Do you agree that expected cash flows before and after distressed restructuring should be discounted with the customer’s original effective interest rate or would you prefer to use the effective interest rate applicable at the moment before signing the restructuring arrangement? Do you consider the specification of the interest rate used for discounting of cash flows sufficiently clear?</w:t>
      </w:r>
    </w:p>
    <w:p w:rsidR="002A1679" w:rsidRPr="000C1336" w:rsidRDefault="002A1679" w:rsidP="00A44D3E">
      <w:pPr>
        <w:spacing w:after="0"/>
        <w:jc w:val="both"/>
        <w:rPr>
          <w:rFonts w:ascii="Arial" w:hAnsi="Arial" w:cs="Arial"/>
          <w:sz w:val="20"/>
          <w:szCs w:val="20"/>
          <w:lang w:val="en-US"/>
        </w:rPr>
      </w:pPr>
    </w:p>
    <w:p w:rsidR="002A1679" w:rsidRPr="00E847AD" w:rsidRDefault="002A1679" w:rsidP="00A44D3E">
      <w:pPr>
        <w:spacing w:after="0"/>
        <w:jc w:val="both"/>
        <w:rPr>
          <w:rFonts w:ascii="Arial" w:hAnsi="Arial" w:cs="Arial"/>
          <w:sz w:val="20"/>
          <w:szCs w:val="20"/>
          <w:lang w:val="en-US"/>
        </w:rPr>
      </w:pPr>
      <w:r w:rsidRPr="00E847AD">
        <w:rPr>
          <w:rFonts w:ascii="Arial" w:hAnsi="Arial" w:cs="Arial"/>
          <w:sz w:val="20"/>
          <w:szCs w:val="20"/>
          <w:lang w:val="en-US"/>
        </w:rPr>
        <w:t xml:space="preserve">We believe that the best </w:t>
      </w:r>
      <w:r w:rsidR="0072378D" w:rsidRPr="00E847AD">
        <w:rPr>
          <w:rFonts w:ascii="Arial" w:hAnsi="Arial" w:cs="Arial"/>
          <w:sz w:val="20"/>
          <w:szCs w:val="20"/>
          <w:lang w:val="en-US"/>
        </w:rPr>
        <w:t xml:space="preserve">– and simpler - </w:t>
      </w:r>
      <w:r w:rsidRPr="00E847AD">
        <w:rPr>
          <w:rFonts w:ascii="Arial" w:hAnsi="Arial" w:cs="Arial"/>
          <w:sz w:val="20"/>
          <w:szCs w:val="20"/>
          <w:lang w:val="en-US"/>
        </w:rPr>
        <w:t xml:space="preserve">option is to follow the IFRS accounting principles in order to classify restructured contractual arrangements due to </w:t>
      </w:r>
      <w:proofErr w:type="gramStart"/>
      <w:r w:rsidRPr="00E847AD">
        <w:rPr>
          <w:rFonts w:ascii="Arial" w:hAnsi="Arial" w:cs="Arial"/>
          <w:sz w:val="20"/>
          <w:szCs w:val="20"/>
          <w:lang w:val="en-US"/>
        </w:rPr>
        <w:t>obligors</w:t>
      </w:r>
      <w:proofErr w:type="gramEnd"/>
      <w:r w:rsidRPr="00E847AD">
        <w:rPr>
          <w:rFonts w:ascii="Arial" w:hAnsi="Arial" w:cs="Arial"/>
          <w:sz w:val="20"/>
          <w:szCs w:val="20"/>
          <w:lang w:val="en-US"/>
        </w:rPr>
        <w:t xml:space="preserve"> financial difficulties. According to us, the amount of discount used for impairment purpose is calculated with the net present value of the new payment schedule using the initial effective interest rate before restructuring arrangements. We then would recommend the use of the customer’s original effective interest rate.</w:t>
      </w:r>
    </w:p>
    <w:p w:rsidR="002A1679" w:rsidRPr="00E847AD" w:rsidRDefault="002A1679" w:rsidP="00A44D3E">
      <w:pPr>
        <w:spacing w:after="0"/>
        <w:jc w:val="both"/>
        <w:rPr>
          <w:rFonts w:ascii="Arial" w:hAnsi="Arial" w:cs="Arial"/>
          <w:sz w:val="20"/>
          <w:szCs w:val="20"/>
          <w:lang w:val="en-US"/>
        </w:rPr>
      </w:pPr>
    </w:p>
    <w:p w:rsidR="0072378D" w:rsidRPr="00E847AD" w:rsidRDefault="002A1679" w:rsidP="00A44D3E">
      <w:pPr>
        <w:spacing w:after="0"/>
        <w:jc w:val="both"/>
        <w:rPr>
          <w:rFonts w:ascii="Arial" w:hAnsi="Arial" w:cs="Arial"/>
          <w:sz w:val="20"/>
          <w:szCs w:val="20"/>
          <w:lang w:val="en-US"/>
        </w:rPr>
      </w:pPr>
      <w:r w:rsidRPr="00E847AD">
        <w:rPr>
          <w:rFonts w:ascii="Arial" w:hAnsi="Arial" w:cs="Arial"/>
          <w:sz w:val="20"/>
          <w:szCs w:val="20"/>
          <w:lang w:val="en-US"/>
        </w:rPr>
        <w:t>Yet, we notice that the back office costs of the restructuring operation itself are not taken into account in the proposed formula of diminished financial obligation…</w:t>
      </w:r>
      <w:r w:rsidR="0072378D" w:rsidRPr="00E847AD">
        <w:rPr>
          <w:rFonts w:ascii="Arial" w:hAnsi="Arial" w:cs="Arial"/>
          <w:sz w:val="20"/>
          <w:szCs w:val="20"/>
          <w:lang w:val="en-US"/>
        </w:rPr>
        <w:t xml:space="preserve"> The “IFRS accounting” approach is not coherent with Basel 2 principles from this point of view.</w:t>
      </w:r>
    </w:p>
    <w:p w:rsidR="006E5D0A" w:rsidRPr="00D60F6C" w:rsidRDefault="006E5D0A" w:rsidP="00A44D3E">
      <w:pPr>
        <w:spacing w:after="0"/>
        <w:jc w:val="both"/>
        <w:rPr>
          <w:rFonts w:ascii="Arial" w:hAnsi="Arial" w:cs="Arial"/>
          <w:sz w:val="20"/>
          <w:szCs w:val="20"/>
          <w:lang w:val="en-US"/>
        </w:rPr>
      </w:pPr>
    </w:p>
    <w:p w:rsidR="00C81BC1" w:rsidRPr="00D60F6C" w:rsidRDefault="00C81BC1" w:rsidP="00A44D3E">
      <w:pPr>
        <w:spacing w:after="0"/>
        <w:jc w:val="both"/>
        <w:rPr>
          <w:rFonts w:ascii="Arial" w:hAnsi="Arial" w:cs="Arial"/>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i/>
          <w:sz w:val="20"/>
          <w:szCs w:val="20"/>
          <w:lang w:val="en-US"/>
        </w:rPr>
      </w:pPr>
      <w:r w:rsidRPr="000C1336">
        <w:rPr>
          <w:rFonts w:ascii="Arial" w:eastAsia="Calibri" w:hAnsi="Arial" w:cs="Arial"/>
          <w:b/>
          <w:bCs/>
          <w:i/>
          <w:sz w:val="20"/>
          <w:szCs w:val="20"/>
          <w:lang w:val="en-US"/>
        </w:rPr>
        <w:t xml:space="preserve">Question 6: </w:t>
      </w:r>
      <w:r w:rsidRPr="000C1336">
        <w:rPr>
          <w:rFonts w:ascii="Arial" w:eastAsia="Calibri" w:hAnsi="Arial" w:cs="Arial"/>
          <w:bCs/>
          <w:i/>
          <w:sz w:val="20"/>
          <w:szCs w:val="20"/>
          <w:lang w:val="en-US"/>
        </w:rPr>
        <w:t>Do you agree that the purchase or origination of a financial asset at a material discount should be treated as an indication of unlikeliness to pay?</w:t>
      </w:r>
    </w:p>
    <w:p w:rsidR="00EF4793" w:rsidRPr="000C1336" w:rsidRDefault="00EF4793" w:rsidP="00EF4793">
      <w:pPr>
        <w:spacing w:after="0" w:line="240" w:lineRule="auto"/>
        <w:jc w:val="both"/>
        <w:rPr>
          <w:rFonts w:ascii="Arial" w:hAnsi="Arial" w:cs="Arial"/>
          <w:sz w:val="20"/>
          <w:szCs w:val="20"/>
          <w:lang w:val="en-US"/>
        </w:rPr>
      </w:pPr>
    </w:p>
    <w:p w:rsidR="00710DAA" w:rsidRPr="000C1336" w:rsidRDefault="00710DAA" w:rsidP="0098674A">
      <w:pPr>
        <w:spacing w:after="0"/>
        <w:jc w:val="both"/>
        <w:rPr>
          <w:rFonts w:ascii="Arial" w:hAnsi="Arial" w:cs="Arial"/>
          <w:sz w:val="20"/>
          <w:szCs w:val="20"/>
          <w:lang w:val="en-US"/>
        </w:rPr>
      </w:pPr>
      <w:r w:rsidRPr="000C1336">
        <w:rPr>
          <w:rFonts w:ascii="Arial" w:hAnsi="Arial" w:cs="Arial"/>
          <w:sz w:val="20"/>
          <w:szCs w:val="20"/>
          <w:lang w:val="en-US"/>
        </w:rPr>
        <w:t>No specific comment</w:t>
      </w:r>
      <w:r w:rsidR="0098674A" w:rsidRPr="000C1336">
        <w:rPr>
          <w:rFonts w:ascii="Arial" w:hAnsi="Arial" w:cs="Arial"/>
          <w:sz w:val="20"/>
          <w:szCs w:val="20"/>
          <w:lang w:val="en-US"/>
        </w:rPr>
        <w:t xml:space="preserve"> </w:t>
      </w:r>
    </w:p>
    <w:p w:rsidR="0098674A" w:rsidRPr="00D60F6C" w:rsidRDefault="0098674A" w:rsidP="00D02792">
      <w:pPr>
        <w:spacing w:after="0"/>
        <w:jc w:val="both"/>
        <w:rPr>
          <w:rFonts w:ascii="Arial" w:hAnsi="Arial" w:cs="Arial"/>
          <w:b/>
          <w:sz w:val="20"/>
          <w:szCs w:val="20"/>
          <w:lang w:val="en-US"/>
        </w:rPr>
      </w:pPr>
    </w:p>
    <w:p w:rsidR="00EF4793" w:rsidRPr="00D60F6C" w:rsidRDefault="00EF4793" w:rsidP="00EF4793">
      <w:pPr>
        <w:spacing w:after="0" w:line="240" w:lineRule="auto"/>
        <w:jc w:val="both"/>
        <w:rPr>
          <w:rFonts w:ascii="Arial" w:hAnsi="Arial" w:cs="Arial"/>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sz w:val="20"/>
          <w:szCs w:val="20"/>
          <w:lang w:val="en-US"/>
        </w:rPr>
      </w:pPr>
      <w:r w:rsidRPr="000C1336">
        <w:rPr>
          <w:rFonts w:ascii="Arial" w:eastAsia="Calibri" w:hAnsi="Arial" w:cs="Arial"/>
          <w:b/>
          <w:bCs/>
          <w:sz w:val="20"/>
          <w:szCs w:val="20"/>
          <w:lang w:val="en-US"/>
        </w:rPr>
        <w:t>Question 7:</w:t>
      </w:r>
      <w:r w:rsidRPr="000C1336">
        <w:rPr>
          <w:rFonts w:ascii="Arial" w:eastAsia="Calibri" w:hAnsi="Arial" w:cs="Arial"/>
          <w:bCs/>
          <w:sz w:val="20"/>
          <w:szCs w:val="20"/>
          <w:lang w:val="en-US"/>
        </w:rPr>
        <w:t xml:space="preserve"> </w:t>
      </w:r>
      <w:r w:rsidRPr="000C1336">
        <w:rPr>
          <w:rFonts w:ascii="Arial" w:eastAsia="Calibri" w:hAnsi="Arial" w:cs="Arial"/>
          <w:bCs/>
          <w:i/>
          <w:sz w:val="20"/>
          <w:szCs w:val="20"/>
          <w:lang w:val="en-US"/>
        </w:rPr>
        <w:t>What probation periods before the return from default to non-defaulted status would you consider appropriate for different exposure classes and for distressed restructuring and all other indications of default?</w:t>
      </w:r>
    </w:p>
    <w:p w:rsidR="00EF4793" w:rsidRPr="000C1336" w:rsidRDefault="00EF4793" w:rsidP="00EF4793">
      <w:pPr>
        <w:spacing w:after="0" w:line="240" w:lineRule="auto"/>
        <w:jc w:val="both"/>
        <w:rPr>
          <w:rFonts w:ascii="Arial" w:eastAsia="Calibri" w:hAnsi="Arial" w:cs="Arial"/>
          <w:bCs/>
          <w:sz w:val="20"/>
          <w:szCs w:val="20"/>
          <w:lang w:val="en-US"/>
        </w:rPr>
      </w:pPr>
    </w:p>
    <w:p w:rsidR="001D1E96" w:rsidRPr="00E847AD" w:rsidRDefault="00BB74C7" w:rsidP="00BB74C7">
      <w:pPr>
        <w:spacing w:after="0" w:line="240" w:lineRule="auto"/>
        <w:jc w:val="both"/>
        <w:rPr>
          <w:rFonts w:ascii="Arial" w:eastAsia="Calibri" w:hAnsi="Arial" w:cs="Arial"/>
          <w:bCs/>
          <w:sz w:val="20"/>
          <w:szCs w:val="20"/>
          <w:lang w:val="en-US"/>
        </w:rPr>
      </w:pPr>
      <w:r w:rsidRPr="00E847AD">
        <w:rPr>
          <w:rFonts w:ascii="Arial" w:eastAsia="Calibri" w:hAnsi="Arial" w:cs="Arial"/>
          <w:bCs/>
          <w:sz w:val="20"/>
          <w:szCs w:val="20"/>
          <w:lang w:val="en-US"/>
        </w:rPr>
        <w:t xml:space="preserve">We </w:t>
      </w:r>
      <w:r w:rsidR="001D1E96" w:rsidRPr="00E847AD">
        <w:rPr>
          <w:rFonts w:ascii="Arial" w:eastAsia="Calibri" w:hAnsi="Arial" w:cs="Arial"/>
          <w:bCs/>
          <w:sz w:val="20"/>
          <w:szCs w:val="20"/>
          <w:lang w:val="en-US"/>
        </w:rPr>
        <w:t>believe that</w:t>
      </w:r>
      <w:r w:rsidRPr="00E847AD">
        <w:rPr>
          <w:rFonts w:ascii="Arial" w:eastAsia="Calibri" w:hAnsi="Arial" w:cs="Arial"/>
          <w:bCs/>
          <w:sz w:val="20"/>
          <w:szCs w:val="20"/>
          <w:lang w:val="en-US"/>
        </w:rPr>
        <w:t xml:space="preserve"> a “one year” probation period for distressed restructuring </w:t>
      </w:r>
      <w:r w:rsidR="001D1E96" w:rsidRPr="00E847AD">
        <w:rPr>
          <w:rFonts w:ascii="Arial" w:eastAsia="Calibri" w:hAnsi="Arial" w:cs="Arial"/>
          <w:bCs/>
          <w:sz w:val="20"/>
          <w:szCs w:val="20"/>
          <w:lang w:val="en-US"/>
        </w:rPr>
        <w:t xml:space="preserve">is too long and might be not coherent with the </w:t>
      </w:r>
      <w:r w:rsidRPr="00E847AD">
        <w:rPr>
          <w:rFonts w:ascii="Arial" w:eastAsia="Calibri" w:hAnsi="Arial" w:cs="Arial"/>
          <w:bCs/>
          <w:sz w:val="20"/>
          <w:szCs w:val="20"/>
          <w:lang w:val="en-US"/>
        </w:rPr>
        <w:t xml:space="preserve">operational </w:t>
      </w:r>
      <w:r w:rsidR="001D1E96" w:rsidRPr="00E847AD">
        <w:rPr>
          <w:rFonts w:ascii="Arial" w:eastAsia="Calibri" w:hAnsi="Arial" w:cs="Arial"/>
          <w:bCs/>
          <w:sz w:val="20"/>
          <w:szCs w:val="20"/>
          <w:lang w:val="en-US"/>
        </w:rPr>
        <w:t>gesture of the contracts, since t</w:t>
      </w:r>
      <w:r w:rsidRPr="00E847AD">
        <w:rPr>
          <w:rFonts w:ascii="Arial" w:eastAsia="Calibri" w:hAnsi="Arial" w:cs="Arial"/>
          <w:bCs/>
          <w:sz w:val="20"/>
          <w:szCs w:val="20"/>
          <w:lang w:val="en-US"/>
        </w:rPr>
        <w:t xml:space="preserve">he objective of restructured agreements is precisely to bring back the borrower to a solvency position. </w:t>
      </w:r>
    </w:p>
    <w:p w:rsidR="001D1E96" w:rsidRPr="00E847AD" w:rsidRDefault="00BB74C7" w:rsidP="00BB74C7">
      <w:pPr>
        <w:spacing w:after="0" w:line="240" w:lineRule="auto"/>
        <w:jc w:val="both"/>
        <w:rPr>
          <w:rFonts w:ascii="Arial" w:hAnsi="Arial" w:cs="Arial"/>
          <w:sz w:val="20"/>
          <w:szCs w:val="20"/>
          <w:lang w:val="en-US"/>
        </w:rPr>
      </w:pPr>
      <w:r w:rsidRPr="00E847AD">
        <w:rPr>
          <w:rFonts w:ascii="Arial" w:eastAsia="Calibri" w:hAnsi="Arial" w:cs="Arial"/>
          <w:bCs/>
          <w:sz w:val="20"/>
          <w:szCs w:val="20"/>
          <w:lang w:val="en-US"/>
        </w:rPr>
        <w:t>If there is no default following the restructuring</w:t>
      </w:r>
      <w:r w:rsidR="001D1E96" w:rsidRPr="00E847AD">
        <w:rPr>
          <w:rFonts w:ascii="Arial" w:eastAsia="Calibri" w:hAnsi="Arial" w:cs="Arial"/>
          <w:bCs/>
          <w:sz w:val="20"/>
          <w:szCs w:val="20"/>
          <w:lang w:val="en-US"/>
        </w:rPr>
        <w:t xml:space="preserve"> arrangement</w:t>
      </w:r>
      <w:r w:rsidRPr="00E847AD">
        <w:rPr>
          <w:rFonts w:ascii="Arial" w:eastAsia="Calibri" w:hAnsi="Arial" w:cs="Arial"/>
          <w:bCs/>
          <w:sz w:val="20"/>
          <w:szCs w:val="20"/>
          <w:lang w:val="en-US"/>
        </w:rPr>
        <w:t xml:space="preserve">, </w:t>
      </w:r>
      <w:r w:rsidR="001D1E96" w:rsidRPr="00E847AD">
        <w:rPr>
          <w:rFonts w:ascii="Arial" w:eastAsia="Calibri" w:hAnsi="Arial" w:cs="Arial"/>
          <w:bCs/>
          <w:sz w:val="20"/>
          <w:szCs w:val="20"/>
          <w:lang w:val="en-US"/>
        </w:rPr>
        <w:t>a one year period of probation would lead to</w:t>
      </w:r>
      <w:r w:rsidRPr="00E847AD">
        <w:rPr>
          <w:rFonts w:ascii="Arial" w:eastAsia="Calibri" w:hAnsi="Arial" w:cs="Arial"/>
          <w:bCs/>
          <w:sz w:val="20"/>
          <w:szCs w:val="20"/>
          <w:lang w:val="en-US"/>
        </w:rPr>
        <w:t xml:space="preserve"> situation</w:t>
      </w:r>
      <w:r w:rsidR="001D1E96" w:rsidRPr="00E847AD">
        <w:rPr>
          <w:rFonts w:ascii="Arial" w:eastAsia="Calibri" w:hAnsi="Arial" w:cs="Arial"/>
          <w:bCs/>
          <w:sz w:val="20"/>
          <w:szCs w:val="20"/>
          <w:lang w:val="en-US"/>
        </w:rPr>
        <w:t>s</w:t>
      </w:r>
      <w:r w:rsidRPr="00E847AD">
        <w:rPr>
          <w:rFonts w:ascii="Arial" w:eastAsia="Calibri" w:hAnsi="Arial" w:cs="Arial"/>
          <w:bCs/>
          <w:sz w:val="20"/>
          <w:szCs w:val="20"/>
          <w:lang w:val="en-US"/>
        </w:rPr>
        <w:t xml:space="preserve"> where there is no operational default but a default on a prudential basis (i.e. a reporting of prudential default with value zero). </w:t>
      </w:r>
      <w:r w:rsidR="001D1E96" w:rsidRPr="00E847AD">
        <w:rPr>
          <w:rFonts w:ascii="Arial" w:eastAsia="Calibri" w:hAnsi="Arial" w:cs="Arial"/>
          <w:bCs/>
          <w:sz w:val="20"/>
          <w:szCs w:val="20"/>
          <w:lang w:val="en-US"/>
        </w:rPr>
        <w:t xml:space="preserve">It could introduce a bias in reporting and </w:t>
      </w:r>
      <w:r w:rsidR="001D1E96" w:rsidRPr="00E847AD">
        <w:rPr>
          <w:rFonts w:ascii="Arial" w:hAnsi="Arial" w:cs="Arial"/>
          <w:sz w:val="20"/>
          <w:szCs w:val="20"/>
          <w:lang w:val="en-US"/>
        </w:rPr>
        <w:t xml:space="preserve">stress testing: exposures classified in default </w:t>
      </w:r>
      <w:r w:rsidR="003405CD" w:rsidRPr="00E847AD">
        <w:rPr>
          <w:rFonts w:ascii="Arial" w:hAnsi="Arial" w:cs="Arial"/>
          <w:sz w:val="20"/>
          <w:szCs w:val="20"/>
          <w:lang w:val="en-US"/>
        </w:rPr>
        <w:t>with</w:t>
      </w:r>
      <w:r w:rsidR="001D1E96" w:rsidRPr="00E847AD">
        <w:rPr>
          <w:rFonts w:ascii="Arial" w:hAnsi="Arial" w:cs="Arial"/>
          <w:sz w:val="20"/>
          <w:szCs w:val="20"/>
          <w:lang w:val="en-US"/>
        </w:rPr>
        <w:t xml:space="preserve"> no default recorded in operational processes. </w:t>
      </w:r>
    </w:p>
    <w:p w:rsidR="001D1E96" w:rsidRPr="00E847AD" w:rsidRDefault="003405CD" w:rsidP="00BB74C7">
      <w:pPr>
        <w:spacing w:after="0" w:line="240" w:lineRule="auto"/>
        <w:jc w:val="both"/>
        <w:rPr>
          <w:rFonts w:ascii="Arial" w:eastAsia="Calibri" w:hAnsi="Arial" w:cs="Arial"/>
          <w:bCs/>
          <w:sz w:val="20"/>
          <w:szCs w:val="20"/>
          <w:lang w:val="en-US"/>
        </w:rPr>
      </w:pPr>
      <w:r w:rsidRPr="00E847AD">
        <w:rPr>
          <w:rFonts w:ascii="Arial" w:eastAsia="Calibri" w:hAnsi="Arial" w:cs="Arial"/>
          <w:bCs/>
          <w:sz w:val="20"/>
          <w:szCs w:val="20"/>
          <w:lang w:val="en-US"/>
        </w:rPr>
        <w:t xml:space="preserve">In France it would be contradictory with </w:t>
      </w:r>
      <w:proofErr w:type="spellStart"/>
      <w:r w:rsidRPr="00E847AD">
        <w:rPr>
          <w:rFonts w:ascii="Arial" w:eastAsia="Calibri" w:hAnsi="Arial" w:cs="Arial"/>
          <w:bCs/>
          <w:sz w:val="20"/>
          <w:szCs w:val="20"/>
          <w:lang w:val="en-US"/>
        </w:rPr>
        <w:t>overindebtness</w:t>
      </w:r>
      <w:proofErr w:type="spellEnd"/>
      <w:r w:rsidRPr="00E847AD">
        <w:rPr>
          <w:rFonts w:ascii="Arial" w:eastAsia="Calibri" w:hAnsi="Arial" w:cs="Arial"/>
          <w:bCs/>
          <w:sz w:val="20"/>
          <w:szCs w:val="20"/>
          <w:lang w:val="en-US"/>
        </w:rPr>
        <w:t xml:space="preserve"> regime where, according to the central bank, restructured loans are to be considered as </w:t>
      </w:r>
      <w:r w:rsidR="0053783B" w:rsidRPr="00E847AD">
        <w:rPr>
          <w:rFonts w:ascii="Arial" w:eastAsia="Calibri" w:hAnsi="Arial" w:cs="Arial"/>
          <w:bCs/>
          <w:sz w:val="20"/>
          <w:szCs w:val="20"/>
          <w:lang w:val="en-US"/>
        </w:rPr>
        <w:t>non-defaulted</w:t>
      </w:r>
      <w:r w:rsidRPr="00E847AD">
        <w:rPr>
          <w:rFonts w:ascii="Arial" w:eastAsia="Calibri" w:hAnsi="Arial" w:cs="Arial"/>
          <w:bCs/>
          <w:sz w:val="20"/>
          <w:szCs w:val="20"/>
          <w:lang w:val="en-US"/>
        </w:rPr>
        <w:t>.</w:t>
      </w:r>
    </w:p>
    <w:p w:rsidR="003405CD" w:rsidRPr="00E847AD" w:rsidRDefault="003405CD" w:rsidP="00BB74C7">
      <w:pPr>
        <w:spacing w:after="0" w:line="240" w:lineRule="auto"/>
        <w:jc w:val="both"/>
        <w:rPr>
          <w:rFonts w:ascii="Arial" w:eastAsia="Calibri" w:hAnsi="Arial" w:cs="Arial"/>
          <w:bCs/>
          <w:sz w:val="20"/>
          <w:szCs w:val="20"/>
          <w:lang w:val="en-US"/>
        </w:rPr>
      </w:pPr>
      <w:r w:rsidRPr="00E847AD">
        <w:rPr>
          <w:rFonts w:ascii="Arial" w:eastAsia="Calibri" w:hAnsi="Arial" w:cs="Arial"/>
          <w:bCs/>
          <w:sz w:val="20"/>
          <w:szCs w:val="20"/>
          <w:lang w:val="en-US"/>
        </w:rPr>
        <w:t xml:space="preserve">We also underline the fact that IT models would be strongly affected in solving the divergence between prudential reporting and </w:t>
      </w:r>
      <w:r w:rsidR="0053783B" w:rsidRPr="00E847AD">
        <w:rPr>
          <w:rFonts w:ascii="Arial" w:eastAsia="Calibri" w:hAnsi="Arial" w:cs="Arial"/>
          <w:bCs/>
          <w:sz w:val="20"/>
          <w:szCs w:val="20"/>
          <w:lang w:val="en-US"/>
        </w:rPr>
        <w:t>operational</w:t>
      </w:r>
      <w:r w:rsidRPr="00E847AD">
        <w:rPr>
          <w:rFonts w:ascii="Arial" w:eastAsia="Calibri" w:hAnsi="Arial" w:cs="Arial"/>
          <w:bCs/>
          <w:sz w:val="20"/>
          <w:szCs w:val="20"/>
          <w:lang w:val="en-US"/>
        </w:rPr>
        <w:t xml:space="preserve"> reality. </w:t>
      </w:r>
    </w:p>
    <w:p w:rsidR="003405CD" w:rsidRPr="00E847AD" w:rsidRDefault="003405CD" w:rsidP="003405CD">
      <w:pPr>
        <w:spacing w:after="0"/>
        <w:jc w:val="both"/>
        <w:rPr>
          <w:rFonts w:ascii="Arial" w:hAnsi="Arial" w:cs="Arial"/>
          <w:sz w:val="20"/>
          <w:szCs w:val="20"/>
          <w:lang w:val="en-US"/>
        </w:rPr>
      </w:pPr>
    </w:p>
    <w:p w:rsidR="003405CD" w:rsidRPr="00E847AD" w:rsidRDefault="003405CD" w:rsidP="003405CD">
      <w:pPr>
        <w:spacing w:after="0"/>
        <w:jc w:val="both"/>
        <w:rPr>
          <w:rFonts w:ascii="Arial" w:hAnsi="Arial" w:cs="Arial"/>
          <w:sz w:val="20"/>
          <w:szCs w:val="20"/>
          <w:lang w:val="en-US"/>
        </w:rPr>
      </w:pPr>
      <w:r w:rsidRPr="00E847AD">
        <w:rPr>
          <w:rFonts w:ascii="Arial" w:hAnsi="Arial" w:cs="Arial"/>
          <w:sz w:val="20"/>
          <w:szCs w:val="20"/>
          <w:lang w:val="en-US"/>
        </w:rPr>
        <w:t xml:space="preserve">We consider that a fixed delay to return to </w:t>
      </w:r>
      <w:r w:rsidR="0053783B" w:rsidRPr="00E847AD">
        <w:rPr>
          <w:rFonts w:ascii="Arial" w:hAnsi="Arial" w:cs="Arial"/>
          <w:sz w:val="20"/>
          <w:szCs w:val="20"/>
          <w:lang w:val="en-US"/>
        </w:rPr>
        <w:t>non-defaulted</w:t>
      </w:r>
      <w:r w:rsidRPr="00E847AD">
        <w:rPr>
          <w:rFonts w:ascii="Arial" w:hAnsi="Arial" w:cs="Arial"/>
          <w:sz w:val="20"/>
          <w:szCs w:val="20"/>
          <w:lang w:val="en-US"/>
        </w:rPr>
        <w:t xml:space="preserve"> status </w:t>
      </w:r>
      <w:r w:rsidR="0053783B" w:rsidRPr="00E847AD">
        <w:rPr>
          <w:rFonts w:ascii="Arial" w:hAnsi="Arial" w:cs="Arial"/>
          <w:sz w:val="20"/>
          <w:szCs w:val="20"/>
          <w:lang w:val="en-US"/>
        </w:rPr>
        <w:t xml:space="preserve">after restructuring arrangements </w:t>
      </w:r>
      <w:r w:rsidRPr="00E847AD">
        <w:rPr>
          <w:rFonts w:ascii="Arial" w:hAnsi="Arial" w:cs="Arial"/>
          <w:sz w:val="20"/>
          <w:szCs w:val="20"/>
          <w:lang w:val="en-US"/>
        </w:rPr>
        <w:t>could become heavily incoherent with the reality of the activity, especially for corporates exposures which return to default after restructuring is rarer than for retail exposures.</w:t>
      </w:r>
    </w:p>
    <w:p w:rsidR="0053783B" w:rsidRPr="00E847AD" w:rsidRDefault="0053783B" w:rsidP="0053783B">
      <w:pPr>
        <w:spacing w:after="0" w:line="240" w:lineRule="auto"/>
        <w:jc w:val="both"/>
        <w:rPr>
          <w:rFonts w:ascii="Arial" w:eastAsia="Calibri" w:hAnsi="Arial" w:cs="Arial"/>
          <w:bCs/>
          <w:sz w:val="20"/>
          <w:szCs w:val="20"/>
          <w:lang w:val="en-US"/>
        </w:rPr>
      </w:pPr>
    </w:p>
    <w:p w:rsidR="0053783B" w:rsidRPr="00E847AD" w:rsidRDefault="0053783B" w:rsidP="0053783B">
      <w:pPr>
        <w:spacing w:after="0" w:line="240" w:lineRule="auto"/>
        <w:jc w:val="both"/>
        <w:rPr>
          <w:rFonts w:ascii="Arial" w:eastAsia="Calibri" w:hAnsi="Arial" w:cs="Arial"/>
          <w:bCs/>
          <w:sz w:val="20"/>
          <w:szCs w:val="20"/>
          <w:lang w:val="en-US"/>
        </w:rPr>
      </w:pPr>
      <w:r w:rsidRPr="00E847AD">
        <w:rPr>
          <w:rFonts w:ascii="Arial" w:eastAsia="Calibri" w:hAnsi="Arial" w:cs="Arial"/>
          <w:bCs/>
          <w:sz w:val="20"/>
          <w:szCs w:val="20"/>
          <w:lang w:val="en-US"/>
        </w:rPr>
        <w:t xml:space="preserve">We would suggest taking into account the recurrence rate of returning to default per exposure category and to adapt the requirements accordingly. </w:t>
      </w:r>
    </w:p>
    <w:p w:rsidR="00E60623" w:rsidRPr="000C1336" w:rsidRDefault="00E60623" w:rsidP="00D02792">
      <w:pPr>
        <w:spacing w:after="0"/>
        <w:jc w:val="both"/>
        <w:rPr>
          <w:rFonts w:ascii="Arial" w:hAnsi="Arial" w:cs="Arial"/>
          <w:sz w:val="20"/>
          <w:szCs w:val="20"/>
          <w:lang w:val="en-US"/>
        </w:rPr>
      </w:pPr>
    </w:p>
    <w:p w:rsidR="0053783B" w:rsidRPr="000C1336" w:rsidRDefault="0053783B" w:rsidP="00D02792">
      <w:pPr>
        <w:spacing w:after="0"/>
        <w:jc w:val="both"/>
        <w:rPr>
          <w:rFonts w:ascii="Arial" w:hAnsi="Arial" w:cs="Arial"/>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sz w:val="20"/>
          <w:szCs w:val="20"/>
          <w:lang w:val="en-US"/>
        </w:rPr>
      </w:pPr>
      <w:r w:rsidRPr="000C1336">
        <w:rPr>
          <w:rFonts w:ascii="Arial" w:eastAsia="Calibri" w:hAnsi="Arial" w:cs="Arial"/>
          <w:b/>
          <w:bCs/>
          <w:sz w:val="20"/>
          <w:szCs w:val="20"/>
          <w:lang w:val="en-US"/>
        </w:rPr>
        <w:t>Question 8:</w:t>
      </w:r>
      <w:r w:rsidRPr="000C1336">
        <w:rPr>
          <w:rFonts w:ascii="Arial" w:eastAsia="Calibri" w:hAnsi="Arial" w:cs="Arial"/>
          <w:bCs/>
          <w:sz w:val="20"/>
          <w:szCs w:val="20"/>
          <w:lang w:val="en-US"/>
        </w:rPr>
        <w:t xml:space="preserve"> </w:t>
      </w:r>
      <w:r w:rsidRPr="000C1336">
        <w:rPr>
          <w:rFonts w:ascii="Arial" w:eastAsia="Calibri" w:hAnsi="Arial" w:cs="Arial"/>
          <w:bCs/>
          <w:i/>
          <w:sz w:val="20"/>
          <w:szCs w:val="20"/>
          <w:lang w:val="en-US"/>
        </w:rPr>
        <w:t>Do you agree with the proposed approach as regards the level of application of the definition of default for retail exposures?</w:t>
      </w: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sz w:val="20"/>
          <w:szCs w:val="20"/>
          <w:lang w:val="en-US"/>
        </w:rPr>
      </w:pPr>
    </w:p>
    <w:p w:rsidR="00EF4793" w:rsidRPr="000C1336" w:rsidRDefault="00EF4793" w:rsidP="00EF4793">
      <w:pPr>
        <w:spacing w:after="0" w:line="240" w:lineRule="auto"/>
        <w:jc w:val="both"/>
        <w:rPr>
          <w:rFonts w:ascii="Arial" w:eastAsia="Calibri" w:hAnsi="Arial" w:cs="Arial"/>
          <w:bCs/>
          <w:sz w:val="20"/>
          <w:szCs w:val="20"/>
          <w:lang w:val="en-US"/>
        </w:rPr>
      </w:pPr>
    </w:p>
    <w:p w:rsidR="0053783B" w:rsidRPr="00E847AD" w:rsidRDefault="0053783B" w:rsidP="0053783B">
      <w:pPr>
        <w:spacing w:after="0" w:line="240" w:lineRule="auto"/>
        <w:jc w:val="both"/>
        <w:rPr>
          <w:rFonts w:ascii="Arial" w:eastAsia="Calibri" w:hAnsi="Arial" w:cs="Arial"/>
          <w:bCs/>
          <w:sz w:val="20"/>
          <w:szCs w:val="20"/>
          <w:lang w:val="en-US"/>
        </w:rPr>
      </w:pPr>
      <w:r w:rsidRPr="00E847AD">
        <w:rPr>
          <w:rFonts w:ascii="Arial" w:eastAsia="Calibri" w:hAnsi="Arial" w:cs="Arial"/>
          <w:bCs/>
          <w:sz w:val="20"/>
          <w:szCs w:val="20"/>
          <w:lang w:val="en-US"/>
        </w:rPr>
        <w:t xml:space="preserve">We agree with proposed approach which allows institutions to choose the level of application of the definition of default (i.e. obligor/facility) for retail exposures according to their respective internal risk management practices. </w:t>
      </w:r>
    </w:p>
    <w:p w:rsidR="0053783B" w:rsidRPr="00E847AD" w:rsidRDefault="0053783B" w:rsidP="0053783B">
      <w:pPr>
        <w:spacing w:after="0" w:line="240" w:lineRule="auto"/>
        <w:jc w:val="both"/>
        <w:rPr>
          <w:rFonts w:ascii="Arial" w:eastAsia="Calibri" w:hAnsi="Arial" w:cs="Arial"/>
          <w:bCs/>
          <w:sz w:val="20"/>
          <w:szCs w:val="20"/>
          <w:lang w:val="en-US"/>
        </w:rPr>
      </w:pPr>
      <w:r w:rsidRPr="00E847AD">
        <w:rPr>
          <w:rFonts w:ascii="Arial" w:eastAsia="Calibri" w:hAnsi="Arial" w:cs="Arial"/>
          <w:bCs/>
          <w:sz w:val="20"/>
          <w:szCs w:val="20"/>
          <w:lang w:val="en-US"/>
        </w:rPr>
        <w:t xml:space="preserve">It is crucial to allow sufficient flexibility, in particular for banking subsidiaries, which may not have an extensive overview of an obligor’s commitments within a group. For these smaller </w:t>
      </w:r>
      <w:proofErr w:type="spellStart"/>
      <w:r w:rsidRPr="00E847AD">
        <w:rPr>
          <w:rFonts w:ascii="Arial" w:eastAsia="Calibri" w:hAnsi="Arial" w:cs="Arial"/>
          <w:bCs/>
          <w:sz w:val="20"/>
          <w:szCs w:val="20"/>
          <w:lang w:val="en-US"/>
        </w:rPr>
        <w:t>specialised</w:t>
      </w:r>
      <w:proofErr w:type="spellEnd"/>
      <w:r w:rsidRPr="00E847AD">
        <w:rPr>
          <w:rFonts w:ascii="Arial" w:eastAsia="Calibri" w:hAnsi="Arial" w:cs="Arial"/>
          <w:bCs/>
          <w:sz w:val="20"/>
          <w:szCs w:val="20"/>
          <w:lang w:val="en-US"/>
        </w:rPr>
        <w:t xml:space="preserve"> firms, an application of the definition of default at the facility level is required. </w:t>
      </w:r>
    </w:p>
    <w:p w:rsidR="00B11C72" w:rsidRPr="000C1336" w:rsidRDefault="00B11C72" w:rsidP="00A44D3E">
      <w:pPr>
        <w:spacing w:after="0"/>
        <w:jc w:val="both"/>
        <w:rPr>
          <w:rFonts w:ascii="Arial" w:hAnsi="Arial" w:cs="Arial"/>
          <w:sz w:val="20"/>
          <w:szCs w:val="20"/>
          <w:lang w:val="en-US"/>
        </w:rPr>
      </w:pPr>
    </w:p>
    <w:p w:rsidR="0053783B" w:rsidRPr="000C1336" w:rsidRDefault="0053783B" w:rsidP="00A44D3E">
      <w:pPr>
        <w:spacing w:after="0"/>
        <w:jc w:val="both"/>
        <w:rPr>
          <w:rFonts w:ascii="Arial" w:hAnsi="Arial" w:cs="Arial"/>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i/>
          <w:sz w:val="20"/>
          <w:szCs w:val="20"/>
          <w:lang w:val="en-US"/>
        </w:rPr>
      </w:pPr>
      <w:r w:rsidRPr="000C1336">
        <w:rPr>
          <w:rFonts w:ascii="Arial" w:eastAsia="Calibri" w:hAnsi="Arial" w:cs="Arial"/>
          <w:b/>
          <w:bCs/>
          <w:sz w:val="20"/>
          <w:szCs w:val="20"/>
          <w:lang w:val="en-US"/>
        </w:rPr>
        <w:t>Question 9:</w:t>
      </w:r>
      <w:r w:rsidRPr="000C1336">
        <w:rPr>
          <w:rFonts w:ascii="Arial" w:eastAsia="Calibri" w:hAnsi="Arial" w:cs="Arial"/>
          <w:bCs/>
          <w:sz w:val="20"/>
          <w:szCs w:val="20"/>
          <w:lang w:val="en-US"/>
        </w:rPr>
        <w:t xml:space="preserve"> </w:t>
      </w:r>
      <w:r w:rsidRPr="000C1336">
        <w:rPr>
          <w:rFonts w:ascii="Arial" w:eastAsia="Calibri" w:hAnsi="Arial" w:cs="Arial"/>
          <w:bCs/>
          <w:i/>
          <w:sz w:val="20"/>
          <w:szCs w:val="20"/>
          <w:lang w:val="en-US"/>
        </w:rPr>
        <w:t>Do you consider that where the obligor is defaulted on a significant part of its exposures this indicates the unlikeliness to pay of the remaining credit obligations of this obligor?</w:t>
      </w:r>
    </w:p>
    <w:p w:rsidR="00E1144E" w:rsidRPr="00D60F6C" w:rsidRDefault="00E1144E" w:rsidP="00A44D3E">
      <w:pPr>
        <w:spacing w:after="0"/>
        <w:jc w:val="both"/>
        <w:rPr>
          <w:rFonts w:ascii="Arial" w:hAnsi="Arial" w:cs="Arial"/>
          <w:sz w:val="20"/>
          <w:szCs w:val="20"/>
          <w:lang w:val="en-US"/>
        </w:rPr>
      </w:pPr>
    </w:p>
    <w:p w:rsidR="002560DF" w:rsidRPr="00E847AD" w:rsidRDefault="002560DF" w:rsidP="002560DF">
      <w:pPr>
        <w:spacing w:after="0" w:line="240" w:lineRule="auto"/>
        <w:jc w:val="both"/>
        <w:rPr>
          <w:rFonts w:ascii="Arial" w:eastAsia="Times New Roman" w:hAnsi="Arial" w:cs="Arial"/>
          <w:sz w:val="20"/>
          <w:szCs w:val="20"/>
          <w:lang w:val="en-US"/>
        </w:rPr>
      </w:pPr>
      <w:r w:rsidRPr="00E847AD">
        <w:rPr>
          <w:rFonts w:ascii="Arial" w:eastAsia="Times New Roman" w:hAnsi="Arial" w:cs="Arial"/>
          <w:sz w:val="20"/>
          <w:szCs w:val="20"/>
          <w:lang w:val="en-US"/>
        </w:rPr>
        <w:t xml:space="preserve">We think the proposed </w:t>
      </w:r>
      <w:r w:rsidRPr="00E847AD">
        <w:rPr>
          <w:rFonts w:ascii="Arial" w:eastAsia="Calibri" w:hAnsi="Arial" w:cs="Arial"/>
          <w:bCs/>
          <w:sz w:val="20"/>
          <w:szCs w:val="20"/>
          <w:lang w:val="en-US"/>
        </w:rPr>
        <w:t>threshold of 20 % of exposures is artificially defined and too low.</w:t>
      </w:r>
    </w:p>
    <w:p w:rsidR="002560DF" w:rsidRPr="00E847AD" w:rsidRDefault="002560DF" w:rsidP="002560DF">
      <w:pPr>
        <w:spacing w:after="0" w:line="240" w:lineRule="auto"/>
        <w:jc w:val="both"/>
        <w:rPr>
          <w:rFonts w:ascii="Arial" w:eastAsia="Calibri" w:hAnsi="Arial" w:cs="Arial"/>
          <w:bCs/>
          <w:sz w:val="20"/>
          <w:szCs w:val="20"/>
          <w:lang w:val="en-US"/>
        </w:rPr>
      </w:pPr>
      <w:r w:rsidRPr="00E847AD">
        <w:rPr>
          <w:rFonts w:ascii="Arial" w:eastAsia="Times New Roman" w:hAnsi="Arial" w:cs="Arial"/>
          <w:sz w:val="20"/>
          <w:szCs w:val="20"/>
          <w:lang w:val="en-US"/>
        </w:rPr>
        <w:t xml:space="preserve">Where the definition of default applies at the level of a credit facility, institutions should not be requested to assume unlikeliness to pay for remaining credit obligations of a particular obligor. </w:t>
      </w:r>
    </w:p>
    <w:p w:rsidR="007B66EA" w:rsidRPr="000C1336" w:rsidRDefault="007B66EA" w:rsidP="00A44D3E">
      <w:pPr>
        <w:spacing w:after="0"/>
        <w:jc w:val="both"/>
        <w:rPr>
          <w:rFonts w:ascii="Arial" w:hAnsi="Arial" w:cs="Arial"/>
          <w:sz w:val="20"/>
          <w:szCs w:val="20"/>
          <w:lang w:val="en-US"/>
        </w:rPr>
      </w:pPr>
    </w:p>
    <w:p w:rsidR="00E8641C" w:rsidRPr="000C1336" w:rsidRDefault="00E8641C" w:rsidP="00D02792">
      <w:pPr>
        <w:spacing w:after="0"/>
        <w:jc w:val="both"/>
        <w:rPr>
          <w:rFonts w:ascii="Arial" w:hAnsi="Arial" w:cs="Arial"/>
          <w:i/>
          <w:sz w:val="20"/>
          <w:szCs w:val="20"/>
          <w:lang w:val="en-US"/>
        </w:rPr>
      </w:pPr>
    </w:p>
    <w:p w:rsidR="00EF4793" w:rsidRPr="000C1336" w:rsidRDefault="00EF4793" w:rsidP="00EF479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sz w:val="20"/>
          <w:szCs w:val="20"/>
          <w:lang w:val="en-US"/>
        </w:rPr>
      </w:pPr>
      <w:r w:rsidRPr="000C1336">
        <w:rPr>
          <w:rFonts w:ascii="Arial" w:eastAsia="Calibri" w:hAnsi="Arial" w:cs="Arial"/>
          <w:b/>
          <w:bCs/>
          <w:sz w:val="20"/>
          <w:szCs w:val="20"/>
          <w:lang w:val="en-US"/>
        </w:rPr>
        <w:t>Question 10:</w:t>
      </w:r>
      <w:r w:rsidRPr="000C1336">
        <w:rPr>
          <w:rFonts w:ascii="Arial" w:eastAsia="Calibri" w:hAnsi="Arial" w:cs="Arial"/>
          <w:bCs/>
          <w:sz w:val="20"/>
          <w:szCs w:val="20"/>
          <w:lang w:val="en-US"/>
        </w:rPr>
        <w:t xml:space="preserve"> </w:t>
      </w:r>
      <w:r w:rsidRPr="000C1336">
        <w:rPr>
          <w:rFonts w:ascii="Arial" w:eastAsia="Calibri" w:hAnsi="Arial" w:cs="Arial"/>
          <w:bCs/>
          <w:i/>
          <w:sz w:val="20"/>
          <w:szCs w:val="20"/>
          <w:lang w:val="en-US"/>
        </w:rPr>
        <w:t>Do you agree with the approach proposed for the application of materiality threshold to joint credit obligations?</w:t>
      </w:r>
    </w:p>
    <w:p w:rsidR="002560DF" w:rsidRPr="000C1336" w:rsidRDefault="002560DF" w:rsidP="00A44D3E">
      <w:pPr>
        <w:spacing w:after="0"/>
        <w:jc w:val="both"/>
        <w:rPr>
          <w:rFonts w:ascii="Arial" w:hAnsi="Arial" w:cs="Arial"/>
          <w:sz w:val="20"/>
          <w:szCs w:val="20"/>
          <w:lang w:val="en-US"/>
        </w:rPr>
      </w:pPr>
    </w:p>
    <w:p w:rsidR="00CD3E2A" w:rsidRPr="00E847AD" w:rsidRDefault="00CD3E2A" w:rsidP="00A44D3E">
      <w:pPr>
        <w:spacing w:after="0"/>
        <w:jc w:val="both"/>
        <w:rPr>
          <w:rFonts w:ascii="Arial" w:hAnsi="Arial" w:cs="Arial"/>
          <w:sz w:val="20"/>
          <w:szCs w:val="20"/>
          <w:lang w:val="en-US"/>
        </w:rPr>
      </w:pPr>
      <w:r w:rsidRPr="00E847AD">
        <w:rPr>
          <w:rFonts w:ascii="Arial" w:hAnsi="Arial" w:cs="Arial"/>
          <w:sz w:val="20"/>
          <w:szCs w:val="20"/>
          <w:lang w:val="en-US"/>
        </w:rPr>
        <w:t>No specific comment</w:t>
      </w:r>
    </w:p>
    <w:p w:rsidR="00E8641C" w:rsidRPr="000C1336" w:rsidRDefault="00E8641C" w:rsidP="00A44D3E">
      <w:pPr>
        <w:spacing w:after="0"/>
        <w:jc w:val="both"/>
        <w:rPr>
          <w:rFonts w:ascii="Arial" w:hAnsi="Arial" w:cs="Arial"/>
          <w:sz w:val="20"/>
          <w:szCs w:val="20"/>
          <w:lang w:val="en-US"/>
        </w:rPr>
      </w:pPr>
    </w:p>
    <w:p w:rsidR="00E8641C" w:rsidRPr="000C1336" w:rsidRDefault="00E8641C" w:rsidP="002560DF">
      <w:pPr>
        <w:spacing w:after="0"/>
        <w:jc w:val="both"/>
        <w:rPr>
          <w:rFonts w:ascii="Arial" w:hAnsi="Arial" w:cs="Arial"/>
          <w:sz w:val="20"/>
          <w:szCs w:val="20"/>
          <w:lang w:val="en-US"/>
        </w:rPr>
      </w:pPr>
    </w:p>
    <w:p w:rsidR="00EF4793" w:rsidRPr="000C1336" w:rsidRDefault="00EF4793" w:rsidP="002560D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Cs/>
          <w:sz w:val="20"/>
          <w:szCs w:val="20"/>
          <w:lang w:val="en-US"/>
        </w:rPr>
      </w:pPr>
      <w:r w:rsidRPr="000C1336">
        <w:rPr>
          <w:rFonts w:ascii="Arial" w:eastAsia="Calibri" w:hAnsi="Arial" w:cs="Arial"/>
          <w:b/>
          <w:bCs/>
          <w:sz w:val="20"/>
          <w:szCs w:val="20"/>
          <w:lang w:val="en-US"/>
        </w:rPr>
        <w:t>Question 11:</w:t>
      </w:r>
      <w:r w:rsidRPr="000C1336">
        <w:rPr>
          <w:rFonts w:ascii="Arial" w:eastAsia="Calibri" w:hAnsi="Arial" w:cs="Arial"/>
          <w:bCs/>
          <w:sz w:val="20"/>
          <w:szCs w:val="20"/>
          <w:lang w:val="en-US"/>
        </w:rPr>
        <w:t xml:space="preserve"> Do you agree with the requirements on internal governance for banks that use the IRB Approach?</w:t>
      </w:r>
    </w:p>
    <w:p w:rsidR="002560DF" w:rsidRPr="000C1336" w:rsidRDefault="002560DF" w:rsidP="002560DF">
      <w:pPr>
        <w:spacing w:after="0" w:line="240" w:lineRule="auto"/>
        <w:jc w:val="both"/>
        <w:rPr>
          <w:rFonts w:ascii="Arial" w:eastAsia="Calibri" w:hAnsi="Arial" w:cs="Arial"/>
          <w:bCs/>
          <w:sz w:val="20"/>
          <w:szCs w:val="20"/>
          <w:lang w:val="en-US"/>
        </w:rPr>
      </w:pPr>
    </w:p>
    <w:p w:rsidR="002560DF" w:rsidRPr="00E847AD" w:rsidRDefault="002560DF" w:rsidP="002560DF">
      <w:pPr>
        <w:spacing w:after="0"/>
        <w:jc w:val="both"/>
        <w:rPr>
          <w:rFonts w:ascii="Arial" w:hAnsi="Arial" w:cs="Arial"/>
          <w:sz w:val="20"/>
          <w:szCs w:val="20"/>
          <w:lang w:val="en-US"/>
        </w:rPr>
      </w:pPr>
      <w:r w:rsidRPr="00E847AD">
        <w:rPr>
          <w:rFonts w:ascii="Arial" w:hAnsi="Arial" w:cs="Arial"/>
          <w:sz w:val="20"/>
          <w:szCs w:val="20"/>
          <w:lang w:val="en-US"/>
        </w:rPr>
        <w:t>No specific comment</w:t>
      </w:r>
    </w:p>
    <w:p w:rsidR="002560DF" w:rsidRPr="000C1336" w:rsidRDefault="002560DF" w:rsidP="002560DF">
      <w:pPr>
        <w:spacing w:after="0" w:line="240" w:lineRule="auto"/>
        <w:jc w:val="both"/>
        <w:rPr>
          <w:rFonts w:ascii="Arial" w:eastAsia="Calibri" w:hAnsi="Arial" w:cs="Arial"/>
          <w:sz w:val="20"/>
          <w:szCs w:val="20"/>
          <w:lang w:val="en-US"/>
        </w:rPr>
      </w:pPr>
    </w:p>
    <w:sectPr w:rsidR="002560DF" w:rsidRPr="000C13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0C6" w:rsidRDefault="00B540C6" w:rsidP="001C666D">
      <w:pPr>
        <w:spacing w:after="0" w:line="240" w:lineRule="auto"/>
      </w:pPr>
      <w:r>
        <w:separator/>
      </w:r>
    </w:p>
  </w:endnote>
  <w:endnote w:type="continuationSeparator" w:id="0">
    <w:p w:rsidR="00B540C6" w:rsidRDefault="00B540C6" w:rsidP="001C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0C6" w:rsidRDefault="00B540C6" w:rsidP="001C666D">
      <w:pPr>
        <w:spacing w:after="0" w:line="240" w:lineRule="auto"/>
      </w:pPr>
      <w:r>
        <w:separator/>
      </w:r>
    </w:p>
  </w:footnote>
  <w:footnote w:type="continuationSeparator" w:id="0">
    <w:p w:rsidR="00B540C6" w:rsidRDefault="00B540C6" w:rsidP="001C666D">
      <w:pPr>
        <w:spacing w:after="0" w:line="240" w:lineRule="auto"/>
      </w:pPr>
      <w:r>
        <w:continuationSeparator/>
      </w:r>
    </w:p>
  </w:footnote>
  <w:footnote w:id="1">
    <w:p w:rsidR="00760287" w:rsidRPr="00760287" w:rsidRDefault="00760287" w:rsidP="00760287">
      <w:pPr>
        <w:pStyle w:val="Notedebasdepage"/>
        <w:jc w:val="both"/>
        <w:rPr>
          <w:rFonts w:ascii="Arial" w:hAnsi="Arial" w:cs="Arial"/>
          <w:sz w:val="18"/>
          <w:szCs w:val="18"/>
          <w:lang w:val="en-US"/>
        </w:rPr>
      </w:pPr>
      <w:r w:rsidRPr="00760287">
        <w:rPr>
          <w:rStyle w:val="Appelnotedebasdep"/>
          <w:rFonts w:ascii="Arial" w:hAnsi="Arial" w:cs="Arial"/>
          <w:sz w:val="18"/>
          <w:szCs w:val="18"/>
        </w:rPr>
        <w:footnoteRef/>
      </w:r>
      <w:r w:rsidRPr="00760287">
        <w:rPr>
          <w:rFonts w:ascii="Arial" w:hAnsi="Arial" w:cs="Arial"/>
          <w:sz w:val="18"/>
          <w:szCs w:val="18"/>
        </w:rPr>
        <w:t xml:space="preserve"> ASF is a member of EU Federation, the European Federation </w:t>
      </w:r>
      <w:r w:rsidR="00F15B75">
        <w:rPr>
          <w:rFonts w:ascii="Arial" w:hAnsi="Arial" w:cs="Arial"/>
          <w:sz w:val="18"/>
          <w:szCs w:val="18"/>
        </w:rPr>
        <w:t>for the Factoring and Commercial Finance Industry</w:t>
      </w:r>
      <w:r w:rsidRPr="00760287">
        <w:rPr>
          <w:rFonts w:ascii="Arial" w:hAnsi="Arial" w:cs="Arial"/>
          <w:sz w:val="18"/>
          <w:szCs w:val="18"/>
        </w:rPr>
        <w:t>. The</w:t>
      </w:r>
      <w:r w:rsidR="009A7034">
        <w:rPr>
          <w:rFonts w:ascii="Arial" w:hAnsi="Arial" w:cs="Arial"/>
          <w:sz w:val="18"/>
          <w:szCs w:val="18"/>
        </w:rPr>
        <w:t xml:space="preserve"> present contribution is in several</w:t>
      </w:r>
      <w:r w:rsidRPr="00760287">
        <w:rPr>
          <w:rFonts w:ascii="Arial" w:hAnsi="Arial" w:cs="Arial"/>
          <w:sz w:val="18"/>
          <w:szCs w:val="18"/>
        </w:rPr>
        <w:t xml:space="preserve"> parts directly inspired from that of EUF</w:t>
      </w:r>
      <w:r w:rsidR="00F15B75">
        <w:rPr>
          <w:rFonts w:ascii="Arial" w:hAnsi="Arial" w:cs="Arial"/>
          <w:sz w:val="18"/>
          <w:szCs w:val="18"/>
        </w:rPr>
        <w:t>.</w:t>
      </w:r>
    </w:p>
  </w:footnote>
  <w:footnote w:id="2">
    <w:p w:rsidR="0088221E" w:rsidRPr="00DF515E" w:rsidRDefault="0088221E" w:rsidP="00DF515E">
      <w:pPr>
        <w:pStyle w:val="Notedebasdepage"/>
        <w:jc w:val="both"/>
        <w:rPr>
          <w:rFonts w:ascii="Arial" w:hAnsi="Arial" w:cs="Arial"/>
          <w:sz w:val="18"/>
          <w:szCs w:val="18"/>
          <w:lang w:val="fr-FR"/>
        </w:rPr>
      </w:pPr>
      <w:r w:rsidRPr="00DF515E">
        <w:rPr>
          <w:rStyle w:val="Appelnotedebasdep"/>
          <w:rFonts w:ascii="Arial" w:hAnsi="Arial" w:cs="Arial"/>
          <w:sz w:val="18"/>
          <w:szCs w:val="18"/>
        </w:rPr>
        <w:footnoteRef/>
      </w:r>
      <w:r w:rsidRPr="00DF515E">
        <w:rPr>
          <w:rFonts w:ascii="Arial" w:hAnsi="Arial" w:cs="Arial"/>
          <w:sz w:val="18"/>
          <w:szCs w:val="18"/>
        </w:rPr>
        <w:t xml:space="preserve"> </w:t>
      </w:r>
      <w:proofErr w:type="spellStart"/>
      <w:r w:rsidRPr="00DF515E">
        <w:rPr>
          <w:rFonts w:ascii="Arial" w:hAnsi="Arial" w:cs="Arial"/>
          <w:sz w:val="18"/>
          <w:szCs w:val="18"/>
          <w:lang w:val="fr-FR"/>
        </w:rPr>
        <w:t>See</w:t>
      </w:r>
      <w:proofErr w:type="spellEnd"/>
      <w:r w:rsidRPr="00DF515E">
        <w:rPr>
          <w:rFonts w:ascii="Arial" w:hAnsi="Arial" w:cs="Arial"/>
          <w:sz w:val="18"/>
          <w:szCs w:val="18"/>
          <w:lang w:val="fr-FR"/>
        </w:rPr>
        <w:t xml:space="preserve"> for instance, report </w:t>
      </w:r>
      <w:proofErr w:type="spellStart"/>
      <w:r w:rsidRPr="00DF515E">
        <w:rPr>
          <w:rFonts w:ascii="Arial" w:hAnsi="Arial" w:cs="Arial"/>
          <w:sz w:val="18"/>
          <w:szCs w:val="18"/>
          <w:lang w:val="fr-FR"/>
        </w:rPr>
        <w:t>from</w:t>
      </w:r>
      <w:proofErr w:type="spellEnd"/>
      <w:r w:rsidRPr="00DF515E">
        <w:rPr>
          <w:rFonts w:ascii="Arial" w:hAnsi="Arial" w:cs="Arial"/>
          <w:sz w:val="18"/>
          <w:szCs w:val="18"/>
          <w:lang w:val="fr-FR"/>
        </w:rPr>
        <w:t xml:space="preserve"> French </w:t>
      </w:r>
      <w:proofErr w:type="spellStart"/>
      <w:r w:rsidRPr="00DF515E">
        <w:rPr>
          <w:rFonts w:ascii="Arial" w:hAnsi="Arial" w:cs="Arial"/>
          <w:sz w:val="18"/>
          <w:szCs w:val="18"/>
          <w:lang w:val="fr-FR"/>
        </w:rPr>
        <w:t>supervisor</w:t>
      </w:r>
      <w:proofErr w:type="spellEnd"/>
      <w:r w:rsidRPr="00DF515E">
        <w:rPr>
          <w:rFonts w:ascii="Arial" w:hAnsi="Arial" w:cs="Arial"/>
          <w:sz w:val="18"/>
          <w:szCs w:val="18"/>
          <w:lang w:val="fr-FR"/>
        </w:rPr>
        <w:t xml:space="preserve"> ACPR « Analyses</w:t>
      </w:r>
      <w:r w:rsidR="00DF515E" w:rsidRPr="00DF515E">
        <w:rPr>
          <w:rFonts w:ascii="Arial" w:hAnsi="Arial" w:cs="Arial"/>
          <w:sz w:val="18"/>
          <w:szCs w:val="18"/>
          <w:lang w:val="fr-FR"/>
        </w:rPr>
        <w:t xml:space="preserve"> et synthèses”, p27 and 28 : “U</w:t>
      </w:r>
      <w:r w:rsidRPr="00DF515E">
        <w:rPr>
          <w:rFonts w:ascii="Arial" w:hAnsi="Arial" w:cs="Arial"/>
          <w:sz w:val="18"/>
          <w:szCs w:val="18"/>
          <w:lang w:val="fr-FR"/>
        </w:rPr>
        <w:t>n coût du risque en nette baisse” :https://acpr.banque-france.fr/fileadmin/user_upload/acp/publications/analyses-syntheses/2014-Analyses-syntheses-affacturage-11-2015.pdf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865"/>
    <w:multiLevelType w:val="hybridMultilevel"/>
    <w:tmpl w:val="E30CBDD0"/>
    <w:lvl w:ilvl="0" w:tplc="8C1A4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997095F"/>
    <w:multiLevelType w:val="hybridMultilevel"/>
    <w:tmpl w:val="4A786600"/>
    <w:lvl w:ilvl="0" w:tplc="8AF2EB4C">
      <w:start w:val="1"/>
      <w:numFmt w:val="decimal"/>
      <w:lvlText w:val="%1."/>
      <w:lvlJc w:val="left"/>
      <w:pPr>
        <w:ind w:left="786"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B14688"/>
    <w:multiLevelType w:val="hybridMultilevel"/>
    <w:tmpl w:val="E4B6CEFE"/>
    <w:lvl w:ilvl="0" w:tplc="DF2071C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4E637A"/>
    <w:multiLevelType w:val="hybridMultilevel"/>
    <w:tmpl w:val="CD9EBDD0"/>
    <w:lvl w:ilvl="0" w:tplc="56848390">
      <w:start w:val="1"/>
      <w:numFmt w:val="low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9A8325B"/>
    <w:multiLevelType w:val="hybridMultilevel"/>
    <w:tmpl w:val="0194E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241060"/>
    <w:multiLevelType w:val="hybridMultilevel"/>
    <w:tmpl w:val="CEC05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4E6E58"/>
    <w:multiLevelType w:val="hybridMultilevel"/>
    <w:tmpl w:val="0B62082C"/>
    <w:lvl w:ilvl="0" w:tplc="7E2E34A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7A"/>
    <w:rsid w:val="0000147A"/>
    <w:rsid w:val="00004BA7"/>
    <w:rsid w:val="000108C1"/>
    <w:rsid w:val="000211D7"/>
    <w:rsid w:val="0002477B"/>
    <w:rsid w:val="00061684"/>
    <w:rsid w:val="000906D0"/>
    <w:rsid w:val="000C1336"/>
    <w:rsid w:val="000D2160"/>
    <w:rsid w:val="00123634"/>
    <w:rsid w:val="00193495"/>
    <w:rsid w:val="001B1295"/>
    <w:rsid w:val="001C666D"/>
    <w:rsid w:val="001D1E96"/>
    <w:rsid w:val="001D5BA7"/>
    <w:rsid w:val="001F1C11"/>
    <w:rsid w:val="00224FA6"/>
    <w:rsid w:val="00245750"/>
    <w:rsid w:val="002560DF"/>
    <w:rsid w:val="00260093"/>
    <w:rsid w:val="00297948"/>
    <w:rsid w:val="002A1679"/>
    <w:rsid w:val="002B3075"/>
    <w:rsid w:val="002C2D14"/>
    <w:rsid w:val="00331286"/>
    <w:rsid w:val="003405CD"/>
    <w:rsid w:val="0037584D"/>
    <w:rsid w:val="003B39DC"/>
    <w:rsid w:val="003C71E0"/>
    <w:rsid w:val="003F6729"/>
    <w:rsid w:val="004117C2"/>
    <w:rsid w:val="00415DF8"/>
    <w:rsid w:val="00426B63"/>
    <w:rsid w:val="0046110D"/>
    <w:rsid w:val="004663DE"/>
    <w:rsid w:val="00473BF2"/>
    <w:rsid w:val="00496C03"/>
    <w:rsid w:val="004D4089"/>
    <w:rsid w:val="004D759E"/>
    <w:rsid w:val="004F7766"/>
    <w:rsid w:val="00532711"/>
    <w:rsid w:val="0053783B"/>
    <w:rsid w:val="0054288B"/>
    <w:rsid w:val="0056368D"/>
    <w:rsid w:val="0057354C"/>
    <w:rsid w:val="005A6AB0"/>
    <w:rsid w:val="005E165C"/>
    <w:rsid w:val="005F6FC2"/>
    <w:rsid w:val="0060261F"/>
    <w:rsid w:val="00633F23"/>
    <w:rsid w:val="006509E1"/>
    <w:rsid w:val="00656768"/>
    <w:rsid w:val="00662C45"/>
    <w:rsid w:val="00681CED"/>
    <w:rsid w:val="006A0E0E"/>
    <w:rsid w:val="006E5D0A"/>
    <w:rsid w:val="006F5A8D"/>
    <w:rsid w:val="00707EE4"/>
    <w:rsid w:val="00710DAA"/>
    <w:rsid w:val="0072378D"/>
    <w:rsid w:val="00726AF0"/>
    <w:rsid w:val="007540C7"/>
    <w:rsid w:val="00760287"/>
    <w:rsid w:val="007A41A8"/>
    <w:rsid w:val="007B66EA"/>
    <w:rsid w:val="007F22D9"/>
    <w:rsid w:val="007F7FB5"/>
    <w:rsid w:val="00810CAB"/>
    <w:rsid w:val="0084027B"/>
    <w:rsid w:val="00860E11"/>
    <w:rsid w:val="00865A69"/>
    <w:rsid w:val="0088221E"/>
    <w:rsid w:val="008F1857"/>
    <w:rsid w:val="00916152"/>
    <w:rsid w:val="00945599"/>
    <w:rsid w:val="0098674A"/>
    <w:rsid w:val="00995186"/>
    <w:rsid w:val="009A274C"/>
    <w:rsid w:val="009A7034"/>
    <w:rsid w:val="009C0D92"/>
    <w:rsid w:val="00A12931"/>
    <w:rsid w:val="00A16F67"/>
    <w:rsid w:val="00A2759A"/>
    <w:rsid w:val="00A44D3E"/>
    <w:rsid w:val="00A642EE"/>
    <w:rsid w:val="00A740DB"/>
    <w:rsid w:val="00A942AC"/>
    <w:rsid w:val="00AA3245"/>
    <w:rsid w:val="00AC0003"/>
    <w:rsid w:val="00AC1455"/>
    <w:rsid w:val="00AE3A6C"/>
    <w:rsid w:val="00B11C72"/>
    <w:rsid w:val="00B26B8C"/>
    <w:rsid w:val="00B2754A"/>
    <w:rsid w:val="00B441F1"/>
    <w:rsid w:val="00B540C6"/>
    <w:rsid w:val="00B64981"/>
    <w:rsid w:val="00B930C8"/>
    <w:rsid w:val="00BB74C7"/>
    <w:rsid w:val="00BC291C"/>
    <w:rsid w:val="00BF4B26"/>
    <w:rsid w:val="00C0192A"/>
    <w:rsid w:val="00C52D81"/>
    <w:rsid w:val="00C76513"/>
    <w:rsid w:val="00C81BC1"/>
    <w:rsid w:val="00CA4ADE"/>
    <w:rsid w:val="00CB38E8"/>
    <w:rsid w:val="00CC2428"/>
    <w:rsid w:val="00CC4E72"/>
    <w:rsid w:val="00CD3E2A"/>
    <w:rsid w:val="00CD50A8"/>
    <w:rsid w:val="00CD7CFF"/>
    <w:rsid w:val="00CE19DE"/>
    <w:rsid w:val="00CF2763"/>
    <w:rsid w:val="00CF7EE2"/>
    <w:rsid w:val="00D02792"/>
    <w:rsid w:val="00D25E1F"/>
    <w:rsid w:val="00D351EB"/>
    <w:rsid w:val="00D3626E"/>
    <w:rsid w:val="00D438DD"/>
    <w:rsid w:val="00D45279"/>
    <w:rsid w:val="00D5259C"/>
    <w:rsid w:val="00D60F6C"/>
    <w:rsid w:val="00DE5621"/>
    <w:rsid w:val="00DF14B4"/>
    <w:rsid w:val="00DF515E"/>
    <w:rsid w:val="00E03199"/>
    <w:rsid w:val="00E1144E"/>
    <w:rsid w:val="00E1617F"/>
    <w:rsid w:val="00E20C42"/>
    <w:rsid w:val="00E330F1"/>
    <w:rsid w:val="00E366CA"/>
    <w:rsid w:val="00E400F9"/>
    <w:rsid w:val="00E41998"/>
    <w:rsid w:val="00E432DA"/>
    <w:rsid w:val="00E60623"/>
    <w:rsid w:val="00E727D3"/>
    <w:rsid w:val="00E7578C"/>
    <w:rsid w:val="00E847AD"/>
    <w:rsid w:val="00E85CB5"/>
    <w:rsid w:val="00E8641C"/>
    <w:rsid w:val="00EB58A5"/>
    <w:rsid w:val="00EF4793"/>
    <w:rsid w:val="00F15053"/>
    <w:rsid w:val="00F15B75"/>
    <w:rsid w:val="00F44B78"/>
    <w:rsid w:val="00F72C55"/>
    <w:rsid w:val="00F7721C"/>
    <w:rsid w:val="00F90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0F9"/>
    <w:pPr>
      <w:ind w:left="720"/>
      <w:contextualSpacing/>
    </w:pPr>
  </w:style>
  <w:style w:type="paragraph" w:styleId="En-tte">
    <w:name w:val="header"/>
    <w:basedOn w:val="Normal"/>
    <w:link w:val="En-tteCar"/>
    <w:uiPriority w:val="99"/>
    <w:unhideWhenUsed/>
    <w:rsid w:val="001C666D"/>
    <w:pPr>
      <w:tabs>
        <w:tab w:val="center" w:pos="4536"/>
        <w:tab w:val="right" w:pos="9072"/>
      </w:tabs>
      <w:spacing w:after="0" w:line="240" w:lineRule="auto"/>
    </w:pPr>
  </w:style>
  <w:style w:type="character" w:customStyle="1" w:styleId="En-tteCar">
    <w:name w:val="En-tête Car"/>
    <w:basedOn w:val="Policepardfaut"/>
    <w:link w:val="En-tte"/>
    <w:uiPriority w:val="99"/>
    <w:rsid w:val="001C666D"/>
  </w:style>
  <w:style w:type="paragraph" w:styleId="Pieddepage">
    <w:name w:val="footer"/>
    <w:basedOn w:val="Normal"/>
    <w:link w:val="PieddepageCar"/>
    <w:uiPriority w:val="99"/>
    <w:unhideWhenUsed/>
    <w:rsid w:val="001C66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666D"/>
  </w:style>
  <w:style w:type="paragraph" w:styleId="Textedebulles">
    <w:name w:val="Balloon Text"/>
    <w:basedOn w:val="Normal"/>
    <w:link w:val="TextedebullesCar"/>
    <w:uiPriority w:val="99"/>
    <w:semiHidden/>
    <w:unhideWhenUsed/>
    <w:rsid w:val="00E606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623"/>
    <w:rPr>
      <w:rFonts w:ascii="Tahoma" w:hAnsi="Tahoma" w:cs="Tahoma"/>
      <w:sz w:val="16"/>
      <w:szCs w:val="16"/>
    </w:rPr>
  </w:style>
  <w:style w:type="paragraph" w:customStyle="1" w:styleId="Default">
    <w:name w:val="Default"/>
    <w:rsid w:val="000C1336"/>
    <w:pPr>
      <w:autoSpaceDE w:val="0"/>
      <w:autoSpaceDN w:val="0"/>
      <w:adjustRightInd w:val="0"/>
      <w:spacing w:after="0" w:line="240" w:lineRule="auto"/>
    </w:pPr>
    <w:rPr>
      <w:rFonts w:ascii="Segoe UI" w:eastAsia="Times New Roman" w:hAnsi="Segoe UI" w:cs="Segoe UI"/>
      <w:color w:val="000000"/>
      <w:sz w:val="24"/>
      <w:szCs w:val="24"/>
      <w:lang w:eastAsia="fr-FR"/>
    </w:rPr>
  </w:style>
  <w:style w:type="paragraph" w:styleId="Notedebasdepage">
    <w:name w:val="footnote text"/>
    <w:basedOn w:val="Normal"/>
    <w:link w:val="NotedebasdepageCar"/>
    <w:uiPriority w:val="99"/>
    <w:semiHidden/>
    <w:unhideWhenUsed/>
    <w:rsid w:val="0088221E"/>
    <w:pPr>
      <w:spacing w:after="0" w:line="240" w:lineRule="auto"/>
    </w:pPr>
    <w:rPr>
      <w:sz w:val="20"/>
      <w:szCs w:val="20"/>
      <w:lang w:val="it-IT"/>
    </w:rPr>
  </w:style>
  <w:style w:type="character" w:customStyle="1" w:styleId="NotedebasdepageCar">
    <w:name w:val="Note de bas de page Car"/>
    <w:basedOn w:val="Policepardfaut"/>
    <w:link w:val="Notedebasdepage"/>
    <w:uiPriority w:val="99"/>
    <w:semiHidden/>
    <w:rsid w:val="0088221E"/>
    <w:rPr>
      <w:sz w:val="20"/>
      <w:szCs w:val="20"/>
      <w:lang w:val="it-IT"/>
    </w:rPr>
  </w:style>
  <w:style w:type="character" w:styleId="Appelnotedebasdep">
    <w:name w:val="footnote reference"/>
    <w:basedOn w:val="Policepardfaut"/>
    <w:uiPriority w:val="99"/>
    <w:semiHidden/>
    <w:unhideWhenUsed/>
    <w:rsid w:val="008822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0F9"/>
    <w:pPr>
      <w:ind w:left="720"/>
      <w:contextualSpacing/>
    </w:pPr>
  </w:style>
  <w:style w:type="paragraph" w:styleId="En-tte">
    <w:name w:val="header"/>
    <w:basedOn w:val="Normal"/>
    <w:link w:val="En-tteCar"/>
    <w:uiPriority w:val="99"/>
    <w:unhideWhenUsed/>
    <w:rsid w:val="001C666D"/>
    <w:pPr>
      <w:tabs>
        <w:tab w:val="center" w:pos="4536"/>
        <w:tab w:val="right" w:pos="9072"/>
      </w:tabs>
      <w:spacing w:after="0" w:line="240" w:lineRule="auto"/>
    </w:pPr>
  </w:style>
  <w:style w:type="character" w:customStyle="1" w:styleId="En-tteCar">
    <w:name w:val="En-tête Car"/>
    <w:basedOn w:val="Policepardfaut"/>
    <w:link w:val="En-tte"/>
    <w:uiPriority w:val="99"/>
    <w:rsid w:val="001C666D"/>
  </w:style>
  <w:style w:type="paragraph" w:styleId="Pieddepage">
    <w:name w:val="footer"/>
    <w:basedOn w:val="Normal"/>
    <w:link w:val="PieddepageCar"/>
    <w:uiPriority w:val="99"/>
    <w:unhideWhenUsed/>
    <w:rsid w:val="001C66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666D"/>
  </w:style>
  <w:style w:type="paragraph" w:styleId="Textedebulles">
    <w:name w:val="Balloon Text"/>
    <w:basedOn w:val="Normal"/>
    <w:link w:val="TextedebullesCar"/>
    <w:uiPriority w:val="99"/>
    <w:semiHidden/>
    <w:unhideWhenUsed/>
    <w:rsid w:val="00E606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0623"/>
    <w:rPr>
      <w:rFonts w:ascii="Tahoma" w:hAnsi="Tahoma" w:cs="Tahoma"/>
      <w:sz w:val="16"/>
      <w:szCs w:val="16"/>
    </w:rPr>
  </w:style>
  <w:style w:type="paragraph" w:customStyle="1" w:styleId="Default">
    <w:name w:val="Default"/>
    <w:rsid w:val="000C1336"/>
    <w:pPr>
      <w:autoSpaceDE w:val="0"/>
      <w:autoSpaceDN w:val="0"/>
      <w:adjustRightInd w:val="0"/>
      <w:spacing w:after="0" w:line="240" w:lineRule="auto"/>
    </w:pPr>
    <w:rPr>
      <w:rFonts w:ascii="Segoe UI" w:eastAsia="Times New Roman" w:hAnsi="Segoe UI" w:cs="Segoe UI"/>
      <w:color w:val="000000"/>
      <w:sz w:val="24"/>
      <w:szCs w:val="24"/>
      <w:lang w:eastAsia="fr-FR"/>
    </w:rPr>
  </w:style>
  <w:style w:type="paragraph" w:styleId="Notedebasdepage">
    <w:name w:val="footnote text"/>
    <w:basedOn w:val="Normal"/>
    <w:link w:val="NotedebasdepageCar"/>
    <w:uiPriority w:val="99"/>
    <w:semiHidden/>
    <w:unhideWhenUsed/>
    <w:rsid w:val="0088221E"/>
    <w:pPr>
      <w:spacing w:after="0" w:line="240" w:lineRule="auto"/>
    </w:pPr>
    <w:rPr>
      <w:sz w:val="20"/>
      <w:szCs w:val="20"/>
      <w:lang w:val="it-IT"/>
    </w:rPr>
  </w:style>
  <w:style w:type="character" w:customStyle="1" w:styleId="NotedebasdepageCar">
    <w:name w:val="Note de bas de page Car"/>
    <w:basedOn w:val="Policepardfaut"/>
    <w:link w:val="Notedebasdepage"/>
    <w:uiPriority w:val="99"/>
    <w:semiHidden/>
    <w:rsid w:val="0088221E"/>
    <w:rPr>
      <w:sz w:val="20"/>
      <w:szCs w:val="20"/>
      <w:lang w:val="it-IT"/>
    </w:rPr>
  </w:style>
  <w:style w:type="character" w:styleId="Appelnotedebasdep">
    <w:name w:val="footnote reference"/>
    <w:basedOn w:val="Policepardfaut"/>
    <w:uiPriority w:val="99"/>
    <w:semiHidden/>
    <w:unhideWhenUsed/>
    <w:rsid w:val="00882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69805">
      <w:bodyDiv w:val="1"/>
      <w:marLeft w:val="0"/>
      <w:marRight w:val="0"/>
      <w:marTop w:val="0"/>
      <w:marBottom w:val="0"/>
      <w:divBdr>
        <w:top w:val="none" w:sz="0" w:space="0" w:color="auto"/>
        <w:left w:val="none" w:sz="0" w:space="0" w:color="auto"/>
        <w:bottom w:val="none" w:sz="0" w:space="0" w:color="auto"/>
        <w:right w:val="none" w:sz="0" w:space="0" w:color="auto"/>
      </w:divBdr>
    </w:div>
    <w:div w:id="465662350">
      <w:bodyDiv w:val="1"/>
      <w:marLeft w:val="0"/>
      <w:marRight w:val="0"/>
      <w:marTop w:val="0"/>
      <w:marBottom w:val="0"/>
      <w:divBdr>
        <w:top w:val="none" w:sz="0" w:space="0" w:color="auto"/>
        <w:left w:val="none" w:sz="0" w:space="0" w:color="auto"/>
        <w:bottom w:val="none" w:sz="0" w:space="0" w:color="auto"/>
        <w:right w:val="none" w:sz="0" w:space="0" w:color="auto"/>
      </w:divBdr>
    </w:div>
    <w:div w:id="849947485">
      <w:bodyDiv w:val="1"/>
      <w:marLeft w:val="0"/>
      <w:marRight w:val="0"/>
      <w:marTop w:val="0"/>
      <w:marBottom w:val="0"/>
      <w:divBdr>
        <w:top w:val="none" w:sz="0" w:space="0" w:color="auto"/>
        <w:left w:val="none" w:sz="0" w:space="0" w:color="auto"/>
        <w:bottom w:val="none" w:sz="0" w:space="0" w:color="auto"/>
        <w:right w:val="none" w:sz="0" w:space="0" w:color="auto"/>
      </w:divBdr>
    </w:div>
    <w:div w:id="911962467">
      <w:bodyDiv w:val="1"/>
      <w:marLeft w:val="0"/>
      <w:marRight w:val="0"/>
      <w:marTop w:val="0"/>
      <w:marBottom w:val="0"/>
      <w:divBdr>
        <w:top w:val="none" w:sz="0" w:space="0" w:color="auto"/>
        <w:left w:val="none" w:sz="0" w:space="0" w:color="auto"/>
        <w:bottom w:val="none" w:sz="0" w:space="0" w:color="auto"/>
        <w:right w:val="none" w:sz="0" w:space="0" w:color="auto"/>
      </w:divBdr>
    </w:div>
    <w:div w:id="1297907283">
      <w:bodyDiv w:val="1"/>
      <w:marLeft w:val="0"/>
      <w:marRight w:val="0"/>
      <w:marTop w:val="0"/>
      <w:marBottom w:val="0"/>
      <w:divBdr>
        <w:top w:val="none" w:sz="0" w:space="0" w:color="auto"/>
        <w:left w:val="none" w:sz="0" w:space="0" w:color="auto"/>
        <w:bottom w:val="none" w:sz="0" w:space="0" w:color="auto"/>
        <w:right w:val="none" w:sz="0" w:space="0" w:color="auto"/>
      </w:divBdr>
    </w:div>
    <w:div w:id="1677464211">
      <w:bodyDiv w:val="1"/>
      <w:marLeft w:val="0"/>
      <w:marRight w:val="0"/>
      <w:marTop w:val="0"/>
      <w:marBottom w:val="0"/>
      <w:divBdr>
        <w:top w:val="none" w:sz="0" w:space="0" w:color="auto"/>
        <w:left w:val="none" w:sz="0" w:space="0" w:color="auto"/>
        <w:bottom w:val="none" w:sz="0" w:space="0" w:color="auto"/>
        <w:right w:val="none" w:sz="0" w:space="0" w:color="auto"/>
      </w:divBdr>
    </w:div>
    <w:div w:id="17736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8508-B92C-47A7-9CD8-11078582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2595</Words>
  <Characters>14278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Yves-Marie LEGRAND</dc:creator>
  <cp:lastModifiedBy>Antoine DE CHABOT</cp:lastModifiedBy>
  <cp:revision>14</cp:revision>
  <cp:lastPrinted>2016-01-21T16:15:00Z</cp:lastPrinted>
  <dcterms:created xsi:type="dcterms:W3CDTF">2016-01-21T15:01:00Z</dcterms:created>
  <dcterms:modified xsi:type="dcterms:W3CDTF">2016-01-21T16:41:00Z</dcterms:modified>
</cp:coreProperties>
</file>