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2AB17" w14:textId="77777777" w:rsidR="00BF03D2" w:rsidRPr="004A4AFB" w:rsidRDefault="00BF03D2" w:rsidP="00A873A4">
      <w:pPr>
        <w:ind w:left="-284"/>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object w:dxaOrig="5716" w:dyaOrig="5026" w14:anchorId="28690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08.6pt" o:ole="">
            <v:imagedata r:id="rId9" o:title=""/>
          </v:shape>
          <o:OLEObject Type="Embed" ProgID="MSPhotoEd.3" ShapeID="_x0000_i1025" DrawAspect="Content" ObjectID="_1514908921" r:id="rId10"/>
        </w:object>
      </w:r>
    </w:p>
    <w:p w14:paraId="7D1A5E27" w14:textId="12F1260F" w:rsidR="00BF03D2" w:rsidRPr="004A4AFB" w:rsidRDefault="00020BE9" w:rsidP="00A873A4">
      <w:pPr>
        <w:spacing w:after="0"/>
        <w:jc w:val="both"/>
        <w:rPr>
          <w:rFonts w:ascii="Times New Roman" w:eastAsia="Times New Roman" w:hAnsi="Times New Roman" w:cs="Times New Roman"/>
          <w:bCs/>
          <w:noProof/>
          <w:color w:val="000000" w:themeColor="text1"/>
          <w:sz w:val="24"/>
          <w:szCs w:val="24"/>
          <w:lang w:eastAsia="fr-FR"/>
        </w:rPr>
      </w:pPr>
      <w:r w:rsidRPr="004A4AFB">
        <w:rPr>
          <w:rFonts w:ascii="Times New Roman" w:eastAsia="Times New Roman" w:hAnsi="Times New Roman" w:cs="Times New Roman"/>
          <w:noProof/>
          <w:color w:val="000000" w:themeColor="text1"/>
          <w:sz w:val="24"/>
          <w:szCs w:val="24"/>
          <w:lang w:eastAsia="fr-FR"/>
        </w:rPr>
        <w:t>VB/AD</w:t>
      </w:r>
      <w:r w:rsidR="00BF03D2" w:rsidRPr="004A4AFB">
        <w:rPr>
          <w:rFonts w:ascii="Times New Roman" w:eastAsia="Times New Roman" w:hAnsi="Times New Roman" w:cs="Times New Roman"/>
          <w:noProof/>
          <w:color w:val="000000" w:themeColor="text1"/>
          <w:sz w:val="24"/>
          <w:szCs w:val="24"/>
          <w:lang w:eastAsia="fr-FR"/>
        </w:rPr>
        <w:t xml:space="preserve">  – n°</w:t>
      </w:r>
      <w:r w:rsidR="00463892">
        <w:rPr>
          <w:rFonts w:ascii="Times New Roman" w:eastAsia="Times New Roman" w:hAnsi="Times New Roman" w:cs="Times New Roman"/>
          <w:noProof/>
          <w:color w:val="000000" w:themeColor="text1"/>
          <w:sz w:val="24"/>
          <w:szCs w:val="24"/>
          <w:lang w:eastAsia="fr-FR"/>
        </w:rPr>
        <w:t>2016-</w:t>
      </w:r>
      <w:bookmarkStart w:id="0" w:name="_GoBack"/>
      <w:bookmarkEnd w:id="0"/>
      <w:r w:rsidR="00463892">
        <w:rPr>
          <w:rFonts w:ascii="Times New Roman" w:eastAsia="Times New Roman" w:hAnsi="Times New Roman" w:cs="Times New Roman"/>
          <w:noProof/>
          <w:color w:val="000000" w:themeColor="text1"/>
          <w:sz w:val="24"/>
          <w:szCs w:val="24"/>
          <w:lang w:eastAsia="fr-FR"/>
        </w:rPr>
        <w:t>50</w:t>
      </w:r>
      <w:r w:rsidR="00BF03D2" w:rsidRPr="004A4AFB">
        <w:rPr>
          <w:rFonts w:ascii="Times New Roman" w:eastAsia="Times New Roman" w:hAnsi="Times New Roman" w:cs="Times New Roman"/>
          <w:noProof/>
          <w:color w:val="000000" w:themeColor="text1"/>
          <w:sz w:val="24"/>
          <w:szCs w:val="24"/>
          <w:lang w:eastAsia="fr-FR"/>
        </w:rPr>
        <w:t xml:space="preserve">/Div </w:t>
      </w:r>
    </w:p>
    <w:p w14:paraId="779B0556" w14:textId="77777777" w:rsidR="00BF03D2" w:rsidRPr="004A4AFB" w:rsidRDefault="00BF03D2" w:rsidP="00A873A4">
      <w:pPr>
        <w:spacing w:after="0"/>
        <w:ind w:left="4820"/>
        <w:jc w:val="both"/>
        <w:rPr>
          <w:rFonts w:ascii="Times New Roman" w:eastAsia="Times New Roman" w:hAnsi="Times New Roman" w:cs="Times New Roman"/>
          <w:noProof/>
          <w:color w:val="000000" w:themeColor="text1"/>
          <w:sz w:val="24"/>
          <w:szCs w:val="24"/>
          <w:lang w:eastAsia="fr-FR"/>
        </w:rPr>
      </w:pPr>
    </w:p>
    <w:p w14:paraId="1128A829" w14:textId="77777777" w:rsidR="00BF03D2" w:rsidRPr="004A4AFB" w:rsidRDefault="00F83372" w:rsidP="00A873A4">
      <w:pPr>
        <w:spacing w:after="0"/>
        <w:ind w:left="4820" w:right="-233"/>
        <w:jc w:val="both"/>
        <w:rPr>
          <w:rFonts w:ascii="Times New Roman" w:eastAsia="Times New Roman" w:hAnsi="Times New Roman" w:cs="Times New Roman"/>
          <w:b/>
          <w:noProof/>
          <w:color w:val="000000" w:themeColor="text1"/>
          <w:sz w:val="24"/>
          <w:szCs w:val="24"/>
          <w:lang w:eastAsia="fr-FR"/>
        </w:rPr>
      </w:pPr>
      <w:r w:rsidRPr="004A4AFB">
        <w:rPr>
          <w:rFonts w:ascii="Times New Roman" w:eastAsia="Times New Roman" w:hAnsi="Times New Roman" w:cs="Times New Roman"/>
          <w:b/>
          <w:noProof/>
          <w:color w:val="000000" w:themeColor="text1"/>
          <w:sz w:val="24"/>
          <w:szCs w:val="24"/>
          <w:lang w:eastAsia="fr-FR"/>
        </w:rPr>
        <w:t>E</w:t>
      </w:r>
      <w:r w:rsidR="00976FA8" w:rsidRPr="004A4AFB">
        <w:rPr>
          <w:rFonts w:ascii="Times New Roman" w:eastAsia="Times New Roman" w:hAnsi="Times New Roman" w:cs="Times New Roman"/>
          <w:b/>
          <w:noProof/>
          <w:color w:val="000000" w:themeColor="text1"/>
          <w:sz w:val="24"/>
          <w:szCs w:val="24"/>
          <w:lang w:eastAsia="fr-FR"/>
        </w:rPr>
        <w:t xml:space="preserve">uropean </w:t>
      </w:r>
      <w:r w:rsidRPr="004A4AFB">
        <w:rPr>
          <w:rFonts w:ascii="Times New Roman" w:eastAsia="Times New Roman" w:hAnsi="Times New Roman" w:cs="Times New Roman"/>
          <w:b/>
          <w:noProof/>
          <w:color w:val="000000" w:themeColor="text1"/>
          <w:sz w:val="24"/>
          <w:szCs w:val="24"/>
          <w:lang w:eastAsia="fr-FR"/>
        </w:rPr>
        <w:t>S</w:t>
      </w:r>
      <w:r w:rsidR="00976FA8" w:rsidRPr="004A4AFB">
        <w:rPr>
          <w:rFonts w:ascii="Times New Roman" w:eastAsia="Times New Roman" w:hAnsi="Times New Roman" w:cs="Times New Roman"/>
          <w:b/>
          <w:noProof/>
          <w:color w:val="000000" w:themeColor="text1"/>
          <w:sz w:val="24"/>
          <w:szCs w:val="24"/>
          <w:lang w:eastAsia="fr-FR"/>
        </w:rPr>
        <w:t>ecurities and Markets Authority</w:t>
      </w:r>
    </w:p>
    <w:p w14:paraId="5FC7E05E" w14:textId="77777777" w:rsidR="00976FA8" w:rsidRPr="004A4AFB" w:rsidRDefault="00976FA8" w:rsidP="00A873A4">
      <w:pPr>
        <w:spacing w:after="0"/>
        <w:ind w:left="4820" w:right="-233"/>
        <w:jc w:val="both"/>
        <w:rPr>
          <w:rFonts w:ascii="Times New Roman" w:eastAsia="Times New Roman" w:hAnsi="Times New Roman" w:cs="Times New Roman"/>
          <w:b/>
          <w:noProof/>
          <w:color w:val="000000" w:themeColor="text1"/>
          <w:sz w:val="24"/>
          <w:szCs w:val="24"/>
          <w:lang w:eastAsia="fr-FR"/>
        </w:rPr>
      </w:pPr>
      <w:r w:rsidRPr="004A4AFB">
        <w:rPr>
          <w:rFonts w:ascii="Times New Roman" w:eastAsia="Times New Roman" w:hAnsi="Times New Roman" w:cs="Times New Roman"/>
          <w:b/>
          <w:noProof/>
          <w:color w:val="000000" w:themeColor="text1"/>
          <w:sz w:val="24"/>
          <w:szCs w:val="24"/>
          <w:lang w:eastAsia="fr-FR"/>
        </w:rPr>
        <w:t>European Banking Authority</w:t>
      </w:r>
    </w:p>
    <w:p w14:paraId="11F76E30" w14:textId="77777777" w:rsidR="00020BE9" w:rsidRPr="004A4AFB" w:rsidRDefault="00020BE9" w:rsidP="00A873A4">
      <w:pPr>
        <w:spacing w:after="0"/>
        <w:ind w:left="4820" w:right="-233"/>
        <w:jc w:val="both"/>
        <w:rPr>
          <w:rFonts w:ascii="Times New Roman" w:eastAsia="Times New Roman" w:hAnsi="Times New Roman" w:cs="Times New Roman"/>
          <w:b/>
          <w:noProof/>
          <w:color w:val="000000" w:themeColor="text1"/>
          <w:sz w:val="24"/>
          <w:szCs w:val="24"/>
          <w:lang w:eastAsia="fr-FR"/>
        </w:rPr>
      </w:pPr>
      <w:r w:rsidRPr="004A4AFB">
        <w:rPr>
          <w:rFonts w:ascii="Times New Roman" w:eastAsia="Times New Roman" w:hAnsi="Times New Roman" w:cs="Times New Roman"/>
          <w:b/>
          <w:noProof/>
          <w:color w:val="000000" w:themeColor="text1"/>
          <w:sz w:val="24"/>
          <w:szCs w:val="24"/>
          <w:lang w:eastAsia="fr-FR"/>
        </w:rPr>
        <w:t>European Insurance and Occupational Pensions Authority</w:t>
      </w:r>
    </w:p>
    <w:p w14:paraId="5C4ADA76" w14:textId="77777777" w:rsidR="00BF03D2" w:rsidRPr="004A4AFB" w:rsidRDefault="00BF03D2" w:rsidP="00A873A4">
      <w:pPr>
        <w:spacing w:after="0"/>
        <w:ind w:left="4820"/>
        <w:jc w:val="both"/>
        <w:rPr>
          <w:rFonts w:ascii="Times New Roman" w:eastAsia="Times New Roman" w:hAnsi="Times New Roman" w:cs="Times New Roman"/>
          <w:noProof/>
          <w:color w:val="000000" w:themeColor="text1"/>
          <w:sz w:val="24"/>
          <w:szCs w:val="24"/>
          <w:lang w:eastAsia="fr-FR"/>
        </w:rPr>
      </w:pPr>
    </w:p>
    <w:p w14:paraId="3EABD575" w14:textId="52BB2F1F" w:rsidR="00BF03D2" w:rsidRPr="004A4AFB" w:rsidRDefault="00CF6A5C" w:rsidP="00A873A4">
      <w:pPr>
        <w:spacing w:after="0"/>
        <w:ind w:left="4820"/>
        <w:jc w:val="both"/>
        <w:rPr>
          <w:rFonts w:ascii="Times New Roman" w:eastAsia="Times New Roman" w:hAnsi="Times New Roman" w:cs="Times New Roman"/>
          <w:noProof/>
          <w:color w:val="000000" w:themeColor="text1"/>
          <w:sz w:val="24"/>
          <w:szCs w:val="24"/>
          <w:lang w:eastAsia="fr-FR"/>
        </w:rPr>
      </w:pPr>
      <w:r w:rsidRPr="004A4AFB">
        <w:rPr>
          <w:rFonts w:ascii="Times New Roman" w:eastAsia="Times New Roman" w:hAnsi="Times New Roman" w:cs="Times New Roman"/>
          <w:noProof/>
          <w:color w:val="000000" w:themeColor="text1"/>
          <w:sz w:val="24"/>
          <w:szCs w:val="24"/>
          <w:lang w:eastAsia="fr-FR"/>
        </w:rPr>
        <w:t xml:space="preserve">Paris, </w:t>
      </w:r>
      <w:r w:rsidR="00843283">
        <w:rPr>
          <w:rFonts w:ascii="Times New Roman" w:eastAsia="Times New Roman" w:hAnsi="Times New Roman" w:cs="Times New Roman"/>
          <w:noProof/>
          <w:color w:val="000000" w:themeColor="text1"/>
          <w:sz w:val="24"/>
          <w:szCs w:val="24"/>
          <w:lang w:eastAsia="fr-FR"/>
        </w:rPr>
        <w:t xml:space="preserve">21th january </w:t>
      </w:r>
      <w:r w:rsidR="00BF03D2" w:rsidRPr="004A4AFB">
        <w:rPr>
          <w:rFonts w:ascii="Times New Roman" w:eastAsia="Times New Roman" w:hAnsi="Times New Roman" w:cs="Times New Roman"/>
          <w:noProof/>
          <w:color w:val="000000" w:themeColor="text1"/>
          <w:sz w:val="24"/>
          <w:szCs w:val="24"/>
          <w:lang w:eastAsia="fr-FR"/>
        </w:rPr>
        <w:t>201</w:t>
      </w:r>
      <w:r w:rsidR="00843283">
        <w:rPr>
          <w:rFonts w:ascii="Times New Roman" w:eastAsia="Times New Roman" w:hAnsi="Times New Roman" w:cs="Times New Roman"/>
          <w:noProof/>
          <w:color w:val="000000" w:themeColor="text1"/>
          <w:sz w:val="24"/>
          <w:szCs w:val="24"/>
          <w:lang w:eastAsia="fr-FR"/>
        </w:rPr>
        <w:t>6</w:t>
      </w:r>
    </w:p>
    <w:p w14:paraId="6128B541" w14:textId="77777777" w:rsidR="00D765EC" w:rsidRPr="004A4AFB" w:rsidRDefault="00D765EC" w:rsidP="00A873A4">
      <w:pPr>
        <w:spacing w:after="0"/>
        <w:ind w:left="4820"/>
        <w:jc w:val="both"/>
        <w:rPr>
          <w:rFonts w:ascii="Times New Roman" w:eastAsia="Times New Roman" w:hAnsi="Times New Roman" w:cs="Times New Roman"/>
          <w:noProof/>
          <w:color w:val="000000" w:themeColor="text1"/>
          <w:sz w:val="24"/>
          <w:szCs w:val="24"/>
          <w:lang w:eastAsia="fr-FR"/>
        </w:rPr>
      </w:pPr>
    </w:p>
    <w:p w14:paraId="4A12E646" w14:textId="77777777" w:rsidR="007552A3" w:rsidRPr="004A4AFB" w:rsidRDefault="007552A3" w:rsidP="00A873A4">
      <w:pPr>
        <w:spacing w:after="0"/>
        <w:jc w:val="both"/>
        <w:rPr>
          <w:rFonts w:ascii="Times New Roman" w:eastAsia="Times New Roman" w:hAnsi="Times New Roman" w:cs="Times New Roman"/>
          <w:b/>
          <w:noProof/>
          <w:color w:val="000000" w:themeColor="text1"/>
          <w:sz w:val="24"/>
          <w:szCs w:val="24"/>
          <w:lang w:eastAsia="fr-FR"/>
        </w:rPr>
      </w:pPr>
    </w:p>
    <w:tbl>
      <w:tblPr>
        <w:tblW w:w="0" w:type="auto"/>
        <w:jc w:val="center"/>
        <w:tblBorders>
          <w:top w:val="nil"/>
          <w:left w:val="nil"/>
          <w:bottom w:val="nil"/>
          <w:right w:val="nil"/>
        </w:tblBorders>
        <w:tblLayout w:type="fixed"/>
        <w:tblLook w:val="0000" w:firstRow="0" w:lastRow="0" w:firstColumn="0" w:lastColumn="0" w:noHBand="0" w:noVBand="0"/>
      </w:tblPr>
      <w:tblGrid>
        <w:gridCol w:w="9143"/>
      </w:tblGrid>
      <w:tr w:rsidR="004E17EE" w:rsidRPr="004A4AFB" w14:paraId="11AE3574" w14:textId="77777777" w:rsidTr="004E17EE">
        <w:trPr>
          <w:trHeight w:val="984"/>
          <w:jc w:val="center"/>
        </w:trPr>
        <w:tc>
          <w:tcPr>
            <w:tcW w:w="9143" w:type="dxa"/>
          </w:tcPr>
          <w:p w14:paraId="5218E80A" w14:textId="77777777" w:rsidR="00C47158" w:rsidRPr="004A4AFB" w:rsidRDefault="00C47158" w:rsidP="00A873A4">
            <w:pPr>
              <w:spacing w:after="0"/>
              <w:jc w:val="both"/>
              <w:rPr>
                <w:rFonts w:ascii="Times New Roman" w:eastAsia="Times New Roman" w:hAnsi="Times New Roman" w:cs="Times New Roman"/>
                <w:b/>
                <w:noProof/>
                <w:color w:val="000000" w:themeColor="text1"/>
                <w:sz w:val="24"/>
                <w:szCs w:val="24"/>
                <w:lang w:eastAsia="fr-FR"/>
              </w:rPr>
            </w:pPr>
          </w:p>
          <w:p w14:paraId="208AB4F5" w14:textId="4C6E53EB" w:rsidR="009D0B3B" w:rsidRPr="004A4AFB" w:rsidRDefault="00BF03D2" w:rsidP="00A873A4">
            <w:pPr>
              <w:spacing w:after="0"/>
              <w:jc w:val="both"/>
              <w:rPr>
                <w:rFonts w:ascii="Times New Roman" w:eastAsia="Times New Roman" w:hAnsi="Times New Roman" w:cs="Times New Roman"/>
                <w:b/>
                <w:bCs/>
                <w:noProof/>
                <w:color w:val="000000" w:themeColor="text1"/>
                <w:sz w:val="24"/>
                <w:szCs w:val="24"/>
                <w:lang w:eastAsia="fr-FR"/>
              </w:rPr>
            </w:pPr>
            <w:r w:rsidRPr="004A4AFB">
              <w:rPr>
                <w:rFonts w:ascii="Times New Roman" w:eastAsia="Times New Roman" w:hAnsi="Times New Roman" w:cs="Times New Roman"/>
                <w:b/>
                <w:noProof/>
                <w:color w:val="000000" w:themeColor="text1"/>
                <w:sz w:val="24"/>
                <w:szCs w:val="24"/>
                <w:lang w:eastAsia="fr-FR"/>
              </w:rPr>
              <w:t xml:space="preserve">AFG response to the </w:t>
            </w:r>
            <w:r w:rsidR="00F83372" w:rsidRPr="004A4AFB">
              <w:rPr>
                <w:rFonts w:ascii="Times New Roman" w:eastAsia="Times New Roman" w:hAnsi="Times New Roman" w:cs="Times New Roman"/>
                <w:b/>
                <w:noProof/>
                <w:color w:val="000000" w:themeColor="text1"/>
                <w:sz w:val="24"/>
                <w:szCs w:val="24"/>
                <w:lang w:eastAsia="fr-FR"/>
              </w:rPr>
              <w:t>ESMA</w:t>
            </w:r>
            <w:r w:rsidR="00E601B4" w:rsidRPr="004A4AFB">
              <w:rPr>
                <w:rFonts w:ascii="Times New Roman" w:eastAsia="Times New Roman" w:hAnsi="Times New Roman" w:cs="Times New Roman"/>
                <w:b/>
                <w:noProof/>
                <w:color w:val="000000" w:themeColor="text1"/>
                <w:sz w:val="24"/>
                <w:szCs w:val="24"/>
                <w:lang w:eastAsia="fr-FR"/>
              </w:rPr>
              <w:t xml:space="preserve">, EBA &amp; EIOPA </w:t>
            </w:r>
            <w:r w:rsidRPr="004A4AFB">
              <w:rPr>
                <w:rFonts w:ascii="Times New Roman" w:eastAsia="Times New Roman" w:hAnsi="Times New Roman" w:cs="Times New Roman"/>
                <w:b/>
                <w:noProof/>
                <w:color w:val="000000" w:themeColor="text1"/>
                <w:sz w:val="24"/>
                <w:szCs w:val="24"/>
                <w:lang w:eastAsia="fr-FR"/>
              </w:rPr>
              <w:t xml:space="preserve">consultation on </w:t>
            </w:r>
            <w:r w:rsidR="00F83372" w:rsidRPr="004A4AFB">
              <w:rPr>
                <w:rFonts w:ascii="Times New Roman" w:eastAsia="Times New Roman" w:hAnsi="Times New Roman" w:cs="Times New Roman"/>
                <w:b/>
                <w:noProof/>
                <w:color w:val="000000" w:themeColor="text1"/>
                <w:sz w:val="24"/>
                <w:szCs w:val="24"/>
                <w:lang w:eastAsia="fr-FR"/>
              </w:rPr>
              <w:t>“</w:t>
            </w:r>
            <w:r w:rsidR="009D0B3B" w:rsidRPr="004A4AFB">
              <w:rPr>
                <w:rFonts w:ascii="Times New Roman" w:eastAsia="Times New Roman" w:hAnsi="Times New Roman" w:cs="Times New Roman"/>
                <w:b/>
                <w:noProof/>
                <w:color w:val="000000" w:themeColor="text1"/>
                <w:sz w:val="24"/>
                <w:szCs w:val="24"/>
                <w:lang w:eastAsia="fr-FR"/>
              </w:rPr>
              <w:t xml:space="preserve"> simplified and enhanced customer due diligence and the factors credit and financial institutions should consider when assessing the money laundering and terrorist financing risk associated with individual business relationships and occasional transaction</w:t>
            </w:r>
            <w:r w:rsidR="0005479B" w:rsidRPr="004A4AFB">
              <w:rPr>
                <w:rFonts w:ascii="Times New Roman" w:eastAsia="Times New Roman" w:hAnsi="Times New Roman" w:cs="Times New Roman"/>
                <w:b/>
                <w:noProof/>
                <w:color w:val="000000" w:themeColor="text1"/>
                <w:sz w:val="24"/>
                <w:szCs w:val="24"/>
                <w:lang w:eastAsia="fr-FR"/>
              </w:rPr>
              <w:t>s</w:t>
            </w:r>
            <w:r w:rsidR="009D0B3B" w:rsidRPr="004A4AFB">
              <w:rPr>
                <w:rFonts w:ascii="Times New Roman" w:eastAsia="Times New Roman" w:hAnsi="Times New Roman" w:cs="Times New Roman"/>
                <w:b/>
                <w:noProof/>
                <w:color w:val="000000" w:themeColor="text1"/>
                <w:sz w:val="24"/>
                <w:szCs w:val="24"/>
                <w:lang w:eastAsia="fr-FR"/>
              </w:rPr>
              <w:t>”</w:t>
            </w:r>
            <w:r w:rsidR="006520FD">
              <w:rPr>
                <w:rFonts w:ascii="Times New Roman" w:eastAsia="Times New Roman" w:hAnsi="Times New Roman" w:cs="Times New Roman"/>
                <w:b/>
                <w:noProof/>
                <w:color w:val="000000" w:themeColor="text1"/>
                <w:sz w:val="24"/>
                <w:szCs w:val="24"/>
                <w:lang w:eastAsia="fr-FR"/>
              </w:rPr>
              <w:t xml:space="preserve"> – JC 2015 061</w:t>
            </w:r>
          </w:p>
          <w:p w14:paraId="044CCF02" w14:textId="77777777" w:rsidR="009D0B3B" w:rsidRPr="004A4AFB" w:rsidRDefault="009D0B3B" w:rsidP="00A873A4">
            <w:pPr>
              <w:pStyle w:val="Default"/>
              <w:spacing w:line="276" w:lineRule="auto"/>
              <w:jc w:val="both"/>
              <w:rPr>
                <w:rFonts w:ascii="Times New Roman" w:eastAsia="Times New Roman" w:hAnsi="Times New Roman" w:cs="Times New Roman"/>
                <w:b/>
                <w:noProof/>
                <w:color w:val="000000" w:themeColor="text1"/>
                <w:lang w:val="en-GB" w:eastAsia="fr-FR"/>
              </w:rPr>
            </w:pPr>
          </w:p>
        </w:tc>
      </w:tr>
    </w:tbl>
    <w:p w14:paraId="63455FAE" w14:textId="77777777" w:rsidR="009C14C1" w:rsidRPr="004A4AFB" w:rsidRDefault="009C14C1" w:rsidP="00A873A4">
      <w:pPr>
        <w:jc w:val="both"/>
        <w:rPr>
          <w:rFonts w:ascii="Times New Roman" w:hAnsi="Times New Roman" w:cs="Times New Roman"/>
          <w:b/>
          <w:color w:val="000000" w:themeColor="text1"/>
          <w:sz w:val="24"/>
          <w:szCs w:val="24"/>
          <w:u w:val="single"/>
          <w:lang w:val="en-US"/>
        </w:rPr>
      </w:pPr>
    </w:p>
    <w:p w14:paraId="77748D6B" w14:textId="77777777" w:rsidR="00BF03D2" w:rsidRPr="004A4AFB" w:rsidRDefault="00BF03D2" w:rsidP="00A873A4">
      <w:pPr>
        <w:jc w:val="both"/>
        <w:rPr>
          <w:rFonts w:ascii="Times New Roman" w:hAnsi="Times New Roman" w:cs="Times New Roman"/>
          <w:b/>
          <w:color w:val="000000" w:themeColor="text1"/>
          <w:sz w:val="24"/>
          <w:szCs w:val="24"/>
          <w:u w:val="single"/>
          <w:lang w:val="en-US"/>
        </w:rPr>
      </w:pPr>
      <w:r w:rsidRPr="004A4AFB">
        <w:rPr>
          <w:rFonts w:ascii="Times New Roman" w:hAnsi="Times New Roman" w:cs="Times New Roman"/>
          <w:b/>
          <w:color w:val="000000" w:themeColor="text1"/>
          <w:sz w:val="24"/>
          <w:szCs w:val="24"/>
          <w:u w:val="single"/>
          <w:lang w:val="en-US"/>
        </w:rPr>
        <w:t>General comments</w:t>
      </w:r>
    </w:p>
    <w:p w14:paraId="604583D9" w14:textId="33F89C63" w:rsidR="00413A21" w:rsidRPr="00EA7BC9" w:rsidRDefault="00BF03D2" w:rsidP="00413A21">
      <w:pPr>
        <w:jc w:val="both"/>
        <w:rPr>
          <w:rFonts w:ascii="Times New Roman" w:hAnsi="Times New Roman" w:cs="Times New Roman"/>
          <w:sz w:val="24"/>
          <w:szCs w:val="24"/>
          <w:lang w:val="en-US"/>
        </w:rPr>
      </w:pPr>
      <w:r w:rsidRPr="004A4AFB">
        <w:rPr>
          <w:rFonts w:ascii="Times New Roman" w:hAnsi="Times New Roman" w:cs="Times New Roman"/>
          <w:color w:val="000000" w:themeColor="text1"/>
          <w:sz w:val="24"/>
          <w:szCs w:val="24"/>
          <w:lang w:val="en-US"/>
        </w:rPr>
        <w:t xml:space="preserve">The Association </w:t>
      </w:r>
      <w:proofErr w:type="spellStart"/>
      <w:r w:rsidRPr="004A4AFB">
        <w:rPr>
          <w:rFonts w:ascii="Times New Roman" w:hAnsi="Times New Roman" w:cs="Times New Roman"/>
          <w:color w:val="000000" w:themeColor="text1"/>
          <w:sz w:val="24"/>
          <w:szCs w:val="24"/>
          <w:lang w:val="en-US"/>
        </w:rPr>
        <w:t>Française</w:t>
      </w:r>
      <w:proofErr w:type="spellEnd"/>
      <w:r w:rsidRPr="004A4AFB">
        <w:rPr>
          <w:rFonts w:ascii="Times New Roman" w:hAnsi="Times New Roman" w:cs="Times New Roman"/>
          <w:color w:val="000000" w:themeColor="text1"/>
          <w:sz w:val="24"/>
          <w:szCs w:val="24"/>
          <w:lang w:val="en-US"/>
        </w:rPr>
        <w:t xml:space="preserve"> de la </w:t>
      </w:r>
      <w:proofErr w:type="spellStart"/>
      <w:r w:rsidRPr="004A4AFB">
        <w:rPr>
          <w:rFonts w:ascii="Times New Roman" w:hAnsi="Times New Roman" w:cs="Times New Roman"/>
          <w:color w:val="000000" w:themeColor="text1"/>
          <w:sz w:val="24"/>
          <w:szCs w:val="24"/>
          <w:lang w:val="en-US"/>
        </w:rPr>
        <w:t>Gestion</w:t>
      </w:r>
      <w:proofErr w:type="spellEnd"/>
      <w:r w:rsidRPr="004A4AFB">
        <w:rPr>
          <w:rFonts w:ascii="Times New Roman" w:hAnsi="Times New Roman" w:cs="Times New Roman"/>
          <w:color w:val="000000" w:themeColor="text1"/>
          <w:sz w:val="24"/>
          <w:szCs w:val="24"/>
          <w:lang w:val="en-US"/>
        </w:rPr>
        <w:t xml:space="preserve"> </w:t>
      </w:r>
      <w:proofErr w:type="spellStart"/>
      <w:r w:rsidRPr="004A4AFB">
        <w:rPr>
          <w:rFonts w:ascii="Times New Roman" w:hAnsi="Times New Roman" w:cs="Times New Roman"/>
          <w:color w:val="000000" w:themeColor="text1"/>
          <w:sz w:val="24"/>
          <w:szCs w:val="24"/>
          <w:lang w:val="en-US"/>
        </w:rPr>
        <w:t>financière</w:t>
      </w:r>
      <w:proofErr w:type="spellEnd"/>
      <w:r w:rsidRPr="004A4AFB">
        <w:rPr>
          <w:rFonts w:ascii="Times New Roman" w:hAnsi="Times New Roman" w:cs="Times New Roman"/>
          <w:color w:val="000000" w:themeColor="text1"/>
          <w:sz w:val="24"/>
          <w:szCs w:val="24"/>
          <w:lang w:val="en-US"/>
        </w:rPr>
        <w:t xml:space="preserve"> (AFG)</w:t>
      </w:r>
      <w:r w:rsidRPr="004A4AFB">
        <w:rPr>
          <w:rFonts w:ascii="Times New Roman" w:hAnsi="Times New Roman" w:cs="Times New Roman"/>
          <w:color w:val="000000" w:themeColor="text1"/>
          <w:sz w:val="24"/>
          <w:szCs w:val="24"/>
          <w:vertAlign w:val="superscript"/>
          <w:lang w:val="en-US"/>
        </w:rPr>
        <w:t xml:space="preserve"> </w:t>
      </w:r>
      <w:r w:rsidRPr="004A4AFB">
        <w:rPr>
          <w:rFonts w:ascii="Times New Roman" w:hAnsi="Times New Roman" w:cs="Times New Roman"/>
          <w:color w:val="000000" w:themeColor="text1"/>
          <w:sz w:val="24"/>
          <w:szCs w:val="24"/>
          <w:vertAlign w:val="superscript"/>
        </w:rPr>
        <w:footnoteReference w:id="1"/>
      </w:r>
      <w:r w:rsidRPr="004A4AFB">
        <w:rPr>
          <w:rFonts w:ascii="Times New Roman" w:hAnsi="Times New Roman" w:cs="Times New Roman"/>
          <w:color w:val="000000" w:themeColor="text1"/>
          <w:sz w:val="24"/>
          <w:szCs w:val="24"/>
          <w:lang w:val="en-US"/>
        </w:rPr>
        <w:t xml:space="preserve">  is grateful to have the op</w:t>
      </w:r>
      <w:r w:rsidR="003C39BF" w:rsidRPr="004A4AFB">
        <w:rPr>
          <w:rFonts w:ascii="Times New Roman" w:hAnsi="Times New Roman" w:cs="Times New Roman"/>
          <w:color w:val="000000" w:themeColor="text1"/>
          <w:sz w:val="24"/>
          <w:szCs w:val="24"/>
          <w:lang w:val="en-US"/>
        </w:rPr>
        <w:t xml:space="preserve">portunity to </w:t>
      </w:r>
      <w:r w:rsidR="00BF5339" w:rsidRPr="004A4AFB">
        <w:rPr>
          <w:rFonts w:ascii="Times New Roman" w:hAnsi="Times New Roman" w:cs="Times New Roman"/>
          <w:color w:val="000000" w:themeColor="text1"/>
          <w:sz w:val="24"/>
          <w:szCs w:val="24"/>
          <w:lang w:val="en-US"/>
        </w:rPr>
        <w:t xml:space="preserve">respond to </w:t>
      </w:r>
      <w:r w:rsidR="003C39BF" w:rsidRPr="004A4AFB">
        <w:rPr>
          <w:rFonts w:ascii="Times New Roman" w:hAnsi="Times New Roman" w:cs="Times New Roman"/>
          <w:color w:val="000000" w:themeColor="text1"/>
          <w:sz w:val="24"/>
          <w:szCs w:val="24"/>
          <w:lang w:val="en-US"/>
        </w:rPr>
        <w:t xml:space="preserve">the </w:t>
      </w:r>
      <w:r w:rsidR="00686C54" w:rsidRPr="004A4AFB">
        <w:rPr>
          <w:rFonts w:ascii="Times New Roman" w:hAnsi="Times New Roman" w:cs="Times New Roman"/>
          <w:color w:val="000000" w:themeColor="text1"/>
          <w:sz w:val="24"/>
          <w:szCs w:val="24"/>
          <w:lang w:val="en-US"/>
        </w:rPr>
        <w:t>Joint Committee of the European Supervisory Authorities</w:t>
      </w:r>
      <w:r w:rsidRPr="004A4AFB">
        <w:rPr>
          <w:rFonts w:ascii="Times New Roman" w:hAnsi="Times New Roman" w:cs="Times New Roman"/>
          <w:color w:val="000000" w:themeColor="text1"/>
          <w:sz w:val="24"/>
          <w:szCs w:val="24"/>
          <w:lang w:val="en-US"/>
        </w:rPr>
        <w:t xml:space="preserve">’ consultation on </w:t>
      </w:r>
      <w:r w:rsidR="00AB2221" w:rsidRPr="004A4AFB">
        <w:rPr>
          <w:rFonts w:ascii="Times New Roman" w:hAnsi="Times New Roman" w:cs="Times New Roman"/>
          <w:color w:val="000000" w:themeColor="text1"/>
          <w:sz w:val="24"/>
          <w:szCs w:val="24"/>
          <w:lang w:val="en-US"/>
        </w:rPr>
        <w:t xml:space="preserve">the </w:t>
      </w:r>
      <w:r w:rsidR="00686C54" w:rsidRPr="004A4AFB">
        <w:rPr>
          <w:rFonts w:ascii="Times New Roman" w:hAnsi="Times New Roman" w:cs="Times New Roman"/>
          <w:color w:val="000000" w:themeColor="text1"/>
          <w:sz w:val="24"/>
          <w:szCs w:val="24"/>
          <w:lang w:val="en-US"/>
        </w:rPr>
        <w:t xml:space="preserve">assessment of the </w:t>
      </w:r>
      <w:r w:rsidR="00AB2221" w:rsidRPr="004A4AFB">
        <w:rPr>
          <w:rFonts w:ascii="Times New Roman" w:hAnsi="Times New Roman" w:cs="Times New Roman"/>
          <w:color w:val="000000" w:themeColor="text1"/>
          <w:sz w:val="24"/>
          <w:szCs w:val="24"/>
          <w:lang w:val="en-US"/>
        </w:rPr>
        <w:t>money laundering and terrorist financing risk</w:t>
      </w:r>
      <w:r w:rsidRPr="004A4AFB">
        <w:rPr>
          <w:rFonts w:ascii="Times New Roman" w:hAnsi="Times New Roman" w:cs="Times New Roman"/>
          <w:color w:val="000000" w:themeColor="text1"/>
          <w:sz w:val="24"/>
          <w:szCs w:val="24"/>
          <w:lang w:val="en-US"/>
        </w:rPr>
        <w:t xml:space="preserve">. </w:t>
      </w:r>
      <w:r w:rsidRPr="004A4AFB">
        <w:rPr>
          <w:rFonts w:ascii="Times New Roman" w:hAnsi="Times New Roman" w:cs="Times New Roman"/>
          <w:color w:val="000000" w:themeColor="text1"/>
          <w:sz w:val="24"/>
          <w:szCs w:val="24"/>
        </w:rPr>
        <w:t>AFG fully supports the authorities’ objective to</w:t>
      </w:r>
      <w:r w:rsidR="00413A21">
        <w:rPr>
          <w:rFonts w:ascii="Times New Roman" w:hAnsi="Times New Roman" w:cs="Times New Roman"/>
          <w:color w:val="000000" w:themeColor="text1"/>
          <w:sz w:val="24"/>
          <w:szCs w:val="24"/>
        </w:rPr>
        <w:t xml:space="preserve"> </w:t>
      </w:r>
      <w:r w:rsidR="00413A21" w:rsidRPr="00EA7BC9">
        <w:rPr>
          <w:rFonts w:ascii="Times New Roman" w:hAnsi="Times New Roman" w:cs="Times New Roman"/>
          <w:sz w:val="24"/>
          <w:szCs w:val="24"/>
          <w:lang w:val="en-US"/>
        </w:rPr>
        <w:t>to seek feedback</w:t>
      </w:r>
      <w:r w:rsidR="004265C7">
        <w:rPr>
          <w:rFonts w:ascii="Times New Roman" w:hAnsi="Times New Roman" w:cs="Times New Roman"/>
          <w:sz w:val="24"/>
          <w:szCs w:val="24"/>
          <w:lang w:val="en-US"/>
        </w:rPr>
        <w:t xml:space="preserve"> from the stakeholders on this</w:t>
      </w:r>
      <w:r w:rsidR="00413A21" w:rsidRPr="00EA7BC9">
        <w:rPr>
          <w:rFonts w:ascii="Times New Roman" w:hAnsi="Times New Roman" w:cs="Times New Roman"/>
          <w:sz w:val="24"/>
          <w:szCs w:val="24"/>
          <w:lang w:val="en-US"/>
        </w:rPr>
        <w:t xml:space="preserve"> </w:t>
      </w:r>
      <w:r w:rsidR="004265C7" w:rsidRPr="00EA7BC9">
        <w:rPr>
          <w:rFonts w:ascii="Times New Roman" w:hAnsi="Times New Roman" w:cs="Times New Roman"/>
          <w:sz w:val="24"/>
          <w:szCs w:val="24"/>
          <w:lang w:val="en-US"/>
        </w:rPr>
        <w:t>matter</w:t>
      </w:r>
      <w:r w:rsidR="004265C7">
        <w:rPr>
          <w:rFonts w:ascii="Times New Roman" w:hAnsi="Times New Roman" w:cs="Times New Roman"/>
          <w:sz w:val="24"/>
          <w:szCs w:val="24"/>
          <w:lang w:val="en-US"/>
        </w:rPr>
        <w:t>, which is of utmost importance</w:t>
      </w:r>
      <w:r w:rsidR="00413A21" w:rsidRPr="00EA7BC9">
        <w:rPr>
          <w:rFonts w:ascii="Times New Roman" w:hAnsi="Times New Roman" w:cs="Times New Roman"/>
          <w:sz w:val="24"/>
          <w:szCs w:val="24"/>
          <w:lang w:val="en-US"/>
        </w:rPr>
        <w:t>.</w:t>
      </w:r>
      <w:r w:rsidR="004265C7">
        <w:rPr>
          <w:rFonts w:ascii="Times New Roman" w:hAnsi="Times New Roman" w:cs="Times New Roman"/>
          <w:sz w:val="24"/>
          <w:szCs w:val="24"/>
          <w:lang w:val="en-US"/>
        </w:rPr>
        <w:t xml:space="preserve"> French asset managers are aware that they</w:t>
      </w:r>
      <w:r w:rsidR="006C2B89">
        <w:rPr>
          <w:rFonts w:ascii="Times New Roman" w:hAnsi="Times New Roman" w:cs="Times New Roman"/>
          <w:sz w:val="24"/>
          <w:szCs w:val="24"/>
          <w:lang w:val="en-US"/>
        </w:rPr>
        <w:t xml:space="preserve"> must fully participate to the fight again</w:t>
      </w:r>
      <w:r w:rsidR="007F30EA">
        <w:rPr>
          <w:rFonts w:ascii="Times New Roman" w:hAnsi="Times New Roman" w:cs="Times New Roman"/>
          <w:sz w:val="24"/>
          <w:szCs w:val="24"/>
          <w:lang w:val="en-US"/>
        </w:rPr>
        <w:t>st money laundering and terrori</w:t>
      </w:r>
      <w:r w:rsidR="00DE68CC">
        <w:rPr>
          <w:rFonts w:ascii="Times New Roman" w:hAnsi="Times New Roman" w:cs="Times New Roman"/>
          <w:sz w:val="24"/>
          <w:szCs w:val="24"/>
          <w:lang w:val="en-US"/>
        </w:rPr>
        <w:t>st financing</w:t>
      </w:r>
      <w:r w:rsidR="00A8247B">
        <w:rPr>
          <w:rFonts w:ascii="Times New Roman" w:hAnsi="Times New Roman" w:cs="Times New Roman"/>
          <w:sz w:val="24"/>
          <w:szCs w:val="24"/>
          <w:lang w:val="en-US"/>
        </w:rPr>
        <w:t xml:space="preserve"> and</w:t>
      </w:r>
      <w:r w:rsidR="00DE68CC">
        <w:rPr>
          <w:rFonts w:ascii="Times New Roman" w:hAnsi="Times New Roman" w:cs="Times New Roman"/>
          <w:sz w:val="24"/>
          <w:szCs w:val="24"/>
          <w:lang w:val="en-US"/>
        </w:rPr>
        <w:t xml:space="preserve"> AFG is playing a very active role in helping them to perform their duties.</w:t>
      </w:r>
    </w:p>
    <w:p w14:paraId="090574CE" w14:textId="294E8C30" w:rsidR="001C3207" w:rsidRPr="004A4AFB" w:rsidRDefault="009D3774"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As a preliminary comment,</w:t>
      </w:r>
      <w:r w:rsidR="00EE5205" w:rsidRPr="004A4AFB">
        <w:rPr>
          <w:rFonts w:ascii="Times New Roman" w:hAnsi="Times New Roman" w:cs="Times New Roman"/>
          <w:color w:val="000000" w:themeColor="text1"/>
          <w:sz w:val="24"/>
          <w:szCs w:val="24"/>
        </w:rPr>
        <w:t xml:space="preserve"> </w:t>
      </w:r>
      <w:r w:rsidR="00D1002F" w:rsidRPr="004A4AFB">
        <w:rPr>
          <w:rFonts w:ascii="Times New Roman" w:hAnsi="Times New Roman" w:cs="Times New Roman"/>
          <w:color w:val="000000" w:themeColor="text1"/>
          <w:sz w:val="24"/>
          <w:szCs w:val="24"/>
        </w:rPr>
        <w:t>it is worth recalling</w:t>
      </w:r>
      <w:r w:rsidR="00EE5205" w:rsidRPr="004A4AFB">
        <w:rPr>
          <w:rFonts w:ascii="Times New Roman" w:hAnsi="Times New Roman" w:cs="Times New Roman"/>
          <w:color w:val="000000" w:themeColor="text1"/>
          <w:sz w:val="24"/>
          <w:szCs w:val="24"/>
        </w:rPr>
        <w:t xml:space="preserve"> the principle </w:t>
      </w:r>
      <w:r w:rsidR="00884994" w:rsidRPr="004A4AFB">
        <w:rPr>
          <w:rFonts w:ascii="Times New Roman" w:hAnsi="Times New Roman" w:cs="Times New Roman"/>
          <w:color w:val="000000" w:themeColor="text1"/>
          <w:sz w:val="24"/>
          <w:szCs w:val="24"/>
        </w:rPr>
        <w:t>laid out</w:t>
      </w:r>
      <w:r w:rsidR="00EE5205" w:rsidRPr="004A4AFB">
        <w:rPr>
          <w:rFonts w:ascii="Times New Roman" w:hAnsi="Times New Roman" w:cs="Times New Roman"/>
          <w:color w:val="000000" w:themeColor="text1"/>
          <w:sz w:val="24"/>
          <w:szCs w:val="24"/>
        </w:rPr>
        <w:t xml:space="preserve"> by the Direc</w:t>
      </w:r>
      <w:r w:rsidR="00E81CD7" w:rsidRPr="004A4AFB">
        <w:rPr>
          <w:rFonts w:ascii="Times New Roman" w:hAnsi="Times New Roman" w:cs="Times New Roman"/>
          <w:color w:val="000000" w:themeColor="text1"/>
          <w:sz w:val="24"/>
          <w:szCs w:val="24"/>
        </w:rPr>
        <w:t xml:space="preserve">tive </w:t>
      </w:r>
      <w:r w:rsidR="00581810" w:rsidRPr="004A4AFB">
        <w:rPr>
          <w:rFonts w:ascii="Times New Roman" w:hAnsi="Times New Roman" w:cs="Times New Roman"/>
          <w:color w:val="000000" w:themeColor="text1"/>
          <w:sz w:val="24"/>
          <w:szCs w:val="24"/>
        </w:rPr>
        <w:t xml:space="preserve">allowing, upon justification provided by an EU management company, </w:t>
      </w:r>
      <w:r w:rsidR="00C713C4" w:rsidRPr="004A4AFB">
        <w:rPr>
          <w:rFonts w:ascii="Times New Roman" w:hAnsi="Times New Roman" w:cs="Times New Roman"/>
          <w:color w:val="000000" w:themeColor="text1"/>
          <w:sz w:val="24"/>
          <w:szCs w:val="24"/>
        </w:rPr>
        <w:t xml:space="preserve">a modulated </w:t>
      </w:r>
      <w:r w:rsidR="00EE5205" w:rsidRPr="004A4AFB">
        <w:rPr>
          <w:rFonts w:ascii="Times New Roman" w:hAnsi="Times New Roman" w:cs="Times New Roman"/>
          <w:color w:val="000000" w:themeColor="text1"/>
          <w:sz w:val="24"/>
          <w:szCs w:val="24"/>
        </w:rPr>
        <w:t>vigilance relying on a risk control. Hence</w:t>
      </w:r>
      <w:r w:rsidR="00E81CD7" w:rsidRPr="004A4AFB">
        <w:rPr>
          <w:rFonts w:ascii="Times New Roman" w:hAnsi="Times New Roman" w:cs="Times New Roman"/>
          <w:color w:val="000000" w:themeColor="text1"/>
          <w:sz w:val="24"/>
          <w:szCs w:val="24"/>
        </w:rPr>
        <w:t>,</w:t>
      </w:r>
      <w:r w:rsidR="00EE5205" w:rsidRPr="004A4AFB">
        <w:rPr>
          <w:rFonts w:ascii="Times New Roman" w:hAnsi="Times New Roman" w:cs="Times New Roman"/>
          <w:color w:val="000000" w:themeColor="text1"/>
          <w:sz w:val="24"/>
          <w:szCs w:val="24"/>
        </w:rPr>
        <w:t xml:space="preserve"> it is essential to </w:t>
      </w:r>
      <w:r w:rsidR="009B5924" w:rsidRPr="00026B61">
        <w:rPr>
          <w:rFonts w:ascii="Times New Roman" w:hAnsi="Times New Roman" w:cs="Times New Roman"/>
          <w:color w:val="000000" w:themeColor="text1"/>
          <w:sz w:val="24"/>
          <w:szCs w:val="24"/>
        </w:rPr>
        <w:t>give</w:t>
      </w:r>
      <w:r w:rsidR="00EE5205" w:rsidRPr="004A4AFB">
        <w:rPr>
          <w:rFonts w:ascii="Times New Roman" w:hAnsi="Times New Roman" w:cs="Times New Roman"/>
          <w:color w:val="000000" w:themeColor="text1"/>
          <w:sz w:val="24"/>
          <w:szCs w:val="24"/>
        </w:rPr>
        <w:t xml:space="preserve"> management companies the </w:t>
      </w:r>
      <w:r w:rsidR="00E81CD7" w:rsidRPr="004A4AFB">
        <w:rPr>
          <w:rFonts w:ascii="Times New Roman" w:hAnsi="Times New Roman" w:cs="Times New Roman"/>
          <w:color w:val="000000" w:themeColor="text1"/>
          <w:sz w:val="24"/>
          <w:szCs w:val="24"/>
        </w:rPr>
        <w:t>possibility</w:t>
      </w:r>
      <w:r w:rsidR="00EE5205" w:rsidRPr="004A4AFB">
        <w:rPr>
          <w:rFonts w:ascii="Times New Roman" w:hAnsi="Times New Roman" w:cs="Times New Roman"/>
          <w:color w:val="000000" w:themeColor="text1"/>
          <w:sz w:val="24"/>
          <w:szCs w:val="24"/>
        </w:rPr>
        <w:t xml:space="preserve"> to implement a scheme </w:t>
      </w:r>
      <w:r w:rsidR="005323F8">
        <w:rPr>
          <w:rFonts w:ascii="Times New Roman" w:hAnsi="Times New Roman" w:cs="Times New Roman"/>
          <w:color w:val="000000" w:themeColor="text1"/>
          <w:sz w:val="24"/>
          <w:szCs w:val="24"/>
        </w:rPr>
        <w:t xml:space="preserve">efficient, </w:t>
      </w:r>
      <w:r w:rsidR="00EE5205" w:rsidRPr="004A4AFB">
        <w:rPr>
          <w:rFonts w:ascii="Times New Roman" w:hAnsi="Times New Roman" w:cs="Times New Roman"/>
          <w:color w:val="000000" w:themeColor="text1"/>
          <w:sz w:val="24"/>
          <w:szCs w:val="24"/>
        </w:rPr>
        <w:t>adapted and</w:t>
      </w:r>
      <w:r w:rsidR="007C1A25" w:rsidRPr="004A4AFB">
        <w:rPr>
          <w:rFonts w:ascii="Times New Roman" w:hAnsi="Times New Roman" w:cs="Times New Roman"/>
          <w:color w:val="000000" w:themeColor="text1"/>
          <w:sz w:val="24"/>
          <w:szCs w:val="24"/>
        </w:rPr>
        <w:t xml:space="preserve"> proportionate</w:t>
      </w:r>
      <w:r w:rsidR="00EE5205" w:rsidRPr="004A4AFB">
        <w:rPr>
          <w:rFonts w:ascii="Times New Roman" w:hAnsi="Times New Roman" w:cs="Times New Roman"/>
          <w:color w:val="000000" w:themeColor="text1"/>
          <w:sz w:val="24"/>
          <w:szCs w:val="24"/>
        </w:rPr>
        <w:t xml:space="preserve"> to </w:t>
      </w:r>
      <w:r w:rsidR="004628A4" w:rsidRPr="004A4AFB">
        <w:rPr>
          <w:rFonts w:ascii="Times New Roman" w:hAnsi="Times New Roman" w:cs="Times New Roman"/>
          <w:color w:val="000000" w:themeColor="text1"/>
          <w:sz w:val="24"/>
          <w:szCs w:val="24"/>
        </w:rPr>
        <w:t>their</w:t>
      </w:r>
      <w:r w:rsidR="00EE5205" w:rsidRPr="004A4AFB">
        <w:rPr>
          <w:rFonts w:ascii="Times New Roman" w:hAnsi="Times New Roman" w:cs="Times New Roman"/>
          <w:color w:val="000000" w:themeColor="text1"/>
          <w:sz w:val="24"/>
          <w:szCs w:val="24"/>
        </w:rPr>
        <w:t xml:space="preserve"> activities and organisation, without </w:t>
      </w:r>
      <w:r w:rsidR="00A11178" w:rsidRPr="004A4AFB">
        <w:rPr>
          <w:rFonts w:ascii="Times New Roman" w:hAnsi="Times New Roman" w:cs="Times New Roman"/>
          <w:color w:val="000000" w:themeColor="text1"/>
          <w:sz w:val="24"/>
          <w:szCs w:val="24"/>
        </w:rPr>
        <w:t xml:space="preserve">requiring control </w:t>
      </w:r>
      <w:proofErr w:type="gramStart"/>
      <w:r w:rsidR="00A11178" w:rsidRPr="004A4AFB">
        <w:rPr>
          <w:rFonts w:ascii="Times New Roman" w:hAnsi="Times New Roman" w:cs="Times New Roman"/>
          <w:color w:val="000000" w:themeColor="text1"/>
          <w:sz w:val="24"/>
          <w:szCs w:val="24"/>
        </w:rPr>
        <w:t xml:space="preserve">modalities </w:t>
      </w:r>
      <w:r w:rsidR="009F6FC4" w:rsidRPr="004A4AFB">
        <w:rPr>
          <w:rFonts w:ascii="Times New Roman" w:hAnsi="Times New Roman" w:cs="Times New Roman"/>
          <w:color w:val="000000" w:themeColor="text1"/>
          <w:sz w:val="24"/>
          <w:szCs w:val="24"/>
        </w:rPr>
        <w:t>which</w:t>
      </w:r>
      <w:proofErr w:type="gramEnd"/>
      <w:r w:rsidR="00A11178" w:rsidRPr="004A4AFB">
        <w:rPr>
          <w:rFonts w:ascii="Times New Roman" w:hAnsi="Times New Roman" w:cs="Times New Roman"/>
          <w:color w:val="000000" w:themeColor="text1"/>
          <w:sz w:val="24"/>
          <w:szCs w:val="24"/>
        </w:rPr>
        <w:t xml:space="preserve"> would </w:t>
      </w:r>
      <w:r w:rsidR="009F6FC4" w:rsidRPr="004A4AFB">
        <w:rPr>
          <w:rFonts w:ascii="Times New Roman" w:hAnsi="Times New Roman" w:cs="Times New Roman"/>
          <w:color w:val="000000" w:themeColor="text1"/>
          <w:sz w:val="24"/>
          <w:szCs w:val="24"/>
        </w:rPr>
        <w:t>prove</w:t>
      </w:r>
      <w:r w:rsidR="00A11178" w:rsidRPr="004A4AFB">
        <w:rPr>
          <w:rFonts w:ascii="Times New Roman" w:hAnsi="Times New Roman" w:cs="Times New Roman"/>
          <w:color w:val="000000" w:themeColor="text1"/>
          <w:sz w:val="24"/>
          <w:szCs w:val="24"/>
        </w:rPr>
        <w:t xml:space="preserve"> disproportionate.</w:t>
      </w:r>
      <w:r w:rsidR="001C3207" w:rsidRPr="004A4AFB">
        <w:rPr>
          <w:rFonts w:ascii="Times New Roman" w:hAnsi="Times New Roman" w:cs="Times New Roman"/>
          <w:color w:val="000000" w:themeColor="text1"/>
          <w:sz w:val="24"/>
          <w:szCs w:val="24"/>
        </w:rPr>
        <w:br w:type="page"/>
      </w:r>
    </w:p>
    <w:p w14:paraId="315EB125" w14:textId="77777777" w:rsidR="00D765EC" w:rsidRPr="004A4AFB" w:rsidRDefault="00D765EC" w:rsidP="00A873A4">
      <w:pPr>
        <w:jc w:val="both"/>
        <w:rPr>
          <w:rFonts w:ascii="Times New Roman" w:hAnsi="Times New Roman" w:cs="Times New Roman"/>
          <w:color w:val="000000" w:themeColor="text1"/>
          <w:sz w:val="24"/>
          <w:szCs w:val="24"/>
          <w:highlight w:val="yellow"/>
        </w:rPr>
      </w:pPr>
    </w:p>
    <w:p w14:paraId="0318CFF1" w14:textId="50029D2C" w:rsidR="00E81CD7" w:rsidRPr="004A4AFB" w:rsidRDefault="00E81CD7"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u w:val="single"/>
        </w:rPr>
        <w:t>Sources of information</w:t>
      </w:r>
      <w:r w:rsidR="009D29AD" w:rsidRPr="004A4AFB">
        <w:rPr>
          <w:rFonts w:ascii="Times New Roman" w:hAnsi="Times New Roman" w:cs="Times New Roman"/>
          <w:color w:val="000000" w:themeColor="text1"/>
          <w:sz w:val="24"/>
          <w:szCs w:val="24"/>
        </w:rPr>
        <w:t xml:space="preserve"> n° 14 and following</w:t>
      </w:r>
    </w:p>
    <w:p w14:paraId="084E0B00" w14:textId="2C378353" w:rsidR="00E81CD7" w:rsidRPr="004A4AFB" w:rsidRDefault="00E81CD7"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The topic of sources of information is particular</w:t>
      </w:r>
      <w:r w:rsidR="00026B61">
        <w:rPr>
          <w:rFonts w:ascii="Times New Roman" w:hAnsi="Times New Roman" w:cs="Times New Roman"/>
          <w:color w:val="000000" w:themeColor="text1"/>
          <w:sz w:val="24"/>
          <w:szCs w:val="24"/>
        </w:rPr>
        <w:t>l</w:t>
      </w:r>
      <w:r w:rsidRPr="004A4AFB">
        <w:rPr>
          <w:rFonts w:ascii="Times New Roman" w:hAnsi="Times New Roman" w:cs="Times New Roman"/>
          <w:color w:val="000000" w:themeColor="text1"/>
          <w:sz w:val="24"/>
          <w:szCs w:val="24"/>
        </w:rPr>
        <w:t>y impor</w:t>
      </w:r>
      <w:r w:rsidR="00026B61">
        <w:rPr>
          <w:rFonts w:ascii="Times New Roman" w:hAnsi="Times New Roman" w:cs="Times New Roman"/>
          <w:color w:val="000000" w:themeColor="text1"/>
          <w:sz w:val="24"/>
          <w:szCs w:val="24"/>
        </w:rPr>
        <w:t xml:space="preserve">tant. The </w:t>
      </w:r>
      <w:r w:rsidR="005D7663">
        <w:rPr>
          <w:rFonts w:ascii="Times New Roman" w:hAnsi="Times New Roman" w:cs="Times New Roman"/>
          <w:color w:val="000000" w:themeColor="text1"/>
          <w:sz w:val="24"/>
          <w:szCs w:val="24"/>
        </w:rPr>
        <w:t>“bundled indicator”</w:t>
      </w:r>
      <w:r w:rsidR="000608A7" w:rsidRPr="004A4AFB">
        <w:rPr>
          <w:rFonts w:ascii="Times New Roman" w:hAnsi="Times New Roman" w:cs="Times New Roman"/>
          <w:color w:val="000000" w:themeColor="text1"/>
          <w:sz w:val="24"/>
          <w:szCs w:val="24"/>
        </w:rPr>
        <w:t xml:space="preserve"> method </w:t>
      </w:r>
      <w:r w:rsidRPr="004A4AFB">
        <w:rPr>
          <w:rFonts w:ascii="Times New Roman" w:hAnsi="Times New Roman" w:cs="Times New Roman"/>
          <w:color w:val="000000" w:themeColor="text1"/>
          <w:sz w:val="24"/>
          <w:szCs w:val="24"/>
        </w:rPr>
        <w:t>certainly is the most efficient.</w:t>
      </w:r>
    </w:p>
    <w:p w14:paraId="54EEBBCD" w14:textId="35AB5154" w:rsidR="00E81CD7" w:rsidRPr="004A4AFB" w:rsidRDefault="00E81CD7"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u w:val="single"/>
        </w:rPr>
        <w:t>Sources of information</w:t>
      </w:r>
      <w:r w:rsidRPr="004A4AFB">
        <w:rPr>
          <w:rFonts w:ascii="Times New Roman" w:hAnsi="Times New Roman" w:cs="Times New Roman"/>
          <w:color w:val="000000" w:themeColor="text1"/>
          <w:sz w:val="24"/>
          <w:szCs w:val="24"/>
        </w:rPr>
        <w:t xml:space="preserve"> n° 18</w:t>
      </w:r>
      <w:r w:rsidR="009D29AD" w:rsidRPr="004A4AFB">
        <w:rPr>
          <w:rFonts w:ascii="Times New Roman" w:hAnsi="Times New Roman" w:cs="Times New Roman"/>
          <w:color w:val="000000" w:themeColor="text1"/>
          <w:sz w:val="24"/>
          <w:szCs w:val="24"/>
        </w:rPr>
        <w:t xml:space="preserve"> and following</w:t>
      </w:r>
    </w:p>
    <w:p w14:paraId="32A7498D" w14:textId="77777777" w:rsidR="00CB63D9" w:rsidRPr="004A4AFB" w:rsidRDefault="00CB63D9"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Does the customer or beneficial owner have links to sectors that are associated with higher corruption risk, such as construction, pharmaceuticals and healthcare, arms trade and </w:t>
      </w:r>
      <w:r w:rsidR="000E236B" w:rsidRPr="004A4AFB">
        <w:rPr>
          <w:rFonts w:ascii="Times New Roman" w:hAnsi="Times New Roman" w:cs="Times New Roman"/>
          <w:b/>
          <w:color w:val="000000" w:themeColor="text1"/>
          <w:sz w:val="24"/>
          <w:szCs w:val="24"/>
          <w:lang w:val="en-US"/>
        </w:rPr>
        <w:t>defense</w:t>
      </w:r>
      <w:r w:rsidRPr="004A4AFB">
        <w:rPr>
          <w:rFonts w:ascii="Times New Roman" w:hAnsi="Times New Roman" w:cs="Times New Roman"/>
          <w:b/>
          <w:color w:val="000000" w:themeColor="text1"/>
          <w:sz w:val="24"/>
          <w:szCs w:val="24"/>
          <w:lang w:val="en-US"/>
        </w:rPr>
        <w:t>, extractive industries and public procurement? (n°19- 1)</w:t>
      </w:r>
    </w:p>
    <w:p w14:paraId="56BD74AC" w14:textId="77777777" w:rsidR="00CB63D9" w:rsidRPr="004A4AFB" w:rsidRDefault="00CB63D9" w:rsidP="00A873A4">
      <w:pPr>
        <w:autoSpaceDE w:val="0"/>
        <w:autoSpaceDN w:val="0"/>
        <w:adjustRightInd w:val="0"/>
        <w:spacing w:after="0"/>
        <w:jc w:val="both"/>
        <w:rPr>
          <w:rFonts w:ascii="Times New Roman" w:hAnsi="Times New Roman" w:cs="Times New Roman"/>
          <w:color w:val="000000" w:themeColor="text1"/>
          <w:sz w:val="24"/>
          <w:szCs w:val="24"/>
          <w:lang w:val="en-US"/>
        </w:rPr>
      </w:pPr>
    </w:p>
    <w:p w14:paraId="62A2AF90" w14:textId="6613FB5C" w:rsidR="00E81CD7" w:rsidRPr="004A4AFB" w:rsidRDefault="00940363"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The sectors listed</w:t>
      </w:r>
      <w:r w:rsidR="00E81CD7" w:rsidRPr="004A4AFB">
        <w:rPr>
          <w:rFonts w:ascii="Times New Roman" w:hAnsi="Times New Roman" w:cs="Times New Roman"/>
          <w:color w:val="000000" w:themeColor="text1"/>
          <w:sz w:val="24"/>
          <w:szCs w:val="24"/>
        </w:rPr>
        <w:t xml:space="preserve"> </w:t>
      </w:r>
      <w:r w:rsidR="00F92AAA" w:rsidRPr="004A4AFB">
        <w:rPr>
          <w:rFonts w:ascii="Times New Roman" w:hAnsi="Times New Roman" w:cs="Times New Roman"/>
          <w:color w:val="000000" w:themeColor="text1"/>
          <w:sz w:val="24"/>
          <w:szCs w:val="24"/>
        </w:rPr>
        <w:t xml:space="preserve">here </w:t>
      </w:r>
      <w:r w:rsidRPr="004A4AFB">
        <w:rPr>
          <w:rFonts w:ascii="Times New Roman" w:hAnsi="Times New Roman" w:cs="Times New Roman"/>
          <w:color w:val="000000" w:themeColor="text1"/>
          <w:sz w:val="24"/>
          <w:szCs w:val="24"/>
        </w:rPr>
        <w:t>encompass</w:t>
      </w:r>
      <w:r w:rsidR="001E2D74" w:rsidRPr="004A4AFB">
        <w:rPr>
          <w:rFonts w:ascii="Times New Roman" w:hAnsi="Times New Roman" w:cs="Times New Roman"/>
          <w:color w:val="000000" w:themeColor="text1"/>
          <w:sz w:val="24"/>
          <w:szCs w:val="24"/>
        </w:rPr>
        <w:t xml:space="preserve"> </w:t>
      </w:r>
      <w:r w:rsidRPr="004A4AFB">
        <w:rPr>
          <w:rFonts w:ascii="Times New Roman" w:hAnsi="Times New Roman" w:cs="Times New Roman"/>
          <w:color w:val="000000" w:themeColor="text1"/>
          <w:sz w:val="24"/>
          <w:szCs w:val="24"/>
        </w:rPr>
        <w:t xml:space="preserve">too widely </w:t>
      </w:r>
      <w:r w:rsidR="00E81CD7" w:rsidRPr="004A4AFB">
        <w:rPr>
          <w:rFonts w:ascii="Times New Roman" w:hAnsi="Times New Roman" w:cs="Times New Roman"/>
          <w:color w:val="000000" w:themeColor="text1"/>
          <w:sz w:val="24"/>
          <w:szCs w:val="24"/>
        </w:rPr>
        <w:t xml:space="preserve">entire economic areas. Even though it is indeed </w:t>
      </w:r>
      <w:r w:rsidR="006E7DB3">
        <w:rPr>
          <w:rFonts w:ascii="Times New Roman" w:hAnsi="Times New Roman" w:cs="Times New Roman"/>
          <w:color w:val="000000" w:themeColor="text1"/>
          <w:sz w:val="24"/>
          <w:szCs w:val="24"/>
        </w:rPr>
        <w:t xml:space="preserve">relevant to properly </w:t>
      </w:r>
      <w:proofErr w:type="gramStart"/>
      <w:r w:rsidR="006E7DB3">
        <w:rPr>
          <w:rFonts w:ascii="Times New Roman" w:hAnsi="Times New Roman" w:cs="Times New Roman"/>
          <w:color w:val="000000" w:themeColor="text1"/>
          <w:sz w:val="24"/>
          <w:szCs w:val="24"/>
        </w:rPr>
        <w:t>take this criterion</w:t>
      </w:r>
      <w:r w:rsidR="00E81CD7" w:rsidRPr="004A4AFB">
        <w:rPr>
          <w:rFonts w:ascii="Times New Roman" w:hAnsi="Times New Roman" w:cs="Times New Roman"/>
          <w:color w:val="000000" w:themeColor="text1"/>
          <w:sz w:val="24"/>
          <w:szCs w:val="24"/>
        </w:rPr>
        <w:t xml:space="preserve"> into account</w:t>
      </w:r>
      <w:proofErr w:type="gramEnd"/>
      <w:r w:rsidR="00E81CD7" w:rsidRPr="004A4AFB">
        <w:rPr>
          <w:rFonts w:ascii="Times New Roman" w:hAnsi="Times New Roman" w:cs="Times New Roman"/>
          <w:color w:val="000000" w:themeColor="text1"/>
          <w:sz w:val="24"/>
          <w:szCs w:val="24"/>
        </w:rPr>
        <w:t xml:space="preserve">, the latter </w:t>
      </w:r>
      <w:r w:rsidRPr="004A4AFB">
        <w:rPr>
          <w:rFonts w:ascii="Times New Roman" w:hAnsi="Times New Roman" w:cs="Times New Roman"/>
          <w:color w:val="000000" w:themeColor="text1"/>
          <w:sz w:val="24"/>
          <w:szCs w:val="24"/>
        </w:rPr>
        <w:t>can</w:t>
      </w:r>
      <w:r w:rsidR="00E81CD7" w:rsidRPr="004A4AFB">
        <w:rPr>
          <w:rFonts w:ascii="Times New Roman" w:hAnsi="Times New Roman" w:cs="Times New Roman"/>
          <w:color w:val="000000" w:themeColor="text1"/>
          <w:sz w:val="24"/>
          <w:szCs w:val="24"/>
        </w:rPr>
        <w:t xml:space="preserve">not on its own be sufficient to consider as risky all the companies in the sectors listed.    </w:t>
      </w:r>
    </w:p>
    <w:p w14:paraId="3A4B0A0E" w14:textId="77777777" w:rsidR="00CB63D9" w:rsidRPr="004A4AFB" w:rsidRDefault="00CB63D9" w:rsidP="00A873A4">
      <w:pPr>
        <w:autoSpaceDE w:val="0"/>
        <w:autoSpaceDN w:val="0"/>
        <w:adjustRightInd w:val="0"/>
        <w:spacing w:after="0"/>
        <w:jc w:val="both"/>
        <w:rPr>
          <w:rFonts w:ascii="Times New Roman" w:hAnsi="Times New Roman" w:cs="Times New Roman"/>
          <w:color w:val="000000" w:themeColor="text1"/>
          <w:sz w:val="24"/>
          <w:szCs w:val="24"/>
        </w:rPr>
      </w:pPr>
    </w:p>
    <w:p w14:paraId="6BCD9D17" w14:textId="77777777" w:rsidR="00FC0A47" w:rsidRPr="004A4AFB" w:rsidRDefault="00FC0A47" w:rsidP="00A873A4">
      <w:pPr>
        <w:pStyle w:val="Default"/>
        <w:numPr>
          <w:ilvl w:val="0"/>
          <w:numId w:val="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Does the customer have political connections, for example, are they a Politically Exposed Person (PEP), or is their beneficial owner </w:t>
      </w:r>
      <w:proofErr w:type="gramStart"/>
      <w:r w:rsidRPr="004A4AFB">
        <w:rPr>
          <w:rFonts w:ascii="Times New Roman" w:hAnsi="Times New Roman" w:cs="Times New Roman"/>
          <w:b/>
          <w:color w:val="000000" w:themeColor="text1"/>
          <w:lang w:val="en-US"/>
        </w:rPr>
        <w:t>a PEP</w:t>
      </w:r>
      <w:proofErr w:type="gramEnd"/>
      <w:r w:rsidRPr="004A4AFB">
        <w:rPr>
          <w:rFonts w:ascii="Times New Roman" w:hAnsi="Times New Roman" w:cs="Times New Roman"/>
          <w:b/>
          <w:color w:val="000000" w:themeColor="text1"/>
          <w:lang w:val="en-US"/>
        </w:rPr>
        <w:t xml:space="preserve">? Does the customer or beneficial owner have any other relevant links to a PEP, for example, are any of the customer’s directors PEPs and if so, do these PEPs exercise significant control over the customer or beneficial owner? Where a customer or their beneficial owner is </w:t>
      </w:r>
      <w:proofErr w:type="gramStart"/>
      <w:r w:rsidRPr="004A4AFB">
        <w:rPr>
          <w:rFonts w:ascii="Times New Roman" w:hAnsi="Times New Roman" w:cs="Times New Roman"/>
          <w:b/>
          <w:color w:val="000000" w:themeColor="text1"/>
          <w:lang w:val="en-US"/>
        </w:rPr>
        <w:t>a PEP</w:t>
      </w:r>
      <w:proofErr w:type="gramEnd"/>
      <w:r w:rsidRPr="004A4AFB">
        <w:rPr>
          <w:rFonts w:ascii="Times New Roman" w:hAnsi="Times New Roman" w:cs="Times New Roman"/>
          <w:b/>
          <w:color w:val="000000" w:themeColor="text1"/>
          <w:lang w:val="en-US"/>
        </w:rPr>
        <w:t>, firms must always apply enhanced due diligence measures in line with Article 20 of Directive (EU) 2015/849. (n°19- 5)</w:t>
      </w:r>
    </w:p>
    <w:p w14:paraId="4A106BAC" w14:textId="77777777" w:rsidR="00FC0A47" w:rsidRPr="004A4AFB" w:rsidRDefault="00FC0A47" w:rsidP="00A873A4">
      <w:pPr>
        <w:pStyle w:val="Paragraphedeliste"/>
        <w:autoSpaceDE w:val="0"/>
        <w:autoSpaceDN w:val="0"/>
        <w:adjustRightInd w:val="0"/>
        <w:spacing w:after="0"/>
        <w:jc w:val="both"/>
        <w:rPr>
          <w:rFonts w:ascii="Times New Roman" w:hAnsi="Times New Roman" w:cs="Times New Roman"/>
          <w:b/>
          <w:color w:val="000000" w:themeColor="text1"/>
          <w:sz w:val="24"/>
          <w:szCs w:val="24"/>
          <w:lang w:val="en-US"/>
        </w:rPr>
      </w:pPr>
    </w:p>
    <w:p w14:paraId="5FA789EF" w14:textId="60F4E88E" w:rsidR="00E81CD7" w:rsidRPr="004A4AFB" w:rsidRDefault="0005559E"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A global </w:t>
      </w:r>
      <w:r w:rsidR="00E81CD7" w:rsidRPr="004A4AFB">
        <w:rPr>
          <w:rFonts w:ascii="Times New Roman" w:hAnsi="Times New Roman" w:cs="Times New Roman"/>
          <w:color w:val="000000" w:themeColor="text1"/>
          <w:sz w:val="24"/>
          <w:szCs w:val="24"/>
        </w:rPr>
        <w:t xml:space="preserve">search </w:t>
      </w:r>
      <w:r w:rsidRPr="004A4AFB">
        <w:rPr>
          <w:rFonts w:ascii="Times New Roman" w:hAnsi="Times New Roman" w:cs="Times New Roman"/>
          <w:color w:val="000000" w:themeColor="text1"/>
          <w:sz w:val="24"/>
          <w:szCs w:val="24"/>
        </w:rPr>
        <w:t>for</w:t>
      </w:r>
      <w:r w:rsidR="00E81CD7" w:rsidRPr="004A4AFB">
        <w:rPr>
          <w:rFonts w:ascii="Times New Roman" w:hAnsi="Times New Roman" w:cs="Times New Roman"/>
          <w:color w:val="000000" w:themeColor="text1"/>
          <w:sz w:val="24"/>
          <w:szCs w:val="24"/>
        </w:rPr>
        <w:t xml:space="preserve"> PEPs </w:t>
      </w:r>
      <w:r w:rsidR="009A5C78" w:rsidRPr="004A4AFB">
        <w:rPr>
          <w:rFonts w:ascii="Times New Roman" w:hAnsi="Times New Roman" w:cs="Times New Roman"/>
          <w:color w:val="000000" w:themeColor="text1"/>
          <w:sz w:val="24"/>
          <w:szCs w:val="24"/>
        </w:rPr>
        <w:t xml:space="preserve">in </w:t>
      </w:r>
      <w:r w:rsidR="0023068A" w:rsidRPr="004A4AFB">
        <w:rPr>
          <w:rFonts w:ascii="Times New Roman" w:hAnsi="Times New Roman" w:cs="Times New Roman"/>
          <w:color w:val="000000" w:themeColor="text1"/>
          <w:sz w:val="24"/>
          <w:szCs w:val="24"/>
        </w:rPr>
        <w:t xml:space="preserve">the </w:t>
      </w:r>
      <w:r w:rsidR="009A5C78" w:rsidRPr="004A4AFB">
        <w:rPr>
          <w:rFonts w:ascii="Times New Roman" w:hAnsi="Times New Roman" w:cs="Times New Roman"/>
          <w:color w:val="000000" w:themeColor="text1"/>
          <w:sz w:val="24"/>
          <w:szCs w:val="24"/>
        </w:rPr>
        <w:t>board</w:t>
      </w:r>
      <w:r w:rsidR="0023068A" w:rsidRPr="004A4AFB">
        <w:rPr>
          <w:rFonts w:ascii="Times New Roman" w:hAnsi="Times New Roman" w:cs="Times New Roman"/>
          <w:color w:val="000000" w:themeColor="text1"/>
          <w:sz w:val="24"/>
          <w:szCs w:val="24"/>
        </w:rPr>
        <w:t>s</w:t>
      </w:r>
      <w:r w:rsidR="009A5C78" w:rsidRPr="004A4AFB">
        <w:rPr>
          <w:rFonts w:ascii="Times New Roman" w:hAnsi="Times New Roman" w:cs="Times New Roman"/>
          <w:color w:val="000000" w:themeColor="text1"/>
          <w:sz w:val="24"/>
          <w:szCs w:val="24"/>
        </w:rPr>
        <w:t xml:space="preserve"> of dir</w:t>
      </w:r>
      <w:r w:rsidR="00902EB7">
        <w:rPr>
          <w:rFonts w:ascii="Times New Roman" w:hAnsi="Times New Roman" w:cs="Times New Roman"/>
          <w:color w:val="000000" w:themeColor="text1"/>
          <w:sz w:val="24"/>
          <w:szCs w:val="24"/>
        </w:rPr>
        <w:t>ectors or supervisory boards (“directors”</w:t>
      </w:r>
      <w:r w:rsidR="009A5C78" w:rsidRPr="004A4AFB">
        <w:rPr>
          <w:rFonts w:ascii="Times New Roman" w:hAnsi="Times New Roman" w:cs="Times New Roman"/>
          <w:color w:val="000000" w:themeColor="text1"/>
          <w:sz w:val="24"/>
          <w:szCs w:val="24"/>
        </w:rPr>
        <w:t xml:space="preserve">) of clients seems a particularly </w:t>
      </w:r>
      <w:r w:rsidR="0023068A" w:rsidRPr="004A4AFB">
        <w:rPr>
          <w:rFonts w:ascii="Times New Roman" w:hAnsi="Times New Roman" w:cs="Times New Roman"/>
          <w:color w:val="000000" w:themeColor="text1"/>
          <w:sz w:val="24"/>
          <w:szCs w:val="24"/>
        </w:rPr>
        <w:t>heavy</w:t>
      </w:r>
      <w:r w:rsidR="009A5C78" w:rsidRPr="004A4AFB">
        <w:rPr>
          <w:rFonts w:ascii="Times New Roman" w:hAnsi="Times New Roman" w:cs="Times New Roman"/>
          <w:color w:val="000000" w:themeColor="text1"/>
          <w:sz w:val="24"/>
          <w:szCs w:val="24"/>
        </w:rPr>
        <w:t xml:space="preserve"> requirement. However</w:t>
      </w:r>
      <w:r w:rsidR="0023068A" w:rsidRPr="004A4AFB">
        <w:rPr>
          <w:rFonts w:ascii="Times New Roman" w:hAnsi="Times New Roman" w:cs="Times New Roman"/>
          <w:color w:val="000000" w:themeColor="text1"/>
          <w:sz w:val="24"/>
          <w:szCs w:val="24"/>
        </w:rPr>
        <w:t>,</w:t>
      </w:r>
      <w:r w:rsidR="009A5C78" w:rsidRPr="004A4AFB">
        <w:rPr>
          <w:rFonts w:ascii="Times New Roman" w:hAnsi="Times New Roman" w:cs="Times New Roman"/>
          <w:color w:val="000000" w:themeColor="text1"/>
          <w:sz w:val="24"/>
          <w:szCs w:val="24"/>
        </w:rPr>
        <w:t xml:space="preserve"> </w:t>
      </w:r>
      <w:r w:rsidRPr="004A4AFB">
        <w:rPr>
          <w:rFonts w:ascii="Times New Roman" w:hAnsi="Times New Roman" w:cs="Times New Roman"/>
          <w:color w:val="000000" w:themeColor="text1"/>
          <w:sz w:val="24"/>
          <w:szCs w:val="24"/>
        </w:rPr>
        <w:t xml:space="preserve">the </w:t>
      </w:r>
      <w:r w:rsidR="00902EB7">
        <w:rPr>
          <w:rFonts w:ascii="Times New Roman" w:hAnsi="Times New Roman" w:cs="Times New Roman"/>
          <w:color w:val="000000" w:themeColor="text1"/>
          <w:sz w:val="24"/>
          <w:szCs w:val="24"/>
        </w:rPr>
        <w:t>search for PEPs among “directors”</w:t>
      </w:r>
      <w:r w:rsidR="009A5C78" w:rsidRPr="004A4AFB">
        <w:rPr>
          <w:rFonts w:ascii="Times New Roman" w:hAnsi="Times New Roman" w:cs="Times New Roman"/>
          <w:color w:val="000000" w:themeColor="text1"/>
          <w:sz w:val="24"/>
          <w:szCs w:val="24"/>
        </w:rPr>
        <w:t xml:space="preserve"> of clients is justified in the absence of a beneficial owner.</w:t>
      </w:r>
    </w:p>
    <w:p w14:paraId="50625233" w14:textId="77777777" w:rsidR="00DE51AD" w:rsidRPr="004A4AFB" w:rsidRDefault="00DE51AD" w:rsidP="00A873A4">
      <w:pPr>
        <w:autoSpaceDE w:val="0"/>
        <w:autoSpaceDN w:val="0"/>
        <w:adjustRightInd w:val="0"/>
        <w:spacing w:after="0"/>
        <w:jc w:val="both"/>
        <w:rPr>
          <w:rFonts w:ascii="Times New Roman" w:hAnsi="Times New Roman" w:cs="Times New Roman"/>
          <w:color w:val="000000" w:themeColor="text1"/>
          <w:sz w:val="24"/>
          <w:szCs w:val="24"/>
        </w:rPr>
      </w:pPr>
    </w:p>
    <w:p w14:paraId="60FF6D29" w14:textId="77777777" w:rsidR="00D807F4" w:rsidRPr="004A4AFB" w:rsidRDefault="00D807F4" w:rsidP="00A873A4">
      <w:pPr>
        <w:pStyle w:val="Default"/>
        <w:numPr>
          <w:ilvl w:val="0"/>
          <w:numId w:val="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Is the customer’s or their beneficial owner’s background consistent with what the firm knows about their former, current or planned business activity, their business’ turnover, the source of funds and the customer’s or beneficial owner’s source of wealth?  (n°19- 10)</w:t>
      </w:r>
    </w:p>
    <w:p w14:paraId="420B9F60" w14:textId="77777777" w:rsidR="00D807F4" w:rsidRPr="004A4AFB" w:rsidRDefault="00D807F4" w:rsidP="00A873A4">
      <w:pPr>
        <w:autoSpaceDE w:val="0"/>
        <w:autoSpaceDN w:val="0"/>
        <w:adjustRightInd w:val="0"/>
        <w:spacing w:after="0"/>
        <w:jc w:val="both"/>
        <w:rPr>
          <w:rFonts w:ascii="Times New Roman" w:hAnsi="Times New Roman" w:cs="Times New Roman"/>
          <w:color w:val="000000" w:themeColor="text1"/>
          <w:sz w:val="24"/>
          <w:szCs w:val="24"/>
        </w:rPr>
      </w:pPr>
    </w:p>
    <w:p w14:paraId="130DE7E8" w14:textId="2C40803C" w:rsidR="0005559E" w:rsidRPr="004A4AFB" w:rsidRDefault="0005559E"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The proposed provisions seem unrealistic to us: not only </w:t>
      </w:r>
      <w:r w:rsidR="00EF385F" w:rsidRPr="004A4AFB">
        <w:rPr>
          <w:rFonts w:ascii="Times New Roman" w:hAnsi="Times New Roman" w:cs="Times New Roman"/>
          <w:color w:val="000000" w:themeColor="text1"/>
          <w:sz w:val="24"/>
          <w:szCs w:val="24"/>
        </w:rPr>
        <w:t>is</w:t>
      </w:r>
      <w:r w:rsidR="00343A3D" w:rsidRPr="004A4AFB">
        <w:rPr>
          <w:rFonts w:ascii="Times New Roman" w:hAnsi="Times New Roman" w:cs="Times New Roman"/>
          <w:color w:val="000000" w:themeColor="text1"/>
          <w:sz w:val="24"/>
          <w:szCs w:val="24"/>
        </w:rPr>
        <w:t xml:space="preserve"> </w:t>
      </w:r>
      <w:r w:rsidRPr="004A4AFB">
        <w:rPr>
          <w:rFonts w:ascii="Times New Roman" w:hAnsi="Times New Roman" w:cs="Times New Roman"/>
          <w:color w:val="000000" w:themeColor="text1"/>
          <w:sz w:val="24"/>
          <w:szCs w:val="24"/>
        </w:rPr>
        <w:t xml:space="preserve">the collection of such type of prospective data from clients </w:t>
      </w:r>
      <w:r w:rsidR="00EF385F" w:rsidRPr="004A4AFB">
        <w:rPr>
          <w:rFonts w:ascii="Times New Roman" w:hAnsi="Times New Roman" w:cs="Times New Roman"/>
          <w:color w:val="000000" w:themeColor="text1"/>
          <w:sz w:val="24"/>
          <w:szCs w:val="24"/>
        </w:rPr>
        <w:t xml:space="preserve">likely to </w:t>
      </w:r>
      <w:r w:rsidRPr="004A4AFB">
        <w:rPr>
          <w:rFonts w:ascii="Times New Roman" w:hAnsi="Times New Roman" w:cs="Times New Roman"/>
          <w:color w:val="000000" w:themeColor="text1"/>
          <w:sz w:val="24"/>
          <w:szCs w:val="24"/>
        </w:rPr>
        <w:t xml:space="preserve">prove difficult but also, even though </w:t>
      </w:r>
      <w:r w:rsidR="00292755" w:rsidRPr="004A4AFB">
        <w:rPr>
          <w:rFonts w:ascii="Times New Roman" w:hAnsi="Times New Roman" w:cs="Times New Roman"/>
          <w:color w:val="000000" w:themeColor="text1"/>
          <w:sz w:val="24"/>
          <w:szCs w:val="24"/>
        </w:rPr>
        <w:t xml:space="preserve">the </w:t>
      </w:r>
      <w:r w:rsidR="0023068A" w:rsidRPr="004A4AFB">
        <w:rPr>
          <w:rFonts w:ascii="Times New Roman" w:hAnsi="Times New Roman" w:cs="Times New Roman"/>
          <w:color w:val="000000" w:themeColor="text1"/>
          <w:sz w:val="24"/>
          <w:szCs w:val="24"/>
        </w:rPr>
        <w:t>management compan</w:t>
      </w:r>
      <w:r w:rsidR="00292755" w:rsidRPr="004A4AFB">
        <w:rPr>
          <w:rFonts w:ascii="Times New Roman" w:hAnsi="Times New Roman" w:cs="Times New Roman"/>
          <w:color w:val="000000" w:themeColor="text1"/>
          <w:sz w:val="24"/>
          <w:szCs w:val="24"/>
        </w:rPr>
        <w:t>y</w:t>
      </w:r>
      <w:r w:rsidRPr="004A4AFB">
        <w:rPr>
          <w:rFonts w:ascii="Times New Roman" w:hAnsi="Times New Roman" w:cs="Times New Roman"/>
          <w:color w:val="000000" w:themeColor="text1"/>
          <w:sz w:val="24"/>
          <w:szCs w:val="24"/>
        </w:rPr>
        <w:t xml:space="preserve"> </w:t>
      </w:r>
      <w:r w:rsidR="00EF385F" w:rsidRPr="004A4AFB">
        <w:rPr>
          <w:rFonts w:ascii="Times New Roman" w:hAnsi="Times New Roman" w:cs="Times New Roman"/>
          <w:color w:val="000000" w:themeColor="text1"/>
          <w:sz w:val="24"/>
          <w:szCs w:val="24"/>
        </w:rPr>
        <w:t>might</w:t>
      </w:r>
      <w:r w:rsidRPr="004A4AFB">
        <w:rPr>
          <w:rFonts w:ascii="Times New Roman" w:hAnsi="Times New Roman" w:cs="Times New Roman"/>
          <w:color w:val="000000" w:themeColor="text1"/>
          <w:sz w:val="24"/>
          <w:szCs w:val="24"/>
        </w:rPr>
        <w:t xml:space="preserve"> obtain </w:t>
      </w:r>
      <w:r w:rsidR="00343A3D" w:rsidRPr="004A4AFB">
        <w:rPr>
          <w:rFonts w:ascii="Times New Roman" w:hAnsi="Times New Roman" w:cs="Times New Roman"/>
          <w:color w:val="000000" w:themeColor="text1"/>
          <w:sz w:val="24"/>
          <w:szCs w:val="24"/>
        </w:rPr>
        <w:t>the</w:t>
      </w:r>
      <w:r w:rsidRPr="004A4AFB">
        <w:rPr>
          <w:rFonts w:ascii="Times New Roman" w:hAnsi="Times New Roman" w:cs="Times New Roman"/>
          <w:color w:val="000000" w:themeColor="text1"/>
          <w:sz w:val="24"/>
          <w:szCs w:val="24"/>
        </w:rPr>
        <w:t xml:space="preserve"> planned business activity and business’ turnover from </w:t>
      </w:r>
      <w:r w:rsidR="00292755" w:rsidRPr="004A4AFB">
        <w:rPr>
          <w:rFonts w:ascii="Times New Roman" w:hAnsi="Times New Roman" w:cs="Times New Roman"/>
          <w:color w:val="000000" w:themeColor="text1"/>
          <w:sz w:val="24"/>
          <w:szCs w:val="24"/>
        </w:rPr>
        <w:t>its</w:t>
      </w:r>
      <w:r w:rsidR="00DE6F6D" w:rsidRPr="004A4AFB">
        <w:rPr>
          <w:rFonts w:ascii="Times New Roman" w:hAnsi="Times New Roman" w:cs="Times New Roman"/>
          <w:color w:val="000000" w:themeColor="text1"/>
          <w:sz w:val="24"/>
          <w:szCs w:val="24"/>
        </w:rPr>
        <w:t xml:space="preserve"> </w:t>
      </w:r>
      <w:r w:rsidRPr="004A4AFB">
        <w:rPr>
          <w:rFonts w:ascii="Times New Roman" w:hAnsi="Times New Roman" w:cs="Times New Roman"/>
          <w:color w:val="000000" w:themeColor="text1"/>
          <w:sz w:val="24"/>
          <w:szCs w:val="24"/>
        </w:rPr>
        <w:t>client, such</w:t>
      </w:r>
      <w:r w:rsidR="00F76F29">
        <w:rPr>
          <w:rFonts w:ascii="Times New Roman" w:hAnsi="Times New Roman" w:cs="Times New Roman"/>
          <w:color w:val="000000" w:themeColor="text1"/>
          <w:sz w:val="24"/>
          <w:szCs w:val="24"/>
        </w:rPr>
        <w:t xml:space="preserve"> information would only be of a</w:t>
      </w:r>
      <w:r w:rsidRPr="004A4AFB">
        <w:rPr>
          <w:rFonts w:ascii="Times New Roman" w:hAnsi="Times New Roman" w:cs="Times New Roman"/>
          <w:color w:val="000000" w:themeColor="text1"/>
          <w:sz w:val="24"/>
          <w:szCs w:val="24"/>
        </w:rPr>
        <w:t xml:space="preserve"> hypothetical nature.</w:t>
      </w:r>
    </w:p>
    <w:p w14:paraId="1146AC56" w14:textId="77777777" w:rsidR="00D807F4" w:rsidRPr="004A4AFB" w:rsidRDefault="00D807F4" w:rsidP="00A873A4">
      <w:pPr>
        <w:autoSpaceDE w:val="0"/>
        <w:autoSpaceDN w:val="0"/>
        <w:adjustRightInd w:val="0"/>
        <w:spacing w:after="0"/>
        <w:jc w:val="both"/>
        <w:rPr>
          <w:rFonts w:ascii="Times New Roman" w:hAnsi="Times New Roman" w:cs="Times New Roman"/>
          <w:color w:val="000000" w:themeColor="text1"/>
          <w:sz w:val="24"/>
          <w:szCs w:val="24"/>
        </w:rPr>
      </w:pPr>
    </w:p>
    <w:p w14:paraId="5F4E06F4" w14:textId="77777777" w:rsidR="00444700" w:rsidRPr="004A4AFB" w:rsidRDefault="006614C9"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Are there any adverse media reports about the customer, for example are there any allegations of criminality or terrorism (proven or not) against the customer or their beneficial owners? If so, are these credible? Firms should determine the credibility of allegations on the basis of the quality and independence of the source data and the persistence of reporting of these allegations, among others </w:t>
      </w:r>
      <w:r w:rsidR="00444700" w:rsidRPr="004A4AFB">
        <w:rPr>
          <w:rFonts w:ascii="Times New Roman" w:hAnsi="Times New Roman" w:cs="Times New Roman"/>
          <w:b/>
          <w:color w:val="000000" w:themeColor="text1"/>
          <w:sz w:val="24"/>
          <w:szCs w:val="24"/>
          <w:lang w:val="en-US"/>
        </w:rPr>
        <w:t>(n°20-1)</w:t>
      </w:r>
    </w:p>
    <w:p w14:paraId="4F6DA2D2" w14:textId="77777777" w:rsidR="006614C9" w:rsidRPr="004A4AFB" w:rsidRDefault="006614C9" w:rsidP="00A873A4">
      <w:pPr>
        <w:pStyle w:val="Paragraphedeliste"/>
        <w:autoSpaceDE w:val="0"/>
        <w:autoSpaceDN w:val="0"/>
        <w:adjustRightInd w:val="0"/>
        <w:spacing w:after="0"/>
        <w:jc w:val="both"/>
        <w:rPr>
          <w:rFonts w:ascii="Times New Roman" w:hAnsi="Times New Roman" w:cs="Times New Roman"/>
          <w:color w:val="000000" w:themeColor="text1"/>
          <w:sz w:val="24"/>
          <w:szCs w:val="24"/>
          <w:lang w:val="en-US"/>
        </w:rPr>
      </w:pPr>
    </w:p>
    <w:p w14:paraId="392E295C" w14:textId="2E283848" w:rsidR="00703B6B" w:rsidRPr="004A4AFB" w:rsidRDefault="00BE4D5A"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The wording used here seems to</w:t>
      </w:r>
      <w:r w:rsidR="00DE6F6D" w:rsidRPr="004A4AFB">
        <w:rPr>
          <w:rFonts w:ascii="Times New Roman" w:hAnsi="Times New Roman" w:cs="Times New Roman"/>
          <w:color w:val="000000" w:themeColor="text1"/>
          <w:sz w:val="24"/>
          <w:szCs w:val="24"/>
        </w:rPr>
        <w:t>o</w:t>
      </w:r>
      <w:r w:rsidRPr="004A4AFB">
        <w:rPr>
          <w:rFonts w:ascii="Times New Roman" w:hAnsi="Times New Roman" w:cs="Times New Roman"/>
          <w:color w:val="000000" w:themeColor="text1"/>
          <w:sz w:val="24"/>
          <w:szCs w:val="24"/>
        </w:rPr>
        <w:t xml:space="preserve"> general with the risk to </w:t>
      </w:r>
      <w:r w:rsidR="00DE6F6D" w:rsidRPr="004A4AFB">
        <w:rPr>
          <w:rFonts w:ascii="Times New Roman" w:hAnsi="Times New Roman" w:cs="Times New Roman"/>
          <w:color w:val="000000" w:themeColor="text1"/>
          <w:sz w:val="24"/>
          <w:szCs w:val="24"/>
        </w:rPr>
        <w:t>capture</w:t>
      </w:r>
      <w:r w:rsidR="00BB691E">
        <w:rPr>
          <w:rFonts w:ascii="Times New Roman" w:hAnsi="Times New Roman" w:cs="Times New Roman"/>
          <w:color w:val="000000" w:themeColor="text1"/>
          <w:sz w:val="24"/>
          <w:szCs w:val="24"/>
        </w:rPr>
        <w:t>, with the word “any”</w:t>
      </w:r>
      <w:r w:rsidR="005323F8">
        <w:rPr>
          <w:rFonts w:ascii="Times New Roman" w:hAnsi="Times New Roman" w:cs="Times New Roman"/>
          <w:color w:val="000000" w:themeColor="text1"/>
          <w:sz w:val="24"/>
          <w:szCs w:val="24"/>
        </w:rPr>
        <w:t xml:space="preserve">, unreliable sources. </w:t>
      </w:r>
      <w:proofErr w:type="gramStart"/>
      <w:r w:rsidR="005323F8">
        <w:rPr>
          <w:rFonts w:ascii="Times New Roman" w:hAnsi="Times New Roman" w:cs="Times New Roman"/>
          <w:color w:val="000000" w:themeColor="text1"/>
          <w:sz w:val="24"/>
          <w:szCs w:val="24"/>
        </w:rPr>
        <w:t xml:space="preserve">An adequate </w:t>
      </w:r>
      <w:r w:rsidRPr="004A4AFB">
        <w:rPr>
          <w:rFonts w:ascii="Times New Roman" w:hAnsi="Times New Roman" w:cs="Times New Roman"/>
          <w:color w:val="000000" w:themeColor="text1"/>
          <w:sz w:val="24"/>
          <w:szCs w:val="24"/>
        </w:rPr>
        <w:t xml:space="preserve">level of journalistic ethics and the existence of a recognised editorial line </w:t>
      </w:r>
      <w:r w:rsidR="00DE6F6D" w:rsidRPr="004A4AFB">
        <w:rPr>
          <w:rFonts w:ascii="Times New Roman" w:hAnsi="Times New Roman" w:cs="Times New Roman"/>
          <w:color w:val="000000" w:themeColor="text1"/>
          <w:sz w:val="24"/>
          <w:szCs w:val="24"/>
        </w:rPr>
        <w:t>are</w:t>
      </w:r>
      <w:r w:rsidRPr="004A4AFB">
        <w:rPr>
          <w:rFonts w:ascii="Times New Roman" w:hAnsi="Times New Roman" w:cs="Times New Roman"/>
          <w:color w:val="000000" w:themeColor="text1"/>
          <w:sz w:val="24"/>
          <w:szCs w:val="24"/>
        </w:rPr>
        <w:t xml:space="preserve"> </w:t>
      </w:r>
      <w:r w:rsidR="003825B2" w:rsidRPr="004A4AFB">
        <w:rPr>
          <w:rFonts w:ascii="Times New Roman" w:hAnsi="Times New Roman" w:cs="Times New Roman"/>
          <w:color w:val="000000" w:themeColor="text1"/>
          <w:sz w:val="24"/>
          <w:szCs w:val="24"/>
        </w:rPr>
        <w:t>necessary</w:t>
      </w:r>
      <w:r w:rsidRPr="004A4AFB">
        <w:rPr>
          <w:rFonts w:ascii="Times New Roman" w:hAnsi="Times New Roman" w:cs="Times New Roman"/>
          <w:color w:val="000000" w:themeColor="text1"/>
          <w:sz w:val="24"/>
          <w:szCs w:val="24"/>
        </w:rPr>
        <w:t xml:space="preserve"> so that media reports may </w:t>
      </w:r>
      <w:r w:rsidR="00D20482">
        <w:rPr>
          <w:rFonts w:ascii="Times New Roman" w:hAnsi="Times New Roman" w:cs="Times New Roman"/>
          <w:color w:val="000000" w:themeColor="text1"/>
          <w:sz w:val="24"/>
          <w:szCs w:val="24"/>
        </w:rPr>
        <w:t>efficiently</w:t>
      </w:r>
      <w:r w:rsidRPr="004A4AFB">
        <w:rPr>
          <w:rFonts w:ascii="Times New Roman" w:hAnsi="Times New Roman" w:cs="Times New Roman"/>
          <w:color w:val="000000" w:themeColor="text1"/>
          <w:sz w:val="24"/>
          <w:szCs w:val="24"/>
        </w:rPr>
        <w:t xml:space="preserve"> </w:t>
      </w:r>
      <w:r w:rsidR="00DE6F6D" w:rsidRPr="004A4AFB">
        <w:rPr>
          <w:rFonts w:ascii="Times New Roman" w:hAnsi="Times New Roman" w:cs="Times New Roman"/>
          <w:color w:val="000000" w:themeColor="text1"/>
          <w:sz w:val="24"/>
          <w:szCs w:val="24"/>
        </w:rPr>
        <w:t xml:space="preserve">be </w:t>
      </w:r>
      <w:r w:rsidRPr="004A4AFB">
        <w:rPr>
          <w:rFonts w:ascii="Times New Roman" w:hAnsi="Times New Roman" w:cs="Times New Roman"/>
          <w:color w:val="000000" w:themeColor="text1"/>
          <w:sz w:val="24"/>
          <w:szCs w:val="24"/>
        </w:rPr>
        <w:t xml:space="preserve">taken into consideration; </w:t>
      </w:r>
      <w:r w:rsidR="00DE6F6D" w:rsidRPr="004A4AFB">
        <w:rPr>
          <w:rFonts w:ascii="Times New Roman" w:hAnsi="Times New Roman" w:cs="Times New Roman"/>
          <w:color w:val="000000" w:themeColor="text1"/>
          <w:sz w:val="24"/>
          <w:szCs w:val="24"/>
        </w:rPr>
        <w:t xml:space="preserve">also, </w:t>
      </w:r>
      <w:r w:rsidRPr="004A4AFB">
        <w:rPr>
          <w:rFonts w:ascii="Times New Roman" w:hAnsi="Times New Roman" w:cs="Times New Roman"/>
          <w:color w:val="000000" w:themeColor="text1"/>
          <w:sz w:val="24"/>
          <w:szCs w:val="24"/>
        </w:rPr>
        <w:t xml:space="preserve">the </w:t>
      </w:r>
      <w:r w:rsidR="00470E2F" w:rsidRPr="004A4AFB">
        <w:rPr>
          <w:rFonts w:ascii="Times New Roman" w:hAnsi="Times New Roman" w:cs="Times New Roman"/>
          <w:color w:val="000000" w:themeColor="text1"/>
          <w:sz w:val="24"/>
          <w:szCs w:val="24"/>
        </w:rPr>
        <w:t>issue</w:t>
      </w:r>
      <w:r w:rsidRPr="004A4AFB">
        <w:rPr>
          <w:rFonts w:ascii="Times New Roman" w:hAnsi="Times New Roman" w:cs="Times New Roman"/>
          <w:color w:val="000000" w:themeColor="text1"/>
          <w:sz w:val="24"/>
          <w:szCs w:val="24"/>
        </w:rPr>
        <w:t xml:space="preserve"> of the </w:t>
      </w:r>
      <w:r w:rsidR="00470E2F" w:rsidRPr="004A4AFB">
        <w:rPr>
          <w:rFonts w:ascii="Times New Roman" w:hAnsi="Times New Roman" w:cs="Times New Roman"/>
          <w:color w:val="000000" w:themeColor="text1"/>
          <w:sz w:val="24"/>
          <w:szCs w:val="24"/>
        </w:rPr>
        <w:t>presumption of innocence should be raised, and</w:t>
      </w:r>
      <w:r w:rsidR="00EF385F" w:rsidRPr="004A4AFB">
        <w:rPr>
          <w:rFonts w:ascii="Times New Roman" w:hAnsi="Times New Roman" w:cs="Times New Roman"/>
          <w:color w:val="000000" w:themeColor="text1"/>
          <w:sz w:val="24"/>
          <w:szCs w:val="24"/>
        </w:rPr>
        <w:t>,</w:t>
      </w:r>
      <w:r w:rsidR="00470E2F" w:rsidRPr="004A4AFB">
        <w:rPr>
          <w:rFonts w:ascii="Times New Roman" w:hAnsi="Times New Roman" w:cs="Times New Roman"/>
          <w:color w:val="000000" w:themeColor="text1"/>
          <w:sz w:val="24"/>
          <w:szCs w:val="24"/>
        </w:rPr>
        <w:t xml:space="preserve"> in any case</w:t>
      </w:r>
      <w:r w:rsidR="00EF385F" w:rsidRPr="004A4AFB">
        <w:rPr>
          <w:rFonts w:ascii="Times New Roman" w:hAnsi="Times New Roman" w:cs="Times New Roman"/>
          <w:color w:val="000000" w:themeColor="text1"/>
          <w:sz w:val="24"/>
          <w:szCs w:val="24"/>
        </w:rPr>
        <w:t>,</w:t>
      </w:r>
      <w:r w:rsidR="00470E2F" w:rsidRPr="004A4AFB">
        <w:rPr>
          <w:rFonts w:ascii="Times New Roman" w:hAnsi="Times New Roman" w:cs="Times New Roman"/>
          <w:color w:val="000000" w:themeColor="text1"/>
          <w:sz w:val="24"/>
          <w:szCs w:val="24"/>
        </w:rPr>
        <w:t xml:space="preserve"> it </w:t>
      </w:r>
      <w:r w:rsidR="005323F8">
        <w:rPr>
          <w:rFonts w:ascii="Times New Roman" w:hAnsi="Times New Roman" w:cs="Times New Roman"/>
          <w:color w:val="000000" w:themeColor="text1"/>
          <w:sz w:val="24"/>
          <w:szCs w:val="24"/>
        </w:rPr>
        <w:t>is not</w:t>
      </w:r>
      <w:r w:rsidR="00470E2F" w:rsidRPr="004A4AFB">
        <w:rPr>
          <w:rFonts w:ascii="Times New Roman" w:hAnsi="Times New Roman" w:cs="Times New Roman"/>
          <w:color w:val="000000" w:themeColor="text1"/>
          <w:sz w:val="24"/>
          <w:szCs w:val="24"/>
        </w:rPr>
        <w:t xml:space="preserve"> possible in practice to decipher and exploit all the media in the whole world in all languages</w:t>
      </w:r>
      <w:r w:rsidRPr="004A4AFB">
        <w:rPr>
          <w:rFonts w:ascii="Times New Roman" w:hAnsi="Times New Roman" w:cs="Times New Roman"/>
          <w:color w:val="000000" w:themeColor="text1"/>
          <w:sz w:val="24"/>
          <w:szCs w:val="24"/>
        </w:rPr>
        <w:t>.</w:t>
      </w:r>
      <w:proofErr w:type="gramEnd"/>
      <w:r w:rsidRPr="004A4AFB">
        <w:rPr>
          <w:rFonts w:ascii="Times New Roman" w:hAnsi="Times New Roman" w:cs="Times New Roman"/>
          <w:color w:val="000000" w:themeColor="text1"/>
          <w:sz w:val="24"/>
          <w:szCs w:val="24"/>
        </w:rPr>
        <w:t xml:space="preserve"> </w:t>
      </w:r>
      <w:r w:rsidR="00470E2F" w:rsidRPr="004A4AFB">
        <w:rPr>
          <w:rFonts w:ascii="Times New Roman" w:hAnsi="Times New Roman" w:cs="Times New Roman"/>
          <w:color w:val="000000" w:themeColor="text1"/>
          <w:sz w:val="24"/>
          <w:szCs w:val="24"/>
        </w:rPr>
        <w:t>We</w:t>
      </w:r>
      <w:r w:rsidR="00FD2DFA">
        <w:rPr>
          <w:rFonts w:ascii="Times New Roman" w:hAnsi="Times New Roman" w:cs="Times New Roman"/>
          <w:color w:val="000000" w:themeColor="text1"/>
          <w:sz w:val="24"/>
          <w:szCs w:val="24"/>
        </w:rPr>
        <w:t xml:space="preserve"> therefore suggest </w:t>
      </w:r>
      <w:proofErr w:type="gramStart"/>
      <w:r w:rsidR="00FD2DFA">
        <w:rPr>
          <w:rFonts w:ascii="Times New Roman" w:hAnsi="Times New Roman" w:cs="Times New Roman"/>
          <w:color w:val="000000" w:themeColor="text1"/>
          <w:sz w:val="24"/>
          <w:szCs w:val="24"/>
        </w:rPr>
        <w:t>to replace</w:t>
      </w:r>
      <w:proofErr w:type="gramEnd"/>
      <w:r w:rsidR="00FD2DFA">
        <w:rPr>
          <w:rFonts w:ascii="Times New Roman" w:hAnsi="Times New Roman" w:cs="Times New Roman"/>
          <w:color w:val="000000" w:themeColor="text1"/>
          <w:sz w:val="24"/>
          <w:szCs w:val="24"/>
        </w:rPr>
        <w:t xml:space="preserve"> “any” by “strong”</w:t>
      </w:r>
      <w:r w:rsidR="00470E2F" w:rsidRPr="004A4AFB">
        <w:rPr>
          <w:rFonts w:ascii="Times New Roman" w:hAnsi="Times New Roman" w:cs="Times New Roman"/>
          <w:color w:val="000000" w:themeColor="text1"/>
          <w:sz w:val="24"/>
          <w:szCs w:val="24"/>
        </w:rPr>
        <w:t>.</w:t>
      </w:r>
    </w:p>
    <w:p w14:paraId="3AF589FC" w14:textId="77777777" w:rsidR="007A6F98" w:rsidRPr="004A4AFB" w:rsidRDefault="00444700"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lastRenderedPageBreak/>
        <w:t>Are there indications that the customer might seek to avoid the establishment of a business relationship? (n°21- 2</w:t>
      </w:r>
      <w:r w:rsidR="007A6F98" w:rsidRPr="004A4AFB">
        <w:rPr>
          <w:rFonts w:ascii="Times New Roman" w:hAnsi="Times New Roman" w:cs="Times New Roman"/>
          <w:b/>
          <w:color w:val="000000" w:themeColor="text1"/>
          <w:sz w:val="24"/>
          <w:szCs w:val="24"/>
          <w:lang w:val="en-US"/>
        </w:rPr>
        <w:t>)</w:t>
      </w:r>
    </w:p>
    <w:p w14:paraId="45DF50FE" w14:textId="77777777" w:rsidR="008923B0" w:rsidRPr="004A4AFB" w:rsidRDefault="008923B0" w:rsidP="00A873A4">
      <w:pPr>
        <w:autoSpaceDE w:val="0"/>
        <w:autoSpaceDN w:val="0"/>
        <w:adjustRightInd w:val="0"/>
        <w:spacing w:after="0"/>
        <w:jc w:val="both"/>
        <w:rPr>
          <w:rFonts w:ascii="Times New Roman" w:hAnsi="Times New Roman" w:cs="Times New Roman"/>
          <w:color w:val="000000" w:themeColor="text1"/>
          <w:sz w:val="24"/>
          <w:szCs w:val="24"/>
        </w:rPr>
      </w:pPr>
    </w:p>
    <w:p w14:paraId="2333002F" w14:textId="28BD7C6D" w:rsidR="008923B0" w:rsidRPr="004A4AFB" w:rsidRDefault="008923B0" w:rsidP="00A873A4">
      <w:pPr>
        <w:autoSpaceDE w:val="0"/>
        <w:autoSpaceDN w:val="0"/>
        <w:adjustRightInd w:val="0"/>
        <w:spacing w:after="0"/>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This wording is too obscure and </w:t>
      </w:r>
      <w:proofErr w:type="gramStart"/>
      <w:r w:rsidRPr="004A4AFB">
        <w:rPr>
          <w:rFonts w:ascii="Times New Roman" w:hAnsi="Times New Roman" w:cs="Times New Roman"/>
          <w:color w:val="000000" w:themeColor="text1"/>
          <w:sz w:val="24"/>
          <w:szCs w:val="24"/>
        </w:rPr>
        <w:t>should be clarified</w:t>
      </w:r>
      <w:proofErr w:type="gramEnd"/>
      <w:r w:rsidRPr="004A4AFB">
        <w:rPr>
          <w:rFonts w:ascii="Times New Roman" w:hAnsi="Times New Roman" w:cs="Times New Roman"/>
          <w:color w:val="000000" w:themeColor="text1"/>
          <w:sz w:val="24"/>
          <w:szCs w:val="24"/>
        </w:rPr>
        <w:t>.</w:t>
      </w:r>
    </w:p>
    <w:p w14:paraId="0E817193" w14:textId="77777777" w:rsidR="005F62B4" w:rsidRPr="004A4AFB" w:rsidRDefault="005F62B4" w:rsidP="00A873A4">
      <w:pPr>
        <w:autoSpaceDE w:val="0"/>
        <w:autoSpaceDN w:val="0"/>
        <w:adjustRightInd w:val="0"/>
        <w:spacing w:after="0"/>
        <w:jc w:val="both"/>
        <w:rPr>
          <w:rFonts w:ascii="Times New Roman" w:hAnsi="Times New Roman" w:cs="Times New Roman"/>
          <w:color w:val="000000" w:themeColor="text1"/>
          <w:sz w:val="24"/>
          <w:szCs w:val="24"/>
        </w:rPr>
      </w:pPr>
    </w:p>
    <w:p w14:paraId="16EEDBE3" w14:textId="77777777" w:rsidR="00764300" w:rsidRPr="004A4AFB" w:rsidRDefault="00764300"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Is there a sound reason for changes in the customer’s ownership and control structure? (n°21- </w:t>
      </w:r>
      <w:r w:rsidR="00F240AC" w:rsidRPr="004A4AFB">
        <w:rPr>
          <w:rFonts w:ascii="Times New Roman" w:hAnsi="Times New Roman" w:cs="Times New Roman"/>
          <w:b/>
          <w:color w:val="000000" w:themeColor="text1"/>
          <w:sz w:val="24"/>
          <w:szCs w:val="24"/>
          <w:lang w:val="en-US"/>
        </w:rPr>
        <w:t>6</w:t>
      </w:r>
      <w:r w:rsidRPr="004A4AFB">
        <w:rPr>
          <w:rFonts w:ascii="Times New Roman" w:hAnsi="Times New Roman" w:cs="Times New Roman"/>
          <w:b/>
          <w:color w:val="000000" w:themeColor="text1"/>
          <w:sz w:val="24"/>
          <w:szCs w:val="24"/>
          <w:lang w:val="en-US"/>
        </w:rPr>
        <w:t>)</w:t>
      </w:r>
    </w:p>
    <w:p w14:paraId="647651E1" w14:textId="77777777" w:rsidR="00764300" w:rsidRPr="004A4AFB" w:rsidRDefault="00764300" w:rsidP="00A873A4">
      <w:pPr>
        <w:pStyle w:val="Default"/>
        <w:spacing w:line="276" w:lineRule="auto"/>
        <w:jc w:val="both"/>
        <w:rPr>
          <w:rFonts w:ascii="Times New Roman" w:hAnsi="Times New Roman" w:cs="Times New Roman"/>
          <w:color w:val="000000" w:themeColor="text1"/>
          <w:lang w:val="en-US"/>
        </w:rPr>
      </w:pPr>
    </w:p>
    <w:p w14:paraId="4CD724A5" w14:textId="0614B273" w:rsidR="008923B0" w:rsidRPr="00D65D63" w:rsidRDefault="008923B0"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 xml:space="preserve">The sentence as worded </w:t>
      </w:r>
      <w:r w:rsidR="005D65C1" w:rsidRPr="005D776A">
        <w:rPr>
          <w:rFonts w:ascii="Times New Roman" w:hAnsi="Times New Roman" w:cs="Times New Roman"/>
          <w:color w:val="000000" w:themeColor="text1"/>
          <w:lang w:val="en-US"/>
        </w:rPr>
        <w:t xml:space="preserve">here </w:t>
      </w:r>
      <w:r w:rsidRPr="005D776A">
        <w:rPr>
          <w:rFonts w:ascii="Times New Roman" w:hAnsi="Times New Roman" w:cs="Times New Roman"/>
          <w:color w:val="000000" w:themeColor="text1"/>
          <w:lang w:val="en-US"/>
        </w:rPr>
        <w:t>does not reflect the daily rea</w:t>
      </w:r>
      <w:r w:rsidR="0090421D" w:rsidRPr="005D776A">
        <w:rPr>
          <w:rFonts w:ascii="Times New Roman" w:hAnsi="Times New Roman" w:cs="Times New Roman"/>
          <w:color w:val="000000" w:themeColor="text1"/>
          <w:lang w:val="en-US"/>
        </w:rPr>
        <w:t xml:space="preserve">lity of people in charge of </w:t>
      </w:r>
      <w:r w:rsidR="00D65D63">
        <w:rPr>
          <w:rFonts w:ascii="Times New Roman" w:hAnsi="Times New Roman" w:cs="Times New Roman"/>
          <w:color w:val="000000" w:themeColor="text1"/>
          <w:lang w:val="en-US"/>
        </w:rPr>
        <w:t>AML-</w:t>
      </w:r>
      <w:proofErr w:type="gramStart"/>
      <w:r w:rsidR="00D65D63">
        <w:rPr>
          <w:rFonts w:ascii="Times New Roman" w:hAnsi="Times New Roman" w:cs="Times New Roman"/>
          <w:color w:val="000000" w:themeColor="text1"/>
          <w:lang w:val="en-US"/>
        </w:rPr>
        <w:t xml:space="preserve">CFT </w:t>
      </w:r>
      <w:r w:rsidRPr="005D776A">
        <w:rPr>
          <w:rFonts w:ascii="Times New Roman" w:hAnsi="Times New Roman" w:cs="Times New Roman"/>
          <w:color w:val="000000" w:themeColor="text1"/>
          <w:lang w:val="en-US"/>
        </w:rPr>
        <w:t xml:space="preserve"> issues</w:t>
      </w:r>
      <w:proofErr w:type="gramEnd"/>
      <w:r w:rsidRPr="005D776A">
        <w:rPr>
          <w:rFonts w:ascii="Times New Roman" w:hAnsi="Times New Roman" w:cs="Times New Roman"/>
          <w:color w:val="000000" w:themeColor="text1"/>
          <w:lang w:val="en-US"/>
        </w:rPr>
        <w:t xml:space="preserve"> and </w:t>
      </w:r>
      <w:r w:rsidR="003825B2" w:rsidRPr="005D776A">
        <w:rPr>
          <w:rFonts w:ascii="Times New Roman" w:hAnsi="Times New Roman" w:cs="Times New Roman"/>
          <w:color w:val="000000" w:themeColor="text1"/>
          <w:lang w:val="en-US"/>
        </w:rPr>
        <w:t xml:space="preserve">of </w:t>
      </w:r>
      <w:r w:rsidR="005D65C1" w:rsidRPr="005D776A">
        <w:rPr>
          <w:rFonts w:ascii="Times New Roman" w:hAnsi="Times New Roman" w:cs="Times New Roman"/>
          <w:color w:val="000000" w:themeColor="text1"/>
          <w:lang w:val="en-US"/>
        </w:rPr>
        <w:t xml:space="preserve">front office </w:t>
      </w:r>
      <w:r w:rsidRPr="005D776A">
        <w:rPr>
          <w:rFonts w:ascii="Times New Roman" w:hAnsi="Times New Roman" w:cs="Times New Roman"/>
          <w:color w:val="000000" w:themeColor="text1"/>
          <w:lang w:val="en-US"/>
        </w:rPr>
        <w:t xml:space="preserve">staff in management companies. </w:t>
      </w:r>
      <w:r w:rsidRPr="00D65D63">
        <w:rPr>
          <w:rFonts w:ascii="Times New Roman" w:hAnsi="Times New Roman" w:cs="Times New Roman"/>
          <w:color w:val="000000" w:themeColor="text1"/>
          <w:lang w:val="en-US"/>
        </w:rPr>
        <w:t xml:space="preserve">The expression </w:t>
      </w:r>
      <w:r w:rsidR="00363DA1" w:rsidRPr="00D65D63">
        <w:rPr>
          <w:rFonts w:ascii="Times New Roman" w:hAnsi="Times New Roman" w:cs="Times New Roman"/>
          <w:color w:val="000000" w:themeColor="text1"/>
          <w:lang w:val="en-US"/>
        </w:rPr>
        <w:t>“</w:t>
      </w:r>
      <w:r w:rsidRPr="00D65D63">
        <w:rPr>
          <w:rFonts w:ascii="Times New Roman" w:hAnsi="Times New Roman" w:cs="Times New Roman"/>
          <w:color w:val="000000" w:themeColor="text1"/>
          <w:lang w:val="en-US"/>
        </w:rPr>
        <w:t>sound reason</w:t>
      </w:r>
      <w:r w:rsidR="00363DA1" w:rsidRPr="00D65D63">
        <w:rPr>
          <w:rFonts w:ascii="Times New Roman" w:hAnsi="Times New Roman" w:cs="Times New Roman"/>
          <w:color w:val="000000" w:themeColor="text1"/>
          <w:lang w:val="en-US"/>
        </w:rPr>
        <w:t xml:space="preserve">” </w:t>
      </w:r>
      <w:proofErr w:type="gramStart"/>
      <w:r w:rsidRPr="00D65D63">
        <w:rPr>
          <w:rFonts w:ascii="Times New Roman" w:hAnsi="Times New Roman" w:cs="Times New Roman"/>
          <w:color w:val="000000" w:themeColor="text1"/>
          <w:lang w:val="en-US"/>
        </w:rPr>
        <w:t>should be further defined</w:t>
      </w:r>
      <w:proofErr w:type="gramEnd"/>
      <w:r w:rsidRPr="00D65D63">
        <w:rPr>
          <w:rFonts w:ascii="Times New Roman" w:hAnsi="Times New Roman" w:cs="Times New Roman"/>
          <w:color w:val="000000" w:themeColor="text1"/>
          <w:lang w:val="en-US"/>
        </w:rPr>
        <w:t>.</w:t>
      </w:r>
    </w:p>
    <w:p w14:paraId="10099123" w14:textId="77777777" w:rsidR="00A4656E" w:rsidRPr="00D65D63" w:rsidRDefault="00A4656E" w:rsidP="00A873A4">
      <w:pPr>
        <w:pStyle w:val="Default"/>
        <w:spacing w:line="276" w:lineRule="auto"/>
        <w:jc w:val="both"/>
        <w:rPr>
          <w:rFonts w:ascii="Times New Roman" w:hAnsi="Times New Roman" w:cs="Times New Roman"/>
          <w:color w:val="000000" w:themeColor="text1"/>
          <w:lang w:val="en-US"/>
        </w:rPr>
      </w:pPr>
    </w:p>
    <w:p w14:paraId="5A11A3E9" w14:textId="77777777" w:rsidR="00A4656E" w:rsidRPr="004A4AFB" w:rsidRDefault="00A4656E"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Where the customer is a non-resident, could their needs be better serviced elsewhere? Is there a sound economic or lawful rationale for the customer requesting the type of financial service sought? (n°21- 11)</w:t>
      </w:r>
    </w:p>
    <w:p w14:paraId="71CA0453" w14:textId="77777777" w:rsidR="00A4656E" w:rsidRPr="004A4AFB" w:rsidRDefault="00A4656E" w:rsidP="00A873A4">
      <w:pPr>
        <w:autoSpaceDE w:val="0"/>
        <w:autoSpaceDN w:val="0"/>
        <w:adjustRightInd w:val="0"/>
        <w:spacing w:after="0"/>
        <w:jc w:val="both"/>
        <w:rPr>
          <w:rFonts w:ascii="Times New Roman" w:hAnsi="Times New Roman" w:cs="Times New Roman"/>
          <w:color w:val="000000" w:themeColor="text1"/>
          <w:sz w:val="24"/>
          <w:szCs w:val="24"/>
          <w:lang w:val="en-US"/>
        </w:rPr>
      </w:pPr>
    </w:p>
    <w:p w14:paraId="2E0E5C55" w14:textId="57D0C02E" w:rsidR="001B003C" w:rsidRPr="004A4AFB" w:rsidRDefault="008923B0" w:rsidP="00A873A4">
      <w:pPr>
        <w:ind w:left="708"/>
        <w:jc w:val="both"/>
        <w:rPr>
          <w:rFonts w:ascii="Times New Roman" w:hAnsi="Times New Roman" w:cs="Times New Roman"/>
          <w:b/>
          <w:color w:val="000000" w:themeColor="text1"/>
          <w:sz w:val="24"/>
          <w:szCs w:val="24"/>
        </w:rPr>
      </w:pPr>
      <w:r w:rsidRPr="004A4AFB">
        <w:rPr>
          <w:rFonts w:ascii="Times New Roman" w:hAnsi="Times New Roman" w:cs="Times New Roman"/>
          <w:color w:val="000000" w:themeColor="text1"/>
          <w:sz w:val="24"/>
          <w:szCs w:val="24"/>
        </w:rPr>
        <w:t xml:space="preserve">It is impossible for a management company to have a global </w:t>
      </w:r>
      <w:proofErr w:type="gramStart"/>
      <w:r w:rsidRPr="004A4AFB">
        <w:rPr>
          <w:rFonts w:ascii="Times New Roman" w:hAnsi="Times New Roman" w:cs="Times New Roman"/>
          <w:color w:val="000000" w:themeColor="text1"/>
          <w:sz w:val="24"/>
          <w:szCs w:val="24"/>
        </w:rPr>
        <w:t xml:space="preserve">vision </w:t>
      </w:r>
      <w:r w:rsidR="00EF385F" w:rsidRPr="004A4AFB">
        <w:rPr>
          <w:rFonts w:ascii="Times New Roman" w:hAnsi="Times New Roman" w:cs="Times New Roman"/>
          <w:color w:val="000000" w:themeColor="text1"/>
          <w:sz w:val="24"/>
          <w:szCs w:val="24"/>
        </w:rPr>
        <w:t>w</w:t>
      </w:r>
      <w:r w:rsidR="00403F97" w:rsidRPr="004A4AFB">
        <w:rPr>
          <w:rFonts w:ascii="Times New Roman" w:hAnsi="Times New Roman" w:cs="Times New Roman"/>
          <w:color w:val="000000" w:themeColor="text1"/>
          <w:sz w:val="24"/>
          <w:szCs w:val="24"/>
        </w:rPr>
        <w:t>h</w:t>
      </w:r>
      <w:r w:rsidR="00EF385F" w:rsidRPr="004A4AFB">
        <w:rPr>
          <w:rFonts w:ascii="Times New Roman" w:hAnsi="Times New Roman" w:cs="Times New Roman"/>
          <w:color w:val="000000" w:themeColor="text1"/>
          <w:sz w:val="24"/>
          <w:szCs w:val="24"/>
        </w:rPr>
        <w:t>ich</w:t>
      </w:r>
      <w:proofErr w:type="gramEnd"/>
      <w:r w:rsidR="00EF385F" w:rsidRPr="004A4AFB">
        <w:rPr>
          <w:rFonts w:ascii="Times New Roman" w:hAnsi="Times New Roman" w:cs="Times New Roman"/>
          <w:color w:val="000000" w:themeColor="text1"/>
          <w:sz w:val="24"/>
          <w:szCs w:val="24"/>
        </w:rPr>
        <w:t xml:space="preserve"> would cover</w:t>
      </w:r>
      <w:r w:rsidRPr="004A4AFB">
        <w:rPr>
          <w:rFonts w:ascii="Times New Roman" w:hAnsi="Times New Roman" w:cs="Times New Roman"/>
          <w:color w:val="000000" w:themeColor="text1"/>
          <w:sz w:val="24"/>
          <w:szCs w:val="24"/>
        </w:rPr>
        <w:t xml:space="preserve"> all the equivalent services of its competitors </w:t>
      </w:r>
      <w:r w:rsidR="00F210F1" w:rsidRPr="004A4AFB">
        <w:rPr>
          <w:rFonts w:ascii="Times New Roman" w:hAnsi="Times New Roman" w:cs="Times New Roman"/>
          <w:color w:val="000000" w:themeColor="text1"/>
          <w:sz w:val="24"/>
          <w:szCs w:val="24"/>
        </w:rPr>
        <w:t>worldwide</w:t>
      </w:r>
      <w:r w:rsidRPr="004A4AFB">
        <w:rPr>
          <w:rFonts w:ascii="Times New Roman" w:hAnsi="Times New Roman" w:cs="Times New Roman"/>
          <w:color w:val="000000" w:themeColor="text1"/>
          <w:sz w:val="24"/>
          <w:szCs w:val="24"/>
        </w:rPr>
        <w:t xml:space="preserve">. We suggest </w:t>
      </w:r>
      <w:proofErr w:type="gramStart"/>
      <w:r w:rsidRPr="004A4AFB">
        <w:rPr>
          <w:rFonts w:ascii="Times New Roman" w:hAnsi="Times New Roman" w:cs="Times New Roman"/>
          <w:color w:val="000000" w:themeColor="text1"/>
          <w:sz w:val="24"/>
          <w:szCs w:val="24"/>
        </w:rPr>
        <w:t xml:space="preserve">to </w:t>
      </w:r>
      <w:r w:rsidR="00F210F1" w:rsidRPr="004A4AFB">
        <w:rPr>
          <w:rFonts w:ascii="Times New Roman" w:hAnsi="Times New Roman" w:cs="Times New Roman"/>
          <w:color w:val="000000" w:themeColor="text1"/>
          <w:sz w:val="24"/>
          <w:szCs w:val="24"/>
        </w:rPr>
        <w:t>amend</w:t>
      </w:r>
      <w:proofErr w:type="gramEnd"/>
      <w:r w:rsidRPr="004A4AFB">
        <w:rPr>
          <w:rFonts w:ascii="Times New Roman" w:hAnsi="Times New Roman" w:cs="Times New Roman"/>
          <w:color w:val="000000" w:themeColor="text1"/>
          <w:sz w:val="24"/>
          <w:szCs w:val="24"/>
        </w:rPr>
        <w:t xml:space="preserve"> the proposed wording </w:t>
      </w:r>
      <w:r w:rsidR="007D40C8" w:rsidRPr="004A4AFB">
        <w:rPr>
          <w:rFonts w:ascii="Times New Roman" w:hAnsi="Times New Roman" w:cs="Times New Roman"/>
          <w:color w:val="000000" w:themeColor="text1"/>
          <w:sz w:val="24"/>
          <w:szCs w:val="24"/>
        </w:rPr>
        <w:t>which may lead to confusion.</w:t>
      </w:r>
    </w:p>
    <w:p w14:paraId="77F8FD05" w14:textId="77777777" w:rsidR="001B003C" w:rsidRPr="004A4AFB" w:rsidRDefault="001B003C"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Is the jurisdiction a known tax haven, secrecy haven or offshore jurisdiction? (n°23- 5)</w:t>
      </w:r>
    </w:p>
    <w:p w14:paraId="260FA859" w14:textId="77777777" w:rsidR="001B003C" w:rsidRPr="004A4AFB" w:rsidRDefault="001B003C" w:rsidP="00A873A4">
      <w:pPr>
        <w:autoSpaceDE w:val="0"/>
        <w:autoSpaceDN w:val="0"/>
        <w:adjustRightInd w:val="0"/>
        <w:spacing w:after="0"/>
        <w:ind w:left="360"/>
        <w:jc w:val="both"/>
        <w:rPr>
          <w:rFonts w:ascii="Times New Roman" w:hAnsi="Times New Roman" w:cs="Times New Roman"/>
          <w:color w:val="000000" w:themeColor="text1"/>
          <w:sz w:val="24"/>
          <w:szCs w:val="24"/>
          <w:lang w:val="en-US"/>
        </w:rPr>
      </w:pPr>
    </w:p>
    <w:p w14:paraId="41BA17CD" w14:textId="40FA7572" w:rsidR="001B003C" w:rsidRPr="004A4AFB" w:rsidRDefault="005568A3"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would be desirable </w:t>
      </w:r>
      <w:proofErr w:type="gramStart"/>
      <w:r w:rsidRPr="004A4AFB">
        <w:rPr>
          <w:rFonts w:ascii="Times New Roman" w:hAnsi="Times New Roman" w:cs="Times New Roman"/>
          <w:color w:val="000000" w:themeColor="text1"/>
          <w:sz w:val="24"/>
          <w:szCs w:val="24"/>
        </w:rPr>
        <w:t>to clearly identify</w:t>
      </w:r>
      <w:proofErr w:type="gramEnd"/>
      <w:r w:rsidRPr="004A4AFB">
        <w:rPr>
          <w:rFonts w:ascii="Times New Roman" w:hAnsi="Times New Roman" w:cs="Times New Roman"/>
          <w:color w:val="000000" w:themeColor="text1"/>
          <w:sz w:val="24"/>
          <w:szCs w:val="24"/>
        </w:rPr>
        <w:t xml:space="preserve"> the relevant categories; lists should be provided in order to clear any ambiguity.</w:t>
      </w:r>
    </w:p>
    <w:p w14:paraId="1B2FF987" w14:textId="77777777" w:rsidR="00241301" w:rsidRPr="004A4AFB" w:rsidRDefault="00241301" w:rsidP="00A873A4">
      <w:pPr>
        <w:autoSpaceDE w:val="0"/>
        <w:autoSpaceDN w:val="0"/>
        <w:adjustRightInd w:val="0"/>
        <w:spacing w:after="0"/>
        <w:ind w:left="708"/>
        <w:jc w:val="both"/>
        <w:rPr>
          <w:rFonts w:ascii="Times New Roman" w:hAnsi="Times New Roman" w:cs="Times New Roman"/>
          <w:color w:val="000000" w:themeColor="text1"/>
          <w:sz w:val="24"/>
          <w:szCs w:val="24"/>
        </w:rPr>
      </w:pPr>
    </w:p>
    <w:p w14:paraId="662F5CDD" w14:textId="77777777" w:rsidR="00241301" w:rsidRPr="004A4AFB" w:rsidRDefault="00241301" w:rsidP="00630AFA">
      <w:pPr>
        <w:pStyle w:val="Paragraphedeliste"/>
        <w:numPr>
          <w:ilvl w:val="0"/>
          <w:numId w:val="23"/>
        </w:numPr>
        <w:autoSpaceDE w:val="0"/>
        <w:autoSpaceDN w:val="0"/>
        <w:adjustRightInd w:val="0"/>
        <w:spacing w:after="119"/>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Risk factors that may be relevant when considering the risk associated with a product, service or transaction’s transparency include: </w:t>
      </w:r>
    </w:p>
    <w:p w14:paraId="420A6F37" w14:textId="77777777" w:rsidR="000B2EA7" w:rsidRPr="004A4AFB" w:rsidRDefault="00241301" w:rsidP="00630AFA">
      <w:pPr>
        <w:pStyle w:val="Paragraphedeliste"/>
        <w:numPr>
          <w:ilvl w:val="1"/>
          <w:numId w:val="23"/>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To what extent do products or services facilitate or allow anonymity or opaqueness of customer, ownership or beneficiary structures, for example certain pooled accounts, bearer shares, fiduciary deposits, offshore and certain onshore trusts and dealings with shell companies? </w:t>
      </w:r>
    </w:p>
    <w:p w14:paraId="25595E29" w14:textId="77777777" w:rsidR="00241301" w:rsidRPr="004A4AFB" w:rsidRDefault="00241301" w:rsidP="00630AFA">
      <w:pPr>
        <w:pStyle w:val="Paragraphedeliste"/>
        <w:numPr>
          <w:ilvl w:val="1"/>
          <w:numId w:val="23"/>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To what extent is it possible for a third party that is not part of the business relationship to give instructions, e.g. certain correspondent banking relationships? (n°26)</w:t>
      </w:r>
    </w:p>
    <w:p w14:paraId="707E01D0" w14:textId="77777777" w:rsidR="00241301" w:rsidRPr="004A4AFB" w:rsidRDefault="00241301" w:rsidP="00A873A4">
      <w:pPr>
        <w:pStyle w:val="Paragraphedeliste"/>
        <w:autoSpaceDE w:val="0"/>
        <w:autoSpaceDN w:val="0"/>
        <w:adjustRightInd w:val="0"/>
        <w:spacing w:after="0"/>
        <w:ind w:left="1440"/>
        <w:rPr>
          <w:rFonts w:ascii="Times New Roman" w:hAnsi="Times New Roman" w:cs="Times New Roman"/>
          <w:b/>
          <w:color w:val="000000" w:themeColor="text1"/>
          <w:sz w:val="24"/>
          <w:szCs w:val="24"/>
          <w:lang w:val="en-US"/>
        </w:rPr>
      </w:pPr>
    </w:p>
    <w:p w14:paraId="20A7C612" w14:textId="6BE9FA91" w:rsidR="005568A3" w:rsidRPr="004A4AFB" w:rsidRDefault="00271B34" w:rsidP="00370166">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Taking into account</w:t>
      </w:r>
      <w:r w:rsidR="005568A3" w:rsidRPr="004A4AFB">
        <w:rPr>
          <w:rFonts w:ascii="Times New Roman" w:hAnsi="Times New Roman" w:cs="Times New Roman"/>
          <w:color w:val="000000" w:themeColor="text1"/>
          <w:sz w:val="24"/>
          <w:szCs w:val="24"/>
        </w:rPr>
        <w:t xml:space="preserve"> the form of investment in </w:t>
      </w:r>
      <w:r w:rsidR="00966B31" w:rsidRPr="004A4AFB">
        <w:rPr>
          <w:rFonts w:ascii="Times New Roman" w:hAnsi="Times New Roman" w:cs="Times New Roman"/>
          <w:color w:val="000000" w:themeColor="text1"/>
          <w:sz w:val="24"/>
          <w:szCs w:val="24"/>
        </w:rPr>
        <w:t>collective investment schemes</w:t>
      </w:r>
      <w:r w:rsidR="005568A3" w:rsidRPr="004A4AFB">
        <w:rPr>
          <w:rFonts w:ascii="Times New Roman" w:hAnsi="Times New Roman" w:cs="Times New Roman"/>
          <w:color w:val="000000" w:themeColor="text1"/>
          <w:sz w:val="24"/>
          <w:szCs w:val="24"/>
        </w:rPr>
        <w:t xml:space="preserve">, which </w:t>
      </w:r>
      <w:proofErr w:type="gramStart"/>
      <w:r w:rsidR="005568A3" w:rsidRPr="004A4AFB">
        <w:rPr>
          <w:rFonts w:ascii="Times New Roman" w:hAnsi="Times New Roman" w:cs="Times New Roman"/>
          <w:color w:val="000000" w:themeColor="text1"/>
          <w:sz w:val="24"/>
          <w:szCs w:val="24"/>
        </w:rPr>
        <w:t>are mostly held</w:t>
      </w:r>
      <w:proofErr w:type="gramEnd"/>
      <w:r w:rsidR="005568A3" w:rsidRPr="004A4AFB">
        <w:rPr>
          <w:rFonts w:ascii="Times New Roman" w:hAnsi="Times New Roman" w:cs="Times New Roman"/>
          <w:color w:val="000000" w:themeColor="text1"/>
          <w:sz w:val="24"/>
          <w:szCs w:val="24"/>
        </w:rPr>
        <w:t xml:space="preserve"> in bearer form</w:t>
      </w:r>
      <w:r w:rsidR="00966B31" w:rsidRPr="004A4AFB">
        <w:rPr>
          <w:rFonts w:ascii="Times New Roman" w:hAnsi="Times New Roman" w:cs="Times New Roman"/>
          <w:color w:val="000000" w:themeColor="text1"/>
          <w:sz w:val="24"/>
          <w:szCs w:val="24"/>
        </w:rPr>
        <w:t xml:space="preserve">, they </w:t>
      </w:r>
      <w:r w:rsidR="005568A3" w:rsidRPr="004A4AFB">
        <w:rPr>
          <w:rFonts w:ascii="Times New Roman" w:hAnsi="Times New Roman" w:cs="Times New Roman"/>
          <w:color w:val="000000" w:themeColor="text1"/>
          <w:sz w:val="24"/>
          <w:szCs w:val="24"/>
        </w:rPr>
        <w:t xml:space="preserve">should not systematically be considered as products facilitating anonymity. It would </w:t>
      </w:r>
      <w:r w:rsidRPr="004A4AFB">
        <w:rPr>
          <w:rFonts w:ascii="Times New Roman" w:hAnsi="Times New Roman" w:cs="Times New Roman"/>
          <w:color w:val="000000" w:themeColor="text1"/>
          <w:sz w:val="24"/>
          <w:szCs w:val="24"/>
        </w:rPr>
        <w:t xml:space="preserve">therefore </w:t>
      </w:r>
      <w:r w:rsidR="005568A3" w:rsidRPr="004A4AFB">
        <w:rPr>
          <w:rFonts w:ascii="Times New Roman" w:hAnsi="Times New Roman" w:cs="Times New Roman"/>
          <w:color w:val="000000" w:themeColor="text1"/>
          <w:sz w:val="24"/>
          <w:szCs w:val="24"/>
        </w:rPr>
        <w:t xml:space="preserve">be useful to specify that this </w:t>
      </w:r>
      <w:r w:rsidR="003C22AE" w:rsidRPr="004A4AFB">
        <w:rPr>
          <w:rFonts w:ascii="Times New Roman" w:hAnsi="Times New Roman" w:cs="Times New Roman"/>
          <w:color w:val="000000" w:themeColor="text1"/>
          <w:sz w:val="24"/>
          <w:szCs w:val="24"/>
        </w:rPr>
        <w:t xml:space="preserve">does not </w:t>
      </w:r>
      <w:r w:rsidR="007E34D3" w:rsidRPr="004A4AFB">
        <w:rPr>
          <w:rFonts w:ascii="Times New Roman" w:hAnsi="Times New Roman" w:cs="Times New Roman"/>
          <w:color w:val="000000" w:themeColor="text1"/>
          <w:sz w:val="24"/>
          <w:szCs w:val="24"/>
        </w:rPr>
        <w:t>concern</w:t>
      </w:r>
      <w:r w:rsidR="002753EF" w:rsidRPr="004A4AFB">
        <w:rPr>
          <w:rFonts w:ascii="Times New Roman" w:hAnsi="Times New Roman" w:cs="Times New Roman"/>
          <w:color w:val="000000" w:themeColor="text1"/>
          <w:sz w:val="24"/>
          <w:szCs w:val="24"/>
        </w:rPr>
        <w:t xml:space="preserve"> mutual funds</w:t>
      </w:r>
      <w:r w:rsidR="005568A3" w:rsidRPr="004A4AFB">
        <w:rPr>
          <w:rFonts w:ascii="Times New Roman" w:hAnsi="Times New Roman" w:cs="Times New Roman"/>
          <w:color w:val="000000" w:themeColor="text1"/>
          <w:sz w:val="24"/>
          <w:szCs w:val="24"/>
        </w:rPr>
        <w:t>.</w:t>
      </w:r>
    </w:p>
    <w:p w14:paraId="22156F70" w14:textId="77777777" w:rsidR="00BD7315" w:rsidRPr="004A4AFB" w:rsidRDefault="00BD7315" w:rsidP="00A873A4">
      <w:pPr>
        <w:autoSpaceDE w:val="0"/>
        <w:autoSpaceDN w:val="0"/>
        <w:adjustRightInd w:val="0"/>
        <w:spacing w:after="0"/>
        <w:rPr>
          <w:rFonts w:ascii="Times New Roman" w:hAnsi="Times New Roman" w:cs="Times New Roman"/>
          <w:color w:val="000000" w:themeColor="text1"/>
          <w:sz w:val="24"/>
          <w:szCs w:val="24"/>
        </w:rPr>
      </w:pPr>
    </w:p>
    <w:p w14:paraId="2B60D4C9" w14:textId="77777777" w:rsidR="0001042A" w:rsidRPr="004A4AFB" w:rsidRDefault="0001042A" w:rsidP="00A873A4">
      <w:pPr>
        <w:pStyle w:val="Paragraphedeliste"/>
        <w:numPr>
          <w:ilvl w:val="0"/>
          <w:numId w:val="23"/>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Where a firm does not develop automated systems to allocate overall risk scores to </w:t>
      </w:r>
      <w:proofErr w:type="spellStart"/>
      <w:r w:rsidRPr="004A4AFB">
        <w:rPr>
          <w:rFonts w:ascii="Times New Roman" w:hAnsi="Times New Roman" w:cs="Times New Roman"/>
          <w:b/>
          <w:color w:val="000000" w:themeColor="text1"/>
          <w:sz w:val="24"/>
          <w:szCs w:val="24"/>
          <w:lang w:val="en-US"/>
        </w:rPr>
        <w:t>categorise</w:t>
      </w:r>
      <w:proofErr w:type="spellEnd"/>
      <w:r w:rsidRPr="004A4AFB">
        <w:rPr>
          <w:rFonts w:ascii="Times New Roman" w:hAnsi="Times New Roman" w:cs="Times New Roman"/>
          <w:b/>
          <w:color w:val="000000" w:themeColor="text1"/>
          <w:sz w:val="24"/>
          <w:szCs w:val="24"/>
          <w:lang w:val="en-US"/>
        </w:rPr>
        <w:t xml:space="preserve"> business relationships or occasional transactions in house but purchases them from an external provider, it should understand how the system works and how it combines risk factors to achieve an overall risk score. Firm must always be able to satisfy itself that the scores allocated reflect the </w:t>
      </w:r>
      <w:proofErr w:type="gramStart"/>
      <w:r w:rsidRPr="004A4AFB">
        <w:rPr>
          <w:rFonts w:ascii="Times New Roman" w:hAnsi="Times New Roman" w:cs="Times New Roman"/>
          <w:b/>
          <w:color w:val="000000" w:themeColor="text1"/>
          <w:sz w:val="24"/>
          <w:szCs w:val="24"/>
          <w:lang w:val="en-US"/>
        </w:rPr>
        <w:t>firm’s understanding</w:t>
      </w:r>
      <w:proofErr w:type="gramEnd"/>
      <w:r w:rsidRPr="004A4AFB">
        <w:rPr>
          <w:rFonts w:ascii="Times New Roman" w:hAnsi="Times New Roman" w:cs="Times New Roman"/>
          <w:b/>
          <w:color w:val="000000" w:themeColor="text1"/>
          <w:sz w:val="24"/>
          <w:szCs w:val="24"/>
          <w:lang w:val="en-US"/>
        </w:rPr>
        <w:t xml:space="preserve"> of ML/TF risk and it should be able to demonstrate this to the competent authority. (n°35)</w:t>
      </w:r>
    </w:p>
    <w:p w14:paraId="3CCFE63B" w14:textId="77777777" w:rsidR="0001042A" w:rsidRPr="004A4AFB" w:rsidRDefault="0001042A" w:rsidP="00A873A4">
      <w:pPr>
        <w:pStyle w:val="Paragraphedeliste"/>
        <w:autoSpaceDE w:val="0"/>
        <w:autoSpaceDN w:val="0"/>
        <w:adjustRightInd w:val="0"/>
        <w:spacing w:after="0"/>
        <w:rPr>
          <w:rFonts w:ascii="Times New Roman" w:hAnsi="Times New Roman" w:cs="Times New Roman"/>
          <w:b/>
          <w:color w:val="000000" w:themeColor="text1"/>
          <w:sz w:val="24"/>
          <w:szCs w:val="24"/>
          <w:lang w:val="en-US"/>
        </w:rPr>
      </w:pPr>
    </w:p>
    <w:p w14:paraId="18FF0F9C" w14:textId="5F01CA09" w:rsidR="00860543" w:rsidRPr="004A4AFB" w:rsidRDefault="00860543"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w:t>
      </w:r>
      <w:r w:rsidR="007D03D6">
        <w:rPr>
          <w:rFonts w:ascii="Times New Roman" w:hAnsi="Times New Roman" w:cs="Times New Roman"/>
          <w:color w:val="000000" w:themeColor="text1"/>
          <w:sz w:val="24"/>
          <w:szCs w:val="24"/>
        </w:rPr>
        <w:t>is important that the adequacy</w:t>
      </w:r>
      <w:r w:rsidRPr="004A4AFB">
        <w:rPr>
          <w:rFonts w:ascii="Times New Roman" w:hAnsi="Times New Roman" w:cs="Times New Roman"/>
          <w:color w:val="000000" w:themeColor="text1"/>
          <w:sz w:val="24"/>
          <w:szCs w:val="24"/>
        </w:rPr>
        <w:t xml:space="preserve"> of the scheme is </w:t>
      </w:r>
      <w:r w:rsidR="002F56F6" w:rsidRPr="004A4AFB">
        <w:rPr>
          <w:rFonts w:ascii="Times New Roman" w:hAnsi="Times New Roman" w:cs="Times New Roman"/>
          <w:color w:val="000000" w:themeColor="text1"/>
          <w:sz w:val="24"/>
          <w:szCs w:val="24"/>
        </w:rPr>
        <w:t>assessed</w:t>
      </w:r>
      <w:r w:rsidRPr="004A4AFB">
        <w:rPr>
          <w:rFonts w:ascii="Times New Roman" w:hAnsi="Times New Roman" w:cs="Times New Roman"/>
          <w:color w:val="000000" w:themeColor="text1"/>
          <w:sz w:val="24"/>
          <w:szCs w:val="24"/>
        </w:rPr>
        <w:t xml:space="preserve"> taking into account the organisational choices </w:t>
      </w:r>
      <w:r w:rsidR="00516838" w:rsidRPr="004A4AFB">
        <w:rPr>
          <w:rFonts w:ascii="Times New Roman" w:hAnsi="Times New Roman" w:cs="Times New Roman"/>
          <w:color w:val="000000" w:themeColor="text1"/>
          <w:sz w:val="24"/>
          <w:szCs w:val="24"/>
        </w:rPr>
        <w:t>made by the management compa</w:t>
      </w:r>
      <w:r w:rsidRPr="004A4AFB">
        <w:rPr>
          <w:rFonts w:ascii="Times New Roman" w:hAnsi="Times New Roman" w:cs="Times New Roman"/>
          <w:color w:val="000000" w:themeColor="text1"/>
          <w:sz w:val="24"/>
          <w:szCs w:val="24"/>
        </w:rPr>
        <w:t>ny</w:t>
      </w:r>
      <w:r w:rsidR="00516838"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which are </w:t>
      </w:r>
      <w:r w:rsidR="00ED2D77" w:rsidRPr="004A4AFB">
        <w:rPr>
          <w:rFonts w:ascii="Times New Roman" w:hAnsi="Times New Roman" w:cs="Times New Roman"/>
          <w:color w:val="000000" w:themeColor="text1"/>
          <w:sz w:val="24"/>
          <w:szCs w:val="24"/>
        </w:rPr>
        <w:t xml:space="preserve">by nature </w:t>
      </w:r>
      <w:r w:rsidR="00BF15E9" w:rsidRPr="004A4AFB">
        <w:rPr>
          <w:rFonts w:ascii="Times New Roman" w:hAnsi="Times New Roman" w:cs="Times New Roman"/>
          <w:color w:val="000000" w:themeColor="text1"/>
          <w:sz w:val="24"/>
          <w:szCs w:val="24"/>
        </w:rPr>
        <w:t>varied</w:t>
      </w:r>
      <w:r w:rsidRPr="004A4AFB">
        <w:rPr>
          <w:rFonts w:ascii="Times New Roman" w:hAnsi="Times New Roman" w:cs="Times New Roman"/>
          <w:color w:val="000000" w:themeColor="text1"/>
          <w:sz w:val="24"/>
          <w:szCs w:val="24"/>
        </w:rPr>
        <w:t>.</w:t>
      </w:r>
    </w:p>
    <w:p w14:paraId="7FE396A0" w14:textId="77777777" w:rsidR="00444700" w:rsidRPr="004A4AFB" w:rsidRDefault="00444700" w:rsidP="00A873A4">
      <w:pPr>
        <w:autoSpaceDE w:val="0"/>
        <w:autoSpaceDN w:val="0"/>
        <w:adjustRightInd w:val="0"/>
        <w:spacing w:after="0"/>
        <w:jc w:val="both"/>
        <w:rPr>
          <w:rFonts w:ascii="Times New Roman" w:hAnsi="Times New Roman" w:cs="Times New Roman"/>
          <w:color w:val="000000" w:themeColor="text1"/>
          <w:sz w:val="24"/>
          <w:szCs w:val="24"/>
        </w:rPr>
      </w:pPr>
    </w:p>
    <w:p w14:paraId="59166EA9" w14:textId="77777777" w:rsidR="009B4B63" w:rsidRPr="004A4AFB" w:rsidRDefault="009B4B63"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why the customer looks for a specific product or service, in particular where it is unclear why the customer’s needs cannot be met better in another way, or in a different jurisdiction; (n°57 ii- b)</w:t>
      </w:r>
    </w:p>
    <w:p w14:paraId="4CA03105" w14:textId="77777777" w:rsidR="009B4B63" w:rsidRPr="004A4AFB" w:rsidRDefault="009B4B63" w:rsidP="00A873A4">
      <w:pPr>
        <w:pStyle w:val="Paragraphedeliste"/>
        <w:autoSpaceDE w:val="0"/>
        <w:autoSpaceDN w:val="0"/>
        <w:adjustRightInd w:val="0"/>
        <w:spacing w:after="0"/>
        <w:jc w:val="both"/>
        <w:rPr>
          <w:rFonts w:ascii="Times New Roman" w:hAnsi="Times New Roman" w:cs="Times New Roman"/>
          <w:color w:val="000000" w:themeColor="text1"/>
          <w:sz w:val="24"/>
          <w:szCs w:val="24"/>
          <w:lang w:val="en-US"/>
        </w:rPr>
      </w:pPr>
    </w:p>
    <w:p w14:paraId="2A227115" w14:textId="0EC2DE46" w:rsidR="00444700" w:rsidRPr="004A4AFB" w:rsidRDefault="006A1176"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is not possible for a management company to have a global </w:t>
      </w:r>
      <w:proofErr w:type="gramStart"/>
      <w:r w:rsidRPr="004A4AFB">
        <w:rPr>
          <w:rFonts w:ascii="Times New Roman" w:hAnsi="Times New Roman" w:cs="Times New Roman"/>
          <w:color w:val="000000" w:themeColor="text1"/>
          <w:sz w:val="24"/>
          <w:szCs w:val="24"/>
        </w:rPr>
        <w:t xml:space="preserve">vision </w:t>
      </w:r>
      <w:r w:rsidR="00ED2D77" w:rsidRPr="004A4AFB">
        <w:rPr>
          <w:rFonts w:ascii="Times New Roman" w:hAnsi="Times New Roman" w:cs="Times New Roman"/>
          <w:color w:val="000000" w:themeColor="text1"/>
          <w:sz w:val="24"/>
          <w:szCs w:val="24"/>
        </w:rPr>
        <w:t>which</w:t>
      </w:r>
      <w:proofErr w:type="gramEnd"/>
      <w:r w:rsidR="00ED2D77" w:rsidRPr="004A4AFB">
        <w:rPr>
          <w:rFonts w:ascii="Times New Roman" w:hAnsi="Times New Roman" w:cs="Times New Roman"/>
          <w:color w:val="000000" w:themeColor="text1"/>
          <w:sz w:val="24"/>
          <w:szCs w:val="24"/>
        </w:rPr>
        <w:t xml:space="preserve"> would cover</w:t>
      </w:r>
      <w:r w:rsidRPr="004A4AFB">
        <w:rPr>
          <w:rFonts w:ascii="Times New Roman" w:hAnsi="Times New Roman" w:cs="Times New Roman"/>
          <w:color w:val="000000" w:themeColor="text1"/>
          <w:sz w:val="24"/>
          <w:szCs w:val="24"/>
        </w:rPr>
        <w:t xml:space="preserve"> all the equivalent products of all its competitors world</w:t>
      </w:r>
      <w:r w:rsidR="0047465C" w:rsidRPr="004A4AFB">
        <w:rPr>
          <w:rFonts w:ascii="Times New Roman" w:hAnsi="Times New Roman" w:cs="Times New Roman"/>
          <w:color w:val="000000" w:themeColor="text1"/>
          <w:sz w:val="24"/>
          <w:szCs w:val="24"/>
        </w:rPr>
        <w:t>wide</w:t>
      </w:r>
      <w:r w:rsidR="00CA01BE"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w:t>
      </w:r>
      <w:r w:rsidR="00CA01BE" w:rsidRPr="004A4AFB">
        <w:rPr>
          <w:rFonts w:ascii="Times New Roman" w:hAnsi="Times New Roman" w:cs="Times New Roman"/>
          <w:color w:val="000000" w:themeColor="text1"/>
          <w:sz w:val="24"/>
          <w:szCs w:val="24"/>
        </w:rPr>
        <w:t xml:space="preserve">furthermore, </w:t>
      </w:r>
      <w:r w:rsidRPr="004A4AFB">
        <w:rPr>
          <w:rFonts w:ascii="Times New Roman" w:hAnsi="Times New Roman" w:cs="Times New Roman"/>
          <w:color w:val="000000" w:themeColor="text1"/>
          <w:sz w:val="24"/>
          <w:szCs w:val="24"/>
        </w:rPr>
        <w:t xml:space="preserve">it is not its aim to </w:t>
      </w:r>
      <w:r w:rsidR="00CA01BE" w:rsidRPr="004A4AFB">
        <w:rPr>
          <w:rFonts w:ascii="Times New Roman" w:hAnsi="Times New Roman" w:cs="Times New Roman"/>
          <w:color w:val="000000" w:themeColor="text1"/>
          <w:sz w:val="24"/>
          <w:szCs w:val="24"/>
        </w:rPr>
        <w:t>address its</w:t>
      </w:r>
      <w:r w:rsidRPr="004A4AFB">
        <w:rPr>
          <w:rFonts w:ascii="Times New Roman" w:hAnsi="Times New Roman" w:cs="Times New Roman"/>
          <w:color w:val="000000" w:themeColor="text1"/>
          <w:sz w:val="24"/>
          <w:szCs w:val="24"/>
        </w:rPr>
        <w:t xml:space="preserve"> clients to competitors. </w:t>
      </w:r>
      <w:r w:rsidR="008A3A42" w:rsidRPr="004A4AFB">
        <w:rPr>
          <w:rFonts w:ascii="Times New Roman" w:hAnsi="Times New Roman" w:cs="Times New Roman"/>
          <w:color w:val="000000" w:themeColor="text1"/>
          <w:sz w:val="24"/>
          <w:szCs w:val="24"/>
        </w:rPr>
        <w:t>In our opinion</w:t>
      </w:r>
      <w:r w:rsidR="004F3897"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this sentence </w:t>
      </w:r>
      <w:proofErr w:type="gramStart"/>
      <w:r w:rsidRPr="004A4AFB">
        <w:rPr>
          <w:rFonts w:ascii="Times New Roman" w:hAnsi="Times New Roman" w:cs="Times New Roman"/>
          <w:color w:val="000000" w:themeColor="text1"/>
          <w:sz w:val="24"/>
          <w:szCs w:val="24"/>
        </w:rPr>
        <w:t>should be removed</w:t>
      </w:r>
      <w:proofErr w:type="gramEnd"/>
      <w:r w:rsidRPr="004A4AFB">
        <w:rPr>
          <w:rFonts w:ascii="Times New Roman" w:hAnsi="Times New Roman" w:cs="Times New Roman"/>
          <w:color w:val="000000" w:themeColor="text1"/>
          <w:sz w:val="24"/>
          <w:szCs w:val="24"/>
        </w:rPr>
        <w:t>.</w:t>
      </w:r>
      <w:r w:rsidR="00F11A07">
        <w:rPr>
          <w:rFonts w:ascii="Times New Roman" w:hAnsi="Times New Roman" w:cs="Times New Roman"/>
          <w:color w:val="000000" w:themeColor="text1"/>
          <w:sz w:val="24"/>
          <w:szCs w:val="24"/>
        </w:rPr>
        <w:t xml:space="preserve"> </w:t>
      </w:r>
    </w:p>
    <w:p w14:paraId="06590295" w14:textId="77ADA4A7" w:rsidR="00F27E9E" w:rsidRPr="004A4AFB" w:rsidRDefault="00FB3DDB" w:rsidP="00A873A4">
      <w:pPr>
        <w:rPr>
          <w:rFonts w:ascii="Times New Roman" w:hAnsi="Times New Roman" w:cs="Times New Roman"/>
          <w:b/>
          <w:color w:val="000000" w:themeColor="text1"/>
          <w:sz w:val="24"/>
          <w:szCs w:val="24"/>
          <w:u w:val="single"/>
        </w:rPr>
      </w:pPr>
      <w:r w:rsidRPr="004A4AFB">
        <w:rPr>
          <w:rFonts w:ascii="Times New Roman" w:hAnsi="Times New Roman" w:cs="Times New Roman"/>
          <w:b/>
          <w:color w:val="000000" w:themeColor="text1"/>
          <w:sz w:val="24"/>
          <w:szCs w:val="24"/>
          <w:u w:val="single"/>
        </w:rPr>
        <w:t>CHAPTER</w:t>
      </w:r>
      <w:r w:rsidR="00F27E9E" w:rsidRPr="004A4AFB">
        <w:rPr>
          <w:rFonts w:ascii="Times New Roman" w:hAnsi="Times New Roman" w:cs="Times New Roman"/>
          <w:b/>
          <w:color w:val="000000" w:themeColor="text1"/>
          <w:sz w:val="24"/>
          <w:szCs w:val="24"/>
          <w:u w:val="single"/>
        </w:rPr>
        <w:t xml:space="preserve"> 8</w:t>
      </w:r>
    </w:p>
    <w:p w14:paraId="592D5586" w14:textId="46E62E88" w:rsidR="00703B6B" w:rsidRPr="004A4AFB" w:rsidRDefault="00B75693"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This chapter </w:t>
      </w:r>
      <w:r w:rsidR="0047465C" w:rsidRPr="004A4AFB">
        <w:rPr>
          <w:rFonts w:ascii="Times New Roman" w:hAnsi="Times New Roman" w:cs="Times New Roman"/>
          <w:color w:val="000000" w:themeColor="text1"/>
          <w:sz w:val="24"/>
          <w:szCs w:val="24"/>
        </w:rPr>
        <w:t>aimed</w:t>
      </w:r>
      <w:r w:rsidRPr="004A4AFB">
        <w:rPr>
          <w:rFonts w:ascii="Times New Roman" w:hAnsi="Times New Roman" w:cs="Times New Roman"/>
          <w:color w:val="000000" w:themeColor="text1"/>
          <w:sz w:val="24"/>
          <w:szCs w:val="24"/>
        </w:rPr>
        <w:t xml:space="preserve"> more specifically </w:t>
      </w:r>
      <w:r w:rsidR="0072307C" w:rsidRPr="004A4AFB">
        <w:rPr>
          <w:rFonts w:ascii="Times New Roman" w:hAnsi="Times New Roman" w:cs="Times New Roman"/>
          <w:color w:val="000000" w:themeColor="text1"/>
          <w:sz w:val="24"/>
          <w:szCs w:val="24"/>
        </w:rPr>
        <w:t>at</w:t>
      </w:r>
      <w:r w:rsidRPr="004A4AFB">
        <w:rPr>
          <w:rFonts w:ascii="Times New Roman" w:hAnsi="Times New Roman" w:cs="Times New Roman"/>
          <w:color w:val="000000" w:themeColor="text1"/>
          <w:sz w:val="24"/>
          <w:szCs w:val="24"/>
        </w:rPr>
        <w:t xml:space="preserve"> management companies seems to provide a clear approach of the professi</w:t>
      </w:r>
      <w:r w:rsidR="00381E53">
        <w:rPr>
          <w:rFonts w:ascii="Times New Roman" w:hAnsi="Times New Roman" w:cs="Times New Roman"/>
          <w:color w:val="000000" w:themeColor="text1"/>
          <w:sz w:val="24"/>
          <w:szCs w:val="24"/>
        </w:rPr>
        <w:t>on of asset management. We</w:t>
      </w:r>
      <w:r w:rsidRPr="004A4AFB">
        <w:rPr>
          <w:rFonts w:ascii="Times New Roman" w:hAnsi="Times New Roman" w:cs="Times New Roman"/>
          <w:color w:val="000000" w:themeColor="text1"/>
          <w:sz w:val="24"/>
          <w:szCs w:val="24"/>
        </w:rPr>
        <w:t xml:space="preserve"> suggest </w:t>
      </w:r>
      <w:r w:rsidR="00381E53" w:rsidRPr="004A4AFB">
        <w:rPr>
          <w:rFonts w:ascii="Times New Roman" w:hAnsi="Times New Roman" w:cs="Times New Roman"/>
          <w:color w:val="000000" w:themeColor="text1"/>
          <w:sz w:val="24"/>
          <w:szCs w:val="24"/>
        </w:rPr>
        <w:t>however</w:t>
      </w:r>
      <w:r w:rsidR="00381E53" w:rsidRPr="004A4AFB">
        <w:rPr>
          <w:rFonts w:ascii="Times New Roman" w:hAnsi="Times New Roman" w:cs="Times New Roman"/>
          <w:color w:val="000000" w:themeColor="text1"/>
          <w:sz w:val="24"/>
          <w:szCs w:val="24"/>
        </w:rPr>
        <w:t xml:space="preserve"> </w:t>
      </w:r>
      <w:r w:rsidR="00E024FD" w:rsidRPr="004A4AFB">
        <w:rPr>
          <w:rFonts w:ascii="Times New Roman" w:hAnsi="Times New Roman" w:cs="Times New Roman"/>
          <w:color w:val="000000" w:themeColor="text1"/>
          <w:sz w:val="24"/>
          <w:szCs w:val="24"/>
        </w:rPr>
        <w:t>to clarify a few points</w:t>
      </w:r>
      <w:r w:rsidRPr="004A4AFB">
        <w:rPr>
          <w:rFonts w:ascii="Times New Roman" w:hAnsi="Times New Roman" w:cs="Times New Roman"/>
          <w:color w:val="000000" w:themeColor="text1"/>
          <w:sz w:val="24"/>
          <w:szCs w:val="24"/>
        </w:rPr>
        <w:t>.</w:t>
      </w:r>
    </w:p>
    <w:p w14:paraId="3B36DF2E" w14:textId="72461057" w:rsidR="005E07E8" w:rsidRPr="004A4AFB" w:rsidRDefault="002930A3" w:rsidP="00A873A4">
      <w:pPr>
        <w:autoSpaceDE w:val="0"/>
        <w:autoSpaceDN w:val="0"/>
        <w:adjustRightInd w:val="0"/>
        <w:spacing w:after="0"/>
        <w:jc w:val="both"/>
        <w:rPr>
          <w:rFonts w:ascii="Times New Roman" w:hAnsi="Times New Roman" w:cs="Times New Roman"/>
          <w:color w:val="000000" w:themeColor="text1"/>
          <w:sz w:val="24"/>
          <w:szCs w:val="24"/>
          <w:u w:val="single"/>
        </w:rPr>
      </w:pPr>
      <w:r w:rsidRPr="004A4AFB">
        <w:rPr>
          <w:rFonts w:ascii="Times New Roman" w:hAnsi="Times New Roman" w:cs="Times New Roman"/>
          <w:color w:val="000000" w:themeColor="text1"/>
          <w:sz w:val="24"/>
          <w:szCs w:val="24"/>
          <w:u w:val="single"/>
        </w:rPr>
        <w:t xml:space="preserve">The customer’s </w:t>
      </w:r>
      <w:r w:rsidR="00335AC4" w:rsidRPr="004A4AFB">
        <w:rPr>
          <w:rFonts w:ascii="Times New Roman" w:hAnsi="Times New Roman" w:cs="Times New Roman"/>
          <w:color w:val="000000" w:themeColor="text1"/>
          <w:sz w:val="24"/>
          <w:szCs w:val="24"/>
          <w:u w:val="single"/>
        </w:rPr>
        <w:t>behaviour</w:t>
      </w:r>
    </w:p>
    <w:p w14:paraId="042EA631" w14:textId="77777777" w:rsidR="00FB4648" w:rsidRPr="004A4AFB" w:rsidRDefault="00FB4648" w:rsidP="00A873A4">
      <w:pPr>
        <w:autoSpaceDE w:val="0"/>
        <w:autoSpaceDN w:val="0"/>
        <w:adjustRightInd w:val="0"/>
        <w:spacing w:after="0"/>
        <w:jc w:val="both"/>
        <w:rPr>
          <w:rFonts w:ascii="Times New Roman" w:hAnsi="Times New Roman" w:cs="Times New Roman"/>
          <w:color w:val="000000" w:themeColor="text1"/>
          <w:sz w:val="24"/>
          <w:szCs w:val="24"/>
          <w:u w:val="single"/>
        </w:rPr>
      </w:pPr>
    </w:p>
    <w:p w14:paraId="431CB7F6" w14:textId="77777777" w:rsidR="005E07E8" w:rsidRPr="004A4AFB" w:rsidRDefault="005E07E8"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the circumstances in which the customer makes use of the “cooling off” period gives rise to suspicion; (n°194- 6)</w:t>
      </w:r>
    </w:p>
    <w:p w14:paraId="5B929E9E" w14:textId="77777777" w:rsidR="00FB3DDB" w:rsidRPr="004A4AFB" w:rsidRDefault="00FB3DDB" w:rsidP="00A873A4">
      <w:pPr>
        <w:autoSpaceDE w:val="0"/>
        <w:autoSpaceDN w:val="0"/>
        <w:adjustRightInd w:val="0"/>
        <w:spacing w:after="0"/>
        <w:ind w:left="709"/>
        <w:jc w:val="both"/>
        <w:rPr>
          <w:rFonts w:ascii="Times New Roman" w:hAnsi="Times New Roman" w:cs="Times New Roman"/>
          <w:color w:val="000000" w:themeColor="text1"/>
          <w:sz w:val="24"/>
          <w:szCs w:val="24"/>
        </w:rPr>
      </w:pPr>
    </w:p>
    <w:p w14:paraId="3A5556A6" w14:textId="748B46BA" w:rsidR="00A83CA1" w:rsidRPr="004A4AFB" w:rsidRDefault="00A83CA1" w:rsidP="00A873A4">
      <w:pPr>
        <w:autoSpaceDE w:val="0"/>
        <w:autoSpaceDN w:val="0"/>
        <w:adjustRightInd w:val="0"/>
        <w:spacing w:after="0"/>
        <w:ind w:left="709"/>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Points </w:t>
      </w:r>
      <w:r w:rsidR="00E74261" w:rsidRPr="004A4AFB">
        <w:rPr>
          <w:rFonts w:ascii="Times New Roman" w:hAnsi="Times New Roman" w:cs="Times New Roman"/>
          <w:color w:val="000000" w:themeColor="text1"/>
          <w:sz w:val="24"/>
          <w:szCs w:val="24"/>
        </w:rPr>
        <w:t>raised in n</w:t>
      </w:r>
      <w:r w:rsidR="00E74261" w:rsidRPr="004A4AFB">
        <w:rPr>
          <w:rFonts w:ascii="Times New Roman" w:hAnsi="Times New Roman" w:cs="Times New Roman"/>
          <w:color w:val="000000" w:themeColor="text1"/>
          <w:sz w:val="24"/>
          <w:szCs w:val="24"/>
          <w:vertAlign w:val="superscript"/>
        </w:rPr>
        <w:t>o</w:t>
      </w:r>
      <w:r w:rsidR="00E74261" w:rsidRPr="004A4AFB">
        <w:rPr>
          <w:rFonts w:ascii="Times New Roman" w:hAnsi="Times New Roman" w:cs="Times New Roman"/>
          <w:color w:val="000000" w:themeColor="text1"/>
          <w:sz w:val="24"/>
          <w:szCs w:val="24"/>
        </w:rPr>
        <w:t xml:space="preserve"> 193 (Product, serv</w:t>
      </w:r>
      <w:r w:rsidR="00DA641C" w:rsidRPr="004A4AFB">
        <w:rPr>
          <w:rFonts w:ascii="Times New Roman" w:hAnsi="Times New Roman" w:cs="Times New Roman"/>
          <w:color w:val="000000" w:themeColor="text1"/>
          <w:sz w:val="24"/>
          <w:szCs w:val="24"/>
        </w:rPr>
        <w:t>ice or transaction risk factors</w:t>
      </w:r>
      <w:r w:rsidR="00E74261" w:rsidRPr="004A4AFB">
        <w:rPr>
          <w:rFonts w:ascii="Times New Roman" w:hAnsi="Times New Roman" w:cs="Times New Roman"/>
          <w:color w:val="000000" w:themeColor="text1"/>
          <w:sz w:val="24"/>
          <w:szCs w:val="24"/>
        </w:rPr>
        <w:t>) &amp; points 1 to 5 in n</w:t>
      </w:r>
      <w:r w:rsidR="00E74261" w:rsidRPr="004A4AFB">
        <w:rPr>
          <w:rFonts w:ascii="Times New Roman" w:hAnsi="Times New Roman" w:cs="Times New Roman"/>
          <w:color w:val="000000" w:themeColor="text1"/>
          <w:sz w:val="24"/>
          <w:szCs w:val="24"/>
          <w:vertAlign w:val="superscript"/>
        </w:rPr>
        <w:t>o</w:t>
      </w:r>
      <w:r w:rsidR="00E74261" w:rsidRPr="004A4AFB">
        <w:rPr>
          <w:rFonts w:ascii="Times New Roman" w:hAnsi="Times New Roman" w:cs="Times New Roman"/>
          <w:color w:val="000000" w:themeColor="text1"/>
          <w:sz w:val="24"/>
          <w:szCs w:val="24"/>
        </w:rPr>
        <w:t xml:space="preserve"> 194 (Customer or investor risk factors) are </w:t>
      </w:r>
      <w:proofErr w:type="gramStart"/>
      <w:r w:rsidR="00007077" w:rsidRPr="004A4AFB">
        <w:rPr>
          <w:rFonts w:ascii="Times New Roman" w:hAnsi="Times New Roman" w:cs="Times New Roman"/>
          <w:color w:val="000000" w:themeColor="text1"/>
          <w:sz w:val="24"/>
          <w:szCs w:val="24"/>
        </w:rPr>
        <w:t>well-known</w:t>
      </w:r>
      <w:proofErr w:type="gramEnd"/>
      <w:r w:rsidR="00DA641C" w:rsidRPr="004A4AFB">
        <w:rPr>
          <w:rFonts w:ascii="Times New Roman" w:hAnsi="Times New Roman" w:cs="Times New Roman"/>
          <w:color w:val="000000" w:themeColor="text1"/>
          <w:sz w:val="24"/>
          <w:szCs w:val="24"/>
        </w:rPr>
        <w:t>;</w:t>
      </w:r>
      <w:r w:rsidR="00E74261" w:rsidRPr="004A4AFB">
        <w:rPr>
          <w:rFonts w:ascii="Times New Roman" w:hAnsi="Times New Roman" w:cs="Times New Roman"/>
          <w:color w:val="000000" w:themeColor="text1"/>
          <w:sz w:val="24"/>
          <w:szCs w:val="24"/>
        </w:rPr>
        <w:t xml:space="preserve"> however, </w:t>
      </w:r>
      <w:r w:rsidR="003C0EBC">
        <w:rPr>
          <w:rFonts w:ascii="Times New Roman" w:hAnsi="Times New Roman" w:cs="Times New Roman"/>
          <w:color w:val="000000" w:themeColor="text1"/>
          <w:sz w:val="24"/>
          <w:szCs w:val="24"/>
        </w:rPr>
        <w:t>we wonder about the notion of “cooling period”</w:t>
      </w:r>
      <w:r w:rsidR="00E74261" w:rsidRPr="004A4AFB">
        <w:rPr>
          <w:rFonts w:ascii="Times New Roman" w:hAnsi="Times New Roman" w:cs="Times New Roman"/>
          <w:color w:val="000000" w:themeColor="text1"/>
          <w:sz w:val="24"/>
          <w:szCs w:val="24"/>
        </w:rPr>
        <w:t>.</w:t>
      </w:r>
    </w:p>
    <w:p w14:paraId="2AA5F7DC" w14:textId="77777777" w:rsidR="00E74261" w:rsidRPr="004A4AFB" w:rsidRDefault="00E74261" w:rsidP="00A873A4">
      <w:pPr>
        <w:autoSpaceDE w:val="0"/>
        <w:autoSpaceDN w:val="0"/>
        <w:adjustRightInd w:val="0"/>
        <w:spacing w:after="0"/>
        <w:ind w:left="709"/>
        <w:jc w:val="both"/>
        <w:rPr>
          <w:rFonts w:ascii="Times New Roman" w:hAnsi="Times New Roman" w:cs="Times New Roman"/>
          <w:color w:val="000000" w:themeColor="text1"/>
          <w:sz w:val="24"/>
          <w:szCs w:val="24"/>
        </w:rPr>
      </w:pPr>
    </w:p>
    <w:p w14:paraId="1A021167" w14:textId="77777777" w:rsidR="00976D5B" w:rsidRPr="004A4AFB" w:rsidRDefault="00976D5B"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proofErr w:type="gramStart"/>
      <w:r w:rsidRPr="004A4AFB">
        <w:rPr>
          <w:rFonts w:ascii="Times New Roman" w:hAnsi="Times New Roman" w:cs="Times New Roman"/>
          <w:b/>
          <w:color w:val="000000" w:themeColor="text1"/>
          <w:sz w:val="24"/>
          <w:szCs w:val="24"/>
          <w:lang w:val="en-US"/>
        </w:rPr>
        <w:t>using</w:t>
      </w:r>
      <w:proofErr w:type="gramEnd"/>
      <w:r w:rsidRPr="004A4AFB">
        <w:rPr>
          <w:rFonts w:ascii="Times New Roman" w:hAnsi="Times New Roman" w:cs="Times New Roman"/>
          <w:b/>
          <w:color w:val="000000" w:themeColor="text1"/>
          <w:sz w:val="24"/>
          <w:szCs w:val="24"/>
          <w:lang w:val="en-US"/>
        </w:rPr>
        <w:t xml:space="preserve"> multiple accounts without previous notification, especially when these accounts are held in multiple or high risk jurisdictions. (n°194- 7)</w:t>
      </w:r>
    </w:p>
    <w:p w14:paraId="22DBE84B" w14:textId="77777777" w:rsidR="00FB3DDB" w:rsidRPr="004A4AFB" w:rsidRDefault="00FB3DDB" w:rsidP="00A873A4">
      <w:pPr>
        <w:ind w:left="708"/>
        <w:jc w:val="both"/>
        <w:rPr>
          <w:rFonts w:ascii="Times New Roman" w:hAnsi="Times New Roman" w:cs="Times New Roman"/>
          <w:color w:val="000000" w:themeColor="text1"/>
          <w:sz w:val="24"/>
          <w:szCs w:val="24"/>
        </w:rPr>
      </w:pPr>
    </w:p>
    <w:p w14:paraId="35349D0E" w14:textId="548CA556" w:rsidR="00DA641C" w:rsidRPr="004A4AFB" w:rsidRDefault="00982199" w:rsidP="00A873A4">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Using</w:t>
      </w:r>
      <w:r w:rsidR="00DA641C" w:rsidRPr="004A4AFB">
        <w:rPr>
          <w:rFonts w:ascii="Times New Roman" w:hAnsi="Times New Roman" w:cs="Times New Roman"/>
          <w:color w:val="000000" w:themeColor="text1"/>
          <w:sz w:val="24"/>
          <w:szCs w:val="24"/>
        </w:rPr>
        <w:t xml:space="preserve"> several accounts is not in essence indicative</w:t>
      </w:r>
      <w:r w:rsidR="007616FB">
        <w:rPr>
          <w:rFonts w:ascii="Times New Roman" w:hAnsi="Times New Roman" w:cs="Times New Roman"/>
          <w:color w:val="000000" w:themeColor="text1"/>
          <w:sz w:val="24"/>
          <w:szCs w:val="24"/>
        </w:rPr>
        <w:t xml:space="preserve"> of a particularly high risk; “especially”</w:t>
      </w:r>
      <w:r w:rsidR="00DA641C" w:rsidRPr="004A4AFB">
        <w:rPr>
          <w:rFonts w:ascii="Times New Roman" w:hAnsi="Times New Roman" w:cs="Times New Roman"/>
          <w:color w:val="000000" w:themeColor="text1"/>
          <w:sz w:val="24"/>
          <w:szCs w:val="24"/>
        </w:rPr>
        <w:t xml:space="preserve"> </w:t>
      </w:r>
      <w:proofErr w:type="gramStart"/>
      <w:r w:rsidR="00DA641C" w:rsidRPr="004A4AFB">
        <w:rPr>
          <w:rFonts w:ascii="Times New Roman" w:hAnsi="Times New Roman" w:cs="Times New Roman"/>
          <w:color w:val="000000" w:themeColor="text1"/>
          <w:sz w:val="24"/>
          <w:szCs w:val="24"/>
        </w:rPr>
        <w:t>should be removed</w:t>
      </w:r>
      <w:proofErr w:type="gramEnd"/>
      <w:r w:rsidR="00DA641C" w:rsidRPr="004A4AFB">
        <w:rPr>
          <w:rFonts w:ascii="Times New Roman" w:hAnsi="Times New Roman" w:cs="Times New Roman"/>
          <w:color w:val="000000" w:themeColor="text1"/>
          <w:sz w:val="24"/>
          <w:szCs w:val="24"/>
        </w:rPr>
        <w:t xml:space="preserve">. </w:t>
      </w:r>
    </w:p>
    <w:p w14:paraId="76C56B3E" w14:textId="77777777" w:rsidR="002930A3" w:rsidRPr="004A4AFB" w:rsidRDefault="002930A3" w:rsidP="00A873A4">
      <w:pPr>
        <w:autoSpaceDE w:val="0"/>
        <w:autoSpaceDN w:val="0"/>
        <w:adjustRightInd w:val="0"/>
        <w:spacing w:after="0"/>
        <w:jc w:val="both"/>
        <w:rPr>
          <w:rFonts w:ascii="Times New Roman" w:hAnsi="Times New Roman" w:cs="Times New Roman"/>
          <w:color w:val="000000" w:themeColor="text1"/>
          <w:sz w:val="24"/>
          <w:szCs w:val="24"/>
          <w:u w:val="single"/>
          <w:lang w:val="en-US"/>
        </w:rPr>
      </w:pPr>
      <w:r w:rsidRPr="004A4AFB">
        <w:rPr>
          <w:rFonts w:ascii="Times New Roman" w:hAnsi="Times New Roman" w:cs="Times New Roman"/>
          <w:color w:val="000000" w:themeColor="text1"/>
          <w:sz w:val="24"/>
          <w:szCs w:val="24"/>
          <w:u w:val="single"/>
          <w:lang w:val="en-US"/>
        </w:rPr>
        <w:t>The customer’s nature</w:t>
      </w:r>
      <w:r w:rsidR="00413D1F" w:rsidRPr="004A4AFB">
        <w:rPr>
          <w:rFonts w:ascii="Times New Roman" w:hAnsi="Times New Roman" w:cs="Times New Roman"/>
          <w:color w:val="000000" w:themeColor="text1"/>
          <w:sz w:val="24"/>
          <w:szCs w:val="24"/>
          <w:u w:val="single"/>
          <w:lang w:val="en-US"/>
        </w:rPr>
        <w:t xml:space="preserve"> (page 74)</w:t>
      </w:r>
    </w:p>
    <w:p w14:paraId="4D733962" w14:textId="77777777" w:rsidR="00FB4648" w:rsidRPr="004A4AFB" w:rsidRDefault="00FB4648" w:rsidP="00A873A4">
      <w:pPr>
        <w:autoSpaceDE w:val="0"/>
        <w:autoSpaceDN w:val="0"/>
        <w:adjustRightInd w:val="0"/>
        <w:spacing w:after="0"/>
        <w:jc w:val="both"/>
        <w:rPr>
          <w:rFonts w:ascii="Times New Roman" w:hAnsi="Times New Roman" w:cs="Times New Roman"/>
          <w:color w:val="000000" w:themeColor="text1"/>
          <w:sz w:val="24"/>
          <w:szCs w:val="24"/>
          <w:u w:val="single"/>
          <w:lang w:val="en-US"/>
        </w:rPr>
      </w:pPr>
    </w:p>
    <w:p w14:paraId="0EB01AD1" w14:textId="77777777" w:rsidR="00975C04" w:rsidRPr="004A4AFB" w:rsidRDefault="00975C04"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the customer is an unregulated fund who carries out little or no due diligence on its underlying investors; </w:t>
      </w:r>
    </w:p>
    <w:p w14:paraId="15018FFB" w14:textId="77777777" w:rsidR="002A38BD" w:rsidRPr="004A4AFB" w:rsidRDefault="002A38BD" w:rsidP="00A873A4">
      <w:pPr>
        <w:autoSpaceDE w:val="0"/>
        <w:autoSpaceDN w:val="0"/>
        <w:adjustRightInd w:val="0"/>
        <w:spacing w:after="0"/>
        <w:ind w:left="708"/>
        <w:jc w:val="both"/>
        <w:rPr>
          <w:rFonts w:ascii="Times New Roman" w:hAnsi="Times New Roman" w:cs="Times New Roman"/>
          <w:color w:val="000000" w:themeColor="text1"/>
          <w:sz w:val="24"/>
          <w:szCs w:val="24"/>
          <w:lang w:val="en-US"/>
        </w:rPr>
      </w:pPr>
    </w:p>
    <w:p w14:paraId="46A6D210" w14:textId="7253C2D5" w:rsidR="00280434" w:rsidRPr="004A4AFB" w:rsidRDefault="00280434"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The wording used</w:t>
      </w:r>
      <w:r w:rsidR="00124878" w:rsidRPr="004A4AFB">
        <w:rPr>
          <w:rFonts w:ascii="Times New Roman" w:hAnsi="Times New Roman" w:cs="Times New Roman"/>
          <w:color w:val="000000" w:themeColor="text1"/>
          <w:sz w:val="24"/>
          <w:szCs w:val="24"/>
        </w:rPr>
        <w:t xml:space="preserve"> here</w:t>
      </w:r>
      <w:r w:rsidRPr="004A4AFB">
        <w:rPr>
          <w:rFonts w:ascii="Times New Roman" w:hAnsi="Times New Roman" w:cs="Times New Roman"/>
          <w:color w:val="000000" w:themeColor="text1"/>
          <w:sz w:val="24"/>
          <w:szCs w:val="24"/>
        </w:rPr>
        <w:t xml:space="preserve"> is more relevant to the British than to the French framework. We </w:t>
      </w:r>
      <w:r w:rsidR="008255B4">
        <w:rPr>
          <w:rFonts w:ascii="Times New Roman" w:hAnsi="Times New Roman" w:cs="Times New Roman"/>
          <w:color w:val="000000" w:themeColor="text1"/>
          <w:sz w:val="24"/>
          <w:szCs w:val="24"/>
        </w:rPr>
        <w:t>call for</w:t>
      </w:r>
      <w:r w:rsidRPr="004A4AFB">
        <w:rPr>
          <w:rFonts w:ascii="Times New Roman" w:hAnsi="Times New Roman" w:cs="Times New Roman"/>
          <w:color w:val="000000" w:themeColor="text1"/>
          <w:sz w:val="24"/>
          <w:szCs w:val="24"/>
        </w:rPr>
        <w:t xml:space="preserve"> the </w:t>
      </w:r>
      <w:r w:rsidR="00534EEE">
        <w:rPr>
          <w:rFonts w:ascii="Times New Roman" w:hAnsi="Times New Roman" w:cs="Times New Roman"/>
          <w:color w:val="000000" w:themeColor="text1"/>
          <w:sz w:val="24"/>
          <w:szCs w:val="24"/>
        </w:rPr>
        <w:t xml:space="preserve">considered </w:t>
      </w:r>
      <w:r w:rsidRPr="004A4AFB">
        <w:rPr>
          <w:rFonts w:ascii="Times New Roman" w:hAnsi="Times New Roman" w:cs="Times New Roman"/>
          <w:color w:val="000000" w:themeColor="text1"/>
          <w:sz w:val="24"/>
          <w:szCs w:val="24"/>
        </w:rPr>
        <w:t xml:space="preserve">legal structure </w:t>
      </w:r>
      <w:r w:rsidR="008255B4">
        <w:rPr>
          <w:rFonts w:ascii="Times New Roman" w:hAnsi="Times New Roman" w:cs="Times New Roman"/>
          <w:color w:val="000000" w:themeColor="text1"/>
          <w:sz w:val="24"/>
          <w:szCs w:val="24"/>
        </w:rPr>
        <w:t>to be</w:t>
      </w:r>
      <w:r w:rsidRPr="004A4AFB">
        <w:rPr>
          <w:rFonts w:ascii="Times New Roman" w:hAnsi="Times New Roman" w:cs="Times New Roman"/>
          <w:color w:val="000000" w:themeColor="text1"/>
          <w:sz w:val="24"/>
          <w:szCs w:val="24"/>
        </w:rPr>
        <w:t xml:space="preserve"> formally specified in relation to the French context (</w:t>
      </w:r>
      <w:r w:rsidR="009A2164" w:rsidRPr="004A4AFB">
        <w:rPr>
          <w:rFonts w:ascii="Times New Roman" w:hAnsi="Times New Roman" w:cs="Times New Roman"/>
          <w:color w:val="000000" w:themeColor="text1"/>
          <w:sz w:val="24"/>
          <w:szCs w:val="24"/>
        </w:rPr>
        <w:t xml:space="preserve">regulated </w:t>
      </w:r>
      <w:r w:rsidRPr="004A4AFB">
        <w:rPr>
          <w:rFonts w:ascii="Times New Roman" w:hAnsi="Times New Roman" w:cs="Times New Roman"/>
          <w:color w:val="000000" w:themeColor="text1"/>
          <w:sz w:val="24"/>
          <w:szCs w:val="24"/>
        </w:rPr>
        <w:t xml:space="preserve">management company managing a </w:t>
      </w:r>
      <w:proofErr w:type="spellStart"/>
      <w:proofErr w:type="gramStart"/>
      <w:r w:rsidRPr="004A4AFB">
        <w:rPr>
          <w:rFonts w:ascii="Times New Roman" w:hAnsi="Times New Roman" w:cs="Times New Roman"/>
          <w:color w:val="000000" w:themeColor="text1"/>
          <w:sz w:val="24"/>
          <w:szCs w:val="24"/>
        </w:rPr>
        <w:t>non regulated</w:t>
      </w:r>
      <w:proofErr w:type="spellEnd"/>
      <w:proofErr w:type="gramEnd"/>
      <w:r w:rsidRPr="004A4AFB">
        <w:rPr>
          <w:rFonts w:ascii="Times New Roman" w:hAnsi="Times New Roman" w:cs="Times New Roman"/>
          <w:color w:val="000000" w:themeColor="text1"/>
          <w:sz w:val="24"/>
          <w:szCs w:val="24"/>
        </w:rPr>
        <w:t xml:space="preserve"> fund).</w:t>
      </w:r>
    </w:p>
    <w:p w14:paraId="56038DFC" w14:textId="77777777" w:rsidR="00FB3DDB" w:rsidRPr="004A4AFB" w:rsidRDefault="00FB3DDB" w:rsidP="00A873A4">
      <w:pPr>
        <w:autoSpaceDE w:val="0"/>
        <w:autoSpaceDN w:val="0"/>
        <w:adjustRightInd w:val="0"/>
        <w:spacing w:after="0"/>
        <w:ind w:left="708"/>
        <w:jc w:val="both"/>
        <w:rPr>
          <w:rFonts w:ascii="Times New Roman" w:hAnsi="Times New Roman" w:cs="Times New Roman"/>
          <w:color w:val="000000" w:themeColor="text1"/>
          <w:sz w:val="24"/>
          <w:szCs w:val="24"/>
        </w:rPr>
      </w:pPr>
    </w:p>
    <w:p w14:paraId="5C28CB31" w14:textId="77777777" w:rsidR="00413D1F" w:rsidRPr="004A4AFB" w:rsidRDefault="00413D1F"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the customer is an unregulated third party investment vehicle, for example a hedge fund; </w:t>
      </w:r>
    </w:p>
    <w:p w14:paraId="1EF06E2D" w14:textId="77777777" w:rsidR="005D136E" w:rsidRPr="004A4AFB" w:rsidRDefault="005D136E" w:rsidP="00A873A4">
      <w:pPr>
        <w:autoSpaceDE w:val="0"/>
        <w:autoSpaceDN w:val="0"/>
        <w:adjustRightInd w:val="0"/>
        <w:spacing w:after="0"/>
        <w:ind w:left="708"/>
        <w:jc w:val="both"/>
        <w:rPr>
          <w:rFonts w:ascii="Times New Roman" w:hAnsi="Times New Roman" w:cs="Times New Roman"/>
          <w:color w:val="000000" w:themeColor="text1"/>
          <w:sz w:val="24"/>
          <w:szCs w:val="24"/>
        </w:rPr>
      </w:pPr>
    </w:p>
    <w:p w14:paraId="75FD6C34" w14:textId="1631EED0" w:rsidR="004C1C24" w:rsidRPr="004A4AFB" w:rsidRDefault="004C1C24" w:rsidP="00A873A4">
      <w:pPr>
        <w:autoSpaceDE w:val="0"/>
        <w:autoSpaceDN w:val="0"/>
        <w:adjustRightInd w:val="0"/>
        <w:spacing w:after="0"/>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The wording used </w:t>
      </w:r>
      <w:r w:rsidR="00C37C5C" w:rsidRPr="004A4AFB">
        <w:rPr>
          <w:rFonts w:ascii="Times New Roman" w:hAnsi="Times New Roman" w:cs="Times New Roman"/>
          <w:color w:val="000000" w:themeColor="text1"/>
          <w:sz w:val="24"/>
          <w:szCs w:val="24"/>
        </w:rPr>
        <w:t xml:space="preserve">here </w:t>
      </w:r>
      <w:r w:rsidRPr="004A4AFB">
        <w:rPr>
          <w:rFonts w:ascii="Times New Roman" w:hAnsi="Times New Roman" w:cs="Times New Roman"/>
          <w:color w:val="000000" w:themeColor="text1"/>
          <w:sz w:val="24"/>
          <w:szCs w:val="24"/>
        </w:rPr>
        <w:t xml:space="preserve">is more relevant to the British than to the French framework. The definition of what </w:t>
      </w:r>
      <w:proofErr w:type="gramStart"/>
      <w:r w:rsidRPr="004A4AFB">
        <w:rPr>
          <w:rFonts w:ascii="Times New Roman" w:hAnsi="Times New Roman" w:cs="Times New Roman"/>
          <w:color w:val="000000" w:themeColor="text1"/>
          <w:sz w:val="24"/>
          <w:szCs w:val="24"/>
        </w:rPr>
        <w:t>is understood</w:t>
      </w:r>
      <w:proofErr w:type="gramEnd"/>
      <w:r w:rsidRPr="004A4AFB">
        <w:rPr>
          <w:rFonts w:ascii="Times New Roman" w:hAnsi="Times New Roman" w:cs="Times New Roman"/>
          <w:color w:val="000000" w:themeColor="text1"/>
          <w:sz w:val="24"/>
          <w:szCs w:val="24"/>
        </w:rPr>
        <w:t xml:space="preserve"> under</w:t>
      </w:r>
      <w:r w:rsidR="003F13E2">
        <w:rPr>
          <w:rFonts w:ascii="Times New Roman" w:hAnsi="Times New Roman" w:cs="Times New Roman"/>
          <w:color w:val="000000" w:themeColor="text1"/>
          <w:sz w:val="24"/>
          <w:szCs w:val="24"/>
        </w:rPr>
        <w:t xml:space="preserve"> “hedge fund”</w:t>
      </w:r>
      <w:r w:rsidRPr="004A4AFB">
        <w:rPr>
          <w:rFonts w:ascii="Times New Roman" w:hAnsi="Times New Roman" w:cs="Times New Roman"/>
          <w:color w:val="000000" w:themeColor="text1"/>
          <w:sz w:val="24"/>
          <w:szCs w:val="24"/>
        </w:rPr>
        <w:t xml:space="preserve"> is missing. </w:t>
      </w:r>
    </w:p>
    <w:p w14:paraId="03C9BE5A" w14:textId="77777777" w:rsidR="004C1C24" w:rsidRPr="004A4AFB" w:rsidRDefault="004C1C24" w:rsidP="00A873A4">
      <w:pPr>
        <w:pStyle w:val="Default"/>
        <w:spacing w:line="276" w:lineRule="auto"/>
        <w:jc w:val="both"/>
        <w:rPr>
          <w:rFonts w:ascii="Times New Roman" w:hAnsi="Times New Roman" w:cs="Times New Roman"/>
          <w:b/>
          <w:color w:val="000000" w:themeColor="text1"/>
          <w:u w:val="single"/>
          <w:lang w:val="en-US"/>
        </w:rPr>
      </w:pPr>
    </w:p>
    <w:p w14:paraId="3C60E42B" w14:textId="231884CF" w:rsidR="00014688" w:rsidRPr="005D776A" w:rsidRDefault="00014688" w:rsidP="00A873A4">
      <w:pPr>
        <w:pStyle w:val="Default"/>
        <w:spacing w:line="276" w:lineRule="auto"/>
        <w:jc w:val="both"/>
        <w:rPr>
          <w:rFonts w:ascii="Times New Roman" w:hAnsi="Times New Roman" w:cs="Times New Roman"/>
          <w:b/>
          <w:color w:val="000000" w:themeColor="text1"/>
          <w:u w:val="single"/>
          <w:lang w:val="en-US"/>
        </w:rPr>
      </w:pPr>
      <w:r w:rsidRPr="004A4AFB">
        <w:rPr>
          <w:rFonts w:ascii="Times New Roman" w:hAnsi="Times New Roman" w:cs="Times New Roman"/>
          <w:b/>
          <w:color w:val="000000" w:themeColor="text1"/>
          <w:u w:val="single"/>
          <w:lang w:val="en-US"/>
        </w:rPr>
        <w:t xml:space="preserve">The customer’s business, for example </w:t>
      </w:r>
      <w:r w:rsidR="00837CE4" w:rsidRPr="004A4AFB">
        <w:rPr>
          <w:rFonts w:ascii="Times New Roman" w:hAnsi="Times New Roman" w:cs="Times New Roman"/>
          <w:b/>
          <w:color w:val="000000" w:themeColor="text1"/>
          <w:u w:val="single"/>
          <w:lang w:val="en-US"/>
        </w:rPr>
        <w:t>t</w:t>
      </w:r>
      <w:r w:rsidRPr="004A4AFB">
        <w:rPr>
          <w:rFonts w:ascii="Times New Roman" w:hAnsi="Times New Roman" w:cs="Times New Roman"/>
          <w:b/>
          <w:color w:val="000000" w:themeColor="text1"/>
          <w:u w:val="single"/>
          <w:lang w:val="en-US"/>
        </w:rPr>
        <w:t xml:space="preserve">he customer’s funds </w:t>
      </w:r>
      <w:proofErr w:type="gramStart"/>
      <w:r w:rsidRPr="004A4AFB">
        <w:rPr>
          <w:rFonts w:ascii="Times New Roman" w:hAnsi="Times New Roman" w:cs="Times New Roman"/>
          <w:b/>
          <w:color w:val="000000" w:themeColor="text1"/>
          <w:u w:val="single"/>
          <w:lang w:val="en-US"/>
        </w:rPr>
        <w:t>are derived</w:t>
      </w:r>
      <w:proofErr w:type="gramEnd"/>
      <w:r w:rsidRPr="004A4AFB">
        <w:rPr>
          <w:rFonts w:ascii="Times New Roman" w:hAnsi="Times New Roman" w:cs="Times New Roman"/>
          <w:b/>
          <w:color w:val="000000" w:themeColor="text1"/>
          <w:u w:val="single"/>
          <w:lang w:val="en-US"/>
        </w:rPr>
        <w:t xml:space="preserve"> from business in sectors that are associated with higher financial crime risk.  </w:t>
      </w:r>
      <w:r w:rsidRPr="005D776A">
        <w:rPr>
          <w:rFonts w:ascii="Times New Roman" w:hAnsi="Times New Roman" w:cs="Times New Roman"/>
          <w:b/>
          <w:color w:val="000000" w:themeColor="text1"/>
          <w:u w:val="single"/>
          <w:lang w:val="en-US"/>
        </w:rPr>
        <w:t>(</w:t>
      </w:r>
      <w:r w:rsidR="00335AC4" w:rsidRPr="005D776A">
        <w:rPr>
          <w:rFonts w:ascii="Times New Roman" w:hAnsi="Times New Roman" w:cs="Times New Roman"/>
          <w:b/>
          <w:color w:val="000000" w:themeColor="text1"/>
          <w:u w:val="single"/>
          <w:lang w:val="en-US"/>
        </w:rPr>
        <w:t>Page</w:t>
      </w:r>
      <w:r w:rsidRPr="005D776A">
        <w:rPr>
          <w:rFonts w:ascii="Times New Roman" w:hAnsi="Times New Roman" w:cs="Times New Roman"/>
          <w:b/>
          <w:color w:val="000000" w:themeColor="text1"/>
          <w:u w:val="single"/>
          <w:lang w:val="en-US"/>
        </w:rPr>
        <w:t xml:space="preserve"> 74)</w:t>
      </w:r>
    </w:p>
    <w:p w14:paraId="08BF74A4" w14:textId="77777777" w:rsidR="005D136E" w:rsidRPr="004A4AFB" w:rsidRDefault="005D136E" w:rsidP="00A873A4">
      <w:pPr>
        <w:autoSpaceDE w:val="0"/>
        <w:autoSpaceDN w:val="0"/>
        <w:adjustRightInd w:val="0"/>
        <w:spacing w:after="0"/>
        <w:ind w:left="360"/>
        <w:jc w:val="both"/>
        <w:rPr>
          <w:rFonts w:ascii="Times New Roman" w:hAnsi="Times New Roman" w:cs="Times New Roman"/>
          <w:color w:val="000000" w:themeColor="text1"/>
          <w:sz w:val="24"/>
          <w:szCs w:val="24"/>
        </w:rPr>
      </w:pPr>
    </w:p>
    <w:p w14:paraId="3EB40B60" w14:textId="04CE424A" w:rsidR="00E61962" w:rsidRPr="004A4AFB" w:rsidRDefault="00E61962" w:rsidP="00A873A4">
      <w:pPr>
        <w:autoSpaceDE w:val="0"/>
        <w:autoSpaceDN w:val="0"/>
        <w:adjustRightInd w:val="0"/>
        <w:spacing w:after="0"/>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The issue arises of activity sectors </w:t>
      </w:r>
      <w:r w:rsidR="00F92FEF" w:rsidRPr="004A4AFB">
        <w:rPr>
          <w:rFonts w:ascii="Times New Roman" w:hAnsi="Times New Roman" w:cs="Times New Roman"/>
          <w:color w:val="000000" w:themeColor="text1"/>
          <w:sz w:val="24"/>
          <w:szCs w:val="24"/>
        </w:rPr>
        <w:t xml:space="preserve">defined very widely </w:t>
      </w:r>
      <w:r w:rsidRPr="004A4AFB">
        <w:rPr>
          <w:rFonts w:ascii="Times New Roman" w:hAnsi="Times New Roman" w:cs="Times New Roman"/>
          <w:color w:val="000000" w:themeColor="text1"/>
          <w:sz w:val="24"/>
          <w:szCs w:val="24"/>
        </w:rPr>
        <w:t xml:space="preserve">(please refer to </w:t>
      </w:r>
      <w:r w:rsidR="00381E53">
        <w:rPr>
          <w:rFonts w:ascii="Times New Roman" w:hAnsi="Times New Roman" w:cs="Times New Roman"/>
          <w:color w:val="000000" w:themeColor="text1"/>
          <w:sz w:val="24"/>
          <w:szCs w:val="24"/>
        </w:rPr>
        <w:t>19-1</w:t>
      </w:r>
      <w:r w:rsidRPr="004A4AFB">
        <w:rPr>
          <w:rFonts w:ascii="Times New Roman" w:hAnsi="Times New Roman" w:cs="Times New Roman"/>
          <w:color w:val="000000" w:themeColor="text1"/>
          <w:sz w:val="24"/>
          <w:szCs w:val="24"/>
        </w:rPr>
        <w:t>)</w:t>
      </w:r>
      <w:r w:rsidR="00906E39" w:rsidRPr="004A4AFB">
        <w:rPr>
          <w:rFonts w:ascii="Times New Roman" w:hAnsi="Times New Roman" w:cs="Times New Roman"/>
          <w:color w:val="000000" w:themeColor="text1"/>
          <w:sz w:val="24"/>
          <w:szCs w:val="24"/>
        </w:rPr>
        <w:t xml:space="preserve">, leading </w:t>
      </w:r>
      <w:r w:rsidR="00E96AE3" w:rsidRPr="004A4AFB">
        <w:rPr>
          <w:rFonts w:ascii="Times New Roman" w:hAnsi="Times New Roman" w:cs="Times New Roman"/>
          <w:color w:val="000000" w:themeColor="text1"/>
          <w:sz w:val="24"/>
          <w:szCs w:val="24"/>
        </w:rPr>
        <w:t xml:space="preserve">in particular </w:t>
      </w:r>
      <w:r w:rsidR="00906E39" w:rsidRPr="004A4AFB">
        <w:rPr>
          <w:rFonts w:ascii="Times New Roman" w:hAnsi="Times New Roman" w:cs="Times New Roman"/>
          <w:color w:val="000000" w:themeColor="text1"/>
          <w:sz w:val="24"/>
          <w:szCs w:val="24"/>
        </w:rPr>
        <w:t xml:space="preserve">to the question of companies </w:t>
      </w:r>
      <w:r w:rsidR="00F92FEF" w:rsidRPr="004A4AFB">
        <w:rPr>
          <w:rFonts w:ascii="Times New Roman" w:hAnsi="Times New Roman" w:cs="Times New Roman"/>
          <w:color w:val="000000" w:themeColor="text1"/>
          <w:sz w:val="24"/>
          <w:szCs w:val="24"/>
        </w:rPr>
        <w:t xml:space="preserve">operating in these sectors and </w:t>
      </w:r>
      <w:r w:rsidR="00906E39" w:rsidRPr="004A4AFB">
        <w:rPr>
          <w:rFonts w:ascii="Times New Roman" w:hAnsi="Times New Roman" w:cs="Times New Roman"/>
          <w:color w:val="000000" w:themeColor="text1"/>
          <w:sz w:val="24"/>
          <w:szCs w:val="24"/>
        </w:rPr>
        <w:t xml:space="preserve">listed on a regulated market </w:t>
      </w:r>
      <w:r w:rsidR="00F92FEF" w:rsidRPr="004A4AFB">
        <w:rPr>
          <w:rFonts w:ascii="Times New Roman" w:hAnsi="Times New Roman" w:cs="Times New Roman"/>
          <w:color w:val="000000" w:themeColor="text1"/>
          <w:sz w:val="24"/>
          <w:szCs w:val="24"/>
        </w:rPr>
        <w:t>of</w:t>
      </w:r>
      <w:r w:rsidR="00906E39" w:rsidRPr="004A4AFB">
        <w:rPr>
          <w:rFonts w:ascii="Times New Roman" w:hAnsi="Times New Roman" w:cs="Times New Roman"/>
          <w:color w:val="000000" w:themeColor="text1"/>
          <w:sz w:val="24"/>
          <w:szCs w:val="24"/>
        </w:rPr>
        <w:t xml:space="preserve"> the EU.</w:t>
      </w:r>
    </w:p>
    <w:p w14:paraId="7D5DB798" w14:textId="77777777" w:rsidR="00C37C5C" w:rsidRPr="004A4AFB" w:rsidRDefault="00C37C5C" w:rsidP="00A873A4">
      <w:pPr>
        <w:autoSpaceDE w:val="0"/>
        <w:autoSpaceDN w:val="0"/>
        <w:adjustRightInd w:val="0"/>
        <w:spacing w:after="0"/>
        <w:ind w:left="360"/>
        <w:jc w:val="both"/>
        <w:rPr>
          <w:rFonts w:ascii="Times New Roman" w:hAnsi="Times New Roman" w:cs="Times New Roman"/>
          <w:color w:val="000000" w:themeColor="text1"/>
          <w:sz w:val="24"/>
          <w:szCs w:val="24"/>
        </w:rPr>
      </w:pPr>
    </w:p>
    <w:p w14:paraId="6995C005" w14:textId="77777777" w:rsidR="0093423F" w:rsidRPr="004A4AFB" w:rsidRDefault="00055F50"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The following f</w:t>
      </w:r>
      <w:r w:rsidR="0093423F" w:rsidRPr="004A4AFB">
        <w:rPr>
          <w:rFonts w:ascii="Times New Roman" w:hAnsi="Times New Roman" w:cs="Times New Roman"/>
          <w:b/>
          <w:color w:val="000000" w:themeColor="text1"/>
          <w:sz w:val="24"/>
          <w:szCs w:val="24"/>
          <w:lang w:val="en-US"/>
        </w:rPr>
        <w:t>actors may indicate lower risk (n°196)</w:t>
      </w:r>
    </w:p>
    <w:p w14:paraId="30F4601A" w14:textId="77777777" w:rsidR="0070340F" w:rsidRPr="004A4AFB" w:rsidRDefault="0070340F" w:rsidP="00A873A4">
      <w:pPr>
        <w:pStyle w:val="Paragraphedeliste"/>
        <w:numPr>
          <w:ilvl w:val="0"/>
          <w:numId w:val="7"/>
        </w:numPr>
        <w:autoSpaceDE w:val="0"/>
        <w:autoSpaceDN w:val="0"/>
        <w:adjustRightInd w:val="0"/>
        <w:spacing w:after="0"/>
        <w:ind w:left="36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the customer is an institutional investor whose status has been verified by an EEA government agency, e.g. a government-approved pensions scheme; </w:t>
      </w:r>
    </w:p>
    <w:p w14:paraId="2A178895" w14:textId="77777777" w:rsidR="0070340F" w:rsidRPr="004A4AFB" w:rsidRDefault="0070340F" w:rsidP="00A873A4">
      <w:pPr>
        <w:pStyle w:val="Paragraphedeliste"/>
        <w:numPr>
          <w:ilvl w:val="0"/>
          <w:numId w:val="7"/>
        </w:numPr>
        <w:autoSpaceDE w:val="0"/>
        <w:autoSpaceDN w:val="0"/>
        <w:adjustRightInd w:val="0"/>
        <w:spacing w:after="0"/>
        <w:ind w:left="36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 </w:t>
      </w:r>
      <w:proofErr w:type="gramStart"/>
      <w:r w:rsidRPr="004A4AFB">
        <w:rPr>
          <w:rFonts w:ascii="Times New Roman" w:hAnsi="Times New Roman" w:cs="Times New Roman"/>
          <w:b/>
          <w:color w:val="000000" w:themeColor="text1"/>
          <w:sz w:val="24"/>
          <w:szCs w:val="24"/>
          <w:lang w:val="en-US"/>
        </w:rPr>
        <w:t>the</w:t>
      </w:r>
      <w:proofErr w:type="gramEnd"/>
      <w:r w:rsidRPr="004A4AFB">
        <w:rPr>
          <w:rFonts w:ascii="Times New Roman" w:hAnsi="Times New Roman" w:cs="Times New Roman"/>
          <w:b/>
          <w:color w:val="000000" w:themeColor="text1"/>
          <w:sz w:val="24"/>
          <w:szCs w:val="24"/>
          <w:lang w:val="en-US"/>
        </w:rPr>
        <w:t xml:space="preserve"> customer is a government body from an EEA jurisdiction. </w:t>
      </w:r>
    </w:p>
    <w:p w14:paraId="63DF8C60" w14:textId="77777777" w:rsidR="00055F50" w:rsidRPr="004A4AFB" w:rsidRDefault="00055F50" w:rsidP="00A873A4">
      <w:pPr>
        <w:pStyle w:val="Paragraphedeliste"/>
        <w:autoSpaceDE w:val="0"/>
        <w:autoSpaceDN w:val="0"/>
        <w:adjustRightInd w:val="0"/>
        <w:spacing w:after="0"/>
        <w:jc w:val="both"/>
        <w:rPr>
          <w:rFonts w:ascii="Times New Roman" w:hAnsi="Times New Roman" w:cs="Times New Roman"/>
          <w:color w:val="000000" w:themeColor="text1"/>
          <w:sz w:val="24"/>
          <w:szCs w:val="24"/>
          <w:lang w:val="en-US"/>
        </w:rPr>
      </w:pPr>
    </w:p>
    <w:p w14:paraId="6AEC7296" w14:textId="1B73B5DE" w:rsidR="009550CB" w:rsidRPr="004A4AFB" w:rsidRDefault="000105FB" w:rsidP="00A873A4">
      <w:pPr>
        <w:ind w:left="360"/>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To the extent that we move from a system including exemptions to a system where</w:t>
      </w:r>
      <w:r w:rsidR="00C13009" w:rsidRPr="004A4AFB">
        <w:rPr>
          <w:rFonts w:ascii="Times New Roman" w:hAnsi="Times New Roman" w:cs="Times New Roman"/>
          <w:color w:val="000000" w:themeColor="text1"/>
          <w:sz w:val="24"/>
          <w:szCs w:val="24"/>
        </w:rPr>
        <w:t>by</w:t>
      </w:r>
      <w:r w:rsidRPr="004A4AFB">
        <w:rPr>
          <w:rFonts w:ascii="Times New Roman" w:hAnsi="Times New Roman" w:cs="Times New Roman"/>
          <w:color w:val="000000" w:themeColor="text1"/>
          <w:sz w:val="24"/>
          <w:szCs w:val="24"/>
        </w:rPr>
        <w:t xml:space="preserve"> only</w:t>
      </w:r>
      <w:r w:rsidR="001616A5" w:rsidRPr="004A4AFB">
        <w:rPr>
          <w:rFonts w:ascii="Times New Roman" w:hAnsi="Times New Roman" w:cs="Times New Roman"/>
          <w:color w:val="000000" w:themeColor="text1"/>
          <w:sz w:val="24"/>
          <w:szCs w:val="24"/>
        </w:rPr>
        <w:t xml:space="preserve"> lower risk</w:t>
      </w:r>
      <w:r w:rsidR="001513FE" w:rsidRPr="004A4AFB">
        <w:rPr>
          <w:rFonts w:ascii="Times New Roman" w:hAnsi="Times New Roman" w:cs="Times New Roman"/>
          <w:color w:val="000000" w:themeColor="text1"/>
          <w:sz w:val="24"/>
          <w:szCs w:val="24"/>
        </w:rPr>
        <w:t>s</w:t>
      </w:r>
      <w:r w:rsidRPr="004A4AFB">
        <w:rPr>
          <w:rFonts w:ascii="Times New Roman" w:hAnsi="Times New Roman" w:cs="Times New Roman"/>
          <w:color w:val="000000" w:themeColor="text1"/>
          <w:sz w:val="24"/>
          <w:szCs w:val="24"/>
        </w:rPr>
        <w:t xml:space="preserve"> remain, it seems essential that the latter are further </w:t>
      </w:r>
      <w:r w:rsidR="00335AC4" w:rsidRPr="004A4AFB">
        <w:rPr>
          <w:rFonts w:ascii="Times New Roman" w:hAnsi="Times New Roman" w:cs="Times New Roman"/>
          <w:color w:val="000000" w:themeColor="text1"/>
          <w:sz w:val="24"/>
          <w:szCs w:val="24"/>
        </w:rPr>
        <w:t>developed</w:t>
      </w:r>
      <w:r w:rsidRPr="004A4AFB">
        <w:rPr>
          <w:rFonts w:ascii="Times New Roman" w:hAnsi="Times New Roman" w:cs="Times New Roman"/>
          <w:color w:val="000000" w:themeColor="text1"/>
          <w:sz w:val="24"/>
          <w:szCs w:val="24"/>
        </w:rPr>
        <w:t xml:space="preserve">. </w:t>
      </w:r>
      <w:r w:rsidR="008B205D" w:rsidRPr="004A4AFB">
        <w:rPr>
          <w:rFonts w:ascii="Times New Roman" w:hAnsi="Times New Roman" w:cs="Times New Roman"/>
          <w:color w:val="000000" w:themeColor="text1"/>
          <w:sz w:val="24"/>
          <w:szCs w:val="24"/>
        </w:rPr>
        <w:t>All</w:t>
      </w:r>
      <w:r w:rsidRPr="004A4AFB">
        <w:rPr>
          <w:rFonts w:ascii="Times New Roman" w:hAnsi="Times New Roman" w:cs="Times New Roman"/>
          <w:color w:val="000000" w:themeColor="text1"/>
          <w:sz w:val="24"/>
          <w:szCs w:val="24"/>
        </w:rPr>
        <w:t xml:space="preserve"> regulated entities </w:t>
      </w:r>
      <w:r w:rsidR="008B205D" w:rsidRPr="004A4AFB">
        <w:rPr>
          <w:rFonts w:ascii="Times New Roman" w:hAnsi="Times New Roman" w:cs="Times New Roman"/>
          <w:color w:val="000000" w:themeColor="text1"/>
          <w:sz w:val="24"/>
          <w:szCs w:val="24"/>
        </w:rPr>
        <w:t>should be qualified as low risk</w:t>
      </w:r>
      <w:r w:rsidR="00760D9D" w:rsidRPr="004A4AFB">
        <w:rPr>
          <w:rFonts w:ascii="Times New Roman" w:hAnsi="Times New Roman" w:cs="Times New Roman"/>
          <w:color w:val="000000" w:themeColor="text1"/>
          <w:sz w:val="24"/>
          <w:szCs w:val="24"/>
        </w:rPr>
        <w:t>.</w:t>
      </w:r>
    </w:p>
    <w:p w14:paraId="535924C5" w14:textId="2B2BED71" w:rsidR="00CE7869" w:rsidRPr="004A4AFB" w:rsidRDefault="00CE7869" w:rsidP="00A873A4">
      <w:pPr>
        <w:ind w:left="360"/>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With reference to our </w:t>
      </w:r>
      <w:proofErr w:type="gramStart"/>
      <w:r w:rsidRPr="004A4AFB">
        <w:rPr>
          <w:rFonts w:ascii="Times New Roman" w:hAnsi="Times New Roman" w:cs="Times New Roman"/>
          <w:color w:val="000000" w:themeColor="text1"/>
          <w:sz w:val="24"/>
          <w:szCs w:val="24"/>
        </w:rPr>
        <w:t>regulation</w:t>
      </w:r>
      <w:proofErr w:type="gramEnd"/>
      <w:r w:rsidRPr="004A4AFB">
        <w:rPr>
          <w:rFonts w:ascii="Times New Roman" w:hAnsi="Times New Roman" w:cs="Times New Roman"/>
          <w:color w:val="000000" w:themeColor="text1"/>
          <w:sz w:val="24"/>
          <w:szCs w:val="24"/>
        </w:rPr>
        <w:t xml:space="preserve"> the following may be </w:t>
      </w:r>
      <w:r w:rsidR="00CF0311" w:rsidRPr="004A4AFB">
        <w:rPr>
          <w:rFonts w:ascii="Times New Roman" w:hAnsi="Times New Roman" w:cs="Times New Roman"/>
          <w:color w:val="000000" w:themeColor="text1"/>
          <w:sz w:val="24"/>
          <w:szCs w:val="24"/>
        </w:rPr>
        <w:t>pointed out</w:t>
      </w:r>
      <w:r w:rsidRPr="004A4AFB">
        <w:rPr>
          <w:rFonts w:ascii="Times New Roman" w:hAnsi="Times New Roman" w:cs="Times New Roman"/>
          <w:color w:val="000000" w:themeColor="text1"/>
          <w:sz w:val="24"/>
          <w:szCs w:val="24"/>
        </w:rPr>
        <w:t>:</w:t>
      </w:r>
    </w:p>
    <w:p w14:paraId="2AA774D4" w14:textId="27837A7E" w:rsidR="0022644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Banking institutions</w:t>
      </w:r>
    </w:p>
    <w:p w14:paraId="79FEF15C" w14:textId="7231A8E0" w:rsidR="0060707C" w:rsidRPr="004A4AFB" w:rsidRDefault="00AA11C3"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Insurance c</w:t>
      </w:r>
      <w:r w:rsidR="0060707C" w:rsidRPr="004A4AFB">
        <w:rPr>
          <w:rFonts w:ascii="Times New Roman" w:eastAsia="Times New Roman" w:hAnsi="Times New Roman" w:cs="Times New Roman"/>
          <w:color w:val="000000" w:themeColor="text1"/>
          <w:sz w:val="24"/>
          <w:szCs w:val="24"/>
          <w:lang w:eastAsia="fr-FR"/>
        </w:rPr>
        <w:t>ompanies and brokers</w:t>
      </w:r>
    </w:p>
    <w:p w14:paraId="42E0592E" w14:textId="33CA2289" w:rsidR="0060707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Pension institutions</w:t>
      </w:r>
    </w:p>
    <w:p w14:paraId="6BC7C4D7" w14:textId="4BFFE049" w:rsidR="0060707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Mutual societies and companies engaged in insurance, re-insurance or capitalisation activity </w:t>
      </w:r>
    </w:p>
    <w:p w14:paraId="653CE270" w14:textId="5382FE86" w:rsidR="0060707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The French central bank</w:t>
      </w:r>
    </w:p>
    <w:p w14:paraId="733C833E" w14:textId="58ACF7E3" w:rsidR="0060707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The </w:t>
      </w:r>
      <w:proofErr w:type="spellStart"/>
      <w:r w:rsidRPr="004A4AFB">
        <w:rPr>
          <w:rFonts w:ascii="Times New Roman" w:eastAsia="Times New Roman" w:hAnsi="Times New Roman" w:cs="Times New Roman"/>
          <w:color w:val="000000" w:themeColor="text1"/>
          <w:sz w:val="24"/>
          <w:szCs w:val="24"/>
          <w:lang w:eastAsia="fr-FR"/>
        </w:rPr>
        <w:t>Institut</w:t>
      </w:r>
      <w:proofErr w:type="spellEnd"/>
      <w:r w:rsidRPr="004A4AFB">
        <w:rPr>
          <w:rFonts w:ascii="Times New Roman" w:eastAsia="Times New Roman" w:hAnsi="Times New Roman" w:cs="Times New Roman"/>
          <w:color w:val="000000" w:themeColor="text1"/>
          <w:sz w:val="24"/>
          <w:szCs w:val="24"/>
          <w:lang w:eastAsia="fr-FR"/>
        </w:rPr>
        <w:t xml:space="preserve"> </w:t>
      </w:r>
      <w:proofErr w:type="spellStart"/>
      <w:r w:rsidRPr="004A4AFB">
        <w:rPr>
          <w:rFonts w:ascii="Times New Roman" w:eastAsia="Times New Roman" w:hAnsi="Times New Roman" w:cs="Times New Roman"/>
          <w:color w:val="000000" w:themeColor="text1"/>
          <w:sz w:val="24"/>
          <w:szCs w:val="24"/>
          <w:lang w:eastAsia="fr-FR"/>
        </w:rPr>
        <w:t>d’émission</w:t>
      </w:r>
      <w:proofErr w:type="spellEnd"/>
      <w:r w:rsidRPr="004A4AFB">
        <w:rPr>
          <w:rFonts w:ascii="Times New Roman" w:eastAsia="Times New Roman" w:hAnsi="Times New Roman" w:cs="Times New Roman"/>
          <w:color w:val="000000" w:themeColor="text1"/>
          <w:sz w:val="24"/>
          <w:szCs w:val="24"/>
          <w:lang w:eastAsia="fr-FR"/>
        </w:rPr>
        <w:t xml:space="preserve"> </w:t>
      </w:r>
      <w:proofErr w:type="spellStart"/>
      <w:r w:rsidRPr="004A4AFB">
        <w:rPr>
          <w:rFonts w:ascii="Times New Roman" w:eastAsia="Times New Roman" w:hAnsi="Times New Roman" w:cs="Times New Roman"/>
          <w:color w:val="000000" w:themeColor="text1"/>
          <w:sz w:val="24"/>
          <w:szCs w:val="24"/>
          <w:lang w:eastAsia="fr-FR"/>
        </w:rPr>
        <w:t>d’outre-mer</w:t>
      </w:r>
      <w:proofErr w:type="spellEnd"/>
      <w:r w:rsidRPr="004A4AFB">
        <w:rPr>
          <w:rFonts w:ascii="Times New Roman" w:eastAsia="Times New Roman" w:hAnsi="Times New Roman" w:cs="Times New Roman"/>
          <w:color w:val="000000" w:themeColor="text1"/>
          <w:sz w:val="24"/>
          <w:szCs w:val="24"/>
          <w:lang w:eastAsia="fr-FR"/>
        </w:rPr>
        <w:t xml:space="preserve"> </w:t>
      </w:r>
    </w:p>
    <w:p w14:paraId="2CD33DC8" w14:textId="17104B6D" w:rsidR="0060707C" w:rsidRPr="004A4AFB" w:rsidRDefault="0060707C"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Investment firms (except for </w:t>
      </w:r>
      <w:r w:rsidR="00B665B4">
        <w:rPr>
          <w:rFonts w:ascii="Times New Roman" w:eastAsia="Times New Roman" w:hAnsi="Times New Roman" w:cs="Times New Roman"/>
          <w:color w:val="000000" w:themeColor="text1"/>
          <w:sz w:val="24"/>
          <w:szCs w:val="24"/>
          <w:lang w:eastAsia="fr-FR"/>
        </w:rPr>
        <w:t>investment</w:t>
      </w:r>
      <w:r w:rsidRPr="004A4AFB">
        <w:rPr>
          <w:rFonts w:ascii="Times New Roman" w:eastAsia="Times New Roman" w:hAnsi="Times New Roman" w:cs="Times New Roman"/>
          <w:color w:val="000000" w:themeColor="text1"/>
          <w:sz w:val="24"/>
          <w:szCs w:val="24"/>
          <w:lang w:eastAsia="fr-FR"/>
        </w:rPr>
        <w:t xml:space="preserve"> management companies)</w:t>
      </w:r>
    </w:p>
    <w:p w14:paraId="0C8A4EA1" w14:textId="7BC0220D" w:rsidR="00BE2DCB" w:rsidRPr="004A4AFB" w:rsidRDefault="00BE2DCB" w:rsidP="00A873A4">
      <w:pPr>
        <w:numPr>
          <w:ilvl w:val="0"/>
          <w:numId w:val="17"/>
        </w:numPr>
        <w:spacing w:before="100" w:beforeAutospacing="1" w:after="100" w:afterAutospacing="1"/>
        <w:rPr>
          <w:rFonts w:ascii="Times New Roman" w:hAnsi="Times New Roman" w:cs="Times New Roman"/>
          <w:color w:val="000000" w:themeColor="text1"/>
          <w:sz w:val="24"/>
          <w:szCs w:val="24"/>
        </w:rPr>
      </w:pPr>
      <w:r w:rsidRPr="004A4AFB">
        <w:rPr>
          <w:rFonts w:ascii="Times New Roman" w:eastAsia="Times New Roman" w:hAnsi="Times New Roman" w:cs="Times New Roman"/>
          <w:color w:val="000000" w:themeColor="text1"/>
          <w:sz w:val="24"/>
          <w:szCs w:val="24"/>
          <w:lang w:eastAsia="fr-FR"/>
        </w:rPr>
        <w:t xml:space="preserve">Credit institutions </w:t>
      </w:r>
      <w:r w:rsidR="002E42F4" w:rsidRPr="004A4AFB">
        <w:rPr>
          <w:rFonts w:ascii="Times New Roman" w:eastAsia="Times New Roman" w:hAnsi="Times New Roman" w:cs="Times New Roman"/>
          <w:color w:val="000000" w:themeColor="text1"/>
          <w:sz w:val="24"/>
          <w:szCs w:val="24"/>
          <w:lang w:eastAsia="fr-FR"/>
        </w:rPr>
        <w:t>having</w:t>
      </w:r>
      <w:r w:rsidRPr="004A4AFB">
        <w:rPr>
          <w:rFonts w:ascii="Times New Roman" w:eastAsia="Times New Roman" w:hAnsi="Times New Roman" w:cs="Times New Roman"/>
          <w:color w:val="000000" w:themeColor="text1"/>
          <w:sz w:val="24"/>
          <w:szCs w:val="24"/>
          <w:lang w:eastAsia="fr-FR"/>
        </w:rPr>
        <w:t xml:space="preserve"> their head</w:t>
      </w:r>
      <w:r w:rsidR="000A278D" w:rsidRPr="004A4AFB">
        <w:rPr>
          <w:rFonts w:ascii="Times New Roman" w:eastAsia="Times New Roman" w:hAnsi="Times New Roman" w:cs="Times New Roman"/>
          <w:color w:val="000000" w:themeColor="text1"/>
          <w:sz w:val="24"/>
          <w:szCs w:val="24"/>
          <w:lang w:eastAsia="fr-FR"/>
        </w:rPr>
        <w:t xml:space="preserve"> office</w:t>
      </w:r>
      <w:r w:rsidRPr="004A4AFB">
        <w:rPr>
          <w:rFonts w:ascii="Times New Roman" w:eastAsia="Times New Roman" w:hAnsi="Times New Roman" w:cs="Times New Roman"/>
          <w:color w:val="000000" w:themeColor="text1"/>
          <w:sz w:val="24"/>
          <w:szCs w:val="24"/>
          <w:lang w:eastAsia="fr-FR"/>
        </w:rPr>
        <w:t xml:space="preserve"> in a Member State of the EEA</w:t>
      </w:r>
    </w:p>
    <w:p w14:paraId="5C8D703B" w14:textId="1956D93A" w:rsidR="00BE2DCB" w:rsidRPr="004A4AFB" w:rsidRDefault="00BE2DCB"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Legal persons whose </w:t>
      </w:r>
      <w:r w:rsidR="00136859" w:rsidRPr="004A4AFB">
        <w:rPr>
          <w:rFonts w:ascii="Times New Roman" w:eastAsia="Times New Roman" w:hAnsi="Times New Roman" w:cs="Times New Roman"/>
          <w:color w:val="000000" w:themeColor="text1"/>
          <w:sz w:val="24"/>
          <w:szCs w:val="24"/>
          <w:lang w:eastAsia="fr-FR"/>
        </w:rPr>
        <w:t>indefinitely, jointly and severally liable members</w:t>
      </w:r>
      <w:r w:rsidRPr="004A4AFB">
        <w:rPr>
          <w:rFonts w:ascii="Times New Roman" w:eastAsia="Times New Roman" w:hAnsi="Times New Roman" w:cs="Times New Roman"/>
          <w:color w:val="000000" w:themeColor="text1"/>
          <w:sz w:val="24"/>
          <w:szCs w:val="24"/>
          <w:lang w:eastAsia="fr-FR"/>
        </w:rPr>
        <w:t xml:space="preserve"> </w:t>
      </w:r>
      <w:r w:rsidR="00136859" w:rsidRPr="004A4AFB">
        <w:rPr>
          <w:rFonts w:ascii="Times New Roman" w:eastAsia="Times New Roman" w:hAnsi="Times New Roman" w:cs="Times New Roman"/>
          <w:color w:val="000000" w:themeColor="text1"/>
          <w:sz w:val="24"/>
          <w:szCs w:val="24"/>
          <w:lang w:eastAsia="fr-FR"/>
        </w:rPr>
        <w:t>are credit institutions which have their head</w:t>
      </w:r>
      <w:r w:rsidR="006046D9" w:rsidRPr="004A4AFB">
        <w:rPr>
          <w:rFonts w:ascii="Times New Roman" w:eastAsia="Times New Roman" w:hAnsi="Times New Roman" w:cs="Times New Roman"/>
          <w:color w:val="000000" w:themeColor="text1"/>
          <w:sz w:val="24"/>
          <w:szCs w:val="24"/>
          <w:lang w:eastAsia="fr-FR"/>
        </w:rPr>
        <w:t xml:space="preserve"> office</w:t>
      </w:r>
      <w:r w:rsidR="00136859" w:rsidRPr="004A4AFB">
        <w:rPr>
          <w:rFonts w:ascii="Times New Roman" w:eastAsia="Times New Roman" w:hAnsi="Times New Roman" w:cs="Times New Roman"/>
          <w:color w:val="000000" w:themeColor="text1"/>
          <w:sz w:val="24"/>
          <w:szCs w:val="24"/>
          <w:lang w:eastAsia="fr-FR"/>
        </w:rPr>
        <w:t xml:space="preserve"> in the EEA</w:t>
      </w:r>
    </w:p>
    <w:p w14:paraId="22265944" w14:textId="65B027C4" w:rsidR="00136859" w:rsidRPr="004A4AFB" w:rsidRDefault="00136859"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Legal persons </w:t>
      </w:r>
      <w:r w:rsidR="005D08CB" w:rsidRPr="004A4AFB">
        <w:rPr>
          <w:rFonts w:ascii="Times New Roman" w:eastAsia="Times New Roman" w:hAnsi="Times New Roman" w:cs="Times New Roman"/>
          <w:color w:val="000000" w:themeColor="text1"/>
          <w:sz w:val="24"/>
          <w:szCs w:val="24"/>
          <w:lang w:eastAsia="fr-FR"/>
        </w:rPr>
        <w:t>having</w:t>
      </w:r>
      <w:r w:rsidRPr="004A4AFB">
        <w:rPr>
          <w:rFonts w:ascii="Times New Roman" w:eastAsia="Times New Roman" w:hAnsi="Times New Roman" w:cs="Times New Roman"/>
          <w:color w:val="000000" w:themeColor="text1"/>
          <w:sz w:val="24"/>
          <w:szCs w:val="24"/>
          <w:lang w:eastAsia="fr-FR"/>
        </w:rPr>
        <w:t xml:space="preserve"> their head</w:t>
      </w:r>
      <w:r w:rsidR="00135971" w:rsidRPr="004A4AFB">
        <w:rPr>
          <w:rFonts w:ascii="Times New Roman" w:eastAsia="Times New Roman" w:hAnsi="Times New Roman" w:cs="Times New Roman"/>
          <w:color w:val="000000" w:themeColor="text1"/>
          <w:sz w:val="24"/>
          <w:szCs w:val="24"/>
          <w:lang w:eastAsia="fr-FR"/>
        </w:rPr>
        <w:t xml:space="preserve"> office</w:t>
      </w:r>
      <w:r w:rsidRPr="004A4AFB">
        <w:rPr>
          <w:rFonts w:ascii="Times New Roman" w:eastAsia="Times New Roman" w:hAnsi="Times New Roman" w:cs="Times New Roman"/>
          <w:color w:val="000000" w:themeColor="text1"/>
          <w:sz w:val="24"/>
          <w:szCs w:val="24"/>
          <w:lang w:eastAsia="fr-FR"/>
        </w:rPr>
        <w:t xml:space="preserve"> in metropolitan France or in overseas departments of France or in Saint-Barth</w:t>
      </w:r>
      <w:r w:rsidR="008F4868" w:rsidRPr="004A4AFB">
        <w:rPr>
          <w:rFonts w:ascii="Times New Roman" w:eastAsia="Times New Roman" w:hAnsi="Times New Roman" w:cs="Times New Roman"/>
          <w:color w:val="000000" w:themeColor="text1"/>
          <w:sz w:val="24"/>
          <w:szCs w:val="24"/>
          <w:lang w:eastAsia="fr-FR"/>
        </w:rPr>
        <w:t>e</w:t>
      </w:r>
      <w:r w:rsidRPr="004A4AFB">
        <w:rPr>
          <w:rFonts w:ascii="Times New Roman" w:eastAsia="Times New Roman" w:hAnsi="Times New Roman" w:cs="Times New Roman"/>
          <w:color w:val="000000" w:themeColor="text1"/>
          <w:sz w:val="24"/>
          <w:szCs w:val="24"/>
          <w:lang w:eastAsia="fr-FR"/>
        </w:rPr>
        <w:t>l</w:t>
      </w:r>
      <w:r w:rsidR="008F4868" w:rsidRPr="004A4AFB">
        <w:rPr>
          <w:rFonts w:ascii="Times New Roman" w:eastAsia="Times New Roman" w:hAnsi="Times New Roman" w:cs="Times New Roman"/>
          <w:color w:val="000000" w:themeColor="text1"/>
          <w:sz w:val="24"/>
          <w:szCs w:val="24"/>
          <w:lang w:eastAsia="fr-FR"/>
        </w:rPr>
        <w:t>e</w:t>
      </w:r>
      <w:r w:rsidRPr="004A4AFB">
        <w:rPr>
          <w:rFonts w:ascii="Times New Roman" w:eastAsia="Times New Roman" w:hAnsi="Times New Roman" w:cs="Times New Roman"/>
          <w:color w:val="000000" w:themeColor="text1"/>
          <w:sz w:val="24"/>
          <w:szCs w:val="24"/>
          <w:lang w:eastAsia="fr-FR"/>
        </w:rPr>
        <w:t xml:space="preserve">my or in Saint-Martin and whose main or single </w:t>
      </w:r>
      <w:r w:rsidR="008F4868" w:rsidRPr="004A4AFB">
        <w:rPr>
          <w:rFonts w:ascii="Times New Roman" w:eastAsia="Times New Roman" w:hAnsi="Times New Roman" w:cs="Times New Roman"/>
          <w:color w:val="000000" w:themeColor="text1"/>
          <w:sz w:val="24"/>
          <w:szCs w:val="24"/>
          <w:lang w:eastAsia="fr-FR"/>
        </w:rPr>
        <w:t>purpose</w:t>
      </w:r>
      <w:r w:rsidRPr="004A4AFB">
        <w:rPr>
          <w:rFonts w:ascii="Times New Roman" w:eastAsia="Times New Roman" w:hAnsi="Times New Roman" w:cs="Times New Roman"/>
          <w:color w:val="000000" w:themeColor="text1"/>
          <w:sz w:val="24"/>
          <w:szCs w:val="24"/>
          <w:lang w:eastAsia="fr-FR"/>
        </w:rPr>
        <w:t xml:space="preserve"> is the clearing of financial instruments</w:t>
      </w:r>
    </w:p>
    <w:p w14:paraId="18A9E26C" w14:textId="651F1476" w:rsidR="0096642F" w:rsidRPr="004A4AFB" w:rsidRDefault="0096642F"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Market undertakings</w:t>
      </w:r>
    </w:p>
    <w:p w14:paraId="0B65F050" w14:textId="3E4EB4AE" w:rsidR="00FD51D5" w:rsidRPr="004A4AFB" w:rsidRDefault="00FD51D5"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Central securities depositories and securities settlement system managers </w:t>
      </w:r>
    </w:p>
    <w:p w14:paraId="6C765A90" w14:textId="3FB42562" w:rsidR="00FD51D5" w:rsidRPr="004A4AFB" w:rsidRDefault="00FD51D5"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Financial investment advisers</w:t>
      </w:r>
    </w:p>
    <w:p w14:paraId="7E2540D7" w14:textId="5CF82A3E" w:rsidR="0004777B" w:rsidRPr="004A4AFB" w:rsidRDefault="0004777B"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Intermediaries acting on behalf of third parties</w:t>
      </w:r>
      <w:r w:rsidR="00090164" w:rsidRPr="004A4AFB">
        <w:rPr>
          <w:rFonts w:ascii="Times New Roman" w:eastAsia="Times New Roman" w:hAnsi="Times New Roman" w:cs="Times New Roman"/>
          <w:color w:val="000000" w:themeColor="text1"/>
          <w:sz w:val="24"/>
          <w:szCs w:val="24"/>
          <w:lang w:eastAsia="fr-FR"/>
        </w:rPr>
        <w:t xml:space="preserve"> which </w:t>
      </w:r>
      <w:r w:rsidRPr="004A4AFB">
        <w:rPr>
          <w:rFonts w:ascii="Times New Roman" w:eastAsia="Times New Roman" w:hAnsi="Times New Roman" w:cs="Times New Roman"/>
          <w:color w:val="000000" w:themeColor="text1"/>
          <w:sz w:val="24"/>
          <w:szCs w:val="24"/>
          <w:lang w:eastAsia="fr-FR"/>
        </w:rPr>
        <w:t>own financial securities</w:t>
      </w:r>
    </w:p>
    <w:p w14:paraId="5D9C4AE2" w14:textId="06892BB2" w:rsidR="009B0E33" w:rsidRPr="004A4AFB" w:rsidRDefault="00B268D6"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Investment</w:t>
      </w:r>
      <w:r w:rsidR="004D7985" w:rsidRPr="004A4AFB">
        <w:rPr>
          <w:rFonts w:ascii="Times New Roman" w:eastAsia="Times New Roman" w:hAnsi="Times New Roman" w:cs="Times New Roman"/>
          <w:color w:val="000000" w:themeColor="text1"/>
          <w:sz w:val="24"/>
          <w:szCs w:val="24"/>
          <w:lang w:eastAsia="fr-FR"/>
        </w:rPr>
        <w:t xml:space="preserve"> management companies in relatio</w:t>
      </w:r>
      <w:r w:rsidR="00510B27" w:rsidRPr="004A4AFB">
        <w:rPr>
          <w:rFonts w:ascii="Times New Roman" w:eastAsia="Times New Roman" w:hAnsi="Times New Roman" w:cs="Times New Roman"/>
          <w:color w:val="000000" w:themeColor="text1"/>
          <w:sz w:val="24"/>
          <w:szCs w:val="24"/>
          <w:lang w:eastAsia="fr-FR"/>
        </w:rPr>
        <w:t>n to the</w:t>
      </w:r>
      <w:r w:rsidR="004D7985" w:rsidRPr="004A4AFB">
        <w:rPr>
          <w:rFonts w:ascii="Times New Roman" w:eastAsia="Times New Roman" w:hAnsi="Times New Roman" w:cs="Times New Roman"/>
          <w:color w:val="000000" w:themeColor="text1"/>
          <w:sz w:val="24"/>
          <w:szCs w:val="24"/>
          <w:lang w:eastAsia="fr-FR"/>
        </w:rPr>
        <w:t xml:space="preserve"> investment services </w:t>
      </w:r>
      <w:r w:rsidR="00510B27" w:rsidRPr="004A4AFB">
        <w:rPr>
          <w:rFonts w:ascii="Times New Roman" w:eastAsia="Times New Roman" w:hAnsi="Times New Roman" w:cs="Times New Roman"/>
          <w:color w:val="000000" w:themeColor="text1"/>
          <w:sz w:val="24"/>
          <w:szCs w:val="24"/>
          <w:lang w:eastAsia="fr-FR"/>
        </w:rPr>
        <w:t xml:space="preserve">they perform </w:t>
      </w:r>
      <w:r w:rsidR="004D7985" w:rsidRPr="004A4AFB">
        <w:rPr>
          <w:rFonts w:ascii="Times New Roman" w:eastAsia="Times New Roman" w:hAnsi="Times New Roman" w:cs="Times New Roman"/>
          <w:color w:val="000000" w:themeColor="text1"/>
          <w:sz w:val="24"/>
          <w:szCs w:val="24"/>
          <w:lang w:eastAsia="fr-FR"/>
        </w:rPr>
        <w:t xml:space="preserve">or </w:t>
      </w:r>
      <w:r w:rsidR="00510B27" w:rsidRPr="004A4AFB">
        <w:rPr>
          <w:rFonts w:ascii="Times New Roman" w:eastAsia="Times New Roman" w:hAnsi="Times New Roman" w:cs="Times New Roman"/>
          <w:color w:val="000000" w:themeColor="text1"/>
          <w:sz w:val="24"/>
          <w:szCs w:val="24"/>
          <w:lang w:eastAsia="fr-FR"/>
        </w:rPr>
        <w:t xml:space="preserve">in relation </w:t>
      </w:r>
      <w:r w:rsidR="00874110" w:rsidRPr="004A4AFB">
        <w:rPr>
          <w:rFonts w:ascii="Times New Roman" w:eastAsia="Times New Roman" w:hAnsi="Times New Roman" w:cs="Times New Roman"/>
          <w:color w:val="000000" w:themeColor="text1"/>
          <w:sz w:val="24"/>
          <w:szCs w:val="24"/>
          <w:lang w:eastAsia="fr-FR"/>
        </w:rPr>
        <w:t xml:space="preserve">to </w:t>
      </w:r>
      <w:r w:rsidR="004D7985" w:rsidRPr="004A4AFB">
        <w:rPr>
          <w:rFonts w:ascii="Times New Roman" w:eastAsia="Times New Roman" w:hAnsi="Times New Roman" w:cs="Times New Roman"/>
          <w:color w:val="000000" w:themeColor="text1"/>
          <w:sz w:val="24"/>
          <w:szCs w:val="24"/>
          <w:lang w:eastAsia="fr-FR"/>
        </w:rPr>
        <w:t>the distribution of units or shares of collective investment schemes whether they manage the</w:t>
      </w:r>
      <w:r w:rsidR="00510B27" w:rsidRPr="004A4AFB">
        <w:rPr>
          <w:rFonts w:ascii="Times New Roman" w:eastAsia="Times New Roman" w:hAnsi="Times New Roman" w:cs="Times New Roman"/>
          <w:color w:val="000000" w:themeColor="text1"/>
          <w:sz w:val="24"/>
          <w:szCs w:val="24"/>
          <w:lang w:eastAsia="fr-FR"/>
        </w:rPr>
        <w:t xml:space="preserve"> latter</w:t>
      </w:r>
      <w:r w:rsidR="004D7985" w:rsidRPr="004A4AFB">
        <w:rPr>
          <w:rFonts w:ascii="Times New Roman" w:eastAsia="Times New Roman" w:hAnsi="Times New Roman" w:cs="Times New Roman"/>
          <w:color w:val="000000" w:themeColor="text1"/>
          <w:sz w:val="24"/>
          <w:szCs w:val="24"/>
          <w:lang w:eastAsia="fr-FR"/>
        </w:rPr>
        <w:t xml:space="preserve"> or not</w:t>
      </w:r>
    </w:p>
    <w:p w14:paraId="4FF19632" w14:textId="1CB8FA15" w:rsidR="009B0E33" w:rsidRPr="004A4AFB" w:rsidRDefault="009B0E33"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Bureaux de change</w:t>
      </w:r>
    </w:p>
    <w:p w14:paraId="46069024" w14:textId="25B15588" w:rsidR="00874110" w:rsidRPr="004A4AFB" w:rsidRDefault="00874110"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Natural or legal persons which, on a usual basis, perform operations relating to the real property of third parties</w:t>
      </w:r>
    </w:p>
    <w:p w14:paraId="1F2B108F" w14:textId="69190BDE" w:rsidR="00874110" w:rsidRPr="004A4AFB" w:rsidRDefault="00874110"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Legal representatives and directors responsible </w:t>
      </w:r>
      <w:r w:rsidR="00CA4238" w:rsidRPr="004A4AFB">
        <w:rPr>
          <w:rFonts w:ascii="Times New Roman" w:eastAsia="Times New Roman" w:hAnsi="Times New Roman" w:cs="Times New Roman"/>
          <w:color w:val="000000" w:themeColor="text1"/>
          <w:sz w:val="24"/>
          <w:szCs w:val="24"/>
          <w:lang w:eastAsia="fr-FR"/>
        </w:rPr>
        <w:t>of</w:t>
      </w:r>
      <w:r w:rsidRPr="004A4AFB">
        <w:rPr>
          <w:rFonts w:ascii="Times New Roman" w:eastAsia="Times New Roman" w:hAnsi="Times New Roman" w:cs="Times New Roman"/>
          <w:color w:val="000000" w:themeColor="text1"/>
          <w:sz w:val="24"/>
          <w:szCs w:val="24"/>
          <w:lang w:eastAsia="fr-FR"/>
        </w:rPr>
        <w:t xml:space="preserve"> casinos and </w:t>
      </w:r>
      <w:r w:rsidR="00CA4238" w:rsidRPr="004A4AFB">
        <w:rPr>
          <w:rFonts w:ascii="Times New Roman" w:eastAsia="Times New Roman" w:hAnsi="Times New Roman" w:cs="Times New Roman"/>
          <w:color w:val="000000" w:themeColor="text1"/>
          <w:sz w:val="24"/>
          <w:szCs w:val="24"/>
          <w:lang w:eastAsia="fr-FR"/>
        </w:rPr>
        <w:t xml:space="preserve">groups, clubs and companies </w:t>
      </w:r>
      <w:r w:rsidR="005D08CB" w:rsidRPr="004A4AFB">
        <w:rPr>
          <w:rFonts w:ascii="Times New Roman" w:eastAsia="Times New Roman" w:hAnsi="Times New Roman" w:cs="Times New Roman"/>
          <w:color w:val="000000" w:themeColor="text1"/>
          <w:sz w:val="24"/>
          <w:szCs w:val="24"/>
          <w:lang w:eastAsia="fr-FR"/>
        </w:rPr>
        <w:t>which organise</w:t>
      </w:r>
      <w:r w:rsidR="00CA4238" w:rsidRPr="004A4AFB">
        <w:rPr>
          <w:rFonts w:ascii="Times New Roman" w:eastAsia="Times New Roman" w:hAnsi="Times New Roman" w:cs="Times New Roman"/>
          <w:color w:val="000000" w:themeColor="text1"/>
          <w:sz w:val="24"/>
          <w:szCs w:val="24"/>
          <w:lang w:eastAsia="fr-FR"/>
        </w:rPr>
        <w:t xml:space="preserve"> gambling activities, lotteries, bets, sports and racing betting activities</w:t>
      </w:r>
    </w:p>
    <w:p w14:paraId="73A723A6" w14:textId="58930F5D" w:rsidR="00CA4238" w:rsidRPr="004A4AFB" w:rsidRDefault="00CA4238"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Persons which</w:t>
      </w:r>
      <w:r w:rsidR="00067441" w:rsidRPr="004A4AFB">
        <w:rPr>
          <w:rFonts w:ascii="Times New Roman" w:eastAsia="Times New Roman" w:hAnsi="Times New Roman" w:cs="Times New Roman"/>
          <w:color w:val="000000" w:themeColor="text1"/>
          <w:sz w:val="24"/>
          <w:szCs w:val="24"/>
          <w:lang w:eastAsia="fr-FR"/>
        </w:rPr>
        <w:t>,</w:t>
      </w:r>
      <w:r w:rsidRPr="004A4AFB">
        <w:rPr>
          <w:rFonts w:ascii="Times New Roman" w:eastAsia="Times New Roman" w:hAnsi="Times New Roman" w:cs="Times New Roman"/>
          <w:color w:val="000000" w:themeColor="text1"/>
          <w:sz w:val="24"/>
          <w:szCs w:val="24"/>
          <w:lang w:eastAsia="fr-FR"/>
        </w:rPr>
        <w:t xml:space="preserve"> on a usual basis</w:t>
      </w:r>
      <w:r w:rsidR="00067441" w:rsidRPr="004A4AFB">
        <w:rPr>
          <w:rFonts w:ascii="Times New Roman" w:eastAsia="Times New Roman" w:hAnsi="Times New Roman" w:cs="Times New Roman"/>
          <w:color w:val="000000" w:themeColor="text1"/>
          <w:sz w:val="24"/>
          <w:szCs w:val="24"/>
          <w:lang w:eastAsia="fr-FR"/>
        </w:rPr>
        <w:t>,</w:t>
      </w:r>
      <w:r w:rsidRPr="004A4AFB">
        <w:rPr>
          <w:rFonts w:ascii="Times New Roman" w:eastAsia="Times New Roman" w:hAnsi="Times New Roman" w:cs="Times New Roman"/>
          <w:color w:val="000000" w:themeColor="text1"/>
          <w:sz w:val="24"/>
          <w:szCs w:val="24"/>
          <w:lang w:eastAsia="fr-FR"/>
        </w:rPr>
        <w:t xml:space="preserve"> trade or organise the sale of precious stones, precious goods, antiques and works of art </w:t>
      </w:r>
    </w:p>
    <w:p w14:paraId="1D0F6006" w14:textId="00E93C10" w:rsidR="00FC7DB3" w:rsidRPr="004A4AFB" w:rsidRDefault="00FC7DB3"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Companies providing banking services with respect to payment which are exempt from aut</w:t>
      </w:r>
      <w:r w:rsidR="005D08CB" w:rsidRPr="004A4AFB">
        <w:rPr>
          <w:rFonts w:ascii="Times New Roman" w:eastAsia="Times New Roman" w:hAnsi="Times New Roman" w:cs="Times New Roman"/>
          <w:color w:val="000000" w:themeColor="text1"/>
          <w:sz w:val="24"/>
          <w:szCs w:val="24"/>
          <w:lang w:eastAsia="fr-FR"/>
        </w:rPr>
        <w:t>h</w:t>
      </w:r>
      <w:r w:rsidRPr="004A4AFB">
        <w:rPr>
          <w:rFonts w:ascii="Times New Roman" w:eastAsia="Times New Roman" w:hAnsi="Times New Roman" w:cs="Times New Roman"/>
          <w:color w:val="000000" w:themeColor="text1"/>
          <w:sz w:val="24"/>
          <w:szCs w:val="24"/>
          <w:lang w:eastAsia="fr-FR"/>
        </w:rPr>
        <w:t xml:space="preserve">orisation by the </w:t>
      </w:r>
      <w:proofErr w:type="spellStart"/>
      <w:r w:rsidRPr="004A4AFB">
        <w:rPr>
          <w:rFonts w:ascii="Times New Roman" w:eastAsia="Times New Roman" w:hAnsi="Times New Roman" w:cs="Times New Roman"/>
          <w:color w:val="000000" w:themeColor="text1"/>
          <w:sz w:val="24"/>
          <w:szCs w:val="24"/>
          <w:lang w:eastAsia="fr-FR"/>
        </w:rPr>
        <w:t>Autorité</w:t>
      </w:r>
      <w:proofErr w:type="spellEnd"/>
      <w:r w:rsidRPr="004A4AFB">
        <w:rPr>
          <w:rFonts w:ascii="Times New Roman" w:eastAsia="Times New Roman" w:hAnsi="Times New Roman" w:cs="Times New Roman"/>
          <w:color w:val="000000" w:themeColor="text1"/>
          <w:sz w:val="24"/>
          <w:szCs w:val="24"/>
          <w:lang w:eastAsia="fr-FR"/>
        </w:rPr>
        <w:t xml:space="preserve"> de </w:t>
      </w:r>
      <w:proofErr w:type="spellStart"/>
      <w:r w:rsidRPr="004A4AFB">
        <w:rPr>
          <w:rFonts w:ascii="Times New Roman" w:eastAsia="Times New Roman" w:hAnsi="Times New Roman" w:cs="Times New Roman"/>
          <w:color w:val="000000" w:themeColor="text1"/>
          <w:sz w:val="24"/>
          <w:szCs w:val="24"/>
          <w:lang w:eastAsia="fr-FR"/>
        </w:rPr>
        <w:t>contrôle</w:t>
      </w:r>
      <w:proofErr w:type="spellEnd"/>
      <w:r w:rsidRPr="004A4AFB">
        <w:rPr>
          <w:rFonts w:ascii="Times New Roman" w:eastAsia="Times New Roman" w:hAnsi="Times New Roman" w:cs="Times New Roman"/>
          <w:color w:val="000000" w:themeColor="text1"/>
          <w:sz w:val="24"/>
          <w:szCs w:val="24"/>
          <w:lang w:eastAsia="fr-FR"/>
        </w:rPr>
        <w:t xml:space="preserve"> </w:t>
      </w:r>
      <w:proofErr w:type="spellStart"/>
      <w:r w:rsidRPr="004A4AFB">
        <w:rPr>
          <w:rFonts w:ascii="Times New Roman" w:eastAsia="Times New Roman" w:hAnsi="Times New Roman" w:cs="Times New Roman"/>
          <w:color w:val="000000" w:themeColor="text1"/>
          <w:sz w:val="24"/>
          <w:szCs w:val="24"/>
          <w:lang w:eastAsia="fr-FR"/>
        </w:rPr>
        <w:t>prudentiel</w:t>
      </w:r>
      <w:proofErr w:type="spellEnd"/>
    </w:p>
    <w:p w14:paraId="7D64D985" w14:textId="1FE1FCBE" w:rsidR="00FC7DB3" w:rsidRPr="004A4AFB" w:rsidRDefault="00FC7DB3"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Certified public accountants and employees </w:t>
      </w:r>
      <w:r w:rsidR="004E4C2A" w:rsidRPr="004A4AFB">
        <w:rPr>
          <w:rFonts w:ascii="Times New Roman" w:eastAsia="Times New Roman" w:hAnsi="Times New Roman" w:cs="Times New Roman"/>
          <w:color w:val="000000" w:themeColor="text1"/>
          <w:sz w:val="24"/>
          <w:szCs w:val="24"/>
          <w:lang w:eastAsia="fr-FR"/>
        </w:rPr>
        <w:t xml:space="preserve">who are </w:t>
      </w:r>
      <w:r w:rsidRPr="004A4AFB">
        <w:rPr>
          <w:rFonts w:ascii="Times New Roman" w:eastAsia="Times New Roman" w:hAnsi="Times New Roman" w:cs="Times New Roman"/>
          <w:color w:val="000000" w:themeColor="text1"/>
          <w:sz w:val="24"/>
          <w:szCs w:val="24"/>
          <w:lang w:eastAsia="fr-FR"/>
        </w:rPr>
        <w:t>authorised to perform the profession of certified public accountant</w:t>
      </w:r>
    </w:p>
    <w:p w14:paraId="4643CFDC" w14:textId="7E76C56B" w:rsidR="004E4C2A" w:rsidRPr="004A4AFB" w:rsidRDefault="004E4C2A"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 xml:space="preserve">Lawyers at the Council of State and at the Court of Cassation, lawyers, </w:t>
      </w:r>
      <w:proofErr w:type="spellStart"/>
      <w:r w:rsidRPr="004A4AFB">
        <w:rPr>
          <w:rFonts w:ascii="Times New Roman" w:eastAsia="Times New Roman" w:hAnsi="Times New Roman" w:cs="Times New Roman"/>
          <w:color w:val="000000" w:themeColor="text1"/>
          <w:sz w:val="24"/>
          <w:szCs w:val="24"/>
          <w:lang w:eastAsia="fr-FR"/>
        </w:rPr>
        <w:t>avoués</w:t>
      </w:r>
      <w:proofErr w:type="spellEnd"/>
      <w:r w:rsidRPr="004A4AFB">
        <w:rPr>
          <w:rFonts w:ascii="Times New Roman" w:eastAsia="Times New Roman" w:hAnsi="Times New Roman" w:cs="Times New Roman"/>
          <w:color w:val="000000" w:themeColor="text1"/>
          <w:sz w:val="24"/>
          <w:szCs w:val="24"/>
          <w:lang w:eastAsia="fr-FR"/>
        </w:rPr>
        <w:t xml:space="preserve"> at courts of appeal</w:t>
      </w:r>
    </w:p>
    <w:p w14:paraId="552330E9" w14:textId="2584D520" w:rsidR="00275394" w:rsidRPr="004A4AFB" w:rsidRDefault="00275394"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Notaries</w:t>
      </w:r>
    </w:p>
    <w:p w14:paraId="73F0EE42" w14:textId="056E046E" w:rsidR="00275394" w:rsidRPr="004A4AFB" w:rsidRDefault="00275394"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Court bailiffs</w:t>
      </w:r>
    </w:p>
    <w:p w14:paraId="2D809C9F" w14:textId="3E47FF78" w:rsidR="004E4C2A" w:rsidRPr="004A4AFB" w:rsidRDefault="004E4C2A"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Administrators of justice and judicial representatives</w:t>
      </w:r>
    </w:p>
    <w:p w14:paraId="6DCD13EB" w14:textId="09187A6F" w:rsidR="00205C7D" w:rsidRPr="004A4AFB" w:rsidRDefault="00205C7D"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t>Judicial auctioneers and public auction sales companies</w:t>
      </w:r>
    </w:p>
    <w:p w14:paraId="68BA17BB" w14:textId="3C22A7A4" w:rsidR="00205C7D" w:rsidRPr="004A4AFB" w:rsidRDefault="00205C7D" w:rsidP="00A873A4">
      <w:pPr>
        <w:numPr>
          <w:ilvl w:val="0"/>
          <w:numId w:val="17"/>
        </w:numPr>
        <w:spacing w:before="100" w:beforeAutospacing="1" w:after="100" w:afterAutospacing="1"/>
        <w:rPr>
          <w:rFonts w:ascii="Times New Roman" w:eastAsia="Times New Roman" w:hAnsi="Times New Roman" w:cs="Times New Roman"/>
          <w:color w:val="000000" w:themeColor="text1"/>
          <w:sz w:val="24"/>
          <w:szCs w:val="24"/>
          <w:lang w:eastAsia="fr-FR"/>
        </w:rPr>
      </w:pPr>
      <w:r w:rsidRPr="004A4AFB">
        <w:rPr>
          <w:rFonts w:ascii="Times New Roman" w:eastAsia="Times New Roman" w:hAnsi="Times New Roman" w:cs="Times New Roman"/>
          <w:color w:val="000000" w:themeColor="text1"/>
          <w:sz w:val="24"/>
          <w:szCs w:val="24"/>
          <w:lang w:eastAsia="fr-FR"/>
        </w:rPr>
        <w:lastRenderedPageBreak/>
        <w:t xml:space="preserve">Persons performing the activity of company domiciliation </w:t>
      </w:r>
    </w:p>
    <w:p w14:paraId="1B21B9AE" w14:textId="5BD352FA" w:rsidR="00275394" w:rsidRPr="004A4AFB" w:rsidRDefault="00275394" w:rsidP="00A873A4">
      <w:pPr>
        <w:numPr>
          <w:ilvl w:val="0"/>
          <w:numId w:val="17"/>
        </w:numPr>
        <w:spacing w:before="100" w:beforeAutospacing="1" w:after="100" w:afterAutospacing="1"/>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Listed companies</w:t>
      </w:r>
    </w:p>
    <w:p w14:paraId="6A3FA443" w14:textId="55CA7132" w:rsidR="00C22F12" w:rsidRPr="004A4AFB" w:rsidRDefault="00C22F12" w:rsidP="00A873A4">
      <w:pPr>
        <w:rPr>
          <w:rFonts w:ascii="Times New Roman" w:hAnsi="Times New Roman" w:cs="Times New Roman"/>
          <w:color w:val="000000" w:themeColor="text1"/>
          <w:sz w:val="24"/>
          <w:szCs w:val="24"/>
          <w:lang w:val="en-US"/>
        </w:rPr>
      </w:pPr>
      <w:r w:rsidRPr="004A4AFB">
        <w:rPr>
          <w:rFonts w:ascii="Times New Roman" w:hAnsi="Times New Roman" w:cs="Times New Roman"/>
          <w:color w:val="000000" w:themeColor="text1"/>
          <w:sz w:val="24"/>
          <w:szCs w:val="24"/>
          <w:u w:val="single"/>
          <w:lang w:val="en-US"/>
        </w:rPr>
        <w:t>Country or geographic risk factors</w:t>
      </w:r>
    </w:p>
    <w:p w14:paraId="268D969A" w14:textId="77777777" w:rsidR="000226DC" w:rsidRPr="004A4AFB" w:rsidRDefault="003A0F87"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the investor or their custodian is based in a high risk jurisdiction, including off-shore jurisdictions</w:t>
      </w:r>
      <w:r w:rsidR="000226DC" w:rsidRPr="004A4AFB">
        <w:rPr>
          <w:rFonts w:ascii="Times New Roman" w:hAnsi="Times New Roman" w:cs="Times New Roman"/>
          <w:b/>
          <w:color w:val="000000" w:themeColor="text1"/>
          <w:sz w:val="24"/>
          <w:szCs w:val="24"/>
          <w:lang w:val="en-US"/>
        </w:rPr>
        <w:t xml:space="preserve"> </w:t>
      </w:r>
    </w:p>
    <w:p w14:paraId="20D759E1" w14:textId="77777777" w:rsidR="003A0F87" w:rsidRPr="004A4AFB" w:rsidRDefault="003A0F87" w:rsidP="00A873A4">
      <w:pPr>
        <w:pStyle w:val="Paragraphedeliste"/>
        <w:autoSpaceDE w:val="0"/>
        <w:autoSpaceDN w:val="0"/>
        <w:adjustRightInd w:val="0"/>
        <w:spacing w:after="0"/>
        <w:jc w:val="both"/>
        <w:rPr>
          <w:rFonts w:ascii="Times New Roman" w:hAnsi="Times New Roman" w:cs="Times New Roman"/>
          <w:b/>
          <w:color w:val="000000" w:themeColor="text1"/>
          <w:sz w:val="24"/>
          <w:szCs w:val="24"/>
        </w:rPr>
      </w:pPr>
      <w:r w:rsidRPr="004A4AFB">
        <w:rPr>
          <w:rFonts w:ascii="Times New Roman" w:hAnsi="Times New Roman" w:cs="Times New Roman"/>
          <w:b/>
          <w:color w:val="000000" w:themeColor="text1"/>
          <w:sz w:val="24"/>
          <w:szCs w:val="24"/>
        </w:rPr>
        <w:t>(</w:t>
      </w:r>
      <w:proofErr w:type="gramStart"/>
      <w:r w:rsidRPr="004A4AFB">
        <w:rPr>
          <w:rFonts w:ascii="Times New Roman" w:hAnsi="Times New Roman" w:cs="Times New Roman"/>
          <w:b/>
          <w:color w:val="000000" w:themeColor="text1"/>
          <w:sz w:val="24"/>
          <w:szCs w:val="24"/>
        </w:rPr>
        <w:t>n°</w:t>
      </w:r>
      <w:proofErr w:type="gramEnd"/>
      <w:r w:rsidRPr="004A4AFB">
        <w:rPr>
          <w:rFonts w:ascii="Times New Roman" w:hAnsi="Times New Roman" w:cs="Times New Roman"/>
          <w:b/>
          <w:color w:val="000000" w:themeColor="text1"/>
          <w:sz w:val="24"/>
          <w:szCs w:val="24"/>
        </w:rPr>
        <w:t>196-1)</w:t>
      </w:r>
    </w:p>
    <w:p w14:paraId="009FCE9B" w14:textId="77777777" w:rsidR="00C22F12" w:rsidRPr="004A4AFB" w:rsidRDefault="00C22F12" w:rsidP="00A873A4">
      <w:pPr>
        <w:autoSpaceDE w:val="0"/>
        <w:autoSpaceDN w:val="0"/>
        <w:adjustRightInd w:val="0"/>
        <w:spacing w:after="0"/>
        <w:jc w:val="both"/>
        <w:rPr>
          <w:rFonts w:ascii="Times New Roman" w:hAnsi="Times New Roman" w:cs="Times New Roman"/>
          <w:b/>
          <w:color w:val="000000" w:themeColor="text1"/>
          <w:sz w:val="24"/>
          <w:szCs w:val="24"/>
          <w:u w:val="single"/>
        </w:rPr>
      </w:pPr>
    </w:p>
    <w:p w14:paraId="228BA6B9" w14:textId="2462DCBF" w:rsidR="004C2EA9" w:rsidRPr="004A4AFB" w:rsidRDefault="000C0661" w:rsidP="00A873A4">
      <w:pPr>
        <w:autoSpaceDE w:val="0"/>
        <w:autoSpaceDN w:val="0"/>
        <w:adjustRightInd w:val="0"/>
        <w:spacing w:after="0"/>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notion of “off-shore jurisdictions”</w:t>
      </w:r>
      <w:r w:rsidR="004C2EA9" w:rsidRPr="004A4AFB">
        <w:rPr>
          <w:rFonts w:ascii="Times New Roman" w:hAnsi="Times New Roman" w:cs="Times New Roman"/>
          <w:color w:val="000000" w:themeColor="text1"/>
          <w:sz w:val="24"/>
          <w:szCs w:val="24"/>
        </w:rPr>
        <w:t xml:space="preserve"> </w:t>
      </w:r>
      <w:proofErr w:type="gramStart"/>
      <w:r w:rsidR="004C2EA9" w:rsidRPr="004A4AFB">
        <w:rPr>
          <w:rFonts w:ascii="Times New Roman" w:hAnsi="Times New Roman" w:cs="Times New Roman"/>
          <w:color w:val="000000" w:themeColor="text1"/>
          <w:sz w:val="24"/>
          <w:szCs w:val="24"/>
        </w:rPr>
        <w:t>is not clearly defined</w:t>
      </w:r>
      <w:proofErr w:type="gramEnd"/>
      <w:r w:rsidR="004C2EA9" w:rsidRPr="004A4AFB">
        <w:rPr>
          <w:rFonts w:ascii="Times New Roman" w:hAnsi="Times New Roman" w:cs="Times New Roman"/>
          <w:color w:val="000000" w:themeColor="text1"/>
          <w:sz w:val="24"/>
          <w:szCs w:val="24"/>
        </w:rPr>
        <w:t>; several definitions co-exist at European level.</w:t>
      </w:r>
    </w:p>
    <w:p w14:paraId="75037E10" w14:textId="77777777" w:rsidR="003A0F87" w:rsidRPr="004A4AFB" w:rsidRDefault="003A0F87" w:rsidP="00A873A4">
      <w:pPr>
        <w:autoSpaceDE w:val="0"/>
        <w:autoSpaceDN w:val="0"/>
        <w:adjustRightInd w:val="0"/>
        <w:spacing w:after="0"/>
        <w:jc w:val="both"/>
        <w:rPr>
          <w:rFonts w:ascii="Times New Roman" w:hAnsi="Times New Roman" w:cs="Times New Roman"/>
          <w:color w:val="000000" w:themeColor="text1"/>
          <w:sz w:val="24"/>
          <w:szCs w:val="24"/>
        </w:rPr>
      </w:pPr>
    </w:p>
    <w:p w14:paraId="2208271C" w14:textId="41C6C809" w:rsidR="003A0F87" w:rsidRPr="004A4AFB" w:rsidRDefault="003A0F87"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Investment managers typically need to develop a good understanding of their customer, their customer’s circumstances and anticipated levels of transactions to help them identify suitable investment portfolios. This information will be similar to that firms wil</w:t>
      </w:r>
      <w:r w:rsidR="003640F8">
        <w:rPr>
          <w:rFonts w:ascii="Times New Roman" w:hAnsi="Times New Roman" w:cs="Times New Roman"/>
          <w:b/>
          <w:color w:val="000000" w:themeColor="text1"/>
          <w:sz w:val="24"/>
          <w:szCs w:val="24"/>
          <w:lang w:val="en-US"/>
        </w:rPr>
        <w:t xml:space="preserve">l obtain for </w:t>
      </w:r>
      <w:r w:rsidR="00D65D63">
        <w:rPr>
          <w:rFonts w:ascii="Times New Roman" w:hAnsi="Times New Roman" w:cs="Times New Roman"/>
          <w:b/>
          <w:color w:val="000000" w:themeColor="text1"/>
          <w:sz w:val="24"/>
          <w:szCs w:val="24"/>
          <w:lang w:val="en-US"/>
        </w:rPr>
        <w:t>AML-</w:t>
      </w:r>
      <w:proofErr w:type="gramStart"/>
      <w:r w:rsidR="00D65D63">
        <w:rPr>
          <w:rFonts w:ascii="Times New Roman" w:hAnsi="Times New Roman" w:cs="Times New Roman"/>
          <w:b/>
          <w:color w:val="000000" w:themeColor="text1"/>
          <w:sz w:val="24"/>
          <w:szCs w:val="24"/>
          <w:lang w:val="en-US"/>
        </w:rPr>
        <w:t xml:space="preserve">CFT </w:t>
      </w:r>
      <w:r w:rsidR="003640F8">
        <w:rPr>
          <w:rFonts w:ascii="Times New Roman" w:hAnsi="Times New Roman" w:cs="Times New Roman"/>
          <w:b/>
          <w:color w:val="000000" w:themeColor="text1"/>
          <w:sz w:val="24"/>
          <w:szCs w:val="24"/>
          <w:lang w:val="en-US"/>
        </w:rPr>
        <w:t xml:space="preserve"> purposes</w:t>
      </w:r>
      <w:proofErr w:type="gramEnd"/>
      <w:r w:rsidR="003640F8">
        <w:rPr>
          <w:rFonts w:ascii="Times New Roman" w:hAnsi="Times New Roman" w:cs="Times New Roman"/>
          <w:b/>
          <w:color w:val="000000" w:themeColor="text1"/>
          <w:sz w:val="24"/>
          <w:szCs w:val="24"/>
          <w:lang w:val="en-US"/>
        </w:rPr>
        <w:t>.</w:t>
      </w:r>
      <w:r w:rsidRPr="004A4AFB">
        <w:rPr>
          <w:rFonts w:ascii="Times New Roman" w:hAnsi="Times New Roman" w:cs="Times New Roman"/>
          <w:b/>
          <w:color w:val="000000" w:themeColor="text1"/>
          <w:sz w:val="24"/>
          <w:szCs w:val="24"/>
          <w:lang w:val="en-US"/>
        </w:rPr>
        <w:t xml:space="preserve"> (n°197)</w:t>
      </w:r>
    </w:p>
    <w:p w14:paraId="4F96CDF4" w14:textId="77777777" w:rsidR="004C2EA9" w:rsidRPr="004A4AFB" w:rsidRDefault="004C2EA9" w:rsidP="00A873A4">
      <w:pPr>
        <w:autoSpaceDE w:val="0"/>
        <w:autoSpaceDN w:val="0"/>
        <w:adjustRightInd w:val="0"/>
        <w:spacing w:after="0"/>
        <w:jc w:val="both"/>
        <w:rPr>
          <w:rFonts w:ascii="Times New Roman" w:hAnsi="Times New Roman" w:cs="Times New Roman"/>
          <w:color w:val="000000" w:themeColor="text1"/>
          <w:sz w:val="24"/>
          <w:szCs w:val="24"/>
        </w:rPr>
      </w:pPr>
    </w:p>
    <w:p w14:paraId="6767F4C9" w14:textId="70B5BD45" w:rsidR="004C2EA9" w:rsidRPr="004A4AFB" w:rsidRDefault="00051F5B" w:rsidP="00A873A4">
      <w:pPr>
        <w:autoSpaceDE w:val="0"/>
        <w:autoSpaceDN w:val="0"/>
        <w:adjustRightInd w:val="0"/>
        <w:spacing w:after="0"/>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It would be useful to clarify t</w:t>
      </w:r>
      <w:r w:rsidR="004C2EA9" w:rsidRPr="004A4AFB">
        <w:rPr>
          <w:rFonts w:ascii="Times New Roman" w:hAnsi="Times New Roman" w:cs="Times New Roman"/>
          <w:color w:val="000000" w:themeColor="text1"/>
          <w:sz w:val="24"/>
          <w:szCs w:val="24"/>
        </w:rPr>
        <w:t xml:space="preserve">he notion of </w:t>
      </w:r>
      <w:r w:rsidR="00630AFA">
        <w:rPr>
          <w:rFonts w:ascii="Times New Roman" w:hAnsi="Times New Roman" w:cs="Times New Roman"/>
          <w:color w:val="000000" w:themeColor="text1"/>
          <w:sz w:val="24"/>
          <w:szCs w:val="24"/>
        </w:rPr>
        <w:t>“</w:t>
      </w:r>
      <w:r w:rsidR="004C2EA9" w:rsidRPr="004A4AFB">
        <w:rPr>
          <w:rFonts w:ascii="Times New Roman" w:hAnsi="Times New Roman" w:cs="Times New Roman"/>
          <w:color w:val="000000" w:themeColor="text1"/>
          <w:sz w:val="24"/>
          <w:szCs w:val="24"/>
        </w:rPr>
        <w:t>anticipated levels of transactions</w:t>
      </w:r>
      <w:r w:rsidR="00630AFA">
        <w:rPr>
          <w:rFonts w:ascii="Times New Roman" w:hAnsi="Times New Roman" w:cs="Times New Roman"/>
          <w:color w:val="000000" w:themeColor="text1"/>
          <w:sz w:val="24"/>
          <w:szCs w:val="24"/>
        </w:rPr>
        <w:t>”.</w:t>
      </w:r>
    </w:p>
    <w:p w14:paraId="7921E757" w14:textId="77777777" w:rsidR="00DD2AD8" w:rsidRPr="004A4AFB" w:rsidRDefault="00DD2AD8" w:rsidP="00A873A4">
      <w:pPr>
        <w:autoSpaceDE w:val="0"/>
        <w:autoSpaceDN w:val="0"/>
        <w:adjustRightInd w:val="0"/>
        <w:spacing w:after="0"/>
        <w:jc w:val="both"/>
        <w:rPr>
          <w:rFonts w:ascii="Times New Roman" w:hAnsi="Times New Roman" w:cs="Times New Roman"/>
          <w:color w:val="000000" w:themeColor="text1"/>
          <w:sz w:val="24"/>
          <w:szCs w:val="24"/>
        </w:rPr>
      </w:pPr>
    </w:p>
    <w:p w14:paraId="24B4E766" w14:textId="77777777" w:rsidR="004D6862" w:rsidRPr="004A4AFB" w:rsidRDefault="00DD2AD8"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identify and, where necessary, verify the identity of underlying investors where the customer is an unregulated third party investment vehicle; </w:t>
      </w:r>
      <w:r w:rsidR="004D6862" w:rsidRPr="004A4AFB">
        <w:rPr>
          <w:rFonts w:ascii="Times New Roman" w:hAnsi="Times New Roman" w:cs="Times New Roman"/>
          <w:b/>
          <w:color w:val="000000" w:themeColor="text1"/>
          <w:sz w:val="24"/>
          <w:szCs w:val="24"/>
          <w:lang w:val="en-US"/>
        </w:rPr>
        <w:t>(n°198)</w:t>
      </w:r>
    </w:p>
    <w:p w14:paraId="4B1DF205" w14:textId="77777777" w:rsidR="00DD2AD8" w:rsidRPr="004A4AFB" w:rsidRDefault="00DD2AD8" w:rsidP="00A873A4">
      <w:pPr>
        <w:pStyle w:val="Paragraphedeliste"/>
        <w:autoSpaceDE w:val="0"/>
        <w:autoSpaceDN w:val="0"/>
        <w:adjustRightInd w:val="0"/>
        <w:spacing w:after="0"/>
        <w:jc w:val="both"/>
        <w:rPr>
          <w:rFonts w:ascii="Times New Roman" w:hAnsi="Times New Roman" w:cs="Times New Roman"/>
          <w:color w:val="000000" w:themeColor="text1"/>
          <w:sz w:val="24"/>
          <w:szCs w:val="24"/>
          <w:lang w:val="en-US"/>
        </w:rPr>
      </w:pPr>
    </w:p>
    <w:p w14:paraId="52B9E7A4" w14:textId="634C894B" w:rsidR="004C2EA9" w:rsidRPr="004A4AFB" w:rsidRDefault="00D943FE" w:rsidP="00A873A4">
      <w:pPr>
        <w:autoSpaceDE w:val="0"/>
        <w:autoSpaceDN w:val="0"/>
        <w:adjustRightInd w:val="0"/>
        <w:spacing w:after="0"/>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case of an “unregulated third party”</w:t>
      </w:r>
      <w:r w:rsidR="004C2EA9" w:rsidRPr="004A4AFB">
        <w:rPr>
          <w:rFonts w:ascii="Times New Roman" w:hAnsi="Times New Roman" w:cs="Times New Roman"/>
          <w:color w:val="000000" w:themeColor="text1"/>
          <w:sz w:val="24"/>
          <w:szCs w:val="24"/>
        </w:rPr>
        <w:t>, our diligence</w:t>
      </w:r>
      <w:r w:rsidR="00FE0F02">
        <w:rPr>
          <w:rFonts w:ascii="Times New Roman" w:hAnsi="Times New Roman" w:cs="Times New Roman"/>
          <w:color w:val="000000" w:themeColor="text1"/>
          <w:sz w:val="24"/>
          <w:szCs w:val="24"/>
        </w:rPr>
        <w:t xml:space="preserve"> measure</w:t>
      </w:r>
      <w:r w:rsidR="00436B4D" w:rsidRPr="004A4AFB">
        <w:rPr>
          <w:rFonts w:ascii="Times New Roman" w:hAnsi="Times New Roman" w:cs="Times New Roman"/>
          <w:color w:val="000000" w:themeColor="text1"/>
          <w:sz w:val="24"/>
          <w:szCs w:val="24"/>
        </w:rPr>
        <w:t>s</w:t>
      </w:r>
      <w:r w:rsidR="004C2EA9" w:rsidRPr="004A4AFB">
        <w:rPr>
          <w:rFonts w:ascii="Times New Roman" w:hAnsi="Times New Roman" w:cs="Times New Roman"/>
          <w:color w:val="000000" w:themeColor="text1"/>
          <w:sz w:val="24"/>
          <w:szCs w:val="24"/>
        </w:rPr>
        <w:t xml:space="preserve"> will only cover the management company in charge </w:t>
      </w:r>
      <w:r w:rsidR="00E270A5" w:rsidRPr="004A4AFB">
        <w:rPr>
          <w:rFonts w:ascii="Times New Roman" w:hAnsi="Times New Roman" w:cs="Times New Roman"/>
          <w:color w:val="000000" w:themeColor="text1"/>
          <w:sz w:val="24"/>
          <w:szCs w:val="24"/>
        </w:rPr>
        <w:t xml:space="preserve">of </w:t>
      </w:r>
      <w:r w:rsidR="008A5AAE" w:rsidRPr="004A4AFB">
        <w:rPr>
          <w:rFonts w:ascii="Times New Roman" w:hAnsi="Times New Roman" w:cs="Times New Roman"/>
          <w:color w:val="000000" w:themeColor="text1"/>
          <w:sz w:val="24"/>
          <w:szCs w:val="24"/>
        </w:rPr>
        <w:t>managing the vehicle</w:t>
      </w:r>
      <w:r w:rsidR="004C2EA9" w:rsidRPr="004A4AFB">
        <w:rPr>
          <w:rFonts w:ascii="Times New Roman" w:hAnsi="Times New Roman" w:cs="Times New Roman"/>
          <w:color w:val="000000" w:themeColor="text1"/>
          <w:sz w:val="24"/>
          <w:szCs w:val="24"/>
        </w:rPr>
        <w:t xml:space="preserve"> (we have no visibility on </w:t>
      </w:r>
      <w:r w:rsidR="004E5AE3" w:rsidRPr="004A4AFB">
        <w:rPr>
          <w:rFonts w:ascii="Times New Roman" w:hAnsi="Times New Roman" w:cs="Times New Roman"/>
          <w:color w:val="000000" w:themeColor="text1"/>
          <w:sz w:val="24"/>
          <w:szCs w:val="24"/>
        </w:rPr>
        <w:t xml:space="preserve">the </w:t>
      </w:r>
      <w:r w:rsidR="004C2EA9" w:rsidRPr="004A4AFB">
        <w:rPr>
          <w:rFonts w:ascii="Times New Roman" w:hAnsi="Times New Roman" w:cs="Times New Roman"/>
          <w:color w:val="000000" w:themeColor="text1"/>
          <w:sz w:val="24"/>
          <w:szCs w:val="24"/>
        </w:rPr>
        <w:t xml:space="preserve">clients of this third party and will </w:t>
      </w:r>
      <w:proofErr w:type="gramStart"/>
      <w:r w:rsidR="004C2EA9" w:rsidRPr="004A4AFB">
        <w:rPr>
          <w:rFonts w:ascii="Times New Roman" w:hAnsi="Times New Roman" w:cs="Times New Roman"/>
          <w:color w:val="000000" w:themeColor="text1"/>
          <w:sz w:val="24"/>
          <w:szCs w:val="24"/>
        </w:rPr>
        <w:t>as a consequence</w:t>
      </w:r>
      <w:proofErr w:type="gramEnd"/>
      <w:r w:rsidR="004C2EA9" w:rsidRPr="004A4AFB">
        <w:rPr>
          <w:rFonts w:ascii="Times New Roman" w:hAnsi="Times New Roman" w:cs="Times New Roman"/>
          <w:color w:val="000000" w:themeColor="text1"/>
          <w:sz w:val="24"/>
          <w:szCs w:val="24"/>
        </w:rPr>
        <w:t xml:space="preserve"> be totally unable to implement this requirement).</w:t>
      </w:r>
    </w:p>
    <w:p w14:paraId="372CBB94" w14:textId="77777777" w:rsidR="000E1B2D" w:rsidRPr="004A4AFB" w:rsidRDefault="000E1B2D" w:rsidP="00A873A4">
      <w:pPr>
        <w:jc w:val="both"/>
        <w:rPr>
          <w:rFonts w:ascii="Times New Roman" w:hAnsi="Times New Roman" w:cs="Times New Roman"/>
          <w:b/>
          <w:color w:val="000000" w:themeColor="text1"/>
          <w:sz w:val="24"/>
          <w:szCs w:val="24"/>
          <w:u w:val="single"/>
        </w:rPr>
      </w:pPr>
    </w:p>
    <w:p w14:paraId="2D78DDA5" w14:textId="29E4520E" w:rsidR="00004ACB" w:rsidRPr="004A4AFB" w:rsidRDefault="00004ACB" w:rsidP="00A873A4">
      <w:pPr>
        <w:jc w:val="both"/>
        <w:rPr>
          <w:rFonts w:ascii="Times New Roman" w:hAnsi="Times New Roman" w:cs="Times New Roman"/>
          <w:b/>
          <w:color w:val="000000" w:themeColor="text1"/>
          <w:sz w:val="24"/>
          <w:szCs w:val="24"/>
          <w:u w:val="single"/>
        </w:rPr>
      </w:pPr>
      <w:r w:rsidRPr="004A4AFB">
        <w:rPr>
          <w:rFonts w:ascii="Times New Roman" w:hAnsi="Times New Roman" w:cs="Times New Roman"/>
          <w:b/>
          <w:color w:val="000000" w:themeColor="text1"/>
          <w:sz w:val="24"/>
          <w:szCs w:val="24"/>
          <w:u w:val="single"/>
        </w:rPr>
        <w:t>CHAP</w:t>
      </w:r>
      <w:r w:rsidR="000E1B2D" w:rsidRPr="004A4AFB">
        <w:rPr>
          <w:rFonts w:ascii="Times New Roman" w:hAnsi="Times New Roman" w:cs="Times New Roman"/>
          <w:b/>
          <w:color w:val="000000" w:themeColor="text1"/>
          <w:sz w:val="24"/>
          <w:szCs w:val="24"/>
          <w:u w:val="single"/>
        </w:rPr>
        <w:t>TER</w:t>
      </w:r>
      <w:r w:rsidRPr="004A4AFB">
        <w:rPr>
          <w:rFonts w:ascii="Times New Roman" w:hAnsi="Times New Roman" w:cs="Times New Roman"/>
          <w:b/>
          <w:color w:val="000000" w:themeColor="text1"/>
          <w:sz w:val="24"/>
          <w:szCs w:val="24"/>
          <w:u w:val="single"/>
        </w:rPr>
        <w:t xml:space="preserve"> 9</w:t>
      </w:r>
    </w:p>
    <w:p w14:paraId="48F7FD0A" w14:textId="378EDBA5" w:rsidR="00797C09" w:rsidRPr="004A4AFB" w:rsidRDefault="00797C09" w:rsidP="00A873A4">
      <w:pPr>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As a preliminary comment, </w:t>
      </w:r>
      <w:r w:rsidR="001B7BE2" w:rsidRPr="004A4AFB">
        <w:rPr>
          <w:rFonts w:ascii="Times New Roman" w:hAnsi="Times New Roman" w:cs="Times New Roman"/>
          <w:color w:val="000000" w:themeColor="text1"/>
          <w:sz w:val="24"/>
          <w:szCs w:val="24"/>
        </w:rPr>
        <w:t>it seems important to us</w:t>
      </w:r>
      <w:r w:rsidRPr="004A4AFB">
        <w:rPr>
          <w:rFonts w:ascii="Times New Roman" w:hAnsi="Times New Roman" w:cs="Times New Roman"/>
          <w:color w:val="000000" w:themeColor="text1"/>
          <w:sz w:val="24"/>
          <w:szCs w:val="24"/>
        </w:rPr>
        <w:t xml:space="preserve"> to highlight the need </w:t>
      </w:r>
      <w:proofErr w:type="gramStart"/>
      <w:r w:rsidRPr="004A4AFB">
        <w:rPr>
          <w:rFonts w:ascii="Times New Roman" w:hAnsi="Times New Roman" w:cs="Times New Roman"/>
          <w:color w:val="000000" w:themeColor="text1"/>
          <w:sz w:val="24"/>
          <w:szCs w:val="24"/>
        </w:rPr>
        <w:t>to properly allocate</w:t>
      </w:r>
      <w:proofErr w:type="gramEnd"/>
      <w:r w:rsidRPr="004A4AFB">
        <w:rPr>
          <w:rFonts w:ascii="Times New Roman" w:hAnsi="Times New Roman" w:cs="Times New Roman"/>
          <w:color w:val="000000" w:themeColor="text1"/>
          <w:sz w:val="24"/>
          <w:szCs w:val="24"/>
        </w:rPr>
        <w:t xml:space="preserve"> the diligence</w:t>
      </w:r>
      <w:r w:rsidR="00A02D29">
        <w:rPr>
          <w:rFonts w:ascii="Times New Roman" w:hAnsi="Times New Roman" w:cs="Times New Roman"/>
          <w:color w:val="000000" w:themeColor="text1"/>
          <w:sz w:val="24"/>
          <w:szCs w:val="24"/>
        </w:rPr>
        <w:t xml:space="preserve"> measure</w:t>
      </w:r>
      <w:r w:rsidR="00C350B1" w:rsidRPr="004A4AFB">
        <w:rPr>
          <w:rFonts w:ascii="Times New Roman" w:hAnsi="Times New Roman" w:cs="Times New Roman"/>
          <w:color w:val="000000" w:themeColor="text1"/>
          <w:sz w:val="24"/>
          <w:szCs w:val="24"/>
        </w:rPr>
        <w:t>s</w:t>
      </w:r>
      <w:r w:rsidRPr="004A4AFB">
        <w:rPr>
          <w:rFonts w:ascii="Times New Roman" w:hAnsi="Times New Roman" w:cs="Times New Roman"/>
          <w:color w:val="000000" w:themeColor="text1"/>
          <w:sz w:val="24"/>
          <w:szCs w:val="24"/>
        </w:rPr>
        <w:t xml:space="preserve"> </w:t>
      </w:r>
      <w:r w:rsidR="00044880" w:rsidRPr="004A4AFB">
        <w:rPr>
          <w:rFonts w:ascii="Times New Roman" w:hAnsi="Times New Roman" w:cs="Times New Roman"/>
          <w:color w:val="000000" w:themeColor="text1"/>
          <w:sz w:val="24"/>
          <w:szCs w:val="24"/>
        </w:rPr>
        <w:t>between</w:t>
      </w:r>
      <w:r w:rsidRPr="004A4AFB">
        <w:rPr>
          <w:rFonts w:ascii="Times New Roman" w:hAnsi="Times New Roman" w:cs="Times New Roman"/>
          <w:color w:val="000000" w:themeColor="text1"/>
          <w:sz w:val="24"/>
          <w:szCs w:val="24"/>
        </w:rPr>
        <w:t xml:space="preserve"> depositaries and management companies.</w:t>
      </w:r>
    </w:p>
    <w:p w14:paraId="5C6FC4D0" w14:textId="77777777" w:rsidR="009E5396" w:rsidRPr="004A4AFB" w:rsidRDefault="009E5396"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Investment funds </w:t>
      </w:r>
      <w:proofErr w:type="gramStart"/>
      <w:r w:rsidRPr="004A4AFB">
        <w:rPr>
          <w:rFonts w:ascii="Times New Roman" w:hAnsi="Times New Roman" w:cs="Times New Roman"/>
          <w:b/>
          <w:color w:val="000000" w:themeColor="text1"/>
          <w:sz w:val="24"/>
          <w:szCs w:val="24"/>
          <w:lang w:val="en-US"/>
        </w:rPr>
        <w:t>can be abused</w:t>
      </w:r>
      <w:proofErr w:type="gramEnd"/>
      <w:r w:rsidRPr="004A4AFB">
        <w:rPr>
          <w:rFonts w:ascii="Times New Roman" w:hAnsi="Times New Roman" w:cs="Times New Roman"/>
          <w:b/>
          <w:color w:val="000000" w:themeColor="text1"/>
          <w:sz w:val="24"/>
          <w:szCs w:val="24"/>
          <w:lang w:val="en-US"/>
        </w:rPr>
        <w:t xml:space="preserve"> for ML/TF purposes. Retail funds are often conducted on a non-face to face basis; access to such funds is often easy and holdings of investment funds can easily be transferred between different parties (n°201)</w:t>
      </w:r>
    </w:p>
    <w:p w14:paraId="7C651296" w14:textId="77777777" w:rsidR="00B71E8F" w:rsidRDefault="00B71E8F" w:rsidP="00A873A4">
      <w:pPr>
        <w:ind w:left="708"/>
        <w:jc w:val="both"/>
        <w:rPr>
          <w:rFonts w:ascii="Times New Roman" w:hAnsi="Times New Roman" w:cs="Times New Roman"/>
          <w:color w:val="000000" w:themeColor="text1"/>
          <w:sz w:val="24"/>
          <w:szCs w:val="24"/>
        </w:rPr>
      </w:pPr>
    </w:p>
    <w:p w14:paraId="648AEECD" w14:textId="2EB19B00" w:rsidR="00966079" w:rsidRPr="004A4AFB" w:rsidRDefault="00966079"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In no way does the easy access to retail funds make them </w:t>
      </w:r>
      <w:r w:rsidR="0063662A" w:rsidRPr="004A4AFB">
        <w:rPr>
          <w:rFonts w:ascii="Times New Roman" w:hAnsi="Times New Roman" w:cs="Times New Roman"/>
          <w:color w:val="000000" w:themeColor="text1"/>
          <w:sz w:val="24"/>
          <w:szCs w:val="24"/>
        </w:rPr>
        <w:t>riskier</w:t>
      </w:r>
      <w:r w:rsidRPr="004A4AFB">
        <w:rPr>
          <w:rFonts w:ascii="Times New Roman" w:hAnsi="Times New Roman" w:cs="Times New Roman"/>
          <w:color w:val="000000" w:themeColor="text1"/>
          <w:sz w:val="24"/>
          <w:szCs w:val="24"/>
        </w:rPr>
        <w:t>. Retail funds</w:t>
      </w:r>
      <w:r w:rsidR="00165F2A" w:rsidRPr="004A4AFB">
        <w:rPr>
          <w:rFonts w:ascii="Times New Roman" w:hAnsi="Times New Roman" w:cs="Times New Roman"/>
          <w:color w:val="000000" w:themeColor="text1"/>
          <w:sz w:val="24"/>
          <w:szCs w:val="24"/>
        </w:rPr>
        <w:t>, which</w:t>
      </w:r>
      <w:r w:rsidRPr="004A4AFB">
        <w:rPr>
          <w:rFonts w:ascii="Times New Roman" w:hAnsi="Times New Roman" w:cs="Times New Roman"/>
          <w:color w:val="000000" w:themeColor="text1"/>
          <w:sz w:val="24"/>
          <w:szCs w:val="24"/>
        </w:rPr>
        <w:t xml:space="preserve"> are </w:t>
      </w:r>
      <w:r w:rsidR="00403924" w:rsidRPr="004A4AFB">
        <w:rPr>
          <w:rFonts w:ascii="Times New Roman" w:hAnsi="Times New Roman" w:cs="Times New Roman"/>
          <w:color w:val="000000" w:themeColor="text1"/>
          <w:sz w:val="24"/>
          <w:szCs w:val="24"/>
        </w:rPr>
        <w:t xml:space="preserve">in any case </w:t>
      </w:r>
      <w:r w:rsidRPr="004A4AFB">
        <w:rPr>
          <w:rFonts w:ascii="Times New Roman" w:hAnsi="Times New Roman" w:cs="Times New Roman"/>
          <w:color w:val="000000" w:themeColor="text1"/>
          <w:sz w:val="24"/>
          <w:szCs w:val="24"/>
        </w:rPr>
        <w:t>subject to diligence</w:t>
      </w:r>
      <w:r w:rsidR="00C316D0">
        <w:rPr>
          <w:rFonts w:ascii="Times New Roman" w:hAnsi="Times New Roman" w:cs="Times New Roman"/>
          <w:color w:val="000000" w:themeColor="text1"/>
          <w:sz w:val="24"/>
          <w:szCs w:val="24"/>
        </w:rPr>
        <w:t xml:space="preserve"> measure</w:t>
      </w:r>
      <w:r w:rsidRPr="004A4AFB">
        <w:rPr>
          <w:rFonts w:ascii="Times New Roman" w:hAnsi="Times New Roman" w:cs="Times New Roman"/>
          <w:color w:val="000000" w:themeColor="text1"/>
          <w:sz w:val="24"/>
          <w:szCs w:val="24"/>
        </w:rPr>
        <w:t xml:space="preserve">s by distributors and </w:t>
      </w:r>
      <w:proofErr w:type="gramStart"/>
      <w:r w:rsidRPr="004A4AFB">
        <w:rPr>
          <w:rFonts w:ascii="Times New Roman" w:hAnsi="Times New Roman" w:cs="Times New Roman"/>
          <w:color w:val="000000" w:themeColor="text1"/>
          <w:sz w:val="24"/>
          <w:szCs w:val="24"/>
        </w:rPr>
        <w:t>are strictly regulated</w:t>
      </w:r>
      <w:proofErr w:type="gramEnd"/>
      <w:r w:rsidR="00165F2A" w:rsidRPr="004A4AFB">
        <w:rPr>
          <w:rFonts w:ascii="Times New Roman" w:hAnsi="Times New Roman" w:cs="Times New Roman"/>
          <w:color w:val="000000" w:themeColor="text1"/>
          <w:sz w:val="24"/>
          <w:szCs w:val="24"/>
        </w:rPr>
        <w:t xml:space="preserve">, </w:t>
      </w:r>
      <w:r w:rsidRPr="004A4AFB">
        <w:rPr>
          <w:rFonts w:ascii="Times New Roman" w:hAnsi="Times New Roman" w:cs="Times New Roman"/>
          <w:color w:val="000000" w:themeColor="text1"/>
          <w:sz w:val="24"/>
          <w:szCs w:val="24"/>
        </w:rPr>
        <w:t xml:space="preserve">are not a concern. </w:t>
      </w:r>
    </w:p>
    <w:p w14:paraId="064C9162" w14:textId="7FB05019" w:rsidR="00403924" w:rsidRPr="004A4AFB" w:rsidRDefault="00403924"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Vehicles are in no way risky in themselves, it is the </w:t>
      </w:r>
      <w:proofErr w:type="gramStart"/>
      <w:r w:rsidRPr="004A4AFB">
        <w:rPr>
          <w:rFonts w:ascii="Times New Roman" w:hAnsi="Times New Roman" w:cs="Times New Roman"/>
          <w:color w:val="000000" w:themeColor="text1"/>
          <w:sz w:val="24"/>
          <w:szCs w:val="24"/>
        </w:rPr>
        <w:t xml:space="preserve">clientele </w:t>
      </w:r>
      <w:r w:rsidR="00D274F9" w:rsidRPr="004A4AFB">
        <w:rPr>
          <w:rFonts w:ascii="Times New Roman" w:hAnsi="Times New Roman" w:cs="Times New Roman"/>
          <w:color w:val="000000" w:themeColor="text1"/>
          <w:sz w:val="24"/>
          <w:szCs w:val="24"/>
        </w:rPr>
        <w:t>which</w:t>
      </w:r>
      <w:proofErr w:type="gramEnd"/>
      <w:r w:rsidRPr="004A4AFB">
        <w:rPr>
          <w:rFonts w:ascii="Times New Roman" w:hAnsi="Times New Roman" w:cs="Times New Roman"/>
          <w:color w:val="000000" w:themeColor="text1"/>
          <w:sz w:val="24"/>
          <w:szCs w:val="24"/>
        </w:rPr>
        <w:t xml:space="preserve"> </w:t>
      </w:r>
      <w:r w:rsidR="00436B4D" w:rsidRPr="004A4AFB">
        <w:rPr>
          <w:rFonts w:ascii="Times New Roman" w:hAnsi="Times New Roman" w:cs="Times New Roman"/>
          <w:color w:val="000000" w:themeColor="text1"/>
          <w:sz w:val="24"/>
          <w:szCs w:val="24"/>
        </w:rPr>
        <w:t>entails</w:t>
      </w:r>
      <w:r w:rsidRPr="004A4AFB">
        <w:rPr>
          <w:rFonts w:ascii="Times New Roman" w:hAnsi="Times New Roman" w:cs="Times New Roman"/>
          <w:color w:val="000000" w:themeColor="text1"/>
          <w:sz w:val="24"/>
          <w:szCs w:val="24"/>
        </w:rPr>
        <w:t xml:space="preserve"> the AML risk.</w:t>
      </w:r>
    </w:p>
    <w:p w14:paraId="54BFCFA0" w14:textId="5844D41B" w:rsidR="002A0DAA" w:rsidRPr="004A4AFB" w:rsidRDefault="002A0DAA"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lang w:val="en-US"/>
        </w:rPr>
        <w:t xml:space="preserve">Which concrete reality does this sentence refer </w:t>
      </w:r>
      <w:proofErr w:type="gramStart"/>
      <w:r w:rsidRPr="004A4AFB">
        <w:rPr>
          <w:rFonts w:ascii="Times New Roman" w:hAnsi="Times New Roman" w:cs="Times New Roman"/>
          <w:color w:val="000000" w:themeColor="text1"/>
          <w:sz w:val="24"/>
          <w:szCs w:val="24"/>
          <w:lang w:val="en-US"/>
        </w:rPr>
        <w:t>to</w:t>
      </w:r>
      <w:proofErr w:type="gramEnd"/>
      <w:r w:rsidRPr="004A4AFB">
        <w:rPr>
          <w:rFonts w:ascii="Times New Roman" w:hAnsi="Times New Roman" w:cs="Times New Roman"/>
          <w:color w:val="000000" w:themeColor="text1"/>
          <w:sz w:val="24"/>
          <w:szCs w:val="24"/>
          <w:lang w:val="en-US"/>
        </w:rPr>
        <w:t xml:space="preserve">? The notion of “holdings of investment funds” is not understandable: if it refers to fund units, there is no secondary market for the retail </w:t>
      </w:r>
      <w:r w:rsidR="00CC44BE" w:rsidRPr="004A4AFB">
        <w:rPr>
          <w:rFonts w:ascii="Times New Roman" w:hAnsi="Times New Roman" w:cs="Times New Roman"/>
          <w:color w:val="000000" w:themeColor="text1"/>
          <w:sz w:val="24"/>
          <w:szCs w:val="24"/>
          <w:lang w:val="en-US"/>
        </w:rPr>
        <w:t xml:space="preserve">segment </w:t>
      </w:r>
      <w:r w:rsidRPr="004A4AFB">
        <w:rPr>
          <w:rFonts w:ascii="Times New Roman" w:hAnsi="Times New Roman" w:cs="Times New Roman"/>
          <w:color w:val="000000" w:themeColor="text1"/>
          <w:sz w:val="24"/>
          <w:szCs w:val="24"/>
          <w:lang w:val="en-US"/>
        </w:rPr>
        <w:t xml:space="preserve">in France. </w:t>
      </w:r>
      <w:r w:rsidR="00917034" w:rsidRPr="004A4AFB">
        <w:rPr>
          <w:rFonts w:ascii="Times New Roman" w:hAnsi="Times New Roman" w:cs="Times New Roman"/>
          <w:color w:val="000000" w:themeColor="text1"/>
          <w:sz w:val="24"/>
          <w:szCs w:val="24"/>
          <w:lang w:val="en-US"/>
        </w:rPr>
        <w:t xml:space="preserve">Such </w:t>
      </w:r>
      <w:r w:rsidR="00555482" w:rsidRPr="004A4AFB">
        <w:rPr>
          <w:rFonts w:ascii="Times New Roman" w:hAnsi="Times New Roman" w:cs="Times New Roman"/>
          <w:color w:val="000000" w:themeColor="text1"/>
          <w:sz w:val="24"/>
          <w:szCs w:val="24"/>
          <w:lang w:val="en-US"/>
        </w:rPr>
        <w:t xml:space="preserve">a </w:t>
      </w:r>
      <w:r w:rsidR="00917034" w:rsidRPr="004A4AFB">
        <w:rPr>
          <w:rFonts w:ascii="Times New Roman" w:hAnsi="Times New Roman" w:cs="Times New Roman"/>
          <w:color w:val="000000" w:themeColor="text1"/>
          <w:sz w:val="24"/>
          <w:szCs w:val="24"/>
          <w:lang w:val="en-US"/>
        </w:rPr>
        <w:t>transfer is impossible. Therefore</w:t>
      </w:r>
      <w:r w:rsidR="00262C90" w:rsidRPr="004A4AFB">
        <w:rPr>
          <w:rFonts w:ascii="Times New Roman" w:hAnsi="Times New Roman" w:cs="Times New Roman"/>
          <w:color w:val="000000" w:themeColor="text1"/>
          <w:sz w:val="24"/>
          <w:szCs w:val="24"/>
          <w:lang w:val="en-US"/>
        </w:rPr>
        <w:t>,</w:t>
      </w:r>
      <w:r w:rsidR="00917034" w:rsidRPr="004A4AFB">
        <w:rPr>
          <w:rFonts w:ascii="Times New Roman" w:hAnsi="Times New Roman" w:cs="Times New Roman"/>
          <w:color w:val="000000" w:themeColor="text1"/>
          <w:sz w:val="24"/>
          <w:szCs w:val="24"/>
          <w:lang w:val="en-US"/>
        </w:rPr>
        <w:t xml:space="preserve"> we cannot see which reality the following comment refers to: “investment funds can easily be transferred between different parties”.</w:t>
      </w:r>
    </w:p>
    <w:p w14:paraId="2726A39A" w14:textId="15524850" w:rsidR="000A211D" w:rsidRPr="004A4AFB" w:rsidRDefault="000A211D" w:rsidP="00A873A4">
      <w:pPr>
        <w:ind w:left="708"/>
        <w:jc w:val="both"/>
        <w:rPr>
          <w:rFonts w:ascii="Times New Roman" w:hAnsi="Times New Roman" w:cs="Times New Roman"/>
          <w:b/>
          <w:color w:val="000000" w:themeColor="text1"/>
          <w:sz w:val="24"/>
          <w:szCs w:val="24"/>
        </w:rPr>
      </w:pPr>
      <w:r w:rsidRPr="004A4AFB">
        <w:rPr>
          <w:rFonts w:ascii="Times New Roman" w:hAnsi="Times New Roman" w:cs="Times New Roman"/>
          <w:color w:val="000000" w:themeColor="text1"/>
          <w:sz w:val="24"/>
          <w:szCs w:val="24"/>
        </w:rPr>
        <w:t xml:space="preserve">Furthermore, in no way does the easy access to retail funds make them by nature </w:t>
      </w:r>
      <w:r w:rsidR="0063662A" w:rsidRPr="004A4AFB">
        <w:rPr>
          <w:rFonts w:ascii="Times New Roman" w:hAnsi="Times New Roman" w:cs="Times New Roman"/>
          <w:color w:val="000000" w:themeColor="text1"/>
          <w:sz w:val="24"/>
          <w:szCs w:val="24"/>
        </w:rPr>
        <w:t>riskier</w:t>
      </w:r>
      <w:r w:rsidRPr="004A4AFB">
        <w:rPr>
          <w:rFonts w:ascii="Times New Roman" w:hAnsi="Times New Roman" w:cs="Times New Roman"/>
          <w:color w:val="000000" w:themeColor="text1"/>
          <w:sz w:val="24"/>
          <w:szCs w:val="24"/>
        </w:rPr>
        <w:t>. Retail funds, which are in any case subject to diligence</w:t>
      </w:r>
      <w:r w:rsidR="00E0148D">
        <w:rPr>
          <w:rFonts w:ascii="Times New Roman" w:hAnsi="Times New Roman" w:cs="Times New Roman"/>
          <w:color w:val="000000" w:themeColor="text1"/>
          <w:sz w:val="24"/>
          <w:szCs w:val="24"/>
        </w:rPr>
        <w:t xml:space="preserve"> measure</w:t>
      </w:r>
      <w:r w:rsidRPr="004A4AFB">
        <w:rPr>
          <w:rFonts w:ascii="Times New Roman" w:hAnsi="Times New Roman" w:cs="Times New Roman"/>
          <w:color w:val="000000" w:themeColor="text1"/>
          <w:sz w:val="24"/>
          <w:szCs w:val="24"/>
        </w:rPr>
        <w:t xml:space="preserve">s by distributors and </w:t>
      </w:r>
      <w:proofErr w:type="gramStart"/>
      <w:r w:rsidRPr="004A4AFB">
        <w:rPr>
          <w:rFonts w:ascii="Times New Roman" w:hAnsi="Times New Roman" w:cs="Times New Roman"/>
          <w:color w:val="000000" w:themeColor="text1"/>
          <w:sz w:val="24"/>
          <w:szCs w:val="24"/>
        </w:rPr>
        <w:t>are strictly regulated</w:t>
      </w:r>
      <w:proofErr w:type="gramEnd"/>
      <w:r w:rsidRPr="004A4AFB">
        <w:rPr>
          <w:rFonts w:ascii="Times New Roman" w:hAnsi="Times New Roman" w:cs="Times New Roman"/>
          <w:color w:val="000000" w:themeColor="text1"/>
          <w:sz w:val="24"/>
          <w:szCs w:val="24"/>
        </w:rPr>
        <w:t>, are not a concern.</w:t>
      </w:r>
      <w:r w:rsidRPr="004A4AFB">
        <w:rPr>
          <w:rFonts w:ascii="Times New Roman" w:hAnsi="Times New Roman" w:cs="Times New Roman"/>
          <w:b/>
          <w:color w:val="000000" w:themeColor="text1"/>
          <w:sz w:val="24"/>
          <w:szCs w:val="24"/>
        </w:rPr>
        <w:t xml:space="preserve"> </w:t>
      </w:r>
    </w:p>
    <w:p w14:paraId="1EAC31FC" w14:textId="4BD8847F" w:rsidR="000A211D" w:rsidRPr="004A4AFB" w:rsidRDefault="000A211D" w:rsidP="00A873A4">
      <w:pPr>
        <w:ind w:left="708"/>
        <w:jc w:val="both"/>
        <w:rPr>
          <w:rFonts w:ascii="Times New Roman" w:hAnsi="Times New Roman" w:cs="Times New Roman"/>
          <w:b/>
          <w:color w:val="000000" w:themeColor="text1"/>
          <w:sz w:val="24"/>
          <w:szCs w:val="24"/>
        </w:rPr>
      </w:pPr>
      <w:r w:rsidRPr="004A4AFB">
        <w:rPr>
          <w:rFonts w:ascii="Times New Roman" w:hAnsi="Times New Roman" w:cs="Times New Roman"/>
          <w:b/>
          <w:color w:val="000000" w:themeColor="text1"/>
          <w:sz w:val="24"/>
          <w:szCs w:val="24"/>
        </w:rPr>
        <w:lastRenderedPageBreak/>
        <w:t xml:space="preserve">It should be </w:t>
      </w:r>
      <w:r w:rsidR="00555482" w:rsidRPr="004A4AFB">
        <w:rPr>
          <w:rFonts w:ascii="Times New Roman" w:hAnsi="Times New Roman" w:cs="Times New Roman"/>
          <w:b/>
          <w:color w:val="000000" w:themeColor="text1"/>
          <w:sz w:val="24"/>
          <w:szCs w:val="24"/>
        </w:rPr>
        <w:t>emphasised</w:t>
      </w:r>
      <w:r w:rsidRPr="004A4AFB">
        <w:rPr>
          <w:rFonts w:ascii="Times New Roman" w:hAnsi="Times New Roman" w:cs="Times New Roman"/>
          <w:b/>
          <w:color w:val="000000" w:themeColor="text1"/>
          <w:sz w:val="24"/>
          <w:szCs w:val="24"/>
        </w:rPr>
        <w:t xml:space="preserve"> that </w:t>
      </w:r>
      <w:r w:rsidR="00717093" w:rsidRPr="004A4AFB">
        <w:rPr>
          <w:rFonts w:ascii="Times New Roman" w:hAnsi="Times New Roman" w:cs="Times New Roman"/>
          <w:b/>
          <w:color w:val="000000" w:themeColor="text1"/>
          <w:sz w:val="24"/>
          <w:szCs w:val="24"/>
        </w:rPr>
        <w:t xml:space="preserve">in no way are </w:t>
      </w:r>
      <w:r w:rsidRPr="004A4AFB">
        <w:rPr>
          <w:rFonts w:ascii="Times New Roman" w:hAnsi="Times New Roman" w:cs="Times New Roman"/>
          <w:b/>
          <w:color w:val="000000" w:themeColor="text1"/>
          <w:sz w:val="24"/>
          <w:szCs w:val="24"/>
        </w:rPr>
        <w:t>vehicles risky in themselves</w:t>
      </w:r>
      <w:r w:rsidR="00CD3C57" w:rsidRPr="004A4AFB">
        <w:rPr>
          <w:rFonts w:ascii="Times New Roman" w:hAnsi="Times New Roman" w:cs="Times New Roman"/>
          <w:b/>
          <w:color w:val="000000" w:themeColor="text1"/>
          <w:sz w:val="24"/>
          <w:szCs w:val="24"/>
        </w:rPr>
        <w:t xml:space="preserve"> in principle</w:t>
      </w:r>
      <w:r w:rsidRPr="004A4AFB">
        <w:rPr>
          <w:rFonts w:ascii="Times New Roman" w:hAnsi="Times New Roman" w:cs="Times New Roman"/>
          <w:b/>
          <w:color w:val="000000" w:themeColor="text1"/>
          <w:sz w:val="24"/>
          <w:szCs w:val="24"/>
        </w:rPr>
        <w:t xml:space="preserve">, it is the clientele </w:t>
      </w:r>
      <w:r w:rsidR="00D274F9" w:rsidRPr="004A4AFB">
        <w:rPr>
          <w:rFonts w:ascii="Times New Roman" w:hAnsi="Times New Roman" w:cs="Times New Roman"/>
          <w:b/>
          <w:color w:val="000000" w:themeColor="text1"/>
          <w:sz w:val="24"/>
          <w:szCs w:val="24"/>
        </w:rPr>
        <w:t>which</w:t>
      </w:r>
      <w:r w:rsidRPr="004A4AFB">
        <w:rPr>
          <w:rFonts w:ascii="Times New Roman" w:hAnsi="Times New Roman" w:cs="Times New Roman"/>
          <w:b/>
          <w:color w:val="000000" w:themeColor="text1"/>
          <w:sz w:val="24"/>
          <w:szCs w:val="24"/>
        </w:rPr>
        <w:t xml:space="preserve"> </w:t>
      </w:r>
      <w:r w:rsidR="00AC4A51" w:rsidRPr="004A4AFB">
        <w:rPr>
          <w:rFonts w:ascii="Times New Roman" w:hAnsi="Times New Roman" w:cs="Times New Roman"/>
          <w:b/>
          <w:color w:val="000000" w:themeColor="text1"/>
          <w:sz w:val="24"/>
          <w:szCs w:val="24"/>
        </w:rPr>
        <w:t>entails</w:t>
      </w:r>
      <w:r w:rsidRPr="004A4AFB">
        <w:rPr>
          <w:rFonts w:ascii="Times New Roman" w:hAnsi="Times New Roman" w:cs="Times New Roman"/>
          <w:b/>
          <w:color w:val="000000" w:themeColor="text1"/>
          <w:sz w:val="24"/>
          <w:szCs w:val="24"/>
        </w:rPr>
        <w:t xml:space="preserve"> the AML risk</w:t>
      </w:r>
      <w:r w:rsidR="004965FF" w:rsidRPr="004A4AFB">
        <w:rPr>
          <w:rFonts w:ascii="Times New Roman" w:hAnsi="Times New Roman" w:cs="Times New Roman"/>
          <w:b/>
          <w:color w:val="000000" w:themeColor="text1"/>
          <w:sz w:val="24"/>
          <w:szCs w:val="24"/>
        </w:rPr>
        <w:t>, if there is to be any</w:t>
      </w:r>
      <w:r w:rsidRPr="004A4AFB">
        <w:rPr>
          <w:rFonts w:ascii="Times New Roman" w:hAnsi="Times New Roman" w:cs="Times New Roman"/>
          <w:b/>
          <w:color w:val="000000" w:themeColor="text1"/>
          <w:sz w:val="24"/>
          <w:szCs w:val="24"/>
        </w:rPr>
        <w:t>.</w:t>
      </w:r>
    </w:p>
    <w:p w14:paraId="14F880BA" w14:textId="77777777" w:rsidR="00B83652" w:rsidRPr="004A4AFB" w:rsidRDefault="00B83652" w:rsidP="00A873A4">
      <w:pPr>
        <w:pStyle w:val="Default"/>
        <w:numPr>
          <w:ilvl w:val="0"/>
          <w:numId w:val="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The following factors may indicate higher risk: </w:t>
      </w:r>
    </w:p>
    <w:p w14:paraId="1C6F1526" w14:textId="77777777" w:rsidR="00572FC2" w:rsidRPr="004A4AFB" w:rsidRDefault="00B83652" w:rsidP="00A873A4">
      <w:pPr>
        <w:pStyle w:val="Default"/>
        <w:numPr>
          <w:ilvl w:val="0"/>
          <w:numId w:val="8"/>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the transaction involves third party subscribers or payees, in particular where this is unexpected; </w:t>
      </w:r>
    </w:p>
    <w:p w14:paraId="6C8B0168" w14:textId="77777777" w:rsidR="001D3DF9" w:rsidRPr="004A4AFB" w:rsidRDefault="00B83652" w:rsidP="00A873A4">
      <w:pPr>
        <w:pStyle w:val="Default"/>
        <w:numPr>
          <w:ilvl w:val="0"/>
          <w:numId w:val="8"/>
        </w:numPr>
        <w:spacing w:line="276" w:lineRule="auto"/>
        <w:jc w:val="both"/>
        <w:rPr>
          <w:rFonts w:ascii="Times New Roman" w:hAnsi="Times New Roman" w:cs="Times New Roman"/>
          <w:b/>
          <w:color w:val="000000" w:themeColor="text1"/>
          <w:lang w:val="en-US"/>
        </w:rPr>
      </w:pPr>
      <w:proofErr w:type="gramStart"/>
      <w:r w:rsidRPr="004A4AFB">
        <w:rPr>
          <w:rFonts w:ascii="Times New Roman" w:hAnsi="Times New Roman" w:cs="Times New Roman"/>
          <w:b/>
          <w:color w:val="000000" w:themeColor="text1"/>
          <w:lang w:val="en-US"/>
        </w:rPr>
        <w:t>the</w:t>
      </w:r>
      <w:proofErr w:type="gramEnd"/>
      <w:r w:rsidRPr="004A4AFB">
        <w:rPr>
          <w:rFonts w:ascii="Times New Roman" w:hAnsi="Times New Roman" w:cs="Times New Roman"/>
          <w:b/>
          <w:color w:val="000000" w:themeColor="text1"/>
          <w:lang w:val="en-US"/>
        </w:rPr>
        <w:t xml:space="preserve"> transaction involves accounts or third parties in multiple jurisdictions, in particular where these jurisdictions are associated with a high ML/TF risk. </w:t>
      </w:r>
      <w:r w:rsidR="001D3DF9" w:rsidRPr="004A4AFB">
        <w:rPr>
          <w:rFonts w:ascii="Times New Roman" w:hAnsi="Times New Roman" w:cs="Times New Roman"/>
          <w:b/>
          <w:color w:val="000000" w:themeColor="text1"/>
          <w:lang w:val="en-US"/>
        </w:rPr>
        <w:t>(n°203)</w:t>
      </w:r>
    </w:p>
    <w:p w14:paraId="2BC1F23C" w14:textId="77777777" w:rsidR="00E01D30" w:rsidRPr="004A4AFB" w:rsidRDefault="00E01D30" w:rsidP="00A873A4">
      <w:pPr>
        <w:autoSpaceDE w:val="0"/>
        <w:autoSpaceDN w:val="0"/>
        <w:adjustRightInd w:val="0"/>
        <w:spacing w:after="0"/>
        <w:jc w:val="both"/>
        <w:rPr>
          <w:rFonts w:ascii="Times New Roman" w:hAnsi="Times New Roman" w:cs="Times New Roman"/>
          <w:color w:val="000000" w:themeColor="text1"/>
          <w:sz w:val="24"/>
          <w:szCs w:val="24"/>
        </w:rPr>
      </w:pPr>
    </w:p>
    <w:p w14:paraId="13E92716" w14:textId="4C519C03" w:rsidR="00C8397F" w:rsidRPr="004A4AFB" w:rsidRDefault="00C8397F" w:rsidP="00A873A4">
      <w:pPr>
        <w:autoSpaceDE w:val="0"/>
        <w:autoSpaceDN w:val="0"/>
        <w:adjustRightInd w:val="0"/>
        <w:spacing w:after="0"/>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The wording of this paragraph </w:t>
      </w:r>
      <w:proofErr w:type="gramStart"/>
      <w:r w:rsidRPr="004A4AFB">
        <w:rPr>
          <w:rFonts w:ascii="Times New Roman" w:hAnsi="Times New Roman" w:cs="Times New Roman"/>
          <w:color w:val="000000" w:themeColor="text1"/>
          <w:sz w:val="24"/>
          <w:szCs w:val="24"/>
        </w:rPr>
        <w:t>could be further detailed</w:t>
      </w:r>
      <w:proofErr w:type="gramEnd"/>
      <w:r w:rsidRPr="004A4AFB">
        <w:rPr>
          <w:rFonts w:ascii="Times New Roman" w:hAnsi="Times New Roman" w:cs="Times New Roman"/>
          <w:color w:val="000000" w:themeColor="text1"/>
          <w:sz w:val="24"/>
          <w:szCs w:val="24"/>
        </w:rPr>
        <w:t>.</w:t>
      </w:r>
    </w:p>
    <w:p w14:paraId="48C71DB2" w14:textId="77777777" w:rsidR="00B83652" w:rsidRPr="005D776A" w:rsidRDefault="00B83652" w:rsidP="00A873A4">
      <w:pPr>
        <w:pStyle w:val="Default"/>
        <w:spacing w:line="276" w:lineRule="auto"/>
        <w:jc w:val="both"/>
        <w:rPr>
          <w:rFonts w:ascii="Times New Roman" w:hAnsi="Times New Roman" w:cs="Times New Roman"/>
          <w:color w:val="000000" w:themeColor="text1"/>
          <w:lang w:val="en-US"/>
        </w:rPr>
      </w:pPr>
    </w:p>
    <w:p w14:paraId="19CB2263" w14:textId="77777777" w:rsidR="00572FC2" w:rsidRPr="004A4AFB" w:rsidRDefault="00572FC2"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The following factor may indicate lower risk: third party payments are not allowed </w:t>
      </w:r>
      <w:r w:rsidR="003B79E8" w:rsidRPr="004A4AFB">
        <w:rPr>
          <w:rFonts w:ascii="Times New Roman" w:hAnsi="Times New Roman" w:cs="Times New Roman"/>
          <w:b/>
          <w:color w:val="000000" w:themeColor="text1"/>
          <w:sz w:val="24"/>
          <w:szCs w:val="24"/>
          <w:lang w:val="en-US"/>
        </w:rPr>
        <w:t>(n°204)</w:t>
      </w:r>
    </w:p>
    <w:p w14:paraId="20F2F8F2" w14:textId="77777777" w:rsidR="00D57241" w:rsidRPr="004A4AFB" w:rsidRDefault="00D57241" w:rsidP="00A873A4">
      <w:pPr>
        <w:autoSpaceDE w:val="0"/>
        <w:autoSpaceDN w:val="0"/>
        <w:adjustRightInd w:val="0"/>
        <w:spacing w:after="0"/>
        <w:jc w:val="both"/>
        <w:rPr>
          <w:rFonts w:ascii="Times New Roman" w:hAnsi="Times New Roman" w:cs="Times New Roman"/>
          <w:color w:val="000000" w:themeColor="text1"/>
          <w:sz w:val="24"/>
          <w:szCs w:val="24"/>
          <w:lang w:val="en-US"/>
        </w:rPr>
      </w:pPr>
    </w:p>
    <w:p w14:paraId="31836C06" w14:textId="5F127919" w:rsidR="00C83472" w:rsidRPr="004A4AFB" w:rsidRDefault="00C83472" w:rsidP="00A873A4">
      <w:pPr>
        <w:autoSpaceDE w:val="0"/>
        <w:autoSpaceDN w:val="0"/>
        <w:adjustRightInd w:val="0"/>
        <w:spacing w:after="0"/>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should be reminded that this is </w:t>
      </w:r>
      <w:r w:rsidR="009A6634" w:rsidRPr="004A4AFB">
        <w:rPr>
          <w:rFonts w:ascii="Times New Roman" w:hAnsi="Times New Roman" w:cs="Times New Roman"/>
          <w:color w:val="000000" w:themeColor="text1"/>
          <w:sz w:val="24"/>
          <w:szCs w:val="24"/>
        </w:rPr>
        <w:t xml:space="preserve">a responsibility of the depositary </w:t>
      </w:r>
      <w:r w:rsidRPr="004A4AFB">
        <w:rPr>
          <w:rFonts w:ascii="Times New Roman" w:hAnsi="Times New Roman" w:cs="Times New Roman"/>
          <w:color w:val="000000" w:themeColor="text1"/>
          <w:sz w:val="24"/>
          <w:szCs w:val="24"/>
        </w:rPr>
        <w:t>(a prohibition is not appropriate).</w:t>
      </w:r>
    </w:p>
    <w:p w14:paraId="0DB34438" w14:textId="77777777" w:rsidR="00572FC2" w:rsidRPr="005D776A" w:rsidRDefault="00572FC2" w:rsidP="00A873A4">
      <w:pPr>
        <w:pStyle w:val="Default"/>
        <w:spacing w:line="276" w:lineRule="auto"/>
        <w:jc w:val="both"/>
        <w:rPr>
          <w:rFonts w:ascii="Times New Roman" w:hAnsi="Times New Roman" w:cs="Times New Roman"/>
          <w:b/>
          <w:color w:val="000000" w:themeColor="text1"/>
          <w:lang w:val="en-US"/>
        </w:rPr>
      </w:pPr>
    </w:p>
    <w:p w14:paraId="314CDF01" w14:textId="77777777" w:rsidR="00932656" w:rsidRPr="004A4AFB" w:rsidRDefault="00932656" w:rsidP="00A873A4">
      <w:pPr>
        <w:pStyle w:val="Paragraphedeliste"/>
        <w:numPr>
          <w:ilvl w:val="0"/>
          <w:numId w:val="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the circumstances in which the customer makes use of the “cooling off” period gives rise to suspicion; (n°205-6)</w:t>
      </w:r>
    </w:p>
    <w:p w14:paraId="77636432" w14:textId="77777777" w:rsidR="00BA47BD" w:rsidRPr="004A4AFB" w:rsidRDefault="00BA47BD" w:rsidP="00A873A4">
      <w:pPr>
        <w:autoSpaceDE w:val="0"/>
        <w:autoSpaceDN w:val="0"/>
        <w:adjustRightInd w:val="0"/>
        <w:spacing w:after="0"/>
        <w:jc w:val="both"/>
        <w:rPr>
          <w:rFonts w:ascii="Times New Roman" w:hAnsi="Times New Roman" w:cs="Times New Roman"/>
          <w:color w:val="000000" w:themeColor="text1"/>
          <w:sz w:val="24"/>
          <w:szCs w:val="24"/>
        </w:rPr>
      </w:pPr>
    </w:p>
    <w:p w14:paraId="25041106" w14:textId="35BD125D" w:rsidR="00C83472" w:rsidRPr="004A4AFB" w:rsidRDefault="00BA47BD" w:rsidP="00A873A4">
      <w:pPr>
        <w:autoSpaceDE w:val="0"/>
        <w:autoSpaceDN w:val="0"/>
        <w:adjustRightInd w:val="0"/>
        <w:spacing w:after="0"/>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W</w:t>
      </w:r>
      <w:r w:rsidR="004612DF">
        <w:rPr>
          <w:rFonts w:ascii="Times New Roman" w:hAnsi="Times New Roman" w:cs="Times New Roman"/>
          <w:color w:val="000000" w:themeColor="text1"/>
          <w:sz w:val="24"/>
          <w:szCs w:val="24"/>
        </w:rPr>
        <w:t xml:space="preserve">e wonder about the notion of “cooling </w:t>
      </w:r>
      <w:r w:rsidR="009044A3">
        <w:rPr>
          <w:rFonts w:ascii="Times New Roman" w:hAnsi="Times New Roman" w:cs="Times New Roman"/>
          <w:color w:val="000000" w:themeColor="text1"/>
          <w:sz w:val="24"/>
          <w:szCs w:val="24"/>
        </w:rPr>
        <w:t xml:space="preserve">off </w:t>
      </w:r>
      <w:r w:rsidR="004612DF">
        <w:rPr>
          <w:rFonts w:ascii="Times New Roman" w:hAnsi="Times New Roman" w:cs="Times New Roman"/>
          <w:color w:val="000000" w:themeColor="text1"/>
          <w:sz w:val="24"/>
          <w:szCs w:val="24"/>
        </w:rPr>
        <w:t>period”</w:t>
      </w:r>
      <w:r w:rsidR="00C83472" w:rsidRPr="004A4AFB">
        <w:rPr>
          <w:rFonts w:ascii="Times New Roman" w:hAnsi="Times New Roman" w:cs="Times New Roman"/>
          <w:color w:val="000000" w:themeColor="text1"/>
          <w:sz w:val="24"/>
          <w:szCs w:val="24"/>
        </w:rPr>
        <w:t xml:space="preserve"> (please refer to no 194-6).</w:t>
      </w:r>
    </w:p>
    <w:p w14:paraId="6E4F7AAF" w14:textId="77777777" w:rsidR="00AD635E" w:rsidRPr="005D776A" w:rsidRDefault="00AD635E" w:rsidP="00A873A4">
      <w:pPr>
        <w:pStyle w:val="Default"/>
        <w:spacing w:line="276" w:lineRule="auto"/>
        <w:jc w:val="both"/>
        <w:rPr>
          <w:rFonts w:ascii="Times New Roman" w:hAnsi="Times New Roman" w:cs="Times New Roman"/>
          <w:color w:val="000000" w:themeColor="text1"/>
          <w:lang w:val="en-US"/>
        </w:rPr>
      </w:pPr>
    </w:p>
    <w:p w14:paraId="7DD62790" w14:textId="0D448636" w:rsidR="00527454" w:rsidRPr="00527454" w:rsidRDefault="00AD635E" w:rsidP="00A873A4">
      <w:pPr>
        <w:pStyle w:val="Default"/>
        <w:numPr>
          <w:ilvl w:val="0"/>
          <w:numId w:val="5"/>
        </w:numPr>
        <w:spacing w:after="119" w:line="276" w:lineRule="auto"/>
        <w:jc w:val="both"/>
        <w:rPr>
          <w:rFonts w:ascii="Times New Roman" w:hAnsi="Times New Roman" w:cs="Times New Roman"/>
          <w:b/>
          <w:color w:val="000000" w:themeColor="text1"/>
          <w:lang w:val="en-US"/>
        </w:rPr>
      </w:pPr>
      <w:r w:rsidRPr="00527454">
        <w:rPr>
          <w:rFonts w:ascii="Times New Roman" w:hAnsi="Times New Roman" w:cs="Times New Roman"/>
          <w:b/>
          <w:color w:val="000000" w:themeColor="text1"/>
          <w:lang w:val="en-US"/>
        </w:rPr>
        <w:t>The following factors may indicate higher risk:  the fund admits a wide, or unrestricted, range of investors (n°207)</w:t>
      </w:r>
    </w:p>
    <w:p w14:paraId="36140793" w14:textId="19702A1C" w:rsidR="00061193" w:rsidRPr="004A4AFB" w:rsidRDefault="00E31A6C" w:rsidP="00A873A4">
      <w:pPr>
        <w:ind w:firstLine="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A more </w:t>
      </w:r>
      <w:r w:rsidR="00767D96" w:rsidRPr="004A4AFB">
        <w:rPr>
          <w:rFonts w:ascii="Times New Roman" w:hAnsi="Times New Roman" w:cs="Times New Roman"/>
          <w:color w:val="000000" w:themeColor="text1"/>
          <w:sz w:val="24"/>
          <w:szCs w:val="24"/>
        </w:rPr>
        <w:t>precise</w:t>
      </w:r>
      <w:r w:rsidRPr="004A4AFB">
        <w:rPr>
          <w:rFonts w:ascii="Times New Roman" w:hAnsi="Times New Roman" w:cs="Times New Roman"/>
          <w:color w:val="000000" w:themeColor="text1"/>
          <w:sz w:val="24"/>
          <w:szCs w:val="24"/>
        </w:rPr>
        <w:t xml:space="preserve"> definition would allow </w:t>
      </w:r>
      <w:r w:rsidR="00F62DC8" w:rsidRPr="004A4AFB">
        <w:rPr>
          <w:rFonts w:ascii="Times New Roman" w:hAnsi="Times New Roman" w:cs="Times New Roman"/>
          <w:color w:val="000000" w:themeColor="text1"/>
          <w:sz w:val="24"/>
          <w:szCs w:val="24"/>
        </w:rPr>
        <w:t>excluding</w:t>
      </w:r>
      <w:r w:rsidRPr="004A4AFB">
        <w:rPr>
          <w:rFonts w:ascii="Times New Roman" w:hAnsi="Times New Roman" w:cs="Times New Roman"/>
          <w:color w:val="000000" w:themeColor="text1"/>
          <w:sz w:val="24"/>
          <w:szCs w:val="24"/>
        </w:rPr>
        <w:t xml:space="preserve"> in particular </w:t>
      </w:r>
      <w:r w:rsidR="00D531A5" w:rsidRPr="00D531A5">
        <w:rPr>
          <w:rFonts w:ascii="Times New Roman" w:hAnsi="Times New Roman" w:cs="Times New Roman"/>
          <w:color w:val="000000" w:themeColor="text1"/>
          <w:sz w:val="24"/>
          <w:szCs w:val="24"/>
        </w:rPr>
        <w:t>collective investment schemes</w:t>
      </w:r>
      <w:r w:rsidRPr="004A4AFB">
        <w:rPr>
          <w:rFonts w:ascii="Times New Roman" w:hAnsi="Times New Roman" w:cs="Times New Roman"/>
          <w:color w:val="000000" w:themeColor="text1"/>
          <w:sz w:val="24"/>
          <w:szCs w:val="24"/>
        </w:rPr>
        <w:t>.</w:t>
      </w:r>
      <w:r w:rsidR="00FA2A17" w:rsidRPr="004A4AFB">
        <w:rPr>
          <w:rFonts w:ascii="Times New Roman" w:hAnsi="Times New Roman" w:cs="Times New Roman"/>
          <w:color w:val="000000" w:themeColor="text1"/>
          <w:sz w:val="24"/>
          <w:szCs w:val="24"/>
        </w:rPr>
        <w:t xml:space="preserve"> </w:t>
      </w:r>
    </w:p>
    <w:p w14:paraId="4E3A6DC5" w14:textId="5A630378" w:rsidR="00AD1946" w:rsidRPr="004A4AFB" w:rsidRDefault="00AD1946"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In any case</w:t>
      </w:r>
      <w:r w:rsidR="00F62DC8"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we cannot </w:t>
      </w:r>
      <w:r w:rsidR="00F62DC8" w:rsidRPr="004A4AFB">
        <w:rPr>
          <w:rFonts w:ascii="Times New Roman" w:hAnsi="Times New Roman" w:cs="Times New Roman"/>
          <w:color w:val="000000" w:themeColor="text1"/>
          <w:sz w:val="24"/>
          <w:szCs w:val="24"/>
        </w:rPr>
        <w:t>rely on</w:t>
      </w:r>
      <w:r w:rsidRPr="004A4AFB">
        <w:rPr>
          <w:rFonts w:ascii="Times New Roman" w:hAnsi="Times New Roman" w:cs="Times New Roman"/>
          <w:color w:val="000000" w:themeColor="text1"/>
          <w:sz w:val="24"/>
          <w:szCs w:val="24"/>
        </w:rPr>
        <w:t xml:space="preserve"> the principle that a retail fund </w:t>
      </w:r>
      <w:r w:rsidR="003963E8" w:rsidRPr="004A4AFB">
        <w:rPr>
          <w:rFonts w:ascii="Times New Roman" w:hAnsi="Times New Roman" w:cs="Times New Roman"/>
          <w:color w:val="000000" w:themeColor="text1"/>
          <w:sz w:val="24"/>
          <w:szCs w:val="24"/>
        </w:rPr>
        <w:t>would</w:t>
      </w:r>
      <w:r w:rsidR="006E6555" w:rsidRPr="004A4AFB">
        <w:rPr>
          <w:rFonts w:ascii="Times New Roman" w:hAnsi="Times New Roman" w:cs="Times New Roman"/>
          <w:color w:val="000000" w:themeColor="text1"/>
          <w:sz w:val="24"/>
          <w:szCs w:val="24"/>
        </w:rPr>
        <w:t xml:space="preserve"> be</w:t>
      </w:r>
      <w:r w:rsidRPr="004A4AFB">
        <w:rPr>
          <w:rFonts w:ascii="Times New Roman" w:hAnsi="Times New Roman" w:cs="Times New Roman"/>
          <w:color w:val="000000" w:themeColor="text1"/>
          <w:sz w:val="24"/>
          <w:szCs w:val="24"/>
        </w:rPr>
        <w:t xml:space="preserve"> </w:t>
      </w:r>
      <w:r w:rsidR="00C21201" w:rsidRPr="004A4AFB">
        <w:rPr>
          <w:rFonts w:ascii="Times New Roman" w:hAnsi="Times New Roman" w:cs="Times New Roman"/>
          <w:color w:val="000000" w:themeColor="text1"/>
          <w:sz w:val="24"/>
          <w:szCs w:val="24"/>
        </w:rPr>
        <w:t>riskier</w:t>
      </w:r>
      <w:r w:rsidRPr="004A4AFB">
        <w:rPr>
          <w:rFonts w:ascii="Times New Roman" w:hAnsi="Times New Roman" w:cs="Times New Roman"/>
          <w:color w:val="000000" w:themeColor="text1"/>
          <w:sz w:val="24"/>
          <w:szCs w:val="24"/>
        </w:rPr>
        <w:t xml:space="preserve"> because it is open to all. </w:t>
      </w:r>
      <w:r w:rsidR="0067069D" w:rsidRPr="004A4AFB">
        <w:rPr>
          <w:rFonts w:ascii="Times New Roman" w:hAnsi="Times New Roman" w:cs="Times New Roman"/>
          <w:color w:val="000000" w:themeColor="text1"/>
          <w:sz w:val="24"/>
          <w:szCs w:val="24"/>
        </w:rPr>
        <w:t>Retail funds, which are in any case subject to diligence</w:t>
      </w:r>
      <w:r w:rsidR="00D13D3C">
        <w:rPr>
          <w:rFonts w:ascii="Times New Roman" w:hAnsi="Times New Roman" w:cs="Times New Roman"/>
          <w:color w:val="000000" w:themeColor="text1"/>
          <w:sz w:val="24"/>
          <w:szCs w:val="24"/>
        </w:rPr>
        <w:t xml:space="preserve"> measure</w:t>
      </w:r>
      <w:r w:rsidR="0067069D" w:rsidRPr="004A4AFB">
        <w:rPr>
          <w:rFonts w:ascii="Times New Roman" w:hAnsi="Times New Roman" w:cs="Times New Roman"/>
          <w:color w:val="000000" w:themeColor="text1"/>
          <w:sz w:val="24"/>
          <w:szCs w:val="24"/>
        </w:rPr>
        <w:t xml:space="preserve">s by distributors and </w:t>
      </w:r>
      <w:proofErr w:type="gramStart"/>
      <w:r w:rsidR="0067069D" w:rsidRPr="004A4AFB">
        <w:rPr>
          <w:rFonts w:ascii="Times New Roman" w:hAnsi="Times New Roman" w:cs="Times New Roman"/>
          <w:color w:val="000000" w:themeColor="text1"/>
          <w:sz w:val="24"/>
          <w:szCs w:val="24"/>
        </w:rPr>
        <w:t>are strictly regulated</w:t>
      </w:r>
      <w:proofErr w:type="gramEnd"/>
      <w:r w:rsidR="0067069D" w:rsidRPr="004A4AFB">
        <w:rPr>
          <w:rFonts w:ascii="Times New Roman" w:hAnsi="Times New Roman" w:cs="Times New Roman"/>
          <w:color w:val="000000" w:themeColor="text1"/>
          <w:sz w:val="24"/>
          <w:szCs w:val="24"/>
        </w:rPr>
        <w:t>, are not a concern.</w:t>
      </w:r>
    </w:p>
    <w:p w14:paraId="6019779A" w14:textId="5DE4419E" w:rsidR="00E7209D" w:rsidRPr="004A4AFB" w:rsidRDefault="00E7209D"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should be reminded that </w:t>
      </w:r>
      <w:r w:rsidR="00C21201">
        <w:rPr>
          <w:rFonts w:ascii="Times New Roman" w:hAnsi="Times New Roman" w:cs="Times New Roman"/>
          <w:color w:val="000000" w:themeColor="text1"/>
          <w:sz w:val="24"/>
          <w:szCs w:val="24"/>
        </w:rPr>
        <w:t>in no way</w:t>
      </w:r>
      <w:r w:rsidR="009162B8" w:rsidRPr="004A4AFB">
        <w:rPr>
          <w:rFonts w:ascii="Times New Roman" w:hAnsi="Times New Roman" w:cs="Times New Roman"/>
          <w:color w:val="000000" w:themeColor="text1"/>
          <w:sz w:val="24"/>
          <w:szCs w:val="24"/>
        </w:rPr>
        <w:t xml:space="preserve"> are </w:t>
      </w:r>
      <w:r w:rsidRPr="004A4AFB">
        <w:rPr>
          <w:rFonts w:ascii="Times New Roman" w:hAnsi="Times New Roman" w:cs="Times New Roman"/>
          <w:color w:val="000000" w:themeColor="text1"/>
          <w:sz w:val="24"/>
          <w:szCs w:val="24"/>
        </w:rPr>
        <w:t xml:space="preserve">vehicles risky in </w:t>
      </w:r>
      <w:proofErr w:type="gramStart"/>
      <w:r w:rsidRPr="004A4AFB">
        <w:rPr>
          <w:rFonts w:ascii="Times New Roman" w:hAnsi="Times New Roman" w:cs="Times New Roman"/>
          <w:color w:val="000000" w:themeColor="text1"/>
          <w:sz w:val="24"/>
          <w:szCs w:val="24"/>
        </w:rPr>
        <w:t>themselves,</w:t>
      </w:r>
      <w:proofErr w:type="gramEnd"/>
      <w:r w:rsidRPr="004A4AFB">
        <w:rPr>
          <w:rFonts w:ascii="Times New Roman" w:hAnsi="Times New Roman" w:cs="Times New Roman"/>
          <w:color w:val="000000" w:themeColor="text1"/>
          <w:sz w:val="24"/>
          <w:szCs w:val="24"/>
        </w:rPr>
        <w:t xml:space="preserve"> it is the clientele which</w:t>
      </w:r>
      <w:r w:rsidRPr="004A4AFB">
        <w:rPr>
          <w:rFonts w:ascii="Times New Roman" w:hAnsi="Times New Roman" w:cs="Times New Roman"/>
          <w:b/>
          <w:color w:val="000000" w:themeColor="text1"/>
          <w:sz w:val="24"/>
          <w:szCs w:val="24"/>
        </w:rPr>
        <w:t xml:space="preserve"> </w:t>
      </w:r>
      <w:r w:rsidR="000C018D" w:rsidRPr="004A4AFB">
        <w:rPr>
          <w:rFonts w:ascii="Times New Roman" w:hAnsi="Times New Roman" w:cs="Times New Roman"/>
          <w:color w:val="000000" w:themeColor="text1"/>
          <w:sz w:val="24"/>
          <w:szCs w:val="24"/>
        </w:rPr>
        <w:t>entails</w:t>
      </w:r>
      <w:r w:rsidRPr="004A4AFB">
        <w:rPr>
          <w:rFonts w:ascii="Times New Roman" w:hAnsi="Times New Roman" w:cs="Times New Roman"/>
          <w:color w:val="000000" w:themeColor="text1"/>
          <w:sz w:val="24"/>
          <w:szCs w:val="24"/>
        </w:rPr>
        <w:t xml:space="preserve"> the AML risk.</w:t>
      </w:r>
    </w:p>
    <w:p w14:paraId="15561448" w14:textId="77777777" w:rsidR="000226DC" w:rsidRPr="004A4AFB" w:rsidRDefault="000226DC" w:rsidP="00A873A4">
      <w:pPr>
        <w:pStyle w:val="Default"/>
        <w:numPr>
          <w:ilvl w:val="0"/>
          <w:numId w:val="5"/>
        </w:numPr>
        <w:spacing w:after="119"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The following factors may indicate lower risk: </w:t>
      </w:r>
    </w:p>
    <w:p w14:paraId="2254BFD6" w14:textId="77777777" w:rsidR="00AC0D25" w:rsidRPr="004A4AFB" w:rsidRDefault="000226DC" w:rsidP="00A873A4">
      <w:pPr>
        <w:pStyle w:val="Default"/>
        <w:numPr>
          <w:ilvl w:val="0"/>
          <w:numId w:val="13"/>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the fund admits only a speci</w:t>
      </w:r>
      <w:r w:rsidR="00AC0D25" w:rsidRPr="004A4AFB">
        <w:rPr>
          <w:rFonts w:ascii="Times New Roman" w:hAnsi="Times New Roman" w:cs="Times New Roman"/>
          <w:b/>
          <w:color w:val="000000" w:themeColor="text1"/>
          <w:lang w:val="en-US"/>
        </w:rPr>
        <w:t>fic type of low-risk investors;</w:t>
      </w:r>
    </w:p>
    <w:p w14:paraId="285038A1" w14:textId="7F502E10" w:rsidR="00AC0D25" w:rsidRPr="004A4AFB" w:rsidRDefault="000226DC" w:rsidP="00A873A4">
      <w:pPr>
        <w:pStyle w:val="Default"/>
        <w:numPr>
          <w:ilvl w:val="0"/>
          <w:numId w:val="13"/>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 the fund can be accessed only through regulated financial intermediaries in EEA countries, who are within scope of their national </w:t>
      </w:r>
      <w:r w:rsidR="00D65D63">
        <w:rPr>
          <w:rFonts w:ascii="Times New Roman" w:hAnsi="Times New Roman" w:cs="Times New Roman"/>
          <w:b/>
          <w:color w:val="000000" w:themeColor="text1"/>
          <w:lang w:val="en-US"/>
        </w:rPr>
        <w:t xml:space="preserve">AML-CFT </w:t>
      </w:r>
      <w:r w:rsidRPr="004A4AFB">
        <w:rPr>
          <w:rFonts w:ascii="Times New Roman" w:hAnsi="Times New Roman" w:cs="Times New Roman"/>
          <w:b/>
          <w:color w:val="000000" w:themeColor="text1"/>
          <w:lang w:val="en-US"/>
        </w:rPr>
        <w:t xml:space="preserve"> legislation</w:t>
      </w:r>
      <w:r w:rsidR="006C6715" w:rsidRPr="004A4AFB">
        <w:rPr>
          <w:rFonts w:ascii="Times New Roman" w:hAnsi="Times New Roman" w:cs="Times New Roman"/>
          <w:b/>
          <w:color w:val="000000" w:themeColor="text1"/>
          <w:lang w:val="en-US"/>
        </w:rPr>
        <w:t xml:space="preserve"> </w:t>
      </w:r>
      <w:r w:rsidR="00AC0D25" w:rsidRPr="004A4AFB">
        <w:rPr>
          <w:rFonts w:ascii="Times New Roman" w:hAnsi="Times New Roman" w:cs="Times New Roman"/>
          <w:b/>
          <w:color w:val="000000" w:themeColor="text1"/>
          <w:lang w:val="en-US"/>
        </w:rPr>
        <w:t>(n°208)</w:t>
      </w:r>
    </w:p>
    <w:p w14:paraId="289941B2" w14:textId="77777777" w:rsidR="00AC0D25" w:rsidRPr="004A4AFB" w:rsidRDefault="00AC0D25" w:rsidP="00A873A4">
      <w:pPr>
        <w:pStyle w:val="Paragraphedeliste"/>
        <w:autoSpaceDE w:val="0"/>
        <w:autoSpaceDN w:val="0"/>
        <w:adjustRightInd w:val="0"/>
        <w:spacing w:after="0"/>
        <w:jc w:val="both"/>
        <w:rPr>
          <w:rFonts w:ascii="Times New Roman" w:hAnsi="Times New Roman" w:cs="Times New Roman"/>
          <w:b/>
          <w:color w:val="000000" w:themeColor="text1"/>
          <w:sz w:val="24"/>
          <w:szCs w:val="24"/>
          <w:lang w:val="en-US"/>
        </w:rPr>
      </w:pPr>
    </w:p>
    <w:p w14:paraId="7229E307" w14:textId="31A2836A" w:rsidR="005E42A7" w:rsidRPr="004A4AFB" w:rsidRDefault="005E42A7"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It should be recalled that in France a management company which uses a regulated distributor </w:t>
      </w:r>
      <w:r w:rsidR="00270B18">
        <w:rPr>
          <w:rFonts w:ascii="Times New Roman" w:hAnsi="Times New Roman" w:cs="Times New Roman"/>
          <w:color w:val="000000" w:themeColor="text1"/>
          <w:sz w:val="24"/>
          <w:szCs w:val="24"/>
        </w:rPr>
        <w:t>lies</w:t>
      </w:r>
      <w:r w:rsidRPr="004A4AFB">
        <w:rPr>
          <w:rFonts w:ascii="Times New Roman" w:hAnsi="Times New Roman" w:cs="Times New Roman"/>
          <w:color w:val="000000" w:themeColor="text1"/>
          <w:sz w:val="24"/>
          <w:szCs w:val="24"/>
        </w:rPr>
        <w:t xml:space="preserve"> outside the scope of the regulation for this distribution; </w:t>
      </w:r>
      <w:r w:rsidR="00094570" w:rsidRPr="004A4AFB">
        <w:rPr>
          <w:rFonts w:ascii="Times New Roman" w:hAnsi="Times New Roman" w:cs="Times New Roman"/>
          <w:color w:val="000000" w:themeColor="text1"/>
          <w:sz w:val="24"/>
          <w:szCs w:val="24"/>
        </w:rPr>
        <w:t xml:space="preserve">only </w:t>
      </w:r>
      <w:r w:rsidR="00B72E82" w:rsidRPr="004A4AFB">
        <w:rPr>
          <w:rFonts w:ascii="Times New Roman" w:hAnsi="Times New Roman" w:cs="Times New Roman"/>
          <w:color w:val="000000" w:themeColor="text1"/>
          <w:sz w:val="24"/>
          <w:szCs w:val="24"/>
        </w:rPr>
        <w:t>the distrib</w:t>
      </w:r>
      <w:r w:rsidR="00D45027">
        <w:rPr>
          <w:rFonts w:ascii="Times New Roman" w:hAnsi="Times New Roman" w:cs="Times New Roman"/>
          <w:color w:val="000000" w:themeColor="text1"/>
          <w:sz w:val="24"/>
          <w:szCs w:val="24"/>
        </w:rPr>
        <w:t xml:space="preserve">utor should comply with the </w:t>
      </w:r>
      <w:r w:rsidR="00D65D63">
        <w:rPr>
          <w:rFonts w:ascii="Times New Roman" w:hAnsi="Times New Roman" w:cs="Times New Roman"/>
          <w:color w:val="000000" w:themeColor="text1"/>
          <w:sz w:val="24"/>
          <w:szCs w:val="24"/>
        </w:rPr>
        <w:t>AML-</w:t>
      </w:r>
      <w:proofErr w:type="gramStart"/>
      <w:r w:rsidR="00D65D63">
        <w:rPr>
          <w:rFonts w:ascii="Times New Roman" w:hAnsi="Times New Roman" w:cs="Times New Roman"/>
          <w:color w:val="000000" w:themeColor="text1"/>
          <w:sz w:val="24"/>
          <w:szCs w:val="24"/>
        </w:rPr>
        <w:t xml:space="preserve">CFT </w:t>
      </w:r>
      <w:r w:rsidR="00B72E82" w:rsidRPr="004A4AFB">
        <w:rPr>
          <w:rFonts w:ascii="Times New Roman" w:hAnsi="Times New Roman" w:cs="Times New Roman"/>
          <w:color w:val="000000" w:themeColor="text1"/>
          <w:sz w:val="24"/>
          <w:szCs w:val="24"/>
        </w:rPr>
        <w:t xml:space="preserve"> obligations</w:t>
      </w:r>
      <w:proofErr w:type="gramEnd"/>
      <w:r w:rsidR="00B72E82" w:rsidRPr="004A4AFB">
        <w:rPr>
          <w:rFonts w:ascii="Times New Roman" w:hAnsi="Times New Roman" w:cs="Times New Roman"/>
          <w:color w:val="000000" w:themeColor="text1"/>
          <w:sz w:val="24"/>
          <w:szCs w:val="24"/>
        </w:rPr>
        <w:t>.</w:t>
      </w:r>
    </w:p>
    <w:p w14:paraId="78AFB45F" w14:textId="7CA9B2A5" w:rsidR="00B72E82" w:rsidRPr="004A4AFB" w:rsidRDefault="00B72E82"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Furthermore, it seems difficult for a management company to ensure that only low risk investors subs</w:t>
      </w:r>
      <w:r w:rsidR="00742A67">
        <w:rPr>
          <w:rFonts w:ascii="Times New Roman" w:hAnsi="Times New Roman" w:cs="Times New Roman"/>
          <w:color w:val="000000" w:themeColor="text1"/>
          <w:sz w:val="24"/>
          <w:szCs w:val="24"/>
        </w:rPr>
        <w:t>c</w:t>
      </w:r>
      <w:r w:rsidRPr="004A4AFB">
        <w:rPr>
          <w:rFonts w:ascii="Times New Roman" w:hAnsi="Times New Roman" w:cs="Times New Roman"/>
          <w:color w:val="000000" w:themeColor="text1"/>
          <w:sz w:val="24"/>
          <w:szCs w:val="24"/>
        </w:rPr>
        <w:t xml:space="preserve">ribe to a fund, except for dedicated funds, which implies that all other funds </w:t>
      </w:r>
      <w:proofErr w:type="gramStart"/>
      <w:r w:rsidRPr="004A4AFB">
        <w:rPr>
          <w:rFonts w:ascii="Times New Roman" w:hAnsi="Times New Roman" w:cs="Times New Roman"/>
          <w:color w:val="000000" w:themeColor="text1"/>
          <w:sz w:val="24"/>
          <w:szCs w:val="24"/>
        </w:rPr>
        <w:t>would be con</w:t>
      </w:r>
      <w:r w:rsidR="00CF6F04">
        <w:rPr>
          <w:rFonts w:ascii="Times New Roman" w:hAnsi="Times New Roman" w:cs="Times New Roman"/>
          <w:color w:val="000000" w:themeColor="text1"/>
          <w:sz w:val="24"/>
          <w:szCs w:val="24"/>
        </w:rPr>
        <w:t>sidered</w:t>
      </w:r>
      <w:proofErr w:type="gramEnd"/>
      <w:r w:rsidR="00CF6F04">
        <w:rPr>
          <w:rFonts w:ascii="Times New Roman" w:hAnsi="Times New Roman" w:cs="Times New Roman"/>
          <w:color w:val="000000" w:themeColor="text1"/>
          <w:sz w:val="24"/>
          <w:szCs w:val="24"/>
        </w:rPr>
        <w:t xml:space="preserve"> as “high risk”</w:t>
      </w:r>
      <w:r w:rsidRPr="004A4AFB">
        <w:rPr>
          <w:rFonts w:ascii="Times New Roman" w:hAnsi="Times New Roman" w:cs="Times New Roman"/>
          <w:color w:val="000000" w:themeColor="text1"/>
          <w:sz w:val="24"/>
          <w:szCs w:val="24"/>
        </w:rPr>
        <w:t xml:space="preserve">. </w:t>
      </w:r>
      <w:proofErr w:type="gramStart"/>
      <w:r w:rsidRPr="004A4AFB">
        <w:rPr>
          <w:rFonts w:ascii="Times New Roman" w:hAnsi="Times New Roman" w:cs="Times New Roman"/>
          <w:color w:val="000000" w:themeColor="text1"/>
          <w:sz w:val="24"/>
          <w:szCs w:val="24"/>
        </w:rPr>
        <w:t>Cases which are outside the scope</w:t>
      </w:r>
      <w:proofErr w:type="gramEnd"/>
      <w:r w:rsidRPr="004A4AFB">
        <w:rPr>
          <w:rFonts w:ascii="Times New Roman" w:hAnsi="Times New Roman" w:cs="Times New Roman"/>
          <w:color w:val="000000" w:themeColor="text1"/>
          <w:sz w:val="24"/>
          <w:szCs w:val="24"/>
        </w:rPr>
        <w:t xml:space="preserve"> should be specified, with a description of the different types of business relationships.</w:t>
      </w:r>
    </w:p>
    <w:p w14:paraId="2432DE82" w14:textId="757AE566" w:rsidR="00B72E82" w:rsidRPr="004A4AFB" w:rsidRDefault="00075577"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In any case, d</w:t>
      </w:r>
      <w:r w:rsidR="00B72E82" w:rsidRPr="004A4AFB">
        <w:rPr>
          <w:rFonts w:ascii="Times New Roman" w:hAnsi="Times New Roman" w:cs="Times New Roman"/>
          <w:color w:val="000000" w:themeColor="text1"/>
          <w:sz w:val="24"/>
          <w:szCs w:val="24"/>
        </w:rPr>
        <w:t>iligence</w:t>
      </w:r>
      <w:r w:rsidR="00C00FB2">
        <w:rPr>
          <w:rFonts w:ascii="Times New Roman" w:hAnsi="Times New Roman" w:cs="Times New Roman"/>
          <w:color w:val="000000" w:themeColor="text1"/>
          <w:sz w:val="24"/>
          <w:szCs w:val="24"/>
        </w:rPr>
        <w:t xml:space="preserve"> measure</w:t>
      </w:r>
      <w:r w:rsidR="00B72E82" w:rsidRPr="004A4AFB">
        <w:rPr>
          <w:rFonts w:ascii="Times New Roman" w:hAnsi="Times New Roman" w:cs="Times New Roman"/>
          <w:color w:val="000000" w:themeColor="text1"/>
          <w:sz w:val="24"/>
          <w:szCs w:val="24"/>
        </w:rPr>
        <w:t xml:space="preserve">s performed by management companies </w:t>
      </w:r>
      <w:r w:rsidR="008662C9" w:rsidRPr="004A4AFB">
        <w:rPr>
          <w:rFonts w:ascii="Times New Roman" w:hAnsi="Times New Roman" w:cs="Times New Roman"/>
          <w:color w:val="000000" w:themeColor="text1"/>
          <w:sz w:val="24"/>
          <w:szCs w:val="24"/>
        </w:rPr>
        <w:t>may</w:t>
      </w:r>
      <w:r w:rsidR="00B72E82" w:rsidRPr="004A4AFB">
        <w:rPr>
          <w:rFonts w:ascii="Times New Roman" w:hAnsi="Times New Roman" w:cs="Times New Roman"/>
          <w:color w:val="000000" w:themeColor="text1"/>
          <w:sz w:val="24"/>
          <w:szCs w:val="24"/>
        </w:rPr>
        <w:t xml:space="preserve"> </w:t>
      </w:r>
      <w:r w:rsidR="00F74749" w:rsidRPr="004A4AFB">
        <w:rPr>
          <w:rFonts w:ascii="Times New Roman" w:hAnsi="Times New Roman" w:cs="Times New Roman"/>
          <w:color w:val="000000" w:themeColor="text1"/>
          <w:sz w:val="24"/>
          <w:szCs w:val="24"/>
        </w:rPr>
        <w:t>only</w:t>
      </w:r>
      <w:r w:rsidR="00B72E82" w:rsidRPr="004A4AFB">
        <w:rPr>
          <w:rFonts w:ascii="Times New Roman" w:hAnsi="Times New Roman" w:cs="Times New Roman"/>
          <w:color w:val="000000" w:themeColor="text1"/>
          <w:sz w:val="24"/>
          <w:szCs w:val="24"/>
        </w:rPr>
        <w:t xml:space="preserve"> </w:t>
      </w:r>
      <w:r w:rsidR="00CF587F">
        <w:rPr>
          <w:rFonts w:ascii="Times New Roman" w:hAnsi="Times New Roman" w:cs="Times New Roman"/>
          <w:color w:val="000000" w:themeColor="text1"/>
          <w:sz w:val="24"/>
          <w:szCs w:val="24"/>
        </w:rPr>
        <w:t>target</w:t>
      </w:r>
      <w:r w:rsidR="00B72E82" w:rsidRPr="004A4AFB">
        <w:rPr>
          <w:rFonts w:ascii="Times New Roman" w:hAnsi="Times New Roman" w:cs="Times New Roman"/>
          <w:color w:val="000000" w:themeColor="text1"/>
          <w:sz w:val="24"/>
          <w:szCs w:val="24"/>
        </w:rPr>
        <w:t xml:space="preserve"> distributors.</w:t>
      </w:r>
    </w:p>
    <w:p w14:paraId="0C2CD78B" w14:textId="77777777" w:rsidR="006C6715" w:rsidRPr="004A4AFB" w:rsidRDefault="006C6715" w:rsidP="00A873A4">
      <w:pPr>
        <w:pStyle w:val="Default"/>
        <w:numPr>
          <w:ilvl w:val="0"/>
          <w:numId w:val="11"/>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lastRenderedPageBreak/>
        <w:t xml:space="preserve">The following factor may indicate higher risk: investors’ funds have been generated in </w:t>
      </w:r>
      <w:proofErr w:type="gramStart"/>
      <w:r w:rsidRPr="004A4AFB">
        <w:rPr>
          <w:rFonts w:ascii="Times New Roman" w:hAnsi="Times New Roman" w:cs="Times New Roman"/>
          <w:b/>
          <w:color w:val="000000" w:themeColor="text1"/>
          <w:lang w:val="en-US"/>
        </w:rPr>
        <w:t>high risk</w:t>
      </w:r>
      <w:proofErr w:type="gramEnd"/>
      <w:r w:rsidRPr="004A4AFB">
        <w:rPr>
          <w:rFonts w:ascii="Times New Roman" w:hAnsi="Times New Roman" w:cs="Times New Roman"/>
          <w:b/>
          <w:color w:val="000000" w:themeColor="text1"/>
          <w:lang w:val="en-US"/>
        </w:rPr>
        <w:t xml:space="preserve"> jurisdictions, in particular those associated with higher levels of predicate offences to money laundering. (n°209)</w:t>
      </w:r>
    </w:p>
    <w:p w14:paraId="2F55B029" w14:textId="77777777" w:rsidR="00647C8D" w:rsidRPr="004A4AFB" w:rsidRDefault="00647C8D" w:rsidP="00A873A4">
      <w:pPr>
        <w:pStyle w:val="Paragraphedeliste"/>
        <w:autoSpaceDE w:val="0"/>
        <w:autoSpaceDN w:val="0"/>
        <w:adjustRightInd w:val="0"/>
        <w:spacing w:after="0"/>
        <w:jc w:val="both"/>
        <w:rPr>
          <w:rFonts w:ascii="Times New Roman" w:hAnsi="Times New Roman" w:cs="Times New Roman"/>
          <w:color w:val="000000" w:themeColor="text1"/>
          <w:sz w:val="24"/>
          <w:szCs w:val="24"/>
        </w:rPr>
      </w:pPr>
    </w:p>
    <w:p w14:paraId="412B1D6B" w14:textId="5EB4847C" w:rsidR="006C7B7A" w:rsidRPr="004A4AFB" w:rsidRDefault="00C21201" w:rsidP="00A873A4">
      <w:pPr>
        <w:pStyle w:val="Paragraphedeliste"/>
        <w:ind w:hanging="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word “</w:t>
      </w:r>
      <w:r w:rsidR="006C7B7A" w:rsidRPr="004A4AFB">
        <w:rPr>
          <w:rFonts w:ascii="Times New Roman" w:hAnsi="Times New Roman" w:cs="Times New Roman"/>
          <w:color w:val="000000" w:themeColor="text1"/>
          <w:sz w:val="24"/>
          <w:szCs w:val="24"/>
        </w:rPr>
        <w:t>generat</w:t>
      </w:r>
      <w:r>
        <w:rPr>
          <w:rFonts w:ascii="Times New Roman" w:hAnsi="Times New Roman" w:cs="Times New Roman"/>
          <w:color w:val="000000" w:themeColor="text1"/>
          <w:sz w:val="24"/>
          <w:szCs w:val="24"/>
        </w:rPr>
        <w:t>ed”</w:t>
      </w:r>
      <w:r w:rsidR="00420F0F" w:rsidRPr="004A4AFB">
        <w:rPr>
          <w:rFonts w:ascii="Times New Roman" w:hAnsi="Times New Roman" w:cs="Times New Roman"/>
          <w:color w:val="000000" w:themeColor="text1"/>
          <w:sz w:val="24"/>
          <w:szCs w:val="24"/>
        </w:rPr>
        <w:t xml:space="preserve">, </w:t>
      </w:r>
      <w:r w:rsidR="006C7B7A" w:rsidRPr="004A4AFB">
        <w:rPr>
          <w:rFonts w:ascii="Times New Roman" w:hAnsi="Times New Roman" w:cs="Times New Roman"/>
          <w:color w:val="000000" w:themeColor="text1"/>
          <w:sz w:val="24"/>
          <w:szCs w:val="24"/>
        </w:rPr>
        <w:t>too wide</w:t>
      </w:r>
      <w:r w:rsidR="00420F0F" w:rsidRPr="004A4AFB">
        <w:rPr>
          <w:rFonts w:ascii="Times New Roman" w:hAnsi="Times New Roman" w:cs="Times New Roman"/>
          <w:color w:val="000000" w:themeColor="text1"/>
          <w:sz w:val="24"/>
          <w:szCs w:val="24"/>
        </w:rPr>
        <w:t xml:space="preserve">, </w:t>
      </w:r>
      <w:proofErr w:type="gramStart"/>
      <w:r w:rsidR="006C7B7A" w:rsidRPr="004A4AFB">
        <w:rPr>
          <w:rFonts w:ascii="Times New Roman" w:hAnsi="Times New Roman" w:cs="Times New Roman"/>
          <w:color w:val="000000" w:themeColor="text1"/>
          <w:sz w:val="24"/>
          <w:szCs w:val="24"/>
        </w:rPr>
        <w:t>would by nature relate</w:t>
      </w:r>
      <w:proofErr w:type="gramEnd"/>
      <w:r w:rsidR="006C7B7A" w:rsidRPr="004A4AFB">
        <w:rPr>
          <w:rFonts w:ascii="Times New Roman" w:hAnsi="Times New Roman" w:cs="Times New Roman"/>
          <w:color w:val="000000" w:themeColor="text1"/>
          <w:sz w:val="24"/>
          <w:szCs w:val="24"/>
        </w:rPr>
        <w:t xml:space="preserve"> to the business of very large listed companies. Indeed, in practice, it is simply impossible for a management company to </w:t>
      </w:r>
      <w:r w:rsidR="00F07B2D" w:rsidRPr="004A4AFB">
        <w:rPr>
          <w:rFonts w:ascii="Times New Roman" w:hAnsi="Times New Roman" w:cs="Times New Roman"/>
          <w:color w:val="000000" w:themeColor="text1"/>
          <w:sz w:val="24"/>
          <w:szCs w:val="24"/>
        </w:rPr>
        <w:t xml:space="preserve">make the </w:t>
      </w:r>
      <w:r w:rsidR="006C7B7A" w:rsidRPr="004A4AFB">
        <w:rPr>
          <w:rFonts w:ascii="Times New Roman" w:hAnsi="Times New Roman" w:cs="Times New Roman"/>
          <w:color w:val="000000" w:themeColor="text1"/>
          <w:sz w:val="24"/>
          <w:szCs w:val="24"/>
        </w:rPr>
        <w:t xml:space="preserve">link </w:t>
      </w:r>
      <w:r w:rsidR="00F07B2D" w:rsidRPr="004A4AFB">
        <w:rPr>
          <w:rFonts w:ascii="Times New Roman" w:hAnsi="Times New Roman" w:cs="Times New Roman"/>
          <w:color w:val="000000" w:themeColor="text1"/>
          <w:sz w:val="24"/>
          <w:szCs w:val="24"/>
        </w:rPr>
        <w:t xml:space="preserve">between </w:t>
      </w:r>
      <w:r w:rsidR="006C7B7A" w:rsidRPr="004A4AFB">
        <w:rPr>
          <w:rFonts w:ascii="Times New Roman" w:hAnsi="Times New Roman" w:cs="Times New Roman"/>
          <w:color w:val="000000" w:themeColor="text1"/>
          <w:sz w:val="24"/>
          <w:szCs w:val="24"/>
        </w:rPr>
        <w:t xml:space="preserve">the funds </w:t>
      </w:r>
      <w:r w:rsidR="00F07B2D" w:rsidRPr="004A4AFB">
        <w:rPr>
          <w:rFonts w:ascii="Times New Roman" w:hAnsi="Times New Roman" w:cs="Times New Roman"/>
          <w:color w:val="000000" w:themeColor="text1"/>
          <w:sz w:val="24"/>
          <w:szCs w:val="24"/>
        </w:rPr>
        <w:t xml:space="preserve">entrusted </w:t>
      </w:r>
      <w:r w:rsidR="006C7B7A" w:rsidRPr="004A4AFB">
        <w:rPr>
          <w:rFonts w:ascii="Times New Roman" w:hAnsi="Times New Roman" w:cs="Times New Roman"/>
          <w:color w:val="000000" w:themeColor="text1"/>
          <w:sz w:val="24"/>
          <w:szCs w:val="24"/>
        </w:rPr>
        <w:t>and the country</w:t>
      </w:r>
      <w:r w:rsidR="00F07B2D" w:rsidRPr="004A4AFB">
        <w:rPr>
          <w:rFonts w:ascii="Times New Roman" w:hAnsi="Times New Roman" w:cs="Times New Roman"/>
          <w:color w:val="000000" w:themeColor="text1"/>
          <w:sz w:val="24"/>
          <w:szCs w:val="24"/>
        </w:rPr>
        <w:t xml:space="preserve"> </w:t>
      </w:r>
      <w:r w:rsidR="00420F0F" w:rsidRPr="004A4AFB">
        <w:rPr>
          <w:rFonts w:ascii="Times New Roman" w:hAnsi="Times New Roman" w:cs="Times New Roman"/>
          <w:color w:val="000000" w:themeColor="text1"/>
          <w:sz w:val="24"/>
          <w:szCs w:val="24"/>
        </w:rPr>
        <w:t xml:space="preserve">of origin </w:t>
      </w:r>
      <w:r w:rsidR="00F07B2D" w:rsidRPr="004A4AFB">
        <w:rPr>
          <w:rFonts w:ascii="Times New Roman" w:hAnsi="Times New Roman" w:cs="Times New Roman"/>
          <w:color w:val="000000" w:themeColor="text1"/>
          <w:sz w:val="24"/>
          <w:szCs w:val="24"/>
        </w:rPr>
        <w:t xml:space="preserve">of these </w:t>
      </w:r>
      <w:proofErr w:type="gramStart"/>
      <w:r w:rsidR="00F07B2D" w:rsidRPr="004A4AFB">
        <w:rPr>
          <w:rFonts w:ascii="Times New Roman" w:hAnsi="Times New Roman" w:cs="Times New Roman"/>
          <w:color w:val="000000" w:themeColor="text1"/>
          <w:sz w:val="24"/>
          <w:szCs w:val="24"/>
        </w:rPr>
        <w:t>funds</w:t>
      </w:r>
      <w:proofErr w:type="gramEnd"/>
      <w:r w:rsidR="00F07B2D" w:rsidRPr="004A4AFB">
        <w:rPr>
          <w:rFonts w:ascii="Times New Roman" w:hAnsi="Times New Roman" w:cs="Times New Roman"/>
          <w:color w:val="000000" w:themeColor="text1"/>
          <w:sz w:val="24"/>
          <w:szCs w:val="24"/>
        </w:rPr>
        <w:t xml:space="preserve"> as far as multinational companies are concerned. </w:t>
      </w:r>
      <w:r w:rsidR="006C7B7A" w:rsidRPr="004A4AFB">
        <w:rPr>
          <w:rFonts w:ascii="Times New Roman" w:hAnsi="Times New Roman" w:cs="Times New Roman"/>
          <w:color w:val="000000" w:themeColor="text1"/>
          <w:sz w:val="24"/>
          <w:szCs w:val="24"/>
        </w:rPr>
        <w:t xml:space="preserve"> </w:t>
      </w:r>
      <w:r w:rsidR="00F07B2D" w:rsidRPr="004A4AFB">
        <w:rPr>
          <w:rFonts w:ascii="Times New Roman" w:hAnsi="Times New Roman" w:cs="Times New Roman"/>
          <w:color w:val="000000" w:themeColor="text1"/>
          <w:sz w:val="24"/>
          <w:szCs w:val="24"/>
        </w:rPr>
        <w:t xml:space="preserve">At best, we will be able to </w:t>
      </w:r>
      <w:r w:rsidR="00420F0F" w:rsidRPr="004A4AFB">
        <w:rPr>
          <w:rFonts w:ascii="Times New Roman" w:hAnsi="Times New Roman" w:cs="Times New Roman"/>
          <w:color w:val="000000" w:themeColor="text1"/>
          <w:sz w:val="24"/>
          <w:szCs w:val="24"/>
        </w:rPr>
        <w:t>ask the</w:t>
      </w:r>
      <w:r w:rsidR="00F07B2D" w:rsidRPr="004A4AFB">
        <w:rPr>
          <w:rFonts w:ascii="Times New Roman" w:hAnsi="Times New Roman" w:cs="Times New Roman"/>
          <w:color w:val="000000" w:themeColor="text1"/>
          <w:sz w:val="24"/>
          <w:szCs w:val="24"/>
        </w:rPr>
        <w:t xml:space="preserve"> question to this type of clients and have to rely on </w:t>
      </w:r>
      <w:proofErr w:type="gramStart"/>
      <w:r w:rsidR="00F07B2D" w:rsidRPr="004A4AFB">
        <w:rPr>
          <w:rFonts w:ascii="Times New Roman" w:hAnsi="Times New Roman" w:cs="Times New Roman"/>
          <w:color w:val="000000" w:themeColor="text1"/>
          <w:sz w:val="24"/>
          <w:szCs w:val="24"/>
        </w:rPr>
        <w:t>a declarative stat</w:t>
      </w:r>
      <w:r w:rsidR="00420F0F" w:rsidRPr="004A4AFB">
        <w:rPr>
          <w:rFonts w:ascii="Times New Roman" w:hAnsi="Times New Roman" w:cs="Times New Roman"/>
          <w:color w:val="000000" w:themeColor="text1"/>
          <w:sz w:val="24"/>
          <w:szCs w:val="24"/>
        </w:rPr>
        <w:t>ement (but then, of which use is</w:t>
      </w:r>
      <w:r w:rsidR="00F07B2D" w:rsidRPr="004A4AFB">
        <w:rPr>
          <w:rFonts w:ascii="Times New Roman" w:hAnsi="Times New Roman" w:cs="Times New Roman"/>
          <w:color w:val="000000" w:themeColor="text1"/>
          <w:sz w:val="24"/>
          <w:szCs w:val="24"/>
        </w:rPr>
        <w:t xml:space="preserve"> this type of an</w:t>
      </w:r>
      <w:r w:rsidR="00420F0F" w:rsidRPr="004A4AFB">
        <w:rPr>
          <w:rFonts w:ascii="Times New Roman" w:hAnsi="Times New Roman" w:cs="Times New Roman"/>
          <w:color w:val="000000" w:themeColor="text1"/>
          <w:sz w:val="24"/>
          <w:szCs w:val="24"/>
        </w:rPr>
        <w:t>s</w:t>
      </w:r>
      <w:r w:rsidR="00F07B2D" w:rsidRPr="004A4AFB">
        <w:rPr>
          <w:rFonts w:ascii="Times New Roman" w:hAnsi="Times New Roman" w:cs="Times New Roman"/>
          <w:color w:val="000000" w:themeColor="text1"/>
          <w:sz w:val="24"/>
          <w:szCs w:val="24"/>
        </w:rPr>
        <w:t>wer)</w:t>
      </w:r>
      <w:proofErr w:type="gramEnd"/>
      <w:r w:rsidR="00F07B2D" w:rsidRPr="004A4AFB">
        <w:rPr>
          <w:rFonts w:ascii="Times New Roman" w:hAnsi="Times New Roman" w:cs="Times New Roman"/>
          <w:color w:val="000000" w:themeColor="text1"/>
          <w:sz w:val="24"/>
          <w:szCs w:val="24"/>
        </w:rPr>
        <w:t xml:space="preserve"> or else our interlocutor will have no idea about it (which is </w:t>
      </w:r>
      <w:r w:rsidR="0099018C" w:rsidRPr="004A4AFB">
        <w:rPr>
          <w:rFonts w:ascii="Times New Roman" w:hAnsi="Times New Roman" w:cs="Times New Roman"/>
          <w:color w:val="000000" w:themeColor="text1"/>
          <w:sz w:val="24"/>
          <w:szCs w:val="24"/>
        </w:rPr>
        <w:t>very likely</w:t>
      </w:r>
      <w:r w:rsidR="00F07B2D" w:rsidRPr="004A4AFB">
        <w:rPr>
          <w:rFonts w:ascii="Times New Roman" w:hAnsi="Times New Roman" w:cs="Times New Roman"/>
          <w:color w:val="000000" w:themeColor="text1"/>
          <w:sz w:val="24"/>
          <w:szCs w:val="24"/>
        </w:rPr>
        <w:t>).</w:t>
      </w:r>
    </w:p>
    <w:p w14:paraId="01964068" w14:textId="77777777" w:rsidR="00A736DA" w:rsidRPr="004A4AFB" w:rsidRDefault="00A736DA" w:rsidP="00A873A4">
      <w:pPr>
        <w:pStyle w:val="Paragraphedeliste"/>
        <w:autoSpaceDE w:val="0"/>
        <w:autoSpaceDN w:val="0"/>
        <w:adjustRightInd w:val="0"/>
        <w:spacing w:after="0"/>
        <w:jc w:val="both"/>
        <w:rPr>
          <w:rFonts w:ascii="Times New Roman" w:hAnsi="Times New Roman" w:cs="Times New Roman"/>
          <w:b/>
          <w:color w:val="000000" w:themeColor="text1"/>
          <w:sz w:val="24"/>
          <w:szCs w:val="24"/>
          <w:lang w:val="en-US"/>
        </w:rPr>
      </w:pPr>
    </w:p>
    <w:p w14:paraId="6DDE1626" w14:textId="77777777" w:rsidR="00030370" w:rsidRPr="004A4AFB" w:rsidRDefault="0003548F" w:rsidP="00A873A4">
      <w:pPr>
        <w:pStyle w:val="Paragraphedeliste"/>
        <w:numPr>
          <w:ilvl w:val="0"/>
          <w:numId w:val="12"/>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r</w:t>
      </w:r>
      <w:r w:rsidR="00030370" w:rsidRPr="004A4AFB">
        <w:rPr>
          <w:rFonts w:ascii="Times New Roman" w:hAnsi="Times New Roman" w:cs="Times New Roman"/>
          <w:b/>
          <w:color w:val="000000" w:themeColor="text1"/>
          <w:sz w:val="24"/>
          <w:szCs w:val="24"/>
          <w:lang w:val="en-US"/>
        </w:rPr>
        <w:t>equiring that the redemption payment is made through the initial account used for investment; (n°210</w:t>
      </w:r>
      <w:r w:rsidRPr="004A4AFB">
        <w:rPr>
          <w:rFonts w:ascii="Times New Roman" w:hAnsi="Times New Roman" w:cs="Times New Roman"/>
          <w:b/>
          <w:color w:val="000000" w:themeColor="text1"/>
          <w:sz w:val="24"/>
          <w:szCs w:val="24"/>
          <w:lang w:val="en-US"/>
        </w:rPr>
        <w:t>-4</w:t>
      </w:r>
      <w:r w:rsidR="00030370" w:rsidRPr="004A4AFB">
        <w:rPr>
          <w:rFonts w:ascii="Times New Roman" w:hAnsi="Times New Roman" w:cs="Times New Roman"/>
          <w:b/>
          <w:color w:val="000000" w:themeColor="text1"/>
          <w:sz w:val="24"/>
          <w:szCs w:val="24"/>
          <w:lang w:val="en-US"/>
        </w:rPr>
        <w:t xml:space="preserve">) </w:t>
      </w:r>
    </w:p>
    <w:p w14:paraId="7C049BEC" w14:textId="77777777" w:rsidR="00572FC2" w:rsidRPr="004A4AFB" w:rsidRDefault="00572FC2" w:rsidP="00A873A4">
      <w:pPr>
        <w:pStyle w:val="Default"/>
        <w:spacing w:line="276" w:lineRule="auto"/>
        <w:jc w:val="both"/>
        <w:rPr>
          <w:rFonts w:ascii="Times New Roman" w:hAnsi="Times New Roman" w:cs="Times New Roman"/>
          <w:color w:val="000000" w:themeColor="text1"/>
          <w:lang w:val="en-US"/>
        </w:rPr>
      </w:pPr>
    </w:p>
    <w:p w14:paraId="153E3DB2" w14:textId="641F246A" w:rsidR="00F64054" w:rsidRPr="004A4AFB" w:rsidRDefault="002E1302" w:rsidP="00A873A4">
      <w:pPr>
        <w:pStyle w:val="Paragraphedeliste"/>
        <w:ind w:hanging="12"/>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Additional precisions would allow to </w:t>
      </w:r>
      <w:r w:rsidR="00C73CE1" w:rsidRPr="004A4AFB">
        <w:rPr>
          <w:rFonts w:ascii="Times New Roman" w:hAnsi="Times New Roman" w:cs="Times New Roman"/>
          <w:color w:val="000000" w:themeColor="text1"/>
          <w:sz w:val="24"/>
          <w:szCs w:val="24"/>
        </w:rPr>
        <w:t xml:space="preserve">helpfully </w:t>
      </w:r>
      <w:proofErr w:type="gramStart"/>
      <w:r w:rsidRPr="004A4AFB">
        <w:rPr>
          <w:rFonts w:ascii="Times New Roman" w:hAnsi="Times New Roman" w:cs="Times New Roman"/>
          <w:color w:val="000000" w:themeColor="text1"/>
          <w:sz w:val="24"/>
          <w:szCs w:val="24"/>
        </w:rPr>
        <w:t>restrict</w:t>
      </w:r>
      <w:proofErr w:type="gramEnd"/>
      <w:r w:rsidRPr="004A4AFB">
        <w:rPr>
          <w:rFonts w:ascii="Times New Roman" w:hAnsi="Times New Roman" w:cs="Times New Roman"/>
          <w:color w:val="000000" w:themeColor="text1"/>
          <w:sz w:val="24"/>
          <w:szCs w:val="24"/>
        </w:rPr>
        <w:t xml:space="preserve"> the wording (person change, listed country…). In any case</w:t>
      </w:r>
      <w:r w:rsidR="00192F55"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this requirement </w:t>
      </w:r>
      <w:r w:rsidR="00094570" w:rsidRPr="004A4AFB">
        <w:rPr>
          <w:rFonts w:ascii="Times New Roman" w:hAnsi="Times New Roman" w:cs="Times New Roman"/>
          <w:color w:val="000000" w:themeColor="text1"/>
          <w:sz w:val="24"/>
          <w:szCs w:val="24"/>
        </w:rPr>
        <w:t>can</w:t>
      </w:r>
      <w:r w:rsidRPr="004A4AFB">
        <w:rPr>
          <w:rFonts w:ascii="Times New Roman" w:hAnsi="Times New Roman" w:cs="Times New Roman"/>
          <w:color w:val="000000" w:themeColor="text1"/>
          <w:sz w:val="24"/>
          <w:szCs w:val="24"/>
        </w:rPr>
        <w:t>not be complied with at all times</w:t>
      </w:r>
      <w:r w:rsidR="00280BDD" w:rsidRPr="004A4AFB">
        <w:rPr>
          <w:rFonts w:ascii="Times New Roman" w:hAnsi="Times New Roman" w:cs="Times New Roman"/>
          <w:color w:val="000000" w:themeColor="text1"/>
          <w:sz w:val="24"/>
          <w:szCs w:val="24"/>
        </w:rPr>
        <w:t>,</w:t>
      </w:r>
      <w:r w:rsidRPr="004A4AFB">
        <w:rPr>
          <w:rFonts w:ascii="Times New Roman" w:hAnsi="Times New Roman" w:cs="Times New Roman"/>
          <w:color w:val="000000" w:themeColor="text1"/>
          <w:sz w:val="24"/>
          <w:szCs w:val="24"/>
        </w:rPr>
        <w:t xml:space="preserve"> for objective and matter-of-fact reasons, </w:t>
      </w:r>
      <w:r w:rsidR="00471930" w:rsidRPr="004A4AFB">
        <w:rPr>
          <w:rFonts w:ascii="Times New Roman" w:hAnsi="Times New Roman" w:cs="Times New Roman"/>
          <w:color w:val="000000" w:themeColor="text1"/>
          <w:sz w:val="24"/>
          <w:szCs w:val="24"/>
        </w:rPr>
        <w:t xml:space="preserve">without implying a sensitivity zone </w:t>
      </w:r>
      <w:r w:rsidR="00367299" w:rsidRPr="004A4AFB">
        <w:rPr>
          <w:rFonts w:ascii="Times New Roman" w:hAnsi="Times New Roman" w:cs="Times New Roman"/>
          <w:color w:val="000000" w:themeColor="text1"/>
          <w:sz w:val="24"/>
          <w:szCs w:val="24"/>
        </w:rPr>
        <w:t>with regards</w:t>
      </w:r>
      <w:r w:rsidR="0090421D">
        <w:rPr>
          <w:rFonts w:ascii="Times New Roman" w:hAnsi="Times New Roman" w:cs="Times New Roman"/>
          <w:color w:val="000000" w:themeColor="text1"/>
          <w:sz w:val="24"/>
          <w:szCs w:val="24"/>
        </w:rPr>
        <w:t xml:space="preserve"> to </w:t>
      </w:r>
      <w:r w:rsidR="00D65D63">
        <w:rPr>
          <w:rFonts w:ascii="Times New Roman" w:hAnsi="Times New Roman" w:cs="Times New Roman"/>
          <w:color w:val="000000" w:themeColor="text1"/>
          <w:sz w:val="24"/>
          <w:szCs w:val="24"/>
        </w:rPr>
        <w:t xml:space="preserve">AML-CFT </w:t>
      </w:r>
      <w:r w:rsidR="00471930" w:rsidRPr="004A4AFB">
        <w:rPr>
          <w:rFonts w:ascii="Times New Roman" w:hAnsi="Times New Roman" w:cs="Times New Roman"/>
          <w:color w:val="000000" w:themeColor="text1"/>
          <w:sz w:val="24"/>
          <w:szCs w:val="24"/>
        </w:rPr>
        <w:t>: for example, clients which use several banks.</w:t>
      </w:r>
    </w:p>
    <w:p w14:paraId="4B83D8BF" w14:textId="77777777" w:rsidR="00C8359C" w:rsidRPr="004A4AFB" w:rsidRDefault="00C8359C" w:rsidP="00A873A4">
      <w:pPr>
        <w:pStyle w:val="Paragraphedeliste"/>
        <w:ind w:hanging="12"/>
        <w:jc w:val="both"/>
        <w:rPr>
          <w:rFonts w:ascii="Times New Roman" w:hAnsi="Times New Roman" w:cs="Times New Roman"/>
          <w:b/>
          <w:color w:val="000000" w:themeColor="text1"/>
          <w:sz w:val="24"/>
          <w:szCs w:val="24"/>
        </w:rPr>
      </w:pPr>
    </w:p>
    <w:p w14:paraId="0FD18F10" w14:textId="77777777" w:rsidR="00F64054" w:rsidRPr="004A4AFB" w:rsidRDefault="00F64054" w:rsidP="00A873A4">
      <w:pPr>
        <w:pStyle w:val="Paragraphedeliste"/>
        <w:numPr>
          <w:ilvl w:val="0"/>
          <w:numId w:val="15"/>
        </w:numPr>
        <w:autoSpaceDE w:val="0"/>
        <w:autoSpaceDN w:val="0"/>
        <w:adjustRightInd w:val="0"/>
        <w:spacing w:after="0"/>
        <w:jc w:val="both"/>
        <w:rPr>
          <w:rFonts w:ascii="Times New Roman" w:hAnsi="Times New Roman" w:cs="Times New Roman"/>
          <w:b/>
          <w:color w:val="000000" w:themeColor="text1"/>
          <w:sz w:val="24"/>
          <w:szCs w:val="24"/>
          <w:lang w:val="en-US"/>
        </w:rPr>
      </w:pPr>
      <w:r w:rsidRPr="004A4AFB">
        <w:rPr>
          <w:rFonts w:ascii="Times New Roman" w:hAnsi="Times New Roman" w:cs="Times New Roman"/>
          <w:b/>
          <w:color w:val="000000" w:themeColor="text1"/>
          <w:sz w:val="24"/>
          <w:szCs w:val="24"/>
          <w:lang w:val="en-US"/>
        </w:rPr>
        <w:t xml:space="preserve">establishing limits on number and/or amount of transactions </w:t>
      </w:r>
      <w:r w:rsidR="0003548F" w:rsidRPr="004A4AFB">
        <w:rPr>
          <w:rFonts w:ascii="Times New Roman" w:hAnsi="Times New Roman" w:cs="Times New Roman"/>
          <w:b/>
          <w:color w:val="000000" w:themeColor="text1"/>
          <w:sz w:val="24"/>
          <w:szCs w:val="24"/>
          <w:lang w:val="en-US"/>
        </w:rPr>
        <w:t>(n°210-5)</w:t>
      </w:r>
    </w:p>
    <w:p w14:paraId="756A1188" w14:textId="77777777" w:rsidR="00F64054" w:rsidRPr="004A4AFB" w:rsidRDefault="00F64054" w:rsidP="00A873A4">
      <w:pPr>
        <w:autoSpaceDE w:val="0"/>
        <w:autoSpaceDN w:val="0"/>
        <w:adjustRightInd w:val="0"/>
        <w:spacing w:after="0"/>
        <w:ind w:left="708"/>
        <w:jc w:val="both"/>
        <w:rPr>
          <w:rFonts w:ascii="Times New Roman" w:hAnsi="Times New Roman" w:cs="Times New Roman"/>
          <w:color w:val="000000" w:themeColor="text1"/>
          <w:sz w:val="24"/>
          <w:szCs w:val="24"/>
          <w:lang w:val="en-US"/>
        </w:rPr>
      </w:pPr>
    </w:p>
    <w:p w14:paraId="63914B6D" w14:textId="0ECDC38C" w:rsidR="00CC7983" w:rsidRPr="004A4AFB" w:rsidRDefault="00CC7983" w:rsidP="00A873A4">
      <w:pPr>
        <w:ind w:left="708"/>
        <w:jc w:val="both"/>
        <w:rPr>
          <w:rFonts w:ascii="Times New Roman" w:hAnsi="Times New Roman" w:cs="Times New Roman"/>
          <w:color w:val="000000" w:themeColor="text1"/>
          <w:sz w:val="24"/>
          <w:szCs w:val="24"/>
        </w:rPr>
      </w:pPr>
      <w:r w:rsidRPr="004A4AFB">
        <w:rPr>
          <w:rFonts w:ascii="Times New Roman" w:hAnsi="Times New Roman" w:cs="Times New Roman"/>
          <w:color w:val="000000" w:themeColor="text1"/>
          <w:sz w:val="24"/>
          <w:szCs w:val="24"/>
        </w:rPr>
        <w:t xml:space="preserve">Limits in </w:t>
      </w:r>
      <w:r w:rsidR="00F41C46" w:rsidRPr="004A4AFB">
        <w:rPr>
          <w:rFonts w:ascii="Times New Roman" w:hAnsi="Times New Roman" w:cs="Times New Roman"/>
          <w:color w:val="000000" w:themeColor="text1"/>
          <w:sz w:val="24"/>
          <w:szCs w:val="24"/>
        </w:rPr>
        <w:t xml:space="preserve">terms of </w:t>
      </w:r>
      <w:r w:rsidR="00192F55" w:rsidRPr="004A4AFB">
        <w:rPr>
          <w:rFonts w:ascii="Times New Roman" w:hAnsi="Times New Roman" w:cs="Times New Roman"/>
          <w:color w:val="000000" w:themeColor="text1"/>
          <w:sz w:val="24"/>
          <w:szCs w:val="24"/>
        </w:rPr>
        <w:t>number and amount</w:t>
      </w:r>
      <w:r w:rsidRPr="004A4AFB">
        <w:rPr>
          <w:rFonts w:ascii="Times New Roman" w:hAnsi="Times New Roman" w:cs="Times New Roman"/>
          <w:color w:val="000000" w:themeColor="text1"/>
          <w:sz w:val="24"/>
          <w:szCs w:val="24"/>
        </w:rPr>
        <w:t xml:space="preserve"> seem very</w:t>
      </w:r>
      <w:r w:rsidR="00F41C46" w:rsidRPr="004A4AFB">
        <w:rPr>
          <w:rFonts w:ascii="Times New Roman" w:hAnsi="Times New Roman" w:cs="Times New Roman"/>
          <w:color w:val="000000" w:themeColor="text1"/>
          <w:sz w:val="24"/>
          <w:szCs w:val="24"/>
        </w:rPr>
        <w:t xml:space="preserve">/too sensitive to </w:t>
      </w:r>
      <w:proofErr w:type="gramStart"/>
      <w:r w:rsidR="00F41C46" w:rsidRPr="004A4AFB">
        <w:rPr>
          <w:rFonts w:ascii="Times New Roman" w:hAnsi="Times New Roman" w:cs="Times New Roman"/>
          <w:color w:val="000000" w:themeColor="text1"/>
          <w:sz w:val="24"/>
          <w:szCs w:val="24"/>
        </w:rPr>
        <w:t>implement:</w:t>
      </w:r>
      <w:proofErr w:type="gramEnd"/>
      <w:r w:rsidR="00F41C46" w:rsidRPr="004A4AFB">
        <w:rPr>
          <w:rFonts w:ascii="Times New Roman" w:hAnsi="Times New Roman" w:cs="Times New Roman"/>
          <w:color w:val="000000" w:themeColor="text1"/>
          <w:sz w:val="24"/>
          <w:szCs w:val="24"/>
        </w:rPr>
        <w:t xml:space="preserve"> not the same limit depending on the size of the clients’ assets and the nature of the funds? </w:t>
      </w:r>
      <w:proofErr w:type="gramStart"/>
      <w:r w:rsidR="00280BDD" w:rsidRPr="004A4AFB">
        <w:rPr>
          <w:rFonts w:ascii="Times New Roman" w:hAnsi="Times New Roman" w:cs="Times New Roman"/>
          <w:color w:val="000000" w:themeColor="text1"/>
          <w:sz w:val="24"/>
          <w:szCs w:val="24"/>
        </w:rPr>
        <w:t>Fair treatment</w:t>
      </w:r>
      <w:r w:rsidR="00F41C46" w:rsidRPr="004A4AFB">
        <w:rPr>
          <w:rFonts w:ascii="Times New Roman" w:hAnsi="Times New Roman" w:cs="Times New Roman"/>
          <w:color w:val="000000" w:themeColor="text1"/>
          <w:sz w:val="24"/>
          <w:szCs w:val="24"/>
        </w:rPr>
        <w:t xml:space="preserve"> and </w:t>
      </w:r>
      <w:r w:rsidR="00192F55" w:rsidRPr="004A4AFB">
        <w:rPr>
          <w:rFonts w:ascii="Times New Roman" w:hAnsi="Times New Roman" w:cs="Times New Roman"/>
          <w:color w:val="000000" w:themeColor="text1"/>
          <w:sz w:val="24"/>
          <w:szCs w:val="24"/>
        </w:rPr>
        <w:t xml:space="preserve">best </w:t>
      </w:r>
      <w:r w:rsidR="00F41C46" w:rsidRPr="004A4AFB">
        <w:rPr>
          <w:rFonts w:ascii="Times New Roman" w:hAnsi="Times New Roman" w:cs="Times New Roman"/>
          <w:color w:val="000000" w:themeColor="text1"/>
          <w:sz w:val="24"/>
          <w:szCs w:val="24"/>
        </w:rPr>
        <w:t xml:space="preserve">interest of </w:t>
      </w:r>
      <w:r w:rsidR="008A2591" w:rsidRPr="004A4AFB">
        <w:rPr>
          <w:rFonts w:ascii="Times New Roman" w:hAnsi="Times New Roman" w:cs="Times New Roman"/>
          <w:color w:val="000000" w:themeColor="text1"/>
          <w:sz w:val="24"/>
          <w:szCs w:val="24"/>
        </w:rPr>
        <w:t>unit holders</w:t>
      </w:r>
      <w:r w:rsidR="00F41C46" w:rsidRPr="004A4AFB">
        <w:rPr>
          <w:rFonts w:ascii="Times New Roman" w:hAnsi="Times New Roman" w:cs="Times New Roman"/>
          <w:color w:val="000000" w:themeColor="text1"/>
          <w:sz w:val="24"/>
          <w:szCs w:val="24"/>
        </w:rPr>
        <w:t>?</w:t>
      </w:r>
      <w:proofErr w:type="gramEnd"/>
      <w:r w:rsidR="00F41C46" w:rsidRPr="004A4AFB">
        <w:rPr>
          <w:rFonts w:ascii="Times New Roman" w:hAnsi="Times New Roman" w:cs="Times New Roman"/>
          <w:color w:val="000000" w:themeColor="text1"/>
          <w:sz w:val="24"/>
          <w:szCs w:val="24"/>
        </w:rPr>
        <w:t xml:space="preserve"> How </w:t>
      </w:r>
      <w:proofErr w:type="gramStart"/>
      <w:r w:rsidR="00F41C46" w:rsidRPr="004A4AFB">
        <w:rPr>
          <w:rFonts w:ascii="Times New Roman" w:hAnsi="Times New Roman" w:cs="Times New Roman"/>
          <w:color w:val="000000" w:themeColor="text1"/>
          <w:sz w:val="24"/>
          <w:szCs w:val="24"/>
        </w:rPr>
        <w:t>would these limits be defined</w:t>
      </w:r>
      <w:proofErr w:type="gramEnd"/>
      <w:r w:rsidR="00F41C46" w:rsidRPr="004A4AFB">
        <w:rPr>
          <w:rFonts w:ascii="Times New Roman" w:hAnsi="Times New Roman" w:cs="Times New Roman"/>
          <w:color w:val="000000" w:themeColor="text1"/>
          <w:sz w:val="24"/>
          <w:szCs w:val="24"/>
        </w:rPr>
        <w:t>, on which criteria? The implementation of this point is not always pos</w:t>
      </w:r>
      <w:r w:rsidR="00DC52AC">
        <w:rPr>
          <w:rFonts w:ascii="Times New Roman" w:hAnsi="Times New Roman" w:cs="Times New Roman"/>
          <w:color w:val="000000" w:themeColor="text1"/>
          <w:sz w:val="24"/>
          <w:szCs w:val="24"/>
        </w:rPr>
        <w:t>sible, it seems that at least “where relevant”</w:t>
      </w:r>
      <w:r w:rsidR="00F41C46" w:rsidRPr="004A4AFB">
        <w:rPr>
          <w:rFonts w:ascii="Times New Roman" w:hAnsi="Times New Roman" w:cs="Times New Roman"/>
          <w:color w:val="000000" w:themeColor="text1"/>
          <w:sz w:val="24"/>
          <w:szCs w:val="24"/>
        </w:rPr>
        <w:t xml:space="preserve"> and the fact that the distributor is in charge of performing the </w:t>
      </w:r>
      <w:r w:rsidR="00471F90" w:rsidRPr="004A4AFB">
        <w:rPr>
          <w:rFonts w:ascii="Times New Roman" w:hAnsi="Times New Roman" w:cs="Times New Roman"/>
          <w:color w:val="000000" w:themeColor="text1"/>
          <w:sz w:val="24"/>
          <w:szCs w:val="24"/>
        </w:rPr>
        <w:t xml:space="preserve">relevant </w:t>
      </w:r>
      <w:r w:rsidR="00F41C46" w:rsidRPr="004A4AFB">
        <w:rPr>
          <w:rFonts w:ascii="Times New Roman" w:hAnsi="Times New Roman" w:cs="Times New Roman"/>
          <w:color w:val="000000" w:themeColor="text1"/>
          <w:sz w:val="24"/>
          <w:szCs w:val="24"/>
        </w:rPr>
        <w:t>due diligence should be added.</w:t>
      </w:r>
    </w:p>
    <w:p w14:paraId="2BA52A6A" w14:textId="30820099" w:rsidR="00F41C46" w:rsidRPr="005D776A" w:rsidRDefault="00F27B8A"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 xml:space="preserve">Rather than </w:t>
      </w:r>
      <w:r w:rsidR="00192F55" w:rsidRPr="005D776A">
        <w:rPr>
          <w:rFonts w:ascii="Times New Roman" w:hAnsi="Times New Roman" w:cs="Times New Roman"/>
          <w:color w:val="000000" w:themeColor="text1"/>
          <w:lang w:val="en-US"/>
        </w:rPr>
        <w:t>a definition in terms of number and amount</w:t>
      </w:r>
      <w:r w:rsidRPr="005D776A">
        <w:rPr>
          <w:rFonts w:ascii="Times New Roman" w:hAnsi="Times New Roman" w:cs="Times New Roman"/>
          <w:color w:val="000000" w:themeColor="text1"/>
          <w:lang w:val="en-US"/>
        </w:rPr>
        <w:t>, t</w:t>
      </w:r>
      <w:r w:rsidR="00F41C46" w:rsidRPr="005D776A">
        <w:rPr>
          <w:rFonts w:ascii="Times New Roman" w:hAnsi="Times New Roman" w:cs="Times New Roman"/>
          <w:color w:val="000000" w:themeColor="text1"/>
          <w:lang w:val="en-US"/>
        </w:rPr>
        <w:t>he best solution for management companies certainly is</w:t>
      </w:r>
      <w:r w:rsidRPr="005D776A">
        <w:rPr>
          <w:rFonts w:ascii="Times New Roman" w:hAnsi="Times New Roman" w:cs="Times New Roman"/>
          <w:color w:val="000000" w:themeColor="text1"/>
          <w:lang w:val="en-US"/>
        </w:rPr>
        <w:t xml:space="preserve"> </w:t>
      </w:r>
      <w:r w:rsidR="00F41C46" w:rsidRPr="005D776A">
        <w:rPr>
          <w:rFonts w:ascii="Times New Roman" w:hAnsi="Times New Roman" w:cs="Times New Roman"/>
          <w:color w:val="000000" w:themeColor="text1"/>
          <w:lang w:val="en-US"/>
        </w:rPr>
        <w:t xml:space="preserve">to </w:t>
      </w:r>
      <w:r w:rsidR="004E12F1" w:rsidRPr="005D776A">
        <w:rPr>
          <w:rFonts w:ascii="Times New Roman" w:hAnsi="Times New Roman" w:cs="Times New Roman"/>
          <w:color w:val="000000" w:themeColor="text1"/>
          <w:lang w:val="en-US"/>
        </w:rPr>
        <w:t>consider</w:t>
      </w:r>
      <w:r w:rsidR="00F41C46" w:rsidRPr="005D776A">
        <w:rPr>
          <w:rFonts w:ascii="Times New Roman" w:hAnsi="Times New Roman" w:cs="Times New Roman"/>
          <w:color w:val="000000" w:themeColor="text1"/>
          <w:lang w:val="en-US"/>
        </w:rPr>
        <w:t xml:space="preserve"> the </w:t>
      </w:r>
      <w:r w:rsidR="004E12F1" w:rsidRPr="005D776A">
        <w:rPr>
          <w:rFonts w:ascii="Times New Roman" w:hAnsi="Times New Roman" w:cs="Times New Roman"/>
          <w:color w:val="000000" w:themeColor="text1"/>
          <w:lang w:val="en-US"/>
        </w:rPr>
        <w:t>commitment in</w:t>
      </w:r>
      <w:r w:rsidR="0090421D" w:rsidRPr="005D776A">
        <w:rPr>
          <w:rFonts w:ascii="Times New Roman" w:hAnsi="Times New Roman" w:cs="Times New Roman"/>
          <w:color w:val="000000" w:themeColor="text1"/>
          <w:lang w:val="en-US"/>
        </w:rPr>
        <w:t xml:space="preserve"> their </w:t>
      </w:r>
      <w:r w:rsidR="00D65D63">
        <w:rPr>
          <w:rFonts w:ascii="Times New Roman" w:hAnsi="Times New Roman" w:cs="Times New Roman"/>
          <w:color w:val="000000" w:themeColor="text1"/>
          <w:lang w:val="en-US"/>
        </w:rPr>
        <w:t>AML-</w:t>
      </w:r>
      <w:proofErr w:type="gramStart"/>
      <w:r w:rsidR="00D65D63">
        <w:rPr>
          <w:rFonts w:ascii="Times New Roman" w:hAnsi="Times New Roman" w:cs="Times New Roman"/>
          <w:color w:val="000000" w:themeColor="text1"/>
          <w:lang w:val="en-US"/>
        </w:rPr>
        <w:t xml:space="preserve">CFT </w:t>
      </w:r>
      <w:r w:rsidR="00F41C46" w:rsidRPr="005D776A">
        <w:rPr>
          <w:rFonts w:ascii="Times New Roman" w:hAnsi="Times New Roman" w:cs="Times New Roman"/>
          <w:color w:val="000000" w:themeColor="text1"/>
          <w:lang w:val="en-US"/>
        </w:rPr>
        <w:t xml:space="preserve"> scheme</w:t>
      </w:r>
      <w:proofErr w:type="gramEnd"/>
      <w:r w:rsidR="00F41C46" w:rsidRPr="005D776A">
        <w:rPr>
          <w:rFonts w:ascii="Times New Roman" w:hAnsi="Times New Roman" w:cs="Times New Roman"/>
          <w:color w:val="000000" w:themeColor="text1"/>
          <w:lang w:val="en-US"/>
        </w:rPr>
        <w:t xml:space="preserve"> to </w:t>
      </w:r>
      <w:r w:rsidR="0095423D" w:rsidRPr="005D776A">
        <w:rPr>
          <w:rFonts w:ascii="Times New Roman" w:hAnsi="Times New Roman" w:cs="Times New Roman"/>
          <w:color w:val="000000" w:themeColor="text1"/>
          <w:lang w:val="en-US"/>
        </w:rPr>
        <w:t>put in place</w:t>
      </w:r>
      <w:r w:rsidR="00F41C46" w:rsidRPr="005D776A">
        <w:rPr>
          <w:rFonts w:ascii="Times New Roman" w:hAnsi="Times New Roman" w:cs="Times New Roman"/>
          <w:color w:val="000000" w:themeColor="text1"/>
          <w:lang w:val="en-US"/>
        </w:rPr>
        <w:t xml:space="preserve"> alerts based on these criteria (number and amount of the transactions) </w:t>
      </w:r>
      <w:r w:rsidR="000512BD" w:rsidRPr="005D776A">
        <w:rPr>
          <w:rFonts w:ascii="Times New Roman" w:hAnsi="Times New Roman" w:cs="Times New Roman"/>
          <w:color w:val="000000" w:themeColor="text1"/>
          <w:lang w:val="en-US"/>
        </w:rPr>
        <w:t>considering</w:t>
      </w:r>
      <w:r w:rsidR="004C494A" w:rsidRPr="005D776A">
        <w:rPr>
          <w:rFonts w:ascii="Times New Roman" w:hAnsi="Times New Roman" w:cs="Times New Roman"/>
          <w:color w:val="000000" w:themeColor="text1"/>
          <w:lang w:val="en-US"/>
        </w:rPr>
        <w:t xml:space="preserve"> their own risk-</w:t>
      </w:r>
      <w:r w:rsidR="00F41C46" w:rsidRPr="005D776A">
        <w:rPr>
          <w:rFonts w:ascii="Times New Roman" w:hAnsi="Times New Roman" w:cs="Times New Roman"/>
          <w:color w:val="000000" w:themeColor="text1"/>
          <w:lang w:val="en-US"/>
        </w:rPr>
        <w:t xml:space="preserve">based approach </w:t>
      </w:r>
      <w:r w:rsidR="00E06086" w:rsidRPr="005D776A">
        <w:rPr>
          <w:rFonts w:ascii="Times New Roman" w:hAnsi="Times New Roman" w:cs="Times New Roman"/>
          <w:color w:val="000000" w:themeColor="text1"/>
          <w:lang w:val="en-US"/>
        </w:rPr>
        <w:t>according to</w:t>
      </w:r>
      <w:r w:rsidR="00395126" w:rsidRPr="005D776A">
        <w:rPr>
          <w:rFonts w:ascii="Times New Roman" w:hAnsi="Times New Roman" w:cs="Times New Roman"/>
          <w:color w:val="000000" w:themeColor="text1"/>
          <w:lang w:val="en-US"/>
        </w:rPr>
        <w:t xml:space="preserve"> </w:t>
      </w:r>
      <w:r w:rsidR="00F41C46" w:rsidRPr="005D776A">
        <w:rPr>
          <w:rFonts w:ascii="Times New Roman" w:hAnsi="Times New Roman" w:cs="Times New Roman"/>
          <w:color w:val="000000" w:themeColor="text1"/>
          <w:lang w:val="en-US"/>
        </w:rPr>
        <w:t>the specificity of their clients and products.</w:t>
      </w:r>
    </w:p>
    <w:p w14:paraId="15150C72" w14:textId="77777777" w:rsidR="00144BF6" w:rsidRPr="005D776A" w:rsidRDefault="00144BF6" w:rsidP="00A873A4">
      <w:pPr>
        <w:pStyle w:val="Default"/>
        <w:spacing w:line="276" w:lineRule="auto"/>
        <w:ind w:left="708"/>
        <w:jc w:val="both"/>
        <w:rPr>
          <w:rFonts w:ascii="Times New Roman" w:hAnsi="Times New Roman" w:cs="Times New Roman"/>
          <w:color w:val="000000" w:themeColor="text1"/>
          <w:lang w:val="en-US"/>
        </w:rPr>
      </w:pPr>
    </w:p>
    <w:p w14:paraId="638B3539" w14:textId="77777777" w:rsidR="0003548F" w:rsidRPr="004A4AFB" w:rsidRDefault="0003548F" w:rsidP="00A873A4">
      <w:pPr>
        <w:pStyle w:val="Default"/>
        <w:numPr>
          <w:ilvl w:val="0"/>
          <w:numId w:val="1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obtaining approval from senior management at the time of the transaction when a customer uses a product or service for the first time (n°210-7)</w:t>
      </w:r>
    </w:p>
    <w:p w14:paraId="6E85B44E" w14:textId="77777777" w:rsidR="00522D63" w:rsidRPr="004A4AFB" w:rsidRDefault="00522D63" w:rsidP="00A873A4">
      <w:pPr>
        <w:pStyle w:val="Default"/>
        <w:spacing w:line="276" w:lineRule="auto"/>
        <w:ind w:left="720"/>
        <w:jc w:val="both"/>
        <w:rPr>
          <w:rFonts w:ascii="Times New Roman" w:hAnsi="Times New Roman" w:cs="Times New Roman"/>
          <w:color w:val="000000" w:themeColor="text1"/>
          <w:lang w:val="en-US"/>
        </w:rPr>
      </w:pPr>
    </w:p>
    <w:p w14:paraId="30BF6289" w14:textId="7775EFB0" w:rsidR="001238CC" w:rsidRPr="005D776A" w:rsidRDefault="001238CC"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This provision should be limited to the start of business relationship</w:t>
      </w:r>
      <w:r w:rsidR="00C831A8" w:rsidRPr="005D776A">
        <w:rPr>
          <w:rFonts w:ascii="Times New Roman" w:hAnsi="Times New Roman" w:cs="Times New Roman"/>
          <w:color w:val="000000" w:themeColor="text1"/>
          <w:lang w:val="en-US"/>
        </w:rPr>
        <w:t>s</w:t>
      </w:r>
      <w:r w:rsidRPr="005D776A">
        <w:rPr>
          <w:rFonts w:ascii="Times New Roman" w:hAnsi="Times New Roman" w:cs="Times New Roman"/>
          <w:color w:val="000000" w:themeColor="text1"/>
          <w:lang w:val="en-US"/>
        </w:rPr>
        <w:t xml:space="preserve"> with risky clients.</w:t>
      </w:r>
    </w:p>
    <w:p w14:paraId="743F6F26" w14:textId="77777777" w:rsidR="0034521E" w:rsidRPr="005D776A" w:rsidRDefault="0034521E" w:rsidP="00A873A4">
      <w:pPr>
        <w:pStyle w:val="Default"/>
        <w:spacing w:line="276" w:lineRule="auto"/>
        <w:jc w:val="both"/>
        <w:rPr>
          <w:rFonts w:ascii="Times New Roman" w:hAnsi="Times New Roman" w:cs="Times New Roman"/>
          <w:color w:val="000000" w:themeColor="text1"/>
          <w:lang w:val="en-US"/>
        </w:rPr>
      </w:pPr>
    </w:p>
    <w:p w14:paraId="4097EF94" w14:textId="77777777" w:rsidR="0034521E" w:rsidRPr="004A4AFB" w:rsidRDefault="0034521E" w:rsidP="00A873A4">
      <w:pPr>
        <w:pStyle w:val="Default"/>
        <w:numPr>
          <w:ilvl w:val="0"/>
          <w:numId w:val="15"/>
        </w:numPr>
        <w:spacing w:line="276" w:lineRule="auto"/>
        <w:jc w:val="both"/>
        <w:rPr>
          <w:rFonts w:ascii="Times New Roman" w:hAnsi="Times New Roman" w:cs="Times New Roman"/>
          <w:b/>
          <w:color w:val="000000" w:themeColor="text1"/>
          <w:lang w:val="en-US"/>
        </w:rPr>
      </w:pPr>
      <w:proofErr w:type="gramStart"/>
      <w:r w:rsidRPr="004A4AFB">
        <w:rPr>
          <w:rFonts w:ascii="Times New Roman" w:hAnsi="Times New Roman" w:cs="Times New Roman"/>
          <w:b/>
          <w:color w:val="000000" w:themeColor="text1"/>
          <w:lang w:val="en-US"/>
        </w:rPr>
        <w:t>using</w:t>
      </w:r>
      <w:proofErr w:type="gramEnd"/>
      <w:r w:rsidRPr="004A4AFB">
        <w:rPr>
          <w:rFonts w:ascii="Times New Roman" w:hAnsi="Times New Roman" w:cs="Times New Roman"/>
          <w:b/>
          <w:color w:val="000000" w:themeColor="text1"/>
          <w:lang w:val="en-US"/>
        </w:rPr>
        <w:t xml:space="preserve"> anti-impersonation fraud checks to mitigate the risk of impersonation fraud where the relationship is conducted on a non-face to face basis. Examples include sending a letter to the customer’s address or applying additional verification measures (such as checking against online databases) to verify the existence of the purported identity (n°210-9)</w:t>
      </w:r>
    </w:p>
    <w:p w14:paraId="1FCED476" w14:textId="77777777" w:rsidR="0034521E" w:rsidRPr="004A4AFB" w:rsidRDefault="0034521E" w:rsidP="00A873A4">
      <w:pPr>
        <w:pStyle w:val="Default"/>
        <w:spacing w:line="276" w:lineRule="auto"/>
        <w:jc w:val="both"/>
        <w:rPr>
          <w:rFonts w:ascii="Times New Roman" w:hAnsi="Times New Roman" w:cs="Times New Roman"/>
          <w:b/>
          <w:color w:val="000000" w:themeColor="text1"/>
          <w:lang w:val="en-US"/>
        </w:rPr>
      </w:pPr>
    </w:p>
    <w:p w14:paraId="7A09DFAF" w14:textId="4FA30ACE" w:rsidR="001C57F2" w:rsidRPr="005D776A" w:rsidRDefault="001C57F2"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 xml:space="preserve">It would be </w:t>
      </w:r>
      <w:r w:rsidR="00C8359C" w:rsidRPr="005D776A">
        <w:rPr>
          <w:rFonts w:ascii="Times New Roman" w:hAnsi="Times New Roman" w:cs="Times New Roman"/>
          <w:color w:val="000000" w:themeColor="text1"/>
          <w:lang w:val="en-US"/>
        </w:rPr>
        <w:t>desirable</w:t>
      </w:r>
      <w:r w:rsidRPr="005D776A">
        <w:rPr>
          <w:rFonts w:ascii="Times New Roman" w:hAnsi="Times New Roman" w:cs="Times New Roman"/>
          <w:color w:val="000000" w:themeColor="text1"/>
          <w:lang w:val="en-US"/>
        </w:rPr>
        <w:t xml:space="preserve"> to specify that the </w:t>
      </w:r>
      <w:r w:rsidR="00683D42" w:rsidRPr="005D776A">
        <w:rPr>
          <w:rFonts w:ascii="Times New Roman" w:hAnsi="Times New Roman" w:cs="Times New Roman"/>
          <w:color w:val="000000" w:themeColor="text1"/>
          <w:lang w:val="en-US"/>
        </w:rPr>
        <w:t xml:space="preserve">choice </w:t>
      </w:r>
      <w:r w:rsidR="00D4223B" w:rsidRPr="005D776A">
        <w:rPr>
          <w:rFonts w:ascii="Times New Roman" w:hAnsi="Times New Roman" w:cs="Times New Roman"/>
          <w:color w:val="000000" w:themeColor="text1"/>
          <w:lang w:val="en-US"/>
        </w:rPr>
        <w:t xml:space="preserve">to </w:t>
      </w:r>
      <w:r w:rsidR="00A92CFB" w:rsidRPr="005D776A">
        <w:rPr>
          <w:rFonts w:ascii="Times New Roman" w:hAnsi="Times New Roman" w:cs="Times New Roman"/>
          <w:color w:val="000000" w:themeColor="text1"/>
          <w:lang w:val="en-US"/>
        </w:rPr>
        <w:t>elect</w:t>
      </w:r>
      <w:r w:rsidR="00D4223B" w:rsidRPr="005D776A">
        <w:rPr>
          <w:rFonts w:ascii="Times New Roman" w:hAnsi="Times New Roman" w:cs="Times New Roman"/>
          <w:color w:val="000000" w:themeColor="text1"/>
          <w:lang w:val="en-US"/>
        </w:rPr>
        <w:t xml:space="preserve"> </w:t>
      </w:r>
      <w:r w:rsidRPr="005D776A">
        <w:rPr>
          <w:rFonts w:ascii="Times New Roman" w:hAnsi="Times New Roman" w:cs="Times New Roman"/>
          <w:color w:val="000000" w:themeColor="text1"/>
          <w:lang w:val="en-US"/>
        </w:rPr>
        <w:t xml:space="preserve">one or </w:t>
      </w:r>
      <w:r w:rsidR="00D4223B" w:rsidRPr="005D776A">
        <w:rPr>
          <w:rFonts w:ascii="Times New Roman" w:hAnsi="Times New Roman" w:cs="Times New Roman"/>
          <w:color w:val="000000" w:themeColor="text1"/>
          <w:lang w:val="en-US"/>
        </w:rPr>
        <w:t xml:space="preserve">two </w:t>
      </w:r>
      <w:r w:rsidRPr="005D776A">
        <w:rPr>
          <w:rFonts w:ascii="Times New Roman" w:hAnsi="Times New Roman" w:cs="Times New Roman"/>
          <w:color w:val="000000" w:themeColor="text1"/>
          <w:lang w:val="en-US"/>
        </w:rPr>
        <w:t xml:space="preserve">measures </w:t>
      </w:r>
      <w:r w:rsidR="004364F8" w:rsidRPr="005D776A">
        <w:rPr>
          <w:rFonts w:ascii="Times New Roman" w:hAnsi="Times New Roman" w:cs="Times New Roman"/>
          <w:color w:val="000000" w:themeColor="text1"/>
          <w:lang w:val="en-US"/>
        </w:rPr>
        <w:t xml:space="preserve">in order </w:t>
      </w:r>
      <w:r w:rsidRPr="005D776A">
        <w:rPr>
          <w:rFonts w:ascii="Times New Roman" w:hAnsi="Times New Roman" w:cs="Times New Roman"/>
          <w:color w:val="000000" w:themeColor="text1"/>
          <w:lang w:val="en-US"/>
        </w:rPr>
        <w:t>to do so</w:t>
      </w:r>
      <w:r w:rsidR="00F4261B" w:rsidRPr="005D776A">
        <w:rPr>
          <w:rFonts w:ascii="Times New Roman" w:hAnsi="Times New Roman" w:cs="Times New Roman"/>
          <w:color w:val="000000" w:themeColor="text1"/>
          <w:lang w:val="en-US"/>
        </w:rPr>
        <w:t xml:space="preserve"> </w:t>
      </w:r>
      <w:proofErr w:type="gramStart"/>
      <w:r w:rsidR="00F4261B" w:rsidRPr="005D776A">
        <w:rPr>
          <w:rFonts w:ascii="Times New Roman" w:hAnsi="Times New Roman" w:cs="Times New Roman"/>
          <w:color w:val="000000" w:themeColor="text1"/>
          <w:lang w:val="en-US"/>
        </w:rPr>
        <w:t>belongs</w:t>
      </w:r>
      <w:proofErr w:type="gramEnd"/>
      <w:r w:rsidR="00F4261B" w:rsidRPr="005D776A">
        <w:rPr>
          <w:rFonts w:ascii="Times New Roman" w:hAnsi="Times New Roman" w:cs="Times New Roman"/>
          <w:color w:val="000000" w:themeColor="text1"/>
          <w:lang w:val="en-US"/>
        </w:rPr>
        <w:t xml:space="preserve"> to the management company</w:t>
      </w:r>
      <w:r w:rsidRPr="005D776A">
        <w:rPr>
          <w:rFonts w:ascii="Times New Roman" w:hAnsi="Times New Roman" w:cs="Times New Roman"/>
          <w:color w:val="000000" w:themeColor="text1"/>
          <w:lang w:val="en-US"/>
        </w:rPr>
        <w:t>.</w:t>
      </w:r>
    </w:p>
    <w:p w14:paraId="54B9B48A" w14:textId="77777777" w:rsidR="00001E33" w:rsidRPr="005D776A" w:rsidRDefault="00001E33" w:rsidP="00A873A4">
      <w:pPr>
        <w:pStyle w:val="Default"/>
        <w:spacing w:line="276" w:lineRule="auto"/>
        <w:rPr>
          <w:rFonts w:ascii="Times New Roman" w:hAnsi="Times New Roman" w:cs="Times New Roman"/>
          <w:b/>
          <w:color w:val="000000" w:themeColor="text1"/>
          <w:lang w:val="en-US"/>
        </w:rPr>
      </w:pPr>
    </w:p>
    <w:p w14:paraId="734FE7FF" w14:textId="77777777" w:rsidR="00001E33" w:rsidRPr="004A4AFB" w:rsidRDefault="00001E33" w:rsidP="00A873A4">
      <w:pPr>
        <w:pStyle w:val="Default"/>
        <w:numPr>
          <w:ilvl w:val="0"/>
          <w:numId w:val="1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 xml:space="preserve">Where a firm uses a financial intermediary to distribute fund shares, for example a regulated platform, a bank or a financial adviser, that intermediary may be regarded as the firm’s customer </w:t>
      </w:r>
      <w:proofErr w:type="gramStart"/>
      <w:r w:rsidRPr="004A4AFB">
        <w:rPr>
          <w:rFonts w:ascii="Times New Roman" w:hAnsi="Times New Roman" w:cs="Times New Roman"/>
          <w:b/>
          <w:color w:val="000000" w:themeColor="text1"/>
          <w:lang w:val="en-US"/>
        </w:rPr>
        <w:t>provided that</w:t>
      </w:r>
      <w:proofErr w:type="gramEnd"/>
      <w:r w:rsidRPr="004A4AFB">
        <w:rPr>
          <w:rFonts w:ascii="Times New Roman" w:hAnsi="Times New Roman" w:cs="Times New Roman"/>
          <w:b/>
          <w:color w:val="000000" w:themeColor="text1"/>
          <w:lang w:val="en-US"/>
        </w:rPr>
        <w:t xml:space="preserve"> the intermediary acts on its own account as the direct counterparty of </w:t>
      </w:r>
      <w:r w:rsidRPr="004A4AFB">
        <w:rPr>
          <w:rFonts w:ascii="Times New Roman" w:hAnsi="Times New Roman" w:cs="Times New Roman"/>
          <w:b/>
          <w:color w:val="000000" w:themeColor="text1"/>
          <w:lang w:val="en-US"/>
        </w:rPr>
        <w:lastRenderedPageBreak/>
        <w:t>the firm. This could be the case, for example, where the intermediary receives from its customer a mandate to manage their assets or carry out one or more investment transactions. In those situations, the firm should treat the intermediary’s customers as the fund’s beneficial owners. (n°212)</w:t>
      </w:r>
    </w:p>
    <w:p w14:paraId="5B8427FB" w14:textId="77777777" w:rsidR="00FD3BD9" w:rsidRPr="004A4AFB" w:rsidRDefault="00FD3BD9" w:rsidP="00A873A4">
      <w:pPr>
        <w:pStyle w:val="Default"/>
        <w:spacing w:line="276" w:lineRule="auto"/>
        <w:ind w:left="708"/>
        <w:jc w:val="both"/>
        <w:rPr>
          <w:rFonts w:ascii="Times New Roman" w:hAnsi="Times New Roman" w:cs="Times New Roman"/>
          <w:color w:val="000000" w:themeColor="text1"/>
        </w:rPr>
      </w:pPr>
    </w:p>
    <w:p w14:paraId="457FC73E" w14:textId="7EDB72FC" w:rsidR="005A6FD6" w:rsidRPr="005D776A" w:rsidRDefault="005A6FD6"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In our opinion</w:t>
      </w:r>
      <w:r w:rsidR="00F64CEA" w:rsidRPr="005D776A">
        <w:rPr>
          <w:rFonts w:ascii="Times New Roman" w:hAnsi="Times New Roman" w:cs="Times New Roman"/>
          <w:color w:val="000000" w:themeColor="text1"/>
          <w:lang w:val="en-US"/>
        </w:rPr>
        <w:t>,</w:t>
      </w:r>
      <w:r w:rsidRPr="005D776A">
        <w:rPr>
          <w:rFonts w:ascii="Times New Roman" w:hAnsi="Times New Roman" w:cs="Times New Roman"/>
          <w:color w:val="000000" w:themeColor="text1"/>
          <w:lang w:val="en-US"/>
        </w:rPr>
        <w:t xml:space="preserve"> this wording seems by </w:t>
      </w:r>
      <w:r w:rsidRPr="00DF5F70">
        <w:rPr>
          <w:rFonts w:ascii="Times New Roman" w:hAnsi="Times New Roman" w:cs="Times New Roman"/>
          <w:color w:val="000000" w:themeColor="text1"/>
          <w:lang w:val="en-GB"/>
        </w:rPr>
        <w:t>nature</w:t>
      </w:r>
      <w:r w:rsidRPr="005D776A">
        <w:rPr>
          <w:rFonts w:ascii="Times New Roman" w:hAnsi="Times New Roman" w:cs="Times New Roman"/>
          <w:color w:val="000000" w:themeColor="text1"/>
          <w:lang w:val="en-US"/>
        </w:rPr>
        <w:t xml:space="preserve"> to create confusion: it is important to recall that article 3 point 2d of the 4</w:t>
      </w:r>
      <w:r w:rsidRPr="005D776A">
        <w:rPr>
          <w:rFonts w:ascii="Times New Roman" w:hAnsi="Times New Roman" w:cs="Times New Roman"/>
          <w:color w:val="000000" w:themeColor="text1"/>
          <w:vertAlign w:val="superscript"/>
          <w:lang w:val="en-US"/>
        </w:rPr>
        <w:t>th</w:t>
      </w:r>
      <w:r w:rsidRPr="005D776A">
        <w:rPr>
          <w:rFonts w:ascii="Times New Roman" w:hAnsi="Times New Roman" w:cs="Times New Roman"/>
          <w:color w:val="000000" w:themeColor="text1"/>
          <w:lang w:val="en-US"/>
        </w:rPr>
        <w:t xml:space="preserve"> Directive excludes </w:t>
      </w:r>
      <w:r w:rsidR="002A49A7">
        <w:rPr>
          <w:rFonts w:ascii="Times New Roman" w:hAnsi="Times New Roman" w:cs="Times New Roman"/>
          <w:color w:val="000000" w:themeColor="text1"/>
          <w:lang w:val="en-US"/>
        </w:rPr>
        <w:t>from the scope of the AML-</w:t>
      </w:r>
      <w:r w:rsidR="00497653" w:rsidRPr="005D776A">
        <w:rPr>
          <w:rFonts w:ascii="Times New Roman" w:hAnsi="Times New Roman" w:cs="Times New Roman"/>
          <w:color w:val="000000" w:themeColor="text1"/>
          <w:lang w:val="en-US"/>
        </w:rPr>
        <w:t xml:space="preserve">CFT </w:t>
      </w:r>
      <w:r w:rsidR="005C5F70" w:rsidRPr="005D776A">
        <w:rPr>
          <w:rFonts w:ascii="Times New Roman" w:hAnsi="Times New Roman" w:cs="Times New Roman"/>
          <w:color w:val="000000" w:themeColor="text1"/>
          <w:lang w:val="en-US"/>
        </w:rPr>
        <w:t xml:space="preserve">collective investment </w:t>
      </w:r>
      <w:proofErr w:type="gramStart"/>
      <w:r w:rsidR="005C5F70" w:rsidRPr="005D776A">
        <w:rPr>
          <w:rFonts w:ascii="Times New Roman" w:hAnsi="Times New Roman" w:cs="Times New Roman"/>
          <w:color w:val="000000" w:themeColor="text1"/>
          <w:lang w:val="en-US"/>
        </w:rPr>
        <w:t>undertakings</w:t>
      </w:r>
      <w:r w:rsidRPr="005D776A">
        <w:rPr>
          <w:rFonts w:ascii="Times New Roman" w:hAnsi="Times New Roman" w:cs="Times New Roman"/>
          <w:color w:val="000000" w:themeColor="text1"/>
          <w:lang w:val="en-US"/>
        </w:rPr>
        <w:t xml:space="preserve"> which</w:t>
      </w:r>
      <w:proofErr w:type="gramEnd"/>
      <w:r w:rsidRPr="005D776A">
        <w:rPr>
          <w:rFonts w:ascii="Times New Roman" w:hAnsi="Times New Roman" w:cs="Times New Roman"/>
          <w:color w:val="000000" w:themeColor="text1"/>
          <w:lang w:val="en-US"/>
        </w:rPr>
        <w:t xml:space="preserve"> do not </w:t>
      </w:r>
      <w:r w:rsidR="005C5F70" w:rsidRPr="005D776A">
        <w:rPr>
          <w:rFonts w:ascii="Times New Roman" w:hAnsi="Times New Roman" w:cs="Times New Roman"/>
          <w:color w:val="000000" w:themeColor="text1"/>
          <w:lang w:val="en-US"/>
        </w:rPr>
        <w:t>market</w:t>
      </w:r>
      <w:r w:rsidRPr="005D776A">
        <w:rPr>
          <w:rFonts w:ascii="Times New Roman" w:hAnsi="Times New Roman" w:cs="Times New Roman"/>
          <w:color w:val="000000" w:themeColor="text1"/>
          <w:lang w:val="en-US"/>
        </w:rPr>
        <w:t xml:space="preserve"> their </w:t>
      </w:r>
      <w:r w:rsidR="005C5F70" w:rsidRPr="005D776A">
        <w:rPr>
          <w:rFonts w:ascii="Times New Roman" w:hAnsi="Times New Roman" w:cs="Times New Roman"/>
          <w:color w:val="000000" w:themeColor="text1"/>
          <w:lang w:val="en-US"/>
        </w:rPr>
        <w:t xml:space="preserve">units or </w:t>
      </w:r>
      <w:r w:rsidRPr="005D776A">
        <w:rPr>
          <w:rFonts w:ascii="Times New Roman" w:hAnsi="Times New Roman" w:cs="Times New Roman"/>
          <w:color w:val="000000" w:themeColor="text1"/>
          <w:lang w:val="en-US"/>
        </w:rPr>
        <w:t>shares.</w:t>
      </w:r>
    </w:p>
    <w:p w14:paraId="0288A497" w14:textId="77777777" w:rsidR="00BF7DE1" w:rsidRPr="005D776A" w:rsidRDefault="00BF7DE1" w:rsidP="00A873A4">
      <w:pPr>
        <w:pStyle w:val="Default"/>
        <w:spacing w:line="276" w:lineRule="auto"/>
        <w:ind w:left="708"/>
        <w:jc w:val="both"/>
        <w:rPr>
          <w:rFonts w:ascii="Times New Roman" w:hAnsi="Times New Roman" w:cs="Times New Roman"/>
          <w:color w:val="000000" w:themeColor="text1"/>
          <w:lang w:val="en-US"/>
        </w:rPr>
      </w:pPr>
    </w:p>
    <w:p w14:paraId="00137D9E" w14:textId="259B28CC" w:rsidR="00720DA6" w:rsidRPr="005D776A" w:rsidRDefault="0078355B" w:rsidP="00A873A4">
      <w:pPr>
        <w:pStyle w:val="Default"/>
        <w:spacing w:line="276" w:lineRule="auto"/>
        <w:ind w:left="708"/>
        <w:jc w:val="both"/>
        <w:rPr>
          <w:rFonts w:ascii="Times New Roman" w:hAnsi="Times New Roman" w:cs="Times New Roman"/>
          <w:color w:val="000000" w:themeColor="text1"/>
          <w:lang w:val="en-US"/>
        </w:rPr>
      </w:pPr>
      <w:r>
        <w:rPr>
          <w:rFonts w:ascii="Times New Roman" w:hAnsi="Times New Roman" w:cs="Times New Roman"/>
          <w:color w:val="000000" w:themeColor="text1"/>
          <w:lang w:val="en-GB"/>
        </w:rPr>
        <w:t>“</w:t>
      </w:r>
      <w:proofErr w:type="gramStart"/>
      <w:r w:rsidR="00273901" w:rsidRPr="005D776A">
        <w:rPr>
          <w:rFonts w:ascii="Times New Roman" w:hAnsi="Times New Roman" w:cs="Times New Roman"/>
          <w:color w:val="000000" w:themeColor="text1"/>
          <w:lang w:val="en-US"/>
        </w:rPr>
        <w:t>on</w:t>
      </w:r>
      <w:proofErr w:type="gramEnd"/>
      <w:r w:rsidR="00273901" w:rsidRPr="005D776A">
        <w:rPr>
          <w:rFonts w:ascii="Times New Roman" w:hAnsi="Times New Roman" w:cs="Times New Roman"/>
          <w:color w:val="000000" w:themeColor="text1"/>
          <w:lang w:val="en-US"/>
        </w:rPr>
        <w:t xml:space="preserve"> its ow</w:t>
      </w:r>
      <w:r w:rsidRPr="005D776A">
        <w:rPr>
          <w:rFonts w:ascii="Times New Roman" w:hAnsi="Times New Roman" w:cs="Times New Roman"/>
          <w:color w:val="000000" w:themeColor="text1"/>
          <w:lang w:val="en-US"/>
        </w:rPr>
        <w:t xml:space="preserve">n account” </w:t>
      </w:r>
      <w:r w:rsidR="00720DA6" w:rsidRPr="005D776A">
        <w:rPr>
          <w:rFonts w:ascii="Times New Roman" w:hAnsi="Times New Roman" w:cs="Times New Roman"/>
          <w:color w:val="000000" w:themeColor="text1"/>
          <w:lang w:val="en-US"/>
        </w:rPr>
        <w:t>refers to a distributor; however, final clients of our distributors are not our clients.</w:t>
      </w:r>
    </w:p>
    <w:p w14:paraId="7202BCAF" w14:textId="77777777" w:rsidR="00E70D69" w:rsidRPr="00C750E3" w:rsidRDefault="00E70D69" w:rsidP="00A873A4">
      <w:pPr>
        <w:pStyle w:val="Default"/>
        <w:spacing w:line="276" w:lineRule="auto"/>
        <w:ind w:left="708"/>
        <w:jc w:val="both"/>
        <w:rPr>
          <w:rFonts w:ascii="Times New Roman" w:hAnsi="Times New Roman" w:cs="Times New Roman"/>
          <w:color w:val="000000" w:themeColor="text1"/>
          <w:lang w:val="en-GB"/>
        </w:rPr>
      </w:pPr>
    </w:p>
    <w:p w14:paraId="060FBF36" w14:textId="44D1F8AE" w:rsidR="00C85448" w:rsidRPr="004A4AFB" w:rsidRDefault="00510ECD" w:rsidP="00A873A4">
      <w:pPr>
        <w:autoSpaceDE w:val="0"/>
        <w:autoSpaceDN w:val="0"/>
        <w:adjustRightInd w:val="0"/>
        <w:spacing w:after="0"/>
        <w:ind w:left="708"/>
        <w:jc w:val="both"/>
        <w:rPr>
          <w:rFonts w:ascii="Times New Roman" w:hAnsi="Times New Roman" w:cs="Times New Roman"/>
          <w:color w:val="000000" w:themeColor="text1"/>
          <w:sz w:val="24"/>
          <w:szCs w:val="24"/>
        </w:rPr>
      </w:pPr>
      <w:proofErr w:type="gramStart"/>
      <w:r w:rsidRPr="004A4AFB">
        <w:rPr>
          <w:rFonts w:ascii="Times New Roman" w:hAnsi="Times New Roman" w:cs="Times New Roman"/>
          <w:color w:val="000000" w:themeColor="text1"/>
          <w:sz w:val="24"/>
          <w:szCs w:val="24"/>
        </w:rPr>
        <w:t>2</w:t>
      </w:r>
      <w:proofErr w:type="gramEnd"/>
      <w:r w:rsidRPr="004A4AFB">
        <w:rPr>
          <w:rFonts w:ascii="Times New Roman" w:hAnsi="Times New Roman" w:cs="Times New Roman"/>
          <w:color w:val="000000" w:themeColor="text1"/>
          <w:sz w:val="24"/>
          <w:szCs w:val="24"/>
        </w:rPr>
        <w:t xml:space="preserve"> cases may arise</w:t>
      </w:r>
      <w:r w:rsidR="00C85448" w:rsidRPr="004A4AFB">
        <w:rPr>
          <w:rFonts w:ascii="Times New Roman" w:hAnsi="Times New Roman" w:cs="Times New Roman"/>
          <w:color w:val="000000" w:themeColor="text1"/>
          <w:sz w:val="24"/>
          <w:szCs w:val="24"/>
        </w:rPr>
        <w:t>:</w:t>
      </w:r>
    </w:p>
    <w:p w14:paraId="4E337926" w14:textId="77777777" w:rsidR="00C85448" w:rsidRPr="004A4AFB" w:rsidRDefault="00C85448" w:rsidP="00A873A4">
      <w:pPr>
        <w:autoSpaceDE w:val="0"/>
        <w:autoSpaceDN w:val="0"/>
        <w:adjustRightInd w:val="0"/>
        <w:spacing w:after="0"/>
        <w:ind w:left="708"/>
        <w:jc w:val="both"/>
        <w:rPr>
          <w:rFonts w:ascii="Times New Roman" w:hAnsi="Times New Roman" w:cs="Times New Roman"/>
          <w:color w:val="000000" w:themeColor="text1"/>
          <w:sz w:val="24"/>
          <w:szCs w:val="24"/>
        </w:rPr>
      </w:pPr>
    </w:p>
    <w:p w14:paraId="741428CC" w14:textId="00AC702A" w:rsidR="00191A8E" w:rsidRPr="004A4AFB" w:rsidRDefault="00191A8E" w:rsidP="00A873A4">
      <w:pPr>
        <w:numPr>
          <w:ilvl w:val="1"/>
          <w:numId w:val="24"/>
        </w:numPr>
        <w:autoSpaceDE w:val="0"/>
        <w:autoSpaceDN w:val="0"/>
        <w:adjustRightInd w:val="0"/>
        <w:spacing w:after="0"/>
        <w:jc w:val="both"/>
        <w:rPr>
          <w:rFonts w:ascii="Times New Roman" w:hAnsi="Times New Roman" w:cs="Times New Roman"/>
          <w:color w:val="000000" w:themeColor="text1"/>
          <w:sz w:val="24"/>
          <w:szCs w:val="24"/>
        </w:rPr>
      </w:pPr>
      <w:proofErr w:type="gramStart"/>
      <w:r w:rsidRPr="004A4AFB">
        <w:rPr>
          <w:rFonts w:ascii="Times New Roman" w:hAnsi="Times New Roman" w:cs="Times New Roman"/>
          <w:color w:val="000000" w:themeColor="text1"/>
          <w:sz w:val="24"/>
          <w:szCs w:val="24"/>
        </w:rPr>
        <w:t>Either this intermediary acts on its own behalf and</w:t>
      </w:r>
      <w:proofErr w:type="gramEnd"/>
      <w:r w:rsidRPr="004A4AFB">
        <w:rPr>
          <w:rFonts w:ascii="Times New Roman" w:hAnsi="Times New Roman" w:cs="Times New Roman"/>
          <w:color w:val="000000" w:themeColor="text1"/>
          <w:sz w:val="24"/>
          <w:szCs w:val="24"/>
        </w:rPr>
        <w:t xml:space="preserve"> in such a case it is an investor client. The management company is fully responsible for </w:t>
      </w:r>
      <w:r w:rsidR="00461709" w:rsidRPr="004A4AFB">
        <w:rPr>
          <w:rFonts w:ascii="Times New Roman" w:hAnsi="Times New Roman" w:cs="Times New Roman"/>
          <w:color w:val="000000" w:themeColor="text1"/>
          <w:sz w:val="24"/>
          <w:szCs w:val="24"/>
        </w:rPr>
        <w:t xml:space="preserve">the relevant </w:t>
      </w:r>
      <w:r w:rsidRPr="004A4AFB">
        <w:rPr>
          <w:rFonts w:ascii="Times New Roman" w:hAnsi="Times New Roman" w:cs="Times New Roman"/>
          <w:color w:val="000000" w:themeColor="text1"/>
          <w:sz w:val="24"/>
          <w:szCs w:val="24"/>
        </w:rPr>
        <w:t xml:space="preserve">due diligences and </w:t>
      </w:r>
      <w:r w:rsidR="005E6FFD" w:rsidRPr="004A4AFB">
        <w:rPr>
          <w:rFonts w:ascii="Times New Roman" w:hAnsi="Times New Roman" w:cs="Times New Roman"/>
          <w:color w:val="000000" w:themeColor="text1"/>
          <w:sz w:val="24"/>
          <w:szCs w:val="24"/>
        </w:rPr>
        <w:t xml:space="preserve">for </w:t>
      </w:r>
      <w:r w:rsidR="00461709" w:rsidRPr="004A4AFB">
        <w:rPr>
          <w:rFonts w:ascii="Times New Roman" w:hAnsi="Times New Roman" w:cs="Times New Roman"/>
          <w:color w:val="000000" w:themeColor="text1"/>
          <w:sz w:val="24"/>
          <w:szCs w:val="24"/>
        </w:rPr>
        <w:t xml:space="preserve">the fight against </w:t>
      </w:r>
      <w:r w:rsidR="00EC780F" w:rsidRPr="004A4AFB">
        <w:rPr>
          <w:rFonts w:ascii="Times New Roman" w:hAnsi="Times New Roman" w:cs="Times New Roman"/>
          <w:color w:val="000000" w:themeColor="text1"/>
          <w:sz w:val="24"/>
          <w:szCs w:val="24"/>
        </w:rPr>
        <w:t>money laundering</w:t>
      </w:r>
      <w:r w:rsidRPr="004A4AFB">
        <w:rPr>
          <w:rFonts w:ascii="Times New Roman" w:hAnsi="Times New Roman" w:cs="Times New Roman"/>
          <w:color w:val="000000" w:themeColor="text1"/>
          <w:sz w:val="24"/>
          <w:szCs w:val="24"/>
        </w:rPr>
        <w:t>;</w:t>
      </w:r>
    </w:p>
    <w:p w14:paraId="742C2D92" w14:textId="688562FB" w:rsidR="00191A8E" w:rsidRDefault="00191A8E" w:rsidP="00A873A4">
      <w:pPr>
        <w:numPr>
          <w:ilvl w:val="1"/>
          <w:numId w:val="24"/>
        </w:numPr>
        <w:autoSpaceDE w:val="0"/>
        <w:autoSpaceDN w:val="0"/>
        <w:adjustRightInd w:val="0"/>
        <w:spacing w:after="0"/>
        <w:jc w:val="both"/>
        <w:rPr>
          <w:rFonts w:ascii="Times New Roman" w:hAnsi="Times New Roman" w:cs="Times New Roman"/>
          <w:color w:val="000000" w:themeColor="text1"/>
          <w:sz w:val="24"/>
          <w:szCs w:val="24"/>
        </w:rPr>
      </w:pPr>
      <w:proofErr w:type="gramStart"/>
      <w:r w:rsidRPr="004A4AFB">
        <w:rPr>
          <w:rFonts w:ascii="Times New Roman" w:hAnsi="Times New Roman" w:cs="Times New Roman"/>
          <w:color w:val="000000" w:themeColor="text1"/>
          <w:sz w:val="24"/>
          <w:szCs w:val="24"/>
        </w:rPr>
        <w:t>Or</w:t>
      </w:r>
      <w:proofErr w:type="gramEnd"/>
      <w:r w:rsidRPr="004A4AFB">
        <w:rPr>
          <w:rFonts w:ascii="Times New Roman" w:hAnsi="Times New Roman" w:cs="Times New Roman"/>
          <w:color w:val="000000" w:themeColor="text1"/>
          <w:sz w:val="24"/>
          <w:szCs w:val="24"/>
        </w:rPr>
        <w:t xml:space="preserve"> this intermediary acts as a distributor and in such a case it </w:t>
      </w:r>
      <w:r w:rsidR="005F7175" w:rsidRPr="004A4AFB">
        <w:rPr>
          <w:rFonts w:ascii="Times New Roman" w:hAnsi="Times New Roman" w:cs="Times New Roman"/>
          <w:color w:val="000000" w:themeColor="text1"/>
          <w:sz w:val="24"/>
          <w:szCs w:val="24"/>
        </w:rPr>
        <w:t xml:space="preserve">also </w:t>
      </w:r>
      <w:r w:rsidRPr="004A4AFB">
        <w:rPr>
          <w:rFonts w:ascii="Times New Roman" w:hAnsi="Times New Roman" w:cs="Times New Roman"/>
          <w:color w:val="000000" w:themeColor="text1"/>
          <w:sz w:val="24"/>
          <w:szCs w:val="24"/>
        </w:rPr>
        <w:t xml:space="preserve">is </w:t>
      </w:r>
      <w:r w:rsidR="00180B56" w:rsidRPr="004A4AFB">
        <w:rPr>
          <w:rFonts w:ascii="Times New Roman" w:hAnsi="Times New Roman" w:cs="Times New Roman"/>
          <w:color w:val="000000" w:themeColor="text1"/>
          <w:sz w:val="24"/>
          <w:szCs w:val="24"/>
        </w:rPr>
        <w:t xml:space="preserve">a </w:t>
      </w:r>
      <w:r w:rsidRPr="004A4AFB">
        <w:rPr>
          <w:rFonts w:ascii="Times New Roman" w:hAnsi="Times New Roman" w:cs="Times New Roman"/>
          <w:color w:val="000000" w:themeColor="text1"/>
          <w:sz w:val="24"/>
          <w:szCs w:val="24"/>
        </w:rPr>
        <w:t xml:space="preserve">client of the management company; the </w:t>
      </w:r>
      <w:r w:rsidR="00A55426">
        <w:rPr>
          <w:rFonts w:ascii="Times New Roman" w:hAnsi="Times New Roman" w:cs="Times New Roman"/>
          <w:color w:val="000000" w:themeColor="text1"/>
          <w:sz w:val="24"/>
          <w:szCs w:val="24"/>
        </w:rPr>
        <w:t xml:space="preserve">investment </w:t>
      </w:r>
      <w:r w:rsidRPr="004A4AFB">
        <w:rPr>
          <w:rFonts w:ascii="Times New Roman" w:hAnsi="Times New Roman" w:cs="Times New Roman"/>
          <w:color w:val="000000" w:themeColor="text1"/>
          <w:sz w:val="24"/>
          <w:szCs w:val="24"/>
        </w:rPr>
        <w:t xml:space="preserve">management company should perform </w:t>
      </w:r>
      <w:r w:rsidR="000F0F4B" w:rsidRPr="004A4AFB">
        <w:rPr>
          <w:rFonts w:ascii="Times New Roman" w:hAnsi="Times New Roman" w:cs="Times New Roman"/>
          <w:color w:val="000000" w:themeColor="text1"/>
          <w:sz w:val="24"/>
          <w:szCs w:val="24"/>
        </w:rPr>
        <w:t xml:space="preserve">the relevant </w:t>
      </w:r>
      <w:r w:rsidRPr="004A4AFB">
        <w:rPr>
          <w:rFonts w:ascii="Times New Roman" w:hAnsi="Times New Roman" w:cs="Times New Roman"/>
          <w:color w:val="000000" w:themeColor="text1"/>
          <w:sz w:val="24"/>
          <w:szCs w:val="24"/>
        </w:rPr>
        <w:t xml:space="preserve">due diligences </w:t>
      </w:r>
      <w:r w:rsidR="000F0F4B" w:rsidRPr="004A4AFB">
        <w:rPr>
          <w:rFonts w:ascii="Times New Roman" w:hAnsi="Times New Roman" w:cs="Times New Roman"/>
          <w:color w:val="000000" w:themeColor="text1"/>
          <w:sz w:val="24"/>
          <w:szCs w:val="24"/>
        </w:rPr>
        <w:t>solely</w:t>
      </w:r>
      <w:r w:rsidRPr="004A4AFB">
        <w:rPr>
          <w:rFonts w:ascii="Times New Roman" w:hAnsi="Times New Roman" w:cs="Times New Roman"/>
          <w:color w:val="000000" w:themeColor="text1"/>
          <w:sz w:val="24"/>
          <w:szCs w:val="24"/>
        </w:rPr>
        <w:t xml:space="preserve"> on its distributor. </w:t>
      </w:r>
      <w:r w:rsidR="00B91482" w:rsidRPr="004A4AFB">
        <w:rPr>
          <w:rFonts w:ascii="Times New Roman" w:hAnsi="Times New Roman" w:cs="Times New Roman"/>
          <w:color w:val="000000" w:themeColor="text1"/>
          <w:sz w:val="24"/>
          <w:szCs w:val="24"/>
        </w:rPr>
        <w:t xml:space="preserve">However, </w:t>
      </w:r>
      <w:r w:rsidR="00B91482" w:rsidRPr="004A4AFB">
        <w:rPr>
          <w:rFonts w:ascii="Times New Roman" w:hAnsi="Times New Roman" w:cs="Times New Roman"/>
          <w:b/>
          <w:color w:val="000000" w:themeColor="text1"/>
          <w:sz w:val="24"/>
          <w:szCs w:val="24"/>
        </w:rPr>
        <w:t>the client of the distributor is not a client of the man</w:t>
      </w:r>
      <w:r w:rsidR="0040601B">
        <w:rPr>
          <w:rFonts w:ascii="Times New Roman" w:hAnsi="Times New Roman" w:cs="Times New Roman"/>
          <w:b/>
          <w:color w:val="000000" w:themeColor="text1"/>
          <w:sz w:val="24"/>
          <w:szCs w:val="24"/>
        </w:rPr>
        <w:t>agement company and the responsi</w:t>
      </w:r>
      <w:r w:rsidR="00B91482" w:rsidRPr="004A4AFB">
        <w:rPr>
          <w:rFonts w:ascii="Times New Roman" w:hAnsi="Times New Roman" w:cs="Times New Roman"/>
          <w:b/>
          <w:color w:val="000000" w:themeColor="text1"/>
          <w:sz w:val="24"/>
          <w:szCs w:val="24"/>
        </w:rPr>
        <w:t>bil</w:t>
      </w:r>
      <w:r w:rsidR="001F3B60">
        <w:rPr>
          <w:rFonts w:ascii="Times New Roman" w:hAnsi="Times New Roman" w:cs="Times New Roman"/>
          <w:b/>
          <w:color w:val="000000" w:themeColor="text1"/>
          <w:sz w:val="24"/>
          <w:szCs w:val="24"/>
        </w:rPr>
        <w:t>ity of performing due diligence</w:t>
      </w:r>
      <w:r w:rsidR="00B91482" w:rsidRPr="004A4AFB">
        <w:rPr>
          <w:rFonts w:ascii="Times New Roman" w:hAnsi="Times New Roman" w:cs="Times New Roman"/>
          <w:b/>
          <w:color w:val="000000" w:themeColor="text1"/>
          <w:sz w:val="24"/>
          <w:szCs w:val="24"/>
        </w:rPr>
        <w:t xml:space="preserve"> on final clients fully belongs to the distributor.</w:t>
      </w:r>
      <w:r w:rsidR="00B91482" w:rsidRPr="004A4AFB">
        <w:rPr>
          <w:rFonts w:ascii="Times New Roman" w:hAnsi="Times New Roman" w:cs="Times New Roman"/>
          <w:color w:val="000000" w:themeColor="text1"/>
          <w:sz w:val="24"/>
          <w:szCs w:val="24"/>
        </w:rPr>
        <w:t xml:space="preserve"> </w:t>
      </w:r>
    </w:p>
    <w:p w14:paraId="5D572839" w14:textId="77777777" w:rsidR="005D776A" w:rsidRDefault="005D776A" w:rsidP="005D776A">
      <w:pPr>
        <w:autoSpaceDE w:val="0"/>
        <w:autoSpaceDN w:val="0"/>
        <w:adjustRightInd w:val="0"/>
        <w:spacing w:after="0"/>
        <w:ind w:left="360"/>
        <w:jc w:val="both"/>
        <w:rPr>
          <w:rFonts w:ascii="Times New Roman" w:hAnsi="Times New Roman" w:cs="Times New Roman"/>
          <w:color w:val="000000" w:themeColor="text1"/>
          <w:sz w:val="24"/>
          <w:szCs w:val="24"/>
        </w:rPr>
      </w:pPr>
    </w:p>
    <w:p w14:paraId="29507FA8" w14:textId="77777777" w:rsidR="005D776A" w:rsidRPr="005D776A" w:rsidRDefault="005D776A" w:rsidP="005D776A">
      <w:pPr>
        <w:pStyle w:val="Default"/>
        <w:spacing w:line="276" w:lineRule="auto"/>
        <w:ind w:left="708"/>
        <w:jc w:val="both"/>
        <w:rPr>
          <w:rFonts w:ascii="Times New Roman" w:hAnsi="Times New Roman" w:cs="Times New Roman"/>
          <w:color w:val="000000" w:themeColor="text1"/>
        </w:rPr>
      </w:pPr>
      <w:r w:rsidRPr="005D776A">
        <w:rPr>
          <w:rFonts w:ascii="Times New Roman" w:hAnsi="Times New Roman" w:cs="Times New Roman"/>
          <w:color w:val="000000" w:themeColor="text1"/>
        </w:rPr>
        <w:t>In addition, the significant costs implied by the implementation of AML-CFT processes for asset management companies should be recalled. In fact, considering that distributors are themselves subject to AML-CFT obligations, it seems useful in general to avoid any overlaps and costs that may be associated with a duplication of the AML-CFT work.</w:t>
      </w:r>
    </w:p>
    <w:p w14:paraId="73AEFED3" w14:textId="77777777" w:rsidR="005D776A" w:rsidRDefault="005D776A" w:rsidP="005D776A">
      <w:pPr>
        <w:pStyle w:val="Default"/>
        <w:spacing w:line="276" w:lineRule="auto"/>
        <w:ind w:left="708"/>
        <w:jc w:val="both"/>
        <w:rPr>
          <w:rFonts w:ascii="Times New Roman" w:hAnsi="Times New Roman" w:cs="Times New Roman"/>
          <w:color w:val="000000" w:themeColor="text1"/>
        </w:rPr>
      </w:pPr>
    </w:p>
    <w:p w14:paraId="6021891F" w14:textId="77777777" w:rsidR="00C43ECF" w:rsidRPr="004A4AFB" w:rsidRDefault="00C43ECF" w:rsidP="00C43ECF">
      <w:pPr>
        <w:autoSpaceDE w:val="0"/>
        <w:autoSpaceDN w:val="0"/>
        <w:adjustRightInd w:val="0"/>
        <w:spacing w:after="0"/>
        <w:ind w:left="1440"/>
        <w:jc w:val="both"/>
        <w:rPr>
          <w:rFonts w:ascii="Times New Roman" w:hAnsi="Times New Roman" w:cs="Times New Roman"/>
          <w:color w:val="000000" w:themeColor="text1"/>
          <w:sz w:val="24"/>
          <w:szCs w:val="24"/>
        </w:rPr>
      </w:pPr>
    </w:p>
    <w:p w14:paraId="7C24979B" w14:textId="77777777" w:rsidR="008009DE" w:rsidRPr="004A4AFB" w:rsidRDefault="00C64D8E" w:rsidP="00A873A4">
      <w:pPr>
        <w:pStyle w:val="Default"/>
        <w:numPr>
          <w:ilvl w:val="0"/>
          <w:numId w:val="1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t>the ML/TF risk associated with the business relationship is low, based on the firm’s assessment of the financial intermediary´s business, the types of clients the intermediary’s business serves and the jurisdictions the intermediary’s business is exposed to, among others</w:t>
      </w:r>
      <w:r w:rsidR="008009DE" w:rsidRPr="004A4AFB">
        <w:rPr>
          <w:rFonts w:ascii="Times New Roman" w:hAnsi="Times New Roman" w:cs="Times New Roman"/>
          <w:b/>
          <w:color w:val="000000" w:themeColor="text1"/>
          <w:lang w:val="en-US"/>
        </w:rPr>
        <w:t xml:space="preserve"> (n°213-2)</w:t>
      </w:r>
    </w:p>
    <w:p w14:paraId="22D91C7B" w14:textId="77777777" w:rsidR="00FC3769" w:rsidRPr="004A4AFB" w:rsidRDefault="00FC3769" w:rsidP="00A873A4">
      <w:pPr>
        <w:pStyle w:val="Default"/>
        <w:spacing w:line="276" w:lineRule="auto"/>
        <w:ind w:left="708"/>
        <w:rPr>
          <w:rFonts w:ascii="Times New Roman" w:hAnsi="Times New Roman" w:cs="Times New Roman"/>
          <w:color w:val="000000" w:themeColor="text1"/>
          <w:lang w:val="en-US"/>
        </w:rPr>
      </w:pPr>
    </w:p>
    <w:p w14:paraId="58903BD9" w14:textId="51985EB2" w:rsidR="00AF7A9B" w:rsidRPr="005D776A" w:rsidRDefault="00AF7A9B" w:rsidP="00DF5F70">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 xml:space="preserve">It would be </w:t>
      </w:r>
      <w:r w:rsidR="005F7175" w:rsidRPr="005D776A">
        <w:rPr>
          <w:rFonts w:ascii="Times New Roman" w:hAnsi="Times New Roman" w:cs="Times New Roman"/>
          <w:color w:val="000000" w:themeColor="text1"/>
          <w:lang w:val="en-US"/>
        </w:rPr>
        <w:t>desirable</w:t>
      </w:r>
      <w:r w:rsidRPr="005D776A">
        <w:rPr>
          <w:rFonts w:ascii="Times New Roman" w:hAnsi="Times New Roman" w:cs="Times New Roman"/>
          <w:color w:val="000000" w:themeColor="text1"/>
          <w:lang w:val="en-US"/>
        </w:rPr>
        <w:t xml:space="preserve"> to specify that </w:t>
      </w:r>
      <w:r w:rsidR="00F64CEA" w:rsidRPr="005D776A">
        <w:rPr>
          <w:rFonts w:ascii="Times New Roman" w:hAnsi="Times New Roman" w:cs="Times New Roman"/>
          <w:color w:val="000000" w:themeColor="text1"/>
          <w:lang w:val="en-US"/>
        </w:rPr>
        <w:t xml:space="preserve">in this case </w:t>
      </w:r>
      <w:r w:rsidR="00BD730C" w:rsidRPr="005D776A">
        <w:rPr>
          <w:rFonts w:ascii="Times New Roman" w:hAnsi="Times New Roman" w:cs="Times New Roman"/>
          <w:color w:val="000000" w:themeColor="text1"/>
          <w:lang w:val="en-US"/>
        </w:rPr>
        <w:t>the relevant</w:t>
      </w:r>
      <w:r w:rsidRPr="005D776A">
        <w:rPr>
          <w:rFonts w:ascii="Times New Roman" w:hAnsi="Times New Roman" w:cs="Times New Roman"/>
          <w:color w:val="000000" w:themeColor="text1"/>
          <w:lang w:val="en-US"/>
        </w:rPr>
        <w:t xml:space="preserve"> distributors do not invest in the </w:t>
      </w:r>
      <w:r w:rsidR="00C012E7" w:rsidRPr="005D776A">
        <w:rPr>
          <w:rFonts w:ascii="Times New Roman" w:hAnsi="Times New Roman" w:cs="Times New Roman"/>
          <w:color w:val="000000" w:themeColor="text1"/>
          <w:lang w:val="en-US"/>
        </w:rPr>
        <w:t xml:space="preserve">management companies’ </w:t>
      </w:r>
      <w:r w:rsidRPr="005D776A">
        <w:rPr>
          <w:rFonts w:ascii="Times New Roman" w:hAnsi="Times New Roman" w:cs="Times New Roman"/>
          <w:color w:val="000000" w:themeColor="text1"/>
          <w:lang w:val="en-US"/>
        </w:rPr>
        <w:t>funds.</w:t>
      </w:r>
    </w:p>
    <w:p w14:paraId="22799F90" w14:textId="77777777" w:rsidR="008009DE" w:rsidRPr="005D776A" w:rsidRDefault="008009DE" w:rsidP="00A873A4">
      <w:pPr>
        <w:pStyle w:val="Default"/>
        <w:spacing w:line="276" w:lineRule="auto"/>
        <w:rPr>
          <w:rFonts w:ascii="Times New Roman" w:hAnsi="Times New Roman" w:cs="Times New Roman"/>
          <w:color w:val="000000" w:themeColor="text1"/>
          <w:lang w:val="en-US"/>
        </w:rPr>
      </w:pPr>
    </w:p>
    <w:p w14:paraId="2EEB222B" w14:textId="77777777" w:rsidR="008009DE" w:rsidRPr="004A4AFB" w:rsidRDefault="008009DE" w:rsidP="00A873A4">
      <w:pPr>
        <w:pStyle w:val="Default"/>
        <w:numPr>
          <w:ilvl w:val="0"/>
          <w:numId w:val="15"/>
        </w:numPr>
        <w:spacing w:line="276" w:lineRule="auto"/>
        <w:jc w:val="both"/>
        <w:rPr>
          <w:rFonts w:ascii="Times New Roman" w:hAnsi="Times New Roman" w:cs="Times New Roman"/>
          <w:b/>
          <w:color w:val="000000" w:themeColor="text1"/>
          <w:lang w:val="en-US"/>
        </w:rPr>
      </w:pPr>
      <w:proofErr w:type="gramStart"/>
      <w:r w:rsidRPr="004A4AFB">
        <w:rPr>
          <w:rFonts w:ascii="Times New Roman" w:hAnsi="Times New Roman" w:cs="Times New Roman"/>
          <w:b/>
          <w:color w:val="000000" w:themeColor="text1"/>
          <w:lang w:val="en-US"/>
        </w:rPr>
        <w:t>the</w:t>
      </w:r>
      <w:proofErr w:type="gramEnd"/>
      <w:r w:rsidRPr="004A4AFB">
        <w:rPr>
          <w:rFonts w:ascii="Times New Roman" w:hAnsi="Times New Roman" w:cs="Times New Roman"/>
          <w:b/>
          <w:color w:val="000000" w:themeColor="text1"/>
          <w:lang w:val="en-US"/>
        </w:rPr>
        <w:t xml:space="preserve"> firm is satisfied that the intermediary applies robust and risk-sensitive CDD measures to their own clients and their clients’ beneficial owners. It may be appropriate for the firm to take risk-sensitive measures to assess the adequacy of its intermediary’s CDD policies and procedures, for example by referring to publicly available information about the intermediary’s compliance record, liaising directly with the intermediary or by sample-testing the intermediary’s ability to provide CDD information upon request. (n°213-3)</w:t>
      </w:r>
    </w:p>
    <w:p w14:paraId="0D8A90B5" w14:textId="77777777" w:rsidR="008009DE" w:rsidRPr="004A4AFB" w:rsidRDefault="008009DE" w:rsidP="00A873A4">
      <w:pPr>
        <w:pStyle w:val="Default"/>
        <w:spacing w:line="276" w:lineRule="auto"/>
        <w:rPr>
          <w:rFonts w:ascii="Times New Roman" w:hAnsi="Times New Roman" w:cs="Times New Roman"/>
          <w:color w:val="000000" w:themeColor="text1"/>
          <w:lang w:val="en-US"/>
        </w:rPr>
      </w:pPr>
    </w:p>
    <w:p w14:paraId="72A5A9A3" w14:textId="4B2DF26A" w:rsidR="0008587B" w:rsidRPr="005D776A" w:rsidRDefault="00F64CEA"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C</w:t>
      </w:r>
      <w:r w:rsidR="00CF6F04" w:rsidRPr="005D776A">
        <w:rPr>
          <w:rFonts w:ascii="Times New Roman" w:hAnsi="Times New Roman" w:cs="Times New Roman"/>
          <w:color w:val="000000" w:themeColor="text1"/>
          <w:lang w:val="en-US"/>
        </w:rPr>
        <w:t xml:space="preserve">ases whereby </w:t>
      </w:r>
      <w:r w:rsidR="00BF6D54">
        <w:rPr>
          <w:rFonts w:ascii="Times New Roman" w:hAnsi="Times New Roman" w:cs="Times New Roman"/>
          <w:color w:val="000000" w:themeColor="text1"/>
          <w:lang w:val="en-GB"/>
        </w:rPr>
        <w:t>“</w:t>
      </w:r>
      <w:r w:rsidR="0008587B" w:rsidRPr="005D776A">
        <w:rPr>
          <w:rFonts w:ascii="Times New Roman" w:hAnsi="Times New Roman" w:cs="Times New Roman"/>
          <w:color w:val="000000" w:themeColor="text1"/>
          <w:lang w:val="en-US"/>
        </w:rPr>
        <w:t>sample testing</w:t>
      </w:r>
      <w:r w:rsidR="00BF6D54" w:rsidRPr="005D776A">
        <w:rPr>
          <w:rFonts w:ascii="Times New Roman" w:hAnsi="Times New Roman" w:cs="Times New Roman"/>
          <w:color w:val="000000" w:themeColor="text1"/>
          <w:lang w:val="en-US"/>
        </w:rPr>
        <w:t xml:space="preserve">” </w:t>
      </w:r>
      <w:r w:rsidR="0008587B" w:rsidRPr="005D776A">
        <w:rPr>
          <w:rFonts w:ascii="Times New Roman" w:hAnsi="Times New Roman" w:cs="Times New Roman"/>
          <w:color w:val="000000" w:themeColor="text1"/>
          <w:lang w:val="en-US"/>
        </w:rPr>
        <w:t>is used should be limited to situations whereby the management company perform</w:t>
      </w:r>
      <w:r w:rsidR="009468F4" w:rsidRPr="005D776A">
        <w:rPr>
          <w:rFonts w:ascii="Times New Roman" w:hAnsi="Times New Roman" w:cs="Times New Roman"/>
          <w:color w:val="000000" w:themeColor="text1"/>
          <w:lang w:val="en-US"/>
        </w:rPr>
        <w:t>s an</w:t>
      </w:r>
      <w:r w:rsidR="0008587B" w:rsidRPr="005D776A">
        <w:rPr>
          <w:rFonts w:ascii="Times New Roman" w:hAnsi="Times New Roman" w:cs="Times New Roman"/>
          <w:color w:val="000000" w:themeColor="text1"/>
          <w:lang w:val="en-US"/>
        </w:rPr>
        <w:t xml:space="preserve"> enhanced due diligence.</w:t>
      </w:r>
    </w:p>
    <w:p w14:paraId="42B200CF" w14:textId="77777777" w:rsidR="006043F5" w:rsidRPr="005D776A" w:rsidRDefault="006043F5" w:rsidP="00A873A4">
      <w:pPr>
        <w:pStyle w:val="Default"/>
        <w:spacing w:line="276" w:lineRule="auto"/>
        <w:rPr>
          <w:rFonts w:ascii="Times New Roman" w:hAnsi="Times New Roman" w:cs="Times New Roman"/>
          <w:color w:val="000000" w:themeColor="text1"/>
          <w:lang w:val="en-US"/>
        </w:rPr>
      </w:pPr>
    </w:p>
    <w:p w14:paraId="41D5DEBD" w14:textId="77777777" w:rsidR="006043F5" w:rsidRPr="004A4AFB" w:rsidRDefault="006043F5" w:rsidP="00A873A4">
      <w:pPr>
        <w:pStyle w:val="Default"/>
        <w:numPr>
          <w:ilvl w:val="0"/>
          <w:numId w:val="15"/>
        </w:numPr>
        <w:spacing w:line="276" w:lineRule="auto"/>
        <w:jc w:val="both"/>
        <w:rPr>
          <w:rFonts w:ascii="Times New Roman" w:hAnsi="Times New Roman" w:cs="Times New Roman"/>
          <w:b/>
          <w:color w:val="000000" w:themeColor="text1"/>
          <w:lang w:val="en-US"/>
        </w:rPr>
      </w:pPr>
      <w:r w:rsidRPr="004A4AFB">
        <w:rPr>
          <w:rFonts w:ascii="Times New Roman" w:hAnsi="Times New Roman" w:cs="Times New Roman"/>
          <w:b/>
          <w:color w:val="000000" w:themeColor="text1"/>
          <w:lang w:val="en-US"/>
        </w:rPr>
        <w:lastRenderedPageBreak/>
        <w:t>Where those conditions are met, and subject to applicable national legislation permitting this, SDD may consist of the firm:  identifying and verifying the identity of its intermediary, including the intermediary’s beneficial owners (n°214)</w:t>
      </w:r>
    </w:p>
    <w:p w14:paraId="436BF510" w14:textId="77777777" w:rsidR="00BE7B32" w:rsidRPr="004A4AFB" w:rsidRDefault="00BE7B32" w:rsidP="00A873A4">
      <w:pPr>
        <w:pStyle w:val="Default"/>
        <w:spacing w:line="276" w:lineRule="auto"/>
        <w:jc w:val="both"/>
        <w:rPr>
          <w:rFonts w:ascii="Times New Roman" w:hAnsi="Times New Roman" w:cs="Times New Roman"/>
          <w:b/>
          <w:color w:val="000000" w:themeColor="text1"/>
          <w:lang w:val="en-US"/>
        </w:rPr>
      </w:pPr>
    </w:p>
    <w:p w14:paraId="75A725FB" w14:textId="1C133017" w:rsidR="00707C5B" w:rsidRPr="005D776A" w:rsidRDefault="00F4168C" w:rsidP="00A873A4">
      <w:pPr>
        <w:pStyle w:val="Default"/>
        <w:spacing w:line="276" w:lineRule="auto"/>
        <w:ind w:left="708"/>
        <w:jc w:val="both"/>
        <w:rPr>
          <w:rFonts w:ascii="Times New Roman" w:hAnsi="Times New Roman" w:cs="Times New Roman"/>
          <w:color w:val="000000" w:themeColor="text1"/>
          <w:lang w:val="en-US"/>
        </w:rPr>
      </w:pPr>
      <w:r w:rsidRPr="005D776A">
        <w:rPr>
          <w:rFonts w:ascii="Times New Roman" w:hAnsi="Times New Roman" w:cs="Times New Roman"/>
          <w:color w:val="000000" w:themeColor="text1"/>
          <w:lang w:val="en-US"/>
        </w:rPr>
        <w:t xml:space="preserve">What is meant by </w:t>
      </w:r>
      <w:r w:rsidR="00B6733A">
        <w:rPr>
          <w:rFonts w:ascii="Times New Roman" w:hAnsi="Times New Roman" w:cs="Times New Roman"/>
          <w:color w:val="000000" w:themeColor="text1"/>
          <w:lang w:val="en-GB"/>
        </w:rPr>
        <w:t>“</w:t>
      </w:r>
      <w:r w:rsidRPr="005D776A">
        <w:rPr>
          <w:rFonts w:ascii="Times New Roman" w:hAnsi="Times New Roman" w:cs="Times New Roman"/>
          <w:color w:val="000000" w:themeColor="text1"/>
          <w:lang w:val="en-US"/>
        </w:rPr>
        <w:t>intermediary’s beneficial owners</w:t>
      </w:r>
      <w:r w:rsidR="00B6733A" w:rsidRPr="005D776A">
        <w:rPr>
          <w:rFonts w:ascii="Times New Roman" w:hAnsi="Times New Roman" w:cs="Times New Roman"/>
          <w:color w:val="000000" w:themeColor="text1"/>
          <w:lang w:val="en-US"/>
        </w:rPr>
        <w:t>”</w:t>
      </w:r>
      <w:r w:rsidRPr="005D776A">
        <w:rPr>
          <w:rFonts w:ascii="Times New Roman" w:hAnsi="Times New Roman" w:cs="Times New Roman"/>
          <w:color w:val="000000" w:themeColor="text1"/>
          <w:lang w:val="en-US"/>
        </w:rPr>
        <w:t xml:space="preserve"> should be specified (please refer to n</w:t>
      </w:r>
      <w:r w:rsidR="006520FD">
        <w:rPr>
          <w:rFonts w:ascii="Times New Roman" w:hAnsi="Times New Roman" w:cs="Times New Roman"/>
          <w:color w:val="000000" w:themeColor="text1"/>
          <w:lang w:val="en-US"/>
        </w:rPr>
        <w:t>umber</w:t>
      </w:r>
      <w:r w:rsidRPr="005D776A">
        <w:rPr>
          <w:rFonts w:ascii="Times New Roman" w:hAnsi="Times New Roman" w:cs="Times New Roman"/>
          <w:color w:val="000000" w:themeColor="text1"/>
          <w:lang w:val="en-US"/>
        </w:rPr>
        <w:t xml:space="preserve"> 212).</w:t>
      </w:r>
    </w:p>
    <w:sectPr w:rsidR="00707C5B" w:rsidRPr="005D776A" w:rsidSect="009C0B7E">
      <w:headerReference w:type="even" r:id="rId11"/>
      <w:headerReference w:type="default" r:id="rId12"/>
      <w:footerReference w:type="even" r:id="rId13"/>
      <w:footerReference w:type="default" r:id="rId14"/>
      <w:headerReference w:type="first" r:id="rId15"/>
      <w:footerReference w:type="first" r:id="rId16"/>
      <w:pgSz w:w="11906" w:h="16838"/>
      <w:pgMar w:top="678" w:right="849" w:bottom="851" w:left="709" w:header="283" w:footer="143"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176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D5DA6" w14:textId="77777777" w:rsidR="00F52C91" w:rsidRDefault="00F52C91" w:rsidP="00BF03D2">
      <w:pPr>
        <w:spacing w:after="0" w:line="240" w:lineRule="auto"/>
      </w:pPr>
      <w:r>
        <w:separator/>
      </w:r>
    </w:p>
  </w:endnote>
  <w:endnote w:type="continuationSeparator" w:id="0">
    <w:p w14:paraId="57B54816" w14:textId="77777777" w:rsidR="00F52C91" w:rsidRDefault="00F52C91" w:rsidP="00BF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8CE1" w14:textId="77777777" w:rsidR="00194643" w:rsidRDefault="001946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44099"/>
      <w:docPartObj>
        <w:docPartGallery w:val="Page Numbers (Bottom of Page)"/>
        <w:docPartUnique/>
      </w:docPartObj>
    </w:sdtPr>
    <w:sdtEndPr/>
    <w:sdtContent>
      <w:p w14:paraId="16ED927B" w14:textId="77777777" w:rsidR="006C7B7A" w:rsidRDefault="006C7B7A">
        <w:pPr>
          <w:pStyle w:val="Pieddepage"/>
          <w:jc w:val="right"/>
        </w:pPr>
        <w:r>
          <w:fldChar w:fldCharType="begin"/>
        </w:r>
        <w:r>
          <w:instrText>PAGE   \* MERGEFORMAT</w:instrText>
        </w:r>
        <w:r>
          <w:fldChar w:fldCharType="separate"/>
        </w:r>
        <w:r w:rsidR="00463892">
          <w:rPr>
            <w:noProof/>
          </w:rPr>
          <w:t>5</w:t>
        </w:r>
        <w:r>
          <w:rPr>
            <w:noProof/>
          </w:rPr>
          <w:fldChar w:fldCharType="end"/>
        </w:r>
      </w:p>
    </w:sdtContent>
  </w:sdt>
  <w:p w14:paraId="33193AEC" w14:textId="77777777" w:rsidR="006C7B7A" w:rsidRDefault="006C7B7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F3C7" w14:textId="77777777" w:rsidR="00194643" w:rsidRDefault="001946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C8C98" w14:textId="77777777" w:rsidR="00F52C91" w:rsidRDefault="00F52C91" w:rsidP="00BF03D2">
      <w:pPr>
        <w:spacing w:after="0" w:line="240" w:lineRule="auto"/>
      </w:pPr>
      <w:r>
        <w:separator/>
      </w:r>
    </w:p>
  </w:footnote>
  <w:footnote w:type="continuationSeparator" w:id="0">
    <w:p w14:paraId="13FE4021" w14:textId="77777777" w:rsidR="00F52C91" w:rsidRDefault="00F52C91" w:rsidP="00BF03D2">
      <w:pPr>
        <w:spacing w:after="0" w:line="240" w:lineRule="auto"/>
      </w:pPr>
      <w:r>
        <w:continuationSeparator/>
      </w:r>
    </w:p>
  </w:footnote>
  <w:footnote w:id="1">
    <w:p w14:paraId="446B2564" w14:textId="77777777" w:rsidR="00413A21" w:rsidRPr="00EA7BC9" w:rsidRDefault="006C7B7A" w:rsidP="00413A21">
      <w:pPr>
        <w:rPr>
          <w:sz w:val="18"/>
          <w:szCs w:val="18"/>
          <w:lang w:val="en-US"/>
        </w:rPr>
      </w:pPr>
      <w:r w:rsidRPr="00132042">
        <w:rPr>
          <w:rStyle w:val="Appelnotedebasdep"/>
          <w:sz w:val="20"/>
          <w:szCs w:val="20"/>
        </w:rPr>
        <w:footnoteRef/>
      </w:r>
      <w:r w:rsidRPr="00BF03D2">
        <w:rPr>
          <w:sz w:val="20"/>
          <w:szCs w:val="20"/>
          <w:lang w:val="en-US"/>
        </w:rPr>
        <w:t xml:space="preserve"> </w:t>
      </w:r>
      <w:r w:rsidR="00413A21" w:rsidRPr="00EA7BC9">
        <w:rPr>
          <w:sz w:val="18"/>
          <w:szCs w:val="18"/>
        </w:rPr>
        <w:t xml:space="preserve">The Association </w:t>
      </w:r>
      <w:proofErr w:type="spellStart"/>
      <w:r w:rsidR="00413A21" w:rsidRPr="00EA7BC9">
        <w:rPr>
          <w:sz w:val="18"/>
          <w:szCs w:val="18"/>
        </w:rPr>
        <w:t>Française</w:t>
      </w:r>
      <w:proofErr w:type="spellEnd"/>
      <w:r w:rsidR="00413A21" w:rsidRPr="00EA7BC9">
        <w:rPr>
          <w:sz w:val="18"/>
          <w:szCs w:val="18"/>
        </w:rPr>
        <w:t xml:space="preserve"> de la </w:t>
      </w:r>
      <w:proofErr w:type="spellStart"/>
      <w:r w:rsidR="00413A21" w:rsidRPr="00EA7BC9">
        <w:rPr>
          <w:sz w:val="18"/>
          <w:szCs w:val="18"/>
        </w:rPr>
        <w:t>Gestion</w:t>
      </w:r>
      <w:proofErr w:type="spellEnd"/>
      <w:r w:rsidR="00413A21" w:rsidRPr="00EA7BC9">
        <w:rPr>
          <w:sz w:val="18"/>
          <w:szCs w:val="18"/>
        </w:rPr>
        <w:t xml:space="preserve"> </w:t>
      </w:r>
      <w:proofErr w:type="spellStart"/>
      <w:r w:rsidR="00413A21" w:rsidRPr="00EA7BC9">
        <w:rPr>
          <w:sz w:val="18"/>
          <w:szCs w:val="18"/>
        </w:rPr>
        <w:t>financière</w:t>
      </w:r>
      <w:proofErr w:type="spellEnd"/>
      <w:r w:rsidR="00413A21" w:rsidRPr="00EA7BC9">
        <w:rPr>
          <w:sz w:val="18"/>
          <w:szCs w:val="18"/>
        </w:rPr>
        <w:t xml:space="preserve"> (AFG) represents the France-based investment management industry, both for collective and discretionary individual portfolio managements. </w:t>
      </w:r>
      <w:proofErr w:type="gramStart"/>
      <w:r w:rsidR="00413A21" w:rsidRPr="00EA7BC9">
        <w:rPr>
          <w:sz w:val="18"/>
          <w:szCs w:val="18"/>
        </w:rPr>
        <w:t>600</w:t>
      </w:r>
      <w:proofErr w:type="gramEnd"/>
      <w:r w:rsidR="00413A21" w:rsidRPr="00EA7BC9">
        <w:rPr>
          <w:sz w:val="18"/>
          <w:szCs w:val="18"/>
        </w:rPr>
        <w:t xml:space="preserve"> management companies are based in France. AFG members manage 3,000 billion euros, making the Paris fund industry a leader in Europe for the financial management of collective investments (with 1,500 billion euros managed from France, i.e. 19% of all EU assets managed in the form of investment funds). In the field of collective investment, our industry includes – beside UCITS – the whole range of AIFs, such </w:t>
      </w:r>
      <w:proofErr w:type="gramStart"/>
      <w:r w:rsidR="00413A21" w:rsidRPr="00EA7BC9">
        <w:rPr>
          <w:sz w:val="18"/>
          <w:szCs w:val="18"/>
        </w:rPr>
        <w:t>as:</w:t>
      </w:r>
      <w:proofErr w:type="gramEnd"/>
      <w:r w:rsidR="00413A21" w:rsidRPr="00EA7BC9">
        <w:rPr>
          <w:sz w:val="18"/>
          <w:szCs w:val="18"/>
        </w:rPr>
        <w:t xml:space="preserve"> employee savings schemes, regulated hedge funds/funds of hedge funds, private equity funds, real estate funds and socially responsible investment funds. AFG is an active member of the European Fund and Asset Management Association (EFAMA) and of </w:t>
      </w:r>
      <w:proofErr w:type="spellStart"/>
      <w:r w:rsidR="00413A21" w:rsidRPr="00EA7BC9">
        <w:rPr>
          <w:sz w:val="18"/>
          <w:szCs w:val="18"/>
        </w:rPr>
        <w:t>PensionsEurope</w:t>
      </w:r>
      <w:proofErr w:type="spellEnd"/>
      <w:r w:rsidR="00413A21" w:rsidRPr="00EA7BC9">
        <w:rPr>
          <w:sz w:val="18"/>
          <w:szCs w:val="18"/>
        </w:rPr>
        <w:t>. AFG is also an active member of the International Investment Funds Association (IIFA).</w:t>
      </w:r>
    </w:p>
    <w:p w14:paraId="57033AC1" w14:textId="3C633168" w:rsidR="006C7B7A" w:rsidRPr="003926AA" w:rsidRDefault="006C7B7A" w:rsidP="00BF03D2">
      <w:pPr>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08D0" w14:textId="414264BC" w:rsidR="006C7B7A" w:rsidRDefault="006C7B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E69AB" w14:textId="2B1F5EDC" w:rsidR="006C7B7A" w:rsidRDefault="006C7B7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8FA87" w14:textId="3C987EB9" w:rsidR="006C7B7A" w:rsidRDefault="006C7B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EB9"/>
    <w:multiLevelType w:val="multilevel"/>
    <w:tmpl w:val="9BEA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E686A"/>
    <w:multiLevelType w:val="hybridMultilevel"/>
    <w:tmpl w:val="CBE83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8829BB"/>
    <w:multiLevelType w:val="hybridMultilevel"/>
    <w:tmpl w:val="67D4953E"/>
    <w:lvl w:ilvl="0" w:tplc="CBB0B742">
      <w:start w:val="19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B808AE"/>
    <w:multiLevelType w:val="multilevel"/>
    <w:tmpl w:val="570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77DA8"/>
    <w:multiLevelType w:val="hybridMultilevel"/>
    <w:tmpl w:val="0B48265C"/>
    <w:lvl w:ilvl="0" w:tplc="ACA0EF46">
      <w:numFmt w:val="bullet"/>
      <w:lvlText w:val=""/>
      <w:lvlJc w:val="left"/>
      <w:pPr>
        <w:ind w:left="1068" w:hanging="360"/>
      </w:pPr>
      <w:rPr>
        <w:rFonts w:ascii="Symbol" w:eastAsiaTheme="minorHAns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98F1602"/>
    <w:multiLevelType w:val="hybridMultilevel"/>
    <w:tmpl w:val="F6B40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587A58"/>
    <w:multiLevelType w:val="hybridMultilevel"/>
    <w:tmpl w:val="B21A2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856D86"/>
    <w:multiLevelType w:val="hybridMultilevel"/>
    <w:tmpl w:val="E9806DE0"/>
    <w:lvl w:ilvl="0" w:tplc="CBB0B742">
      <w:start w:val="193"/>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74788F"/>
    <w:multiLevelType w:val="hybridMultilevel"/>
    <w:tmpl w:val="53FC451A"/>
    <w:lvl w:ilvl="0" w:tplc="040C0001">
      <w:start w:val="1"/>
      <w:numFmt w:val="bullet"/>
      <w:lvlText w:val=""/>
      <w:lvlJc w:val="left"/>
      <w:pPr>
        <w:ind w:left="720" w:hanging="360"/>
      </w:pPr>
      <w:rPr>
        <w:rFonts w:ascii="Symbol" w:hAnsi="Symbol" w:hint="default"/>
      </w:rPr>
    </w:lvl>
    <w:lvl w:ilvl="1" w:tplc="730E3A2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CD5985"/>
    <w:multiLevelType w:val="hybridMultilevel"/>
    <w:tmpl w:val="2FDC9266"/>
    <w:lvl w:ilvl="0" w:tplc="CBB0B742">
      <w:start w:val="19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E9711D"/>
    <w:multiLevelType w:val="hybridMultilevel"/>
    <w:tmpl w:val="1F9AD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B41B00"/>
    <w:multiLevelType w:val="hybridMultilevel"/>
    <w:tmpl w:val="26FA8AE2"/>
    <w:lvl w:ilvl="0" w:tplc="CBB0B742">
      <w:start w:val="193"/>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D265ED0"/>
    <w:multiLevelType w:val="hybridMultilevel"/>
    <w:tmpl w:val="D8B8869E"/>
    <w:lvl w:ilvl="0" w:tplc="A8EA836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E618EF"/>
    <w:multiLevelType w:val="hybridMultilevel"/>
    <w:tmpl w:val="2C7ACF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947C04"/>
    <w:multiLevelType w:val="multilevel"/>
    <w:tmpl w:val="DA8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21E16"/>
    <w:multiLevelType w:val="multilevel"/>
    <w:tmpl w:val="C50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271200"/>
    <w:multiLevelType w:val="multilevel"/>
    <w:tmpl w:val="86A2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C693C"/>
    <w:multiLevelType w:val="hybridMultilevel"/>
    <w:tmpl w:val="800CE9E4"/>
    <w:lvl w:ilvl="0" w:tplc="FD1E06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C52F0A"/>
    <w:multiLevelType w:val="hybridMultilevel"/>
    <w:tmpl w:val="9A58D1AC"/>
    <w:lvl w:ilvl="0" w:tplc="CBB0B742">
      <w:start w:val="193"/>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70D39C7"/>
    <w:multiLevelType w:val="multilevel"/>
    <w:tmpl w:val="9D64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06F69"/>
    <w:multiLevelType w:val="hybridMultilevel"/>
    <w:tmpl w:val="1D186754"/>
    <w:lvl w:ilvl="0" w:tplc="BA90D10A">
      <w:start w:val="39"/>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8A772B9"/>
    <w:multiLevelType w:val="hybridMultilevel"/>
    <w:tmpl w:val="47981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FF133F"/>
    <w:multiLevelType w:val="hybridMultilevel"/>
    <w:tmpl w:val="B5E0D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4C76C4"/>
    <w:multiLevelType w:val="hybridMultilevel"/>
    <w:tmpl w:val="0BD42868"/>
    <w:lvl w:ilvl="0" w:tplc="CBB0B742">
      <w:start w:val="193"/>
      <w:numFmt w:val="bullet"/>
      <w:lvlText w:val="-"/>
      <w:lvlJc w:val="left"/>
      <w:pPr>
        <w:ind w:left="6120" w:hanging="360"/>
      </w:pPr>
      <w:rPr>
        <w:rFonts w:ascii="Calibri" w:eastAsiaTheme="minorHAnsi" w:hAnsi="Calibri" w:cs="Calibri" w:hint="default"/>
      </w:rPr>
    </w:lvl>
    <w:lvl w:ilvl="1" w:tplc="040C0003" w:tentative="1">
      <w:start w:val="1"/>
      <w:numFmt w:val="bullet"/>
      <w:lvlText w:val="o"/>
      <w:lvlJc w:val="left"/>
      <w:pPr>
        <w:ind w:left="6840" w:hanging="360"/>
      </w:pPr>
      <w:rPr>
        <w:rFonts w:ascii="Courier New" w:hAnsi="Courier New" w:cs="Courier New" w:hint="default"/>
      </w:rPr>
    </w:lvl>
    <w:lvl w:ilvl="2" w:tplc="040C0005" w:tentative="1">
      <w:start w:val="1"/>
      <w:numFmt w:val="bullet"/>
      <w:lvlText w:val=""/>
      <w:lvlJc w:val="left"/>
      <w:pPr>
        <w:ind w:left="7560" w:hanging="360"/>
      </w:pPr>
      <w:rPr>
        <w:rFonts w:ascii="Wingdings" w:hAnsi="Wingdings" w:hint="default"/>
      </w:rPr>
    </w:lvl>
    <w:lvl w:ilvl="3" w:tplc="040C0001" w:tentative="1">
      <w:start w:val="1"/>
      <w:numFmt w:val="bullet"/>
      <w:lvlText w:val=""/>
      <w:lvlJc w:val="left"/>
      <w:pPr>
        <w:ind w:left="8280" w:hanging="360"/>
      </w:pPr>
      <w:rPr>
        <w:rFonts w:ascii="Symbol" w:hAnsi="Symbol" w:hint="default"/>
      </w:rPr>
    </w:lvl>
    <w:lvl w:ilvl="4" w:tplc="040C0003" w:tentative="1">
      <w:start w:val="1"/>
      <w:numFmt w:val="bullet"/>
      <w:lvlText w:val="o"/>
      <w:lvlJc w:val="left"/>
      <w:pPr>
        <w:ind w:left="9000" w:hanging="360"/>
      </w:pPr>
      <w:rPr>
        <w:rFonts w:ascii="Courier New" w:hAnsi="Courier New" w:cs="Courier New" w:hint="default"/>
      </w:rPr>
    </w:lvl>
    <w:lvl w:ilvl="5" w:tplc="040C0005" w:tentative="1">
      <w:start w:val="1"/>
      <w:numFmt w:val="bullet"/>
      <w:lvlText w:val=""/>
      <w:lvlJc w:val="left"/>
      <w:pPr>
        <w:ind w:left="9720" w:hanging="360"/>
      </w:pPr>
      <w:rPr>
        <w:rFonts w:ascii="Wingdings" w:hAnsi="Wingdings" w:hint="default"/>
      </w:rPr>
    </w:lvl>
    <w:lvl w:ilvl="6" w:tplc="040C0001" w:tentative="1">
      <w:start w:val="1"/>
      <w:numFmt w:val="bullet"/>
      <w:lvlText w:val=""/>
      <w:lvlJc w:val="left"/>
      <w:pPr>
        <w:ind w:left="10440" w:hanging="360"/>
      </w:pPr>
      <w:rPr>
        <w:rFonts w:ascii="Symbol" w:hAnsi="Symbol" w:hint="default"/>
      </w:rPr>
    </w:lvl>
    <w:lvl w:ilvl="7" w:tplc="040C0003" w:tentative="1">
      <w:start w:val="1"/>
      <w:numFmt w:val="bullet"/>
      <w:lvlText w:val="o"/>
      <w:lvlJc w:val="left"/>
      <w:pPr>
        <w:ind w:left="11160" w:hanging="360"/>
      </w:pPr>
      <w:rPr>
        <w:rFonts w:ascii="Courier New" w:hAnsi="Courier New" w:cs="Courier New" w:hint="default"/>
      </w:rPr>
    </w:lvl>
    <w:lvl w:ilvl="8" w:tplc="040C0005" w:tentative="1">
      <w:start w:val="1"/>
      <w:numFmt w:val="bullet"/>
      <w:lvlText w:val=""/>
      <w:lvlJc w:val="left"/>
      <w:pPr>
        <w:ind w:left="11880" w:hanging="360"/>
      </w:pPr>
      <w:rPr>
        <w:rFonts w:ascii="Wingdings" w:hAnsi="Wingdings" w:hint="default"/>
      </w:rPr>
    </w:lvl>
  </w:abstractNum>
  <w:num w:numId="1">
    <w:abstractNumId w:val="21"/>
  </w:num>
  <w:num w:numId="2">
    <w:abstractNumId w:val="20"/>
  </w:num>
  <w:num w:numId="3">
    <w:abstractNumId w:val="4"/>
  </w:num>
  <w:num w:numId="4">
    <w:abstractNumId w:val="12"/>
  </w:num>
  <w:num w:numId="5">
    <w:abstractNumId w:val="13"/>
  </w:num>
  <w:num w:numId="6">
    <w:abstractNumId w:val="5"/>
  </w:num>
  <w:num w:numId="7">
    <w:abstractNumId w:val="23"/>
  </w:num>
  <w:num w:numId="8">
    <w:abstractNumId w:val="11"/>
  </w:num>
  <w:num w:numId="9">
    <w:abstractNumId w:val="17"/>
  </w:num>
  <w:num w:numId="10">
    <w:abstractNumId w:val="18"/>
  </w:num>
  <w:num w:numId="11">
    <w:abstractNumId w:val="22"/>
  </w:num>
  <w:num w:numId="12">
    <w:abstractNumId w:val="6"/>
  </w:num>
  <w:num w:numId="13">
    <w:abstractNumId w:val="2"/>
  </w:num>
  <w:num w:numId="14">
    <w:abstractNumId w:val="9"/>
  </w:num>
  <w:num w:numId="15">
    <w:abstractNumId w:val="10"/>
  </w:num>
  <w:num w:numId="16">
    <w:abstractNumId w:val="1"/>
  </w:num>
  <w:num w:numId="17">
    <w:abstractNumId w:val="16"/>
  </w:num>
  <w:num w:numId="18">
    <w:abstractNumId w:val="15"/>
  </w:num>
  <w:num w:numId="19">
    <w:abstractNumId w:val="3"/>
  </w:num>
  <w:num w:numId="20">
    <w:abstractNumId w:val="0"/>
  </w:num>
  <w:num w:numId="21">
    <w:abstractNumId w:val="14"/>
  </w:num>
  <w:num w:numId="22">
    <w:abstractNumId w:val="19"/>
  </w:num>
  <w:num w:numId="23">
    <w:abstractNumId w:val="8"/>
  </w:num>
  <w:num w:numId="24">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D2"/>
    <w:rsid w:val="00001E33"/>
    <w:rsid w:val="00004ACB"/>
    <w:rsid w:val="00007077"/>
    <w:rsid w:val="0001042A"/>
    <w:rsid w:val="000105FB"/>
    <w:rsid w:val="00014688"/>
    <w:rsid w:val="00020BE9"/>
    <w:rsid w:val="000226DC"/>
    <w:rsid w:val="00024731"/>
    <w:rsid w:val="000257E4"/>
    <w:rsid w:val="00026B61"/>
    <w:rsid w:val="00030370"/>
    <w:rsid w:val="00032AAC"/>
    <w:rsid w:val="0003548F"/>
    <w:rsid w:val="000379FF"/>
    <w:rsid w:val="00043905"/>
    <w:rsid w:val="00044880"/>
    <w:rsid w:val="0004777B"/>
    <w:rsid w:val="00047C0C"/>
    <w:rsid w:val="000512BD"/>
    <w:rsid w:val="00051F5B"/>
    <w:rsid w:val="0005479B"/>
    <w:rsid w:val="0005559E"/>
    <w:rsid w:val="00055F50"/>
    <w:rsid w:val="000608A7"/>
    <w:rsid w:val="00061193"/>
    <w:rsid w:val="000614A8"/>
    <w:rsid w:val="0006282F"/>
    <w:rsid w:val="00067441"/>
    <w:rsid w:val="000731E4"/>
    <w:rsid w:val="00075577"/>
    <w:rsid w:val="00080658"/>
    <w:rsid w:val="000824FE"/>
    <w:rsid w:val="000841B2"/>
    <w:rsid w:val="000854CC"/>
    <w:rsid w:val="0008587B"/>
    <w:rsid w:val="0008781B"/>
    <w:rsid w:val="00090164"/>
    <w:rsid w:val="00094570"/>
    <w:rsid w:val="000A211D"/>
    <w:rsid w:val="000A278D"/>
    <w:rsid w:val="000A5A53"/>
    <w:rsid w:val="000B2538"/>
    <w:rsid w:val="000B2EA7"/>
    <w:rsid w:val="000C018D"/>
    <w:rsid w:val="000C0661"/>
    <w:rsid w:val="000C466C"/>
    <w:rsid w:val="000D268B"/>
    <w:rsid w:val="000E1B2D"/>
    <w:rsid w:val="000E236B"/>
    <w:rsid w:val="000F0F4B"/>
    <w:rsid w:val="000F2D90"/>
    <w:rsid w:val="000F7E59"/>
    <w:rsid w:val="001042E6"/>
    <w:rsid w:val="00105921"/>
    <w:rsid w:val="0011695C"/>
    <w:rsid w:val="001238CC"/>
    <w:rsid w:val="00124878"/>
    <w:rsid w:val="0013063C"/>
    <w:rsid w:val="00132795"/>
    <w:rsid w:val="001352C7"/>
    <w:rsid w:val="00135971"/>
    <w:rsid w:val="00136859"/>
    <w:rsid w:val="00136C92"/>
    <w:rsid w:val="00142BEE"/>
    <w:rsid w:val="00143F0F"/>
    <w:rsid w:val="00144BF6"/>
    <w:rsid w:val="001513FE"/>
    <w:rsid w:val="00154763"/>
    <w:rsid w:val="0016092E"/>
    <w:rsid w:val="001616A5"/>
    <w:rsid w:val="00164D63"/>
    <w:rsid w:val="00164FBF"/>
    <w:rsid w:val="00165493"/>
    <w:rsid w:val="00165F2A"/>
    <w:rsid w:val="0017312D"/>
    <w:rsid w:val="00173306"/>
    <w:rsid w:val="00177A06"/>
    <w:rsid w:val="00180B56"/>
    <w:rsid w:val="00191A8E"/>
    <w:rsid w:val="00192F55"/>
    <w:rsid w:val="00194643"/>
    <w:rsid w:val="00195A44"/>
    <w:rsid w:val="001A079D"/>
    <w:rsid w:val="001A675C"/>
    <w:rsid w:val="001B003C"/>
    <w:rsid w:val="001B1F38"/>
    <w:rsid w:val="001B41B9"/>
    <w:rsid w:val="001B7BE2"/>
    <w:rsid w:val="001C1335"/>
    <w:rsid w:val="001C3207"/>
    <w:rsid w:val="001C47F9"/>
    <w:rsid w:val="001C57F2"/>
    <w:rsid w:val="001D3DF9"/>
    <w:rsid w:val="001E14E0"/>
    <w:rsid w:val="001E2D74"/>
    <w:rsid w:val="001E60AC"/>
    <w:rsid w:val="001F3B60"/>
    <w:rsid w:val="00200D92"/>
    <w:rsid w:val="0020327A"/>
    <w:rsid w:val="00205C7D"/>
    <w:rsid w:val="00206A30"/>
    <w:rsid w:val="0021374F"/>
    <w:rsid w:val="0022644C"/>
    <w:rsid w:val="00227CAF"/>
    <w:rsid w:val="0023068A"/>
    <w:rsid w:val="00235A79"/>
    <w:rsid w:val="00241301"/>
    <w:rsid w:val="00252404"/>
    <w:rsid w:val="00255848"/>
    <w:rsid w:val="00262C90"/>
    <w:rsid w:val="00270B18"/>
    <w:rsid w:val="00271947"/>
    <w:rsid w:val="00271B34"/>
    <w:rsid w:val="00273901"/>
    <w:rsid w:val="00273AD6"/>
    <w:rsid w:val="00275175"/>
    <w:rsid w:val="00275394"/>
    <w:rsid w:val="002753EF"/>
    <w:rsid w:val="00280434"/>
    <w:rsid w:val="0028061E"/>
    <w:rsid w:val="00280A91"/>
    <w:rsid w:val="00280BDD"/>
    <w:rsid w:val="00292755"/>
    <w:rsid w:val="002930A3"/>
    <w:rsid w:val="002A0DAA"/>
    <w:rsid w:val="002A38BD"/>
    <w:rsid w:val="002A49A7"/>
    <w:rsid w:val="002B7510"/>
    <w:rsid w:val="002C566D"/>
    <w:rsid w:val="002C5E9A"/>
    <w:rsid w:val="002C6CF2"/>
    <w:rsid w:val="002C73C8"/>
    <w:rsid w:val="002D1832"/>
    <w:rsid w:val="002E1302"/>
    <w:rsid w:val="002E275D"/>
    <w:rsid w:val="002E42F4"/>
    <w:rsid w:val="002F56F6"/>
    <w:rsid w:val="00322901"/>
    <w:rsid w:val="00334E74"/>
    <w:rsid w:val="00335AC4"/>
    <w:rsid w:val="003419A7"/>
    <w:rsid w:val="00341C40"/>
    <w:rsid w:val="00343A3D"/>
    <w:rsid w:val="0034521E"/>
    <w:rsid w:val="00351762"/>
    <w:rsid w:val="00352AA6"/>
    <w:rsid w:val="00352CB2"/>
    <w:rsid w:val="0036064B"/>
    <w:rsid w:val="0036077A"/>
    <w:rsid w:val="003625EF"/>
    <w:rsid w:val="00363412"/>
    <w:rsid w:val="00363DA1"/>
    <w:rsid w:val="003640F8"/>
    <w:rsid w:val="00364A69"/>
    <w:rsid w:val="00367299"/>
    <w:rsid w:val="00370166"/>
    <w:rsid w:val="00381E53"/>
    <w:rsid w:val="003825B2"/>
    <w:rsid w:val="00395126"/>
    <w:rsid w:val="003963E8"/>
    <w:rsid w:val="003A0DF0"/>
    <w:rsid w:val="003A0F87"/>
    <w:rsid w:val="003A1D55"/>
    <w:rsid w:val="003A4D23"/>
    <w:rsid w:val="003B20AD"/>
    <w:rsid w:val="003B6675"/>
    <w:rsid w:val="003B79E8"/>
    <w:rsid w:val="003C0EBC"/>
    <w:rsid w:val="003C22AE"/>
    <w:rsid w:val="003C39BF"/>
    <w:rsid w:val="003C68E7"/>
    <w:rsid w:val="003D05D2"/>
    <w:rsid w:val="003E1A4D"/>
    <w:rsid w:val="003F13E2"/>
    <w:rsid w:val="003F5756"/>
    <w:rsid w:val="004004E3"/>
    <w:rsid w:val="00400A20"/>
    <w:rsid w:val="0040270F"/>
    <w:rsid w:val="00403924"/>
    <w:rsid w:val="00403F97"/>
    <w:rsid w:val="0040601B"/>
    <w:rsid w:val="0040669E"/>
    <w:rsid w:val="00412BA8"/>
    <w:rsid w:val="00413A21"/>
    <w:rsid w:val="00413D1F"/>
    <w:rsid w:val="00420F0F"/>
    <w:rsid w:val="00423586"/>
    <w:rsid w:val="004265C7"/>
    <w:rsid w:val="004364F8"/>
    <w:rsid w:val="00436B4D"/>
    <w:rsid w:val="00444700"/>
    <w:rsid w:val="00453766"/>
    <w:rsid w:val="00457506"/>
    <w:rsid w:val="00457DC4"/>
    <w:rsid w:val="004612DF"/>
    <w:rsid w:val="00461709"/>
    <w:rsid w:val="00461C9C"/>
    <w:rsid w:val="004628A4"/>
    <w:rsid w:val="00463892"/>
    <w:rsid w:val="00464FF8"/>
    <w:rsid w:val="004672B4"/>
    <w:rsid w:val="00470C53"/>
    <w:rsid w:val="00470E2F"/>
    <w:rsid w:val="00471930"/>
    <w:rsid w:val="00471F90"/>
    <w:rsid w:val="0047465C"/>
    <w:rsid w:val="00476A50"/>
    <w:rsid w:val="00477C9F"/>
    <w:rsid w:val="004912FA"/>
    <w:rsid w:val="00492510"/>
    <w:rsid w:val="00494397"/>
    <w:rsid w:val="004965FF"/>
    <w:rsid w:val="00497653"/>
    <w:rsid w:val="004A06B3"/>
    <w:rsid w:val="004A4AFB"/>
    <w:rsid w:val="004C1C24"/>
    <w:rsid w:val="004C2EA9"/>
    <w:rsid w:val="004C494A"/>
    <w:rsid w:val="004C4E32"/>
    <w:rsid w:val="004D5075"/>
    <w:rsid w:val="004D6862"/>
    <w:rsid w:val="004D7985"/>
    <w:rsid w:val="004E12F1"/>
    <w:rsid w:val="004E17EE"/>
    <w:rsid w:val="004E4C2A"/>
    <w:rsid w:val="004E5AE3"/>
    <w:rsid w:val="004F3897"/>
    <w:rsid w:val="00502124"/>
    <w:rsid w:val="00510B27"/>
    <w:rsid w:val="00510ECD"/>
    <w:rsid w:val="00516838"/>
    <w:rsid w:val="00520E94"/>
    <w:rsid w:val="0052285D"/>
    <w:rsid w:val="00522D63"/>
    <w:rsid w:val="00527454"/>
    <w:rsid w:val="005308EC"/>
    <w:rsid w:val="005323F8"/>
    <w:rsid w:val="00534EEE"/>
    <w:rsid w:val="00536A54"/>
    <w:rsid w:val="0054133B"/>
    <w:rsid w:val="00550B54"/>
    <w:rsid w:val="00552A83"/>
    <w:rsid w:val="00555482"/>
    <w:rsid w:val="005568A3"/>
    <w:rsid w:val="00564FB7"/>
    <w:rsid w:val="00570C68"/>
    <w:rsid w:val="00572FC2"/>
    <w:rsid w:val="00576487"/>
    <w:rsid w:val="00581810"/>
    <w:rsid w:val="00581E9F"/>
    <w:rsid w:val="00587F98"/>
    <w:rsid w:val="0059715B"/>
    <w:rsid w:val="005A6FD6"/>
    <w:rsid w:val="005A7FC8"/>
    <w:rsid w:val="005B1147"/>
    <w:rsid w:val="005C1708"/>
    <w:rsid w:val="005C2AD9"/>
    <w:rsid w:val="005C5F70"/>
    <w:rsid w:val="005D08CB"/>
    <w:rsid w:val="005D136E"/>
    <w:rsid w:val="005D65C1"/>
    <w:rsid w:val="005D7663"/>
    <w:rsid w:val="005D776A"/>
    <w:rsid w:val="005D7AFF"/>
    <w:rsid w:val="005E07E8"/>
    <w:rsid w:val="005E42A7"/>
    <w:rsid w:val="005E6FFD"/>
    <w:rsid w:val="005F62B4"/>
    <w:rsid w:val="005F7175"/>
    <w:rsid w:val="006043F5"/>
    <w:rsid w:val="006046D9"/>
    <w:rsid w:val="0060707C"/>
    <w:rsid w:val="00617364"/>
    <w:rsid w:val="00617D72"/>
    <w:rsid w:val="00630AFA"/>
    <w:rsid w:val="0063178C"/>
    <w:rsid w:val="0063662A"/>
    <w:rsid w:val="00647C8D"/>
    <w:rsid w:val="006520FD"/>
    <w:rsid w:val="00660325"/>
    <w:rsid w:val="006614C9"/>
    <w:rsid w:val="0066646D"/>
    <w:rsid w:val="0067069D"/>
    <w:rsid w:val="0068144E"/>
    <w:rsid w:val="00683D42"/>
    <w:rsid w:val="006851D9"/>
    <w:rsid w:val="006853B3"/>
    <w:rsid w:val="00686C54"/>
    <w:rsid w:val="006970EB"/>
    <w:rsid w:val="006A0E34"/>
    <w:rsid w:val="006A1176"/>
    <w:rsid w:val="006A3768"/>
    <w:rsid w:val="006A6ADE"/>
    <w:rsid w:val="006C2B89"/>
    <w:rsid w:val="006C6715"/>
    <w:rsid w:val="006C7B7A"/>
    <w:rsid w:val="006D0C89"/>
    <w:rsid w:val="006E6555"/>
    <w:rsid w:val="006E7297"/>
    <w:rsid w:val="006E7DB3"/>
    <w:rsid w:val="006F04B5"/>
    <w:rsid w:val="0070340F"/>
    <w:rsid w:val="00703B6B"/>
    <w:rsid w:val="00707C5B"/>
    <w:rsid w:val="00713B75"/>
    <w:rsid w:val="0071635D"/>
    <w:rsid w:val="00717093"/>
    <w:rsid w:val="0071781D"/>
    <w:rsid w:val="00720684"/>
    <w:rsid w:val="00720DA6"/>
    <w:rsid w:val="0072307C"/>
    <w:rsid w:val="0073443A"/>
    <w:rsid w:val="007418AF"/>
    <w:rsid w:val="00742A67"/>
    <w:rsid w:val="00746FE9"/>
    <w:rsid w:val="0075057F"/>
    <w:rsid w:val="007552A3"/>
    <w:rsid w:val="00760D9D"/>
    <w:rsid w:val="007616FB"/>
    <w:rsid w:val="00764300"/>
    <w:rsid w:val="007669EF"/>
    <w:rsid w:val="00767D96"/>
    <w:rsid w:val="0078355B"/>
    <w:rsid w:val="00793B83"/>
    <w:rsid w:val="00797C09"/>
    <w:rsid w:val="007A45BD"/>
    <w:rsid w:val="007A6F98"/>
    <w:rsid w:val="007C18C3"/>
    <w:rsid w:val="007C1A25"/>
    <w:rsid w:val="007D03D6"/>
    <w:rsid w:val="007D1E0C"/>
    <w:rsid w:val="007D3C70"/>
    <w:rsid w:val="007D40C8"/>
    <w:rsid w:val="007E16FA"/>
    <w:rsid w:val="007E34C7"/>
    <w:rsid w:val="007E34D3"/>
    <w:rsid w:val="007E437F"/>
    <w:rsid w:val="007F2B5F"/>
    <w:rsid w:val="007F30EA"/>
    <w:rsid w:val="007F314A"/>
    <w:rsid w:val="007F5642"/>
    <w:rsid w:val="007F78C1"/>
    <w:rsid w:val="008009DE"/>
    <w:rsid w:val="00804182"/>
    <w:rsid w:val="00810518"/>
    <w:rsid w:val="008115CF"/>
    <w:rsid w:val="0081554E"/>
    <w:rsid w:val="008255B4"/>
    <w:rsid w:val="00830AD8"/>
    <w:rsid w:val="00833423"/>
    <w:rsid w:val="0083455E"/>
    <w:rsid w:val="00837CE4"/>
    <w:rsid w:val="00843283"/>
    <w:rsid w:val="00845591"/>
    <w:rsid w:val="008517B2"/>
    <w:rsid w:val="00860543"/>
    <w:rsid w:val="008662C9"/>
    <w:rsid w:val="00867275"/>
    <w:rsid w:val="00871EDC"/>
    <w:rsid w:val="00874110"/>
    <w:rsid w:val="0087534B"/>
    <w:rsid w:val="0088297F"/>
    <w:rsid w:val="00884439"/>
    <w:rsid w:val="00884994"/>
    <w:rsid w:val="008871D8"/>
    <w:rsid w:val="0089122F"/>
    <w:rsid w:val="008923B0"/>
    <w:rsid w:val="00892C89"/>
    <w:rsid w:val="008A2591"/>
    <w:rsid w:val="008A3A42"/>
    <w:rsid w:val="008A5AAE"/>
    <w:rsid w:val="008A77F2"/>
    <w:rsid w:val="008B205D"/>
    <w:rsid w:val="008D213D"/>
    <w:rsid w:val="008D47BF"/>
    <w:rsid w:val="008F4868"/>
    <w:rsid w:val="00902EB7"/>
    <w:rsid w:val="0090421D"/>
    <w:rsid w:val="009044A3"/>
    <w:rsid w:val="00906E39"/>
    <w:rsid w:val="0090715E"/>
    <w:rsid w:val="009162B8"/>
    <w:rsid w:val="00917034"/>
    <w:rsid w:val="00925CA5"/>
    <w:rsid w:val="00932656"/>
    <w:rsid w:val="00934040"/>
    <w:rsid w:val="0093423F"/>
    <w:rsid w:val="00935BE7"/>
    <w:rsid w:val="00935FDA"/>
    <w:rsid w:val="00940363"/>
    <w:rsid w:val="009415A6"/>
    <w:rsid w:val="009468F4"/>
    <w:rsid w:val="009522DF"/>
    <w:rsid w:val="0095423D"/>
    <w:rsid w:val="009550CB"/>
    <w:rsid w:val="009560D7"/>
    <w:rsid w:val="009615BA"/>
    <w:rsid w:val="00966079"/>
    <w:rsid w:val="0096642F"/>
    <w:rsid w:val="00966B31"/>
    <w:rsid w:val="00970878"/>
    <w:rsid w:val="00974DDD"/>
    <w:rsid w:val="009753E6"/>
    <w:rsid w:val="009758F2"/>
    <w:rsid w:val="00975C04"/>
    <w:rsid w:val="00976D5B"/>
    <w:rsid w:val="00976FA8"/>
    <w:rsid w:val="009772D1"/>
    <w:rsid w:val="00982199"/>
    <w:rsid w:val="0099018C"/>
    <w:rsid w:val="009A2164"/>
    <w:rsid w:val="009A252F"/>
    <w:rsid w:val="009A4C7A"/>
    <w:rsid w:val="009A5C78"/>
    <w:rsid w:val="009A624B"/>
    <w:rsid w:val="009A6634"/>
    <w:rsid w:val="009B0D40"/>
    <w:rsid w:val="009B0E33"/>
    <w:rsid w:val="009B4561"/>
    <w:rsid w:val="009B48E1"/>
    <w:rsid w:val="009B4B63"/>
    <w:rsid w:val="009B4C7D"/>
    <w:rsid w:val="009B5924"/>
    <w:rsid w:val="009C0B7E"/>
    <w:rsid w:val="009C14C1"/>
    <w:rsid w:val="009C747C"/>
    <w:rsid w:val="009D0B3B"/>
    <w:rsid w:val="009D29AD"/>
    <w:rsid w:val="009D3774"/>
    <w:rsid w:val="009D610C"/>
    <w:rsid w:val="009E3280"/>
    <w:rsid w:val="009E5396"/>
    <w:rsid w:val="009F6FC4"/>
    <w:rsid w:val="00A02D29"/>
    <w:rsid w:val="00A05178"/>
    <w:rsid w:val="00A06B1A"/>
    <w:rsid w:val="00A11178"/>
    <w:rsid w:val="00A13981"/>
    <w:rsid w:val="00A14675"/>
    <w:rsid w:val="00A4656E"/>
    <w:rsid w:val="00A46D96"/>
    <w:rsid w:val="00A55426"/>
    <w:rsid w:val="00A64D3B"/>
    <w:rsid w:val="00A736DA"/>
    <w:rsid w:val="00A75FC8"/>
    <w:rsid w:val="00A76B95"/>
    <w:rsid w:val="00A8247B"/>
    <w:rsid w:val="00A83CA1"/>
    <w:rsid w:val="00A854D3"/>
    <w:rsid w:val="00A873A4"/>
    <w:rsid w:val="00A92CFB"/>
    <w:rsid w:val="00A94641"/>
    <w:rsid w:val="00AA11C3"/>
    <w:rsid w:val="00AA213A"/>
    <w:rsid w:val="00AA230F"/>
    <w:rsid w:val="00AB0591"/>
    <w:rsid w:val="00AB206E"/>
    <w:rsid w:val="00AB2221"/>
    <w:rsid w:val="00AB283E"/>
    <w:rsid w:val="00AB4939"/>
    <w:rsid w:val="00AB74B8"/>
    <w:rsid w:val="00AC0D25"/>
    <w:rsid w:val="00AC4A51"/>
    <w:rsid w:val="00AD1946"/>
    <w:rsid w:val="00AD21AB"/>
    <w:rsid w:val="00AD635E"/>
    <w:rsid w:val="00AE50A3"/>
    <w:rsid w:val="00AE7017"/>
    <w:rsid w:val="00AF7A9B"/>
    <w:rsid w:val="00B05499"/>
    <w:rsid w:val="00B07FA0"/>
    <w:rsid w:val="00B11EF2"/>
    <w:rsid w:val="00B20894"/>
    <w:rsid w:val="00B268D6"/>
    <w:rsid w:val="00B41112"/>
    <w:rsid w:val="00B42830"/>
    <w:rsid w:val="00B46601"/>
    <w:rsid w:val="00B665B4"/>
    <w:rsid w:val="00B6733A"/>
    <w:rsid w:val="00B708A0"/>
    <w:rsid w:val="00B71E8F"/>
    <w:rsid w:val="00B72E82"/>
    <w:rsid w:val="00B75693"/>
    <w:rsid w:val="00B83652"/>
    <w:rsid w:val="00B84F65"/>
    <w:rsid w:val="00B91482"/>
    <w:rsid w:val="00B93A1D"/>
    <w:rsid w:val="00BA47BD"/>
    <w:rsid w:val="00BB1BFF"/>
    <w:rsid w:val="00BB1EDC"/>
    <w:rsid w:val="00BB691E"/>
    <w:rsid w:val="00BD0B44"/>
    <w:rsid w:val="00BD3337"/>
    <w:rsid w:val="00BD730C"/>
    <w:rsid w:val="00BD7315"/>
    <w:rsid w:val="00BE2DCB"/>
    <w:rsid w:val="00BE4D5A"/>
    <w:rsid w:val="00BE7B32"/>
    <w:rsid w:val="00BF03D2"/>
    <w:rsid w:val="00BF15E9"/>
    <w:rsid w:val="00BF5339"/>
    <w:rsid w:val="00BF6D54"/>
    <w:rsid w:val="00BF7DE1"/>
    <w:rsid w:val="00C00FB2"/>
    <w:rsid w:val="00C012E7"/>
    <w:rsid w:val="00C057B2"/>
    <w:rsid w:val="00C06863"/>
    <w:rsid w:val="00C1263A"/>
    <w:rsid w:val="00C13009"/>
    <w:rsid w:val="00C21201"/>
    <w:rsid w:val="00C22F12"/>
    <w:rsid w:val="00C23FC0"/>
    <w:rsid w:val="00C244AB"/>
    <w:rsid w:val="00C26768"/>
    <w:rsid w:val="00C316D0"/>
    <w:rsid w:val="00C344BD"/>
    <w:rsid w:val="00C350B1"/>
    <w:rsid w:val="00C36569"/>
    <w:rsid w:val="00C37C5C"/>
    <w:rsid w:val="00C43ECF"/>
    <w:rsid w:val="00C43EF6"/>
    <w:rsid w:val="00C44278"/>
    <w:rsid w:val="00C47158"/>
    <w:rsid w:val="00C53061"/>
    <w:rsid w:val="00C5634C"/>
    <w:rsid w:val="00C63FD0"/>
    <w:rsid w:val="00C64D8E"/>
    <w:rsid w:val="00C713C4"/>
    <w:rsid w:val="00C715A0"/>
    <w:rsid w:val="00C73CE1"/>
    <w:rsid w:val="00C750E3"/>
    <w:rsid w:val="00C831A8"/>
    <w:rsid w:val="00C83472"/>
    <w:rsid w:val="00C8359C"/>
    <w:rsid w:val="00C8397F"/>
    <w:rsid w:val="00C846AE"/>
    <w:rsid w:val="00C85448"/>
    <w:rsid w:val="00C869C4"/>
    <w:rsid w:val="00C86E6F"/>
    <w:rsid w:val="00C91225"/>
    <w:rsid w:val="00CA01BE"/>
    <w:rsid w:val="00CA3908"/>
    <w:rsid w:val="00CA4238"/>
    <w:rsid w:val="00CB45DC"/>
    <w:rsid w:val="00CB58E1"/>
    <w:rsid w:val="00CB63D9"/>
    <w:rsid w:val="00CB6D35"/>
    <w:rsid w:val="00CC21B4"/>
    <w:rsid w:val="00CC44BE"/>
    <w:rsid w:val="00CC7983"/>
    <w:rsid w:val="00CD3C57"/>
    <w:rsid w:val="00CE7869"/>
    <w:rsid w:val="00CF0311"/>
    <w:rsid w:val="00CF587F"/>
    <w:rsid w:val="00CF6A5C"/>
    <w:rsid w:val="00CF6F04"/>
    <w:rsid w:val="00D00419"/>
    <w:rsid w:val="00D02C98"/>
    <w:rsid w:val="00D1002F"/>
    <w:rsid w:val="00D13D3C"/>
    <w:rsid w:val="00D14631"/>
    <w:rsid w:val="00D20482"/>
    <w:rsid w:val="00D274F9"/>
    <w:rsid w:val="00D34C3E"/>
    <w:rsid w:val="00D36D69"/>
    <w:rsid w:val="00D4223B"/>
    <w:rsid w:val="00D45027"/>
    <w:rsid w:val="00D457FC"/>
    <w:rsid w:val="00D531A5"/>
    <w:rsid w:val="00D57241"/>
    <w:rsid w:val="00D57776"/>
    <w:rsid w:val="00D57A9D"/>
    <w:rsid w:val="00D61254"/>
    <w:rsid w:val="00D638D1"/>
    <w:rsid w:val="00D65D63"/>
    <w:rsid w:val="00D765EC"/>
    <w:rsid w:val="00D80319"/>
    <w:rsid w:val="00D807F4"/>
    <w:rsid w:val="00D943FE"/>
    <w:rsid w:val="00D94E93"/>
    <w:rsid w:val="00D96FA8"/>
    <w:rsid w:val="00DA2E84"/>
    <w:rsid w:val="00DA641C"/>
    <w:rsid w:val="00DB0C82"/>
    <w:rsid w:val="00DB4AC1"/>
    <w:rsid w:val="00DB6018"/>
    <w:rsid w:val="00DB733B"/>
    <w:rsid w:val="00DC1485"/>
    <w:rsid w:val="00DC52AC"/>
    <w:rsid w:val="00DD2AD8"/>
    <w:rsid w:val="00DE0E90"/>
    <w:rsid w:val="00DE51AD"/>
    <w:rsid w:val="00DE68CC"/>
    <w:rsid w:val="00DE6F6D"/>
    <w:rsid w:val="00DF5F70"/>
    <w:rsid w:val="00DF6709"/>
    <w:rsid w:val="00E0148D"/>
    <w:rsid w:val="00E01D30"/>
    <w:rsid w:val="00E024FD"/>
    <w:rsid w:val="00E06086"/>
    <w:rsid w:val="00E242BA"/>
    <w:rsid w:val="00E270A5"/>
    <w:rsid w:val="00E31A6C"/>
    <w:rsid w:val="00E43742"/>
    <w:rsid w:val="00E5118B"/>
    <w:rsid w:val="00E53394"/>
    <w:rsid w:val="00E601B4"/>
    <w:rsid w:val="00E61962"/>
    <w:rsid w:val="00E70732"/>
    <w:rsid w:val="00E70D69"/>
    <w:rsid w:val="00E7209D"/>
    <w:rsid w:val="00E74261"/>
    <w:rsid w:val="00E7700B"/>
    <w:rsid w:val="00E81CD7"/>
    <w:rsid w:val="00E96AE3"/>
    <w:rsid w:val="00E97C4F"/>
    <w:rsid w:val="00EA3B29"/>
    <w:rsid w:val="00EB5297"/>
    <w:rsid w:val="00EB6D5E"/>
    <w:rsid w:val="00EC4229"/>
    <w:rsid w:val="00EC69E4"/>
    <w:rsid w:val="00EC780F"/>
    <w:rsid w:val="00ED252B"/>
    <w:rsid w:val="00ED2D77"/>
    <w:rsid w:val="00EE288D"/>
    <w:rsid w:val="00EE5205"/>
    <w:rsid w:val="00EF385F"/>
    <w:rsid w:val="00EF41D7"/>
    <w:rsid w:val="00F07B2D"/>
    <w:rsid w:val="00F11A07"/>
    <w:rsid w:val="00F210F1"/>
    <w:rsid w:val="00F240AC"/>
    <w:rsid w:val="00F27B8A"/>
    <w:rsid w:val="00F27E9E"/>
    <w:rsid w:val="00F3324F"/>
    <w:rsid w:val="00F4168C"/>
    <w:rsid w:val="00F41C46"/>
    <w:rsid w:val="00F4261B"/>
    <w:rsid w:val="00F516D9"/>
    <w:rsid w:val="00F52C91"/>
    <w:rsid w:val="00F54527"/>
    <w:rsid w:val="00F61EE0"/>
    <w:rsid w:val="00F62DC8"/>
    <w:rsid w:val="00F64054"/>
    <w:rsid w:val="00F64451"/>
    <w:rsid w:val="00F64CEA"/>
    <w:rsid w:val="00F65822"/>
    <w:rsid w:val="00F65969"/>
    <w:rsid w:val="00F67C7E"/>
    <w:rsid w:val="00F74749"/>
    <w:rsid w:val="00F76F29"/>
    <w:rsid w:val="00F814AA"/>
    <w:rsid w:val="00F81D8B"/>
    <w:rsid w:val="00F83372"/>
    <w:rsid w:val="00F862FD"/>
    <w:rsid w:val="00F92AAA"/>
    <w:rsid w:val="00F92FEF"/>
    <w:rsid w:val="00FA2A17"/>
    <w:rsid w:val="00FA3396"/>
    <w:rsid w:val="00FB3DDB"/>
    <w:rsid w:val="00FB4648"/>
    <w:rsid w:val="00FC0A47"/>
    <w:rsid w:val="00FC3769"/>
    <w:rsid w:val="00FC572E"/>
    <w:rsid w:val="00FC7DB3"/>
    <w:rsid w:val="00FD09D1"/>
    <w:rsid w:val="00FD2DFA"/>
    <w:rsid w:val="00FD3BD9"/>
    <w:rsid w:val="00FD51D5"/>
    <w:rsid w:val="00FE031F"/>
    <w:rsid w:val="00FE0F02"/>
    <w:rsid w:val="00FE5250"/>
    <w:rsid w:val="00FF6200"/>
    <w:rsid w:val="00FF6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9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BF03D2"/>
    <w:rPr>
      <w:rFonts w:cs="Times New Roman"/>
      <w:vertAlign w:val="superscript"/>
    </w:rPr>
  </w:style>
  <w:style w:type="paragraph" w:styleId="Paragraphedeliste">
    <w:name w:val="List Paragraph"/>
    <w:basedOn w:val="Normal"/>
    <w:uiPriority w:val="34"/>
    <w:qFormat/>
    <w:rsid w:val="00BF03D2"/>
    <w:pPr>
      <w:ind w:left="720"/>
      <w:contextualSpacing/>
    </w:pPr>
  </w:style>
  <w:style w:type="paragraph" w:styleId="En-tte">
    <w:name w:val="header"/>
    <w:basedOn w:val="Normal"/>
    <w:link w:val="En-tteCar"/>
    <w:uiPriority w:val="99"/>
    <w:unhideWhenUsed/>
    <w:rsid w:val="005C2AD9"/>
    <w:pPr>
      <w:tabs>
        <w:tab w:val="center" w:pos="4536"/>
        <w:tab w:val="right" w:pos="9072"/>
      </w:tabs>
      <w:spacing w:after="0" w:line="240" w:lineRule="auto"/>
    </w:pPr>
  </w:style>
  <w:style w:type="character" w:customStyle="1" w:styleId="En-tteCar">
    <w:name w:val="En-tête Car"/>
    <w:basedOn w:val="Policepardfaut"/>
    <w:link w:val="En-tte"/>
    <w:uiPriority w:val="99"/>
    <w:rsid w:val="005C2AD9"/>
  </w:style>
  <w:style w:type="paragraph" w:styleId="Pieddepage">
    <w:name w:val="footer"/>
    <w:basedOn w:val="Normal"/>
    <w:link w:val="PieddepageCar"/>
    <w:uiPriority w:val="99"/>
    <w:unhideWhenUsed/>
    <w:rsid w:val="005C2A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AD9"/>
  </w:style>
  <w:style w:type="paragraph" w:styleId="Textedebulles">
    <w:name w:val="Balloon Text"/>
    <w:basedOn w:val="Normal"/>
    <w:link w:val="TextedebullesCar"/>
    <w:uiPriority w:val="99"/>
    <w:semiHidden/>
    <w:unhideWhenUsed/>
    <w:rsid w:val="009C0B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B7E"/>
    <w:rPr>
      <w:rFonts w:ascii="Tahoma" w:hAnsi="Tahoma" w:cs="Tahoma"/>
      <w:sz w:val="16"/>
      <w:szCs w:val="16"/>
    </w:rPr>
  </w:style>
  <w:style w:type="character" w:styleId="lev">
    <w:name w:val="Strong"/>
    <w:basedOn w:val="Policepardfaut"/>
    <w:uiPriority w:val="22"/>
    <w:qFormat/>
    <w:rsid w:val="00020BE9"/>
    <w:rPr>
      <w:b/>
      <w:bCs/>
    </w:rPr>
  </w:style>
  <w:style w:type="paragraph" w:customStyle="1" w:styleId="Default">
    <w:name w:val="Default"/>
    <w:rsid w:val="009D0B3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869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69C4"/>
    <w:rPr>
      <w:color w:val="0000FF"/>
      <w:u w:val="single"/>
    </w:rPr>
  </w:style>
  <w:style w:type="character" w:styleId="Marquedecommentaire">
    <w:name w:val="annotation reference"/>
    <w:basedOn w:val="Policepardfaut"/>
    <w:uiPriority w:val="99"/>
    <w:semiHidden/>
    <w:unhideWhenUsed/>
    <w:rsid w:val="001A079D"/>
    <w:rPr>
      <w:sz w:val="18"/>
      <w:szCs w:val="18"/>
    </w:rPr>
  </w:style>
  <w:style w:type="paragraph" w:styleId="Commentaire">
    <w:name w:val="annotation text"/>
    <w:basedOn w:val="Normal"/>
    <w:link w:val="CommentaireCar"/>
    <w:uiPriority w:val="99"/>
    <w:semiHidden/>
    <w:unhideWhenUsed/>
    <w:rsid w:val="001A079D"/>
    <w:pPr>
      <w:spacing w:line="240" w:lineRule="auto"/>
    </w:pPr>
    <w:rPr>
      <w:sz w:val="24"/>
      <w:szCs w:val="24"/>
    </w:rPr>
  </w:style>
  <w:style w:type="character" w:customStyle="1" w:styleId="CommentaireCar">
    <w:name w:val="Commentaire Car"/>
    <w:basedOn w:val="Policepardfaut"/>
    <w:link w:val="Commentaire"/>
    <w:uiPriority w:val="99"/>
    <w:semiHidden/>
    <w:rsid w:val="001A079D"/>
    <w:rPr>
      <w:sz w:val="24"/>
      <w:szCs w:val="24"/>
      <w:lang w:val="en-GB"/>
    </w:rPr>
  </w:style>
  <w:style w:type="paragraph" w:styleId="Objetducommentaire">
    <w:name w:val="annotation subject"/>
    <w:basedOn w:val="Commentaire"/>
    <w:next w:val="Commentaire"/>
    <w:link w:val="ObjetducommentaireCar"/>
    <w:uiPriority w:val="99"/>
    <w:semiHidden/>
    <w:unhideWhenUsed/>
    <w:rsid w:val="001A079D"/>
    <w:rPr>
      <w:b/>
      <w:bCs/>
      <w:sz w:val="20"/>
      <w:szCs w:val="20"/>
    </w:rPr>
  </w:style>
  <w:style w:type="character" w:customStyle="1" w:styleId="ObjetducommentaireCar">
    <w:name w:val="Objet du commentaire Car"/>
    <w:basedOn w:val="CommentaireCar"/>
    <w:link w:val="Objetducommentaire"/>
    <w:uiPriority w:val="99"/>
    <w:semiHidden/>
    <w:rsid w:val="001A079D"/>
    <w:rPr>
      <w:b/>
      <w:bCs/>
      <w:sz w:val="20"/>
      <w:szCs w:val="20"/>
      <w:lang w:val="en-GB"/>
    </w:rPr>
  </w:style>
  <w:style w:type="paragraph" w:styleId="Notedebasdepage">
    <w:name w:val="footnote text"/>
    <w:basedOn w:val="Normal"/>
    <w:link w:val="NotedebasdepageCar"/>
    <w:uiPriority w:val="99"/>
    <w:semiHidden/>
    <w:unhideWhenUsed/>
    <w:rsid w:val="004638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3892"/>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BF03D2"/>
    <w:rPr>
      <w:rFonts w:cs="Times New Roman"/>
      <w:vertAlign w:val="superscript"/>
    </w:rPr>
  </w:style>
  <w:style w:type="paragraph" w:styleId="Paragraphedeliste">
    <w:name w:val="List Paragraph"/>
    <w:basedOn w:val="Normal"/>
    <w:uiPriority w:val="34"/>
    <w:qFormat/>
    <w:rsid w:val="00BF03D2"/>
    <w:pPr>
      <w:ind w:left="720"/>
      <w:contextualSpacing/>
    </w:pPr>
  </w:style>
  <w:style w:type="paragraph" w:styleId="En-tte">
    <w:name w:val="header"/>
    <w:basedOn w:val="Normal"/>
    <w:link w:val="En-tteCar"/>
    <w:uiPriority w:val="99"/>
    <w:unhideWhenUsed/>
    <w:rsid w:val="005C2AD9"/>
    <w:pPr>
      <w:tabs>
        <w:tab w:val="center" w:pos="4536"/>
        <w:tab w:val="right" w:pos="9072"/>
      </w:tabs>
      <w:spacing w:after="0" w:line="240" w:lineRule="auto"/>
    </w:pPr>
  </w:style>
  <w:style w:type="character" w:customStyle="1" w:styleId="En-tteCar">
    <w:name w:val="En-tête Car"/>
    <w:basedOn w:val="Policepardfaut"/>
    <w:link w:val="En-tte"/>
    <w:uiPriority w:val="99"/>
    <w:rsid w:val="005C2AD9"/>
  </w:style>
  <w:style w:type="paragraph" w:styleId="Pieddepage">
    <w:name w:val="footer"/>
    <w:basedOn w:val="Normal"/>
    <w:link w:val="PieddepageCar"/>
    <w:uiPriority w:val="99"/>
    <w:unhideWhenUsed/>
    <w:rsid w:val="005C2A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AD9"/>
  </w:style>
  <w:style w:type="paragraph" w:styleId="Textedebulles">
    <w:name w:val="Balloon Text"/>
    <w:basedOn w:val="Normal"/>
    <w:link w:val="TextedebullesCar"/>
    <w:uiPriority w:val="99"/>
    <w:semiHidden/>
    <w:unhideWhenUsed/>
    <w:rsid w:val="009C0B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B7E"/>
    <w:rPr>
      <w:rFonts w:ascii="Tahoma" w:hAnsi="Tahoma" w:cs="Tahoma"/>
      <w:sz w:val="16"/>
      <w:szCs w:val="16"/>
    </w:rPr>
  </w:style>
  <w:style w:type="character" w:styleId="lev">
    <w:name w:val="Strong"/>
    <w:basedOn w:val="Policepardfaut"/>
    <w:uiPriority w:val="22"/>
    <w:qFormat/>
    <w:rsid w:val="00020BE9"/>
    <w:rPr>
      <w:b/>
      <w:bCs/>
    </w:rPr>
  </w:style>
  <w:style w:type="paragraph" w:customStyle="1" w:styleId="Default">
    <w:name w:val="Default"/>
    <w:rsid w:val="009D0B3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869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69C4"/>
    <w:rPr>
      <w:color w:val="0000FF"/>
      <w:u w:val="single"/>
    </w:rPr>
  </w:style>
  <w:style w:type="character" w:styleId="Marquedecommentaire">
    <w:name w:val="annotation reference"/>
    <w:basedOn w:val="Policepardfaut"/>
    <w:uiPriority w:val="99"/>
    <w:semiHidden/>
    <w:unhideWhenUsed/>
    <w:rsid w:val="001A079D"/>
    <w:rPr>
      <w:sz w:val="18"/>
      <w:szCs w:val="18"/>
    </w:rPr>
  </w:style>
  <w:style w:type="paragraph" w:styleId="Commentaire">
    <w:name w:val="annotation text"/>
    <w:basedOn w:val="Normal"/>
    <w:link w:val="CommentaireCar"/>
    <w:uiPriority w:val="99"/>
    <w:semiHidden/>
    <w:unhideWhenUsed/>
    <w:rsid w:val="001A079D"/>
    <w:pPr>
      <w:spacing w:line="240" w:lineRule="auto"/>
    </w:pPr>
    <w:rPr>
      <w:sz w:val="24"/>
      <w:szCs w:val="24"/>
    </w:rPr>
  </w:style>
  <w:style w:type="character" w:customStyle="1" w:styleId="CommentaireCar">
    <w:name w:val="Commentaire Car"/>
    <w:basedOn w:val="Policepardfaut"/>
    <w:link w:val="Commentaire"/>
    <w:uiPriority w:val="99"/>
    <w:semiHidden/>
    <w:rsid w:val="001A079D"/>
    <w:rPr>
      <w:sz w:val="24"/>
      <w:szCs w:val="24"/>
      <w:lang w:val="en-GB"/>
    </w:rPr>
  </w:style>
  <w:style w:type="paragraph" w:styleId="Objetducommentaire">
    <w:name w:val="annotation subject"/>
    <w:basedOn w:val="Commentaire"/>
    <w:next w:val="Commentaire"/>
    <w:link w:val="ObjetducommentaireCar"/>
    <w:uiPriority w:val="99"/>
    <w:semiHidden/>
    <w:unhideWhenUsed/>
    <w:rsid w:val="001A079D"/>
    <w:rPr>
      <w:b/>
      <w:bCs/>
      <w:sz w:val="20"/>
      <w:szCs w:val="20"/>
    </w:rPr>
  </w:style>
  <w:style w:type="character" w:customStyle="1" w:styleId="ObjetducommentaireCar">
    <w:name w:val="Objet du commentaire Car"/>
    <w:basedOn w:val="CommentaireCar"/>
    <w:link w:val="Objetducommentaire"/>
    <w:uiPriority w:val="99"/>
    <w:semiHidden/>
    <w:rsid w:val="001A079D"/>
    <w:rPr>
      <w:b/>
      <w:bCs/>
      <w:sz w:val="20"/>
      <w:szCs w:val="20"/>
      <w:lang w:val="en-GB"/>
    </w:rPr>
  </w:style>
  <w:style w:type="paragraph" w:styleId="Notedebasdepage">
    <w:name w:val="footnote text"/>
    <w:basedOn w:val="Normal"/>
    <w:link w:val="NotedebasdepageCar"/>
    <w:uiPriority w:val="99"/>
    <w:semiHidden/>
    <w:unhideWhenUsed/>
    <w:rsid w:val="004638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389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736">
      <w:bodyDiv w:val="1"/>
      <w:marLeft w:val="0"/>
      <w:marRight w:val="0"/>
      <w:marTop w:val="0"/>
      <w:marBottom w:val="0"/>
      <w:divBdr>
        <w:top w:val="none" w:sz="0" w:space="0" w:color="auto"/>
        <w:left w:val="none" w:sz="0" w:space="0" w:color="auto"/>
        <w:bottom w:val="none" w:sz="0" w:space="0" w:color="auto"/>
        <w:right w:val="none" w:sz="0" w:space="0" w:color="auto"/>
      </w:divBdr>
    </w:div>
    <w:div w:id="591400930">
      <w:bodyDiv w:val="1"/>
      <w:marLeft w:val="0"/>
      <w:marRight w:val="0"/>
      <w:marTop w:val="0"/>
      <w:marBottom w:val="0"/>
      <w:divBdr>
        <w:top w:val="none" w:sz="0" w:space="0" w:color="auto"/>
        <w:left w:val="none" w:sz="0" w:space="0" w:color="auto"/>
        <w:bottom w:val="none" w:sz="0" w:space="0" w:color="auto"/>
        <w:right w:val="none" w:sz="0" w:space="0" w:color="auto"/>
      </w:divBdr>
      <w:divsChild>
        <w:div w:id="1654143164">
          <w:marLeft w:val="0"/>
          <w:marRight w:val="0"/>
          <w:marTop w:val="0"/>
          <w:marBottom w:val="0"/>
          <w:divBdr>
            <w:top w:val="none" w:sz="0" w:space="0" w:color="auto"/>
            <w:left w:val="none" w:sz="0" w:space="0" w:color="auto"/>
            <w:bottom w:val="none" w:sz="0" w:space="0" w:color="auto"/>
            <w:right w:val="none" w:sz="0" w:space="0" w:color="auto"/>
          </w:divBdr>
          <w:divsChild>
            <w:div w:id="288823016">
              <w:marLeft w:val="0"/>
              <w:marRight w:val="0"/>
              <w:marTop w:val="0"/>
              <w:marBottom w:val="0"/>
              <w:divBdr>
                <w:top w:val="none" w:sz="0" w:space="0" w:color="auto"/>
                <w:left w:val="none" w:sz="0" w:space="0" w:color="auto"/>
                <w:bottom w:val="none" w:sz="0" w:space="0" w:color="auto"/>
                <w:right w:val="none" w:sz="0" w:space="0" w:color="auto"/>
              </w:divBdr>
              <w:divsChild>
                <w:div w:id="1258950087">
                  <w:marLeft w:val="0"/>
                  <w:marRight w:val="0"/>
                  <w:marTop w:val="0"/>
                  <w:marBottom w:val="0"/>
                  <w:divBdr>
                    <w:top w:val="none" w:sz="0" w:space="0" w:color="auto"/>
                    <w:left w:val="none" w:sz="0" w:space="0" w:color="auto"/>
                    <w:bottom w:val="none" w:sz="0" w:space="0" w:color="auto"/>
                    <w:right w:val="none" w:sz="0" w:space="0" w:color="auto"/>
                  </w:divBdr>
                  <w:divsChild>
                    <w:div w:id="474686301">
                      <w:marLeft w:val="0"/>
                      <w:marRight w:val="0"/>
                      <w:marTop w:val="0"/>
                      <w:marBottom w:val="0"/>
                      <w:divBdr>
                        <w:top w:val="none" w:sz="0" w:space="0" w:color="auto"/>
                        <w:left w:val="none" w:sz="0" w:space="0" w:color="auto"/>
                        <w:bottom w:val="none" w:sz="0" w:space="0" w:color="auto"/>
                        <w:right w:val="none" w:sz="0" w:space="0" w:color="auto"/>
                      </w:divBdr>
                      <w:divsChild>
                        <w:div w:id="1590656790">
                          <w:marLeft w:val="0"/>
                          <w:marRight w:val="0"/>
                          <w:marTop w:val="0"/>
                          <w:marBottom w:val="0"/>
                          <w:divBdr>
                            <w:top w:val="none" w:sz="0" w:space="0" w:color="auto"/>
                            <w:left w:val="none" w:sz="0" w:space="0" w:color="auto"/>
                            <w:bottom w:val="none" w:sz="0" w:space="0" w:color="auto"/>
                            <w:right w:val="none" w:sz="0" w:space="0" w:color="auto"/>
                          </w:divBdr>
                          <w:divsChild>
                            <w:div w:id="723674018">
                              <w:marLeft w:val="0"/>
                              <w:marRight w:val="0"/>
                              <w:marTop w:val="0"/>
                              <w:marBottom w:val="0"/>
                              <w:divBdr>
                                <w:top w:val="none" w:sz="0" w:space="0" w:color="auto"/>
                                <w:left w:val="none" w:sz="0" w:space="0" w:color="auto"/>
                                <w:bottom w:val="none" w:sz="0" w:space="0" w:color="auto"/>
                                <w:right w:val="none" w:sz="0" w:space="0" w:color="auto"/>
                              </w:divBdr>
                              <w:divsChild>
                                <w:div w:id="1333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29196">
      <w:bodyDiv w:val="1"/>
      <w:marLeft w:val="0"/>
      <w:marRight w:val="0"/>
      <w:marTop w:val="0"/>
      <w:marBottom w:val="0"/>
      <w:divBdr>
        <w:top w:val="none" w:sz="0" w:space="0" w:color="auto"/>
        <w:left w:val="none" w:sz="0" w:space="0" w:color="auto"/>
        <w:bottom w:val="none" w:sz="0" w:space="0" w:color="auto"/>
        <w:right w:val="none" w:sz="0" w:space="0" w:color="auto"/>
      </w:divBdr>
    </w:div>
    <w:div w:id="1094129870">
      <w:bodyDiv w:val="1"/>
      <w:marLeft w:val="0"/>
      <w:marRight w:val="0"/>
      <w:marTop w:val="0"/>
      <w:marBottom w:val="0"/>
      <w:divBdr>
        <w:top w:val="none" w:sz="0" w:space="0" w:color="auto"/>
        <w:left w:val="none" w:sz="0" w:space="0" w:color="auto"/>
        <w:bottom w:val="none" w:sz="0" w:space="0" w:color="auto"/>
        <w:right w:val="none" w:sz="0" w:space="0" w:color="auto"/>
      </w:divBdr>
    </w:div>
    <w:div w:id="1131945174">
      <w:bodyDiv w:val="1"/>
      <w:marLeft w:val="0"/>
      <w:marRight w:val="0"/>
      <w:marTop w:val="0"/>
      <w:marBottom w:val="0"/>
      <w:divBdr>
        <w:top w:val="none" w:sz="0" w:space="0" w:color="auto"/>
        <w:left w:val="none" w:sz="0" w:space="0" w:color="auto"/>
        <w:bottom w:val="none" w:sz="0" w:space="0" w:color="auto"/>
        <w:right w:val="none" w:sz="0" w:space="0" w:color="auto"/>
      </w:divBdr>
      <w:divsChild>
        <w:div w:id="1004823801">
          <w:marLeft w:val="0"/>
          <w:marRight w:val="0"/>
          <w:marTop w:val="0"/>
          <w:marBottom w:val="0"/>
          <w:divBdr>
            <w:top w:val="none" w:sz="0" w:space="0" w:color="auto"/>
            <w:left w:val="none" w:sz="0" w:space="0" w:color="auto"/>
            <w:bottom w:val="none" w:sz="0" w:space="0" w:color="auto"/>
            <w:right w:val="none" w:sz="0" w:space="0" w:color="auto"/>
          </w:divBdr>
          <w:divsChild>
            <w:div w:id="583614356">
              <w:marLeft w:val="0"/>
              <w:marRight w:val="0"/>
              <w:marTop w:val="0"/>
              <w:marBottom w:val="0"/>
              <w:divBdr>
                <w:top w:val="none" w:sz="0" w:space="0" w:color="auto"/>
                <w:left w:val="none" w:sz="0" w:space="0" w:color="auto"/>
                <w:bottom w:val="none" w:sz="0" w:space="0" w:color="auto"/>
                <w:right w:val="none" w:sz="0" w:space="0" w:color="auto"/>
              </w:divBdr>
              <w:divsChild>
                <w:div w:id="121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6065">
      <w:bodyDiv w:val="1"/>
      <w:marLeft w:val="0"/>
      <w:marRight w:val="0"/>
      <w:marTop w:val="0"/>
      <w:marBottom w:val="0"/>
      <w:divBdr>
        <w:top w:val="none" w:sz="0" w:space="0" w:color="auto"/>
        <w:left w:val="none" w:sz="0" w:space="0" w:color="auto"/>
        <w:bottom w:val="none" w:sz="0" w:space="0" w:color="auto"/>
        <w:right w:val="none" w:sz="0" w:space="0" w:color="auto"/>
      </w:divBdr>
    </w:div>
    <w:div w:id="1207644181">
      <w:bodyDiv w:val="1"/>
      <w:marLeft w:val="0"/>
      <w:marRight w:val="0"/>
      <w:marTop w:val="0"/>
      <w:marBottom w:val="0"/>
      <w:divBdr>
        <w:top w:val="none" w:sz="0" w:space="0" w:color="auto"/>
        <w:left w:val="none" w:sz="0" w:space="0" w:color="auto"/>
        <w:bottom w:val="none" w:sz="0" w:space="0" w:color="auto"/>
        <w:right w:val="none" w:sz="0" w:space="0" w:color="auto"/>
      </w:divBdr>
    </w:div>
    <w:div w:id="1372875000">
      <w:bodyDiv w:val="1"/>
      <w:marLeft w:val="0"/>
      <w:marRight w:val="0"/>
      <w:marTop w:val="0"/>
      <w:marBottom w:val="0"/>
      <w:divBdr>
        <w:top w:val="none" w:sz="0" w:space="0" w:color="auto"/>
        <w:left w:val="none" w:sz="0" w:space="0" w:color="auto"/>
        <w:bottom w:val="none" w:sz="0" w:space="0" w:color="auto"/>
        <w:right w:val="none" w:sz="0" w:space="0" w:color="auto"/>
      </w:divBdr>
      <w:divsChild>
        <w:div w:id="1193150083">
          <w:marLeft w:val="0"/>
          <w:marRight w:val="0"/>
          <w:marTop w:val="0"/>
          <w:marBottom w:val="0"/>
          <w:divBdr>
            <w:top w:val="none" w:sz="0" w:space="0" w:color="auto"/>
            <w:left w:val="none" w:sz="0" w:space="0" w:color="auto"/>
            <w:bottom w:val="none" w:sz="0" w:space="0" w:color="auto"/>
            <w:right w:val="none" w:sz="0" w:space="0" w:color="auto"/>
          </w:divBdr>
          <w:divsChild>
            <w:div w:id="98333976">
              <w:marLeft w:val="0"/>
              <w:marRight w:val="0"/>
              <w:marTop w:val="0"/>
              <w:marBottom w:val="0"/>
              <w:divBdr>
                <w:top w:val="none" w:sz="0" w:space="0" w:color="auto"/>
                <w:left w:val="none" w:sz="0" w:space="0" w:color="auto"/>
                <w:bottom w:val="none" w:sz="0" w:space="0" w:color="auto"/>
                <w:right w:val="none" w:sz="0" w:space="0" w:color="auto"/>
              </w:divBdr>
              <w:divsChild>
                <w:div w:id="1314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8300">
      <w:bodyDiv w:val="1"/>
      <w:marLeft w:val="0"/>
      <w:marRight w:val="0"/>
      <w:marTop w:val="0"/>
      <w:marBottom w:val="0"/>
      <w:divBdr>
        <w:top w:val="none" w:sz="0" w:space="0" w:color="auto"/>
        <w:left w:val="none" w:sz="0" w:space="0" w:color="auto"/>
        <w:bottom w:val="none" w:sz="0" w:space="0" w:color="auto"/>
        <w:right w:val="none" w:sz="0" w:space="0" w:color="auto"/>
      </w:divBdr>
      <w:divsChild>
        <w:div w:id="350883653">
          <w:marLeft w:val="0"/>
          <w:marRight w:val="0"/>
          <w:marTop w:val="0"/>
          <w:marBottom w:val="0"/>
          <w:divBdr>
            <w:top w:val="none" w:sz="0" w:space="0" w:color="auto"/>
            <w:left w:val="none" w:sz="0" w:space="0" w:color="auto"/>
            <w:bottom w:val="none" w:sz="0" w:space="0" w:color="auto"/>
            <w:right w:val="none" w:sz="0" w:space="0" w:color="auto"/>
          </w:divBdr>
          <w:divsChild>
            <w:div w:id="255678204">
              <w:marLeft w:val="0"/>
              <w:marRight w:val="0"/>
              <w:marTop w:val="0"/>
              <w:marBottom w:val="0"/>
              <w:divBdr>
                <w:top w:val="none" w:sz="0" w:space="0" w:color="auto"/>
                <w:left w:val="none" w:sz="0" w:space="0" w:color="auto"/>
                <w:bottom w:val="none" w:sz="0" w:space="0" w:color="auto"/>
                <w:right w:val="none" w:sz="0" w:space="0" w:color="auto"/>
              </w:divBdr>
              <w:divsChild>
                <w:div w:id="1805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8200">
      <w:bodyDiv w:val="1"/>
      <w:marLeft w:val="0"/>
      <w:marRight w:val="0"/>
      <w:marTop w:val="0"/>
      <w:marBottom w:val="0"/>
      <w:divBdr>
        <w:top w:val="none" w:sz="0" w:space="0" w:color="auto"/>
        <w:left w:val="none" w:sz="0" w:space="0" w:color="auto"/>
        <w:bottom w:val="none" w:sz="0" w:space="0" w:color="auto"/>
        <w:right w:val="none" w:sz="0" w:space="0" w:color="auto"/>
      </w:divBdr>
      <w:divsChild>
        <w:div w:id="1488209003">
          <w:marLeft w:val="0"/>
          <w:marRight w:val="0"/>
          <w:marTop w:val="0"/>
          <w:marBottom w:val="0"/>
          <w:divBdr>
            <w:top w:val="none" w:sz="0" w:space="0" w:color="auto"/>
            <w:left w:val="none" w:sz="0" w:space="0" w:color="auto"/>
            <w:bottom w:val="none" w:sz="0" w:space="0" w:color="auto"/>
            <w:right w:val="none" w:sz="0" w:space="0" w:color="auto"/>
          </w:divBdr>
          <w:divsChild>
            <w:div w:id="2018803670">
              <w:marLeft w:val="0"/>
              <w:marRight w:val="0"/>
              <w:marTop w:val="0"/>
              <w:marBottom w:val="0"/>
              <w:divBdr>
                <w:top w:val="none" w:sz="0" w:space="0" w:color="auto"/>
                <w:left w:val="none" w:sz="0" w:space="0" w:color="auto"/>
                <w:bottom w:val="none" w:sz="0" w:space="0" w:color="auto"/>
                <w:right w:val="none" w:sz="0" w:space="0" w:color="auto"/>
              </w:divBdr>
              <w:divsChild>
                <w:div w:id="2729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17159">
      <w:bodyDiv w:val="1"/>
      <w:marLeft w:val="0"/>
      <w:marRight w:val="0"/>
      <w:marTop w:val="0"/>
      <w:marBottom w:val="0"/>
      <w:divBdr>
        <w:top w:val="none" w:sz="0" w:space="0" w:color="auto"/>
        <w:left w:val="none" w:sz="0" w:space="0" w:color="auto"/>
        <w:bottom w:val="none" w:sz="0" w:space="0" w:color="auto"/>
        <w:right w:val="none" w:sz="0" w:space="0" w:color="auto"/>
      </w:divBdr>
      <w:divsChild>
        <w:div w:id="950355321">
          <w:marLeft w:val="0"/>
          <w:marRight w:val="0"/>
          <w:marTop w:val="0"/>
          <w:marBottom w:val="0"/>
          <w:divBdr>
            <w:top w:val="none" w:sz="0" w:space="0" w:color="auto"/>
            <w:left w:val="none" w:sz="0" w:space="0" w:color="auto"/>
            <w:bottom w:val="none" w:sz="0" w:space="0" w:color="auto"/>
            <w:right w:val="none" w:sz="0" w:space="0" w:color="auto"/>
          </w:divBdr>
          <w:divsChild>
            <w:div w:id="1909993220">
              <w:marLeft w:val="0"/>
              <w:marRight w:val="0"/>
              <w:marTop w:val="0"/>
              <w:marBottom w:val="0"/>
              <w:divBdr>
                <w:top w:val="none" w:sz="0" w:space="0" w:color="auto"/>
                <w:left w:val="none" w:sz="0" w:space="0" w:color="auto"/>
                <w:bottom w:val="none" w:sz="0" w:space="0" w:color="auto"/>
                <w:right w:val="none" w:sz="0" w:space="0" w:color="auto"/>
              </w:divBdr>
              <w:divsChild>
                <w:div w:id="4997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7173">
      <w:bodyDiv w:val="1"/>
      <w:marLeft w:val="0"/>
      <w:marRight w:val="0"/>
      <w:marTop w:val="0"/>
      <w:marBottom w:val="0"/>
      <w:divBdr>
        <w:top w:val="none" w:sz="0" w:space="0" w:color="auto"/>
        <w:left w:val="none" w:sz="0" w:space="0" w:color="auto"/>
        <w:bottom w:val="none" w:sz="0" w:space="0" w:color="auto"/>
        <w:right w:val="none" w:sz="0" w:space="0" w:color="auto"/>
      </w:divBdr>
      <w:divsChild>
        <w:div w:id="1881282448">
          <w:marLeft w:val="0"/>
          <w:marRight w:val="0"/>
          <w:marTop w:val="0"/>
          <w:marBottom w:val="0"/>
          <w:divBdr>
            <w:top w:val="none" w:sz="0" w:space="0" w:color="auto"/>
            <w:left w:val="none" w:sz="0" w:space="0" w:color="auto"/>
            <w:bottom w:val="none" w:sz="0" w:space="0" w:color="auto"/>
            <w:right w:val="none" w:sz="0" w:space="0" w:color="auto"/>
          </w:divBdr>
          <w:divsChild>
            <w:div w:id="1754424763">
              <w:marLeft w:val="0"/>
              <w:marRight w:val="0"/>
              <w:marTop w:val="0"/>
              <w:marBottom w:val="0"/>
              <w:divBdr>
                <w:top w:val="none" w:sz="0" w:space="0" w:color="auto"/>
                <w:left w:val="none" w:sz="0" w:space="0" w:color="auto"/>
                <w:bottom w:val="none" w:sz="0" w:space="0" w:color="auto"/>
                <w:right w:val="none" w:sz="0" w:space="0" w:color="auto"/>
              </w:divBdr>
              <w:divsChild>
                <w:div w:id="576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ACA1-DE63-468A-BE4C-77C645FF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3566</Words>
  <Characters>19617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GURAU AUDIBERT Adina</dc:creator>
  <cp:lastModifiedBy>BONNET Valentine</cp:lastModifiedBy>
  <cp:revision>21</cp:revision>
  <cp:lastPrinted>2013-02-15T10:36:00Z</cp:lastPrinted>
  <dcterms:created xsi:type="dcterms:W3CDTF">2016-01-21T14:03:00Z</dcterms:created>
  <dcterms:modified xsi:type="dcterms:W3CDTF">2016-01-21T18:15:00Z</dcterms:modified>
</cp:coreProperties>
</file>