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B31" w:rsidRPr="00415854" w:rsidRDefault="00C10B31">
      <w:pPr>
        <w:rPr>
          <w:b/>
          <w:u w:val="single"/>
        </w:rPr>
      </w:pPr>
    </w:p>
    <w:tbl>
      <w:tblPr>
        <w:tblW w:w="14400" w:type="dxa"/>
        <w:tblLayout w:type="fixed"/>
        <w:tblCellMar>
          <w:left w:w="70" w:type="dxa"/>
          <w:right w:w="70" w:type="dxa"/>
        </w:tblCellMar>
        <w:tblLook w:val="0000" w:firstRow="0" w:lastRow="0" w:firstColumn="0" w:lastColumn="0" w:noHBand="0" w:noVBand="0"/>
      </w:tblPr>
      <w:tblGrid>
        <w:gridCol w:w="5102"/>
        <w:gridCol w:w="4649"/>
        <w:gridCol w:w="4649"/>
      </w:tblGrid>
      <w:tr w:rsidR="00F92824" w:rsidRPr="002038DC" w:rsidTr="00F92824">
        <w:trPr>
          <w:trHeight w:hRule="exact" w:val="3261"/>
        </w:trPr>
        <w:tc>
          <w:tcPr>
            <w:tcW w:w="5102" w:type="dxa"/>
          </w:tcPr>
          <w:p w:rsidR="00F92824" w:rsidRPr="002038DC" w:rsidRDefault="00C973E6" w:rsidP="00A555B1">
            <w:pPr>
              <w:ind w:right="-1"/>
              <w:rPr>
                <w:b/>
                <w:szCs w:val="22"/>
                <w:lang w:val="pt-BR"/>
              </w:rPr>
            </w:pPr>
            <w:r>
              <w:rPr>
                <w:lang w:val="fi-FI"/>
              </w:rPr>
              <w:br/>
            </w:r>
            <w:r>
              <w:rPr>
                <w:lang w:val="fi-FI"/>
              </w:rPr>
              <w:br/>
              <w:t>European Banking Authority (EBA)</w:t>
            </w:r>
          </w:p>
        </w:tc>
        <w:tc>
          <w:tcPr>
            <w:tcW w:w="4649" w:type="dxa"/>
          </w:tcPr>
          <w:p w:rsidR="00F92824" w:rsidRPr="00D364F4" w:rsidRDefault="00F92824" w:rsidP="00551EFB">
            <w:pPr>
              <w:spacing w:line="220" w:lineRule="atLeast"/>
              <w:jc w:val="right"/>
              <w:rPr>
                <w:b/>
                <w:bCs/>
                <w:color w:val="000000"/>
                <w:sz w:val="6"/>
                <w:szCs w:val="6"/>
                <w:lang w:val="fi-FI"/>
              </w:rPr>
            </w:pPr>
          </w:p>
          <w:p w:rsidR="00F92824" w:rsidRPr="00D364F4" w:rsidRDefault="00F92824" w:rsidP="00551EFB">
            <w:pPr>
              <w:spacing w:line="220" w:lineRule="atLeast"/>
              <w:jc w:val="right"/>
              <w:rPr>
                <w:b/>
                <w:bCs/>
                <w:color w:val="000000"/>
                <w:sz w:val="6"/>
                <w:szCs w:val="6"/>
                <w:lang w:val="fi-FI"/>
              </w:rPr>
            </w:pPr>
          </w:p>
          <w:p w:rsidR="00F92824" w:rsidRPr="00D364F4" w:rsidRDefault="00F92824" w:rsidP="00551EFB">
            <w:pPr>
              <w:spacing w:line="260" w:lineRule="atLeast"/>
              <w:jc w:val="right"/>
              <w:rPr>
                <w:b/>
                <w:bCs/>
                <w:noProof/>
                <w:color w:val="000000"/>
                <w:sz w:val="18"/>
                <w:szCs w:val="18"/>
                <w:lang w:val="en-GB"/>
              </w:rPr>
            </w:pPr>
            <w:r w:rsidRPr="00B55633">
              <w:rPr>
                <w:b/>
                <w:bCs/>
                <w:noProof/>
                <w:color w:val="000000"/>
                <w:sz w:val="18"/>
                <w:szCs w:val="18"/>
                <w:lang w:val="fi-FI"/>
              </w:rPr>
              <w:t xml:space="preserve"> </w:t>
            </w:r>
            <w:r w:rsidRPr="00D364F4">
              <w:rPr>
                <w:b/>
                <w:bCs/>
                <w:noProof/>
                <w:color w:val="000000"/>
                <w:sz w:val="18"/>
                <w:szCs w:val="18"/>
                <w:lang w:val="en-GB"/>
              </w:rPr>
              <w:t>Division Bank and Insurance</w:t>
            </w:r>
          </w:p>
          <w:p w:rsidR="00F92824" w:rsidRPr="00D364F4" w:rsidRDefault="00F92824" w:rsidP="00551EFB">
            <w:pPr>
              <w:spacing w:line="260" w:lineRule="atLeast"/>
              <w:jc w:val="right"/>
              <w:rPr>
                <w:bCs/>
                <w:color w:val="000000"/>
                <w:sz w:val="18"/>
                <w:szCs w:val="18"/>
                <w:lang w:val="en-GB"/>
              </w:rPr>
            </w:pPr>
            <w:r w:rsidRPr="00D364F4">
              <w:rPr>
                <w:bCs/>
                <w:noProof/>
                <w:color w:val="000000"/>
                <w:sz w:val="18"/>
                <w:szCs w:val="18"/>
                <w:lang w:val="en-GB"/>
              </w:rPr>
              <w:t>Austrian Federal Economic Chamber</w:t>
            </w:r>
          </w:p>
          <w:p w:rsidR="00F92824" w:rsidRPr="00D364F4" w:rsidRDefault="00F92824" w:rsidP="00551EFB">
            <w:pPr>
              <w:spacing w:line="260" w:lineRule="atLeast"/>
              <w:jc w:val="right"/>
              <w:rPr>
                <w:color w:val="000000"/>
                <w:sz w:val="18"/>
                <w:szCs w:val="18"/>
              </w:rPr>
            </w:pPr>
            <w:r w:rsidRPr="00D364F4">
              <w:rPr>
                <w:noProof/>
                <w:color w:val="000000"/>
                <w:sz w:val="18"/>
                <w:szCs w:val="18"/>
              </w:rPr>
              <w:t>Wiedner Hauptstraße 63 | P.O. Box 320</w:t>
            </w:r>
          </w:p>
          <w:p w:rsidR="00F92824" w:rsidRPr="00D364F4" w:rsidRDefault="00F92824" w:rsidP="00551EFB">
            <w:pPr>
              <w:spacing w:line="260" w:lineRule="atLeast"/>
              <w:jc w:val="right"/>
              <w:rPr>
                <w:color w:val="000000"/>
                <w:sz w:val="18"/>
                <w:szCs w:val="18"/>
              </w:rPr>
            </w:pPr>
            <w:r w:rsidRPr="00D364F4">
              <w:rPr>
                <w:noProof/>
                <w:color w:val="000000"/>
                <w:sz w:val="18"/>
                <w:szCs w:val="18"/>
              </w:rPr>
              <w:t>1045 Vienna</w:t>
            </w:r>
          </w:p>
          <w:p w:rsidR="00F92824" w:rsidRPr="00D364F4" w:rsidRDefault="00F92824" w:rsidP="00551EFB">
            <w:pPr>
              <w:spacing w:line="260" w:lineRule="atLeast"/>
              <w:jc w:val="right"/>
              <w:rPr>
                <w:color w:val="000000"/>
                <w:sz w:val="18"/>
                <w:szCs w:val="18"/>
              </w:rPr>
            </w:pPr>
            <w:r w:rsidRPr="00D364F4">
              <w:rPr>
                <w:noProof/>
                <w:color w:val="000000"/>
                <w:sz w:val="18"/>
                <w:szCs w:val="18"/>
              </w:rPr>
              <w:t>T +43 (0)5 90 900-DW | F +43 (0)5 90 900-272</w:t>
            </w:r>
          </w:p>
          <w:p w:rsidR="00F92824" w:rsidRPr="00D364F4" w:rsidRDefault="00F92824" w:rsidP="00551EFB">
            <w:pPr>
              <w:spacing w:line="260" w:lineRule="atLeast"/>
              <w:jc w:val="right"/>
              <w:rPr>
                <w:color w:val="000000"/>
                <w:sz w:val="18"/>
                <w:szCs w:val="18"/>
              </w:rPr>
            </w:pPr>
            <w:r w:rsidRPr="00D364F4">
              <w:rPr>
                <w:noProof/>
                <w:color w:val="000000"/>
                <w:sz w:val="18"/>
                <w:szCs w:val="18"/>
              </w:rPr>
              <w:t>E  bsbv@wko.at</w:t>
            </w:r>
          </w:p>
          <w:p w:rsidR="00F92824" w:rsidRPr="00D364F4" w:rsidRDefault="00F92824" w:rsidP="00551EFB">
            <w:pPr>
              <w:spacing w:line="260" w:lineRule="atLeast"/>
              <w:jc w:val="right"/>
              <w:rPr>
                <w:lang w:val="en-GB"/>
              </w:rPr>
            </w:pPr>
            <w:r w:rsidRPr="00D364F4">
              <w:rPr>
                <w:noProof/>
                <w:color w:val="000000"/>
                <w:sz w:val="18"/>
                <w:szCs w:val="18"/>
                <w:lang w:val="en-GB"/>
              </w:rPr>
              <w:t>W  http://wko.at/bsbv</w:t>
            </w:r>
          </w:p>
        </w:tc>
        <w:tc>
          <w:tcPr>
            <w:tcW w:w="4649" w:type="dxa"/>
          </w:tcPr>
          <w:p w:rsidR="00F92824" w:rsidRPr="002038DC" w:rsidRDefault="00F92824" w:rsidP="00F0083F">
            <w:pPr>
              <w:spacing w:line="220" w:lineRule="atLeast"/>
              <w:ind w:right="255"/>
              <w:jc w:val="right"/>
              <w:rPr>
                <w:b/>
                <w:snapToGrid w:val="0"/>
                <w:color w:val="000000"/>
                <w:sz w:val="6"/>
                <w:szCs w:val="6"/>
                <w:u w:color="000000"/>
                <w:lang w:val="pt-BR"/>
              </w:rPr>
            </w:pPr>
          </w:p>
          <w:p w:rsidR="00F92824" w:rsidRPr="002038DC" w:rsidRDefault="00F92824" w:rsidP="00F0083F">
            <w:pPr>
              <w:spacing w:line="220" w:lineRule="atLeast"/>
              <w:ind w:right="255"/>
              <w:jc w:val="right"/>
              <w:rPr>
                <w:b/>
                <w:snapToGrid w:val="0"/>
                <w:color w:val="000000"/>
                <w:sz w:val="6"/>
                <w:szCs w:val="6"/>
                <w:u w:color="000000"/>
                <w:lang w:val="pt-BR"/>
              </w:rPr>
            </w:pPr>
          </w:p>
          <w:p w:rsidR="00F92824" w:rsidRPr="002038DC" w:rsidRDefault="00F92824" w:rsidP="00F0083F">
            <w:pPr>
              <w:spacing w:line="220" w:lineRule="atLeast"/>
              <w:ind w:right="255"/>
              <w:jc w:val="right"/>
              <w:rPr>
                <w:b/>
                <w:snapToGrid w:val="0"/>
                <w:color w:val="000000"/>
                <w:sz w:val="6"/>
                <w:szCs w:val="6"/>
                <w:u w:color="000000"/>
                <w:lang w:val="pt-BR"/>
              </w:rPr>
            </w:pPr>
          </w:p>
          <w:p w:rsidR="00F92824" w:rsidRPr="002038DC" w:rsidRDefault="00F92824" w:rsidP="00F0083F">
            <w:pPr>
              <w:spacing w:line="260" w:lineRule="atLeast"/>
              <w:ind w:right="255"/>
              <w:jc w:val="right"/>
              <w:rPr>
                <w:b/>
                <w:snapToGrid w:val="0"/>
                <w:color w:val="000000"/>
                <w:sz w:val="18"/>
                <w:szCs w:val="18"/>
                <w:u w:color="000000"/>
              </w:rPr>
            </w:pPr>
            <w:r w:rsidRPr="002038DC">
              <w:rPr>
                <w:b/>
                <w:snapToGrid w:val="0"/>
                <w:color w:val="000000"/>
                <w:sz w:val="18"/>
                <w:szCs w:val="18"/>
                <w:u w:color="000000"/>
              </w:rPr>
              <w:t>Bundessparte Bank und Versicherung</w:t>
            </w:r>
            <w:bookmarkStart w:id="0" w:name="abs1"/>
            <w:bookmarkEnd w:id="0"/>
          </w:p>
          <w:p w:rsidR="00F92824" w:rsidRPr="002038DC" w:rsidRDefault="00F92824" w:rsidP="00F0083F">
            <w:pPr>
              <w:spacing w:line="260" w:lineRule="atLeast"/>
              <w:ind w:right="255"/>
              <w:jc w:val="right"/>
              <w:rPr>
                <w:b/>
                <w:snapToGrid w:val="0"/>
                <w:color w:val="000000"/>
                <w:sz w:val="18"/>
                <w:szCs w:val="18"/>
                <w:u w:color="000000"/>
              </w:rPr>
            </w:pPr>
            <w:r w:rsidRPr="002038DC">
              <w:rPr>
                <w:b/>
                <w:snapToGrid w:val="0"/>
                <w:color w:val="000000"/>
                <w:sz w:val="18"/>
                <w:szCs w:val="18"/>
                <w:u w:color="000000"/>
              </w:rPr>
              <w:t>Wirtschaftskammer Österreich</w:t>
            </w:r>
          </w:p>
          <w:p w:rsidR="00F92824" w:rsidRPr="002038DC" w:rsidRDefault="00F92824" w:rsidP="00F0083F">
            <w:pPr>
              <w:spacing w:line="260" w:lineRule="atLeast"/>
              <w:ind w:right="255"/>
              <w:jc w:val="right"/>
              <w:rPr>
                <w:snapToGrid w:val="0"/>
                <w:color w:val="000000"/>
                <w:sz w:val="18"/>
                <w:szCs w:val="18"/>
                <w:u w:color="000000"/>
              </w:rPr>
            </w:pPr>
            <w:r w:rsidRPr="002038DC">
              <w:rPr>
                <w:snapToGrid w:val="0"/>
                <w:color w:val="000000"/>
                <w:sz w:val="18"/>
                <w:szCs w:val="18"/>
                <w:u w:color="000000"/>
              </w:rPr>
              <w:t>Wiedner Hauptstraße 63 | Postfach 320</w:t>
            </w:r>
          </w:p>
          <w:p w:rsidR="00F92824" w:rsidRPr="002038DC" w:rsidRDefault="00F92824" w:rsidP="00F0083F">
            <w:pPr>
              <w:spacing w:line="260" w:lineRule="atLeast"/>
              <w:ind w:right="255"/>
              <w:jc w:val="right"/>
              <w:rPr>
                <w:snapToGrid w:val="0"/>
                <w:color w:val="000000"/>
                <w:sz w:val="18"/>
                <w:szCs w:val="18"/>
                <w:u w:color="000000"/>
              </w:rPr>
            </w:pPr>
            <w:r w:rsidRPr="002038DC">
              <w:rPr>
                <w:snapToGrid w:val="0"/>
                <w:color w:val="000000"/>
                <w:sz w:val="18"/>
                <w:szCs w:val="18"/>
                <w:u w:color="000000"/>
              </w:rPr>
              <w:t>1045 Wien</w:t>
            </w:r>
          </w:p>
          <w:p w:rsidR="00F92824" w:rsidRPr="002038DC" w:rsidRDefault="00F92824" w:rsidP="00F0083F">
            <w:pPr>
              <w:spacing w:line="260" w:lineRule="atLeast"/>
              <w:ind w:right="255"/>
              <w:jc w:val="right"/>
              <w:rPr>
                <w:snapToGrid w:val="0"/>
                <w:color w:val="000000"/>
                <w:sz w:val="18"/>
                <w:szCs w:val="18"/>
                <w:u w:color="000000"/>
              </w:rPr>
            </w:pPr>
            <w:r w:rsidRPr="002038DC">
              <w:rPr>
                <w:snapToGrid w:val="0"/>
                <w:color w:val="000000"/>
                <w:sz w:val="18"/>
                <w:szCs w:val="18"/>
                <w:u w:color="000000"/>
              </w:rPr>
              <w:t>T +43 (0)5 90 900-DW | F +43 (0)5 90 900-272</w:t>
            </w:r>
          </w:p>
          <w:p w:rsidR="00F92824" w:rsidRPr="002038DC" w:rsidRDefault="00F92824" w:rsidP="00F0083F">
            <w:pPr>
              <w:spacing w:line="260" w:lineRule="atLeast"/>
              <w:ind w:right="255"/>
              <w:jc w:val="right"/>
              <w:rPr>
                <w:snapToGrid w:val="0"/>
                <w:color w:val="000000"/>
                <w:sz w:val="18"/>
                <w:szCs w:val="18"/>
                <w:u w:color="000000"/>
              </w:rPr>
            </w:pPr>
            <w:r w:rsidRPr="002038DC">
              <w:rPr>
                <w:snapToGrid w:val="0"/>
                <w:color w:val="000000"/>
                <w:sz w:val="18"/>
                <w:szCs w:val="18"/>
                <w:u w:color="000000"/>
              </w:rPr>
              <w:t>E  bsbv@wko.at</w:t>
            </w:r>
          </w:p>
          <w:p w:rsidR="00F92824" w:rsidRPr="008E69FC" w:rsidRDefault="00F92824" w:rsidP="00F0083F">
            <w:pPr>
              <w:spacing w:line="260" w:lineRule="atLeast"/>
              <w:ind w:right="255"/>
              <w:jc w:val="right"/>
              <w:rPr>
                <w:lang w:val="de-AT"/>
              </w:rPr>
            </w:pPr>
            <w:r w:rsidRPr="008E69FC">
              <w:rPr>
                <w:snapToGrid w:val="0"/>
                <w:color w:val="000000"/>
                <w:sz w:val="18"/>
                <w:szCs w:val="18"/>
                <w:u w:color="000000"/>
                <w:lang w:val="de-AT"/>
              </w:rPr>
              <w:t>W  http://wko.at/bsbv</w:t>
            </w:r>
          </w:p>
        </w:tc>
      </w:tr>
    </w:tbl>
    <w:p w:rsidR="00C10B31" w:rsidRPr="00945373" w:rsidRDefault="00C10B31" w:rsidP="00F0083F">
      <w:pPr>
        <w:spacing w:line="240" w:lineRule="auto"/>
        <w:ind w:right="-1"/>
        <w:rPr>
          <w:snapToGrid w:val="0"/>
          <w:color w:val="000000"/>
          <w:sz w:val="24"/>
          <w:szCs w:val="24"/>
          <w:u w:color="000000"/>
        </w:rPr>
      </w:pPr>
    </w:p>
    <w:p w:rsidR="00237B76" w:rsidRDefault="00237B76" w:rsidP="00237B76">
      <w:pPr>
        <w:tabs>
          <w:tab w:val="left" w:pos="2977"/>
          <w:tab w:val="left" w:pos="5954"/>
          <w:tab w:val="left" w:pos="7655"/>
          <w:tab w:val="left" w:pos="8364"/>
        </w:tabs>
        <w:ind w:right="-1"/>
        <w:rPr>
          <w:sz w:val="16"/>
        </w:rPr>
      </w:pPr>
      <w:r>
        <w:rPr>
          <w:sz w:val="16"/>
        </w:rPr>
        <w:t>Ihr Zeichen, Ihre Nachricht vom</w:t>
      </w:r>
      <w:r>
        <w:rPr>
          <w:sz w:val="16"/>
        </w:rPr>
        <w:tab/>
        <w:t>Unser Zeichen, Sacharbeiter</w:t>
      </w:r>
      <w:r>
        <w:rPr>
          <w:sz w:val="16"/>
        </w:rPr>
        <w:tab/>
        <w:t>Durchwahl</w:t>
      </w:r>
      <w:r>
        <w:rPr>
          <w:sz w:val="16"/>
        </w:rPr>
        <w:tab/>
        <w:t>Datum</w:t>
      </w:r>
    </w:p>
    <w:p w:rsidR="00237B76" w:rsidRPr="00B94DCB" w:rsidRDefault="00237B76" w:rsidP="00AD62C1">
      <w:pPr>
        <w:tabs>
          <w:tab w:val="left" w:pos="2977"/>
          <w:tab w:val="left" w:pos="5954"/>
          <w:tab w:val="left" w:pos="7655"/>
        </w:tabs>
        <w:ind w:right="-1"/>
        <w:rPr>
          <w:snapToGrid w:val="0"/>
          <w:color w:val="000000"/>
          <w:szCs w:val="22"/>
          <w:u w:color="000000"/>
          <w:lang w:val="en-GB"/>
        </w:rPr>
      </w:pPr>
      <w:r>
        <w:rPr>
          <w:snapToGrid w:val="0"/>
          <w:color w:val="000000"/>
          <w:szCs w:val="22"/>
          <w:u w:color="000000"/>
        </w:rPr>
        <w:tab/>
      </w:r>
      <w:r w:rsidRPr="00B94DCB">
        <w:rPr>
          <w:snapToGrid w:val="0"/>
          <w:color w:val="000000"/>
          <w:szCs w:val="22"/>
          <w:u w:color="000000"/>
          <w:lang w:val="en-GB"/>
        </w:rPr>
        <w:t xml:space="preserve">BSBV </w:t>
      </w:r>
      <w:r w:rsidR="00F92824" w:rsidRPr="00B94DCB">
        <w:rPr>
          <w:snapToGrid w:val="0"/>
          <w:color w:val="000000"/>
          <w:szCs w:val="22"/>
          <w:u w:color="000000"/>
          <w:lang w:val="en-GB"/>
        </w:rPr>
        <w:t>115</w:t>
      </w:r>
      <w:r w:rsidR="00AD62C1" w:rsidRPr="00B94DCB">
        <w:rPr>
          <w:snapToGrid w:val="0"/>
          <w:color w:val="000000"/>
          <w:szCs w:val="22"/>
          <w:u w:color="000000"/>
          <w:lang w:val="en-GB"/>
        </w:rPr>
        <w:t>/</w:t>
      </w:r>
      <w:proofErr w:type="spellStart"/>
      <w:r w:rsidR="00AD62C1" w:rsidRPr="00B94DCB">
        <w:rPr>
          <w:snapToGrid w:val="0"/>
          <w:color w:val="000000"/>
          <w:szCs w:val="22"/>
          <w:u w:color="000000"/>
          <w:lang w:val="en-GB"/>
        </w:rPr>
        <w:t>Dr.</w:t>
      </w:r>
      <w:r w:rsidR="005F3730" w:rsidRPr="00B94DCB">
        <w:rPr>
          <w:snapToGrid w:val="0"/>
          <w:color w:val="000000"/>
          <w:szCs w:val="22"/>
          <w:u w:color="000000"/>
          <w:lang w:val="en-GB"/>
        </w:rPr>
        <w:t>Egger</w:t>
      </w:r>
      <w:proofErr w:type="spellEnd"/>
      <w:r w:rsidR="005F3730" w:rsidRPr="00B94DCB">
        <w:rPr>
          <w:snapToGrid w:val="0"/>
          <w:color w:val="000000"/>
          <w:szCs w:val="22"/>
          <w:u w:color="000000"/>
          <w:lang w:val="en-GB"/>
        </w:rPr>
        <w:tab/>
        <w:t xml:space="preserve">3137            </w:t>
      </w:r>
      <w:r w:rsidR="009845AD" w:rsidRPr="00B94DCB">
        <w:rPr>
          <w:snapToGrid w:val="0"/>
          <w:color w:val="000000"/>
          <w:szCs w:val="22"/>
          <w:u w:color="000000"/>
          <w:lang w:val="en-GB"/>
        </w:rPr>
        <w:t xml:space="preserve"> </w:t>
      </w:r>
      <w:r w:rsidR="00F500B2" w:rsidRPr="00B94DCB">
        <w:rPr>
          <w:snapToGrid w:val="0"/>
          <w:color w:val="000000"/>
          <w:szCs w:val="22"/>
          <w:u w:color="000000"/>
          <w:lang w:val="en-GB"/>
        </w:rPr>
        <w:t xml:space="preserve"> </w:t>
      </w:r>
      <w:r w:rsidR="0022490E" w:rsidRPr="00B94DCB">
        <w:rPr>
          <w:snapToGrid w:val="0"/>
          <w:color w:val="000000"/>
          <w:szCs w:val="22"/>
          <w:u w:color="000000"/>
          <w:lang w:val="en-GB"/>
        </w:rPr>
        <w:t xml:space="preserve">    </w:t>
      </w:r>
      <w:r w:rsidR="005962FA" w:rsidRPr="00B94DCB">
        <w:rPr>
          <w:snapToGrid w:val="0"/>
          <w:color w:val="000000"/>
          <w:szCs w:val="22"/>
          <w:u w:color="000000"/>
          <w:lang w:val="en-GB"/>
        </w:rPr>
        <w:t>2</w:t>
      </w:r>
      <w:r w:rsidR="00BA19BC">
        <w:rPr>
          <w:snapToGrid w:val="0"/>
          <w:color w:val="000000"/>
          <w:szCs w:val="22"/>
          <w:u w:color="000000"/>
          <w:lang w:val="en-GB"/>
        </w:rPr>
        <w:t>2</w:t>
      </w:r>
      <w:r w:rsidR="005962FA" w:rsidRPr="00B94DCB">
        <w:rPr>
          <w:snapToGrid w:val="0"/>
          <w:color w:val="000000"/>
          <w:szCs w:val="22"/>
          <w:u w:color="000000"/>
          <w:lang w:val="en-GB"/>
        </w:rPr>
        <w:t xml:space="preserve"> January</w:t>
      </w:r>
      <w:r w:rsidR="00F500B2" w:rsidRPr="00B94DCB">
        <w:rPr>
          <w:snapToGrid w:val="0"/>
          <w:color w:val="000000"/>
          <w:szCs w:val="22"/>
          <w:u w:color="000000"/>
          <w:lang w:val="en-GB"/>
        </w:rPr>
        <w:t xml:space="preserve"> 2015</w:t>
      </w:r>
      <w:r w:rsidR="00F92824" w:rsidRPr="00B94DCB">
        <w:rPr>
          <w:snapToGrid w:val="0"/>
          <w:color w:val="000000"/>
          <w:szCs w:val="22"/>
          <w:u w:color="000000"/>
          <w:lang w:val="en-GB"/>
        </w:rPr>
        <w:t xml:space="preserve"> </w:t>
      </w:r>
    </w:p>
    <w:p w:rsidR="00154A68" w:rsidRPr="00B94DCB" w:rsidRDefault="00154A68" w:rsidP="00154A68">
      <w:pPr>
        <w:rPr>
          <w:lang w:val="en-GB"/>
        </w:rPr>
      </w:pPr>
    </w:p>
    <w:p w:rsidR="0094573F" w:rsidRPr="00B94DCB" w:rsidRDefault="0094573F" w:rsidP="00154A68">
      <w:pPr>
        <w:rPr>
          <w:lang w:val="en-GB"/>
        </w:rPr>
      </w:pPr>
    </w:p>
    <w:p w:rsidR="005962FA" w:rsidRPr="00B94DCB" w:rsidRDefault="00F92824" w:rsidP="005962FA">
      <w:pPr>
        <w:rPr>
          <w:b/>
          <w:u w:val="single"/>
          <w:lang w:val="en-GB"/>
        </w:rPr>
      </w:pPr>
      <w:r w:rsidRPr="00B94DCB">
        <w:rPr>
          <w:b/>
          <w:u w:val="single"/>
          <w:lang w:val="en-GB"/>
        </w:rPr>
        <w:t>EBA</w:t>
      </w:r>
      <w:r w:rsidR="00C12058" w:rsidRPr="00B94DCB">
        <w:rPr>
          <w:b/>
          <w:u w:val="single"/>
          <w:lang w:val="en-GB"/>
        </w:rPr>
        <w:t xml:space="preserve"> </w:t>
      </w:r>
      <w:r w:rsidR="005962FA" w:rsidRPr="00B94DCB">
        <w:rPr>
          <w:b/>
          <w:u w:val="single"/>
          <w:lang w:val="en-GB"/>
        </w:rPr>
        <w:t>–</w:t>
      </w:r>
      <w:r w:rsidR="00C12058" w:rsidRPr="00B94DCB">
        <w:rPr>
          <w:b/>
          <w:u w:val="single"/>
          <w:lang w:val="en-GB"/>
        </w:rPr>
        <w:t xml:space="preserve"> </w:t>
      </w:r>
      <w:r w:rsidR="005962FA" w:rsidRPr="00B94DCB">
        <w:rPr>
          <w:b/>
          <w:u w:val="single"/>
          <w:lang w:val="en-GB"/>
        </w:rPr>
        <w:t xml:space="preserve">Consultation Joint Guidelines under Article 17 and 18(4) of Directive (EU) 2015/849 </w:t>
      </w:r>
    </w:p>
    <w:p w:rsidR="005962FA" w:rsidRPr="00B94DCB" w:rsidRDefault="005962FA" w:rsidP="005962FA">
      <w:pPr>
        <w:spacing w:line="240" w:lineRule="auto"/>
        <w:ind w:right="-1"/>
        <w:rPr>
          <w:b/>
          <w:u w:val="single"/>
          <w:lang w:val="en-GB"/>
        </w:rPr>
      </w:pPr>
      <w:r w:rsidRPr="00B94DCB">
        <w:rPr>
          <w:b/>
          <w:u w:val="single"/>
          <w:lang w:val="en-GB"/>
        </w:rPr>
        <w:t>(The Risk Factors Guidelines)</w:t>
      </w:r>
    </w:p>
    <w:p w:rsidR="005962FA" w:rsidRDefault="005962FA" w:rsidP="0010363C">
      <w:pPr>
        <w:spacing w:line="240" w:lineRule="auto"/>
        <w:ind w:right="-1"/>
        <w:rPr>
          <w:lang w:val="en-GB"/>
        </w:rPr>
      </w:pPr>
    </w:p>
    <w:p w:rsidR="005962FA" w:rsidRDefault="005962FA" w:rsidP="0010363C">
      <w:pPr>
        <w:spacing w:line="240" w:lineRule="auto"/>
        <w:ind w:right="-1"/>
        <w:rPr>
          <w:lang w:val="en-GB"/>
        </w:rPr>
      </w:pPr>
    </w:p>
    <w:p w:rsidR="005962FA" w:rsidRDefault="00F92824" w:rsidP="005962FA">
      <w:pPr>
        <w:rPr>
          <w:lang w:val="en-GB"/>
        </w:rPr>
      </w:pPr>
      <w:r w:rsidRPr="005B5CD9">
        <w:rPr>
          <w:lang w:val="en-GB"/>
        </w:rPr>
        <w:t>The Division Bank and Insurance of the Austrian Federal Economic Chamber, as representati</w:t>
      </w:r>
      <w:r w:rsidR="00BA19BC">
        <w:rPr>
          <w:lang w:val="en-GB"/>
        </w:rPr>
        <w:t>on</w:t>
      </w:r>
      <w:r w:rsidRPr="005B5CD9">
        <w:rPr>
          <w:lang w:val="en-GB"/>
        </w:rPr>
        <w:t xml:space="preserve"> of the entire Austrian banking industry, appreciates the possibility to</w:t>
      </w:r>
      <w:r w:rsidRPr="005B5CD9">
        <w:rPr>
          <w:rFonts w:cs="Arial"/>
          <w:color w:val="000000"/>
          <w:lang w:val="en-GB" w:eastAsia="en-US"/>
        </w:rPr>
        <w:t xml:space="preserve"> comment on</w:t>
      </w:r>
      <w:r>
        <w:rPr>
          <w:rFonts w:cs="Arial"/>
          <w:color w:val="000000"/>
          <w:lang w:val="en-GB" w:eastAsia="en-US"/>
        </w:rPr>
        <w:t xml:space="preserve"> </w:t>
      </w:r>
      <w:r w:rsidR="005962FA">
        <w:rPr>
          <w:rFonts w:cs="Arial"/>
          <w:color w:val="000000"/>
          <w:lang w:val="en-GB" w:eastAsia="en-US"/>
        </w:rPr>
        <w:t>the</w:t>
      </w:r>
    </w:p>
    <w:p w:rsidR="0010363C" w:rsidRPr="00B94DCB" w:rsidRDefault="005962FA" w:rsidP="005962FA">
      <w:pPr>
        <w:rPr>
          <w:szCs w:val="22"/>
          <w:lang w:val="en-GB" w:eastAsia="de-AT"/>
        </w:rPr>
      </w:pPr>
      <w:r w:rsidRPr="005962FA">
        <w:rPr>
          <w:lang w:val="en-GB"/>
        </w:rPr>
        <w:t>Joint Guidelines under Article 17 and 18(4) of Directive (EU) 2015/849 on simplified and enhanced customer du</w:t>
      </w:r>
      <w:bookmarkStart w:id="1" w:name="_GoBack"/>
      <w:bookmarkEnd w:id="1"/>
      <w:r w:rsidRPr="005962FA">
        <w:rPr>
          <w:lang w:val="en-GB"/>
        </w:rPr>
        <w:t>e diligence and the factors credit and financial institutions should consider when assessing the money laundering and terrorist financing risk associated with individual business relationships and occasional transactions</w:t>
      </w:r>
      <w:r w:rsidR="005D1FDD">
        <w:rPr>
          <w:rFonts w:cs="Arial"/>
          <w:color w:val="000000"/>
          <w:lang w:val="en-GB" w:eastAsia="en-US"/>
        </w:rPr>
        <w:t xml:space="preserve"> </w:t>
      </w:r>
      <w:r w:rsidR="00F92824" w:rsidRPr="005B5CD9">
        <w:rPr>
          <w:rFonts w:cs="Arial"/>
          <w:color w:val="000000"/>
          <w:lang w:val="en-GB" w:eastAsia="en-US"/>
        </w:rPr>
        <w:t>and would like to submit the following position</w:t>
      </w:r>
      <w:r w:rsidR="00F92824">
        <w:rPr>
          <w:rFonts w:cs="Arial"/>
          <w:color w:val="000000"/>
          <w:lang w:val="en-GB" w:eastAsia="en-US"/>
        </w:rPr>
        <w:t>:</w:t>
      </w:r>
      <w:r w:rsidR="00F92824" w:rsidRPr="00B94DCB">
        <w:rPr>
          <w:szCs w:val="22"/>
          <w:lang w:val="en-GB" w:eastAsia="de-AT"/>
        </w:rPr>
        <w:t xml:space="preserve"> </w:t>
      </w:r>
    </w:p>
    <w:p w:rsidR="00BD5BCE" w:rsidRPr="00B94DCB" w:rsidRDefault="00BD5BCE" w:rsidP="005962FA">
      <w:pPr>
        <w:rPr>
          <w:szCs w:val="22"/>
          <w:lang w:val="en-GB" w:eastAsia="de-AT"/>
        </w:rPr>
      </w:pPr>
    </w:p>
    <w:p w:rsidR="00BD5BCE" w:rsidRPr="00FC4546" w:rsidRDefault="00BD5BCE" w:rsidP="00BD5BCE">
      <w:pPr>
        <w:rPr>
          <w:b/>
          <w:color w:val="4F81BD" w:themeColor="accent1"/>
          <w:szCs w:val="22"/>
          <w:u w:val="single"/>
          <w:lang w:val="en-US"/>
        </w:rPr>
      </w:pPr>
      <w:r w:rsidRPr="00FC4546">
        <w:rPr>
          <w:b/>
          <w:u w:val="single"/>
          <w:lang w:val="en-GB"/>
        </w:rPr>
        <w:t xml:space="preserve">General Remarks on Directive (EU) 2015/849 </w:t>
      </w:r>
    </w:p>
    <w:p w:rsidR="00BD5BCE" w:rsidRPr="00093C97" w:rsidRDefault="00BD5BCE" w:rsidP="00BD5BCE">
      <w:pPr>
        <w:rPr>
          <w:b/>
          <w:szCs w:val="22"/>
          <w:lang w:val="en-US"/>
        </w:rPr>
      </w:pPr>
    </w:p>
    <w:p w:rsidR="00BD5BCE" w:rsidRPr="00093C97" w:rsidRDefault="00BD5BCE" w:rsidP="00FC4546">
      <w:pPr>
        <w:pStyle w:val="Listenabsatz"/>
        <w:numPr>
          <w:ilvl w:val="0"/>
          <w:numId w:val="24"/>
        </w:numPr>
        <w:spacing w:line="240" w:lineRule="auto"/>
        <w:ind w:left="426"/>
        <w:rPr>
          <w:szCs w:val="22"/>
          <w:lang w:val="en-US"/>
        </w:rPr>
      </w:pPr>
      <w:r w:rsidRPr="00093C97">
        <w:rPr>
          <w:szCs w:val="22"/>
          <w:lang w:val="en-US"/>
        </w:rPr>
        <w:t>Calculation of beneficial owners (Art.</w:t>
      </w:r>
      <w:r w:rsidR="00FC4546">
        <w:rPr>
          <w:szCs w:val="22"/>
          <w:lang w:val="en-US"/>
        </w:rPr>
        <w:t xml:space="preserve"> </w:t>
      </w:r>
      <w:r w:rsidRPr="00093C97">
        <w:rPr>
          <w:szCs w:val="22"/>
          <w:lang w:val="en-US"/>
        </w:rPr>
        <w:t>3): According to Art. 3 para. 6 of the 4</w:t>
      </w:r>
      <w:r w:rsidRPr="00093C97">
        <w:rPr>
          <w:szCs w:val="22"/>
          <w:vertAlign w:val="superscript"/>
          <w:lang w:val="en-US"/>
        </w:rPr>
        <w:t>th</w:t>
      </w:r>
      <w:r w:rsidRPr="00093C97">
        <w:rPr>
          <w:szCs w:val="22"/>
          <w:lang w:val="en-US"/>
        </w:rPr>
        <w:t xml:space="preserve"> anti-money laundering directive, beneficial owners </w:t>
      </w:r>
      <w:r>
        <w:rPr>
          <w:szCs w:val="22"/>
          <w:lang w:val="en-US"/>
        </w:rPr>
        <w:t>are defined as natural persons</w:t>
      </w:r>
      <w:r w:rsidRPr="00093C97">
        <w:rPr>
          <w:szCs w:val="22"/>
          <w:lang w:val="en-US"/>
        </w:rPr>
        <w:t xml:space="preserve"> who ultimately own or control a legal entity through direct or indirect ownership of a sufficient percentage of the shares. A shareholding of 25 % plus one share would be sufficient. In this respect we strongly urge for an EU wide harmonized approach regarding the calculation methodology for the beneficial ownership, which would either mean a rule that prohibits the calculation on a proportional basis (as opposed to a calculation of a sufficient participation on each ownership level) or at least a rule that states that already existing customers are exempt. In our opinion, the text of the 4</w:t>
      </w:r>
      <w:r w:rsidRPr="00093C97">
        <w:rPr>
          <w:szCs w:val="22"/>
          <w:vertAlign w:val="superscript"/>
          <w:lang w:val="en-US"/>
        </w:rPr>
        <w:t>th</w:t>
      </w:r>
      <w:r w:rsidRPr="00093C97">
        <w:rPr>
          <w:szCs w:val="22"/>
          <w:lang w:val="en-US"/>
        </w:rPr>
        <w:t xml:space="preserve"> anti-money laundering directive does not support a calculation on a proportional basis. This should be made clear also in the joint guidelines.</w:t>
      </w:r>
    </w:p>
    <w:p w:rsidR="00BD5BCE" w:rsidRPr="00093C97" w:rsidRDefault="00BD5BCE" w:rsidP="00FC4546">
      <w:pPr>
        <w:pStyle w:val="Listenabsatz"/>
        <w:ind w:left="426"/>
        <w:rPr>
          <w:szCs w:val="22"/>
          <w:lang w:val="en-US"/>
        </w:rPr>
      </w:pPr>
    </w:p>
    <w:p w:rsidR="00BD5BCE" w:rsidRPr="00093C97" w:rsidRDefault="00BD5BCE" w:rsidP="00FC4546">
      <w:pPr>
        <w:pStyle w:val="Listenabsatz"/>
        <w:numPr>
          <w:ilvl w:val="0"/>
          <w:numId w:val="24"/>
        </w:numPr>
        <w:spacing w:line="240" w:lineRule="auto"/>
        <w:ind w:left="426"/>
        <w:rPr>
          <w:szCs w:val="22"/>
          <w:lang w:val="en-US"/>
        </w:rPr>
      </w:pPr>
      <w:r w:rsidRPr="00093C97">
        <w:rPr>
          <w:szCs w:val="22"/>
          <w:lang w:val="en-US"/>
        </w:rPr>
        <w:t xml:space="preserve">Customer and beneficial owner verification (Art. 13): Current standards for the verification of customers and beneficial owners within the EEA are very diverse, including the expected official public documentation and registers. This becomes very evident in particular in the course of international syndicated loans and private equity deals (e.g. in case of involvement of legal persons in offshore destinations), where the involved banks adhere to different local standards in regard to the reliable documentation. Thus in some countries there are much stricter regulatory requirements (e.g. Austrian banks must fulfill stricter verification requirements than German banks). In general, the verification of beneficial owner information should focus strongly on the country specific requirements (e.g. if a </w:t>
      </w:r>
      <w:r w:rsidRPr="00093C97">
        <w:rPr>
          <w:szCs w:val="22"/>
          <w:lang w:val="en-US"/>
        </w:rPr>
        <w:lastRenderedPageBreak/>
        <w:t xml:space="preserve">self-declaration of beneficial ownership is the only source of information available in a jurisdiction, this should be sufficient for verification purposes). </w:t>
      </w:r>
    </w:p>
    <w:p w:rsidR="00BD5BCE" w:rsidRPr="00093C97" w:rsidRDefault="00BD5BCE" w:rsidP="00FC4546">
      <w:pPr>
        <w:pStyle w:val="Listenabsatz"/>
        <w:ind w:left="426"/>
        <w:rPr>
          <w:szCs w:val="22"/>
          <w:lang w:val="en-US"/>
        </w:rPr>
      </w:pPr>
    </w:p>
    <w:p w:rsidR="00BD5BCE" w:rsidRPr="00093C97" w:rsidRDefault="00BD5BCE" w:rsidP="00FC4546">
      <w:pPr>
        <w:pStyle w:val="Listenabsatz"/>
        <w:numPr>
          <w:ilvl w:val="0"/>
          <w:numId w:val="24"/>
        </w:numPr>
        <w:spacing w:line="240" w:lineRule="auto"/>
        <w:ind w:left="426"/>
        <w:rPr>
          <w:szCs w:val="22"/>
          <w:lang w:val="en-US"/>
        </w:rPr>
      </w:pPr>
      <w:r w:rsidRPr="00093C97">
        <w:rPr>
          <w:color w:val="222222"/>
          <w:szCs w:val="22"/>
          <w:lang w:val="en-US"/>
        </w:rPr>
        <w:t xml:space="preserve">Beneficial owner register (Art. 30): It will be necessary to provide a </w:t>
      </w:r>
      <w:r w:rsidRPr="00093C97">
        <w:rPr>
          <w:color w:val="222222"/>
          <w:szCs w:val="22"/>
          <w:lang w:val="en"/>
        </w:rPr>
        <w:t xml:space="preserve">legal clarification in the guidelines that banks may rely on any information entered into the mandatory beneficial owner registry for all risk classes and that these registers can be used as a publicly reliable source of information for the bank. There should be </w:t>
      </w:r>
      <w:r w:rsidR="00BA19BC">
        <w:rPr>
          <w:color w:val="222222"/>
          <w:szCs w:val="22"/>
          <w:lang w:val="en"/>
        </w:rPr>
        <w:t>no</w:t>
      </w:r>
      <w:r w:rsidRPr="00093C97">
        <w:rPr>
          <w:color w:val="222222"/>
          <w:szCs w:val="22"/>
          <w:lang w:val="en"/>
        </w:rPr>
        <w:t xml:space="preserve"> obligation to interview the client or undergo further verification of the information obtained from the register through other sources (at least insofar as there is no indication of incorrect or incomplete data existing in the register). The bank should further not be obliged to update the information, as long as the information in the register has not changed. In general, the bank should be able to rely on information obtained from a public registry on beneficial owners and should not be obliged to investigate further. </w:t>
      </w:r>
    </w:p>
    <w:p w:rsidR="00BD5BCE" w:rsidRPr="00093C97" w:rsidRDefault="00BD5BCE" w:rsidP="00FC4546">
      <w:pPr>
        <w:pStyle w:val="Listenabsatz"/>
        <w:ind w:left="426"/>
        <w:rPr>
          <w:szCs w:val="22"/>
          <w:lang w:val="en-US"/>
        </w:rPr>
      </w:pPr>
    </w:p>
    <w:p w:rsidR="00BD5BCE" w:rsidRPr="00093C97" w:rsidRDefault="00BD5BCE" w:rsidP="00FC4546">
      <w:pPr>
        <w:pStyle w:val="Listenabsatz"/>
        <w:numPr>
          <w:ilvl w:val="0"/>
          <w:numId w:val="24"/>
        </w:numPr>
        <w:spacing w:line="240" w:lineRule="auto"/>
        <w:ind w:left="426"/>
        <w:rPr>
          <w:szCs w:val="22"/>
          <w:lang w:val="en-US"/>
        </w:rPr>
      </w:pPr>
      <w:r w:rsidRPr="00093C97">
        <w:rPr>
          <w:szCs w:val="22"/>
          <w:lang w:val="en-US"/>
        </w:rPr>
        <w:t xml:space="preserve">Reliable Third Parties (Art. 25-27):  </w:t>
      </w:r>
      <w:r w:rsidRPr="00093C97">
        <w:rPr>
          <w:color w:val="222222"/>
          <w:szCs w:val="22"/>
          <w:lang w:val="en"/>
        </w:rPr>
        <w:t>It is important to define which parties can be considered reliable third parties for the banks in the future. Moreover, it would be necessary to be able to rely on all EU notaries.</w:t>
      </w:r>
    </w:p>
    <w:p w:rsidR="00FC4546" w:rsidRDefault="00FC4546" w:rsidP="00FC4546">
      <w:pPr>
        <w:pStyle w:val="Listenabsatz"/>
        <w:ind w:left="426"/>
        <w:rPr>
          <w:color w:val="222222"/>
          <w:szCs w:val="22"/>
          <w:lang w:val="en"/>
        </w:rPr>
      </w:pPr>
    </w:p>
    <w:p w:rsidR="00BD5BCE" w:rsidRPr="00093C97" w:rsidRDefault="00BD5BCE" w:rsidP="00FC4546">
      <w:pPr>
        <w:pStyle w:val="Listenabsatz"/>
        <w:ind w:left="426"/>
        <w:rPr>
          <w:szCs w:val="22"/>
          <w:lang w:val="en-US"/>
        </w:rPr>
      </w:pPr>
      <w:r w:rsidRPr="00093C97">
        <w:rPr>
          <w:color w:val="222222"/>
          <w:szCs w:val="22"/>
          <w:lang w:val="en"/>
        </w:rPr>
        <w:t xml:space="preserve">Art. 9 of Directive (EU) 2015/849 states, that the EU-Commission will adopt a delegated act, in which the high-risk countries will be identified. Credit and financial institutions domiciled in high-risk countries, where the majority stake is held by banks domiciled within the EEA (and therefore must comply with the Group standards) must continue to be allowed to be used as qualified third parties. The same should apply in cases of lawyers, notaries, public accountants, financial auditors and other reliable parties that must adhere to </w:t>
      </w:r>
      <w:r w:rsidRPr="00093C97">
        <w:rPr>
          <w:szCs w:val="22"/>
          <w:lang w:val="en-US"/>
        </w:rPr>
        <w:t>Directive (EU) 2015/849.</w:t>
      </w:r>
    </w:p>
    <w:p w:rsidR="00FC4546" w:rsidRDefault="00FC4546" w:rsidP="00FC4546">
      <w:pPr>
        <w:pStyle w:val="Listenabsatz"/>
        <w:ind w:left="426"/>
        <w:rPr>
          <w:szCs w:val="22"/>
          <w:lang w:val="en-US"/>
        </w:rPr>
      </w:pPr>
    </w:p>
    <w:p w:rsidR="00BD5BCE" w:rsidRPr="00093C97" w:rsidRDefault="00BD5BCE" w:rsidP="00FC4546">
      <w:pPr>
        <w:pStyle w:val="Listenabsatz"/>
        <w:ind w:left="426"/>
        <w:rPr>
          <w:szCs w:val="22"/>
          <w:lang w:val="en-US"/>
        </w:rPr>
      </w:pPr>
      <w:r w:rsidRPr="00093C97">
        <w:rPr>
          <w:szCs w:val="22"/>
          <w:lang w:val="en-US"/>
        </w:rPr>
        <w:t>A practical solution must be found for banks operating in some high risk jurisdictions for the identification of customers and representatives. Thus, it should be clarified that banks may employ other third parties (apart from reliable third parties), for example by instructing assistants (e.g. lawyers, notaries) about the obligations under Directive (EU) 2015/849 and having these assistants perform the identification accordingly. These aspects should not only apply to the identification, but also for the proof of beneficial ownership (in case that there are no reliable public sources in a specific jurisdiction).</w:t>
      </w:r>
    </w:p>
    <w:p w:rsidR="00365057" w:rsidRDefault="00365057" w:rsidP="00365057">
      <w:pPr>
        <w:spacing w:line="240" w:lineRule="auto"/>
        <w:rPr>
          <w:b/>
          <w:u w:val="single"/>
          <w:lang w:val="en-GB"/>
        </w:rPr>
      </w:pPr>
    </w:p>
    <w:p w:rsidR="00FC4546" w:rsidRPr="00B94DCB" w:rsidRDefault="00FC4546" w:rsidP="00365057">
      <w:pPr>
        <w:spacing w:line="240" w:lineRule="auto"/>
        <w:rPr>
          <w:b/>
          <w:u w:val="single"/>
          <w:lang w:val="en-GB"/>
        </w:rPr>
      </w:pPr>
    </w:p>
    <w:p w:rsidR="00BD5BCE" w:rsidRDefault="00BD5BCE" w:rsidP="00365057">
      <w:pPr>
        <w:spacing w:line="240" w:lineRule="auto"/>
        <w:rPr>
          <w:b/>
          <w:u w:val="single"/>
        </w:rPr>
      </w:pPr>
      <w:proofErr w:type="spellStart"/>
      <w:r>
        <w:rPr>
          <w:b/>
          <w:u w:val="single"/>
        </w:rPr>
        <w:t>Questions</w:t>
      </w:r>
      <w:proofErr w:type="spellEnd"/>
      <w:r>
        <w:rPr>
          <w:b/>
          <w:u w:val="single"/>
        </w:rPr>
        <w:t>:</w:t>
      </w:r>
    </w:p>
    <w:p w:rsidR="00BD5BCE" w:rsidRPr="00BD5BCE" w:rsidRDefault="00BD5BCE" w:rsidP="00365057">
      <w:pPr>
        <w:spacing w:line="240" w:lineRule="auto"/>
        <w:rPr>
          <w:b/>
          <w:lang w:val="en-US"/>
        </w:rPr>
      </w:pPr>
    </w:p>
    <w:p w:rsidR="0078217D" w:rsidRPr="00BD5BCE" w:rsidRDefault="0078217D" w:rsidP="0078217D">
      <w:pPr>
        <w:pStyle w:val="Listenabsatz"/>
        <w:numPr>
          <w:ilvl w:val="0"/>
          <w:numId w:val="22"/>
        </w:numPr>
        <w:rPr>
          <w:b/>
          <w:lang w:val="en-US"/>
        </w:rPr>
      </w:pPr>
      <w:r w:rsidRPr="00BD5BCE">
        <w:rPr>
          <w:b/>
          <w:i/>
          <w:iCs/>
          <w:lang w:val="en-US"/>
        </w:rPr>
        <w:t>Do you consider that these guidelines are conducive to firms adopting risk-based, proportionate and effective AML/CFT policies and procedures in line with the requirements set out in Directive (EU) 2015/849</w:t>
      </w:r>
      <w:r w:rsidRPr="00BD5BCE">
        <w:rPr>
          <w:b/>
          <w:lang w:val="en-US"/>
        </w:rPr>
        <w:t>? </w:t>
      </w:r>
    </w:p>
    <w:p w:rsidR="0078217D" w:rsidRPr="0078217D" w:rsidRDefault="0078217D" w:rsidP="0078217D">
      <w:pPr>
        <w:pStyle w:val="Listenabsatz"/>
        <w:rPr>
          <w:lang w:val="en-US"/>
        </w:rPr>
      </w:pPr>
    </w:p>
    <w:p w:rsidR="0078217D" w:rsidRDefault="0078217D" w:rsidP="0078217D">
      <w:pPr>
        <w:rPr>
          <w:lang w:val="en-US"/>
        </w:rPr>
      </w:pPr>
      <w:r>
        <w:rPr>
          <w:lang w:val="en-US"/>
        </w:rPr>
        <w:t>Yes, we do consider these guidelines as conducive. They contain valuable guiding principles on applying the risk- based approach by laying out a methodology on how the risks of AML and CFT should be identified and assessed by firms. The catalogue of the risk factors, which have to be taken into consideration when identifying and assessing potential AML/ CFT risks is very helpful and can easily be implemented and incorporated in internal procedures concerning the prevention of money laundering and terrorist financing. Additionally, we strongly support the emphasis on the nature and the size of a firms' business when applying a risk-based approach. Therefore the guidelines allow firms to adopt effective AML and CFT procedures and policies which are proportionate to their activities.</w:t>
      </w:r>
    </w:p>
    <w:p w:rsidR="0078217D" w:rsidRPr="00BD5BCE" w:rsidRDefault="0078217D" w:rsidP="0078217D">
      <w:pPr>
        <w:rPr>
          <w:b/>
          <w:lang w:val="en-US"/>
        </w:rPr>
      </w:pPr>
    </w:p>
    <w:p w:rsidR="0078217D" w:rsidRPr="00BD5BCE" w:rsidRDefault="0078217D" w:rsidP="0078217D">
      <w:pPr>
        <w:pStyle w:val="Listenabsatz"/>
        <w:numPr>
          <w:ilvl w:val="0"/>
          <w:numId w:val="22"/>
        </w:numPr>
        <w:rPr>
          <w:b/>
          <w:i/>
          <w:iCs/>
          <w:lang w:val="en-US"/>
        </w:rPr>
      </w:pPr>
      <w:r w:rsidRPr="00BD5BCE">
        <w:rPr>
          <w:b/>
          <w:i/>
          <w:iCs/>
          <w:lang w:val="en-US"/>
        </w:rPr>
        <w:lastRenderedPageBreak/>
        <w:t>Do you consider that these guidelines are conducive to competent authorities effectively monitoring firms' compliance with applicable AML/CFT requirements in relation to individual risk assessments and the application of both simplified and enhanced customer due diligence measures?</w:t>
      </w:r>
    </w:p>
    <w:p w:rsidR="0078217D" w:rsidRPr="0078217D" w:rsidRDefault="0078217D" w:rsidP="0078217D">
      <w:pPr>
        <w:pStyle w:val="Listenabsatz"/>
        <w:rPr>
          <w:lang w:val="en-US"/>
        </w:rPr>
      </w:pPr>
    </w:p>
    <w:p w:rsidR="0078217D" w:rsidRDefault="0078217D" w:rsidP="0078217D">
      <w:pPr>
        <w:rPr>
          <w:lang w:val="en-US"/>
        </w:rPr>
      </w:pPr>
      <w:r>
        <w:rPr>
          <w:lang w:val="en-US"/>
        </w:rPr>
        <w:t>Yes, the guidelines very clearly determine the specifications of the risk-based approach as well as the application of simplified and enhanced customer due diligence. Thus, these guidelines help the competent authorities to set clear expectations of the risk factors, which should be considered by firms when making their risk assessment and customer due diligence. On the other side, the guidelines also help firms to better understand what measures are expected of them and which risk factors have to be considered when identifying and assessing the AML/CFT risks as well as deciding on the appropriate customer due diligence level. Additionally, the fact that the competent authorities have to take into account the nature, scale and complexity of the firms' activities when assessing and monitoring a firms compliance with the applicable AML/CFT requirements allows an effective and proportionate evaluation of a firm.</w:t>
      </w:r>
    </w:p>
    <w:p w:rsidR="0078217D" w:rsidRDefault="0078217D" w:rsidP="0078217D">
      <w:pPr>
        <w:rPr>
          <w:lang w:val="en-US"/>
        </w:rPr>
      </w:pPr>
    </w:p>
    <w:p w:rsidR="0078217D" w:rsidRPr="00BD5BCE" w:rsidRDefault="0078217D" w:rsidP="0078217D">
      <w:pPr>
        <w:pStyle w:val="Listenabsatz"/>
        <w:numPr>
          <w:ilvl w:val="0"/>
          <w:numId w:val="22"/>
        </w:numPr>
        <w:rPr>
          <w:b/>
          <w:i/>
          <w:iCs/>
          <w:lang w:val="en-US"/>
        </w:rPr>
      </w:pPr>
      <w:r w:rsidRPr="00BD5BCE">
        <w:rPr>
          <w:b/>
          <w:i/>
          <w:iCs/>
          <w:lang w:val="en-US"/>
        </w:rPr>
        <w:t xml:space="preserve">The guidelines in Title III of this consultation paper are </w:t>
      </w:r>
      <w:proofErr w:type="spellStart"/>
      <w:r w:rsidRPr="00BD5BCE">
        <w:rPr>
          <w:b/>
          <w:i/>
          <w:iCs/>
          <w:lang w:val="en-US"/>
        </w:rPr>
        <w:t>organised</w:t>
      </w:r>
      <w:proofErr w:type="spellEnd"/>
      <w:r w:rsidRPr="00BD5BCE">
        <w:rPr>
          <w:b/>
          <w:i/>
          <w:iCs/>
          <w:lang w:val="en-US"/>
        </w:rPr>
        <w:t xml:space="preserve"> by types of business. Respondents to this consultation paper are invited to express their views on whether such an approach gives sufficient clarity on the scope of application of the AMLD to the various entities subject to its requirements or whether it would be preferable to follow a legally-driven classification of the various sectors; for example, for the asset management sector, this would mean referring to entities covered by Directive 2009/65/EC and Directive 2011/61/EU and for individual portfolio management or investment advice activities, or entities providing other investment services or activities, to entities covered by Directive 2014/65/EU.</w:t>
      </w:r>
    </w:p>
    <w:p w:rsidR="0078217D" w:rsidRPr="0078217D" w:rsidRDefault="0078217D" w:rsidP="0078217D">
      <w:pPr>
        <w:pStyle w:val="Listenabsatz"/>
        <w:rPr>
          <w:lang w:val="en-US"/>
        </w:rPr>
      </w:pPr>
    </w:p>
    <w:p w:rsidR="0078217D" w:rsidRDefault="0078217D" w:rsidP="0078217D">
      <w:pPr>
        <w:rPr>
          <w:lang w:val="en-US"/>
        </w:rPr>
      </w:pPr>
      <w:r>
        <w:rPr>
          <w:lang w:val="en-US"/>
        </w:rPr>
        <w:t>We welcome the chosen structure of these guidelines in general and especially the structure of the sector specific Titl</w:t>
      </w:r>
      <w:r w:rsidR="00B94DCB">
        <w:rPr>
          <w:lang w:val="en-US"/>
        </w:rPr>
        <w:t>e</w:t>
      </w:r>
      <w:r>
        <w:rPr>
          <w:lang w:val="en-US"/>
        </w:rPr>
        <w:t xml:space="preserve"> III. The fact, that the guidelines contain a part, that </w:t>
      </w:r>
      <w:r w:rsidR="00B94DCB">
        <w:rPr>
          <w:lang w:val="en-US"/>
        </w:rPr>
        <w:t>is applicable to all firms (Tit</w:t>
      </w:r>
      <w:r>
        <w:rPr>
          <w:lang w:val="en-US"/>
        </w:rPr>
        <w:t>l</w:t>
      </w:r>
      <w:r w:rsidR="00B94DCB">
        <w:rPr>
          <w:lang w:val="en-US"/>
        </w:rPr>
        <w:t>e</w:t>
      </w:r>
      <w:r>
        <w:rPr>
          <w:lang w:val="en-US"/>
        </w:rPr>
        <w:t xml:space="preserve"> II) and a supplementary part (Title II), that is sector specific, allows </w:t>
      </w:r>
      <w:proofErr w:type="gramStart"/>
      <w:r>
        <w:rPr>
          <w:lang w:val="en-US"/>
        </w:rPr>
        <w:t>to develop</w:t>
      </w:r>
      <w:proofErr w:type="gramEnd"/>
      <w:r>
        <w:rPr>
          <w:lang w:val="en-US"/>
        </w:rPr>
        <w:t xml:space="preserve"> a common understanding of the risk-based app</w:t>
      </w:r>
      <w:r w:rsidR="00B94DCB">
        <w:rPr>
          <w:lang w:val="en-US"/>
        </w:rPr>
        <w:t>roach and should lead to a unif</w:t>
      </w:r>
      <w:r>
        <w:rPr>
          <w:lang w:val="en-US"/>
        </w:rPr>
        <w:t>o</w:t>
      </w:r>
      <w:r w:rsidR="00B94DCB">
        <w:rPr>
          <w:lang w:val="en-US"/>
        </w:rPr>
        <w:t>r</w:t>
      </w:r>
      <w:r>
        <w:rPr>
          <w:lang w:val="en-US"/>
        </w:rPr>
        <w:t>m EU-wide standard. By focusing on different types of business, instead of focusing on legal definitions of the different sectors, the guidelines are sufficiently clear and even better understandable for the addressees."  </w:t>
      </w:r>
    </w:p>
    <w:p w:rsidR="00C15616" w:rsidRDefault="00C15616" w:rsidP="0010363C">
      <w:pPr>
        <w:spacing w:line="240" w:lineRule="auto"/>
        <w:ind w:right="-1"/>
        <w:rPr>
          <w:b/>
          <w:lang w:val="en-US"/>
        </w:rPr>
      </w:pPr>
    </w:p>
    <w:p w:rsidR="00542702" w:rsidRDefault="00542702" w:rsidP="0010363C">
      <w:pPr>
        <w:spacing w:line="240" w:lineRule="auto"/>
        <w:ind w:right="-1"/>
        <w:rPr>
          <w:b/>
          <w:lang w:val="en-US"/>
        </w:rPr>
      </w:pPr>
    </w:p>
    <w:p w:rsidR="00542702" w:rsidRPr="00FC4546" w:rsidRDefault="00542702" w:rsidP="0010363C">
      <w:pPr>
        <w:spacing w:line="240" w:lineRule="auto"/>
        <w:ind w:right="-1"/>
        <w:rPr>
          <w:b/>
          <w:u w:val="single"/>
          <w:lang w:val="en-US"/>
        </w:rPr>
      </w:pPr>
      <w:r w:rsidRPr="00FC4546">
        <w:rPr>
          <w:b/>
          <w:u w:val="single"/>
          <w:lang w:val="en-US"/>
        </w:rPr>
        <w:t>Specific Comments</w:t>
      </w:r>
    </w:p>
    <w:p w:rsidR="00542702" w:rsidRDefault="00542702" w:rsidP="0010363C">
      <w:pPr>
        <w:spacing w:line="240" w:lineRule="auto"/>
        <w:ind w:right="-1"/>
        <w:rPr>
          <w:b/>
          <w:lang w:val="en-US"/>
        </w:rPr>
      </w:pPr>
    </w:p>
    <w:p w:rsidR="0078217D" w:rsidRPr="00B94DCB" w:rsidRDefault="0078217D" w:rsidP="0078217D">
      <w:pPr>
        <w:rPr>
          <w:szCs w:val="22"/>
          <w:lang w:val="en-GB"/>
        </w:rPr>
      </w:pPr>
      <w:r w:rsidRPr="0078217D">
        <w:rPr>
          <w:rFonts w:cs="Arial"/>
          <w:szCs w:val="22"/>
          <w:lang w:val="en-US"/>
        </w:rPr>
        <w:t xml:space="preserve">Below you will find further input on the consultation (numbers at the start of each of the comments point at the item of the draft which is being commented, capitalized terms have the meaning as given to them in the drafts). </w:t>
      </w:r>
    </w:p>
    <w:tbl>
      <w:tblPr>
        <w:tblW w:w="0" w:type="auto"/>
        <w:tblCellMar>
          <w:left w:w="0" w:type="dxa"/>
          <w:right w:w="0" w:type="dxa"/>
        </w:tblCellMar>
        <w:tblLook w:val="04A0" w:firstRow="1" w:lastRow="0" w:firstColumn="1" w:lastColumn="0" w:noHBand="0" w:noVBand="1"/>
      </w:tblPr>
      <w:tblGrid>
        <w:gridCol w:w="9143"/>
      </w:tblGrid>
      <w:tr w:rsidR="0078217D" w:rsidRPr="00BA19BC" w:rsidTr="0078217D">
        <w:trPr>
          <w:trHeight w:val="87"/>
        </w:trPr>
        <w:tc>
          <w:tcPr>
            <w:tcW w:w="9143" w:type="dxa"/>
            <w:tcMar>
              <w:top w:w="0" w:type="dxa"/>
              <w:left w:w="108" w:type="dxa"/>
              <w:bottom w:w="0" w:type="dxa"/>
              <w:right w:w="108" w:type="dxa"/>
            </w:tcMar>
            <w:hideMark/>
          </w:tcPr>
          <w:p w:rsidR="0078217D" w:rsidRPr="00B94DCB" w:rsidRDefault="0078217D">
            <w:pPr>
              <w:rPr>
                <w:rFonts w:eastAsiaTheme="minorHAnsi"/>
                <w:szCs w:val="22"/>
                <w:lang w:val="en-GB" w:eastAsia="en-US"/>
              </w:rPr>
            </w:pPr>
          </w:p>
        </w:tc>
      </w:tr>
    </w:tbl>
    <w:p w:rsidR="00BD5BCE" w:rsidRPr="00B94DCB" w:rsidRDefault="00BD5BCE" w:rsidP="00B94DCB">
      <w:pPr>
        <w:pStyle w:val="Listenabsatz"/>
        <w:numPr>
          <w:ilvl w:val="0"/>
          <w:numId w:val="23"/>
        </w:numPr>
        <w:spacing w:line="240" w:lineRule="auto"/>
        <w:ind w:left="709"/>
        <w:rPr>
          <w:rFonts w:eastAsiaTheme="minorHAnsi"/>
          <w:szCs w:val="22"/>
          <w:lang w:val="en-GB" w:eastAsia="en-US"/>
        </w:rPr>
      </w:pPr>
      <w:r w:rsidRPr="00B94DCB">
        <w:rPr>
          <w:rFonts w:eastAsiaTheme="minorHAnsi"/>
          <w:szCs w:val="22"/>
          <w:lang w:val="en-GB" w:eastAsia="en-US"/>
        </w:rPr>
        <w:t>(12, 13): Risk assessments: methodology and risk factors: Consideration of risk-related factors for occasional walk-in customers:</w:t>
      </w:r>
    </w:p>
    <w:p w:rsidR="00BD5BCE" w:rsidRPr="00B94DCB" w:rsidRDefault="00BD5BCE" w:rsidP="00B94DCB">
      <w:pPr>
        <w:pStyle w:val="Listenabsatz"/>
        <w:spacing w:line="240" w:lineRule="auto"/>
        <w:ind w:left="709"/>
        <w:contextualSpacing w:val="0"/>
        <w:rPr>
          <w:rFonts w:eastAsiaTheme="minorHAnsi"/>
          <w:szCs w:val="22"/>
          <w:lang w:val="en-GB" w:eastAsia="en-US"/>
        </w:rPr>
      </w:pPr>
      <w:r w:rsidRPr="00B94DCB">
        <w:rPr>
          <w:rFonts w:eastAsiaTheme="minorHAnsi"/>
          <w:szCs w:val="22"/>
          <w:lang w:val="en-GB" w:eastAsia="en-US"/>
        </w:rPr>
        <w:t xml:space="preserve">The occasional walk-in customer is not a classic customer relationship. Thus, there is typically no client base and no ongoing customer </w:t>
      </w:r>
      <w:r w:rsidR="00B94DCB" w:rsidRPr="00B94DCB">
        <w:rPr>
          <w:rFonts w:eastAsiaTheme="minorHAnsi"/>
          <w:szCs w:val="22"/>
          <w:lang w:val="en-GB" w:eastAsia="en-US"/>
        </w:rPr>
        <w:t>behaviour</w:t>
      </w:r>
      <w:r w:rsidRPr="00B94DCB">
        <w:rPr>
          <w:rFonts w:eastAsiaTheme="minorHAnsi"/>
          <w:szCs w:val="22"/>
          <w:lang w:val="en-GB" w:eastAsia="en-US"/>
        </w:rPr>
        <w:t xml:space="preserve"> that needs to be assessed and monitored. An assessment of the necessary risk factors followed by a risk-classification cannot therefore be technically considered and does the make sense in the absence of any follow-up business.</w:t>
      </w:r>
    </w:p>
    <w:p w:rsidR="0078217D" w:rsidRPr="00B94DCB" w:rsidRDefault="0078217D" w:rsidP="00B94DCB">
      <w:pPr>
        <w:pStyle w:val="Listenabsatz"/>
        <w:numPr>
          <w:ilvl w:val="0"/>
          <w:numId w:val="23"/>
        </w:numPr>
        <w:spacing w:line="240" w:lineRule="auto"/>
        <w:ind w:left="709"/>
        <w:contextualSpacing w:val="0"/>
        <w:rPr>
          <w:rFonts w:eastAsiaTheme="minorHAnsi"/>
          <w:szCs w:val="22"/>
          <w:lang w:val="en-GB" w:eastAsia="en-US"/>
        </w:rPr>
      </w:pPr>
      <w:r w:rsidRPr="0078217D">
        <w:rPr>
          <w:rFonts w:cs="Arial"/>
          <w:szCs w:val="22"/>
          <w:lang w:val="en-US"/>
        </w:rPr>
        <w:t>(15), 3</w:t>
      </w:r>
      <w:r w:rsidRPr="0078217D">
        <w:rPr>
          <w:rFonts w:cs="Arial"/>
          <w:szCs w:val="22"/>
          <w:vertAlign w:val="superscript"/>
          <w:lang w:val="en-US"/>
        </w:rPr>
        <w:t>rd</w:t>
      </w:r>
      <w:r w:rsidRPr="0078217D">
        <w:rPr>
          <w:rFonts w:cs="Arial"/>
          <w:szCs w:val="22"/>
          <w:lang w:val="en-US"/>
        </w:rPr>
        <w:t xml:space="preserve"> bullet point: The “</w:t>
      </w:r>
      <w:r w:rsidRPr="0078217D">
        <w:rPr>
          <w:rFonts w:cs="Arial"/>
          <w:i/>
          <w:iCs/>
          <w:szCs w:val="22"/>
          <w:lang w:val="en-US"/>
        </w:rPr>
        <w:t>reasoning as set out in regulatory fines</w:t>
      </w:r>
      <w:r w:rsidRPr="0078217D">
        <w:rPr>
          <w:rFonts w:cs="Arial"/>
          <w:szCs w:val="22"/>
          <w:lang w:val="en-US"/>
        </w:rPr>
        <w:t xml:space="preserve">” will only be known to a firm which has been fined. Due to the fact that such firms will certainly have an interest to not be charged with any additional fines for a continued non-compliance and other firms will typically have no knowledge of the fine (not to talk about the reasoning </w:t>
      </w:r>
      <w:r w:rsidRPr="0078217D">
        <w:rPr>
          <w:rFonts w:cs="Arial"/>
          <w:szCs w:val="22"/>
          <w:lang w:val="en-US"/>
        </w:rPr>
        <w:lastRenderedPageBreak/>
        <w:t>for such fine) the second half of the sentence should be deleted (starting from “</w:t>
      </w:r>
      <w:r w:rsidRPr="0078217D">
        <w:rPr>
          <w:rFonts w:cs="Arial"/>
          <w:i/>
          <w:iCs/>
          <w:szCs w:val="22"/>
          <w:lang w:val="en-US"/>
        </w:rPr>
        <w:t>and the reasoning…</w:t>
      </w:r>
      <w:r w:rsidRPr="0078217D">
        <w:rPr>
          <w:rFonts w:cs="Arial"/>
          <w:szCs w:val="22"/>
          <w:lang w:val="en-US"/>
        </w:rPr>
        <w:t>”);</w:t>
      </w:r>
    </w:p>
    <w:p w:rsidR="0078217D" w:rsidRPr="00B94DCB" w:rsidRDefault="0078217D" w:rsidP="00B94DCB">
      <w:pPr>
        <w:pStyle w:val="Listenabsatz"/>
        <w:numPr>
          <w:ilvl w:val="0"/>
          <w:numId w:val="23"/>
        </w:numPr>
        <w:spacing w:line="240" w:lineRule="auto"/>
        <w:ind w:left="709"/>
        <w:contextualSpacing w:val="0"/>
        <w:rPr>
          <w:szCs w:val="22"/>
          <w:lang w:val="en-GB"/>
        </w:rPr>
      </w:pPr>
      <w:r w:rsidRPr="0078217D">
        <w:rPr>
          <w:rFonts w:cs="Arial"/>
          <w:szCs w:val="22"/>
          <w:lang w:val="en-US"/>
        </w:rPr>
        <w:t>(16), 2</w:t>
      </w:r>
      <w:r w:rsidRPr="0078217D">
        <w:rPr>
          <w:rFonts w:cs="Arial"/>
          <w:szCs w:val="22"/>
          <w:vertAlign w:val="superscript"/>
          <w:lang w:val="en-US"/>
        </w:rPr>
        <w:t>nd</w:t>
      </w:r>
      <w:r w:rsidRPr="0078217D">
        <w:rPr>
          <w:rFonts w:cs="Arial"/>
          <w:szCs w:val="22"/>
          <w:lang w:val="en-US"/>
        </w:rPr>
        <w:t xml:space="preserve"> and last bullet point are too unspecific and too broad and should be deleted;</w:t>
      </w:r>
    </w:p>
    <w:p w:rsidR="0078217D" w:rsidRPr="0078217D" w:rsidRDefault="0078217D" w:rsidP="00B94DCB">
      <w:pPr>
        <w:pStyle w:val="Listenabsatz"/>
        <w:numPr>
          <w:ilvl w:val="0"/>
          <w:numId w:val="23"/>
        </w:numPr>
        <w:spacing w:line="240" w:lineRule="auto"/>
        <w:ind w:left="709"/>
        <w:contextualSpacing w:val="0"/>
        <w:rPr>
          <w:szCs w:val="22"/>
        </w:rPr>
      </w:pPr>
      <w:r w:rsidRPr="0078217D">
        <w:rPr>
          <w:rFonts w:cs="Arial"/>
          <w:szCs w:val="22"/>
          <w:lang w:val="en-US"/>
        </w:rPr>
        <w:t xml:space="preserve">(18), items b) and c) </w:t>
      </w:r>
    </w:p>
    <w:p w:rsidR="0078217D" w:rsidRDefault="0078217D" w:rsidP="00B94DCB">
      <w:pPr>
        <w:pStyle w:val="Listenabsatz"/>
        <w:ind w:left="709"/>
        <w:rPr>
          <w:rFonts w:cs="Arial"/>
          <w:szCs w:val="22"/>
          <w:lang w:val="en-US"/>
        </w:rPr>
      </w:pPr>
      <w:r w:rsidRPr="0078217D">
        <w:rPr>
          <w:rFonts w:cs="Arial"/>
          <w:szCs w:val="22"/>
          <w:lang w:val="en-US"/>
        </w:rPr>
        <w:t>Since Firms are in no position to track a customer’s (or even a beneficial owner’s) “</w:t>
      </w:r>
      <w:r w:rsidRPr="0078217D">
        <w:rPr>
          <w:rFonts w:cs="Arial"/>
          <w:i/>
          <w:iCs/>
          <w:szCs w:val="22"/>
          <w:lang w:val="en-US"/>
        </w:rPr>
        <w:t xml:space="preserve">nature and </w:t>
      </w:r>
      <w:proofErr w:type="spellStart"/>
      <w:r w:rsidRPr="0078217D">
        <w:rPr>
          <w:rFonts w:cs="Arial"/>
          <w:i/>
          <w:iCs/>
          <w:szCs w:val="22"/>
          <w:lang w:val="en-US"/>
        </w:rPr>
        <w:t>behaviour</w:t>
      </w:r>
      <w:proofErr w:type="spellEnd"/>
      <w:r w:rsidRPr="0078217D">
        <w:rPr>
          <w:rFonts w:cs="Arial"/>
          <w:szCs w:val="22"/>
          <w:lang w:val="en-US"/>
        </w:rPr>
        <w:t>” and since these terms are way too unspecific, the item c) should be deleted. Also it is suggested to keep out generally reputational risk aspects and therefor to delete also sub-item b);</w:t>
      </w:r>
    </w:p>
    <w:p w:rsidR="00804FA1" w:rsidRPr="00804FA1" w:rsidRDefault="00693220" w:rsidP="00804FA1">
      <w:pPr>
        <w:pStyle w:val="Listenabsatz"/>
        <w:numPr>
          <w:ilvl w:val="0"/>
          <w:numId w:val="23"/>
        </w:numPr>
        <w:spacing w:line="240" w:lineRule="auto"/>
        <w:ind w:left="709" w:hanging="709"/>
        <w:contextualSpacing w:val="0"/>
        <w:rPr>
          <w:rFonts w:cs="Arial"/>
          <w:szCs w:val="22"/>
          <w:lang w:val="en-US"/>
        </w:rPr>
      </w:pPr>
      <w:r>
        <w:rPr>
          <w:rFonts w:cs="Arial"/>
          <w:szCs w:val="22"/>
          <w:lang w:val="en-US"/>
        </w:rPr>
        <w:t xml:space="preserve">(18) - (21): </w:t>
      </w:r>
      <w:r w:rsidR="00804FA1" w:rsidRPr="00804FA1">
        <w:rPr>
          <w:rFonts w:cs="Arial"/>
          <w:szCs w:val="22"/>
          <w:lang w:val="en-US"/>
        </w:rPr>
        <w:t xml:space="preserve">In general the factors and questions to consider in the guidelines by the European Supervisory Authorities go beyond the risk factors mentioned in the 4th Anti-Money Laundering Directive (2015/849). While Annex III of Directive 2015/849 mentions “cash-intensive business” as a consideration for potentially higher risk of money laundering, the guidelines mention in reference 19 additional sectors, such as construction, pharmaceuticals, healthcare and public procurement. It is therefore no clear, which is considered the minimum standard. </w:t>
      </w:r>
    </w:p>
    <w:p w:rsidR="00804FA1" w:rsidRPr="00804FA1" w:rsidRDefault="00804FA1" w:rsidP="00804FA1">
      <w:pPr>
        <w:pStyle w:val="Default"/>
        <w:ind w:left="709"/>
        <w:rPr>
          <w:rFonts w:ascii="Trebuchet MS" w:hAnsi="Trebuchet MS"/>
          <w:color w:val="auto"/>
          <w:sz w:val="22"/>
          <w:szCs w:val="22"/>
          <w:lang w:val="en-US" w:eastAsia="de-DE"/>
        </w:rPr>
      </w:pPr>
      <w:r w:rsidRPr="00804FA1">
        <w:rPr>
          <w:rFonts w:ascii="Trebuchet MS" w:hAnsi="Trebuchet MS"/>
          <w:color w:val="auto"/>
          <w:sz w:val="22"/>
          <w:szCs w:val="22"/>
          <w:lang w:val="en-US" w:eastAsia="de-DE"/>
        </w:rPr>
        <w:t xml:space="preserve">Consideration of risk factors relevant to the beneficial owner (from reference 18 </w:t>
      </w:r>
      <w:proofErr w:type="gramStart"/>
      <w:r w:rsidRPr="00804FA1">
        <w:rPr>
          <w:rFonts w:ascii="Trebuchet MS" w:hAnsi="Trebuchet MS"/>
          <w:color w:val="auto"/>
          <w:sz w:val="22"/>
          <w:szCs w:val="22"/>
          <w:lang w:val="en-US" w:eastAsia="de-DE"/>
        </w:rPr>
        <w:t>et</w:t>
      </w:r>
      <w:proofErr w:type="gramEnd"/>
      <w:r w:rsidRPr="00804FA1">
        <w:rPr>
          <w:rFonts w:ascii="Trebuchet MS" w:hAnsi="Trebuchet MS"/>
          <w:color w:val="auto"/>
          <w:sz w:val="22"/>
          <w:szCs w:val="22"/>
          <w:lang w:val="en-US" w:eastAsia="de-DE"/>
        </w:rPr>
        <w:t xml:space="preserve"> </w:t>
      </w:r>
      <w:proofErr w:type="spellStart"/>
      <w:r w:rsidRPr="00804FA1">
        <w:rPr>
          <w:rFonts w:ascii="Trebuchet MS" w:hAnsi="Trebuchet MS"/>
          <w:color w:val="auto"/>
          <w:sz w:val="22"/>
          <w:szCs w:val="22"/>
          <w:lang w:val="en-US" w:eastAsia="de-DE"/>
        </w:rPr>
        <w:t>seq</w:t>
      </w:r>
      <w:proofErr w:type="spellEnd"/>
      <w:r w:rsidRPr="00804FA1">
        <w:rPr>
          <w:rFonts w:ascii="Trebuchet MS" w:hAnsi="Trebuchet MS"/>
          <w:color w:val="auto"/>
          <w:sz w:val="22"/>
          <w:szCs w:val="22"/>
          <w:lang w:val="en-US" w:eastAsia="de-DE"/>
        </w:rPr>
        <w:t>): As there is usually no personal contact with beneficial owners, some of the required information gathering is possible only with greatly increased costs. Furthermore, most of this information will not be available at the time the customer is set up in the banking system and therefore cannot be taken into account in the risk-rating process. A</w:t>
      </w:r>
      <w:r>
        <w:rPr>
          <w:rFonts w:ascii="Trebuchet MS" w:hAnsi="Trebuchet MS"/>
          <w:color w:val="auto"/>
          <w:sz w:val="22"/>
          <w:szCs w:val="22"/>
          <w:lang w:val="en-US" w:eastAsia="de-DE"/>
        </w:rPr>
        <w:t>n</w:t>
      </w:r>
      <w:r w:rsidRPr="00804FA1">
        <w:rPr>
          <w:rFonts w:ascii="Trebuchet MS" w:hAnsi="Trebuchet MS"/>
          <w:color w:val="auto"/>
          <w:sz w:val="22"/>
          <w:szCs w:val="22"/>
          <w:lang w:val="en-US" w:eastAsia="de-DE"/>
        </w:rPr>
        <w:t xml:space="preserve"> updating of existing customers is not feasible due to missing resources.</w:t>
      </w:r>
    </w:p>
    <w:p w:rsidR="00804FA1" w:rsidRPr="00804FA1" w:rsidRDefault="00804FA1" w:rsidP="00804FA1">
      <w:pPr>
        <w:pStyle w:val="Default"/>
        <w:ind w:left="709"/>
        <w:rPr>
          <w:rFonts w:ascii="Trebuchet MS" w:hAnsi="Trebuchet MS"/>
          <w:color w:val="auto"/>
          <w:sz w:val="22"/>
          <w:szCs w:val="22"/>
          <w:lang w:val="en-US" w:eastAsia="de-DE"/>
        </w:rPr>
      </w:pPr>
      <w:r w:rsidRPr="00804FA1">
        <w:rPr>
          <w:rFonts w:ascii="Trebuchet MS" w:hAnsi="Trebuchet MS"/>
          <w:color w:val="auto"/>
          <w:sz w:val="22"/>
          <w:szCs w:val="22"/>
          <w:lang w:val="en-US" w:eastAsia="de-DE"/>
        </w:rPr>
        <w:t xml:space="preserve">In addition, the guidelines include a new risk factor (reference 19), which is a customer holding a public position that might enable them to abuse public office for private gain. In light of the already existing PEP definition and the overall high risk associated with this factor, such an additional factor which is very wide in scope and relating to virtually the same risk seems unnecessary.  </w:t>
      </w:r>
    </w:p>
    <w:p w:rsidR="00804FA1" w:rsidRPr="00804FA1" w:rsidRDefault="00804FA1" w:rsidP="00804FA1">
      <w:pPr>
        <w:pStyle w:val="Default"/>
        <w:ind w:left="709"/>
        <w:rPr>
          <w:rFonts w:ascii="Trebuchet MS" w:hAnsi="Trebuchet MS"/>
          <w:color w:val="auto"/>
          <w:sz w:val="22"/>
          <w:szCs w:val="22"/>
          <w:lang w:val="en-US" w:eastAsia="de-DE"/>
        </w:rPr>
      </w:pPr>
      <w:r w:rsidRPr="00804FA1">
        <w:rPr>
          <w:rFonts w:ascii="Trebuchet MS" w:hAnsi="Trebuchet MS"/>
          <w:color w:val="auto"/>
          <w:sz w:val="22"/>
          <w:szCs w:val="22"/>
          <w:lang w:val="en-US" w:eastAsia="de-DE"/>
        </w:rPr>
        <w:t>Most factors mentioned in association with a customer</w:t>
      </w:r>
      <w:r>
        <w:rPr>
          <w:rFonts w:ascii="Trebuchet MS" w:hAnsi="Trebuchet MS"/>
          <w:color w:val="auto"/>
          <w:sz w:val="22"/>
          <w:szCs w:val="22"/>
          <w:lang w:val="en-US" w:eastAsia="de-DE"/>
        </w:rPr>
        <w:t>’</w:t>
      </w:r>
      <w:r w:rsidRPr="00804FA1">
        <w:rPr>
          <w:rFonts w:ascii="Trebuchet MS" w:hAnsi="Trebuchet MS"/>
          <w:color w:val="auto"/>
          <w:sz w:val="22"/>
          <w:szCs w:val="22"/>
          <w:lang w:val="en-US" w:eastAsia="de-DE"/>
        </w:rPr>
        <w:t>s or a beneficial owner</w:t>
      </w:r>
      <w:r>
        <w:rPr>
          <w:rFonts w:ascii="Trebuchet MS" w:hAnsi="Trebuchet MS"/>
          <w:color w:val="auto"/>
          <w:sz w:val="22"/>
          <w:szCs w:val="22"/>
          <w:lang w:val="en-US" w:eastAsia="de-DE"/>
        </w:rPr>
        <w:t>’</w:t>
      </w:r>
      <w:r w:rsidRPr="00804FA1">
        <w:rPr>
          <w:rFonts w:ascii="Trebuchet MS" w:hAnsi="Trebuchet MS"/>
          <w:color w:val="auto"/>
          <w:sz w:val="22"/>
          <w:szCs w:val="22"/>
          <w:lang w:val="en-US" w:eastAsia="de-DE"/>
        </w:rPr>
        <w:t>s reputation, appear to be mostly “no-go” factors, meaning such factors would in most cases be a clear indication for not onboarding such a customer in the first place and/or immediately submitting a suspicious activity report. It is therefore highly questionable, if these should be seen as merely “risk factors”. Examples of these factors are:</w:t>
      </w:r>
    </w:p>
    <w:p w:rsidR="00804FA1" w:rsidRPr="00804FA1" w:rsidRDefault="00804FA1" w:rsidP="00804FA1">
      <w:pPr>
        <w:pStyle w:val="Default"/>
        <w:numPr>
          <w:ilvl w:val="0"/>
          <w:numId w:val="25"/>
        </w:numPr>
        <w:ind w:left="709" w:firstLine="0"/>
        <w:rPr>
          <w:rFonts w:ascii="Trebuchet MS" w:hAnsi="Trebuchet MS"/>
          <w:color w:val="auto"/>
          <w:sz w:val="22"/>
          <w:szCs w:val="22"/>
          <w:lang w:val="en-US" w:eastAsia="de-DE"/>
        </w:rPr>
      </w:pPr>
      <w:r w:rsidRPr="00804FA1">
        <w:rPr>
          <w:rFonts w:ascii="Trebuchet MS" w:hAnsi="Trebuchet MS"/>
          <w:color w:val="auto"/>
          <w:sz w:val="22"/>
          <w:szCs w:val="22"/>
          <w:lang w:val="en-US" w:eastAsia="de-DE"/>
        </w:rPr>
        <w:t>Are there suggestions that the customer or beneficial owner or anyone associated with them may have handled the proceeds from crime?</w:t>
      </w:r>
    </w:p>
    <w:p w:rsidR="00804FA1" w:rsidRPr="00804FA1" w:rsidRDefault="00804FA1" w:rsidP="00804FA1">
      <w:pPr>
        <w:pStyle w:val="Default"/>
        <w:numPr>
          <w:ilvl w:val="0"/>
          <w:numId w:val="25"/>
        </w:numPr>
        <w:ind w:left="709" w:firstLine="0"/>
        <w:rPr>
          <w:rFonts w:ascii="Trebuchet MS" w:hAnsi="Trebuchet MS"/>
          <w:color w:val="auto"/>
          <w:sz w:val="22"/>
          <w:szCs w:val="22"/>
          <w:lang w:val="en-US" w:eastAsia="de-DE"/>
        </w:rPr>
      </w:pPr>
      <w:r w:rsidRPr="00804FA1">
        <w:rPr>
          <w:rFonts w:ascii="Trebuchet MS" w:hAnsi="Trebuchet MS"/>
          <w:color w:val="auto"/>
          <w:sz w:val="22"/>
          <w:szCs w:val="22"/>
          <w:lang w:val="en-US" w:eastAsia="de-DE"/>
        </w:rPr>
        <w:t>Are there any adverse media reports about the customer, for example are there any allegations of criminality or terrorism (proven or not) against the customer or their beneficial owners?</w:t>
      </w:r>
    </w:p>
    <w:p w:rsidR="00804FA1" w:rsidRPr="00804FA1" w:rsidRDefault="00804FA1" w:rsidP="00804FA1">
      <w:pPr>
        <w:pStyle w:val="Default"/>
        <w:numPr>
          <w:ilvl w:val="0"/>
          <w:numId w:val="25"/>
        </w:numPr>
        <w:ind w:left="709" w:firstLine="0"/>
        <w:rPr>
          <w:rFonts w:ascii="Trebuchet MS" w:hAnsi="Trebuchet MS"/>
          <w:color w:val="auto"/>
          <w:sz w:val="22"/>
          <w:szCs w:val="22"/>
          <w:lang w:val="en-US" w:eastAsia="de-DE"/>
        </w:rPr>
      </w:pPr>
      <w:r w:rsidRPr="00804FA1">
        <w:rPr>
          <w:rFonts w:ascii="Trebuchet MS" w:hAnsi="Trebuchet MS"/>
          <w:color w:val="auto"/>
          <w:sz w:val="22"/>
          <w:szCs w:val="22"/>
          <w:lang w:val="en-US" w:eastAsia="de-DE"/>
        </w:rPr>
        <w:t>Is the customer, beneficial owner or anyone associated with them subject to an asset freeze due to criminal proceedings or allegations of terrorism or terrorist financing?</w:t>
      </w:r>
    </w:p>
    <w:p w:rsidR="00804FA1" w:rsidRPr="00804FA1" w:rsidRDefault="00804FA1" w:rsidP="00804FA1">
      <w:pPr>
        <w:pStyle w:val="Default"/>
        <w:ind w:left="709"/>
        <w:rPr>
          <w:rFonts w:ascii="Trebuchet MS" w:hAnsi="Trebuchet MS"/>
          <w:color w:val="auto"/>
          <w:sz w:val="22"/>
          <w:szCs w:val="22"/>
          <w:lang w:val="en-US" w:eastAsia="de-DE"/>
        </w:rPr>
      </w:pPr>
      <w:r w:rsidRPr="00804FA1">
        <w:rPr>
          <w:rFonts w:ascii="Trebuchet MS" w:hAnsi="Trebuchet MS"/>
          <w:color w:val="auto"/>
          <w:sz w:val="22"/>
          <w:szCs w:val="22"/>
          <w:lang w:val="en-US" w:eastAsia="de-DE"/>
        </w:rPr>
        <w:t>The same applies for several factors in relation to a customer’s nature and behavior, e.g.:</w:t>
      </w:r>
    </w:p>
    <w:p w:rsidR="00804FA1" w:rsidRPr="00804FA1" w:rsidRDefault="00804FA1" w:rsidP="00804FA1">
      <w:pPr>
        <w:pStyle w:val="Default"/>
        <w:numPr>
          <w:ilvl w:val="0"/>
          <w:numId w:val="26"/>
        </w:numPr>
        <w:ind w:left="709" w:firstLine="0"/>
        <w:rPr>
          <w:rFonts w:ascii="Trebuchet MS" w:hAnsi="Trebuchet MS"/>
          <w:color w:val="auto"/>
          <w:sz w:val="22"/>
          <w:szCs w:val="22"/>
          <w:lang w:val="en-US" w:eastAsia="de-DE"/>
        </w:rPr>
      </w:pPr>
      <w:r w:rsidRPr="00804FA1">
        <w:rPr>
          <w:rFonts w:ascii="Trebuchet MS" w:hAnsi="Trebuchet MS"/>
          <w:color w:val="auto"/>
          <w:sz w:val="22"/>
          <w:szCs w:val="22"/>
          <w:lang w:val="en-US" w:eastAsia="de-DE"/>
        </w:rPr>
        <w:t>Does the firm have any doubts about the veracity or accuracy of the customer’s or beneficial owner’s identity?</w:t>
      </w:r>
    </w:p>
    <w:p w:rsidR="00804FA1" w:rsidRPr="00804FA1" w:rsidRDefault="00804FA1" w:rsidP="00804FA1">
      <w:pPr>
        <w:pStyle w:val="Default"/>
        <w:numPr>
          <w:ilvl w:val="0"/>
          <w:numId w:val="26"/>
        </w:numPr>
        <w:ind w:left="709" w:firstLine="0"/>
        <w:rPr>
          <w:rFonts w:ascii="Trebuchet MS" w:hAnsi="Trebuchet MS"/>
          <w:color w:val="auto"/>
          <w:sz w:val="22"/>
          <w:szCs w:val="22"/>
          <w:lang w:val="en-US" w:eastAsia="de-DE"/>
        </w:rPr>
      </w:pPr>
      <w:r w:rsidRPr="00804FA1">
        <w:rPr>
          <w:rFonts w:ascii="Trebuchet MS" w:hAnsi="Trebuchet MS"/>
          <w:color w:val="auto"/>
          <w:sz w:val="22"/>
          <w:szCs w:val="22"/>
          <w:lang w:val="en-US" w:eastAsia="de-DE"/>
        </w:rPr>
        <w:t>Are there indications that the customer might seek to avoid the establishment of a business relationship?</w:t>
      </w:r>
    </w:p>
    <w:p w:rsidR="00804FA1" w:rsidRPr="00804FA1" w:rsidRDefault="00804FA1" w:rsidP="00804FA1">
      <w:pPr>
        <w:pStyle w:val="Default"/>
        <w:numPr>
          <w:ilvl w:val="0"/>
          <w:numId w:val="26"/>
        </w:numPr>
        <w:ind w:left="709" w:firstLine="0"/>
        <w:rPr>
          <w:rFonts w:ascii="Trebuchet MS" w:hAnsi="Trebuchet MS"/>
          <w:color w:val="auto"/>
          <w:sz w:val="22"/>
          <w:szCs w:val="22"/>
          <w:lang w:val="en-US" w:eastAsia="de-DE"/>
        </w:rPr>
      </w:pPr>
      <w:r w:rsidRPr="00804FA1">
        <w:rPr>
          <w:rFonts w:ascii="Trebuchet MS" w:hAnsi="Trebuchet MS"/>
          <w:color w:val="auto"/>
          <w:sz w:val="22"/>
          <w:szCs w:val="22"/>
          <w:lang w:val="en-US" w:eastAsia="de-DE"/>
        </w:rPr>
        <w:t>Is the customer’s ownership and control structure transparent and does it make sense?</w:t>
      </w:r>
    </w:p>
    <w:p w:rsidR="00804FA1" w:rsidRPr="00804FA1" w:rsidRDefault="00804FA1" w:rsidP="00804FA1">
      <w:pPr>
        <w:pStyle w:val="Default"/>
        <w:ind w:left="709"/>
        <w:rPr>
          <w:rFonts w:ascii="Trebuchet MS" w:hAnsi="Trebuchet MS"/>
          <w:color w:val="auto"/>
          <w:sz w:val="22"/>
          <w:szCs w:val="22"/>
          <w:lang w:val="en-US" w:eastAsia="de-DE"/>
        </w:rPr>
      </w:pPr>
      <w:r w:rsidRPr="00804FA1">
        <w:rPr>
          <w:rFonts w:ascii="Trebuchet MS" w:hAnsi="Trebuchet MS"/>
          <w:color w:val="auto"/>
          <w:sz w:val="22"/>
          <w:szCs w:val="22"/>
          <w:lang w:val="en-US" w:eastAsia="de-DE"/>
        </w:rPr>
        <w:t>While risk factors in relation to e.g. geographical risks or product risks can be integrated as part of a standardized risk model, the above customer risks seem to be stand-alone factors. Therefore further guidance would be helpful on which factors are expected to be reflected in a risk rating model and which factors must considered outside of such a model. In general, the expectation would be that all relevant risk factors can be integrated as part of an automated risk model using IT systems.</w:t>
      </w:r>
    </w:p>
    <w:p w:rsidR="0078217D" w:rsidRPr="00B94DCB" w:rsidRDefault="0078217D" w:rsidP="00B94DCB">
      <w:pPr>
        <w:pStyle w:val="Listenabsatz"/>
        <w:numPr>
          <w:ilvl w:val="0"/>
          <w:numId w:val="23"/>
        </w:numPr>
        <w:spacing w:line="240" w:lineRule="auto"/>
        <w:ind w:left="709"/>
        <w:contextualSpacing w:val="0"/>
        <w:rPr>
          <w:szCs w:val="22"/>
          <w:lang w:val="en-GB"/>
        </w:rPr>
      </w:pPr>
      <w:r w:rsidRPr="0078217D">
        <w:rPr>
          <w:rFonts w:cs="Arial"/>
          <w:szCs w:val="22"/>
          <w:lang w:val="en-US"/>
        </w:rPr>
        <w:lastRenderedPageBreak/>
        <w:t>(19), 1</w:t>
      </w:r>
      <w:r w:rsidRPr="0078217D">
        <w:rPr>
          <w:rFonts w:cs="Arial"/>
          <w:szCs w:val="22"/>
          <w:vertAlign w:val="superscript"/>
          <w:lang w:val="en-US"/>
        </w:rPr>
        <w:t>st</w:t>
      </w:r>
      <w:r w:rsidRPr="0078217D">
        <w:rPr>
          <w:rFonts w:cs="Arial"/>
          <w:szCs w:val="22"/>
          <w:lang w:val="en-US"/>
        </w:rPr>
        <w:t>, 2</w:t>
      </w:r>
      <w:r w:rsidRPr="0078217D">
        <w:rPr>
          <w:rFonts w:cs="Arial"/>
          <w:szCs w:val="22"/>
          <w:vertAlign w:val="superscript"/>
          <w:lang w:val="en-US"/>
        </w:rPr>
        <w:t>nd</w:t>
      </w:r>
      <w:r w:rsidRPr="0078217D">
        <w:rPr>
          <w:rFonts w:cs="Arial"/>
          <w:szCs w:val="22"/>
          <w:lang w:val="en-US"/>
        </w:rPr>
        <w:t xml:space="preserve"> and 3rd bullet points: Since most, if not all, retail clients of a firm will every now and then buy at (e.g.) a pharmacy, each such retail client will have a link to pharmaceuticals. Thus, it is suggested that the EBA defines a conclusive industry list setting out, which specific industries come together in EBA’s opinion with an enhanced “</w:t>
      </w:r>
      <w:r w:rsidRPr="0078217D">
        <w:rPr>
          <w:rFonts w:cs="Arial"/>
          <w:i/>
          <w:iCs/>
          <w:szCs w:val="22"/>
          <w:lang w:val="en-US"/>
        </w:rPr>
        <w:t>corruption risk</w:t>
      </w:r>
      <w:r w:rsidRPr="0078217D">
        <w:rPr>
          <w:rFonts w:cs="Arial"/>
          <w:szCs w:val="22"/>
          <w:lang w:val="en-US"/>
        </w:rPr>
        <w:t>”/”</w:t>
      </w:r>
      <w:r w:rsidRPr="0078217D">
        <w:rPr>
          <w:rFonts w:cs="Arial"/>
          <w:i/>
          <w:iCs/>
          <w:szCs w:val="22"/>
          <w:lang w:val="en-US"/>
        </w:rPr>
        <w:t>higher ML or TF risk</w:t>
      </w:r>
      <w:r w:rsidRPr="0078217D">
        <w:rPr>
          <w:rFonts w:cs="Arial"/>
          <w:szCs w:val="22"/>
          <w:lang w:val="en-US"/>
        </w:rPr>
        <w:t>”/”</w:t>
      </w:r>
      <w:r w:rsidRPr="0078217D">
        <w:rPr>
          <w:rFonts w:cs="Arial"/>
          <w:i/>
          <w:iCs/>
          <w:szCs w:val="22"/>
          <w:lang w:val="en-US"/>
        </w:rPr>
        <w:t>sectors that involve significant amount of cash</w:t>
      </w:r>
      <w:r w:rsidRPr="0078217D">
        <w:rPr>
          <w:rFonts w:cs="Arial"/>
          <w:szCs w:val="22"/>
          <w:lang w:val="en-US"/>
        </w:rPr>
        <w:t>”, rather than raising the question whether there are links to any such industries/sectors. At least it should be clearly described which quality such links should have in order for such link to qualify as risk factor. However, if this is not possible, we suggest to delete these items;</w:t>
      </w:r>
    </w:p>
    <w:p w:rsidR="0078217D" w:rsidRPr="00B94DCB" w:rsidRDefault="0078217D" w:rsidP="00B94DCB">
      <w:pPr>
        <w:pStyle w:val="Listenabsatz"/>
        <w:numPr>
          <w:ilvl w:val="0"/>
          <w:numId w:val="23"/>
        </w:numPr>
        <w:spacing w:line="240" w:lineRule="auto"/>
        <w:ind w:left="709"/>
        <w:contextualSpacing w:val="0"/>
        <w:rPr>
          <w:szCs w:val="22"/>
          <w:lang w:val="en-GB"/>
        </w:rPr>
      </w:pPr>
      <w:r w:rsidRPr="0078217D">
        <w:rPr>
          <w:rFonts w:cs="Arial"/>
          <w:szCs w:val="22"/>
          <w:lang w:val="en-US"/>
        </w:rPr>
        <w:t>(19), 4</w:t>
      </w:r>
      <w:r w:rsidRPr="0078217D">
        <w:rPr>
          <w:rFonts w:cs="Arial"/>
          <w:szCs w:val="22"/>
          <w:vertAlign w:val="superscript"/>
          <w:lang w:val="en-US"/>
        </w:rPr>
        <w:t>th</w:t>
      </w:r>
      <w:r w:rsidRPr="0078217D">
        <w:rPr>
          <w:rFonts w:cs="Arial"/>
          <w:szCs w:val="22"/>
          <w:lang w:val="en-US"/>
        </w:rPr>
        <w:t xml:space="preserve"> bullet point: </w:t>
      </w:r>
      <w:r w:rsidR="00693220">
        <w:rPr>
          <w:rFonts w:cs="Arial"/>
          <w:szCs w:val="22"/>
          <w:lang w:val="en-US"/>
        </w:rPr>
        <w:t>I</w:t>
      </w:r>
      <w:r w:rsidRPr="0078217D">
        <w:rPr>
          <w:rFonts w:cs="Arial"/>
          <w:szCs w:val="22"/>
          <w:lang w:val="en-US"/>
        </w:rPr>
        <w:t>n Austria (and other jurisdictions) firms can rely on the certificate of registration once they check a company (e.g. for granting a loan). For a bank transaction to be valid and enforceable firms do not have the obligation to verify a company’s constitutional document (e.g.</w:t>
      </w:r>
      <w:r w:rsidR="00B94DCB">
        <w:rPr>
          <w:rFonts w:cs="Arial"/>
          <w:szCs w:val="22"/>
          <w:lang w:val="en-US"/>
        </w:rPr>
        <w:t xml:space="preserve"> </w:t>
      </w:r>
      <w:r w:rsidRPr="0078217D">
        <w:rPr>
          <w:rFonts w:cs="Arial"/>
          <w:szCs w:val="22"/>
          <w:lang w:val="en-US"/>
        </w:rPr>
        <w:t>articles of association), which typically sets out the purpose of a company. In addition the constitutional documents of a company may not be easily accessible. Therefore the requirement “purpose of their establishment” should be either rephrased in the sense that it may constitute an additional risk factor if a firm positively knows from one of its customers (legal person) to act beyond its legal capacity, but it should not be suggested that firms have to check the purpose of a customer’s establishment;</w:t>
      </w:r>
    </w:p>
    <w:p w:rsidR="0078217D" w:rsidRPr="0078217D" w:rsidRDefault="0078217D" w:rsidP="00B94DCB">
      <w:pPr>
        <w:pStyle w:val="Listenabsatz"/>
        <w:numPr>
          <w:ilvl w:val="0"/>
          <w:numId w:val="23"/>
        </w:numPr>
        <w:spacing w:line="240" w:lineRule="auto"/>
        <w:ind w:left="709"/>
        <w:contextualSpacing w:val="0"/>
        <w:rPr>
          <w:szCs w:val="22"/>
        </w:rPr>
      </w:pPr>
      <w:r w:rsidRPr="0078217D">
        <w:rPr>
          <w:rFonts w:cs="Arial"/>
          <w:szCs w:val="22"/>
          <w:lang w:val="en-US"/>
        </w:rPr>
        <w:t>(19), 5</w:t>
      </w:r>
      <w:r w:rsidRPr="0078217D">
        <w:rPr>
          <w:rFonts w:cs="Arial"/>
          <w:szCs w:val="22"/>
          <w:vertAlign w:val="superscript"/>
          <w:lang w:val="en-US"/>
        </w:rPr>
        <w:t>th</w:t>
      </w:r>
      <w:r w:rsidRPr="0078217D">
        <w:rPr>
          <w:rFonts w:cs="Arial"/>
          <w:szCs w:val="22"/>
          <w:lang w:val="en-US"/>
        </w:rPr>
        <w:t xml:space="preserve"> bullet point: From the Directive itself it is clear that PEPs have to be identified and monitored. Other than “</w:t>
      </w:r>
      <w:r w:rsidRPr="0078217D">
        <w:rPr>
          <w:rFonts w:cs="Arial"/>
          <w:i/>
          <w:iCs/>
          <w:szCs w:val="22"/>
          <w:lang w:val="en-US"/>
        </w:rPr>
        <w:t>family members</w:t>
      </w:r>
      <w:r w:rsidRPr="0078217D">
        <w:rPr>
          <w:rFonts w:cs="Arial"/>
          <w:szCs w:val="22"/>
          <w:lang w:val="en-US"/>
        </w:rPr>
        <w:t>” and “</w:t>
      </w:r>
      <w:r w:rsidRPr="0078217D">
        <w:rPr>
          <w:rFonts w:cs="Arial"/>
          <w:i/>
          <w:iCs/>
          <w:szCs w:val="22"/>
          <w:lang w:val="en-US"/>
        </w:rPr>
        <w:t>persons known to be close associates</w:t>
      </w:r>
      <w:r w:rsidRPr="0078217D">
        <w:rPr>
          <w:rFonts w:cs="Arial"/>
          <w:szCs w:val="22"/>
          <w:lang w:val="en-US"/>
        </w:rPr>
        <w:t>” (each as defined in the Directive) the Directive is not suggesting any requirement for a firm to investigate into any broader political “</w:t>
      </w:r>
      <w:r w:rsidRPr="0078217D">
        <w:rPr>
          <w:rFonts w:cs="Arial"/>
          <w:i/>
          <w:iCs/>
          <w:szCs w:val="22"/>
          <w:lang w:val="en-US"/>
        </w:rPr>
        <w:t>connections</w:t>
      </w:r>
      <w:r w:rsidRPr="0078217D">
        <w:rPr>
          <w:rFonts w:cs="Arial"/>
          <w:szCs w:val="22"/>
          <w:lang w:val="en-US"/>
        </w:rPr>
        <w:t>” or “</w:t>
      </w:r>
      <w:r w:rsidRPr="0078217D">
        <w:rPr>
          <w:rFonts w:cs="Arial"/>
          <w:i/>
          <w:iCs/>
          <w:szCs w:val="22"/>
          <w:lang w:val="en-US"/>
        </w:rPr>
        <w:t>links</w:t>
      </w:r>
      <w:r w:rsidRPr="0078217D">
        <w:rPr>
          <w:rFonts w:cs="Arial"/>
          <w:szCs w:val="22"/>
          <w:lang w:val="en-US"/>
        </w:rPr>
        <w:t>” to a PEP. Thus, this sub-item should be deleted.</w:t>
      </w:r>
    </w:p>
    <w:p w:rsidR="0078217D" w:rsidRPr="00B94DCB" w:rsidRDefault="0078217D" w:rsidP="00B94DCB">
      <w:pPr>
        <w:pStyle w:val="Listenabsatz"/>
        <w:numPr>
          <w:ilvl w:val="0"/>
          <w:numId w:val="23"/>
        </w:numPr>
        <w:spacing w:line="240" w:lineRule="auto"/>
        <w:ind w:left="709"/>
        <w:contextualSpacing w:val="0"/>
        <w:rPr>
          <w:szCs w:val="22"/>
          <w:lang w:val="en-GB"/>
        </w:rPr>
      </w:pPr>
      <w:r w:rsidRPr="0078217D">
        <w:rPr>
          <w:rFonts w:cs="Arial"/>
          <w:szCs w:val="22"/>
          <w:lang w:val="en-US"/>
        </w:rPr>
        <w:t>(19), 6</w:t>
      </w:r>
      <w:r w:rsidRPr="0078217D">
        <w:rPr>
          <w:rFonts w:cs="Arial"/>
          <w:szCs w:val="22"/>
          <w:vertAlign w:val="superscript"/>
          <w:lang w:val="en-US"/>
        </w:rPr>
        <w:t>th</w:t>
      </w:r>
      <w:r w:rsidRPr="0078217D">
        <w:rPr>
          <w:rFonts w:cs="Arial"/>
          <w:szCs w:val="22"/>
          <w:lang w:val="en-US"/>
        </w:rPr>
        <w:t xml:space="preserve"> bullet point: It shall either be specified what such holding of “</w:t>
      </w:r>
      <w:r w:rsidRPr="0078217D">
        <w:rPr>
          <w:rFonts w:cs="Arial"/>
          <w:i/>
          <w:iCs/>
          <w:szCs w:val="22"/>
          <w:lang w:val="en-US"/>
        </w:rPr>
        <w:t>another public position</w:t>
      </w:r>
      <w:r w:rsidRPr="0078217D">
        <w:rPr>
          <w:rFonts w:cs="Arial"/>
          <w:szCs w:val="22"/>
          <w:lang w:val="en-US"/>
        </w:rPr>
        <w:t>” actually is (other than a position which classifies a customer as PEP); otherwise, the point should be deleted;</w:t>
      </w:r>
    </w:p>
    <w:p w:rsidR="0078217D" w:rsidRPr="00B94DCB" w:rsidRDefault="0078217D" w:rsidP="00B94DCB">
      <w:pPr>
        <w:pStyle w:val="Listenabsatz"/>
        <w:numPr>
          <w:ilvl w:val="0"/>
          <w:numId w:val="23"/>
        </w:numPr>
        <w:spacing w:line="240" w:lineRule="auto"/>
        <w:ind w:left="709"/>
        <w:contextualSpacing w:val="0"/>
        <w:rPr>
          <w:szCs w:val="22"/>
          <w:lang w:val="en-GB"/>
        </w:rPr>
      </w:pPr>
      <w:r w:rsidRPr="0078217D">
        <w:rPr>
          <w:rFonts w:cs="Arial"/>
          <w:szCs w:val="22"/>
          <w:lang w:val="en-US"/>
        </w:rPr>
        <w:t>(19), 7</w:t>
      </w:r>
      <w:r w:rsidRPr="0078217D">
        <w:rPr>
          <w:rFonts w:cs="Arial"/>
          <w:szCs w:val="22"/>
          <w:vertAlign w:val="superscript"/>
          <w:lang w:val="en-US"/>
        </w:rPr>
        <w:t>th</w:t>
      </w:r>
      <w:r w:rsidR="00FC4546">
        <w:rPr>
          <w:rFonts w:cs="Arial"/>
          <w:szCs w:val="22"/>
          <w:lang w:val="en-US"/>
        </w:rPr>
        <w:t xml:space="preserve"> bullet point: F</w:t>
      </w:r>
      <w:r w:rsidRPr="0078217D">
        <w:rPr>
          <w:rFonts w:cs="Arial"/>
          <w:szCs w:val="22"/>
          <w:lang w:val="en-US"/>
        </w:rPr>
        <w:t>irms will not be able to assess if such requirements are “</w:t>
      </w:r>
      <w:r w:rsidRPr="0078217D">
        <w:rPr>
          <w:rFonts w:cs="Arial"/>
          <w:i/>
          <w:iCs/>
          <w:szCs w:val="22"/>
          <w:lang w:val="en-US"/>
        </w:rPr>
        <w:t>enforceable</w:t>
      </w:r>
      <w:r w:rsidRPr="0078217D">
        <w:rPr>
          <w:rFonts w:cs="Arial"/>
          <w:szCs w:val="22"/>
          <w:lang w:val="en-US"/>
        </w:rPr>
        <w:t xml:space="preserve">” or actually can provide such sureness and reliability. Even if there </w:t>
      </w:r>
      <w:proofErr w:type="gramStart"/>
      <w:r w:rsidRPr="0078217D">
        <w:rPr>
          <w:rFonts w:cs="Arial"/>
          <w:szCs w:val="22"/>
          <w:lang w:val="en-US"/>
        </w:rPr>
        <w:t>are any such requirements the extent</w:t>
      </w:r>
      <w:proofErr w:type="gramEnd"/>
      <w:r w:rsidRPr="0078217D">
        <w:rPr>
          <w:rFonts w:cs="Arial"/>
          <w:szCs w:val="22"/>
          <w:lang w:val="en-US"/>
        </w:rPr>
        <w:t xml:space="preserve"> of the disclosure requirements are often debatable and are always subject to change over time. Firms shall not be forced to give a binding opinion or only to make close investigations on such matters (this should be stated in the guidelines);</w:t>
      </w:r>
    </w:p>
    <w:p w:rsidR="0078217D" w:rsidRPr="00B94DCB" w:rsidRDefault="0078217D" w:rsidP="00B94DCB">
      <w:pPr>
        <w:pStyle w:val="Listenabsatz"/>
        <w:numPr>
          <w:ilvl w:val="0"/>
          <w:numId w:val="23"/>
        </w:numPr>
        <w:spacing w:line="240" w:lineRule="auto"/>
        <w:ind w:left="709"/>
        <w:contextualSpacing w:val="0"/>
        <w:rPr>
          <w:szCs w:val="22"/>
          <w:lang w:val="en-GB"/>
        </w:rPr>
      </w:pPr>
      <w:r w:rsidRPr="0078217D">
        <w:rPr>
          <w:rFonts w:cs="Arial"/>
          <w:szCs w:val="22"/>
          <w:lang w:val="en-US"/>
        </w:rPr>
        <w:t>(19), 8</w:t>
      </w:r>
      <w:r w:rsidRPr="0078217D">
        <w:rPr>
          <w:rFonts w:cs="Arial"/>
          <w:szCs w:val="22"/>
          <w:vertAlign w:val="superscript"/>
          <w:lang w:val="en-US"/>
        </w:rPr>
        <w:t>th</w:t>
      </w:r>
      <w:r w:rsidRPr="0078217D">
        <w:rPr>
          <w:rFonts w:cs="Arial"/>
          <w:szCs w:val="22"/>
          <w:lang w:val="en-US"/>
        </w:rPr>
        <w:t xml:space="preserve"> bullet point: Same comment as for item (viii) above but with reference to the quality of such “</w:t>
      </w:r>
      <w:r w:rsidRPr="0078217D">
        <w:rPr>
          <w:rFonts w:cs="Arial"/>
          <w:i/>
          <w:iCs/>
          <w:szCs w:val="22"/>
          <w:lang w:val="en-US"/>
        </w:rPr>
        <w:t>AML/CFT regime</w:t>
      </w:r>
      <w:r w:rsidRPr="0078217D">
        <w:rPr>
          <w:rFonts w:cs="Arial"/>
          <w:szCs w:val="22"/>
          <w:lang w:val="en-US"/>
        </w:rPr>
        <w:t>”/”</w:t>
      </w:r>
      <w:r w:rsidRPr="0078217D">
        <w:rPr>
          <w:rFonts w:cs="Arial"/>
          <w:i/>
          <w:iCs/>
          <w:szCs w:val="22"/>
          <w:lang w:val="en-US"/>
        </w:rPr>
        <w:t>obligations</w:t>
      </w:r>
      <w:r w:rsidRPr="0078217D">
        <w:rPr>
          <w:rFonts w:cs="Arial"/>
          <w:szCs w:val="22"/>
          <w:lang w:val="en-US"/>
        </w:rPr>
        <w:t>”;</w:t>
      </w:r>
    </w:p>
    <w:p w:rsidR="0078217D" w:rsidRPr="00B94DCB" w:rsidRDefault="0078217D" w:rsidP="00B94DCB">
      <w:pPr>
        <w:pStyle w:val="Listenabsatz"/>
        <w:numPr>
          <w:ilvl w:val="0"/>
          <w:numId w:val="23"/>
        </w:numPr>
        <w:spacing w:line="240" w:lineRule="auto"/>
        <w:ind w:left="709"/>
        <w:contextualSpacing w:val="0"/>
        <w:rPr>
          <w:szCs w:val="22"/>
          <w:lang w:val="en-GB"/>
        </w:rPr>
      </w:pPr>
      <w:r w:rsidRPr="0078217D">
        <w:rPr>
          <w:rFonts w:cs="Arial"/>
          <w:szCs w:val="22"/>
          <w:lang w:val="en-US"/>
        </w:rPr>
        <w:t>(19), 9</w:t>
      </w:r>
      <w:r w:rsidRPr="0078217D">
        <w:rPr>
          <w:rFonts w:cs="Arial"/>
          <w:szCs w:val="22"/>
          <w:vertAlign w:val="superscript"/>
          <w:lang w:val="en-US"/>
        </w:rPr>
        <w:t>th</w:t>
      </w:r>
      <w:r w:rsidRPr="0078217D">
        <w:rPr>
          <w:rFonts w:cs="Arial"/>
          <w:szCs w:val="22"/>
          <w:lang w:val="en-US"/>
        </w:rPr>
        <w:t xml:space="preserve"> bullet point: The guidelines should either (preferred) specify which jurisdictions are considered to have a “</w:t>
      </w:r>
      <w:r w:rsidRPr="0078217D">
        <w:rPr>
          <w:rFonts w:cs="Arial"/>
          <w:i/>
          <w:iCs/>
          <w:szCs w:val="22"/>
          <w:lang w:val="en-US"/>
        </w:rPr>
        <w:t>low level of “corruption</w:t>
      </w:r>
      <w:r w:rsidRPr="0078217D">
        <w:rPr>
          <w:rFonts w:cs="Arial"/>
          <w:szCs w:val="22"/>
          <w:lang w:val="en-US"/>
        </w:rPr>
        <w:t>”, or set out which source(s) can be considered as binding for ranking such jurisdictions;</w:t>
      </w:r>
    </w:p>
    <w:p w:rsidR="0078217D" w:rsidRPr="00B94DCB" w:rsidRDefault="0078217D" w:rsidP="00B94DCB">
      <w:pPr>
        <w:pStyle w:val="Listenabsatz"/>
        <w:numPr>
          <w:ilvl w:val="0"/>
          <w:numId w:val="23"/>
        </w:numPr>
        <w:spacing w:line="240" w:lineRule="auto"/>
        <w:ind w:left="709"/>
        <w:contextualSpacing w:val="0"/>
        <w:rPr>
          <w:szCs w:val="22"/>
          <w:lang w:val="en-GB"/>
        </w:rPr>
      </w:pPr>
      <w:r w:rsidRPr="0078217D">
        <w:rPr>
          <w:rFonts w:cs="Arial"/>
          <w:szCs w:val="22"/>
          <w:lang w:val="en-US"/>
        </w:rPr>
        <w:t>(19), 10</w:t>
      </w:r>
      <w:r w:rsidRPr="0078217D">
        <w:rPr>
          <w:rFonts w:cs="Arial"/>
          <w:szCs w:val="22"/>
          <w:vertAlign w:val="superscript"/>
          <w:lang w:val="en-US"/>
        </w:rPr>
        <w:t>th</w:t>
      </w:r>
      <w:r w:rsidRPr="0078217D">
        <w:rPr>
          <w:rFonts w:cs="Arial"/>
          <w:szCs w:val="22"/>
          <w:lang w:val="en-US"/>
        </w:rPr>
        <w:t xml:space="preserve"> bullet point: It should be specified what such “</w:t>
      </w:r>
      <w:r w:rsidRPr="0078217D">
        <w:rPr>
          <w:rFonts w:cs="Arial"/>
          <w:i/>
          <w:iCs/>
          <w:szCs w:val="22"/>
          <w:lang w:val="en-US"/>
        </w:rPr>
        <w:t>background</w:t>
      </w:r>
      <w:r w:rsidRPr="0078217D">
        <w:rPr>
          <w:rFonts w:cs="Arial"/>
          <w:szCs w:val="22"/>
          <w:lang w:val="en-US"/>
        </w:rPr>
        <w:t>” actually is. A firm should not be required to dig into the history of its customers, thus the reference to “</w:t>
      </w:r>
      <w:r w:rsidRPr="0078217D">
        <w:rPr>
          <w:rFonts w:cs="Arial"/>
          <w:i/>
          <w:iCs/>
          <w:szCs w:val="22"/>
          <w:lang w:val="en-US"/>
        </w:rPr>
        <w:t>the former business</w:t>
      </w:r>
      <w:r w:rsidRPr="0078217D">
        <w:rPr>
          <w:rFonts w:cs="Arial"/>
          <w:szCs w:val="22"/>
          <w:lang w:val="en-US"/>
        </w:rPr>
        <w:t>” should be taken out and there should be given much more specific guidance on how a firm is expected to investigate into “</w:t>
      </w:r>
      <w:r w:rsidRPr="0078217D">
        <w:rPr>
          <w:rFonts w:cs="Arial"/>
          <w:i/>
          <w:iCs/>
          <w:szCs w:val="22"/>
          <w:lang w:val="en-US"/>
        </w:rPr>
        <w:t>the planned business activity</w:t>
      </w:r>
      <w:r w:rsidRPr="0078217D">
        <w:rPr>
          <w:rFonts w:cs="Arial"/>
          <w:szCs w:val="22"/>
          <w:lang w:val="en-US"/>
        </w:rPr>
        <w:t>” of a customer;</w:t>
      </w:r>
    </w:p>
    <w:p w:rsidR="0078217D" w:rsidRPr="00B94DCB" w:rsidRDefault="0078217D" w:rsidP="00B94DCB">
      <w:pPr>
        <w:pStyle w:val="Listenabsatz"/>
        <w:numPr>
          <w:ilvl w:val="0"/>
          <w:numId w:val="23"/>
        </w:numPr>
        <w:spacing w:line="240" w:lineRule="auto"/>
        <w:ind w:left="709"/>
        <w:contextualSpacing w:val="0"/>
        <w:rPr>
          <w:szCs w:val="22"/>
          <w:lang w:val="en-GB"/>
        </w:rPr>
      </w:pPr>
      <w:r w:rsidRPr="0078217D">
        <w:rPr>
          <w:rFonts w:cs="Arial"/>
          <w:szCs w:val="22"/>
          <w:lang w:val="en-US"/>
        </w:rPr>
        <w:t>(20), 1</w:t>
      </w:r>
      <w:r w:rsidRPr="0078217D">
        <w:rPr>
          <w:rFonts w:cs="Arial"/>
          <w:szCs w:val="22"/>
          <w:vertAlign w:val="superscript"/>
          <w:lang w:val="en-US"/>
        </w:rPr>
        <w:t>st</w:t>
      </w:r>
      <w:r w:rsidRPr="0078217D">
        <w:rPr>
          <w:rFonts w:cs="Arial"/>
          <w:szCs w:val="22"/>
          <w:lang w:val="en-US"/>
        </w:rPr>
        <w:t>, 2</w:t>
      </w:r>
      <w:r w:rsidRPr="0078217D">
        <w:rPr>
          <w:rFonts w:cs="Arial"/>
          <w:szCs w:val="22"/>
          <w:vertAlign w:val="superscript"/>
          <w:lang w:val="en-US"/>
        </w:rPr>
        <w:t>nd</w:t>
      </w:r>
      <w:r w:rsidRPr="0078217D">
        <w:rPr>
          <w:rFonts w:cs="Arial"/>
          <w:szCs w:val="22"/>
          <w:lang w:val="en-US"/>
        </w:rPr>
        <w:t xml:space="preserve"> and 4</w:t>
      </w:r>
      <w:r w:rsidRPr="0078217D">
        <w:rPr>
          <w:rFonts w:cs="Arial"/>
          <w:szCs w:val="22"/>
          <w:vertAlign w:val="superscript"/>
          <w:lang w:val="en-US"/>
        </w:rPr>
        <w:t>th</w:t>
      </w:r>
      <w:r w:rsidRPr="0078217D">
        <w:rPr>
          <w:rFonts w:cs="Arial"/>
          <w:szCs w:val="22"/>
          <w:lang w:val="en-US"/>
        </w:rPr>
        <w:t xml:space="preserve"> bullet point as well as (64), 2</w:t>
      </w:r>
      <w:r w:rsidRPr="0078217D">
        <w:rPr>
          <w:rFonts w:cs="Arial"/>
          <w:szCs w:val="22"/>
          <w:vertAlign w:val="superscript"/>
          <w:lang w:val="en-US"/>
        </w:rPr>
        <w:t>nd</w:t>
      </w:r>
      <w:r w:rsidR="00693220">
        <w:rPr>
          <w:rFonts w:cs="Arial"/>
          <w:szCs w:val="22"/>
          <w:lang w:val="en-US"/>
        </w:rPr>
        <w:t xml:space="preserve"> bullet point, sub item ii. : A</w:t>
      </w:r>
      <w:r w:rsidRPr="0078217D">
        <w:rPr>
          <w:rFonts w:cs="Arial"/>
          <w:szCs w:val="22"/>
          <w:lang w:val="en-US"/>
        </w:rPr>
        <w:t xml:space="preserve"> freeze of assets will only be known to a firm if the asset freeze is directed against a customer’s asset held within such firm (typically an account). Prior to an asset freeze and/or an order for an account opening, a firm will typically not have positive knowledge about any criminal proceedings. Thus, such information is not available to any of the other firms in contrast to the one which is notified by the authority/court of any such procedures. Such a customer is anyhow already targeted by the </w:t>
      </w:r>
      <w:proofErr w:type="gramStart"/>
      <w:r w:rsidRPr="0078217D">
        <w:rPr>
          <w:rFonts w:cs="Arial"/>
          <w:szCs w:val="22"/>
          <w:lang w:val="en-US"/>
        </w:rPr>
        <w:t>authority,</w:t>
      </w:r>
      <w:proofErr w:type="gramEnd"/>
      <w:r w:rsidRPr="0078217D">
        <w:rPr>
          <w:rFonts w:cs="Arial"/>
          <w:szCs w:val="22"/>
          <w:lang w:val="en-US"/>
        </w:rPr>
        <w:t xml:space="preserve"> therefore the 2</w:t>
      </w:r>
      <w:r w:rsidRPr="0078217D">
        <w:rPr>
          <w:rFonts w:cs="Arial"/>
          <w:szCs w:val="22"/>
          <w:vertAlign w:val="superscript"/>
          <w:lang w:val="en-US"/>
        </w:rPr>
        <w:t>nd</w:t>
      </w:r>
      <w:r w:rsidRPr="0078217D">
        <w:rPr>
          <w:rFonts w:cs="Arial"/>
          <w:szCs w:val="22"/>
          <w:lang w:val="en-US"/>
        </w:rPr>
        <w:t xml:space="preserve"> bullet point is either pointless or superfluous. To include risk factors only on the basis of rumors (“</w:t>
      </w:r>
      <w:r w:rsidRPr="0078217D">
        <w:rPr>
          <w:rFonts w:cs="Arial"/>
          <w:i/>
          <w:iCs/>
          <w:szCs w:val="22"/>
          <w:lang w:val="en-US"/>
        </w:rPr>
        <w:t>allegations</w:t>
      </w:r>
      <w:r w:rsidRPr="0078217D">
        <w:rPr>
          <w:rFonts w:cs="Arial"/>
          <w:szCs w:val="22"/>
          <w:lang w:val="en-US"/>
        </w:rPr>
        <w:t>”, “</w:t>
      </w:r>
      <w:r w:rsidRPr="0078217D">
        <w:rPr>
          <w:rFonts w:cs="Arial"/>
          <w:i/>
          <w:iCs/>
          <w:szCs w:val="22"/>
          <w:lang w:val="en-US"/>
        </w:rPr>
        <w:t>proven or not</w:t>
      </w:r>
      <w:r w:rsidRPr="0078217D">
        <w:rPr>
          <w:rFonts w:cs="Arial"/>
          <w:szCs w:val="22"/>
          <w:lang w:val="en-US"/>
        </w:rPr>
        <w:t>”, “</w:t>
      </w:r>
      <w:r w:rsidRPr="0078217D">
        <w:rPr>
          <w:rFonts w:cs="Arial"/>
          <w:i/>
          <w:iCs/>
          <w:szCs w:val="22"/>
          <w:lang w:val="en-US"/>
        </w:rPr>
        <w:t>suggestions</w:t>
      </w:r>
      <w:r w:rsidRPr="0078217D">
        <w:rPr>
          <w:rFonts w:cs="Arial"/>
          <w:szCs w:val="22"/>
          <w:lang w:val="en-US"/>
        </w:rPr>
        <w:t>”) should be clearly avoided (above all it conflicts with the presumption of the principle of innocence);</w:t>
      </w:r>
    </w:p>
    <w:p w:rsidR="0078217D" w:rsidRPr="00B94DCB" w:rsidRDefault="0078217D" w:rsidP="00B94DCB">
      <w:pPr>
        <w:pStyle w:val="Listenabsatz"/>
        <w:numPr>
          <w:ilvl w:val="0"/>
          <w:numId w:val="23"/>
        </w:numPr>
        <w:spacing w:line="240" w:lineRule="auto"/>
        <w:ind w:left="709"/>
        <w:contextualSpacing w:val="0"/>
        <w:rPr>
          <w:szCs w:val="22"/>
          <w:lang w:val="en-GB"/>
        </w:rPr>
      </w:pPr>
      <w:r w:rsidRPr="0078217D">
        <w:rPr>
          <w:rFonts w:cs="Arial"/>
          <w:szCs w:val="22"/>
          <w:lang w:val="en-US"/>
        </w:rPr>
        <w:t>(21), 1</w:t>
      </w:r>
      <w:r w:rsidRPr="0078217D">
        <w:rPr>
          <w:rFonts w:cs="Arial"/>
          <w:szCs w:val="22"/>
          <w:vertAlign w:val="superscript"/>
          <w:lang w:val="en-US"/>
        </w:rPr>
        <w:t>st</w:t>
      </w:r>
      <w:r w:rsidRPr="0078217D">
        <w:rPr>
          <w:rFonts w:cs="Arial"/>
          <w:szCs w:val="22"/>
          <w:lang w:val="en-US"/>
        </w:rPr>
        <w:t xml:space="preserve"> bullet point: </w:t>
      </w:r>
      <w:r w:rsidR="00693220">
        <w:rPr>
          <w:rFonts w:cs="Arial"/>
          <w:szCs w:val="22"/>
          <w:lang w:val="en-US"/>
        </w:rPr>
        <w:t>I</w:t>
      </w:r>
      <w:r w:rsidRPr="0078217D">
        <w:rPr>
          <w:rFonts w:cs="Arial"/>
          <w:szCs w:val="22"/>
          <w:lang w:val="en-US"/>
        </w:rPr>
        <w:t xml:space="preserve">f a firm has doubts about the veracity or accuracy of the customer´s or beneficial owners identity, it will not be entitled to onboard such a </w:t>
      </w:r>
      <w:r w:rsidRPr="0078217D">
        <w:rPr>
          <w:rFonts w:cs="Arial"/>
          <w:szCs w:val="22"/>
          <w:lang w:val="en-US"/>
        </w:rPr>
        <w:lastRenderedPageBreak/>
        <w:t>client, respectively it will have to do a suspicion report and/or terminate the business relationship. Since all of this is part of given law anyway there is no room for guidance;</w:t>
      </w:r>
    </w:p>
    <w:p w:rsidR="0078217D" w:rsidRPr="00B94DCB" w:rsidRDefault="0078217D" w:rsidP="00B94DCB">
      <w:pPr>
        <w:pStyle w:val="Listenabsatz"/>
        <w:numPr>
          <w:ilvl w:val="0"/>
          <w:numId w:val="23"/>
        </w:numPr>
        <w:spacing w:line="240" w:lineRule="auto"/>
        <w:ind w:left="709"/>
        <w:contextualSpacing w:val="0"/>
        <w:rPr>
          <w:szCs w:val="22"/>
          <w:lang w:val="en-GB"/>
        </w:rPr>
      </w:pPr>
      <w:r w:rsidRPr="0078217D">
        <w:rPr>
          <w:rFonts w:cs="Arial"/>
          <w:szCs w:val="22"/>
          <w:lang w:val="en-US"/>
        </w:rPr>
        <w:t>(21), 2</w:t>
      </w:r>
      <w:r w:rsidRPr="0078217D">
        <w:rPr>
          <w:rFonts w:cs="Arial"/>
          <w:szCs w:val="22"/>
          <w:vertAlign w:val="superscript"/>
          <w:lang w:val="en-US"/>
        </w:rPr>
        <w:t>nd</w:t>
      </w:r>
      <w:r w:rsidRPr="0078217D">
        <w:rPr>
          <w:rFonts w:cs="Arial"/>
          <w:szCs w:val="22"/>
          <w:lang w:val="en-US"/>
        </w:rPr>
        <w:t xml:space="preserve"> bullet point: </w:t>
      </w:r>
      <w:r w:rsidR="00693220">
        <w:rPr>
          <w:rFonts w:cs="Arial"/>
          <w:szCs w:val="22"/>
          <w:lang w:val="en-US"/>
        </w:rPr>
        <w:t>I</w:t>
      </w:r>
      <w:r w:rsidRPr="0078217D">
        <w:rPr>
          <w:rFonts w:cs="Arial"/>
          <w:szCs w:val="22"/>
          <w:lang w:val="en-US"/>
        </w:rPr>
        <w:t xml:space="preserve">f a customer avoids a business relationship, he would not be </w:t>
      </w:r>
      <w:proofErr w:type="spellStart"/>
      <w:r w:rsidRPr="0078217D">
        <w:rPr>
          <w:rFonts w:cs="Arial"/>
          <w:szCs w:val="22"/>
          <w:lang w:val="en-US"/>
        </w:rPr>
        <w:t>onboarded</w:t>
      </w:r>
      <w:proofErr w:type="spellEnd"/>
      <w:r w:rsidRPr="0078217D">
        <w:rPr>
          <w:rFonts w:cs="Arial"/>
          <w:szCs w:val="22"/>
          <w:lang w:val="en-US"/>
        </w:rPr>
        <w:t xml:space="preserve"> or the rules for an occasional transaction will apply;</w:t>
      </w:r>
    </w:p>
    <w:p w:rsidR="0078217D" w:rsidRPr="00B94DCB" w:rsidRDefault="0078217D" w:rsidP="00B94DCB">
      <w:pPr>
        <w:pStyle w:val="Listenabsatz"/>
        <w:numPr>
          <w:ilvl w:val="0"/>
          <w:numId w:val="23"/>
        </w:numPr>
        <w:spacing w:line="240" w:lineRule="auto"/>
        <w:ind w:left="709"/>
        <w:contextualSpacing w:val="0"/>
        <w:rPr>
          <w:szCs w:val="22"/>
          <w:lang w:val="en-GB"/>
        </w:rPr>
      </w:pPr>
      <w:r w:rsidRPr="0078217D">
        <w:rPr>
          <w:rFonts w:cs="Arial"/>
          <w:szCs w:val="22"/>
          <w:lang w:val="en-US"/>
        </w:rPr>
        <w:t>(21), 3</w:t>
      </w:r>
      <w:r w:rsidRPr="0078217D">
        <w:rPr>
          <w:rFonts w:cs="Arial"/>
          <w:szCs w:val="22"/>
          <w:vertAlign w:val="superscript"/>
          <w:lang w:val="en-US"/>
        </w:rPr>
        <w:t>rd</w:t>
      </w:r>
      <w:r w:rsidRPr="0078217D">
        <w:rPr>
          <w:rFonts w:cs="Arial"/>
          <w:szCs w:val="22"/>
          <w:lang w:val="en-US"/>
        </w:rPr>
        <w:t xml:space="preserve"> bullet point: Whether a company structure makes sense or not, is first and foremost a company matter. A firm may not have the ability to judge whether a given structure makes sense. This should be rephrased to indicate that only if a firm has a reason to believe that such a structure gives reason to believe that there may be an AML/CTF matter, the respective customer should be monitored and put under enhanced due diligence or reported. Without having a meter for transparency there will be no objective criteria for distinguishing transparent from </w:t>
      </w:r>
      <w:proofErr w:type="spellStart"/>
      <w:r w:rsidRPr="0078217D">
        <w:rPr>
          <w:rFonts w:cs="Arial"/>
          <w:szCs w:val="22"/>
          <w:lang w:val="en-US"/>
        </w:rPr>
        <w:t>intransparent</w:t>
      </w:r>
      <w:proofErr w:type="spellEnd"/>
      <w:r w:rsidRPr="0078217D">
        <w:rPr>
          <w:rFonts w:cs="Arial"/>
          <w:szCs w:val="22"/>
          <w:lang w:val="en-US"/>
        </w:rPr>
        <w:t xml:space="preserve"> structures;</w:t>
      </w:r>
    </w:p>
    <w:p w:rsidR="0078217D" w:rsidRPr="00B94DCB" w:rsidRDefault="0078217D" w:rsidP="00B94DCB">
      <w:pPr>
        <w:pStyle w:val="Listenabsatz"/>
        <w:numPr>
          <w:ilvl w:val="0"/>
          <w:numId w:val="23"/>
        </w:numPr>
        <w:spacing w:line="240" w:lineRule="auto"/>
        <w:ind w:left="709"/>
        <w:contextualSpacing w:val="0"/>
        <w:rPr>
          <w:szCs w:val="22"/>
          <w:lang w:val="en-GB"/>
        </w:rPr>
      </w:pPr>
      <w:r w:rsidRPr="0078217D">
        <w:rPr>
          <w:rFonts w:cs="Arial"/>
          <w:szCs w:val="22"/>
          <w:lang w:val="en-US"/>
        </w:rPr>
        <w:t>(21), 5</w:t>
      </w:r>
      <w:r w:rsidRPr="0078217D">
        <w:rPr>
          <w:rFonts w:cs="Arial"/>
          <w:szCs w:val="22"/>
          <w:vertAlign w:val="superscript"/>
          <w:lang w:val="en-US"/>
        </w:rPr>
        <w:t>th</w:t>
      </w:r>
      <w:r w:rsidRPr="0078217D">
        <w:rPr>
          <w:rFonts w:cs="Arial"/>
          <w:szCs w:val="22"/>
          <w:lang w:val="en-US"/>
        </w:rPr>
        <w:t xml:space="preserve"> bullet point: What is meant by an “</w:t>
      </w:r>
      <w:r w:rsidRPr="0078217D">
        <w:rPr>
          <w:rFonts w:cs="Arial"/>
          <w:i/>
          <w:iCs/>
          <w:szCs w:val="22"/>
          <w:lang w:val="en-US"/>
        </w:rPr>
        <w:t>asset holding vehicle</w:t>
      </w:r>
      <w:r w:rsidRPr="0078217D">
        <w:rPr>
          <w:rFonts w:cs="Arial"/>
          <w:szCs w:val="22"/>
          <w:lang w:val="en-US"/>
        </w:rPr>
        <w:t>”? Companies will in many cases hold assets. If this point refers to fiduciary/trust schemes the wording should be redrafted;</w:t>
      </w:r>
    </w:p>
    <w:p w:rsidR="0078217D" w:rsidRPr="00B94DCB" w:rsidRDefault="0078217D" w:rsidP="00B94DCB">
      <w:pPr>
        <w:pStyle w:val="Listenabsatz"/>
        <w:numPr>
          <w:ilvl w:val="0"/>
          <w:numId w:val="23"/>
        </w:numPr>
        <w:spacing w:line="240" w:lineRule="auto"/>
        <w:ind w:left="709"/>
        <w:contextualSpacing w:val="0"/>
        <w:rPr>
          <w:szCs w:val="22"/>
          <w:lang w:val="en-GB"/>
        </w:rPr>
      </w:pPr>
      <w:r w:rsidRPr="0078217D">
        <w:rPr>
          <w:rFonts w:cs="Arial"/>
          <w:szCs w:val="22"/>
          <w:lang w:val="en-US"/>
        </w:rPr>
        <w:t>(21), 6</w:t>
      </w:r>
      <w:r w:rsidRPr="0078217D">
        <w:rPr>
          <w:rFonts w:cs="Arial"/>
          <w:szCs w:val="22"/>
          <w:vertAlign w:val="superscript"/>
          <w:lang w:val="en-US"/>
        </w:rPr>
        <w:t>th</w:t>
      </w:r>
      <w:r w:rsidRPr="0078217D">
        <w:rPr>
          <w:rFonts w:cs="Arial"/>
          <w:szCs w:val="22"/>
          <w:lang w:val="en-US"/>
        </w:rPr>
        <w:t xml:space="preserve"> bullet point: </w:t>
      </w:r>
      <w:r w:rsidR="00693220">
        <w:rPr>
          <w:rFonts w:cs="Arial"/>
          <w:szCs w:val="22"/>
          <w:lang w:val="en-US"/>
        </w:rPr>
        <w:t>F</w:t>
      </w:r>
      <w:r w:rsidRPr="0078217D">
        <w:rPr>
          <w:rFonts w:cs="Arial"/>
          <w:szCs w:val="22"/>
          <w:lang w:val="en-US"/>
        </w:rPr>
        <w:t>irms will not be able to judge the sound reason for the change of the customer´s ownership;</w:t>
      </w:r>
    </w:p>
    <w:p w:rsidR="0078217D" w:rsidRPr="00B94DCB" w:rsidRDefault="0078217D" w:rsidP="00B94DCB">
      <w:pPr>
        <w:pStyle w:val="Listenabsatz"/>
        <w:numPr>
          <w:ilvl w:val="0"/>
          <w:numId w:val="23"/>
        </w:numPr>
        <w:spacing w:line="240" w:lineRule="auto"/>
        <w:ind w:left="709"/>
        <w:contextualSpacing w:val="0"/>
        <w:rPr>
          <w:szCs w:val="22"/>
          <w:lang w:val="en-GB"/>
        </w:rPr>
      </w:pPr>
      <w:r w:rsidRPr="0078217D">
        <w:rPr>
          <w:rFonts w:cs="Arial"/>
          <w:szCs w:val="22"/>
          <w:lang w:val="en-US"/>
        </w:rPr>
        <w:t>(21), 7</w:t>
      </w:r>
      <w:r w:rsidRPr="0078217D">
        <w:rPr>
          <w:rFonts w:cs="Arial"/>
          <w:szCs w:val="22"/>
          <w:vertAlign w:val="superscript"/>
          <w:lang w:val="en-US"/>
        </w:rPr>
        <w:t>th</w:t>
      </w:r>
      <w:r w:rsidRPr="0078217D">
        <w:rPr>
          <w:rFonts w:cs="Arial"/>
          <w:szCs w:val="22"/>
          <w:lang w:val="en-US"/>
        </w:rPr>
        <w:t xml:space="preserve"> bullet point: It should be specified which thresholds are meant;</w:t>
      </w:r>
    </w:p>
    <w:p w:rsidR="0078217D" w:rsidRPr="00B94DCB" w:rsidRDefault="0078217D" w:rsidP="00B94DCB">
      <w:pPr>
        <w:pStyle w:val="Listenabsatz"/>
        <w:numPr>
          <w:ilvl w:val="0"/>
          <w:numId w:val="23"/>
        </w:numPr>
        <w:spacing w:line="240" w:lineRule="auto"/>
        <w:ind w:left="709"/>
        <w:contextualSpacing w:val="0"/>
        <w:rPr>
          <w:szCs w:val="22"/>
          <w:lang w:val="en-GB"/>
        </w:rPr>
      </w:pPr>
      <w:r w:rsidRPr="0078217D">
        <w:rPr>
          <w:rFonts w:cs="Arial"/>
          <w:szCs w:val="22"/>
          <w:lang w:val="en-US"/>
        </w:rPr>
        <w:t>(21), 9</w:t>
      </w:r>
      <w:r w:rsidRPr="0078217D">
        <w:rPr>
          <w:rFonts w:cs="Arial"/>
          <w:szCs w:val="22"/>
          <w:vertAlign w:val="superscript"/>
          <w:lang w:val="en-US"/>
        </w:rPr>
        <w:t>th</w:t>
      </w:r>
      <w:r w:rsidRPr="0078217D">
        <w:rPr>
          <w:rFonts w:cs="Arial"/>
          <w:szCs w:val="22"/>
          <w:lang w:val="en-US"/>
        </w:rPr>
        <w:t xml:space="preserve"> bullet point: It should be clearly expressed that only a plausibility check but no full proof should be expected;</w:t>
      </w:r>
    </w:p>
    <w:p w:rsidR="0078217D" w:rsidRPr="00B94DCB" w:rsidRDefault="0078217D" w:rsidP="00B94DCB">
      <w:pPr>
        <w:pStyle w:val="Listenabsatz"/>
        <w:numPr>
          <w:ilvl w:val="0"/>
          <w:numId w:val="23"/>
        </w:numPr>
        <w:spacing w:line="240" w:lineRule="auto"/>
        <w:ind w:left="709"/>
        <w:contextualSpacing w:val="0"/>
        <w:rPr>
          <w:szCs w:val="22"/>
          <w:lang w:val="en-GB"/>
        </w:rPr>
      </w:pPr>
      <w:r w:rsidRPr="0078217D">
        <w:rPr>
          <w:rFonts w:cs="Arial"/>
          <w:szCs w:val="22"/>
          <w:lang w:val="en-US"/>
        </w:rPr>
        <w:t>(21), 10</w:t>
      </w:r>
      <w:r w:rsidRPr="0078217D">
        <w:rPr>
          <w:rFonts w:cs="Arial"/>
          <w:szCs w:val="22"/>
          <w:vertAlign w:val="superscript"/>
          <w:lang w:val="en-US"/>
        </w:rPr>
        <w:t>th</w:t>
      </w:r>
      <w:r w:rsidRPr="0078217D">
        <w:rPr>
          <w:rFonts w:cs="Arial"/>
          <w:szCs w:val="22"/>
          <w:lang w:val="en-US"/>
        </w:rPr>
        <w:t xml:space="preserve"> bullet point: Please specify what is meant with the wording “</w:t>
      </w:r>
      <w:r w:rsidRPr="0078217D">
        <w:rPr>
          <w:rFonts w:cs="Arial"/>
          <w:i/>
          <w:iCs/>
          <w:szCs w:val="22"/>
          <w:lang w:val="en-US"/>
        </w:rPr>
        <w:t>their products</w:t>
      </w:r>
      <w:r w:rsidRPr="0078217D">
        <w:rPr>
          <w:rFonts w:cs="Arial"/>
          <w:szCs w:val="22"/>
          <w:lang w:val="en-US"/>
        </w:rPr>
        <w:t>”;</w:t>
      </w:r>
    </w:p>
    <w:p w:rsidR="0078217D" w:rsidRPr="00B94DCB" w:rsidRDefault="0078217D" w:rsidP="00B94DCB">
      <w:pPr>
        <w:pStyle w:val="Listenabsatz"/>
        <w:numPr>
          <w:ilvl w:val="0"/>
          <w:numId w:val="23"/>
        </w:numPr>
        <w:spacing w:line="240" w:lineRule="auto"/>
        <w:ind w:left="709"/>
        <w:contextualSpacing w:val="0"/>
        <w:rPr>
          <w:szCs w:val="22"/>
          <w:lang w:val="en-GB"/>
        </w:rPr>
      </w:pPr>
      <w:r w:rsidRPr="0078217D">
        <w:rPr>
          <w:rFonts w:cs="Arial"/>
          <w:szCs w:val="22"/>
          <w:lang w:val="en-US"/>
        </w:rPr>
        <w:t>(21), 11</w:t>
      </w:r>
      <w:r w:rsidRPr="0078217D">
        <w:rPr>
          <w:rFonts w:cs="Arial"/>
          <w:szCs w:val="22"/>
          <w:vertAlign w:val="superscript"/>
          <w:lang w:val="en-US"/>
        </w:rPr>
        <w:t>th</w:t>
      </w:r>
      <w:r w:rsidRPr="0078217D">
        <w:rPr>
          <w:rFonts w:cs="Arial"/>
          <w:szCs w:val="22"/>
          <w:lang w:val="en-US"/>
        </w:rPr>
        <w:t xml:space="preserve"> bullet point: Again it should only be a plausible but at the same time “</w:t>
      </w:r>
      <w:r w:rsidRPr="0078217D">
        <w:rPr>
          <w:rFonts w:cs="Arial"/>
          <w:i/>
          <w:iCs/>
          <w:szCs w:val="22"/>
          <w:lang w:val="en-US"/>
        </w:rPr>
        <w:t xml:space="preserve">economic </w:t>
      </w:r>
      <w:r w:rsidRPr="0078217D">
        <w:rPr>
          <w:rFonts w:cs="Arial"/>
          <w:szCs w:val="22"/>
          <w:lang w:val="en-US"/>
        </w:rPr>
        <w:t xml:space="preserve">AND </w:t>
      </w:r>
      <w:r w:rsidRPr="0078217D">
        <w:rPr>
          <w:rFonts w:cs="Arial"/>
          <w:i/>
          <w:iCs/>
          <w:szCs w:val="22"/>
          <w:lang w:val="en-US"/>
        </w:rPr>
        <w:t>lawful rationale</w:t>
      </w:r>
      <w:r w:rsidRPr="0078217D">
        <w:rPr>
          <w:rFonts w:cs="Arial"/>
          <w:szCs w:val="22"/>
          <w:lang w:val="en-US"/>
        </w:rPr>
        <w:t>”;</w:t>
      </w:r>
    </w:p>
    <w:p w:rsidR="0078217D" w:rsidRPr="00B94DCB" w:rsidRDefault="0078217D" w:rsidP="00B94DCB">
      <w:pPr>
        <w:pStyle w:val="Listenabsatz"/>
        <w:numPr>
          <w:ilvl w:val="0"/>
          <w:numId w:val="23"/>
        </w:numPr>
        <w:spacing w:line="240" w:lineRule="auto"/>
        <w:ind w:left="709"/>
        <w:contextualSpacing w:val="0"/>
        <w:rPr>
          <w:szCs w:val="22"/>
          <w:lang w:val="en-GB"/>
        </w:rPr>
      </w:pPr>
      <w:r w:rsidRPr="0078217D">
        <w:rPr>
          <w:rFonts w:cs="Arial"/>
          <w:szCs w:val="22"/>
          <w:lang w:val="en-US"/>
        </w:rPr>
        <w:t>(22), item c): please specify “</w:t>
      </w:r>
      <w:r w:rsidRPr="0078217D">
        <w:rPr>
          <w:rFonts w:cs="Arial"/>
          <w:i/>
          <w:iCs/>
          <w:szCs w:val="22"/>
          <w:lang w:val="en-US"/>
        </w:rPr>
        <w:t>personal links</w:t>
      </w:r>
      <w:r w:rsidRPr="0078217D">
        <w:rPr>
          <w:rFonts w:cs="Arial"/>
          <w:szCs w:val="22"/>
          <w:lang w:val="en-US"/>
        </w:rPr>
        <w:t>”;</w:t>
      </w:r>
    </w:p>
    <w:p w:rsidR="0078217D" w:rsidRPr="00B94DCB" w:rsidRDefault="0078217D" w:rsidP="00B94DCB">
      <w:pPr>
        <w:pStyle w:val="Listenabsatz"/>
        <w:numPr>
          <w:ilvl w:val="0"/>
          <w:numId w:val="23"/>
        </w:numPr>
        <w:spacing w:line="240" w:lineRule="auto"/>
        <w:ind w:left="709"/>
        <w:contextualSpacing w:val="0"/>
        <w:rPr>
          <w:szCs w:val="22"/>
          <w:lang w:val="en-GB"/>
        </w:rPr>
      </w:pPr>
      <w:r w:rsidRPr="0078217D">
        <w:rPr>
          <w:rFonts w:cs="Arial"/>
          <w:szCs w:val="22"/>
          <w:lang w:val="en-US"/>
        </w:rPr>
        <w:t xml:space="preserve">(23) – throughout: </w:t>
      </w:r>
      <w:r w:rsidR="00693220">
        <w:rPr>
          <w:rFonts w:cs="Arial"/>
          <w:szCs w:val="22"/>
          <w:lang w:val="en-US"/>
        </w:rPr>
        <w:t>I</w:t>
      </w:r>
      <w:r w:rsidRPr="0078217D">
        <w:rPr>
          <w:rFonts w:cs="Arial"/>
          <w:szCs w:val="22"/>
          <w:lang w:val="en-US"/>
        </w:rPr>
        <w:t>tem “23”should only express that a firm should consider the quality of a jurisdiction by applying a trustworthy source;</w:t>
      </w:r>
    </w:p>
    <w:p w:rsidR="0078217D" w:rsidRPr="00B94DCB" w:rsidRDefault="0078217D" w:rsidP="00B94DCB">
      <w:pPr>
        <w:pStyle w:val="Listenabsatz"/>
        <w:numPr>
          <w:ilvl w:val="0"/>
          <w:numId w:val="23"/>
        </w:numPr>
        <w:spacing w:line="240" w:lineRule="auto"/>
        <w:ind w:left="709"/>
        <w:contextualSpacing w:val="0"/>
        <w:rPr>
          <w:szCs w:val="22"/>
          <w:lang w:val="en-GB"/>
        </w:rPr>
      </w:pPr>
      <w:r w:rsidRPr="0078217D">
        <w:rPr>
          <w:rFonts w:cs="Arial"/>
          <w:szCs w:val="22"/>
          <w:lang w:val="en-US"/>
        </w:rPr>
        <w:t>(23), 3</w:t>
      </w:r>
      <w:r w:rsidRPr="0078217D">
        <w:rPr>
          <w:rFonts w:cs="Arial"/>
          <w:szCs w:val="22"/>
          <w:vertAlign w:val="superscript"/>
          <w:lang w:val="en-US"/>
        </w:rPr>
        <w:t>rd</w:t>
      </w:r>
      <w:r w:rsidRPr="0078217D">
        <w:rPr>
          <w:rFonts w:cs="Arial"/>
          <w:szCs w:val="22"/>
          <w:lang w:val="en-US"/>
        </w:rPr>
        <w:t xml:space="preserve"> bullet point: What would be the consequences in the case of such information? Putting a customer domiciled in such jurisdiction into a higher risk category only for this reason? Law enforcement typically does not provide any such information whilst reliance on media reports only is not recommended.</w:t>
      </w:r>
    </w:p>
    <w:p w:rsidR="0078217D" w:rsidRPr="00B94DCB" w:rsidRDefault="0078217D" w:rsidP="00B94DCB">
      <w:pPr>
        <w:pStyle w:val="Listenabsatz"/>
        <w:numPr>
          <w:ilvl w:val="0"/>
          <w:numId w:val="23"/>
        </w:numPr>
        <w:spacing w:line="240" w:lineRule="auto"/>
        <w:ind w:left="709"/>
        <w:contextualSpacing w:val="0"/>
        <w:rPr>
          <w:szCs w:val="22"/>
          <w:lang w:val="en-GB"/>
        </w:rPr>
      </w:pPr>
      <w:r w:rsidRPr="0078217D">
        <w:rPr>
          <w:rFonts w:cs="Arial"/>
          <w:szCs w:val="22"/>
          <w:lang w:val="en-US"/>
        </w:rPr>
        <w:t>(23), 5</w:t>
      </w:r>
      <w:r w:rsidRPr="0078217D">
        <w:rPr>
          <w:rFonts w:cs="Arial"/>
          <w:szCs w:val="22"/>
          <w:vertAlign w:val="superscript"/>
          <w:lang w:val="en-US"/>
        </w:rPr>
        <w:t>th</w:t>
      </w:r>
      <w:r w:rsidR="00FC4546">
        <w:rPr>
          <w:rFonts w:cs="Arial"/>
          <w:szCs w:val="22"/>
          <w:lang w:val="en-US"/>
        </w:rPr>
        <w:t xml:space="preserve"> bullet point:</w:t>
      </w:r>
      <w:r w:rsidRPr="0078217D">
        <w:rPr>
          <w:rFonts w:cs="Arial"/>
          <w:szCs w:val="22"/>
          <w:lang w:val="en-US"/>
        </w:rPr>
        <w:t xml:space="preserve"> </w:t>
      </w:r>
      <w:r w:rsidR="00FC4546">
        <w:rPr>
          <w:rFonts w:cs="Arial"/>
          <w:szCs w:val="22"/>
          <w:lang w:val="en-US"/>
        </w:rPr>
        <w:t>A</w:t>
      </w:r>
      <w:r w:rsidRPr="0078217D">
        <w:rPr>
          <w:rFonts w:cs="Arial"/>
          <w:szCs w:val="22"/>
          <w:lang w:val="en-US"/>
        </w:rPr>
        <w:t xml:space="preserve"> clear definition for each of these terms, or even better a list of jurisdictions which qualify as “</w:t>
      </w:r>
      <w:r w:rsidRPr="0078217D">
        <w:rPr>
          <w:rFonts w:cs="Arial"/>
          <w:i/>
          <w:iCs/>
          <w:szCs w:val="22"/>
          <w:lang w:val="en-US"/>
        </w:rPr>
        <w:t>tax haven</w:t>
      </w:r>
      <w:r w:rsidRPr="0078217D">
        <w:rPr>
          <w:rFonts w:cs="Arial"/>
          <w:szCs w:val="22"/>
          <w:lang w:val="en-US"/>
        </w:rPr>
        <w:t>”, “</w:t>
      </w:r>
      <w:r w:rsidRPr="0078217D">
        <w:rPr>
          <w:rFonts w:cs="Arial"/>
          <w:i/>
          <w:iCs/>
          <w:szCs w:val="22"/>
          <w:lang w:val="en-US"/>
        </w:rPr>
        <w:t>secrecy haven</w:t>
      </w:r>
      <w:r w:rsidRPr="0078217D">
        <w:rPr>
          <w:rFonts w:cs="Arial"/>
          <w:szCs w:val="22"/>
          <w:lang w:val="en-US"/>
        </w:rPr>
        <w:t>” or “</w:t>
      </w:r>
      <w:r w:rsidRPr="0078217D">
        <w:rPr>
          <w:rFonts w:cs="Arial"/>
          <w:i/>
          <w:iCs/>
          <w:szCs w:val="22"/>
          <w:lang w:val="en-US"/>
        </w:rPr>
        <w:t>offshore jurisdiction</w:t>
      </w:r>
      <w:r w:rsidRPr="0078217D">
        <w:rPr>
          <w:rFonts w:cs="Arial"/>
          <w:szCs w:val="22"/>
          <w:lang w:val="en-US"/>
        </w:rPr>
        <w:t>” would be very helpful;</w:t>
      </w:r>
    </w:p>
    <w:p w:rsidR="0078217D" w:rsidRPr="00B94DCB" w:rsidRDefault="0078217D" w:rsidP="00B94DCB">
      <w:pPr>
        <w:pStyle w:val="Listenabsatz"/>
        <w:numPr>
          <w:ilvl w:val="0"/>
          <w:numId w:val="23"/>
        </w:numPr>
        <w:spacing w:line="240" w:lineRule="auto"/>
        <w:ind w:left="709"/>
        <w:contextualSpacing w:val="0"/>
        <w:rPr>
          <w:szCs w:val="22"/>
          <w:lang w:val="en-GB"/>
        </w:rPr>
      </w:pPr>
      <w:r w:rsidRPr="0078217D">
        <w:rPr>
          <w:rFonts w:cs="Arial"/>
          <w:szCs w:val="22"/>
          <w:lang w:val="en-US"/>
        </w:rPr>
        <w:t>(23), 8</w:t>
      </w:r>
      <w:r w:rsidRPr="0078217D">
        <w:rPr>
          <w:rFonts w:cs="Arial"/>
          <w:szCs w:val="22"/>
          <w:vertAlign w:val="superscript"/>
          <w:lang w:val="en-US"/>
        </w:rPr>
        <w:t>th</w:t>
      </w:r>
      <w:r w:rsidRPr="0078217D">
        <w:rPr>
          <w:rFonts w:cs="Arial"/>
          <w:szCs w:val="22"/>
          <w:lang w:val="en-US"/>
        </w:rPr>
        <w:t xml:space="preserve"> bullet point: </w:t>
      </w:r>
      <w:r w:rsidR="00FC4546">
        <w:rPr>
          <w:rFonts w:cs="Arial"/>
          <w:szCs w:val="22"/>
          <w:lang w:val="en-US"/>
        </w:rPr>
        <w:t>A</w:t>
      </w:r>
      <w:r w:rsidRPr="0078217D">
        <w:rPr>
          <w:rFonts w:cs="Arial"/>
          <w:szCs w:val="22"/>
          <w:lang w:val="en-US"/>
        </w:rPr>
        <w:t xml:space="preserve"> firm will not be able to judge on whether or not a jurisdiction is “</w:t>
      </w:r>
      <w:r w:rsidRPr="0078217D">
        <w:rPr>
          <w:rFonts w:cs="Arial"/>
          <w:i/>
          <w:iCs/>
          <w:szCs w:val="22"/>
          <w:lang w:val="en-US"/>
        </w:rPr>
        <w:t>politically stable</w:t>
      </w:r>
      <w:r w:rsidRPr="0078217D">
        <w:rPr>
          <w:rFonts w:cs="Arial"/>
          <w:szCs w:val="22"/>
          <w:lang w:val="en-US"/>
        </w:rPr>
        <w:t>“ (whatever this means);</w:t>
      </w:r>
    </w:p>
    <w:p w:rsidR="0078217D" w:rsidRPr="00B94DCB" w:rsidRDefault="0078217D" w:rsidP="00B94DCB">
      <w:pPr>
        <w:pStyle w:val="Listenabsatz"/>
        <w:numPr>
          <w:ilvl w:val="0"/>
          <w:numId w:val="23"/>
        </w:numPr>
        <w:spacing w:line="240" w:lineRule="auto"/>
        <w:ind w:left="709"/>
        <w:contextualSpacing w:val="0"/>
        <w:rPr>
          <w:szCs w:val="22"/>
          <w:lang w:val="en-GB"/>
        </w:rPr>
      </w:pPr>
      <w:r w:rsidRPr="0078217D">
        <w:rPr>
          <w:rFonts w:cs="Arial"/>
          <w:szCs w:val="22"/>
          <w:lang w:val="en-US"/>
        </w:rPr>
        <w:t>(26), 2</w:t>
      </w:r>
      <w:r w:rsidRPr="0078217D">
        <w:rPr>
          <w:rFonts w:cs="Arial"/>
          <w:szCs w:val="22"/>
          <w:vertAlign w:val="superscript"/>
          <w:lang w:val="en-US"/>
        </w:rPr>
        <w:t>nd</w:t>
      </w:r>
      <w:r w:rsidRPr="0078217D">
        <w:rPr>
          <w:rFonts w:cs="Arial"/>
          <w:szCs w:val="22"/>
          <w:lang w:val="en-US"/>
        </w:rPr>
        <w:t xml:space="preserve"> bullet point: </w:t>
      </w:r>
      <w:r w:rsidR="00FC4546">
        <w:rPr>
          <w:rFonts w:cs="Arial"/>
          <w:szCs w:val="22"/>
          <w:lang w:val="en-US"/>
        </w:rPr>
        <w:t>F</w:t>
      </w:r>
      <w:r w:rsidRPr="0078217D">
        <w:rPr>
          <w:rFonts w:cs="Arial"/>
          <w:szCs w:val="22"/>
          <w:lang w:val="en-US"/>
        </w:rPr>
        <w:t>irms will not be able to investigate if any such third party will indeed have a possibility to give any such instructions;</w:t>
      </w:r>
    </w:p>
    <w:p w:rsidR="0078217D" w:rsidRPr="00B94DCB" w:rsidRDefault="0078217D" w:rsidP="00B94DCB">
      <w:pPr>
        <w:pStyle w:val="Listenabsatz"/>
        <w:numPr>
          <w:ilvl w:val="0"/>
          <w:numId w:val="23"/>
        </w:numPr>
        <w:spacing w:line="240" w:lineRule="auto"/>
        <w:ind w:left="709"/>
        <w:contextualSpacing w:val="0"/>
        <w:rPr>
          <w:szCs w:val="22"/>
          <w:lang w:val="en-GB"/>
        </w:rPr>
      </w:pPr>
      <w:r w:rsidRPr="0078217D">
        <w:rPr>
          <w:rFonts w:cs="Arial"/>
          <w:szCs w:val="22"/>
          <w:lang w:val="en-US"/>
        </w:rPr>
        <w:t>(27), 2</w:t>
      </w:r>
      <w:r w:rsidRPr="0078217D">
        <w:rPr>
          <w:rFonts w:cs="Arial"/>
          <w:szCs w:val="22"/>
          <w:vertAlign w:val="superscript"/>
          <w:lang w:val="en-US"/>
        </w:rPr>
        <w:t>nd</w:t>
      </w:r>
      <w:r w:rsidRPr="0078217D">
        <w:rPr>
          <w:rFonts w:cs="Arial"/>
          <w:szCs w:val="22"/>
          <w:lang w:val="en-US"/>
        </w:rPr>
        <w:t xml:space="preserve"> bullet point: </w:t>
      </w:r>
      <w:r w:rsidR="00FC4546">
        <w:rPr>
          <w:rFonts w:cs="Arial"/>
          <w:szCs w:val="22"/>
          <w:lang w:val="en-US"/>
        </w:rPr>
        <w:t>A</w:t>
      </w:r>
      <w:r w:rsidRPr="0078217D">
        <w:rPr>
          <w:rFonts w:cs="Arial"/>
          <w:szCs w:val="22"/>
          <w:lang w:val="en-US"/>
        </w:rPr>
        <w:t>ny current account will allow – as receiving account – to be finally credited from a third party (such as in the event where an invoice is being paid not by the debtor (addressee of the invoice) but someone else). Is this a risk factor to be included? Is a mortgage loan which is prepaid (which happens often) to be seen as such “</w:t>
      </w:r>
      <w:r w:rsidRPr="0078217D">
        <w:rPr>
          <w:rFonts w:cs="Arial"/>
          <w:i/>
          <w:iCs/>
          <w:szCs w:val="22"/>
          <w:lang w:val="en-US"/>
        </w:rPr>
        <w:t>certain mortgage … product</w:t>
      </w:r>
      <w:r w:rsidRPr="0078217D">
        <w:rPr>
          <w:rFonts w:cs="Arial"/>
          <w:szCs w:val="22"/>
          <w:lang w:val="en-US"/>
        </w:rPr>
        <w:t>”? Again, an official list of products which bear higher (or lower) risk would be helpful;</w:t>
      </w:r>
    </w:p>
    <w:p w:rsidR="0078217D" w:rsidRPr="00B94DCB" w:rsidRDefault="0078217D" w:rsidP="00B94DCB">
      <w:pPr>
        <w:pStyle w:val="Listenabsatz"/>
        <w:numPr>
          <w:ilvl w:val="0"/>
          <w:numId w:val="23"/>
        </w:numPr>
        <w:spacing w:line="240" w:lineRule="auto"/>
        <w:ind w:left="709"/>
        <w:contextualSpacing w:val="0"/>
        <w:rPr>
          <w:szCs w:val="22"/>
          <w:lang w:val="en-GB"/>
        </w:rPr>
      </w:pPr>
      <w:r w:rsidRPr="0078217D">
        <w:rPr>
          <w:rFonts w:cs="Arial"/>
          <w:szCs w:val="22"/>
          <w:lang w:val="en-US"/>
        </w:rPr>
        <w:t>(28), 2</w:t>
      </w:r>
      <w:r w:rsidRPr="0078217D">
        <w:rPr>
          <w:rFonts w:cs="Arial"/>
          <w:szCs w:val="22"/>
          <w:vertAlign w:val="superscript"/>
          <w:lang w:val="en-US"/>
        </w:rPr>
        <w:t>nd</w:t>
      </w:r>
      <w:r w:rsidR="00FC4546">
        <w:rPr>
          <w:rFonts w:cs="Arial"/>
          <w:szCs w:val="22"/>
          <w:lang w:val="en-US"/>
        </w:rPr>
        <w:t xml:space="preserve"> bullet point: T</w:t>
      </w:r>
      <w:r w:rsidRPr="0078217D">
        <w:rPr>
          <w:rFonts w:cs="Arial"/>
          <w:szCs w:val="22"/>
          <w:lang w:val="en-US"/>
        </w:rPr>
        <w:t>he credit balance will finally determine to which extent a current account will facilitate a high value transaction. On the same token, the nominal value of a bond determines the potential transaction value. Again it would be helpful to have a list of products which EBA considers to fall within this category;</w:t>
      </w:r>
    </w:p>
    <w:p w:rsidR="0078217D" w:rsidRPr="00693220" w:rsidRDefault="00FC4546" w:rsidP="00B94DCB">
      <w:pPr>
        <w:pStyle w:val="Listenabsatz"/>
        <w:numPr>
          <w:ilvl w:val="0"/>
          <w:numId w:val="23"/>
        </w:numPr>
        <w:spacing w:line="240" w:lineRule="auto"/>
        <w:ind w:left="709"/>
        <w:contextualSpacing w:val="0"/>
        <w:rPr>
          <w:szCs w:val="22"/>
          <w:lang w:val="en-GB"/>
        </w:rPr>
      </w:pPr>
      <w:r>
        <w:rPr>
          <w:rFonts w:cs="Arial"/>
          <w:szCs w:val="22"/>
          <w:lang w:val="en-US"/>
        </w:rPr>
        <w:t>(29), item a): D</w:t>
      </w:r>
      <w:r w:rsidR="0078217D" w:rsidRPr="0078217D">
        <w:rPr>
          <w:rFonts w:cs="Arial"/>
          <w:szCs w:val="22"/>
          <w:lang w:val="en-US"/>
        </w:rPr>
        <w:t>oes this mean that all internet banking activities (like giving a transfer order) will be high risk activities</w:t>
      </w:r>
      <w:proofErr w:type="gramStart"/>
      <w:r w:rsidR="0078217D" w:rsidRPr="0078217D">
        <w:rPr>
          <w:rFonts w:cs="Arial"/>
          <w:szCs w:val="22"/>
          <w:lang w:val="en-US"/>
        </w:rPr>
        <w:t>?;</w:t>
      </w:r>
      <w:proofErr w:type="gramEnd"/>
    </w:p>
    <w:p w:rsidR="00693220" w:rsidRPr="00693220" w:rsidRDefault="00693220" w:rsidP="00693220">
      <w:pPr>
        <w:pStyle w:val="Listenabsatz"/>
        <w:numPr>
          <w:ilvl w:val="0"/>
          <w:numId w:val="23"/>
        </w:numPr>
        <w:spacing w:line="240" w:lineRule="auto"/>
        <w:ind w:left="709"/>
        <w:contextualSpacing w:val="0"/>
        <w:rPr>
          <w:rFonts w:cs="Arial"/>
          <w:szCs w:val="22"/>
          <w:lang w:val="en-US"/>
        </w:rPr>
      </w:pPr>
      <w:r>
        <w:rPr>
          <w:szCs w:val="22"/>
          <w:lang w:val="en-GB"/>
        </w:rPr>
        <w:t xml:space="preserve">(33) – (35): </w:t>
      </w:r>
      <w:r w:rsidRPr="00693220">
        <w:rPr>
          <w:rFonts w:cs="Arial"/>
          <w:szCs w:val="22"/>
          <w:lang w:val="en-US"/>
        </w:rPr>
        <w:t>The guidelines do not provide sufficient guidance on the expectation of the weighting of single risk factors. However, apart from the actual risks to consider and the questions to assess when making a judgement on a customer´s money laundering risk, the risk weighting is one of the most important aspects. The guideline</w:t>
      </w:r>
      <w:r>
        <w:rPr>
          <w:rFonts w:cs="Arial"/>
          <w:szCs w:val="22"/>
          <w:lang w:val="en-US"/>
        </w:rPr>
        <w:t>s</w:t>
      </w:r>
      <w:r w:rsidRPr="00693220">
        <w:rPr>
          <w:rFonts w:cs="Arial"/>
          <w:szCs w:val="22"/>
          <w:lang w:val="en-US"/>
        </w:rPr>
        <w:t xml:space="preserve"> state that “</w:t>
      </w:r>
      <w:r w:rsidRPr="00693220">
        <w:rPr>
          <w:rFonts w:cs="Arial"/>
          <w:i/>
          <w:szCs w:val="22"/>
          <w:lang w:val="en-US"/>
        </w:rPr>
        <w:t>firms should make an informed judgement about the relevance of different risk factors in the context of a business relationship or occasional transaction</w:t>
      </w:r>
      <w:r w:rsidRPr="00693220">
        <w:rPr>
          <w:rFonts w:cs="Arial"/>
          <w:szCs w:val="22"/>
          <w:lang w:val="en-US"/>
        </w:rPr>
        <w:t>”. Further “</w:t>
      </w:r>
      <w:r w:rsidRPr="00693220">
        <w:rPr>
          <w:rFonts w:cs="Arial"/>
          <w:i/>
          <w:szCs w:val="22"/>
          <w:lang w:val="en-US"/>
        </w:rPr>
        <w:t xml:space="preserve">firms may decide that a customer’s personal links to a high risk jurisdiction is less </w:t>
      </w:r>
      <w:r w:rsidRPr="00693220">
        <w:rPr>
          <w:rFonts w:cs="Arial"/>
          <w:i/>
          <w:szCs w:val="22"/>
          <w:lang w:val="en-US"/>
        </w:rPr>
        <w:lastRenderedPageBreak/>
        <w:t>relevant in light of the features of the product they seek</w:t>
      </w:r>
      <w:r w:rsidRPr="00693220">
        <w:rPr>
          <w:rFonts w:cs="Arial"/>
          <w:szCs w:val="22"/>
          <w:lang w:val="en-US"/>
        </w:rPr>
        <w:t xml:space="preserve">”. This approach would mean, that the bank would be expected to risk weigh different factors differently for certain customers. This will make it almost impossible to develop any sort of automated standardized risk model. Also the risk model will take on a complexity that is hard to understand for employees outside of AML departments.  </w:t>
      </w:r>
    </w:p>
    <w:p w:rsidR="00693220" w:rsidRPr="00693220" w:rsidRDefault="00693220" w:rsidP="00693220">
      <w:pPr>
        <w:pStyle w:val="Default"/>
        <w:ind w:left="709"/>
        <w:rPr>
          <w:rFonts w:ascii="Trebuchet MS" w:hAnsi="Trebuchet MS"/>
          <w:color w:val="auto"/>
          <w:sz w:val="22"/>
          <w:szCs w:val="22"/>
          <w:lang w:val="en-US" w:eastAsia="de-DE"/>
        </w:rPr>
      </w:pPr>
      <w:r w:rsidRPr="00693220">
        <w:rPr>
          <w:rFonts w:ascii="Trebuchet MS" w:hAnsi="Trebuchet MS"/>
          <w:color w:val="auto"/>
          <w:sz w:val="22"/>
          <w:szCs w:val="22"/>
          <w:lang w:val="en-US" w:eastAsia="de-DE"/>
        </w:rPr>
        <w:t>In our opinion it is necessary to provide further and more detailed information on the risk weighing approach e.g. which factors should weigh higher for certain customer types. Also, the question must be answered, if a standard risk weighing model is possible on the basis of the overall type of customers and the general business model of the bank or whether a single view assessment is expected for each customer. If a single view is expected, further information is required on how this should be implemented.</w:t>
      </w:r>
    </w:p>
    <w:p w:rsidR="0078217D" w:rsidRPr="00B94DCB" w:rsidRDefault="0078217D" w:rsidP="00B94DCB">
      <w:pPr>
        <w:pStyle w:val="Listenabsatz"/>
        <w:numPr>
          <w:ilvl w:val="0"/>
          <w:numId w:val="23"/>
        </w:numPr>
        <w:spacing w:line="240" w:lineRule="auto"/>
        <w:ind w:left="709"/>
        <w:contextualSpacing w:val="0"/>
        <w:rPr>
          <w:szCs w:val="22"/>
          <w:lang w:val="en-GB"/>
        </w:rPr>
      </w:pPr>
      <w:r w:rsidRPr="0078217D">
        <w:rPr>
          <w:rFonts w:cs="Arial"/>
          <w:szCs w:val="22"/>
          <w:lang w:val="en-US"/>
        </w:rPr>
        <w:t>(42), 2</w:t>
      </w:r>
      <w:r w:rsidRPr="0078217D">
        <w:rPr>
          <w:rFonts w:cs="Arial"/>
          <w:szCs w:val="22"/>
          <w:vertAlign w:val="superscript"/>
          <w:lang w:val="en-US"/>
        </w:rPr>
        <w:t>nd</w:t>
      </w:r>
      <w:r w:rsidRPr="0078217D">
        <w:rPr>
          <w:rFonts w:cs="Arial"/>
          <w:szCs w:val="22"/>
          <w:lang w:val="en-US"/>
        </w:rPr>
        <w:t xml:space="preserve"> bullet point, </w:t>
      </w:r>
      <w:proofErr w:type="spellStart"/>
      <w:r w:rsidRPr="0078217D">
        <w:rPr>
          <w:rFonts w:cs="Arial"/>
          <w:szCs w:val="22"/>
          <w:lang w:val="en-US"/>
        </w:rPr>
        <w:t>subitem</w:t>
      </w:r>
      <w:proofErr w:type="spellEnd"/>
      <w:r w:rsidRPr="0078217D">
        <w:rPr>
          <w:rFonts w:cs="Arial"/>
          <w:szCs w:val="22"/>
          <w:lang w:val="en-US"/>
        </w:rPr>
        <w:t xml:space="preserve"> i.: reversely, does this mean, in the case of applying normal or enhanced CDD, a firm will have to take, for example</w:t>
      </w:r>
      <w:r w:rsidRPr="0078217D">
        <w:rPr>
          <w:rFonts w:cs="Arial"/>
          <w:color w:val="FFFFFF"/>
          <w:szCs w:val="22"/>
          <w:lang w:val="en-US"/>
        </w:rPr>
        <w:t xml:space="preserve"> </w:t>
      </w:r>
      <w:r w:rsidRPr="0078217D">
        <w:rPr>
          <w:rFonts w:cs="Arial"/>
          <w:szCs w:val="22"/>
          <w:lang w:val="en-US"/>
        </w:rPr>
        <w:t>a passport and an ID-card from a private individual when taking-on as new client?;</w:t>
      </w:r>
    </w:p>
    <w:p w:rsidR="0078217D" w:rsidRPr="0078217D" w:rsidRDefault="0078217D" w:rsidP="00B94DCB">
      <w:pPr>
        <w:pStyle w:val="Listenabsatz"/>
        <w:numPr>
          <w:ilvl w:val="0"/>
          <w:numId w:val="23"/>
        </w:numPr>
        <w:spacing w:line="240" w:lineRule="auto"/>
        <w:ind w:left="709"/>
        <w:contextualSpacing w:val="0"/>
        <w:rPr>
          <w:szCs w:val="22"/>
        </w:rPr>
      </w:pPr>
      <w:r w:rsidRPr="0078217D">
        <w:rPr>
          <w:rFonts w:cs="Arial"/>
          <w:szCs w:val="22"/>
          <w:lang w:val="en-US"/>
        </w:rPr>
        <w:t>(49), 2</w:t>
      </w:r>
      <w:r w:rsidRPr="0078217D">
        <w:rPr>
          <w:rFonts w:cs="Arial"/>
          <w:szCs w:val="22"/>
          <w:vertAlign w:val="superscript"/>
          <w:lang w:val="en-US"/>
        </w:rPr>
        <w:t>nd</w:t>
      </w:r>
      <w:r w:rsidRPr="0078217D">
        <w:rPr>
          <w:rFonts w:cs="Arial"/>
          <w:szCs w:val="22"/>
          <w:lang w:val="en-US"/>
        </w:rPr>
        <w:t xml:space="preserve"> bullet point: once a business relationship has been established with </w:t>
      </w:r>
      <w:proofErr w:type="gramStart"/>
      <w:r w:rsidRPr="0078217D">
        <w:rPr>
          <w:rFonts w:cs="Arial"/>
          <w:szCs w:val="22"/>
          <w:lang w:val="en-US"/>
        </w:rPr>
        <w:t>a PEP</w:t>
      </w:r>
      <w:proofErr w:type="gramEnd"/>
      <w:r w:rsidRPr="0078217D">
        <w:rPr>
          <w:rFonts w:cs="Arial"/>
          <w:szCs w:val="22"/>
          <w:lang w:val="en-US"/>
        </w:rPr>
        <w:t>, e.g. by opening a current account, the business is typically continuous. Therefore, the description “</w:t>
      </w:r>
      <w:r w:rsidRPr="0078217D">
        <w:rPr>
          <w:rFonts w:cs="Arial"/>
          <w:i/>
          <w:iCs/>
          <w:szCs w:val="22"/>
          <w:lang w:val="en-US"/>
        </w:rPr>
        <w:t>or continuing</w:t>
      </w:r>
      <w:r w:rsidRPr="0078217D">
        <w:rPr>
          <w:rFonts w:cs="Arial"/>
          <w:szCs w:val="22"/>
          <w:lang w:val="en-US"/>
        </w:rPr>
        <w:t xml:space="preserve">” should be deleted; </w:t>
      </w:r>
    </w:p>
    <w:p w:rsidR="0078217D" w:rsidRPr="00542702" w:rsidRDefault="0078217D" w:rsidP="00B94DCB">
      <w:pPr>
        <w:pStyle w:val="Listenabsatz"/>
        <w:numPr>
          <w:ilvl w:val="0"/>
          <w:numId w:val="23"/>
        </w:numPr>
        <w:spacing w:line="240" w:lineRule="auto"/>
        <w:ind w:left="709"/>
        <w:contextualSpacing w:val="0"/>
        <w:rPr>
          <w:szCs w:val="22"/>
          <w:lang w:val="en-GB"/>
        </w:rPr>
      </w:pPr>
      <w:r w:rsidRPr="0078217D">
        <w:rPr>
          <w:rFonts w:cs="Arial"/>
          <w:szCs w:val="22"/>
          <w:lang w:val="en-US"/>
        </w:rPr>
        <w:t>(57), 1</w:t>
      </w:r>
      <w:r w:rsidRPr="0078217D">
        <w:rPr>
          <w:rFonts w:cs="Arial"/>
          <w:szCs w:val="22"/>
          <w:vertAlign w:val="superscript"/>
          <w:lang w:val="en-US"/>
        </w:rPr>
        <w:t>st</w:t>
      </w:r>
      <w:r w:rsidRPr="0078217D">
        <w:rPr>
          <w:rFonts w:cs="Arial"/>
          <w:szCs w:val="22"/>
          <w:lang w:val="en-US"/>
        </w:rPr>
        <w:t xml:space="preserve"> bullet point, </w:t>
      </w:r>
      <w:proofErr w:type="spellStart"/>
      <w:r w:rsidRPr="0078217D">
        <w:rPr>
          <w:rFonts w:cs="Arial"/>
          <w:szCs w:val="22"/>
          <w:lang w:val="en-US"/>
        </w:rPr>
        <w:t>subitem</w:t>
      </w:r>
      <w:proofErr w:type="spellEnd"/>
      <w:r w:rsidRPr="0078217D">
        <w:rPr>
          <w:rFonts w:cs="Arial"/>
          <w:szCs w:val="22"/>
          <w:lang w:val="en-US"/>
        </w:rPr>
        <w:t xml:space="preserve"> </w:t>
      </w:r>
      <w:proofErr w:type="spellStart"/>
      <w:r w:rsidRPr="0078217D">
        <w:rPr>
          <w:rFonts w:cs="Arial"/>
          <w:szCs w:val="22"/>
          <w:lang w:val="en-US"/>
        </w:rPr>
        <w:t>i.a</w:t>
      </w:r>
      <w:proofErr w:type="spellEnd"/>
      <w:r w:rsidRPr="0078217D">
        <w:rPr>
          <w:rFonts w:cs="Arial"/>
          <w:szCs w:val="22"/>
          <w:lang w:val="en-US"/>
        </w:rPr>
        <w:t>.: adverse information’s about any family member of a customer must and will often not have any link towards the customer itself;</w:t>
      </w:r>
    </w:p>
    <w:p w:rsidR="00542702" w:rsidRPr="00542702" w:rsidRDefault="00542702" w:rsidP="00542702">
      <w:pPr>
        <w:pStyle w:val="Default"/>
        <w:numPr>
          <w:ilvl w:val="0"/>
          <w:numId w:val="23"/>
        </w:numPr>
        <w:ind w:left="709"/>
        <w:rPr>
          <w:rFonts w:ascii="Trebuchet MS" w:hAnsi="Trebuchet MS"/>
          <w:color w:val="auto"/>
          <w:sz w:val="22"/>
          <w:szCs w:val="22"/>
          <w:lang w:val="en-US" w:eastAsia="de-DE"/>
        </w:rPr>
      </w:pPr>
      <w:r>
        <w:rPr>
          <w:rFonts w:ascii="Trebuchet MS" w:hAnsi="Trebuchet MS"/>
          <w:color w:val="auto"/>
          <w:sz w:val="22"/>
          <w:szCs w:val="22"/>
          <w:lang w:val="en-US" w:eastAsia="de-DE"/>
        </w:rPr>
        <w:t xml:space="preserve">(72) – (94): </w:t>
      </w:r>
      <w:r w:rsidRPr="00542702">
        <w:rPr>
          <w:rFonts w:ascii="Trebuchet MS" w:hAnsi="Trebuchet MS"/>
          <w:color w:val="auto"/>
          <w:sz w:val="22"/>
          <w:szCs w:val="22"/>
          <w:lang w:val="en-US" w:eastAsia="de-DE"/>
        </w:rPr>
        <w:t>While reference is made to the definition of correspondent banking as defined in Article 3(8</w:t>
      </w:r>
      <w:proofErr w:type="gramStart"/>
      <w:r w:rsidRPr="00542702">
        <w:rPr>
          <w:rFonts w:ascii="Trebuchet MS" w:hAnsi="Trebuchet MS"/>
          <w:color w:val="auto"/>
          <w:sz w:val="22"/>
          <w:szCs w:val="22"/>
          <w:lang w:val="en-US" w:eastAsia="de-DE"/>
        </w:rPr>
        <w:t>)(</w:t>
      </w:r>
      <w:proofErr w:type="gramEnd"/>
      <w:r w:rsidRPr="00542702">
        <w:rPr>
          <w:rFonts w:ascii="Trebuchet MS" w:hAnsi="Trebuchet MS"/>
          <w:color w:val="auto"/>
          <w:sz w:val="22"/>
          <w:szCs w:val="22"/>
          <w:lang w:val="en-US" w:eastAsia="de-DE"/>
        </w:rPr>
        <w:t xml:space="preserve">a) of Directive (EU) 2015/849, the guidelines should take the opportunity for a more detailed assessment and clarification on what business/conduct constitutes a correspondent relationship. Thus, some examples of such relationships would be beneficial. Also, as stated in reference 77, it should be clearly described, what criteria need to be taken into account when assessing if the respondent is not subject to adequate AML/CFT supervision.  </w:t>
      </w:r>
    </w:p>
    <w:p w:rsidR="00542702" w:rsidRDefault="00542702" w:rsidP="00542702">
      <w:pPr>
        <w:pStyle w:val="Listenabsatz"/>
        <w:spacing w:line="240" w:lineRule="auto"/>
        <w:ind w:left="709"/>
        <w:contextualSpacing w:val="0"/>
        <w:rPr>
          <w:rFonts w:cs="Arial"/>
          <w:szCs w:val="22"/>
          <w:lang w:val="en-US"/>
        </w:rPr>
      </w:pPr>
      <w:r w:rsidRPr="00542702">
        <w:rPr>
          <w:rFonts w:cs="Arial"/>
          <w:szCs w:val="22"/>
          <w:lang w:val="en-US"/>
        </w:rPr>
        <w:t>Regarding reference 87, the expectation is that correspondents should always adequately document their EDD measures and decision-making process. Again here it would be important to mention examples of what kind of documentation process would be seen as adequate or what process would not be acceptable under any circumstances.</w:t>
      </w:r>
    </w:p>
    <w:p w:rsidR="00542702" w:rsidRPr="00542702" w:rsidRDefault="00542702" w:rsidP="00542702">
      <w:pPr>
        <w:pStyle w:val="Default"/>
        <w:numPr>
          <w:ilvl w:val="0"/>
          <w:numId w:val="23"/>
        </w:numPr>
        <w:ind w:left="709"/>
        <w:rPr>
          <w:rFonts w:ascii="Trebuchet MS" w:hAnsi="Trebuchet MS"/>
          <w:color w:val="auto"/>
          <w:sz w:val="22"/>
          <w:szCs w:val="22"/>
          <w:lang w:val="en-US" w:eastAsia="de-DE"/>
        </w:rPr>
      </w:pPr>
      <w:r>
        <w:rPr>
          <w:rFonts w:ascii="Trebuchet MS" w:hAnsi="Trebuchet MS"/>
          <w:color w:val="auto"/>
          <w:sz w:val="22"/>
          <w:szCs w:val="22"/>
          <w:lang w:val="en-US" w:eastAsia="de-DE"/>
        </w:rPr>
        <w:t xml:space="preserve">(95) – (110): </w:t>
      </w:r>
      <w:r w:rsidRPr="00542702">
        <w:rPr>
          <w:rFonts w:ascii="Trebuchet MS" w:hAnsi="Trebuchet MS"/>
          <w:color w:val="auto"/>
          <w:sz w:val="22"/>
          <w:szCs w:val="22"/>
          <w:lang w:val="en-US" w:eastAsia="de-DE"/>
        </w:rPr>
        <w:t>While many considerations taken in the sectoral guidelines for retail banks address pressing issues in regards to dealing with retail customers from an anti-money laundering perspective, in particular in regards to the updating of customer information, the sector guidelines make very little reference to customer risk factors associated with natural persons. Many risk factors seem specifically aimed only at legal persons, which are not considered the main customer segment of retail banks (e.g. the customer is a cash-intensive undertaking, the customer is a new undertaking, the customer’s beneficial owner cannot easily be identified). In particular in regards to the application of a lower risk of money laundering, more factors relating to natural persons would be required. Currently three out of the four factors relate to legal persons, which are not generally target customers of retail banks (e.g. public listed companies, public administration, credit- or financial institutions)</w:t>
      </w:r>
    </w:p>
    <w:p w:rsidR="00542702" w:rsidRPr="00542702" w:rsidRDefault="00542702" w:rsidP="00542702">
      <w:pPr>
        <w:pStyle w:val="Default"/>
        <w:numPr>
          <w:ilvl w:val="0"/>
          <w:numId w:val="23"/>
        </w:numPr>
        <w:ind w:left="709"/>
        <w:rPr>
          <w:rFonts w:ascii="Trebuchet MS" w:hAnsi="Trebuchet MS"/>
          <w:color w:val="auto"/>
          <w:sz w:val="22"/>
          <w:szCs w:val="22"/>
          <w:lang w:val="en-US" w:eastAsia="de-DE"/>
        </w:rPr>
      </w:pPr>
      <w:r>
        <w:rPr>
          <w:rFonts w:ascii="Trebuchet MS" w:hAnsi="Trebuchet MS"/>
          <w:color w:val="auto"/>
          <w:sz w:val="22"/>
          <w:szCs w:val="22"/>
          <w:lang w:val="en-US" w:eastAsia="de-DE"/>
        </w:rPr>
        <w:t xml:space="preserve">(149): </w:t>
      </w:r>
      <w:r w:rsidRPr="00542702">
        <w:rPr>
          <w:rFonts w:ascii="Trebuchet MS" w:hAnsi="Trebuchet MS"/>
          <w:color w:val="auto"/>
          <w:sz w:val="22"/>
          <w:szCs w:val="22"/>
          <w:lang w:val="en-US" w:eastAsia="de-DE"/>
        </w:rPr>
        <w:t>The sectoral guidelines for wealth management state that simplified due diligence is not appropriate in a wealth management context. This would mean that a customer in this segment could never be considered a “low risk” customer. This seems to go against the general risk-based approach stated in the guidance as well as the consideration of “private banking” merely as a factor (Annex III of Directive 2015/849). If a risk model would allow for the calculation of a low risk customer, despite taking into consideration a potential high risk product or business area, then the application of simplified due diligence should be possible also in the context of wealth management, if all other factors do not assess a higher risk of money laundering. This sector should at the very least include the risk-reducing factor of long-term business relationships, which have been inconspicuous from a money-laundering perspective, as this is also done in other sectors. In addition, a high threshold (of 700,000 EUR or 1 million) is to be set in order to identify the customers in this area accordingly.</w:t>
      </w:r>
    </w:p>
    <w:p w:rsidR="00542702" w:rsidRPr="00542702" w:rsidRDefault="00542702" w:rsidP="00542702">
      <w:pPr>
        <w:pStyle w:val="Default"/>
        <w:ind w:left="709"/>
        <w:rPr>
          <w:rFonts w:ascii="Trebuchet MS" w:hAnsi="Trebuchet MS"/>
          <w:color w:val="auto"/>
          <w:sz w:val="22"/>
          <w:szCs w:val="22"/>
          <w:lang w:val="en-US" w:eastAsia="de-DE"/>
        </w:rPr>
      </w:pPr>
      <w:r w:rsidRPr="00542702">
        <w:rPr>
          <w:rFonts w:ascii="Trebuchet MS" w:hAnsi="Trebuchet MS"/>
          <w:color w:val="auto"/>
          <w:sz w:val="22"/>
          <w:szCs w:val="22"/>
          <w:lang w:val="en-US" w:eastAsia="de-DE"/>
        </w:rPr>
        <w:lastRenderedPageBreak/>
        <w:t>It would also mean that banks specifically aimed at wealth management clients would have a distorted risk model, which would not necessarily reflect the actual money laundering risk of the customers or the bank. Therefore, if the appropriate risk factors taken into consideration allow for the categorization of low risk customers in this segment, then the simplified due diligence approach for wealth management customers should be possible under these conditions as well.</w:t>
      </w:r>
      <w:r>
        <w:rPr>
          <w:rFonts w:ascii="Trebuchet MS" w:hAnsi="Trebuchet MS"/>
          <w:color w:val="auto"/>
          <w:sz w:val="22"/>
          <w:szCs w:val="22"/>
          <w:lang w:val="en-US" w:eastAsia="de-DE"/>
        </w:rPr>
        <w:t xml:space="preserve"> </w:t>
      </w:r>
    </w:p>
    <w:p w:rsidR="00C12058" w:rsidRDefault="00C12058" w:rsidP="0010363C">
      <w:pPr>
        <w:spacing w:line="240" w:lineRule="auto"/>
        <w:ind w:right="-1"/>
        <w:rPr>
          <w:lang w:val="en-GB"/>
        </w:rPr>
      </w:pPr>
    </w:p>
    <w:p w:rsidR="00FC4546" w:rsidRPr="006D3EDC" w:rsidRDefault="00FC4546" w:rsidP="0010363C">
      <w:pPr>
        <w:spacing w:line="240" w:lineRule="auto"/>
        <w:ind w:right="-1"/>
        <w:rPr>
          <w:lang w:val="en-GB"/>
        </w:rPr>
      </w:pPr>
    </w:p>
    <w:p w:rsidR="00EB6FE5" w:rsidRPr="006D3EDC" w:rsidRDefault="00EB6FE5" w:rsidP="0010363C">
      <w:pPr>
        <w:spacing w:line="240" w:lineRule="auto"/>
        <w:ind w:right="-1"/>
        <w:rPr>
          <w:lang w:val="en-GB"/>
        </w:rPr>
      </w:pPr>
      <w:r w:rsidRPr="006D3EDC">
        <w:rPr>
          <w:lang w:val="en-GB"/>
        </w:rPr>
        <w:t>Please give our concerns due consideration.</w:t>
      </w:r>
    </w:p>
    <w:p w:rsidR="00C12058" w:rsidRPr="006D3EDC" w:rsidRDefault="00C12058" w:rsidP="00A55AE6">
      <w:pPr>
        <w:spacing w:line="240" w:lineRule="auto"/>
        <w:rPr>
          <w:rFonts w:cs="Arial"/>
          <w:color w:val="000000"/>
          <w:lang w:val="en-GB" w:eastAsia="en-US"/>
        </w:rPr>
      </w:pPr>
    </w:p>
    <w:p w:rsidR="00A55AE6" w:rsidRPr="006D3EDC" w:rsidRDefault="00A55AE6" w:rsidP="00A55AE6">
      <w:pPr>
        <w:spacing w:line="240" w:lineRule="auto"/>
        <w:rPr>
          <w:rFonts w:cs="Arial"/>
          <w:color w:val="000000"/>
          <w:lang w:val="en-GB" w:eastAsia="en-US"/>
        </w:rPr>
      </w:pPr>
      <w:r w:rsidRPr="006D3EDC">
        <w:rPr>
          <w:rFonts w:cs="Arial"/>
          <w:color w:val="000000"/>
          <w:lang w:val="en-GB" w:eastAsia="en-US"/>
        </w:rPr>
        <w:t>Yours sincerely,</w:t>
      </w:r>
    </w:p>
    <w:p w:rsidR="00A55AE6" w:rsidRPr="006D3EDC" w:rsidRDefault="00A55AE6" w:rsidP="00A55AE6">
      <w:pPr>
        <w:spacing w:line="240" w:lineRule="auto"/>
        <w:rPr>
          <w:rFonts w:cs="Arial"/>
          <w:color w:val="000000"/>
          <w:lang w:val="en-GB" w:eastAsia="en-US"/>
        </w:rPr>
      </w:pPr>
    </w:p>
    <w:p w:rsidR="00A55AE6" w:rsidRPr="006D3EDC" w:rsidRDefault="00A55AE6" w:rsidP="00A55AE6">
      <w:pPr>
        <w:spacing w:line="240" w:lineRule="auto"/>
        <w:rPr>
          <w:rFonts w:cs="Arial"/>
          <w:color w:val="000000"/>
          <w:lang w:val="en-GB" w:eastAsia="en-US"/>
        </w:rPr>
      </w:pPr>
      <w:proofErr w:type="spellStart"/>
      <w:r w:rsidRPr="006D3EDC">
        <w:rPr>
          <w:rFonts w:cs="Arial"/>
          <w:color w:val="000000"/>
          <w:lang w:val="en-GB" w:eastAsia="en-US"/>
        </w:rPr>
        <w:t>Dr.</w:t>
      </w:r>
      <w:proofErr w:type="spellEnd"/>
      <w:r w:rsidRPr="006D3EDC">
        <w:rPr>
          <w:rFonts w:cs="Arial"/>
          <w:color w:val="000000"/>
          <w:lang w:val="en-GB" w:eastAsia="en-US"/>
        </w:rPr>
        <w:t xml:space="preserve"> Franz Rudorfer</w:t>
      </w:r>
    </w:p>
    <w:p w:rsidR="00A55AE6" w:rsidRPr="006D3EDC" w:rsidRDefault="00A55AE6" w:rsidP="00A55AE6">
      <w:pPr>
        <w:spacing w:line="240" w:lineRule="auto"/>
        <w:rPr>
          <w:rFonts w:cs="Arial"/>
          <w:color w:val="000000"/>
          <w:lang w:val="en-GB" w:eastAsia="en-US"/>
        </w:rPr>
      </w:pPr>
      <w:r w:rsidRPr="006D3EDC">
        <w:rPr>
          <w:rFonts w:cs="Arial"/>
          <w:color w:val="000000"/>
          <w:lang w:val="en-GB" w:eastAsia="en-US"/>
        </w:rPr>
        <w:t>Managing Director</w:t>
      </w:r>
    </w:p>
    <w:p w:rsidR="00A55AE6" w:rsidRPr="006D3EDC" w:rsidRDefault="00A55AE6" w:rsidP="00A55AE6">
      <w:pPr>
        <w:spacing w:line="240" w:lineRule="auto"/>
        <w:rPr>
          <w:noProof/>
          <w:lang w:val="en-GB"/>
        </w:rPr>
      </w:pPr>
      <w:r w:rsidRPr="006D3EDC">
        <w:rPr>
          <w:rFonts w:cs="Arial"/>
          <w:color w:val="000000"/>
          <w:lang w:val="en-GB" w:eastAsia="en-US"/>
        </w:rPr>
        <w:t>Division Bank and Insurance</w:t>
      </w:r>
    </w:p>
    <w:p w:rsidR="00A55AE6" w:rsidRPr="006D3EDC" w:rsidRDefault="00A55AE6" w:rsidP="00EB6FE5">
      <w:pPr>
        <w:spacing w:line="240" w:lineRule="auto"/>
        <w:ind w:right="-1"/>
        <w:rPr>
          <w:lang w:val="en-GB"/>
        </w:rPr>
      </w:pPr>
    </w:p>
    <w:sectPr w:rsidR="00A55AE6" w:rsidRPr="006D3EDC" w:rsidSect="00FC4546">
      <w:footerReference w:type="default" r:id="rId9"/>
      <w:headerReference w:type="first" r:id="rId10"/>
      <w:footerReference w:type="first" r:id="rId11"/>
      <w:pgSz w:w="11906" w:h="16838"/>
      <w:pgMar w:top="1560" w:right="1133" w:bottom="709"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A33" w:rsidRDefault="00295A33">
      <w:r>
        <w:separator/>
      </w:r>
    </w:p>
  </w:endnote>
  <w:endnote w:type="continuationSeparator" w:id="0">
    <w:p w:rsidR="00295A33" w:rsidRDefault="0029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A33" w:rsidRPr="007C6CFC" w:rsidRDefault="00295A33">
    <w:pPr>
      <w:pStyle w:val="Fuzeile"/>
      <w:rPr>
        <w:szCs w:val="22"/>
      </w:rPr>
    </w:pPr>
    <w:r w:rsidRPr="007C6CFC">
      <w:rPr>
        <w:sz w:val="16"/>
        <w:szCs w:val="16"/>
      </w:rPr>
      <w:tab/>
    </w:r>
    <w:r w:rsidRPr="007C6CFC">
      <w:rPr>
        <w:szCs w:val="22"/>
      </w:rPr>
      <w:t xml:space="preserve">- </w:t>
    </w:r>
    <w:r w:rsidRPr="007C6CFC">
      <w:rPr>
        <w:szCs w:val="22"/>
      </w:rPr>
      <w:fldChar w:fldCharType="begin"/>
    </w:r>
    <w:r w:rsidRPr="007C6CFC">
      <w:rPr>
        <w:szCs w:val="22"/>
      </w:rPr>
      <w:instrText xml:space="preserve"> PAGE </w:instrText>
    </w:r>
    <w:r w:rsidRPr="007C6CFC">
      <w:rPr>
        <w:szCs w:val="22"/>
      </w:rPr>
      <w:fldChar w:fldCharType="separate"/>
    </w:r>
    <w:r w:rsidR="00BA19BC">
      <w:rPr>
        <w:noProof/>
        <w:szCs w:val="22"/>
      </w:rPr>
      <w:t>2</w:t>
    </w:r>
    <w:r w:rsidRPr="007C6CFC">
      <w:rPr>
        <w:szCs w:val="22"/>
      </w:rPr>
      <w:fldChar w:fldCharType="end"/>
    </w:r>
    <w:r w:rsidRPr="007C6CFC">
      <w:rPr>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A33" w:rsidRPr="007C6CFC" w:rsidRDefault="00295A33" w:rsidP="00BC0955">
    <w:pPr>
      <w:pStyle w:val="Fuzeile"/>
      <w:rPr>
        <w:snapToGrid w:val="0"/>
        <w:color w:val="000000"/>
        <w:szCs w:val="22"/>
        <w:u w:color="000000"/>
      </w:rPr>
    </w:pPr>
    <w:r>
      <w:rPr>
        <w:snapToGrid w:val="0"/>
        <w:color w:val="000000"/>
        <w:sz w:val="16"/>
        <w:szCs w:val="16"/>
        <w:u w:color="000000"/>
      </w:rPr>
      <w:tab/>
    </w:r>
    <w:r w:rsidRPr="007C6CFC">
      <w:rPr>
        <w:snapToGrid w:val="0"/>
        <w:color w:val="000000"/>
        <w:szCs w:val="22"/>
        <w:u w:color="000000"/>
      </w:rPr>
      <w:t xml:space="preserve">- </w:t>
    </w:r>
    <w:r w:rsidRPr="007C6CFC">
      <w:rPr>
        <w:snapToGrid w:val="0"/>
        <w:color w:val="000000"/>
        <w:szCs w:val="22"/>
        <w:u w:color="000000"/>
      </w:rPr>
      <w:fldChar w:fldCharType="begin"/>
    </w:r>
    <w:r w:rsidRPr="007C6CFC">
      <w:rPr>
        <w:snapToGrid w:val="0"/>
        <w:color w:val="000000"/>
        <w:szCs w:val="22"/>
        <w:u w:color="000000"/>
      </w:rPr>
      <w:instrText xml:space="preserve"> PAGE </w:instrText>
    </w:r>
    <w:r w:rsidRPr="007C6CFC">
      <w:rPr>
        <w:snapToGrid w:val="0"/>
        <w:color w:val="000000"/>
        <w:szCs w:val="22"/>
        <w:u w:color="000000"/>
      </w:rPr>
      <w:fldChar w:fldCharType="separate"/>
    </w:r>
    <w:r w:rsidR="00BA19BC">
      <w:rPr>
        <w:noProof/>
        <w:snapToGrid w:val="0"/>
        <w:color w:val="000000"/>
        <w:szCs w:val="22"/>
        <w:u w:color="000000"/>
      </w:rPr>
      <w:t>1</w:t>
    </w:r>
    <w:r w:rsidRPr="007C6CFC">
      <w:rPr>
        <w:snapToGrid w:val="0"/>
        <w:color w:val="000000"/>
        <w:szCs w:val="22"/>
        <w:u w:color="000000"/>
      </w:rPr>
      <w:fldChar w:fldCharType="end"/>
    </w:r>
    <w:r w:rsidRPr="007C6CFC">
      <w:rPr>
        <w:snapToGrid w:val="0"/>
        <w:color w:val="000000"/>
        <w:szCs w:val="22"/>
        <w:u w:color="00000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A33" w:rsidRDefault="00295A33">
      <w:r>
        <w:separator/>
      </w:r>
    </w:p>
  </w:footnote>
  <w:footnote w:type="continuationSeparator" w:id="0">
    <w:p w:rsidR="00295A33" w:rsidRDefault="00295A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A33" w:rsidRPr="0081262C" w:rsidRDefault="00295A33" w:rsidP="00F0083F">
    <w:pPr>
      <w:pStyle w:val="Kopfzeile"/>
      <w:tabs>
        <w:tab w:val="clear" w:pos="9072"/>
        <w:tab w:val="right" w:pos="9498"/>
      </w:tabs>
      <w:jc w:val="right"/>
    </w:pPr>
    <w:r>
      <w:rPr>
        <w:noProof/>
        <w:lang w:val="de-AT" w:eastAsia="de-AT"/>
      </w:rPr>
      <w:drawing>
        <wp:anchor distT="0" distB="0" distL="114300" distR="114300" simplePos="0" relativeHeight="251657728" behindDoc="0" locked="1" layoutInCell="1" allowOverlap="1" wp14:anchorId="68F9B56D" wp14:editId="4EB1FE26">
          <wp:simplePos x="0" y="0"/>
          <wp:positionH relativeFrom="page">
            <wp:posOffset>4859655</wp:posOffset>
          </wp:positionH>
          <wp:positionV relativeFrom="page">
            <wp:posOffset>197485</wp:posOffset>
          </wp:positionV>
          <wp:extent cx="2210435" cy="861695"/>
          <wp:effectExtent l="19050" t="0" r="0" b="0"/>
          <wp:wrapTopAndBottom/>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2210435" cy="86169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C49F9"/>
    <w:multiLevelType w:val="hybridMultilevel"/>
    <w:tmpl w:val="11C4F1B0"/>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nsid w:val="05A23A7C"/>
    <w:multiLevelType w:val="hybridMultilevel"/>
    <w:tmpl w:val="ADBECCE0"/>
    <w:lvl w:ilvl="0" w:tplc="0C070013">
      <w:start w:val="1"/>
      <w:numFmt w:val="upperRoman"/>
      <w:lvlText w:val="%1."/>
      <w:lvlJc w:val="righ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nsid w:val="08B82C7E"/>
    <w:multiLevelType w:val="hybridMultilevel"/>
    <w:tmpl w:val="4B56974E"/>
    <w:lvl w:ilvl="0" w:tplc="93886BE2">
      <w:start w:val="3"/>
      <w:numFmt w:val="bullet"/>
      <w:lvlText w:val="-"/>
      <w:lvlJc w:val="left"/>
      <w:pPr>
        <w:ind w:left="720" w:hanging="360"/>
      </w:pPr>
      <w:rPr>
        <w:rFonts w:ascii="Consolas" w:eastAsiaTheme="minorHAnsi" w:hAnsi="Consolas" w:cs="Consola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0A2C73A7"/>
    <w:multiLevelType w:val="hybridMultilevel"/>
    <w:tmpl w:val="3F0C2284"/>
    <w:lvl w:ilvl="0" w:tplc="0C070001">
      <w:start w:val="1"/>
      <w:numFmt w:val="bullet"/>
      <w:lvlText w:val=""/>
      <w:lvlJc w:val="left"/>
      <w:pPr>
        <w:ind w:left="2844" w:hanging="360"/>
      </w:pPr>
      <w:rPr>
        <w:rFonts w:ascii="Symbol" w:hAnsi="Symbol" w:hint="default"/>
      </w:rPr>
    </w:lvl>
    <w:lvl w:ilvl="1" w:tplc="0C070003" w:tentative="1">
      <w:start w:val="1"/>
      <w:numFmt w:val="bullet"/>
      <w:lvlText w:val="o"/>
      <w:lvlJc w:val="left"/>
      <w:pPr>
        <w:ind w:left="3564" w:hanging="360"/>
      </w:pPr>
      <w:rPr>
        <w:rFonts w:ascii="Courier New" w:hAnsi="Courier New" w:hint="default"/>
      </w:rPr>
    </w:lvl>
    <w:lvl w:ilvl="2" w:tplc="0C070005" w:tentative="1">
      <w:start w:val="1"/>
      <w:numFmt w:val="bullet"/>
      <w:lvlText w:val=""/>
      <w:lvlJc w:val="left"/>
      <w:pPr>
        <w:ind w:left="4284" w:hanging="360"/>
      </w:pPr>
      <w:rPr>
        <w:rFonts w:ascii="Wingdings" w:hAnsi="Wingdings" w:hint="default"/>
      </w:rPr>
    </w:lvl>
    <w:lvl w:ilvl="3" w:tplc="0C070001" w:tentative="1">
      <w:start w:val="1"/>
      <w:numFmt w:val="bullet"/>
      <w:lvlText w:val=""/>
      <w:lvlJc w:val="left"/>
      <w:pPr>
        <w:ind w:left="5004" w:hanging="360"/>
      </w:pPr>
      <w:rPr>
        <w:rFonts w:ascii="Symbol" w:hAnsi="Symbol" w:hint="default"/>
      </w:rPr>
    </w:lvl>
    <w:lvl w:ilvl="4" w:tplc="0C070003" w:tentative="1">
      <w:start w:val="1"/>
      <w:numFmt w:val="bullet"/>
      <w:lvlText w:val="o"/>
      <w:lvlJc w:val="left"/>
      <w:pPr>
        <w:ind w:left="5724" w:hanging="360"/>
      </w:pPr>
      <w:rPr>
        <w:rFonts w:ascii="Courier New" w:hAnsi="Courier New" w:hint="default"/>
      </w:rPr>
    </w:lvl>
    <w:lvl w:ilvl="5" w:tplc="0C070005" w:tentative="1">
      <w:start w:val="1"/>
      <w:numFmt w:val="bullet"/>
      <w:lvlText w:val=""/>
      <w:lvlJc w:val="left"/>
      <w:pPr>
        <w:ind w:left="6444" w:hanging="360"/>
      </w:pPr>
      <w:rPr>
        <w:rFonts w:ascii="Wingdings" w:hAnsi="Wingdings" w:hint="default"/>
      </w:rPr>
    </w:lvl>
    <w:lvl w:ilvl="6" w:tplc="0C070001" w:tentative="1">
      <w:start w:val="1"/>
      <w:numFmt w:val="bullet"/>
      <w:lvlText w:val=""/>
      <w:lvlJc w:val="left"/>
      <w:pPr>
        <w:ind w:left="7164" w:hanging="360"/>
      </w:pPr>
      <w:rPr>
        <w:rFonts w:ascii="Symbol" w:hAnsi="Symbol" w:hint="default"/>
      </w:rPr>
    </w:lvl>
    <w:lvl w:ilvl="7" w:tplc="0C070003" w:tentative="1">
      <w:start w:val="1"/>
      <w:numFmt w:val="bullet"/>
      <w:lvlText w:val="o"/>
      <w:lvlJc w:val="left"/>
      <w:pPr>
        <w:ind w:left="7884" w:hanging="360"/>
      </w:pPr>
      <w:rPr>
        <w:rFonts w:ascii="Courier New" w:hAnsi="Courier New" w:hint="default"/>
      </w:rPr>
    </w:lvl>
    <w:lvl w:ilvl="8" w:tplc="0C070005" w:tentative="1">
      <w:start w:val="1"/>
      <w:numFmt w:val="bullet"/>
      <w:lvlText w:val=""/>
      <w:lvlJc w:val="left"/>
      <w:pPr>
        <w:ind w:left="8604" w:hanging="360"/>
      </w:pPr>
      <w:rPr>
        <w:rFonts w:ascii="Wingdings" w:hAnsi="Wingdings" w:hint="default"/>
      </w:rPr>
    </w:lvl>
  </w:abstractNum>
  <w:abstractNum w:abstractNumId="4">
    <w:nsid w:val="0BA5631E"/>
    <w:multiLevelType w:val="hybridMultilevel"/>
    <w:tmpl w:val="73DC611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nsid w:val="1056668F"/>
    <w:multiLevelType w:val="hybridMultilevel"/>
    <w:tmpl w:val="73DC611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12A7324D"/>
    <w:multiLevelType w:val="hybridMultilevel"/>
    <w:tmpl w:val="90547A4E"/>
    <w:lvl w:ilvl="0" w:tplc="27C8ABE8">
      <w:start w:val="1"/>
      <w:numFmt w:val="lowerLetter"/>
      <w:lvlText w:val="%1)"/>
      <w:lvlJc w:val="left"/>
      <w:pPr>
        <w:ind w:left="720" w:hanging="360"/>
      </w:pPr>
      <w:rPr>
        <w:rFonts w:hint="default"/>
        <w:i/>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14B224A7"/>
    <w:multiLevelType w:val="hybridMultilevel"/>
    <w:tmpl w:val="07440C8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
    <w:nsid w:val="1C145EF6"/>
    <w:multiLevelType w:val="hybridMultilevel"/>
    <w:tmpl w:val="35ECE8FA"/>
    <w:lvl w:ilvl="0" w:tplc="7EE214A4">
      <w:numFmt w:val="bullet"/>
      <w:lvlText w:val="-"/>
      <w:lvlJc w:val="left"/>
      <w:pPr>
        <w:ind w:left="360" w:hanging="360"/>
      </w:pPr>
      <w:rPr>
        <w:rFonts w:ascii="Calibri" w:eastAsiaTheme="minorHAnsi" w:hAnsi="Calibri" w:cstheme="minorBidi" w:hint="default"/>
      </w:rPr>
    </w:lvl>
    <w:lvl w:ilvl="1" w:tplc="0C070003">
      <w:start w:val="1"/>
      <w:numFmt w:val="bullet"/>
      <w:lvlText w:val="o"/>
      <w:lvlJc w:val="left"/>
      <w:pPr>
        <w:ind w:left="1222" w:hanging="360"/>
      </w:pPr>
      <w:rPr>
        <w:rFonts w:ascii="Courier New" w:hAnsi="Courier New" w:cs="Courier New" w:hint="default"/>
      </w:rPr>
    </w:lvl>
    <w:lvl w:ilvl="2" w:tplc="0C070005">
      <w:start w:val="1"/>
      <w:numFmt w:val="bullet"/>
      <w:lvlText w:val=""/>
      <w:lvlJc w:val="left"/>
      <w:pPr>
        <w:ind w:left="1636"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9">
    <w:nsid w:val="1C953717"/>
    <w:multiLevelType w:val="hybridMultilevel"/>
    <w:tmpl w:val="7AC20386"/>
    <w:lvl w:ilvl="0" w:tplc="0C070001">
      <w:start w:val="1"/>
      <w:numFmt w:val="bullet"/>
      <w:lvlText w:val=""/>
      <w:lvlJc w:val="left"/>
      <w:pPr>
        <w:ind w:left="1429" w:hanging="360"/>
      </w:pPr>
      <w:rPr>
        <w:rFonts w:ascii="Symbol" w:hAnsi="Symbol" w:hint="default"/>
      </w:rPr>
    </w:lvl>
    <w:lvl w:ilvl="1" w:tplc="0C070003" w:tentative="1">
      <w:start w:val="1"/>
      <w:numFmt w:val="bullet"/>
      <w:lvlText w:val="o"/>
      <w:lvlJc w:val="left"/>
      <w:pPr>
        <w:ind w:left="2149" w:hanging="360"/>
      </w:pPr>
      <w:rPr>
        <w:rFonts w:ascii="Courier New" w:hAnsi="Courier New" w:cs="Courier New" w:hint="default"/>
      </w:rPr>
    </w:lvl>
    <w:lvl w:ilvl="2" w:tplc="0C070005" w:tentative="1">
      <w:start w:val="1"/>
      <w:numFmt w:val="bullet"/>
      <w:lvlText w:val=""/>
      <w:lvlJc w:val="left"/>
      <w:pPr>
        <w:ind w:left="2869" w:hanging="360"/>
      </w:pPr>
      <w:rPr>
        <w:rFonts w:ascii="Wingdings" w:hAnsi="Wingdings" w:hint="default"/>
      </w:rPr>
    </w:lvl>
    <w:lvl w:ilvl="3" w:tplc="0C070001" w:tentative="1">
      <w:start w:val="1"/>
      <w:numFmt w:val="bullet"/>
      <w:lvlText w:val=""/>
      <w:lvlJc w:val="left"/>
      <w:pPr>
        <w:ind w:left="3589" w:hanging="360"/>
      </w:pPr>
      <w:rPr>
        <w:rFonts w:ascii="Symbol" w:hAnsi="Symbol" w:hint="default"/>
      </w:rPr>
    </w:lvl>
    <w:lvl w:ilvl="4" w:tplc="0C070003" w:tentative="1">
      <w:start w:val="1"/>
      <w:numFmt w:val="bullet"/>
      <w:lvlText w:val="o"/>
      <w:lvlJc w:val="left"/>
      <w:pPr>
        <w:ind w:left="4309" w:hanging="360"/>
      </w:pPr>
      <w:rPr>
        <w:rFonts w:ascii="Courier New" w:hAnsi="Courier New" w:cs="Courier New" w:hint="default"/>
      </w:rPr>
    </w:lvl>
    <w:lvl w:ilvl="5" w:tplc="0C070005" w:tentative="1">
      <w:start w:val="1"/>
      <w:numFmt w:val="bullet"/>
      <w:lvlText w:val=""/>
      <w:lvlJc w:val="left"/>
      <w:pPr>
        <w:ind w:left="5029" w:hanging="360"/>
      </w:pPr>
      <w:rPr>
        <w:rFonts w:ascii="Wingdings" w:hAnsi="Wingdings" w:hint="default"/>
      </w:rPr>
    </w:lvl>
    <w:lvl w:ilvl="6" w:tplc="0C070001" w:tentative="1">
      <w:start w:val="1"/>
      <w:numFmt w:val="bullet"/>
      <w:lvlText w:val=""/>
      <w:lvlJc w:val="left"/>
      <w:pPr>
        <w:ind w:left="5749" w:hanging="360"/>
      </w:pPr>
      <w:rPr>
        <w:rFonts w:ascii="Symbol" w:hAnsi="Symbol" w:hint="default"/>
      </w:rPr>
    </w:lvl>
    <w:lvl w:ilvl="7" w:tplc="0C070003" w:tentative="1">
      <w:start w:val="1"/>
      <w:numFmt w:val="bullet"/>
      <w:lvlText w:val="o"/>
      <w:lvlJc w:val="left"/>
      <w:pPr>
        <w:ind w:left="6469" w:hanging="360"/>
      </w:pPr>
      <w:rPr>
        <w:rFonts w:ascii="Courier New" w:hAnsi="Courier New" w:cs="Courier New" w:hint="default"/>
      </w:rPr>
    </w:lvl>
    <w:lvl w:ilvl="8" w:tplc="0C070005" w:tentative="1">
      <w:start w:val="1"/>
      <w:numFmt w:val="bullet"/>
      <w:lvlText w:val=""/>
      <w:lvlJc w:val="left"/>
      <w:pPr>
        <w:ind w:left="7189" w:hanging="360"/>
      </w:pPr>
      <w:rPr>
        <w:rFonts w:ascii="Wingdings" w:hAnsi="Wingdings" w:hint="default"/>
      </w:rPr>
    </w:lvl>
  </w:abstractNum>
  <w:abstractNum w:abstractNumId="10">
    <w:nsid w:val="2179500E"/>
    <w:multiLevelType w:val="hybridMultilevel"/>
    <w:tmpl w:val="01AEC23E"/>
    <w:lvl w:ilvl="0" w:tplc="0C070011">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1">
    <w:nsid w:val="23995024"/>
    <w:multiLevelType w:val="hybridMultilevel"/>
    <w:tmpl w:val="4DD8AE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26141567"/>
    <w:multiLevelType w:val="hybridMultilevel"/>
    <w:tmpl w:val="64FA4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8515351"/>
    <w:multiLevelType w:val="hybridMultilevel"/>
    <w:tmpl w:val="0F9C1A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2B55264B"/>
    <w:multiLevelType w:val="hybridMultilevel"/>
    <w:tmpl w:val="F0DE206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nsid w:val="2BB56EC9"/>
    <w:multiLevelType w:val="hybridMultilevel"/>
    <w:tmpl w:val="538A464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nsid w:val="2EB46EB1"/>
    <w:multiLevelType w:val="hybridMultilevel"/>
    <w:tmpl w:val="FC307E4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nsid w:val="30AD1084"/>
    <w:multiLevelType w:val="hybridMultilevel"/>
    <w:tmpl w:val="4A6A349C"/>
    <w:lvl w:ilvl="0" w:tplc="FE5E2A12">
      <w:start w:val="5"/>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nsid w:val="3196179D"/>
    <w:multiLevelType w:val="hybridMultilevel"/>
    <w:tmpl w:val="930CA08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nsid w:val="400D66BE"/>
    <w:multiLevelType w:val="hybridMultilevel"/>
    <w:tmpl w:val="ABBAAB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41686A47"/>
    <w:multiLevelType w:val="hybridMultilevel"/>
    <w:tmpl w:val="C130EB18"/>
    <w:lvl w:ilvl="0" w:tplc="06C87BBE">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nsid w:val="43E9032B"/>
    <w:multiLevelType w:val="hybridMultilevel"/>
    <w:tmpl w:val="9BEE79F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nsid w:val="4534281E"/>
    <w:multiLevelType w:val="hybridMultilevel"/>
    <w:tmpl w:val="C2C0E2B8"/>
    <w:lvl w:ilvl="0" w:tplc="F31C391C">
      <w:start w:val="1"/>
      <w:numFmt w:val="upperRoman"/>
      <w:lvlText w:val="%1."/>
      <w:lvlJc w:val="left"/>
      <w:pPr>
        <w:ind w:left="1080" w:hanging="72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nsid w:val="47F25788"/>
    <w:multiLevelType w:val="hybridMultilevel"/>
    <w:tmpl w:val="17E02B80"/>
    <w:lvl w:ilvl="0" w:tplc="0C070001">
      <w:start w:val="1"/>
      <w:numFmt w:val="bullet"/>
      <w:lvlText w:val=""/>
      <w:lvlJc w:val="left"/>
      <w:pPr>
        <w:ind w:left="2421" w:hanging="360"/>
      </w:pPr>
      <w:rPr>
        <w:rFonts w:ascii="Symbol" w:hAnsi="Symbol" w:hint="default"/>
      </w:rPr>
    </w:lvl>
    <w:lvl w:ilvl="1" w:tplc="0C070003" w:tentative="1">
      <w:start w:val="1"/>
      <w:numFmt w:val="bullet"/>
      <w:lvlText w:val="o"/>
      <w:lvlJc w:val="left"/>
      <w:pPr>
        <w:ind w:left="3141" w:hanging="360"/>
      </w:pPr>
      <w:rPr>
        <w:rFonts w:ascii="Courier New" w:hAnsi="Courier New" w:hint="default"/>
      </w:rPr>
    </w:lvl>
    <w:lvl w:ilvl="2" w:tplc="0C070005" w:tentative="1">
      <w:start w:val="1"/>
      <w:numFmt w:val="bullet"/>
      <w:lvlText w:val=""/>
      <w:lvlJc w:val="left"/>
      <w:pPr>
        <w:ind w:left="3861" w:hanging="360"/>
      </w:pPr>
      <w:rPr>
        <w:rFonts w:ascii="Wingdings" w:hAnsi="Wingdings" w:hint="default"/>
      </w:rPr>
    </w:lvl>
    <w:lvl w:ilvl="3" w:tplc="0C070001" w:tentative="1">
      <w:start w:val="1"/>
      <w:numFmt w:val="bullet"/>
      <w:lvlText w:val=""/>
      <w:lvlJc w:val="left"/>
      <w:pPr>
        <w:ind w:left="4581" w:hanging="360"/>
      </w:pPr>
      <w:rPr>
        <w:rFonts w:ascii="Symbol" w:hAnsi="Symbol" w:hint="default"/>
      </w:rPr>
    </w:lvl>
    <w:lvl w:ilvl="4" w:tplc="0C070003" w:tentative="1">
      <w:start w:val="1"/>
      <w:numFmt w:val="bullet"/>
      <w:lvlText w:val="o"/>
      <w:lvlJc w:val="left"/>
      <w:pPr>
        <w:ind w:left="5301" w:hanging="360"/>
      </w:pPr>
      <w:rPr>
        <w:rFonts w:ascii="Courier New" w:hAnsi="Courier New" w:hint="default"/>
      </w:rPr>
    </w:lvl>
    <w:lvl w:ilvl="5" w:tplc="0C070005" w:tentative="1">
      <w:start w:val="1"/>
      <w:numFmt w:val="bullet"/>
      <w:lvlText w:val=""/>
      <w:lvlJc w:val="left"/>
      <w:pPr>
        <w:ind w:left="6021" w:hanging="360"/>
      </w:pPr>
      <w:rPr>
        <w:rFonts w:ascii="Wingdings" w:hAnsi="Wingdings" w:hint="default"/>
      </w:rPr>
    </w:lvl>
    <w:lvl w:ilvl="6" w:tplc="0C070001" w:tentative="1">
      <w:start w:val="1"/>
      <w:numFmt w:val="bullet"/>
      <w:lvlText w:val=""/>
      <w:lvlJc w:val="left"/>
      <w:pPr>
        <w:ind w:left="6741" w:hanging="360"/>
      </w:pPr>
      <w:rPr>
        <w:rFonts w:ascii="Symbol" w:hAnsi="Symbol" w:hint="default"/>
      </w:rPr>
    </w:lvl>
    <w:lvl w:ilvl="7" w:tplc="0C070003" w:tentative="1">
      <w:start w:val="1"/>
      <w:numFmt w:val="bullet"/>
      <w:lvlText w:val="o"/>
      <w:lvlJc w:val="left"/>
      <w:pPr>
        <w:ind w:left="7461" w:hanging="360"/>
      </w:pPr>
      <w:rPr>
        <w:rFonts w:ascii="Courier New" w:hAnsi="Courier New" w:hint="default"/>
      </w:rPr>
    </w:lvl>
    <w:lvl w:ilvl="8" w:tplc="0C070005" w:tentative="1">
      <w:start w:val="1"/>
      <w:numFmt w:val="bullet"/>
      <w:lvlText w:val=""/>
      <w:lvlJc w:val="left"/>
      <w:pPr>
        <w:ind w:left="8181" w:hanging="360"/>
      </w:pPr>
      <w:rPr>
        <w:rFonts w:ascii="Wingdings" w:hAnsi="Wingdings" w:hint="default"/>
      </w:rPr>
    </w:lvl>
  </w:abstractNum>
  <w:abstractNum w:abstractNumId="24">
    <w:nsid w:val="506C7420"/>
    <w:multiLevelType w:val="multilevel"/>
    <w:tmpl w:val="A27E6A3A"/>
    <w:name w:val="zzmpVIE2||VIE2 kurz, bl|2|3|0|1|2|33||1|2|0||1|2|0||1|2|0||mpNA||mpNA||mpNA||mpNA||mpNA||"/>
    <w:lvl w:ilvl="0">
      <w:start w:val="1"/>
      <w:numFmt w:val="decimal"/>
      <w:pStyle w:val="VIE2L1"/>
      <w:lvlText w:val="%1."/>
      <w:lvlJc w:val="left"/>
      <w:pPr>
        <w:tabs>
          <w:tab w:val="num" w:pos="720"/>
        </w:tabs>
        <w:ind w:left="720" w:hanging="720"/>
      </w:pPr>
      <w:rPr>
        <w:b/>
        <w:i w:val="0"/>
        <w:caps w:val="0"/>
        <w:strike w:val="0"/>
        <w:dstrike w:val="0"/>
        <w:u w:val="none"/>
        <w:effect w:val="none"/>
      </w:rPr>
    </w:lvl>
    <w:lvl w:ilvl="1">
      <w:start w:val="1"/>
      <w:numFmt w:val="decimal"/>
      <w:pStyle w:val="VIE2L2"/>
      <w:isLgl/>
      <w:lvlText w:val="%1.%2"/>
      <w:lvlJc w:val="left"/>
      <w:pPr>
        <w:tabs>
          <w:tab w:val="num" w:pos="720"/>
        </w:tabs>
        <w:ind w:left="720" w:hanging="720"/>
      </w:pPr>
      <w:rPr>
        <w:b w:val="0"/>
        <w:i w:val="0"/>
        <w:caps w:val="0"/>
        <w:strike w:val="0"/>
        <w:dstrike w:val="0"/>
        <w:u w:val="none"/>
        <w:effect w:val="none"/>
      </w:rPr>
    </w:lvl>
    <w:lvl w:ilvl="2">
      <w:start w:val="1"/>
      <w:numFmt w:val="lowerLetter"/>
      <w:pStyle w:val="VIE2L3"/>
      <w:lvlText w:val="(%3)"/>
      <w:lvlJc w:val="left"/>
      <w:pPr>
        <w:tabs>
          <w:tab w:val="num" w:pos="1440"/>
        </w:tabs>
        <w:ind w:left="1440" w:hanging="720"/>
      </w:pPr>
      <w:rPr>
        <w:b w:val="0"/>
        <w:i w:val="0"/>
        <w:caps w:val="0"/>
        <w:strike w:val="0"/>
        <w:dstrike w:val="0"/>
        <w:u w:val="none"/>
        <w:effect w:val="none"/>
      </w:rPr>
    </w:lvl>
    <w:lvl w:ilvl="3">
      <w:start w:val="1"/>
      <w:numFmt w:val="lowerRoman"/>
      <w:pStyle w:val="VIE2L4"/>
      <w:lvlText w:val="(%4)"/>
      <w:lvlJc w:val="left"/>
      <w:pPr>
        <w:tabs>
          <w:tab w:val="num" w:pos="1440"/>
        </w:tabs>
        <w:ind w:left="1440" w:hanging="720"/>
      </w:pPr>
      <w:rPr>
        <w:b w:val="0"/>
        <w:i w:val="0"/>
        <w:caps w:val="0"/>
        <w:strike w:val="0"/>
        <w:dstrike w:val="0"/>
        <w:color w:val="auto"/>
        <w:u w:val="none"/>
        <w:effect w:val="none"/>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42E35BE"/>
    <w:multiLevelType w:val="hybridMultilevel"/>
    <w:tmpl w:val="D4F8C71C"/>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6">
    <w:nsid w:val="5C5A256E"/>
    <w:multiLevelType w:val="hybridMultilevel"/>
    <w:tmpl w:val="AE36FD9A"/>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7">
    <w:nsid w:val="635A368B"/>
    <w:multiLevelType w:val="hybridMultilevel"/>
    <w:tmpl w:val="E692F4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nsid w:val="65C210E1"/>
    <w:multiLevelType w:val="hybridMultilevel"/>
    <w:tmpl w:val="5A7EFC24"/>
    <w:lvl w:ilvl="0" w:tplc="7BE2F554">
      <w:start w:val="1"/>
      <w:numFmt w:val="lowerRoman"/>
      <w:lvlText w:val="(%1)"/>
      <w:lvlJc w:val="left"/>
      <w:pPr>
        <w:ind w:left="1440" w:hanging="720"/>
      </w:pPr>
      <w:rPr>
        <w:rFonts w:ascii="Trebuchet MS" w:eastAsia="Calibri" w:hAnsi="Trebuchet MS" w:cs="Times New Roman"/>
        <w:lang w:val="en-US"/>
      </w:rPr>
    </w:lvl>
    <w:lvl w:ilvl="1" w:tplc="0C070019">
      <w:start w:val="1"/>
      <w:numFmt w:val="lowerLetter"/>
      <w:lvlText w:val="%2."/>
      <w:lvlJc w:val="left"/>
      <w:pPr>
        <w:ind w:left="1800" w:hanging="360"/>
      </w:pPr>
    </w:lvl>
    <w:lvl w:ilvl="2" w:tplc="0C07001B">
      <w:start w:val="1"/>
      <w:numFmt w:val="lowerRoman"/>
      <w:lvlText w:val="%3."/>
      <w:lvlJc w:val="right"/>
      <w:pPr>
        <w:ind w:left="2520" w:hanging="180"/>
      </w:pPr>
    </w:lvl>
    <w:lvl w:ilvl="3" w:tplc="0C07000F">
      <w:start w:val="1"/>
      <w:numFmt w:val="decimal"/>
      <w:lvlText w:val="%4."/>
      <w:lvlJc w:val="left"/>
      <w:pPr>
        <w:ind w:left="3240" w:hanging="360"/>
      </w:pPr>
    </w:lvl>
    <w:lvl w:ilvl="4" w:tplc="0C070019">
      <w:start w:val="1"/>
      <w:numFmt w:val="lowerLetter"/>
      <w:lvlText w:val="%5."/>
      <w:lvlJc w:val="left"/>
      <w:pPr>
        <w:ind w:left="3960" w:hanging="360"/>
      </w:pPr>
    </w:lvl>
    <w:lvl w:ilvl="5" w:tplc="0C07001B">
      <w:start w:val="1"/>
      <w:numFmt w:val="lowerRoman"/>
      <w:lvlText w:val="%6."/>
      <w:lvlJc w:val="right"/>
      <w:pPr>
        <w:ind w:left="4680" w:hanging="180"/>
      </w:pPr>
    </w:lvl>
    <w:lvl w:ilvl="6" w:tplc="0C07000F">
      <w:start w:val="1"/>
      <w:numFmt w:val="decimal"/>
      <w:lvlText w:val="%7."/>
      <w:lvlJc w:val="left"/>
      <w:pPr>
        <w:ind w:left="5400" w:hanging="360"/>
      </w:pPr>
    </w:lvl>
    <w:lvl w:ilvl="7" w:tplc="0C070019">
      <w:start w:val="1"/>
      <w:numFmt w:val="lowerLetter"/>
      <w:lvlText w:val="%8."/>
      <w:lvlJc w:val="left"/>
      <w:pPr>
        <w:ind w:left="6120" w:hanging="360"/>
      </w:pPr>
    </w:lvl>
    <w:lvl w:ilvl="8" w:tplc="0C07001B">
      <w:start w:val="1"/>
      <w:numFmt w:val="lowerRoman"/>
      <w:lvlText w:val="%9."/>
      <w:lvlJc w:val="right"/>
      <w:pPr>
        <w:ind w:left="6840" w:hanging="180"/>
      </w:pPr>
    </w:lvl>
  </w:abstractNum>
  <w:abstractNum w:abstractNumId="29">
    <w:nsid w:val="74F061ED"/>
    <w:multiLevelType w:val="hybridMultilevel"/>
    <w:tmpl w:val="F356B0D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0">
    <w:nsid w:val="7B3D3228"/>
    <w:multiLevelType w:val="hybridMultilevel"/>
    <w:tmpl w:val="FB34861E"/>
    <w:lvl w:ilvl="0" w:tplc="CB02868A">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31">
    <w:nsid w:val="7C6F017D"/>
    <w:multiLevelType w:val="hybridMultilevel"/>
    <w:tmpl w:val="9A4A84C2"/>
    <w:lvl w:ilvl="0" w:tplc="0C070001">
      <w:start w:val="1"/>
      <w:numFmt w:val="bullet"/>
      <w:lvlText w:val=""/>
      <w:lvlJc w:val="left"/>
      <w:pPr>
        <w:ind w:left="801" w:hanging="360"/>
      </w:pPr>
      <w:rPr>
        <w:rFonts w:ascii="Symbol" w:hAnsi="Symbol" w:hint="default"/>
      </w:rPr>
    </w:lvl>
    <w:lvl w:ilvl="1" w:tplc="0C070003" w:tentative="1">
      <w:start w:val="1"/>
      <w:numFmt w:val="bullet"/>
      <w:lvlText w:val="o"/>
      <w:lvlJc w:val="left"/>
      <w:pPr>
        <w:ind w:left="1521" w:hanging="360"/>
      </w:pPr>
      <w:rPr>
        <w:rFonts w:ascii="Courier New" w:hAnsi="Courier New" w:cs="Courier New" w:hint="default"/>
      </w:rPr>
    </w:lvl>
    <w:lvl w:ilvl="2" w:tplc="0C070005" w:tentative="1">
      <w:start w:val="1"/>
      <w:numFmt w:val="bullet"/>
      <w:lvlText w:val=""/>
      <w:lvlJc w:val="left"/>
      <w:pPr>
        <w:ind w:left="2241" w:hanging="360"/>
      </w:pPr>
      <w:rPr>
        <w:rFonts w:ascii="Wingdings" w:hAnsi="Wingdings" w:hint="default"/>
      </w:rPr>
    </w:lvl>
    <w:lvl w:ilvl="3" w:tplc="0C070001" w:tentative="1">
      <w:start w:val="1"/>
      <w:numFmt w:val="bullet"/>
      <w:lvlText w:val=""/>
      <w:lvlJc w:val="left"/>
      <w:pPr>
        <w:ind w:left="2961" w:hanging="360"/>
      </w:pPr>
      <w:rPr>
        <w:rFonts w:ascii="Symbol" w:hAnsi="Symbol" w:hint="default"/>
      </w:rPr>
    </w:lvl>
    <w:lvl w:ilvl="4" w:tplc="0C070003" w:tentative="1">
      <w:start w:val="1"/>
      <w:numFmt w:val="bullet"/>
      <w:lvlText w:val="o"/>
      <w:lvlJc w:val="left"/>
      <w:pPr>
        <w:ind w:left="3681" w:hanging="360"/>
      </w:pPr>
      <w:rPr>
        <w:rFonts w:ascii="Courier New" w:hAnsi="Courier New" w:cs="Courier New" w:hint="default"/>
      </w:rPr>
    </w:lvl>
    <w:lvl w:ilvl="5" w:tplc="0C070005" w:tentative="1">
      <w:start w:val="1"/>
      <w:numFmt w:val="bullet"/>
      <w:lvlText w:val=""/>
      <w:lvlJc w:val="left"/>
      <w:pPr>
        <w:ind w:left="4401" w:hanging="360"/>
      </w:pPr>
      <w:rPr>
        <w:rFonts w:ascii="Wingdings" w:hAnsi="Wingdings" w:hint="default"/>
      </w:rPr>
    </w:lvl>
    <w:lvl w:ilvl="6" w:tplc="0C070001" w:tentative="1">
      <w:start w:val="1"/>
      <w:numFmt w:val="bullet"/>
      <w:lvlText w:val=""/>
      <w:lvlJc w:val="left"/>
      <w:pPr>
        <w:ind w:left="5121" w:hanging="360"/>
      </w:pPr>
      <w:rPr>
        <w:rFonts w:ascii="Symbol" w:hAnsi="Symbol" w:hint="default"/>
      </w:rPr>
    </w:lvl>
    <w:lvl w:ilvl="7" w:tplc="0C070003" w:tentative="1">
      <w:start w:val="1"/>
      <w:numFmt w:val="bullet"/>
      <w:lvlText w:val="o"/>
      <w:lvlJc w:val="left"/>
      <w:pPr>
        <w:ind w:left="5841" w:hanging="360"/>
      </w:pPr>
      <w:rPr>
        <w:rFonts w:ascii="Courier New" w:hAnsi="Courier New" w:cs="Courier New" w:hint="default"/>
      </w:rPr>
    </w:lvl>
    <w:lvl w:ilvl="8" w:tplc="0C070005" w:tentative="1">
      <w:start w:val="1"/>
      <w:numFmt w:val="bullet"/>
      <w:lvlText w:val=""/>
      <w:lvlJc w:val="left"/>
      <w:pPr>
        <w:ind w:left="6561" w:hanging="360"/>
      </w:pPr>
      <w:rPr>
        <w:rFonts w:ascii="Wingdings" w:hAnsi="Wingdings" w:hint="default"/>
      </w:rPr>
    </w:lvl>
  </w:abstractNum>
  <w:abstractNum w:abstractNumId="32">
    <w:nsid w:val="7F43724C"/>
    <w:multiLevelType w:val="hybridMultilevel"/>
    <w:tmpl w:val="90847AA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3"/>
  </w:num>
  <w:num w:numId="2">
    <w:abstractNumId w:val="25"/>
  </w:num>
  <w:num w:numId="3">
    <w:abstractNumId w:val="19"/>
  </w:num>
  <w:num w:numId="4">
    <w:abstractNumId w:val="3"/>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8"/>
  </w:num>
  <w:num w:numId="8">
    <w:abstractNumId w:val="30"/>
  </w:num>
  <w:num w:numId="9">
    <w:abstractNumId w:val="27"/>
  </w:num>
  <w:num w:numId="10">
    <w:abstractNumId w:val="5"/>
  </w:num>
  <w:num w:numId="11">
    <w:abstractNumId w:val="2"/>
  </w:num>
  <w:num w:numId="12">
    <w:abstractNumId w:val="11"/>
  </w:num>
  <w:num w:numId="13">
    <w:abstractNumId w:val="4"/>
  </w:num>
  <w:num w:numId="14">
    <w:abstractNumId w:val="26"/>
  </w:num>
  <w:num w:numId="15">
    <w:abstractNumId w:val="32"/>
  </w:num>
  <w:num w:numId="16">
    <w:abstractNumId w:val="15"/>
  </w:num>
  <w:num w:numId="17">
    <w:abstractNumId w:val="1"/>
  </w:num>
  <w:num w:numId="18">
    <w:abstractNumId w:val="10"/>
  </w:num>
  <w:num w:numId="19">
    <w:abstractNumId w:val="20"/>
  </w:num>
  <w:num w:numId="20">
    <w:abstractNumId w:val="12"/>
  </w:num>
  <w:num w:numId="21">
    <w:abstractNumId w:val="7"/>
  </w:num>
  <w:num w:numId="22">
    <w:abstractNumId w:val="6"/>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3"/>
  </w:num>
  <w:num w:numId="26">
    <w:abstractNumId w:val="31"/>
  </w:num>
  <w:num w:numId="27">
    <w:abstractNumId w:val="29"/>
  </w:num>
  <w:num w:numId="28">
    <w:abstractNumId w:val="21"/>
  </w:num>
  <w:num w:numId="29">
    <w:abstractNumId w:val="16"/>
  </w:num>
  <w:num w:numId="30">
    <w:abstractNumId w:val="14"/>
  </w:num>
  <w:num w:numId="31">
    <w:abstractNumId w:val="0"/>
  </w:num>
  <w:num w:numId="32">
    <w:abstractNumId w:val="17"/>
  </w:num>
  <w:num w:numId="3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62C"/>
    <w:rsid w:val="0000192C"/>
    <w:rsid w:val="00002869"/>
    <w:rsid w:val="00002AE3"/>
    <w:rsid w:val="00022162"/>
    <w:rsid w:val="00022E3E"/>
    <w:rsid w:val="00027D5E"/>
    <w:rsid w:val="000345E6"/>
    <w:rsid w:val="00034E26"/>
    <w:rsid w:val="0003734B"/>
    <w:rsid w:val="00037FE2"/>
    <w:rsid w:val="00047215"/>
    <w:rsid w:val="00060833"/>
    <w:rsid w:val="00064C5A"/>
    <w:rsid w:val="0007255B"/>
    <w:rsid w:val="00081515"/>
    <w:rsid w:val="00081E90"/>
    <w:rsid w:val="00082236"/>
    <w:rsid w:val="0009402A"/>
    <w:rsid w:val="000B445F"/>
    <w:rsid w:val="000B72BC"/>
    <w:rsid w:val="000B743B"/>
    <w:rsid w:val="000C2A7F"/>
    <w:rsid w:val="000C7E1D"/>
    <w:rsid w:val="000D3944"/>
    <w:rsid w:val="000E264C"/>
    <w:rsid w:val="000E50B4"/>
    <w:rsid w:val="0010363C"/>
    <w:rsid w:val="00105589"/>
    <w:rsid w:val="001072DF"/>
    <w:rsid w:val="001100E8"/>
    <w:rsid w:val="001157FD"/>
    <w:rsid w:val="00122243"/>
    <w:rsid w:val="001231B3"/>
    <w:rsid w:val="001266AB"/>
    <w:rsid w:val="0013167F"/>
    <w:rsid w:val="00135B33"/>
    <w:rsid w:val="00137D1A"/>
    <w:rsid w:val="00140840"/>
    <w:rsid w:val="00142215"/>
    <w:rsid w:val="00145075"/>
    <w:rsid w:val="00154A68"/>
    <w:rsid w:val="00154B0A"/>
    <w:rsid w:val="0015559A"/>
    <w:rsid w:val="001628C5"/>
    <w:rsid w:val="001669D8"/>
    <w:rsid w:val="00166A32"/>
    <w:rsid w:val="00181BC8"/>
    <w:rsid w:val="001829FA"/>
    <w:rsid w:val="00185ED2"/>
    <w:rsid w:val="00190AE7"/>
    <w:rsid w:val="001914C7"/>
    <w:rsid w:val="001B326E"/>
    <w:rsid w:val="001B472D"/>
    <w:rsid w:val="001B75C9"/>
    <w:rsid w:val="001D493B"/>
    <w:rsid w:val="001D7741"/>
    <w:rsid w:val="001D7E2A"/>
    <w:rsid w:val="001E5A71"/>
    <w:rsid w:val="001F1973"/>
    <w:rsid w:val="00201BA1"/>
    <w:rsid w:val="002038DC"/>
    <w:rsid w:val="00203C40"/>
    <w:rsid w:val="00206C50"/>
    <w:rsid w:val="00212962"/>
    <w:rsid w:val="002138E8"/>
    <w:rsid w:val="002150FD"/>
    <w:rsid w:val="00215A3D"/>
    <w:rsid w:val="00222E53"/>
    <w:rsid w:val="00222F24"/>
    <w:rsid w:val="0022490E"/>
    <w:rsid w:val="00230DE4"/>
    <w:rsid w:val="00230F3E"/>
    <w:rsid w:val="00237B76"/>
    <w:rsid w:val="00243539"/>
    <w:rsid w:val="00253D85"/>
    <w:rsid w:val="00255015"/>
    <w:rsid w:val="0026741D"/>
    <w:rsid w:val="002834AA"/>
    <w:rsid w:val="00283AD0"/>
    <w:rsid w:val="0028735C"/>
    <w:rsid w:val="00287BC7"/>
    <w:rsid w:val="00292F5E"/>
    <w:rsid w:val="0029417F"/>
    <w:rsid w:val="00295A33"/>
    <w:rsid w:val="00295EBD"/>
    <w:rsid w:val="002C1CDC"/>
    <w:rsid w:val="002D424B"/>
    <w:rsid w:val="002D4EDD"/>
    <w:rsid w:val="002E2DD9"/>
    <w:rsid w:val="002E5502"/>
    <w:rsid w:val="00300864"/>
    <w:rsid w:val="003058F8"/>
    <w:rsid w:val="0031542A"/>
    <w:rsid w:val="00322AE6"/>
    <w:rsid w:val="00324CBF"/>
    <w:rsid w:val="00330879"/>
    <w:rsid w:val="00340F56"/>
    <w:rsid w:val="0034723E"/>
    <w:rsid w:val="00352BEC"/>
    <w:rsid w:val="0036014E"/>
    <w:rsid w:val="0036078F"/>
    <w:rsid w:val="003629A3"/>
    <w:rsid w:val="00365057"/>
    <w:rsid w:val="00371EC8"/>
    <w:rsid w:val="0038214C"/>
    <w:rsid w:val="00390AFC"/>
    <w:rsid w:val="00394D41"/>
    <w:rsid w:val="003A3AED"/>
    <w:rsid w:val="003B493B"/>
    <w:rsid w:val="003B6FDA"/>
    <w:rsid w:val="003B7FC8"/>
    <w:rsid w:val="003C1D0A"/>
    <w:rsid w:val="003E2214"/>
    <w:rsid w:val="003E4A87"/>
    <w:rsid w:val="003E775F"/>
    <w:rsid w:val="003F04D5"/>
    <w:rsid w:val="003F0F26"/>
    <w:rsid w:val="003F7E1B"/>
    <w:rsid w:val="004076E5"/>
    <w:rsid w:val="00410C22"/>
    <w:rsid w:val="00413A5E"/>
    <w:rsid w:val="00415854"/>
    <w:rsid w:val="00422F18"/>
    <w:rsid w:val="00423258"/>
    <w:rsid w:val="0042491E"/>
    <w:rsid w:val="00426E66"/>
    <w:rsid w:val="004414C5"/>
    <w:rsid w:val="004501DA"/>
    <w:rsid w:val="00450541"/>
    <w:rsid w:val="00456578"/>
    <w:rsid w:val="00461E46"/>
    <w:rsid w:val="004639B4"/>
    <w:rsid w:val="0046510E"/>
    <w:rsid w:val="004660A0"/>
    <w:rsid w:val="00471CAF"/>
    <w:rsid w:val="0049380D"/>
    <w:rsid w:val="00495FD1"/>
    <w:rsid w:val="004A5E30"/>
    <w:rsid w:val="004B5017"/>
    <w:rsid w:val="004C3F26"/>
    <w:rsid w:val="004E3797"/>
    <w:rsid w:val="004E3F8D"/>
    <w:rsid w:val="004F2117"/>
    <w:rsid w:val="004F5C9C"/>
    <w:rsid w:val="004F716A"/>
    <w:rsid w:val="0050486A"/>
    <w:rsid w:val="00505288"/>
    <w:rsid w:val="00515614"/>
    <w:rsid w:val="0052008F"/>
    <w:rsid w:val="00526668"/>
    <w:rsid w:val="00526735"/>
    <w:rsid w:val="00535EEE"/>
    <w:rsid w:val="00542702"/>
    <w:rsid w:val="005428AB"/>
    <w:rsid w:val="00546DF6"/>
    <w:rsid w:val="00547E82"/>
    <w:rsid w:val="00552476"/>
    <w:rsid w:val="00564015"/>
    <w:rsid w:val="00565278"/>
    <w:rsid w:val="0057254C"/>
    <w:rsid w:val="005736F9"/>
    <w:rsid w:val="00582471"/>
    <w:rsid w:val="005874F6"/>
    <w:rsid w:val="00591A98"/>
    <w:rsid w:val="005962FA"/>
    <w:rsid w:val="005B5707"/>
    <w:rsid w:val="005B5AD8"/>
    <w:rsid w:val="005C0A2B"/>
    <w:rsid w:val="005C40BB"/>
    <w:rsid w:val="005D1823"/>
    <w:rsid w:val="005D1FDD"/>
    <w:rsid w:val="005D3F1D"/>
    <w:rsid w:val="005E1BA6"/>
    <w:rsid w:val="005E3AAF"/>
    <w:rsid w:val="005F0908"/>
    <w:rsid w:val="005F3730"/>
    <w:rsid w:val="005F3C37"/>
    <w:rsid w:val="005F6F88"/>
    <w:rsid w:val="00601398"/>
    <w:rsid w:val="00612894"/>
    <w:rsid w:val="0062389E"/>
    <w:rsid w:val="00650A4A"/>
    <w:rsid w:val="006641EF"/>
    <w:rsid w:val="00666C97"/>
    <w:rsid w:val="00672BE8"/>
    <w:rsid w:val="006842B3"/>
    <w:rsid w:val="00685127"/>
    <w:rsid w:val="00693220"/>
    <w:rsid w:val="006950F7"/>
    <w:rsid w:val="006A6CFB"/>
    <w:rsid w:val="006A70A2"/>
    <w:rsid w:val="006B3DEE"/>
    <w:rsid w:val="006C2795"/>
    <w:rsid w:val="006C2B9A"/>
    <w:rsid w:val="006C4B6E"/>
    <w:rsid w:val="006C708A"/>
    <w:rsid w:val="006D3EDC"/>
    <w:rsid w:val="006D4937"/>
    <w:rsid w:val="006D5C3A"/>
    <w:rsid w:val="006E173F"/>
    <w:rsid w:val="006E4A35"/>
    <w:rsid w:val="006E4B16"/>
    <w:rsid w:val="006E65D9"/>
    <w:rsid w:val="00700ED1"/>
    <w:rsid w:val="00715FEB"/>
    <w:rsid w:val="007260F4"/>
    <w:rsid w:val="00732C5E"/>
    <w:rsid w:val="00734266"/>
    <w:rsid w:val="00737196"/>
    <w:rsid w:val="00737203"/>
    <w:rsid w:val="0074664B"/>
    <w:rsid w:val="00761AFE"/>
    <w:rsid w:val="007649D7"/>
    <w:rsid w:val="007675FD"/>
    <w:rsid w:val="00771D3C"/>
    <w:rsid w:val="0077291D"/>
    <w:rsid w:val="00777764"/>
    <w:rsid w:val="0078217D"/>
    <w:rsid w:val="0078559D"/>
    <w:rsid w:val="007A0876"/>
    <w:rsid w:val="007A0E8D"/>
    <w:rsid w:val="007A5C00"/>
    <w:rsid w:val="007A66C5"/>
    <w:rsid w:val="007B301F"/>
    <w:rsid w:val="007B5A8C"/>
    <w:rsid w:val="007B63BB"/>
    <w:rsid w:val="007B7B12"/>
    <w:rsid w:val="007C06B1"/>
    <w:rsid w:val="007C6CFC"/>
    <w:rsid w:val="007C7134"/>
    <w:rsid w:val="007E49FA"/>
    <w:rsid w:val="007E5B2E"/>
    <w:rsid w:val="007F0E88"/>
    <w:rsid w:val="007F1369"/>
    <w:rsid w:val="007F3BC5"/>
    <w:rsid w:val="00803E9D"/>
    <w:rsid w:val="00804FA1"/>
    <w:rsid w:val="00806F9F"/>
    <w:rsid w:val="0081262C"/>
    <w:rsid w:val="00815543"/>
    <w:rsid w:val="00815EF0"/>
    <w:rsid w:val="008166CA"/>
    <w:rsid w:val="00817A25"/>
    <w:rsid w:val="008220E6"/>
    <w:rsid w:val="008235D3"/>
    <w:rsid w:val="0083509D"/>
    <w:rsid w:val="008367D4"/>
    <w:rsid w:val="00840D12"/>
    <w:rsid w:val="00845243"/>
    <w:rsid w:val="00845592"/>
    <w:rsid w:val="0085027F"/>
    <w:rsid w:val="00850ED8"/>
    <w:rsid w:val="00865AEA"/>
    <w:rsid w:val="00871935"/>
    <w:rsid w:val="0087314E"/>
    <w:rsid w:val="0087723A"/>
    <w:rsid w:val="00891282"/>
    <w:rsid w:val="00892909"/>
    <w:rsid w:val="008954E9"/>
    <w:rsid w:val="008C27E5"/>
    <w:rsid w:val="008C2809"/>
    <w:rsid w:val="008C48B6"/>
    <w:rsid w:val="008D19D9"/>
    <w:rsid w:val="008E69FC"/>
    <w:rsid w:val="008F2BCA"/>
    <w:rsid w:val="008F3D21"/>
    <w:rsid w:val="0090014C"/>
    <w:rsid w:val="00902309"/>
    <w:rsid w:val="0091341A"/>
    <w:rsid w:val="009233A8"/>
    <w:rsid w:val="0092680A"/>
    <w:rsid w:val="00927A25"/>
    <w:rsid w:val="00945373"/>
    <w:rsid w:val="0094573F"/>
    <w:rsid w:val="00952EF8"/>
    <w:rsid w:val="00955061"/>
    <w:rsid w:val="00971425"/>
    <w:rsid w:val="00981BE4"/>
    <w:rsid w:val="0098417F"/>
    <w:rsid w:val="009845AD"/>
    <w:rsid w:val="009924AB"/>
    <w:rsid w:val="00994063"/>
    <w:rsid w:val="009A6323"/>
    <w:rsid w:val="009B4685"/>
    <w:rsid w:val="009C25A0"/>
    <w:rsid w:val="009C2649"/>
    <w:rsid w:val="009C4BD6"/>
    <w:rsid w:val="009E6514"/>
    <w:rsid w:val="009F0A81"/>
    <w:rsid w:val="009F2828"/>
    <w:rsid w:val="00A012D7"/>
    <w:rsid w:val="00A01CFD"/>
    <w:rsid w:val="00A0356E"/>
    <w:rsid w:val="00A11D27"/>
    <w:rsid w:val="00A17DE8"/>
    <w:rsid w:val="00A22F7C"/>
    <w:rsid w:val="00A30DEB"/>
    <w:rsid w:val="00A4252A"/>
    <w:rsid w:val="00A429D4"/>
    <w:rsid w:val="00A44D9F"/>
    <w:rsid w:val="00A51D85"/>
    <w:rsid w:val="00A555B1"/>
    <w:rsid w:val="00A55AE6"/>
    <w:rsid w:val="00A5773B"/>
    <w:rsid w:val="00A616A3"/>
    <w:rsid w:val="00A62335"/>
    <w:rsid w:val="00A80280"/>
    <w:rsid w:val="00A854B2"/>
    <w:rsid w:val="00A91644"/>
    <w:rsid w:val="00A937FD"/>
    <w:rsid w:val="00A959F8"/>
    <w:rsid w:val="00A978D6"/>
    <w:rsid w:val="00AA1606"/>
    <w:rsid w:val="00AA3155"/>
    <w:rsid w:val="00AB27E0"/>
    <w:rsid w:val="00AB6A97"/>
    <w:rsid w:val="00AB7B66"/>
    <w:rsid w:val="00AD3FEF"/>
    <w:rsid w:val="00AD5B1A"/>
    <w:rsid w:val="00AD62C1"/>
    <w:rsid w:val="00AE1C5F"/>
    <w:rsid w:val="00AF2229"/>
    <w:rsid w:val="00AF66BC"/>
    <w:rsid w:val="00AF6A84"/>
    <w:rsid w:val="00AF6CB0"/>
    <w:rsid w:val="00AF6E41"/>
    <w:rsid w:val="00B05686"/>
    <w:rsid w:val="00B119FE"/>
    <w:rsid w:val="00B138AB"/>
    <w:rsid w:val="00B17B8E"/>
    <w:rsid w:val="00B17D6F"/>
    <w:rsid w:val="00B31CF0"/>
    <w:rsid w:val="00B33A8F"/>
    <w:rsid w:val="00B47517"/>
    <w:rsid w:val="00B57120"/>
    <w:rsid w:val="00B61253"/>
    <w:rsid w:val="00B64A59"/>
    <w:rsid w:val="00B709BB"/>
    <w:rsid w:val="00B817E4"/>
    <w:rsid w:val="00B827C7"/>
    <w:rsid w:val="00B94DCB"/>
    <w:rsid w:val="00BA02A4"/>
    <w:rsid w:val="00BA19BC"/>
    <w:rsid w:val="00BA20FA"/>
    <w:rsid w:val="00BC0955"/>
    <w:rsid w:val="00BC693D"/>
    <w:rsid w:val="00BD2A0B"/>
    <w:rsid w:val="00BD3F4F"/>
    <w:rsid w:val="00BD4A6C"/>
    <w:rsid w:val="00BD5BCE"/>
    <w:rsid w:val="00BF0F7C"/>
    <w:rsid w:val="00BF27D6"/>
    <w:rsid w:val="00C0007B"/>
    <w:rsid w:val="00C0405C"/>
    <w:rsid w:val="00C0414D"/>
    <w:rsid w:val="00C10B31"/>
    <w:rsid w:val="00C12058"/>
    <w:rsid w:val="00C14C89"/>
    <w:rsid w:val="00C15616"/>
    <w:rsid w:val="00C255FD"/>
    <w:rsid w:val="00C33ADB"/>
    <w:rsid w:val="00C37EC5"/>
    <w:rsid w:val="00C4504F"/>
    <w:rsid w:val="00C532A4"/>
    <w:rsid w:val="00C607BA"/>
    <w:rsid w:val="00C6657D"/>
    <w:rsid w:val="00C70879"/>
    <w:rsid w:val="00C72973"/>
    <w:rsid w:val="00C82127"/>
    <w:rsid w:val="00C82DD8"/>
    <w:rsid w:val="00C833E9"/>
    <w:rsid w:val="00C921B5"/>
    <w:rsid w:val="00C940A8"/>
    <w:rsid w:val="00C96514"/>
    <w:rsid w:val="00C973E6"/>
    <w:rsid w:val="00CA0FEE"/>
    <w:rsid w:val="00CA4BBE"/>
    <w:rsid w:val="00CB76DB"/>
    <w:rsid w:val="00CC563A"/>
    <w:rsid w:val="00CE63B1"/>
    <w:rsid w:val="00CF356C"/>
    <w:rsid w:val="00CF3664"/>
    <w:rsid w:val="00CF59D9"/>
    <w:rsid w:val="00D05A34"/>
    <w:rsid w:val="00D13267"/>
    <w:rsid w:val="00D26801"/>
    <w:rsid w:val="00D31CF6"/>
    <w:rsid w:val="00D372B6"/>
    <w:rsid w:val="00D37387"/>
    <w:rsid w:val="00D455B6"/>
    <w:rsid w:val="00D466B5"/>
    <w:rsid w:val="00D52EA1"/>
    <w:rsid w:val="00D55973"/>
    <w:rsid w:val="00D561E3"/>
    <w:rsid w:val="00D602D4"/>
    <w:rsid w:val="00D641CE"/>
    <w:rsid w:val="00D90E27"/>
    <w:rsid w:val="00D94527"/>
    <w:rsid w:val="00D95018"/>
    <w:rsid w:val="00D973D5"/>
    <w:rsid w:val="00DA0882"/>
    <w:rsid w:val="00DA093D"/>
    <w:rsid w:val="00DA6E3B"/>
    <w:rsid w:val="00DC505B"/>
    <w:rsid w:val="00DC6E67"/>
    <w:rsid w:val="00DE0E46"/>
    <w:rsid w:val="00DE6886"/>
    <w:rsid w:val="00E4709C"/>
    <w:rsid w:val="00E50A3B"/>
    <w:rsid w:val="00E559BE"/>
    <w:rsid w:val="00E73411"/>
    <w:rsid w:val="00E75A9F"/>
    <w:rsid w:val="00E761D4"/>
    <w:rsid w:val="00E779C2"/>
    <w:rsid w:val="00E83742"/>
    <w:rsid w:val="00E86690"/>
    <w:rsid w:val="00E91A24"/>
    <w:rsid w:val="00E94B72"/>
    <w:rsid w:val="00EA0873"/>
    <w:rsid w:val="00EA2407"/>
    <w:rsid w:val="00EB2DE1"/>
    <w:rsid w:val="00EB6FE5"/>
    <w:rsid w:val="00EC27D6"/>
    <w:rsid w:val="00EC2929"/>
    <w:rsid w:val="00EC6212"/>
    <w:rsid w:val="00ED2DD6"/>
    <w:rsid w:val="00ED6AF5"/>
    <w:rsid w:val="00F0083F"/>
    <w:rsid w:val="00F26632"/>
    <w:rsid w:val="00F309FC"/>
    <w:rsid w:val="00F32618"/>
    <w:rsid w:val="00F32E59"/>
    <w:rsid w:val="00F341DD"/>
    <w:rsid w:val="00F34255"/>
    <w:rsid w:val="00F500B2"/>
    <w:rsid w:val="00F63D39"/>
    <w:rsid w:val="00F75A6E"/>
    <w:rsid w:val="00F7743D"/>
    <w:rsid w:val="00F77D8B"/>
    <w:rsid w:val="00F87143"/>
    <w:rsid w:val="00F923F5"/>
    <w:rsid w:val="00F92824"/>
    <w:rsid w:val="00F93908"/>
    <w:rsid w:val="00F9450E"/>
    <w:rsid w:val="00F94D42"/>
    <w:rsid w:val="00F95C0C"/>
    <w:rsid w:val="00F96BEF"/>
    <w:rsid w:val="00FB1CA4"/>
    <w:rsid w:val="00FB7E8C"/>
    <w:rsid w:val="00FC43AB"/>
    <w:rsid w:val="00FC4546"/>
    <w:rsid w:val="00FC77B2"/>
    <w:rsid w:val="00FD5274"/>
    <w:rsid w:val="00FE2AE8"/>
    <w:rsid w:val="00FE7609"/>
    <w:rsid w:val="00FF224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E6514"/>
    <w:pPr>
      <w:spacing w:line="280" w:lineRule="atLeast"/>
    </w:pPr>
    <w:rPr>
      <w:rFonts w:ascii="Trebuchet MS" w:hAnsi="Trebuchet MS"/>
      <w:sz w:val="22"/>
      <w:lang w:val="de-DE" w:eastAsia="de-DE"/>
    </w:rPr>
  </w:style>
  <w:style w:type="paragraph" w:styleId="berschrift1">
    <w:name w:val="heading 1"/>
    <w:basedOn w:val="Standard"/>
    <w:next w:val="Standard"/>
    <w:link w:val="berschrift1Zchn"/>
    <w:qFormat/>
    <w:rsid w:val="009E6514"/>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9E6514"/>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9E6514"/>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rsid w:val="009E6514"/>
    <w:rPr>
      <w:sz w:val="18"/>
    </w:rPr>
  </w:style>
  <w:style w:type="paragraph" w:styleId="Kopfzeile">
    <w:name w:val="header"/>
    <w:basedOn w:val="Standard"/>
    <w:link w:val="KopfzeileZchn"/>
    <w:rsid w:val="0081262C"/>
    <w:pPr>
      <w:tabs>
        <w:tab w:val="center" w:pos="4536"/>
        <w:tab w:val="right" w:pos="9072"/>
      </w:tabs>
    </w:pPr>
  </w:style>
  <w:style w:type="paragraph" w:styleId="Fuzeile">
    <w:name w:val="footer"/>
    <w:basedOn w:val="Standard"/>
    <w:link w:val="FuzeileZchn"/>
    <w:rsid w:val="0081262C"/>
    <w:pPr>
      <w:tabs>
        <w:tab w:val="center" w:pos="4536"/>
        <w:tab w:val="right" w:pos="9072"/>
      </w:tabs>
    </w:pPr>
  </w:style>
  <w:style w:type="character" w:styleId="Seitenzahl">
    <w:name w:val="page number"/>
    <w:basedOn w:val="Absatz-Standardschriftart"/>
    <w:rsid w:val="0081262C"/>
  </w:style>
  <w:style w:type="paragraph" w:styleId="Sprechblasentext">
    <w:name w:val="Balloon Text"/>
    <w:basedOn w:val="Standard"/>
    <w:link w:val="SprechblasentextZchn"/>
    <w:semiHidden/>
    <w:rsid w:val="00330879"/>
    <w:rPr>
      <w:rFonts w:ascii="Tahoma" w:hAnsi="Tahoma" w:cs="Tahoma"/>
      <w:sz w:val="16"/>
      <w:szCs w:val="16"/>
    </w:rPr>
  </w:style>
  <w:style w:type="character" w:styleId="Hyperlink">
    <w:name w:val="Hyperlink"/>
    <w:basedOn w:val="Absatz-Standardschriftart"/>
    <w:rsid w:val="0009402A"/>
    <w:rPr>
      <w:color w:val="0000FF"/>
      <w:u w:val="single"/>
    </w:rPr>
  </w:style>
  <w:style w:type="paragraph" w:styleId="StandardWeb">
    <w:name w:val="Normal (Web)"/>
    <w:basedOn w:val="Standard"/>
    <w:uiPriority w:val="99"/>
    <w:unhideWhenUsed/>
    <w:rsid w:val="00F26632"/>
    <w:pPr>
      <w:spacing w:before="100" w:beforeAutospacing="1" w:after="100" w:afterAutospacing="1" w:line="240" w:lineRule="auto"/>
    </w:pPr>
    <w:rPr>
      <w:rFonts w:ascii="Times New Roman" w:eastAsia="Calibri" w:hAnsi="Times New Roman"/>
      <w:sz w:val="24"/>
      <w:szCs w:val="24"/>
      <w:lang w:val="de-AT" w:eastAsia="de-AT"/>
    </w:rPr>
  </w:style>
  <w:style w:type="character" w:styleId="Hervorhebung">
    <w:name w:val="Emphasis"/>
    <w:basedOn w:val="Absatz-Standardschriftart"/>
    <w:uiPriority w:val="20"/>
    <w:qFormat/>
    <w:rsid w:val="00F26632"/>
    <w:rPr>
      <w:i/>
      <w:iCs/>
    </w:rPr>
  </w:style>
  <w:style w:type="paragraph" w:styleId="Listenabsatz">
    <w:name w:val="List Paragraph"/>
    <w:basedOn w:val="Standard"/>
    <w:uiPriority w:val="34"/>
    <w:qFormat/>
    <w:rsid w:val="003F04D5"/>
    <w:pPr>
      <w:ind w:left="720"/>
      <w:contextualSpacing/>
    </w:pPr>
  </w:style>
  <w:style w:type="paragraph" w:styleId="NurText">
    <w:name w:val="Plain Text"/>
    <w:basedOn w:val="Standard"/>
    <w:link w:val="NurTextZchn"/>
    <w:uiPriority w:val="99"/>
    <w:unhideWhenUsed/>
    <w:rsid w:val="007A0876"/>
    <w:pPr>
      <w:spacing w:line="240" w:lineRule="auto"/>
    </w:pPr>
    <w:rPr>
      <w:rFonts w:ascii="Consolas" w:eastAsiaTheme="minorHAnsi" w:hAnsi="Consolas" w:cstheme="minorBidi"/>
      <w:sz w:val="21"/>
      <w:szCs w:val="21"/>
      <w:lang w:val="de-AT" w:eastAsia="en-US"/>
    </w:rPr>
  </w:style>
  <w:style w:type="character" w:customStyle="1" w:styleId="NurTextZchn">
    <w:name w:val="Nur Text Zchn"/>
    <w:basedOn w:val="Absatz-Standardschriftart"/>
    <w:link w:val="NurText"/>
    <w:uiPriority w:val="99"/>
    <w:rsid w:val="007A0876"/>
    <w:rPr>
      <w:rFonts w:ascii="Consolas" w:eastAsiaTheme="minorHAnsi" w:hAnsi="Consolas" w:cstheme="minorBidi"/>
      <w:sz w:val="21"/>
      <w:szCs w:val="21"/>
      <w:lang w:eastAsia="en-US"/>
    </w:rPr>
  </w:style>
  <w:style w:type="character" w:customStyle="1" w:styleId="991gldsymbol">
    <w:name w:val="991gldsymbol"/>
    <w:basedOn w:val="Absatz-Standardschriftart"/>
    <w:rsid w:val="00255015"/>
  </w:style>
  <w:style w:type="character" w:styleId="Fett">
    <w:name w:val="Strong"/>
    <w:basedOn w:val="Absatz-Standardschriftart"/>
    <w:uiPriority w:val="22"/>
    <w:qFormat/>
    <w:rsid w:val="00255015"/>
    <w:rPr>
      <w:b/>
      <w:bCs/>
    </w:rPr>
  </w:style>
  <w:style w:type="character" w:customStyle="1" w:styleId="berschrift1Zchn">
    <w:name w:val="Überschrift 1 Zchn"/>
    <w:basedOn w:val="Absatz-Standardschriftart"/>
    <w:link w:val="berschrift1"/>
    <w:rsid w:val="002C1CDC"/>
    <w:rPr>
      <w:rFonts w:ascii="Optima" w:hAnsi="Optima"/>
      <w:b/>
      <w:caps/>
      <w:kern w:val="28"/>
      <w:sz w:val="48"/>
      <w:lang w:val="de-DE" w:eastAsia="de-DE"/>
    </w:rPr>
  </w:style>
  <w:style w:type="character" w:customStyle="1" w:styleId="berschrift2Zchn">
    <w:name w:val="Überschrift 2 Zchn"/>
    <w:basedOn w:val="Absatz-Standardschriftart"/>
    <w:link w:val="berschrift2"/>
    <w:rsid w:val="002C1CDC"/>
    <w:rPr>
      <w:rFonts w:ascii="Optima" w:hAnsi="Optima"/>
      <w:b/>
      <w:caps/>
      <w:sz w:val="32"/>
      <w:lang w:val="de-DE" w:eastAsia="de-DE"/>
    </w:rPr>
  </w:style>
  <w:style w:type="character" w:customStyle="1" w:styleId="berschrift3Zchn">
    <w:name w:val="Überschrift 3 Zchn"/>
    <w:basedOn w:val="Absatz-Standardschriftart"/>
    <w:link w:val="berschrift3"/>
    <w:rsid w:val="002C1CDC"/>
    <w:rPr>
      <w:rFonts w:ascii="Optima" w:hAnsi="Optima"/>
      <w:b/>
      <w:sz w:val="28"/>
      <w:lang w:val="de-DE" w:eastAsia="de-DE"/>
    </w:rPr>
  </w:style>
  <w:style w:type="character" w:customStyle="1" w:styleId="FunotentextZchn">
    <w:name w:val="Fußnotentext Zchn"/>
    <w:basedOn w:val="Absatz-Standardschriftart"/>
    <w:link w:val="Funotentext"/>
    <w:uiPriority w:val="99"/>
    <w:semiHidden/>
    <w:rsid w:val="002C1CDC"/>
    <w:rPr>
      <w:rFonts w:ascii="Trebuchet MS" w:hAnsi="Trebuchet MS"/>
      <w:sz w:val="18"/>
      <w:lang w:val="de-DE" w:eastAsia="de-DE"/>
    </w:rPr>
  </w:style>
  <w:style w:type="character" w:customStyle="1" w:styleId="KopfzeileZchn">
    <w:name w:val="Kopfzeile Zchn"/>
    <w:basedOn w:val="Absatz-Standardschriftart"/>
    <w:link w:val="Kopfzeile"/>
    <w:rsid w:val="002C1CDC"/>
    <w:rPr>
      <w:rFonts w:ascii="Trebuchet MS" w:hAnsi="Trebuchet MS"/>
      <w:sz w:val="22"/>
      <w:lang w:val="de-DE" w:eastAsia="de-DE"/>
    </w:rPr>
  </w:style>
  <w:style w:type="character" w:customStyle="1" w:styleId="FuzeileZchn">
    <w:name w:val="Fußzeile Zchn"/>
    <w:basedOn w:val="Absatz-Standardschriftart"/>
    <w:link w:val="Fuzeile"/>
    <w:rsid w:val="002C1CDC"/>
    <w:rPr>
      <w:rFonts w:ascii="Trebuchet MS" w:hAnsi="Trebuchet MS"/>
      <w:sz w:val="22"/>
      <w:lang w:val="de-DE" w:eastAsia="de-DE"/>
    </w:rPr>
  </w:style>
  <w:style w:type="character" w:customStyle="1" w:styleId="SprechblasentextZchn">
    <w:name w:val="Sprechblasentext Zchn"/>
    <w:basedOn w:val="Absatz-Standardschriftart"/>
    <w:link w:val="Sprechblasentext"/>
    <w:semiHidden/>
    <w:rsid w:val="002C1CDC"/>
    <w:rPr>
      <w:rFonts w:ascii="Tahoma" w:hAnsi="Tahoma" w:cs="Tahoma"/>
      <w:sz w:val="16"/>
      <w:szCs w:val="16"/>
      <w:lang w:val="de-DE" w:eastAsia="de-DE"/>
    </w:rPr>
  </w:style>
  <w:style w:type="character" w:customStyle="1" w:styleId="991GldSymbol0">
    <w:name w:val="991_GldSymbol"/>
    <w:uiPriority w:val="99"/>
    <w:rsid w:val="002C1CDC"/>
    <w:rPr>
      <w:b/>
      <w:color w:val="000000"/>
    </w:rPr>
  </w:style>
  <w:style w:type="paragraph" w:customStyle="1" w:styleId="VIE2L2">
    <w:name w:val="VIE2_L2"/>
    <w:basedOn w:val="Standard"/>
    <w:rsid w:val="002C1CDC"/>
    <w:pPr>
      <w:numPr>
        <w:ilvl w:val="1"/>
        <w:numId w:val="5"/>
      </w:numPr>
      <w:spacing w:after="240" w:line="320" w:lineRule="atLeast"/>
      <w:jc w:val="both"/>
    </w:pPr>
    <w:rPr>
      <w:rFonts w:ascii="Times New Roman" w:eastAsiaTheme="minorHAnsi" w:hAnsi="Times New Roman"/>
      <w:sz w:val="24"/>
      <w:szCs w:val="24"/>
      <w:lang w:val="de-AT" w:eastAsia="de-AT"/>
    </w:rPr>
  </w:style>
  <w:style w:type="paragraph" w:customStyle="1" w:styleId="VIE2L1">
    <w:name w:val="VIE2_L1"/>
    <w:basedOn w:val="Standard"/>
    <w:rsid w:val="002C1CDC"/>
    <w:pPr>
      <w:keepNext/>
      <w:numPr>
        <w:numId w:val="5"/>
      </w:numPr>
      <w:spacing w:before="360" w:after="240" w:line="320" w:lineRule="atLeast"/>
      <w:jc w:val="both"/>
    </w:pPr>
    <w:rPr>
      <w:rFonts w:ascii="Times New Roman" w:eastAsiaTheme="minorHAnsi" w:hAnsi="Times New Roman"/>
      <w:b/>
      <w:bCs/>
      <w:sz w:val="24"/>
      <w:szCs w:val="24"/>
      <w:lang w:val="de-AT" w:eastAsia="de-AT"/>
    </w:rPr>
  </w:style>
  <w:style w:type="paragraph" w:customStyle="1" w:styleId="VIE2L3">
    <w:name w:val="VIE2_L3"/>
    <w:basedOn w:val="Standard"/>
    <w:rsid w:val="002C1CDC"/>
    <w:pPr>
      <w:numPr>
        <w:ilvl w:val="2"/>
        <w:numId w:val="5"/>
      </w:numPr>
      <w:spacing w:after="240" w:line="320" w:lineRule="atLeast"/>
      <w:jc w:val="both"/>
    </w:pPr>
    <w:rPr>
      <w:rFonts w:ascii="Times New Roman" w:eastAsiaTheme="minorHAnsi" w:hAnsi="Times New Roman"/>
      <w:sz w:val="24"/>
      <w:szCs w:val="24"/>
      <w:lang w:val="de-AT" w:eastAsia="de-AT"/>
    </w:rPr>
  </w:style>
  <w:style w:type="paragraph" w:customStyle="1" w:styleId="VIE2L4">
    <w:name w:val="VIE2_L4"/>
    <w:basedOn w:val="Standard"/>
    <w:rsid w:val="002C1CDC"/>
    <w:pPr>
      <w:numPr>
        <w:ilvl w:val="3"/>
        <w:numId w:val="5"/>
      </w:numPr>
      <w:spacing w:after="240" w:line="320" w:lineRule="atLeast"/>
      <w:jc w:val="both"/>
    </w:pPr>
    <w:rPr>
      <w:rFonts w:ascii="Times New Roman" w:eastAsiaTheme="minorHAnsi" w:hAnsi="Times New Roman"/>
      <w:sz w:val="24"/>
      <w:szCs w:val="24"/>
      <w:lang w:val="de-AT" w:eastAsia="de-AT"/>
    </w:rPr>
  </w:style>
  <w:style w:type="paragraph" w:customStyle="1" w:styleId="Default">
    <w:name w:val="Default"/>
    <w:rsid w:val="002C1CDC"/>
    <w:pPr>
      <w:autoSpaceDE w:val="0"/>
      <w:autoSpaceDN w:val="0"/>
      <w:adjustRightInd w:val="0"/>
    </w:pPr>
    <w:rPr>
      <w:rFonts w:ascii="Arial" w:hAnsi="Arial" w:cs="Arial"/>
      <w:color w:val="000000"/>
      <w:sz w:val="24"/>
      <w:szCs w:val="24"/>
    </w:rPr>
  </w:style>
  <w:style w:type="character" w:styleId="Funotenzeichen">
    <w:name w:val="footnote reference"/>
    <w:basedOn w:val="Absatz-Standardschriftart"/>
    <w:uiPriority w:val="99"/>
    <w:unhideWhenUsed/>
    <w:rsid w:val="002C1CDC"/>
    <w:rPr>
      <w:vertAlign w:val="superscript"/>
    </w:rPr>
  </w:style>
  <w:style w:type="character" w:customStyle="1" w:styleId="51AbsZchn">
    <w:name w:val="51_Abs Zchn"/>
    <w:basedOn w:val="Absatz-Standardschriftart"/>
    <w:link w:val="51Abs"/>
    <w:locked/>
    <w:rsid w:val="002C1CDC"/>
    <w:rPr>
      <w:color w:val="000000"/>
      <w:lang w:eastAsia="de-DE"/>
    </w:rPr>
  </w:style>
  <w:style w:type="paragraph" w:customStyle="1" w:styleId="51Abs">
    <w:name w:val="51_Abs"/>
    <w:basedOn w:val="Standard"/>
    <w:link w:val="51AbsZchn"/>
    <w:rsid w:val="002C1CDC"/>
    <w:pPr>
      <w:snapToGrid w:val="0"/>
      <w:spacing w:before="80" w:line="220" w:lineRule="exact"/>
      <w:ind w:firstLine="397"/>
      <w:jc w:val="both"/>
    </w:pPr>
    <w:rPr>
      <w:rFonts w:ascii="Times New Roman" w:hAnsi="Times New Roman"/>
      <w:color w:val="000000"/>
      <w:sz w:val="20"/>
      <w:lang w:val="de-AT"/>
    </w:rPr>
  </w:style>
  <w:style w:type="paragraph" w:customStyle="1" w:styleId="21NovAo1">
    <w:name w:val="21_NovAo1"/>
    <w:basedOn w:val="Standard"/>
    <w:rsid w:val="002C1CDC"/>
    <w:pPr>
      <w:keepNext/>
      <w:snapToGrid w:val="0"/>
      <w:spacing w:before="160" w:line="220" w:lineRule="exact"/>
      <w:jc w:val="both"/>
    </w:pPr>
    <w:rPr>
      <w:rFonts w:ascii="Times New Roman" w:eastAsiaTheme="minorHAnsi" w:hAnsi="Times New Roman"/>
      <w:i/>
      <w:iCs/>
      <w:color w:val="000000"/>
      <w:sz w:val="20"/>
      <w:lang w:val="de-AT"/>
    </w:rPr>
  </w:style>
  <w:style w:type="paragraph" w:customStyle="1" w:styleId="53Literae1">
    <w:name w:val="53_Litera_e1"/>
    <w:basedOn w:val="Standard"/>
    <w:rsid w:val="002C1CDC"/>
    <w:pPr>
      <w:snapToGrid w:val="0"/>
      <w:spacing w:before="40" w:line="220" w:lineRule="exact"/>
      <w:ind w:left="680" w:hanging="680"/>
      <w:jc w:val="both"/>
    </w:pPr>
    <w:rPr>
      <w:rFonts w:ascii="Times New Roman" w:eastAsiaTheme="minorHAnsi" w:hAnsi="Times New Roman"/>
      <w:color w:val="000000"/>
      <w:sz w:val="20"/>
      <w:lang w:val="de-AT"/>
    </w:rPr>
  </w:style>
  <w:style w:type="character" w:customStyle="1" w:styleId="52Ziffere1Zchn">
    <w:name w:val="52_Ziffer_e1 Zchn"/>
    <w:link w:val="52Ziffere1"/>
    <w:uiPriority w:val="99"/>
    <w:locked/>
    <w:rsid w:val="0092680A"/>
    <w:rPr>
      <w:color w:val="000000"/>
      <w:lang w:val="de-DE" w:eastAsia="de-DE"/>
    </w:rPr>
  </w:style>
  <w:style w:type="paragraph" w:customStyle="1" w:styleId="52Ziffere1">
    <w:name w:val="52_Ziffer_e1"/>
    <w:basedOn w:val="Standard"/>
    <w:link w:val="52Ziffere1Zchn"/>
    <w:uiPriority w:val="99"/>
    <w:rsid w:val="0092680A"/>
    <w:pPr>
      <w:tabs>
        <w:tab w:val="right" w:pos="624"/>
        <w:tab w:val="left" w:pos="680"/>
      </w:tabs>
      <w:spacing w:before="40" w:line="220" w:lineRule="exact"/>
      <w:ind w:left="680" w:hanging="680"/>
      <w:jc w:val="both"/>
    </w:pPr>
    <w:rPr>
      <w:rFonts w:ascii="Times New Roman" w:hAnsi="Times New Roman"/>
      <w:color w:val="000000"/>
      <w:sz w:val="20"/>
    </w:rPr>
  </w:style>
  <w:style w:type="table" w:styleId="Tabellenraster">
    <w:name w:val="Table Grid"/>
    <w:basedOn w:val="NormaleTabelle"/>
    <w:uiPriority w:val="59"/>
    <w:rsid w:val="00145075"/>
    <w:rPr>
      <w:rFonts w:asciiTheme="minorHAnsi" w:eastAsiaTheme="minorHAnsi" w:hAnsiTheme="minorHAnsi" w:cstheme="minorBidi"/>
      <w:sz w:val="22"/>
      <w:szCs w:val="22"/>
      <w:lang w:val="de-DE"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ps">
    <w:name w:val="hps"/>
    <w:basedOn w:val="Absatz-Standardschriftart"/>
    <w:rsid w:val="00BD5B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E6514"/>
    <w:pPr>
      <w:spacing w:line="280" w:lineRule="atLeast"/>
    </w:pPr>
    <w:rPr>
      <w:rFonts w:ascii="Trebuchet MS" w:hAnsi="Trebuchet MS"/>
      <w:sz w:val="22"/>
      <w:lang w:val="de-DE" w:eastAsia="de-DE"/>
    </w:rPr>
  </w:style>
  <w:style w:type="paragraph" w:styleId="berschrift1">
    <w:name w:val="heading 1"/>
    <w:basedOn w:val="Standard"/>
    <w:next w:val="Standard"/>
    <w:link w:val="berschrift1Zchn"/>
    <w:qFormat/>
    <w:rsid w:val="009E6514"/>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9E6514"/>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9E6514"/>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rsid w:val="009E6514"/>
    <w:rPr>
      <w:sz w:val="18"/>
    </w:rPr>
  </w:style>
  <w:style w:type="paragraph" w:styleId="Kopfzeile">
    <w:name w:val="header"/>
    <w:basedOn w:val="Standard"/>
    <w:link w:val="KopfzeileZchn"/>
    <w:rsid w:val="0081262C"/>
    <w:pPr>
      <w:tabs>
        <w:tab w:val="center" w:pos="4536"/>
        <w:tab w:val="right" w:pos="9072"/>
      </w:tabs>
    </w:pPr>
  </w:style>
  <w:style w:type="paragraph" w:styleId="Fuzeile">
    <w:name w:val="footer"/>
    <w:basedOn w:val="Standard"/>
    <w:link w:val="FuzeileZchn"/>
    <w:rsid w:val="0081262C"/>
    <w:pPr>
      <w:tabs>
        <w:tab w:val="center" w:pos="4536"/>
        <w:tab w:val="right" w:pos="9072"/>
      </w:tabs>
    </w:pPr>
  </w:style>
  <w:style w:type="character" w:styleId="Seitenzahl">
    <w:name w:val="page number"/>
    <w:basedOn w:val="Absatz-Standardschriftart"/>
    <w:rsid w:val="0081262C"/>
  </w:style>
  <w:style w:type="paragraph" w:styleId="Sprechblasentext">
    <w:name w:val="Balloon Text"/>
    <w:basedOn w:val="Standard"/>
    <w:link w:val="SprechblasentextZchn"/>
    <w:semiHidden/>
    <w:rsid w:val="00330879"/>
    <w:rPr>
      <w:rFonts w:ascii="Tahoma" w:hAnsi="Tahoma" w:cs="Tahoma"/>
      <w:sz w:val="16"/>
      <w:szCs w:val="16"/>
    </w:rPr>
  </w:style>
  <w:style w:type="character" w:styleId="Hyperlink">
    <w:name w:val="Hyperlink"/>
    <w:basedOn w:val="Absatz-Standardschriftart"/>
    <w:rsid w:val="0009402A"/>
    <w:rPr>
      <w:color w:val="0000FF"/>
      <w:u w:val="single"/>
    </w:rPr>
  </w:style>
  <w:style w:type="paragraph" w:styleId="StandardWeb">
    <w:name w:val="Normal (Web)"/>
    <w:basedOn w:val="Standard"/>
    <w:uiPriority w:val="99"/>
    <w:unhideWhenUsed/>
    <w:rsid w:val="00F26632"/>
    <w:pPr>
      <w:spacing w:before="100" w:beforeAutospacing="1" w:after="100" w:afterAutospacing="1" w:line="240" w:lineRule="auto"/>
    </w:pPr>
    <w:rPr>
      <w:rFonts w:ascii="Times New Roman" w:eastAsia="Calibri" w:hAnsi="Times New Roman"/>
      <w:sz w:val="24"/>
      <w:szCs w:val="24"/>
      <w:lang w:val="de-AT" w:eastAsia="de-AT"/>
    </w:rPr>
  </w:style>
  <w:style w:type="character" w:styleId="Hervorhebung">
    <w:name w:val="Emphasis"/>
    <w:basedOn w:val="Absatz-Standardschriftart"/>
    <w:uiPriority w:val="20"/>
    <w:qFormat/>
    <w:rsid w:val="00F26632"/>
    <w:rPr>
      <w:i/>
      <w:iCs/>
    </w:rPr>
  </w:style>
  <w:style w:type="paragraph" w:styleId="Listenabsatz">
    <w:name w:val="List Paragraph"/>
    <w:basedOn w:val="Standard"/>
    <w:uiPriority w:val="34"/>
    <w:qFormat/>
    <w:rsid w:val="003F04D5"/>
    <w:pPr>
      <w:ind w:left="720"/>
      <w:contextualSpacing/>
    </w:pPr>
  </w:style>
  <w:style w:type="paragraph" w:styleId="NurText">
    <w:name w:val="Plain Text"/>
    <w:basedOn w:val="Standard"/>
    <w:link w:val="NurTextZchn"/>
    <w:uiPriority w:val="99"/>
    <w:unhideWhenUsed/>
    <w:rsid w:val="007A0876"/>
    <w:pPr>
      <w:spacing w:line="240" w:lineRule="auto"/>
    </w:pPr>
    <w:rPr>
      <w:rFonts w:ascii="Consolas" w:eastAsiaTheme="minorHAnsi" w:hAnsi="Consolas" w:cstheme="minorBidi"/>
      <w:sz w:val="21"/>
      <w:szCs w:val="21"/>
      <w:lang w:val="de-AT" w:eastAsia="en-US"/>
    </w:rPr>
  </w:style>
  <w:style w:type="character" w:customStyle="1" w:styleId="NurTextZchn">
    <w:name w:val="Nur Text Zchn"/>
    <w:basedOn w:val="Absatz-Standardschriftart"/>
    <w:link w:val="NurText"/>
    <w:uiPriority w:val="99"/>
    <w:rsid w:val="007A0876"/>
    <w:rPr>
      <w:rFonts w:ascii="Consolas" w:eastAsiaTheme="minorHAnsi" w:hAnsi="Consolas" w:cstheme="minorBidi"/>
      <w:sz w:val="21"/>
      <w:szCs w:val="21"/>
      <w:lang w:eastAsia="en-US"/>
    </w:rPr>
  </w:style>
  <w:style w:type="character" w:customStyle="1" w:styleId="991gldsymbol">
    <w:name w:val="991gldsymbol"/>
    <w:basedOn w:val="Absatz-Standardschriftart"/>
    <w:rsid w:val="00255015"/>
  </w:style>
  <w:style w:type="character" w:styleId="Fett">
    <w:name w:val="Strong"/>
    <w:basedOn w:val="Absatz-Standardschriftart"/>
    <w:uiPriority w:val="22"/>
    <w:qFormat/>
    <w:rsid w:val="00255015"/>
    <w:rPr>
      <w:b/>
      <w:bCs/>
    </w:rPr>
  </w:style>
  <w:style w:type="character" w:customStyle="1" w:styleId="berschrift1Zchn">
    <w:name w:val="Überschrift 1 Zchn"/>
    <w:basedOn w:val="Absatz-Standardschriftart"/>
    <w:link w:val="berschrift1"/>
    <w:rsid w:val="002C1CDC"/>
    <w:rPr>
      <w:rFonts w:ascii="Optima" w:hAnsi="Optima"/>
      <w:b/>
      <w:caps/>
      <w:kern w:val="28"/>
      <w:sz w:val="48"/>
      <w:lang w:val="de-DE" w:eastAsia="de-DE"/>
    </w:rPr>
  </w:style>
  <w:style w:type="character" w:customStyle="1" w:styleId="berschrift2Zchn">
    <w:name w:val="Überschrift 2 Zchn"/>
    <w:basedOn w:val="Absatz-Standardschriftart"/>
    <w:link w:val="berschrift2"/>
    <w:rsid w:val="002C1CDC"/>
    <w:rPr>
      <w:rFonts w:ascii="Optima" w:hAnsi="Optima"/>
      <w:b/>
      <w:caps/>
      <w:sz w:val="32"/>
      <w:lang w:val="de-DE" w:eastAsia="de-DE"/>
    </w:rPr>
  </w:style>
  <w:style w:type="character" w:customStyle="1" w:styleId="berschrift3Zchn">
    <w:name w:val="Überschrift 3 Zchn"/>
    <w:basedOn w:val="Absatz-Standardschriftart"/>
    <w:link w:val="berschrift3"/>
    <w:rsid w:val="002C1CDC"/>
    <w:rPr>
      <w:rFonts w:ascii="Optima" w:hAnsi="Optima"/>
      <w:b/>
      <w:sz w:val="28"/>
      <w:lang w:val="de-DE" w:eastAsia="de-DE"/>
    </w:rPr>
  </w:style>
  <w:style w:type="character" w:customStyle="1" w:styleId="FunotentextZchn">
    <w:name w:val="Fußnotentext Zchn"/>
    <w:basedOn w:val="Absatz-Standardschriftart"/>
    <w:link w:val="Funotentext"/>
    <w:uiPriority w:val="99"/>
    <w:semiHidden/>
    <w:rsid w:val="002C1CDC"/>
    <w:rPr>
      <w:rFonts w:ascii="Trebuchet MS" w:hAnsi="Trebuchet MS"/>
      <w:sz w:val="18"/>
      <w:lang w:val="de-DE" w:eastAsia="de-DE"/>
    </w:rPr>
  </w:style>
  <w:style w:type="character" w:customStyle="1" w:styleId="KopfzeileZchn">
    <w:name w:val="Kopfzeile Zchn"/>
    <w:basedOn w:val="Absatz-Standardschriftart"/>
    <w:link w:val="Kopfzeile"/>
    <w:rsid w:val="002C1CDC"/>
    <w:rPr>
      <w:rFonts w:ascii="Trebuchet MS" w:hAnsi="Trebuchet MS"/>
      <w:sz w:val="22"/>
      <w:lang w:val="de-DE" w:eastAsia="de-DE"/>
    </w:rPr>
  </w:style>
  <w:style w:type="character" w:customStyle="1" w:styleId="FuzeileZchn">
    <w:name w:val="Fußzeile Zchn"/>
    <w:basedOn w:val="Absatz-Standardschriftart"/>
    <w:link w:val="Fuzeile"/>
    <w:rsid w:val="002C1CDC"/>
    <w:rPr>
      <w:rFonts w:ascii="Trebuchet MS" w:hAnsi="Trebuchet MS"/>
      <w:sz w:val="22"/>
      <w:lang w:val="de-DE" w:eastAsia="de-DE"/>
    </w:rPr>
  </w:style>
  <w:style w:type="character" w:customStyle="1" w:styleId="SprechblasentextZchn">
    <w:name w:val="Sprechblasentext Zchn"/>
    <w:basedOn w:val="Absatz-Standardschriftart"/>
    <w:link w:val="Sprechblasentext"/>
    <w:semiHidden/>
    <w:rsid w:val="002C1CDC"/>
    <w:rPr>
      <w:rFonts w:ascii="Tahoma" w:hAnsi="Tahoma" w:cs="Tahoma"/>
      <w:sz w:val="16"/>
      <w:szCs w:val="16"/>
      <w:lang w:val="de-DE" w:eastAsia="de-DE"/>
    </w:rPr>
  </w:style>
  <w:style w:type="character" w:customStyle="1" w:styleId="991GldSymbol0">
    <w:name w:val="991_GldSymbol"/>
    <w:uiPriority w:val="99"/>
    <w:rsid w:val="002C1CDC"/>
    <w:rPr>
      <w:b/>
      <w:color w:val="000000"/>
    </w:rPr>
  </w:style>
  <w:style w:type="paragraph" w:customStyle="1" w:styleId="VIE2L2">
    <w:name w:val="VIE2_L2"/>
    <w:basedOn w:val="Standard"/>
    <w:rsid w:val="002C1CDC"/>
    <w:pPr>
      <w:numPr>
        <w:ilvl w:val="1"/>
        <w:numId w:val="5"/>
      </w:numPr>
      <w:spacing w:after="240" w:line="320" w:lineRule="atLeast"/>
      <w:jc w:val="both"/>
    </w:pPr>
    <w:rPr>
      <w:rFonts w:ascii="Times New Roman" w:eastAsiaTheme="minorHAnsi" w:hAnsi="Times New Roman"/>
      <w:sz w:val="24"/>
      <w:szCs w:val="24"/>
      <w:lang w:val="de-AT" w:eastAsia="de-AT"/>
    </w:rPr>
  </w:style>
  <w:style w:type="paragraph" w:customStyle="1" w:styleId="VIE2L1">
    <w:name w:val="VIE2_L1"/>
    <w:basedOn w:val="Standard"/>
    <w:rsid w:val="002C1CDC"/>
    <w:pPr>
      <w:keepNext/>
      <w:numPr>
        <w:numId w:val="5"/>
      </w:numPr>
      <w:spacing w:before="360" w:after="240" w:line="320" w:lineRule="atLeast"/>
      <w:jc w:val="both"/>
    </w:pPr>
    <w:rPr>
      <w:rFonts w:ascii="Times New Roman" w:eastAsiaTheme="minorHAnsi" w:hAnsi="Times New Roman"/>
      <w:b/>
      <w:bCs/>
      <w:sz w:val="24"/>
      <w:szCs w:val="24"/>
      <w:lang w:val="de-AT" w:eastAsia="de-AT"/>
    </w:rPr>
  </w:style>
  <w:style w:type="paragraph" w:customStyle="1" w:styleId="VIE2L3">
    <w:name w:val="VIE2_L3"/>
    <w:basedOn w:val="Standard"/>
    <w:rsid w:val="002C1CDC"/>
    <w:pPr>
      <w:numPr>
        <w:ilvl w:val="2"/>
        <w:numId w:val="5"/>
      </w:numPr>
      <w:spacing w:after="240" w:line="320" w:lineRule="atLeast"/>
      <w:jc w:val="both"/>
    </w:pPr>
    <w:rPr>
      <w:rFonts w:ascii="Times New Roman" w:eastAsiaTheme="minorHAnsi" w:hAnsi="Times New Roman"/>
      <w:sz w:val="24"/>
      <w:szCs w:val="24"/>
      <w:lang w:val="de-AT" w:eastAsia="de-AT"/>
    </w:rPr>
  </w:style>
  <w:style w:type="paragraph" w:customStyle="1" w:styleId="VIE2L4">
    <w:name w:val="VIE2_L4"/>
    <w:basedOn w:val="Standard"/>
    <w:rsid w:val="002C1CDC"/>
    <w:pPr>
      <w:numPr>
        <w:ilvl w:val="3"/>
        <w:numId w:val="5"/>
      </w:numPr>
      <w:spacing w:after="240" w:line="320" w:lineRule="atLeast"/>
      <w:jc w:val="both"/>
    </w:pPr>
    <w:rPr>
      <w:rFonts w:ascii="Times New Roman" w:eastAsiaTheme="minorHAnsi" w:hAnsi="Times New Roman"/>
      <w:sz w:val="24"/>
      <w:szCs w:val="24"/>
      <w:lang w:val="de-AT" w:eastAsia="de-AT"/>
    </w:rPr>
  </w:style>
  <w:style w:type="paragraph" w:customStyle="1" w:styleId="Default">
    <w:name w:val="Default"/>
    <w:rsid w:val="002C1CDC"/>
    <w:pPr>
      <w:autoSpaceDE w:val="0"/>
      <w:autoSpaceDN w:val="0"/>
      <w:adjustRightInd w:val="0"/>
    </w:pPr>
    <w:rPr>
      <w:rFonts w:ascii="Arial" w:hAnsi="Arial" w:cs="Arial"/>
      <w:color w:val="000000"/>
      <w:sz w:val="24"/>
      <w:szCs w:val="24"/>
    </w:rPr>
  </w:style>
  <w:style w:type="character" w:styleId="Funotenzeichen">
    <w:name w:val="footnote reference"/>
    <w:basedOn w:val="Absatz-Standardschriftart"/>
    <w:uiPriority w:val="99"/>
    <w:unhideWhenUsed/>
    <w:rsid w:val="002C1CDC"/>
    <w:rPr>
      <w:vertAlign w:val="superscript"/>
    </w:rPr>
  </w:style>
  <w:style w:type="character" w:customStyle="1" w:styleId="51AbsZchn">
    <w:name w:val="51_Abs Zchn"/>
    <w:basedOn w:val="Absatz-Standardschriftart"/>
    <w:link w:val="51Abs"/>
    <w:locked/>
    <w:rsid w:val="002C1CDC"/>
    <w:rPr>
      <w:color w:val="000000"/>
      <w:lang w:eastAsia="de-DE"/>
    </w:rPr>
  </w:style>
  <w:style w:type="paragraph" w:customStyle="1" w:styleId="51Abs">
    <w:name w:val="51_Abs"/>
    <w:basedOn w:val="Standard"/>
    <w:link w:val="51AbsZchn"/>
    <w:rsid w:val="002C1CDC"/>
    <w:pPr>
      <w:snapToGrid w:val="0"/>
      <w:spacing w:before="80" w:line="220" w:lineRule="exact"/>
      <w:ind w:firstLine="397"/>
      <w:jc w:val="both"/>
    </w:pPr>
    <w:rPr>
      <w:rFonts w:ascii="Times New Roman" w:hAnsi="Times New Roman"/>
      <w:color w:val="000000"/>
      <w:sz w:val="20"/>
      <w:lang w:val="de-AT"/>
    </w:rPr>
  </w:style>
  <w:style w:type="paragraph" w:customStyle="1" w:styleId="21NovAo1">
    <w:name w:val="21_NovAo1"/>
    <w:basedOn w:val="Standard"/>
    <w:rsid w:val="002C1CDC"/>
    <w:pPr>
      <w:keepNext/>
      <w:snapToGrid w:val="0"/>
      <w:spacing w:before="160" w:line="220" w:lineRule="exact"/>
      <w:jc w:val="both"/>
    </w:pPr>
    <w:rPr>
      <w:rFonts w:ascii="Times New Roman" w:eastAsiaTheme="minorHAnsi" w:hAnsi="Times New Roman"/>
      <w:i/>
      <w:iCs/>
      <w:color w:val="000000"/>
      <w:sz w:val="20"/>
      <w:lang w:val="de-AT"/>
    </w:rPr>
  </w:style>
  <w:style w:type="paragraph" w:customStyle="1" w:styleId="53Literae1">
    <w:name w:val="53_Litera_e1"/>
    <w:basedOn w:val="Standard"/>
    <w:rsid w:val="002C1CDC"/>
    <w:pPr>
      <w:snapToGrid w:val="0"/>
      <w:spacing w:before="40" w:line="220" w:lineRule="exact"/>
      <w:ind w:left="680" w:hanging="680"/>
      <w:jc w:val="both"/>
    </w:pPr>
    <w:rPr>
      <w:rFonts w:ascii="Times New Roman" w:eastAsiaTheme="minorHAnsi" w:hAnsi="Times New Roman"/>
      <w:color w:val="000000"/>
      <w:sz w:val="20"/>
      <w:lang w:val="de-AT"/>
    </w:rPr>
  </w:style>
  <w:style w:type="character" w:customStyle="1" w:styleId="52Ziffere1Zchn">
    <w:name w:val="52_Ziffer_e1 Zchn"/>
    <w:link w:val="52Ziffere1"/>
    <w:uiPriority w:val="99"/>
    <w:locked/>
    <w:rsid w:val="0092680A"/>
    <w:rPr>
      <w:color w:val="000000"/>
      <w:lang w:val="de-DE" w:eastAsia="de-DE"/>
    </w:rPr>
  </w:style>
  <w:style w:type="paragraph" w:customStyle="1" w:styleId="52Ziffere1">
    <w:name w:val="52_Ziffer_e1"/>
    <w:basedOn w:val="Standard"/>
    <w:link w:val="52Ziffere1Zchn"/>
    <w:uiPriority w:val="99"/>
    <w:rsid w:val="0092680A"/>
    <w:pPr>
      <w:tabs>
        <w:tab w:val="right" w:pos="624"/>
        <w:tab w:val="left" w:pos="680"/>
      </w:tabs>
      <w:spacing w:before="40" w:line="220" w:lineRule="exact"/>
      <w:ind w:left="680" w:hanging="680"/>
      <w:jc w:val="both"/>
    </w:pPr>
    <w:rPr>
      <w:rFonts w:ascii="Times New Roman" w:hAnsi="Times New Roman"/>
      <w:color w:val="000000"/>
      <w:sz w:val="20"/>
    </w:rPr>
  </w:style>
  <w:style w:type="table" w:styleId="Tabellenraster">
    <w:name w:val="Table Grid"/>
    <w:basedOn w:val="NormaleTabelle"/>
    <w:uiPriority w:val="59"/>
    <w:rsid w:val="00145075"/>
    <w:rPr>
      <w:rFonts w:asciiTheme="minorHAnsi" w:eastAsiaTheme="minorHAnsi" w:hAnsiTheme="minorHAnsi" w:cstheme="minorBidi"/>
      <w:sz w:val="22"/>
      <w:szCs w:val="22"/>
      <w:lang w:val="de-DE"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ps">
    <w:name w:val="hps"/>
    <w:basedOn w:val="Absatz-Standardschriftart"/>
    <w:rsid w:val="00BD5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02952">
      <w:bodyDiv w:val="1"/>
      <w:marLeft w:val="0"/>
      <w:marRight w:val="0"/>
      <w:marTop w:val="0"/>
      <w:marBottom w:val="0"/>
      <w:divBdr>
        <w:top w:val="none" w:sz="0" w:space="0" w:color="auto"/>
        <w:left w:val="none" w:sz="0" w:space="0" w:color="auto"/>
        <w:bottom w:val="none" w:sz="0" w:space="0" w:color="auto"/>
        <w:right w:val="none" w:sz="0" w:space="0" w:color="auto"/>
      </w:divBdr>
    </w:div>
    <w:div w:id="37320598">
      <w:bodyDiv w:val="1"/>
      <w:marLeft w:val="0"/>
      <w:marRight w:val="0"/>
      <w:marTop w:val="0"/>
      <w:marBottom w:val="0"/>
      <w:divBdr>
        <w:top w:val="none" w:sz="0" w:space="0" w:color="auto"/>
        <w:left w:val="none" w:sz="0" w:space="0" w:color="auto"/>
        <w:bottom w:val="none" w:sz="0" w:space="0" w:color="auto"/>
        <w:right w:val="none" w:sz="0" w:space="0" w:color="auto"/>
      </w:divBdr>
    </w:div>
    <w:div w:id="49966655">
      <w:bodyDiv w:val="1"/>
      <w:marLeft w:val="0"/>
      <w:marRight w:val="0"/>
      <w:marTop w:val="0"/>
      <w:marBottom w:val="0"/>
      <w:divBdr>
        <w:top w:val="none" w:sz="0" w:space="0" w:color="auto"/>
        <w:left w:val="none" w:sz="0" w:space="0" w:color="auto"/>
        <w:bottom w:val="none" w:sz="0" w:space="0" w:color="auto"/>
        <w:right w:val="none" w:sz="0" w:space="0" w:color="auto"/>
      </w:divBdr>
    </w:div>
    <w:div w:id="91752816">
      <w:bodyDiv w:val="1"/>
      <w:marLeft w:val="0"/>
      <w:marRight w:val="0"/>
      <w:marTop w:val="0"/>
      <w:marBottom w:val="0"/>
      <w:divBdr>
        <w:top w:val="none" w:sz="0" w:space="0" w:color="auto"/>
        <w:left w:val="none" w:sz="0" w:space="0" w:color="auto"/>
        <w:bottom w:val="none" w:sz="0" w:space="0" w:color="auto"/>
        <w:right w:val="none" w:sz="0" w:space="0" w:color="auto"/>
      </w:divBdr>
    </w:div>
    <w:div w:id="93942496">
      <w:bodyDiv w:val="1"/>
      <w:marLeft w:val="0"/>
      <w:marRight w:val="0"/>
      <w:marTop w:val="0"/>
      <w:marBottom w:val="0"/>
      <w:divBdr>
        <w:top w:val="none" w:sz="0" w:space="0" w:color="auto"/>
        <w:left w:val="none" w:sz="0" w:space="0" w:color="auto"/>
        <w:bottom w:val="none" w:sz="0" w:space="0" w:color="auto"/>
        <w:right w:val="none" w:sz="0" w:space="0" w:color="auto"/>
      </w:divBdr>
    </w:div>
    <w:div w:id="119153639">
      <w:bodyDiv w:val="1"/>
      <w:marLeft w:val="0"/>
      <w:marRight w:val="0"/>
      <w:marTop w:val="0"/>
      <w:marBottom w:val="0"/>
      <w:divBdr>
        <w:top w:val="none" w:sz="0" w:space="0" w:color="auto"/>
        <w:left w:val="none" w:sz="0" w:space="0" w:color="auto"/>
        <w:bottom w:val="none" w:sz="0" w:space="0" w:color="auto"/>
        <w:right w:val="none" w:sz="0" w:space="0" w:color="auto"/>
      </w:divBdr>
    </w:div>
    <w:div w:id="121854178">
      <w:bodyDiv w:val="1"/>
      <w:marLeft w:val="0"/>
      <w:marRight w:val="0"/>
      <w:marTop w:val="0"/>
      <w:marBottom w:val="0"/>
      <w:divBdr>
        <w:top w:val="none" w:sz="0" w:space="0" w:color="auto"/>
        <w:left w:val="none" w:sz="0" w:space="0" w:color="auto"/>
        <w:bottom w:val="none" w:sz="0" w:space="0" w:color="auto"/>
        <w:right w:val="none" w:sz="0" w:space="0" w:color="auto"/>
      </w:divBdr>
    </w:div>
    <w:div w:id="189151992">
      <w:bodyDiv w:val="1"/>
      <w:marLeft w:val="0"/>
      <w:marRight w:val="0"/>
      <w:marTop w:val="0"/>
      <w:marBottom w:val="0"/>
      <w:divBdr>
        <w:top w:val="none" w:sz="0" w:space="0" w:color="auto"/>
        <w:left w:val="none" w:sz="0" w:space="0" w:color="auto"/>
        <w:bottom w:val="none" w:sz="0" w:space="0" w:color="auto"/>
        <w:right w:val="none" w:sz="0" w:space="0" w:color="auto"/>
      </w:divBdr>
    </w:div>
    <w:div w:id="225843884">
      <w:bodyDiv w:val="1"/>
      <w:marLeft w:val="0"/>
      <w:marRight w:val="0"/>
      <w:marTop w:val="0"/>
      <w:marBottom w:val="0"/>
      <w:divBdr>
        <w:top w:val="none" w:sz="0" w:space="0" w:color="auto"/>
        <w:left w:val="none" w:sz="0" w:space="0" w:color="auto"/>
        <w:bottom w:val="none" w:sz="0" w:space="0" w:color="auto"/>
        <w:right w:val="none" w:sz="0" w:space="0" w:color="auto"/>
      </w:divBdr>
    </w:div>
    <w:div w:id="226305528">
      <w:bodyDiv w:val="1"/>
      <w:marLeft w:val="0"/>
      <w:marRight w:val="0"/>
      <w:marTop w:val="0"/>
      <w:marBottom w:val="0"/>
      <w:divBdr>
        <w:top w:val="none" w:sz="0" w:space="0" w:color="auto"/>
        <w:left w:val="none" w:sz="0" w:space="0" w:color="auto"/>
        <w:bottom w:val="none" w:sz="0" w:space="0" w:color="auto"/>
        <w:right w:val="none" w:sz="0" w:space="0" w:color="auto"/>
      </w:divBdr>
    </w:div>
    <w:div w:id="275799535">
      <w:bodyDiv w:val="1"/>
      <w:marLeft w:val="0"/>
      <w:marRight w:val="0"/>
      <w:marTop w:val="0"/>
      <w:marBottom w:val="0"/>
      <w:divBdr>
        <w:top w:val="none" w:sz="0" w:space="0" w:color="auto"/>
        <w:left w:val="none" w:sz="0" w:space="0" w:color="auto"/>
        <w:bottom w:val="none" w:sz="0" w:space="0" w:color="auto"/>
        <w:right w:val="none" w:sz="0" w:space="0" w:color="auto"/>
      </w:divBdr>
    </w:div>
    <w:div w:id="287049058">
      <w:bodyDiv w:val="1"/>
      <w:marLeft w:val="0"/>
      <w:marRight w:val="0"/>
      <w:marTop w:val="0"/>
      <w:marBottom w:val="0"/>
      <w:divBdr>
        <w:top w:val="none" w:sz="0" w:space="0" w:color="auto"/>
        <w:left w:val="none" w:sz="0" w:space="0" w:color="auto"/>
        <w:bottom w:val="none" w:sz="0" w:space="0" w:color="auto"/>
        <w:right w:val="none" w:sz="0" w:space="0" w:color="auto"/>
      </w:divBdr>
    </w:div>
    <w:div w:id="288051687">
      <w:bodyDiv w:val="1"/>
      <w:marLeft w:val="0"/>
      <w:marRight w:val="0"/>
      <w:marTop w:val="0"/>
      <w:marBottom w:val="0"/>
      <w:divBdr>
        <w:top w:val="none" w:sz="0" w:space="0" w:color="auto"/>
        <w:left w:val="none" w:sz="0" w:space="0" w:color="auto"/>
        <w:bottom w:val="none" w:sz="0" w:space="0" w:color="auto"/>
        <w:right w:val="none" w:sz="0" w:space="0" w:color="auto"/>
      </w:divBdr>
    </w:div>
    <w:div w:id="295257968">
      <w:bodyDiv w:val="1"/>
      <w:marLeft w:val="0"/>
      <w:marRight w:val="0"/>
      <w:marTop w:val="0"/>
      <w:marBottom w:val="0"/>
      <w:divBdr>
        <w:top w:val="none" w:sz="0" w:space="0" w:color="auto"/>
        <w:left w:val="none" w:sz="0" w:space="0" w:color="auto"/>
        <w:bottom w:val="none" w:sz="0" w:space="0" w:color="auto"/>
        <w:right w:val="none" w:sz="0" w:space="0" w:color="auto"/>
      </w:divBdr>
    </w:div>
    <w:div w:id="353002061">
      <w:bodyDiv w:val="1"/>
      <w:marLeft w:val="0"/>
      <w:marRight w:val="0"/>
      <w:marTop w:val="0"/>
      <w:marBottom w:val="0"/>
      <w:divBdr>
        <w:top w:val="none" w:sz="0" w:space="0" w:color="auto"/>
        <w:left w:val="none" w:sz="0" w:space="0" w:color="auto"/>
        <w:bottom w:val="none" w:sz="0" w:space="0" w:color="auto"/>
        <w:right w:val="none" w:sz="0" w:space="0" w:color="auto"/>
      </w:divBdr>
    </w:div>
    <w:div w:id="361828135">
      <w:bodyDiv w:val="1"/>
      <w:marLeft w:val="0"/>
      <w:marRight w:val="0"/>
      <w:marTop w:val="0"/>
      <w:marBottom w:val="0"/>
      <w:divBdr>
        <w:top w:val="none" w:sz="0" w:space="0" w:color="auto"/>
        <w:left w:val="none" w:sz="0" w:space="0" w:color="auto"/>
        <w:bottom w:val="none" w:sz="0" w:space="0" w:color="auto"/>
        <w:right w:val="none" w:sz="0" w:space="0" w:color="auto"/>
      </w:divBdr>
    </w:div>
    <w:div w:id="380978603">
      <w:bodyDiv w:val="1"/>
      <w:marLeft w:val="0"/>
      <w:marRight w:val="0"/>
      <w:marTop w:val="0"/>
      <w:marBottom w:val="0"/>
      <w:divBdr>
        <w:top w:val="none" w:sz="0" w:space="0" w:color="auto"/>
        <w:left w:val="none" w:sz="0" w:space="0" w:color="auto"/>
        <w:bottom w:val="none" w:sz="0" w:space="0" w:color="auto"/>
        <w:right w:val="none" w:sz="0" w:space="0" w:color="auto"/>
      </w:divBdr>
    </w:div>
    <w:div w:id="389234778">
      <w:bodyDiv w:val="1"/>
      <w:marLeft w:val="0"/>
      <w:marRight w:val="0"/>
      <w:marTop w:val="0"/>
      <w:marBottom w:val="0"/>
      <w:divBdr>
        <w:top w:val="none" w:sz="0" w:space="0" w:color="auto"/>
        <w:left w:val="none" w:sz="0" w:space="0" w:color="auto"/>
        <w:bottom w:val="none" w:sz="0" w:space="0" w:color="auto"/>
        <w:right w:val="none" w:sz="0" w:space="0" w:color="auto"/>
      </w:divBdr>
    </w:div>
    <w:div w:id="464391801">
      <w:bodyDiv w:val="1"/>
      <w:marLeft w:val="0"/>
      <w:marRight w:val="0"/>
      <w:marTop w:val="0"/>
      <w:marBottom w:val="0"/>
      <w:divBdr>
        <w:top w:val="none" w:sz="0" w:space="0" w:color="auto"/>
        <w:left w:val="none" w:sz="0" w:space="0" w:color="auto"/>
        <w:bottom w:val="none" w:sz="0" w:space="0" w:color="auto"/>
        <w:right w:val="none" w:sz="0" w:space="0" w:color="auto"/>
      </w:divBdr>
    </w:div>
    <w:div w:id="501043414">
      <w:bodyDiv w:val="1"/>
      <w:marLeft w:val="0"/>
      <w:marRight w:val="0"/>
      <w:marTop w:val="0"/>
      <w:marBottom w:val="0"/>
      <w:divBdr>
        <w:top w:val="none" w:sz="0" w:space="0" w:color="auto"/>
        <w:left w:val="none" w:sz="0" w:space="0" w:color="auto"/>
        <w:bottom w:val="none" w:sz="0" w:space="0" w:color="auto"/>
        <w:right w:val="none" w:sz="0" w:space="0" w:color="auto"/>
      </w:divBdr>
    </w:div>
    <w:div w:id="508910533">
      <w:bodyDiv w:val="1"/>
      <w:marLeft w:val="0"/>
      <w:marRight w:val="0"/>
      <w:marTop w:val="0"/>
      <w:marBottom w:val="0"/>
      <w:divBdr>
        <w:top w:val="none" w:sz="0" w:space="0" w:color="auto"/>
        <w:left w:val="none" w:sz="0" w:space="0" w:color="auto"/>
        <w:bottom w:val="none" w:sz="0" w:space="0" w:color="auto"/>
        <w:right w:val="none" w:sz="0" w:space="0" w:color="auto"/>
      </w:divBdr>
    </w:div>
    <w:div w:id="611789156">
      <w:bodyDiv w:val="1"/>
      <w:marLeft w:val="0"/>
      <w:marRight w:val="0"/>
      <w:marTop w:val="0"/>
      <w:marBottom w:val="0"/>
      <w:divBdr>
        <w:top w:val="none" w:sz="0" w:space="0" w:color="auto"/>
        <w:left w:val="none" w:sz="0" w:space="0" w:color="auto"/>
        <w:bottom w:val="none" w:sz="0" w:space="0" w:color="auto"/>
        <w:right w:val="none" w:sz="0" w:space="0" w:color="auto"/>
      </w:divBdr>
    </w:div>
    <w:div w:id="642974984">
      <w:bodyDiv w:val="1"/>
      <w:marLeft w:val="0"/>
      <w:marRight w:val="0"/>
      <w:marTop w:val="0"/>
      <w:marBottom w:val="0"/>
      <w:divBdr>
        <w:top w:val="none" w:sz="0" w:space="0" w:color="auto"/>
        <w:left w:val="none" w:sz="0" w:space="0" w:color="auto"/>
        <w:bottom w:val="none" w:sz="0" w:space="0" w:color="auto"/>
        <w:right w:val="none" w:sz="0" w:space="0" w:color="auto"/>
      </w:divBdr>
    </w:div>
    <w:div w:id="653483965">
      <w:bodyDiv w:val="1"/>
      <w:marLeft w:val="0"/>
      <w:marRight w:val="0"/>
      <w:marTop w:val="0"/>
      <w:marBottom w:val="0"/>
      <w:divBdr>
        <w:top w:val="none" w:sz="0" w:space="0" w:color="auto"/>
        <w:left w:val="none" w:sz="0" w:space="0" w:color="auto"/>
        <w:bottom w:val="none" w:sz="0" w:space="0" w:color="auto"/>
        <w:right w:val="none" w:sz="0" w:space="0" w:color="auto"/>
      </w:divBdr>
    </w:div>
    <w:div w:id="658775695">
      <w:bodyDiv w:val="1"/>
      <w:marLeft w:val="0"/>
      <w:marRight w:val="0"/>
      <w:marTop w:val="0"/>
      <w:marBottom w:val="0"/>
      <w:divBdr>
        <w:top w:val="none" w:sz="0" w:space="0" w:color="auto"/>
        <w:left w:val="none" w:sz="0" w:space="0" w:color="auto"/>
        <w:bottom w:val="none" w:sz="0" w:space="0" w:color="auto"/>
        <w:right w:val="none" w:sz="0" w:space="0" w:color="auto"/>
      </w:divBdr>
    </w:div>
    <w:div w:id="665982812">
      <w:bodyDiv w:val="1"/>
      <w:marLeft w:val="0"/>
      <w:marRight w:val="0"/>
      <w:marTop w:val="0"/>
      <w:marBottom w:val="0"/>
      <w:divBdr>
        <w:top w:val="none" w:sz="0" w:space="0" w:color="auto"/>
        <w:left w:val="none" w:sz="0" w:space="0" w:color="auto"/>
        <w:bottom w:val="none" w:sz="0" w:space="0" w:color="auto"/>
        <w:right w:val="none" w:sz="0" w:space="0" w:color="auto"/>
      </w:divBdr>
    </w:div>
    <w:div w:id="672538048">
      <w:bodyDiv w:val="1"/>
      <w:marLeft w:val="0"/>
      <w:marRight w:val="0"/>
      <w:marTop w:val="0"/>
      <w:marBottom w:val="0"/>
      <w:divBdr>
        <w:top w:val="none" w:sz="0" w:space="0" w:color="auto"/>
        <w:left w:val="none" w:sz="0" w:space="0" w:color="auto"/>
        <w:bottom w:val="none" w:sz="0" w:space="0" w:color="auto"/>
        <w:right w:val="none" w:sz="0" w:space="0" w:color="auto"/>
      </w:divBdr>
    </w:div>
    <w:div w:id="691806594">
      <w:bodyDiv w:val="1"/>
      <w:marLeft w:val="0"/>
      <w:marRight w:val="0"/>
      <w:marTop w:val="0"/>
      <w:marBottom w:val="0"/>
      <w:divBdr>
        <w:top w:val="none" w:sz="0" w:space="0" w:color="auto"/>
        <w:left w:val="none" w:sz="0" w:space="0" w:color="auto"/>
        <w:bottom w:val="none" w:sz="0" w:space="0" w:color="auto"/>
        <w:right w:val="none" w:sz="0" w:space="0" w:color="auto"/>
      </w:divBdr>
    </w:div>
    <w:div w:id="715545184">
      <w:bodyDiv w:val="1"/>
      <w:marLeft w:val="0"/>
      <w:marRight w:val="0"/>
      <w:marTop w:val="0"/>
      <w:marBottom w:val="0"/>
      <w:divBdr>
        <w:top w:val="none" w:sz="0" w:space="0" w:color="auto"/>
        <w:left w:val="none" w:sz="0" w:space="0" w:color="auto"/>
        <w:bottom w:val="none" w:sz="0" w:space="0" w:color="auto"/>
        <w:right w:val="none" w:sz="0" w:space="0" w:color="auto"/>
      </w:divBdr>
    </w:div>
    <w:div w:id="736170313">
      <w:bodyDiv w:val="1"/>
      <w:marLeft w:val="0"/>
      <w:marRight w:val="0"/>
      <w:marTop w:val="0"/>
      <w:marBottom w:val="0"/>
      <w:divBdr>
        <w:top w:val="none" w:sz="0" w:space="0" w:color="auto"/>
        <w:left w:val="none" w:sz="0" w:space="0" w:color="auto"/>
        <w:bottom w:val="none" w:sz="0" w:space="0" w:color="auto"/>
        <w:right w:val="none" w:sz="0" w:space="0" w:color="auto"/>
      </w:divBdr>
    </w:div>
    <w:div w:id="748431185">
      <w:bodyDiv w:val="1"/>
      <w:marLeft w:val="0"/>
      <w:marRight w:val="0"/>
      <w:marTop w:val="0"/>
      <w:marBottom w:val="0"/>
      <w:divBdr>
        <w:top w:val="none" w:sz="0" w:space="0" w:color="auto"/>
        <w:left w:val="none" w:sz="0" w:space="0" w:color="auto"/>
        <w:bottom w:val="none" w:sz="0" w:space="0" w:color="auto"/>
        <w:right w:val="none" w:sz="0" w:space="0" w:color="auto"/>
      </w:divBdr>
    </w:div>
    <w:div w:id="769787156">
      <w:bodyDiv w:val="1"/>
      <w:marLeft w:val="0"/>
      <w:marRight w:val="0"/>
      <w:marTop w:val="0"/>
      <w:marBottom w:val="0"/>
      <w:divBdr>
        <w:top w:val="none" w:sz="0" w:space="0" w:color="auto"/>
        <w:left w:val="none" w:sz="0" w:space="0" w:color="auto"/>
        <w:bottom w:val="none" w:sz="0" w:space="0" w:color="auto"/>
        <w:right w:val="none" w:sz="0" w:space="0" w:color="auto"/>
      </w:divBdr>
    </w:div>
    <w:div w:id="813638609">
      <w:bodyDiv w:val="1"/>
      <w:marLeft w:val="0"/>
      <w:marRight w:val="0"/>
      <w:marTop w:val="0"/>
      <w:marBottom w:val="0"/>
      <w:divBdr>
        <w:top w:val="none" w:sz="0" w:space="0" w:color="auto"/>
        <w:left w:val="none" w:sz="0" w:space="0" w:color="auto"/>
        <w:bottom w:val="none" w:sz="0" w:space="0" w:color="auto"/>
        <w:right w:val="none" w:sz="0" w:space="0" w:color="auto"/>
      </w:divBdr>
    </w:div>
    <w:div w:id="888104019">
      <w:bodyDiv w:val="1"/>
      <w:marLeft w:val="0"/>
      <w:marRight w:val="0"/>
      <w:marTop w:val="0"/>
      <w:marBottom w:val="0"/>
      <w:divBdr>
        <w:top w:val="none" w:sz="0" w:space="0" w:color="auto"/>
        <w:left w:val="none" w:sz="0" w:space="0" w:color="auto"/>
        <w:bottom w:val="none" w:sz="0" w:space="0" w:color="auto"/>
        <w:right w:val="none" w:sz="0" w:space="0" w:color="auto"/>
      </w:divBdr>
    </w:div>
    <w:div w:id="888297086">
      <w:bodyDiv w:val="1"/>
      <w:marLeft w:val="0"/>
      <w:marRight w:val="0"/>
      <w:marTop w:val="0"/>
      <w:marBottom w:val="0"/>
      <w:divBdr>
        <w:top w:val="none" w:sz="0" w:space="0" w:color="auto"/>
        <w:left w:val="none" w:sz="0" w:space="0" w:color="auto"/>
        <w:bottom w:val="none" w:sz="0" w:space="0" w:color="auto"/>
        <w:right w:val="none" w:sz="0" w:space="0" w:color="auto"/>
      </w:divBdr>
    </w:div>
    <w:div w:id="891114702">
      <w:bodyDiv w:val="1"/>
      <w:marLeft w:val="0"/>
      <w:marRight w:val="0"/>
      <w:marTop w:val="0"/>
      <w:marBottom w:val="0"/>
      <w:divBdr>
        <w:top w:val="none" w:sz="0" w:space="0" w:color="auto"/>
        <w:left w:val="none" w:sz="0" w:space="0" w:color="auto"/>
        <w:bottom w:val="none" w:sz="0" w:space="0" w:color="auto"/>
        <w:right w:val="none" w:sz="0" w:space="0" w:color="auto"/>
      </w:divBdr>
    </w:div>
    <w:div w:id="976494882">
      <w:bodyDiv w:val="1"/>
      <w:marLeft w:val="0"/>
      <w:marRight w:val="0"/>
      <w:marTop w:val="0"/>
      <w:marBottom w:val="0"/>
      <w:divBdr>
        <w:top w:val="none" w:sz="0" w:space="0" w:color="auto"/>
        <w:left w:val="none" w:sz="0" w:space="0" w:color="auto"/>
        <w:bottom w:val="none" w:sz="0" w:space="0" w:color="auto"/>
        <w:right w:val="none" w:sz="0" w:space="0" w:color="auto"/>
      </w:divBdr>
    </w:div>
    <w:div w:id="995300604">
      <w:bodyDiv w:val="1"/>
      <w:marLeft w:val="0"/>
      <w:marRight w:val="0"/>
      <w:marTop w:val="0"/>
      <w:marBottom w:val="0"/>
      <w:divBdr>
        <w:top w:val="none" w:sz="0" w:space="0" w:color="auto"/>
        <w:left w:val="none" w:sz="0" w:space="0" w:color="auto"/>
        <w:bottom w:val="none" w:sz="0" w:space="0" w:color="auto"/>
        <w:right w:val="none" w:sz="0" w:space="0" w:color="auto"/>
      </w:divBdr>
    </w:div>
    <w:div w:id="1033574749">
      <w:bodyDiv w:val="1"/>
      <w:marLeft w:val="0"/>
      <w:marRight w:val="0"/>
      <w:marTop w:val="0"/>
      <w:marBottom w:val="0"/>
      <w:divBdr>
        <w:top w:val="none" w:sz="0" w:space="0" w:color="auto"/>
        <w:left w:val="none" w:sz="0" w:space="0" w:color="auto"/>
        <w:bottom w:val="none" w:sz="0" w:space="0" w:color="auto"/>
        <w:right w:val="none" w:sz="0" w:space="0" w:color="auto"/>
      </w:divBdr>
    </w:div>
    <w:div w:id="1044331105">
      <w:bodyDiv w:val="1"/>
      <w:marLeft w:val="0"/>
      <w:marRight w:val="0"/>
      <w:marTop w:val="0"/>
      <w:marBottom w:val="0"/>
      <w:divBdr>
        <w:top w:val="none" w:sz="0" w:space="0" w:color="auto"/>
        <w:left w:val="none" w:sz="0" w:space="0" w:color="auto"/>
        <w:bottom w:val="none" w:sz="0" w:space="0" w:color="auto"/>
        <w:right w:val="none" w:sz="0" w:space="0" w:color="auto"/>
      </w:divBdr>
    </w:div>
    <w:div w:id="1095706353">
      <w:bodyDiv w:val="1"/>
      <w:marLeft w:val="0"/>
      <w:marRight w:val="0"/>
      <w:marTop w:val="0"/>
      <w:marBottom w:val="0"/>
      <w:divBdr>
        <w:top w:val="none" w:sz="0" w:space="0" w:color="auto"/>
        <w:left w:val="none" w:sz="0" w:space="0" w:color="auto"/>
        <w:bottom w:val="none" w:sz="0" w:space="0" w:color="auto"/>
        <w:right w:val="none" w:sz="0" w:space="0" w:color="auto"/>
      </w:divBdr>
    </w:div>
    <w:div w:id="1137918135">
      <w:bodyDiv w:val="1"/>
      <w:marLeft w:val="0"/>
      <w:marRight w:val="0"/>
      <w:marTop w:val="0"/>
      <w:marBottom w:val="0"/>
      <w:divBdr>
        <w:top w:val="none" w:sz="0" w:space="0" w:color="auto"/>
        <w:left w:val="none" w:sz="0" w:space="0" w:color="auto"/>
        <w:bottom w:val="none" w:sz="0" w:space="0" w:color="auto"/>
        <w:right w:val="none" w:sz="0" w:space="0" w:color="auto"/>
      </w:divBdr>
    </w:div>
    <w:div w:id="1139955535">
      <w:bodyDiv w:val="1"/>
      <w:marLeft w:val="0"/>
      <w:marRight w:val="0"/>
      <w:marTop w:val="0"/>
      <w:marBottom w:val="0"/>
      <w:divBdr>
        <w:top w:val="none" w:sz="0" w:space="0" w:color="auto"/>
        <w:left w:val="none" w:sz="0" w:space="0" w:color="auto"/>
        <w:bottom w:val="none" w:sz="0" w:space="0" w:color="auto"/>
        <w:right w:val="none" w:sz="0" w:space="0" w:color="auto"/>
      </w:divBdr>
    </w:div>
    <w:div w:id="1211918062">
      <w:bodyDiv w:val="1"/>
      <w:marLeft w:val="0"/>
      <w:marRight w:val="0"/>
      <w:marTop w:val="0"/>
      <w:marBottom w:val="0"/>
      <w:divBdr>
        <w:top w:val="none" w:sz="0" w:space="0" w:color="auto"/>
        <w:left w:val="none" w:sz="0" w:space="0" w:color="auto"/>
        <w:bottom w:val="none" w:sz="0" w:space="0" w:color="auto"/>
        <w:right w:val="none" w:sz="0" w:space="0" w:color="auto"/>
      </w:divBdr>
    </w:div>
    <w:div w:id="1215502519">
      <w:bodyDiv w:val="1"/>
      <w:marLeft w:val="0"/>
      <w:marRight w:val="0"/>
      <w:marTop w:val="0"/>
      <w:marBottom w:val="0"/>
      <w:divBdr>
        <w:top w:val="none" w:sz="0" w:space="0" w:color="auto"/>
        <w:left w:val="none" w:sz="0" w:space="0" w:color="auto"/>
        <w:bottom w:val="none" w:sz="0" w:space="0" w:color="auto"/>
        <w:right w:val="none" w:sz="0" w:space="0" w:color="auto"/>
      </w:divBdr>
    </w:div>
    <w:div w:id="1263339510">
      <w:bodyDiv w:val="1"/>
      <w:marLeft w:val="0"/>
      <w:marRight w:val="0"/>
      <w:marTop w:val="0"/>
      <w:marBottom w:val="0"/>
      <w:divBdr>
        <w:top w:val="none" w:sz="0" w:space="0" w:color="auto"/>
        <w:left w:val="none" w:sz="0" w:space="0" w:color="auto"/>
        <w:bottom w:val="none" w:sz="0" w:space="0" w:color="auto"/>
        <w:right w:val="none" w:sz="0" w:space="0" w:color="auto"/>
      </w:divBdr>
    </w:div>
    <w:div w:id="1280180610">
      <w:bodyDiv w:val="1"/>
      <w:marLeft w:val="0"/>
      <w:marRight w:val="0"/>
      <w:marTop w:val="0"/>
      <w:marBottom w:val="0"/>
      <w:divBdr>
        <w:top w:val="none" w:sz="0" w:space="0" w:color="auto"/>
        <w:left w:val="none" w:sz="0" w:space="0" w:color="auto"/>
        <w:bottom w:val="none" w:sz="0" w:space="0" w:color="auto"/>
        <w:right w:val="none" w:sz="0" w:space="0" w:color="auto"/>
      </w:divBdr>
    </w:div>
    <w:div w:id="1354184124">
      <w:bodyDiv w:val="1"/>
      <w:marLeft w:val="0"/>
      <w:marRight w:val="0"/>
      <w:marTop w:val="0"/>
      <w:marBottom w:val="0"/>
      <w:divBdr>
        <w:top w:val="none" w:sz="0" w:space="0" w:color="auto"/>
        <w:left w:val="none" w:sz="0" w:space="0" w:color="auto"/>
        <w:bottom w:val="none" w:sz="0" w:space="0" w:color="auto"/>
        <w:right w:val="none" w:sz="0" w:space="0" w:color="auto"/>
      </w:divBdr>
    </w:div>
    <w:div w:id="1362704239">
      <w:bodyDiv w:val="1"/>
      <w:marLeft w:val="0"/>
      <w:marRight w:val="0"/>
      <w:marTop w:val="0"/>
      <w:marBottom w:val="0"/>
      <w:divBdr>
        <w:top w:val="none" w:sz="0" w:space="0" w:color="auto"/>
        <w:left w:val="none" w:sz="0" w:space="0" w:color="auto"/>
        <w:bottom w:val="none" w:sz="0" w:space="0" w:color="auto"/>
        <w:right w:val="none" w:sz="0" w:space="0" w:color="auto"/>
      </w:divBdr>
    </w:div>
    <w:div w:id="1394960952">
      <w:bodyDiv w:val="1"/>
      <w:marLeft w:val="0"/>
      <w:marRight w:val="0"/>
      <w:marTop w:val="0"/>
      <w:marBottom w:val="0"/>
      <w:divBdr>
        <w:top w:val="none" w:sz="0" w:space="0" w:color="auto"/>
        <w:left w:val="none" w:sz="0" w:space="0" w:color="auto"/>
        <w:bottom w:val="none" w:sz="0" w:space="0" w:color="auto"/>
        <w:right w:val="none" w:sz="0" w:space="0" w:color="auto"/>
      </w:divBdr>
    </w:div>
    <w:div w:id="1421679063">
      <w:bodyDiv w:val="1"/>
      <w:marLeft w:val="0"/>
      <w:marRight w:val="0"/>
      <w:marTop w:val="0"/>
      <w:marBottom w:val="0"/>
      <w:divBdr>
        <w:top w:val="none" w:sz="0" w:space="0" w:color="auto"/>
        <w:left w:val="none" w:sz="0" w:space="0" w:color="auto"/>
        <w:bottom w:val="none" w:sz="0" w:space="0" w:color="auto"/>
        <w:right w:val="none" w:sz="0" w:space="0" w:color="auto"/>
      </w:divBdr>
    </w:div>
    <w:div w:id="1442651929">
      <w:bodyDiv w:val="1"/>
      <w:marLeft w:val="0"/>
      <w:marRight w:val="0"/>
      <w:marTop w:val="0"/>
      <w:marBottom w:val="0"/>
      <w:divBdr>
        <w:top w:val="none" w:sz="0" w:space="0" w:color="auto"/>
        <w:left w:val="none" w:sz="0" w:space="0" w:color="auto"/>
        <w:bottom w:val="none" w:sz="0" w:space="0" w:color="auto"/>
        <w:right w:val="none" w:sz="0" w:space="0" w:color="auto"/>
      </w:divBdr>
    </w:div>
    <w:div w:id="1444156653">
      <w:bodyDiv w:val="1"/>
      <w:marLeft w:val="0"/>
      <w:marRight w:val="0"/>
      <w:marTop w:val="0"/>
      <w:marBottom w:val="0"/>
      <w:divBdr>
        <w:top w:val="none" w:sz="0" w:space="0" w:color="auto"/>
        <w:left w:val="none" w:sz="0" w:space="0" w:color="auto"/>
        <w:bottom w:val="none" w:sz="0" w:space="0" w:color="auto"/>
        <w:right w:val="none" w:sz="0" w:space="0" w:color="auto"/>
      </w:divBdr>
    </w:div>
    <w:div w:id="1512917074">
      <w:bodyDiv w:val="1"/>
      <w:marLeft w:val="0"/>
      <w:marRight w:val="0"/>
      <w:marTop w:val="0"/>
      <w:marBottom w:val="0"/>
      <w:divBdr>
        <w:top w:val="none" w:sz="0" w:space="0" w:color="auto"/>
        <w:left w:val="none" w:sz="0" w:space="0" w:color="auto"/>
        <w:bottom w:val="none" w:sz="0" w:space="0" w:color="auto"/>
        <w:right w:val="none" w:sz="0" w:space="0" w:color="auto"/>
      </w:divBdr>
    </w:div>
    <w:div w:id="1529878705">
      <w:bodyDiv w:val="1"/>
      <w:marLeft w:val="0"/>
      <w:marRight w:val="0"/>
      <w:marTop w:val="0"/>
      <w:marBottom w:val="0"/>
      <w:divBdr>
        <w:top w:val="none" w:sz="0" w:space="0" w:color="auto"/>
        <w:left w:val="none" w:sz="0" w:space="0" w:color="auto"/>
        <w:bottom w:val="none" w:sz="0" w:space="0" w:color="auto"/>
        <w:right w:val="none" w:sz="0" w:space="0" w:color="auto"/>
      </w:divBdr>
    </w:div>
    <w:div w:id="1571767282">
      <w:bodyDiv w:val="1"/>
      <w:marLeft w:val="0"/>
      <w:marRight w:val="0"/>
      <w:marTop w:val="0"/>
      <w:marBottom w:val="0"/>
      <w:divBdr>
        <w:top w:val="none" w:sz="0" w:space="0" w:color="auto"/>
        <w:left w:val="none" w:sz="0" w:space="0" w:color="auto"/>
        <w:bottom w:val="none" w:sz="0" w:space="0" w:color="auto"/>
        <w:right w:val="none" w:sz="0" w:space="0" w:color="auto"/>
      </w:divBdr>
    </w:div>
    <w:div w:id="1620720423">
      <w:bodyDiv w:val="1"/>
      <w:marLeft w:val="0"/>
      <w:marRight w:val="0"/>
      <w:marTop w:val="0"/>
      <w:marBottom w:val="0"/>
      <w:divBdr>
        <w:top w:val="none" w:sz="0" w:space="0" w:color="auto"/>
        <w:left w:val="none" w:sz="0" w:space="0" w:color="auto"/>
        <w:bottom w:val="none" w:sz="0" w:space="0" w:color="auto"/>
        <w:right w:val="none" w:sz="0" w:space="0" w:color="auto"/>
      </w:divBdr>
    </w:div>
    <w:div w:id="1625456214">
      <w:bodyDiv w:val="1"/>
      <w:marLeft w:val="0"/>
      <w:marRight w:val="0"/>
      <w:marTop w:val="0"/>
      <w:marBottom w:val="0"/>
      <w:divBdr>
        <w:top w:val="none" w:sz="0" w:space="0" w:color="auto"/>
        <w:left w:val="none" w:sz="0" w:space="0" w:color="auto"/>
        <w:bottom w:val="none" w:sz="0" w:space="0" w:color="auto"/>
        <w:right w:val="none" w:sz="0" w:space="0" w:color="auto"/>
      </w:divBdr>
    </w:div>
    <w:div w:id="1712487497">
      <w:bodyDiv w:val="1"/>
      <w:marLeft w:val="0"/>
      <w:marRight w:val="0"/>
      <w:marTop w:val="0"/>
      <w:marBottom w:val="0"/>
      <w:divBdr>
        <w:top w:val="none" w:sz="0" w:space="0" w:color="auto"/>
        <w:left w:val="none" w:sz="0" w:space="0" w:color="auto"/>
        <w:bottom w:val="none" w:sz="0" w:space="0" w:color="auto"/>
        <w:right w:val="none" w:sz="0" w:space="0" w:color="auto"/>
      </w:divBdr>
    </w:div>
    <w:div w:id="1760297803">
      <w:bodyDiv w:val="1"/>
      <w:marLeft w:val="0"/>
      <w:marRight w:val="0"/>
      <w:marTop w:val="0"/>
      <w:marBottom w:val="0"/>
      <w:divBdr>
        <w:top w:val="none" w:sz="0" w:space="0" w:color="auto"/>
        <w:left w:val="none" w:sz="0" w:space="0" w:color="auto"/>
        <w:bottom w:val="none" w:sz="0" w:space="0" w:color="auto"/>
        <w:right w:val="none" w:sz="0" w:space="0" w:color="auto"/>
      </w:divBdr>
    </w:div>
    <w:div w:id="1774352921">
      <w:bodyDiv w:val="1"/>
      <w:marLeft w:val="0"/>
      <w:marRight w:val="0"/>
      <w:marTop w:val="0"/>
      <w:marBottom w:val="0"/>
      <w:divBdr>
        <w:top w:val="none" w:sz="0" w:space="0" w:color="auto"/>
        <w:left w:val="none" w:sz="0" w:space="0" w:color="auto"/>
        <w:bottom w:val="none" w:sz="0" w:space="0" w:color="auto"/>
        <w:right w:val="none" w:sz="0" w:space="0" w:color="auto"/>
      </w:divBdr>
    </w:div>
    <w:div w:id="1775979668">
      <w:bodyDiv w:val="1"/>
      <w:marLeft w:val="0"/>
      <w:marRight w:val="0"/>
      <w:marTop w:val="0"/>
      <w:marBottom w:val="0"/>
      <w:divBdr>
        <w:top w:val="none" w:sz="0" w:space="0" w:color="auto"/>
        <w:left w:val="none" w:sz="0" w:space="0" w:color="auto"/>
        <w:bottom w:val="none" w:sz="0" w:space="0" w:color="auto"/>
        <w:right w:val="none" w:sz="0" w:space="0" w:color="auto"/>
      </w:divBdr>
    </w:div>
    <w:div w:id="1786000330">
      <w:bodyDiv w:val="1"/>
      <w:marLeft w:val="0"/>
      <w:marRight w:val="0"/>
      <w:marTop w:val="0"/>
      <w:marBottom w:val="0"/>
      <w:divBdr>
        <w:top w:val="none" w:sz="0" w:space="0" w:color="auto"/>
        <w:left w:val="none" w:sz="0" w:space="0" w:color="auto"/>
        <w:bottom w:val="none" w:sz="0" w:space="0" w:color="auto"/>
        <w:right w:val="none" w:sz="0" w:space="0" w:color="auto"/>
      </w:divBdr>
    </w:div>
    <w:div w:id="1901014274">
      <w:bodyDiv w:val="1"/>
      <w:marLeft w:val="0"/>
      <w:marRight w:val="0"/>
      <w:marTop w:val="0"/>
      <w:marBottom w:val="0"/>
      <w:divBdr>
        <w:top w:val="none" w:sz="0" w:space="0" w:color="auto"/>
        <w:left w:val="none" w:sz="0" w:space="0" w:color="auto"/>
        <w:bottom w:val="none" w:sz="0" w:space="0" w:color="auto"/>
        <w:right w:val="none" w:sz="0" w:space="0" w:color="auto"/>
      </w:divBdr>
    </w:div>
    <w:div w:id="1959679272">
      <w:bodyDiv w:val="1"/>
      <w:marLeft w:val="0"/>
      <w:marRight w:val="0"/>
      <w:marTop w:val="0"/>
      <w:marBottom w:val="0"/>
      <w:divBdr>
        <w:top w:val="none" w:sz="0" w:space="0" w:color="auto"/>
        <w:left w:val="none" w:sz="0" w:space="0" w:color="auto"/>
        <w:bottom w:val="none" w:sz="0" w:space="0" w:color="auto"/>
        <w:right w:val="none" w:sz="0" w:space="0" w:color="auto"/>
      </w:divBdr>
    </w:div>
    <w:div w:id="1976329900">
      <w:bodyDiv w:val="1"/>
      <w:marLeft w:val="0"/>
      <w:marRight w:val="0"/>
      <w:marTop w:val="0"/>
      <w:marBottom w:val="0"/>
      <w:divBdr>
        <w:top w:val="none" w:sz="0" w:space="0" w:color="auto"/>
        <w:left w:val="none" w:sz="0" w:space="0" w:color="auto"/>
        <w:bottom w:val="none" w:sz="0" w:space="0" w:color="auto"/>
        <w:right w:val="none" w:sz="0" w:space="0" w:color="auto"/>
      </w:divBdr>
    </w:div>
    <w:div w:id="2043509609">
      <w:bodyDiv w:val="1"/>
      <w:marLeft w:val="0"/>
      <w:marRight w:val="0"/>
      <w:marTop w:val="0"/>
      <w:marBottom w:val="0"/>
      <w:divBdr>
        <w:top w:val="none" w:sz="0" w:space="0" w:color="auto"/>
        <w:left w:val="none" w:sz="0" w:space="0" w:color="auto"/>
        <w:bottom w:val="none" w:sz="0" w:space="0" w:color="auto"/>
        <w:right w:val="none" w:sz="0" w:space="0" w:color="auto"/>
      </w:divBdr>
    </w:div>
    <w:div w:id="2096854678">
      <w:bodyDiv w:val="1"/>
      <w:marLeft w:val="0"/>
      <w:marRight w:val="0"/>
      <w:marTop w:val="0"/>
      <w:marBottom w:val="0"/>
      <w:divBdr>
        <w:top w:val="none" w:sz="0" w:space="0" w:color="auto"/>
        <w:left w:val="none" w:sz="0" w:space="0" w:color="auto"/>
        <w:bottom w:val="none" w:sz="0" w:space="0" w:color="auto"/>
        <w:right w:val="none" w:sz="0" w:space="0" w:color="auto"/>
      </w:divBdr>
      <w:divsChild>
        <w:div w:id="984549960">
          <w:marLeft w:val="0"/>
          <w:marRight w:val="0"/>
          <w:marTop w:val="0"/>
          <w:marBottom w:val="0"/>
          <w:divBdr>
            <w:top w:val="none" w:sz="0" w:space="0" w:color="auto"/>
            <w:left w:val="none" w:sz="0" w:space="0" w:color="auto"/>
            <w:bottom w:val="none" w:sz="0" w:space="0" w:color="auto"/>
            <w:right w:val="none" w:sz="0" w:space="0" w:color="auto"/>
          </w:divBdr>
          <w:divsChild>
            <w:div w:id="1791823147">
              <w:marLeft w:val="0"/>
              <w:marRight w:val="0"/>
              <w:marTop w:val="0"/>
              <w:marBottom w:val="0"/>
              <w:divBdr>
                <w:top w:val="none" w:sz="0" w:space="0" w:color="auto"/>
                <w:left w:val="none" w:sz="0" w:space="0" w:color="auto"/>
                <w:bottom w:val="none" w:sz="0" w:space="0" w:color="auto"/>
                <w:right w:val="none" w:sz="0" w:space="0" w:color="auto"/>
              </w:divBdr>
              <w:divsChild>
                <w:div w:id="250283061">
                  <w:marLeft w:val="0"/>
                  <w:marRight w:val="0"/>
                  <w:marTop w:val="0"/>
                  <w:marBottom w:val="0"/>
                  <w:divBdr>
                    <w:top w:val="none" w:sz="0" w:space="0" w:color="auto"/>
                    <w:left w:val="none" w:sz="0" w:space="0" w:color="auto"/>
                    <w:bottom w:val="none" w:sz="0" w:space="0" w:color="auto"/>
                    <w:right w:val="none" w:sz="0" w:space="0" w:color="auto"/>
                  </w:divBdr>
                  <w:divsChild>
                    <w:div w:id="396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E15A0-E2C0-4076-B549-B3BF3285B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4386</Words>
  <Characters>23139</Characters>
  <Application>Microsoft Office Word</Application>
  <DocSecurity>0</DocSecurity>
  <Lines>192</Lines>
  <Paragraphs>54</Paragraphs>
  <ScaleCrop>false</ScaleCrop>
  <HeadingPairs>
    <vt:vector size="2" baseType="variant">
      <vt:variant>
        <vt:lpstr>Titel</vt:lpstr>
      </vt:variant>
      <vt:variant>
        <vt:i4>1</vt:i4>
      </vt:variant>
    </vt:vector>
  </HeadingPairs>
  <TitlesOfParts>
    <vt:vector size="1" baseType="lpstr">
      <vt:lpstr/>
    </vt:vector>
  </TitlesOfParts>
  <Company>WKOe</Company>
  <LinksUpToDate>false</LinksUpToDate>
  <CharactersWithSpaces>27471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Nader Ruth, WKÖ BSBV</dc:creator>
  <cp:lastModifiedBy>Horvath Philipp, LL.M., WKÖ BSBV</cp:lastModifiedBy>
  <cp:revision>8</cp:revision>
  <cp:lastPrinted>2016-01-21T12:26:00Z</cp:lastPrinted>
  <dcterms:created xsi:type="dcterms:W3CDTF">2016-01-20T14:38:00Z</dcterms:created>
  <dcterms:modified xsi:type="dcterms:W3CDTF">2016-01-22T13:38:00Z</dcterms:modified>
</cp:coreProperties>
</file>