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A558DB" w:rsidTr="00D364F4">
        <w:trPr>
          <w:trHeight w:hRule="exact" w:val="3600"/>
        </w:trPr>
        <w:tc>
          <w:tcPr>
            <w:tcW w:w="5102" w:type="dxa"/>
          </w:tcPr>
          <w:p w:rsidR="00CB2954" w:rsidRDefault="00A64C34" w:rsidP="00A64C34">
            <w:pPr>
              <w:rPr>
                <w:lang w:val="fi-FI"/>
              </w:rPr>
            </w:pPr>
            <w:r>
              <w:rPr>
                <w:lang w:val="fi-FI"/>
              </w:rPr>
              <w:br/>
            </w:r>
            <w:r>
              <w:rPr>
                <w:lang w:val="fi-FI"/>
              </w:rPr>
              <w:br/>
            </w:r>
            <w:r>
              <w:rPr>
                <w:lang w:val="fi-FI"/>
              </w:rPr>
              <w:br/>
              <w:t>E</w:t>
            </w:r>
            <w:r w:rsidR="0008171B">
              <w:rPr>
                <w:lang w:val="fi-FI"/>
              </w:rPr>
              <w:t>uropean Banking Authority (EBA)</w:t>
            </w:r>
          </w:p>
          <w:p w:rsidR="00A959CC" w:rsidRPr="004B2194" w:rsidRDefault="00A959CC" w:rsidP="00A64C34">
            <w:pPr>
              <w:rPr>
                <w:lang w:val="fi-FI"/>
              </w:rPr>
            </w:pPr>
          </w:p>
        </w:tc>
        <w:tc>
          <w:tcPr>
            <w:tcW w:w="4649" w:type="dxa"/>
          </w:tcPr>
          <w:p w:rsidR="00642235" w:rsidRPr="00D364F4" w:rsidRDefault="00642235" w:rsidP="00D364F4">
            <w:pPr>
              <w:spacing w:line="220" w:lineRule="atLeast"/>
              <w:jc w:val="right"/>
              <w:rPr>
                <w:b/>
                <w:bCs/>
                <w:color w:val="000000"/>
                <w:sz w:val="6"/>
                <w:szCs w:val="6"/>
                <w:lang w:val="fi-FI"/>
              </w:rPr>
            </w:pPr>
          </w:p>
          <w:p w:rsidR="00642235" w:rsidRPr="00D364F4" w:rsidRDefault="00642235" w:rsidP="00D364F4">
            <w:pPr>
              <w:spacing w:line="220" w:lineRule="atLeast"/>
              <w:jc w:val="right"/>
              <w:rPr>
                <w:b/>
                <w:bCs/>
                <w:color w:val="000000"/>
                <w:sz w:val="6"/>
                <w:szCs w:val="6"/>
                <w:lang w:val="fi-FI"/>
              </w:rPr>
            </w:pPr>
          </w:p>
          <w:p w:rsidR="00642235" w:rsidRPr="00D364F4" w:rsidRDefault="00642235" w:rsidP="00D364F4">
            <w:pPr>
              <w:spacing w:line="220" w:lineRule="atLeast"/>
              <w:jc w:val="right"/>
              <w:rPr>
                <w:b/>
                <w:bCs/>
                <w:color w:val="000000"/>
                <w:sz w:val="6"/>
                <w:szCs w:val="6"/>
                <w:lang w:val="fi-FI"/>
              </w:rPr>
            </w:pPr>
          </w:p>
          <w:p w:rsidR="00642235" w:rsidRPr="00D364F4" w:rsidRDefault="00642235" w:rsidP="00D364F4">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D364F4">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90095F" w:rsidRDefault="00642235" w:rsidP="00D364F4">
            <w:pPr>
              <w:spacing w:line="260" w:lineRule="atLeast"/>
              <w:jc w:val="right"/>
              <w:rPr>
                <w:color w:val="000000"/>
                <w:sz w:val="18"/>
                <w:szCs w:val="18"/>
                <w:lang w:val="de-AT"/>
              </w:rPr>
            </w:pPr>
            <w:r w:rsidRPr="0090095F">
              <w:rPr>
                <w:noProof/>
                <w:color w:val="000000"/>
                <w:sz w:val="18"/>
                <w:szCs w:val="18"/>
                <w:lang w:val="de-AT"/>
              </w:rPr>
              <w:t>Wiedner Hauptstraße 63 | P.O. Box 320</w:t>
            </w:r>
          </w:p>
          <w:p w:rsidR="00642235" w:rsidRPr="0090095F" w:rsidRDefault="00642235" w:rsidP="00D364F4">
            <w:pPr>
              <w:spacing w:line="260" w:lineRule="atLeast"/>
              <w:jc w:val="right"/>
              <w:rPr>
                <w:color w:val="000000"/>
                <w:sz w:val="18"/>
                <w:szCs w:val="18"/>
                <w:lang w:val="de-AT"/>
              </w:rPr>
            </w:pPr>
            <w:r w:rsidRPr="0090095F">
              <w:rPr>
                <w:noProof/>
                <w:color w:val="000000"/>
                <w:sz w:val="18"/>
                <w:szCs w:val="18"/>
                <w:lang w:val="de-AT"/>
              </w:rPr>
              <w:t>1045 Vienna</w:t>
            </w:r>
          </w:p>
          <w:p w:rsidR="00642235" w:rsidRPr="00D364F4" w:rsidRDefault="00642235" w:rsidP="00D364F4">
            <w:pPr>
              <w:spacing w:line="260" w:lineRule="atLeast"/>
              <w:jc w:val="right"/>
              <w:rPr>
                <w:color w:val="000000"/>
                <w:sz w:val="18"/>
                <w:szCs w:val="18"/>
              </w:rPr>
            </w:pPr>
            <w:r w:rsidRPr="00A959CC">
              <w:rPr>
                <w:noProof/>
                <w:color w:val="000000"/>
                <w:sz w:val="18"/>
                <w:szCs w:val="18"/>
                <w:lang w:val="de-AT"/>
              </w:rPr>
              <w:t>T +43 (0)5 90 900-DW | F +43 (0)5 90 900-27</w:t>
            </w:r>
            <w:r w:rsidRPr="00D364F4">
              <w:rPr>
                <w:noProof/>
                <w:color w:val="000000"/>
                <w:sz w:val="18"/>
                <w:szCs w:val="18"/>
              </w:rPr>
              <w:t>2</w:t>
            </w:r>
          </w:p>
          <w:p w:rsidR="00642235" w:rsidRPr="00D364F4" w:rsidRDefault="00642235" w:rsidP="00D364F4">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D364F4">
            <w:pPr>
              <w:spacing w:line="260" w:lineRule="atLeast"/>
              <w:jc w:val="right"/>
              <w:rPr>
                <w:lang w:val="en-GB"/>
              </w:rPr>
            </w:pPr>
            <w:r w:rsidRPr="00D364F4">
              <w:rPr>
                <w:noProof/>
                <w:color w:val="000000"/>
                <w:sz w:val="18"/>
                <w:szCs w:val="18"/>
                <w:lang w:val="en-GB"/>
              </w:rPr>
              <w:t>W  http://wko.at/bsbv</w:t>
            </w:r>
          </w:p>
        </w:tc>
      </w:tr>
    </w:tbl>
    <w:p w:rsidR="00642235" w:rsidRPr="00C21BF0" w:rsidRDefault="00642235">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827825">
      <w:pPr>
        <w:tabs>
          <w:tab w:val="left" w:pos="2892"/>
          <w:tab w:val="left" w:pos="5783"/>
          <w:tab w:val="left" w:pos="7655"/>
        </w:tabs>
        <w:rPr>
          <w:color w:val="000000"/>
          <w:lang w:val="en-GB"/>
        </w:rPr>
      </w:pPr>
      <w:r>
        <w:rPr>
          <w:color w:val="000000"/>
          <w:lang w:val="en-GB"/>
        </w:rPr>
        <w:t>115</w:t>
      </w:r>
      <w:r w:rsidR="00642235" w:rsidRPr="00C21BF0">
        <w:rPr>
          <w:color w:val="000000"/>
          <w:lang w:val="en-GB"/>
        </w:rPr>
        <w:tab/>
      </w:r>
      <w:r w:rsidR="00B77DAA">
        <w:rPr>
          <w:noProof/>
          <w:color w:val="000000"/>
          <w:lang w:val="en-GB"/>
        </w:rPr>
        <w:t>Kern</w:t>
      </w:r>
      <w:r w:rsidR="00641DC4" w:rsidRPr="00DC0A36">
        <w:rPr>
          <w:noProof/>
          <w:color w:val="000000"/>
          <w:lang w:val="en-GB"/>
        </w:rPr>
        <w:tab/>
        <w:t>313</w:t>
      </w:r>
      <w:r w:rsidR="0073402F">
        <w:rPr>
          <w:noProof/>
          <w:color w:val="000000"/>
          <w:lang w:val="en-GB"/>
        </w:rPr>
        <w:t>2</w:t>
      </w:r>
      <w:r w:rsidR="00642235" w:rsidRPr="00DC0A36">
        <w:rPr>
          <w:color w:val="000000"/>
          <w:lang w:val="en-GB"/>
        </w:rPr>
        <w:tab/>
      </w:r>
      <w:r w:rsidR="0080291B">
        <w:rPr>
          <w:color w:val="000000"/>
          <w:lang w:val="en-GB"/>
        </w:rPr>
        <w:t xml:space="preserve">February </w:t>
      </w:r>
      <w:r w:rsidR="00A558DB">
        <w:rPr>
          <w:color w:val="000000"/>
          <w:lang w:val="en-GB"/>
        </w:rPr>
        <w:t>3</w:t>
      </w:r>
      <w:r w:rsidR="00A558DB">
        <w:rPr>
          <w:color w:val="000000"/>
          <w:vertAlign w:val="superscript"/>
          <w:lang w:val="en-GB"/>
        </w:rPr>
        <w:t>r</w:t>
      </w:r>
      <w:r w:rsidR="008323A2" w:rsidRPr="008323A2">
        <w:rPr>
          <w:color w:val="000000"/>
          <w:vertAlign w:val="superscript"/>
          <w:lang w:val="en-GB"/>
        </w:rPr>
        <w:t>d</w:t>
      </w:r>
      <w:r w:rsidR="00556B9E">
        <w:rPr>
          <w:color w:val="000000"/>
          <w:lang w:val="en-GB"/>
        </w:rPr>
        <w:t xml:space="preserve">, </w:t>
      </w:r>
      <w:r w:rsidR="00D82226" w:rsidRPr="00DC0A36">
        <w:rPr>
          <w:color w:val="000000"/>
          <w:lang w:val="en-GB"/>
        </w:rPr>
        <w:t>201</w:t>
      </w:r>
      <w:r w:rsidR="00B77DAA">
        <w:rPr>
          <w:color w:val="000000"/>
          <w:lang w:val="en-GB"/>
        </w:rPr>
        <w:t>6</w:t>
      </w:r>
    </w:p>
    <w:p w:rsidR="00E754C8" w:rsidRDefault="00E754C8">
      <w:pPr>
        <w:rPr>
          <w:color w:val="000000"/>
          <w:sz w:val="24"/>
          <w:szCs w:val="24"/>
          <w:lang w:val="en-GB"/>
        </w:rPr>
      </w:pPr>
    </w:p>
    <w:p w:rsidR="00A82C13" w:rsidRPr="00DC0A36" w:rsidRDefault="00A82C13">
      <w:pPr>
        <w:rPr>
          <w:color w:val="000000"/>
          <w:sz w:val="24"/>
          <w:szCs w:val="24"/>
          <w:lang w:val="en-GB"/>
        </w:rPr>
      </w:pPr>
    </w:p>
    <w:p w:rsidR="00E87DCD" w:rsidRDefault="00942F6C" w:rsidP="0001553C">
      <w:pPr>
        <w:spacing w:line="276" w:lineRule="auto"/>
        <w:rPr>
          <w:b/>
          <w:sz w:val="24"/>
          <w:szCs w:val="24"/>
          <w:lang w:val="en-GB"/>
        </w:rPr>
      </w:pPr>
      <w:r>
        <w:rPr>
          <w:b/>
          <w:sz w:val="24"/>
          <w:szCs w:val="24"/>
          <w:lang w:val="en-GB"/>
        </w:rPr>
        <w:t xml:space="preserve">EBA </w:t>
      </w:r>
      <w:r w:rsidR="00BA7A5E">
        <w:rPr>
          <w:b/>
          <w:sz w:val="24"/>
          <w:szCs w:val="24"/>
          <w:lang w:val="en-GB"/>
        </w:rPr>
        <w:t>–</w:t>
      </w:r>
      <w:r>
        <w:rPr>
          <w:b/>
          <w:sz w:val="24"/>
          <w:szCs w:val="24"/>
          <w:lang w:val="en-GB"/>
        </w:rPr>
        <w:t xml:space="preserve"> </w:t>
      </w:r>
      <w:r w:rsidR="00BA7A5E">
        <w:rPr>
          <w:b/>
          <w:sz w:val="24"/>
          <w:szCs w:val="24"/>
          <w:lang w:val="en-GB"/>
        </w:rPr>
        <w:t xml:space="preserve">Consultation on </w:t>
      </w:r>
      <w:r w:rsidR="004C0AD4">
        <w:rPr>
          <w:b/>
          <w:sz w:val="24"/>
          <w:szCs w:val="24"/>
          <w:lang w:val="en-GB"/>
        </w:rPr>
        <w:t>Guidelines on stress tests for deposit guarantee schemes</w:t>
      </w:r>
    </w:p>
    <w:p w:rsidR="00B77DAA" w:rsidRDefault="00B77DAA" w:rsidP="0001553C">
      <w:pPr>
        <w:spacing w:line="276" w:lineRule="auto"/>
        <w:rPr>
          <w:b/>
          <w:sz w:val="24"/>
          <w:szCs w:val="24"/>
          <w:lang w:val="en-GB"/>
        </w:rPr>
      </w:pPr>
    </w:p>
    <w:p w:rsidR="00DC0A36" w:rsidRDefault="00DC0A36" w:rsidP="0001553C">
      <w:pPr>
        <w:spacing w:line="276" w:lineRule="auto"/>
        <w:rPr>
          <w:lang w:val="en-GB"/>
        </w:rPr>
      </w:pPr>
    </w:p>
    <w:p w:rsidR="00DC0A36" w:rsidRPr="009D188F" w:rsidRDefault="00DC0A36" w:rsidP="0001553C">
      <w:pPr>
        <w:spacing w:line="276" w:lineRule="auto"/>
        <w:rPr>
          <w:lang w:val="en-GB"/>
        </w:rPr>
      </w:pPr>
      <w:r w:rsidRPr="00DC0A36">
        <w:rPr>
          <w:lang w:val="en-GB"/>
        </w:rPr>
        <w:t xml:space="preserve">The Division Bank and Insurance of the Austrian Federal Economic </w:t>
      </w:r>
      <w:proofErr w:type="gramStart"/>
      <w:r w:rsidRPr="00DC0A36">
        <w:rPr>
          <w:lang w:val="en-GB"/>
        </w:rPr>
        <w:t>Chamber,</w:t>
      </w:r>
      <w:proofErr w:type="gramEnd"/>
      <w:r w:rsidR="00B77DAA">
        <w:rPr>
          <w:lang w:val="en-GB"/>
        </w:rPr>
        <w:t xml:space="preserve"> as representation</w:t>
      </w:r>
      <w:r w:rsidRPr="00DC0A36">
        <w:rPr>
          <w:lang w:val="en-GB"/>
        </w:rPr>
        <w:t xml:space="preserve"> of the entire Austrian banking industry, appreciates the possibility to</w:t>
      </w:r>
      <w:r w:rsidR="00B467F0" w:rsidRPr="00487A00">
        <w:rPr>
          <w:rFonts w:cs="Arial"/>
          <w:color w:val="000000"/>
          <w:lang w:val="en-GB" w:eastAsia="en-US"/>
        </w:rPr>
        <w:t xml:space="preserve"> comment on </w:t>
      </w:r>
      <w:r w:rsidR="00B467F0">
        <w:rPr>
          <w:rFonts w:cs="Arial"/>
          <w:color w:val="000000"/>
          <w:lang w:val="en-GB" w:eastAsia="en-US"/>
        </w:rPr>
        <w:t xml:space="preserve">the above cited consultation paper </w:t>
      </w:r>
      <w:r w:rsidR="00B467F0" w:rsidRPr="00487A00">
        <w:rPr>
          <w:rFonts w:cs="Arial"/>
          <w:color w:val="000000"/>
          <w:lang w:val="en-GB" w:eastAsia="en-US"/>
        </w:rPr>
        <w:t>and would like to submit the following position:</w:t>
      </w:r>
    </w:p>
    <w:p w:rsidR="00AB03F1" w:rsidRPr="00AB03F1" w:rsidRDefault="00AB03F1" w:rsidP="0001553C">
      <w:pPr>
        <w:autoSpaceDE w:val="0"/>
        <w:autoSpaceDN w:val="0"/>
        <w:adjustRightInd w:val="0"/>
        <w:spacing w:line="276" w:lineRule="auto"/>
        <w:rPr>
          <w:rFonts w:cs="Calibri"/>
          <w:color w:val="000000"/>
          <w:lang w:val="en-US" w:eastAsia="en-US"/>
        </w:rPr>
      </w:pPr>
    </w:p>
    <w:p w:rsidR="00AB03F1" w:rsidRDefault="00B37D9C" w:rsidP="0001553C">
      <w:pPr>
        <w:autoSpaceDE w:val="0"/>
        <w:autoSpaceDN w:val="0"/>
        <w:adjustRightInd w:val="0"/>
        <w:spacing w:line="276" w:lineRule="auto"/>
        <w:rPr>
          <w:rFonts w:cs="Calibri"/>
          <w:b/>
          <w:color w:val="000000"/>
          <w:lang w:val="en-US" w:eastAsia="en-US"/>
        </w:rPr>
      </w:pPr>
      <w:r>
        <w:rPr>
          <w:rFonts w:cs="Calibri"/>
          <w:b/>
          <w:color w:val="000000"/>
          <w:lang w:val="en-US" w:eastAsia="en-US"/>
        </w:rPr>
        <w:tab/>
      </w:r>
      <w:r w:rsidR="00787669" w:rsidRPr="00787669">
        <w:rPr>
          <w:rFonts w:cs="Calibri"/>
          <w:b/>
          <w:color w:val="000000"/>
          <w:lang w:val="en-US" w:eastAsia="en-US"/>
        </w:rPr>
        <w:t>General comments</w:t>
      </w:r>
    </w:p>
    <w:p w:rsidR="00787669" w:rsidRPr="00787669" w:rsidRDefault="00787669" w:rsidP="0001553C">
      <w:pPr>
        <w:autoSpaceDE w:val="0"/>
        <w:autoSpaceDN w:val="0"/>
        <w:adjustRightInd w:val="0"/>
        <w:spacing w:line="276" w:lineRule="auto"/>
        <w:rPr>
          <w:rFonts w:cs="Calibri"/>
          <w:b/>
          <w:color w:val="000000"/>
          <w:lang w:val="en-US" w:eastAsia="en-US"/>
        </w:rPr>
      </w:pPr>
    </w:p>
    <w:p w:rsidR="00AB03F1" w:rsidRPr="009E11EB" w:rsidRDefault="00AB03F1" w:rsidP="009E11EB">
      <w:pPr>
        <w:pStyle w:val="Listenabsatz"/>
        <w:numPr>
          <w:ilvl w:val="0"/>
          <w:numId w:val="6"/>
        </w:numPr>
        <w:autoSpaceDE w:val="0"/>
        <w:autoSpaceDN w:val="0"/>
        <w:adjustRightInd w:val="0"/>
        <w:spacing w:line="276" w:lineRule="auto"/>
        <w:rPr>
          <w:rFonts w:cs="Calibri"/>
          <w:bCs/>
          <w:iCs/>
          <w:u w:val="single"/>
          <w:lang w:val="en-US" w:eastAsia="en-US"/>
        </w:rPr>
      </w:pPr>
      <w:r w:rsidRPr="009E11EB">
        <w:rPr>
          <w:rFonts w:cs="Calibri"/>
          <w:bCs/>
          <w:iCs/>
          <w:u w:val="single"/>
          <w:lang w:val="en-US" w:eastAsia="en-US"/>
        </w:rPr>
        <w:t>Proportionate approach</w:t>
      </w:r>
    </w:p>
    <w:p w:rsidR="009E11EB" w:rsidRPr="009E11EB" w:rsidRDefault="009E11EB" w:rsidP="009E11EB">
      <w:pPr>
        <w:pStyle w:val="Listenabsatz"/>
        <w:autoSpaceDE w:val="0"/>
        <w:autoSpaceDN w:val="0"/>
        <w:adjustRightInd w:val="0"/>
        <w:spacing w:line="276" w:lineRule="auto"/>
        <w:rPr>
          <w:rFonts w:cs="Calibri"/>
          <w:bCs/>
          <w:iCs/>
          <w:u w:val="single"/>
          <w:lang w:val="en-US" w:eastAsia="en-US"/>
        </w:rPr>
      </w:pP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As a whole and as EBA does in those draft guidelines, we strongly advocate for a proportionate approach. This should of course be the case for all guidelines and regulation projects.</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 xml:space="preserve"> </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 xml:space="preserve">While the testing of DGSs’ processes and capacities is crucial in DGSs’ activities, as well as for ensuring depositors’ confidence, those tests and, even more, controls on those tests, should remain in our view proportionate to their object, and therefore </w:t>
      </w:r>
      <w:r w:rsidR="00660D58">
        <w:rPr>
          <w:rFonts w:cs="Calibri"/>
          <w:color w:val="000000"/>
          <w:lang w:val="en-US" w:eastAsia="en-US"/>
        </w:rPr>
        <w:t xml:space="preserve">should </w:t>
      </w:r>
      <w:r w:rsidRPr="00AB03F1">
        <w:rPr>
          <w:rFonts w:cs="Calibri"/>
          <w:color w:val="000000"/>
          <w:lang w:val="en-US" w:eastAsia="en-US"/>
        </w:rPr>
        <w:t xml:space="preserve">also </w:t>
      </w:r>
      <w:r w:rsidR="00660D58">
        <w:rPr>
          <w:rFonts w:cs="Calibri"/>
          <w:color w:val="000000"/>
          <w:lang w:val="en-US" w:eastAsia="en-US"/>
        </w:rPr>
        <w:t xml:space="preserve">be </w:t>
      </w:r>
      <w:r w:rsidRPr="00AB03F1">
        <w:rPr>
          <w:rFonts w:cs="Calibri"/>
          <w:color w:val="000000"/>
          <w:lang w:val="en-US" w:eastAsia="en-US"/>
        </w:rPr>
        <w:t>adapted to local specificities as far as needed.</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 xml:space="preserve"> </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Testing is at the core of DGSs’ responsibilities and one of their main concerns. DGSs know they have to execute those exercises with as much rationality and discipline as possible. By nature, they know the risks of forbearance and self-forbearance.</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However, when designing tests and controls on those tests, consideration should be given to the extra burden put on DGSs in terms of financial and non-financial resources, so that ‘light’, simple and cheap solutions may be given a priority, all things being equal.</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Those considerations should also apply to affiliated banks, so that the burden on them stays proportionate to the objective. They should also be invited to participate to the elaboration of globally efficient solutions, all things being equal again.</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 xml:space="preserve"> </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lastRenderedPageBreak/>
        <w:t xml:space="preserve">One of the consequences of the proportionate approach is that guidelines should refrain from over prescriptive provisions that build further and further on existing directives and regulations or indistinct financial stability objectives. </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 xml:space="preserve"> </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Another and quite direct implication here, for the present guidelines, is that the funding capacity of DGSs should not be tested over their (national) target level.</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 xml:space="preserve"> </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 xml:space="preserve"> </w:t>
      </w:r>
    </w:p>
    <w:p w:rsidR="00AB03F1" w:rsidRPr="009E11EB" w:rsidRDefault="00AB03F1" w:rsidP="009E11EB">
      <w:pPr>
        <w:pStyle w:val="Listenabsatz"/>
        <w:numPr>
          <w:ilvl w:val="0"/>
          <w:numId w:val="6"/>
        </w:numPr>
        <w:autoSpaceDE w:val="0"/>
        <w:autoSpaceDN w:val="0"/>
        <w:adjustRightInd w:val="0"/>
        <w:spacing w:line="276" w:lineRule="auto"/>
        <w:rPr>
          <w:rFonts w:cs="Calibri"/>
          <w:bCs/>
          <w:iCs/>
          <w:u w:val="single"/>
          <w:lang w:val="en-US" w:eastAsia="en-US"/>
        </w:rPr>
      </w:pPr>
      <w:r w:rsidRPr="009E11EB">
        <w:rPr>
          <w:rFonts w:cs="Calibri"/>
          <w:bCs/>
          <w:iCs/>
          <w:u w:val="single"/>
          <w:lang w:val="en-US" w:eastAsia="en-US"/>
        </w:rPr>
        <w:t>Balance between publicly run and privately run DGSs</w:t>
      </w:r>
    </w:p>
    <w:p w:rsidR="009E11EB" w:rsidRPr="009E11EB" w:rsidRDefault="009E11EB" w:rsidP="009E11EB">
      <w:pPr>
        <w:pStyle w:val="Listenabsatz"/>
        <w:autoSpaceDE w:val="0"/>
        <w:autoSpaceDN w:val="0"/>
        <w:adjustRightInd w:val="0"/>
        <w:spacing w:line="276" w:lineRule="auto"/>
        <w:rPr>
          <w:rFonts w:cs="Calibri"/>
          <w:bCs/>
          <w:iCs/>
          <w:u w:val="single"/>
          <w:lang w:val="en-US" w:eastAsia="en-US"/>
        </w:rPr>
      </w:pP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The present guidelines seem to give some ground to a relative unbalance between DGSs administered by a designated authority, on one hand, and DGSs which are privately run and supervised by a designated authority, on the other hand.</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 xml:space="preserve"> </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When directly administered by designated authorities, the guidelines do not ask DGSs to seek for the consultation or approval of another authority for the planning, design, running and reporting of the tests.</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 xml:space="preserve">This leads to infer that those DGSs, compared to privately run DGSs, would have </w:t>
      </w:r>
      <w:r w:rsidRPr="00AB03F1">
        <w:rPr>
          <w:rFonts w:cs="Calibri"/>
          <w:i/>
          <w:iCs/>
          <w:color w:val="000000"/>
          <w:lang w:val="en-US" w:eastAsia="en-US"/>
        </w:rPr>
        <w:t>per se</w:t>
      </w:r>
      <w:r w:rsidRPr="00AB03F1">
        <w:rPr>
          <w:rFonts w:cs="Calibri"/>
          <w:color w:val="000000"/>
          <w:lang w:val="en-US" w:eastAsia="en-US"/>
        </w:rPr>
        <w:t xml:space="preserve"> better incentives or, for instance, less </w:t>
      </w:r>
      <w:bookmarkStart w:id="0" w:name="_GoBack"/>
      <w:bookmarkEnd w:id="0"/>
      <w:r w:rsidRPr="00AB03F1">
        <w:rPr>
          <w:rFonts w:cs="Calibri"/>
          <w:color w:val="000000"/>
          <w:lang w:val="en-US" w:eastAsia="en-US"/>
        </w:rPr>
        <w:t>budgetary constraints for correctly processing their systems and tests.</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This unbalance should be remedied.</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 xml:space="preserve"> </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 xml:space="preserve"> </w:t>
      </w:r>
    </w:p>
    <w:p w:rsidR="00AB03F1" w:rsidRPr="009E11EB" w:rsidRDefault="00AB03F1" w:rsidP="009E11EB">
      <w:pPr>
        <w:pStyle w:val="Listenabsatz"/>
        <w:numPr>
          <w:ilvl w:val="0"/>
          <w:numId w:val="6"/>
        </w:numPr>
        <w:autoSpaceDE w:val="0"/>
        <w:autoSpaceDN w:val="0"/>
        <w:adjustRightInd w:val="0"/>
        <w:spacing w:line="276" w:lineRule="auto"/>
        <w:rPr>
          <w:rFonts w:cs="Calibri"/>
          <w:bCs/>
          <w:iCs/>
          <w:u w:val="single"/>
          <w:lang w:val="en-US" w:eastAsia="en-US"/>
        </w:rPr>
      </w:pPr>
      <w:r w:rsidRPr="009E11EB">
        <w:rPr>
          <w:rFonts w:cs="Calibri"/>
          <w:bCs/>
          <w:iCs/>
          <w:u w:val="single"/>
          <w:lang w:val="en-US" w:eastAsia="en-US"/>
        </w:rPr>
        <w:t>Conflicts of interest</w:t>
      </w:r>
    </w:p>
    <w:p w:rsidR="009E11EB" w:rsidRPr="009E11EB" w:rsidRDefault="009E11EB" w:rsidP="009E11EB">
      <w:pPr>
        <w:pStyle w:val="Listenabsatz"/>
        <w:autoSpaceDE w:val="0"/>
        <w:autoSpaceDN w:val="0"/>
        <w:adjustRightInd w:val="0"/>
        <w:spacing w:line="276" w:lineRule="auto"/>
        <w:rPr>
          <w:rFonts w:cs="Calibri"/>
          <w:bCs/>
          <w:iCs/>
          <w:u w:val="single"/>
          <w:lang w:val="en-US" w:eastAsia="en-US"/>
        </w:rPr>
      </w:pP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The guidelines try to propose appropriate remedies to ensure the objectivity of the stress test process, or, in other words, to mitigate the risk of self-forbearance by DGSs and possible conflicts of interest.</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 xml:space="preserve"> </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However, those risks and issues also exist for other entities which are parties to the DGS stress testing process. It looks important that the objectivity requirement is duly taken into account for all parties and also pointed out in the guidelines.</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 xml:space="preserve"> </w:t>
      </w:r>
    </w:p>
    <w:p w:rsidR="00AB03F1" w:rsidRPr="009E11EB" w:rsidRDefault="00AB03F1" w:rsidP="009E11EB">
      <w:pPr>
        <w:pStyle w:val="Listenabsatz"/>
        <w:numPr>
          <w:ilvl w:val="0"/>
          <w:numId w:val="6"/>
        </w:numPr>
        <w:autoSpaceDE w:val="0"/>
        <w:autoSpaceDN w:val="0"/>
        <w:adjustRightInd w:val="0"/>
        <w:spacing w:line="276" w:lineRule="auto"/>
        <w:rPr>
          <w:rFonts w:cs="Calibri"/>
          <w:bCs/>
          <w:iCs/>
          <w:u w:val="single"/>
          <w:lang w:val="en-US" w:eastAsia="en-US"/>
        </w:rPr>
      </w:pPr>
      <w:r w:rsidRPr="009E11EB">
        <w:rPr>
          <w:rFonts w:cs="Calibri"/>
          <w:bCs/>
          <w:iCs/>
          <w:u w:val="single"/>
          <w:lang w:val="en-US" w:eastAsia="en-US"/>
        </w:rPr>
        <w:t>Role of DGSs</w:t>
      </w:r>
    </w:p>
    <w:p w:rsidR="009E11EB" w:rsidRPr="009E11EB" w:rsidRDefault="009E11EB" w:rsidP="009E11EB">
      <w:pPr>
        <w:pStyle w:val="Listenabsatz"/>
        <w:autoSpaceDE w:val="0"/>
        <w:autoSpaceDN w:val="0"/>
        <w:adjustRightInd w:val="0"/>
        <w:spacing w:line="276" w:lineRule="auto"/>
        <w:rPr>
          <w:rFonts w:cs="Calibri"/>
          <w:bCs/>
          <w:iCs/>
          <w:u w:val="single"/>
          <w:lang w:val="en-US" w:eastAsia="en-US"/>
        </w:rPr>
      </w:pP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While we believe that DGSs play an important role in the financial safety net, they cannot be generally considered as being at the heart of resolution decisions and processes.</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 xml:space="preserve"> </w:t>
      </w:r>
    </w:p>
    <w:p w:rsidR="00AB03F1" w:rsidRPr="00AB03F1" w:rsidRDefault="00A47CE1" w:rsidP="0001553C">
      <w:pPr>
        <w:autoSpaceDE w:val="0"/>
        <w:autoSpaceDN w:val="0"/>
        <w:adjustRightInd w:val="0"/>
        <w:spacing w:line="276" w:lineRule="auto"/>
        <w:rPr>
          <w:rFonts w:cs="Calibri"/>
          <w:color w:val="000000"/>
          <w:lang w:val="en-US" w:eastAsia="en-US"/>
        </w:rPr>
      </w:pPr>
      <w:r>
        <w:rPr>
          <w:rFonts w:cs="Calibri"/>
          <w:color w:val="000000"/>
          <w:lang w:val="en-US" w:eastAsia="en-US"/>
        </w:rPr>
        <w:t>T</w:t>
      </w:r>
      <w:r w:rsidRPr="00AB03F1">
        <w:rPr>
          <w:rFonts w:cs="Calibri"/>
          <w:color w:val="000000"/>
          <w:lang w:val="en-US" w:eastAsia="en-US"/>
        </w:rPr>
        <w:t xml:space="preserve">herefore </w:t>
      </w:r>
      <w:r>
        <w:rPr>
          <w:rFonts w:cs="Calibri"/>
          <w:color w:val="000000"/>
          <w:lang w:val="en-US" w:eastAsia="en-US"/>
        </w:rPr>
        <w:t>t</w:t>
      </w:r>
      <w:r w:rsidR="00AB03F1" w:rsidRPr="00AB03F1">
        <w:rPr>
          <w:rFonts w:cs="Calibri"/>
          <w:color w:val="000000"/>
          <w:lang w:val="en-US" w:eastAsia="en-US"/>
        </w:rPr>
        <w:t>he guidelines should not use DGSs as the appropriate channel for the testing of resolution measures, except for their funding capacities. Resolution testing should have its own ground and logic and should be directed to the relevant authorities. Doing otherwise would put DGSs in awkward or inappropriate situations vis-à-vis other authorities, including, as it may happen, their own designated authorities, also raising the kind of conflict of interest issues referred to above.</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t xml:space="preserve"> </w:t>
      </w:r>
    </w:p>
    <w:p w:rsidR="00AB03F1" w:rsidRPr="00AB03F1" w:rsidRDefault="00AB03F1" w:rsidP="0001553C">
      <w:pPr>
        <w:autoSpaceDE w:val="0"/>
        <w:autoSpaceDN w:val="0"/>
        <w:adjustRightInd w:val="0"/>
        <w:spacing w:line="276" w:lineRule="auto"/>
        <w:rPr>
          <w:rFonts w:cs="Calibri"/>
          <w:color w:val="000000"/>
          <w:lang w:val="en-US" w:eastAsia="en-US"/>
        </w:rPr>
      </w:pPr>
      <w:r w:rsidRPr="00AB03F1">
        <w:rPr>
          <w:rFonts w:cs="Calibri"/>
          <w:color w:val="000000"/>
          <w:lang w:val="en-US" w:eastAsia="en-US"/>
        </w:rPr>
        <w:lastRenderedPageBreak/>
        <w:t>Likewise, DGSs should not be requested to make any assessment of the financial situations of their affiliated members if they are not themselves a supervisory authority, a resolution authority or an IPS (see for instance paragraphs 52 and 87 of the guidelines).</w:t>
      </w:r>
    </w:p>
    <w:p w:rsidR="00AB03F1" w:rsidRDefault="00AB03F1" w:rsidP="0001553C">
      <w:pPr>
        <w:spacing w:line="276" w:lineRule="auto"/>
        <w:rPr>
          <w:lang w:val="en-US"/>
        </w:rPr>
      </w:pPr>
    </w:p>
    <w:p w:rsidR="009E11EB" w:rsidRPr="00AB03F1" w:rsidRDefault="009E11EB" w:rsidP="0001553C">
      <w:pPr>
        <w:spacing w:line="276" w:lineRule="auto"/>
        <w:rPr>
          <w:lang w:val="en-US"/>
        </w:rPr>
      </w:pPr>
    </w:p>
    <w:p w:rsidR="00AB03F1" w:rsidRPr="00787669" w:rsidRDefault="00B37D9C" w:rsidP="00FD5877">
      <w:pPr>
        <w:spacing w:line="276" w:lineRule="auto"/>
        <w:rPr>
          <w:b/>
          <w:lang w:val="en-US"/>
        </w:rPr>
      </w:pPr>
      <w:r>
        <w:rPr>
          <w:b/>
          <w:lang w:val="en-US"/>
        </w:rPr>
        <w:tab/>
      </w:r>
      <w:r w:rsidR="00787669" w:rsidRPr="00787669">
        <w:rPr>
          <w:b/>
          <w:lang w:val="en-US"/>
        </w:rPr>
        <w:t>Details</w:t>
      </w:r>
    </w:p>
    <w:p w:rsidR="00AB03F1" w:rsidRPr="004D18BA" w:rsidRDefault="00AB03F1" w:rsidP="00FD5877">
      <w:pPr>
        <w:spacing w:line="276" w:lineRule="auto"/>
        <w:rPr>
          <w:color w:val="0F243E" w:themeColor="text2" w:themeShade="80"/>
          <w:lang w:val="en-US"/>
        </w:rPr>
      </w:pPr>
    </w:p>
    <w:p w:rsidR="00AB03F1" w:rsidRDefault="00FD5877" w:rsidP="00B37D9C">
      <w:pPr>
        <w:tabs>
          <w:tab w:val="left" w:pos="1134"/>
          <w:tab w:val="left" w:pos="6096"/>
          <w:tab w:val="right" w:pos="9072"/>
        </w:tabs>
        <w:spacing w:line="276" w:lineRule="auto"/>
        <w:jc w:val="both"/>
        <w:rPr>
          <w:rFonts w:cs="Arial"/>
          <w:u w:val="single"/>
          <w:lang w:val="en-GB"/>
        </w:rPr>
      </w:pPr>
      <w:r>
        <w:rPr>
          <w:rFonts w:cs="Arial"/>
          <w:u w:val="single"/>
          <w:lang w:val="en-GB"/>
        </w:rPr>
        <w:t>Question 1</w:t>
      </w:r>
      <w:r w:rsidR="00AB03F1" w:rsidRPr="00FD5877">
        <w:rPr>
          <w:rFonts w:cs="Arial"/>
          <w:u w:val="single"/>
          <w:lang w:val="en-GB"/>
        </w:rPr>
        <w:t xml:space="preserve"> </w:t>
      </w:r>
    </w:p>
    <w:p w:rsidR="00450EC7" w:rsidRPr="00FD5877" w:rsidRDefault="00450EC7" w:rsidP="00B37D9C">
      <w:pPr>
        <w:tabs>
          <w:tab w:val="left" w:pos="1134"/>
          <w:tab w:val="left" w:pos="6096"/>
          <w:tab w:val="right" w:pos="9072"/>
        </w:tabs>
        <w:spacing w:line="276" w:lineRule="auto"/>
        <w:jc w:val="both"/>
        <w:rPr>
          <w:rFonts w:cs="Arial"/>
          <w:u w:val="single"/>
          <w:lang w:val="en-GB"/>
        </w:rPr>
      </w:pPr>
    </w:p>
    <w:p w:rsidR="00AB03F1" w:rsidRPr="004D18BA" w:rsidRDefault="00AB03F1" w:rsidP="00B37D9C">
      <w:pPr>
        <w:tabs>
          <w:tab w:val="left" w:pos="1134"/>
          <w:tab w:val="left" w:pos="6096"/>
          <w:tab w:val="right" w:pos="9072"/>
        </w:tabs>
        <w:spacing w:line="276" w:lineRule="auto"/>
        <w:jc w:val="both"/>
        <w:rPr>
          <w:rFonts w:cs="Arial"/>
          <w:lang w:val="en-GB"/>
        </w:rPr>
      </w:pPr>
      <w:r w:rsidRPr="004D18BA">
        <w:rPr>
          <w:rFonts w:cs="Arial"/>
          <w:lang w:val="en-GB"/>
        </w:rPr>
        <w:t xml:space="preserve">What is the best way to ensure the objectivity of the stress tests assumptions and process? Do you support systematically requiring separation between the steering staff and stress test participants? If not, do you support concrete alternatives, for example external audit? What additional details could be laid down with regard to external intervention? </w:t>
      </w:r>
    </w:p>
    <w:p w:rsidR="00AB03F1" w:rsidRPr="004D18BA" w:rsidRDefault="00AB03F1" w:rsidP="00B37D9C">
      <w:pPr>
        <w:tabs>
          <w:tab w:val="left" w:pos="1134"/>
          <w:tab w:val="left" w:pos="6096"/>
          <w:tab w:val="right" w:pos="9072"/>
        </w:tabs>
        <w:spacing w:line="276" w:lineRule="auto"/>
        <w:jc w:val="both"/>
        <w:rPr>
          <w:rFonts w:cs="Arial"/>
          <w:u w:val="single"/>
          <w:lang w:val="en-GB"/>
        </w:rPr>
      </w:pPr>
    </w:p>
    <w:p w:rsidR="00AB03F1" w:rsidRDefault="00AB03F1" w:rsidP="00B37D9C">
      <w:pPr>
        <w:tabs>
          <w:tab w:val="left" w:pos="1134"/>
          <w:tab w:val="left" w:pos="6096"/>
          <w:tab w:val="right" w:pos="9072"/>
        </w:tabs>
        <w:spacing w:line="276" w:lineRule="auto"/>
        <w:jc w:val="both"/>
        <w:rPr>
          <w:rFonts w:cs="Arial"/>
          <w:i/>
          <w:lang w:val="en-GB"/>
        </w:rPr>
      </w:pPr>
      <w:r w:rsidRPr="00450EC7">
        <w:rPr>
          <w:rFonts w:cs="Arial"/>
          <w:i/>
          <w:lang w:val="en-GB"/>
        </w:rPr>
        <w:t xml:space="preserve">Comments </w:t>
      </w:r>
    </w:p>
    <w:p w:rsidR="00450EC7" w:rsidRPr="00450EC7" w:rsidRDefault="00450EC7" w:rsidP="00B37D9C">
      <w:pPr>
        <w:tabs>
          <w:tab w:val="left" w:pos="1134"/>
          <w:tab w:val="left" w:pos="6096"/>
          <w:tab w:val="right" w:pos="9072"/>
        </w:tabs>
        <w:spacing w:line="276" w:lineRule="auto"/>
        <w:jc w:val="both"/>
        <w:rPr>
          <w:rFonts w:cs="Arial"/>
          <w:i/>
          <w:lang w:val="en-GB"/>
        </w:rPr>
      </w:pPr>
    </w:p>
    <w:p w:rsidR="00AB03F1" w:rsidRPr="004D18BA" w:rsidRDefault="00AB03F1" w:rsidP="00B37D9C">
      <w:pPr>
        <w:tabs>
          <w:tab w:val="left" w:pos="1134"/>
          <w:tab w:val="left" w:pos="6096"/>
          <w:tab w:val="right" w:pos="9072"/>
        </w:tabs>
        <w:spacing w:line="276" w:lineRule="auto"/>
        <w:jc w:val="both"/>
        <w:rPr>
          <w:rFonts w:cs="Arial"/>
          <w:lang w:val="en-GB"/>
        </w:rPr>
      </w:pPr>
      <w:r w:rsidRPr="004D18BA">
        <w:rPr>
          <w:rFonts w:cs="Arial"/>
          <w:lang w:val="en-GB"/>
        </w:rPr>
        <w:t>The objectivity of the stress test assumptions and process cannot be ensured by separation: The objectivity has to be ensured in the planning phase by the DGS-Board, who is responsible for all matters of the tests as well as for all other matters regarding the DGS. How the test participants are controlled and supervised and how the results are evaluated are genuine tasks of the DGS Board, who is responsible for the implementing of changes within the DGS as a result of the tests, either.</w:t>
      </w:r>
    </w:p>
    <w:p w:rsidR="00AB03F1" w:rsidRPr="004D18BA" w:rsidRDefault="00AB03F1" w:rsidP="00B37D9C">
      <w:pPr>
        <w:tabs>
          <w:tab w:val="left" w:pos="1134"/>
          <w:tab w:val="left" w:pos="6096"/>
          <w:tab w:val="right" w:pos="9072"/>
        </w:tabs>
        <w:spacing w:line="276" w:lineRule="auto"/>
        <w:jc w:val="both"/>
        <w:rPr>
          <w:rFonts w:cs="Arial"/>
          <w:lang w:val="en-GB"/>
        </w:rPr>
      </w:pPr>
      <w:r w:rsidRPr="004D18BA">
        <w:rPr>
          <w:rFonts w:cs="Arial"/>
          <w:lang w:val="en-GB"/>
        </w:rPr>
        <w:t>The organisation of tests regarding personnel is depending on the size of the DGS as well as  on other specific issues, thus only the goals and a certain time-frame should be dealt with by the EBA guidelines: The rest should to be evaluated and cleared by every DGS with its respective local authority. Depending on the results of the first tests the local authority may instruct external audits of (individual or all) further tests.</w:t>
      </w:r>
    </w:p>
    <w:p w:rsidR="00AB03F1" w:rsidRPr="004D18BA" w:rsidRDefault="00AB03F1" w:rsidP="00B37D9C">
      <w:pPr>
        <w:tabs>
          <w:tab w:val="left" w:pos="1134"/>
          <w:tab w:val="left" w:pos="6096"/>
          <w:tab w:val="right" w:pos="9072"/>
        </w:tabs>
        <w:spacing w:line="276" w:lineRule="auto"/>
        <w:jc w:val="both"/>
        <w:rPr>
          <w:rFonts w:cs="Arial"/>
          <w:lang w:val="en-US"/>
        </w:rPr>
      </w:pPr>
    </w:p>
    <w:p w:rsidR="00AB03F1" w:rsidRDefault="00AB03F1" w:rsidP="00B37D9C">
      <w:pPr>
        <w:pStyle w:val="Default"/>
        <w:spacing w:line="276" w:lineRule="auto"/>
        <w:rPr>
          <w:rFonts w:ascii="Trebuchet MS" w:hAnsi="Trebuchet MS"/>
          <w:sz w:val="22"/>
          <w:szCs w:val="22"/>
          <w:u w:val="single"/>
          <w:lang w:val="en-GB"/>
        </w:rPr>
      </w:pPr>
      <w:r w:rsidRPr="00FD5877">
        <w:rPr>
          <w:rFonts w:ascii="Trebuchet MS" w:hAnsi="Trebuchet MS"/>
          <w:sz w:val="22"/>
          <w:szCs w:val="22"/>
          <w:u w:val="single"/>
          <w:lang w:val="en-GB"/>
        </w:rPr>
        <w:t xml:space="preserve">Question 2 </w:t>
      </w:r>
    </w:p>
    <w:p w:rsidR="00450EC7" w:rsidRPr="00FD5877" w:rsidRDefault="00450EC7" w:rsidP="00B37D9C">
      <w:pPr>
        <w:pStyle w:val="Default"/>
        <w:spacing w:line="276" w:lineRule="auto"/>
        <w:rPr>
          <w:rFonts w:ascii="Trebuchet MS" w:hAnsi="Trebuchet MS"/>
          <w:sz w:val="22"/>
          <w:szCs w:val="22"/>
          <w:u w:val="single"/>
          <w:lang w:val="en-GB"/>
        </w:rPr>
      </w:pPr>
    </w:p>
    <w:p w:rsidR="00AB03F1" w:rsidRDefault="00AB03F1" w:rsidP="00B37D9C">
      <w:pPr>
        <w:tabs>
          <w:tab w:val="left" w:pos="1134"/>
          <w:tab w:val="left" w:pos="6096"/>
          <w:tab w:val="right" w:pos="9072"/>
        </w:tabs>
        <w:spacing w:line="276" w:lineRule="auto"/>
        <w:jc w:val="both"/>
        <w:rPr>
          <w:lang w:val="en-GB"/>
        </w:rPr>
      </w:pPr>
      <w:r w:rsidRPr="004D18BA">
        <w:rPr>
          <w:lang w:val="en-GB"/>
        </w:rPr>
        <w:t xml:space="preserve">Do you agree with the approach proposed, which draws on the methodology developed by the Commission for assessing Member State requests under Article 10(6) of the DGSD? </w:t>
      </w:r>
    </w:p>
    <w:p w:rsidR="00F22D66" w:rsidRPr="004D18BA" w:rsidRDefault="00F22D66" w:rsidP="00B37D9C">
      <w:pPr>
        <w:tabs>
          <w:tab w:val="left" w:pos="1134"/>
          <w:tab w:val="left" w:pos="6096"/>
          <w:tab w:val="right" w:pos="9072"/>
        </w:tabs>
        <w:spacing w:line="276" w:lineRule="auto"/>
        <w:jc w:val="both"/>
        <w:rPr>
          <w:lang w:val="en-GB"/>
        </w:rPr>
      </w:pPr>
    </w:p>
    <w:p w:rsidR="00AB03F1" w:rsidRDefault="00FD5877" w:rsidP="00B37D9C">
      <w:pPr>
        <w:tabs>
          <w:tab w:val="left" w:pos="1134"/>
          <w:tab w:val="left" w:pos="6096"/>
          <w:tab w:val="right" w:pos="9072"/>
        </w:tabs>
        <w:spacing w:line="276" w:lineRule="auto"/>
        <w:jc w:val="both"/>
        <w:rPr>
          <w:i/>
          <w:lang w:val="en-GB"/>
        </w:rPr>
      </w:pPr>
      <w:r w:rsidRPr="00450EC7">
        <w:rPr>
          <w:i/>
          <w:lang w:val="en-GB"/>
        </w:rPr>
        <w:t>Comments</w:t>
      </w:r>
    </w:p>
    <w:p w:rsidR="00450EC7" w:rsidRPr="00450EC7" w:rsidRDefault="00450EC7" w:rsidP="00B37D9C">
      <w:pPr>
        <w:tabs>
          <w:tab w:val="left" w:pos="1134"/>
          <w:tab w:val="left" w:pos="6096"/>
          <w:tab w:val="right" w:pos="9072"/>
        </w:tabs>
        <w:spacing w:line="276" w:lineRule="auto"/>
        <w:jc w:val="both"/>
        <w:rPr>
          <w:i/>
          <w:lang w:val="en-GB"/>
        </w:rPr>
      </w:pPr>
    </w:p>
    <w:p w:rsidR="00F22D66" w:rsidRPr="004D18BA" w:rsidRDefault="00F22D66" w:rsidP="00B37D9C">
      <w:pPr>
        <w:tabs>
          <w:tab w:val="left" w:pos="1134"/>
          <w:tab w:val="left" w:pos="6096"/>
          <w:tab w:val="right" w:pos="9072"/>
        </w:tabs>
        <w:spacing w:line="276" w:lineRule="auto"/>
        <w:jc w:val="both"/>
        <w:rPr>
          <w:lang w:val="en-GB"/>
        </w:rPr>
      </w:pPr>
      <w:r w:rsidRPr="004D18BA">
        <w:rPr>
          <w:rFonts w:cs="Arial"/>
          <w:lang w:val="en-GB"/>
        </w:rPr>
        <w:t>In general we agree</w:t>
      </w:r>
      <w:r w:rsidR="00F052E4">
        <w:rPr>
          <w:rFonts w:cs="Arial"/>
          <w:lang w:val="en-GB"/>
        </w:rPr>
        <w:t>.</w:t>
      </w:r>
      <w:r w:rsidRPr="004D18BA">
        <w:rPr>
          <w:rFonts w:cs="Arial"/>
          <w:lang w:val="en-GB"/>
        </w:rPr>
        <w:t xml:space="preserve"> </w:t>
      </w:r>
      <w:r w:rsidR="00F052E4">
        <w:rPr>
          <w:rFonts w:cs="Arial"/>
          <w:lang w:val="en-GB"/>
        </w:rPr>
        <w:t>N</w:t>
      </w:r>
      <w:r w:rsidRPr="004D18BA">
        <w:rPr>
          <w:rFonts w:cs="Arial"/>
          <w:lang w:val="en-GB"/>
        </w:rPr>
        <w:t>evertheless, we see a need to make the rules not too formal as to enable the flexibility and proportionality needed to react to local needs and (future) developments.</w:t>
      </w:r>
    </w:p>
    <w:p w:rsidR="00AB03F1" w:rsidRPr="00FD5877" w:rsidRDefault="00AB03F1" w:rsidP="00B37D9C">
      <w:pPr>
        <w:pStyle w:val="Default"/>
        <w:spacing w:line="276" w:lineRule="auto"/>
        <w:jc w:val="both"/>
        <w:rPr>
          <w:rFonts w:ascii="Trebuchet MS" w:hAnsi="Trebuchet MS"/>
          <w:sz w:val="22"/>
          <w:szCs w:val="22"/>
          <w:u w:val="single"/>
          <w:lang w:val="en-GB"/>
        </w:rPr>
      </w:pPr>
    </w:p>
    <w:p w:rsidR="00AB03F1" w:rsidRDefault="00AB03F1" w:rsidP="00B37D9C">
      <w:pPr>
        <w:pStyle w:val="Default"/>
        <w:spacing w:line="276" w:lineRule="auto"/>
        <w:jc w:val="both"/>
        <w:rPr>
          <w:rFonts w:ascii="Trebuchet MS" w:hAnsi="Trebuchet MS"/>
          <w:sz w:val="22"/>
          <w:szCs w:val="22"/>
          <w:u w:val="single"/>
          <w:lang w:val="en-GB"/>
        </w:rPr>
      </w:pPr>
      <w:r w:rsidRPr="00FD5877">
        <w:rPr>
          <w:rFonts w:ascii="Trebuchet MS" w:hAnsi="Trebuchet MS"/>
          <w:sz w:val="22"/>
          <w:szCs w:val="22"/>
          <w:u w:val="single"/>
          <w:lang w:val="en-GB"/>
        </w:rPr>
        <w:t xml:space="preserve">Question 3 </w:t>
      </w:r>
    </w:p>
    <w:p w:rsidR="00450EC7" w:rsidRPr="00FD5877" w:rsidRDefault="00450EC7" w:rsidP="00B37D9C">
      <w:pPr>
        <w:pStyle w:val="Default"/>
        <w:spacing w:line="276" w:lineRule="auto"/>
        <w:jc w:val="both"/>
        <w:rPr>
          <w:rFonts w:ascii="Trebuchet MS" w:hAnsi="Trebuchet MS"/>
          <w:sz w:val="22"/>
          <w:szCs w:val="22"/>
          <w:u w:val="single"/>
          <w:lang w:val="en-GB"/>
        </w:rPr>
      </w:pPr>
    </w:p>
    <w:p w:rsidR="00AB03F1" w:rsidRPr="004D18BA" w:rsidRDefault="00AB03F1" w:rsidP="00B37D9C">
      <w:pPr>
        <w:pStyle w:val="Default"/>
        <w:spacing w:line="276" w:lineRule="auto"/>
        <w:jc w:val="both"/>
        <w:rPr>
          <w:rFonts w:ascii="Trebuchet MS" w:hAnsi="Trebuchet MS"/>
          <w:sz w:val="22"/>
          <w:szCs w:val="22"/>
          <w:lang w:val="en-GB"/>
        </w:rPr>
      </w:pPr>
      <w:r w:rsidRPr="004D18BA">
        <w:rPr>
          <w:rFonts w:ascii="Trebuchet MS" w:hAnsi="Trebuchet MS"/>
          <w:sz w:val="22"/>
          <w:szCs w:val="22"/>
          <w:lang w:val="en-GB"/>
        </w:rPr>
        <w:t xml:space="preserve">Is it sufficient to test an institution’s SCV files on the basis of a sample, or should all SCV files tested? </w:t>
      </w:r>
    </w:p>
    <w:p w:rsidR="00AB03F1" w:rsidRPr="004D18BA" w:rsidRDefault="00AB03F1" w:rsidP="00B37D9C">
      <w:pPr>
        <w:pStyle w:val="Default"/>
        <w:spacing w:line="276" w:lineRule="auto"/>
        <w:jc w:val="both"/>
        <w:rPr>
          <w:rFonts w:ascii="Trebuchet MS" w:hAnsi="Trebuchet MS"/>
          <w:sz w:val="22"/>
          <w:szCs w:val="22"/>
          <w:lang w:val="en-GB"/>
        </w:rPr>
      </w:pPr>
      <w:r w:rsidRPr="004D18BA">
        <w:rPr>
          <w:rFonts w:ascii="Trebuchet MS" w:hAnsi="Trebuchet MS"/>
          <w:sz w:val="22"/>
          <w:szCs w:val="22"/>
          <w:lang w:val="en-GB"/>
        </w:rPr>
        <w:t>Which process should a DGS follow in order to define a sample of the SCV file to be tested, and to consider that the sample tested is sufficiently representative of the institution’s full SCV file?</w:t>
      </w:r>
    </w:p>
    <w:p w:rsidR="00AB03F1" w:rsidRDefault="00AB03F1" w:rsidP="00B37D9C">
      <w:pPr>
        <w:pStyle w:val="Default"/>
        <w:spacing w:line="276" w:lineRule="auto"/>
        <w:jc w:val="both"/>
        <w:rPr>
          <w:rFonts w:ascii="Trebuchet MS" w:hAnsi="Trebuchet MS"/>
          <w:sz w:val="22"/>
          <w:szCs w:val="22"/>
          <w:lang w:val="en-GB"/>
        </w:rPr>
      </w:pPr>
    </w:p>
    <w:p w:rsidR="00740DEC" w:rsidRDefault="00740DEC" w:rsidP="00B37D9C">
      <w:pPr>
        <w:pStyle w:val="Default"/>
        <w:spacing w:line="276" w:lineRule="auto"/>
        <w:jc w:val="both"/>
        <w:rPr>
          <w:rFonts w:ascii="Trebuchet MS" w:hAnsi="Trebuchet MS"/>
          <w:sz w:val="22"/>
          <w:szCs w:val="22"/>
          <w:lang w:val="en-GB"/>
        </w:rPr>
      </w:pPr>
    </w:p>
    <w:p w:rsidR="00740DEC" w:rsidRPr="004D18BA" w:rsidRDefault="00740DEC" w:rsidP="00B37D9C">
      <w:pPr>
        <w:pStyle w:val="Default"/>
        <w:spacing w:line="276" w:lineRule="auto"/>
        <w:jc w:val="both"/>
        <w:rPr>
          <w:rFonts w:ascii="Trebuchet MS" w:hAnsi="Trebuchet MS"/>
          <w:sz w:val="22"/>
          <w:szCs w:val="22"/>
          <w:lang w:val="en-GB"/>
        </w:rPr>
      </w:pPr>
    </w:p>
    <w:p w:rsidR="00AB03F1" w:rsidRDefault="00AB03F1" w:rsidP="00B37D9C">
      <w:pPr>
        <w:tabs>
          <w:tab w:val="left" w:pos="1134"/>
          <w:tab w:val="left" w:pos="6096"/>
          <w:tab w:val="right" w:pos="9072"/>
        </w:tabs>
        <w:spacing w:line="276" w:lineRule="auto"/>
        <w:jc w:val="both"/>
        <w:rPr>
          <w:rFonts w:cs="Arial"/>
          <w:i/>
          <w:lang w:val="en-GB"/>
        </w:rPr>
      </w:pPr>
      <w:r w:rsidRPr="00450EC7">
        <w:rPr>
          <w:rFonts w:cs="Arial"/>
          <w:i/>
          <w:lang w:val="en-GB"/>
        </w:rPr>
        <w:lastRenderedPageBreak/>
        <w:t>Comments</w:t>
      </w:r>
    </w:p>
    <w:p w:rsidR="00450EC7" w:rsidRPr="00450EC7" w:rsidRDefault="00450EC7" w:rsidP="00B37D9C">
      <w:pPr>
        <w:tabs>
          <w:tab w:val="left" w:pos="1134"/>
          <w:tab w:val="left" w:pos="6096"/>
          <w:tab w:val="right" w:pos="9072"/>
        </w:tabs>
        <w:spacing w:line="276" w:lineRule="auto"/>
        <w:jc w:val="both"/>
        <w:rPr>
          <w:i/>
          <w:lang w:val="en-GB"/>
        </w:rPr>
      </w:pPr>
    </w:p>
    <w:p w:rsidR="00AB03F1" w:rsidRDefault="00E81B69" w:rsidP="00B37D9C">
      <w:pPr>
        <w:pStyle w:val="Default"/>
        <w:spacing w:line="276" w:lineRule="auto"/>
        <w:jc w:val="both"/>
        <w:rPr>
          <w:rFonts w:ascii="Trebuchet MS" w:hAnsi="Trebuchet MS"/>
          <w:sz w:val="22"/>
          <w:szCs w:val="22"/>
          <w:lang w:val="en-GB"/>
        </w:rPr>
      </w:pPr>
      <w:r>
        <w:rPr>
          <w:rFonts w:ascii="Trebuchet MS" w:hAnsi="Trebuchet MS"/>
          <w:sz w:val="22"/>
          <w:szCs w:val="22"/>
          <w:lang w:val="en-GB"/>
        </w:rPr>
        <w:t>The t</w:t>
      </w:r>
      <w:r w:rsidR="00AB03F1" w:rsidRPr="004D18BA">
        <w:rPr>
          <w:rFonts w:ascii="Trebuchet MS" w:hAnsi="Trebuchet MS"/>
          <w:sz w:val="22"/>
          <w:szCs w:val="22"/>
          <w:lang w:val="en-GB"/>
        </w:rPr>
        <w:t xml:space="preserve">est of a sample should be </w:t>
      </w:r>
      <w:r>
        <w:rPr>
          <w:rFonts w:ascii="Trebuchet MS" w:hAnsi="Trebuchet MS"/>
          <w:sz w:val="22"/>
          <w:szCs w:val="22"/>
          <w:lang w:val="en-GB"/>
        </w:rPr>
        <w:t>sufficient. T</w:t>
      </w:r>
      <w:r w:rsidR="00AB03F1" w:rsidRPr="004D18BA">
        <w:rPr>
          <w:rFonts w:ascii="Trebuchet MS" w:hAnsi="Trebuchet MS"/>
          <w:sz w:val="22"/>
          <w:szCs w:val="22"/>
          <w:lang w:val="en-GB"/>
        </w:rPr>
        <w:t xml:space="preserve">he definition of </w:t>
      </w:r>
      <w:r>
        <w:rPr>
          <w:rFonts w:ascii="Trebuchet MS" w:hAnsi="Trebuchet MS"/>
          <w:sz w:val="22"/>
          <w:szCs w:val="22"/>
          <w:lang w:val="en-GB"/>
        </w:rPr>
        <w:t xml:space="preserve">a </w:t>
      </w:r>
      <w:r w:rsidR="00AB03F1" w:rsidRPr="004D18BA">
        <w:rPr>
          <w:rFonts w:ascii="Trebuchet MS" w:hAnsi="Trebuchet MS"/>
          <w:sz w:val="22"/>
          <w:szCs w:val="22"/>
          <w:lang w:val="en-GB"/>
        </w:rPr>
        <w:t xml:space="preserve">sample should follow the same rules as </w:t>
      </w:r>
      <w:r>
        <w:rPr>
          <w:rFonts w:ascii="Trebuchet MS" w:hAnsi="Trebuchet MS"/>
          <w:sz w:val="22"/>
          <w:szCs w:val="22"/>
          <w:lang w:val="en-GB"/>
        </w:rPr>
        <w:t xml:space="preserve">the </w:t>
      </w:r>
      <w:r w:rsidR="00AB03F1" w:rsidRPr="004D18BA">
        <w:rPr>
          <w:rFonts w:ascii="Trebuchet MS" w:hAnsi="Trebuchet MS"/>
          <w:sz w:val="22"/>
          <w:szCs w:val="22"/>
          <w:lang w:val="en-GB"/>
        </w:rPr>
        <w:t>definition of</w:t>
      </w:r>
      <w:r>
        <w:rPr>
          <w:rFonts w:ascii="Trebuchet MS" w:hAnsi="Trebuchet MS"/>
          <w:sz w:val="22"/>
          <w:szCs w:val="22"/>
          <w:lang w:val="en-GB"/>
        </w:rPr>
        <w:t xml:space="preserve"> a</w:t>
      </w:r>
      <w:r w:rsidR="00AB03F1" w:rsidRPr="004D18BA">
        <w:rPr>
          <w:rFonts w:ascii="Trebuchet MS" w:hAnsi="Trebuchet MS"/>
          <w:sz w:val="22"/>
          <w:szCs w:val="22"/>
          <w:lang w:val="en-GB"/>
        </w:rPr>
        <w:t xml:space="preserve"> sample done by an auditor.</w:t>
      </w:r>
    </w:p>
    <w:p w:rsidR="00AB03F1" w:rsidRPr="004D18BA" w:rsidRDefault="00AB03F1" w:rsidP="00B37D9C">
      <w:pPr>
        <w:tabs>
          <w:tab w:val="left" w:pos="1134"/>
          <w:tab w:val="left" w:pos="6096"/>
          <w:tab w:val="right" w:pos="9072"/>
        </w:tabs>
        <w:spacing w:line="276" w:lineRule="auto"/>
        <w:ind w:left="1620"/>
        <w:jc w:val="both"/>
        <w:rPr>
          <w:rFonts w:cs="Arial"/>
          <w:lang w:val="en-GB"/>
        </w:rPr>
      </w:pPr>
    </w:p>
    <w:p w:rsidR="00AB03F1" w:rsidRDefault="00AB03F1" w:rsidP="00B37D9C">
      <w:pPr>
        <w:pStyle w:val="Default"/>
        <w:spacing w:line="276" w:lineRule="auto"/>
        <w:jc w:val="both"/>
        <w:rPr>
          <w:rFonts w:ascii="Trebuchet MS" w:hAnsi="Trebuchet MS"/>
          <w:sz w:val="22"/>
          <w:szCs w:val="22"/>
          <w:u w:val="single"/>
          <w:lang w:val="en-GB"/>
        </w:rPr>
      </w:pPr>
      <w:r w:rsidRPr="00FD5877">
        <w:rPr>
          <w:rFonts w:ascii="Trebuchet MS" w:hAnsi="Trebuchet MS"/>
          <w:sz w:val="22"/>
          <w:szCs w:val="22"/>
          <w:u w:val="single"/>
          <w:lang w:val="en-GB"/>
        </w:rPr>
        <w:t xml:space="preserve">Question 4 </w:t>
      </w:r>
    </w:p>
    <w:p w:rsidR="00450EC7" w:rsidRPr="00FD5877" w:rsidRDefault="00450EC7" w:rsidP="00B37D9C">
      <w:pPr>
        <w:pStyle w:val="Default"/>
        <w:spacing w:line="276" w:lineRule="auto"/>
        <w:jc w:val="both"/>
        <w:rPr>
          <w:rFonts w:ascii="Trebuchet MS" w:hAnsi="Trebuchet MS"/>
          <w:sz w:val="22"/>
          <w:szCs w:val="22"/>
          <w:u w:val="single"/>
          <w:lang w:val="en-GB"/>
        </w:rPr>
      </w:pPr>
    </w:p>
    <w:p w:rsidR="00AB03F1" w:rsidRPr="004D18BA" w:rsidRDefault="00AB03F1" w:rsidP="00B37D9C">
      <w:pPr>
        <w:pStyle w:val="Default"/>
        <w:spacing w:line="276" w:lineRule="auto"/>
        <w:jc w:val="both"/>
        <w:rPr>
          <w:rFonts w:ascii="Trebuchet MS" w:hAnsi="Trebuchet MS"/>
          <w:sz w:val="22"/>
          <w:szCs w:val="22"/>
          <w:lang w:val="en-GB"/>
        </w:rPr>
      </w:pPr>
      <w:r w:rsidRPr="004D18BA">
        <w:rPr>
          <w:rFonts w:ascii="Trebuchet MS" w:hAnsi="Trebuchet MS"/>
          <w:sz w:val="22"/>
          <w:szCs w:val="22"/>
          <w:lang w:val="en-GB"/>
        </w:rPr>
        <w:t>It is difficult to forecast the financial impact of covering THBs protected under Article 6(2) of the DGSD, or beneficiary accounts (protected under Article 7(3) of the DGSD. The ability to perform stress tests in relation to THBs and beneficiary accounts depends on national arrangements, for example the existence of particular kinds of deposits where temporary high balances are earmarked ex-ante. Nevertheless, do you agree on the need to undertake, at least at a very general level and in a qualitative way, an assessment of the arrangements in place in order to identify THBs and deposits on beneficiary accounts upon failure?</w:t>
      </w:r>
    </w:p>
    <w:p w:rsidR="00AB03F1" w:rsidRPr="004D18BA" w:rsidRDefault="00AB03F1" w:rsidP="00B37D9C">
      <w:pPr>
        <w:pStyle w:val="Default"/>
        <w:spacing w:line="276" w:lineRule="auto"/>
        <w:jc w:val="both"/>
        <w:rPr>
          <w:rFonts w:ascii="Trebuchet MS" w:hAnsi="Trebuchet MS"/>
          <w:sz w:val="22"/>
          <w:szCs w:val="22"/>
          <w:lang w:val="en-GB"/>
        </w:rPr>
      </w:pPr>
    </w:p>
    <w:p w:rsidR="00AB03F1" w:rsidRDefault="00AB03F1" w:rsidP="00B37D9C">
      <w:pPr>
        <w:tabs>
          <w:tab w:val="left" w:pos="1134"/>
          <w:tab w:val="left" w:pos="6096"/>
          <w:tab w:val="right" w:pos="9072"/>
        </w:tabs>
        <w:spacing w:line="276" w:lineRule="auto"/>
        <w:jc w:val="both"/>
        <w:rPr>
          <w:rFonts w:cs="Arial"/>
          <w:i/>
          <w:lang w:val="en-GB"/>
        </w:rPr>
      </w:pPr>
      <w:r w:rsidRPr="00450EC7">
        <w:rPr>
          <w:rFonts w:cs="Arial"/>
          <w:i/>
          <w:lang w:val="en-GB"/>
        </w:rPr>
        <w:t>Comments</w:t>
      </w:r>
    </w:p>
    <w:p w:rsidR="00450EC7" w:rsidRPr="00450EC7" w:rsidRDefault="00450EC7" w:rsidP="00B37D9C">
      <w:pPr>
        <w:tabs>
          <w:tab w:val="left" w:pos="1134"/>
          <w:tab w:val="left" w:pos="6096"/>
          <w:tab w:val="right" w:pos="9072"/>
        </w:tabs>
        <w:spacing w:line="276" w:lineRule="auto"/>
        <w:jc w:val="both"/>
        <w:rPr>
          <w:i/>
          <w:lang w:val="en-GB"/>
        </w:rPr>
      </w:pPr>
    </w:p>
    <w:p w:rsidR="00AB03F1" w:rsidRPr="004D18BA" w:rsidRDefault="00AB03F1" w:rsidP="00B37D9C">
      <w:pPr>
        <w:pStyle w:val="Default"/>
        <w:spacing w:line="276" w:lineRule="auto"/>
        <w:jc w:val="both"/>
        <w:rPr>
          <w:rFonts w:ascii="Trebuchet MS" w:hAnsi="Trebuchet MS"/>
          <w:sz w:val="22"/>
          <w:szCs w:val="22"/>
          <w:lang w:val="en-GB"/>
        </w:rPr>
      </w:pPr>
      <w:r w:rsidRPr="004D18BA">
        <w:rPr>
          <w:rFonts w:ascii="Trebuchet MS" w:hAnsi="Trebuchet MS"/>
          <w:sz w:val="22"/>
          <w:szCs w:val="22"/>
          <w:lang w:val="en-GB"/>
        </w:rPr>
        <w:t>As THBs depend on individual singular circumstances unknown to banks, and on customer request, the actual possible impact of THB can’t be predicted at all</w:t>
      </w:r>
      <w:r w:rsidR="00EC7E60">
        <w:rPr>
          <w:rFonts w:ascii="Trebuchet MS" w:hAnsi="Trebuchet MS"/>
          <w:sz w:val="22"/>
          <w:szCs w:val="22"/>
          <w:lang w:val="en-GB"/>
        </w:rPr>
        <w:t>.</w:t>
      </w:r>
      <w:r w:rsidRPr="004D18BA">
        <w:rPr>
          <w:rFonts w:ascii="Trebuchet MS" w:hAnsi="Trebuchet MS"/>
          <w:sz w:val="22"/>
          <w:szCs w:val="22"/>
          <w:lang w:val="en-GB"/>
        </w:rPr>
        <w:t xml:space="preserve"> </w:t>
      </w:r>
      <w:r w:rsidR="00EC7E60">
        <w:rPr>
          <w:rFonts w:ascii="Trebuchet MS" w:hAnsi="Trebuchet MS"/>
          <w:sz w:val="22"/>
          <w:szCs w:val="22"/>
          <w:lang w:val="en-GB"/>
        </w:rPr>
        <w:t>T</w:t>
      </w:r>
      <w:r w:rsidRPr="004D18BA">
        <w:rPr>
          <w:rFonts w:ascii="Trebuchet MS" w:hAnsi="Trebuchet MS"/>
          <w:sz w:val="22"/>
          <w:szCs w:val="22"/>
          <w:lang w:val="en-GB"/>
        </w:rPr>
        <w:t>hus we do not see any possible way to undertake any test in this area.</w:t>
      </w:r>
    </w:p>
    <w:p w:rsidR="00AB03F1" w:rsidRPr="004D18BA" w:rsidRDefault="00AB03F1" w:rsidP="00B37D9C">
      <w:pPr>
        <w:tabs>
          <w:tab w:val="left" w:pos="1134"/>
          <w:tab w:val="left" w:pos="6096"/>
          <w:tab w:val="right" w:pos="9072"/>
        </w:tabs>
        <w:spacing w:line="276" w:lineRule="auto"/>
        <w:rPr>
          <w:rFonts w:cs="Arial"/>
          <w:lang w:val="en-GB"/>
        </w:rPr>
      </w:pPr>
    </w:p>
    <w:p w:rsidR="00AB03F1" w:rsidRPr="00394B70" w:rsidRDefault="00AB03F1" w:rsidP="00B37D9C">
      <w:pPr>
        <w:pStyle w:val="Default"/>
        <w:spacing w:line="276" w:lineRule="auto"/>
        <w:jc w:val="both"/>
        <w:rPr>
          <w:rFonts w:ascii="Trebuchet MS" w:hAnsi="Trebuchet MS"/>
          <w:sz w:val="22"/>
          <w:szCs w:val="22"/>
          <w:u w:val="single"/>
          <w:lang w:val="en-GB"/>
        </w:rPr>
      </w:pPr>
      <w:r w:rsidRPr="00394B70">
        <w:rPr>
          <w:rFonts w:ascii="Trebuchet MS" w:hAnsi="Trebuchet MS"/>
          <w:sz w:val="22"/>
          <w:szCs w:val="22"/>
          <w:u w:val="single"/>
          <w:lang w:val="en-GB"/>
        </w:rPr>
        <w:t xml:space="preserve">Question 5 </w:t>
      </w:r>
    </w:p>
    <w:p w:rsidR="00450EC7" w:rsidRPr="004D18BA" w:rsidRDefault="00450EC7" w:rsidP="00B37D9C">
      <w:pPr>
        <w:pStyle w:val="Default"/>
        <w:spacing w:line="276" w:lineRule="auto"/>
        <w:jc w:val="both"/>
        <w:rPr>
          <w:rFonts w:ascii="Trebuchet MS" w:hAnsi="Trebuchet MS"/>
          <w:sz w:val="22"/>
          <w:szCs w:val="22"/>
          <w:lang w:val="en-GB"/>
        </w:rPr>
      </w:pPr>
    </w:p>
    <w:p w:rsidR="00AB03F1" w:rsidRPr="004D18BA" w:rsidRDefault="00AB03F1" w:rsidP="00B37D9C">
      <w:pPr>
        <w:pStyle w:val="Default"/>
        <w:spacing w:line="276" w:lineRule="auto"/>
        <w:jc w:val="both"/>
        <w:rPr>
          <w:rFonts w:ascii="Trebuchet MS" w:hAnsi="Trebuchet MS"/>
          <w:sz w:val="22"/>
          <w:szCs w:val="22"/>
          <w:lang w:val="en-GB"/>
        </w:rPr>
      </w:pPr>
      <w:r w:rsidRPr="004D18BA">
        <w:rPr>
          <w:rFonts w:ascii="Trebuchet MS" w:hAnsi="Trebuchet MS"/>
          <w:sz w:val="22"/>
          <w:szCs w:val="22"/>
          <w:lang w:val="en-GB"/>
        </w:rPr>
        <w:t xml:space="preserve">Do you agree with the list of priorities above and the 2019 time horizon? </w:t>
      </w:r>
    </w:p>
    <w:p w:rsidR="00AB03F1" w:rsidRPr="004D18BA" w:rsidRDefault="00AB03F1" w:rsidP="00B37D9C">
      <w:pPr>
        <w:pStyle w:val="Default"/>
        <w:spacing w:line="276" w:lineRule="auto"/>
        <w:jc w:val="both"/>
        <w:rPr>
          <w:rFonts w:ascii="Trebuchet MS" w:hAnsi="Trebuchet MS"/>
          <w:sz w:val="22"/>
          <w:szCs w:val="22"/>
          <w:lang w:val="en-GB"/>
        </w:rPr>
      </w:pPr>
      <w:r w:rsidRPr="004D18BA">
        <w:rPr>
          <w:rFonts w:ascii="Trebuchet MS" w:hAnsi="Trebuchet MS"/>
          <w:sz w:val="22"/>
          <w:szCs w:val="22"/>
          <w:lang w:val="en-GB"/>
        </w:rPr>
        <w:t xml:space="preserve">Do you agree that as a matter of priority operational tests should focus on </w:t>
      </w:r>
      <w:proofErr w:type="spellStart"/>
      <w:r w:rsidRPr="004D18BA">
        <w:rPr>
          <w:rFonts w:ascii="Trebuchet MS" w:hAnsi="Trebuchet MS"/>
          <w:sz w:val="22"/>
          <w:szCs w:val="22"/>
          <w:lang w:val="en-GB"/>
        </w:rPr>
        <w:t>payout</w:t>
      </w:r>
      <w:proofErr w:type="spellEnd"/>
      <w:r w:rsidRPr="004D18BA">
        <w:rPr>
          <w:rFonts w:ascii="Trebuchet MS" w:hAnsi="Trebuchet MS"/>
          <w:sz w:val="22"/>
          <w:szCs w:val="22"/>
          <w:lang w:val="en-GB"/>
        </w:rPr>
        <w:t xml:space="preserve">? Do you believe minimum size criteria should be set in this regard, and if so, which absolute or relative thresholds would you suggest? </w:t>
      </w:r>
    </w:p>
    <w:p w:rsidR="00AB03F1" w:rsidRPr="004D18BA" w:rsidRDefault="00AB03F1" w:rsidP="00B37D9C">
      <w:pPr>
        <w:pStyle w:val="Default"/>
        <w:spacing w:line="276" w:lineRule="auto"/>
        <w:jc w:val="both"/>
        <w:rPr>
          <w:rFonts w:ascii="Trebuchet MS" w:hAnsi="Trebuchet MS"/>
          <w:sz w:val="22"/>
          <w:szCs w:val="22"/>
          <w:lang w:val="en-GB"/>
        </w:rPr>
      </w:pPr>
      <w:r w:rsidRPr="004D18BA">
        <w:rPr>
          <w:rFonts w:ascii="Trebuchet MS" w:hAnsi="Trebuchet MS"/>
          <w:sz w:val="22"/>
          <w:szCs w:val="22"/>
          <w:lang w:val="en-GB"/>
        </w:rPr>
        <w:t xml:space="preserve">Do you agree with the calibration of the funding test, and if not what concrete suggestion would you make? </w:t>
      </w:r>
    </w:p>
    <w:p w:rsidR="00AB03F1" w:rsidRPr="004D18BA" w:rsidRDefault="00AB03F1" w:rsidP="00B37D9C">
      <w:pPr>
        <w:pStyle w:val="Default"/>
        <w:spacing w:line="276" w:lineRule="auto"/>
        <w:jc w:val="both"/>
        <w:rPr>
          <w:rFonts w:ascii="Trebuchet MS" w:hAnsi="Trebuchet MS"/>
          <w:sz w:val="22"/>
          <w:szCs w:val="22"/>
          <w:lang w:val="en-GB"/>
        </w:rPr>
      </w:pPr>
      <w:r w:rsidRPr="004D18BA">
        <w:rPr>
          <w:rFonts w:ascii="Trebuchet MS" w:hAnsi="Trebuchet MS"/>
          <w:sz w:val="22"/>
          <w:szCs w:val="22"/>
          <w:lang w:val="en-GB"/>
        </w:rPr>
        <w:t>Is the limited cross border test sufficient, or should the requirement be strengthened and prescribe, for example fully-fledged cross-border simulation, in light of the Guidelines on Cooperation Agreements currently under development?</w:t>
      </w:r>
    </w:p>
    <w:p w:rsidR="00AB03F1" w:rsidRPr="004D18BA" w:rsidRDefault="00AB03F1" w:rsidP="00B37D9C">
      <w:pPr>
        <w:pStyle w:val="Default"/>
        <w:spacing w:line="276" w:lineRule="auto"/>
        <w:jc w:val="both"/>
        <w:rPr>
          <w:rFonts w:ascii="Trebuchet MS" w:hAnsi="Trebuchet MS"/>
          <w:sz w:val="22"/>
          <w:szCs w:val="22"/>
          <w:lang w:val="en-GB"/>
        </w:rPr>
      </w:pPr>
    </w:p>
    <w:p w:rsidR="00450EC7" w:rsidRDefault="00450EC7" w:rsidP="00B37D9C">
      <w:pPr>
        <w:tabs>
          <w:tab w:val="left" w:pos="1134"/>
          <w:tab w:val="left" w:pos="6096"/>
          <w:tab w:val="right" w:pos="9072"/>
        </w:tabs>
        <w:spacing w:line="276" w:lineRule="auto"/>
        <w:jc w:val="both"/>
        <w:rPr>
          <w:rFonts w:cs="Arial"/>
          <w:i/>
          <w:lang w:val="en-GB"/>
        </w:rPr>
      </w:pPr>
      <w:r>
        <w:rPr>
          <w:rFonts w:cs="Arial"/>
          <w:i/>
          <w:lang w:val="en-GB"/>
        </w:rPr>
        <w:t>Comments</w:t>
      </w:r>
    </w:p>
    <w:p w:rsidR="00AB03F1" w:rsidRPr="00450EC7" w:rsidRDefault="00AB03F1" w:rsidP="00B37D9C">
      <w:pPr>
        <w:tabs>
          <w:tab w:val="left" w:pos="1134"/>
          <w:tab w:val="left" w:pos="6096"/>
          <w:tab w:val="right" w:pos="9072"/>
        </w:tabs>
        <w:spacing w:line="276" w:lineRule="auto"/>
        <w:jc w:val="both"/>
        <w:rPr>
          <w:i/>
          <w:lang w:val="en-GB"/>
        </w:rPr>
      </w:pPr>
      <w:r w:rsidRPr="00450EC7">
        <w:rPr>
          <w:rFonts w:cs="Arial"/>
          <w:i/>
          <w:lang w:val="en-GB"/>
        </w:rPr>
        <w:t xml:space="preserve"> </w:t>
      </w:r>
    </w:p>
    <w:p w:rsidR="00AB03F1" w:rsidRDefault="00AB03F1" w:rsidP="00B37D9C">
      <w:pPr>
        <w:pStyle w:val="Default"/>
        <w:spacing w:line="276" w:lineRule="auto"/>
        <w:jc w:val="both"/>
        <w:rPr>
          <w:rFonts w:ascii="Trebuchet MS" w:hAnsi="Trebuchet MS"/>
          <w:sz w:val="22"/>
          <w:szCs w:val="22"/>
          <w:lang w:val="en-GB"/>
        </w:rPr>
      </w:pPr>
      <w:r w:rsidRPr="004D18BA">
        <w:rPr>
          <w:rFonts w:ascii="Trebuchet MS" w:hAnsi="Trebuchet MS"/>
          <w:sz w:val="22"/>
          <w:szCs w:val="22"/>
          <w:lang w:val="en-GB"/>
        </w:rPr>
        <w:t>Whereas the list of priorities seems to be ambitious but contains relevant tasks, the 2019 time frame is too short: Not having international rules for some questions (e.g. cross-border framework) in place yet, it does not seem possible to make all the testing efforts i</w:t>
      </w:r>
      <w:r w:rsidR="00444B7D">
        <w:rPr>
          <w:rFonts w:ascii="Trebuchet MS" w:hAnsi="Trebuchet MS"/>
          <w:sz w:val="22"/>
          <w:szCs w:val="22"/>
          <w:lang w:val="en-GB"/>
        </w:rPr>
        <w:t>n a qualitative manner in time</w:t>
      </w:r>
      <w:r w:rsidRPr="004D18BA">
        <w:rPr>
          <w:rFonts w:ascii="Trebuchet MS" w:hAnsi="Trebuchet MS"/>
          <w:sz w:val="22"/>
          <w:szCs w:val="22"/>
          <w:lang w:val="en-GB"/>
        </w:rPr>
        <w:t xml:space="preserve"> </w:t>
      </w:r>
      <w:r w:rsidR="00444B7D">
        <w:rPr>
          <w:rFonts w:ascii="Trebuchet MS" w:hAnsi="Trebuchet MS"/>
          <w:sz w:val="22"/>
          <w:szCs w:val="22"/>
          <w:lang w:val="en-GB"/>
        </w:rPr>
        <w:t>(</w:t>
      </w:r>
      <w:r w:rsidRPr="004D18BA">
        <w:rPr>
          <w:rFonts w:ascii="Trebuchet MS" w:hAnsi="Trebuchet MS"/>
          <w:sz w:val="22"/>
          <w:szCs w:val="22"/>
          <w:lang w:val="en-GB"/>
        </w:rPr>
        <w:t>that means, including re-testing, if some tasks have not</w:t>
      </w:r>
      <w:r w:rsidR="00444B7D">
        <w:rPr>
          <w:rFonts w:ascii="Trebuchet MS" w:hAnsi="Trebuchet MS"/>
          <w:sz w:val="22"/>
          <w:szCs w:val="22"/>
          <w:lang w:val="en-GB"/>
        </w:rPr>
        <w:t xml:space="preserve"> been solved in the first test)</w:t>
      </w:r>
      <w:r w:rsidRPr="004D18BA">
        <w:rPr>
          <w:rFonts w:ascii="Trebuchet MS" w:hAnsi="Trebuchet MS"/>
          <w:sz w:val="22"/>
          <w:szCs w:val="22"/>
          <w:lang w:val="en-GB"/>
        </w:rPr>
        <w:t xml:space="preserve">. Whereas the focus on </w:t>
      </w:r>
      <w:proofErr w:type="spellStart"/>
      <w:r w:rsidRPr="004D18BA">
        <w:rPr>
          <w:rFonts w:ascii="Trebuchet MS" w:hAnsi="Trebuchet MS"/>
          <w:sz w:val="22"/>
          <w:szCs w:val="22"/>
          <w:lang w:val="en-GB"/>
        </w:rPr>
        <w:t>payout</w:t>
      </w:r>
      <w:proofErr w:type="spellEnd"/>
      <w:r w:rsidRPr="004D18BA">
        <w:rPr>
          <w:rFonts w:ascii="Trebuchet MS" w:hAnsi="Trebuchet MS"/>
          <w:sz w:val="22"/>
          <w:szCs w:val="22"/>
          <w:lang w:val="en-GB"/>
        </w:rPr>
        <w:t xml:space="preserve"> scenario seems to be fine, the tests on resolution tasks do not seem possible: The resolution authorit</w:t>
      </w:r>
      <w:r w:rsidR="001B13FA">
        <w:rPr>
          <w:rFonts w:ascii="Trebuchet MS" w:hAnsi="Trebuchet MS"/>
          <w:sz w:val="22"/>
          <w:szCs w:val="22"/>
          <w:lang w:val="en-GB"/>
        </w:rPr>
        <w:t>y has to be in the driving seat</w:t>
      </w:r>
      <w:r w:rsidR="00153088">
        <w:rPr>
          <w:rFonts w:ascii="Trebuchet MS" w:hAnsi="Trebuchet MS"/>
          <w:sz w:val="22"/>
          <w:szCs w:val="22"/>
          <w:lang w:val="en-GB"/>
        </w:rPr>
        <w:t>.</w:t>
      </w:r>
      <w:r w:rsidRPr="004D18BA">
        <w:rPr>
          <w:rFonts w:ascii="Trebuchet MS" w:hAnsi="Trebuchet MS"/>
          <w:sz w:val="22"/>
          <w:szCs w:val="22"/>
          <w:lang w:val="en-GB"/>
        </w:rPr>
        <w:t xml:space="preserve"> </w:t>
      </w:r>
      <w:r w:rsidR="00153088">
        <w:rPr>
          <w:rFonts w:ascii="Trebuchet MS" w:hAnsi="Trebuchet MS"/>
          <w:sz w:val="22"/>
          <w:szCs w:val="22"/>
          <w:lang w:val="en-GB"/>
        </w:rPr>
        <w:t>H</w:t>
      </w:r>
      <w:r w:rsidRPr="004D18BA">
        <w:rPr>
          <w:rFonts w:ascii="Trebuchet MS" w:hAnsi="Trebuchet MS"/>
          <w:sz w:val="22"/>
          <w:szCs w:val="22"/>
          <w:lang w:val="en-GB"/>
        </w:rPr>
        <w:t>ow should DGSs plan/make a test?</w:t>
      </w:r>
    </w:p>
    <w:p w:rsidR="00160B87" w:rsidRPr="004D18BA" w:rsidRDefault="00160B87" w:rsidP="00B37D9C">
      <w:pPr>
        <w:pStyle w:val="Default"/>
        <w:spacing w:line="276" w:lineRule="auto"/>
        <w:jc w:val="both"/>
        <w:rPr>
          <w:rFonts w:ascii="Trebuchet MS" w:hAnsi="Trebuchet MS"/>
          <w:sz w:val="22"/>
          <w:szCs w:val="22"/>
          <w:lang w:val="en-GB"/>
        </w:rPr>
      </w:pPr>
    </w:p>
    <w:p w:rsidR="00AB03F1" w:rsidRDefault="00AB03F1" w:rsidP="00B37D9C">
      <w:pPr>
        <w:pStyle w:val="Default"/>
        <w:spacing w:line="276" w:lineRule="auto"/>
        <w:jc w:val="both"/>
        <w:rPr>
          <w:rFonts w:ascii="Trebuchet MS" w:hAnsi="Trebuchet MS"/>
          <w:sz w:val="22"/>
          <w:szCs w:val="22"/>
          <w:lang w:val="en-GB"/>
        </w:rPr>
      </w:pPr>
      <w:r w:rsidRPr="004D18BA">
        <w:rPr>
          <w:rFonts w:ascii="Trebuchet MS" w:hAnsi="Trebuchet MS"/>
          <w:sz w:val="22"/>
          <w:szCs w:val="22"/>
          <w:lang w:val="en-GB"/>
        </w:rPr>
        <w:t xml:space="preserve">The funding tests don’t seem to be appropriate yet: As far as alternative funding methods are not set legally we see no additional value to make arrangements for a hypothetical </w:t>
      </w:r>
      <w:proofErr w:type="spellStart"/>
      <w:r w:rsidRPr="004D18BA">
        <w:rPr>
          <w:rFonts w:ascii="Trebuchet MS" w:hAnsi="Trebuchet MS"/>
          <w:sz w:val="22"/>
          <w:szCs w:val="22"/>
          <w:lang w:val="en-GB"/>
        </w:rPr>
        <w:t>payout</w:t>
      </w:r>
      <w:proofErr w:type="spellEnd"/>
      <w:r w:rsidRPr="004D18BA">
        <w:rPr>
          <w:rFonts w:ascii="Trebuchet MS" w:hAnsi="Trebuchet MS"/>
          <w:sz w:val="22"/>
          <w:szCs w:val="22"/>
          <w:lang w:val="en-GB"/>
        </w:rPr>
        <w:t xml:space="preserve"> case. An unsecured facility granted to a DGS is highly unrealistic, given the increasingly complex regulatory framework. The limited cross border test seems to be fine.</w:t>
      </w:r>
    </w:p>
    <w:p w:rsidR="00060A88" w:rsidRDefault="00060A88" w:rsidP="00B37D9C">
      <w:pPr>
        <w:pStyle w:val="Default"/>
        <w:spacing w:line="276" w:lineRule="auto"/>
        <w:jc w:val="both"/>
        <w:rPr>
          <w:rFonts w:ascii="Trebuchet MS" w:hAnsi="Trebuchet MS"/>
          <w:sz w:val="22"/>
          <w:szCs w:val="22"/>
          <w:lang w:val="en-GB"/>
        </w:rPr>
      </w:pPr>
    </w:p>
    <w:p w:rsidR="00AB03F1" w:rsidRPr="004D18BA" w:rsidRDefault="00AB03F1" w:rsidP="00FD5877">
      <w:pPr>
        <w:tabs>
          <w:tab w:val="left" w:pos="1134"/>
          <w:tab w:val="left" w:pos="6096"/>
          <w:tab w:val="right" w:pos="9072"/>
        </w:tabs>
        <w:spacing w:line="276" w:lineRule="auto"/>
        <w:ind w:left="-709"/>
        <w:rPr>
          <w:rFonts w:cs="Arial"/>
          <w:b/>
          <w:lang w:val="en-GB"/>
        </w:rPr>
      </w:pPr>
      <w:r w:rsidRPr="004D18BA">
        <w:rPr>
          <w:rFonts w:cs="Arial"/>
          <w:b/>
          <w:lang w:val="en-GB"/>
        </w:rPr>
        <w:br/>
      </w:r>
      <w:r w:rsidR="00060A88">
        <w:rPr>
          <w:rFonts w:cs="Arial"/>
          <w:b/>
          <w:lang w:val="en-GB"/>
        </w:rPr>
        <w:tab/>
      </w:r>
      <w:r w:rsidRPr="004D18BA">
        <w:rPr>
          <w:rFonts w:cs="Arial"/>
          <w:b/>
          <w:lang w:val="en-GB"/>
        </w:rPr>
        <w:t>Template (</w:t>
      </w:r>
      <w:r w:rsidR="00F22D66">
        <w:rPr>
          <w:rFonts w:cs="Arial"/>
          <w:b/>
          <w:lang w:val="en-GB"/>
        </w:rPr>
        <w:t>included</w:t>
      </w:r>
      <w:r w:rsidRPr="004D18BA">
        <w:rPr>
          <w:rFonts w:cs="Arial"/>
          <w:b/>
          <w:lang w:val="en-GB"/>
        </w:rPr>
        <w:t xml:space="preserve"> </w:t>
      </w:r>
      <w:r w:rsidR="00F22D66">
        <w:rPr>
          <w:rFonts w:cs="Arial"/>
          <w:b/>
          <w:lang w:val="en-GB"/>
        </w:rPr>
        <w:t>in</w:t>
      </w:r>
      <w:r w:rsidRPr="004D18BA">
        <w:rPr>
          <w:rFonts w:cs="Arial"/>
          <w:b/>
          <w:lang w:val="en-GB"/>
        </w:rPr>
        <w:t xml:space="preserve"> </w:t>
      </w:r>
      <w:r w:rsidR="00F22D66">
        <w:rPr>
          <w:rFonts w:cs="Arial"/>
          <w:b/>
          <w:lang w:val="en-GB"/>
        </w:rPr>
        <w:t>the</w:t>
      </w:r>
      <w:r w:rsidRPr="004D18BA">
        <w:rPr>
          <w:rFonts w:cs="Arial"/>
          <w:b/>
          <w:lang w:val="en-GB"/>
        </w:rPr>
        <w:t xml:space="preserve"> </w:t>
      </w:r>
      <w:r w:rsidR="00F22D66">
        <w:rPr>
          <w:rFonts w:cs="Arial"/>
          <w:b/>
          <w:lang w:val="en-GB"/>
        </w:rPr>
        <w:t>enclosed</w:t>
      </w:r>
      <w:r w:rsidRPr="004D18BA">
        <w:rPr>
          <w:rFonts w:cs="Arial"/>
          <w:b/>
          <w:lang w:val="en-GB"/>
        </w:rPr>
        <w:t xml:space="preserve"> </w:t>
      </w:r>
      <w:r w:rsidR="00F22D66">
        <w:rPr>
          <w:rFonts w:cs="Arial"/>
          <w:b/>
          <w:lang w:val="en-GB"/>
        </w:rPr>
        <w:t>excel</w:t>
      </w:r>
      <w:r w:rsidRPr="004D18BA">
        <w:rPr>
          <w:rFonts w:cs="Arial"/>
          <w:b/>
          <w:lang w:val="en-GB"/>
        </w:rPr>
        <w:t xml:space="preserve"> </w:t>
      </w:r>
      <w:r w:rsidR="00F22D66">
        <w:rPr>
          <w:rFonts w:cs="Arial"/>
          <w:b/>
          <w:lang w:val="en-GB"/>
        </w:rPr>
        <w:t>document</w:t>
      </w:r>
      <w:r w:rsidRPr="004D18BA">
        <w:rPr>
          <w:rFonts w:cs="Arial"/>
          <w:b/>
          <w:lang w:val="en-GB"/>
        </w:rPr>
        <w:t xml:space="preserve">) </w:t>
      </w:r>
    </w:p>
    <w:p w:rsidR="00060A88" w:rsidRDefault="00060A88" w:rsidP="00060A88">
      <w:pPr>
        <w:pStyle w:val="Default"/>
        <w:spacing w:line="276" w:lineRule="auto"/>
        <w:jc w:val="both"/>
        <w:rPr>
          <w:rFonts w:ascii="Trebuchet MS" w:hAnsi="Trebuchet MS"/>
          <w:sz w:val="22"/>
          <w:szCs w:val="22"/>
          <w:lang w:val="en-GB"/>
        </w:rPr>
      </w:pPr>
    </w:p>
    <w:p w:rsidR="00060A88" w:rsidRPr="005D3149" w:rsidRDefault="00AB03F1" w:rsidP="00060A88">
      <w:pPr>
        <w:pStyle w:val="Default"/>
        <w:spacing w:line="276" w:lineRule="auto"/>
        <w:jc w:val="both"/>
        <w:rPr>
          <w:rFonts w:ascii="Trebuchet MS" w:hAnsi="Trebuchet MS"/>
          <w:sz w:val="22"/>
          <w:szCs w:val="22"/>
          <w:u w:val="single"/>
          <w:lang w:val="en-GB"/>
        </w:rPr>
      </w:pPr>
      <w:r w:rsidRPr="005D3149">
        <w:rPr>
          <w:rFonts w:ascii="Trebuchet MS" w:hAnsi="Trebuchet MS"/>
          <w:sz w:val="22"/>
          <w:szCs w:val="22"/>
          <w:u w:val="single"/>
          <w:lang w:val="en-GB"/>
        </w:rPr>
        <w:t>Question 6 for public consultation</w:t>
      </w:r>
    </w:p>
    <w:p w:rsidR="00AB03F1" w:rsidRPr="004D18BA" w:rsidRDefault="00AB03F1" w:rsidP="00060A88">
      <w:pPr>
        <w:pStyle w:val="Default"/>
        <w:spacing w:line="276" w:lineRule="auto"/>
        <w:jc w:val="both"/>
        <w:rPr>
          <w:rFonts w:ascii="Trebuchet MS" w:hAnsi="Trebuchet MS"/>
          <w:sz w:val="22"/>
          <w:szCs w:val="22"/>
          <w:lang w:val="en-GB"/>
        </w:rPr>
      </w:pPr>
      <w:r w:rsidRPr="004D18BA">
        <w:rPr>
          <w:rFonts w:ascii="Trebuchet MS" w:hAnsi="Trebuchet MS"/>
          <w:sz w:val="22"/>
          <w:szCs w:val="22"/>
          <w:lang w:val="en-GB"/>
        </w:rPr>
        <w:t xml:space="preserve"> </w:t>
      </w:r>
    </w:p>
    <w:p w:rsidR="00AB03F1" w:rsidRPr="004D18BA" w:rsidRDefault="00AB03F1" w:rsidP="00060A88">
      <w:pPr>
        <w:pStyle w:val="Default"/>
        <w:spacing w:line="276" w:lineRule="auto"/>
        <w:jc w:val="both"/>
        <w:rPr>
          <w:rFonts w:ascii="Trebuchet MS" w:hAnsi="Trebuchet MS"/>
          <w:sz w:val="22"/>
          <w:szCs w:val="22"/>
          <w:lang w:val="en-GB"/>
        </w:rPr>
      </w:pPr>
      <w:r w:rsidRPr="004D18BA">
        <w:rPr>
          <w:rFonts w:ascii="Trebuchet MS" w:hAnsi="Trebuchet MS"/>
          <w:sz w:val="22"/>
          <w:szCs w:val="22"/>
          <w:lang w:val="en-GB"/>
        </w:rPr>
        <w:t>Do you agree with the template? Suggest amendments or complements.</w:t>
      </w:r>
    </w:p>
    <w:p w:rsidR="00AB03F1" w:rsidRPr="004D18BA" w:rsidRDefault="00AB03F1" w:rsidP="00060A88">
      <w:pPr>
        <w:tabs>
          <w:tab w:val="left" w:pos="1134"/>
          <w:tab w:val="left" w:pos="6096"/>
          <w:tab w:val="right" w:pos="9072"/>
        </w:tabs>
        <w:spacing w:line="276" w:lineRule="auto"/>
        <w:jc w:val="both"/>
        <w:rPr>
          <w:rFonts w:cs="Arial"/>
          <w:b/>
          <w:u w:val="single"/>
          <w:lang w:val="en-GB"/>
        </w:rPr>
      </w:pPr>
    </w:p>
    <w:p w:rsidR="00AB03F1" w:rsidRDefault="00AB03F1" w:rsidP="00060A88">
      <w:pPr>
        <w:tabs>
          <w:tab w:val="left" w:pos="1134"/>
          <w:tab w:val="left" w:pos="6096"/>
          <w:tab w:val="right" w:pos="9072"/>
        </w:tabs>
        <w:spacing w:line="276" w:lineRule="auto"/>
        <w:jc w:val="both"/>
        <w:rPr>
          <w:rFonts w:cs="Arial"/>
          <w:i/>
          <w:lang w:val="en-GB"/>
        </w:rPr>
      </w:pPr>
      <w:r w:rsidRPr="005D3149">
        <w:rPr>
          <w:rFonts w:cs="Arial"/>
          <w:i/>
          <w:u w:val="single"/>
          <w:lang w:val="en-GB"/>
        </w:rPr>
        <w:t>Comments</w:t>
      </w:r>
      <w:r w:rsidRPr="005D3149">
        <w:rPr>
          <w:rFonts w:cs="Arial"/>
          <w:i/>
          <w:lang w:val="en-GB"/>
        </w:rPr>
        <w:t xml:space="preserve"> </w:t>
      </w:r>
    </w:p>
    <w:p w:rsidR="005D3149" w:rsidRPr="005D3149" w:rsidRDefault="005D3149" w:rsidP="00060A88">
      <w:pPr>
        <w:tabs>
          <w:tab w:val="left" w:pos="1134"/>
          <w:tab w:val="left" w:pos="6096"/>
          <w:tab w:val="right" w:pos="9072"/>
        </w:tabs>
        <w:spacing w:line="276" w:lineRule="auto"/>
        <w:jc w:val="both"/>
        <w:rPr>
          <w:rFonts w:cs="Arial"/>
          <w:i/>
          <w:lang w:val="en-GB"/>
        </w:rPr>
      </w:pPr>
    </w:p>
    <w:p w:rsidR="00AB03F1" w:rsidRDefault="00AB03F1" w:rsidP="00060A88">
      <w:pPr>
        <w:pStyle w:val="Default"/>
        <w:spacing w:line="276" w:lineRule="auto"/>
        <w:jc w:val="both"/>
        <w:rPr>
          <w:rFonts w:ascii="Trebuchet MS" w:hAnsi="Trebuchet MS"/>
          <w:sz w:val="22"/>
          <w:szCs w:val="22"/>
          <w:lang w:val="en-GB"/>
        </w:rPr>
      </w:pPr>
      <w:r w:rsidRPr="004D18BA">
        <w:rPr>
          <w:rFonts w:ascii="Trebuchet MS" w:hAnsi="Trebuchet MS"/>
          <w:sz w:val="22"/>
          <w:szCs w:val="22"/>
          <w:lang w:val="en-GB"/>
        </w:rPr>
        <w:t>See our answers to previous questions above, which have to be taken into account when reading the template.</w:t>
      </w:r>
    </w:p>
    <w:p w:rsidR="006669AB" w:rsidRPr="004D18BA" w:rsidRDefault="006669AB" w:rsidP="00060A88">
      <w:pPr>
        <w:pStyle w:val="Default"/>
        <w:spacing w:line="276" w:lineRule="auto"/>
        <w:jc w:val="both"/>
        <w:rPr>
          <w:rFonts w:ascii="Trebuchet MS" w:hAnsi="Trebuchet MS"/>
          <w:sz w:val="22"/>
          <w:szCs w:val="22"/>
          <w:lang w:val="en-GB"/>
        </w:rPr>
      </w:pPr>
    </w:p>
    <w:p w:rsidR="00AB03F1" w:rsidRPr="00D7602E" w:rsidRDefault="00AB03F1" w:rsidP="00FD5877">
      <w:pPr>
        <w:spacing w:line="276" w:lineRule="auto"/>
        <w:rPr>
          <w:color w:val="0F243E" w:themeColor="text2" w:themeShade="80"/>
          <w:lang w:val="en-GB"/>
        </w:rPr>
      </w:pPr>
    </w:p>
    <w:p w:rsidR="00C66A29" w:rsidRPr="00FA0E31" w:rsidRDefault="00C66013" w:rsidP="00FD5877">
      <w:pPr>
        <w:spacing w:line="276" w:lineRule="auto"/>
        <w:rPr>
          <w:rFonts w:cs="Arial"/>
          <w:color w:val="000000"/>
          <w:lang w:val="en-GB" w:eastAsia="en-US"/>
        </w:rPr>
      </w:pPr>
      <w:r>
        <w:rPr>
          <w:rFonts w:cs="Arial"/>
          <w:color w:val="000000"/>
          <w:lang w:val="en-GB" w:eastAsia="en-US"/>
        </w:rPr>
        <w:t>We ask you to give our remarks du</w:t>
      </w:r>
      <w:r w:rsidR="00B960F5" w:rsidRPr="00B960F5">
        <w:rPr>
          <w:rFonts w:cs="Arial"/>
          <w:color w:val="000000"/>
          <w:lang w:val="en-GB" w:eastAsia="en-US"/>
        </w:rPr>
        <w:t>e consideration.</w:t>
      </w:r>
    </w:p>
    <w:p w:rsidR="00686189" w:rsidRDefault="00686189" w:rsidP="0001553C">
      <w:pPr>
        <w:spacing w:line="276" w:lineRule="auto"/>
        <w:rPr>
          <w:rFonts w:cs="Arial"/>
          <w:color w:val="000000"/>
          <w:lang w:val="en-GB" w:eastAsia="en-US"/>
        </w:rPr>
      </w:pPr>
    </w:p>
    <w:p w:rsidR="00686189" w:rsidRDefault="00686189" w:rsidP="0001553C">
      <w:pPr>
        <w:spacing w:line="276" w:lineRule="auto"/>
        <w:rPr>
          <w:rFonts w:cs="Arial"/>
          <w:color w:val="000000"/>
          <w:lang w:val="en-GB" w:eastAsia="en-US"/>
        </w:rPr>
      </w:pPr>
    </w:p>
    <w:p w:rsidR="00C84D8A" w:rsidRPr="00FA0E31" w:rsidRDefault="00686189" w:rsidP="0001553C">
      <w:pPr>
        <w:spacing w:line="276" w:lineRule="auto"/>
        <w:rPr>
          <w:rFonts w:cs="Arial"/>
          <w:color w:val="000000"/>
          <w:lang w:val="en-GB" w:eastAsia="en-US"/>
        </w:rPr>
      </w:pPr>
      <w:r>
        <w:rPr>
          <w:rFonts w:cs="Arial"/>
          <w:color w:val="000000"/>
          <w:lang w:val="en-GB" w:eastAsia="en-US"/>
        </w:rPr>
        <w:t>Y</w:t>
      </w:r>
      <w:r w:rsidR="00C84D8A" w:rsidRPr="00FA0E31">
        <w:rPr>
          <w:rFonts w:cs="Arial"/>
          <w:color w:val="000000"/>
          <w:lang w:val="en-GB" w:eastAsia="en-US"/>
        </w:rPr>
        <w:t xml:space="preserve">ours </w:t>
      </w:r>
      <w:r w:rsidR="004A01A9">
        <w:rPr>
          <w:rFonts w:cs="Arial"/>
          <w:color w:val="000000"/>
          <w:lang w:val="en-GB" w:eastAsia="en-US"/>
        </w:rPr>
        <w:t>sincerely</w:t>
      </w:r>
      <w:r w:rsidR="00C84D8A" w:rsidRPr="00FA0E31">
        <w:rPr>
          <w:rFonts w:cs="Arial"/>
          <w:color w:val="000000"/>
          <w:lang w:val="en-GB" w:eastAsia="en-US"/>
        </w:rPr>
        <w:t>,</w:t>
      </w:r>
    </w:p>
    <w:p w:rsidR="00686189" w:rsidRDefault="00686189" w:rsidP="0001553C">
      <w:pPr>
        <w:spacing w:line="276" w:lineRule="auto"/>
        <w:rPr>
          <w:rFonts w:cs="Arial"/>
          <w:color w:val="000000"/>
          <w:lang w:val="en-GB" w:eastAsia="en-US"/>
        </w:rPr>
      </w:pPr>
    </w:p>
    <w:p w:rsidR="00686189" w:rsidRPr="00FA0E31" w:rsidRDefault="00686189" w:rsidP="0001553C">
      <w:pPr>
        <w:spacing w:line="276" w:lineRule="auto"/>
        <w:rPr>
          <w:rFonts w:cs="Arial"/>
          <w:color w:val="000000"/>
          <w:lang w:val="en-GB" w:eastAsia="en-US"/>
        </w:rPr>
      </w:pPr>
    </w:p>
    <w:p w:rsidR="00C84D8A" w:rsidRPr="00FA0E31" w:rsidRDefault="00C84D8A" w:rsidP="0001553C">
      <w:pPr>
        <w:spacing w:line="276" w:lineRule="auto"/>
        <w:rPr>
          <w:rFonts w:cs="Arial"/>
          <w:color w:val="000000"/>
          <w:lang w:val="en-GB" w:eastAsia="en-US"/>
        </w:rPr>
      </w:pPr>
      <w:r w:rsidRPr="00FA0E31">
        <w:rPr>
          <w:rFonts w:cs="Arial"/>
          <w:color w:val="000000"/>
          <w:lang w:val="en-GB" w:eastAsia="en-US"/>
        </w:rPr>
        <w:t>Dr. Franz Rudorfer</w:t>
      </w:r>
    </w:p>
    <w:p w:rsidR="00C84D8A" w:rsidRPr="00FA0E31" w:rsidRDefault="00C84D8A" w:rsidP="0001553C">
      <w:pPr>
        <w:spacing w:line="276" w:lineRule="auto"/>
        <w:rPr>
          <w:rFonts w:cs="Arial"/>
          <w:color w:val="000000"/>
          <w:lang w:val="en-GB" w:eastAsia="en-US"/>
        </w:rPr>
      </w:pPr>
      <w:r w:rsidRPr="00FA0E31">
        <w:rPr>
          <w:rFonts w:cs="Arial"/>
          <w:color w:val="000000"/>
          <w:lang w:val="en-GB" w:eastAsia="en-US"/>
        </w:rPr>
        <w:t>Managing Director</w:t>
      </w:r>
    </w:p>
    <w:p w:rsidR="005E1BA5" w:rsidRPr="00DC0A36" w:rsidRDefault="00C84D8A" w:rsidP="0001553C">
      <w:pPr>
        <w:spacing w:line="276" w:lineRule="auto"/>
        <w:rPr>
          <w:noProof/>
          <w:lang w:val="en-GB"/>
        </w:rPr>
      </w:pPr>
      <w:r w:rsidRPr="00FA0E31">
        <w:rPr>
          <w:rFonts w:cs="Arial"/>
          <w:color w:val="000000"/>
          <w:lang w:val="en-GB" w:eastAsia="en-US"/>
        </w:rPr>
        <w:t>Division Bank and Insurance</w:t>
      </w:r>
    </w:p>
    <w:p w:rsidR="00346DF4" w:rsidRPr="00DC0A36" w:rsidRDefault="00346DF4">
      <w:pPr>
        <w:spacing w:line="240" w:lineRule="auto"/>
        <w:rPr>
          <w:noProof/>
          <w:lang w:val="en-GB"/>
        </w:rPr>
      </w:pPr>
    </w:p>
    <w:sectPr w:rsidR="00346DF4" w:rsidRPr="00DC0A36" w:rsidSect="00F700E4">
      <w:headerReference w:type="default" r:id="rId9"/>
      <w:headerReference w:type="first" r:id="rId10"/>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8E" w:rsidRDefault="0014018E">
      <w:r>
        <w:separator/>
      </w:r>
    </w:p>
  </w:endnote>
  <w:endnote w:type="continuationSeparator" w:id="0">
    <w:p w:rsidR="0014018E" w:rsidRDefault="0014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8E" w:rsidRDefault="0014018E">
      <w:r>
        <w:separator/>
      </w:r>
    </w:p>
  </w:footnote>
  <w:footnote w:type="continuationSeparator" w:id="0">
    <w:p w:rsidR="0014018E" w:rsidRDefault="00140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901BC7">
      <w:rPr>
        <w:rStyle w:val="Seitenzahl"/>
        <w:noProof/>
      </w:rPr>
      <w:t>2</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F52"/>
    <w:multiLevelType w:val="hybridMultilevel"/>
    <w:tmpl w:val="8CA07FD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nsid w:val="22EE4558"/>
    <w:multiLevelType w:val="hybridMultilevel"/>
    <w:tmpl w:val="FE5E20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60CA6FA0"/>
    <w:multiLevelType w:val="hybridMultilevel"/>
    <w:tmpl w:val="31ACFD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65AC4979"/>
    <w:multiLevelType w:val="hybridMultilevel"/>
    <w:tmpl w:val="BB5406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706238F3"/>
    <w:multiLevelType w:val="hybridMultilevel"/>
    <w:tmpl w:val="04523E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CC"/>
    <w:rsid w:val="00001730"/>
    <w:rsid w:val="000135FB"/>
    <w:rsid w:val="0001553C"/>
    <w:rsid w:val="000163E0"/>
    <w:rsid w:val="00021DBA"/>
    <w:rsid w:val="00024D8C"/>
    <w:rsid w:val="00026657"/>
    <w:rsid w:val="00035D58"/>
    <w:rsid w:val="00044A71"/>
    <w:rsid w:val="00053316"/>
    <w:rsid w:val="00057439"/>
    <w:rsid w:val="00060A88"/>
    <w:rsid w:val="00061814"/>
    <w:rsid w:val="000619FB"/>
    <w:rsid w:val="0008171B"/>
    <w:rsid w:val="0008527D"/>
    <w:rsid w:val="0008698A"/>
    <w:rsid w:val="00086BFB"/>
    <w:rsid w:val="000919C4"/>
    <w:rsid w:val="00094EB8"/>
    <w:rsid w:val="0009753B"/>
    <w:rsid w:val="000A205C"/>
    <w:rsid w:val="000A4FC6"/>
    <w:rsid w:val="000A771B"/>
    <w:rsid w:val="000A7D13"/>
    <w:rsid w:val="000B449E"/>
    <w:rsid w:val="000B4D96"/>
    <w:rsid w:val="000B572C"/>
    <w:rsid w:val="000D7538"/>
    <w:rsid w:val="000E154A"/>
    <w:rsid w:val="000F0604"/>
    <w:rsid w:val="000F1070"/>
    <w:rsid w:val="000F2220"/>
    <w:rsid w:val="000F28BB"/>
    <w:rsid w:val="000F3572"/>
    <w:rsid w:val="000F74C7"/>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A78"/>
    <w:rsid w:val="00153088"/>
    <w:rsid w:val="00155AEE"/>
    <w:rsid w:val="00160B87"/>
    <w:rsid w:val="00161914"/>
    <w:rsid w:val="00163CC0"/>
    <w:rsid w:val="00163DDA"/>
    <w:rsid w:val="00174D0C"/>
    <w:rsid w:val="00183969"/>
    <w:rsid w:val="00196D5C"/>
    <w:rsid w:val="001974F7"/>
    <w:rsid w:val="001A3259"/>
    <w:rsid w:val="001B0788"/>
    <w:rsid w:val="001B13FA"/>
    <w:rsid w:val="001B4AB0"/>
    <w:rsid w:val="001C4931"/>
    <w:rsid w:val="001C49F8"/>
    <w:rsid w:val="001D40CC"/>
    <w:rsid w:val="001F3545"/>
    <w:rsid w:val="001F3AEC"/>
    <w:rsid w:val="002045CC"/>
    <w:rsid w:val="00205DE9"/>
    <w:rsid w:val="002061DD"/>
    <w:rsid w:val="00207AC9"/>
    <w:rsid w:val="00210FDF"/>
    <w:rsid w:val="00224981"/>
    <w:rsid w:val="00240D9B"/>
    <w:rsid w:val="0026358F"/>
    <w:rsid w:val="00264C67"/>
    <w:rsid w:val="00265C18"/>
    <w:rsid w:val="002711FC"/>
    <w:rsid w:val="00272C43"/>
    <w:rsid w:val="00280548"/>
    <w:rsid w:val="00282636"/>
    <w:rsid w:val="0028446E"/>
    <w:rsid w:val="00287819"/>
    <w:rsid w:val="00296269"/>
    <w:rsid w:val="002A00E4"/>
    <w:rsid w:val="002A15C7"/>
    <w:rsid w:val="002A3540"/>
    <w:rsid w:val="002B08BD"/>
    <w:rsid w:val="002B3BF4"/>
    <w:rsid w:val="002B4B41"/>
    <w:rsid w:val="002C5B67"/>
    <w:rsid w:val="002D14BF"/>
    <w:rsid w:val="002D4A90"/>
    <w:rsid w:val="002D69C4"/>
    <w:rsid w:val="002E4BD0"/>
    <w:rsid w:val="002F1DC4"/>
    <w:rsid w:val="003104AE"/>
    <w:rsid w:val="00312578"/>
    <w:rsid w:val="00316718"/>
    <w:rsid w:val="0031680D"/>
    <w:rsid w:val="00320A42"/>
    <w:rsid w:val="00325FCF"/>
    <w:rsid w:val="00327DD3"/>
    <w:rsid w:val="00344DB8"/>
    <w:rsid w:val="00346DF4"/>
    <w:rsid w:val="00361B24"/>
    <w:rsid w:val="003814C3"/>
    <w:rsid w:val="00384948"/>
    <w:rsid w:val="00390AC7"/>
    <w:rsid w:val="003933A5"/>
    <w:rsid w:val="0039371D"/>
    <w:rsid w:val="00394B70"/>
    <w:rsid w:val="003A5633"/>
    <w:rsid w:val="003B3CD9"/>
    <w:rsid w:val="003B3D28"/>
    <w:rsid w:val="003C5804"/>
    <w:rsid w:val="003C622F"/>
    <w:rsid w:val="003D07A4"/>
    <w:rsid w:val="003E09A5"/>
    <w:rsid w:val="003E6845"/>
    <w:rsid w:val="003E6873"/>
    <w:rsid w:val="003F2FF9"/>
    <w:rsid w:val="003F44A2"/>
    <w:rsid w:val="003F5EEF"/>
    <w:rsid w:val="003F6706"/>
    <w:rsid w:val="00404863"/>
    <w:rsid w:val="00414259"/>
    <w:rsid w:val="004235FB"/>
    <w:rsid w:val="00425684"/>
    <w:rsid w:val="00430245"/>
    <w:rsid w:val="004302FD"/>
    <w:rsid w:val="004339AE"/>
    <w:rsid w:val="004400CB"/>
    <w:rsid w:val="00444B7D"/>
    <w:rsid w:val="00445FAF"/>
    <w:rsid w:val="0044708F"/>
    <w:rsid w:val="00450B6F"/>
    <w:rsid w:val="00450EC7"/>
    <w:rsid w:val="00461F65"/>
    <w:rsid w:val="004632A4"/>
    <w:rsid w:val="00470480"/>
    <w:rsid w:val="004745CD"/>
    <w:rsid w:val="00480120"/>
    <w:rsid w:val="00482639"/>
    <w:rsid w:val="00485220"/>
    <w:rsid w:val="0048523B"/>
    <w:rsid w:val="00487A00"/>
    <w:rsid w:val="004926F1"/>
    <w:rsid w:val="004A01A9"/>
    <w:rsid w:val="004A115F"/>
    <w:rsid w:val="004B2194"/>
    <w:rsid w:val="004C0AD4"/>
    <w:rsid w:val="004C0E9B"/>
    <w:rsid w:val="004C2C46"/>
    <w:rsid w:val="004C5E94"/>
    <w:rsid w:val="004C6FA4"/>
    <w:rsid w:val="004D1102"/>
    <w:rsid w:val="004D18BA"/>
    <w:rsid w:val="004D1A1E"/>
    <w:rsid w:val="004E2249"/>
    <w:rsid w:val="004E51E5"/>
    <w:rsid w:val="004F1B60"/>
    <w:rsid w:val="004F6198"/>
    <w:rsid w:val="00505343"/>
    <w:rsid w:val="00517690"/>
    <w:rsid w:val="00521B7F"/>
    <w:rsid w:val="00535CF4"/>
    <w:rsid w:val="00550380"/>
    <w:rsid w:val="005548F9"/>
    <w:rsid w:val="00556359"/>
    <w:rsid w:val="00556B9E"/>
    <w:rsid w:val="00560A66"/>
    <w:rsid w:val="00562C44"/>
    <w:rsid w:val="00576F32"/>
    <w:rsid w:val="00590AAE"/>
    <w:rsid w:val="005A2D33"/>
    <w:rsid w:val="005B1218"/>
    <w:rsid w:val="005B3FB7"/>
    <w:rsid w:val="005C04FF"/>
    <w:rsid w:val="005C218C"/>
    <w:rsid w:val="005D0470"/>
    <w:rsid w:val="005D08DC"/>
    <w:rsid w:val="005D1620"/>
    <w:rsid w:val="005D3149"/>
    <w:rsid w:val="005D4F47"/>
    <w:rsid w:val="005E1BA5"/>
    <w:rsid w:val="005E7180"/>
    <w:rsid w:val="005F288C"/>
    <w:rsid w:val="005F632A"/>
    <w:rsid w:val="00606AFA"/>
    <w:rsid w:val="00622B51"/>
    <w:rsid w:val="00623752"/>
    <w:rsid w:val="00623872"/>
    <w:rsid w:val="006261AF"/>
    <w:rsid w:val="00641DC4"/>
    <w:rsid w:val="00642235"/>
    <w:rsid w:val="00642A57"/>
    <w:rsid w:val="00644CFA"/>
    <w:rsid w:val="006518A3"/>
    <w:rsid w:val="0065464B"/>
    <w:rsid w:val="00660D58"/>
    <w:rsid w:val="006669AB"/>
    <w:rsid w:val="00677F47"/>
    <w:rsid w:val="00683614"/>
    <w:rsid w:val="0068403B"/>
    <w:rsid w:val="00686189"/>
    <w:rsid w:val="0069309F"/>
    <w:rsid w:val="006A55B4"/>
    <w:rsid w:val="006C33D2"/>
    <w:rsid w:val="006D25C2"/>
    <w:rsid w:val="006D6427"/>
    <w:rsid w:val="006E0163"/>
    <w:rsid w:val="006E5185"/>
    <w:rsid w:val="006E7DA1"/>
    <w:rsid w:val="006F5732"/>
    <w:rsid w:val="006F7021"/>
    <w:rsid w:val="007053E7"/>
    <w:rsid w:val="007114EC"/>
    <w:rsid w:val="007203E6"/>
    <w:rsid w:val="00724C39"/>
    <w:rsid w:val="0072798F"/>
    <w:rsid w:val="00732AFB"/>
    <w:rsid w:val="0073402F"/>
    <w:rsid w:val="0073440E"/>
    <w:rsid w:val="00740DEC"/>
    <w:rsid w:val="00743A63"/>
    <w:rsid w:val="00754BAF"/>
    <w:rsid w:val="00766B69"/>
    <w:rsid w:val="007755BF"/>
    <w:rsid w:val="007762A4"/>
    <w:rsid w:val="00776348"/>
    <w:rsid w:val="00776934"/>
    <w:rsid w:val="00782541"/>
    <w:rsid w:val="00783F4D"/>
    <w:rsid w:val="00787669"/>
    <w:rsid w:val="00795782"/>
    <w:rsid w:val="00795DEF"/>
    <w:rsid w:val="007A1751"/>
    <w:rsid w:val="007B32D2"/>
    <w:rsid w:val="007B3A82"/>
    <w:rsid w:val="007B3EA1"/>
    <w:rsid w:val="007B641D"/>
    <w:rsid w:val="007C2F92"/>
    <w:rsid w:val="007D0A79"/>
    <w:rsid w:val="007D3573"/>
    <w:rsid w:val="007D4FE3"/>
    <w:rsid w:val="007E6B3B"/>
    <w:rsid w:val="0080291B"/>
    <w:rsid w:val="0080414A"/>
    <w:rsid w:val="0081169B"/>
    <w:rsid w:val="00812F74"/>
    <w:rsid w:val="00815C5E"/>
    <w:rsid w:val="00816598"/>
    <w:rsid w:val="008255E7"/>
    <w:rsid w:val="00827825"/>
    <w:rsid w:val="008323A2"/>
    <w:rsid w:val="008351DF"/>
    <w:rsid w:val="008406BB"/>
    <w:rsid w:val="0084684D"/>
    <w:rsid w:val="0086077B"/>
    <w:rsid w:val="00864AF6"/>
    <w:rsid w:val="008718EC"/>
    <w:rsid w:val="008720A6"/>
    <w:rsid w:val="008745CD"/>
    <w:rsid w:val="00881BC0"/>
    <w:rsid w:val="00884544"/>
    <w:rsid w:val="0088500E"/>
    <w:rsid w:val="0089476E"/>
    <w:rsid w:val="008953FC"/>
    <w:rsid w:val="008976FF"/>
    <w:rsid w:val="008A14CD"/>
    <w:rsid w:val="008B1362"/>
    <w:rsid w:val="008B1D1A"/>
    <w:rsid w:val="008C679C"/>
    <w:rsid w:val="008D469D"/>
    <w:rsid w:val="008D5D3B"/>
    <w:rsid w:val="008D70E6"/>
    <w:rsid w:val="008E02AC"/>
    <w:rsid w:val="008F1DD3"/>
    <w:rsid w:val="008F3076"/>
    <w:rsid w:val="008F3EA3"/>
    <w:rsid w:val="0090095F"/>
    <w:rsid w:val="00901BC7"/>
    <w:rsid w:val="00935B03"/>
    <w:rsid w:val="0093708A"/>
    <w:rsid w:val="00942F6C"/>
    <w:rsid w:val="0094333B"/>
    <w:rsid w:val="0094518B"/>
    <w:rsid w:val="009458C0"/>
    <w:rsid w:val="009632CC"/>
    <w:rsid w:val="00965380"/>
    <w:rsid w:val="009853E1"/>
    <w:rsid w:val="009922DC"/>
    <w:rsid w:val="009972E3"/>
    <w:rsid w:val="009B6C3A"/>
    <w:rsid w:val="009C1E08"/>
    <w:rsid w:val="009C6136"/>
    <w:rsid w:val="009D188F"/>
    <w:rsid w:val="009D58FA"/>
    <w:rsid w:val="009E1189"/>
    <w:rsid w:val="009E11EB"/>
    <w:rsid w:val="009E5929"/>
    <w:rsid w:val="009E66CA"/>
    <w:rsid w:val="009F4450"/>
    <w:rsid w:val="009F57DA"/>
    <w:rsid w:val="009F6A00"/>
    <w:rsid w:val="00A01B18"/>
    <w:rsid w:val="00A0265B"/>
    <w:rsid w:val="00A07FE0"/>
    <w:rsid w:val="00A147F7"/>
    <w:rsid w:val="00A21AEC"/>
    <w:rsid w:val="00A23371"/>
    <w:rsid w:val="00A23661"/>
    <w:rsid w:val="00A36834"/>
    <w:rsid w:val="00A437DE"/>
    <w:rsid w:val="00A47CE1"/>
    <w:rsid w:val="00A500F1"/>
    <w:rsid w:val="00A5381E"/>
    <w:rsid w:val="00A54C2F"/>
    <w:rsid w:val="00A55757"/>
    <w:rsid w:val="00A558DB"/>
    <w:rsid w:val="00A64C34"/>
    <w:rsid w:val="00A705F5"/>
    <w:rsid w:val="00A707A7"/>
    <w:rsid w:val="00A71B4E"/>
    <w:rsid w:val="00A81341"/>
    <w:rsid w:val="00A82C13"/>
    <w:rsid w:val="00A8532A"/>
    <w:rsid w:val="00A955F6"/>
    <w:rsid w:val="00A959CC"/>
    <w:rsid w:val="00A97AE7"/>
    <w:rsid w:val="00AA0432"/>
    <w:rsid w:val="00AB03F1"/>
    <w:rsid w:val="00AB5857"/>
    <w:rsid w:val="00AB59B3"/>
    <w:rsid w:val="00AC28DE"/>
    <w:rsid w:val="00AD053F"/>
    <w:rsid w:val="00AE02B3"/>
    <w:rsid w:val="00AE457B"/>
    <w:rsid w:val="00AE5F13"/>
    <w:rsid w:val="00AE6511"/>
    <w:rsid w:val="00B10218"/>
    <w:rsid w:val="00B17B80"/>
    <w:rsid w:val="00B32456"/>
    <w:rsid w:val="00B36C46"/>
    <w:rsid w:val="00B37D9C"/>
    <w:rsid w:val="00B415CA"/>
    <w:rsid w:val="00B447AA"/>
    <w:rsid w:val="00B467F0"/>
    <w:rsid w:val="00B46C57"/>
    <w:rsid w:val="00B532F2"/>
    <w:rsid w:val="00B55633"/>
    <w:rsid w:val="00B6209E"/>
    <w:rsid w:val="00B63C71"/>
    <w:rsid w:val="00B64838"/>
    <w:rsid w:val="00B6488D"/>
    <w:rsid w:val="00B6710C"/>
    <w:rsid w:val="00B67CEF"/>
    <w:rsid w:val="00B77DAA"/>
    <w:rsid w:val="00B80186"/>
    <w:rsid w:val="00B8623F"/>
    <w:rsid w:val="00B918FD"/>
    <w:rsid w:val="00B960F5"/>
    <w:rsid w:val="00BA5E95"/>
    <w:rsid w:val="00BA6878"/>
    <w:rsid w:val="00BA7A5E"/>
    <w:rsid w:val="00BB344D"/>
    <w:rsid w:val="00BC6569"/>
    <w:rsid w:val="00BD2D5E"/>
    <w:rsid w:val="00BD3A1D"/>
    <w:rsid w:val="00BD7362"/>
    <w:rsid w:val="00BE7A33"/>
    <w:rsid w:val="00BF1820"/>
    <w:rsid w:val="00BF2A57"/>
    <w:rsid w:val="00BF3BB7"/>
    <w:rsid w:val="00C044AE"/>
    <w:rsid w:val="00C21BF0"/>
    <w:rsid w:val="00C26147"/>
    <w:rsid w:val="00C34E41"/>
    <w:rsid w:val="00C376E8"/>
    <w:rsid w:val="00C47B46"/>
    <w:rsid w:val="00C519C2"/>
    <w:rsid w:val="00C53E11"/>
    <w:rsid w:val="00C543F8"/>
    <w:rsid w:val="00C64B6E"/>
    <w:rsid w:val="00C66013"/>
    <w:rsid w:val="00C66A29"/>
    <w:rsid w:val="00C728A8"/>
    <w:rsid w:val="00C84D8A"/>
    <w:rsid w:val="00C97D15"/>
    <w:rsid w:val="00CA1356"/>
    <w:rsid w:val="00CB2954"/>
    <w:rsid w:val="00CB797F"/>
    <w:rsid w:val="00CC1072"/>
    <w:rsid w:val="00CD2A67"/>
    <w:rsid w:val="00CD4E8C"/>
    <w:rsid w:val="00CD4ED3"/>
    <w:rsid w:val="00CE1526"/>
    <w:rsid w:val="00CE1A19"/>
    <w:rsid w:val="00CE3F94"/>
    <w:rsid w:val="00CE4DD7"/>
    <w:rsid w:val="00CF63BD"/>
    <w:rsid w:val="00D10757"/>
    <w:rsid w:val="00D1088D"/>
    <w:rsid w:val="00D35759"/>
    <w:rsid w:val="00D364F4"/>
    <w:rsid w:val="00D371BE"/>
    <w:rsid w:val="00D37B81"/>
    <w:rsid w:val="00D42F9C"/>
    <w:rsid w:val="00D55968"/>
    <w:rsid w:val="00D57833"/>
    <w:rsid w:val="00D61E2F"/>
    <w:rsid w:val="00D63F9C"/>
    <w:rsid w:val="00D6614C"/>
    <w:rsid w:val="00D679C5"/>
    <w:rsid w:val="00D708D7"/>
    <w:rsid w:val="00D77C55"/>
    <w:rsid w:val="00D82226"/>
    <w:rsid w:val="00D84A26"/>
    <w:rsid w:val="00D90D34"/>
    <w:rsid w:val="00D9226A"/>
    <w:rsid w:val="00DA13B9"/>
    <w:rsid w:val="00DA5251"/>
    <w:rsid w:val="00DA783B"/>
    <w:rsid w:val="00DB117B"/>
    <w:rsid w:val="00DB4FF8"/>
    <w:rsid w:val="00DC0A36"/>
    <w:rsid w:val="00DC2F9C"/>
    <w:rsid w:val="00DD4E27"/>
    <w:rsid w:val="00DE102F"/>
    <w:rsid w:val="00DF55E6"/>
    <w:rsid w:val="00E03E4B"/>
    <w:rsid w:val="00E0664D"/>
    <w:rsid w:val="00E20EFA"/>
    <w:rsid w:val="00E2444D"/>
    <w:rsid w:val="00E25162"/>
    <w:rsid w:val="00E260A8"/>
    <w:rsid w:val="00E376EA"/>
    <w:rsid w:val="00E41DFD"/>
    <w:rsid w:val="00E4233B"/>
    <w:rsid w:val="00E45332"/>
    <w:rsid w:val="00E505CF"/>
    <w:rsid w:val="00E51B60"/>
    <w:rsid w:val="00E72490"/>
    <w:rsid w:val="00E754C8"/>
    <w:rsid w:val="00E8006A"/>
    <w:rsid w:val="00E81371"/>
    <w:rsid w:val="00E81B69"/>
    <w:rsid w:val="00E82191"/>
    <w:rsid w:val="00E87DCD"/>
    <w:rsid w:val="00E95C5D"/>
    <w:rsid w:val="00EA1FF4"/>
    <w:rsid w:val="00EB13E2"/>
    <w:rsid w:val="00EB2182"/>
    <w:rsid w:val="00EB3B01"/>
    <w:rsid w:val="00EC6597"/>
    <w:rsid w:val="00EC7E60"/>
    <w:rsid w:val="00ED0561"/>
    <w:rsid w:val="00ED171E"/>
    <w:rsid w:val="00ED2466"/>
    <w:rsid w:val="00ED44B8"/>
    <w:rsid w:val="00EE33EF"/>
    <w:rsid w:val="00F039F2"/>
    <w:rsid w:val="00F052E4"/>
    <w:rsid w:val="00F06018"/>
    <w:rsid w:val="00F17F3D"/>
    <w:rsid w:val="00F22D66"/>
    <w:rsid w:val="00F253EA"/>
    <w:rsid w:val="00F37341"/>
    <w:rsid w:val="00F42876"/>
    <w:rsid w:val="00F472AC"/>
    <w:rsid w:val="00F57342"/>
    <w:rsid w:val="00F700E4"/>
    <w:rsid w:val="00F71922"/>
    <w:rsid w:val="00F744E0"/>
    <w:rsid w:val="00F77CC4"/>
    <w:rsid w:val="00F77E12"/>
    <w:rsid w:val="00F8025E"/>
    <w:rsid w:val="00F878D2"/>
    <w:rsid w:val="00F90148"/>
    <w:rsid w:val="00F9470D"/>
    <w:rsid w:val="00F9528C"/>
    <w:rsid w:val="00FA150F"/>
    <w:rsid w:val="00FB282A"/>
    <w:rsid w:val="00FB6113"/>
    <w:rsid w:val="00FC5F01"/>
    <w:rsid w:val="00FD1999"/>
    <w:rsid w:val="00FD1D18"/>
    <w:rsid w:val="00FD48B2"/>
    <w:rsid w:val="00FD4B23"/>
    <w:rsid w:val="00FD5877"/>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basedOn w:val="Standard"/>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paragraph" w:styleId="KeinLeerraum">
    <w:name w:val="No Spacing"/>
    <w:uiPriority w:val="1"/>
    <w:qFormat/>
    <w:rsid w:val="00DE102F"/>
    <w:rPr>
      <w:rFonts w:ascii="Arial" w:eastAsia="Calibri" w:hAnsi="Arial"/>
      <w:sz w:val="22"/>
      <w:szCs w:val="22"/>
      <w:lang w:eastAsia="en-US"/>
    </w:rPr>
  </w:style>
  <w:style w:type="character" w:styleId="Funotenzeichen">
    <w:name w:val="footnote reference"/>
    <w:uiPriority w:val="99"/>
    <w:unhideWhenUsed/>
    <w:rsid w:val="00C53E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basedOn w:val="Standard"/>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paragraph" w:styleId="KeinLeerraum">
    <w:name w:val="No Spacing"/>
    <w:uiPriority w:val="1"/>
    <w:qFormat/>
    <w:rsid w:val="00DE102F"/>
    <w:rPr>
      <w:rFonts w:ascii="Arial" w:eastAsia="Calibri" w:hAnsi="Arial"/>
      <w:sz w:val="22"/>
      <w:szCs w:val="22"/>
      <w:lang w:eastAsia="en-US"/>
    </w:rPr>
  </w:style>
  <w:style w:type="character" w:styleId="Funotenzeichen">
    <w:name w:val="footnote reference"/>
    <w:uiPriority w:val="99"/>
    <w:unhideWhenUsed/>
    <w:rsid w:val="00C53E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27209892">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12231750">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379012576">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3005006">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1327893">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63547741">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51308816">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70934064">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16048-E8F5-4DAC-92D5-DF444593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8132</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Kern Alexander, Mag., WKÖ BSBV</cp:lastModifiedBy>
  <cp:revision>35</cp:revision>
  <cp:lastPrinted>2016-01-26T07:33:00Z</cp:lastPrinted>
  <dcterms:created xsi:type="dcterms:W3CDTF">2016-02-01T16:32:00Z</dcterms:created>
  <dcterms:modified xsi:type="dcterms:W3CDTF">2016-02-03T11:25:00Z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y fmtid="{D5CDD505-2E9C-101B-9397-08002B2CF9AE}" pid="3" name="_NewReviewCycle">
    <vt:lpwstr/>
  </property>
</Properties>
</file>