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100CEB" w:rsidTr="00D364F4">
        <w:trPr>
          <w:trHeight w:hRule="exact" w:val="3600"/>
        </w:trPr>
        <w:tc>
          <w:tcPr>
            <w:tcW w:w="5102" w:type="dxa"/>
          </w:tcPr>
          <w:p w:rsidR="00B51CB0" w:rsidRPr="00805DBB" w:rsidRDefault="00650AE5" w:rsidP="00CE5D6F">
            <w:r>
              <w:rPr>
                <w:lang w:val="fi-FI"/>
              </w:rPr>
              <w:br/>
            </w:r>
          </w:p>
          <w:p w:rsidR="00B51CB0" w:rsidRDefault="00B51CB0" w:rsidP="00CE5D6F">
            <w:pPr>
              <w:rPr>
                <w:lang w:val="fi-FI"/>
              </w:rPr>
            </w:pPr>
          </w:p>
          <w:p w:rsidR="00CB2954" w:rsidRPr="00B22761" w:rsidRDefault="00CB2954" w:rsidP="00CE5D6F">
            <w:pPr>
              <w:rPr>
                <w:sz w:val="52"/>
                <w:szCs w:val="52"/>
                <w:lang w:val="fi-FI"/>
              </w:rPr>
            </w:pPr>
          </w:p>
        </w:tc>
        <w:tc>
          <w:tcPr>
            <w:tcW w:w="4649" w:type="dxa"/>
          </w:tcPr>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CE5D6F">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Wiedner Hauptstraße 63 | P.O. Box 320</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1045 Vienna</w:t>
            </w:r>
          </w:p>
          <w:p w:rsidR="00642235" w:rsidRPr="00D364F4" w:rsidRDefault="00642235" w:rsidP="00CE5D6F">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rsidR="00642235" w:rsidRPr="00D364F4" w:rsidRDefault="00642235" w:rsidP="00CE5D6F">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CE5D6F">
            <w:pPr>
              <w:spacing w:line="260" w:lineRule="atLeast"/>
              <w:jc w:val="right"/>
              <w:rPr>
                <w:lang w:val="en-GB"/>
              </w:rPr>
            </w:pPr>
            <w:r w:rsidRPr="00D364F4">
              <w:rPr>
                <w:noProof/>
                <w:color w:val="000000"/>
                <w:sz w:val="18"/>
                <w:szCs w:val="18"/>
                <w:lang w:val="en-GB"/>
              </w:rPr>
              <w:t>W  http://wko.at/bsbv</w:t>
            </w:r>
          </w:p>
        </w:tc>
      </w:tr>
    </w:tbl>
    <w:p w:rsidR="00642235" w:rsidRPr="00C21BF0" w:rsidRDefault="00642235" w:rsidP="00CE5D6F">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DC0A36" w:rsidRDefault="00642235" w:rsidP="00CE5D6F">
      <w:pPr>
        <w:tabs>
          <w:tab w:val="left" w:pos="2892"/>
          <w:tab w:val="left" w:pos="5783"/>
          <w:tab w:val="left" w:pos="7655"/>
        </w:tabs>
        <w:rPr>
          <w:color w:val="000000"/>
          <w:lang w:val="en-GB"/>
        </w:rPr>
      </w:pPr>
      <w:r w:rsidRPr="00C21BF0">
        <w:rPr>
          <w:color w:val="000000"/>
          <w:lang w:val="en-GB"/>
        </w:rPr>
        <w:tab/>
      </w:r>
      <w:r w:rsidRPr="00DC0A36">
        <w:rPr>
          <w:noProof/>
          <w:color w:val="000000"/>
          <w:lang w:val="en-GB"/>
        </w:rPr>
        <w:t>BSBV</w:t>
      </w:r>
      <w:r w:rsidR="00CE5D6F">
        <w:rPr>
          <w:noProof/>
          <w:color w:val="000000"/>
          <w:lang w:val="en-GB"/>
        </w:rPr>
        <w:t xml:space="preserve"> </w:t>
      </w:r>
      <w:r w:rsidR="005C7948">
        <w:rPr>
          <w:noProof/>
          <w:color w:val="000000"/>
          <w:lang w:val="en-GB"/>
        </w:rPr>
        <w:t>1</w:t>
      </w:r>
      <w:r w:rsidR="008F7C39">
        <w:rPr>
          <w:noProof/>
          <w:color w:val="000000"/>
          <w:lang w:val="en-GB"/>
        </w:rPr>
        <w:t>15</w:t>
      </w:r>
      <w:r w:rsidR="00641DC4" w:rsidRPr="00DC0A36">
        <w:rPr>
          <w:noProof/>
          <w:color w:val="000000"/>
          <w:lang w:val="en-GB"/>
        </w:rPr>
        <w:t>/</w:t>
      </w:r>
      <w:r w:rsidR="00CE5D6F">
        <w:rPr>
          <w:noProof/>
          <w:color w:val="000000"/>
          <w:lang w:val="en-GB"/>
        </w:rPr>
        <w:t>Horvath</w:t>
      </w:r>
      <w:r w:rsidR="00641DC4" w:rsidRPr="00DC0A36">
        <w:rPr>
          <w:noProof/>
          <w:color w:val="000000"/>
          <w:lang w:val="en-GB"/>
        </w:rPr>
        <w:tab/>
        <w:t>31</w:t>
      </w:r>
      <w:r w:rsidR="00CE5D6F">
        <w:rPr>
          <w:noProof/>
          <w:color w:val="000000"/>
          <w:lang w:val="en-GB"/>
        </w:rPr>
        <w:t>41</w:t>
      </w:r>
      <w:r w:rsidRPr="00DC0A36">
        <w:rPr>
          <w:color w:val="000000"/>
          <w:lang w:val="en-GB"/>
        </w:rPr>
        <w:tab/>
      </w:r>
      <w:r w:rsidR="008F7C39">
        <w:rPr>
          <w:color w:val="000000"/>
          <w:lang w:val="en-GB"/>
        </w:rPr>
        <w:t>13</w:t>
      </w:r>
      <w:r w:rsidR="005B2525" w:rsidRPr="005B2525">
        <w:rPr>
          <w:color w:val="000000"/>
          <w:vertAlign w:val="superscript"/>
          <w:lang w:val="en-GB"/>
        </w:rPr>
        <w:t>th</w:t>
      </w:r>
      <w:r w:rsidR="005B2525">
        <w:rPr>
          <w:color w:val="000000"/>
          <w:lang w:val="en-GB"/>
        </w:rPr>
        <w:t xml:space="preserve"> </w:t>
      </w:r>
      <w:r w:rsidR="005C7948">
        <w:rPr>
          <w:color w:val="000000"/>
          <w:lang w:val="en-GB"/>
        </w:rPr>
        <w:t>Ju</w:t>
      </w:r>
      <w:r w:rsidR="005B2525">
        <w:rPr>
          <w:color w:val="000000"/>
          <w:lang w:val="en-GB"/>
        </w:rPr>
        <w:t>ly</w:t>
      </w:r>
      <w:r w:rsidR="003568E9">
        <w:rPr>
          <w:color w:val="000000"/>
          <w:lang w:val="en-GB"/>
        </w:rPr>
        <w:t xml:space="preserve"> </w:t>
      </w:r>
      <w:r w:rsidR="00D82226" w:rsidRPr="00DC0A36">
        <w:rPr>
          <w:color w:val="000000"/>
          <w:lang w:val="en-GB"/>
        </w:rPr>
        <w:t>201</w:t>
      </w:r>
      <w:r w:rsidR="00CE5D6F">
        <w:rPr>
          <w:color w:val="000000"/>
          <w:lang w:val="en-GB"/>
        </w:rPr>
        <w:t>6</w:t>
      </w:r>
    </w:p>
    <w:p w:rsidR="00E754C8" w:rsidRDefault="00E754C8" w:rsidP="00CE5D6F">
      <w:pPr>
        <w:rPr>
          <w:color w:val="000000"/>
          <w:sz w:val="24"/>
          <w:szCs w:val="24"/>
          <w:lang w:val="en-GB"/>
        </w:rPr>
      </w:pPr>
    </w:p>
    <w:p w:rsidR="00A82C13" w:rsidRPr="00DC0A36" w:rsidRDefault="00A82C13" w:rsidP="00CE5D6F">
      <w:pPr>
        <w:rPr>
          <w:color w:val="000000"/>
          <w:sz w:val="24"/>
          <w:szCs w:val="24"/>
          <w:lang w:val="en-GB"/>
        </w:rPr>
      </w:pPr>
    </w:p>
    <w:p w:rsidR="00445BDF" w:rsidRDefault="00445BDF" w:rsidP="00CE5D6F">
      <w:pPr>
        <w:rPr>
          <w:rFonts w:cs="Arial"/>
          <w:b/>
          <w:sz w:val="24"/>
          <w:szCs w:val="24"/>
          <w:lang w:val="en-US"/>
        </w:rPr>
      </w:pPr>
    </w:p>
    <w:p w:rsidR="00B22761" w:rsidRDefault="008F7C39" w:rsidP="00CE5D6F">
      <w:pPr>
        <w:rPr>
          <w:rFonts w:cs="Arial"/>
          <w:b/>
          <w:sz w:val="24"/>
          <w:szCs w:val="24"/>
          <w:lang w:val="en-US"/>
        </w:rPr>
      </w:pPr>
      <w:r>
        <w:rPr>
          <w:rFonts w:cs="Arial"/>
          <w:b/>
          <w:sz w:val="24"/>
          <w:szCs w:val="24"/>
          <w:lang w:val="en-US"/>
        </w:rPr>
        <w:t>EBA: Consultation Paper – Draft Regulatory Technical Standards on disclosure of encumbered and unencumbered assets under Article 443 of the CRR</w:t>
      </w:r>
    </w:p>
    <w:p w:rsidR="008F7C39" w:rsidRDefault="008F7C39" w:rsidP="00CE5D6F">
      <w:pPr>
        <w:rPr>
          <w:lang w:val="en-GB"/>
        </w:rPr>
      </w:pPr>
    </w:p>
    <w:p w:rsidR="00445BDF" w:rsidRDefault="00445BDF" w:rsidP="00A97BC9">
      <w:pPr>
        <w:spacing w:line="240" w:lineRule="auto"/>
        <w:rPr>
          <w:lang w:val="en-GB"/>
        </w:rPr>
      </w:pPr>
    </w:p>
    <w:p w:rsidR="00DC0A36" w:rsidRDefault="00DC0A36" w:rsidP="00A97BC9">
      <w:pPr>
        <w:spacing w:line="240" w:lineRule="auto"/>
        <w:rPr>
          <w:rFonts w:cs="Arial"/>
          <w:color w:val="000000"/>
          <w:lang w:val="en-GB" w:eastAsia="en-US"/>
        </w:rPr>
      </w:pPr>
      <w:r w:rsidRPr="00DC0A36">
        <w:rPr>
          <w:lang w:val="en-GB"/>
        </w:rPr>
        <w:t xml:space="preserve">The Division Bank and Insurance of the Austrian Federal Economic </w:t>
      </w:r>
      <w:proofErr w:type="gramStart"/>
      <w:r w:rsidRPr="00DC0A36">
        <w:rPr>
          <w:lang w:val="en-GB"/>
        </w:rPr>
        <w:t>Chamber,</w:t>
      </w:r>
      <w:proofErr w:type="gramEnd"/>
      <w:r w:rsidRPr="00DC0A36">
        <w:rPr>
          <w:lang w:val="en-GB"/>
        </w:rPr>
        <w:t xml:space="preserve"> as representative of the entire Austrian banking industry, appreciates the possibility to</w:t>
      </w:r>
      <w:r w:rsidR="00B467F0" w:rsidRPr="00487A00">
        <w:rPr>
          <w:rFonts w:cs="Arial"/>
          <w:color w:val="000000"/>
          <w:lang w:val="en-GB" w:eastAsia="en-US"/>
        </w:rPr>
        <w:t xml:space="preserve"> comment on </w:t>
      </w:r>
      <w:r w:rsidR="00B467F0">
        <w:rPr>
          <w:rFonts w:cs="Arial"/>
          <w:color w:val="000000"/>
          <w:lang w:val="en-GB" w:eastAsia="en-US"/>
        </w:rPr>
        <w:t xml:space="preserve">the above cited </w:t>
      </w:r>
      <w:r w:rsidR="00CE5D6F">
        <w:rPr>
          <w:rFonts w:cs="Arial"/>
          <w:color w:val="000000"/>
          <w:lang w:val="en-GB" w:eastAsia="en-US"/>
        </w:rPr>
        <w:t xml:space="preserve">consultation </w:t>
      </w:r>
      <w:r w:rsidR="008F7C39">
        <w:rPr>
          <w:rFonts w:cs="Arial"/>
          <w:color w:val="000000"/>
          <w:lang w:val="en-GB" w:eastAsia="en-US"/>
        </w:rPr>
        <w:t>paper</w:t>
      </w:r>
      <w:r w:rsidR="00B467F0">
        <w:rPr>
          <w:rFonts w:cs="Arial"/>
          <w:color w:val="000000"/>
          <w:lang w:val="en-GB" w:eastAsia="en-US"/>
        </w:rPr>
        <w:t xml:space="preserve"> </w:t>
      </w:r>
      <w:r w:rsidR="00B467F0" w:rsidRPr="00487A00">
        <w:rPr>
          <w:rFonts w:cs="Arial"/>
          <w:color w:val="000000"/>
          <w:lang w:val="en-GB" w:eastAsia="en-US"/>
        </w:rPr>
        <w:t>and would like to submit the following position:</w:t>
      </w:r>
    </w:p>
    <w:p w:rsidR="003C35DC" w:rsidRPr="009D188F" w:rsidRDefault="003C35DC" w:rsidP="00A97BC9">
      <w:pPr>
        <w:spacing w:line="240" w:lineRule="auto"/>
        <w:rPr>
          <w:lang w:val="en-GB"/>
        </w:rPr>
      </w:pPr>
    </w:p>
    <w:p w:rsidR="00A97BC9" w:rsidRDefault="00A97BC9" w:rsidP="00A97BC9">
      <w:pPr>
        <w:pStyle w:val="berschrift1"/>
        <w:pageBreakBefore w:val="0"/>
        <w:numPr>
          <w:ilvl w:val="0"/>
          <w:numId w:val="21"/>
        </w:numPr>
        <w:spacing w:after="0" w:line="240" w:lineRule="auto"/>
        <w:rPr>
          <w:rFonts w:ascii="Trebuchet MS" w:hAnsi="Trebuchet MS" w:cs="Arial"/>
          <w:bCs w:val="0"/>
          <w:caps w:val="0"/>
          <w:color w:val="000000"/>
          <w:kern w:val="0"/>
          <w:sz w:val="22"/>
          <w:szCs w:val="22"/>
          <w:lang w:val="en-GB" w:eastAsia="en-US"/>
        </w:rPr>
      </w:pPr>
      <w:r w:rsidRPr="00A97BC9">
        <w:rPr>
          <w:rFonts w:ascii="Trebuchet MS" w:hAnsi="Trebuchet MS" w:cs="Arial"/>
          <w:bCs w:val="0"/>
          <w:caps w:val="0"/>
          <w:color w:val="000000"/>
          <w:kern w:val="0"/>
          <w:sz w:val="22"/>
          <w:szCs w:val="22"/>
          <w:lang w:val="en-GB" w:eastAsia="en-US"/>
        </w:rPr>
        <w:t>General Comments</w:t>
      </w:r>
    </w:p>
    <w:p w:rsidR="00445BDF" w:rsidRPr="00445BDF" w:rsidRDefault="00445BDF" w:rsidP="00445BDF">
      <w:pPr>
        <w:rPr>
          <w:lang w:val="en-GB" w:eastAsia="en-US"/>
        </w:rPr>
      </w:pPr>
    </w:p>
    <w:p w:rsidR="00A97BC9" w:rsidRPr="00A97BC9" w:rsidRDefault="00A97BC9" w:rsidP="00A97BC9">
      <w:pPr>
        <w:spacing w:line="240" w:lineRule="auto"/>
        <w:rPr>
          <w:rFonts w:cs="Arial"/>
          <w:color w:val="000000"/>
          <w:lang w:val="en-GB" w:eastAsia="en-US"/>
        </w:rPr>
      </w:pPr>
      <w:r w:rsidRPr="00A97BC9">
        <w:rPr>
          <w:rFonts w:cs="Arial"/>
          <w:color w:val="000000"/>
          <w:lang w:val="en-GB" w:eastAsia="en-US"/>
        </w:rPr>
        <w:t xml:space="preserve">Strong asset encumbrance results in a worse position of unsecured creditors in case of the bank resolution or liquidation. Nevertheless it should be emphasized when disclosing the level of asset encumbrance, that there are other important aspects of financial reporting (i.e. asset quality, capitalization etc.) which need to be considered when evaluating the bank’s balance sheet. </w:t>
      </w:r>
    </w:p>
    <w:p w:rsidR="003B4A49" w:rsidRDefault="003B4A49" w:rsidP="00A97BC9">
      <w:pPr>
        <w:spacing w:line="240" w:lineRule="auto"/>
        <w:rPr>
          <w:rFonts w:cs="Arial"/>
          <w:color w:val="000000"/>
          <w:lang w:val="en-GB" w:eastAsia="en-US"/>
        </w:rPr>
      </w:pPr>
    </w:p>
    <w:p w:rsidR="00A97BC9" w:rsidRPr="00A97BC9" w:rsidRDefault="00A97BC9" w:rsidP="00A97BC9">
      <w:pPr>
        <w:spacing w:line="240" w:lineRule="auto"/>
        <w:rPr>
          <w:rFonts w:cs="Arial"/>
          <w:color w:val="000000"/>
          <w:lang w:val="en-GB" w:eastAsia="en-US"/>
        </w:rPr>
      </w:pPr>
      <w:r w:rsidRPr="00A97BC9">
        <w:rPr>
          <w:rFonts w:cs="Arial"/>
          <w:color w:val="000000"/>
          <w:lang w:val="en-GB" w:eastAsia="en-US"/>
        </w:rPr>
        <w:t xml:space="preserve">Otherwise, unsecured creditors might overstate the asset encumbrance considerations when calculating the possible recovery rate which would automatically trigger higher funding costs for some banks. These considerations especially need to be taken into account as the bail-in regulatory requirements already put a strain on the cost of funding. </w:t>
      </w:r>
    </w:p>
    <w:p w:rsidR="00A97BC9" w:rsidRPr="00A97BC9" w:rsidRDefault="00A97BC9" w:rsidP="00A97BC9">
      <w:pPr>
        <w:spacing w:line="240" w:lineRule="auto"/>
        <w:rPr>
          <w:rFonts w:cs="Arial"/>
          <w:color w:val="000000"/>
          <w:lang w:val="en-GB" w:eastAsia="en-US"/>
        </w:rPr>
      </w:pPr>
    </w:p>
    <w:p w:rsidR="00A97BC9" w:rsidRDefault="00A97BC9" w:rsidP="00A97BC9">
      <w:pPr>
        <w:pStyle w:val="Listenabsatz"/>
        <w:numPr>
          <w:ilvl w:val="0"/>
          <w:numId w:val="21"/>
        </w:numPr>
        <w:spacing w:line="240" w:lineRule="auto"/>
        <w:rPr>
          <w:rFonts w:cs="Arial"/>
          <w:b/>
          <w:color w:val="000000"/>
          <w:lang w:val="en-GB" w:eastAsia="en-US"/>
        </w:rPr>
      </w:pPr>
      <w:r>
        <w:rPr>
          <w:rFonts w:cs="Arial"/>
          <w:b/>
          <w:color w:val="000000"/>
          <w:lang w:val="en-GB" w:eastAsia="en-US"/>
        </w:rPr>
        <w:t>Answers to the questions</w:t>
      </w:r>
    </w:p>
    <w:p w:rsidR="00445BDF" w:rsidRPr="00A97BC9" w:rsidRDefault="00445BDF" w:rsidP="00445BDF">
      <w:pPr>
        <w:pStyle w:val="Listenabsatz"/>
        <w:spacing w:line="240" w:lineRule="auto"/>
        <w:rPr>
          <w:rFonts w:cs="Arial"/>
          <w:b/>
          <w:color w:val="000000"/>
          <w:lang w:val="en-GB" w:eastAsia="en-US"/>
        </w:rPr>
      </w:pPr>
    </w:p>
    <w:p w:rsidR="00306173" w:rsidRPr="00306173" w:rsidRDefault="00A97BC9" w:rsidP="00306173">
      <w:pPr>
        <w:autoSpaceDE w:val="0"/>
        <w:autoSpaceDN w:val="0"/>
        <w:adjustRightInd w:val="0"/>
        <w:spacing w:line="240" w:lineRule="auto"/>
        <w:rPr>
          <w:lang w:val="en-GB"/>
        </w:rPr>
      </w:pPr>
      <w:r w:rsidRPr="00A97BC9">
        <w:rPr>
          <w:rFonts w:cs="Arial"/>
          <w:b/>
          <w:color w:val="000000"/>
          <w:lang w:val="en-GB" w:eastAsia="en-US"/>
        </w:rPr>
        <w:t>Q1.</w:t>
      </w:r>
      <w:r w:rsidRPr="00A97BC9">
        <w:rPr>
          <w:rFonts w:cs="Arial"/>
          <w:color w:val="000000"/>
          <w:lang w:val="en-GB" w:eastAsia="en-US"/>
        </w:rPr>
        <w:t xml:space="preserve"> </w:t>
      </w:r>
      <w:r w:rsidR="00306173" w:rsidRPr="00306173">
        <w:rPr>
          <w:lang w:val="en-GB"/>
        </w:rPr>
        <w:t>Yes, the funding by the central bank should be part of encumbrance disclosures for the users of financial statements in order to have a full and true picture of the liquidity profile of the reporting entity. These fields follow the reporting structure of current regulatory asset encumbrance reporting and are sufficient for providing a good picture of type of assets for users of financial statements.</w:t>
      </w:r>
    </w:p>
    <w:p w:rsidR="00306173" w:rsidRPr="00306173" w:rsidRDefault="00306173" w:rsidP="00306173">
      <w:pPr>
        <w:spacing w:line="240" w:lineRule="auto"/>
        <w:rPr>
          <w:lang w:val="en-GB"/>
        </w:rPr>
      </w:pPr>
    </w:p>
    <w:p w:rsidR="00A97BC9" w:rsidRPr="00A97BC9" w:rsidRDefault="00A97BC9" w:rsidP="00A97BC9">
      <w:pPr>
        <w:spacing w:line="240" w:lineRule="auto"/>
        <w:rPr>
          <w:lang w:val="en-GB"/>
        </w:rPr>
      </w:pPr>
      <w:r w:rsidRPr="00A97BC9">
        <w:rPr>
          <w:rFonts w:cs="Arial"/>
          <w:color w:val="000000"/>
          <w:lang w:val="en-GB" w:eastAsia="en-US"/>
        </w:rPr>
        <w:t xml:space="preserve">Given the current </w:t>
      </w:r>
      <w:r w:rsidRPr="00A97BC9">
        <w:rPr>
          <w:lang w:val="en-GB"/>
        </w:rPr>
        <w:t>situation, as well as the frequency of disclosure on encumbered and unencumbered assets, we do not see any issue regarding potential detection of CB ELA and therefore no necessity to change (i.e. reduce or enlarge) the list of fields required for minimum disclosure.</w:t>
      </w:r>
    </w:p>
    <w:p w:rsidR="00A97BC9" w:rsidRPr="00A97BC9" w:rsidRDefault="00A97BC9" w:rsidP="00A97BC9">
      <w:pPr>
        <w:spacing w:line="240" w:lineRule="auto"/>
        <w:rPr>
          <w:lang w:val="en-GB"/>
        </w:rPr>
      </w:pPr>
    </w:p>
    <w:p w:rsidR="00396156" w:rsidRPr="00396156" w:rsidRDefault="00A97BC9" w:rsidP="003B4A49">
      <w:pPr>
        <w:autoSpaceDE w:val="0"/>
        <w:autoSpaceDN w:val="0"/>
        <w:adjustRightInd w:val="0"/>
        <w:spacing w:line="240" w:lineRule="auto"/>
        <w:rPr>
          <w:lang w:val="en-GB"/>
        </w:rPr>
      </w:pPr>
      <w:r w:rsidRPr="00A97BC9">
        <w:rPr>
          <w:b/>
          <w:snapToGrid/>
          <w:lang w:val="en-GB"/>
        </w:rPr>
        <w:lastRenderedPageBreak/>
        <w:t>Q2.</w:t>
      </w:r>
      <w:r w:rsidRPr="00A97BC9">
        <w:rPr>
          <w:snapToGrid/>
          <w:lang w:val="en-GB"/>
        </w:rPr>
        <w:t xml:space="preserve"> </w:t>
      </w:r>
      <w:r w:rsidR="00396156" w:rsidRPr="00396156">
        <w:rPr>
          <w:lang w:val="en-GB"/>
        </w:rPr>
        <w:t>Using the end of period values is sufficient information for the purpose of disclosure of encumbered/unencumbered assets. Due to the fact that all other information being disclosed is on the basis of end of period values, we would prefer the same treatment in case of encumbered/unencumbered assets. In case of increased transparency regarding the disclosed central bank funding, it is not necessarily associated with emergency liquidity assistance as suggested in the consultation document. Moreover, using end of period balances will not lead to an increased reporting burden.</w:t>
      </w:r>
    </w:p>
    <w:p w:rsidR="00396156" w:rsidRDefault="00396156" w:rsidP="00A97BC9">
      <w:pPr>
        <w:pStyle w:val="StandardWeb"/>
        <w:spacing w:before="0" w:beforeAutospacing="0" w:after="0" w:afterAutospacing="0"/>
        <w:rPr>
          <w:rFonts w:ascii="Trebuchet MS" w:eastAsia="Times New Roman" w:hAnsi="Trebuchet MS" w:cs="Trebuchet MS"/>
          <w:snapToGrid w:val="0"/>
          <w:sz w:val="22"/>
          <w:szCs w:val="22"/>
          <w:lang w:val="en-GB"/>
        </w:rPr>
      </w:pPr>
    </w:p>
    <w:p w:rsidR="00445BDF" w:rsidRDefault="00396156" w:rsidP="00A97BC9">
      <w:pPr>
        <w:pStyle w:val="StandardWeb"/>
        <w:spacing w:before="0" w:beforeAutospacing="0" w:after="0" w:afterAutospacing="0"/>
        <w:rPr>
          <w:rFonts w:ascii="Trebuchet MS" w:eastAsia="Times New Roman" w:hAnsi="Trebuchet MS" w:cs="Trebuchet MS"/>
          <w:snapToGrid w:val="0"/>
          <w:sz w:val="22"/>
          <w:szCs w:val="22"/>
          <w:lang w:val="en-GB"/>
        </w:rPr>
      </w:pPr>
      <w:proofErr w:type="spellStart"/>
      <w:r>
        <w:rPr>
          <w:rFonts w:ascii="Trebuchet MS" w:eastAsia="Times New Roman" w:hAnsi="Trebuchet MS" w:cs="Trebuchet MS"/>
          <w:snapToGrid w:val="0"/>
          <w:sz w:val="22"/>
          <w:szCs w:val="22"/>
          <w:lang w:val="en-GB"/>
        </w:rPr>
        <w:t>Therfore</w:t>
      </w:r>
      <w:proofErr w:type="spellEnd"/>
      <w:r>
        <w:rPr>
          <w:rFonts w:ascii="Trebuchet MS" w:eastAsia="Times New Roman" w:hAnsi="Trebuchet MS" w:cs="Trebuchet MS"/>
          <w:snapToGrid w:val="0"/>
          <w:sz w:val="22"/>
          <w:szCs w:val="22"/>
          <w:lang w:val="en-GB"/>
        </w:rPr>
        <w:t xml:space="preserve"> w</w:t>
      </w:r>
      <w:r w:rsidR="00A97BC9" w:rsidRPr="00A97BC9">
        <w:rPr>
          <w:rFonts w:ascii="Trebuchet MS" w:eastAsia="Times New Roman" w:hAnsi="Trebuchet MS" w:cs="Trebuchet MS"/>
          <w:snapToGrid w:val="0"/>
          <w:sz w:val="22"/>
          <w:szCs w:val="22"/>
          <w:lang w:val="en-GB"/>
        </w:rPr>
        <w:t>e advocate for the using of end of period values for disclosure purposes. Median values require additional resources and lead to an additional burden for technical implementation. Additionally, the aims of the draft RTS to ensure consistency and promote comparability and transparency can be achieved in a sufficient manner when using end of period values. We believe that end of period values are even better suited to provide market participants with consistency since financial statements also use end of period values to show the entity’s financial situation.</w:t>
      </w:r>
    </w:p>
    <w:p w:rsidR="00445BDF" w:rsidRDefault="00445BDF" w:rsidP="00A97BC9">
      <w:pPr>
        <w:pStyle w:val="StandardWeb"/>
        <w:spacing w:before="0" w:beforeAutospacing="0" w:after="0" w:afterAutospacing="0"/>
        <w:rPr>
          <w:rFonts w:ascii="Trebuchet MS" w:eastAsia="Times New Roman" w:hAnsi="Trebuchet MS" w:cs="Trebuchet MS"/>
          <w:snapToGrid w:val="0"/>
          <w:sz w:val="22"/>
          <w:szCs w:val="22"/>
          <w:lang w:val="en-GB"/>
        </w:rPr>
      </w:pPr>
    </w:p>
    <w:p w:rsidR="00A97BC9" w:rsidRPr="00A97BC9" w:rsidRDefault="00A97BC9" w:rsidP="00A97BC9">
      <w:pPr>
        <w:spacing w:line="240" w:lineRule="auto"/>
        <w:rPr>
          <w:lang w:val="en-GB"/>
        </w:rPr>
      </w:pPr>
      <w:r w:rsidRPr="00A97BC9">
        <w:rPr>
          <w:lang w:val="en-GB"/>
        </w:rPr>
        <w:t>In our opinion median values have no beneficial effect on the actual consumer of the disclosure. In addition commenting on median values might make the narrative part redundant, e.g. an effective and sustainable change in encumbrance will only materialize in the figures considerable time later. We propose to always use “as of” figures for all disclosure reports.</w:t>
      </w:r>
    </w:p>
    <w:p w:rsidR="00445BDF" w:rsidRDefault="00445BDF" w:rsidP="00445BDF">
      <w:pPr>
        <w:pStyle w:val="StandardWeb"/>
        <w:spacing w:before="0" w:beforeAutospacing="0" w:after="0" w:afterAutospacing="0"/>
        <w:rPr>
          <w:rFonts w:ascii="Trebuchet MS" w:eastAsia="Times New Roman" w:hAnsi="Trebuchet MS" w:cs="Trebuchet MS"/>
          <w:snapToGrid w:val="0"/>
          <w:sz w:val="22"/>
          <w:szCs w:val="22"/>
          <w:lang w:val="en-GB"/>
        </w:rPr>
      </w:pPr>
    </w:p>
    <w:p w:rsidR="00445BDF" w:rsidRPr="00A97BC9" w:rsidRDefault="00445BDF" w:rsidP="00445BDF">
      <w:pPr>
        <w:pStyle w:val="StandardWeb"/>
        <w:spacing w:before="0" w:beforeAutospacing="0" w:after="0" w:afterAutospacing="0"/>
        <w:rPr>
          <w:rFonts w:ascii="Trebuchet MS" w:eastAsia="Times New Roman" w:hAnsi="Trebuchet MS" w:cs="Trebuchet MS"/>
          <w:snapToGrid w:val="0"/>
          <w:sz w:val="22"/>
          <w:szCs w:val="22"/>
          <w:lang w:val="en-GB"/>
        </w:rPr>
      </w:pPr>
      <w:r w:rsidRPr="00A97BC9">
        <w:rPr>
          <w:rFonts w:ascii="Trebuchet MS" w:eastAsia="Times New Roman" w:hAnsi="Trebuchet MS" w:cs="Trebuchet MS"/>
          <w:snapToGrid w:val="0"/>
          <w:sz w:val="22"/>
          <w:szCs w:val="22"/>
          <w:lang w:val="en-GB"/>
        </w:rPr>
        <w:t xml:space="preserve">Lastly, COMMISSION DELEGATED REGULATION (EU) 2015/62 amending Regulation (EU) No 575/2013 of the European Parliament and of the Council with regard to the leverage ratio also declares that point in time reporting of the leverage ratio at the end of the quarterly reporting period rather than reporting on the basis of a three-month average better aligns the leverage ratio with solvency reporting. </w:t>
      </w:r>
    </w:p>
    <w:p w:rsidR="00A97BC9" w:rsidRPr="00A97BC9" w:rsidRDefault="00A97BC9" w:rsidP="00A97BC9">
      <w:pPr>
        <w:spacing w:line="240" w:lineRule="auto"/>
        <w:rPr>
          <w:lang w:val="en-GB"/>
        </w:rPr>
      </w:pPr>
    </w:p>
    <w:p w:rsidR="00396156" w:rsidRPr="00396156" w:rsidRDefault="00A97BC9" w:rsidP="003B4A49">
      <w:pPr>
        <w:autoSpaceDE w:val="0"/>
        <w:autoSpaceDN w:val="0"/>
        <w:adjustRightInd w:val="0"/>
        <w:spacing w:line="240" w:lineRule="auto"/>
        <w:rPr>
          <w:lang w:val="en-GB"/>
        </w:rPr>
      </w:pPr>
      <w:r w:rsidRPr="00A97BC9">
        <w:rPr>
          <w:b/>
          <w:lang w:val="en-GB"/>
        </w:rPr>
        <w:t>Q3.</w:t>
      </w:r>
      <w:r w:rsidRPr="00A97BC9">
        <w:rPr>
          <w:lang w:val="en-GB"/>
        </w:rPr>
        <w:t xml:space="preserve"> If median values shall be used we suggest the usi</w:t>
      </w:r>
      <w:r w:rsidR="00396156">
        <w:rPr>
          <w:lang w:val="en-GB"/>
        </w:rPr>
        <w:t>ng of ’median of the sums’ as a</w:t>
      </w:r>
      <w:r w:rsidRPr="00A97BC9">
        <w:rPr>
          <w:lang w:val="en-GB"/>
        </w:rPr>
        <w:t xml:space="preserve"> viable approach</w:t>
      </w:r>
      <w:r w:rsidR="00396156">
        <w:rPr>
          <w:lang w:val="en-GB"/>
        </w:rPr>
        <w:t xml:space="preserve">. </w:t>
      </w:r>
      <w:r w:rsidR="00396156" w:rsidRPr="00396156">
        <w:rPr>
          <w:lang w:val="en-GB"/>
        </w:rPr>
        <w:t>The ‘median of the sums method’ seems to be more appropriate than the sum of the medians as it provides additional information to the ‘sum of medians’, which can be deducted from other disclosed rows of the template.</w:t>
      </w:r>
    </w:p>
    <w:p w:rsidR="00A97BC9" w:rsidRPr="00396156" w:rsidRDefault="00A97BC9" w:rsidP="00A97BC9">
      <w:pPr>
        <w:spacing w:line="240" w:lineRule="auto"/>
        <w:rPr>
          <w:lang w:val="en-US"/>
        </w:rPr>
      </w:pPr>
    </w:p>
    <w:p w:rsidR="00A97BC9" w:rsidRPr="00A97BC9" w:rsidRDefault="00A97BC9" w:rsidP="00100CEB">
      <w:pPr>
        <w:autoSpaceDE w:val="0"/>
        <w:autoSpaceDN w:val="0"/>
        <w:adjustRightInd w:val="0"/>
        <w:spacing w:line="240" w:lineRule="auto"/>
        <w:rPr>
          <w:lang w:val="en-GB"/>
        </w:rPr>
      </w:pPr>
      <w:r w:rsidRPr="00A97BC9">
        <w:rPr>
          <w:b/>
          <w:lang w:val="en-GB"/>
        </w:rPr>
        <w:t xml:space="preserve">Q4. </w:t>
      </w:r>
      <w:r w:rsidR="00100CEB">
        <w:rPr>
          <w:lang w:val="en-GB"/>
        </w:rPr>
        <w:t xml:space="preserve">We see no benefit in </w:t>
      </w:r>
      <w:r w:rsidRPr="00A97BC9">
        <w:rPr>
          <w:lang w:val="en-GB"/>
        </w:rPr>
        <w:t xml:space="preserve">incorporating a different measure of asset quality in the disclosure than in the regulatory reporting (CB-eligibility) especially if it could lead to a further restriction of eligible asset classes (e.g. non-marketable assets eligible as </w:t>
      </w:r>
      <w:proofErr w:type="spellStart"/>
      <w:r w:rsidRPr="00A97BC9">
        <w:rPr>
          <w:lang w:val="en-GB"/>
        </w:rPr>
        <w:t>cb</w:t>
      </w:r>
      <w:proofErr w:type="spellEnd"/>
      <w:r w:rsidRPr="00A97BC9">
        <w:rPr>
          <w:lang w:val="en-GB"/>
        </w:rPr>
        <w:t xml:space="preserve">-collateral not </w:t>
      </w:r>
      <w:proofErr w:type="spellStart"/>
      <w:r w:rsidRPr="00A97BC9">
        <w:rPr>
          <w:lang w:val="en-GB"/>
        </w:rPr>
        <w:t>hqla</w:t>
      </w:r>
      <w:proofErr w:type="spellEnd"/>
      <w:r w:rsidRPr="00A97BC9">
        <w:rPr>
          <w:lang w:val="en-GB"/>
        </w:rPr>
        <w:t>)</w:t>
      </w:r>
      <w:r w:rsidR="00100CEB">
        <w:rPr>
          <w:lang w:val="en-GB"/>
        </w:rPr>
        <w:t>.</w:t>
      </w:r>
      <w:r w:rsidRPr="00A97BC9">
        <w:rPr>
          <w:lang w:val="en-GB"/>
        </w:rPr>
        <w:t xml:space="preserve"> In our opinio</w:t>
      </w:r>
      <w:bookmarkStart w:id="0" w:name="_GoBack"/>
      <w:bookmarkEnd w:id="0"/>
      <w:r w:rsidRPr="00A97BC9">
        <w:rPr>
          <w:lang w:val="en-GB"/>
        </w:rPr>
        <w:t xml:space="preserve">n the CB-eligibility is </w:t>
      </w:r>
      <w:r w:rsidR="003B4A49">
        <w:rPr>
          <w:lang w:val="en-GB"/>
        </w:rPr>
        <w:t>a</w:t>
      </w:r>
      <w:r w:rsidRPr="00A97BC9">
        <w:rPr>
          <w:lang w:val="en-GB"/>
        </w:rPr>
        <w:t xml:space="preserve"> sufficient measure of asset quality and is a valid approximation of general asset quality with regards to asset encumbrance considering both, the operational burden, as well as the lack of comparability connected to the other suggestions (i.e. internal rating, external rating etc.)</w:t>
      </w:r>
      <w:r w:rsidR="00100CEB">
        <w:rPr>
          <w:lang w:val="en-GB"/>
        </w:rPr>
        <w:t>.</w:t>
      </w:r>
    </w:p>
    <w:p w:rsidR="00A97BC9" w:rsidRPr="00A97BC9" w:rsidRDefault="00A97BC9" w:rsidP="00A97BC9">
      <w:pPr>
        <w:spacing w:line="240" w:lineRule="auto"/>
        <w:rPr>
          <w:lang w:val="en-GB"/>
        </w:rPr>
      </w:pPr>
    </w:p>
    <w:p w:rsidR="00A97BC9" w:rsidRPr="00A97BC9" w:rsidRDefault="00A97BC9" w:rsidP="00A97BC9">
      <w:pPr>
        <w:spacing w:line="240" w:lineRule="auto"/>
        <w:rPr>
          <w:lang w:val="en-GB"/>
        </w:rPr>
      </w:pPr>
      <w:r w:rsidRPr="00A97BC9">
        <w:rPr>
          <w:b/>
          <w:lang w:val="en-GB"/>
        </w:rPr>
        <w:t>Q5.</w:t>
      </w:r>
      <w:r w:rsidRPr="00A97BC9">
        <w:rPr>
          <w:lang w:val="en-GB"/>
        </w:rPr>
        <w:t xml:space="preserve"> Yes</w:t>
      </w:r>
      <w:r>
        <w:rPr>
          <w:lang w:val="en-GB"/>
        </w:rPr>
        <w:t>,</w:t>
      </w:r>
      <w:r w:rsidRPr="00A97BC9">
        <w:rPr>
          <w:lang w:val="en-GB"/>
        </w:rPr>
        <w:t xml:space="preserve"> we agree with all points.</w:t>
      </w:r>
    </w:p>
    <w:p w:rsidR="00A97BC9" w:rsidRPr="00A97BC9" w:rsidRDefault="00A97BC9" w:rsidP="00A97BC9">
      <w:pPr>
        <w:spacing w:line="240" w:lineRule="auto"/>
        <w:rPr>
          <w:lang w:val="en-GB"/>
        </w:rPr>
      </w:pPr>
    </w:p>
    <w:p w:rsidR="00445BDF" w:rsidRPr="00445BDF" w:rsidRDefault="00A97BC9" w:rsidP="00445BDF">
      <w:pPr>
        <w:rPr>
          <w:lang w:val="en-GB"/>
        </w:rPr>
      </w:pPr>
      <w:r w:rsidRPr="00A97BC9">
        <w:rPr>
          <w:b/>
          <w:lang w:val="en-GB"/>
        </w:rPr>
        <w:t>Q6.</w:t>
      </w:r>
      <w:r w:rsidRPr="00A97BC9">
        <w:rPr>
          <w:lang w:val="en-GB"/>
        </w:rPr>
        <w:t xml:space="preserve"> </w:t>
      </w:r>
      <w:r w:rsidR="00445BDF" w:rsidRPr="00445BDF">
        <w:rPr>
          <w:lang w:val="en-GB"/>
        </w:rPr>
        <w:t>Yes, as the median values are intended to be used for disclosures (i.e. median values are calculated from quarter-end balances within calendar year), the needs of users are met.</w:t>
      </w:r>
    </w:p>
    <w:p w:rsidR="00A97BC9" w:rsidRPr="00A97BC9" w:rsidRDefault="00A97BC9" w:rsidP="00A97BC9">
      <w:pPr>
        <w:spacing w:line="240" w:lineRule="auto"/>
        <w:rPr>
          <w:lang w:val="en-GB"/>
        </w:rPr>
      </w:pPr>
      <w:r w:rsidRPr="00A97BC9">
        <w:rPr>
          <w:lang w:val="en-GB"/>
        </w:rPr>
        <w:t xml:space="preserve">In our opinion the annual disclosure fully meets the customer requirements and increasing the frequency would considerably increase the operational burden on fulfilling the qualitative requirements of the disclosure (i.e. quarterly/semi-annual review). Furthermore we do not see any added value to the customer from increasing the frequency of disclosing said part, as both structure of encumbrance and future development (i.e. strategy) are not subject to significant changes below one year. </w:t>
      </w:r>
    </w:p>
    <w:p w:rsidR="00C11030" w:rsidRPr="00A97BC9" w:rsidRDefault="00C11030" w:rsidP="00A97BC9">
      <w:pPr>
        <w:spacing w:line="240" w:lineRule="auto"/>
        <w:rPr>
          <w:lang w:val="en-GB"/>
        </w:rPr>
      </w:pPr>
    </w:p>
    <w:p w:rsidR="00396156" w:rsidRDefault="00396156" w:rsidP="00A97BC9">
      <w:pPr>
        <w:spacing w:line="240" w:lineRule="auto"/>
        <w:rPr>
          <w:lang w:val="en-GB"/>
        </w:rPr>
      </w:pPr>
    </w:p>
    <w:p w:rsidR="00C84D8A" w:rsidRPr="00A97BC9" w:rsidRDefault="00C66013" w:rsidP="00A97BC9">
      <w:pPr>
        <w:spacing w:line="240" w:lineRule="auto"/>
        <w:rPr>
          <w:lang w:val="en-GB"/>
        </w:rPr>
      </w:pPr>
      <w:r w:rsidRPr="00A97BC9">
        <w:rPr>
          <w:lang w:val="en-GB"/>
        </w:rPr>
        <w:t>We ask you to give our remarks du</w:t>
      </w:r>
      <w:r w:rsidR="00B960F5" w:rsidRPr="00A97BC9">
        <w:rPr>
          <w:lang w:val="en-GB"/>
        </w:rPr>
        <w:t>e consideration.</w:t>
      </w:r>
    </w:p>
    <w:p w:rsidR="00686189" w:rsidRPr="00767DA3" w:rsidRDefault="00686189" w:rsidP="00A97BC9">
      <w:pPr>
        <w:spacing w:line="240" w:lineRule="auto"/>
        <w:rPr>
          <w:rFonts w:cs="Arial"/>
          <w:color w:val="000000"/>
          <w:lang w:val="en-GB" w:eastAsia="en-US"/>
        </w:rPr>
      </w:pPr>
    </w:p>
    <w:p w:rsidR="00C84D8A" w:rsidRPr="00767DA3" w:rsidRDefault="00686189" w:rsidP="00A97BC9">
      <w:pPr>
        <w:spacing w:line="240" w:lineRule="auto"/>
        <w:rPr>
          <w:rFonts w:cs="Arial"/>
          <w:color w:val="000000"/>
          <w:lang w:val="en-GB" w:eastAsia="en-US"/>
        </w:rPr>
      </w:pPr>
      <w:r w:rsidRPr="00767DA3">
        <w:rPr>
          <w:rFonts w:cs="Arial"/>
          <w:color w:val="000000"/>
          <w:lang w:val="en-GB" w:eastAsia="en-US"/>
        </w:rPr>
        <w:lastRenderedPageBreak/>
        <w:t>Y</w:t>
      </w:r>
      <w:r w:rsidR="00C84D8A" w:rsidRPr="00767DA3">
        <w:rPr>
          <w:rFonts w:cs="Arial"/>
          <w:color w:val="000000"/>
          <w:lang w:val="en-GB" w:eastAsia="en-US"/>
        </w:rPr>
        <w:t xml:space="preserve">ours </w:t>
      </w:r>
      <w:r w:rsidR="004A01A9" w:rsidRPr="00767DA3">
        <w:rPr>
          <w:rFonts w:cs="Arial"/>
          <w:color w:val="000000"/>
          <w:lang w:val="en-GB" w:eastAsia="en-US"/>
        </w:rPr>
        <w:t>sincerely</w:t>
      </w:r>
      <w:r w:rsidR="00C84D8A" w:rsidRPr="00767DA3">
        <w:rPr>
          <w:rFonts w:cs="Arial"/>
          <w:color w:val="000000"/>
          <w:lang w:val="en-GB" w:eastAsia="en-US"/>
        </w:rPr>
        <w:t>,</w:t>
      </w:r>
    </w:p>
    <w:p w:rsidR="00F31CB0" w:rsidRPr="00767DA3" w:rsidRDefault="00F31CB0" w:rsidP="00A97BC9">
      <w:pPr>
        <w:spacing w:line="240" w:lineRule="auto"/>
        <w:rPr>
          <w:rFonts w:cs="Arial"/>
          <w:color w:val="000000"/>
          <w:lang w:val="en-GB" w:eastAsia="en-US"/>
        </w:rPr>
      </w:pPr>
    </w:p>
    <w:p w:rsidR="00C84D8A" w:rsidRPr="00767DA3" w:rsidRDefault="00C84D8A" w:rsidP="00A97BC9">
      <w:pPr>
        <w:spacing w:line="240" w:lineRule="auto"/>
        <w:rPr>
          <w:rFonts w:cs="Arial"/>
          <w:color w:val="000000"/>
          <w:lang w:val="en-GB" w:eastAsia="en-US"/>
        </w:rPr>
      </w:pPr>
      <w:r w:rsidRPr="00767DA3">
        <w:rPr>
          <w:rFonts w:cs="Arial"/>
          <w:color w:val="000000"/>
          <w:lang w:val="en-GB" w:eastAsia="en-US"/>
        </w:rPr>
        <w:t>Dr. Franz Rudorfer</w:t>
      </w:r>
    </w:p>
    <w:p w:rsidR="00C84D8A" w:rsidRPr="00767DA3" w:rsidRDefault="00C84D8A" w:rsidP="00A97BC9">
      <w:pPr>
        <w:spacing w:line="240" w:lineRule="auto"/>
        <w:rPr>
          <w:rFonts w:cs="Arial"/>
          <w:color w:val="000000"/>
          <w:lang w:val="en-GB" w:eastAsia="en-US"/>
        </w:rPr>
      </w:pPr>
      <w:r w:rsidRPr="00767DA3">
        <w:rPr>
          <w:rFonts w:cs="Arial"/>
          <w:color w:val="000000"/>
          <w:lang w:val="en-GB" w:eastAsia="en-US"/>
        </w:rPr>
        <w:t>Managing Director</w:t>
      </w:r>
    </w:p>
    <w:p w:rsidR="005E1BA5" w:rsidRPr="00767DA3" w:rsidRDefault="00C84D8A" w:rsidP="00A97BC9">
      <w:pPr>
        <w:spacing w:line="240" w:lineRule="auto"/>
        <w:rPr>
          <w:noProof/>
          <w:lang w:val="en-GB"/>
        </w:rPr>
      </w:pPr>
      <w:r w:rsidRPr="00767DA3">
        <w:rPr>
          <w:rFonts w:cs="Arial"/>
          <w:color w:val="000000"/>
          <w:lang w:val="en-GB" w:eastAsia="en-US"/>
        </w:rPr>
        <w:t>Division Bank and Insurance</w:t>
      </w:r>
    </w:p>
    <w:p w:rsidR="00346DF4" w:rsidRPr="007C2846" w:rsidRDefault="00346DF4" w:rsidP="00A97BC9">
      <w:pPr>
        <w:spacing w:line="240" w:lineRule="auto"/>
        <w:rPr>
          <w:noProof/>
          <w:lang w:val="en-GB"/>
        </w:rPr>
      </w:pPr>
    </w:p>
    <w:sectPr w:rsidR="00346DF4" w:rsidRPr="007C2846" w:rsidSect="00F700E4">
      <w:headerReference w:type="default" r:id="rId9"/>
      <w:headerReference w:type="first" r:id="rId10"/>
      <w:pgSz w:w="11906" w:h="16838"/>
      <w:pgMar w:top="1701" w:right="851" w:bottom="1134" w:left="1418"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A3" w:rsidRDefault="00B020A3">
      <w:r>
        <w:separator/>
      </w:r>
    </w:p>
  </w:endnote>
  <w:endnote w:type="continuationSeparator" w:id="0">
    <w:p w:rsidR="00B020A3" w:rsidRDefault="00B0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A3" w:rsidRDefault="00B020A3">
      <w:r>
        <w:separator/>
      </w:r>
    </w:p>
  </w:footnote>
  <w:footnote w:type="continuationSeparator" w:id="0">
    <w:p w:rsidR="00B020A3" w:rsidRDefault="00B02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100CEB">
      <w:rPr>
        <w:rStyle w:val="Seitenzahl"/>
        <w:noProof/>
      </w:rPr>
      <w:t>3</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right"/>
    </w:pPr>
    <w:r>
      <w:rPr>
        <w:noProof/>
        <w:snapToGrid/>
        <w:lang w:val="de-AT"/>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379"/>
    <w:multiLevelType w:val="hybridMultilevel"/>
    <w:tmpl w:val="21AAB92E"/>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62F63C5"/>
    <w:multiLevelType w:val="hybridMultilevel"/>
    <w:tmpl w:val="758CF3B8"/>
    <w:lvl w:ilvl="0" w:tplc="42760B6C">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nsid w:val="0AF578A7"/>
    <w:multiLevelType w:val="hybridMultilevel"/>
    <w:tmpl w:val="A74EFC70"/>
    <w:lvl w:ilvl="0" w:tplc="719E4B78">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16880E9B"/>
    <w:multiLevelType w:val="hybridMultilevel"/>
    <w:tmpl w:val="19B0B4CA"/>
    <w:lvl w:ilvl="0" w:tplc="1CD2FC34">
      <w:start w:val="1"/>
      <w:numFmt w:val="upperLetter"/>
      <w:lvlText w:val="%1."/>
      <w:lvlJc w:val="left"/>
      <w:pPr>
        <w:ind w:left="720" w:hanging="360"/>
      </w:pPr>
      <w:rPr>
        <w:rFonts w:ascii="Trebuchet MS" w:eastAsiaTheme="minorHAnsi" w:hAnsi="Trebuchet MS" w:cs="Arial" w:hint="default"/>
        <w:u w:val="single"/>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ABC437B"/>
    <w:multiLevelType w:val="hybridMultilevel"/>
    <w:tmpl w:val="03400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D003BED"/>
    <w:multiLevelType w:val="hybridMultilevel"/>
    <w:tmpl w:val="6A6293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7">
    <w:nsid w:val="25920B5A"/>
    <w:multiLevelType w:val="hybridMultilevel"/>
    <w:tmpl w:val="458C926E"/>
    <w:lvl w:ilvl="0" w:tplc="15FEF840">
      <w:numFmt w:val="bullet"/>
      <w:lvlText w:val="-"/>
      <w:lvlJc w:val="left"/>
      <w:pPr>
        <w:ind w:left="1776" w:hanging="360"/>
      </w:pPr>
      <w:rPr>
        <w:rFonts w:ascii="Arial" w:eastAsia="Calibri" w:hAnsi="Arial" w:cs="Aria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8">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nsid w:val="37F32ABE"/>
    <w:multiLevelType w:val="hybridMultilevel"/>
    <w:tmpl w:val="D4ECFE82"/>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48D71814"/>
    <w:multiLevelType w:val="hybridMultilevel"/>
    <w:tmpl w:val="FD02C0A0"/>
    <w:lvl w:ilvl="0" w:tplc="2B72F944">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36F1603"/>
    <w:multiLevelType w:val="hybridMultilevel"/>
    <w:tmpl w:val="526A3F4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8D53930"/>
    <w:multiLevelType w:val="hybridMultilevel"/>
    <w:tmpl w:val="4E128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0A61DB9"/>
    <w:multiLevelType w:val="hybridMultilevel"/>
    <w:tmpl w:val="3A065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16">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7">
    <w:nsid w:val="6F7E1336"/>
    <w:multiLevelType w:val="hybridMultilevel"/>
    <w:tmpl w:val="CF7A09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720A428C"/>
    <w:multiLevelType w:val="hybridMultilevel"/>
    <w:tmpl w:val="9514CBB0"/>
    <w:lvl w:ilvl="0" w:tplc="567C697E">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9">
    <w:nsid w:val="72462943"/>
    <w:multiLevelType w:val="hybridMultilevel"/>
    <w:tmpl w:val="384ADF1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4"/>
  </w:num>
  <w:num w:numId="10">
    <w:abstractNumId w:val="17"/>
  </w:num>
  <w:num w:numId="11">
    <w:abstractNumId w:val="13"/>
  </w:num>
  <w:num w:numId="12">
    <w:abstractNumId w:val="19"/>
  </w:num>
  <w:num w:numId="13">
    <w:abstractNumId w:val="3"/>
  </w:num>
  <w:num w:numId="14">
    <w:abstractNumId w:val="0"/>
  </w:num>
  <w:num w:numId="15">
    <w:abstractNumId w:val="14"/>
  </w:num>
  <w:num w:numId="16">
    <w:abstractNumId w:val="18"/>
  </w:num>
  <w:num w:numId="17">
    <w:abstractNumId w:val="2"/>
  </w:num>
  <w:num w:numId="18">
    <w:abstractNumId w:val="1"/>
  </w:num>
  <w:num w:numId="19">
    <w:abstractNumId w:val="7"/>
  </w:num>
  <w:num w:numId="20">
    <w:abstractNumId w:val="10"/>
  </w:num>
  <w:num w:numId="2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CC"/>
    <w:rsid w:val="00001730"/>
    <w:rsid w:val="00013086"/>
    <w:rsid w:val="000135FB"/>
    <w:rsid w:val="000163E0"/>
    <w:rsid w:val="00021DBA"/>
    <w:rsid w:val="00024D8C"/>
    <w:rsid w:val="00026657"/>
    <w:rsid w:val="00035D58"/>
    <w:rsid w:val="00044A71"/>
    <w:rsid w:val="00053316"/>
    <w:rsid w:val="00057439"/>
    <w:rsid w:val="00061814"/>
    <w:rsid w:val="000619FB"/>
    <w:rsid w:val="0006215B"/>
    <w:rsid w:val="00071436"/>
    <w:rsid w:val="00071BF7"/>
    <w:rsid w:val="00080E83"/>
    <w:rsid w:val="0008171B"/>
    <w:rsid w:val="0008527D"/>
    <w:rsid w:val="0008698A"/>
    <w:rsid w:val="00086BFB"/>
    <w:rsid w:val="000919C4"/>
    <w:rsid w:val="00094EB8"/>
    <w:rsid w:val="0009753B"/>
    <w:rsid w:val="000A0183"/>
    <w:rsid w:val="000A205C"/>
    <w:rsid w:val="000A4FC6"/>
    <w:rsid w:val="000A771B"/>
    <w:rsid w:val="000A7D13"/>
    <w:rsid w:val="000B2CE7"/>
    <w:rsid w:val="000B449E"/>
    <w:rsid w:val="000B4D96"/>
    <w:rsid w:val="000B572C"/>
    <w:rsid w:val="000D7538"/>
    <w:rsid w:val="000E511B"/>
    <w:rsid w:val="000F1070"/>
    <w:rsid w:val="000F2220"/>
    <w:rsid w:val="000F28BB"/>
    <w:rsid w:val="000F3572"/>
    <w:rsid w:val="000F74C7"/>
    <w:rsid w:val="00100CEB"/>
    <w:rsid w:val="00101144"/>
    <w:rsid w:val="00101383"/>
    <w:rsid w:val="001042B8"/>
    <w:rsid w:val="00105F0E"/>
    <w:rsid w:val="0011743A"/>
    <w:rsid w:val="00121770"/>
    <w:rsid w:val="00121CBD"/>
    <w:rsid w:val="001276A5"/>
    <w:rsid w:val="00127F3B"/>
    <w:rsid w:val="00131416"/>
    <w:rsid w:val="00131A98"/>
    <w:rsid w:val="00135A40"/>
    <w:rsid w:val="00137EF5"/>
    <w:rsid w:val="0014018E"/>
    <w:rsid w:val="0014746B"/>
    <w:rsid w:val="00151673"/>
    <w:rsid w:val="00151A78"/>
    <w:rsid w:val="00155AEE"/>
    <w:rsid w:val="00161914"/>
    <w:rsid w:val="00163CC0"/>
    <w:rsid w:val="00163DDA"/>
    <w:rsid w:val="00174D0C"/>
    <w:rsid w:val="00183969"/>
    <w:rsid w:val="00196D5C"/>
    <w:rsid w:val="00196EB4"/>
    <w:rsid w:val="001974F7"/>
    <w:rsid w:val="001B0788"/>
    <w:rsid w:val="001B4AB0"/>
    <w:rsid w:val="001C4931"/>
    <w:rsid w:val="001C49F8"/>
    <w:rsid w:val="001D40CC"/>
    <w:rsid w:val="001E0374"/>
    <w:rsid w:val="001F3545"/>
    <w:rsid w:val="002045CC"/>
    <w:rsid w:val="00205DE9"/>
    <w:rsid w:val="002061DD"/>
    <w:rsid w:val="00207AC9"/>
    <w:rsid w:val="00210FDF"/>
    <w:rsid w:val="002114EF"/>
    <w:rsid w:val="00224981"/>
    <w:rsid w:val="00240D9B"/>
    <w:rsid w:val="0026358F"/>
    <w:rsid w:val="00264C67"/>
    <w:rsid w:val="00265C18"/>
    <w:rsid w:val="002711FC"/>
    <w:rsid w:val="00272C43"/>
    <w:rsid w:val="00280548"/>
    <w:rsid w:val="00282636"/>
    <w:rsid w:val="0028446E"/>
    <w:rsid w:val="00287819"/>
    <w:rsid w:val="00293410"/>
    <w:rsid w:val="00296269"/>
    <w:rsid w:val="002A00E4"/>
    <w:rsid w:val="002A15C7"/>
    <w:rsid w:val="002A3540"/>
    <w:rsid w:val="002B08BD"/>
    <w:rsid w:val="002B3BF4"/>
    <w:rsid w:val="002B4B41"/>
    <w:rsid w:val="002D14BF"/>
    <w:rsid w:val="002D4A90"/>
    <w:rsid w:val="002D69C4"/>
    <w:rsid w:val="002E4BD0"/>
    <w:rsid w:val="002F1DC4"/>
    <w:rsid w:val="00306173"/>
    <w:rsid w:val="003104AE"/>
    <w:rsid w:val="00312578"/>
    <w:rsid w:val="00316718"/>
    <w:rsid w:val="0031680D"/>
    <w:rsid w:val="00320A42"/>
    <w:rsid w:val="00325FCF"/>
    <w:rsid w:val="00327DD3"/>
    <w:rsid w:val="003303C4"/>
    <w:rsid w:val="00344DB8"/>
    <w:rsid w:val="00346DF4"/>
    <w:rsid w:val="00356254"/>
    <w:rsid w:val="003568E9"/>
    <w:rsid w:val="00361B24"/>
    <w:rsid w:val="003814C3"/>
    <w:rsid w:val="00384948"/>
    <w:rsid w:val="00390AC7"/>
    <w:rsid w:val="003933A5"/>
    <w:rsid w:val="0039371D"/>
    <w:rsid w:val="00396156"/>
    <w:rsid w:val="003A5633"/>
    <w:rsid w:val="003B3D28"/>
    <w:rsid w:val="003B4A49"/>
    <w:rsid w:val="003B6B36"/>
    <w:rsid w:val="003C35DC"/>
    <w:rsid w:val="003C5804"/>
    <w:rsid w:val="003C622F"/>
    <w:rsid w:val="003C7778"/>
    <w:rsid w:val="003D07A4"/>
    <w:rsid w:val="003E09A5"/>
    <w:rsid w:val="003E6845"/>
    <w:rsid w:val="003F44A2"/>
    <w:rsid w:val="003F5EEF"/>
    <w:rsid w:val="003F6706"/>
    <w:rsid w:val="00404863"/>
    <w:rsid w:val="004235FB"/>
    <w:rsid w:val="00425684"/>
    <w:rsid w:val="00430245"/>
    <w:rsid w:val="004302FD"/>
    <w:rsid w:val="004339AE"/>
    <w:rsid w:val="004400CB"/>
    <w:rsid w:val="00445BDF"/>
    <w:rsid w:val="00445FAF"/>
    <w:rsid w:val="0044708F"/>
    <w:rsid w:val="00450B6F"/>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2249"/>
    <w:rsid w:val="004E2A45"/>
    <w:rsid w:val="004E51E5"/>
    <w:rsid w:val="004F1B60"/>
    <w:rsid w:val="004F53C0"/>
    <w:rsid w:val="004F6198"/>
    <w:rsid w:val="00505343"/>
    <w:rsid w:val="0051495A"/>
    <w:rsid w:val="00517690"/>
    <w:rsid w:val="00521B7F"/>
    <w:rsid w:val="00535CF4"/>
    <w:rsid w:val="00550380"/>
    <w:rsid w:val="005548F9"/>
    <w:rsid w:val="00556359"/>
    <w:rsid w:val="00560A66"/>
    <w:rsid w:val="00562C44"/>
    <w:rsid w:val="00576F32"/>
    <w:rsid w:val="00590AAE"/>
    <w:rsid w:val="00596B5B"/>
    <w:rsid w:val="005A2D33"/>
    <w:rsid w:val="005B1218"/>
    <w:rsid w:val="005B2525"/>
    <w:rsid w:val="005B3FB7"/>
    <w:rsid w:val="005C04FF"/>
    <w:rsid w:val="005C218C"/>
    <w:rsid w:val="005C7948"/>
    <w:rsid w:val="005D0470"/>
    <w:rsid w:val="005D08DC"/>
    <w:rsid w:val="005D0B33"/>
    <w:rsid w:val="005D1620"/>
    <w:rsid w:val="005D4F47"/>
    <w:rsid w:val="005E1BA5"/>
    <w:rsid w:val="005E7180"/>
    <w:rsid w:val="005F5B48"/>
    <w:rsid w:val="005F632A"/>
    <w:rsid w:val="00606AFA"/>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A55B4"/>
    <w:rsid w:val="006C33D2"/>
    <w:rsid w:val="006D6427"/>
    <w:rsid w:val="006E0163"/>
    <w:rsid w:val="006E5185"/>
    <w:rsid w:val="0070253E"/>
    <w:rsid w:val="007053E7"/>
    <w:rsid w:val="007114EC"/>
    <w:rsid w:val="007203E6"/>
    <w:rsid w:val="007230AC"/>
    <w:rsid w:val="00724C39"/>
    <w:rsid w:val="0072798F"/>
    <w:rsid w:val="00732AFB"/>
    <w:rsid w:val="0073402F"/>
    <w:rsid w:val="0073440E"/>
    <w:rsid w:val="00743A63"/>
    <w:rsid w:val="00754BAF"/>
    <w:rsid w:val="00766B69"/>
    <w:rsid w:val="00767DA3"/>
    <w:rsid w:val="007755BF"/>
    <w:rsid w:val="007757A9"/>
    <w:rsid w:val="007762A4"/>
    <w:rsid w:val="00776348"/>
    <w:rsid w:val="007816E4"/>
    <w:rsid w:val="00782541"/>
    <w:rsid w:val="00783F4D"/>
    <w:rsid w:val="007846C2"/>
    <w:rsid w:val="00795782"/>
    <w:rsid w:val="007A01B8"/>
    <w:rsid w:val="007A1751"/>
    <w:rsid w:val="007B32D2"/>
    <w:rsid w:val="007B3A82"/>
    <w:rsid w:val="007B3EA1"/>
    <w:rsid w:val="007B641D"/>
    <w:rsid w:val="007C2846"/>
    <w:rsid w:val="007C2F92"/>
    <w:rsid w:val="007D0A79"/>
    <w:rsid w:val="007D3573"/>
    <w:rsid w:val="007D4FE3"/>
    <w:rsid w:val="007E6B3B"/>
    <w:rsid w:val="007F5F54"/>
    <w:rsid w:val="00801234"/>
    <w:rsid w:val="0080414A"/>
    <w:rsid w:val="0081169B"/>
    <w:rsid w:val="00811CE5"/>
    <w:rsid w:val="00812F74"/>
    <w:rsid w:val="00815C5E"/>
    <w:rsid w:val="00816598"/>
    <w:rsid w:val="008255E7"/>
    <w:rsid w:val="008351DF"/>
    <w:rsid w:val="008406BB"/>
    <w:rsid w:val="0084684D"/>
    <w:rsid w:val="0086077B"/>
    <w:rsid w:val="00864AF6"/>
    <w:rsid w:val="008720A6"/>
    <w:rsid w:val="008745CD"/>
    <w:rsid w:val="00881BC0"/>
    <w:rsid w:val="00884544"/>
    <w:rsid w:val="0088500E"/>
    <w:rsid w:val="0089476E"/>
    <w:rsid w:val="008953FC"/>
    <w:rsid w:val="008B1362"/>
    <w:rsid w:val="008B1D1A"/>
    <w:rsid w:val="008C0AE8"/>
    <w:rsid w:val="008C0C66"/>
    <w:rsid w:val="008C679C"/>
    <w:rsid w:val="008D1E25"/>
    <w:rsid w:val="008D469D"/>
    <w:rsid w:val="008D5D3B"/>
    <w:rsid w:val="008D70E6"/>
    <w:rsid w:val="008D77D7"/>
    <w:rsid w:val="008E02AC"/>
    <w:rsid w:val="008F1DD3"/>
    <w:rsid w:val="008F3076"/>
    <w:rsid w:val="008F3EA3"/>
    <w:rsid w:val="008F7C39"/>
    <w:rsid w:val="0091585E"/>
    <w:rsid w:val="009303DC"/>
    <w:rsid w:val="00935B03"/>
    <w:rsid w:val="00935BB6"/>
    <w:rsid w:val="0093708A"/>
    <w:rsid w:val="00942F6C"/>
    <w:rsid w:val="0094333B"/>
    <w:rsid w:val="0094518B"/>
    <w:rsid w:val="009458C0"/>
    <w:rsid w:val="009632CC"/>
    <w:rsid w:val="00965380"/>
    <w:rsid w:val="009853E1"/>
    <w:rsid w:val="009922DC"/>
    <w:rsid w:val="009A6947"/>
    <w:rsid w:val="009B6C3A"/>
    <w:rsid w:val="009C1E08"/>
    <w:rsid w:val="009C6136"/>
    <w:rsid w:val="009D188F"/>
    <w:rsid w:val="009D58FA"/>
    <w:rsid w:val="009E1189"/>
    <w:rsid w:val="009E5929"/>
    <w:rsid w:val="009E5A12"/>
    <w:rsid w:val="009E66CA"/>
    <w:rsid w:val="009F4450"/>
    <w:rsid w:val="009F57DA"/>
    <w:rsid w:val="009F6A00"/>
    <w:rsid w:val="00A01B18"/>
    <w:rsid w:val="00A0265B"/>
    <w:rsid w:val="00A07FE0"/>
    <w:rsid w:val="00A147F7"/>
    <w:rsid w:val="00A21AEC"/>
    <w:rsid w:val="00A23371"/>
    <w:rsid w:val="00A23661"/>
    <w:rsid w:val="00A36834"/>
    <w:rsid w:val="00A42F7B"/>
    <w:rsid w:val="00A437DE"/>
    <w:rsid w:val="00A44D5F"/>
    <w:rsid w:val="00A500F1"/>
    <w:rsid w:val="00A5381E"/>
    <w:rsid w:val="00A54C2F"/>
    <w:rsid w:val="00A55757"/>
    <w:rsid w:val="00A64C34"/>
    <w:rsid w:val="00A705F5"/>
    <w:rsid w:val="00A707A7"/>
    <w:rsid w:val="00A70C7D"/>
    <w:rsid w:val="00A81341"/>
    <w:rsid w:val="00A82C13"/>
    <w:rsid w:val="00A8532A"/>
    <w:rsid w:val="00A955F6"/>
    <w:rsid w:val="00A97AE7"/>
    <w:rsid w:val="00A97BC9"/>
    <w:rsid w:val="00AA0432"/>
    <w:rsid w:val="00AB5857"/>
    <w:rsid w:val="00AB59B3"/>
    <w:rsid w:val="00AD053F"/>
    <w:rsid w:val="00AE02B3"/>
    <w:rsid w:val="00AE457B"/>
    <w:rsid w:val="00AE6511"/>
    <w:rsid w:val="00B020A3"/>
    <w:rsid w:val="00B10218"/>
    <w:rsid w:val="00B17B80"/>
    <w:rsid w:val="00B22761"/>
    <w:rsid w:val="00B32456"/>
    <w:rsid w:val="00B36C46"/>
    <w:rsid w:val="00B447AA"/>
    <w:rsid w:val="00B467F0"/>
    <w:rsid w:val="00B46C57"/>
    <w:rsid w:val="00B51CB0"/>
    <w:rsid w:val="00B532F2"/>
    <w:rsid w:val="00B55633"/>
    <w:rsid w:val="00B57C55"/>
    <w:rsid w:val="00B6209E"/>
    <w:rsid w:val="00B63C71"/>
    <w:rsid w:val="00B64838"/>
    <w:rsid w:val="00B6488D"/>
    <w:rsid w:val="00B6710C"/>
    <w:rsid w:val="00B67CEF"/>
    <w:rsid w:val="00B85379"/>
    <w:rsid w:val="00B8623F"/>
    <w:rsid w:val="00B93882"/>
    <w:rsid w:val="00B960F5"/>
    <w:rsid w:val="00BA5BEC"/>
    <w:rsid w:val="00BA5E95"/>
    <w:rsid w:val="00BA6878"/>
    <w:rsid w:val="00BA7A5E"/>
    <w:rsid w:val="00BB344D"/>
    <w:rsid w:val="00BC6569"/>
    <w:rsid w:val="00BD2D5E"/>
    <w:rsid w:val="00BD3A1D"/>
    <w:rsid w:val="00BD7362"/>
    <w:rsid w:val="00BE7A33"/>
    <w:rsid w:val="00BF1820"/>
    <w:rsid w:val="00BF2A57"/>
    <w:rsid w:val="00BF3BB7"/>
    <w:rsid w:val="00C02F42"/>
    <w:rsid w:val="00C044AE"/>
    <w:rsid w:val="00C11030"/>
    <w:rsid w:val="00C21BF0"/>
    <w:rsid w:val="00C23AED"/>
    <w:rsid w:val="00C3459A"/>
    <w:rsid w:val="00C34E41"/>
    <w:rsid w:val="00C358D5"/>
    <w:rsid w:val="00C376E8"/>
    <w:rsid w:val="00C406D2"/>
    <w:rsid w:val="00C47B46"/>
    <w:rsid w:val="00C519C2"/>
    <w:rsid w:val="00C543F8"/>
    <w:rsid w:val="00C619D3"/>
    <w:rsid w:val="00C64B6E"/>
    <w:rsid w:val="00C66013"/>
    <w:rsid w:val="00C728A8"/>
    <w:rsid w:val="00C84D8A"/>
    <w:rsid w:val="00C97D15"/>
    <w:rsid w:val="00CA1356"/>
    <w:rsid w:val="00CA6A50"/>
    <w:rsid w:val="00CB2954"/>
    <w:rsid w:val="00CB797F"/>
    <w:rsid w:val="00CC1072"/>
    <w:rsid w:val="00CD2A67"/>
    <w:rsid w:val="00CD4E8C"/>
    <w:rsid w:val="00CD4ED3"/>
    <w:rsid w:val="00CE1526"/>
    <w:rsid w:val="00CE1A19"/>
    <w:rsid w:val="00CE3F94"/>
    <w:rsid w:val="00CE4DD7"/>
    <w:rsid w:val="00CE5D6F"/>
    <w:rsid w:val="00CF63BD"/>
    <w:rsid w:val="00D10757"/>
    <w:rsid w:val="00D1088D"/>
    <w:rsid w:val="00D35759"/>
    <w:rsid w:val="00D364F4"/>
    <w:rsid w:val="00D371BE"/>
    <w:rsid w:val="00D37B81"/>
    <w:rsid w:val="00D42F9C"/>
    <w:rsid w:val="00D51EC2"/>
    <w:rsid w:val="00D55968"/>
    <w:rsid w:val="00D57833"/>
    <w:rsid w:val="00D614D3"/>
    <w:rsid w:val="00D61E2F"/>
    <w:rsid w:val="00D63F9C"/>
    <w:rsid w:val="00D6614C"/>
    <w:rsid w:val="00D679C5"/>
    <w:rsid w:val="00D708D7"/>
    <w:rsid w:val="00D76BDD"/>
    <w:rsid w:val="00D77C55"/>
    <w:rsid w:val="00D82226"/>
    <w:rsid w:val="00D84A26"/>
    <w:rsid w:val="00D90D34"/>
    <w:rsid w:val="00D9226A"/>
    <w:rsid w:val="00DA13B9"/>
    <w:rsid w:val="00DA5251"/>
    <w:rsid w:val="00DB117B"/>
    <w:rsid w:val="00DB4FF8"/>
    <w:rsid w:val="00DC0A36"/>
    <w:rsid w:val="00DC2F9C"/>
    <w:rsid w:val="00DD4E27"/>
    <w:rsid w:val="00DE0704"/>
    <w:rsid w:val="00E0664D"/>
    <w:rsid w:val="00E2444D"/>
    <w:rsid w:val="00E25162"/>
    <w:rsid w:val="00E260A8"/>
    <w:rsid w:val="00E376EA"/>
    <w:rsid w:val="00E40277"/>
    <w:rsid w:val="00E41DFD"/>
    <w:rsid w:val="00E4233B"/>
    <w:rsid w:val="00E45332"/>
    <w:rsid w:val="00E505CF"/>
    <w:rsid w:val="00E51B60"/>
    <w:rsid w:val="00E72490"/>
    <w:rsid w:val="00E754C8"/>
    <w:rsid w:val="00E8006A"/>
    <w:rsid w:val="00E81371"/>
    <w:rsid w:val="00E82191"/>
    <w:rsid w:val="00E87DCD"/>
    <w:rsid w:val="00E95C5D"/>
    <w:rsid w:val="00EA1FF4"/>
    <w:rsid w:val="00EB13E2"/>
    <w:rsid w:val="00EB2182"/>
    <w:rsid w:val="00EB3B01"/>
    <w:rsid w:val="00EC6597"/>
    <w:rsid w:val="00ED0561"/>
    <w:rsid w:val="00ED171E"/>
    <w:rsid w:val="00ED2466"/>
    <w:rsid w:val="00EE33EF"/>
    <w:rsid w:val="00F039F2"/>
    <w:rsid w:val="00F06018"/>
    <w:rsid w:val="00F17F3D"/>
    <w:rsid w:val="00F21921"/>
    <w:rsid w:val="00F253EA"/>
    <w:rsid w:val="00F26986"/>
    <w:rsid w:val="00F31CB0"/>
    <w:rsid w:val="00F37341"/>
    <w:rsid w:val="00F42876"/>
    <w:rsid w:val="00F472AC"/>
    <w:rsid w:val="00F57342"/>
    <w:rsid w:val="00F700E4"/>
    <w:rsid w:val="00F71922"/>
    <w:rsid w:val="00F744E0"/>
    <w:rsid w:val="00F77CC4"/>
    <w:rsid w:val="00F77E12"/>
    <w:rsid w:val="00F8025E"/>
    <w:rsid w:val="00F83CF8"/>
    <w:rsid w:val="00F878D2"/>
    <w:rsid w:val="00F90148"/>
    <w:rsid w:val="00F9470D"/>
    <w:rsid w:val="00F9528C"/>
    <w:rsid w:val="00FB464A"/>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
    <w:link w:val="Listenabsatz"/>
    <w:rsid w:val="005C7948"/>
    <w:rPr>
      <w:rFonts w:ascii="Trebuchet MS" w:hAnsi="Trebuchet MS" w:cs="Trebuchet MS"/>
      <w:snapToGrid w:val="0"/>
      <w:sz w:val="22"/>
      <w:szCs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
    <w:link w:val="Listenabsatz"/>
    <w:rsid w:val="005C7948"/>
    <w:rPr>
      <w:rFonts w:ascii="Trebuchet MS" w:hAnsi="Trebuchet MS" w:cs="Trebuchet MS"/>
      <w:snapToGrid w:val="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8894798">
      <w:bodyDiv w:val="1"/>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665156885">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9EFC5-7096-4F6D-97C7-5DBC6E90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4990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Horvath Philipp, LL.M., WKÖ BSBV</cp:lastModifiedBy>
  <cp:revision>5</cp:revision>
  <cp:lastPrinted>2015-09-30T08:11:00Z</cp:lastPrinted>
  <dcterms:created xsi:type="dcterms:W3CDTF">2016-07-13T09:02:00Z</dcterms:created>
  <dcterms:modified xsi:type="dcterms:W3CDTF">2016-07-14T12:47:00Z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