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5102"/>
        <w:gridCol w:w="4649"/>
      </w:tblGrid>
      <w:tr w:rsidR="00642235" w:rsidRPr="008E0154" w:rsidTr="0017413A">
        <w:trPr>
          <w:trHeight w:hRule="exact" w:val="3261"/>
        </w:trPr>
        <w:tc>
          <w:tcPr>
            <w:tcW w:w="5102" w:type="dxa"/>
          </w:tcPr>
          <w:p w:rsidR="00B51CB0" w:rsidRPr="00011DC9" w:rsidRDefault="00650AE5" w:rsidP="00CE5D6F">
            <w:pPr>
              <w:rPr>
                <w:b/>
              </w:rPr>
            </w:pPr>
            <w:r w:rsidRPr="00011DC9">
              <w:rPr>
                <w:b/>
                <w:lang w:val="fi-FI"/>
              </w:rPr>
              <w:br/>
            </w:r>
          </w:p>
          <w:p w:rsidR="00B51CB0" w:rsidRDefault="008E0154" w:rsidP="00CE5D6F">
            <w:pPr>
              <w:rPr>
                <w:lang w:val="fi-FI"/>
              </w:rPr>
            </w:pPr>
            <w:r>
              <w:rPr>
                <w:lang w:val="fi-FI"/>
              </w:rPr>
              <w:t>European Banking Authority (EBA)</w:t>
            </w:r>
          </w:p>
          <w:p w:rsidR="00CB2954" w:rsidRPr="00B22761" w:rsidRDefault="00CB2954" w:rsidP="00CE5D6F">
            <w:pPr>
              <w:rPr>
                <w:sz w:val="52"/>
                <w:szCs w:val="52"/>
                <w:lang w:val="fi-FI"/>
              </w:rPr>
            </w:pPr>
          </w:p>
        </w:tc>
        <w:tc>
          <w:tcPr>
            <w:tcW w:w="4649" w:type="dxa"/>
          </w:tcPr>
          <w:p w:rsidR="00642235" w:rsidRPr="00D364F4" w:rsidRDefault="00642235" w:rsidP="00CE5D6F">
            <w:pPr>
              <w:spacing w:line="220" w:lineRule="atLeast"/>
              <w:jc w:val="right"/>
              <w:rPr>
                <w:b/>
                <w:bCs/>
                <w:color w:val="000000"/>
                <w:sz w:val="6"/>
                <w:szCs w:val="6"/>
                <w:lang w:val="fi-FI"/>
              </w:rPr>
            </w:pPr>
          </w:p>
          <w:p w:rsidR="00642235" w:rsidRPr="00D364F4" w:rsidRDefault="00642235" w:rsidP="00CE5D6F">
            <w:pPr>
              <w:spacing w:line="220" w:lineRule="atLeast"/>
              <w:jc w:val="right"/>
              <w:rPr>
                <w:b/>
                <w:bCs/>
                <w:color w:val="000000"/>
                <w:sz w:val="6"/>
                <w:szCs w:val="6"/>
                <w:lang w:val="fi-FI"/>
              </w:rPr>
            </w:pPr>
          </w:p>
          <w:p w:rsidR="00642235" w:rsidRPr="00D364F4" w:rsidRDefault="00642235" w:rsidP="00CE5D6F">
            <w:pPr>
              <w:spacing w:line="220" w:lineRule="atLeast"/>
              <w:jc w:val="right"/>
              <w:rPr>
                <w:b/>
                <w:bCs/>
                <w:color w:val="000000"/>
                <w:sz w:val="6"/>
                <w:szCs w:val="6"/>
                <w:lang w:val="fi-FI"/>
              </w:rPr>
            </w:pPr>
          </w:p>
          <w:p w:rsidR="00642235" w:rsidRPr="00D364F4" w:rsidRDefault="00642235" w:rsidP="00CE5D6F">
            <w:pPr>
              <w:spacing w:line="260" w:lineRule="atLeast"/>
              <w:jc w:val="right"/>
              <w:rPr>
                <w:b/>
                <w:bCs/>
                <w:noProof/>
                <w:color w:val="000000"/>
                <w:sz w:val="18"/>
                <w:szCs w:val="18"/>
                <w:lang w:val="en-GB"/>
              </w:rPr>
            </w:pPr>
            <w:r w:rsidRPr="00B55633">
              <w:rPr>
                <w:b/>
                <w:bCs/>
                <w:noProof/>
                <w:color w:val="000000"/>
                <w:sz w:val="18"/>
                <w:szCs w:val="18"/>
                <w:lang w:val="fi-FI"/>
              </w:rPr>
              <w:t xml:space="preserve"> </w:t>
            </w:r>
            <w:r w:rsidRPr="00D364F4">
              <w:rPr>
                <w:b/>
                <w:bCs/>
                <w:noProof/>
                <w:color w:val="000000"/>
                <w:sz w:val="18"/>
                <w:szCs w:val="18"/>
                <w:lang w:val="en-GB"/>
              </w:rPr>
              <w:t>Division Bank and Insurance</w:t>
            </w:r>
          </w:p>
          <w:p w:rsidR="00C47B46" w:rsidRPr="00D364F4" w:rsidRDefault="00C47B46" w:rsidP="00CE5D6F">
            <w:pPr>
              <w:spacing w:line="260" w:lineRule="atLeast"/>
              <w:jc w:val="right"/>
              <w:rPr>
                <w:bCs/>
                <w:color w:val="000000"/>
                <w:sz w:val="18"/>
                <w:szCs w:val="18"/>
                <w:lang w:val="en-GB"/>
              </w:rPr>
            </w:pPr>
            <w:r w:rsidRPr="00D364F4">
              <w:rPr>
                <w:bCs/>
                <w:noProof/>
                <w:color w:val="000000"/>
                <w:sz w:val="18"/>
                <w:szCs w:val="18"/>
                <w:lang w:val="en-GB"/>
              </w:rPr>
              <w:t>Austrian Federal Economic Chamber</w:t>
            </w:r>
          </w:p>
          <w:p w:rsidR="00642235" w:rsidRPr="00CE5D6F" w:rsidRDefault="00642235" w:rsidP="00CE5D6F">
            <w:pPr>
              <w:spacing w:line="260" w:lineRule="atLeast"/>
              <w:jc w:val="right"/>
              <w:rPr>
                <w:color w:val="000000"/>
                <w:sz w:val="18"/>
                <w:szCs w:val="18"/>
                <w:lang w:val="de-AT"/>
              </w:rPr>
            </w:pPr>
            <w:r w:rsidRPr="00CE5D6F">
              <w:rPr>
                <w:noProof/>
                <w:color w:val="000000"/>
                <w:sz w:val="18"/>
                <w:szCs w:val="18"/>
                <w:lang w:val="de-AT"/>
              </w:rPr>
              <w:t>Wiedner Hauptstraße 63 | P.O. Box 320</w:t>
            </w:r>
          </w:p>
          <w:p w:rsidR="00642235" w:rsidRPr="00CE5D6F" w:rsidRDefault="00642235" w:rsidP="00CE5D6F">
            <w:pPr>
              <w:spacing w:line="260" w:lineRule="atLeast"/>
              <w:jc w:val="right"/>
              <w:rPr>
                <w:color w:val="000000"/>
                <w:sz w:val="18"/>
                <w:szCs w:val="18"/>
                <w:lang w:val="de-AT"/>
              </w:rPr>
            </w:pPr>
            <w:r w:rsidRPr="00CE5D6F">
              <w:rPr>
                <w:noProof/>
                <w:color w:val="000000"/>
                <w:sz w:val="18"/>
                <w:szCs w:val="18"/>
                <w:lang w:val="de-AT"/>
              </w:rPr>
              <w:t>1045 Vienna</w:t>
            </w:r>
          </w:p>
          <w:p w:rsidR="00642235" w:rsidRPr="00D364F4" w:rsidRDefault="00642235" w:rsidP="00CE5D6F">
            <w:pPr>
              <w:spacing w:line="260" w:lineRule="atLeast"/>
              <w:jc w:val="right"/>
              <w:rPr>
                <w:color w:val="000000"/>
                <w:sz w:val="18"/>
                <w:szCs w:val="18"/>
              </w:rPr>
            </w:pPr>
            <w:r w:rsidRPr="00B51CB0">
              <w:rPr>
                <w:noProof/>
                <w:color w:val="000000"/>
                <w:sz w:val="18"/>
                <w:szCs w:val="18"/>
                <w:lang w:val="de-AT"/>
              </w:rPr>
              <w:t>T +43 (0)5 90 900-DW | F +43 (0)5 90 900-27</w:t>
            </w:r>
            <w:r w:rsidRPr="00D364F4">
              <w:rPr>
                <w:noProof/>
                <w:color w:val="000000"/>
                <w:sz w:val="18"/>
                <w:szCs w:val="18"/>
              </w:rPr>
              <w:t>2</w:t>
            </w:r>
          </w:p>
          <w:p w:rsidR="00642235" w:rsidRPr="00D364F4" w:rsidRDefault="00642235" w:rsidP="00CE5D6F">
            <w:pPr>
              <w:spacing w:line="260" w:lineRule="atLeast"/>
              <w:jc w:val="right"/>
              <w:rPr>
                <w:color w:val="000000"/>
                <w:sz w:val="18"/>
                <w:szCs w:val="18"/>
              </w:rPr>
            </w:pPr>
            <w:r w:rsidRPr="00D364F4">
              <w:rPr>
                <w:noProof/>
                <w:color w:val="000000"/>
                <w:sz w:val="18"/>
                <w:szCs w:val="18"/>
              </w:rPr>
              <w:t>E  bsbv@wko.at</w:t>
            </w:r>
          </w:p>
          <w:p w:rsidR="00642235" w:rsidRPr="00D364F4" w:rsidRDefault="00642235" w:rsidP="00CE5D6F">
            <w:pPr>
              <w:spacing w:line="260" w:lineRule="atLeast"/>
              <w:jc w:val="right"/>
              <w:rPr>
                <w:lang w:val="en-GB"/>
              </w:rPr>
            </w:pPr>
            <w:r w:rsidRPr="00D364F4">
              <w:rPr>
                <w:noProof/>
                <w:color w:val="000000"/>
                <w:sz w:val="18"/>
                <w:szCs w:val="18"/>
                <w:lang w:val="en-GB"/>
              </w:rPr>
              <w:t>W  http://wko.at/bsbv</w:t>
            </w:r>
          </w:p>
        </w:tc>
      </w:tr>
    </w:tbl>
    <w:p w:rsidR="00642235" w:rsidRPr="00C21BF0" w:rsidRDefault="00642235" w:rsidP="00CE5D6F">
      <w:pPr>
        <w:tabs>
          <w:tab w:val="left" w:pos="2892"/>
          <w:tab w:val="left" w:pos="5783"/>
          <w:tab w:val="left" w:pos="7655"/>
        </w:tabs>
        <w:rPr>
          <w:color w:val="000000"/>
          <w:sz w:val="16"/>
          <w:szCs w:val="16"/>
          <w:lang w:val="en-GB"/>
        </w:rPr>
      </w:pPr>
      <w:r w:rsidRPr="00C21BF0">
        <w:rPr>
          <w:noProof/>
          <w:color w:val="000000"/>
          <w:sz w:val="16"/>
          <w:szCs w:val="16"/>
          <w:lang w:val="en-GB"/>
        </w:rPr>
        <w:t>Your ref., Your message of</w:t>
      </w:r>
      <w:r w:rsidRPr="00C21BF0">
        <w:rPr>
          <w:color w:val="000000"/>
          <w:sz w:val="16"/>
          <w:szCs w:val="16"/>
          <w:lang w:val="en-GB"/>
        </w:rPr>
        <w:tab/>
      </w:r>
      <w:r w:rsidRPr="00C21BF0">
        <w:rPr>
          <w:noProof/>
          <w:color w:val="000000"/>
          <w:sz w:val="16"/>
          <w:szCs w:val="16"/>
          <w:lang w:val="en-GB"/>
        </w:rPr>
        <w:t>Our ref., person in charge</w:t>
      </w:r>
      <w:r w:rsidRPr="00C21BF0">
        <w:rPr>
          <w:color w:val="000000"/>
          <w:sz w:val="16"/>
          <w:szCs w:val="16"/>
          <w:lang w:val="en-GB"/>
        </w:rPr>
        <w:tab/>
      </w:r>
      <w:r w:rsidRPr="00C21BF0">
        <w:rPr>
          <w:noProof/>
          <w:color w:val="000000"/>
          <w:sz w:val="16"/>
          <w:szCs w:val="16"/>
          <w:lang w:val="en-GB"/>
        </w:rPr>
        <w:t>Extension</w:t>
      </w:r>
      <w:r w:rsidRPr="00C21BF0">
        <w:rPr>
          <w:color w:val="000000"/>
          <w:sz w:val="16"/>
          <w:szCs w:val="16"/>
          <w:lang w:val="en-GB"/>
        </w:rPr>
        <w:tab/>
      </w:r>
      <w:r w:rsidRPr="00C21BF0">
        <w:rPr>
          <w:noProof/>
          <w:color w:val="000000"/>
          <w:sz w:val="16"/>
          <w:szCs w:val="16"/>
          <w:lang w:val="en-GB"/>
        </w:rPr>
        <w:t>Date</w:t>
      </w:r>
    </w:p>
    <w:p w:rsidR="00642235" w:rsidRPr="00DC0A36" w:rsidRDefault="00642235" w:rsidP="00CE5D6F">
      <w:pPr>
        <w:tabs>
          <w:tab w:val="left" w:pos="2892"/>
          <w:tab w:val="left" w:pos="5783"/>
          <w:tab w:val="left" w:pos="7655"/>
        </w:tabs>
        <w:rPr>
          <w:color w:val="000000"/>
          <w:lang w:val="en-GB"/>
        </w:rPr>
      </w:pPr>
      <w:r w:rsidRPr="00C21BF0">
        <w:rPr>
          <w:color w:val="000000"/>
          <w:lang w:val="en-GB"/>
        </w:rPr>
        <w:tab/>
      </w:r>
      <w:r w:rsidRPr="00DC0A36">
        <w:rPr>
          <w:noProof/>
          <w:color w:val="000000"/>
          <w:lang w:val="en-GB"/>
        </w:rPr>
        <w:t>BSBV</w:t>
      </w:r>
      <w:r w:rsidR="00CE5D6F">
        <w:rPr>
          <w:noProof/>
          <w:color w:val="000000"/>
          <w:lang w:val="en-GB"/>
        </w:rPr>
        <w:t xml:space="preserve"> </w:t>
      </w:r>
      <w:r w:rsidR="00D161B5">
        <w:rPr>
          <w:noProof/>
          <w:color w:val="000000"/>
          <w:lang w:val="en-GB"/>
        </w:rPr>
        <w:t>115</w:t>
      </w:r>
      <w:r w:rsidR="00641DC4" w:rsidRPr="00DC0A36">
        <w:rPr>
          <w:noProof/>
          <w:color w:val="000000"/>
          <w:lang w:val="en-GB"/>
        </w:rPr>
        <w:t>/</w:t>
      </w:r>
      <w:r w:rsidR="00CE5D6F">
        <w:rPr>
          <w:noProof/>
          <w:color w:val="000000"/>
          <w:lang w:val="en-GB"/>
        </w:rPr>
        <w:t>Horvath</w:t>
      </w:r>
      <w:r w:rsidR="00641DC4" w:rsidRPr="00DC0A36">
        <w:rPr>
          <w:noProof/>
          <w:color w:val="000000"/>
          <w:lang w:val="en-GB"/>
        </w:rPr>
        <w:tab/>
        <w:t>31</w:t>
      </w:r>
      <w:r w:rsidR="00CE5D6F">
        <w:rPr>
          <w:noProof/>
          <w:color w:val="000000"/>
          <w:lang w:val="en-GB"/>
        </w:rPr>
        <w:t>41</w:t>
      </w:r>
      <w:r w:rsidRPr="00DC0A36">
        <w:rPr>
          <w:color w:val="000000"/>
          <w:lang w:val="en-GB"/>
        </w:rPr>
        <w:tab/>
      </w:r>
      <w:r w:rsidR="00F17DA3">
        <w:rPr>
          <w:color w:val="000000"/>
          <w:lang w:val="en-GB"/>
        </w:rPr>
        <w:t>10</w:t>
      </w:r>
      <w:r w:rsidR="005B2525" w:rsidRPr="005B2525">
        <w:rPr>
          <w:color w:val="000000"/>
          <w:vertAlign w:val="superscript"/>
          <w:lang w:val="en-GB"/>
        </w:rPr>
        <w:t>th</w:t>
      </w:r>
      <w:r w:rsidR="005B2525">
        <w:rPr>
          <w:color w:val="000000"/>
          <w:lang w:val="en-GB"/>
        </w:rPr>
        <w:t xml:space="preserve"> </w:t>
      </w:r>
      <w:r w:rsidR="00D161B5">
        <w:rPr>
          <w:color w:val="000000"/>
          <w:lang w:val="en-GB"/>
        </w:rPr>
        <w:t xml:space="preserve">August </w:t>
      </w:r>
      <w:r w:rsidR="00D82226" w:rsidRPr="00DC0A36">
        <w:rPr>
          <w:color w:val="000000"/>
          <w:lang w:val="en-GB"/>
        </w:rPr>
        <w:t>201</w:t>
      </w:r>
      <w:r w:rsidR="00CE5D6F">
        <w:rPr>
          <w:color w:val="000000"/>
          <w:lang w:val="en-GB"/>
        </w:rPr>
        <w:t>6</w:t>
      </w:r>
    </w:p>
    <w:p w:rsidR="00E754C8" w:rsidRDefault="00E754C8" w:rsidP="00CE5D6F">
      <w:pPr>
        <w:rPr>
          <w:color w:val="000000"/>
          <w:sz w:val="24"/>
          <w:szCs w:val="24"/>
          <w:lang w:val="en-GB"/>
        </w:rPr>
      </w:pPr>
    </w:p>
    <w:p w:rsidR="00A82C13" w:rsidRPr="00DC0A36" w:rsidRDefault="00A82C13" w:rsidP="00CE5D6F">
      <w:pPr>
        <w:rPr>
          <w:color w:val="000000"/>
          <w:sz w:val="24"/>
          <w:szCs w:val="24"/>
          <w:lang w:val="en-GB"/>
        </w:rPr>
      </w:pPr>
    </w:p>
    <w:p w:rsidR="00D161B5" w:rsidRPr="00D161B5" w:rsidRDefault="00D161B5" w:rsidP="00D161B5">
      <w:pPr>
        <w:pStyle w:val="Default"/>
        <w:rPr>
          <w:rFonts w:ascii="Trebuchet MS" w:hAnsi="Trebuchet MS"/>
          <w:b/>
          <w:lang w:val="en-US"/>
        </w:rPr>
      </w:pPr>
      <w:r w:rsidRPr="00D161B5">
        <w:rPr>
          <w:rFonts w:ascii="Trebuchet MS" w:hAnsi="Trebuchet MS"/>
          <w:b/>
          <w:lang w:val="en-US"/>
        </w:rPr>
        <w:t>EBA</w:t>
      </w:r>
      <w:r w:rsidR="005B2525" w:rsidRPr="00D161B5">
        <w:rPr>
          <w:rFonts w:ascii="Trebuchet MS" w:hAnsi="Trebuchet MS"/>
          <w:b/>
          <w:lang w:val="en-US"/>
        </w:rPr>
        <w:t xml:space="preserve"> Consultation </w:t>
      </w:r>
      <w:r>
        <w:rPr>
          <w:rFonts w:ascii="Trebuchet MS" w:hAnsi="Trebuchet MS"/>
          <w:b/>
          <w:lang w:val="en-US"/>
        </w:rPr>
        <w:t xml:space="preserve">on </w:t>
      </w:r>
      <w:r w:rsidRPr="00D161B5">
        <w:rPr>
          <w:rFonts w:ascii="Trebuchet MS" w:hAnsi="Trebuchet MS"/>
          <w:b/>
          <w:lang w:val="en-US"/>
        </w:rPr>
        <w:t>Draft Guidelines on LCR disclosure to complement the disclosure of liquidity risk management under Article 435 of Regulation (EU) No 575/2013</w:t>
      </w:r>
    </w:p>
    <w:p w:rsidR="00B22761" w:rsidRPr="00D161B5" w:rsidRDefault="00B22761" w:rsidP="00CE5D6F">
      <w:pPr>
        <w:rPr>
          <w:lang w:val="en-GB"/>
        </w:rPr>
      </w:pPr>
    </w:p>
    <w:p w:rsidR="00DC0A36" w:rsidRDefault="00DC0A36" w:rsidP="00C11030">
      <w:pPr>
        <w:spacing w:line="240" w:lineRule="auto"/>
        <w:rPr>
          <w:rFonts w:cs="Arial"/>
          <w:color w:val="000000"/>
          <w:lang w:val="en-GB" w:eastAsia="en-US"/>
        </w:rPr>
      </w:pPr>
      <w:r w:rsidRPr="00DC0A36">
        <w:rPr>
          <w:lang w:val="en-GB"/>
        </w:rPr>
        <w:t xml:space="preserve">The Division Bank and Insurance of the Austrian Federal Economic </w:t>
      </w:r>
      <w:proofErr w:type="gramStart"/>
      <w:r w:rsidRPr="00DC0A36">
        <w:rPr>
          <w:lang w:val="en-GB"/>
        </w:rPr>
        <w:t>Chamber,</w:t>
      </w:r>
      <w:proofErr w:type="gramEnd"/>
      <w:r w:rsidRPr="00DC0A36">
        <w:rPr>
          <w:lang w:val="en-GB"/>
        </w:rPr>
        <w:t xml:space="preserve"> as representative of the entire Austrian banking industry, appreciates the possibility to</w:t>
      </w:r>
      <w:r w:rsidR="00B467F0" w:rsidRPr="00487A00">
        <w:rPr>
          <w:rFonts w:cs="Arial"/>
          <w:color w:val="000000"/>
          <w:lang w:val="en-GB" w:eastAsia="en-US"/>
        </w:rPr>
        <w:t xml:space="preserve"> comment on </w:t>
      </w:r>
      <w:r w:rsidR="00B467F0">
        <w:rPr>
          <w:rFonts w:cs="Arial"/>
          <w:color w:val="000000"/>
          <w:lang w:val="en-GB" w:eastAsia="en-US"/>
        </w:rPr>
        <w:t xml:space="preserve">the above cited </w:t>
      </w:r>
      <w:r w:rsidR="00CE5D6F">
        <w:rPr>
          <w:rFonts w:cs="Arial"/>
          <w:color w:val="000000"/>
          <w:lang w:val="en-GB" w:eastAsia="en-US"/>
        </w:rPr>
        <w:t xml:space="preserve">consultation </w:t>
      </w:r>
      <w:r w:rsidR="005B2525">
        <w:rPr>
          <w:rFonts w:cs="Arial"/>
          <w:color w:val="000000"/>
          <w:lang w:val="en-GB" w:eastAsia="en-US"/>
        </w:rPr>
        <w:t>document</w:t>
      </w:r>
      <w:r w:rsidR="00B467F0">
        <w:rPr>
          <w:rFonts w:cs="Arial"/>
          <w:color w:val="000000"/>
          <w:lang w:val="en-GB" w:eastAsia="en-US"/>
        </w:rPr>
        <w:t xml:space="preserve"> </w:t>
      </w:r>
      <w:r w:rsidR="00B467F0" w:rsidRPr="00487A00">
        <w:rPr>
          <w:rFonts w:cs="Arial"/>
          <w:color w:val="000000"/>
          <w:lang w:val="en-GB" w:eastAsia="en-US"/>
        </w:rPr>
        <w:t>and would like to submit the following position:</w:t>
      </w:r>
    </w:p>
    <w:p w:rsidR="003C35DC" w:rsidRPr="009D188F" w:rsidRDefault="003C35DC" w:rsidP="00CE5D6F">
      <w:pPr>
        <w:rPr>
          <w:lang w:val="en-GB"/>
        </w:rPr>
      </w:pPr>
    </w:p>
    <w:p w:rsidR="005B2525" w:rsidRPr="005B2525" w:rsidRDefault="005B2525" w:rsidP="003C35DC">
      <w:pPr>
        <w:pStyle w:val="berschrift1"/>
        <w:pageBreakBefore w:val="0"/>
        <w:numPr>
          <w:ilvl w:val="0"/>
          <w:numId w:val="12"/>
        </w:numPr>
        <w:spacing w:after="0" w:line="240" w:lineRule="auto"/>
        <w:rPr>
          <w:rFonts w:ascii="Trebuchet MS" w:hAnsi="Trebuchet MS"/>
          <w:sz w:val="24"/>
        </w:rPr>
      </w:pPr>
      <w:bookmarkStart w:id="0" w:name="_Toc455066759"/>
      <w:r w:rsidRPr="005B2525">
        <w:rPr>
          <w:rFonts w:ascii="Trebuchet MS" w:hAnsi="Trebuchet MS"/>
          <w:sz w:val="24"/>
        </w:rPr>
        <w:t>General Comments</w:t>
      </w:r>
      <w:bookmarkEnd w:id="0"/>
    </w:p>
    <w:p w:rsidR="00B1272A" w:rsidRDefault="00B1272A" w:rsidP="00B1272A">
      <w:pPr>
        <w:autoSpaceDE w:val="0"/>
        <w:autoSpaceDN w:val="0"/>
        <w:adjustRightInd w:val="0"/>
        <w:spacing w:line="240" w:lineRule="auto"/>
        <w:rPr>
          <w:lang w:val="en-GB"/>
        </w:rPr>
      </w:pPr>
      <w:r w:rsidRPr="00B1272A">
        <w:rPr>
          <w:lang w:val="en-GB"/>
        </w:rPr>
        <w:t xml:space="preserve">We appreciate the effort undertaken by </w:t>
      </w:r>
      <w:r>
        <w:rPr>
          <w:lang w:val="en-GB"/>
        </w:rPr>
        <w:t xml:space="preserve">the </w:t>
      </w:r>
      <w:r w:rsidRPr="00B1272A">
        <w:rPr>
          <w:lang w:val="en-GB"/>
        </w:rPr>
        <w:t>EBA to develop guidelines to harmonize and specify the LCR disclosure requirements. Please find below our answer</w:t>
      </w:r>
      <w:r>
        <w:rPr>
          <w:lang w:val="en-GB"/>
        </w:rPr>
        <w:t>s</w:t>
      </w:r>
      <w:r w:rsidRPr="00B1272A">
        <w:rPr>
          <w:lang w:val="en-GB"/>
        </w:rPr>
        <w:t xml:space="preserve"> to </w:t>
      </w:r>
      <w:r>
        <w:rPr>
          <w:lang w:val="en-GB"/>
        </w:rPr>
        <w:t xml:space="preserve">the specific </w:t>
      </w:r>
      <w:proofErr w:type="spellStart"/>
      <w:r w:rsidRPr="00B1272A">
        <w:rPr>
          <w:lang w:val="en-GB"/>
        </w:rPr>
        <w:t>question</w:t>
      </w:r>
      <w:r>
        <w:rPr>
          <w:lang w:val="en-GB"/>
        </w:rPr>
        <w:t>s</w:t>
      </w:r>
      <w:r w:rsidRPr="00B1272A">
        <w:rPr>
          <w:lang w:val="en-GB"/>
        </w:rPr>
        <w:t>of</w:t>
      </w:r>
      <w:proofErr w:type="spellEnd"/>
      <w:r w:rsidRPr="00B1272A">
        <w:rPr>
          <w:lang w:val="en-GB"/>
        </w:rPr>
        <w:t xml:space="preserve"> the consultation.</w:t>
      </w:r>
    </w:p>
    <w:p w:rsidR="00B1272A" w:rsidRDefault="00B1272A" w:rsidP="00B1272A">
      <w:pPr>
        <w:autoSpaceDE w:val="0"/>
        <w:autoSpaceDN w:val="0"/>
        <w:adjustRightInd w:val="0"/>
        <w:rPr>
          <w:lang w:val="en-GB"/>
        </w:rPr>
      </w:pPr>
    </w:p>
    <w:p w:rsidR="00B1272A" w:rsidRDefault="00B1272A" w:rsidP="00B1272A">
      <w:pPr>
        <w:pStyle w:val="berschrift1"/>
        <w:pageBreakBefore w:val="0"/>
        <w:numPr>
          <w:ilvl w:val="0"/>
          <w:numId w:val="12"/>
        </w:numPr>
        <w:spacing w:after="0" w:line="240" w:lineRule="auto"/>
        <w:rPr>
          <w:rFonts w:ascii="Trebuchet MS" w:hAnsi="Trebuchet MS"/>
          <w:sz w:val="24"/>
          <w:lang w:val="en-GB"/>
        </w:rPr>
      </w:pPr>
      <w:r w:rsidRPr="00B1272A">
        <w:rPr>
          <w:rFonts w:ascii="Trebuchet MS" w:hAnsi="Trebuchet MS"/>
          <w:sz w:val="24"/>
          <w:lang w:val="en-GB"/>
        </w:rPr>
        <w:t>Answers to the Questions</w:t>
      </w:r>
    </w:p>
    <w:p w:rsidR="00B1272A" w:rsidRPr="00B1272A" w:rsidRDefault="00B1272A" w:rsidP="00B1272A">
      <w:pPr>
        <w:rPr>
          <w:b/>
          <w:u w:val="single"/>
          <w:lang w:val="en-GB"/>
        </w:rPr>
      </w:pPr>
      <w:r w:rsidRPr="00B1272A">
        <w:rPr>
          <w:b/>
          <w:u w:val="single"/>
          <w:lang w:val="en-GB"/>
        </w:rPr>
        <w:t>Question 2:</w:t>
      </w:r>
    </w:p>
    <w:p w:rsidR="006B5177" w:rsidRDefault="00B1272A" w:rsidP="004E0040">
      <w:pPr>
        <w:spacing w:line="240" w:lineRule="auto"/>
        <w:rPr>
          <w:lang w:val="en-GB"/>
        </w:rPr>
      </w:pPr>
      <w:r w:rsidRPr="00FE3CF0">
        <w:rPr>
          <w:lang w:val="en-GB"/>
        </w:rPr>
        <w:t xml:space="preserve">We believe that the date </w:t>
      </w:r>
      <w:r>
        <w:rPr>
          <w:lang w:val="en-GB"/>
        </w:rPr>
        <w:t>of application should be postponed to at least end of 2017 to provide institutions with enough time for the necessary implementation.</w:t>
      </w:r>
      <w:r w:rsidR="006B5177">
        <w:rPr>
          <w:lang w:val="en-GB"/>
        </w:rPr>
        <w:t xml:space="preserve"> In this context we would also like to point out that as a result complex transitional provisions could be avoided, in particular for those institutions which are obliged to disclose annually. </w:t>
      </w:r>
    </w:p>
    <w:p w:rsidR="00B1272A" w:rsidRDefault="00B1272A" w:rsidP="00B1272A">
      <w:pPr>
        <w:rPr>
          <w:b/>
          <w:u w:val="single"/>
          <w:lang w:val="en-GB"/>
        </w:rPr>
      </w:pPr>
    </w:p>
    <w:p w:rsidR="00B1272A" w:rsidRPr="00B1272A" w:rsidRDefault="00B1272A" w:rsidP="004E0040">
      <w:pPr>
        <w:spacing w:line="240" w:lineRule="auto"/>
        <w:rPr>
          <w:b/>
          <w:u w:val="single"/>
          <w:lang w:val="en-GB"/>
        </w:rPr>
      </w:pPr>
      <w:r w:rsidRPr="00B1272A">
        <w:rPr>
          <w:b/>
          <w:u w:val="single"/>
          <w:lang w:val="en-GB"/>
        </w:rPr>
        <w:t xml:space="preserve">Question 3: </w:t>
      </w:r>
    </w:p>
    <w:p w:rsidR="00A43989" w:rsidRPr="003E6FC7" w:rsidRDefault="00A43989" w:rsidP="003E6FC7">
      <w:pPr>
        <w:spacing w:line="240" w:lineRule="auto"/>
        <w:rPr>
          <w:lang w:val="en-GB"/>
        </w:rPr>
      </w:pPr>
      <w:r w:rsidRPr="003E6FC7">
        <w:rPr>
          <w:lang w:val="en-GB"/>
        </w:rPr>
        <w:t xml:space="preserve">The starting point for calculation and provision of the LCR data should not be in advance to the finalization and publication of this guideline. Not only a different schedule for the current LCR reporting as outlined in the Draft Guideline might be an obstacle but also ongoing implementation efforts due to a delayed finalization of necessary technical standards or differences in currently implemented definitions (e.g. intervals, calculation basis etc.) should be kept in mind when defining a starting point. Therefore we suggest </w:t>
      </w:r>
      <w:proofErr w:type="gramStart"/>
      <w:r w:rsidRPr="003E6FC7">
        <w:rPr>
          <w:lang w:val="en-GB"/>
        </w:rPr>
        <w:t>to define</w:t>
      </w:r>
      <w:proofErr w:type="gramEnd"/>
      <w:r w:rsidRPr="003E6FC7">
        <w:rPr>
          <w:lang w:val="en-GB"/>
        </w:rPr>
        <w:t xml:space="preserve"> a clear start for the disclosure that gives time enough for any necessary implementation activity or calibration needs.</w:t>
      </w:r>
    </w:p>
    <w:p w:rsidR="003E6FC7" w:rsidRDefault="003E6FC7" w:rsidP="003E6FC7">
      <w:pPr>
        <w:spacing w:line="240" w:lineRule="auto"/>
        <w:rPr>
          <w:lang w:val="en-GB"/>
        </w:rPr>
      </w:pPr>
    </w:p>
    <w:p w:rsidR="003E6FC7" w:rsidRPr="007A62F2" w:rsidRDefault="003E6FC7" w:rsidP="003E6FC7">
      <w:pPr>
        <w:spacing w:line="240" w:lineRule="auto"/>
        <w:rPr>
          <w:lang w:val="en-GB"/>
        </w:rPr>
      </w:pPr>
      <w:r w:rsidRPr="00E21C54">
        <w:rPr>
          <w:lang w:val="en-GB"/>
        </w:rPr>
        <w:t xml:space="preserve">Since there is currently no obligation for credit institutions to observe the LCR with a daily frequency </w:t>
      </w:r>
      <w:r>
        <w:rPr>
          <w:lang w:val="en-GB"/>
        </w:rPr>
        <w:t xml:space="preserve">the first disclosure should be published one year after the application date. </w:t>
      </w:r>
    </w:p>
    <w:p w:rsidR="00B1272A" w:rsidRPr="003E6FC7" w:rsidRDefault="00B1272A" w:rsidP="004E0040">
      <w:pPr>
        <w:spacing w:line="240" w:lineRule="auto"/>
        <w:rPr>
          <w:lang w:val="en-GB"/>
        </w:rPr>
      </w:pPr>
    </w:p>
    <w:p w:rsidR="00B1272A" w:rsidRPr="00B1272A" w:rsidRDefault="00B1272A" w:rsidP="00B1272A">
      <w:pPr>
        <w:rPr>
          <w:b/>
          <w:u w:val="single"/>
          <w:lang w:val="en-GB"/>
        </w:rPr>
      </w:pPr>
      <w:r w:rsidRPr="00B1272A">
        <w:rPr>
          <w:b/>
          <w:u w:val="single"/>
          <w:lang w:val="en-GB"/>
        </w:rPr>
        <w:t xml:space="preserve">Questions 6-9: </w:t>
      </w:r>
    </w:p>
    <w:p w:rsidR="00B1272A" w:rsidRPr="00781ED2" w:rsidRDefault="00B1272A" w:rsidP="004E0040">
      <w:pPr>
        <w:spacing w:line="240" w:lineRule="auto"/>
        <w:rPr>
          <w:szCs w:val="24"/>
          <w:lang w:val="en-GB"/>
        </w:rPr>
      </w:pPr>
      <w:r>
        <w:rPr>
          <w:lang w:val="en-GB"/>
        </w:rPr>
        <w:t xml:space="preserve">We call for the using of end of period values for disclosure purposes. The calculation of average values </w:t>
      </w:r>
      <w:r w:rsidRPr="00781ED2">
        <w:rPr>
          <w:szCs w:val="24"/>
          <w:lang w:val="en-GB"/>
        </w:rPr>
        <w:t>require</w:t>
      </w:r>
      <w:r>
        <w:rPr>
          <w:szCs w:val="24"/>
          <w:lang w:val="en-GB"/>
        </w:rPr>
        <w:t xml:space="preserve">s additional resources and </w:t>
      </w:r>
      <w:r w:rsidRPr="00781ED2">
        <w:rPr>
          <w:szCs w:val="24"/>
          <w:lang w:val="en-GB"/>
        </w:rPr>
        <w:t>lead</w:t>
      </w:r>
      <w:r>
        <w:rPr>
          <w:szCs w:val="24"/>
          <w:lang w:val="en-GB"/>
        </w:rPr>
        <w:t>s</w:t>
      </w:r>
      <w:r w:rsidRPr="00781ED2">
        <w:rPr>
          <w:szCs w:val="24"/>
          <w:lang w:val="en-GB"/>
        </w:rPr>
        <w:t xml:space="preserve"> to an additional </w:t>
      </w:r>
      <w:r>
        <w:rPr>
          <w:szCs w:val="24"/>
          <w:lang w:val="en-GB"/>
        </w:rPr>
        <w:t xml:space="preserve">technical and operational </w:t>
      </w:r>
      <w:r w:rsidRPr="00781ED2">
        <w:rPr>
          <w:szCs w:val="24"/>
          <w:lang w:val="en-GB"/>
        </w:rPr>
        <w:t xml:space="preserve">burden. We believe that end of period values are even better suited to provide market participants with </w:t>
      </w:r>
      <w:r w:rsidRPr="00781ED2">
        <w:rPr>
          <w:szCs w:val="24"/>
          <w:lang w:val="en-GB"/>
        </w:rPr>
        <w:lastRenderedPageBreak/>
        <w:t xml:space="preserve">consistency since financial statements also use end of period values to show the entity’s financial situation. </w:t>
      </w:r>
      <w:r>
        <w:rPr>
          <w:szCs w:val="24"/>
          <w:lang w:val="en-GB"/>
        </w:rPr>
        <w:t>Additionall</w:t>
      </w:r>
      <w:r w:rsidRPr="00781ED2">
        <w:rPr>
          <w:szCs w:val="24"/>
          <w:lang w:val="en-GB"/>
        </w:rPr>
        <w:t xml:space="preserve">y, </w:t>
      </w:r>
      <w:r>
        <w:rPr>
          <w:szCs w:val="24"/>
          <w:lang w:val="en-GB"/>
        </w:rPr>
        <w:t xml:space="preserve">the Commission Delegated Regulation </w:t>
      </w:r>
      <w:r w:rsidRPr="00781ED2">
        <w:rPr>
          <w:szCs w:val="24"/>
          <w:lang w:val="en-GB"/>
        </w:rPr>
        <w:t xml:space="preserve">(EU) 2015/62 </w:t>
      </w:r>
      <w:r w:rsidRPr="006758C4">
        <w:rPr>
          <w:szCs w:val="24"/>
          <w:lang w:val="en-GB"/>
        </w:rPr>
        <w:t>amending Regulation (EU) No 575/2013 of the European Parliament and of the Council with regard to the leverage ratio also declares that p</w:t>
      </w:r>
      <w:r w:rsidRPr="00781ED2">
        <w:rPr>
          <w:szCs w:val="24"/>
          <w:lang w:val="en-GB"/>
        </w:rPr>
        <w:t>oint in time reporting of the leverage ratio at the end of the quarterly reporting period rather than reporting on the basis of a three-month average better aligns the leverage ratio with solvency reporting.</w:t>
      </w:r>
      <w:r>
        <w:rPr>
          <w:szCs w:val="24"/>
          <w:lang w:val="en-GB"/>
        </w:rPr>
        <w:t xml:space="preserve"> </w:t>
      </w:r>
    </w:p>
    <w:p w:rsidR="006B5177" w:rsidRDefault="006B5177" w:rsidP="00B1272A">
      <w:pPr>
        <w:rPr>
          <w:lang w:val="en-GB"/>
        </w:rPr>
      </w:pPr>
    </w:p>
    <w:p w:rsidR="00B1272A" w:rsidRDefault="00B1272A" w:rsidP="00AD2009">
      <w:pPr>
        <w:spacing w:line="240" w:lineRule="auto"/>
        <w:rPr>
          <w:lang w:val="en-GB"/>
        </w:rPr>
      </w:pPr>
      <w:r>
        <w:rPr>
          <w:lang w:val="en-GB"/>
        </w:rPr>
        <w:t xml:space="preserve">The proposed disclosure templates require an observation on daily basis. We would like to point out that there is no requirement for any monitoring or reporting on a daily basis regarding the LCR. </w:t>
      </w:r>
      <w:r w:rsidR="006B5177">
        <w:rPr>
          <w:lang w:val="en-GB"/>
        </w:rPr>
        <w:t xml:space="preserve">A daily observation only for disclosure </w:t>
      </w:r>
      <w:proofErr w:type="spellStart"/>
      <w:r w:rsidR="006B5177">
        <w:rPr>
          <w:lang w:val="en-GB"/>
        </w:rPr>
        <w:t>pruposes</w:t>
      </w:r>
      <w:proofErr w:type="spellEnd"/>
      <w:r w:rsidR="006B5177">
        <w:rPr>
          <w:lang w:val="en-GB"/>
        </w:rPr>
        <w:t xml:space="preserve"> </w:t>
      </w:r>
      <w:r w:rsidR="006B5177" w:rsidRPr="006B5177">
        <w:rPr>
          <w:lang w:val="en-GB"/>
        </w:rPr>
        <w:t>stands in no relation to the use</w:t>
      </w:r>
      <w:r w:rsidR="006B5177">
        <w:rPr>
          <w:lang w:val="en-GB"/>
        </w:rPr>
        <w:t xml:space="preserve"> and shoul</w:t>
      </w:r>
      <w:r w:rsidR="004E0040">
        <w:rPr>
          <w:lang w:val="en-GB"/>
        </w:rPr>
        <w:t>d be avoided</w:t>
      </w:r>
      <w:r w:rsidR="006B5177">
        <w:rPr>
          <w:lang w:val="en-GB"/>
        </w:rPr>
        <w:t xml:space="preserve">. </w:t>
      </w:r>
      <w:r>
        <w:rPr>
          <w:lang w:val="en-GB"/>
        </w:rPr>
        <w:t xml:space="preserve">According to the Commission Implementing Regulation (EU) 2016/322 institutions shall submit the information on LCR with a monthly frequency. </w:t>
      </w:r>
      <w:proofErr w:type="gramStart"/>
      <w:r>
        <w:rPr>
          <w:lang w:val="en-GB"/>
        </w:rPr>
        <w:t>As the EBA mentions in paragraph 3.2.</w:t>
      </w:r>
      <w:proofErr w:type="gramEnd"/>
      <w:r>
        <w:rPr>
          <w:lang w:val="en-GB"/>
        </w:rPr>
        <w:t xml:space="preserve"> </w:t>
      </w:r>
      <w:proofErr w:type="gramStart"/>
      <w:r>
        <w:rPr>
          <w:lang w:val="en-GB"/>
        </w:rPr>
        <w:t>of</w:t>
      </w:r>
      <w:proofErr w:type="gramEnd"/>
      <w:r>
        <w:rPr>
          <w:lang w:val="en-GB"/>
        </w:rPr>
        <w:t xml:space="preserve"> the Consultation Paper on </w:t>
      </w:r>
      <w:r w:rsidR="0045567D">
        <w:rPr>
          <w:lang w:val="en-GB"/>
        </w:rPr>
        <w:t>D</w:t>
      </w:r>
      <w:r>
        <w:rPr>
          <w:lang w:val="en-GB"/>
        </w:rPr>
        <w:t xml:space="preserve">raft Guidelines on LCR disclosure there is no specific mandate to elaborate these Guidelines and therefore no legal basis for imposing any additional requirements for institutions resulting from these Guidelines. </w:t>
      </w:r>
    </w:p>
    <w:p w:rsidR="0045567D" w:rsidRDefault="0045567D" w:rsidP="00AD2009">
      <w:pPr>
        <w:spacing w:line="240" w:lineRule="auto"/>
        <w:rPr>
          <w:lang w:val="en-GB"/>
        </w:rPr>
      </w:pPr>
    </w:p>
    <w:p w:rsidR="00B1272A" w:rsidRDefault="00B1272A" w:rsidP="00AD2009">
      <w:pPr>
        <w:spacing w:line="240" w:lineRule="auto"/>
        <w:rPr>
          <w:lang w:val="en-GB"/>
        </w:rPr>
      </w:pPr>
      <w:r>
        <w:rPr>
          <w:lang w:val="en-GB"/>
        </w:rPr>
        <w:t>In the light of the above mentioned and to comply with the EBA’s intention to provide the basis for harmonisation without adding new elements in the disclosure package institutions should not be obliged to disclose average values but rather end of period values.</w:t>
      </w:r>
    </w:p>
    <w:p w:rsidR="00D40D24" w:rsidRDefault="00D40D24" w:rsidP="00AD2009">
      <w:pPr>
        <w:spacing w:line="240" w:lineRule="auto"/>
        <w:rPr>
          <w:b/>
          <w:u w:val="single"/>
          <w:lang w:val="en-GB"/>
        </w:rPr>
      </w:pPr>
    </w:p>
    <w:p w:rsidR="00B1272A" w:rsidRDefault="00D40D24" w:rsidP="00AD2009">
      <w:pPr>
        <w:spacing w:line="240" w:lineRule="auto"/>
        <w:rPr>
          <w:b/>
          <w:u w:val="single"/>
          <w:lang w:val="en-GB"/>
        </w:rPr>
      </w:pPr>
      <w:r>
        <w:rPr>
          <w:b/>
          <w:u w:val="single"/>
          <w:lang w:val="en-GB"/>
        </w:rPr>
        <w:t>Question 10:</w:t>
      </w:r>
    </w:p>
    <w:p w:rsidR="00D40D24" w:rsidRPr="00D40D24" w:rsidRDefault="00D40D24" w:rsidP="00D40D24">
      <w:pPr>
        <w:spacing w:line="240" w:lineRule="auto"/>
        <w:rPr>
          <w:szCs w:val="24"/>
          <w:lang w:val="en-GB"/>
        </w:rPr>
      </w:pPr>
      <w:r w:rsidRPr="00D40D24">
        <w:rPr>
          <w:szCs w:val="24"/>
          <w:lang w:val="en-GB"/>
        </w:rPr>
        <w:t xml:space="preserve">The Draft is currently describing a disclosure based on a daily average LCR instead of snapshot results. The information </w:t>
      </w:r>
      <w:r>
        <w:rPr>
          <w:szCs w:val="24"/>
          <w:lang w:val="en-GB"/>
        </w:rPr>
        <w:t xml:space="preserve">that </w:t>
      </w:r>
      <w:r w:rsidRPr="00D40D24">
        <w:rPr>
          <w:szCs w:val="24"/>
          <w:lang w:val="en-GB"/>
        </w:rPr>
        <w:t xml:space="preserve">shall be disclosed under the LCR disclosure template </w:t>
      </w:r>
      <w:r>
        <w:rPr>
          <w:szCs w:val="24"/>
          <w:lang w:val="en-GB"/>
        </w:rPr>
        <w:t xml:space="preserve">in Annex II </w:t>
      </w:r>
      <w:r w:rsidRPr="00D40D24">
        <w:rPr>
          <w:szCs w:val="24"/>
          <w:lang w:val="en-GB"/>
        </w:rPr>
        <w:t>sh</w:t>
      </w:r>
      <w:r>
        <w:rPr>
          <w:szCs w:val="24"/>
          <w:lang w:val="en-GB"/>
        </w:rPr>
        <w:t>al</w:t>
      </w:r>
      <w:r w:rsidRPr="00D40D24">
        <w:rPr>
          <w:szCs w:val="24"/>
          <w:lang w:val="en-GB"/>
        </w:rPr>
        <w:t xml:space="preserve">l state the values and figures referred to the previous four quarters prior to the disclosure date and shall be calculated as simple averages of daily observations over the corresponding previous quarter. </w:t>
      </w:r>
    </w:p>
    <w:p w:rsidR="00D40D24" w:rsidRPr="00D40D24" w:rsidRDefault="00D40D24" w:rsidP="00D40D24">
      <w:pPr>
        <w:spacing w:line="240" w:lineRule="auto"/>
        <w:rPr>
          <w:szCs w:val="24"/>
          <w:lang w:val="en-GB"/>
        </w:rPr>
      </w:pPr>
      <w:r w:rsidRPr="00D40D24">
        <w:rPr>
          <w:szCs w:val="24"/>
          <w:lang w:val="en-GB"/>
        </w:rPr>
        <w:t>When looking at the intention of any disclosure it shall give (potential) investors and the market (or even the depositor) an overview of the current situation of an institution. This information should be comparable not only with other institutions but also consistent with further disclosure and reporting requirements within the same institution. Otherwise it would become a challenge for the intend</w:t>
      </w:r>
      <w:bookmarkStart w:id="1" w:name="_GoBack"/>
      <w:bookmarkEnd w:id="1"/>
      <w:r w:rsidRPr="00D40D24">
        <w:rPr>
          <w:szCs w:val="24"/>
          <w:lang w:val="en-GB"/>
        </w:rPr>
        <w:t xml:space="preserve">ed addressee as all other reported information (monthly or quarterly) </w:t>
      </w:r>
      <w:proofErr w:type="gramStart"/>
      <w:r w:rsidRPr="00D40D24">
        <w:rPr>
          <w:szCs w:val="24"/>
          <w:lang w:val="en-GB"/>
        </w:rPr>
        <w:t>are</w:t>
      </w:r>
      <w:proofErr w:type="gramEnd"/>
      <w:r w:rsidRPr="00D40D24">
        <w:rPr>
          <w:szCs w:val="24"/>
          <w:lang w:val="en-GB"/>
        </w:rPr>
        <w:t xml:space="preserve"> not based on average figures. Therefore we would suggest reconsidering the approach of average figures and instead using peak figures or snapshots, which would be also advantageous when defining a consistent interval or frequency for the disclosure and/or reporting data selection. In addition we do not see obstacles why this approach could </w:t>
      </w:r>
      <w:proofErr w:type="gramStart"/>
      <w:r w:rsidRPr="00D40D24">
        <w:rPr>
          <w:szCs w:val="24"/>
          <w:lang w:val="en-GB"/>
        </w:rPr>
        <w:t>intervene</w:t>
      </w:r>
      <w:proofErr w:type="gramEnd"/>
      <w:r w:rsidRPr="00D40D24">
        <w:rPr>
          <w:szCs w:val="24"/>
          <w:lang w:val="en-GB"/>
        </w:rPr>
        <w:t xml:space="preserve"> a clear requirement to be able to calculate LCR on a daily basis.</w:t>
      </w:r>
    </w:p>
    <w:p w:rsidR="00D40D24" w:rsidRDefault="00D40D24" w:rsidP="00AD2009">
      <w:pPr>
        <w:spacing w:line="240" w:lineRule="auto"/>
        <w:rPr>
          <w:b/>
          <w:u w:val="single"/>
          <w:lang w:val="en-GB"/>
        </w:rPr>
      </w:pPr>
    </w:p>
    <w:p w:rsidR="00B1272A" w:rsidRPr="00B1272A" w:rsidRDefault="00B1272A" w:rsidP="004E0040">
      <w:pPr>
        <w:spacing w:line="240" w:lineRule="auto"/>
        <w:rPr>
          <w:b/>
          <w:u w:val="single"/>
          <w:lang w:val="en-GB"/>
        </w:rPr>
      </w:pPr>
      <w:r w:rsidRPr="00B1272A">
        <w:rPr>
          <w:b/>
          <w:u w:val="single"/>
          <w:lang w:val="en-GB"/>
        </w:rPr>
        <w:t>Question 11:</w:t>
      </w:r>
    </w:p>
    <w:p w:rsidR="00B1272A" w:rsidRPr="00B1272A" w:rsidRDefault="00B1272A" w:rsidP="00AD2009">
      <w:pPr>
        <w:autoSpaceDE w:val="0"/>
        <w:autoSpaceDN w:val="0"/>
        <w:adjustRightInd w:val="0"/>
        <w:spacing w:line="240" w:lineRule="auto"/>
        <w:rPr>
          <w:lang w:val="en-GB"/>
        </w:rPr>
      </w:pPr>
      <w:r w:rsidRPr="00B1272A">
        <w:rPr>
          <w:lang w:val="en-GB"/>
        </w:rPr>
        <w:t>The EBA proposal for disclosing the averages of daily observations of the LCR is excessive and does not provide any added value. Monthly results provide sufficient and adequate information for the purpose of disclosure of the LCR, especially when it comes to banking groups composed of many units and subsidiaries.</w:t>
      </w:r>
    </w:p>
    <w:p w:rsidR="00B1272A" w:rsidRPr="00B1272A" w:rsidRDefault="00B1272A" w:rsidP="004E0040">
      <w:pPr>
        <w:autoSpaceDE w:val="0"/>
        <w:autoSpaceDN w:val="0"/>
        <w:adjustRightInd w:val="0"/>
        <w:spacing w:line="240" w:lineRule="auto"/>
        <w:rPr>
          <w:lang w:val="en-GB"/>
        </w:rPr>
      </w:pPr>
      <w:r w:rsidRPr="00B1272A">
        <w:rPr>
          <w:lang w:val="en-GB"/>
        </w:rPr>
        <w:t xml:space="preserve">Furthermore there is no legal basis for requiring banks to report daily LCR results. According to Art 414 CRR an institution which does not meet, or expects not to meet the requirement set out in Art 412 CRR shall daily report the LCR. </w:t>
      </w:r>
    </w:p>
    <w:p w:rsidR="00B1272A" w:rsidRDefault="00B1272A" w:rsidP="00AD2009">
      <w:pPr>
        <w:autoSpaceDE w:val="0"/>
        <w:autoSpaceDN w:val="0"/>
        <w:adjustRightInd w:val="0"/>
        <w:spacing w:line="240" w:lineRule="auto"/>
        <w:rPr>
          <w:lang w:val="en-GB"/>
        </w:rPr>
      </w:pPr>
      <w:r w:rsidRPr="00B1272A">
        <w:rPr>
          <w:lang w:val="en-GB"/>
        </w:rPr>
        <w:t>If this is not the case institutions should decide based on the proportionality principle on the frequency of their LCR reporting in order to assure the requirement stated in Art 4 of Commission Delegated Regulation (EU) 2015/61 that the LCR is met at any time.</w:t>
      </w:r>
    </w:p>
    <w:p w:rsidR="004E0040" w:rsidRDefault="004E0040" w:rsidP="00AD2009">
      <w:pPr>
        <w:autoSpaceDE w:val="0"/>
        <w:autoSpaceDN w:val="0"/>
        <w:adjustRightInd w:val="0"/>
        <w:spacing w:line="240" w:lineRule="auto"/>
        <w:rPr>
          <w:lang w:val="en-GB"/>
        </w:rPr>
      </w:pPr>
    </w:p>
    <w:p w:rsidR="0017413A" w:rsidRDefault="004E0040" w:rsidP="00B1272A">
      <w:pPr>
        <w:autoSpaceDE w:val="0"/>
        <w:autoSpaceDN w:val="0"/>
        <w:adjustRightInd w:val="0"/>
        <w:rPr>
          <w:b/>
          <w:u w:val="single"/>
          <w:lang w:val="en-GB"/>
        </w:rPr>
      </w:pPr>
      <w:r w:rsidRPr="004E0040">
        <w:rPr>
          <w:b/>
          <w:u w:val="single"/>
          <w:lang w:val="en-GB"/>
        </w:rPr>
        <w:t>Question 13:</w:t>
      </w:r>
    </w:p>
    <w:p w:rsidR="004E0040" w:rsidRDefault="004E0040" w:rsidP="00AD2009">
      <w:pPr>
        <w:autoSpaceDE w:val="0"/>
        <w:autoSpaceDN w:val="0"/>
        <w:adjustRightInd w:val="0"/>
        <w:spacing w:line="240" w:lineRule="auto"/>
        <w:rPr>
          <w:lang w:val="en-GB"/>
        </w:rPr>
      </w:pPr>
      <w:r>
        <w:rPr>
          <w:lang w:val="en-GB"/>
        </w:rPr>
        <w:t>The principle of proportionality seems from our point of view vitally important. Appreciable advantages are the quantitative and qualitative facilitations for not systemically important ins</w:t>
      </w:r>
      <w:r w:rsidR="008E0154">
        <w:rPr>
          <w:lang w:val="en-GB"/>
        </w:rPr>
        <w:t>t</w:t>
      </w:r>
      <w:r>
        <w:rPr>
          <w:lang w:val="en-GB"/>
        </w:rPr>
        <w:t xml:space="preserve">itutions with total assets of less than EUR 30 billion. </w:t>
      </w:r>
    </w:p>
    <w:p w:rsidR="004E0040" w:rsidRDefault="00AD2009" w:rsidP="00AD2009">
      <w:pPr>
        <w:autoSpaceDE w:val="0"/>
        <w:autoSpaceDN w:val="0"/>
        <w:adjustRightInd w:val="0"/>
        <w:spacing w:line="240" w:lineRule="auto"/>
        <w:rPr>
          <w:lang w:val="en-GB"/>
        </w:rPr>
      </w:pPr>
      <w:r w:rsidRPr="00AD2009">
        <w:rPr>
          <w:lang w:val="en-GB"/>
        </w:rPr>
        <w:lastRenderedPageBreak/>
        <w:t xml:space="preserve">In its Draft Guidelines on LCR disclosure EBA opts for a quarterly disclosure of an average LCR based on daily values. Although it is understood and well accepted that in times of a crisis banks have to report LCR on a daily basis, the daily reporting of LCR in </w:t>
      </w:r>
      <w:r w:rsidR="00A43989">
        <w:rPr>
          <w:lang w:val="en-GB"/>
        </w:rPr>
        <w:t xml:space="preserve">at least </w:t>
      </w:r>
      <w:r w:rsidRPr="00AD2009">
        <w:rPr>
          <w:lang w:val="en-GB"/>
        </w:rPr>
        <w:t xml:space="preserve">normal times is an </w:t>
      </w:r>
      <w:proofErr w:type="spellStart"/>
      <w:r w:rsidRPr="00AD2009">
        <w:rPr>
          <w:lang w:val="en-GB"/>
        </w:rPr>
        <w:t>unproportional</w:t>
      </w:r>
      <w:proofErr w:type="spellEnd"/>
      <w:r w:rsidRPr="00AD2009">
        <w:rPr>
          <w:lang w:val="en-GB"/>
        </w:rPr>
        <w:t xml:space="preserve"> burden to banks in terms of efforts or IT costs and it is in no relation to gained transparency compared to weekly or even monthly reporting frequencies. Therefore we urge to reconsider and adapt this approach accordingly.</w:t>
      </w:r>
      <w:r>
        <w:rPr>
          <w:lang w:val="en-GB"/>
        </w:rPr>
        <w:t xml:space="preserve"> </w:t>
      </w:r>
      <w:r w:rsidR="004E0040">
        <w:rPr>
          <w:lang w:val="en-GB"/>
        </w:rPr>
        <w:t xml:space="preserve">It seems </w:t>
      </w:r>
      <w:r w:rsidR="00B709EC">
        <w:rPr>
          <w:lang w:val="en-GB"/>
        </w:rPr>
        <w:t xml:space="preserve">adequate, if the averages could be based on monthly observed reporting data. </w:t>
      </w:r>
    </w:p>
    <w:p w:rsidR="004E0040" w:rsidRPr="00B1272A" w:rsidRDefault="004E0040" w:rsidP="00B1272A">
      <w:pPr>
        <w:autoSpaceDE w:val="0"/>
        <w:autoSpaceDN w:val="0"/>
        <w:adjustRightInd w:val="0"/>
        <w:rPr>
          <w:lang w:val="en-GB"/>
        </w:rPr>
      </w:pPr>
    </w:p>
    <w:p w:rsidR="00C11030" w:rsidRPr="005C7948" w:rsidRDefault="00C11030" w:rsidP="00C619D3">
      <w:pPr>
        <w:rPr>
          <w:lang w:val="en-US"/>
        </w:rPr>
      </w:pPr>
    </w:p>
    <w:p w:rsidR="00C84D8A" w:rsidRPr="00767DA3" w:rsidRDefault="00C66013" w:rsidP="00C619D3">
      <w:pPr>
        <w:spacing w:line="240" w:lineRule="auto"/>
        <w:rPr>
          <w:rFonts w:cs="Arial"/>
          <w:color w:val="000000"/>
          <w:lang w:val="en-GB" w:eastAsia="en-US"/>
        </w:rPr>
      </w:pPr>
      <w:r w:rsidRPr="00767DA3">
        <w:rPr>
          <w:rFonts w:cs="Arial"/>
          <w:color w:val="000000"/>
          <w:lang w:val="en-GB" w:eastAsia="en-US"/>
        </w:rPr>
        <w:t>We ask you to give our remarks du</w:t>
      </w:r>
      <w:r w:rsidR="00B960F5" w:rsidRPr="00767DA3">
        <w:rPr>
          <w:rFonts w:cs="Arial"/>
          <w:color w:val="000000"/>
          <w:lang w:val="en-GB" w:eastAsia="en-US"/>
        </w:rPr>
        <w:t>e consideration.</w:t>
      </w:r>
    </w:p>
    <w:p w:rsidR="00686189" w:rsidRPr="00767DA3" w:rsidRDefault="00686189" w:rsidP="00CE5D6F">
      <w:pPr>
        <w:spacing w:line="240" w:lineRule="auto"/>
        <w:rPr>
          <w:rFonts w:cs="Arial"/>
          <w:color w:val="000000"/>
          <w:lang w:val="en-GB" w:eastAsia="en-US"/>
        </w:rPr>
      </w:pPr>
    </w:p>
    <w:p w:rsidR="00686189" w:rsidRPr="00767DA3" w:rsidRDefault="00686189" w:rsidP="00CE5D6F">
      <w:pPr>
        <w:spacing w:line="240" w:lineRule="auto"/>
        <w:rPr>
          <w:rFonts w:cs="Arial"/>
          <w:color w:val="000000"/>
          <w:lang w:val="en-GB" w:eastAsia="en-US"/>
        </w:rPr>
      </w:pPr>
    </w:p>
    <w:p w:rsidR="008E0154" w:rsidRPr="00767DA3" w:rsidRDefault="008E0154" w:rsidP="008E0154">
      <w:pPr>
        <w:spacing w:line="240" w:lineRule="auto"/>
        <w:rPr>
          <w:rFonts w:cs="Arial"/>
          <w:color w:val="000000"/>
          <w:lang w:val="en-GB" w:eastAsia="en-US"/>
        </w:rPr>
      </w:pPr>
      <w:r w:rsidRPr="00767DA3">
        <w:rPr>
          <w:rFonts w:cs="Arial"/>
          <w:color w:val="000000"/>
          <w:lang w:val="en-GB" w:eastAsia="en-US"/>
        </w:rPr>
        <w:t>Yours sincerely,</w:t>
      </w:r>
    </w:p>
    <w:p w:rsidR="008E0154" w:rsidRPr="00767DA3" w:rsidRDefault="008E0154" w:rsidP="008E0154">
      <w:pPr>
        <w:spacing w:line="240" w:lineRule="auto"/>
        <w:rPr>
          <w:rFonts w:cs="Arial"/>
          <w:color w:val="000000"/>
          <w:lang w:val="en-GB" w:eastAsia="en-US"/>
        </w:rPr>
      </w:pPr>
    </w:p>
    <w:p w:rsidR="008E0154" w:rsidRPr="00767DA3" w:rsidRDefault="008E0154" w:rsidP="008E0154">
      <w:pPr>
        <w:spacing w:line="240" w:lineRule="auto"/>
        <w:rPr>
          <w:rFonts w:cs="Arial"/>
          <w:color w:val="000000"/>
          <w:lang w:val="en-GB" w:eastAsia="en-US"/>
        </w:rPr>
      </w:pPr>
      <w:proofErr w:type="spellStart"/>
      <w:r w:rsidRPr="00767DA3">
        <w:rPr>
          <w:rFonts w:cs="Arial"/>
          <w:color w:val="000000"/>
          <w:lang w:val="en-GB" w:eastAsia="en-US"/>
        </w:rPr>
        <w:t>Dr.</w:t>
      </w:r>
      <w:proofErr w:type="spellEnd"/>
      <w:r w:rsidRPr="00767DA3">
        <w:rPr>
          <w:rFonts w:cs="Arial"/>
          <w:color w:val="000000"/>
          <w:lang w:val="en-GB" w:eastAsia="en-US"/>
        </w:rPr>
        <w:t xml:space="preserve"> Franz Rudorfer</w:t>
      </w:r>
    </w:p>
    <w:p w:rsidR="008E0154" w:rsidRPr="00767DA3" w:rsidRDefault="008E0154" w:rsidP="008E0154">
      <w:pPr>
        <w:spacing w:line="240" w:lineRule="auto"/>
        <w:rPr>
          <w:rFonts w:cs="Arial"/>
          <w:color w:val="000000"/>
          <w:lang w:val="en-GB" w:eastAsia="en-US"/>
        </w:rPr>
      </w:pPr>
      <w:r w:rsidRPr="00767DA3">
        <w:rPr>
          <w:rFonts w:cs="Arial"/>
          <w:color w:val="000000"/>
          <w:lang w:val="en-GB" w:eastAsia="en-US"/>
        </w:rPr>
        <w:t>Managing Director</w:t>
      </w:r>
    </w:p>
    <w:p w:rsidR="008E0154" w:rsidRPr="00767DA3" w:rsidRDefault="008E0154" w:rsidP="008E0154">
      <w:pPr>
        <w:spacing w:line="240" w:lineRule="auto"/>
        <w:rPr>
          <w:noProof/>
          <w:lang w:val="en-GB"/>
        </w:rPr>
      </w:pPr>
      <w:r w:rsidRPr="00767DA3">
        <w:rPr>
          <w:rFonts w:cs="Arial"/>
          <w:color w:val="000000"/>
          <w:lang w:val="en-GB" w:eastAsia="en-US"/>
        </w:rPr>
        <w:t>Division Bank and Insurance</w:t>
      </w:r>
    </w:p>
    <w:p w:rsidR="00346DF4" w:rsidRPr="007C2846" w:rsidRDefault="00346DF4" w:rsidP="00CE5D6F">
      <w:pPr>
        <w:spacing w:line="240" w:lineRule="auto"/>
        <w:rPr>
          <w:noProof/>
          <w:lang w:val="en-GB"/>
        </w:rPr>
      </w:pPr>
    </w:p>
    <w:sectPr w:rsidR="00346DF4" w:rsidRPr="007C2846" w:rsidSect="00F700E4">
      <w:headerReference w:type="default" r:id="rId9"/>
      <w:headerReference w:type="first" r:id="rId10"/>
      <w:pgSz w:w="11906" w:h="16838"/>
      <w:pgMar w:top="1701" w:right="851" w:bottom="1134" w:left="1418"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0A3" w:rsidRDefault="00B020A3">
      <w:r>
        <w:separator/>
      </w:r>
    </w:p>
  </w:endnote>
  <w:endnote w:type="continuationSeparator" w:id="0">
    <w:p w:rsidR="00B020A3" w:rsidRDefault="00B0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0A3" w:rsidRDefault="00B020A3">
      <w:r>
        <w:separator/>
      </w:r>
    </w:p>
  </w:footnote>
  <w:footnote w:type="continuationSeparator" w:id="0">
    <w:p w:rsidR="00B020A3" w:rsidRDefault="00B02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8E" w:rsidRDefault="0014018E">
    <w:pPr>
      <w:pStyle w:val="Kopfzeile"/>
      <w:jc w:val="center"/>
    </w:pPr>
    <w:r>
      <w:t xml:space="preserve">- </w:t>
    </w:r>
    <w:r w:rsidR="008D5D3B">
      <w:rPr>
        <w:rStyle w:val="Seitenzahl"/>
      </w:rPr>
      <w:fldChar w:fldCharType="begin"/>
    </w:r>
    <w:r>
      <w:rPr>
        <w:rStyle w:val="Seitenzahl"/>
      </w:rPr>
      <w:instrText xml:space="preserve"> PAGE </w:instrText>
    </w:r>
    <w:r w:rsidR="008D5D3B">
      <w:rPr>
        <w:rStyle w:val="Seitenzahl"/>
      </w:rPr>
      <w:fldChar w:fldCharType="separate"/>
    </w:r>
    <w:r w:rsidR="008E0154">
      <w:rPr>
        <w:rStyle w:val="Seitenzahl"/>
        <w:noProof/>
      </w:rPr>
      <w:t>2</w:t>
    </w:r>
    <w:r w:rsidR="008D5D3B">
      <w:rPr>
        <w:rStyle w:val="Seitenzahl"/>
      </w:rPr>
      <w:fldChar w:fldCharType="end"/>
    </w:r>
    <w:r>
      <w:rPr>
        <w:rStyle w:val="Seitenzah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8E" w:rsidRDefault="0014018E">
    <w:pPr>
      <w:pStyle w:val="Kopfzeile"/>
      <w:jc w:val="right"/>
    </w:pPr>
    <w:r>
      <w:rPr>
        <w:noProof/>
        <w:snapToGrid/>
        <w:lang w:val="de-AT"/>
      </w:rPr>
      <w:drawing>
        <wp:anchor distT="0" distB="0" distL="114300" distR="114300" simplePos="0" relativeHeight="251657728" behindDoc="0" locked="1" layoutInCell="0" allowOverlap="1">
          <wp:simplePos x="0" y="0"/>
          <wp:positionH relativeFrom="page">
            <wp:posOffset>4859655</wp:posOffset>
          </wp:positionH>
          <wp:positionV relativeFrom="page">
            <wp:posOffset>197485</wp:posOffset>
          </wp:positionV>
          <wp:extent cx="2210435" cy="861695"/>
          <wp:effectExtent l="19050" t="0" r="0" b="0"/>
          <wp:wrapTopAndBottom/>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10435" cy="8616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379"/>
    <w:multiLevelType w:val="hybridMultilevel"/>
    <w:tmpl w:val="21AAB92E"/>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062F63C5"/>
    <w:multiLevelType w:val="hybridMultilevel"/>
    <w:tmpl w:val="758CF3B8"/>
    <w:lvl w:ilvl="0" w:tplc="42760B6C">
      <w:start w:val="1"/>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nsid w:val="0AF578A7"/>
    <w:multiLevelType w:val="hybridMultilevel"/>
    <w:tmpl w:val="A74EFC70"/>
    <w:lvl w:ilvl="0" w:tplc="719E4B78">
      <w:start w:val="1"/>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nsid w:val="16880E9B"/>
    <w:multiLevelType w:val="hybridMultilevel"/>
    <w:tmpl w:val="19B0B4CA"/>
    <w:lvl w:ilvl="0" w:tplc="1CD2FC34">
      <w:start w:val="1"/>
      <w:numFmt w:val="upperLetter"/>
      <w:lvlText w:val="%1."/>
      <w:lvlJc w:val="left"/>
      <w:pPr>
        <w:ind w:left="720" w:hanging="360"/>
      </w:pPr>
      <w:rPr>
        <w:rFonts w:ascii="Trebuchet MS" w:eastAsiaTheme="minorHAnsi" w:hAnsi="Trebuchet MS" w:cs="Arial" w:hint="default"/>
        <w:u w:val="single"/>
        <w:lang w:val="en-G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1ABC437B"/>
    <w:multiLevelType w:val="hybridMultilevel"/>
    <w:tmpl w:val="034003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1D003BED"/>
    <w:multiLevelType w:val="hybridMultilevel"/>
    <w:tmpl w:val="6A6293A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21FB435A"/>
    <w:multiLevelType w:val="hybridMultilevel"/>
    <w:tmpl w:val="430A2FC0"/>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7">
    <w:nsid w:val="25920B5A"/>
    <w:multiLevelType w:val="hybridMultilevel"/>
    <w:tmpl w:val="458C926E"/>
    <w:lvl w:ilvl="0" w:tplc="15FEF840">
      <w:numFmt w:val="bullet"/>
      <w:lvlText w:val="-"/>
      <w:lvlJc w:val="left"/>
      <w:pPr>
        <w:ind w:left="1776" w:hanging="360"/>
      </w:pPr>
      <w:rPr>
        <w:rFonts w:ascii="Arial" w:eastAsia="Calibri" w:hAnsi="Arial" w:cs="Arial"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8">
    <w:nsid w:val="2F7E33E9"/>
    <w:multiLevelType w:val="hybridMultilevel"/>
    <w:tmpl w:val="AE08DDC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nsid w:val="48C27902"/>
    <w:multiLevelType w:val="hybridMultilevel"/>
    <w:tmpl w:val="45F88D18"/>
    <w:lvl w:ilvl="0" w:tplc="0C070013">
      <w:start w:val="1"/>
      <w:numFmt w:val="upperRoman"/>
      <w:lvlText w:val="%1."/>
      <w:lvlJc w:val="right"/>
      <w:pPr>
        <w:ind w:left="502" w:hanging="360"/>
      </w:pPr>
    </w:lvl>
    <w:lvl w:ilvl="1" w:tplc="0C070019" w:tentative="1">
      <w:start w:val="1"/>
      <w:numFmt w:val="lowerLetter"/>
      <w:lvlText w:val="%2."/>
      <w:lvlJc w:val="left"/>
      <w:pPr>
        <w:ind w:left="1222" w:hanging="360"/>
      </w:pPr>
    </w:lvl>
    <w:lvl w:ilvl="2" w:tplc="0C07001B" w:tentative="1">
      <w:start w:val="1"/>
      <w:numFmt w:val="lowerRoman"/>
      <w:lvlText w:val="%3."/>
      <w:lvlJc w:val="right"/>
      <w:pPr>
        <w:ind w:left="1942" w:hanging="180"/>
      </w:pPr>
    </w:lvl>
    <w:lvl w:ilvl="3" w:tplc="0C07000F" w:tentative="1">
      <w:start w:val="1"/>
      <w:numFmt w:val="decimal"/>
      <w:lvlText w:val="%4."/>
      <w:lvlJc w:val="left"/>
      <w:pPr>
        <w:ind w:left="2662" w:hanging="360"/>
      </w:pPr>
    </w:lvl>
    <w:lvl w:ilvl="4" w:tplc="0C070019" w:tentative="1">
      <w:start w:val="1"/>
      <w:numFmt w:val="lowerLetter"/>
      <w:lvlText w:val="%5."/>
      <w:lvlJc w:val="left"/>
      <w:pPr>
        <w:ind w:left="3382" w:hanging="360"/>
      </w:pPr>
    </w:lvl>
    <w:lvl w:ilvl="5" w:tplc="0C07001B" w:tentative="1">
      <w:start w:val="1"/>
      <w:numFmt w:val="lowerRoman"/>
      <w:lvlText w:val="%6."/>
      <w:lvlJc w:val="right"/>
      <w:pPr>
        <w:ind w:left="4102" w:hanging="180"/>
      </w:pPr>
    </w:lvl>
    <w:lvl w:ilvl="6" w:tplc="0C07000F" w:tentative="1">
      <w:start w:val="1"/>
      <w:numFmt w:val="decimal"/>
      <w:lvlText w:val="%7."/>
      <w:lvlJc w:val="left"/>
      <w:pPr>
        <w:ind w:left="4822" w:hanging="360"/>
      </w:pPr>
    </w:lvl>
    <w:lvl w:ilvl="7" w:tplc="0C070019" w:tentative="1">
      <w:start w:val="1"/>
      <w:numFmt w:val="lowerLetter"/>
      <w:lvlText w:val="%8."/>
      <w:lvlJc w:val="left"/>
      <w:pPr>
        <w:ind w:left="5542" w:hanging="360"/>
      </w:pPr>
    </w:lvl>
    <w:lvl w:ilvl="8" w:tplc="0C07001B" w:tentative="1">
      <w:start w:val="1"/>
      <w:numFmt w:val="lowerRoman"/>
      <w:lvlText w:val="%9."/>
      <w:lvlJc w:val="right"/>
      <w:pPr>
        <w:ind w:left="6262" w:hanging="180"/>
      </w:pPr>
    </w:lvl>
  </w:abstractNum>
  <w:abstractNum w:abstractNumId="10">
    <w:nsid w:val="48D71814"/>
    <w:multiLevelType w:val="hybridMultilevel"/>
    <w:tmpl w:val="FD02C0A0"/>
    <w:lvl w:ilvl="0" w:tplc="2B72F944">
      <w:start w:val="2"/>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536F1603"/>
    <w:multiLevelType w:val="hybridMultilevel"/>
    <w:tmpl w:val="526A3F40"/>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nsid w:val="587A10D2"/>
    <w:multiLevelType w:val="hybridMultilevel"/>
    <w:tmpl w:val="1D8E3446"/>
    <w:lvl w:ilvl="0" w:tplc="61902CC4">
      <w:numFmt w:val="bullet"/>
      <w:lvlText w:val="-"/>
      <w:lvlJc w:val="left"/>
      <w:pPr>
        <w:ind w:left="720" w:hanging="360"/>
      </w:pPr>
      <w:rPr>
        <w:rFonts w:ascii="Trebuchet MS" w:eastAsia="Times New Roman" w:hAnsi="Trebuchet MS" w:cs="Trebuchet M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58D53930"/>
    <w:multiLevelType w:val="hybridMultilevel"/>
    <w:tmpl w:val="4E128B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D431DFD"/>
    <w:multiLevelType w:val="hybridMultilevel"/>
    <w:tmpl w:val="384ADF18"/>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nsid w:val="60A61DB9"/>
    <w:multiLevelType w:val="hybridMultilevel"/>
    <w:tmpl w:val="3A0650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65C210E1"/>
    <w:multiLevelType w:val="hybridMultilevel"/>
    <w:tmpl w:val="D2EC6886"/>
    <w:lvl w:ilvl="0" w:tplc="516AC5AA">
      <w:start w:val="1"/>
      <w:numFmt w:val="lowerRoman"/>
      <w:lvlText w:val="(%1)"/>
      <w:lvlJc w:val="left"/>
      <w:pPr>
        <w:ind w:left="1440" w:hanging="720"/>
      </w:pPr>
      <w:rPr>
        <w:rFonts w:ascii="Trebuchet MS" w:eastAsia="Calibri" w:hAnsi="Trebuchet MS" w:cs="Times New Roman"/>
      </w:rPr>
    </w:lvl>
    <w:lvl w:ilvl="1" w:tplc="0C070019">
      <w:start w:val="1"/>
      <w:numFmt w:val="lowerLetter"/>
      <w:lvlText w:val="%2."/>
      <w:lvlJc w:val="left"/>
      <w:pPr>
        <w:ind w:left="1800" w:hanging="360"/>
      </w:pPr>
    </w:lvl>
    <w:lvl w:ilvl="2" w:tplc="0C07001B">
      <w:start w:val="1"/>
      <w:numFmt w:val="lowerRoman"/>
      <w:lvlText w:val="%3."/>
      <w:lvlJc w:val="right"/>
      <w:pPr>
        <w:ind w:left="2520" w:hanging="180"/>
      </w:pPr>
    </w:lvl>
    <w:lvl w:ilvl="3" w:tplc="0C07000F">
      <w:start w:val="1"/>
      <w:numFmt w:val="decimal"/>
      <w:lvlText w:val="%4."/>
      <w:lvlJc w:val="left"/>
      <w:pPr>
        <w:ind w:left="3240" w:hanging="360"/>
      </w:pPr>
    </w:lvl>
    <w:lvl w:ilvl="4" w:tplc="0C070019">
      <w:start w:val="1"/>
      <w:numFmt w:val="lowerLetter"/>
      <w:lvlText w:val="%5."/>
      <w:lvlJc w:val="left"/>
      <w:pPr>
        <w:ind w:left="3960" w:hanging="360"/>
      </w:pPr>
    </w:lvl>
    <w:lvl w:ilvl="5" w:tplc="0C07001B">
      <w:start w:val="1"/>
      <w:numFmt w:val="lowerRoman"/>
      <w:lvlText w:val="%6."/>
      <w:lvlJc w:val="right"/>
      <w:pPr>
        <w:ind w:left="4680" w:hanging="180"/>
      </w:pPr>
    </w:lvl>
    <w:lvl w:ilvl="6" w:tplc="0C07000F">
      <w:start w:val="1"/>
      <w:numFmt w:val="decimal"/>
      <w:lvlText w:val="%7."/>
      <w:lvlJc w:val="left"/>
      <w:pPr>
        <w:ind w:left="5400" w:hanging="360"/>
      </w:pPr>
    </w:lvl>
    <w:lvl w:ilvl="7" w:tplc="0C070019">
      <w:start w:val="1"/>
      <w:numFmt w:val="lowerLetter"/>
      <w:lvlText w:val="%8."/>
      <w:lvlJc w:val="left"/>
      <w:pPr>
        <w:ind w:left="6120" w:hanging="360"/>
      </w:pPr>
    </w:lvl>
    <w:lvl w:ilvl="8" w:tplc="0C07001B">
      <w:start w:val="1"/>
      <w:numFmt w:val="lowerRoman"/>
      <w:lvlText w:val="%9."/>
      <w:lvlJc w:val="right"/>
      <w:pPr>
        <w:ind w:left="6840" w:hanging="180"/>
      </w:pPr>
    </w:lvl>
  </w:abstractNum>
  <w:abstractNum w:abstractNumId="17">
    <w:nsid w:val="6DFA673E"/>
    <w:multiLevelType w:val="hybridMultilevel"/>
    <w:tmpl w:val="E04C4170"/>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8">
    <w:nsid w:val="6F7E1336"/>
    <w:multiLevelType w:val="hybridMultilevel"/>
    <w:tmpl w:val="CF7A09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720A428C"/>
    <w:multiLevelType w:val="hybridMultilevel"/>
    <w:tmpl w:val="9514CBB0"/>
    <w:lvl w:ilvl="0" w:tplc="567C697E">
      <w:numFmt w:val="bullet"/>
      <w:lvlText w:val="-"/>
      <w:lvlJc w:val="left"/>
      <w:pPr>
        <w:ind w:left="1080" w:hanging="360"/>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0">
    <w:nsid w:val="72462943"/>
    <w:multiLevelType w:val="hybridMultilevel"/>
    <w:tmpl w:val="FF4CD16C"/>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nsid w:val="7C004F2D"/>
    <w:multiLevelType w:val="hybridMultilevel"/>
    <w:tmpl w:val="6E82D81A"/>
    <w:lvl w:ilvl="0" w:tplc="C558677A">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num w:numId="1">
    <w:abstractNumId w:val="1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7"/>
  </w:num>
  <w:num w:numId="5">
    <w:abstractNumId w:val="21"/>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num>
  <w:num w:numId="9">
    <w:abstractNumId w:val="4"/>
  </w:num>
  <w:num w:numId="10">
    <w:abstractNumId w:val="18"/>
  </w:num>
  <w:num w:numId="11">
    <w:abstractNumId w:val="13"/>
  </w:num>
  <w:num w:numId="12">
    <w:abstractNumId w:val="20"/>
  </w:num>
  <w:num w:numId="13">
    <w:abstractNumId w:val="3"/>
  </w:num>
  <w:num w:numId="14">
    <w:abstractNumId w:val="0"/>
  </w:num>
  <w:num w:numId="15">
    <w:abstractNumId w:val="15"/>
  </w:num>
  <w:num w:numId="16">
    <w:abstractNumId w:val="19"/>
  </w:num>
  <w:num w:numId="17">
    <w:abstractNumId w:val="2"/>
  </w:num>
  <w:num w:numId="18">
    <w:abstractNumId w:val="1"/>
  </w:num>
  <w:num w:numId="19">
    <w:abstractNumId w:val="7"/>
  </w:num>
  <w:num w:numId="20">
    <w:abstractNumId w:val="10"/>
  </w:num>
  <w:num w:numId="21">
    <w:abstractNumId w:val="9"/>
  </w:num>
  <w:num w:numId="22">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0CC"/>
    <w:rsid w:val="00001730"/>
    <w:rsid w:val="00011DC9"/>
    <w:rsid w:val="00013086"/>
    <w:rsid w:val="000135FB"/>
    <w:rsid w:val="000163E0"/>
    <w:rsid w:val="00021DBA"/>
    <w:rsid w:val="00024D8C"/>
    <w:rsid w:val="00026657"/>
    <w:rsid w:val="00035D58"/>
    <w:rsid w:val="00044A71"/>
    <w:rsid w:val="00053316"/>
    <w:rsid w:val="00057439"/>
    <w:rsid w:val="00061814"/>
    <w:rsid w:val="000619FB"/>
    <w:rsid w:val="0006215B"/>
    <w:rsid w:val="00071436"/>
    <w:rsid w:val="00071BF7"/>
    <w:rsid w:val="00080E83"/>
    <w:rsid w:val="0008171B"/>
    <w:rsid w:val="0008527D"/>
    <w:rsid w:val="0008698A"/>
    <w:rsid w:val="00086BFB"/>
    <w:rsid w:val="000919C4"/>
    <w:rsid w:val="00094EB8"/>
    <w:rsid w:val="0009753B"/>
    <w:rsid w:val="000A0183"/>
    <w:rsid w:val="000A205C"/>
    <w:rsid w:val="000A4FC6"/>
    <w:rsid w:val="000A771B"/>
    <w:rsid w:val="000A7D13"/>
    <w:rsid w:val="000B2CE7"/>
    <w:rsid w:val="000B449E"/>
    <w:rsid w:val="000B4D96"/>
    <w:rsid w:val="000B572C"/>
    <w:rsid w:val="000D7538"/>
    <w:rsid w:val="000E511B"/>
    <w:rsid w:val="000F1070"/>
    <w:rsid w:val="000F2220"/>
    <w:rsid w:val="000F28BB"/>
    <w:rsid w:val="000F3572"/>
    <w:rsid w:val="000F74C7"/>
    <w:rsid w:val="00101144"/>
    <w:rsid w:val="00101383"/>
    <w:rsid w:val="001042B8"/>
    <w:rsid w:val="00105F0E"/>
    <w:rsid w:val="0011743A"/>
    <w:rsid w:val="00121770"/>
    <w:rsid w:val="00121CBD"/>
    <w:rsid w:val="001276A5"/>
    <w:rsid w:val="00127F3B"/>
    <w:rsid w:val="00131416"/>
    <w:rsid w:val="00131A98"/>
    <w:rsid w:val="00135A40"/>
    <w:rsid w:val="00137EF5"/>
    <w:rsid w:val="0014018E"/>
    <w:rsid w:val="00146155"/>
    <w:rsid w:val="0014746B"/>
    <w:rsid w:val="00151673"/>
    <w:rsid w:val="00151A78"/>
    <w:rsid w:val="00155AEE"/>
    <w:rsid w:val="00161914"/>
    <w:rsid w:val="00163CC0"/>
    <w:rsid w:val="00163DDA"/>
    <w:rsid w:val="0017413A"/>
    <w:rsid w:val="00174D0C"/>
    <w:rsid w:val="00183969"/>
    <w:rsid w:val="00196D5C"/>
    <w:rsid w:val="00196EB4"/>
    <w:rsid w:val="001974F7"/>
    <w:rsid w:val="001B0788"/>
    <w:rsid w:val="001B4AB0"/>
    <w:rsid w:val="001C4931"/>
    <w:rsid w:val="001C49F8"/>
    <w:rsid w:val="001D40CC"/>
    <w:rsid w:val="001E0374"/>
    <w:rsid w:val="001F3545"/>
    <w:rsid w:val="002045CC"/>
    <w:rsid w:val="00205DE9"/>
    <w:rsid w:val="002061DD"/>
    <w:rsid w:val="00207AC9"/>
    <w:rsid w:val="00210FDF"/>
    <w:rsid w:val="00224981"/>
    <w:rsid w:val="00240D9B"/>
    <w:rsid w:val="0026358F"/>
    <w:rsid w:val="00264C67"/>
    <w:rsid w:val="00265C18"/>
    <w:rsid w:val="002711FC"/>
    <w:rsid w:val="00272C43"/>
    <w:rsid w:val="00280548"/>
    <w:rsid w:val="00282636"/>
    <w:rsid w:val="0028446E"/>
    <w:rsid w:val="00287819"/>
    <w:rsid w:val="00293410"/>
    <w:rsid w:val="00296269"/>
    <w:rsid w:val="002A00E4"/>
    <w:rsid w:val="002A15C7"/>
    <w:rsid w:val="002A3540"/>
    <w:rsid w:val="002B08BD"/>
    <w:rsid w:val="002B3BF4"/>
    <w:rsid w:val="002B4B41"/>
    <w:rsid w:val="002D14BF"/>
    <w:rsid w:val="002D4A90"/>
    <w:rsid w:val="002D69C4"/>
    <w:rsid w:val="002E4BD0"/>
    <w:rsid w:val="002F1DC4"/>
    <w:rsid w:val="003104AE"/>
    <w:rsid w:val="00312578"/>
    <w:rsid w:val="00316718"/>
    <w:rsid w:val="0031680D"/>
    <w:rsid w:val="00320A42"/>
    <w:rsid w:val="00325FCF"/>
    <w:rsid w:val="00327DD3"/>
    <w:rsid w:val="003303C4"/>
    <w:rsid w:val="00344DB8"/>
    <w:rsid w:val="00346DF4"/>
    <w:rsid w:val="00356254"/>
    <w:rsid w:val="003568E9"/>
    <w:rsid w:val="00361B24"/>
    <w:rsid w:val="003814C3"/>
    <w:rsid w:val="00384948"/>
    <w:rsid w:val="00390AC7"/>
    <w:rsid w:val="003933A5"/>
    <w:rsid w:val="0039371D"/>
    <w:rsid w:val="003A5633"/>
    <w:rsid w:val="003B3D28"/>
    <w:rsid w:val="003B6B36"/>
    <w:rsid w:val="003C35DC"/>
    <w:rsid w:val="003C5804"/>
    <w:rsid w:val="003C622F"/>
    <w:rsid w:val="003C7778"/>
    <w:rsid w:val="003D07A4"/>
    <w:rsid w:val="003E09A5"/>
    <w:rsid w:val="003E6845"/>
    <w:rsid w:val="003E6FC7"/>
    <w:rsid w:val="003F44A2"/>
    <w:rsid w:val="003F5EEF"/>
    <w:rsid w:val="003F6706"/>
    <w:rsid w:val="00404863"/>
    <w:rsid w:val="004235FB"/>
    <w:rsid w:val="00425684"/>
    <w:rsid w:val="00430245"/>
    <w:rsid w:val="004302FD"/>
    <w:rsid w:val="004339AE"/>
    <w:rsid w:val="004400CB"/>
    <w:rsid w:val="00445FAF"/>
    <w:rsid w:val="0044708F"/>
    <w:rsid w:val="00450B6F"/>
    <w:rsid w:val="0045567D"/>
    <w:rsid w:val="00461F65"/>
    <w:rsid w:val="004632A4"/>
    <w:rsid w:val="00470480"/>
    <w:rsid w:val="004745CD"/>
    <w:rsid w:val="00480120"/>
    <w:rsid w:val="00482639"/>
    <w:rsid w:val="00485220"/>
    <w:rsid w:val="0048523B"/>
    <w:rsid w:val="00487A00"/>
    <w:rsid w:val="004926F1"/>
    <w:rsid w:val="004A01A9"/>
    <w:rsid w:val="004A115F"/>
    <w:rsid w:val="004B2194"/>
    <w:rsid w:val="004C0E9B"/>
    <w:rsid w:val="004C5E94"/>
    <w:rsid w:val="004C6FA4"/>
    <w:rsid w:val="004D1102"/>
    <w:rsid w:val="004D1A1E"/>
    <w:rsid w:val="004E0040"/>
    <w:rsid w:val="004E2249"/>
    <w:rsid w:val="004E2A45"/>
    <w:rsid w:val="004E51E5"/>
    <w:rsid w:val="004F1B60"/>
    <w:rsid w:val="004F53C0"/>
    <w:rsid w:val="004F6198"/>
    <w:rsid w:val="00505343"/>
    <w:rsid w:val="0051495A"/>
    <w:rsid w:val="00517690"/>
    <w:rsid w:val="00521B7F"/>
    <w:rsid w:val="00535CF4"/>
    <w:rsid w:val="00550380"/>
    <w:rsid w:val="005548F9"/>
    <w:rsid w:val="00556359"/>
    <w:rsid w:val="00560A66"/>
    <w:rsid w:val="00562C44"/>
    <w:rsid w:val="00576F32"/>
    <w:rsid w:val="00590AAE"/>
    <w:rsid w:val="00596B5B"/>
    <w:rsid w:val="005A2D33"/>
    <w:rsid w:val="005B1218"/>
    <w:rsid w:val="005B2525"/>
    <w:rsid w:val="005B3FB7"/>
    <w:rsid w:val="005C04FF"/>
    <w:rsid w:val="005C218C"/>
    <w:rsid w:val="005C7948"/>
    <w:rsid w:val="005D0470"/>
    <w:rsid w:val="005D08DC"/>
    <w:rsid w:val="005D0B33"/>
    <w:rsid w:val="005D1620"/>
    <w:rsid w:val="005D4F47"/>
    <w:rsid w:val="005E1BA5"/>
    <w:rsid w:val="005E7180"/>
    <w:rsid w:val="005F5B48"/>
    <w:rsid w:val="005F632A"/>
    <w:rsid w:val="00606AFA"/>
    <w:rsid w:val="00622B51"/>
    <w:rsid w:val="00623752"/>
    <w:rsid w:val="00623872"/>
    <w:rsid w:val="006261AF"/>
    <w:rsid w:val="00641DC4"/>
    <w:rsid w:val="00642235"/>
    <w:rsid w:val="00642A57"/>
    <w:rsid w:val="006471E3"/>
    <w:rsid w:val="00650AE5"/>
    <w:rsid w:val="006518A3"/>
    <w:rsid w:val="0065464B"/>
    <w:rsid w:val="00677F47"/>
    <w:rsid w:val="00683614"/>
    <w:rsid w:val="0068403B"/>
    <w:rsid w:val="00686189"/>
    <w:rsid w:val="0069309F"/>
    <w:rsid w:val="00694B28"/>
    <w:rsid w:val="006A55B4"/>
    <w:rsid w:val="006B5177"/>
    <w:rsid w:val="006C33D2"/>
    <w:rsid w:val="006D6427"/>
    <w:rsid w:val="006E0163"/>
    <w:rsid w:val="006E5185"/>
    <w:rsid w:val="0070253E"/>
    <w:rsid w:val="007053E7"/>
    <w:rsid w:val="007114EC"/>
    <w:rsid w:val="007203E6"/>
    <w:rsid w:val="007230AC"/>
    <w:rsid w:val="00724C39"/>
    <w:rsid w:val="0072798F"/>
    <w:rsid w:val="00732AFB"/>
    <w:rsid w:val="0073402F"/>
    <w:rsid w:val="0073440E"/>
    <w:rsid w:val="00743A63"/>
    <w:rsid w:val="00754BAF"/>
    <w:rsid w:val="00766B69"/>
    <w:rsid w:val="00767DA3"/>
    <w:rsid w:val="007755BF"/>
    <w:rsid w:val="007757A9"/>
    <w:rsid w:val="007762A4"/>
    <w:rsid w:val="00776348"/>
    <w:rsid w:val="007816E4"/>
    <w:rsid w:val="00782541"/>
    <w:rsid w:val="00783F4D"/>
    <w:rsid w:val="007846C2"/>
    <w:rsid w:val="00795782"/>
    <w:rsid w:val="007A01B8"/>
    <w:rsid w:val="007A1751"/>
    <w:rsid w:val="007B32D2"/>
    <w:rsid w:val="007B3A82"/>
    <w:rsid w:val="007B3EA1"/>
    <w:rsid w:val="007B641D"/>
    <w:rsid w:val="007C2846"/>
    <w:rsid w:val="007C2F92"/>
    <w:rsid w:val="007D0A79"/>
    <w:rsid w:val="007D3573"/>
    <w:rsid w:val="007D4FE3"/>
    <w:rsid w:val="007E6B3B"/>
    <w:rsid w:val="007F5F54"/>
    <w:rsid w:val="00801234"/>
    <w:rsid w:val="0080414A"/>
    <w:rsid w:val="0081169B"/>
    <w:rsid w:val="00811CE5"/>
    <w:rsid w:val="00812F74"/>
    <w:rsid w:val="00815C5E"/>
    <w:rsid w:val="00816598"/>
    <w:rsid w:val="008255E7"/>
    <w:rsid w:val="008351DF"/>
    <w:rsid w:val="008406BB"/>
    <w:rsid w:val="0084684D"/>
    <w:rsid w:val="0086077B"/>
    <w:rsid w:val="00864AF6"/>
    <w:rsid w:val="008720A6"/>
    <w:rsid w:val="008745CD"/>
    <w:rsid w:val="00881BC0"/>
    <w:rsid w:val="00884544"/>
    <w:rsid w:val="0088500E"/>
    <w:rsid w:val="0089476E"/>
    <w:rsid w:val="008953FC"/>
    <w:rsid w:val="008B1362"/>
    <w:rsid w:val="008B1D1A"/>
    <w:rsid w:val="008C0AE8"/>
    <w:rsid w:val="008C0C66"/>
    <w:rsid w:val="008C679C"/>
    <w:rsid w:val="008D1E25"/>
    <w:rsid w:val="008D469D"/>
    <w:rsid w:val="008D5D3B"/>
    <w:rsid w:val="008D70E6"/>
    <w:rsid w:val="008D77D7"/>
    <w:rsid w:val="008E0154"/>
    <w:rsid w:val="008E02AC"/>
    <w:rsid w:val="008F1DD3"/>
    <w:rsid w:val="008F3076"/>
    <w:rsid w:val="008F3EA3"/>
    <w:rsid w:val="0091585E"/>
    <w:rsid w:val="009303DC"/>
    <w:rsid w:val="00935B03"/>
    <w:rsid w:val="00935BB6"/>
    <w:rsid w:val="0093708A"/>
    <w:rsid w:val="00942F6C"/>
    <w:rsid w:val="0094333B"/>
    <w:rsid w:val="0094518B"/>
    <w:rsid w:val="009458C0"/>
    <w:rsid w:val="009632CC"/>
    <w:rsid w:val="00965380"/>
    <w:rsid w:val="009853E1"/>
    <w:rsid w:val="009922DC"/>
    <w:rsid w:val="009A6947"/>
    <w:rsid w:val="009B6C3A"/>
    <w:rsid w:val="009C1E08"/>
    <w:rsid w:val="009C6136"/>
    <w:rsid w:val="009D188F"/>
    <w:rsid w:val="009D58FA"/>
    <w:rsid w:val="009E1189"/>
    <w:rsid w:val="009E5929"/>
    <w:rsid w:val="009E5A12"/>
    <w:rsid w:val="009E66CA"/>
    <w:rsid w:val="009F4450"/>
    <w:rsid w:val="009F57DA"/>
    <w:rsid w:val="009F6A00"/>
    <w:rsid w:val="00A01B18"/>
    <w:rsid w:val="00A0265B"/>
    <w:rsid w:val="00A07FE0"/>
    <w:rsid w:val="00A147F7"/>
    <w:rsid w:val="00A21AEC"/>
    <w:rsid w:val="00A23371"/>
    <w:rsid w:val="00A23661"/>
    <w:rsid w:val="00A36834"/>
    <w:rsid w:val="00A42F7B"/>
    <w:rsid w:val="00A437DE"/>
    <w:rsid w:val="00A43989"/>
    <w:rsid w:val="00A44D5F"/>
    <w:rsid w:val="00A500F1"/>
    <w:rsid w:val="00A5381E"/>
    <w:rsid w:val="00A54C2F"/>
    <w:rsid w:val="00A55757"/>
    <w:rsid w:val="00A64C34"/>
    <w:rsid w:val="00A705F5"/>
    <w:rsid w:val="00A707A7"/>
    <w:rsid w:val="00A70C7D"/>
    <w:rsid w:val="00A81341"/>
    <w:rsid w:val="00A82C13"/>
    <w:rsid w:val="00A8532A"/>
    <w:rsid w:val="00A955F6"/>
    <w:rsid w:val="00A97AE7"/>
    <w:rsid w:val="00AA0432"/>
    <w:rsid w:val="00AB5857"/>
    <w:rsid w:val="00AB59B3"/>
    <w:rsid w:val="00AD053F"/>
    <w:rsid w:val="00AD2009"/>
    <w:rsid w:val="00AE02B3"/>
    <w:rsid w:val="00AE457B"/>
    <w:rsid w:val="00AE6511"/>
    <w:rsid w:val="00B020A3"/>
    <w:rsid w:val="00B10218"/>
    <w:rsid w:val="00B1272A"/>
    <w:rsid w:val="00B17B80"/>
    <w:rsid w:val="00B22761"/>
    <w:rsid w:val="00B32456"/>
    <w:rsid w:val="00B36C46"/>
    <w:rsid w:val="00B447AA"/>
    <w:rsid w:val="00B467F0"/>
    <w:rsid w:val="00B46C57"/>
    <w:rsid w:val="00B51CB0"/>
    <w:rsid w:val="00B532F2"/>
    <w:rsid w:val="00B55633"/>
    <w:rsid w:val="00B57C55"/>
    <w:rsid w:val="00B6209E"/>
    <w:rsid w:val="00B63C71"/>
    <w:rsid w:val="00B64838"/>
    <w:rsid w:val="00B6488D"/>
    <w:rsid w:val="00B6710C"/>
    <w:rsid w:val="00B67CEF"/>
    <w:rsid w:val="00B709EC"/>
    <w:rsid w:val="00B85379"/>
    <w:rsid w:val="00B8623F"/>
    <w:rsid w:val="00B93882"/>
    <w:rsid w:val="00B960F5"/>
    <w:rsid w:val="00BA5BEC"/>
    <w:rsid w:val="00BA5E95"/>
    <w:rsid w:val="00BA6878"/>
    <w:rsid w:val="00BA7A5E"/>
    <w:rsid w:val="00BB344D"/>
    <w:rsid w:val="00BC6569"/>
    <w:rsid w:val="00BD2D5E"/>
    <w:rsid w:val="00BD3A1D"/>
    <w:rsid w:val="00BD7362"/>
    <w:rsid w:val="00BE7A33"/>
    <w:rsid w:val="00BF1820"/>
    <w:rsid w:val="00BF2A57"/>
    <w:rsid w:val="00BF3BB7"/>
    <w:rsid w:val="00C02F42"/>
    <w:rsid w:val="00C044AE"/>
    <w:rsid w:val="00C11030"/>
    <w:rsid w:val="00C21BF0"/>
    <w:rsid w:val="00C23AED"/>
    <w:rsid w:val="00C3459A"/>
    <w:rsid w:val="00C34E41"/>
    <w:rsid w:val="00C358D5"/>
    <w:rsid w:val="00C376E8"/>
    <w:rsid w:val="00C406D2"/>
    <w:rsid w:val="00C47B46"/>
    <w:rsid w:val="00C519C2"/>
    <w:rsid w:val="00C543F8"/>
    <w:rsid w:val="00C619D3"/>
    <w:rsid w:val="00C64B6E"/>
    <w:rsid w:val="00C66013"/>
    <w:rsid w:val="00C728A8"/>
    <w:rsid w:val="00C84D8A"/>
    <w:rsid w:val="00C97D15"/>
    <w:rsid w:val="00CA1356"/>
    <w:rsid w:val="00CA6A50"/>
    <w:rsid w:val="00CB2954"/>
    <w:rsid w:val="00CB797F"/>
    <w:rsid w:val="00CC1072"/>
    <w:rsid w:val="00CD2A67"/>
    <w:rsid w:val="00CD4E8C"/>
    <w:rsid w:val="00CD4ED3"/>
    <w:rsid w:val="00CE1526"/>
    <w:rsid w:val="00CE1A19"/>
    <w:rsid w:val="00CE3F94"/>
    <w:rsid w:val="00CE4DD7"/>
    <w:rsid w:val="00CE5D6F"/>
    <w:rsid w:val="00CF63BD"/>
    <w:rsid w:val="00D10757"/>
    <w:rsid w:val="00D1088D"/>
    <w:rsid w:val="00D161B5"/>
    <w:rsid w:val="00D35759"/>
    <w:rsid w:val="00D364F4"/>
    <w:rsid w:val="00D371BE"/>
    <w:rsid w:val="00D37B81"/>
    <w:rsid w:val="00D40D24"/>
    <w:rsid w:val="00D42F9C"/>
    <w:rsid w:val="00D51EC2"/>
    <w:rsid w:val="00D55968"/>
    <w:rsid w:val="00D57833"/>
    <w:rsid w:val="00D614D3"/>
    <w:rsid w:val="00D61E2F"/>
    <w:rsid w:val="00D63F9C"/>
    <w:rsid w:val="00D6614C"/>
    <w:rsid w:val="00D679C5"/>
    <w:rsid w:val="00D708D7"/>
    <w:rsid w:val="00D76BDD"/>
    <w:rsid w:val="00D77C55"/>
    <w:rsid w:val="00D82226"/>
    <w:rsid w:val="00D84A26"/>
    <w:rsid w:val="00D90D34"/>
    <w:rsid w:val="00D9226A"/>
    <w:rsid w:val="00DA13B9"/>
    <w:rsid w:val="00DA5251"/>
    <w:rsid w:val="00DB117B"/>
    <w:rsid w:val="00DB4FF8"/>
    <w:rsid w:val="00DC0A36"/>
    <w:rsid w:val="00DC2F9C"/>
    <w:rsid w:val="00DD4E27"/>
    <w:rsid w:val="00DE0704"/>
    <w:rsid w:val="00E0664D"/>
    <w:rsid w:val="00E2444D"/>
    <w:rsid w:val="00E25162"/>
    <w:rsid w:val="00E260A8"/>
    <w:rsid w:val="00E376EA"/>
    <w:rsid w:val="00E40277"/>
    <w:rsid w:val="00E41DFD"/>
    <w:rsid w:val="00E4233B"/>
    <w:rsid w:val="00E45332"/>
    <w:rsid w:val="00E505CF"/>
    <w:rsid w:val="00E51B60"/>
    <w:rsid w:val="00E72490"/>
    <w:rsid w:val="00E754C8"/>
    <w:rsid w:val="00E8006A"/>
    <w:rsid w:val="00E81371"/>
    <w:rsid w:val="00E82191"/>
    <w:rsid w:val="00E87DCD"/>
    <w:rsid w:val="00E95C5D"/>
    <w:rsid w:val="00EA1FF4"/>
    <w:rsid w:val="00EB13E2"/>
    <w:rsid w:val="00EB2182"/>
    <w:rsid w:val="00EB3B01"/>
    <w:rsid w:val="00EC6597"/>
    <w:rsid w:val="00ED0561"/>
    <w:rsid w:val="00ED171E"/>
    <w:rsid w:val="00ED2466"/>
    <w:rsid w:val="00EE33EF"/>
    <w:rsid w:val="00F039F2"/>
    <w:rsid w:val="00F06018"/>
    <w:rsid w:val="00F17DA3"/>
    <w:rsid w:val="00F17F3D"/>
    <w:rsid w:val="00F21921"/>
    <w:rsid w:val="00F253EA"/>
    <w:rsid w:val="00F26986"/>
    <w:rsid w:val="00F31CB0"/>
    <w:rsid w:val="00F37341"/>
    <w:rsid w:val="00F42876"/>
    <w:rsid w:val="00F472AC"/>
    <w:rsid w:val="00F57342"/>
    <w:rsid w:val="00F700E4"/>
    <w:rsid w:val="00F71922"/>
    <w:rsid w:val="00F744E0"/>
    <w:rsid w:val="00F77CC4"/>
    <w:rsid w:val="00F77E12"/>
    <w:rsid w:val="00F8025E"/>
    <w:rsid w:val="00F83CF8"/>
    <w:rsid w:val="00F878D2"/>
    <w:rsid w:val="00F90148"/>
    <w:rsid w:val="00F9470D"/>
    <w:rsid w:val="00F9528C"/>
    <w:rsid w:val="00FB464A"/>
    <w:rsid w:val="00FB6113"/>
    <w:rsid w:val="00FC5F01"/>
    <w:rsid w:val="00FD1999"/>
    <w:rsid w:val="00FD1D18"/>
    <w:rsid w:val="00FD48B2"/>
    <w:rsid w:val="00FD4B23"/>
    <w:rsid w:val="00FE48D6"/>
    <w:rsid w:val="00FF18C9"/>
    <w:rsid w:val="00FF7E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700E4"/>
    <w:pPr>
      <w:spacing w:line="280" w:lineRule="atLeast"/>
    </w:pPr>
    <w:rPr>
      <w:rFonts w:ascii="Trebuchet MS" w:hAnsi="Trebuchet MS" w:cs="Trebuchet MS"/>
      <w:snapToGrid w:val="0"/>
      <w:sz w:val="22"/>
      <w:szCs w:val="22"/>
      <w:lang w:val="de-DE"/>
    </w:rPr>
  </w:style>
  <w:style w:type="paragraph" w:styleId="berschrift1">
    <w:name w:val="heading 1"/>
    <w:basedOn w:val="Standard"/>
    <w:next w:val="Standard"/>
    <w:qFormat/>
    <w:rsid w:val="00F700E4"/>
    <w:pPr>
      <w:keepNext/>
      <w:pageBreakBefore/>
      <w:spacing w:after="360"/>
      <w:outlineLvl w:val="0"/>
    </w:pPr>
    <w:rPr>
      <w:rFonts w:ascii="Times New Roman" w:hAnsi="Times New Roman" w:cs="Times New Roman"/>
      <w:b/>
      <w:bCs/>
      <w:caps/>
      <w:kern w:val="28"/>
      <w:sz w:val="48"/>
      <w:szCs w:val="48"/>
    </w:rPr>
  </w:style>
  <w:style w:type="paragraph" w:styleId="berschrift2">
    <w:name w:val="heading 2"/>
    <w:basedOn w:val="Standard"/>
    <w:next w:val="Standard"/>
    <w:qFormat/>
    <w:rsid w:val="00F700E4"/>
    <w:pPr>
      <w:keepNext/>
      <w:spacing w:before="240" w:after="240"/>
      <w:outlineLvl w:val="1"/>
    </w:pPr>
    <w:rPr>
      <w:rFonts w:ascii="Times New Roman" w:hAnsi="Times New Roman" w:cs="Times New Roman"/>
      <w:b/>
      <w:bCs/>
      <w:caps/>
      <w:sz w:val="32"/>
      <w:szCs w:val="32"/>
    </w:rPr>
  </w:style>
  <w:style w:type="paragraph" w:styleId="berschrift3">
    <w:name w:val="heading 3"/>
    <w:basedOn w:val="Standard"/>
    <w:next w:val="Standard"/>
    <w:qFormat/>
    <w:rsid w:val="00F700E4"/>
    <w:pPr>
      <w:keepNext/>
      <w:spacing w:before="240" w:after="240"/>
      <w:outlineLvl w:val="2"/>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F700E4"/>
    <w:rPr>
      <w:sz w:val="18"/>
      <w:szCs w:val="18"/>
    </w:rPr>
  </w:style>
  <w:style w:type="paragraph" w:styleId="Kopfzeile">
    <w:name w:val="header"/>
    <w:basedOn w:val="Standard"/>
    <w:rsid w:val="00F700E4"/>
    <w:pPr>
      <w:tabs>
        <w:tab w:val="center" w:pos="4536"/>
        <w:tab w:val="right" w:pos="9072"/>
      </w:tabs>
    </w:pPr>
  </w:style>
  <w:style w:type="paragraph" w:styleId="Fuzeile">
    <w:name w:val="footer"/>
    <w:basedOn w:val="Standard"/>
    <w:link w:val="FuzeileZchn"/>
    <w:uiPriority w:val="99"/>
    <w:rsid w:val="00F700E4"/>
    <w:pPr>
      <w:tabs>
        <w:tab w:val="center" w:pos="4536"/>
        <w:tab w:val="right" w:pos="9072"/>
      </w:tabs>
    </w:pPr>
  </w:style>
  <w:style w:type="character" w:styleId="Seitenzahl">
    <w:name w:val="page number"/>
    <w:basedOn w:val="Absatz-Standardschriftart"/>
    <w:rsid w:val="00F700E4"/>
  </w:style>
  <w:style w:type="paragraph" w:styleId="Sprechblasentext">
    <w:name w:val="Balloon Text"/>
    <w:basedOn w:val="Standard"/>
    <w:semiHidden/>
    <w:rsid w:val="00F700E4"/>
    <w:rPr>
      <w:rFonts w:ascii="Times New Roman" w:hAnsi="Times New Roman" w:cs="Times New Roman"/>
      <w:sz w:val="16"/>
      <w:szCs w:val="16"/>
    </w:rPr>
  </w:style>
  <w:style w:type="paragraph" w:styleId="Titel">
    <w:name w:val="Title"/>
    <w:basedOn w:val="Standard"/>
    <w:qFormat/>
    <w:rsid w:val="00F700E4"/>
    <w:pPr>
      <w:spacing w:line="240" w:lineRule="auto"/>
      <w:jc w:val="center"/>
    </w:pPr>
    <w:rPr>
      <w:rFonts w:ascii="Arial" w:hAnsi="Arial" w:cs="Arial"/>
      <w:b/>
      <w:bCs/>
      <w:sz w:val="24"/>
      <w:szCs w:val="24"/>
    </w:rPr>
  </w:style>
  <w:style w:type="character" w:customStyle="1" w:styleId="tw4winMark">
    <w:name w:val="tw4winMark"/>
    <w:rsid w:val="00F700E4"/>
    <w:rPr>
      <w:rFonts w:ascii="Courier New" w:hAnsi="Courier New" w:cs="Courier New"/>
      <w:vanish/>
      <w:color w:val="800080"/>
      <w:sz w:val="24"/>
      <w:szCs w:val="24"/>
      <w:vertAlign w:val="subscript"/>
    </w:rPr>
  </w:style>
  <w:style w:type="character" w:customStyle="1" w:styleId="tw4winError">
    <w:name w:val="tw4winError"/>
    <w:rsid w:val="00F700E4"/>
    <w:rPr>
      <w:rFonts w:ascii="Courier New" w:hAnsi="Courier New" w:cs="Courier New"/>
      <w:color w:val="00FF00"/>
      <w:sz w:val="40"/>
      <w:szCs w:val="40"/>
    </w:rPr>
  </w:style>
  <w:style w:type="character" w:customStyle="1" w:styleId="tw4winTerm">
    <w:name w:val="tw4winTerm"/>
    <w:rsid w:val="00F700E4"/>
    <w:rPr>
      <w:color w:val="0000FF"/>
    </w:rPr>
  </w:style>
  <w:style w:type="character" w:customStyle="1" w:styleId="tw4winPopup">
    <w:name w:val="tw4winPopup"/>
    <w:rsid w:val="00F700E4"/>
    <w:rPr>
      <w:rFonts w:ascii="Courier New" w:hAnsi="Courier New" w:cs="Courier New"/>
      <w:noProof/>
      <w:color w:val="008000"/>
    </w:rPr>
  </w:style>
  <w:style w:type="character" w:customStyle="1" w:styleId="tw4winJump">
    <w:name w:val="tw4winJump"/>
    <w:rsid w:val="00F700E4"/>
    <w:rPr>
      <w:rFonts w:ascii="Courier New" w:hAnsi="Courier New" w:cs="Courier New"/>
      <w:noProof/>
      <w:color w:val="008080"/>
    </w:rPr>
  </w:style>
  <w:style w:type="character" w:customStyle="1" w:styleId="tw4winExternal">
    <w:name w:val="tw4winExternal"/>
    <w:rsid w:val="00F700E4"/>
    <w:rPr>
      <w:rFonts w:ascii="Courier New" w:hAnsi="Courier New" w:cs="Courier New"/>
      <w:noProof/>
      <w:color w:val="808080"/>
    </w:rPr>
  </w:style>
  <w:style w:type="character" w:customStyle="1" w:styleId="tw4winInternal">
    <w:name w:val="tw4winInternal"/>
    <w:rsid w:val="00F700E4"/>
    <w:rPr>
      <w:rFonts w:ascii="Courier New" w:hAnsi="Courier New" w:cs="Courier New"/>
      <w:noProof/>
      <w:color w:val="FF0000"/>
    </w:rPr>
  </w:style>
  <w:style w:type="character" w:customStyle="1" w:styleId="DONOTTRANSLATE">
    <w:name w:val="DO_NOT_TRANSLATE"/>
    <w:rsid w:val="00F700E4"/>
    <w:rPr>
      <w:rFonts w:ascii="Courier New" w:hAnsi="Courier New" w:cs="Courier New"/>
      <w:noProof/>
      <w:color w:val="800000"/>
    </w:rPr>
  </w:style>
  <w:style w:type="paragraph" w:styleId="NurText">
    <w:name w:val="Plain Text"/>
    <w:basedOn w:val="Standard"/>
    <w:link w:val="NurTextZchn"/>
    <w:uiPriority w:val="99"/>
    <w:unhideWhenUsed/>
    <w:rsid w:val="00B55633"/>
    <w:pPr>
      <w:spacing w:line="240" w:lineRule="auto"/>
    </w:pPr>
    <w:rPr>
      <w:rFonts w:ascii="Consolas" w:eastAsia="Calibri" w:hAnsi="Consolas" w:cs="Times New Roman"/>
      <w:snapToGrid/>
      <w:sz w:val="21"/>
      <w:szCs w:val="21"/>
      <w:lang w:val="de-AT" w:eastAsia="en-US"/>
    </w:rPr>
  </w:style>
  <w:style w:type="character" w:customStyle="1" w:styleId="NurTextZchn">
    <w:name w:val="Nur Text Zchn"/>
    <w:basedOn w:val="Absatz-Standardschriftart"/>
    <w:link w:val="NurText"/>
    <w:uiPriority w:val="99"/>
    <w:rsid w:val="00B55633"/>
    <w:rPr>
      <w:rFonts w:ascii="Consolas" w:eastAsia="Calibri" w:hAnsi="Consolas" w:cs="Times New Roman"/>
      <w:sz w:val="21"/>
      <w:szCs w:val="21"/>
      <w:lang w:eastAsia="en-US"/>
    </w:rPr>
  </w:style>
  <w:style w:type="character" w:styleId="Hervorhebung">
    <w:name w:val="Emphasis"/>
    <w:basedOn w:val="Absatz-Standardschriftart"/>
    <w:uiPriority w:val="20"/>
    <w:qFormat/>
    <w:rsid w:val="008B1362"/>
    <w:rPr>
      <w:i/>
      <w:iCs/>
    </w:rPr>
  </w:style>
  <w:style w:type="paragraph" w:styleId="Listenabsatz">
    <w:name w:val="List Paragraph"/>
    <w:aliases w:val="Paragraphe EI,Paragraphe de liste1,EC"/>
    <w:basedOn w:val="Standard"/>
    <w:link w:val="ListenabsatzZchn"/>
    <w:uiPriority w:val="34"/>
    <w:qFormat/>
    <w:rsid w:val="00CD2A67"/>
    <w:pPr>
      <w:ind w:left="720"/>
      <w:contextualSpacing/>
    </w:pPr>
  </w:style>
  <w:style w:type="paragraph" w:styleId="StandardWeb">
    <w:name w:val="Normal (Web)"/>
    <w:basedOn w:val="Standard"/>
    <w:uiPriority w:val="99"/>
    <w:unhideWhenUsed/>
    <w:rsid w:val="00B63C71"/>
    <w:pPr>
      <w:spacing w:before="100" w:beforeAutospacing="1" w:after="100" w:afterAutospacing="1" w:line="240" w:lineRule="auto"/>
    </w:pPr>
    <w:rPr>
      <w:rFonts w:ascii="Times New Roman" w:eastAsiaTheme="minorHAnsi" w:hAnsi="Times New Roman" w:cs="Times New Roman"/>
      <w:snapToGrid/>
      <w:sz w:val="24"/>
      <w:szCs w:val="24"/>
      <w:lang w:val="de-AT"/>
    </w:rPr>
  </w:style>
  <w:style w:type="character" w:styleId="Fett">
    <w:name w:val="Strong"/>
    <w:basedOn w:val="Absatz-Standardschriftart"/>
    <w:uiPriority w:val="22"/>
    <w:qFormat/>
    <w:rsid w:val="00B63C71"/>
    <w:rPr>
      <w:b/>
      <w:bCs/>
    </w:rPr>
  </w:style>
  <w:style w:type="character" w:customStyle="1" w:styleId="FuzeileZchn">
    <w:name w:val="Fußzeile Zchn"/>
    <w:basedOn w:val="Absatz-Standardschriftart"/>
    <w:link w:val="Fuzeile"/>
    <w:uiPriority w:val="99"/>
    <w:rsid w:val="00ED2466"/>
    <w:rPr>
      <w:rFonts w:ascii="Trebuchet MS" w:hAnsi="Trebuchet MS" w:cs="Trebuchet MS"/>
      <w:snapToGrid w:val="0"/>
      <w:sz w:val="22"/>
      <w:szCs w:val="22"/>
      <w:lang w:val="de-DE"/>
    </w:rPr>
  </w:style>
  <w:style w:type="character" w:styleId="Hyperlink">
    <w:name w:val="Hyperlink"/>
    <w:basedOn w:val="Absatz-Standardschriftart"/>
    <w:rsid w:val="005B3FB7"/>
    <w:rPr>
      <w:color w:val="0000FF" w:themeColor="hyperlink"/>
      <w:u w:val="single"/>
    </w:rPr>
  </w:style>
  <w:style w:type="paragraph" w:customStyle="1" w:styleId="Default">
    <w:name w:val="Default"/>
    <w:rsid w:val="007755BF"/>
    <w:pPr>
      <w:widowControl w:val="0"/>
      <w:autoSpaceDE w:val="0"/>
      <w:autoSpaceDN w:val="0"/>
      <w:adjustRightInd w:val="0"/>
    </w:pPr>
    <w:rPr>
      <w:rFonts w:ascii="Arial" w:eastAsiaTheme="minorHAnsi" w:hAnsi="Arial" w:cs="Arial"/>
      <w:color w:val="000000"/>
      <w:sz w:val="24"/>
      <w:szCs w:val="24"/>
      <w:lang w:val="de-DE" w:eastAsia="en-US"/>
    </w:rPr>
  </w:style>
  <w:style w:type="character" w:customStyle="1" w:styleId="ListenabsatzZchn">
    <w:name w:val="Listenabsatz Zchn"/>
    <w:aliases w:val="Paragraphe EI Zchn,Paragraphe de liste1 Zchn,EC Zchn"/>
    <w:link w:val="Listenabsatz"/>
    <w:rsid w:val="005C7948"/>
    <w:rPr>
      <w:rFonts w:ascii="Trebuchet MS" w:hAnsi="Trebuchet MS" w:cs="Trebuchet MS"/>
      <w:snapToGrid w:val="0"/>
      <w:sz w:val="22"/>
      <w:szCs w:val="22"/>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700E4"/>
    <w:pPr>
      <w:spacing w:line="280" w:lineRule="atLeast"/>
    </w:pPr>
    <w:rPr>
      <w:rFonts w:ascii="Trebuchet MS" w:hAnsi="Trebuchet MS" w:cs="Trebuchet MS"/>
      <w:snapToGrid w:val="0"/>
      <w:sz w:val="22"/>
      <w:szCs w:val="22"/>
      <w:lang w:val="de-DE"/>
    </w:rPr>
  </w:style>
  <w:style w:type="paragraph" w:styleId="berschrift1">
    <w:name w:val="heading 1"/>
    <w:basedOn w:val="Standard"/>
    <w:next w:val="Standard"/>
    <w:qFormat/>
    <w:rsid w:val="00F700E4"/>
    <w:pPr>
      <w:keepNext/>
      <w:pageBreakBefore/>
      <w:spacing w:after="360"/>
      <w:outlineLvl w:val="0"/>
    </w:pPr>
    <w:rPr>
      <w:rFonts w:ascii="Times New Roman" w:hAnsi="Times New Roman" w:cs="Times New Roman"/>
      <w:b/>
      <w:bCs/>
      <w:caps/>
      <w:kern w:val="28"/>
      <w:sz w:val="48"/>
      <w:szCs w:val="48"/>
    </w:rPr>
  </w:style>
  <w:style w:type="paragraph" w:styleId="berschrift2">
    <w:name w:val="heading 2"/>
    <w:basedOn w:val="Standard"/>
    <w:next w:val="Standard"/>
    <w:qFormat/>
    <w:rsid w:val="00F700E4"/>
    <w:pPr>
      <w:keepNext/>
      <w:spacing w:before="240" w:after="240"/>
      <w:outlineLvl w:val="1"/>
    </w:pPr>
    <w:rPr>
      <w:rFonts w:ascii="Times New Roman" w:hAnsi="Times New Roman" w:cs="Times New Roman"/>
      <w:b/>
      <w:bCs/>
      <w:caps/>
      <w:sz w:val="32"/>
      <w:szCs w:val="32"/>
    </w:rPr>
  </w:style>
  <w:style w:type="paragraph" w:styleId="berschrift3">
    <w:name w:val="heading 3"/>
    <w:basedOn w:val="Standard"/>
    <w:next w:val="Standard"/>
    <w:qFormat/>
    <w:rsid w:val="00F700E4"/>
    <w:pPr>
      <w:keepNext/>
      <w:spacing w:before="240" w:after="240"/>
      <w:outlineLvl w:val="2"/>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F700E4"/>
    <w:rPr>
      <w:sz w:val="18"/>
      <w:szCs w:val="18"/>
    </w:rPr>
  </w:style>
  <w:style w:type="paragraph" w:styleId="Kopfzeile">
    <w:name w:val="header"/>
    <w:basedOn w:val="Standard"/>
    <w:rsid w:val="00F700E4"/>
    <w:pPr>
      <w:tabs>
        <w:tab w:val="center" w:pos="4536"/>
        <w:tab w:val="right" w:pos="9072"/>
      </w:tabs>
    </w:pPr>
  </w:style>
  <w:style w:type="paragraph" w:styleId="Fuzeile">
    <w:name w:val="footer"/>
    <w:basedOn w:val="Standard"/>
    <w:link w:val="FuzeileZchn"/>
    <w:uiPriority w:val="99"/>
    <w:rsid w:val="00F700E4"/>
    <w:pPr>
      <w:tabs>
        <w:tab w:val="center" w:pos="4536"/>
        <w:tab w:val="right" w:pos="9072"/>
      </w:tabs>
    </w:pPr>
  </w:style>
  <w:style w:type="character" w:styleId="Seitenzahl">
    <w:name w:val="page number"/>
    <w:basedOn w:val="Absatz-Standardschriftart"/>
    <w:rsid w:val="00F700E4"/>
  </w:style>
  <w:style w:type="paragraph" w:styleId="Sprechblasentext">
    <w:name w:val="Balloon Text"/>
    <w:basedOn w:val="Standard"/>
    <w:semiHidden/>
    <w:rsid w:val="00F700E4"/>
    <w:rPr>
      <w:rFonts w:ascii="Times New Roman" w:hAnsi="Times New Roman" w:cs="Times New Roman"/>
      <w:sz w:val="16"/>
      <w:szCs w:val="16"/>
    </w:rPr>
  </w:style>
  <w:style w:type="paragraph" w:styleId="Titel">
    <w:name w:val="Title"/>
    <w:basedOn w:val="Standard"/>
    <w:qFormat/>
    <w:rsid w:val="00F700E4"/>
    <w:pPr>
      <w:spacing w:line="240" w:lineRule="auto"/>
      <w:jc w:val="center"/>
    </w:pPr>
    <w:rPr>
      <w:rFonts w:ascii="Arial" w:hAnsi="Arial" w:cs="Arial"/>
      <w:b/>
      <w:bCs/>
      <w:sz w:val="24"/>
      <w:szCs w:val="24"/>
    </w:rPr>
  </w:style>
  <w:style w:type="character" w:customStyle="1" w:styleId="tw4winMark">
    <w:name w:val="tw4winMark"/>
    <w:rsid w:val="00F700E4"/>
    <w:rPr>
      <w:rFonts w:ascii="Courier New" w:hAnsi="Courier New" w:cs="Courier New"/>
      <w:vanish/>
      <w:color w:val="800080"/>
      <w:sz w:val="24"/>
      <w:szCs w:val="24"/>
      <w:vertAlign w:val="subscript"/>
    </w:rPr>
  </w:style>
  <w:style w:type="character" w:customStyle="1" w:styleId="tw4winError">
    <w:name w:val="tw4winError"/>
    <w:rsid w:val="00F700E4"/>
    <w:rPr>
      <w:rFonts w:ascii="Courier New" w:hAnsi="Courier New" w:cs="Courier New"/>
      <w:color w:val="00FF00"/>
      <w:sz w:val="40"/>
      <w:szCs w:val="40"/>
    </w:rPr>
  </w:style>
  <w:style w:type="character" w:customStyle="1" w:styleId="tw4winTerm">
    <w:name w:val="tw4winTerm"/>
    <w:rsid w:val="00F700E4"/>
    <w:rPr>
      <w:color w:val="0000FF"/>
    </w:rPr>
  </w:style>
  <w:style w:type="character" w:customStyle="1" w:styleId="tw4winPopup">
    <w:name w:val="tw4winPopup"/>
    <w:rsid w:val="00F700E4"/>
    <w:rPr>
      <w:rFonts w:ascii="Courier New" w:hAnsi="Courier New" w:cs="Courier New"/>
      <w:noProof/>
      <w:color w:val="008000"/>
    </w:rPr>
  </w:style>
  <w:style w:type="character" w:customStyle="1" w:styleId="tw4winJump">
    <w:name w:val="tw4winJump"/>
    <w:rsid w:val="00F700E4"/>
    <w:rPr>
      <w:rFonts w:ascii="Courier New" w:hAnsi="Courier New" w:cs="Courier New"/>
      <w:noProof/>
      <w:color w:val="008080"/>
    </w:rPr>
  </w:style>
  <w:style w:type="character" w:customStyle="1" w:styleId="tw4winExternal">
    <w:name w:val="tw4winExternal"/>
    <w:rsid w:val="00F700E4"/>
    <w:rPr>
      <w:rFonts w:ascii="Courier New" w:hAnsi="Courier New" w:cs="Courier New"/>
      <w:noProof/>
      <w:color w:val="808080"/>
    </w:rPr>
  </w:style>
  <w:style w:type="character" w:customStyle="1" w:styleId="tw4winInternal">
    <w:name w:val="tw4winInternal"/>
    <w:rsid w:val="00F700E4"/>
    <w:rPr>
      <w:rFonts w:ascii="Courier New" w:hAnsi="Courier New" w:cs="Courier New"/>
      <w:noProof/>
      <w:color w:val="FF0000"/>
    </w:rPr>
  </w:style>
  <w:style w:type="character" w:customStyle="1" w:styleId="DONOTTRANSLATE">
    <w:name w:val="DO_NOT_TRANSLATE"/>
    <w:rsid w:val="00F700E4"/>
    <w:rPr>
      <w:rFonts w:ascii="Courier New" w:hAnsi="Courier New" w:cs="Courier New"/>
      <w:noProof/>
      <w:color w:val="800000"/>
    </w:rPr>
  </w:style>
  <w:style w:type="paragraph" w:styleId="NurText">
    <w:name w:val="Plain Text"/>
    <w:basedOn w:val="Standard"/>
    <w:link w:val="NurTextZchn"/>
    <w:uiPriority w:val="99"/>
    <w:unhideWhenUsed/>
    <w:rsid w:val="00B55633"/>
    <w:pPr>
      <w:spacing w:line="240" w:lineRule="auto"/>
    </w:pPr>
    <w:rPr>
      <w:rFonts w:ascii="Consolas" w:eastAsia="Calibri" w:hAnsi="Consolas" w:cs="Times New Roman"/>
      <w:snapToGrid/>
      <w:sz w:val="21"/>
      <w:szCs w:val="21"/>
      <w:lang w:val="de-AT" w:eastAsia="en-US"/>
    </w:rPr>
  </w:style>
  <w:style w:type="character" w:customStyle="1" w:styleId="NurTextZchn">
    <w:name w:val="Nur Text Zchn"/>
    <w:basedOn w:val="Absatz-Standardschriftart"/>
    <w:link w:val="NurText"/>
    <w:uiPriority w:val="99"/>
    <w:rsid w:val="00B55633"/>
    <w:rPr>
      <w:rFonts w:ascii="Consolas" w:eastAsia="Calibri" w:hAnsi="Consolas" w:cs="Times New Roman"/>
      <w:sz w:val="21"/>
      <w:szCs w:val="21"/>
      <w:lang w:eastAsia="en-US"/>
    </w:rPr>
  </w:style>
  <w:style w:type="character" w:styleId="Hervorhebung">
    <w:name w:val="Emphasis"/>
    <w:basedOn w:val="Absatz-Standardschriftart"/>
    <w:uiPriority w:val="20"/>
    <w:qFormat/>
    <w:rsid w:val="008B1362"/>
    <w:rPr>
      <w:i/>
      <w:iCs/>
    </w:rPr>
  </w:style>
  <w:style w:type="paragraph" w:styleId="Listenabsatz">
    <w:name w:val="List Paragraph"/>
    <w:aliases w:val="Paragraphe EI,Paragraphe de liste1,EC"/>
    <w:basedOn w:val="Standard"/>
    <w:link w:val="ListenabsatzZchn"/>
    <w:uiPriority w:val="34"/>
    <w:qFormat/>
    <w:rsid w:val="00CD2A67"/>
    <w:pPr>
      <w:ind w:left="720"/>
      <w:contextualSpacing/>
    </w:pPr>
  </w:style>
  <w:style w:type="paragraph" w:styleId="StandardWeb">
    <w:name w:val="Normal (Web)"/>
    <w:basedOn w:val="Standard"/>
    <w:uiPriority w:val="99"/>
    <w:unhideWhenUsed/>
    <w:rsid w:val="00B63C71"/>
    <w:pPr>
      <w:spacing w:before="100" w:beforeAutospacing="1" w:after="100" w:afterAutospacing="1" w:line="240" w:lineRule="auto"/>
    </w:pPr>
    <w:rPr>
      <w:rFonts w:ascii="Times New Roman" w:eastAsiaTheme="minorHAnsi" w:hAnsi="Times New Roman" w:cs="Times New Roman"/>
      <w:snapToGrid/>
      <w:sz w:val="24"/>
      <w:szCs w:val="24"/>
      <w:lang w:val="de-AT"/>
    </w:rPr>
  </w:style>
  <w:style w:type="character" w:styleId="Fett">
    <w:name w:val="Strong"/>
    <w:basedOn w:val="Absatz-Standardschriftart"/>
    <w:uiPriority w:val="22"/>
    <w:qFormat/>
    <w:rsid w:val="00B63C71"/>
    <w:rPr>
      <w:b/>
      <w:bCs/>
    </w:rPr>
  </w:style>
  <w:style w:type="character" w:customStyle="1" w:styleId="FuzeileZchn">
    <w:name w:val="Fußzeile Zchn"/>
    <w:basedOn w:val="Absatz-Standardschriftart"/>
    <w:link w:val="Fuzeile"/>
    <w:uiPriority w:val="99"/>
    <w:rsid w:val="00ED2466"/>
    <w:rPr>
      <w:rFonts w:ascii="Trebuchet MS" w:hAnsi="Trebuchet MS" w:cs="Trebuchet MS"/>
      <w:snapToGrid w:val="0"/>
      <w:sz w:val="22"/>
      <w:szCs w:val="22"/>
      <w:lang w:val="de-DE"/>
    </w:rPr>
  </w:style>
  <w:style w:type="character" w:styleId="Hyperlink">
    <w:name w:val="Hyperlink"/>
    <w:basedOn w:val="Absatz-Standardschriftart"/>
    <w:rsid w:val="005B3FB7"/>
    <w:rPr>
      <w:color w:val="0000FF" w:themeColor="hyperlink"/>
      <w:u w:val="single"/>
    </w:rPr>
  </w:style>
  <w:style w:type="paragraph" w:customStyle="1" w:styleId="Default">
    <w:name w:val="Default"/>
    <w:rsid w:val="007755BF"/>
    <w:pPr>
      <w:widowControl w:val="0"/>
      <w:autoSpaceDE w:val="0"/>
      <w:autoSpaceDN w:val="0"/>
      <w:adjustRightInd w:val="0"/>
    </w:pPr>
    <w:rPr>
      <w:rFonts w:ascii="Arial" w:eastAsiaTheme="minorHAnsi" w:hAnsi="Arial" w:cs="Arial"/>
      <w:color w:val="000000"/>
      <w:sz w:val="24"/>
      <w:szCs w:val="24"/>
      <w:lang w:val="de-DE" w:eastAsia="en-US"/>
    </w:rPr>
  </w:style>
  <w:style w:type="character" w:customStyle="1" w:styleId="ListenabsatzZchn">
    <w:name w:val="Listenabsatz Zchn"/>
    <w:aliases w:val="Paragraphe EI Zchn,Paragraphe de liste1 Zchn,EC Zchn"/>
    <w:link w:val="Listenabsatz"/>
    <w:rsid w:val="005C7948"/>
    <w:rPr>
      <w:rFonts w:ascii="Trebuchet MS" w:hAnsi="Trebuchet MS" w:cs="Trebuchet MS"/>
      <w:snapToGrid w:val="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54276874">
      <w:bodyDiv w:val="1"/>
      <w:marLeft w:val="0"/>
      <w:marRight w:val="0"/>
      <w:marTop w:val="0"/>
      <w:marBottom w:val="0"/>
      <w:divBdr>
        <w:top w:val="none" w:sz="0" w:space="0" w:color="auto"/>
        <w:left w:val="none" w:sz="0" w:space="0" w:color="auto"/>
        <w:bottom w:val="none" w:sz="0" w:space="0" w:color="auto"/>
        <w:right w:val="none" w:sz="0" w:space="0" w:color="auto"/>
      </w:divBdr>
    </w:div>
    <w:div w:id="78412682">
      <w:bodyDiv w:val="1"/>
      <w:marLeft w:val="0"/>
      <w:marRight w:val="0"/>
      <w:marTop w:val="0"/>
      <w:marBottom w:val="0"/>
      <w:divBdr>
        <w:top w:val="none" w:sz="0" w:space="0" w:color="auto"/>
        <w:left w:val="none" w:sz="0" w:space="0" w:color="auto"/>
        <w:bottom w:val="none" w:sz="0" w:space="0" w:color="auto"/>
        <w:right w:val="none" w:sz="0" w:space="0" w:color="auto"/>
      </w:divBdr>
    </w:div>
    <w:div w:id="117992046">
      <w:bodyDiv w:val="1"/>
      <w:marLeft w:val="0"/>
      <w:marRight w:val="0"/>
      <w:marTop w:val="0"/>
      <w:marBottom w:val="0"/>
      <w:divBdr>
        <w:top w:val="none" w:sz="0" w:space="0" w:color="auto"/>
        <w:left w:val="none" w:sz="0" w:space="0" w:color="auto"/>
        <w:bottom w:val="none" w:sz="0" w:space="0" w:color="auto"/>
        <w:right w:val="none" w:sz="0" w:space="0" w:color="auto"/>
      </w:divBdr>
    </w:div>
    <w:div w:id="161164005">
      <w:bodyDiv w:val="1"/>
      <w:marLeft w:val="0"/>
      <w:marRight w:val="0"/>
      <w:marTop w:val="0"/>
      <w:marBottom w:val="0"/>
      <w:divBdr>
        <w:top w:val="none" w:sz="0" w:space="0" w:color="auto"/>
        <w:left w:val="none" w:sz="0" w:space="0" w:color="auto"/>
        <w:bottom w:val="none" w:sz="0" w:space="0" w:color="auto"/>
        <w:right w:val="none" w:sz="0" w:space="0" w:color="auto"/>
      </w:divBdr>
    </w:div>
    <w:div w:id="198661731">
      <w:bodyDiv w:val="1"/>
      <w:marLeft w:val="0"/>
      <w:marRight w:val="0"/>
      <w:marTop w:val="0"/>
      <w:marBottom w:val="0"/>
      <w:divBdr>
        <w:top w:val="none" w:sz="0" w:space="0" w:color="auto"/>
        <w:left w:val="none" w:sz="0" w:space="0" w:color="auto"/>
        <w:bottom w:val="none" w:sz="0" w:space="0" w:color="auto"/>
        <w:right w:val="none" w:sz="0" w:space="0" w:color="auto"/>
      </w:divBdr>
    </w:div>
    <w:div w:id="220362924">
      <w:bodyDiv w:val="1"/>
      <w:marLeft w:val="0"/>
      <w:marRight w:val="0"/>
      <w:marTop w:val="0"/>
      <w:marBottom w:val="0"/>
      <w:divBdr>
        <w:top w:val="none" w:sz="0" w:space="0" w:color="auto"/>
        <w:left w:val="none" w:sz="0" w:space="0" w:color="auto"/>
        <w:bottom w:val="none" w:sz="0" w:space="0" w:color="auto"/>
        <w:right w:val="none" w:sz="0" w:space="0" w:color="auto"/>
      </w:divBdr>
    </w:div>
    <w:div w:id="224804073">
      <w:bodyDiv w:val="1"/>
      <w:marLeft w:val="0"/>
      <w:marRight w:val="0"/>
      <w:marTop w:val="0"/>
      <w:marBottom w:val="0"/>
      <w:divBdr>
        <w:top w:val="none" w:sz="0" w:space="0" w:color="auto"/>
        <w:left w:val="none" w:sz="0" w:space="0" w:color="auto"/>
        <w:bottom w:val="none" w:sz="0" w:space="0" w:color="auto"/>
        <w:right w:val="none" w:sz="0" w:space="0" w:color="auto"/>
      </w:divBdr>
    </w:div>
    <w:div w:id="234628101">
      <w:bodyDiv w:val="1"/>
      <w:marLeft w:val="0"/>
      <w:marRight w:val="0"/>
      <w:marTop w:val="0"/>
      <w:marBottom w:val="0"/>
      <w:divBdr>
        <w:top w:val="none" w:sz="0" w:space="0" w:color="auto"/>
        <w:left w:val="none" w:sz="0" w:space="0" w:color="auto"/>
        <w:bottom w:val="none" w:sz="0" w:space="0" w:color="auto"/>
        <w:right w:val="none" w:sz="0" w:space="0" w:color="auto"/>
      </w:divBdr>
    </w:div>
    <w:div w:id="302588301">
      <w:bodyDiv w:val="1"/>
      <w:marLeft w:val="0"/>
      <w:marRight w:val="0"/>
      <w:marTop w:val="0"/>
      <w:marBottom w:val="0"/>
      <w:divBdr>
        <w:top w:val="none" w:sz="0" w:space="0" w:color="auto"/>
        <w:left w:val="none" w:sz="0" w:space="0" w:color="auto"/>
        <w:bottom w:val="none" w:sz="0" w:space="0" w:color="auto"/>
        <w:right w:val="none" w:sz="0" w:space="0" w:color="auto"/>
      </w:divBdr>
    </w:div>
    <w:div w:id="337125047">
      <w:bodyDiv w:val="1"/>
      <w:marLeft w:val="0"/>
      <w:marRight w:val="0"/>
      <w:marTop w:val="0"/>
      <w:marBottom w:val="0"/>
      <w:divBdr>
        <w:top w:val="none" w:sz="0" w:space="0" w:color="auto"/>
        <w:left w:val="none" w:sz="0" w:space="0" w:color="auto"/>
        <w:bottom w:val="none" w:sz="0" w:space="0" w:color="auto"/>
        <w:right w:val="none" w:sz="0" w:space="0" w:color="auto"/>
      </w:divBdr>
    </w:div>
    <w:div w:id="351954080">
      <w:bodyDiv w:val="1"/>
      <w:marLeft w:val="0"/>
      <w:marRight w:val="0"/>
      <w:marTop w:val="0"/>
      <w:marBottom w:val="0"/>
      <w:divBdr>
        <w:top w:val="none" w:sz="0" w:space="0" w:color="auto"/>
        <w:left w:val="none" w:sz="0" w:space="0" w:color="auto"/>
        <w:bottom w:val="none" w:sz="0" w:space="0" w:color="auto"/>
        <w:right w:val="none" w:sz="0" w:space="0" w:color="auto"/>
      </w:divBdr>
    </w:div>
    <w:div w:id="427432364">
      <w:bodyDiv w:val="1"/>
      <w:marLeft w:val="0"/>
      <w:marRight w:val="0"/>
      <w:marTop w:val="0"/>
      <w:marBottom w:val="0"/>
      <w:divBdr>
        <w:top w:val="none" w:sz="0" w:space="0" w:color="auto"/>
        <w:left w:val="none" w:sz="0" w:space="0" w:color="auto"/>
        <w:bottom w:val="none" w:sz="0" w:space="0" w:color="auto"/>
        <w:right w:val="none" w:sz="0" w:space="0" w:color="auto"/>
      </w:divBdr>
    </w:div>
    <w:div w:id="450175200">
      <w:bodyDiv w:val="1"/>
      <w:marLeft w:val="0"/>
      <w:marRight w:val="0"/>
      <w:marTop w:val="0"/>
      <w:marBottom w:val="0"/>
      <w:divBdr>
        <w:top w:val="none" w:sz="0" w:space="0" w:color="auto"/>
        <w:left w:val="none" w:sz="0" w:space="0" w:color="auto"/>
        <w:bottom w:val="none" w:sz="0" w:space="0" w:color="auto"/>
        <w:right w:val="none" w:sz="0" w:space="0" w:color="auto"/>
      </w:divBdr>
    </w:div>
    <w:div w:id="464276662">
      <w:bodyDiv w:val="1"/>
      <w:marLeft w:val="0"/>
      <w:marRight w:val="0"/>
      <w:marTop w:val="0"/>
      <w:marBottom w:val="0"/>
      <w:divBdr>
        <w:top w:val="none" w:sz="0" w:space="0" w:color="auto"/>
        <w:left w:val="none" w:sz="0" w:space="0" w:color="auto"/>
        <w:bottom w:val="none" w:sz="0" w:space="0" w:color="auto"/>
        <w:right w:val="none" w:sz="0" w:space="0" w:color="auto"/>
      </w:divBdr>
    </w:div>
    <w:div w:id="537739201">
      <w:bodyDiv w:val="1"/>
      <w:marLeft w:val="0"/>
      <w:marRight w:val="0"/>
      <w:marTop w:val="0"/>
      <w:marBottom w:val="0"/>
      <w:divBdr>
        <w:top w:val="none" w:sz="0" w:space="0" w:color="auto"/>
        <w:left w:val="none" w:sz="0" w:space="0" w:color="auto"/>
        <w:bottom w:val="none" w:sz="0" w:space="0" w:color="auto"/>
        <w:right w:val="none" w:sz="0" w:space="0" w:color="auto"/>
      </w:divBdr>
    </w:div>
    <w:div w:id="546066532">
      <w:bodyDiv w:val="1"/>
      <w:marLeft w:val="0"/>
      <w:marRight w:val="0"/>
      <w:marTop w:val="0"/>
      <w:marBottom w:val="0"/>
      <w:divBdr>
        <w:top w:val="none" w:sz="0" w:space="0" w:color="auto"/>
        <w:left w:val="none" w:sz="0" w:space="0" w:color="auto"/>
        <w:bottom w:val="none" w:sz="0" w:space="0" w:color="auto"/>
        <w:right w:val="none" w:sz="0" w:space="0" w:color="auto"/>
      </w:divBdr>
    </w:div>
    <w:div w:id="601913484">
      <w:bodyDiv w:val="1"/>
      <w:marLeft w:val="0"/>
      <w:marRight w:val="0"/>
      <w:marTop w:val="0"/>
      <w:marBottom w:val="0"/>
      <w:divBdr>
        <w:top w:val="none" w:sz="0" w:space="0" w:color="auto"/>
        <w:left w:val="none" w:sz="0" w:space="0" w:color="auto"/>
        <w:bottom w:val="none" w:sz="0" w:space="0" w:color="auto"/>
        <w:right w:val="none" w:sz="0" w:space="0" w:color="auto"/>
      </w:divBdr>
    </w:div>
    <w:div w:id="674309752">
      <w:bodyDiv w:val="1"/>
      <w:marLeft w:val="0"/>
      <w:marRight w:val="0"/>
      <w:marTop w:val="0"/>
      <w:marBottom w:val="0"/>
      <w:divBdr>
        <w:top w:val="none" w:sz="0" w:space="0" w:color="auto"/>
        <w:left w:val="none" w:sz="0" w:space="0" w:color="auto"/>
        <w:bottom w:val="none" w:sz="0" w:space="0" w:color="auto"/>
        <w:right w:val="none" w:sz="0" w:space="0" w:color="auto"/>
      </w:divBdr>
    </w:div>
    <w:div w:id="678191585">
      <w:bodyDiv w:val="1"/>
      <w:marLeft w:val="0"/>
      <w:marRight w:val="0"/>
      <w:marTop w:val="0"/>
      <w:marBottom w:val="0"/>
      <w:divBdr>
        <w:top w:val="none" w:sz="0" w:space="0" w:color="auto"/>
        <w:left w:val="none" w:sz="0" w:space="0" w:color="auto"/>
        <w:bottom w:val="none" w:sz="0" w:space="0" w:color="auto"/>
        <w:right w:val="none" w:sz="0" w:space="0" w:color="auto"/>
      </w:divBdr>
    </w:div>
    <w:div w:id="769204917">
      <w:bodyDiv w:val="1"/>
      <w:marLeft w:val="0"/>
      <w:marRight w:val="0"/>
      <w:marTop w:val="0"/>
      <w:marBottom w:val="0"/>
      <w:divBdr>
        <w:top w:val="none" w:sz="0" w:space="0" w:color="auto"/>
        <w:left w:val="none" w:sz="0" w:space="0" w:color="auto"/>
        <w:bottom w:val="none" w:sz="0" w:space="0" w:color="auto"/>
        <w:right w:val="none" w:sz="0" w:space="0" w:color="auto"/>
      </w:divBdr>
    </w:div>
    <w:div w:id="815998986">
      <w:bodyDiv w:val="1"/>
      <w:marLeft w:val="0"/>
      <w:marRight w:val="0"/>
      <w:marTop w:val="0"/>
      <w:marBottom w:val="0"/>
      <w:divBdr>
        <w:top w:val="none" w:sz="0" w:space="0" w:color="auto"/>
        <w:left w:val="none" w:sz="0" w:space="0" w:color="auto"/>
        <w:bottom w:val="none" w:sz="0" w:space="0" w:color="auto"/>
        <w:right w:val="none" w:sz="0" w:space="0" w:color="auto"/>
      </w:divBdr>
    </w:div>
    <w:div w:id="855340421">
      <w:bodyDiv w:val="1"/>
      <w:marLeft w:val="0"/>
      <w:marRight w:val="0"/>
      <w:marTop w:val="0"/>
      <w:marBottom w:val="0"/>
      <w:divBdr>
        <w:top w:val="none" w:sz="0" w:space="0" w:color="auto"/>
        <w:left w:val="none" w:sz="0" w:space="0" w:color="auto"/>
        <w:bottom w:val="none" w:sz="0" w:space="0" w:color="auto"/>
        <w:right w:val="none" w:sz="0" w:space="0" w:color="auto"/>
      </w:divBdr>
    </w:div>
    <w:div w:id="862595549">
      <w:bodyDiv w:val="1"/>
      <w:marLeft w:val="0"/>
      <w:marRight w:val="0"/>
      <w:marTop w:val="0"/>
      <w:marBottom w:val="0"/>
      <w:divBdr>
        <w:top w:val="none" w:sz="0" w:space="0" w:color="auto"/>
        <w:left w:val="none" w:sz="0" w:space="0" w:color="auto"/>
        <w:bottom w:val="none" w:sz="0" w:space="0" w:color="auto"/>
        <w:right w:val="none" w:sz="0" w:space="0" w:color="auto"/>
      </w:divBdr>
    </w:div>
    <w:div w:id="883759583">
      <w:bodyDiv w:val="1"/>
      <w:marLeft w:val="0"/>
      <w:marRight w:val="0"/>
      <w:marTop w:val="0"/>
      <w:marBottom w:val="0"/>
      <w:divBdr>
        <w:top w:val="none" w:sz="0" w:space="0" w:color="auto"/>
        <w:left w:val="none" w:sz="0" w:space="0" w:color="auto"/>
        <w:bottom w:val="none" w:sz="0" w:space="0" w:color="auto"/>
        <w:right w:val="none" w:sz="0" w:space="0" w:color="auto"/>
      </w:divBdr>
    </w:div>
    <w:div w:id="903637825">
      <w:bodyDiv w:val="1"/>
      <w:marLeft w:val="0"/>
      <w:marRight w:val="0"/>
      <w:marTop w:val="0"/>
      <w:marBottom w:val="0"/>
      <w:divBdr>
        <w:top w:val="none" w:sz="0" w:space="0" w:color="auto"/>
        <w:left w:val="none" w:sz="0" w:space="0" w:color="auto"/>
        <w:bottom w:val="none" w:sz="0" w:space="0" w:color="auto"/>
        <w:right w:val="none" w:sz="0" w:space="0" w:color="auto"/>
      </w:divBdr>
    </w:div>
    <w:div w:id="914778966">
      <w:bodyDiv w:val="1"/>
      <w:marLeft w:val="0"/>
      <w:marRight w:val="0"/>
      <w:marTop w:val="0"/>
      <w:marBottom w:val="0"/>
      <w:divBdr>
        <w:top w:val="none" w:sz="0" w:space="0" w:color="auto"/>
        <w:left w:val="none" w:sz="0" w:space="0" w:color="auto"/>
        <w:bottom w:val="none" w:sz="0" w:space="0" w:color="auto"/>
        <w:right w:val="none" w:sz="0" w:space="0" w:color="auto"/>
      </w:divBdr>
    </w:div>
    <w:div w:id="958217177">
      <w:bodyDiv w:val="1"/>
      <w:marLeft w:val="0"/>
      <w:marRight w:val="0"/>
      <w:marTop w:val="0"/>
      <w:marBottom w:val="0"/>
      <w:divBdr>
        <w:top w:val="none" w:sz="0" w:space="0" w:color="auto"/>
        <w:left w:val="none" w:sz="0" w:space="0" w:color="auto"/>
        <w:bottom w:val="none" w:sz="0" w:space="0" w:color="auto"/>
        <w:right w:val="none" w:sz="0" w:space="0" w:color="auto"/>
      </w:divBdr>
    </w:div>
    <w:div w:id="978919423">
      <w:bodyDiv w:val="1"/>
      <w:marLeft w:val="0"/>
      <w:marRight w:val="0"/>
      <w:marTop w:val="0"/>
      <w:marBottom w:val="0"/>
      <w:divBdr>
        <w:top w:val="none" w:sz="0" w:space="0" w:color="auto"/>
        <w:left w:val="none" w:sz="0" w:space="0" w:color="auto"/>
        <w:bottom w:val="none" w:sz="0" w:space="0" w:color="auto"/>
        <w:right w:val="none" w:sz="0" w:space="0" w:color="auto"/>
      </w:divBdr>
    </w:div>
    <w:div w:id="1006325011">
      <w:bodyDiv w:val="1"/>
      <w:marLeft w:val="0"/>
      <w:marRight w:val="0"/>
      <w:marTop w:val="0"/>
      <w:marBottom w:val="0"/>
      <w:divBdr>
        <w:top w:val="none" w:sz="0" w:space="0" w:color="auto"/>
        <w:left w:val="none" w:sz="0" w:space="0" w:color="auto"/>
        <w:bottom w:val="none" w:sz="0" w:space="0" w:color="auto"/>
        <w:right w:val="none" w:sz="0" w:space="0" w:color="auto"/>
      </w:divBdr>
    </w:div>
    <w:div w:id="1063218859">
      <w:bodyDiv w:val="1"/>
      <w:marLeft w:val="0"/>
      <w:marRight w:val="0"/>
      <w:marTop w:val="0"/>
      <w:marBottom w:val="0"/>
      <w:divBdr>
        <w:top w:val="none" w:sz="0" w:space="0" w:color="auto"/>
        <w:left w:val="none" w:sz="0" w:space="0" w:color="auto"/>
        <w:bottom w:val="none" w:sz="0" w:space="0" w:color="auto"/>
        <w:right w:val="none" w:sz="0" w:space="0" w:color="auto"/>
      </w:divBdr>
    </w:div>
    <w:div w:id="1087001069">
      <w:bodyDiv w:val="1"/>
      <w:marLeft w:val="0"/>
      <w:marRight w:val="0"/>
      <w:marTop w:val="0"/>
      <w:marBottom w:val="0"/>
      <w:divBdr>
        <w:top w:val="none" w:sz="0" w:space="0" w:color="auto"/>
        <w:left w:val="none" w:sz="0" w:space="0" w:color="auto"/>
        <w:bottom w:val="none" w:sz="0" w:space="0" w:color="auto"/>
        <w:right w:val="none" w:sz="0" w:space="0" w:color="auto"/>
      </w:divBdr>
    </w:div>
    <w:div w:id="1175993054">
      <w:bodyDiv w:val="1"/>
      <w:marLeft w:val="0"/>
      <w:marRight w:val="0"/>
      <w:marTop w:val="0"/>
      <w:marBottom w:val="0"/>
      <w:divBdr>
        <w:top w:val="none" w:sz="0" w:space="0" w:color="auto"/>
        <w:left w:val="none" w:sz="0" w:space="0" w:color="auto"/>
        <w:bottom w:val="none" w:sz="0" w:space="0" w:color="auto"/>
        <w:right w:val="none" w:sz="0" w:space="0" w:color="auto"/>
      </w:divBdr>
    </w:div>
    <w:div w:id="1209225123">
      <w:bodyDiv w:val="1"/>
      <w:marLeft w:val="0"/>
      <w:marRight w:val="0"/>
      <w:marTop w:val="0"/>
      <w:marBottom w:val="0"/>
      <w:divBdr>
        <w:top w:val="none" w:sz="0" w:space="0" w:color="auto"/>
        <w:left w:val="none" w:sz="0" w:space="0" w:color="auto"/>
        <w:bottom w:val="none" w:sz="0" w:space="0" w:color="auto"/>
        <w:right w:val="none" w:sz="0" w:space="0" w:color="auto"/>
      </w:divBdr>
    </w:div>
    <w:div w:id="1210145135">
      <w:bodyDiv w:val="1"/>
      <w:marLeft w:val="0"/>
      <w:marRight w:val="0"/>
      <w:marTop w:val="0"/>
      <w:marBottom w:val="0"/>
      <w:divBdr>
        <w:top w:val="none" w:sz="0" w:space="0" w:color="auto"/>
        <w:left w:val="none" w:sz="0" w:space="0" w:color="auto"/>
        <w:bottom w:val="none" w:sz="0" w:space="0" w:color="auto"/>
        <w:right w:val="none" w:sz="0" w:space="0" w:color="auto"/>
      </w:divBdr>
    </w:div>
    <w:div w:id="1283347804">
      <w:bodyDiv w:val="1"/>
      <w:marLeft w:val="0"/>
      <w:marRight w:val="0"/>
      <w:marTop w:val="0"/>
      <w:marBottom w:val="0"/>
      <w:divBdr>
        <w:top w:val="none" w:sz="0" w:space="0" w:color="auto"/>
        <w:left w:val="none" w:sz="0" w:space="0" w:color="auto"/>
        <w:bottom w:val="none" w:sz="0" w:space="0" w:color="auto"/>
        <w:right w:val="none" w:sz="0" w:space="0" w:color="auto"/>
      </w:divBdr>
    </w:div>
    <w:div w:id="1375353865">
      <w:bodyDiv w:val="1"/>
      <w:marLeft w:val="0"/>
      <w:marRight w:val="0"/>
      <w:marTop w:val="0"/>
      <w:marBottom w:val="0"/>
      <w:divBdr>
        <w:top w:val="none" w:sz="0" w:space="0" w:color="auto"/>
        <w:left w:val="none" w:sz="0" w:space="0" w:color="auto"/>
        <w:bottom w:val="none" w:sz="0" w:space="0" w:color="auto"/>
        <w:right w:val="none" w:sz="0" w:space="0" w:color="auto"/>
      </w:divBdr>
    </w:div>
    <w:div w:id="1401950921">
      <w:bodyDiv w:val="1"/>
      <w:marLeft w:val="0"/>
      <w:marRight w:val="0"/>
      <w:marTop w:val="0"/>
      <w:marBottom w:val="0"/>
      <w:divBdr>
        <w:top w:val="none" w:sz="0" w:space="0" w:color="auto"/>
        <w:left w:val="none" w:sz="0" w:space="0" w:color="auto"/>
        <w:bottom w:val="none" w:sz="0" w:space="0" w:color="auto"/>
        <w:right w:val="none" w:sz="0" w:space="0" w:color="auto"/>
      </w:divBdr>
    </w:div>
    <w:div w:id="1436289696">
      <w:bodyDiv w:val="1"/>
      <w:marLeft w:val="0"/>
      <w:marRight w:val="0"/>
      <w:marTop w:val="0"/>
      <w:marBottom w:val="0"/>
      <w:divBdr>
        <w:top w:val="none" w:sz="0" w:space="0" w:color="auto"/>
        <w:left w:val="none" w:sz="0" w:space="0" w:color="auto"/>
        <w:bottom w:val="none" w:sz="0" w:space="0" w:color="auto"/>
        <w:right w:val="none" w:sz="0" w:space="0" w:color="auto"/>
      </w:divBdr>
    </w:div>
    <w:div w:id="1572078641">
      <w:bodyDiv w:val="1"/>
      <w:marLeft w:val="0"/>
      <w:marRight w:val="0"/>
      <w:marTop w:val="0"/>
      <w:marBottom w:val="0"/>
      <w:divBdr>
        <w:top w:val="none" w:sz="0" w:space="0" w:color="auto"/>
        <w:left w:val="none" w:sz="0" w:space="0" w:color="auto"/>
        <w:bottom w:val="none" w:sz="0" w:space="0" w:color="auto"/>
        <w:right w:val="none" w:sz="0" w:space="0" w:color="auto"/>
      </w:divBdr>
    </w:div>
    <w:div w:id="1581714927">
      <w:bodyDiv w:val="1"/>
      <w:marLeft w:val="0"/>
      <w:marRight w:val="0"/>
      <w:marTop w:val="0"/>
      <w:marBottom w:val="0"/>
      <w:divBdr>
        <w:top w:val="none" w:sz="0" w:space="0" w:color="auto"/>
        <w:left w:val="none" w:sz="0" w:space="0" w:color="auto"/>
        <w:bottom w:val="none" w:sz="0" w:space="0" w:color="auto"/>
        <w:right w:val="none" w:sz="0" w:space="0" w:color="auto"/>
      </w:divBdr>
    </w:div>
    <w:div w:id="1606305908">
      <w:bodyDiv w:val="1"/>
      <w:marLeft w:val="0"/>
      <w:marRight w:val="0"/>
      <w:marTop w:val="0"/>
      <w:marBottom w:val="0"/>
      <w:divBdr>
        <w:top w:val="none" w:sz="0" w:space="0" w:color="auto"/>
        <w:left w:val="none" w:sz="0" w:space="0" w:color="auto"/>
        <w:bottom w:val="none" w:sz="0" w:space="0" w:color="auto"/>
        <w:right w:val="none" w:sz="0" w:space="0" w:color="auto"/>
      </w:divBdr>
    </w:div>
    <w:div w:id="1660037952">
      <w:bodyDiv w:val="1"/>
      <w:marLeft w:val="0"/>
      <w:marRight w:val="0"/>
      <w:marTop w:val="0"/>
      <w:marBottom w:val="0"/>
      <w:divBdr>
        <w:top w:val="none" w:sz="0" w:space="0" w:color="auto"/>
        <w:left w:val="none" w:sz="0" w:space="0" w:color="auto"/>
        <w:bottom w:val="none" w:sz="0" w:space="0" w:color="auto"/>
        <w:right w:val="none" w:sz="0" w:space="0" w:color="auto"/>
      </w:divBdr>
    </w:div>
    <w:div w:id="1832208781">
      <w:bodyDiv w:val="1"/>
      <w:marLeft w:val="0"/>
      <w:marRight w:val="0"/>
      <w:marTop w:val="0"/>
      <w:marBottom w:val="0"/>
      <w:divBdr>
        <w:top w:val="none" w:sz="0" w:space="0" w:color="auto"/>
        <w:left w:val="none" w:sz="0" w:space="0" w:color="auto"/>
        <w:bottom w:val="none" w:sz="0" w:space="0" w:color="auto"/>
        <w:right w:val="none" w:sz="0" w:space="0" w:color="auto"/>
      </w:divBdr>
    </w:div>
    <w:div w:id="1841189066">
      <w:bodyDiv w:val="1"/>
      <w:marLeft w:val="0"/>
      <w:marRight w:val="0"/>
      <w:marTop w:val="0"/>
      <w:marBottom w:val="0"/>
      <w:divBdr>
        <w:top w:val="none" w:sz="0" w:space="0" w:color="auto"/>
        <w:left w:val="none" w:sz="0" w:space="0" w:color="auto"/>
        <w:bottom w:val="none" w:sz="0" w:space="0" w:color="auto"/>
        <w:right w:val="none" w:sz="0" w:space="0" w:color="auto"/>
      </w:divBdr>
    </w:div>
    <w:div w:id="1955208613">
      <w:bodyDiv w:val="1"/>
      <w:marLeft w:val="0"/>
      <w:marRight w:val="0"/>
      <w:marTop w:val="0"/>
      <w:marBottom w:val="0"/>
      <w:divBdr>
        <w:top w:val="none" w:sz="0" w:space="0" w:color="auto"/>
        <w:left w:val="none" w:sz="0" w:space="0" w:color="auto"/>
        <w:bottom w:val="none" w:sz="0" w:space="0" w:color="auto"/>
        <w:right w:val="none" w:sz="0" w:space="0" w:color="auto"/>
      </w:divBdr>
    </w:div>
    <w:div w:id="1970088177">
      <w:bodyDiv w:val="1"/>
      <w:marLeft w:val="0"/>
      <w:marRight w:val="0"/>
      <w:marTop w:val="0"/>
      <w:marBottom w:val="0"/>
      <w:divBdr>
        <w:top w:val="none" w:sz="0" w:space="0" w:color="auto"/>
        <w:left w:val="none" w:sz="0" w:space="0" w:color="auto"/>
        <w:bottom w:val="none" w:sz="0" w:space="0" w:color="auto"/>
        <w:right w:val="none" w:sz="0" w:space="0" w:color="auto"/>
      </w:divBdr>
    </w:div>
    <w:div w:id="1998993635">
      <w:bodyDiv w:val="1"/>
      <w:marLeft w:val="0"/>
      <w:marRight w:val="0"/>
      <w:marTop w:val="0"/>
      <w:marBottom w:val="0"/>
      <w:divBdr>
        <w:top w:val="none" w:sz="0" w:space="0" w:color="auto"/>
        <w:left w:val="none" w:sz="0" w:space="0" w:color="auto"/>
        <w:bottom w:val="none" w:sz="0" w:space="0" w:color="auto"/>
        <w:right w:val="none" w:sz="0" w:space="0" w:color="auto"/>
      </w:divBdr>
    </w:div>
    <w:div w:id="2025087811">
      <w:bodyDiv w:val="1"/>
      <w:marLeft w:val="0"/>
      <w:marRight w:val="0"/>
      <w:marTop w:val="0"/>
      <w:marBottom w:val="0"/>
      <w:divBdr>
        <w:top w:val="none" w:sz="0" w:space="0" w:color="auto"/>
        <w:left w:val="none" w:sz="0" w:space="0" w:color="auto"/>
        <w:bottom w:val="none" w:sz="0" w:space="0" w:color="auto"/>
        <w:right w:val="none" w:sz="0" w:space="0" w:color="auto"/>
      </w:divBdr>
    </w:div>
    <w:div w:id="21349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15F9E-7487-4051-A401-61BDBC09E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1133</Words>
  <Characters>6081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Translation: www.brainstorm.at</vt:lpstr>
    </vt:vector>
  </TitlesOfParts>
  <Company>Translation: www.brainstorm.at</Company>
  <LinksUpToDate>false</LinksUpToDate>
  <CharactersWithSpaces>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Translation: www.brainstorm.at</dc:title>
  <dc:creator>Manuela Bruck</dc:creator>
  <dc:description>Translation: www.brainstorm.at</dc:description>
  <cp:lastModifiedBy>Horvath Philipp, LL.M., WKÖ BSBV</cp:lastModifiedBy>
  <cp:revision>8</cp:revision>
  <cp:lastPrinted>2015-09-30T08:11:00Z</cp:lastPrinted>
  <dcterms:created xsi:type="dcterms:W3CDTF">2016-08-03T13:59:00Z</dcterms:created>
  <dcterms:modified xsi:type="dcterms:W3CDTF">2016-08-10T07:12:00Z</dcterms:modified>
  <cp:category>Translation: www.brainstorm.at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ion">
    <vt:lpwstr>Translation: www.brainstorm.at</vt:lpwstr>
  </property>
</Properties>
</file>