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5102"/>
        <w:gridCol w:w="4649"/>
      </w:tblGrid>
      <w:tr w:rsidR="00642235" w:rsidRPr="008D4455" w:rsidTr="00D364F4">
        <w:trPr>
          <w:trHeight w:hRule="exact" w:val="3600"/>
        </w:trPr>
        <w:tc>
          <w:tcPr>
            <w:tcW w:w="5102" w:type="dxa"/>
          </w:tcPr>
          <w:p w:rsidR="00B51CB0" w:rsidRPr="00805DBB" w:rsidRDefault="00650AE5" w:rsidP="00CE5D6F">
            <w:r>
              <w:rPr>
                <w:lang w:val="fi-FI"/>
              </w:rPr>
              <w:br/>
            </w:r>
          </w:p>
          <w:p w:rsidR="00B51CB0" w:rsidRDefault="00B51CB0" w:rsidP="00CE5D6F">
            <w:pPr>
              <w:rPr>
                <w:lang w:val="fi-FI"/>
              </w:rPr>
            </w:pPr>
          </w:p>
          <w:p w:rsidR="00CB2954" w:rsidRPr="00B22761" w:rsidRDefault="00CB2954" w:rsidP="00CE5D6F">
            <w:pPr>
              <w:rPr>
                <w:sz w:val="52"/>
                <w:szCs w:val="52"/>
                <w:lang w:val="fi-FI"/>
              </w:rPr>
            </w:pPr>
          </w:p>
        </w:tc>
        <w:tc>
          <w:tcPr>
            <w:tcW w:w="4649" w:type="dxa"/>
          </w:tcPr>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C47B46" w:rsidRPr="00D364F4" w:rsidRDefault="00C47B46" w:rsidP="00CE5D6F">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Wiedner Hauptstraße 63 | P.O. Box 320</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1045 Vienna</w:t>
            </w:r>
          </w:p>
          <w:p w:rsidR="00642235" w:rsidRPr="00D364F4" w:rsidRDefault="00642235" w:rsidP="00CE5D6F">
            <w:pPr>
              <w:spacing w:line="260" w:lineRule="atLeast"/>
              <w:jc w:val="right"/>
              <w:rPr>
                <w:color w:val="000000"/>
                <w:sz w:val="18"/>
                <w:szCs w:val="18"/>
              </w:rPr>
            </w:pPr>
            <w:r w:rsidRPr="00B51CB0">
              <w:rPr>
                <w:noProof/>
                <w:color w:val="000000"/>
                <w:sz w:val="18"/>
                <w:szCs w:val="18"/>
                <w:lang w:val="de-AT"/>
              </w:rPr>
              <w:t>T +43 (0)5 90 900-DW | F +43 (0)5 90 900-27</w:t>
            </w:r>
            <w:r w:rsidRPr="00D364F4">
              <w:rPr>
                <w:noProof/>
                <w:color w:val="000000"/>
                <w:sz w:val="18"/>
                <w:szCs w:val="18"/>
              </w:rPr>
              <w:t>2</w:t>
            </w:r>
          </w:p>
          <w:p w:rsidR="00642235" w:rsidRPr="00D364F4" w:rsidRDefault="00642235" w:rsidP="00CE5D6F">
            <w:pPr>
              <w:spacing w:line="260" w:lineRule="atLeast"/>
              <w:jc w:val="right"/>
              <w:rPr>
                <w:color w:val="000000"/>
                <w:sz w:val="18"/>
                <w:szCs w:val="18"/>
              </w:rPr>
            </w:pPr>
            <w:r w:rsidRPr="00D364F4">
              <w:rPr>
                <w:noProof/>
                <w:color w:val="000000"/>
                <w:sz w:val="18"/>
                <w:szCs w:val="18"/>
              </w:rPr>
              <w:t>E  bsbv@wko.at</w:t>
            </w:r>
          </w:p>
          <w:p w:rsidR="00642235" w:rsidRPr="00D364F4" w:rsidRDefault="00642235" w:rsidP="00CE5D6F">
            <w:pPr>
              <w:spacing w:line="260" w:lineRule="atLeast"/>
              <w:jc w:val="right"/>
              <w:rPr>
                <w:lang w:val="en-GB"/>
              </w:rPr>
            </w:pPr>
            <w:r w:rsidRPr="00D364F4">
              <w:rPr>
                <w:noProof/>
                <w:color w:val="000000"/>
                <w:sz w:val="18"/>
                <w:szCs w:val="18"/>
                <w:lang w:val="en-GB"/>
              </w:rPr>
              <w:t>W  http://wko.at/bsbv</w:t>
            </w:r>
          </w:p>
        </w:tc>
      </w:tr>
    </w:tbl>
    <w:p w:rsidR="00642235" w:rsidRPr="00C21BF0" w:rsidRDefault="00642235" w:rsidP="00CE5D6F">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rsidR="00642235" w:rsidRPr="00DC0A36" w:rsidRDefault="00642235" w:rsidP="00CE5D6F">
      <w:pPr>
        <w:tabs>
          <w:tab w:val="left" w:pos="2892"/>
          <w:tab w:val="left" w:pos="5783"/>
          <w:tab w:val="left" w:pos="7655"/>
        </w:tabs>
        <w:rPr>
          <w:color w:val="000000"/>
          <w:lang w:val="en-GB"/>
        </w:rPr>
      </w:pPr>
      <w:r w:rsidRPr="00C21BF0">
        <w:rPr>
          <w:color w:val="000000"/>
          <w:lang w:val="en-GB"/>
        </w:rPr>
        <w:tab/>
      </w:r>
      <w:r w:rsidRPr="00DC0A36">
        <w:rPr>
          <w:noProof/>
          <w:color w:val="000000"/>
          <w:lang w:val="en-GB"/>
        </w:rPr>
        <w:t>BSBV</w:t>
      </w:r>
      <w:r w:rsidR="00CE5D6F">
        <w:rPr>
          <w:noProof/>
          <w:color w:val="000000"/>
          <w:lang w:val="en-GB"/>
        </w:rPr>
        <w:t xml:space="preserve"> </w:t>
      </w:r>
      <w:r w:rsidR="006B63AD">
        <w:rPr>
          <w:noProof/>
          <w:color w:val="000000"/>
          <w:lang w:val="en-GB"/>
        </w:rPr>
        <w:t>53</w:t>
      </w:r>
      <w:r w:rsidR="00641DC4" w:rsidRPr="00DC0A36">
        <w:rPr>
          <w:noProof/>
          <w:color w:val="000000"/>
          <w:lang w:val="en-GB"/>
        </w:rPr>
        <w:t>/</w:t>
      </w:r>
      <w:r w:rsidR="00CE5D6F">
        <w:rPr>
          <w:noProof/>
          <w:color w:val="000000"/>
          <w:lang w:val="en-GB"/>
        </w:rPr>
        <w:t>Horvath</w:t>
      </w:r>
      <w:r w:rsidR="00641DC4" w:rsidRPr="00DC0A36">
        <w:rPr>
          <w:noProof/>
          <w:color w:val="000000"/>
          <w:lang w:val="en-GB"/>
        </w:rPr>
        <w:tab/>
        <w:t>31</w:t>
      </w:r>
      <w:r w:rsidR="00CE5D6F">
        <w:rPr>
          <w:noProof/>
          <w:color w:val="000000"/>
          <w:lang w:val="en-GB"/>
        </w:rPr>
        <w:t>41</w:t>
      </w:r>
      <w:r w:rsidRPr="00DC0A36">
        <w:rPr>
          <w:color w:val="000000"/>
          <w:lang w:val="en-GB"/>
        </w:rPr>
        <w:tab/>
      </w:r>
      <w:r w:rsidR="006B63AD">
        <w:rPr>
          <w:color w:val="000000"/>
          <w:lang w:val="en-GB"/>
        </w:rPr>
        <w:t>2</w:t>
      </w:r>
      <w:r w:rsidR="00CD5633">
        <w:rPr>
          <w:color w:val="000000"/>
          <w:lang w:val="en-GB"/>
        </w:rPr>
        <w:t>6</w:t>
      </w:r>
      <w:r w:rsidR="005B2525" w:rsidRPr="005B2525">
        <w:rPr>
          <w:color w:val="000000"/>
          <w:vertAlign w:val="superscript"/>
          <w:lang w:val="en-GB"/>
        </w:rPr>
        <w:t>th</w:t>
      </w:r>
      <w:r w:rsidR="005B2525">
        <w:rPr>
          <w:color w:val="000000"/>
          <w:lang w:val="en-GB"/>
        </w:rPr>
        <w:t xml:space="preserve"> </w:t>
      </w:r>
      <w:r w:rsidR="006B63AD">
        <w:rPr>
          <w:color w:val="000000"/>
          <w:lang w:val="en-GB"/>
        </w:rPr>
        <w:t xml:space="preserve">August </w:t>
      </w:r>
      <w:r w:rsidR="00D82226" w:rsidRPr="00DC0A36">
        <w:rPr>
          <w:color w:val="000000"/>
          <w:lang w:val="en-GB"/>
        </w:rPr>
        <w:t>201</w:t>
      </w:r>
      <w:r w:rsidR="00CE5D6F">
        <w:rPr>
          <w:color w:val="000000"/>
          <w:lang w:val="en-GB"/>
        </w:rPr>
        <w:t>6</w:t>
      </w:r>
    </w:p>
    <w:p w:rsidR="00E754C8" w:rsidRDefault="00E754C8" w:rsidP="00CE5D6F">
      <w:pPr>
        <w:rPr>
          <w:color w:val="000000"/>
          <w:sz w:val="24"/>
          <w:szCs w:val="24"/>
          <w:lang w:val="en-GB"/>
        </w:rPr>
      </w:pPr>
    </w:p>
    <w:p w:rsidR="00A82C13" w:rsidRPr="00DC0A36" w:rsidRDefault="00A82C13" w:rsidP="00CE5D6F">
      <w:pPr>
        <w:rPr>
          <w:color w:val="000000"/>
          <w:sz w:val="24"/>
          <w:szCs w:val="24"/>
          <w:lang w:val="en-GB"/>
        </w:rPr>
      </w:pPr>
    </w:p>
    <w:p w:rsidR="006B63AD" w:rsidRDefault="006B63AD" w:rsidP="00CE5D6F">
      <w:pPr>
        <w:rPr>
          <w:rFonts w:cs="Arial"/>
          <w:b/>
          <w:sz w:val="24"/>
          <w:szCs w:val="24"/>
          <w:lang w:val="en-US"/>
        </w:rPr>
      </w:pPr>
      <w:r>
        <w:rPr>
          <w:rFonts w:cs="Arial"/>
          <w:b/>
          <w:sz w:val="24"/>
          <w:szCs w:val="24"/>
          <w:lang w:val="en-US"/>
        </w:rPr>
        <w:t>EBA – Consultation Paper</w:t>
      </w:r>
    </w:p>
    <w:p w:rsidR="00C02F42" w:rsidRDefault="006B63AD" w:rsidP="00CE5D6F">
      <w:pPr>
        <w:rPr>
          <w:b/>
          <w:sz w:val="24"/>
          <w:szCs w:val="24"/>
          <w:lang w:val="en-GB"/>
        </w:rPr>
      </w:pPr>
      <w:r>
        <w:rPr>
          <w:rFonts w:cs="Arial"/>
          <w:b/>
          <w:sz w:val="24"/>
          <w:szCs w:val="24"/>
          <w:lang w:val="en-US"/>
        </w:rPr>
        <w:t xml:space="preserve">Report on the appropriate target level basis of </w:t>
      </w:r>
      <w:proofErr w:type="spellStart"/>
      <w:r>
        <w:rPr>
          <w:rFonts w:cs="Arial"/>
          <w:b/>
          <w:sz w:val="24"/>
          <w:szCs w:val="24"/>
          <w:lang w:val="en-US"/>
        </w:rPr>
        <w:t>resultion</w:t>
      </w:r>
      <w:proofErr w:type="spellEnd"/>
      <w:r>
        <w:rPr>
          <w:rFonts w:cs="Arial"/>
          <w:b/>
          <w:sz w:val="24"/>
          <w:szCs w:val="24"/>
          <w:lang w:val="en-US"/>
        </w:rPr>
        <w:t xml:space="preserve"> financing arrangements under BRRD</w:t>
      </w:r>
    </w:p>
    <w:p w:rsidR="00B22761" w:rsidRDefault="00B22761" w:rsidP="00CE5D6F">
      <w:pPr>
        <w:rPr>
          <w:lang w:val="en-GB"/>
        </w:rPr>
      </w:pPr>
    </w:p>
    <w:p w:rsidR="00DC0A36" w:rsidRDefault="00DC0A36" w:rsidP="00C11030">
      <w:pPr>
        <w:spacing w:line="240" w:lineRule="auto"/>
        <w:rPr>
          <w:rFonts w:cs="Arial"/>
          <w:color w:val="000000"/>
          <w:lang w:val="en-GB" w:eastAsia="en-US"/>
        </w:rPr>
      </w:pPr>
      <w:r w:rsidRPr="00DC0A36">
        <w:rPr>
          <w:lang w:val="en-GB"/>
        </w:rPr>
        <w:t xml:space="preserve">The Division Bank and Insurance of the Austrian Federal Economic </w:t>
      </w:r>
      <w:proofErr w:type="gramStart"/>
      <w:r w:rsidRPr="00DC0A36">
        <w:rPr>
          <w:lang w:val="en-GB"/>
        </w:rPr>
        <w:t>Chamber,</w:t>
      </w:r>
      <w:proofErr w:type="gramEnd"/>
      <w:r w:rsidRPr="00DC0A36">
        <w:rPr>
          <w:lang w:val="en-GB"/>
        </w:rPr>
        <w:t xml:space="preserve"> as </w:t>
      </w:r>
      <w:r w:rsidR="00041C1E">
        <w:rPr>
          <w:lang w:val="en-GB"/>
        </w:rPr>
        <w:t xml:space="preserve">legal </w:t>
      </w:r>
      <w:r w:rsidRPr="00DC0A36">
        <w:rPr>
          <w:lang w:val="en-GB"/>
        </w:rPr>
        <w:t>representative of the entire Austrian banking industry, appreciates the possibility to</w:t>
      </w:r>
      <w:r w:rsidR="00B467F0" w:rsidRPr="00487A00">
        <w:rPr>
          <w:rFonts w:cs="Arial"/>
          <w:color w:val="000000"/>
          <w:lang w:val="en-GB" w:eastAsia="en-US"/>
        </w:rPr>
        <w:t xml:space="preserve"> comment on </w:t>
      </w:r>
      <w:r w:rsidR="00B467F0">
        <w:rPr>
          <w:rFonts w:cs="Arial"/>
          <w:color w:val="000000"/>
          <w:lang w:val="en-GB" w:eastAsia="en-US"/>
        </w:rPr>
        <w:t xml:space="preserve">the above cited </w:t>
      </w:r>
      <w:r w:rsidR="00CE5D6F">
        <w:rPr>
          <w:rFonts w:cs="Arial"/>
          <w:color w:val="000000"/>
          <w:lang w:val="en-GB" w:eastAsia="en-US"/>
        </w:rPr>
        <w:t xml:space="preserve">consultation </w:t>
      </w:r>
      <w:r w:rsidR="005B2525">
        <w:rPr>
          <w:rFonts w:cs="Arial"/>
          <w:color w:val="000000"/>
          <w:lang w:val="en-GB" w:eastAsia="en-US"/>
        </w:rPr>
        <w:t>document</w:t>
      </w:r>
      <w:r w:rsidR="00B467F0">
        <w:rPr>
          <w:rFonts w:cs="Arial"/>
          <w:color w:val="000000"/>
          <w:lang w:val="en-GB" w:eastAsia="en-US"/>
        </w:rPr>
        <w:t xml:space="preserve"> </w:t>
      </w:r>
      <w:r w:rsidR="00B467F0" w:rsidRPr="00487A00">
        <w:rPr>
          <w:rFonts w:cs="Arial"/>
          <w:color w:val="000000"/>
          <w:lang w:val="en-GB" w:eastAsia="en-US"/>
        </w:rPr>
        <w:t>and would like to submit the following position:</w:t>
      </w:r>
    </w:p>
    <w:p w:rsidR="003C35DC" w:rsidRDefault="003C35DC" w:rsidP="00CE5D6F">
      <w:pPr>
        <w:rPr>
          <w:lang w:val="en-GB"/>
        </w:rPr>
      </w:pPr>
    </w:p>
    <w:p w:rsidR="007D441B" w:rsidRPr="007D441B" w:rsidRDefault="007D441B" w:rsidP="007D441B">
      <w:pPr>
        <w:pStyle w:val="Listenabsatz"/>
        <w:numPr>
          <w:ilvl w:val="0"/>
          <w:numId w:val="22"/>
        </w:numPr>
        <w:spacing w:after="120" w:line="240" w:lineRule="auto"/>
        <w:rPr>
          <w:b/>
          <w:bCs/>
          <w:sz w:val="24"/>
          <w:szCs w:val="28"/>
          <w:lang w:val="en-GB"/>
        </w:rPr>
      </w:pPr>
      <w:r w:rsidRPr="007D441B">
        <w:rPr>
          <w:b/>
          <w:bCs/>
          <w:sz w:val="24"/>
          <w:szCs w:val="28"/>
          <w:lang w:val="en-GB"/>
        </w:rPr>
        <w:t>General Comments</w:t>
      </w:r>
    </w:p>
    <w:p w:rsidR="007D441B" w:rsidRPr="007D441B" w:rsidRDefault="007D441B" w:rsidP="007D441B">
      <w:pPr>
        <w:rPr>
          <w:lang w:val="en-GB"/>
        </w:rPr>
      </w:pPr>
      <w:r w:rsidRPr="007D441B">
        <w:rPr>
          <w:lang w:val="en-GB"/>
        </w:rPr>
        <w:t>We would like to emphasize that for the time being a report on the appropriate target level ‎cannot be dra</w:t>
      </w:r>
      <w:r>
        <w:rPr>
          <w:lang w:val="en-GB"/>
        </w:rPr>
        <w:t>fted in a fully convincing and s</w:t>
      </w:r>
      <w:r w:rsidRPr="007D441B">
        <w:rPr>
          <w:lang w:val="en-GB"/>
        </w:rPr>
        <w:t>ound manner, as EBA describes in the report itself. Only two years after entering into force of the BRRD and without detailed experience with the calculation of contributions it is hard for market participants to choose a new target level basis</w:t>
      </w:r>
      <w:r w:rsidR="00176221">
        <w:rPr>
          <w:lang w:val="en-GB"/>
        </w:rPr>
        <w:t>. I</w:t>
      </w:r>
      <w:r w:rsidR="00CC45DD">
        <w:rPr>
          <w:lang w:val="en-GB"/>
        </w:rPr>
        <w:t xml:space="preserve">n general we argue for avoiding higher contributions to the resolution fund. </w:t>
      </w:r>
    </w:p>
    <w:p w:rsidR="007D441B" w:rsidRPr="009D188F" w:rsidRDefault="007D441B" w:rsidP="00CE5D6F">
      <w:pPr>
        <w:rPr>
          <w:lang w:val="en-GB"/>
        </w:rPr>
      </w:pPr>
    </w:p>
    <w:p w:rsidR="00107E76" w:rsidRPr="00107E76" w:rsidRDefault="00107E76" w:rsidP="00107E76">
      <w:pPr>
        <w:pStyle w:val="Listenabsatz"/>
        <w:numPr>
          <w:ilvl w:val="0"/>
          <w:numId w:val="22"/>
        </w:numPr>
        <w:spacing w:after="120" w:line="240" w:lineRule="auto"/>
        <w:rPr>
          <w:b/>
          <w:bCs/>
          <w:sz w:val="24"/>
          <w:szCs w:val="28"/>
          <w:lang w:val="en-GB"/>
        </w:rPr>
      </w:pPr>
      <w:r w:rsidRPr="00107E76">
        <w:rPr>
          <w:b/>
          <w:bCs/>
          <w:sz w:val="24"/>
          <w:szCs w:val="28"/>
          <w:lang w:val="en-GB"/>
        </w:rPr>
        <w:t>Answers to EBA specific questions</w:t>
      </w:r>
    </w:p>
    <w:p w:rsidR="00107E76" w:rsidRPr="00107E76" w:rsidRDefault="00107E76" w:rsidP="00107E76">
      <w:pPr>
        <w:rPr>
          <w:b/>
          <w:bCs/>
          <w:i/>
          <w:iCs/>
          <w:lang w:val="en-GB"/>
        </w:rPr>
      </w:pPr>
      <w:r w:rsidRPr="00107E76">
        <w:rPr>
          <w:b/>
          <w:bCs/>
          <w:i/>
          <w:iCs/>
          <w:lang w:val="en-GB"/>
        </w:rPr>
        <w:t>1. Do you think the report is missing any crucial criteria or arguments in favour or against a particular option?</w:t>
      </w:r>
    </w:p>
    <w:p w:rsidR="00107E76" w:rsidRPr="00107E76" w:rsidRDefault="00107E76" w:rsidP="00107E76">
      <w:pPr>
        <w:rPr>
          <w:lang w:val="en-GB"/>
        </w:rPr>
      </w:pPr>
      <w:r w:rsidRPr="00107E76">
        <w:rPr>
          <w:lang w:val="en-GB"/>
        </w:rPr>
        <w:t xml:space="preserve">Among the criteria for the comparative assessment of the options for the basis for the target level, EBA correctly includes “Consistency with the contributions methodology”. The advantages or disadvantages listed for this criterion are determined primarily on the basis of logical consistency and do not </w:t>
      </w:r>
      <w:r w:rsidR="00176221">
        <w:rPr>
          <w:lang w:val="en-GB"/>
        </w:rPr>
        <w:t xml:space="preserve">really </w:t>
      </w:r>
      <w:r w:rsidRPr="00107E76">
        <w:rPr>
          <w:lang w:val="en-GB"/>
        </w:rPr>
        <w:t>capture the economic implications and the related incentives.</w:t>
      </w:r>
    </w:p>
    <w:p w:rsidR="00107E76" w:rsidRPr="00107E76" w:rsidRDefault="00AF1E22" w:rsidP="00107E76">
      <w:pPr>
        <w:rPr>
          <w:lang w:val="en-GB"/>
        </w:rPr>
      </w:pPr>
      <w:r>
        <w:rPr>
          <w:lang w:val="en-GB"/>
        </w:rPr>
        <w:t>B</w:t>
      </w:r>
      <w:r w:rsidR="00107E76" w:rsidRPr="00107E76">
        <w:rPr>
          <w:lang w:val="en-GB"/>
        </w:rPr>
        <w:t>anking group</w:t>
      </w:r>
      <w:r>
        <w:rPr>
          <w:lang w:val="en-GB"/>
        </w:rPr>
        <w:t>s</w:t>
      </w:r>
      <w:r w:rsidR="00107E76" w:rsidRPr="00107E76">
        <w:rPr>
          <w:lang w:val="en-GB"/>
        </w:rPr>
        <w:t xml:space="preserve"> operating in SRM countries as well as non-participating Member States, </w:t>
      </w:r>
      <w:r>
        <w:rPr>
          <w:lang w:val="en-GB"/>
        </w:rPr>
        <w:t>are</w:t>
      </w:r>
      <w:r w:rsidR="00107E76" w:rsidRPr="00107E76">
        <w:rPr>
          <w:lang w:val="en-GB"/>
        </w:rPr>
        <w:t xml:space="preserve"> faced with practical implications of the current difference between the basis of the</w:t>
      </w:r>
      <w:r w:rsidR="00107E76" w:rsidRPr="00107E76">
        <w:rPr>
          <w:sz w:val="20"/>
          <w:lang w:val="en-US"/>
        </w:rPr>
        <w:t xml:space="preserve"> </w:t>
      </w:r>
      <w:r w:rsidR="00107E76" w:rsidRPr="00107E76">
        <w:rPr>
          <w:lang w:val="en-GB"/>
        </w:rPr>
        <w:t>Resolution Fund (“RF”) target level - i.</w:t>
      </w:r>
      <w:r>
        <w:rPr>
          <w:lang w:val="en-GB"/>
        </w:rPr>
        <w:t xml:space="preserve">e. covered deposits  - and the </w:t>
      </w:r>
      <w:r w:rsidR="00107E76" w:rsidRPr="00107E76">
        <w:rPr>
          <w:lang w:val="en-GB"/>
        </w:rPr>
        <w:t>basic annual contribution – i.e. total liabilities (excluding own funds) less covered deposits (leaving aside the special treatment of derivatives).</w:t>
      </w:r>
    </w:p>
    <w:p w:rsidR="00CD5633" w:rsidRDefault="00CD5633" w:rsidP="00107E76">
      <w:pPr>
        <w:rPr>
          <w:lang w:val="en-GB"/>
        </w:rPr>
      </w:pPr>
    </w:p>
    <w:p w:rsidR="00107E76" w:rsidRPr="00107E76" w:rsidRDefault="00107E76" w:rsidP="00107E76">
      <w:pPr>
        <w:rPr>
          <w:lang w:val="en-GB"/>
        </w:rPr>
      </w:pPr>
      <w:r w:rsidRPr="00107E76">
        <w:rPr>
          <w:lang w:val="en-GB"/>
        </w:rPr>
        <w:t xml:space="preserve">Resolution fund target level is derived as a % of covered deposits (1% </w:t>
      </w:r>
      <w:proofErr w:type="spellStart"/>
      <w:r w:rsidRPr="00107E76">
        <w:rPr>
          <w:lang w:val="en-GB"/>
        </w:rPr>
        <w:t>resp</w:t>
      </w:r>
      <w:proofErr w:type="spellEnd"/>
      <w:r w:rsidRPr="00107E76">
        <w:rPr>
          <w:lang w:val="en-GB"/>
        </w:rPr>
        <w:t xml:space="preserve"> 1</w:t>
      </w:r>
      <w:proofErr w:type="gramStart"/>
      <w:r w:rsidRPr="00107E76">
        <w:rPr>
          <w:lang w:val="en-GB"/>
        </w:rPr>
        <w:t>,05</w:t>
      </w:r>
      <w:proofErr w:type="gramEnd"/>
      <w:r w:rsidRPr="00107E76">
        <w:rPr>
          <w:lang w:val="en-GB"/>
        </w:rPr>
        <w:t xml:space="preserve">% for SRF), the annual contribution is a fraction thereof (1/8, 1/10 or 1/9 depending on the country). The relevant base for the basic annual contribution of an institution includes everything but </w:t>
      </w:r>
      <w:r w:rsidRPr="00107E76">
        <w:rPr>
          <w:lang w:val="en-GB"/>
        </w:rPr>
        <w:lastRenderedPageBreak/>
        <w:t xml:space="preserve">covered deposits and own funds. Consequently, the higher the share of covered deposits on the liabilities side of the respective banking system, the higher the marginal contribution impact on the other liabilities included in the relevant base. </w:t>
      </w:r>
      <w:r w:rsidR="00AF1E22">
        <w:rPr>
          <w:lang w:val="en-GB"/>
        </w:rPr>
        <w:t>A</w:t>
      </w:r>
      <w:r w:rsidRPr="00107E76">
        <w:rPr>
          <w:lang w:val="en-GB"/>
        </w:rPr>
        <w:t xml:space="preserve"> factor of 3 (from 5 to more than 15 basis points)</w:t>
      </w:r>
      <w:r w:rsidR="00AF1E22">
        <w:rPr>
          <w:lang w:val="en-GB"/>
        </w:rPr>
        <w:t xml:space="preserve"> can be observed</w:t>
      </w:r>
      <w:r w:rsidRPr="00107E76">
        <w:rPr>
          <w:lang w:val="en-GB"/>
        </w:rPr>
        <w:t xml:space="preserve"> for the range of the basic annual contribution in relation to the relevant base.  </w:t>
      </w:r>
    </w:p>
    <w:p w:rsidR="00107E76" w:rsidRPr="00107E76" w:rsidRDefault="00107E76" w:rsidP="00107E76">
      <w:pPr>
        <w:rPr>
          <w:lang w:val="en-GB"/>
        </w:rPr>
      </w:pPr>
      <w:r w:rsidRPr="00107E76">
        <w:rPr>
          <w:lang w:val="en-GB"/>
        </w:rPr>
        <w:t xml:space="preserve">This considerable range clearly puts into question the level playing field principle. Furthermore, since individual resolution fund contributions are calculated based on year-end figures, the differences in the marginal contribution rate accentuate distortions in the markets towards year-end and create incentives for arbitrage such as directing overnight deposits from those countries where the effects are most pronounced to countries with a low “marginal resolution fund contribution rate”.  </w:t>
      </w:r>
    </w:p>
    <w:p w:rsidR="00107E76" w:rsidRPr="00107E76" w:rsidRDefault="00107E76" w:rsidP="00107E76">
      <w:pPr>
        <w:rPr>
          <w:lang w:val="en-GB"/>
        </w:rPr>
      </w:pPr>
    </w:p>
    <w:p w:rsidR="00107E76" w:rsidRPr="00107E76" w:rsidRDefault="00107E76" w:rsidP="00107E76">
      <w:pPr>
        <w:rPr>
          <w:lang w:val="en-US"/>
        </w:rPr>
      </w:pPr>
      <w:r w:rsidRPr="00107E76">
        <w:rPr>
          <w:lang w:val="en-US"/>
        </w:rPr>
        <w:t xml:space="preserve">The assessment of the options should include these economic implications and the effects on incentives. In turn, this should also be supported by a quantitative impact study as to the effects of the options on nationals RFs and the SRF and their contributions. The data required to quantify these effects should be obtainable via NRAs and the SRB.   </w:t>
      </w:r>
    </w:p>
    <w:p w:rsidR="00107E76" w:rsidRPr="00107E76" w:rsidRDefault="00107E76" w:rsidP="00107E76">
      <w:pPr>
        <w:rPr>
          <w:lang w:val="en-US"/>
        </w:rPr>
      </w:pPr>
    </w:p>
    <w:p w:rsidR="00107E76" w:rsidRPr="00107E76" w:rsidRDefault="00107E76" w:rsidP="00107E76">
      <w:pPr>
        <w:rPr>
          <w:b/>
          <w:bCs/>
          <w:i/>
          <w:iCs/>
          <w:lang w:val="en-GB"/>
        </w:rPr>
      </w:pPr>
      <w:r w:rsidRPr="00107E76">
        <w:rPr>
          <w:b/>
          <w:bCs/>
          <w:i/>
          <w:iCs/>
          <w:lang w:val="en-GB"/>
        </w:rPr>
        <w:t>2. Do you have a preference for one of the following recommended options?</w:t>
      </w:r>
      <w:r w:rsidRPr="00107E76">
        <w:rPr>
          <w:b/>
          <w:bCs/>
          <w:i/>
          <w:iCs/>
          <w:lang w:val="en-GB"/>
        </w:rPr>
        <w:br/>
        <w:t xml:space="preserve">(a) </w:t>
      </w:r>
      <w:proofErr w:type="gramStart"/>
      <w:r w:rsidRPr="00107E76">
        <w:rPr>
          <w:b/>
          <w:bCs/>
          <w:i/>
          <w:iCs/>
          <w:lang w:val="en-GB"/>
        </w:rPr>
        <w:t>total</w:t>
      </w:r>
      <w:proofErr w:type="gramEnd"/>
      <w:r w:rsidRPr="00107E76">
        <w:rPr>
          <w:b/>
          <w:bCs/>
          <w:i/>
          <w:iCs/>
          <w:lang w:val="en-GB"/>
        </w:rPr>
        <w:t xml:space="preserve"> liabilities (including own funds),</w:t>
      </w:r>
    </w:p>
    <w:p w:rsidR="00107E76" w:rsidRPr="00107E76" w:rsidRDefault="00107E76" w:rsidP="00107E76">
      <w:pPr>
        <w:rPr>
          <w:b/>
          <w:bCs/>
          <w:i/>
          <w:iCs/>
          <w:lang w:val="en-GB"/>
        </w:rPr>
      </w:pPr>
      <w:r w:rsidRPr="00107E76">
        <w:rPr>
          <w:b/>
          <w:bCs/>
          <w:i/>
          <w:iCs/>
          <w:lang w:val="en-GB"/>
        </w:rPr>
        <w:t xml:space="preserve">(b) </w:t>
      </w:r>
      <w:proofErr w:type="gramStart"/>
      <w:r w:rsidRPr="00107E76">
        <w:rPr>
          <w:b/>
          <w:bCs/>
          <w:i/>
          <w:iCs/>
          <w:lang w:val="en-GB"/>
        </w:rPr>
        <w:t>total</w:t>
      </w:r>
      <w:proofErr w:type="gramEnd"/>
      <w:r w:rsidRPr="00107E76">
        <w:rPr>
          <w:b/>
          <w:bCs/>
          <w:i/>
          <w:iCs/>
          <w:lang w:val="en-GB"/>
        </w:rPr>
        <w:t xml:space="preserve"> liabilities excluding own funds, </w:t>
      </w:r>
    </w:p>
    <w:p w:rsidR="00107E76" w:rsidRPr="00107E76" w:rsidRDefault="00107E76" w:rsidP="00107E76">
      <w:pPr>
        <w:rPr>
          <w:b/>
          <w:bCs/>
          <w:i/>
          <w:iCs/>
          <w:lang w:val="en-GB"/>
        </w:rPr>
      </w:pPr>
      <w:r w:rsidRPr="00107E76">
        <w:rPr>
          <w:b/>
          <w:bCs/>
          <w:i/>
          <w:iCs/>
          <w:lang w:val="en-GB"/>
        </w:rPr>
        <w:t xml:space="preserve">(c) </w:t>
      </w:r>
      <w:proofErr w:type="gramStart"/>
      <w:r w:rsidRPr="00107E76">
        <w:rPr>
          <w:b/>
          <w:bCs/>
          <w:i/>
          <w:iCs/>
          <w:lang w:val="en-GB"/>
        </w:rPr>
        <w:t>total</w:t>
      </w:r>
      <w:proofErr w:type="gramEnd"/>
      <w:r w:rsidRPr="00107E76">
        <w:rPr>
          <w:b/>
          <w:bCs/>
          <w:i/>
          <w:iCs/>
          <w:lang w:val="en-GB"/>
        </w:rPr>
        <w:t xml:space="preserve"> liabilities excluding own funds less covered deposits.</w:t>
      </w:r>
    </w:p>
    <w:p w:rsidR="00CD5633" w:rsidRPr="00107E76" w:rsidRDefault="00107E76" w:rsidP="00CD5633">
      <w:pPr>
        <w:rPr>
          <w:lang w:val="en-GB"/>
        </w:rPr>
      </w:pPr>
      <w:r w:rsidRPr="00107E76">
        <w:rPr>
          <w:lang w:val="en-GB"/>
        </w:rPr>
        <w:t xml:space="preserve">We are in favour of </w:t>
      </w:r>
      <w:r w:rsidR="009040DE">
        <w:rPr>
          <w:lang w:val="en-GB"/>
        </w:rPr>
        <w:t>option 2 (c)</w:t>
      </w:r>
      <w:r w:rsidR="00CD5633">
        <w:rPr>
          <w:lang w:val="en-GB"/>
        </w:rPr>
        <w:t>.</w:t>
      </w:r>
      <w:r w:rsidR="009040DE" w:rsidRPr="009040DE">
        <w:rPr>
          <w:rFonts w:ascii="Calibri" w:hAnsi="Calibri"/>
          <w:color w:val="262626"/>
          <w:lang w:val="en-GB"/>
        </w:rPr>
        <w:t xml:space="preserve"> </w:t>
      </w:r>
    </w:p>
    <w:p w:rsidR="00CD5633" w:rsidRPr="00CD5633" w:rsidRDefault="00CD5633" w:rsidP="00CD5633">
      <w:pPr>
        <w:spacing w:line="240" w:lineRule="auto"/>
        <w:rPr>
          <w:lang w:val="en-GB"/>
        </w:rPr>
      </w:pPr>
    </w:p>
    <w:p w:rsidR="009040DE" w:rsidRPr="00CD5633" w:rsidRDefault="00CD5633" w:rsidP="009040DE">
      <w:pPr>
        <w:rPr>
          <w:lang w:val="en-GB"/>
        </w:rPr>
      </w:pPr>
      <w:r w:rsidRPr="00CD5633">
        <w:rPr>
          <w:lang w:val="en-GB"/>
        </w:rPr>
        <w:t>T</w:t>
      </w:r>
      <w:r w:rsidR="009040DE" w:rsidRPr="00CD5633">
        <w:rPr>
          <w:lang w:val="en-GB"/>
        </w:rPr>
        <w:t>h</w:t>
      </w:r>
      <w:r w:rsidRPr="00CD5633">
        <w:rPr>
          <w:lang w:val="en-GB"/>
        </w:rPr>
        <w:t>is</w:t>
      </w:r>
      <w:r w:rsidR="009040DE" w:rsidRPr="00CD5633">
        <w:rPr>
          <w:lang w:val="en-GB"/>
        </w:rPr>
        <w:t xml:space="preserve"> calculation would be largely consistent with the basis of the contributions methodology.‎</w:t>
      </w:r>
      <w:r w:rsidRPr="00CD5633">
        <w:rPr>
          <w:lang w:val="en-GB"/>
        </w:rPr>
        <w:t xml:space="preserve"> </w:t>
      </w:r>
      <w:r w:rsidR="009040DE" w:rsidRPr="00CD5633">
        <w:rPr>
          <w:lang w:val="en-GB"/>
        </w:rPr>
        <w:t xml:space="preserve">Furthermore the </w:t>
      </w:r>
      <w:r w:rsidRPr="00CD5633">
        <w:rPr>
          <w:lang w:val="en-GB"/>
        </w:rPr>
        <w:t>p</w:t>
      </w:r>
      <w:r w:rsidR="009040DE" w:rsidRPr="00CD5633">
        <w:rPr>
          <w:lang w:val="en-GB"/>
        </w:rPr>
        <w:t xml:space="preserve">otential call on the Resolution financing </w:t>
      </w:r>
      <w:r w:rsidRPr="00CD5633">
        <w:rPr>
          <w:lang w:val="en-GB"/>
        </w:rPr>
        <w:t>a</w:t>
      </w:r>
      <w:r w:rsidR="009040DE" w:rsidRPr="00CD5633">
        <w:rPr>
          <w:lang w:val="en-GB"/>
        </w:rPr>
        <w:t>rrangement is in our view rather shown by this basis.</w:t>
      </w:r>
    </w:p>
    <w:p w:rsidR="009040DE" w:rsidRPr="00CD5633" w:rsidRDefault="009040DE" w:rsidP="00CD5633">
      <w:pPr>
        <w:spacing w:line="240" w:lineRule="auto"/>
        <w:rPr>
          <w:lang w:val="en-GB"/>
        </w:rPr>
      </w:pPr>
    </w:p>
    <w:p w:rsidR="009040DE" w:rsidRPr="00CD5633" w:rsidRDefault="009040DE" w:rsidP="009040DE">
      <w:pPr>
        <w:rPr>
          <w:lang w:val="en-GB"/>
        </w:rPr>
      </w:pPr>
      <w:r w:rsidRPr="00CD5633">
        <w:rPr>
          <w:lang w:val="en-GB"/>
        </w:rPr>
        <w:t>However‎ one has to bear in mind that with such a change in the target level basis the scope of contributors would be broadened and that also more transactions would be in enshrined when calculating the target level.</w:t>
      </w:r>
    </w:p>
    <w:p w:rsidR="009040DE" w:rsidRPr="00CD5633" w:rsidRDefault="009040DE" w:rsidP="009040DE">
      <w:pPr>
        <w:rPr>
          <w:lang w:val="en-GB"/>
        </w:rPr>
      </w:pPr>
      <w:r w:rsidRPr="00CD5633">
        <w:rPr>
          <w:lang w:val="en-GB"/>
        </w:rPr>
        <w:t xml:space="preserve">As a consequence it would be inevitable to first offer to all market participants serious calculations about how the percentage would have to be changed if the target level basis was changed (as described on page 9 of the report). If more market participants and more transactions are included in the target level basis the percentage would definitely has to decline. </w:t>
      </w:r>
    </w:p>
    <w:p w:rsidR="009040DE" w:rsidRPr="00CD5633" w:rsidRDefault="009040DE" w:rsidP="00CD5633">
      <w:pPr>
        <w:spacing w:line="240" w:lineRule="auto"/>
        <w:rPr>
          <w:lang w:val="en-GB"/>
        </w:rPr>
      </w:pPr>
    </w:p>
    <w:p w:rsidR="009040DE" w:rsidRPr="00CD5633" w:rsidRDefault="009040DE" w:rsidP="009040DE">
      <w:pPr>
        <w:rPr>
          <w:lang w:val="en-GB"/>
        </w:rPr>
      </w:pPr>
      <w:r w:rsidRPr="00CD5633">
        <w:rPr>
          <w:lang w:val="en-GB"/>
        </w:rPr>
        <w:t xml:space="preserve">However for practical reasons we would also ask EBA to consider if maintaining covered deposits for the next years would not be an </w:t>
      </w:r>
      <w:r w:rsidR="00CD5633" w:rsidRPr="00CD5633">
        <w:rPr>
          <w:lang w:val="en-GB"/>
        </w:rPr>
        <w:t>o</w:t>
      </w:r>
      <w:r w:rsidRPr="00CD5633">
        <w:rPr>
          <w:lang w:val="en-GB"/>
        </w:rPr>
        <w:t>ption (simple, transparent and consisten</w:t>
      </w:r>
      <w:r w:rsidR="00CD5633">
        <w:rPr>
          <w:lang w:val="en-GB"/>
        </w:rPr>
        <w:t>t</w:t>
      </w:r>
      <w:r w:rsidRPr="00CD5633">
        <w:rPr>
          <w:lang w:val="en-GB"/>
        </w:rPr>
        <w:t xml:space="preserve"> with the DGS target level).</w:t>
      </w:r>
    </w:p>
    <w:p w:rsidR="00CD5633" w:rsidRPr="00CD5633" w:rsidRDefault="00CD5633" w:rsidP="00CD5633">
      <w:pPr>
        <w:spacing w:line="240" w:lineRule="auto"/>
        <w:rPr>
          <w:lang w:val="en-GB"/>
        </w:rPr>
      </w:pPr>
    </w:p>
    <w:p w:rsidR="00107E76" w:rsidRDefault="009656E4" w:rsidP="00107E76">
      <w:pPr>
        <w:rPr>
          <w:lang w:val="en-GB"/>
        </w:rPr>
      </w:pPr>
      <w:r>
        <w:rPr>
          <w:lang w:val="en-GB"/>
        </w:rPr>
        <w:t xml:space="preserve">Supplementary </w:t>
      </w:r>
      <w:r w:rsidR="00107E76" w:rsidRPr="00107E76">
        <w:rPr>
          <w:lang w:val="en-GB"/>
        </w:rPr>
        <w:t xml:space="preserve">to the arguments put forward in the assessment by EBA, we see the economic benefits of aligning to the greatest extent possible the calculation base for the target level for resolution financing arrangements and the individual basic annual contribution. It would eliminate currently existing distortions described above affecting the functioning of the single market, specifically through the impact of the greatly varying marginal resolution fund contribution rate on money markets.  </w:t>
      </w:r>
    </w:p>
    <w:p w:rsidR="00176221" w:rsidRDefault="00176221" w:rsidP="00107E76">
      <w:pPr>
        <w:rPr>
          <w:lang w:val="en-GB"/>
        </w:rPr>
      </w:pPr>
    </w:p>
    <w:p w:rsidR="00107E76" w:rsidRPr="00107E76" w:rsidRDefault="00176221" w:rsidP="00107E76">
      <w:pPr>
        <w:rPr>
          <w:lang w:val="en-GB"/>
        </w:rPr>
      </w:pPr>
      <w:r>
        <w:rPr>
          <w:lang w:val="en-GB"/>
        </w:rPr>
        <w:t>In addition the definition of covered deposits should include covered bonds like mortgage and municipal bonds.</w:t>
      </w:r>
    </w:p>
    <w:p w:rsidR="00176221" w:rsidRDefault="00176221" w:rsidP="00107E76">
      <w:pPr>
        <w:rPr>
          <w:b/>
          <w:bCs/>
          <w:i/>
          <w:iCs/>
          <w:lang w:val="en-GB"/>
        </w:rPr>
      </w:pPr>
    </w:p>
    <w:p w:rsidR="00107E76" w:rsidRPr="00107E76" w:rsidRDefault="00107E76" w:rsidP="00107E76">
      <w:pPr>
        <w:rPr>
          <w:b/>
          <w:bCs/>
          <w:i/>
          <w:iCs/>
          <w:lang w:val="en-GB"/>
        </w:rPr>
      </w:pPr>
      <w:r w:rsidRPr="00107E76">
        <w:rPr>
          <w:b/>
          <w:bCs/>
          <w:i/>
          <w:iCs/>
          <w:lang w:val="en-GB"/>
        </w:rPr>
        <w:lastRenderedPageBreak/>
        <w:t>3. Is there any other option which would be preferable to those in the recommendation? Please provide the rationale supporting your view.</w:t>
      </w:r>
    </w:p>
    <w:p w:rsidR="00107E76" w:rsidRPr="00107E76" w:rsidRDefault="00107E76" w:rsidP="00107E76">
      <w:pPr>
        <w:rPr>
          <w:lang w:val="en-GB"/>
        </w:rPr>
      </w:pPr>
      <w:r w:rsidRPr="00107E76">
        <w:rPr>
          <w:lang w:val="en-GB"/>
        </w:rPr>
        <w:t xml:space="preserve">No. </w:t>
      </w:r>
    </w:p>
    <w:p w:rsidR="00107E76" w:rsidRPr="00107E76" w:rsidRDefault="00107E76" w:rsidP="00107E76">
      <w:pPr>
        <w:rPr>
          <w:lang w:val="en-GB"/>
        </w:rPr>
      </w:pPr>
    </w:p>
    <w:p w:rsidR="00107E76" w:rsidRPr="00107E76" w:rsidRDefault="00107E76" w:rsidP="00107E76">
      <w:pPr>
        <w:pStyle w:val="Listenabsatz"/>
        <w:numPr>
          <w:ilvl w:val="0"/>
          <w:numId w:val="22"/>
        </w:numPr>
        <w:spacing w:after="120" w:line="240" w:lineRule="auto"/>
        <w:rPr>
          <w:b/>
          <w:bCs/>
          <w:sz w:val="24"/>
          <w:szCs w:val="28"/>
          <w:lang w:val="en-GB"/>
        </w:rPr>
      </w:pPr>
      <w:r w:rsidRPr="00107E76">
        <w:rPr>
          <w:b/>
          <w:bCs/>
          <w:sz w:val="24"/>
          <w:szCs w:val="28"/>
          <w:lang w:val="en-GB"/>
        </w:rPr>
        <w:t>Further Comments to the EBA Interim Report not specifically raised</w:t>
      </w:r>
    </w:p>
    <w:p w:rsidR="00107E76" w:rsidRPr="00107E76" w:rsidRDefault="00107E76" w:rsidP="00107E76">
      <w:pPr>
        <w:rPr>
          <w:b/>
          <w:bCs/>
          <w:i/>
          <w:iCs/>
          <w:lang w:val="en-GB"/>
        </w:rPr>
      </w:pPr>
      <w:r w:rsidRPr="00107E76">
        <w:rPr>
          <w:b/>
          <w:bCs/>
          <w:i/>
          <w:iCs/>
          <w:lang w:val="en-GB"/>
        </w:rPr>
        <w:t>1. Necessary alignment BRRD and SRF</w:t>
      </w:r>
    </w:p>
    <w:p w:rsidR="00107E76" w:rsidRPr="00107E76" w:rsidRDefault="00107E76" w:rsidP="00107E76">
      <w:pPr>
        <w:rPr>
          <w:lang w:val="en-GB"/>
        </w:rPr>
      </w:pPr>
      <w:r w:rsidRPr="00107E76">
        <w:rPr>
          <w:lang w:val="en-GB"/>
        </w:rPr>
        <w:t xml:space="preserve">As noted in paragraph 8, EBA does not </w:t>
      </w:r>
      <w:r w:rsidR="008D4455">
        <w:rPr>
          <w:lang w:val="en-GB"/>
        </w:rPr>
        <w:t xml:space="preserve">seem to </w:t>
      </w:r>
      <w:bookmarkStart w:id="0" w:name="_GoBack"/>
      <w:bookmarkEnd w:id="0"/>
      <w:r w:rsidRPr="00107E76">
        <w:rPr>
          <w:lang w:val="en-GB"/>
        </w:rPr>
        <w:t>have a mandate regarding the target level basis of the Single Resolution Fund (SRF), according to Regulation No 806/2014 (SRM Regulation). However, any changes to the target level basis in the BRRD should be implemented in the SRM Regulation simultaneously so as</w:t>
      </w:r>
    </w:p>
    <w:p w:rsidR="00107E76" w:rsidRPr="00107E76" w:rsidRDefault="00107E76" w:rsidP="00107E76">
      <w:pPr>
        <w:numPr>
          <w:ilvl w:val="0"/>
          <w:numId w:val="21"/>
        </w:numPr>
        <w:spacing w:after="120" w:line="240" w:lineRule="auto"/>
        <w:rPr>
          <w:lang w:val="en-GB"/>
        </w:rPr>
      </w:pPr>
      <w:r w:rsidRPr="00107E76">
        <w:rPr>
          <w:lang w:val="en-GB"/>
        </w:rPr>
        <w:t>not to complicate the annual contributions in participating Member States during the transitional period where the annual contributions are computed as the sum of weighted BRRD and SRM contributions and</w:t>
      </w:r>
    </w:p>
    <w:p w:rsidR="00107E76" w:rsidRPr="00107E76" w:rsidRDefault="00107E76" w:rsidP="00107E76">
      <w:pPr>
        <w:numPr>
          <w:ilvl w:val="0"/>
          <w:numId w:val="21"/>
        </w:numPr>
        <w:spacing w:after="120" w:line="240" w:lineRule="auto"/>
        <w:rPr>
          <w:lang w:val="en-GB"/>
        </w:rPr>
      </w:pPr>
      <w:proofErr w:type="gramStart"/>
      <w:r w:rsidRPr="00107E76">
        <w:rPr>
          <w:lang w:val="en-GB"/>
        </w:rPr>
        <w:t>not</w:t>
      </w:r>
      <w:proofErr w:type="gramEnd"/>
      <w:r w:rsidRPr="00107E76">
        <w:rPr>
          <w:lang w:val="en-GB"/>
        </w:rPr>
        <w:t xml:space="preserve"> to create permanent differences between SRM and BRRD which again would lead to distortions.</w:t>
      </w:r>
    </w:p>
    <w:p w:rsidR="00C11030" w:rsidRPr="00107E76" w:rsidRDefault="00C11030" w:rsidP="00107E76">
      <w:pPr>
        <w:rPr>
          <w:lang w:val="en-GB"/>
        </w:rPr>
      </w:pPr>
    </w:p>
    <w:p w:rsidR="00C84D8A" w:rsidRPr="00767DA3" w:rsidRDefault="00C66013" w:rsidP="00107E76">
      <w:pPr>
        <w:spacing w:line="240" w:lineRule="auto"/>
        <w:rPr>
          <w:rFonts w:cs="Arial"/>
          <w:color w:val="000000"/>
          <w:lang w:val="en-GB" w:eastAsia="en-US"/>
        </w:rPr>
      </w:pPr>
      <w:r w:rsidRPr="00767DA3">
        <w:rPr>
          <w:rFonts w:cs="Arial"/>
          <w:color w:val="000000"/>
          <w:lang w:val="en-GB" w:eastAsia="en-US"/>
        </w:rPr>
        <w:t>We ask you to give our remarks du</w:t>
      </w:r>
      <w:r w:rsidR="00B960F5" w:rsidRPr="00767DA3">
        <w:rPr>
          <w:rFonts w:cs="Arial"/>
          <w:color w:val="000000"/>
          <w:lang w:val="en-GB" w:eastAsia="en-US"/>
        </w:rPr>
        <w:t>e consideration.</w:t>
      </w:r>
    </w:p>
    <w:p w:rsidR="00686189" w:rsidRPr="00767DA3" w:rsidRDefault="00686189" w:rsidP="00107E76">
      <w:pPr>
        <w:spacing w:line="240" w:lineRule="auto"/>
        <w:rPr>
          <w:rFonts w:cs="Arial"/>
          <w:color w:val="000000"/>
          <w:lang w:val="en-GB" w:eastAsia="en-US"/>
        </w:rPr>
      </w:pPr>
    </w:p>
    <w:p w:rsidR="00686189" w:rsidRPr="00767DA3" w:rsidRDefault="00686189" w:rsidP="00107E76">
      <w:pPr>
        <w:spacing w:line="240" w:lineRule="auto"/>
        <w:rPr>
          <w:rFonts w:cs="Arial"/>
          <w:color w:val="000000"/>
          <w:lang w:val="en-GB" w:eastAsia="en-US"/>
        </w:rPr>
      </w:pPr>
    </w:p>
    <w:p w:rsidR="00C84D8A" w:rsidRPr="00767DA3" w:rsidRDefault="00686189" w:rsidP="00107E76">
      <w:pPr>
        <w:spacing w:line="240" w:lineRule="auto"/>
        <w:rPr>
          <w:rFonts w:cs="Arial"/>
          <w:color w:val="000000"/>
          <w:lang w:val="en-GB" w:eastAsia="en-US"/>
        </w:rPr>
      </w:pPr>
      <w:r w:rsidRPr="00767DA3">
        <w:rPr>
          <w:rFonts w:cs="Arial"/>
          <w:color w:val="000000"/>
          <w:lang w:val="en-GB" w:eastAsia="en-US"/>
        </w:rPr>
        <w:t>Y</w:t>
      </w:r>
      <w:r w:rsidR="00C84D8A" w:rsidRPr="00767DA3">
        <w:rPr>
          <w:rFonts w:cs="Arial"/>
          <w:color w:val="000000"/>
          <w:lang w:val="en-GB" w:eastAsia="en-US"/>
        </w:rPr>
        <w:t xml:space="preserve">ours </w:t>
      </w:r>
      <w:r w:rsidR="004A01A9" w:rsidRPr="00767DA3">
        <w:rPr>
          <w:rFonts w:cs="Arial"/>
          <w:color w:val="000000"/>
          <w:lang w:val="en-GB" w:eastAsia="en-US"/>
        </w:rPr>
        <w:t>sincerely</w:t>
      </w:r>
      <w:r w:rsidR="00C84D8A" w:rsidRPr="00767DA3">
        <w:rPr>
          <w:rFonts w:cs="Arial"/>
          <w:color w:val="000000"/>
          <w:lang w:val="en-GB" w:eastAsia="en-US"/>
        </w:rPr>
        <w:t>,</w:t>
      </w:r>
    </w:p>
    <w:p w:rsidR="00F31CB0" w:rsidRPr="00767DA3" w:rsidRDefault="00F31CB0" w:rsidP="00CE5D6F">
      <w:pPr>
        <w:spacing w:line="240" w:lineRule="auto"/>
        <w:rPr>
          <w:rFonts w:cs="Arial"/>
          <w:color w:val="000000"/>
          <w:lang w:val="en-GB" w:eastAsia="en-US"/>
        </w:rPr>
      </w:pPr>
    </w:p>
    <w:p w:rsidR="00C84D8A" w:rsidRPr="00767DA3" w:rsidRDefault="00C84D8A" w:rsidP="00CE5D6F">
      <w:pPr>
        <w:spacing w:line="240" w:lineRule="auto"/>
        <w:rPr>
          <w:rFonts w:cs="Arial"/>
          <w:color w:val="000000"/>
          <w:lang w:val="en-GB" w:eastAsia="en-US"/>
        </w:rPr>
      </w:pPr>
      <w:proofErr w:type="spellStart"/>
      <w:r w:rsidRPr="00767DA3">
        <w:rPr>
          <w:rFonts w:cs="Arial"/>
          <w:color w:val="000000"/>
          <w:lang w:val="en-GB" w:eastAsia="en-US"/>
        </w:rPr>
        <w:t>Dr.</w:t>
      </w:r>
      <w:proofErr w:type="spellEnd"/>
      <w:r w:rsidRPr="00767DA3">
        <w:rPr>
          <w:rFonts w:cs="Arial"/>
          <w:color w:val="000000"/>
          <w:lang w:val="en-GB" w:eastAsia="en-US"/>
        </w:rPr>
        <w:t xml:space="preserve"> Franz Rudorfer</w:t>
      </w:r>
    </w:p>
    <w:p w:rsidR="00C84D8A" w:rsidRPr="00767DA3" w:rsidRDefault="00C84D8A" w:rsidP="00CE5D6F">
      <w:pPr>
        <w:spacing w:line="240" w:lineRule="auto"/>
        <w:rPr>
          <w:rFonts w:cs="Arial"/>
          <w:color w:val="000000"/>
          <w:lang w:val="en-GB" w:eastAsia="en-US"/>
        </w:rPr>
      </w:pPr>
      <w:r w:rsidRPr="00767DA3">
        <w:rPr>
          <w:rFonts w:cs="Arial"/>
          <w:color w:val="000000"/>
          <w:lang w:val="en-GB" w:eastAsia="en-US"/>
        </w:rPr>
        <w:t>Managing Director</w:t>
      </w:r>
    </w:p>
    <w:p w:rsidR="005E1BA5" w:rsidRPr="00767DA3" w:rsidRDefault="00C84D8A" w:rsidP="00CE5D6F">
      <w:pPr>
        <w:spacing w:line="240" w:lineRule="auto"/>
        <w:rPr>
          <w:noProof/>
          <w:lang w:val="en-GB"/>
        </w:rPr>
      </w:pPr>
      <w:r w:rsidRPr="00767DA3">
        <w:rPr>
          <w:rFonts w:cs="Arial"/>
          <w:color w:val="000000"/>
          <w:lang w:val="en-GB" w:eastAsia="en-US"/>
        </w:rPr>
        <w:t>Division Bank and Insurance</w:t>
      </w:r>
    </w:p>
    <w:p w:rsidR="00346DF4" w:rsidRPr="007C2846" w:rsidRDefault="00346DF4" w:rsidP="00CE5D6F">
      <w:pPr>
        <w:spacing w:line="240" w:lineRule="auto"/>
        <w:rPr>
          <w:noProof/>
          <w:lang w:val="en-GB"/>
        </w:rPr>
      </w:pPr>
    </w:p>
    <w:sectPr w:rsidR="00346DF4" w:rsidRPr="007C2846" w:rsidSect="00107E76">
      <w:headerReference w:type="default" r:id="rId9"/>
      <w:headerReference w:type="first" r:id="rId10"/>
      <w:pgSz w:w="11906" w:h="16838"/>
      <w:pgMar w:top="1701" w:right="991" w:bottom="1134" w:left="1418"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582" w:rsidRDefault="00D44582">
      <w:r>
        <w:separator/>
      </w:r>
    </w:p>
  </w:endnote>
  <w:endnote w:type="continuationSeparator" w:id="0">
    <w:p w:rsidR="00D44582" w:rsidRDefault="00D4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582" w:rsidRDefault="00D44582">
      <w:r>
        <w:separator/>
      </w:r>
    </w:p>
  </w:footnote>
  <w:footnote w:type="continuationSeparator" w:id="0">
    <w:p w:rsidR="00D44582" w:rsidRDefault="00D44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center"/>
    </w:pPr>
    <w:r>
      <w:t xml:space="preserve">- </w:t>
    </w:r>
    <w:r w:rsidR="008D5D3B">
      <w:rPr>
        <w:rStyle w:val="Seitenzahl"/>
      </w:rPr>
      <w:fldChar w:fldCharType="begin"/>
    </w:r>
    <w:r>
      <w:rPr>
        <w:rStyle w:val="Seitenzahl"/>
      </w:rPr>
      <w:instrText xml:space="preserve"> PAGE </w:instrText>
    </w:r>
    <w:r w:rsidR="008D5D3B">
      <w:rPr>
        <w:rStyle w:val="Seitenzahl"/>
      </w:rPr>
      <w:fldChar w:fldCharType="separate"/>
    </w:r>
    <w:r w:rsidR="008D4455">
      <w:rPr>
        <w:rStyle w:val="Seitenzahl"/>
        <w:noProof/>
      </w:rPr>
      <w:t>3</w:t>
    </w:r>
    <w:r w:rsidR="008D5D3B">
      <w:rPr>
        <w:rStyle w:val="Seitenzahl"/>
      </w:rPr>
      <w:fldChar w:fldCharType="end"/>
    </w:r>
    <w:r>
      <w:rPr>
        <w:rStyle w:val="Seitenzah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right"/>
    </w:pPr>
    <w:r>
      <w:rPr>
        <w:noProof/>
        <w:snapToGrid/>
        <w:lang w:val="de-AT"/>
      </w:rPr>
      <w:drawing>
        <wp:anchor distT="0" distB="0" distL="114300" distR="114300" simplePos="0" relativeHeight="251657728" behindDoc="0" locked="1" layoutInCell="0" allowOverlap="1" wp14:anchorId="5ECD3D17" wp14:editId="02AD78DF">
          <wp:simplePos x="0" y="0"/>
          <wp:positionH relativeFrom="page">
            <wp:posOffset>4859655</wp:posOffset>
          </wp:positionH>
          <wp:positionV relativeFrom="page">
            <wp:posOffset>197485</wp:posOffset>
          </wp:positionV>
          <wp:extent cx="2210435" cy="861695"/>
          <wp:effectExtent l="1905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379"/>
    <w:multiLevelType w:val="hybridMultilevel"/>
    <w:tmpl w:val="21AAB92E"/>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62F63C5"/>
    <w:multiLevelType w:val="hybridMultilevel"/>
    <w:tmpl w:val="758CF3B8"/>
    <w:lvl w:ilvl="0" w:tplc="42760B6C">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nsid w:val="0AF578A7"/>
    <w:multiLevelType w:val="hybridMultilevel"/>
    <w:tmpl w:val="A74EFC70"/>
    <w:lvl w:ilvl="0" w:tplc="719E4B78">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nsid w:val="0E5B7CE8"/>
    <w:multiLevelType w:val="hybridMultilevel"/>
    <w:tmpl w:val="5BC05D3C"/>
    <w:lvl w:ilvl="0" w:tplc="F960A3D2">
      <w:start w:val="1"/>
      <w:numFmt w:val="upperLetter"/>
      <w:lvlText w:val="%1."/>
      <w:lvlJc w:val="left"/>
      <w:pPr>
        <w:ind w:left="360" w:hanging="360"/>
      </w:pPr>
      <w:rPr>
        <w:rFonts w:hint="default"/>
        <w:i/>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16880E9B"/>
    <w:multiLevelType w:val="hybridMultilevel"/>
    <w:tmpl w:val="19B0B4CA"/>
    <w:lvl w:ilvl="0" w:tplc="1CD2FC34">
      <w:start w:val="1"/>
      <w:numFmt w:val="upperLetter"/>
      <w:lvlText w:val="%1."/>
      <w:lvlJc w:val="left"/>
      <w:pPr>
        <w:ind w:left="720" w:hanging="360"/>
      </w:pPr>
      <w:rPr>
        <w:rFonts w:ascii="Trebuchet MS" w:eastAsiaTheme="minorHAnsi" w:hAnsi="Trebuchet MS" w:cs="Arial" w:hint="default"/>
        <w:u w:val="single"/>
        <w:lang w:val="en-G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1ABC437B"/>
    <w:multiLevelType w:val="hybridMultilevel"/>
    <w:tmpl w:val="034003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1D003BED"/>
    <w:multiLevelType w:val="hybridMultilevel"/>
    <w:tmpl w:val="6A6293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21FB435A"/>
    <w:multiLevelType w:val="hybridMultilevel"/>
    <w:tmpl w:val="430A2FC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8">
    <w:nsid w:val="25920B5A"/>
    <w:multiLevelType w:val="hybridMultilevel"/>
    <w:tmpl w:val="458C926E"/>
    <w:lvl w:ilvl="0" w:tplc="15FEF840">
      <w:numFmt w:val="bullet"/>
      <w:lvlText w:val="-"/>
      <w:lvlJc w:val="left"/>
      <w:pPr>
        <w:ind w:left="1776" w:hanging="360"/>
      </w:pPr>
      <w:rPr>
        <w:rFonts w:ascii="Arial" w:eastAsia="Calibri" w:hAnsi="Arial" w:cs="Aria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9">
    <w:nsid w:val="2F7E33E9"/>
    <w:multiLevelType w:val="hybridMultilevel"/>
    <w:tmpl w:val="AE08DD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48D71814"/>
    <w:multiLevelType w:val="hybridMultilevel"/>
    <w:tmpl w:val="FD02C0A0"/>
    <w:lvl w:ilvl="0" w:tplc="2B72F944">
      <w:start w:val="2"/>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36F1603"/>
    <w:multiLevelType w:val="hybridMultilevel"/>
    <w:tmpl w:val="526A3F40"/>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587A10D2"/>
    <w:multiLevelType w:val="hybridMultilevel"/>
    <w:tmpl w:val="1D8E3446"/>
    <w:lvl w:ilvl="0" w:tplc="61902CC4">
      <w:numFmt w:val="bullet"/>
      <w:lvlText w:val="-"/>
      <w:lvlJc w:val="left"/>
      <w:pPr>
        <w:ind w:left="720" w:hanging="36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8D53930"/>
    <w:multiLevelType w:val="hybridMultilevel"/>
    <w:tmpl w:val="4E128B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60A61DB9"/>
    <w:multiLevelType w:val="hybridMultilevel"/>
    <w:tmpl w:val="3A0650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65C210E1"/>
    <w:multiLevelType w:val="hybridMultilevel"/>
    <w:tmpl w:val="D2EC6886"/>
    <w:lvl w:ilvl="0" w:tplc="516AC5AA">
      <w:start w:val="1"/>
      <w:numFmt w:val="lowerRoman"/>
      <w:lvlText w:val="(%1)"/>
      <w:lvlJc w:val="left"/>
      <w:pPr>
        <w:ind w:left="1440" w:hanging="720"/>
      </w:pPr>
      <w:rPr>
        <w:rFonts w:ascii="Trebuchet MS" w:eastAsia="Calibri" w:hAnsi="Trebuchet MS" w:cs="Times New Roman"/>
      </w:r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16">
    <w:nsid w:val="6DFA673E"/>
    <w:multiLevelType w:val="hybridMultilevel"/>
    <w:tmpl w:val="E04C417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7">
    <w:nsid w:val="6F7E1336"/>
    <w:multiLevelType w:val="hybridMultilevel"/>
    <w:tmpl w:val="CF7A09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720A428C"/>
    <w:multiLevelType w:val="hybridMultilevel"/>
    <w:tmpl w:val="9514CBB0"/>
    <w:lvl w:ilvl="0" w:tplc="567C697E">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9">
    <w:nsid w:val="72462943"/>
    <w:multiLevelType w:val="hybridMultilevel"/>
    <w:tmpl w:val="384ADF1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nsid w:val="7C004F2D"/>
    <w:multiLevelType w:val="hybridMultilevel"/>
    <w:tmpl w:val="6E82D81A"/>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1">
    <w:nsid w:val="7CFD3FE3"/>
    <w:multiLevelType w:val="hybridMultilevel"/>
    <w:tmpl w:val="F5D2314A"/>
    <w:lvl w:ilvl="0" w:tplc="1580255E">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2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5"/>
  </w:num>
  <w:num w:numId="10">
    <w:abstractNumId w:val="17"/>
  </w:num>
  <w:num w:numId="11">
    <w:abstractNumId w:val="13"/>
  </w:num>
  <w:num w:numId="12">
    <w:abstractNumId w:val="19"/>
  </w:num>
  <w:num w:numId="13">
    <w:abstractNumId w:val="4"/>
  </w:num>
  <w:num w:numId="14">
    <w:abstractNumId w:val="0"/>
  </w:num>
  <w:num w:numId="15">
    <w:abstractNumId w:val="14"/>
  </w:num>
  <w:num w:numId="16">
    <w:abstractNumId w:val="18"/>
  </w:num>
  <w:num w:numId="17">
    <w:abstractNumId w:val="2"/>
  </w:num>
  <w:num w:numId="18">
    <w:abstractNumId w:val="1"/>
  </w:num>
  <w:num w:numId="19">
    <w:abstractNumId w:val="8"/>
  </w:num>
  <w:num w:numId="20">
    <w:abstractNumId w:val="10"/>
  </w:num>
  <w:num w:numId="21">
    <w:abstractNumId w:val="21"/>
  </w:num>
  <w:num w:numId="2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CC"/>
    <w:rsid w:val="00001730"/>
    <w:rsid w:val="00013086"/>
    <w:rsid w:val="000135FB"/>
    <w:rsid w:val="000163E0"/>
    <w:rsid w:val="00021DBA"/>
    <w:rsid w:val="00024D8C"/>
    <w:rsid w:val="00026657"/>
    <w:rsid w:val="00035D58"/>
    <w:rsid w:val="00041C1E"/>
    <w:rsid w:val="00044A71"/>
    <w:rsid w:val="00053316"/>
    <w:rsid w:val="00057439"/>
    <w:rsid w:val="00061814"/>
    <w:rsid w:val="000619FB"/>
    <w:rsid w:val="0006215B"/>
    <w:rsid w:val="00071436"/>
    <w:rsid w:val="00071BF7"/>
    <w:rsid w:val="00080E83"/>
    <w:rsid w:val="0008171B"/>
    <w:rsid w:val="0008527D"/>
    <w:rsid w:val="0008698A"/>
    <w:rsid w:val="00086BFB"/>
    <w:rsid w:val="000919C4"/>
    <w:rsid w:val="00094EB8"/>
    <w:rsid w:val="0009753B"/>
    <w:rsid w:val="000A0183"/>
    <w:rsid w:val="000A205C"/>
    <w:rsid w:val="000A4FC6"/>
    <w:rsid w:val="000A771B"/>
    <w:rsid w:val="000A7D13"/>
    <w:rsid w:val="000B2CE7"/>
    <w:rsid w:val="000B449E"/>
    <w:rsid w:val="000B4D96"/>
    <w:rsid w:val="000B572C"/>
    <w:rsid w:val="000D7538"/>
    <w:rsid w:val="000E511B"/>
    <w:rsid w:val="000F1070"/>
    <w:rsid w:val="000F2220"/>
    <w:rsid w:val="000F28BB"/>
    <w:rsid w:val="000F3572"/>
    <w:rsid w:val="000F74C7"/>
    <w:rsid w:val="00101144"/>
    <w:rsid w:val="00101383"/>
    <w:rsid w:val="001042B8"/>
    <w:rsid w:val="00105F0E"/>
    <w:rsid w:val="00107E76"/>
    <w:rsid w:val="0011743A"/>
    <w:rsid w:val="00121770"/>
    <w:rsid w:val="00121CBD"/>
    <w:rsid w:val="001276A5"/>
    <w:rsid w:val="00127F3B"/>
    <w:rsid w:val="00131416"/>
    <w:rsid w:val="00131A98"/>
    <w:rsid w:val="00135A40"/>
    <w:rsid w:val="00137EF5"/>
    <w:rsid w:val="0014018E"/>
    <w:rsid w:val="0014746B"/>
    <w:rsid w:val="00151673"/>
    <w:rsid w:val="00151A78"/>
    <w:rsid w:val="00155AEE"/>
    <w:rsid w:val="00161914"/>
    <w:rsid w:val="00163CC0"/>
    <w:rsid w:val="00163DDA"/>
    <w:rsid w:val="00174D0C"/>
    <w:rsid w:val="00176221"/>
    <w:rsid w:val="00183969"/>
    <w:rsid w:val="00196D5C"/>
    <w:rsid w:val="00196EB4"/>
    <w:rsid w:val="001974F7"/>
    <w:rsid w:val="001B0788"/>
    <w:rsid w:val="001B4AB0"/>
    <w:rsid w:val="001C4931"/>
    <w:rsid w:val="001C49F8"/>
    <w:rsid w:val="001D40CC"/>
    <w:rsid w:val="001E0374"/>
    <w:rsid w:val="001F3545"/>
    <w:rsid w:val="002045CC"/>
    <w:rsid w:val="00205DE9"/>
    <w:rsid w:val="002061DD"/>
    <w:rsid w:val="00207AC9"/>
    <w:rsid w:val="00210FDF"/>
    <w:rsid w:val="00224981"/>
    <w:rsid w:val="00240D9B"/>
    <w:rsid w:val="0026358F"/>
    <w:rsid w:val="00264C67"/>
    <w:rsid w:val="00265C18"/>
    <w:rsid w:val="002711FC"/>
    <w:rsid w:val="00272C43"/>
    <w:rsid w:val="00280548"/>
    <w:rsid w:val="00282636"/>
    <w:rsid w:val="0028446E"/>
    <w:rsid w:val="00287819"/>
    <w:rsid w:val="00293410"/>
    <w:rsid w:val="00296269"/>
    <w:rsid w:val="002A00E4"/>
    <w:rsid w:val="002A15C7"/>
    <w:rsid w:val="002A3540"/>
    <w:rsid w:val="002B08BD"/>
    <w:rsid w:val="002B3BF4"/>
    <w:rsid w:val="002B4B41"/>
    <w:rsid w:val="002D14BF"/>
    <w:rsid w:val="002D4A90"/>
    <w:rsid w:val="002D69C4"/>
    <w:rsid w:val="002E4BD0"/>
    <w:rsid w:val="002F1DC4"/>
    <w:rsid w:val="003104AE"/>
    <w:rsid w:val="00312578"/>
    <w:rsid w:val="00316718"/>
    <w:rsid w:val="0031680D"/>
    <w:rsid w:val="00320A42"/>
    <w:rsid w:val="00325FCF"/>
    <w:rsid w:val="00327DD3"/>
    <w:rsid w:val="003303C4"/>
    <w:rsid w:val="00344DB8"/>
    <w:rsid w:val="00346DF4"/>
    <w:rsid w:val="00356254"/>
    <w:rsid w:val="003568E9"/>
    <w:rsid w:val="00361B24"/>
    <w:rsid w:val="003814C3"/>
    <w:rsid w:val="00384948"/>
    <w:rsid w:val="00390AC7"/>
    <w:rsid w:val="003933A5"/>
    <w:rsid w:val="0039371D"/>
    <w:rsid w:val="003A5633"/>
    <w:rsid w:val="003B3D28"/>
    <w:rsid w:val="003B6B36"/>
    <w:rsid w:val="003C35DC"/>
    <w:rsid w:val="003C5804"/>
    <w:rsid w:val="003C622F"/>
    <w:rsid w:val="003C7778"/>
    <w:rsid w:val="003D07A4"/>
    <w:rsid w:val="003E09A5"/>
    <w:rsid w:val="003E6845"/>
    <w:rsid w:val="003F44A2"/>
    <w:rsid w:val="003F5EEF"/>
    <w:rsid w:val="003F6706"/>
    <w:rsid w:val="00404863"/>
    <w:rsid w:val="004235FB"/>
    <w:rsid w:val="00425684"/>
    <w:rsid w:val="00430245"/>
    <w:rsid w:val="004302FD"/>
    <w:rsid w:val="004339AE"/>
    <w:rsid w:val="004400CB"/>
    <w:rsid w:val="00445FAF"/>
    <w:rsid w:val="0044708F"/>
    <w:rsid w:val="00450B6F"/>
    <w:rsid w:val="00461F65"/>
    <w:rsid w:val="004632A4"/>
    <w:rsid w:val="00470480"/>
    <w:rsid w:val="004745CD"/>
    <w:rsid w:val="00480120"/>
    <w:rsid w:val="00482639"/>
    <w:rsid w:val="00485220"/>
    <w:rsid w:val="0048523B"/>
    <w:rsid w:val="00487A00"/>
    <w:rsid w:val="004926F1"/>
    <w:rsid w:val="004A01A9"/>
    <w:rsid w:val="004A115F"/>
    <w:rsid w:val="004B2194"/>
    <w:rsid w:val="004C0E9B"/>
    <w:rsid w:val="004C5E94"/>
    <w:rsid w:val="004C6FA4"/>
    <w:rsid w:val="004D1102"/>
    <w:rsid w:val="004D1A1E"/>
    <w:rsid w:val="004E2249"/>
    <w:rsid w:val="004E2A45"/>
    <w:rsid w:val="004E51E5"/>
    <w:rsid w:val="004F1B60"/>
    <w:rsid w:val="004F53C0"/>
    <w:rsid w:val="004F6198"/>
    <w:rsid w:val="00505343"/>
    <w:rsid w:val="0051495A"/>
    <w:rsid w:val="00517690"/>
    <w:rsid w:val="00521B7F"/>
    <w:rsid w:val="00535CF4"/>
    <w:rsid w:val="00550380"/>
    <w:rsid w:val="005548F9"/>
    <w:rsid w:val="00556359"/>
    <w:rsid w:val="00560A66"/>
    <w:rsid w:val="00562C44"/>
    <w:rsid w:val="00576F32"/>
    <w:rsid w:val="00590AAE"/>
    <w:rsid w:val="00596B5B"/>
    <w:rsid w:val="005A2D33"/>
    <w:rsid w:val="005B1218"/>
    <w:rsid w:val="005B2525"/>
    <w:rsid w:val="005B3FB7"/>
    <w:rsid w:val="005C04FF"/>
    <w:rsid w:val="005C218C"/>
    <w:rsid w:val="005C7948"/>
    <w:rsid w:val="005D0470"/>
    <w:rsid w:val="005D08DC"/>
    <w:rsid w:val="005D0B33"/>
    <w:rsid w:val="005D1620"/>
    <w:rsid w:val="005D4F47"/>
    <w:rsid w:val="005E1BA5"/>
    <w:rsid w:val="005E7180"/>
    <w:rsid w:val="005F5B48"/>
    <w:rsid w:val="005F632A"/>
    <w:rsid w:val="00606AFA"/>
    <w:rsid w:val="00622B51"/>
    <w:rsid w:val="00623752"/>
    <w:rsid w:val="00623872"/>
    <w:rsid w:val="006261AF"/>
    <w:rsid w:val="00641DC4"/>
    <w:rsid w:val="00642235"/>
    <w:rsid w:val="00642A57"/>
    <w:rsid w:val="006471E3"/>
    <w:rsid w:val="00650AE5"/>
    <w:rsid w:val="006518A3"/>
    <w:rsid w:val="0065464B"/>
    <w:rsid w:val="00677F47"/>
    <w:rsid w:val="00683614"/>
    <w:rsid w:val="0068403B"/>
    <w:rsid w:val="00686189"/>
    <w:rsid w:val="0069309F"/>
    <w:rsid w:val="00694B28"/>
    <w:rsid w:val="006A55B4"/>
    <w:rsid w:val="006B63AD"/>
    <w:rsid w:val="006C33D2"/>
    <w:rsid w:val="006D6427"/>
    <w:rsid w:val="006E0163"/>
    <w:rsid w:val="006E5185"/>
    <w:rsid w:val="0070253E"/>
    <w:rsid w:val="007053E7"/>
    <w:rsid w:val="007114EC"/>
    <w:rsid w:val="007203E6"/>
    <w:rsid w:val="007230AC"/>
    <w:rsid w:val="00724C39"/>
    <w:rsid w:val="0072798F"/>
    <w:rsid w:val="00732AFB"/>
    <w:rsid w:val="0073402F"/>
    <w:rsid w:val="0073440E"/>
    <w:rsid w:val="00743A63"/>
    <w:rsid w:val="00754BAF"/>
    <w:rsid w:val="00766B69"/>
    <w:rsid w:val="00767DA3"/>
    <w:rsid w:val="007755BF"/>
    <w:rsid w:val="007757A9"/>
    <w:rsid w:val="007762A4"/>
    <w:rsid w:val="00776348"/>
    <w:rsid w:val="007816E4"/>
    <w:rsid w:val="00782541"/>
    <w:rsid w:val="00783F4D"/>
    <w:rsid w:val="007846C2"/>
    <w:rsid w:val="00795782"/>
    <w:rsid w:val="007A01B8"/>
    <w:rsid w:val="007A1751"/>
    <w:rsid w:val="007B32D2"/>
    <w:rsid w:val="007B3A82"/>
    <w:rsid w:val="007B3EA1"/>
    <w:rsid w:val="007B641D"/>
    <w:rsid w:val="007C2846"/>
    <w:rsid w:val="007C2F92"/>
    <w:rsid w:val="007D0A79"/>
    <w:rsid w:val="007D3573"/>
    <w:rsid w:val="007D441B"/>
    <w:rsid w:val="007D4FE3"/>
    <w:rsid w:val="007E6B3B"/>
    <w:rsid w:val="007F5F54"/>
    <w:rsid w:val="00801234"/>
    <w:rsid w:val="0080414A"/>
    <w:rsid w:val="0081169B"/>
    <w:rsid w:val="00811CE5"/>
    <w:rsid w:val="00812F74"/>
    <w:rsid w:val="00815C5E"/>
    <w:rsid w:val="00816598"/>
    <w:rsid w:val="008255E7"/>
    <w:rsid w:val="008351DF"/>
    <w:rsid w:val="008406BB"/>
    <w:rsid w:val="0084684D"/>
    <w:rsid w:val="0086077B"/>
    <w:rsid w:val="00864AF6"/>
    <w:rsid w:val="008720A6"/>
    <w:rsid w:val="008745CD"/>
    <w:rsid w:val="00881BC0"/>
    <w:rsid w:val="00884544"/>
    <w:rsid w:val="0088500E"/>
    <w:rsid w:val="0089476E"/>
    <w:rsid w:val="008953FC"/>
    <w:rsid w:val="008B1362"/>
    <w:rsid w:val="008B1D1A"/>
    <w:rsid w:val="008C0AE8"/>
    <w:rsid w:val="008C0C66"/>
    <w:rsid w:val="008C679C"/>
    <w:rsid w:val="008D1E25"/>
    <w:rsid w:val="008D4455"/>
    <w:rsid w:val="008D469D"/>
    <w:rsid w:val="008D5D3B"/>
    <w:rsid w:val="008D70E6"/>
    <w:rsid w:val="008D77D7"/>
    <w:rsid w:val="008E02AC"/>
    <w:rsid w:val="008F1DD3"/>
    <w:rsid w:val="008F3076"/>
    <w:rsid w:val="008F3EA3"/>
    <w:rsid w:val="009040DE"/>
    <w:rsid w:val="0091585E"/>
    <w:rsid w:val="009303DC"/>
    <w:rsid w:val="00935B03"/>
    <w:rsid w:val="00935BB6"/>
    <w:rsid w:val="0093708A"/>
    <w:rsid w:val="00942F6C"/>
    <w:rsid w:val="0094333B"/>
    <w:rsid w:val="0094518B"/>
    <w:rsid w:val="009458C0"/>
    <w:rsid w:val="009632CC"/>
    <w:rsid w:val="00965380"/>
    <w:rsid w:val="009656E4"/>
    <w:rsid w:val="009853E1"/>
    <w:rsid w:val="009922DC"/>
    <w:rsid w:val="009A6947"/>
    <w:rsid w:val="009B6C3A"/>
    <w:rsid w:val="009C1E08"/>
    <w:rsid w:val="009C6136"/>
    <w:rsid w:val="009D188F"/>
    <w:rsid w:val="009D58FA"/>
    <w:rsid w:val="009E1189"/>
    <w:rsid w:val="009E5929"/>
    <w:rsid w:val="009E5A12"/>
    <w:rsid w:val="009E66CA"/>
    <w:rsid w:val="009F4450"/>
    <w:rsid w:val="009F57DA"/>
    <w:rsid w:val="009F6A00"/>
    <w:rsid w:val="00A01B18"/>
    <w:rsid w:val="00A0265B"/>
    <w:rsid w:val="00A07FE0"/>
    <w:rsid w:val="00A147F7"/>
    <w:rsid w:val="00A21AEC"/>
    <w:rsid w:val="00A23371"/>
    <w:rsid w:val="00A23661"/>
    <w:rsid w:val="00A36834"/>
    <w:rsid w:val="00A42F7B"/>
    <w:rsid w:val="00A437DE"/>
    <w:rsid w:val="00A44D5F"/>
    <w:rsid w:val="00A500F1"/>
    <w:rsid w:val="00A5381E"/>
    <w:rsid w:val="00A54C2F"/>
    <w:rsid w:val="00A55757"/>
    <w:rsid w:val="00A64C34"/>
    <w:rsid w:val="00A705F5"/>
    <w:rsid w:val="00A707A7"/>
    <w:rsid w:val="00A70C7D"/>
    <w:rsid w:val="00A81341"/>
    <w:rsid w:val="00A82C13"/>
    <w:rsid w:val="00A8532A"/>
    <w:rsid w:val="00A955F6"/>
    <w:rsid w:val="00A97AE7"/>
    <w:rsid w:val="00AA0432"/>
    <w:rsid w:val="00AB5857"/>
    <w:rsid w:val="00AB59B3"/>
    <w:rsid w:val="00AD053F"/>
    <w:rsid w:val="00AE02B3"/>
    <w:rsid w:val="00AE457B"/>
    <w:rsid w:val="00AE6511"/>
    <w:rsid w:val="00AF1E22"/>
    <w:rsid w:val="00B020A3"/>
    <w:rsid w:val="00B10218"/>
    <w:rsid w:val="00B17B80"/>
    <w:rsid w:val="00B22761"/>
    <w:rsid w:val="00B32456"/>
    <w:rsid w:val="00B36C46"/>
    <w:rsid w:val="00B447AA"/>
    <w:rsid w:val="00B467F0"/>
    <w:rsid w:val="00B46C57"/>
    <w:rsid w:val="00B51CB0"/>
    <w:rsid w:val="00B532F2"/>
    <w:rsid w:val="00B55633"/>
    <w:rsid w:val="00B57C55"/>
    <w:rsid w:val="00B6209E"/>
    <w:rsid w:val="00B63C71"/>
    <w:rsid w:val="00B64838"/>
    <w:rsid w:val="00B6488D"/>
    <w:rsid w:val="00B6710C"/>
    <w:rsid w:val="00B67CEF"/>
    <w:rsid w:val="00B85379"/>
    <w:rsid w:val="00B8623F"/>
    <w:rsid w:val="00B93882"/>
    <w:rsid w:val="00B960F5"/>
    <w:rsid w:val="00BA5BEC"/>
    <w:rsid w:val="00BA5E95"/>
    <w:rsid w:val="00BA6878"/>
    <w:rsid w:val="00BA7A5E"/>
    <w:rsid w:val="00BB344D"/>
    <w:rsid w:val="00BC6569"/>
    <w:rsid w:val="00BD2D5E"/>
    <w:rsid w:val="00BD3A1D"/>
    <w:rsid w:val="00BD7362"/>
    <w:rsid w:val="00BE7A33"/>
    <w:rsid w:val="00BF1820"/>
    <w:rsid w:val="00BF2A57"/>
    <w:rsid w:val="00BF3BB7"/>
    <w:rsid w:val="00C02F42"/>
    <w:rsid w:val="00C044AE"/>
    <w:rsid w:val="00C11030"/>
    <w:rsid w:val="00C21BF0"/>
    <w:rsid w:val="00C23AED"/>
    <w:rsid w:val="00C3459A"/>
    <w:rsid w:val="00C34E41"/>
    <w:rsid w:val="00C358D5"/>
    <w:rsid w:val="00C376E8"/>
    <w:rsid w:val="00C406D2"/>
    <w:rsid w:val="00C47B46"/>
    <w:rsid w:val="00C519C2"/>
    <w:rsid w:val="00C543F8"/>
    <w:rsid w:val="00C619D3"/>
    <w:rsid w:val="00C64B6E"/>
    <w:rsid w:val="00C66013"/>
    <w:rsid w:val="00C728A8"/>
    <w:rsid w:val="00C84D8A"/>
    <w:rsid w:val="00C97D15"/>
    <w:rsid w:val="00CA1356"/>
    <w:rsid w:val="00CA6A50"/>
    <w:rsid w:val="00CB2954"/>
    <w:rsid w:val="00CB797F"/>
    <w:rsid w:val="00CC1072"/>
    <w:rsid w:val="00CC45DD"/>
    <w:rsid w:val="00CD2A67"/>
    <w:rsid w:val="00CD4E8C"/>
    <w:rsid w:val="00CD4ED3"/>
    <w:rsid w:val="00CD5633"/>
    <w:rsid w:val="00CE1526"/>
    <w:rsid w:val="00CE1A19"/>
    <w:rsid w:val="00CE3F94"/>
    <w:rsid w:val="00CE4DD7"/>
    <w:rsid w:val="00CE5D6F"/>
    <w:rsid w:val="00CF63BD"/>
    <w:rsid w:val="00D10757"/>
    <w:rsid w:val="00D1088D"/>
    <w:rsid w:val="00D35759"/>
    <w:rsid w:val="00D364F4"/>
    <w:rsid w:val="00D371BE"/>
    <w:rsid w:val="00D37B81"/>
    <w:rsid w:val="00D42F9C"/>
    <w:rsid w:val="00D44582"/>
    <w:rsid w:val="00D51EC2"/>
    <w:rsid w:val="00D55968"/>
    <w:rsid w:val="00D57833"/>
    <w:rsid w:val="00D614D3"/>
    <w:rsid w:val="00D61E2F"/>
    <w:rsid w:val="00D63F9C"/>
    <w:rsid w:val="00D6614C"/>
    <w:rsid w:val="00D679C5"/>
    <w:rsid w:val="00D708D7"/>
    <w:rsid w:val="00D76BDD"/>
    <w:rsid w:val="00D77C55"/>
    <w:rsid w:val="00D82226"/>
    <w:rsid w:val="00D84A26"/>
    <w:rsid w:val="00D90D34"/>
    <w:rsid w:val="00D9226A"/>
    <w:rsid w:val="00DA13B9"/>
    <w:rsid w:val="00DA5251"/>
    <w:rsid w:val="00DB117B"/>
    <w:rsid w:val="00DB4FF8"/>
    <w:rsid w:val="00DC0A36"/>
    <w:rsid w:val="00DC2F9C"/>
    <w:rsid w:val="00DD4E27"/>
    <w:rsid w:val="00DE0704"/>
    <w:rsid w:val="00E0664D"/>
    <w:rsid w:val="00E2444D"/>
    <w:rsid w:val="00E25162"/>
    <w:rsid w:val="00E260A8"/>
    <w:rsid w:val="00E376EA"/>
    <w:rsid w:val="00E40277"/>
    <w:rsid w:val="00E41DFD"/>
    <w:rsid w:val="00E4233B"/>
    <w:rsid w:val="00E45332"/>
    <w:rsid w:val="00E505CF"/>
    <w:rsid w:val="00E51B60"/>
    <w:rsid w:val="00E72490"/>
    <w:rsid w:val="00E754C8"/>
    <w:rsid w:val="00E8006A"/>
    <w:rsid w:val="00E81371"/>
    <w:rsid w:val="00E82191"/>
    <w:rsid w:val="00E87DCD"/>
    <w:rsid w:val="00E95C5D"/>
    <w:rsid w:val="00EA1FF4"/>
    <w:rsid w:val="00EB13E2"/>
    <w:rsid w:val="00EB2182"/>
    <w:rsid w:val="00EB3B01"/>
    <w:rsid w:val="00EC6597"/>
    <w:rsid w:val="00ED0561"/>
    <w:rsid w:val="00ED171E"/>
    <w:rsid w:val="00ED2466"/>
    <w:rsid w:val="00EE33EF"/>
    <w:rsid w:val="00F039F2"/>
    <w:rsid w:val="00F06018"/>
    <w:rsid w:val="00F17F3D"/>
    <w:rsid w:val="00F21921"/>
    <w:rsid w:val="00F253EA"/>
    <w:rsid w:val="00F26986"/>
    <w:rsid w:val="00F31CB0"/>
    <w:rsid w:val="00F37341"/>
    <w:rsid w:val="00F42876"/>
    <w:rsid w:val="00F472AC"/>
    <w:rsid w:val="00F57342"/>
    <w:rsid w:val="00F700E4"/>
    <w:rsid w:val="00F71922"/>
    <w:rsid w:val="00F744E0"/>
    <w:rsid w:val="00F77CC4"/>
    <w:rsid w:val="00F77E12"/>
    <w:rsid w:val="00F8025E"/>
    <w:rsid w:val="00F83CF8"/>
    <w:rsid w:val="00F878D2"/>
    <w:rsid w:val="00F90148"/>
    <w:rsid w:val="00F9470D"/>
    <w:rsid w:val="00F9528C"/>
    <w:rsid w:val="00FB464A"/>
    <w:rsid w:val="00FB6113"/>
    <w:rsid w:val="00FC5F01"/>
    <w:rsid w:val="00FD1999"/>
    <w:rsid w:val="00FD1D18"/>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
    <w:basedOn w:val="Standard"/>
    <w:link w:val="ListenabsatzZchn"/>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
    <w:link w:val="Listenabsatz"/>
    <w:rsid w:val="005C7948"/>
    <w:rPr>
      <w:rFonts w:ascii="Trebuchet MS" w:hAnsi="Trebuchet MS" w:cs="Trebuchet MS"/>
      <w:snapToGrid w:val="0"/>
      <w:sz w:val="22"/>
      <w:szCs w:val="22"/>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
    <w:basedOn w:val="Standard"/>
    <w:link w:val="ListenabsatzZchn"/>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
    <w:link w:val="Listenabsatz"/>
    <w:rsid w:val="005C7948"/>
    <w:rPr>
      <w:rFonts w:ascii="Trebuchet MS" w:hAnsi="Trebuchet MS" w:cs="Trebuchet MS"/>
      <w:snapToGrid w:val="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161164005">
      <w:bodyDiv w:val="1"/>
      <w:marLeft w:val="0"/>
      <w:marRight w:val="0"/>
      <w:marTop w:val="0"/>
      <w:marBottom w:val="0"/>
      <w:divBdr>
        <w:top w:val="none" w:sz="0" w:space="0" w:color="auto"/>
        <w:left w:val="none" w:sz="0" w:space="0" w:color="auto"/>
        <w:bottom w:val="none" w:sz="0" w:space="0" w:color="auto"/>
        <w:right w:val="none" w:sz="0" w:space="0" w:color="auto"/>
      </w:divBdr>
    </w:div>
    <w:div w:id="198661731">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234628101">
      <w:bodyDiv w:val="1"/>
      <w:marLeft w:val="0"/>
      <w:marRight w:val="0"/>
      <w:marTop w:val="0"/>
      <w:marBottom w:val="0"/>
      <w:divBdr>
        <w:top w:val="none" w:sz="0" w:space="0" w:color="auto"/>
        <w:left w:val="none" w:sz="0" w:space="0" w:color="auto"/>
        <w:bottom w:val="none" w:sz="0" w:space="0" w:color="auto"/>
        <w:right w:val="none" w:sz="0" w:space="0" w:color="auto"/>
      </w:divBdr>
    </w:div>
    <w:div w:id="302588301">
      <w:bodyDiv w:val="1"/>
      <w:marLeft w:val="0"/>
      <w:marRight w:val="0"/>
      <w:marTop w:val="0"/>
      <w:marBottom w:val="0"/>
      <w:divBdr>
        <w:top w:val="none" w:sz="0" w:space="0" w:color="auto"/>
        <w:left w:val="none" w:sz="0" w:space="0" w:color="auto"/>
        <w:bottom w:val="none" w:sz="0" w:space="0" w:color="auto"/>
        <w:right w:val="none" w:sz="0" w:space="0" w:color="auto"/>
      </w:divBdr>
    </w:div>
    <w:div w:id="337125047">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366179659">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50175200">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546066532">
      <w:bodyDiv w:val="1"/>
      <w:marLeft w:val="0"/>
      <w:marRight w:val="0"/>
      <w:marTop w:val="0"/>
      <w:marBottom w:val="0"/>
      <w:divBdr>
        <w:top w:val="none" w:sz="0" w:space="0" w:color="auto"/>
        <w:left w:val="none" w:sz="0" w:space="0" w:color="auto"/>
        <w:bottom w:val="none" w:sz="0" w:space="0" w:color="auto"/>
        <w:right w:val="none" w:sz="0" w:space="0" w:color="auto"/>
      </w:divBdr>
    </w:div>
    <w:div w:id="573512017">
      <w:bodyDiv w:val="1"/>
      <w:marLeft w:val="0"/>
      <w:marRight w:val="0"/>
      <w:marTop w:val="0"/>
      <w:marBottom w:val="0"/>
      <w:divBdr>
        <w:top w:val="none" w:sz="0" w:space="0" w:color="auto"/>
        <w:left w:val="none" w:sz="0" w:space="0" w:color="auto"/>
        <w:bottom w:val="none" w:sz="0" w:space="0" w:color="auto"/>
        <w:right w:val="none" w:sz="0" w:space="0" w:color="auto"/>
      </w:divBdr>
    </w:div>
    <w:div w:id="601913484">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62595549">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175993054">
      <w:bodyDiv w:val="1"/>
      <w:marLeft w:val="0"/>
      <w:marRight w:val="0"/>
      <w:marTop w:val="0"/>
      <w:marBottom w:val="0"/>
      <w:divBdr>
        <w:top w:val="none" w:sz="0" w:space="0" w:color="auto"/>
        <w:left w:val="none" w:sz="0" w:space="0" w:color="auto"/>
        <w:bottom w:val="none" w:sz="0" w:space="0" w:color="auto"/>
        <w:right w:val="none" w:sz="0" w:space="0" w:color="auto"/>
      </w:divBdr>
    </w:div>
    <w:div w:id="1209225123">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375353865">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06305908">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832208781">
      <w:bodyDiv w:val="1"/>
      <w:marLeft w:val="0"/>
      <w:marRight w:val="0"/>
      <w:marTop w:val="0"/>
      <w:marBottom w:val="0"/>
      <w:divBdr>
        <w:top w:val="none" w:sz="0" w:space="0" w:color="auto"/>
        <w:left w:val="none" w:sz="0" w:space="0" w:color="auto"/>
        <w:bottom w:val="none" w:sz="0" w:space="0" w:color="auto"/>
        <w:right w:val="none" w:sz="0" w:space="0" w:color="auto"/>
      </w:divBdr>
    </w:div>
    <w:div w:id="1841189066">
      <w:bodyDiv w:val="1"/>
      <w:marLeft w:val="0"/>
      <w:marRight w:val="0"/>
      <w:marTop w:val="0"/>
      <w:marBottom w:val="0"/>
      <w:divBdr>
        <w:top w:val="none" w:sz="0" w:space="0" w:color="auto"/>
        <w:left w:val="none" w:sz="0" w:space="0" w:color="auto"/>
        <w:bottom w:val="none" w:sz="0" w:space="0" w:color="auto"/>
        <w:right w:val="none" w:sz="0" w:space="0" w:color="auto"/>
      </w:divBdr>
    </w:div>
    <w:div w:id="1955208613">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1998993635">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 w:id="2134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80974-0970-488D-BA61-06C45AE2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5479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Horvath Philipp, LL.M., WKÖ BSBV</cp:lastModifiedBy>
  <cp:revision>5</cp:revision>
  <cp:lastPrinted>2016-08-26T14:00:00Z</cp:lastPrinted>
  <dcterms:created xsi:type="dcterms:W3CDTF">2016-08-24T10:37:00Z</dcterms:created>
  <dcterms:modified xsi:type="dcterms:W3CDTF">2016-08-26T14:00:00Z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