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5102"/>
        <w:gridCol w:w="4649"/>
      </w:tblGrid>
      <w:tr w:rsidR="00642235" w:rsidRPr="00FD26FE" w:rsidTr="00D364F4">
        <w:trPr>
          <w:trHeight w:hRule="exact" w:val="3600"/>
        </w:trPr>
        <w:tc>
          <w:tcPr>
            <w:tcW w:w="5102" w:type="dxa"/>
          </w:tcPr>
          <w:p w:rsidR="00B51CB0" w:rsidRPr="00805DBB" w:rsidRDefault="00650AE5" w:rsidP="00CE5D6F">
            <w:r>
              <w:rPr>
                <w:lang w:val="fi-FI"/>
              </w:rPr>
              <w:br/>
            </w:r>
          </w:p>
          <w:p w:rsidR="00B51CB0" w:rsidRDefault="00B51CB0" w:rsidP="00CE5D6F">
            <w:pPr>
              <w:rPr>
                <w:lang w:val="fi-FI"/>
              </w:rPr>
            </w:pPr>
          </w:p>
          <w:p w:rsidR="00CB2954" w:rsidRPr="00B22761" w:rsidRDefault="00CB2954" w:rsidP="00CE5D6F">
            <w:pPr>
              <w:rPr>
                <w:sz w:val="52"/>
                <w:szCs w:val="52"/>
                <w:lang w:val="fi-FI"/>
              </w:rPr>
            </w:pPr>
          </w:p>
        </w:tc>
        <w:tc>
          <w:tcPr>
            <w:tcW w:w="4649" w:type="dxa"/>
          </w:tcPr>
          <w:p w:rsidR="00642235" w:rsidRPr="00D364F4" w:rsidRDefault="00642235" w:rsidP="00CE5D6F">
            <w:pPr>
              <w:spacing w:line="220" w:lineRule="atLeast"/>
              <w:jc w:val="right"/>
              <w:rPr>
                <w:b/>
                <w:bCs/>
                <w:color w:val="000000"/>
                <w:sz w:val="6"/>
                <w:szCs w:val="6"/>
                <w:lang w:val="fi-FI"/>
              </w:rPr>
            </w:pPr>
          </w:p>
          <w:p w:rsidR="00642235" w:rsidRPr="00D364F4" w:rsidRDefault="00642235" w:rsidP="00CE5D6F">
            <w:pPr>
              <w:spacing w:line="220" w:lineRule="atLeast"/>
              <w:jc w:val="right"/>
              <w:rPr>
                <w:b/>
                <w:bCs/>
                <w:color w:val="000000"/>
                <w:sz w:val="6"/>
                <w:szCs w:val="6"/>
                <w:lang w:val="fi-FI"/>
              </w:rPr>
            </w:pPr>
          </w:p>
          <w:p w:rsidR="00642235" w:rsidRPr="00D364F4" w:rsidRDefault="00642235" w:rsidP="00CE5D6F">
            <w:pPr>
              <w:spacing w:line="220" w:lineRule="atLeast"/>
              <w:jc w:val="right"/>
              <w:rPr>
                <w:b/>
                <w:bCs/>
                <w:color w:val="000000"/>
                <w:sz w:val="6"/>
                <w:szCs w:val="6"/>
                <w:lang w:val="fi-FI"/>
              </w:rPr>
            </w:pPr>
          </w:p>
          <w:p w:rsidR="00642235" w:rsidRPr="00D364F4" w:rsidRDefault="00642235" w:rsidP="00CE5D6F">
            <w:pPr>
              <w:spacing w:line="260" w:lineRule="atLeast"/>
              <w:jc w:val="right"/>
              <w:rPr>
                <w:b/>
                <w:bCs/>
                <w:noProof/>
                <w:color w:val="000000"/>
                <w:sz w:val="18"/>
                <w:szCs w:val="18"/>
                <w:lang w:val="en-GB"/>
              </w:rPr>
            </w:pPr>
            <w:r w:rsidRPr="00B55633">
              <w:rPr>
                <w:b/>
                <w:bCs/>
                <w:noProof/>
                <w:color w:val="000000"/>
                <w:sz w:val="18"/>
                <w:szCs w:val="18"/>
                <w:lang w:val="fi-FI"/>
              </w:rPr>
              <w:t xml:space="preserve"> </w:t>
            </w:r>
            <w:r w:rsidRPr="00D364F4">
              <w:rPr>
                <w:b/>
                <w:bCs/>
                <w:noProof/>
                <w:color w:val="000000"/>
                <w:sz w:val="18"/>
                <w:szCs w:val="18"/>
                <w:lang w:val="en-GB"/>
              </w:rPr>
              <w:t>Division Bank and Insurance</w:t>
            </w:r>
          </w:p>
          <w:p w:rsidR="00C47B46" w:rsidRPr="00D364F4" w:rsidRDefault="00C47B46" w:rsidP="00CE5D6F">
            <w:pPr>
              <w:spacing w:line="260" w:lineRule="atLeast"/>
              <w:jc w:val="right"/>
              <w:rPr>
                <w:bCs/>
                <w:color w:val="000000"/>
                <w:sz w:val="18"/>
                <w:szCs w:val="18"/>
                <w:lang w:val="en-GB"/>
              </w:rPr>
            </w:pPr>
            <w:r w:rsidRPr="00D364F4">
              <w:rPr>
                <w:bCs/>
                <w:noProof/>
                <w:color w:val="000000"/>
                <w:sz w:val="18"/>
                <w:szCs w:val="18"/>
                <w:lang w:val="en-GB"/>
              </w:rPr>
              <w:t>Austrian Federal Economic Chamber</w:t>
            </w:r>
          </w:p>
          <w:p w:rsidR="00642235" w:rsidRPr="00CE5D6F" w:rsidRDefault="00642235" w:rsidP="00CE5D6F">
            <w:pPr>
              <w:spacing w:line="260" w:lineRule="atLeast"/>
              <w:jc w:val="right"/>
              <w:rPr>
                <w:color w:val="000000"/>
                <w:sz w:val="18"/>
                <w:szCs w:val="18"/>
                <w:lang w:val="de-AT"/>
              </w:rPr>
            </w:pPr>
            <w:r w:rsidRPr="00CE5D6F">
              <w:rPr>
                <w:noProof/>
                <w:color w:val="000000"/>
                <w:sz w:val="18"/>
                <w:szCs w:val="18"/>
                <w:lang w:val="de-AT"/>
              </w:rPr>
              <w:t>Wiedner Hauptstraße 63 | P.O. Box 320</w:t>
            </w:r>
          </w:p>
          <w:p w:rsidR="00642235" w:rsidRPr="00CE5D6F" w:rsidRDefault="00642235" w:rsidP="00CE5D6F">
            <w:pPr>
              <w:spacing w:line="260" w:lineRule="atLeast"/>
              <w:jc w:val="right"/>
              <w:rPr>
                <w:color w:val="000000"/>
                <w:sz w:val="18"/>
                <w:szCs w:val="18"/>
                <w:lang w:val="de-AT"/>
              </w:rPr>
            </w:pPr>
            <w:r w:rsidRPr="00CE5D6F">
              <w:rPr>
                <w:noProof/>
                <w:color w:val="000000"/>
                <w:sz w:val="18"/>
                <w:szCs w:val="18"/>
                <w:lang w:val="de-AT"/>
              </w:rPr>
              <w:t>1045 Vienna</w:t>
            </w:r>
          </w:p>
          <w:p w:rsidR="00642235" w:rsidRPr="00D364F4" w:rsidRDefault="00642235" w:rsidP="00CE5D6F">
            <w:pPr>
              <w:spacing w:line="260" w:lineRule="atLeast"/>
              <w:jc w:val="right"/>
              <w:rPr>
                <w:color w:val="000000"/>
                <w:sz w:val="18"/>
                <w:szCs w:val="18"/>
              </w:rPr>
            </w:pPr>
            <w:r w:rsidRPr="00B51CB0">
              <w:rPr>
                <w:noProof/>
                <w:color w:val="000000"/>
                <w:sz w:val="18"/>
                <w:szCs w:val="18"/>
                <w:lang w:val="de-AT"/>
              </w:rPr>
              <w:t>T +43 (0)5 90 900-DW | F +43 (0)5 90 900-27</w:t>
            </w:r>
            <w:r w:rsidRPr="00D364F4">
              <w:rPr>
                <w:noProof/>
                <w:color w:val="000000"/>
                <w:sz w:val="18"/>
                <w:szCs w:val="18"/>
              </w:rPr>
              <w:t>2</w:t>
            </w:r>
          </w:p>
          <w:p w:rsidR="00642235" w:rsidRPr="00D364F4" w:rsidRDefault="00642235" w:rsidP="00CE5D6F">
            <w:pPr>
              <w:spacing w:line="260" w:lineRule="atLeast"/>
              <w:jc w:val="right"/>
              <w:rPr>
                <w:color w:val="000000"/>
                <w:sz w:val="18"/>
                <w:szCs w:val="18"/>
              </w:rPr>
            </w:pPr>
            <w:r w:rsidRPr="00D364F4">
              <w:rPr>
                <w:noProof/>
                <w:color w:val="000000"/>
                <w:sz w:val="18"/>
                <w:szCs w:val="18"/>
              </w:rPr>
              <w:t>E  bsbv@wko.at</w:t>
            </w:r>
          </w:p>
          <w:p w:rsidR="00642235" w:rsidRPr="00D364F4" w:rsidRDefault="00642235" w:rsidP="00CE5D6F">
            <w:pPr>
              <w:spacing w:line="260" w:lineRule="atLeast"/>
              <w:jc w:val="right"/>
              <w:rPr>
                <w:lang w:val="en-GB"/>
              </w:rPr>
            </w:pPr>
            <w:r w:rsidRPr="00D364F4">
              <w:rPr>
                <w:noProof/>
                <w:color w:val="000000"/>
                <w:sz w:val="18"/>
                <w:szCs w:val="18"/>
                <w:lang w:val="en-GB"/>
              </w:rPr>
              <w:t>W  http://wko.at/bsbv</w:t>
            </w:r>
          </w:p>
        </w:tc>
      </w:tr>
    </w:tbl>
    <w:p w:rsidR="00642235" w:rsidRPr="00C21BF0" w:rsidRDefault="00642235" w:rsidP="00CE5D6F">
      <w:pPr>
        <w:tabs>
          <w:tab w:val="left" w:pos="2892"/>
          <w:tab w:val="left" w:pos="5783"/>
          <w:tab w:val="left" w:pos="7655"/>
        </w:tabs>
        <w:rPr>
          <w:color w:val="000000"/>
          <w:sz w:val="16"/>
          <w:szCs w:val="16"/>
          <w:lang w:val="en-GB"/>
        </w:rPr>
      </w:pPr>
      <w:r w:rsidRPr="00C21BF0">
        <w:rPr>
          <w:noProof/>
          <w:color w:val="000000"/>
          <w:sz w:val="16"/>
          <w:szCs w:val="16"/>
          <w:lang w:val="en-GB"/>
        </w:rPr>
        <w:t>Your ref., Your message of</w:t>
      </w:r>
      <w:r w:rsidRPr="00C21BF0">
        <w:rPr>
          <w:color w:val="000000"/>
          <w:sz w:val="16"/>
          <w:szCs w:val="16"/>
          <w:lang w:val="en-GB"/>
        </w:rPr>
        <w:tab/>
      </w:r>
      <w:r w:rsidRPr="00C21BF0">
        <w:rPr>
          <w:noProof/>
          <w:color w:val="000000"/>
          <w:sz w:val="16"/>
          <w:szCs w:val="16"/>
          <w:lang w:val="en-GB"/>
        </w:rPr>
        <w:t>Our ref., person in charge</w:t>
      </w:r>
      <w:r w:rsidRPr="00C21BF0">
        <w:rPr>
          <w:color w:val="000000"/>
          <w:sz w:val="16"/>
          <w:szCs w:val="16"/>
          <w:lang w:val="en-GB"/>
        </w:rPr>
        <w:tab/>
      </w:r>
      <w:r w:rsidRPr="00C21BF0">
        <w:rPr>
          <w:noProof/>
          <w:color w:val="000000"/>
          <w:sz w:val="16"/>
          <w:szCs w:val="16"/>
          <w:lang w:val="en-GB"/>
        </w:rPr>
        <w:t>Extension</w:t>
      </w:r>
      <w:r w:rsidRPr="00C21BF0">
        <w:rPr>
          <w:color w:val="000000"/>
          <w:sz w:val="16"/>
          <w:szCs w:val="16"/>
          <w:lang w:val="en-GB"/>
        </w:rPr>
        <w:tab/>
      </w:r>
      <w:r w:rsidRPr="00C21BF0">
        <w:rPr>
          <w:noProof/>
          <w:color w:val="000000"/>
          <w:sz w:val="16"/>
          <w:szCs w:val="16"/>
          <w:lang w:val="en-GB"/>
        </w:rPr>
        <w:t>Date</w:t>
      </w:r>
    </w:p>
    <w:p w:rsidR="00642235" w:rsidRPr="00DC0A36" w:rsidRDefault="00642235" w:rsidP="00CE5D6F">
      <w:pPr>
        <w:tabs>
          <w:tab w:val="left" w:pos="2892"/>
          <w:tab w:val="left" w:pos="5783"/>
          <w:tab w:val="left" w:pos="7655"/>
        </w:tabs>
        <w:rPr>
          <w:color w:val="000000"/>
          <w:lang w:val="en-GB"/>
        </w:rPr>
      </w:pPr>
      <w:r w:rsidRPr="00C21BF0">
        <w:rPr>
          <w:color w:val="000000"/>
          <w:lang w:val="en-GB"/>
        </w:rPr>
        <w:tab/>
      </w:r>
      <w:r w:rsidRPr="00DC0A36">
        <w:rPr>
          <w:noProof/>
          <w:color w:val="000000"/>
          <w:lang w:val="en-GB"/>
        </w:rPr>
        <w:t>BSBV</w:t>
      </w:r>
      <w:r w:rsidR="00CE5D6F">
        <w:rPr>
          <w:noProof/>
          <w:color w:val="000000"/>
          <w:lang w:val="en-GB"/>
        </w:rPr>
        <w:t xml:space="preserve"> </w:t>
      </w:r>
      <w:r w:rsidR="00711C4D">
        <w:rPr>
          <w:noProof/>
          <w:color w:val="000000"/>
          <w:lang w:val="en-GB"/>
        </w:rPr>
        <w:t>115</w:t>
      </w:r>
      <w:r w:rsidR="00641DC4" w:rsidRPr="00DC0A36">
        <w:rPr>
          <w:noProof/>
          <w:color w:val="000000"/>
          <w:lang w:val="en-GB"/>
        </w:rPr>
        <w:t>/</w:t>
      </w:r>
      <w:r w:rsidR="00CE5D6F">
        <w:rPr>
          <w:noProof/>
          <w:color w:val="000000"/>
          <w:lang w:val="en-GB"/>
        </w:rPr>
        <w:t>Horvath</w:t>
      </w:r>
      <w:r w:rsidR="00641DC4" w:rsidRPr="00DC0A36">
        <w:rPr>
          <w:noProof/>
          <w:color w:val="000000"/>
          <w:lang w:val="en-GB"/>
        </w:rPr>
        <w:tab/>
        <w:t>31</w:t>
      </w:r>
      <w:r w:rsidR="00CE5D6F">
        <w:rPr>
          <w:noProof/>
          <w:color w:val="000000"/>
          <w:lang w:val="en-GB"/>
        </w:rPr>
        <w:t>41</w:t>
      </w:r>
      <w:r w:rsidRPr="00DC0A36">
        <w:rPr>
          <w:color w:val="000000"/>
          <w:lang w:val="en-GB"/>
        </w:rPr>
        <w:tab/>
      </w:r>
      <w:r w:rsidR="00711C4D">
        <w:rPr>
          <w:color w:val="000000"/>
          <w:lang w:val="en-GB"/>
        </w:rPr>
        <w:t>1</w:t>
      </w:r>
      <w:r w:rsidR="00FD26FE">
        <w:rPr>
          <w:color w:val="000000"/>
          <w:lang w:val="en-GB"/>
        </w:rPr>
        <w:t>9</w:t>
      </w:r>
      <w:r w:rsidR="005B2525" w:rsidRPr="005B2525">
        <w:rPr>
          <w:color w:val="000000"/>
          <w:vertAlign w:val="superscript"/>
          <w:lang w:val="en-GB"/>
        </w:rPr>
        <w:t>th</w:t>
      </w:r>
      <w:r w:rsidR="005B2525">
        <w:rPr>
          <w:color w:val="000000"/>
          <w:lang w:val="en-GB"/>
        </w:rPr>
        <w:t xml:space="preserve"> </w:t>
      </w:r>
      <w:r w:rsidR="00711C4D">
        <w:rPr>
          <w:color w:val="000000"/>
          <w:lang w:val="en-GB"/>
        </w:rPr>
        <w:t xml:space="preserve">Sept </w:t>
      </w:r>
      <w:r w:rsidR="00D82226" w:rsidRPr="00DC0A36">
        <w:rPr>
          <w:color w:val="000000"/>
          <w:lang w:val="en-GB"/>
        </w:rPr>
        <w:t>201</w:t>
      </w:r>
      <w:r w:rsidR="00CE5D6F">
        <w:rPr>
          <w:color w:val="000000"/>
          <w:lang w:val="en-GB"/>
        </w:rPr>
        <w:t>6</w:t>
      </w:r>
    </w:p>
    <w:p w:rsidR="00E754C8" w:rsidRDefault="00E754C8" w:rsidP="00CE5D6F">
      <w:pPr>
        <w:rPr>
          <w:color w:val="000000"/>
          <w:sz w:val="24"/>
          <w:szCs w:val="24"/>
          <w:lang w:val="en-GB"/>
        </w:rPr>
      </w:pPr>
    </w:p>
    <w:p w:rsidR="00A82C13" w:rsidRPr="00DC0A36" w:rsidRDefault="00A82C13" w:rsidP="00CE5D6F">
      <w:pPr>
        <w:rPr>
          <w:color w:val="000000"/>
          <w:sz w:val="24"/>
          <w:szCs w:val="24"/>
          <w:lang w:val="en-GB"/>
        </w:rPr>
      </w:pPr>
    </w:p>
    <w:p w:rsidR="00C02F42" w:rsidRDefault="00711C4D" w:rsidP="00CE5D6F">
      <w:pPr>
        <w:rPr>
          <w:rFonts w:cs="Arial"/>
          <w:b/>
          <w:sz w:val="24"/>
          <w:szCs w:val="24"/>
          <w:lang w:val="en-US"/>
        </w:rPr>
      </w:pPr>
      <w:r>
        <w:rPr>
          <w:rFonts w:cs="Arial"/>
          <w:b/>
          <w:sz w:val="24"/>
          <w:szCs w:val="24"/>
          <w:lang w:val="en-US"/>
        </w:rPr>
        <w:t>EBA Consultation Paper</w:t>
      </w:r>
    </w:p>
    <w:p w:rsidR="00711C4D" w:rsidRDefault="00711C4D" w:rsidP="00CE5D6F">
      <w:pPr>
        <w:rPr>
          <w:b/>
          <w:sz w:val="24"/>
          <w:szCs w:val="24"/>
          <w:lang w:val="en-GB"/>
        </w:rPr>
      </w:pPr>
      <w:r>
        <w:rPr>
          <w:rFonts w:cs="Arial"/>
          <w:b/>
          <w:sz w:val="24"/>
          <w:szCs w:val="24"/>
          <w:lang w:val="en-US"/>
        </w:rPr>
        <w:t>Guidelines on disclosure requirements under Part Eight of Regulation (EU) 575/2013</w:t>
      </w:r>
    </w:p>
    <w:p w:rsidR="00B22761" w:rsidRDefault="00B22761" w:rsidP="00CE5D6F">
      <w:pPr>
        <w:rPr>
          <w:lang w:val="en-GB"/>
        </w:rPr>
      </w:pPr>
    </w:p>
    <w:p w:rsidR="00711C4D" w:rsidRDefault="00DC0A36" w:rsidP="00711C4D">
      <w:pPr>
        <w:spacing w:line="240" w:lineRule="auto"/>
        <w:rPr>
          <w:rFonts w:cs="Arial"/>
          <w:color w:val="000000"/>
          <w:lang w:val="en-GB" w:eastAsia="en-US"/>
        </w:rPr>
      </w:pPr>
      <w:r w:rsidRPr="00DC0A36">
        <w:rPr>
          <w:lang w:val="en-GB"/>
        </w:rPr>
        <w:t xml:space="preserve">The Division Bank and Insurance of the Austrian Federal Economic </w:t>
      </w:r>
      <w:proofErr w:type="gramStart"/>
      <w:r w:rsidRPr="00DC0A36">
        <w:rPr>
          <w:lang w:val="en-GB"/>
        </w:rPr>
        <w:t>Chamber,</w:t>
      </w:r>
      <w:proofErr w:type="gramEnd"/>
      <w:r w:rsidRPr="00DC0A36">
        <w:rPr>
          <w:lang w:val="en-GB"/>
        </w:rPr>
        <w:t xml:space="preserve"> as </w:t>
      </w:r>
      <w:r w:rsidR="00041C1E">
        <w:rPr>
          <w:lang w:val="en-GB"/>
        </w:rPr>
        <w:t xml:space="preserve">legal </w:t>
      </w:r>
      <w:r w:rsidRPr="00DC0A36">
        <w:rPr>
          <w:lang w:val="en-GB"/>
        </w:rPr>
        <w:t>representative of the entire Austrian banking industry, appreciates the possibility to</w:t>
      </w:r>
      <w:r w:rsidR="00B467F0" w:rsidRPr="00487A00">
        <w:rPr>
          <w:rFonts w:cs="Arial"/>
          <w:color w:val="000000"/>
          <w:lang w:val="en-GB" w:eastAsia="en-US"/>
        </w:rPr>
        <w:t xml:space="preserve"> comment on </w:t>
      </w:r>
      <w:r w:rsidR="00B467F0">
        <w:rPr>
          <w:rFonts w:cs="Arial"/>
          <w:color w:val="000000"/>
          <w:lang w:val="en-GB" w:eastAsia="en-US"/>
        </w:rPr>
        <w:t xml:space="preserve">the above cited </w:t>
      </w:r>
      <w:r w:rsidR="00CE5D6F">
        <w:rPr>
          <w:rFonts w:cs="Arial"/>
          <w:color w:val="000000"/>
          <w:lang w:val="en-GB" w:eastAsia="en-US"/>
        </w:rPr>
        <w:t xml:space="preserve">consultation </w:t>
      </w:r>
      <w:r w:rsidR="005B2525">
        <w:rPr>
          <w:rFonts w:cs="Arial"/>
          <w:color w:val="000000"/>
          <w:lang w:val="en-GB" w:eastAsia="en-US"/>
        </w:rPr>
        <w:t>document</w:t>
      </w:r>
      <w:r w:rsidR="00B467F0">
        <w:rPr>
          <w:rFonts w:cs="Arial"/>
          <w:color w:val="000000"/>
          <w:lang w:val="en-GB" w:eastAsia="en-US"/>
        </w:rPr>
        <w:t xml:space="preserve"> </w:t>
      </w:r>
      <w:r w:rsidR="00B467F0" w:rsidRPr="00487A00">
        <w:rPr>
          <w:rFonts w:cs="Arial"/>
          <w:color w:val="000000"/>
          <w:lang w:val="en-GB" w:eastAsia="en-US"/>
        </w:rPr>
        <w:t>and would like to submit the following position:</w:t>
      </w:r>
      <w:bookmarkStart w:id="0" w:name="_Toc455495118"/>
      <w:bookmarkStart w:id="1" w:name="_Toc461114362"/>
    </w:p>
    <w:p w:rsidR="00711C4D" w:rsidRDefault="00711C4D" w:rsidP="00711C4D">
      <w:pPr>
        <w:spacing w:line="240" w:lineRule="auto"/>
        <w:rPr>
          <w:rFonts w:cs="Arial"/>
          <w:color w:val="000000"/>
          <w:lang w:val="en-GB" w:eastAsia="en-US"/>
        </w:rPr>
      </w:pPr>
    </w:p>
    <w:p w:rsidR="00711C4D" w:rsidRPr="00711C4D" w:rsidRDefault="00711C4D" w:rsidP="00711C4D">
      <w:pPr>
        <w:spacing w:line="240" w:lineRule="auto"/>
        <w:rPr>
          <w:b/>
          <w:sz w:val="14"/>
          <w:u w:val="single"/>
          <w:lang w:val="en-GB"/>
        </w:rPr>
      </w:pPr>
      <w:r w:rsidRPr="00711C4D">
        <w:rPr>
          <w:b/>
          <w:sz w:val="24"/>
          <w:u w:val="single"/>
          <w:lang w:val="en-GB"/>
        </w:rPr>
        <w:t>1. General Comments</w:t>
      </w:r>
      <w:bookmarkEnd w:id="0"/>
      <w:bookmarkEnd w:id="1"/>
    </w:p>
    <w:p w:rsidR="006B05A1" w:rsidRDefault="006B05A1" w:rsidP="00711C4D">
      <w:pPr>
        <w:spacing w:line="240" w:lineRule="auto"/>
        <w:rPr>
          <w:lang w:val="en-GB"/>
        </w:rPr>
      </w:pPr>
    </w:p>
    <w:p w:rsidR="00711C4D" w:rsidRPr="00711C4D" w:rsidRDefault="00711C4D" w:rsidP="00711C4D">
      <w:pPr>
        <w:spacing w:line="240" w:lineRule="auto"/>
        <w:rPr>
          <w:lang w:val="en-GB"/>
        </w:rPr>
      </w:pPr>
      <w:r w:rsidRPr="00711C4D">
        <w:rPr>
          <w:lang w:val="en-GB"/>
        </w:rPr>
        <w:t>The currently presented approach extends the information to be disclosed considerably.</w:t>
      </w:r>
    </w:p>
    <w:p w:rsidR="00711C4D" w:rsidRPr="00711C4D" w:rsidRDefault="00711C4D" w:rsidP="00711C4D">
      <w:pPr>
        <w:spacing w:line="240" w:lineRule="auto"/>
        <w:rPr>
          <w:lang w:val="en-GB"/>
        </w:rPr>
      </w:pPr>
      <w:r w:rsidRPr="00711C4D">
        <w:rPr>
          <w:lang w:val="en-GB"/>
        </w:rPr>
        <w:t>For some categories, the definitions leave room for ambiguity or would mean considerable efforts.</w:t>
      </w:r>
    </w:p>
    <w:p w:rsidR="00711C4D" w:rsidRPr="00711C4D" w:rsidRDefault="00711C4D" w:rsidP="00711C4D">
      <w:pPr>
        <w:spacing w:line="240" w:lineRule="auto"/>
        <w:rPr>
          <w:lang w:val="en-GB"/>
        </w:rPr>
      </w:pPr>
      <w:r w:rsidRPr="00711C4D">
        <w:rPr>
          <w:lang w:val="en-GB"/>
        </w:rPr>
        <w:t xml:space="preserve">Moreover, the appropriateness of certain disclosure requirements and the usefulness to the public seem questionable. From our point of view, these requirements </w:t>
      </w:r>
      <w:r w:rsidR="006B05A1">
        <w:rPr>
          <w:lang w:val="en-GB"/>
        </w:rPr>
        <w:t xml:space="preserve">seem to </w:t>
      </w:r>
      <w:r w:rsidRPr="00711C4D">
        <w:rPr>
          <w:lang w:val="en-GB"/>
        </w:rPr>
        <w:t>go beyond the feasible level of detail and will give wrong signals to the market.</w:t>
      </w:r>
    </w:p>
    <w:p w:rsidR="00711C4D" w:rsidRDefault="00711C4D" w:rsidP="00711C4D">
      <w:pPr>
        <w:spacing w:line="240" w:lineRule="auto"/>
        <w:rPr>
          <w:lang w:val="en-GB"/>
        </w:rPr>
      </w:pPr>
      <w:r w:rsidRPr="00711C4D">
        <w:rPr>
          <w:lang w:val="en-GB"/>
        </w:rPr>
        <w:t>It should be taken into consideration that the Basel Committee is also working on the topic of disclosure requirements. Therefore, it is highly important that any plans and new developments are aligned.</w:t>
      </w:r>
      <w:bookmarkStart w:id="2" w:name="_Toc455495119"/>
      <w:bookmarkStart w:id="3" w:name="_Toc461114363"/>
    </w:p>
    <w:p w:rsidR="00711C4D" w:rsidRPr="006B05A1" w:rsidRDefault="00711C4D" w:rsidP="00711C4D">
      <w:pPr>
        <w:spacing w:line="240" w:lineRule="auto"/>
        <w:rPr>
          <w:sz w:val="24"/>
          <w:lang w:val="en-GB"/>
        </w:rPr>
      </w:pPr>
    </w:p>
    <w:p w:rsidR="006B05A1" w:rsidRPr="006B05A1" w:rsidRDefault="006B05A1" w:rsidP="006B05A1">
      <w:pPr>
        <w:spacing w:line="240" w:lineRule="auto"/>
        <w:rPr>
          <w:szCs w:val="20"/>
          <w:lang w:val="en-US"/>
        </w:rPr>
      </w:pPr>
      <w:r w:rsidRPr="006B05A1">
        <w:rPr>
          <w:szCs w:val="20"/>
          <w:lang w:val="en-US"/>
        </w:rPr>
        <w:t xml:space="preserve">Furthermore, we want to </w:t>
      </w:r>
      <w:proofErr w:type="spellStart"/>
      <w:r w:rsidRPr="006B05A1">
        <w:rPr>
          <w:szCs w:val="20"/>
          <w:lang w:val="en-US"/>
        </w:rPr>
        <w:t>emphasise</w:t>
      </w:r>
      <w:proofErr w:type="spellEnd"/>
      <w:r w:rsidRPr="006B05A1">
        <w:rPr>
          <w:szCs w:val="20"/>
          <w:lang w:val="en-US"/>
        </w:rPr>
        <w:t xml:space="preserve"> that signposting for individual parts should be allowed as mentioned in chapter 4.2 – section D (page 61), in case the location of the publication varies for some parts.</w:t>
      </w:r>
    </w:p>
    <w:p w:rsidR="006B05A1" w:rsidRPr="006B05A1" w:rsidRDefault="006B05A1" w:rsidP="00711C4D">
      <w:pPr>
        <w:spacing w:line="240" w:lineRule="auto"/>
        <w:rPr>
          <w:lang w:val="en-US"/>
        </w:rPr>
      </w:pPr>
    </w:p>
    <w:p w:rsidR="006B05A1" w:rsidRDefault="006B05A1" w:rsidP="00711C4D">
      <w:pPr>
        <w:spacing w:line="240" w:lineRule="auto"/>
        <w:rPr>
          <w:lang w:val="en-GB"/>
        </w:rPr>
      </w:pPr>
    </w:p>
    <w:p w:rsidR="00711C4D" w:rsidRPr="00711C4D" w:rsidRDefault="00711C4D" w:rsidP="00711C4D">
      <w:pPr>
        <w:spacing w:line="240" w:lineRule="auto"/>
        <w:rPr>
          <w:b/>
          <w:sz w:val="24"/>
          <w:u w:val="single"/>
          <w:lang w:val="en-GB"/>
        </w:rPr>
      </w:pPr>
      <w:r w:rsidRPr="00711C4D">
        <w:rPr>
          <w:b/>
          <w:sz w:val="24"/>
          <w:u w:val="single"/>
          <w:lang w:val="en-GB"/>
        </w:rPr>
        <w:t>2. Comments</w:t>
      </w:r>
      <w:bookmarkEnd w:id="2"/>
      <w:bookmarkEnd w:id="3"/>
      <w:r w:rsidRPr="00711C4D">
        <w:rPr>
          <w:b/>
          <w:sz w:val="24"/>
          <w:u w:val="single"/>
          <w:lang w:val="en-GB"/>
        </w:rPr>
        <w:t xml:space="preserve"> Questions &amp; Answers</w:t>
      </w:r>
    </w:p>
    <w:p w:rsidR="00711C4D" w:rsidRDefault="00711C4D" w:rsidP="00711C4D">
      <w:pPr>
        <w:spacing w:line="240" w:lineRule="auto"/>
        <w:rPr>
          <w:i/>
          <w:u w:val="single"/>
          <w:lang w:val="en-GB"/>
        </w:rPr>
      </w:pPr>
      <w:bookmarkStart w:id="4" w:name="_Toc455495120"/>
    </w:p>
    <w:p w:rsidR="00711C4D" w:rsidRPr="00711C4D" w:rsidRDefault="00711C4D" w:rsidP="00711C4D">
      <w:pPr>
        <w:spacing w:line="240" w:lineRule="auto"/>
        <w:rPr>
          <w:i/>
          <w:lang w:val="en-GB"/>
        </w:rPr>
      </w:pPr>
      <w:r w:rsidRPr="00711C4D">
        <w:rPr>
          <w:i/>
          <w:u w:val="single"/>
          <w:lang w:val="en-GB"/>
        </w:rPr>
        <w:t>Question 1:</w:t>
      </w:r>
      <w:r w:rsidRPr="00711C4D">
        <w:rPr>
          <w:i/>
          <w:lang w:val="en-GB"/>
        </w:rPr>
        <w:t xml:space="preserve"> </w:t>
      </w:r>
      <w:bookmarkEnd w:id="4"/>
    </w:p>
    <w:p w:rsidR="00711C4D" w:rsidRPr="00711C4D" w:rsidRDefault="00711C4D" w:rsidP="00711C4D">
      <w:pPr>
        <w:spacing w:line="240" w:lineRule="auto"/>
        <w:rPr>
          <w:i/>
          <w:lang w:val="en-GB"/>
        </w:rPr>
      </w:pPr>
      <w:r w:rsidRPr="00711C4D">
        <w:rPr>
          <w:i/>
          <w:lang w:val="en-GB"/>
        </w:rPr>
        <w:t>Do users prefer a comprehensive template providing a breakdown of capital requirements and RWA by exposure classes for credit risk in Template EU OV1-B, or would they prefer to have the detailed breakdown by exposure classes provided in Template EU CR5-B for the Standardised approach and Template EU CR6 for the IRB approach?</w:t>
      </w:r>
    </w:p>
    <w:p w:rsidR="00711C4D" w:rsidRDefault="00711C4D" w:rsidP="00711C4D">
      <w:pPr>
        <w:spacing w:line="240" w:lineRule="auto"/>
        <w:rPr>
          <w:lang w:val="en-GB"/>
        </w:rPr>
      </w:pPr>
    </w:p>
    <w:p w:rsidR="00711C4D" w:rsidRPr="00711C4D" w:rsidRDefault="00711C4D" w:rsidP="00711C4D">
      <w:pPr>
        <w:spacing w:line="240" w:lineRule="auto"/>
        <w:rPr>
          <w:lang w:val="en-GB"/>
        </w:rPr>
      </w:pPr>
      <w:r w:rsidRPr="00711C4D">
        <w:rPr>
          <w:lang w:val="en-GB"/>
        </w:rPr>
        <w:t>EU OV1-B (consistent with COREP) is preferred due to the fact that implementation for this template should be much easier than the implementation of CR6 and CR5-B.</w:t>
      </w:r>
    </w:p>
    <w:p w:rsidR="00711C4D" w:rsidRPr="00711C4D" w:rsidRDefault="00711C4D" w:rsidP="00711C4D">
      <w:pPr>
        <w:spacing w:line="240" w:lineRule="auto"/>
        <w:rPr>
          <w:lang w:val="en-GB"/>
        </w:rPr>
      </w:pPr>
    </w:p>
    <w:p w:rsidR="00711C4D" w:rsidRPr="00711C4D" w:rsidRDefault="00711C4D" w:rsidP="00711C4D">
      <w:pPr>
        <w:spacing w:line="240" w:lineRule="auto"/>
        <w:rPr>
          <w:i/>
          <w:lang w:val="en-GB"/>
        </w:rPr>
      </w:pPr>
      <w:bookmarkStart w:id="5" w:name="_Toc455495121"/>
      <w:r w:rsidRPr="00711C4D">
        <w:rPr>
          <w:i/>
          <w:u w:val="single"/>
          <w:lang w:val="en-GB"/>
        </w:rPr>
        <w:lastRenderedPageBreak/>
        <w:t>Question 2:</w:t>
      </w:r>
      <w:r w:rsidRPr="00711C4D">
        <w:rPr>
          <w:i/>
          <w:lang w:val="en-GB"/>
        </w:rPr>
        <w:t xml:space="preserve"> </w:t>
      </w:r>
      <w:bookmarkEnd w:id="5"/>
    </w:p>
    <w:p w:rsidR="00711C4D" w:rsidRPr="00711C4D" w:rsidRDefault="00711C4D" w:rsidP="00711C4D">
      <w:pPr>
        <w:spacing w:line="240" w:lineRule="auto"/>
        <w:rPr>
          <w:i/>
          <w:lang w:val="en-GB"/>
        </w:rPr>
      </w:pPr>
      <w:r w:rsidRPr="00711C4D">
        <w:rPr>
          <w:i/>
          <w:lang w:val="en-GB"/>
        </w:rPr>
        <w:t>Do members prefer a breakdown by exposure classes for Article 442 CRR using the granularity from COREP, the CRR or the Transparency exercise? In case users prefer a combination of the different exposure classes available in these breakdowns, please indicate the combination you would favour.</w:t>
      </w:r>
    </w:p>
    <w:p w:rsidR="006B05A1" w:rsidRDefault="006B05A1" w:rsidP="006B05A1">
      <w:pPr>
        <w:rPr>
          <w:lang w:val="en-GB"/>
        </w:rPr>
      </w:pPr>
      <w:r>
        <w:rPr>
          <w:lang w:val="en-GB"/>
        </w:rPr>
        <w:t>We prefer a breakdown by exposure classes using the granularity from COREP</w:t>
      </w:r>
      <w:r w:rsidRPr="006B05A1">
        <w:rPr>
          <w:bCs/>
          <w:lang w:val="en-GB"/>
        </w:rPr>
        <w:t xml:space="preserve"> </w:t>
      </w:r>
      <w:r w:rsidRPr="00711C4D">
        <w:rPr>
          <w:bCs/>
          <w:lang w:val="en-GB"/>
        </w:rPr>
        <w:t>due to the fact that these data /reporting is available, therefore implementation should be done with less effort</w:t>
      </w:r>
      <w:r>
        <w:rPr>
          <w:lang w:val="en-GB"/>
        </w:rPr>
        <w:t>. Using existing granularity criteria reduces implementation costs and additional resources. This would also reflect the current European aims to simplify the regulatory framework and reduce redundancies (e.g. “Better regulation”, “REFIT”).</w:t>
      </w:r>
    </w:p>
    <w:p w:rsidR="006B05A1" w:rsidRPr="00015578" w:rsidRDefault="006B05A1" w:rsidP="006B05A1">
      <w:pPr>
        <w:rPr>
          <w:lang w:val="en-GB"/>
        </w:rPr>
      </w:pPr>
    </w:p>
    <w:p w:rsidR="006B05A1" w:rsidRDefault="006B05A1" w:rsidP="006B05A1">
      <w:pPr>
        <w:rPr>
          <w:lang w:val="en-GB"/>
        </w:rPr>
      </w:pPr>
      <w:r>
        <w:rPr>
          <w:lang w:val="en-GB"/>
        </w:rPr>
        <w:t>Para 73 of the Guid</w:t>
      </w:r>
      <w:r w:rsidRPr="0089641E">
        <w:rPr>
          <w:lang w:val="en-GB"/>
        </w:rPr>
        <w:t>elines require</w:t>
      </w:r>
      <w:r>
        <w:rPr>
          <w:lang w:val="en-GB"/>
        </w:rPr>
        <w:t>s</w:t>
      </w:r>
      <w:r w:rsidRPr="0089641E">
        <w:rPr>
          <w:lang w:val="en-GB"/>
        </w:rPr>
        <w:t xml:space="preserve"> institutions to disclose</w:t>
      </w:r>
      <w:r>
        <w:rPr>
          <w:lang w:val="en-GB"/>
        </w:rPr>
        <w:t xml:space="preserve"> </w:t>
      </w:r>
      <w:r w:rsidRPr="0089641E">
        <w:rPr>
          <w:lang w:val="en-GB"/>
        </w:rPr>
        <w:t xml:space="preserve">the </w:t>
      </w:r>
      <w:r>
        <w:rPr>
          <w:lang w:val="en-GB"/>
        </w:rPr>
        <w:t xml:space="preserve">average net exposure over the period. The definitions specify that this provision refers to the average of the net exposure values observed at the end of each month of the observation period. Since the current reporting is made in a quarterly frequency this requirement would lead to an initial implementation and a continuous monitoring burden. Additionally, the aim of the CRR to provide </w:t>
      </w:r>
      <w:r w:rsidRPr="00015578">
        <w:rPr>
          <w:lang w:val="en-GB"/>
        </w:rPr>
        <w:t>market participants with accurate</w:t>
      </w:r>
      <w:r>
        <w:rPr>
          <w:lang w:val="en-GB"/>
        </w:rPr>
        <w:t xml:space="preserve"> </w:t>
      </w:r>
      <w:r w:rsidRPr="00015578">
        <w:rPr>
          <w:lang w:val="en-GB"/>
        </w:rPr>
        <w:t>and comprehensive information regarding the risk profile</w:t>
      </w:r>
      <w:r>
        <w:rPr>
          <w:lang w:val="en-GB"/>
        </w:rPr>
        <w:t xml:space="preserve"> can also be achieved if only the net exposure at the end of period was disclosed. If a disclosure of average </w:t>
      </w:r>
      <w:proofErr w:type="gramStart"/>
      <w:r>
        <w:rPr>
          <w:lang w:val="en-GB"/>
        </w:rPr>
        <w:t>values has</w:t>
      </w:r>
      <w:proofErr w:type="gramEnd"/>
      <w:r>
        <w:rPr>
          <w:lang w:val="en-GB"/>
        </w:rPr>
        <w:t xml:space="preserve"> to be introduced the average should be based on existing reporting date, e.g. the average of the quarterly reported data.</w:t>
      </w:r>
    </w:p>
    <w:p w:rsidR="006B05A1" w:rsidRDefault="006B05A1" w:rsidP="00711C4D">
      <w:pPr>
        <w:spacing w:line="240" w:lineRule="auto"/>
        <w:rPr>
          <w:bCs/>
          <w:lang w:val="en-GB"/>
        </w:rPr>
      </w:pPr>
    </w:p>
    <w:p w:rsidR="00711C4D" w:rsidRPr="00711C4D" w:rsidRDefault="00711C4D" w:rsidP="00711C4D">
      <w:pPr>
        <w:spacing w:line="240" w:lineRule="auto"/>
        <w:rPr>
          <w:bCs/>
          <w:lang w:val="en-GB"/>
        </w:rPr>
      </w:pPr>
    </w:p>
    <w:p w:rsidR="00711C4D" w:rsidRPr="00711C4D" w:rsidRDefault="00711C4D" w:rsidP="00711C4D">
      <w:pPr>
        <w:spacing w:line="240" w:lineRule="auto"/>
        <w:rPr>
          <w:i/>
          <w:lang w:val="en-GB"/>
        </w:rPr>
      </w:pPr>
      <w:bookmarkStart w:id="6" w:name="_Toc455495123"/>
      <w:r w:rsidRPr="00711C4D">
        <w:rPr>
          <w:i/>
          <w:u w:val="single"/>
          <w:lang w:val="en-GB"/>
        </w:rPr>
        <w:t>Question 3:</w:t>
      </w:r>
      <w:r w:rsidRPr="00711C4D">
        <w:rPr>
          <w:i/>
          <w:lang w:val="en-GB"/>
        </w:rPr>
        <w:t xml:space="preserve"> </w:t>
      </w:r>
    </w:p>
    <w:p w:rsidR="00711C4D" w:rsidRPr="00711C4D" w:rsidRDefault="00711C4D" w:rsidP="00711C4D">
      <w:pPr>
        <w:spacing w:line="240" w:lineRule="auto"/>
        <w:rPr>
          <w:i/>
          <w:lang w:val="en-GB"/>
        </w:rPr>
      </w:pPr>
      <w:r w:rsidRPr="00711C4D">
        <w:rPr>
          <w:i/>
          <w:lang w:val="en-GB"/>
        </w:rPr>
        <w:t>Do you believe information on the exposure-weighted average maturity by PD grade is useful for understanding of an institution’s IRB RWA?</w:t>
      </w:r>
      <w:bookmarkEnd w:id="6"/>
    </w:p>
    <w:p w:rsidR="006B05A1" w:rsidRDefault="006B05A1" w:rsidP="00711C4D">
      <w:pPr>
        <w:spacing w:line="240" w:lineRule="auto"/>
        <w:rPr>
          <w:lang w:val="en-GB"/>
        </w:rPr>
      </w:pPr>
    </w:p>
    <w:p w:rsidR="00711C4D" w:rsidRPr="00711C4D" w:rsidRDefault="00711C4D" w:rsidP="00711C4D">
      <w:pPr>
        <w:spacing w:line="240" w:lineRule="auto"/>
        <w:rPr>
          <w:lang w:val="en-GB"/>
        </w:rPr>
      </w:pPr>
      <w:r w:rsidRPr="00711C4D">
        <w:rPr>
          <w:lang w:val="en-GB"/>
        </w:rPr>
        <w:t xml:space="preserve">We take the view that this question is model driven, however the implementation could cause additional cost due to new reporting / </w:t>
      </w:r>
      <w:r w:rsidR="006B05A1">
        <w:rPr>
          <w:lang w:val="en-GB"/>
        </w:rPr>
        <w:t>mappings, etc. and this is</w:t>
      </w:r>
      <w:r w:rsidRPr="00711C4D">
        <w:rPr>
          <w:lang w:val="en-GB"/>
        </w:rPr>
        <w:t xml:space="preserve"> only relevant for A-IRB.</w:t>
      </w:r>
    </w:p>
    <w:p w:rsidR="00711C4D" w:rsidRPr="00711C4D" w:rsidRDefault="00711C4D" w:rsidP="00711C4D">
      <w:pPr>
        <w:spacing w:line="240" w:lineRule="auto"/>
        <w:rPr>
          <w:lang w:val="en-GB"/>
        </w:rPr>
      </w:pPr>
    </w:p>
    <w:p w:rsidR="00711C4D" w:rsidRPr="00711C4D" w:rsidRDefault="00711C4D" w:rsidP="00711C4D">
      <w:pPr>
        <w:spacing w:line="240" w:lineRule="auto"/>
        <w:rPr>
          <w:i/>
          <w:lang w:val="en-GB"/>
        </w:rPr>
      </w:pPr>
      <w:bookmarkStart w:id="7" w:name="_Toc455495124"/>
      <w:r w:rsidRPr="00711C4D">
        <w:rPr>
          <w:i/>
          <w:u w:val="single"/>
          <w:lang w:val="en-GB"/>
        </w:rPr>
        <w:t>Question 4:</w:t>
      </w:r>
      <w:r w:rsidRPr="00711C4D">
        <w:rPr>
          <w:i/>
          <w:lang w:val="en-GB"/>
        </w:rPr>
        <w:t xml:space="preserve"> Would it be feasible to breakdown the value adjustments and provisions by PD grade for the fixed PD grade bands that are provided in the </w:t>
      </w:r>
      <w:proofErr w:type="spellStart"/>
      <w:r w:rsidRPr="00711C4D">
        <w:rPr>
          <w:i/>
          <w:lang w:val="en-GB"/>
        </w:rPr>
        <w:t>masterscale</w:t>
      </w:r>
      <w:proofErr w:type="spellEnd"/>
      <w:r w:rsidRPr="00711C4D">
        <w:rPr>
          <w:i/>
          <w:lang w:val="en-GB"/>
        </w:rPr>
        <w:t>? Would this information be useful to users?</w:t>
      </w:r>
      <w:bookmarkEnd w:id="7"/>
    </w:p>
    <w:p w:rsidR="006B05A1" w:rsidRDefault="006B05A1" w:rsidP="00711C4D">
      <w:pPr>
        <w:spacing w:line="240" w:lineRule="auto"/>
        <w:rPr>
          <w:bCs/>
          <w:lang w:val="en-GB"/>
        </w:rPr>
      </w:pPr>
    </w:p>
    <w:p w:rsidR="00711C4D" w:rsidRPr="00711C4D" w:rsidRDefault="00711C4D" w:rsidP="00711C4D">
      <w:pPr>
        <w:spacing w:line="240" w:lineRule="auto"/>
        <w:rPr>
          <w:bCs/>
          <w:lang w:val="en-GB"/>
        </w:rPr>
      </w:pPr>
      <w:r w:rsidRPr="00711C4D">
        <w:rPr>
          <w:bCs/>
          <w:lang w:val="en-GB"/>
        </w:rPr>
        <w:t>The implementation could cause additional costs (reporting). Furthermore, we think that this information is not useful to investors (high range of PD bands, therefore the comparability between banks is limited).</w:t>
      </w:r>
    </w:p>
    <w:p w:rsidR="00711C4D" w:rsidRPr="00711C4D" w:rsidRDefault="00711C4D" w:rsidP="00711C4D">
      <w:pPr>
        <w:spacing w:line="240" w:lineRule="auto"/>
        <w:rPr>
          <w:lang w:val="en-GB"/>
        </w:rPr>
      </w:pPr>
      <w:r w:rsidRPr="00711C4D">
        <w:rPr>
          <w:lang w:val="en-GB"/>
        </w:rPr>
        <w:t>In addition, as specific credit risk adjustment is a default trigger according to CRR Article 178, only a larger concentration in default grade would be noticeable and the rest of PD-grade information would carry only partial and non-significant information.</w:t>
      </w:r>
    </w:p>
    <w:p w:rsidR="00711C4D" w:rsidRPr="00711C4D" w:rsidRDefault="00711C4D" w:rsidP="00711C4D">
      <w:pPr>
        <w:spacing w:line="240" w:lineRule="auto"/>
        <w:rPr>
          <w:lang w:val="en-GB"/>
        </w:rPr>
      </w:pPr>
    </w:p>
    <w:p w:rsidR="00711C4D" w:rsidRPr="00711C4D" w:rsidRDefault="00711C4D" w:rsidP="00711C4D">
      <w:pPr>
        <w:spacing w:line="240" w:lineRule="auto"/>
        <w:rPr>
          <w:i/>
          <w:lang w:val="en-GB"/>
        </w:rPr>
      </w:pPr>
      <w:bookmarkStart w:id="8" w:name="_Toc455495125"/>
      <w:r w:rsidRPr="00711C4D">
        <w:rPr>
          <w:i/>
          <w:u w:val="single"/>
          <w:lang w:val="en-GB"/>
        </w:rPr>
        <w:t>Templates EU CR7 and EU CR8</w:t>
      </w:r>
      <w:r w:rsidRPr="00711C4D">
        <w:rPr>
          <w:i/>
          <w:lang w:val="en-GB"/>
        </w:rPr>
        <w:t xml:space="preserve"> – Other quantitative information</w:t>
      </w:r>
      <w:bookmarkEnd w:id="8"/>
      <w:r w:rsidRPr="00711C4D">
        <w:rPr>
          <w:i/>
          <w:lang w:val="en-GB"/>
        </w:rPr>
        <w:t xml:space="preserve"> </w:t>
      </w:r>
    </w:p>
    <w:p w:rsidR="00711C4D" w:rsidRPr="00711C4D" w:rsidRDefault="00711C4D" w:rsidP="00711C4D">
      <w:pPr>
        <w:spacing w:line="240" w:lineRule="auto"/>
        <w:rPr>
          <w:lang w:val="en-GB"/>
        </w:rPr>
      </w:pPr>
      <w:r w:rsidRPr="00711C4D">
        <w:rPr>
          <w:lang w:val="en-GB"/>
        </w:rPr>
        <w:t>Template CR8 (RWA flow) needs significant effort to implement, whereby an exact calculation is impossible. Especially questionable is row 4 (model updates) and 5 (methodology and policy), where calculation would be strongly influenced by hypothesis, that makes the comparison of results across institutions questionable and so the meaningfulness of the disclosure. The EBA guideline also mentions that the template is not based on an explicit CRR requirement.</w:t>
      </w:r>
    </w:p>
    <w:p w:rsidR="00711C4D" w:rsidRPr="00711C4D" w:rsidRDefault="00711C4D" w:rsidP="00711C4D">
      <w:pPr>
        <w:spacing w:line="240" w:lineRule="auto"/>
        <w:rPr>
          <w:lang w:val="en-GB"/>
        </w:rPr>
      </w:pPr>
    </w:p>
    <w:p w:rsidR="00711C4D" w:rsidRPr="00711C4D" w:rsidRDefault="00711C4D" w:rsidP="00711C4D">
      <w:pPr>
        <w:spacing w:line="240" w:lineRule="auto"/>
        <w:rPr>
          <w:i/>
          <w:lang w:val="en-GB"/>
        </w:rPr>
      </w:pPr>
      <w:bookmarkStart w:id="9" w:name="_Toc455495126"/>
      <w:r w:rsidRPr="00711C4D">
        <w:rPr>
          <w:i/>
          <w:u w:val="single"/>
          <w:lang w:val="en-GB"/>
        </w:rPr>
        <w:t>Question 5:</w:t>
      </w:r>
      <w:r w:rsidRPr="00711C4D">
        <w:rPr>
          <w:i/>
          <w:lang w:val="en-GB"/>
        </w:rPr>
        <w:t xml:space="preserve"> </w:t>
      </w:r>
    </w:p>
    <w:p w:rsidR="00711C4D" w:rsidRPr="00711C4D" w:rsidRDefault="00711C4D" w:rsidP="00711C4D">
      <w:pPr>
        <w:spacing w:line="240" w:lineRule="auto"/>
        <w:rPr>
          <w:i/>
          <w:lang w:val="en-GB"/>
        </w:rPr>
      </w:pPr>
      <w:r w:rsidRPr="00711C4D">
        <w:rPr>
          <w:i/>
          <w:lang w:val="en-GB"/>
        </w:rPr>
        <w:t>Is information on the sources of counterparty credit risk (breakdown by type of transactions) for exposures measured under the Internal Model Method useful for users? Should this breakdown be expanded to the other methods of computation of the exposure value?</w:t>
      </w:r>
    </w:p>
    <w:p w:rsidR="006B05A1" w:rsidRDefault="006B05A1" w:rsidP="00711C4D">
      <w:pPr>
        <w:spacing w:line="240" w:lineRule="auto"/>
        <w:rPr>
          <w:lang w:val="en-GB"/>
        </w:rPr>
      </w:pPr>
    </w:p>
    <w:p w:rsidR="00711C4D" w:rsidRPr="00711C4D" w:rsidRDefault="00711C4D" w:rsidP="00711C4D">
      <w:pPr>
        <w:spacing w:line="240" w:lineRule="auto"/>
        <w:rPr>
          <w:lang w:val="en-GB"/>
        </w:rPr>
      </w:pPr>
      <w:r w:rsidRPr="00711C4D">
        <w:rPr>
          <w:lang w:val="en-GB"/>
        </w:rPr>
        <w:lastRenderedPageBreak/>
        <w:t>We do not have any objectives in this issue (most of the data is out of the regulatory reporting; therefore implementation costs should be limited)</w:t>
      </w:r>
      <w:bookmarkEnd w:id="9"/>
      <w:r w:rsidRPr="00711C4D">
        <w:rPr>
          <w:lang w:val="en-GB"/>
        </w:rPr>
        <w:t>.</w:t>
      </w:r>
    </w:p>
    <w:p w:rsidR="00711C4D" w:rsidRPr="00711C4D" w:rsidRDefault="00711C4D" w:rsidP="00711C4D">
      <w:pPr>
        <w:spacing w:line="240" w:lineRule="auto"/>
        <w:rPr>
          <w:lang w:val="en-GB"/>
        </w:rPr>
      </w:pPr>
    </w:p>
    <w:p w:rsidR="00711C4D" w:rsidRPr="00711C4D" w:rsidRDefault="00711C4D" w:rsidP="00711C4D">
      <w:pPr>
        <w:spacing w:line="240" w:lineRule="auto"/>
        <w:rPr>
          <w:i/>
          <w:lang w:val="en-GB"/>
        </w:rPr>
      </w:pPr>
      <w:bookmarkStart w:id="10" w:name="_Toc455495128"/>
      <w:r w:rsidRPr="00711C4D">
        <w:rPr>
          <w:i/>
          <w:u w:val="single"/>
          <w:lang w:val="en-GB"/>
        </w:rPr>
        <w:t>Question 8:</w:t>
      </w:r>
      <w:bookmarkEnd w:id="10"/>
      <w:r w:rsidRPr="00711C4D">
        <w:rPr>
          <w:i/>
          <w:lang w:val="en-GB"/>
        </w:rPr>
        <w:t xml:space="preserve"> Is the separate disclosure of end of period and average values for VaR, stressed VaR, IRC and CRM useful for users?</w:t>
      </w:r>
    </w:p>
    <w:p w:rsidR="006B05A1" w:rsidRDefault="006B05A1" w:rsidP="00711C4D">
      <w:pPr>
        <w:spacing w:line="240" w:lineRule="auto"/>
        <w:rPr>
          <w:lang w:val="en-GB"/>
        </w:rPr>
      </w:pPr>
    </w:p>
    <w:p w:rsidR="00711C4D" w:rsidRPr="00711C4D" w:rsidRDefault="00711C4D" w:rsidP="00711C4D">
      <w:pPr>
        <w:spacing w:line="240" w:lineRule="auto"/>
        <w:rPr>
          <w:lang w:val="en-GB"/>
        </w:rPr>
      </w:pPr>
      <w:r w:rsidRPr="00711C4D">
        <w:rPr>
          <w:lang w:val="en-GB"/>
        </w:rPr>
        <w:t>Additional questions could arise for investors, e.g. which factors drove a higher average VaR compared to beginning/end of period VaR? Therefore, the practical usefulness of this template/report is questionable.</w:t>
      </w:r>
    </w:p>
    <w:p w:rsidR="00711C4D" w:rsidRPr="00711C4D" w:rsidRDefault="00711C4D" w:rsidP="00711C4D">
      <w:pPr>
        <w:spacing w:line="240" w:lineRule="auto"/>
        <w:rPr>
          <w:lang w:val="en-GB"/>
        </w:rPr>
      </w:pPr>
    </w:p>
    <w:p w:rsidR="00711C4D" w:rsidRPr="00711C4D" w:rsidRDefault="00711C4D" w:rsidP="00711C4D">
      <w:pPr>
        <w:spacing w:line="240" w:lineRule="auto"/>
        <w:rPr>
          <w:i/>
          <w:lang w:val="en-GB"/>
        </w:rPr>
      </w:pPr>
      <w:r w:rsidRPr="00711C4D">
        <w:rPr>
          <w:i/>
          <w:u w:val="single"/>
          <w:lang w:val="en-GB"/>
        </w:rPr>
        <w:t>Table EU CRB-A:</w:t>
      </w:r>
      <w:r w:rsidRPr="00711C4D">
        <w:rPr>
          <w:i/>
          <w:lang w:val="en-GB"/>
        </w:rPr>
        <w:t xml:space="preserve"> Additional disclosure related to the credit quality of assets</w:t>
      </w:r>
    </w:p>
    <w:p w:rsidR="00711C4D" w:rsidRPr="00711C4D" w:rsidRDefault="00711C4D" w:rsidP="00711C4D">
      <w:pPr>
        <w:spacing w:line="240" w:lineRule="auto"/>
        <w:rPr>
          <w:lang w:val="en-GB"/>
        </w:rPr>
      </w:pPr>
      <w:r w:rsidRPr="00711C4D">
        <w:rPr>
          <w:lang w:val="en-GB"/>
        </w:rPr>
        <w:t>Implementation only possible after 1 year upon the final EBA guideline is published, and competent authority enters into force for the institution.</w:t>
      </w:r>
    </w:p>
    <w:p w:rsidR="00711C4D" w:rsidRPr="00711C4D" w:rsidRDefault="00711C4D" w:rsidP="00711C4D">
      <w:pPr>
        <w:spacing w:line="240" w:lineRule="auto"/>
        <w:rPr>
          <w:lang w:val="en-GB"/>
        </w:rPr>
      </w:pPr>
    </w:p>
    <w:p w:rsidR="00711C4D" w:rsidRPr="00711C4D" w:rsidRDefault="00711C4D" w:rsidP="00711C4D">
      <w:pPr>
        <w:spacing w:line="240" w:lineRule="auto"/>
        <w:rPr>
          <w:i/>
          <w:lang w:val="en-GB"/>
        </w:rPr>
      </w:pPr>
      <w:r w:rsidRPr="00711C4D">
        <w:rPr>
          <w:i/>
          <w:u w:val="single"/>
          <w:lang w:val="en-GB"/>
        </w:rPr>
        <w:t>Template EU CR9:</w:t>
      </w:r>
      <w:r w:rsidRPr="00711C4D">
        <w:rPr>
          <w:i/>
          <w:lang w:val="en-GB"/>
        </w:rPr>
        <w:t xml:space="preserve"> IRB – </w:t>
      </w:r>
      <w:proofErr w:type="spellStart"/>
      <w:r w:rsidRPr="00711C4D">
        <w:rPr>
          <w:i/>
          <w:lang w:val="en-GB"/>
        </w:rPr>
        <w:t>Backtesting</w:t>
      </w:r>
      <w:proofErr w:type="spellEnd"/>
      <w:r w:rsidRPr="00711C4D">
        <w:rPr>
          <w:i/>
          <w:lang w:val="en-GB"/>
        </w:rPr>
        <w:t xml:space="preserve"> of probability of default (PD) per exposure class</w:t>
      </w:r>
    </w:p>
    <w:p w:rsidR="00711C4D" w:rsidRPr="00711C4D" w:rsidRDefault="00711C4D" w:rsidP="00711C4D">
      <w:pPr>
        <w:pStyle w:val="Listenabsatz"/>
        <w:numPr>
          <w:ilvl w:val="0"/>
          <w:numId w:val="25"/>
        </w:numPr>
        <w:spacing w:before="120" w:after="120" w:line="240" w:lineRule="auto"/>
        <w:contextualSpacing w:val="0"/>
        <w:rPr>
          <w:lang w:val="en-GB"/>
        </w:rPr>
      </w:pPr>
      <w:r w:rsidRPr="00711C4D">
        <w:rPr>
          <w:lang w:val="en-GB"/>
        </w:rPr>
        <w:t>It could become a very cumbersome table depending on the institution’s model landscape and the definition of “model”.</w:t>
      </w:r>
    </w:p>
    <w:p w:rsidR="00711C4D" w:rsidRPr="00711C4D" w:rsidRDefault="00711C4D" w:rsidP="00711C4D">
      <w:pPr>
        <w:pStyle w:val="Listenabsatz"/>
        <w:numPr>
          <w:ilvl w:val="0"/>
          <w:numId w:val="25"/>
        </w:numPr>
        <w:spacing w:before="120" w:after="120" w:line="240" w:lineRule="auto"/>
        <w:contextualSpacing w:val="0"/>
        <w:rPr>
          <w:lang w:val="en-GB"/>
        </w:rPr>
      </w:pPr>
      <w:r w:rsidRPr="00711C4D">
        <w:rPr>
          <w:lang w:val="en-GB"/>
        </w:rPr>
        <w:t>Exact definitions which models should be reported and what constitutes a separate model, are needed</w:t>
      </w:r>
      <w:r w:rsidR="000F07F9">
        <w:rPr>
          <w:lang w:val="en-GB"/>
        </w:rPr>
        <w:t>.</w:t>
      </w:r>
      <w:r w:rsidRPr="00711C4D">
        <w:rPr>
          <w:lang w:val="en-GB"/>
        </w:rPr>
        <w:t xml:space="preserve"> </w:t>
      </w:r>
      <w:r w:rsidR="000F07F9">
        <w:rPr>
          <w:lang w:val="en-GB"/>
        </w:rPr>
        <w:t>(G</w:t>
      </w:r>
      <w:r w:rsidRPr="00711C4D">
        <w:rPr>
          <w:lang w:val="en-GB"/>
        </w:rPr>
        <w:t>roup wide vs. local</w:t>
      </w:r>
      <w:r w:rsidR="000F07F9">
        <w:rPr>
          <w:lang w:val="en-GB"/>
        </w:rPr>
        <w:t>/I</w:t>
      </w:r>
      <w:r w:rsidRPr="00711C4D">
        <w:rPr>
          <w:lang w:val="en-GB"/>
        </w:rPr>
        <w:t>s each cal</w:t>
      </w:r>
      <w:r w:rsidR="000F07F9">
        <w:rPr>
          <w:lang w:val="en-GB"/>
        </w:rPr>
        <w:t>ibration unit a separate model</w:t>
      </w:r>
      <w:proofErr w:type="gramStart"/>
      <w:r w:rsidR="000F07F9">
        <w:rPr>
          <w:lang w:val="en-GB"/>
        </w:rPr>
        <w:t>?/</w:t>
      </w:r>
      <w:proofErr w:type="gramEnd"/>
      <w:r w:rsidRPr="00711C4D">
        <w:rPr>
          <w:lang w:val="en-GB"/>
        </w:rPr>
        <w:t>level of sub-models – see model map for TRIM exercise to get a flavour for how complicated this can get even fo</w:t>
      </w:r>
      <w:r w:rsidR="000F07F9">
        <w:rPr>
          <w:lang w:val="en-GB"/>
        </w:rPr>
        <w:t>r a very simple model landscape. N</w:t>
      </w:r>
      <w:r w:rsidRPr="00711C4D">
        <w:rPr>
          <w:lang w:val="en-GB"/>
        </w:rPr>
        <w:t>on-retail</w:t>
      </w:r>
      <w:r w:rsidR="000F07F9">
        <w:rPr>
          <w:lang w:val="en-GB"/>
        </w:rPr>
        <w:t xml:space="preserve"> r</w:t>
      </w:r>
      <w:r w:rsidRPr="00711C4D">
        <w:rPr>
          <w:lang w:val="en-GB"/>
        </w:rPr>
        <w:t>eporting should not depend on how a bank defines their models (e.g. group wide or local)</w:t>
      </w:r>
      <w:r w:rsidR="000F07F9">
        <w:rPr>
          <w:lang w:val="en-GB"/>
        </w:rPr>
        <w:t>.)</w:t>
      </w:r>
    </w:p>
    <w:p w:rsidR="00711C4D" w:rsidRPr="00711C4D" w:rsidRDefault="00711C4D" w:rsidP="00711C4D">
      <w:pPr>
        <w:pStyle w:val="Listenabsatz"/>
        <w:numPr>
          <w:ilvl w:val="0"/>
          <w:numId w:val="25"/>
        </w:numPr>
        <w:spacing w:before="120" w:after="120" w:line="240" w:lineRule="auto"/>
        <w:contextualSpacing w:val="0"/>
        <w:rPr>
          <w:lang w:val="en-GB"/>
        </w:rPr>
      </w:pPr>
      <w:r w:rsidRPr="00711C4D">
        <w:rPr>
          <w:lang w:val="en-GB"/>
        </w:rPr>
        <w:t xml:space="preserve">One way to make it standardized could be to require </w:t>
      </w:r>
      <w:proofErr w:type="spellStart"/>
      <w:r w:rsidRPr="00711C4D">
        <w:rPr>
          <w:lang w:val="en-GB"/>
        </w:rPr>
        <w:t>backtesting</w:t>
      </w:r>
      <w:proofErr w:type="spellEnd"/>
      <w:r w:rsidRPr="00711C4D">
        <w:rPr>
          <w:lang w:val="en-GB"/>
        </w:rPr>
        <w:t xml:space="preserve"> on COREP asset class level (group wide across models)</w:t>
      </w:r>
    </w:p>
    <w:p w:rsidR="00711C4D" w:rsidRPr="00711C4D" w:rsidRDefault="00711C4D" w:rsidP="00711C4D">
      <w:pPr>
        <w:pStyle w:val="Listenabsatz"/>
        <w:numPr>
          <w:ilvl w:val="0"/>
          <w:numId w:val="25"/>
        </w:numPr>
        <w:spacing w:before="120" w:after="120" w:line="240" w:lineRule="auto"/>
        <w:contextualSpacing w:val="0"/>
        <w:rPr>
          <w:lang w:val="en-GB"/>
        </w:rPr>
      </w:pPr>
      <w:r w:rsidRPr="00711C4D">
        <w:rPr>
          <w:lang w:val="en-GB"/>
        </w:rPr>
        <w:t>On a technical level we do not see the benefit of column g vs h in the table: usually defaults in a rating grade are defined as a flow in a particular period (the “new defaults”), column g sounds like a measure for the stock of defaults, which in this context does not make sense. The potential information content of this value should be contained in column i (the average historical default rate).</w:t>
      </w:r>
    </w:p>
    <w:p w:rsidR="00711C4D" w:rsidRPr="00711C4D" w:rsidRDefault="00711C4D" w:rsidP="00711C4D">
      <w:pPr>
        <w:spacing w:line="240" w:lineRule="auto"/>
        <w:rPr>
          <w:lang w:val="en-GB"/>
        </w:rPr>
      </w:pPr>
    </w:p>
    <w:p w:rsidR="00711C4D" w:rsidRPr="00711C4D" w:rsidRDefault="00711C4D" w:rsidP="00711C4D">
      <w:pPr>
        <w:spacing w:line="240" w:lineRule="auto"/>
        <w:rPr>
          <w:i/>
          <w:lang w:val="en-GB"/>
        </w:rPr>
      </w:pPr>
      <w:r w:rsidRPr="00711C4D">
        <w:rPr>
          <w:i/>
          <w:u w:val="single"/>
          <w:lang w:val="en-GB"/>
        </w:rPr>
        <w:t>Question 9:</w:t>
      </w:r>
      <w:r w:rsidRPr="00711C4D">
        <w:rPr>
          <w:i/>
          <w:lang w:val="en-GB"/>
        </w:rPr>
        <w:t xml:space="preserve"> </w:t>
      </w:r>
    </w:p>
    <w:p w:rsidR="00711C4D" w:rsidRPr="00711C4D" w:rsidRDefault="00711C4D" w:rsidP="00711C4D">
      <w:pPr>
        <w:spacing w:line="240" w:lineRule="auto"/>
        <w:rPr>
          <w:i/>
          <w:u w:val="single"/>
          <w:lang w:val="en-GB"/>
        </w:rPr>
      </w:pPr>
      <w:r w:rsidRPr="00711C4D">
        <w:rPr>
          <w:i/>
          <w:lang w:val="en-GB"/>
        </w:rPr>
        <w:t>Do you agree with the proposed scope of application of the Guidelines?</w:t>
      </w:r>
    </w:p>
    <w:p w:rsidR="006B05A1" w:rsidRDefault="006B05A1" w:rsidP="00711C4D">
      <w:pPr>
        <w:spacing w:line="240" w:lineRule="auto"/>
        <w:rPr>
          <w:lang w:val="en-GB"/>
        </w:rPr>
      </w:pPr>
    </w:p>
    <w:p w:rsidR="00711C4D" w:rsidRPr="00711C4D" w:rsidRDefault="00711C4D" w:rsidP="00711C4D">
      <w:pPr>
        <w:spacing w:line="240" w:lineRule="auto"/>
        <w:rPr>
          <w:lang w:val="en-GB"/>
        </w:rPr>
      </w:pPr>
      <w:r w:rsidRPr="00711C4D">
        <w:rPr>
          <w:lang w:val="en-GB"/>
        </w:rPr>
        <w:t>According to the guideline</w:t>
      </w:r>
      <w:r w:rsidR="00DE4F8D">
        <w:rPr>
          <w:lang w:val="en-GB"/>
        </w:rPr>
        <w:t>s</w:t>
      </w:r>
      <w:r w:rsidRPr="00711C4D">
        <w:rPr>
          <w:lang w:val="en-GB"/>
        </w:rPr>
        <w:t>, in some aspects a quarterly disclosure is suggested. However, it has to be mentioned that currently disclosed figures are audited whereas quarterly data are not audited. Therefore the scope of application is questionable in terms of frequency of data disclosure.</w:t>
      </w:r>
    </w:p>
    <w:p w:rsidR="000A55AE" w:rsidRDefault="000A55AE" w:rsidP="000A55AE">
      <w:pPr>
        <w:spacing w:line="240" w:lineRule="auto"/>
        <w:rPr>
          <w:b/>
          <w:bCs/>
          <w:szCs w:val="20"/>
          <w:lang w:val="en-US"/>
        </w:rPr>
      </w:pPr>
    </w:p>
    <w:p w:rsidR="000A55AE" w:rsidRPr="000A55AE" w:rsidRDefault="000A55AE" w:rsidP="000A55AE">
      <w:pPr>
        <w:spacing w:line="240" w:lineRule="auto"/>
        <w:rPr>
          <w:szCs w:val="20"/>
          <w:lang w:val="en-US"/>
        </w:rPr>
      </w:pPr>
      <w:r w:rsidRPr="000A55AE">
        <w:rPr>
          <w:b/>
          <w:bCs/>
          <w:szCs w:val="20"/>
          <w:lang w:val="en-US"/>
        </w:rPr>
        <w:t>Art 436 (b) CRR/EU LI3 (page 77)</w:t>
      </w:r>
      <w:r w:rsidRPr="000A55AE">
        <w:rPr>
          <w:szCs w:val="20"/>
          <w:lang w:val="en-US"/>
        </w:rPr>
        <w:t xml:space="preserve">: The breakdown on entity level (chapter 4.4 and template EU LI3), in order to show the difference in the scope of consolidation between the financial and the regulatory scope, goes beyond the requirements set out in Art. 436 (b) CRR and were so far never mentioned in any BCBS paper and sets out a new disclosure requirement. According to accounting/ IFRS requirements there is no obligation to disclose the scope of consolidation on entity level. </w:t>
      </w:r>
    </w:p>
    <w:p w:rsidR="000A55AE" w:rsidRPr="000A55AE" w:rsidRDefault="000A55AE" w:rsidP="000A55AE">
      <w:pPr>
        <w:spacing w:line="240" w:lineRule="auto"/>
        <w:ind w:left="720"/>
        <w:rPr>
          <w:szCs w:val="20"/>
          <w:lang w:val="en-US"/>
        </w:rPr>
      </w:pPr>
    </w:p>
    <w:p w:rsidR="000A55AE" w:rsidRPr="000A55AE" w:rsidRDefault="000A55AE" w:rsidP="000A55AE">
      <w:pPr>
        <w:spacing w:line="240" w:lineRule="auto"/>
        <w:rPr>
          <w:szCs w:val="20"/>
          <w:lang w:val="en-US"/>
        </w:rPr>
      </w:pPr>
      <w:r w:rsidRPr="000A55AE">
        <w:rPr>
          <w:szCs w:val="20"/>
          <w:lang w:val="en-US"/>
        </w:rPr>
        <w:t xml:space="preserve">Despite the already mentioned features which could render the implementation of EU LI 3 (Article 436 [b] CRR/Frequency set to annual/ Information available in FINREP as well COREP) the added value of a break down on entity level for an external reader is in our point of view very limited and generates on the side of the credit institution a higher burden to provide this detailed entity list. We suggest </w:t>
      </w:r>
      <w:proofErr w:type="gramStart"/>
      <w:r w:rsidRPr="000A55AE">
        <w:rPr>
          <w:szCs w:val="20"/>
          <w:lang w:val="en-US"/>
        </w:rPr>
        <w:t>to limit</w:t>
      </w:r>
      <w:proofErr w:type="gramEnd"/>
      <w:r w:rsidRPr="000A55AE">
        <w:rPr>
          <w:szCs w:val="20"/>
          <w:lang w:val="en-US"/>
        </w:rPr>
        <w:t xml:space="preserve"> the breakdown to a more aggregated level e.g. based on entity classes as defined in the CRR Art. 4 e.g. credit institutions, financial institutions, etc.</w:t>
      </w:r>
    </w:p>
    <w:p w:rsidR="00711C4D" w:rsidRPr="000A55AE" w:rsidRDefault="00711C4D" w:rsidP="00711C4D">
      <w:pPr>
        <w:spacing w:line="240" w:lineRule="auto"/>
        <w:rPr>
          <w:sz w:val="24"/>
          <w:lang w:val="en-US"/>
        </w:rPr>
      </w:pPr>
    </w:p>
    <w:p w:rsidR="00711C4D" w:rsidRPr="00711C4D" w:rsidRDefault="00711C4D" w:rsidP="00711C4D">
      <w:pPr>
        <w:spacing w:line="240" w:lineRule="auto"/>
        <w:rPr>
          <w:i/>
          <w:u w:val="single"/>
          <w:lang w:val="en-GB"/>
        </w:rPr>
      </w:pPr>
    </w:p>
    <w:p w:rsidR="00711C4D" w:rsidRPr="00711C4D" w:rsidRDefault="00711C4D" w:rsidP="00711C4D">
      <w:pPr>
        <w:spacing w:line="240" w:lineRule="auto"/>
        <w:rPr>
          <w:i/>
          <w:lang w:val="en-GB"/>
        </w:rPr>
      </w:pPr>
      <w:r w:rsidRPr="00711C4D">
        <w:rPr>
          <w:i/>
          <w:u w:val="single"/>
          <w:lang w:val="en-GB"/>
        </w:rPr>
        <w:t>Question 10:</w:t>
      </w:r>
      <w:r w:rsidRPr="00711C4D">
        <w:rPr>
          <w:i/>
          <w:lang w:val="en-GB"/>
        </w:rPr>
        <w:t xml:space="preserve"> </w:t>
      </w:r>
    </w:p>
    <w:p w:rsidR="00711C4D" w:rsidRPr="00711C4D" w:rsidRDefault="00711C4D" w:rsidP="00711C4D">
      <w:pPr>
        <w:spacing w:line="240" w:lineRule="auto"/>
        <w:rPr>
          <w:i/>
          <w:lang w:val="en-GB"/>
        </w:rPr>
      </w:pPr>
      <w:r w:rsidRPr="00711C4D">
        <w:rPr>
          <w:i/>
          <w:lang w:val="en-GB"/>
        </w:rPr>
        <w:t>In case you support the development of key risk metric template(s) that would apply to all institutions, which area of risks and metrics would you like to be covered in such template(s)?</w:t>
      </w:r>
    </w:p>
    <w:p w:rsidR="006B05A1" w:rsidRDefault="006B05A1" w:rsidP="00711C4D">
      <w:pPr>
        <w:spacing w:line="240" w:lineRule="auto"/>
        <w:rPr>
          <w:lang w:val="en-GB"/>
        </w:rPr>
      </w:pPr>
    </w:p>
    <w:p w:rsidR="00711C4D" w:rsidRPr="00711C4D" w:rsidRDefault="00711C4D" w:rsidP="00711C4D">
      <w:pPr>
        <w:spacing w:line="240" w:lineRule="auto"/>
        <w:rPr>
          <w:lang w:val="en-GB"/>
        </w:rPr>
      </w:pPr>
      <w:r w:rsidRPr="00711C4D">
        <w:rPr>
          <w:lang w:val="en-GB"/>
        </w:rPr>
        <w:t>More information is needed, in particular decisions/consultations of the Base</w:t>
      </w:r>
      <w:r w:rsidR="0072525B">
        <w:rPr>
          <w:lang w:val="en-GB"/>
        </w:rPr>
        <w:t>l</w:t>
      </w:r>
      <w:r w:rsidRPr="00711C4D">
        <w:rPr>
          <w:lang w:val="en-GB"/>
        </w:rPr>
        <w:t xml:space="preserve"> Committee.</w:t>
      </w:r>
    </w:p>
    <w:p w:rsidR="00711C4D" w:rsidRPr="00711C4D" w:rsidRDefault="00711C4D" w:rsidP="00711C4D">
      <w:pPr>
        <w:spacing w:line="240" w:lineRule="auto"/>
        <w:rPr>
          <w:i/>
          <w:u w:val="single"/>
          <w:lang w:val="en-GB"/>
        </w:rPr>
      </w:pPr>
    </w:p>
    <w:p w:rsidR="00711C4D" w:rsidRPr="00711C4D" w:rsidRDefault="00711C4D" w:rsidP="00711C4D">
      <w:pPr>
        <w:spacing w:line="240" w:lineRule="auto"/>
        <w:rPr>
          <w:i/>
          <w:lang w:val="en-GB"/>
        </w:rPr>
      </w:pPr>
      <w:r w:rsidRPr="00711C4D">
        <w:rPr>
          <w:i/>
          <w:u w:val="single"/>
          <w:lang w:val="en-GB"/>
        </w:rPr>
        <w:t>Question 11:</w:t>
      </w:r>
      <w:r w:rsidRPr="00711C4D">
        <w:rPr>
          <w:i/>
          <w:lang w:val="en-GB"/>
        </w:rPr>
        <w:t xml:space="preserve"> </w:t>
      </w:r>
    </w:p>
    <w:p w:rsidR="00711C4D" w:rsidRPr="00711C4D" w:rsidRDefault="00711C4D" w:rsidP="00711C4D">
      <w:pPr>
        <w:spacing w:line="240" w:lineRule="auto"/>
        <w:rPr>
          <w:i/>
          <w:lang w:val="en-GB"/>
        </w:rPr>
      </w:pPr>
      <w:r w:rsidRPr="00711C4D">
        <w:rPr>
          <w:i/>
          <w:lang w:val="en-GB"/>
        </w:rPr>
        <w:t>Do you regard making available quantitative disclosures in an editable format as feasible and useful?</w:t>
      </w:r>
    </w:p>
    <w:p w:rsidR="006B05A1" w:rsidRDefault="006B05A1" w:rsidP="00711C4D">
      <w:pPr>
        <w:spacing w:line="240" w:lineRule="auto"/>
        <w:rPr>
          <w:lang w:val="en-GB"/>
        </w:rPr>
      </w:pPr>
    </w:p>
    <w:p w:rsidR="00711C4D" w:rsidRPr="00711C4D" w:rsidRDefault="00711C4D" w:rsidP="00711C4D">
      <w:pPr>
        <w:spacing w:line="240" w:lineRule="auto"/>
        <w:rPr>
          <w:lang w:val="en-GB"/>
        </w:rPr>
      </w:pPr>
      <w:r w:rsidRPr="00711C4D">
        <w:rPr>
          <w:lang w:val="en-GB"/>
        </w:rPr>
        <w:t xml:space="preserve">Generally, this is feasible and useful, especially if it would be possible to create disclosure data and templates within </w:t>
      </w:r>
      <w:proofErr w:type="spellStart"/>
      <w:r w:rsidRPr="00711C4D">
        <w:rPr>
          <w:lang w:val="en-GB"/>
        </w:rPr>
        <w:t>xls</w:t>
      </w:r>
      <w:proofErr w:type="spellEnd"/>
      <w:r w:rsidRPr="00711C4D">
        <w:rPr>
          <w:lang w:val="en-GB"/>
        </w:rPr>
        <w:t xml:space="preserve"> only. Using a text and </w:t>
      </w:r>
      <w:proofErr w:type="spellStart"/>
      <w:r w:rsidRPr="00711C4D">
        <w:rPr>
          <w:lang w:val="en-GB"/>
        </w:rPr>
        <w:t>xls</w:t>
      </w:r>
      <w:proofErr w:type="spellEnd"/>
      <w:r w:rsidRPr="00711C4D">
        <w:rPr>
          <w:lang w:val="en-GB"/>
        </w:rPr>
        <w:t xml:space="preserve"> document separately, in contrast, create additional effort.</w:t>
      </w:r>
    </w:p>
    <w:p w:rsidR="00711C4D" w:rsidRPr="00711C4D" w:rsidRDefault="00711C4D" w:rsidP="00711C4D">
      <w:pPr>
        <w:spacing w:line="240" w:lineRule="auto"/>
        <w:rPr>
          <w:lang w:val="en-GB"/>
        </w:rPr>
      </w:pPr>
    </w:p>
    <w:p w:rsidR="00711C4D" w:rsidRPr="000F07F9" w:rsidRDefault="00711C4D" w:rsidP="00711C4D">
      <w:pPr>
        <w:spacing w:line="240" w:lineRule="auto"/>
        <w:rPr>
          <w:i/>
          <w:lang w:val="en-GB"/>
        </w:rPr>
      </w:pPr>
      <w:r w:rsidRPr="000F07F9">
        <w:rPr>
          <w:i/>
          <w:u w:val="single"/>
          <w:lang w:val="en-GB"/>
        </w:rPr>
        <w:t>Question 12:</w:t>
      </w:r>
      <w:r w:rsidRPr="000F07F9">
        <w:rPr>
          <w:i/>
          <w:lang w:val="en-GB"/>
        </w:rPr>
        <w:t xml:space="preserve"> </w:t>
      </w:r>
    </w:p>
    <w:p w:rsidR="00711C4D" w:rsidRPr="00711C4D" w:rsidRDefault="00711C4D" w:rsidP="00711C4D">
      <w:pPr>
        <w:spacing w:line="240" w:lineRule="auto"/>
        <w:rPr>
          <w:i/>
          <w:lang w:val="en-GB"/>
        </w:rPr>
      </w:pPr>
      <w:r w:rsidRPr="00711C4D">
        <w:rPr>
          <w:i/>
          <w:lang w:val="en-GB"/>
        </w:rPr>
        <w:t>In case you do not support making available all quantitative information specified in these Guidelines under an editable format, which subset of quantitative information should in your views be made available?</w:t>
      </w:r>
    </w:p>
    <w:p w:rsidR="006B05A1" w:rsidRDefault="006B05A1" w:rsidP="00711C4D">
      <w:pPr>
        <w:spacing w:line="240" w:lineRule="auto"/>
        <w:rPr>
          <w:lang w:val="en-GB"/>
        </w:rPr>
      </w:pPr>
    </w:p>
    <w:p w:rsidR="00711C4D" w:rsidRPr="00711C4D" w:rsidRDefault="00711C4D" w:rsidP="00711C4D">
      <w:pPr>
        <w:spacing w:line="240" w:lineRule="auto"/>
        <w:rPr>
          <w:lang w:val="en-GB"/>
        </w:rPr>
      </w:pPr>
      <w:r w:rsidRPr="00711C4D">
        <w:rPr>
          <w:lang w:val="en-GB"/>
        </w:rPr>
        <w:t>We take the view that the decision about additional information should be done by the institutions due to different risk/business and threshold structures. Furthermore, this would meet the original intention of Pillar III.</w:t>
      </w:r>
    </w:p>
    <w:p w:rsidR="00711C4D" w:rsidRPr="00711C4D" w:rsidRDefault="00711C4D" w:rsidP="00711C4D">
      <w:pPr>
        <w:spacing w:line="240" w:lineRule="auto"/>
        <w:rPr>
          <w:lang w:val="en-GB"/>
        </w:rPr>
      </w:pPr>
    </w:p>
    <w:p w:rsidR="00711C4D" w:rsidRPr="00711C4D" w:rsidRDefault="00711C4D" w:rsidP="00711C4D">
      <w:pPr>
        <w:spacing w:line="240" w:lineRule="auto"/>
        <w:rPr>
          <w:i/>
          <w:lang w:val="en-GB"/>
        </w:rPr>
      </w:pPr>
      <w:r w:rsidRPr="00711C4D">
        <w:rPr>
          <w:i/>
          <w:u w:val="single"/>
          <w:lang w:val="en-GB"/>
        </w:rPr>
        <w:t>Question 13:</w:t>
      </w:r>
      <w:r w:rsidRPr="00711C4D">
        <w:rPr>
          <w:i/>
          <w:lang w:val="en-GB"/>
        </w:rPr>
        <w:t xml:space="preserve"> </w:t>
      </w:r>
    </w:p>
    <w:p w:rsidR="00711C4D" w:rsidRPr="00711C4D" w:rsidRDefault="00711C4D" w:rsidP="00711C4D">
      <w:pPr>
        <w:spacing w:line="240" w:lineRule="auto"/>
        <w:rPr>
          <w:i/>
          <w:lang w:val="en-GB"/>
        </w:rPr>
      </w:pPr>
      <w:r w:rsidRPr="00711C4D">
        <w:rPr>
          <w:i/>
          <w:lang w:val="en-GB"/>
        </w:rPr>
        <w:t>Does an early implementation of a selected set of information specified in these Guidelines appear feasible?</w:t>
      </w:r>
    </w:p>
    <w:p w:rsidR="006B05A1" w:rsidRDefault="006B05A1" w:rsidP="00711C4D">
      <w:pPr>
        <w:spacing w:line="240" w:lineRule="auto"/>
        <w:rPr>
          <w:lang w:val="en-GB"/>
        </w:rPr>
      </w:pPr>
    </w:p>
    <w:p w:rsidR="00711C4D" w:rsidRPr="00711C4D" w:rsidRDefault="00711C4D" w:rsidP="00711C4D">
      <w:pPr>
        <w:spacing w:line="240" w:lineRule="auto"/>
        <w:rPr>
          <w:lang w:val="en-GB"/>
        </w:rPr>
      </w:pPr>
      <w:proofErr w:type="gramStart"/>
      <w:r w:rsidRPr="00711C4D">
        <w:rPr>
          <w:lang w:val="en-GB"/>
        </w:rPr>
        <w:t>No, due to additional effort of an earlier implementation of subsets.</w:t>
      </w:r>
      <w:proofErr w:type="gramEnd"/>
    </w:p>
    <w:p w:rsidR="00711C4D" w:rsidRPr="00711C4D" w:rsidRDefault="00711C4D" w:rsidP="00711C4D">
      <w:pPr>
        <w:spacing w:line="240" w:lineRule="auto"/>
        <w:rPr>
          <w:lang w:val="en-GB"/>
        </w:rPr>
      </w:pPr>
    </w:p>
    <w:p w:rsidR="00711C4D" w:rsidRPr="00711C4D" w:rsidRDefault="00711C4D" w:rsidP="00711C4D">
      <w:pPr>
        <w:spacing w:line="240" w:lineRule="auto"/>
        <w:rPr>
          <w:i/>
          <w:lang w:val="en-GB"/>
        </w:rPr>
      </w:pPr>
      <w:r w:rsidRPr="00711C4D">
        <w:rPr>
          <w:i/>
          <w:u w:val="single"/>
          <w:lang w:val="en-GB"/>
        </w:rPr>
        <w:t>Question 14:</w:t>
      </w:r>
      <w:r w:rsidRPr="00711C4D">
        <w:rPr>
          <w:i/>
          <w:lang w:val="en-GB"/>
        </w:rPr>
        <w:t xml:space="preserve"> </w:t>
      </w:r>
    </w:p>
    <w:p w:rsidR="00711C4D" w:rsidRPr="00711C4D" w:rsidRDefault="00711C4D" w:rsidP="00711C4D">
      <w:pPr>
        <w:spacing w:line="240" w:lineRule="auto"/>
        <w:rPr>
          <w:i/>
          <w:lang w:val="en-GB"/>
        </w:rPr>
      </w:pPr>
      <w:r w:rsidRPr="00711C4D">
        <w:rPr>
          <w:i/>
          <w:lang w:val="en-GB"/>
        </w:rPr>
        <w:t>Which amendments, if any, would you bring to the selected set intended to be included in the recommendation for early application?</w:t>
      </w:r>
    </w:p>
    <w:p w:rsidR="006B05A1" w:rsidRDefault="006B05A1" w:rsidP="00711C4D">
      <w:pPr>
        <w:spacing w:line="240" w:lineRule="auto"/>
        <w:rPr>
          <w:lang w:val="en-GB"/>
        </w:rPr>
      </w:pPr>
    </w:p>
    <w:p w:rsidR="00711C4D" w:rsidRPr="00711C4D" w:rsidRDefault="00711C4D" w:rsidP="00711C4D">
      <w:pPr>
        <w:spacing w:line="240" w:lineRule="auto"/>
        <w:rPr>
          <w:lang w:val="en-GB"/>
        </w:rPr>
      </w:pPr>
      <w:proofErr w:type="gramStart"/>
      <w:r w:rsidRPr="00711C4D">
        <w:rPr>
          <w:lang w:val="en-GB"/>
        </w:rPr>
        <w:t>None,</w:t>
      </w:r>
      <w:proofErr w:type="gramEnd"/>
      <w:r w:rsidRPr="00711C4D">
        <w:rPr>
          <w:lang w:val="en-GB"/>
        </w:rPr>
        <w:t xml:space="preserve"> see Q13.</w:t>
      </w:r>
    </w:p>
    <w:p w:rsidR="00711C4D" w:rsidRPr="00711C4D" w:rsidRDefault="00711C4D" w:rsidP="00711C4D">
      <w:pPr>
        <w:spacing w:line="240" w:lineRule="auto"/>
        <w:rPr>
          <w:lang w:val="en-GB"/>
        </w:rPr>
      </w:pPr>
    </w:p>
    <w:p w:rsidR="00711C4D" w:rsidRPr="00711C4D" w:rsidRDefault="00711C4D" w:rsidP="00711C4D">
      <w:pPr>
        <w:spacing w:line="240" w:lineRule="auto"/>
        <w:rPr>
          <w:i/>
          <w:lang w:val="en-GB"/>
        </w:rPr>
      </w:pPr>
      <w:r w:rsidRPr="00711C4D">
        <w:rPr>
          <w:i/>
          <w:u w:val="single"/>
          <w:lang w:val="en-GB"/>
        </w:rPr>
        <w:t>Question 15:</w:t>
      </w:r>
      <w:r w:rsidRPr="00711C4D">
        <w:rPr>
          <w:i/>
          <w:lang w:val="en-GB"/>
        </w:rPr>
        <w:t xml:space="preserve"> </w:t>
      </w:r>
    </w:p>
    <w:p w:rsidR="00711C4D" w:rsidRPr="00711C4D" w:rsidRDefault="00711C4D" w:rsidP="00711C4D">
      <w:pPr>
        <w:spacing w:line="240" w:lineRule="auto"/>
        <w:rPr>
          <w:i/>
          <w:lang w:val="en-GB"/>
        </w:rPr>
      </w:pPr>
      <w:r w:rsidRPr="00711C4D">
        <w:rPr>
          <w:i/>
          <w:lang w:val="en-GB"/>
        </w:rPr>
        <w:t>Do you agree with the content of these Guidelines? In case of disagreement with specific parts of these Guidelines, please outline alternatives regarding these specific part(s) to achieve the implementation of the revised Pillar 3 framework in a fully compliant way with the current CRR requirements.</w:t>
      </w:r>
    </w:p>
    <w:p w:rsidR="006B05A1" w:rsidRDefault="006B05A1" w:rsidP="00711C4D">
      <w:pPr>
        <w:spacing w:line="240" w:lineRule="auto"/>
        <w:rPr>
          <w:lang w:val="en-GB"/>
        </w:rPr>
      </w:pPr>
    </w:p>
    <w:p w:rsidR="00711C4D" w:rsidRPr="00711C4D" w:rsidRDefault="006B05A1" w:rsidP="00711C4D">
      <w:pPr>
        <w:spacing w:line="240" w:lineRule="auto"/>
        <w:rPr>
          <w:lang w:val="en-GB"/>
        </w:rPr>
      </w:pPr>
      <w:r>
        <w:rPr>
          <w:lang w:val="en-GB"/>
        </w:rPr>
        <w:t>No,</w:t>
      </w:r>
      <w:r w:rsidR="00711C4D" w:rsidRPr="00711C4D">
        <w:rPr>
          <w:lang w:val="en-GB"/>
        </w:rPr>
        <w:t xml:space="preserve"> </w:t>
      </w:r>
      <w:r w:rsidR="000A55AE">
        <w:rPr>
          <w:lang w:val="en-GB"/>
        </w:rPr>
        <w:t xml:space="preserve">as </w:t>
      </w:r>
      <w:r>
        <w:rPr>
          <w:lang w:val="en-GB"/>
        </w:rPr>
        <w:t>t</w:t>
      </w:r>
      <w:r w:rsidR="00711C4D" w:rsidRPr="00711C4D">
        <w:rPr>
          <w:lang w:val="en-GB"/>
        </w:rPr>
        <w:t xml:space="preserve">he strict harmonization of templates, data etc. </w:t>
      </w:r>
      <w:r w:rsidR="000A55AE">
        <w:rPr>
          <w:lang w:val="en-GB"/>
        </w:rPr>
        <w:t>is</w:t>
      </w:r>
      <w:r w:rsidR="00711C4D" w:rsidRPr="00711C4D">
        <w:rPr>
          <w:lang w:val="en-GB"/>
        </w:rPr>
        <w:t xml:space="preserve"> not in line with the origin</w:t>
      </w:r>
      <w:r w:rsidR="000A55AE">
        <w:rPr>
          <w:lang w:val="en-GB"/>
        </w:rPr>
        <w:t>al</w:t>
      </w:r>
      <w:r w:rsidR="00711C4D" w:rsidRPr="00711C4D">
        <w:rPr>
          <w:lang w:val="en-GB"/>
        </w:rPr>
        <w:t xml:space="preserve"> intention of Pillar III. Furthermore, it is questionable if the risk profile of a bank can be interpreted by investors (e.g. PD time bands). As mentioned, especially the usefulness of a quarterly disclosure of some information (with not audited data) seems questionable.</w:t>
      </w:r>
    </w:p>
    <w:p w:rsidR="00F73C2B" w:rsidRDefault="00F73C2B" w:rsidP="00F73C2B">
      <w:pPr>
        <w:spacing w:line="240" w:lineRule="auto"/>
        <w:rPr>
          <w:b/>
          <w:bCs/>
          <w:szCs w:val="20"/>
          <w:lang w:val="en-US"/>
        </w:rPr>
      </w:pPr>
    </w:p>
    <w:p w:rsidR="00711C4D" w:rsidRPr="000A55AE" w:rsidRDefault="00711C4D" w:rsidP="00711C4D">
      <w:pPr>
        <w:spacing w:line="240" w:lineRule="auto"/>
        <w:rPr>
          <w:szCs w:val="20"/>
          <w:lang w:val="en-US"/>
        </w:rPr>
      </w:pPr>
      <w:r w:rsidRPr="000A55AE">
        <w:rPr>
          <w:b/>
          <w:bCs/>
          <w:szCs w:val="20"/>
          <w:lang w:val="en-US"/>
        </w:rPr>
        <w:t>Article 435 CRR</w:t>
      </w:r>
      <w:r w:rsidRPr="000A55AE">
        <w:rPr>
          <w:szCs w:val="20"/>
          <w:lang w:val="en-US"/>
        </w:rPr>
        <w:t xml:space="preserve">: We oppose the additions in “blue” to the requirements for Article 435 (1) (f) and Article 435 (1) (b), i.e. information intragroup transactions and disclosure on the control framework incl. approved limits, as these are neither required by the Basel template nor the CRR and therefore we see no justification to provide this additional disclosure </w:t>
      </w:r>
    </w:p>
    <w:p w:rsidR="00711C4D" w:rsidRPr="000A55AE" w:rsidRDefault="00711C4D" w:rsidP="00711C4D">
      <w:pPr>
        <w:numPr>
          <w:ilvl w:val="0"/>
          <w:numId w:val="23"/>
        </w:numPr>
        <w:spacing w:line="240" w:lineRule="auto"/>
        <w:rPr>
          <w:szCs w:val="20"/>
          <w:lang w:val="en-US"/>
        </w:rPr>
      </w:pPr>
      <w:r w:rsidRPr="000A55AE">
        <w:rPr>
          <w:szCs w:val="20"/>
          <w:lang w:val="en-US"/>
        </w:rPr>
        <w:t>With regard to Art 435 (1) (c) in our opinion the new wording is not reflective of either the Basel requirement or the deleted text of the CRR</w:t>
      </w:r>
    </w:p>
    <w:p w:rsidR="00711C4D" w:rsidRPr="000A55AE" w:rsidRDefault="00711C4D" w:rsidP="00711C4D">
      <w:pPr>
        <w:numPr>
          <w:ilvl w:val="0"/>
          <w:numId w:val="23"/>
        </w:numPr>
        <w:spacing w:line="240" w:lineRule="auto"/>
        <w:rPr>
          <w:szCs w:val="20"/>
          <w:lang w:val="en-US"/>
        </w:rPr>
      </w:pPr>
      <w:r w:rsidRPr="000A55AE">
        <w:rPr>
          <w:szCs w:val="20"/>
          <w:lang w:val="en-US"/>
        </w:rPr>
        <w:lastRenderedPageBreak/>
        <w:t>It is unclear where the requirements for Article 435 (2) (e) are covered in the guidelines, they are deleted from the table but allegedly covered in Section 4.3., however, this does not appear to be the case</w:t>
      </w:r>
    </w:p>
    <w:p w:rsidR="00711C4D" w:rsidRPr="000A55AE" w:rsidRDefault="00711C4D" w:rsidP="00711C4D">
      <w:pPr>
        <w:spacing w:line="240" w:lineRule="auto"/>
        <w:rPr>
          <w:szCs w:val="20"/>
          <w:lang w:val="en-US"/>
        </w:rPr>
      </w:pPr>
    </w:p>
    <w:p w:rsidR="00711C4D" w:rsidRPr="000A55AE" w:rsidRDefault="00711C4D" w:rsidP="00711C4D">
      <w:pPr>
        <w:spacing w:line="240" w:lineRule="auto"/>
        <w:rPr>
          <w:szCs w:val="20"/>
          <w:lang w:val="en-US"/>
        </w:rPr>
      </w:pPr>
      <w:r w:rsidRPr="000A55AE">
        <w:rPr>
          <w:b/>
          <w:bCs/>
          <w:szCs w:val="20"/>
          <w:lang w:val="en-US"/>
        </w:rPr>
        <w:t xml:space="preserve">Art 435 (1) (f) CRR/ table EU OVA </w:t>
      </w:r>
      <w:r w:rsidRPr="000A55AE">
        <w:rPr>
          <w:szCs w:val="20"/>
          <w:lang w:val="en-US"/>
        </w:rPr>
        <w:t>(Para 42</w:t>
      </w:r>
      <w:proofErr w:type="gramStart"/>
      <w:r w:rsidRPr="000A55AE">
        <w:rPr>
          <w:szCs w:val="20"/>
          <w:lang w:val="en-US"/>
        </w:rPr>
        <w:t>,page</w:t>
      </w:r>
      <w:proofErr w:type="gramEnd"/>
      <w:r w:rsidRPr="000A55AE">
        <w:rPr>
          <w:szCs w:val="20"/>
          <w:lang w:val="en-US"/>
        </w:rPr>
        <w:t xml:space="preserve"> 66) requires </w:t>
      </w:r>
      <w:r w:rsidRPr="000A55AE">
        <w:rPr>
          <w:b/>
          <w:bCs/>
          <w:szCs w:val="20"/>
          <w:lang w:val="en-US"/>
        </w:rPr>
        <w:t>table OVA</w:t>
      </w:r>
      <w:r w:rsidRPr="000A55AE">
        <w:rPr>
          <w:szCs w:val="20"/>
          <w:lang w:val="en-US"/>
        </w:rPr>
        <w:t xml:space="preserve"> for each separate risk category, however, the requirements under Article 435 (1) (f) are not risk specific and therefore cannot be disclosed at this level of detail. </w:t>
      </w:r>
    </w:p>
    <w:p w:rsidR="00711C4D" w:rsidRPr="000A55AE" w:rsidRDefault="00711C4D" w:rsidP="00711C4D">
      <w:pPr>
        <w:spacing w:line="240" w:lineRule="auto"/>
        <w:rPr>
          <w:szCs w:val="20"/>
          <w:lang w:val="en-US"/>
        </w:rPr>
      </w:pPr>
    </w:p>
    <w:p w:rsidR="00711C4D" w:rsidRPr="000A55AE" w:rsidRDefault="00711C4D" w:rsidP="00711C4D">
      <w:pPr>
        <w:spacing w:line="240" w:lineRule="auto"/>
        <w:rPr>
          <w:b/>
          <w:bCs/>
          <w:szCs w:val="20"/>
          <w:lang w:val="en-US"/>
        </w:rPr>
      </w:pPr>
      <w:r w:rsidRPr="000A55AE">
        <w:rPr>
          <w:b/>
          <w:bCs/>
          <w:szCs w:val="20"/>
          <w:lang w:val="en-US"/>
        </w:rPr>
        <w:t xml:space="preserve">Article 439 (e) CRR/template EU CCR5-A (page 151): </w:t>
      </w:r>
      <w:r w:rsidRPr="000A55AE">
        <w:rPr>
          <w:szCs w:val="20"/>
          <w:lang w:val="en-US"/>
        </w:rPr>
        <w:t>The gross positive fair value shall be reported on deal level and not on netting set level. The netting benefit and collateral impact is usually available on netting set level. The breakdown of the values which are available only on netting set level to the different product types and the matching to the gross positive fair value is not defined, therefore we may ask for a definition.</w:t>
      </w:r>
    </w:p>
    <w:p w:rsidR="00711C4D" w:rsidRPr="000A55AE" w:rsidRDefault="00711C4D" w:rsidP="00711C4D">
      <w:pPr>
        <w:spacing w:line="240" w:lineRule="auto"/>
        <w:rPr>
          <w:szCs w:val="20"/>
          <w:lang w:val="en-US"/>
        </w:rPr>
      </w:pPr>
      <w:r w:rsidRPr="000A55AE">
        <w:rPr>
          <w:szCs w:val="20"/>
          <w:lang w:val="en-US"/>
        </w:rPr>
        <w:t>Furthermore the consideration of the prudent value adjustments would in many cases reduce the fair values. The reduction would also reduce the counterparty credit risk and would cause a mismatch between the fair values and the collateral.</w:t>
      </w:r>
    </w:p>
    <w:p w:rsidR="00711C4D" w:rsidRPr="000A55AE" w:rsidRDefault="00711C4D" w:rsidP="00711C4D">
      <w:pPr>
        <w:spacing w:line="240" w:lineRule="auto"/>
        <w:rPr>
          <w:b/>
          <w:bCs/>
          <w:szCs w:val="20"/>
          <w:lang w:val="en-US"/>
        </w:rPr>
      </w:pPr>
    </w:p>
    <w:p w:rsidR="00711C4D" w:rsidRPr="000A55AE" w:rsidRDefault="00711C4D" w:rsidP="00711C4D">
      <w:pPr>
        <w:spacing w:line="240" w:lineRule="auto"/>
        <w:rPr>
          <w:b/>
          <w:bCs/>
          <w:szCs w:val="20"/>
          <w:lang w:val="en-US"/>
        </w:rPr>
      </w:pPr>
      <w:r w:rsidRPr="000A55AE">
        <w:rPr>
          <w:b/>
          <w:bCs/>
          <w:szCs w:val="20"/>
          <w:lang w:val="en-US"/>
        </w:rPr>
        <w:t xml:space="preserve">Article 439 (g) and (h) CRR/template EU CCR6-A: </w:t>
      </w:r>
      <w:r w:rsidRPr="000A55AE">
        <w:rPr>
          <w:szCs w:val="20"/>
          <w:lang w:val="en-US"/>
        </w:rPr>
        <w:t>It would be helpful if the underlying hedged exposure classes would be defined.</w:t>
      </w:r>
    </w:p>
    <w:p w:rsidR="00711C4D" w:rsidRPr="000A55AE" w:rsidRDefault="00711C4D" w:rsidP="00711C4D">
      <w:pPr>
        <w:spacing w:line="240" w:lineRule="auto"/>
        <w:rPr>
          <w:b/>
          <w:bCs/>
          <w:szCs w:val="20"/>
          <w:lang w:val="en-US"/>
        </w:rPr>
      </w:pPr>
    </w:p>
    <w:p w:rsidR="00711C4D" w:rsidRPr="000A55AE" w:rsidRDefault="00711C4D" w:rsidP="00711C4D">
      <w:pPr>
        <w:spacing w:line="240" w:lineRule="auto"/>
        <w:rPr>
          <w:szCs w:val="20"/>
          <w:lang w:val="en-US"/>
        </w:rPr>
      </w:pPr>
      <w:r w:rsidRPr="000A55AE">
        <w:rPr>
          <w:b/>
          <w:bCs/>
          <w:szCs w:val="20"/>
          <w:lang w:val="en-US"/>
        </w:rPr>
        <w:t xml:space="preserve">Article 445 CRR/template EU MR1-A: </w:t>
      </w:r>
      <w:r w:rsidRPr="000A55AE">
        <w:rPr>
          <w:szCs w:val="20"/>
          <w:lang w:val="en-US"/>
        </w:rPr>
        <w:t xml:space="preserve">We ask to define the methodology for the breakdown to asset classes </w:t>
      </w:r>
    </w:p>
    <w:p w:rsidR="00711C4D" w:rsidRPr="000A55AE" w:rsidRDefault="00711C4D" w:rsidP="00711C4D">
      <w:pPr>
        <w:spacing w:line="240" w:lineRule="auto"/>
        <w:rPr>
          <w:szCs w:val="20"/>
          <w:highlight w:val="yellow"/>
          <w:lang w:val="en-US"/>
        </w:rPr>
      </w:pPr>
    </w:p>
    <w:p w:rsidR="00711C4D" w:rsidRPr="000A55AE" w:rsidRDefault="00711C4D" w:rsidP="00711C4D">
      <w:pPr>
        <w:spacing w:line="240" w:lineRule="auto"/>
        <w:rPr>
          <w:szCs w:val="20"/>
          <w:lang w:val="en-US"/>
        </w:rPr>
      </w:pPr>
      <w:r w:rsidRPr="000A55AE">
        <w:rPr>
          <w:b/>
          <w:bCs/>
          <w:szCs w:val="20"/>
          <w:lang w:val="en-US"/>
        </w:rPr>
        <w:t>Article 455 (e) CRR/ template EU MR2-B</w:t>
      </w:r>
      <w:r w:rsidRPr="000A55AE">
        <w:rPr>
          <w:szCs w:val="20"/>
          <w:lang w:val="en-US"/>
        </w:rPr>
        <w:t xml:space="preserve">: </w:t>
      </w:r>
    </w:p>
    <w:p w:rsidR="00711C4D" w:rsidRPr="000A55AE" w:rsidRDefault="00711C4D" w:rsidP="00711C4D">
      <w:pPr>
        <w:numPr>
          <w:ilvl w:val="0"/>
          <w:numId w:val="24"/>
        </w:numPr>
        <w:spacing w:line="240" w:lineRule="auto"/>
        <w:rPr>
          <w:szCs w:val="20"/>
          <w:lang w:val="en-US"/>
        </w:rPr>
      </w:pPr>
      <w:r w:rsidRPr="000A55AE">
        <w:rPr>
          <w:szCs w:val="20"/>
          <w:lang w:val="en-US"/>
        </w:rPr>
        <w:t xml:space="preserve">Point 8a on page 43 defines the “RWA at </w:t>
      </w:r>
      <w:r w:rsidRPr="000A55AE">
        <w:rPr>
          <w:szCs w:val="20"/>
          <w:u w:val="single"/>
          <w:lang w:val="en-US"/>
        </w:rPr>
        <w:t>end of day quarter</w:t>
      </w:r>
      <w:r w:rsidRPr="000A55AE">
        <w:rPr>
          <w:szCs w:val="20"/>
          <w:lang w:val="en-US"/>
        </w:rPr>
        <w:t xml:space="preserve">”, whereas point 8a on page 160 defines the “RWA at </w:t>
      </w:r>
      <w:r w:rsidRPr="000A55AE">
        <w:rPr>
          <w:szCs w:val="20"/>
          <w:u w:val="single"/>
          <w:lang w:val="en-US"/>
        </w:rPr>
        <w:t>end of day previous quarter</w:t>
      </w:r>
      <w:r w:rsidRPr="000A55AE">
        <w:rPr>
          <w:szCs w:val="20"/>
          <w:lang w:val="en-US"/>
        </w:rPr>
        <w:t>”. We assume that the definition for point 8a on page 43 RWA at end of day quarter” is the correct on</w:t>
      </w:r>
      <w:r w:rsidR="000F07F9">
        <w:rPr>
          <w:szCs w:val="20"/>
          <w:lang w:val="en-US"/>
        </w:rPr>
        <w:t>e</w:t>
      </w:r>
      <w:r w:rsidRPr="000A55AE">
        <w:rPr>
          <w:szCs w:val="20"/>
          <w:lang w:val="en-US"/>
        </w:rPr>
        <w:t>.</w:t>
      </w:r>
    </w:p>
    <w:p w:rsidR="00711C4D" w:rsidRPr="000A55AE" w:rsidRDefault="00711C4D" w:rsidP="00711C4D">
      <w:pPr>
        <w:numPr>
          <w:ilvl w:val="0"/>
          <w:numId w:val="24"/>
        </w:numPr>
        <w:spacing w:line="240" w:lineRule="auto"/>
        <w:rPr>
          <w:szCs w:val="20"/>
          <w:lang w:val="en-US"/>
        </w:rPr>
      </w:pPr>
      <w:r w:rsidRPr="000A55AE">
        <w:rPr>
          <w:szCs w:val="20"/>
          <w:lang w:val="en-US"/>
        </w:rPr>
        <w:t>Furthermore we ask to define the requirements for the points 2-7 which are not clearly defined. Actually</w:t>
      </w:r>
      <w:bookmarkStart w:id="11" w:name="_GoBack"/>
      <w:bookmarkEnd w:id="11"/>
      <w:r w:rsidRPr="000A55AE">
        <w:rPr>
          <w:szCs w:val="20"/>
          <w:lang w:val="en-US"/>
        </w:rPr>
        <w:t xml:space="preserve"> there is room for interpretation; therefore detailed technical standards would bring more clarity.</w:t>
      </w:r>
    </w:p>
    <w:p w:rsidR="00711C4D" w:rsidRPr="00711C4D" w:rsidRDefault="00711C4D" w:rsidP="00711C4D">
      <w:pPr>
        <w:spacing w:line="240" w:lineRule="auto"/>
        <w:rPr>
          <w:lang w:val="en-US"/>
        </w:rPr>
      </w:pPr>
    </w:p>
    <w:p w:rsidR="003568E9" w:rsidRDefault="003568E9" w:rsidP="00C619D3">
      <w:pPr>
        <w:rPr>
          <w:lang w:val="en-US"/>
        </w:rPr>
      </w:pPr>
    </w:p>
    <w:p w:rsidR="00C11030" w:rsidRPr="005C7948" w:rsidRDefault="00C11030" w:rsidP="00C619D3">
      <w:pPr>
        <w:rPr>
          <w:lang w:val="en-US"/>
        </w:rPr>
      </w:pPr>
    </w:p>
    <w:p w:rsidR="00C84D8A" w:rsidRPr="00767DA3" w:rsidRDefault="00C66013" w:rsidP="00C619D3">
      <w:pPr>
        <w:spacing w:line="240" w:lineRule="auto"/>
        <w:rPr>
          <w:rFonts w:cs="Arial"/>
          <w:color w:val="000000"/>
          <w:lang w:val="en-GB" w:eastAsia="en-US"/>
        </w:rPr>
      </w:pPr>
      <w:r w:rsidRPr="00767DA3">
        <w:rPr>
          <w:rFonts w:cs="Arial"/>
          <w:color w:val="000000"/>
          <w:lang w:val="en-GB" w:eastAsia="en-US"/>
        </w:rPr>
        <w:t>We ask you to give our remarks du</w:t>
      </w:r>
      <w:r w:rsidR="00B960F5" w:rsidRPr="00767DA3">
        <w:rPr>
          <w:rFonts w:cs="Arial"/>
          <w:color w:val="000000"/>
          <w:lang w:val="en-GB" w:eastAsia="en-US"/>
        </w:rPr>
        <w:t>e consideration.</w:t>
      </w:r>
    </w:p>
    <w:p w:rsidR="00686189" w:rsidRPr="00767DA3" w:rsidRDefault="00686189" w:rsidP="00CE5D6F">
      <w:pPr>
        <w:spacing w:line="240" w:lineRule="auto"/>
        <w:rPr>
          <w:rFonts w:cs="Arial"/>
          <w:color w:val="000000"/>
          <w:lang w:val="en-GB" w:eastAsia="en-US"/>
        </w:rPr>
      </w:pPr>
    </w:p>
    <w:p w:rsidR="00686189" w:rsidRPr="00767DA3" w:rsidRDefault="00686189" w:rsidP="00CE5D6F">
      <w:pPr>
        <w:spacing w:line="240" w:lineRule="auto"/>
        <w:rPr>
          <w:rFonts w:cs="Arial"/>
          <w:color w:val="000000"/>
          <w:lang w:val="en-GB" w:eastAsia="en-US"/>
        </w:rPr>
      </w:pPr>
    </w:p>
    <w:p w:rsidR="00C84D8A" w:rsidRPr="00767DA3" w:rsidRDefault="00686189" w:rsidP="00CE5D6F">
      <w:pPr>
        <w:spacing w:line="240" w:lineRule="auto"/>
        <w:rPr>
          <w:rFonts w:cs="Arial"/>
          <w:color w:val="000000"/>
          <w:lang w:val="en-GB" w:eastAsia="en-US"/>
        </w:rPr>
      </w:pPr>
      <w:r w:rsidRPr="00767DA3">
        <w:rPr>
          <w:rFonts w:cs="Arial"/>
          <w:color w:val="000000"/>
          <w:lang w:val="en-GB" w:eastAsia="en-US"/>
        </w:rPr>
        <w:t>Y</w:t>
      </w:r>
      <w:r w:rsidR="00C84D8A" w:rsidRPr="00767DA3">
        <w:rPr>
          <w:rFonts w:cs="Arial"/>
          <w:color w:val="000000"/>
          <w:lang w:val="en-GB" w:eastAsia="en-US"/>
        </w:rPr>
        <w:t xml:space="preserve">ours </w:t>
      </w:r>
      <w:r w:rsidR="004A01A9" w:rsidRPr="00767DA3">
        <w:rPr>
          <w:rFonts w:cs="Arial"/>
          <w:color w:val="000000"/>
          <w:lang w:val="en-GB" w:eastAsia="en-US"/>
        </w:rPr>
        <w:t>sincerely</w:t>
      </w:r>
      <w:r w:rsidR="00C84D8A" w:rsidRPr="00767DA3">
        <w:rPr>
          <w:rFonts w:cs="Arial"/>
          <w:color w:val="000000"/>
          <w:lang w:val="en-GB" w:eastAsia="en-US"/>
        </w:rPr>
        <w:t>,</w:t>
      </w:r>
    </w:p>
    <w:p w:rsidR="00F31CB0" w:rsidRPr="00767DA3" w:rsidRDefault="00F31CB0" w:rsidP="00CE5D6F">
      <w:pPr>
        <w:spacing w:line="240" w:lineRule="auto"/>
        <w:rPr>
          <w:rFonts w:cs="Arial"/>
          <w:color w:val="000000"/>
          <w:lang w:val="en-GB" w:eastAsia="en-US"/>
        </w:rPr>
      </w:pPr>
    </w:p>
    <w:p w:rsidR="00C84D8A" w:rsidRPr="00767DA3" w:rsidRDefault="00C84D8A" w:rsidP="00CE5D6F">
      <w:pPr>
        <w:spacing w:line="240" w:lineRule="auto"/>
        <w:rPr>
          <w:rFonts w:cs="Arial"/>
          <w:color w:val="000000"/>
          <w:lang w:val="en-GB" w:eastAsia="en-US"/>
        </w:rPr>
      </w:pPr>
      <w:proofErr w:type="spellStart"/>
      <w:r w:rsidRPr="00767DA3">
        <w:rPr>
          <w:rFonts w:cs="Arial"/>
          <w:color w:val="000000"/>
          <w:lang w:val="en-GB" w:eastAsia="en-US"/>
        </w:rPr>
        <w:t>Dr.</w:t>
      </w:r>
      <w:proofErr w:type="spellEnd"/>
      <w:r w:rsidRPr="00767DA3">
        <w:rPr>
          <w:rFonts w:cs="Arial"/>
          <w:color w:val="000000"/>
          <w:lang w:val="en-GB" w:eastAsia="en-US"/>
        </w:rPr>
        <w:t xml:space="preserve"> Franz Rudorfer</w:t>
      </w:r>
    </w:p>
    <w:p w:rsidR="00C84D8A" w:rsidRPr="00767DA3" w:rsidRDefault="00C84D8A" w:rsidP="00CE5D6F">
      <w:pPr>
        <w:spacing w:line="240" w:lineRule="auto"/>
        <w:rPr>
          <w:rFonts w:cs="Arial"/>
          <w:color w:val="000000"/>
          <w:lang w:val="en-GB" w:eastAsia="en-US"/>
        </w:rPr>
      </w:pPr>
      <w:r w:rsidRPr="00767DA3">
        <w:rPr>
          <w:rFonts w:cs="Arial"/>
          <w:color w:val="000000"/>
          <w:lang w:val="en-GB" w:eastAsia="en-US"/>
        </w:rPr>
        <w:t>Managing Director</w:t>
      </w:r>
    </w:p>
    <w:p w:rsidR="005E1BA5" w:rsidRPr="00767DA3" w:rsidRDefault="00C84D8A" w:rsidP="00CE5D6F">
      <w:pPr>
        <w:spacing w:line="240" w:lineRule="auto"/>
        <w:rPr>
          <w:noProof/>
          <w:lang w:val="en-GB"/>
        </w:rPr>
      </w:pPr>
      <w:r w:rsidRPr="00767DA3">
        <w:rPr>
          <w:rFonts w:cs="Arial"/>
          <w:color w:val="000000"/>
          <w:lang w:val="en-GB" w:eastAsia="en-US"/>
        </w:rPr>
        <w:t>Division Bank and Insurance</w:t>
      </w:r>
    </w:p>
    <w:p w:rsidR="00346DF4" w:rsidRPr="007C2846" w:rsidRDefault="00346DF4" w:rsidP="00CE5D6F">
      <w:pPr>
        <w:spacing w:line="240" w:lineRule="auto"/>
        <w:rPr>
          <w:noProof/>
          <w:lang w:val="en-GB"/>
        </w:rPr>
      </w:pPr>
    </w:p>
    <w:sectPr w:rsidR="00346DF4" w:rsidRPr="007C2846" w:rsidSect="00F700E4">
      <w:headerReference w:type="default" r:id="rId9"/>
      <w:headerReference w:type="first" r:id="rId10"/>
      <w:pgSz w:w="11906" w:h="16838"/>
      <w:pgMar w:top="1701" w:right="851" w:bottom="1134" w:left="1418" w:header="708"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582" w:rsidRDefault="00D44582">
      <w:r>
        <w:separator/>
      </w:r>
    </w:p>
  </w:endnote>
  <w:endnote w:type="continuationSeparator" w:id="0">
    <w:p w:rsidR="00D44582" w:rsidRDefault="00D44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582" w:rsidRDefault="00D44582">
      <w:r>
        <w:separator/>
      </w:r>
    </w:p>
  </w:footnote>
  <w:footnote w:type="continuationSeparator" w:id="0">
    <w:p w:rsidR="00D44582" w:rsidRDefault="00D445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18E" w:rsidRDefault="0014018E">
    <w:pPr>
      <w:pStyle w:val="Kopfzeile"/>
      <w:jc w:val="center"/>
    </w:pPr>
    <w:r>
      <w:t xml:space="preserve">- </w:t>
    </w:r>
    <w:r w:rsidR="008D5D3B">
      <w:rPr>
        <w:rStyle w:val="Seitenzahl"/>
      </w:rPr>
      <w:fldChar w:fldCharType="begin"/>
    </w:r>
    <w:r>
      <w:rPr>
        <w:rStyle w:val="Seitenzahl"/>
      </w:rPr>
      <w:instrText xml:space="preserve"> PAGE </w:instrText>
    </w:r>
    <w:r w:rsidR="008D5D3B">
      <w:rPr>
        <w:rStyle w:val="Seitenzahl"/>
      </w:rPr>
      <w:fldChar w:fldCharType="separate"/>
    </w:r>
    <w:r w:rsidR="0072525B">
      <w:rPr>
        <w:rStyle w:val="Seitenzahl"/>
        <w:noProof/>
      </w:rPr>
      <w:t>5</w:t>
    </w:r>
    <w:r w:rsidR="008D5D3B">
      <w:rPr>
        <w:rStyle w:val="Seitenzahl"/>
      </w:rPr>
      <w:fldChar w:fldCharType="end"/>
    </w:r>
    <w:r>
      <w:rPr>
        <w:rStyle w:val="Seitenzah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18E" w:rsidRDefault="0014018E">
    <w:pPr>
      <w:pStyle w:val="Kopfzeile"/>
      <w:jc w:val="right"/>
    </w:pPr>
    <w:r>
      <w:rPr>
        <w:noProof/>
        <w:snapToGrid/>
        <w:lang w:val="de-AT"/>
      </w:rPr>
      <w:drawing>
        <wp:anchor distT="0" distB="0" distL="114300" distR="114300" simplePos="0" relativeHeight="251657728" behindDoc="0" locked="1" layoutInCell="0" allowOverlap="1">
          <wp:simplePos x="0" y="0"/>
          <wp:positionH relativeFrom="page">
            <wp:posOffset>4859655</wp:posOffset>
          </wp:positionH>
          <wp:positionV relativeFrom="page">
            <wp:posOffset>197485</wp:posOffset>
          </wp:positionV>
          <wp:extent cx="2210435" cy="861695"/>
          <wp:effectExtent l="19050" t="0" r="0" b="0"/>
          <wp:wrapTopAndBottom/>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210435" cy="86169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7379"/>
    <w:multiLevelType w:val="hybridMultilevel"/>
    <w:tmpl w:val="21AAB92E"/>
    <w:lvl w:ilvl="0" w:tplc="0C070001">
      <w:start w:val="1"/>
      <w:numFmt w:val="bullet"/>
      <w:lvlText w:val=""/>
      <w:lvlJc w:val="left"/>
      <w:pPr>
        <w:ind w:left="720" w:hanging="360"/>
      </w:pPr>
      <w:rPr>
        <w:rFonts w:ascii="Symbol" w:hAnsi="Symbol"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062F63C5"/>
    <w:multiLevelType w:val="hybridMultilevel"/>
    <w:tmpl w:val="758CF3B8"/>
    <w:lvl w:ilvl="0" w:tplc="42760B6C">
      <w:start w:val="1"/>
      <w:numFmt w:val="bullet"/>
      <w:lvlText w:val="-"/>
      <w:lvlJc w:val="left"/>
      <w:pPr>
        <w:ind w:left="1080" w:hanging="360"/>
      </w:pPr>
      <w:rPr>
        <w:rFonts w:ascii="Arial" w:eastAsia="Calibri" w:hAnsi="Arial" w:cs="Aria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
    <w:nsid w:val="0AF578A7"/>
    <w:multiLevelType w:val="hybridMultilevel"/>
    <w:tmpl w:val="A74EFC70"/>
    <w:lvl w:ilvl="0" w:tplc="719E4B78">
      <w:start w:val="1"/>
      <w:numFmt w:val="bullet"/>
      <w:lvlText w:val="-"/>
      <w:lvlJc w:val="left"/>
      <w:pPr>
        <w:ind w:left="1080" w:hanging="360"/>
      </w:pPr>
      <w:rPr>
        <w:rFonts w:ascii="Arial" w:eastAsia="Calibri" w:hAnsi="Arial" w:cs="Aria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
    <w:nsid w:val="16880E9B"/>
    <w:multiLevelType w:val="hybridMultilevel"/>
    <w:tmpl w:val="19B0B4CA"/>
    <w:lvl w:ilvl="0" w:tplc="1CD2FC34">
      <w:start w:val="1"/>
      <w:numFmt w:val="upperLetter"/>
      <w:lvlText w:val="%1."/>
      <w:lvlJc w:val="left"/>
      <w:pPr>
        <w:ind w:left="720" w:hanging="360"/>
      </w:pPr>
      <w:rPr>
        <w:rFonts w:ascii="Trebuchet MS" w:eastAsiaTheme="minorHAnsi" w:hAnsi="Trebuchet MS" w:cs="Arial" w:hint="default"/>
        <w:u w:val="single"/>
        <w:lang w:val="en-G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nsid w:val="1ABC437B"/>
    <w:multiLevelType w:val="hybridMultilevel"/>
    <w:tmpl w:val="0340032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1D003BED"/>
    <w:multiLevelType w:val="hybridMultilevel"/>
    <w:tmpl w:val="6A6293A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nsid w:val="20510C88"/>
    <w:multiLevelType w:val="hybridMultilevel"/>
    <w:tmpl w:val="BAFAAA72"/>
    <w:lvl w:ilvl="0" w:tplc="2A10F854">
      <w:numFmt w:val="bullet"/>
      <w:lvlText w:val="-"/>
      <w:lvlJc w:val="left"/>
      <w:pPr>
        <w:ind w:left="360" w:hanging="360"/>
      </w:pPr>
      <w:rPr>
        <w:rFonts w:ascii="Arial" w:eastAsia="Times New Roman" w:hAnsi="Arial" w:cs="Times New Roman" w:hint="default"/>
      </w:rPr>
    </w:lvl>
    <w:lvl w:ilvl="1" w:tplc="0C070003">
      <w:start w:val="1"/>
      <w:numFmt w:val="bullet"/>
      <w:lvlText w:val="o"/>
      <w:lvlJc w:val="left"/>
      <w:pPr>
        <w:ind w:left="1080" w:hanging="360"/>
      </w:pPr>
      <w:rPr>
        <w:rFonts w:ascii="Courier New" w:hAnsi="Courier New" w:cs="Times New Roman"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Times New Roman"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Times New Roman" w:hint="default"/>
      </w:rPr>
    </w:lvl>
    <w:lvl w:ilvl="8" w:tplc="0C070005">
      <w:start w:val="1"/>
      <w:numFmt w:val="bullet"/>
      <w:lvlText w:val=""/>
      <w:lvlJc w:val="left"/>
      <w:pPr>
        <w:ind w:left="6120" w:hanging="360"/>
      </w:pPr>
      <w:rPr>
        <w:rFonts w:ascii="Wingdings" w:hAnsi="Wingdings" w:hint="default"/>
      </w:rPr>
    </w:lvl>
  </w:abstractNum>
  <w:abstractNum w:abstractNumId="7">
    <w:nsid w:val="21FB435A"/>
    <w:multiLevelType w:val="hybridMultilevel"/>
    <w:tmpl w:val="430A2FC0"/>
    <w:lvl w:ilvl="0" w:tplc="C558677A">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8">
    <w:nsid w:val="25920B5A"/>
    <w:multiLevelType w:val="hybridMultilevel"/>
    <w:tmpl w:val="458C926E"/>
    <w:lvl w:ilvl="0" w:tplc="15FEF840">
      <w:numFmt w:val="bullet"/>
      <w:lvlText w:val="-"/>
      <w:lvlJc w:val="left"/>
      <w:pPr>
        <w:ind w:left="1776" w:hanging="360"/>
      </w:pPr>
      <w:rPr>
        <w:rFonts w:ascii="Arial" w:eastAsia="Calibri" w:hAnsi="Arial" w:cs="Arial" w:hint="default"/>
      </w:rPr>
    </w:lvl>
    <w:lvl w:ilvl="1" w:tplc="0C070003" w:tentative="1">
      <w:start w:val="1"/>
      <w:numFmt w:val="bullet"/>
      <w:lvlText w:val="o"/>
      <w:lvlJc w:val="left"/>
      <w:pPr>
        <w:ind w:left="2496" w:hanging="360"/>
      </w:pPr>
      <w:rPr>
        <w:rFonts w:ascii="Courier New" w:hAnsi="Courier New" w:cs="Courier New" w:hint="default"/>
      </w:rPr>
    </w:lvl>
    <w:lvl w:ilvl="2" w:tplc="0C070005" w:tentative="1">
      <w:start w:val="1"/>
      <w:numFmt w:val="bullet"/>
      <w:lvlText w:val=""/>
      <w:lvlJc w:val="left"/>
      <w:pPr>
        <w:ind w:left="3216" w:hanging="360"/>
      </w:pPr>
      <w:rPr>
        <w:rFonts w:ascii="Wingdings" w:hAnsi="Wingdings" w:hint="default"/>
      </w:rPr>
    </w:lvl>
    <w:lvl w:ilvl="3" w:tplc="0C070001" w:tentative="1">
      <w:start w:val="1"/>
      <w:numFmt w:val="bullet"/>
      <w:lvlText w:val=""/>
      <w:lvlJc w:val="left"/>
      <w:pPr>
        <w:ind w:left="3936" w:hanging="360"/>
      </w:pPr>
      <w:rPr>
        <w:rFonts w:ascii="Symbol" w:hAnsi="Symbol" w:hint="default"/>
      </w:rPr>
    </w:lvl>
    <w:lvl w:ilvl="4" w:tplc="0C070003" w:tentative="1">
      <w:start w:val="1"/>
      <w:numFmt w:val="bullet"/>
      <w:lvlText w:val="o"/>
      <w:lvlJc w:val="left"/>
      <w:pPr>
        <w:ind w:left="4656" w:hanging="360"/>
      </w:pPr>
      <w:rPr>
        <w:rFonts w:ascii="Courier New" w:hAnsi="Courier New" w:cs="Courier New" w:hint="default"/>
      </w:rPr>
    </w:lvl>
    <w:lvl w:ilvl="5" w:tplc="0C070005" w:tentative="1">
      <w:start w:val="1"/>
      <w:numFmt w:val="bullet"/>
      <w:lvlText w:val=""/>
      <w:lvlJc w:val="left"/>
      <w:pPr>
        <w:ind w:left="5376" w:hanging="360"/>
      </w:pPr>
      <w:rPr>
        <w:rFonts w:ascii="Wingdings" w:hAnsi="Wingdings" w:hint="default"/>
      </w:rPr>
    </w:lvl>
    <w:lvl w:ilvl="6" w:tplc="0C070001" w:tentative="1">
      <w:start w:val="1"/>
      <w:numFmt w:val="bullet"/>
      <w:lvlText w:val=""/>
      <w:lvlJc w:val="left"/>
      <w:pPr>
        <w:ind w:left="6096" w:hanging="360"/>
      </w:pPr>
      <w:rPr>
        <w:rFonts w:ascii="Symbol" w:hAnsi="Symbol" w:hint="default"/>
      </w:rPr>
    </w:lvl>
    <w:lvl w:ilvl="7" w:tplc="0C070003" w:tentative="1">
      <w:start w:val="1"/>
      <w:numFmt w:val="bullet"/>
      <w:lvlText w:val="o"/>
      <w:lvlJc w:val="left"/>
      <w:pPr>
        <w:ind w:left="6816" w:hanging="360"/>
      </w:pPr>
      <w:rPr>
        <w:rFonts w:ascii="Courier New" w:hAnsi="Courier New" w:cs="Courier New" w:hint="default"/>
      </w:rPr>
    </w:lvl>
    <w:lvl w:ilvl="8" w:tplc="0C070005" w:tentative="1">
      <w:start w:val="1"/>
      <w:numFmt w:val="bullet"/>
      <w:lvlText w:val=""/>
      <w:lvlJc w:val="left"/>
      <w:pPr>
        <w:ind w:left="7536" w:hanging="360"/>
      </w:pPr>
      <w:rPr>
        <w:rFonts w:ascii="Wingdings" w:hAnsi="Wingdings" w:hint="default"/>
      </w:rPr>
    </w:lvl>
  </w:abstractNum>
  <w:abstractNum w:abstractNumId="9">
    <w:nsid w:val="2E7B5DE9"/>
    <w:multiLevelType w:val="hybridMultilevel"/>
    <w:tmpl w:val="12188C80"/>
    <w:lvl w:ilvl="0" w:tplc="2A10F854">
      <w:numFmt w:val="bullet"/>
      <w:lvlText w:val="-"/>
      <w:lvlJc w:val="left"/>
      <w:pPr>
        <w:ind w:left="360" w:hanging="360"/>
      </w:pPr>
      <w:rPr>
        <w:rFonts w:ascii="Arial" w:eastAsia="Times New Roman" w:hAnsi="Arial" w:cs="Times New Roman" w:hint="default"/>
      </w:rPr>
    </w:lvl>
    <w:lvl w:ilvl="1" w:tplc="0C070003">
      <w:start w:val="1"/>
      <w:numFmt w:val="bullet"/>
      <w:lvlText w:val="o"/>
      <w:lvlJc w:val="left"/>
      <w:pPr>
        <w:ind w:left="1080" w:hanging="360"/>
      </w:pPr>
      <w:rPr>
        <w:rFonts w:ascii="Courier New" w:hAnsi="Courier New" w:cs="Times New Roman"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Times New Roman"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Times New Roman" w:hint="default"/>
      </w:rPr>
    </w:lvl>
    <w:lvl w:ilvl="8" w:tplc="0C070005">
      <w:start w:val="1"/>
      <w:numFmt w:val="bullet"/>
      <w:lvlText w:val=""/>
      <w:lvlJc w:val="left"/>
      <w:pPr>
        <w:ind w:left="6120" w:hanging="360"/>
      </w:pPr>
      <w:rPr>
        <w:rFonts w:ascii="Wingdings" w:hAnsi="Wingdings" w:hint="default"/>
      </w:rPr>
    </w:lvl>
  </w:abstractNum>
  <w:abstractNum w:abstractNumId="10">
    <w:nsid w:val="2F7E33E9"/>
    <w:multiLevelType w:val="hybridMultilevel"/>
    <w:tmpl w:val="AE08DDC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nsid w:val="38D75D37"/>
    <w:multiLevelType w:val="hybridMultilevel"/>
    <w:tmpl w:val="A6160BC2"/>
    <w:lvl w:ilvl="0" w:tplc="0C07000B">
      <w:start w:val="1"/>
      <w:numFmt w:val="bullet"/>
      <w:lvlText w:val=""/>
      <w:lvlJc w:val="left"/>
      <w:pPr>
        <w:ind w:left="360" w:hanging="360"/>
      </w:pPr>
      <w:rPr>
        <w:rFonts w:ascii="Wingdings" w:hAnsi="Wingdings" w:hint="default"/>
      </w:rPr>
    </w:lvl>
    <w:lvl w:ilvl="1" w:tplc="0C070003">
      <w:start w:val="1"/>
      <w:numFmt w:val="bullet"/>
      <w:lvlText w:val="o"/>
      <w:lvlJc w:val="left"/>
      <w:pPr>
        <w:ind w:left="1080" w:hanging="360"/>
      </w:pPr>
      <w:rPr>
        <w:rFonts w:ascii="Courier New" w:hAnsi="Courier New" w:cs="Times New Roman"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Times New Roman"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Times New Roman" w:hint="default"/>
      </w:rPr>
    </w:lvl>
    <w:lvl w:ilvl="8" w:tplc="0C070005">
      <w:start w:val="1"/>
      <w:numFmt w:val="bullet"/>
      <w:lvlText w:val=""/>
      <w:lvlJc w:val="left"/>
      <w:pPr>
        <w:ind w:left="6120" w:hanging="360"/>
      </w:pPr>
      <w:rPr>
        <w:rFonts w:ascii="Wingdings" w:hAnsi="Wingdings" w:hint="default"/>
      </w:rPr>
    </w:lvl>
  </w:abstractNum>
  <w:abstractNum w:abstractNumId="12">
    <w:nsid w:val="46A97C8C"/>
    <w:multiLevelType w:val="hybridMultilevel"/>
    <w:tmpl w:val="A09AD710"/>
    <w:lvl w:ilvl="0" w:tplc="04070001">
      <w:start w:val="1"/>
      <w:numFmt w:val="bullet"/>
      <w:lvlText w:val=""/>
      <w:lvlJc w:val="left"/>
      <w:pPr>
        <w:ind w:left="36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3">
    <w:nsid w:val="48D71814"/>
    <w:multiLevelType w:val="hybridMultilevel"/>
    <w:tmpl w:val="FD02C0A0"/>
    <w:lvl w:ilvl="0" w:tplc="2B72F944">
      <w:start w:val="2"/>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4B0135A3"/>
    <w:multiLevelType w:val="hybridMultilevel"/>
    <w:tmpl w:val="FACE7CFC"/>
    <w:lvl w:ilvl="0" w:tplc="E57EB9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36F1603"/>
    <w:multiLevelType w:val="hybridMultilevel"/>
    <w:tmpl w:val="526A3F40"/>
    <w:lvl w:ilvl="0" w:tplc="0C070013">
      <w:start w:val="1"/>
      <w:numFmt w:val="upperRoman"/>
      <w:lvlText w:val="%1."/>
      <w:lvlJc w:val="righ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nsid w:val="587A10D2"/>
    <w:multiLevelType w:val="hybridMultilevel"/>
    <w:tmpl w:val="1D8E3446"/>
    <w:lvl w:ilvl="0" w:tplc="61902CC4">
      <w:numFmt w:val="bullet"/>
      <w:lvlText w:val="-"/>
      <w:lvlJc w:val="left"/>
      <w:pPr>
        <w:ind w:left="720" w:hanging="360"/>
      </w:pPr>
      <w:rPr>
        <w:rFonts w:ascii="Trebuchet MS" w:eastAsia="Times New Roman" w:hAnsi="Trebuchet MS" w:cs="Trebuchet M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58D53930"/>
    <w:multiLevelType w:val="hybridMultilevel"/>
    <w:tmpl w:val="4E128B8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60A61DB9"/>
    <w:multiLevelType w:val="hybridMultilevel"/>
    <w:tmpl w:val="3A06503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65C210E1"/>
    <w:multiLevelType w:val="hybridMultilevel"/>
    <w:tmpl w:val="D2EC6886"/>
    <w:lvl w:ilvl="0" w:tplc="516AC5AA">
      <w:start w:val="1"/>
      <w:numFmt w:val="lowerRoman"/>
      <w:lvlText w:val="(%1)"/>
      <w:lvlJc w:val="left"/>
      <w:pPr>
        <w:ind w:left="1440" w:hanging="720"/>
      </w:pPr>
      <w:rPr>
        <w:rFonts w:ascii="Trebuchet MS" w:eastAsia="Calibri" w:hAnsi="Trebuchet MS" w:cs="Times New Roman"/>
      </w:rPr>
    </w:lvl>
    <w:lvl w:ilvl="1" w:tplc="0C070019">
      <w:start w:val="1"/>
      <w:numFmt w:val="lowerLetter"/>
      <w:lvlText w:val="%2."/>
      <w:lvlJc w:val="left"/>
      <w:pPr>
        <w:ind w:left="1800" w:hanging="360"/>
      </w:pPr>
    </w:lvl>
    <w:lvl w:ilvl="2" w:tplc="0C07001B">
      <w:start w:val="1"/>
      <w:numFmt w:val="lowerRoman"/>
      <w:lvlText w:val="%3."/>
      <w:lvlJc w:val="right"/>
      <w:pPr>
        <w:ind w:left="2520" w:hanging="180"/>
      </w:pPr>
    </w:lvl>
    <w:lvl w:ilvl="3" w:tplc="0C07000F">
      <w:start w:val="1"/>
      <w:numFmt w:val="decimal"/>
      <w:lvlText w:val="%4."/>
      <w:lvlJc w:val="left"/>
      <w:pPr>
        <w:ind w:left="3240" w:hanging="360"/>
      </w:pPr>
    </w:lvl>
    <w:lvl w:ilvl="4" w:tplc="0C070019">
      <w:start w:val="1"/>
      <w:numFmt w:val="lowerLetter"/>
      <w:lvlText w:val="%5."/>
      <w:lvlJc w:val="left"/>
      <w:pPr>
        <w:ind w:left="3960" w:hanging="360"/>
      </w:pPr>
    </w:lvl>
    <w:lvl w:ilvl="5" w:tplc="0C07001B">
      <w:start w:val="1"/>
      <w:numFmt w:val="lowerRoman"/>
      <w:lvlText w:val="%6."/>
      <w:lvlJc w:val="right"/>
      <w:pPr>
        <w:ind w:left="4680" w:hanging="180"/>
      </w:pPr>
    </w:lvl>
    <w:lvl w:ilvl="6" w:tplc="0C07000F">
      <w:start w:val="1"/>
      <w:numFmt w:val="decimal"/>
      <w:lvlText w:val="%7."/>
      <w:lvlJc w:val="left"/>
      <w:pPr>
        <w:ind w:left="5400" w:hanging="360"/>
      </w:pPr>
    </w:lvl>
    <w:lvl w:ilvl="7" w:tplc="0C070019">
      <w:start w:val="1"/>
      <w:numFmt w:val="lowerLetter"/>
      <w:lvlText w:val="%8."/>
      <w:lvlJc w:val="left"/>
      <w:pPr>
        <w:ind w:left="6120" w:hanging="360"/>
      </w:pPr>
    </w:lvl>
    <w:lvl w:ilvl="8" w:tplc="0C07001B">
      <w:start w:val="1"/>
      <w:numFmt w:val="lowerRoman"/>
      <w:lvlText w:val="%9."/>
      <w:lvlJc w:val="right"/>
      <w:pPr>
        <w:ind w:left="6840" w:hanging="180"/>
      </w:pPr>
    </w:lvl>
  </w:abstractNum>
  <w:abstractNum w:abstractNumId="20">
    <w:nsid w:val="6DFA673E"/>
    <w:multiLevelType w:val="hybridMultilevel"/>
    <w:tmpl w:val="E04C4170"/>
    <w:lvl w:ilvl="0" w:tplc="C558677A">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21">
    <w:nsid w:val="6F7E1336"/>
    <w:multiLevelType w:val="hybridMultilevel"/>
    <w:tmpl w:val="CF7A09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nsid w:val="720A428C"/>
    <w:multiLevelType w:val="hybridMultilevel"/>
    <w:tmpl w:val="9514CBB0"/>
    <w:lvl w:ilvl="0" w:tplc="567C697E">
      <w:numFmt w:val="bullet"/>
      <w:lvlText w:val="-"/>
      <w:lvlJc w:val="left"/>
      <w:pPr>
        <w:ind w:left="1080" w:hanging="360"/>
      </w:pPr>
      <w:rPr>
        <w:rFonts w:ascii="Arial" w:eastAsia="Calibri" w:hAnsi="Arial" w:cs="Aria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3">
    <w:nsid w:val="72462943"/>
    <w:multiLevelType w:val="hybridMultilevel"/>
    <w:tmpl w:val="384ADF18"/>
    <w:lvl w:ilvl="0" w:tplc="0C070013">
      <w:start w:val="1"/>
      <w:numFmt w:val="upperRoman"/>
      <w:lvlText w:val="%1."/>
      <w:lvlJc w:val="righ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4">
    <w:nsid w:val="7C004F2D"/>
    <w:multiLevelType w:val="hybridMultilevel"/>
    <w:tmpl w:val="6E82D81A"/>
    <w:lvl w:ilvl="0" w:tplc="C558677A">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num w:numId="1">
    <w:abstractNumId w:val="16"/>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0"/>
  </w:num>
  <w:num w:numId="5">
    <w:abstractNumId w:val="24"/>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5"/>
  </w:num>
  <w:num w:numId="9">
    <w:abstractNumId w:val="4"/>
  </w:num>
  <w:num w:numId="10">
    <w:abstractNumId w:val="21"/>
  </w:num>
  <w:num w:numId="11">
    <w:abstractNumId w:val="17"/>
  </w:num>
  <w:num w:numId="12">
    <w:abstractNumId w:val="23"/>
  </w:num>
  <w:num w:numId="13">
    <w:abstractNumId w:val="3"/>
  </w:num>
  <w:num w:numId="14">
    <w:abstractNumId w:val="0"/>
  </w:num>
  <w:num w:numId="15">
    <w:abstractNumId w:val="18"/>
  </w:num>
  <w:num w:numId="16">
    <w:abstractNumId w:val="22"/>
  </w:num>
  <w:num w:numId="17">
    <w:abstractNumId w:val="2"/>
  </w:num>
  <w:num w:numId="18">
    <w:abstractNumId w:val="1"/>
  </w:num>
  <w:num w:numId="19">
    <w:abstractNumId w:val="8"/>
  </w:num>
  <w:num w:numId="20">
    <w:abstractNumId w:val="13"/>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9"/>
  </w:num>
  <w:num w:numId="24">
    <w:abstractNumId w:val="6"/>
  </w:num>
  <w:num w:numId="25">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0CC"/>
    <w:rsid w:val="00001730"/>
    <w:rsid w:val="00013086"/>
    <w:rsid w:val="000135FB"/>
    <w:rsid w:val="000163E0"/>
    <w:rsid w:val="00021DBA"/>
    <w:rsid w:val="00024D8C"/>
    <w:rsid w:val="00026657"/>
    <w:rsid w:val="00035D58"/>
    <w:rsid w:val="00041C1E"/>
    <w:rsid w:val="00044A71"/>
    <w:rsid w:val="00053316"/>
    <w:rsid w:val="00057439"/>
    <w:rsid w:val="00061814"/>
    <w:rsid w:val="000619FB"/>
    <w:rsid w:val="0006215B"/>
    <w:rsid w:val="00071436"/>
    <w:rsid w:val="00071BF7"/>
    <w:rsid w:val="00080E83"/>
    <w:rsid w:val="0008171B"/>
    <w:rsid w:val="0008527D"/>
    <w:rsid w:val="0008698A"/>
    <w:rsid w:val="00086BFB"/>
    <w:rsid w:val="000919C4"/>
    <w:rsid w:val="00094EB8"/>
    <w:rsid w:val="0009753B"/>
    <w:rsid w:val="000A0183"/>
    <w:rsid w:val="000A205C"/>
    <w:rsid w:val="000A4FC6"/>
    <w:rsid w:val="000A55AE"/>
    <w:rsid w:val="000A771B"/>
    <w:rsid w:val="000A7D13"/>
    <w:rsid w:val="000B2CE7"/>
    <w:rsid w:val="000B449E"/>
    <w:rsid w:val="000B4D96"/>
    <w:rsid w:val="000B572C"/>
    <w:rsid w:val="000D7538"/>
    <w:rsid w:val="000E511B"/>
    <w:rsid w:val="000F07F9"/>
    <w:rsid w:val="000F1070"/>
    <w:rsid w:val="000F2220"/>
    <w:rsid w:val="000F28BB"/>
    <w:rsid w:val="000F3572"/>
    <w:rsid w:val="000F74C7"/>
    <w:rsid w:val="00101144"/>
    <w:rsid w:val="00101383"/>
    <w:rsid w:val="001042B8"/>
    <w:rsid w:val="00105F0E"/>
    <w:rsid w:val="0011743A"/>
    <w:rsid w:val="00121770"/>
    <w:rsid w:val="00121CBD"/>
    <w:rsid w:val="001276A5"/>
    <w:rsid w:val="00127F3B"/>
    <w:rsid w:val="00131416"/>
    <w:rsid w:val="00131A98"/>
    <w:rsid w:val="00135A40"/>
    <w:rsid w:val="00137EF5"/>
    <w:rsid w:val="0014018E"/>
    <w:rsid w:val="0014746B"/>
    <w:rsid w:val="00151673"/>
    <w:rsid w:val="00151A78"/>
    <w:rsid w:val="00155AEE"/>
    <w:rsid w:val="00161914"/>
    <w:rsid w:val="00163CC0"/>
    <w:rsid w:val="00163DDA"/>
    <w:rsid w:val="00174D0C"/>
    <w:rsid w:val="00183969"/>
    <w:rsid w:val="00196D5C"/>
    <w:rsid w:val="00196EB4"/>
    <w:rsid w:val="001974F7"/>
    <w:rsid w:val="001B0788"/>
    <w:rsid w:val="001B4AB0"/>
    <w:rsid w:val="001C4931"/>
    <w:rsid w:val="001C49F8"/>
    <w:rsid w:val="001D40CC"/>
    <w:rsid w:val="001E0374"/>
    <w:rsid w:val="001F3545"/>
    <w:rsid w:val="002045CC"/>
    <w:rsid w:val="00205DE9"/>
    <w:rsid w:val="002061DD"/>
    <w:rsid w:val="00207AC9"/>
    <w:rsid w:val="00210FDF"/>
    <w:rsid w:val="00224981"/>
    <w:rsid w:val="00240D9B"/>
    <w:rsid w:val="0026358F"/>
    <w:rsid w:val="00264C67"/>
    <w:rsid w:val="00265C18"/>
    <w:rsid w:val="002711FC"/>
    <w:rsid w:val="00272C43"/>
    <w:rsid w:val="00280548"/>
    <w:rsid w:val="00282636"/>
    <w:rsid w:val="0028446E"/>
    <w:rsid w:val="00287819"/>
    <w:rsid w:val="00293410"/>
    <w:rsid w:val="00296269"/>
    <w:rsid w:val="002A00E4"/>
    <w:rsid w:val="002A15C7"/>
    <w:rsid w:val="002A3540"/>
    <w:rsid w:val="002B08BD"/>
    <w:rsid w:val="002B3BF4"/>
    <w:rsid w:val="002B4B41"/>
    <w:rsid w:val="002D14BF"/>
    <w:rsid w:val="002D4A90"/>
    <w:rsid w:val="002D69C4"/>
    <w:rsid w:val="002E4BD0"/>
    <w:rsid w:val="002F1DC4"/>
    <w:rsid w:val="003104AE"/>
    <w:rsid w:val="00312578"/>
    <w:rsid w:val="00316718"/>
    <w:rsid w:val="0031680D"/>
    <w:rsid w:val="00320A42"/>
    <w:rsid w:val="00325FCF"/>
    <w:rsid w:val="00327DD3"/>
    <w:rsid w:val="003303C4"/>
    <w:rsid w:val="00344DB8"/>
    <w:rsid w:val="00346DF4"/>
    <w:rsid w:val="00356254"/>
    <w:rsid w:val="003568E9"/>
    <w:rsid w:val="00361B24"/>
    <w:rsid w:val="003814C3"/>
    <w:rsid w:val="00384948"/>
    <w:rsid w:val="00390AC7"/>
    <w:rsid w:val="003933A5"/>
    <w:rsid w:val="0039371D"/>
    <w:rsid w:val="003A5633"/>
    <w:rsid w:val="003B3D28"/>
    <w:rsid w:val="003B6B36"/>
    <w:rsid w:val="003C35DC"/>
    <w:rsid w:val="003C5804"/>
    <w:rsid w:val="003C622F"/>
    <w:rsid w:val="003C7778"/>
    <w:rsid w:val="003D07A4"/>
    <w:rsid w:val="003E09A5"/>
    <w:rsid w:val="003E6845"/>
    <w:rsid w:val="003F44A2"/>
    <w:rsid w:val="003F5EEF"/>
    <w:rsid w:val="003F6706"/>
    <w:rsid w:val="00404863"/>
    <w:rsid w:val="004235FB"/>
    <w:rsid w:val="00425684"/>
    <w:rsid w:val="00430245"/>
    <w:rsid w:val="004302FD"/>
    <w:rsid w:val="004339AE"/>
    <w:rsid w:val="004400CB"/>
    <w:rsid w:val="00445FAF"/>
    <w:rsid w:val="0044708F"/>
    <w:rsid w:val="00450B6F"/>
    <w:rsid w:val="00461F65"/>
    <w:rsid w:val="004632A4"/>
    <w:rsid w:val="00470480"/>
    <w:rsid w:val="004745CD"/>
    <w:rsid w:val="00480120"/>
    <w:rsid w:val="00482639"/>
    <w:rsid w:val="00485220"/>
    <w:rsid w:val="0048523B"/>
    <w:rsid w:val="00487A00"/>
    <w:rsid w:val="004926F1"/>
    <w:rsid w:val="004A01A9"/>
    <w:rsid w:val="004A115F"/>
    <w:rsid w:val="004B2194"/>
    <w:rsid w:val="004C0E9B"/>
    <w:rsid w:val="004C5E94"/>
    <w:rsid w:val="004C6FA4"/>
    <w:rsid w:val="004D1102"/>
    <w:rsid w:val="004D1A1E"/>
    <w:rsid w:val="004E2249"/>
    <w:rsid w:val="004E2A45"/>
    <w:rsid w:val="004E51E5"/>
    <w:rsid w:val="004F1B60"/>
    <w:rsid w:val="004F53C0"/>
    <w:rsid w:val="004F6198"/>
    <w:rsid w:val="00505343"/>
    <w:rsid w:val="0051495A"/>
    <w:rsid w:val="00517690"/>
    <w:rsid w:val="00521B7F"/>
    <w:rsid w:val="00535CF4"/>
    <w:rsid w:val="00550380"/>
    <w:rsid w:val="005548F9"/>
    <w:rsid w:val="00556359"/>
    <w:rsid w:val="00560A66"/>
    <w:rsid w:val="00562C44"/>
    <w:rsid w:val="00576F32"/>
    <w:rsid w:val="00590AAE"/>
    <w:rsid w:val="00596B5B"/>
    <w:rsid w:val="005A2D33"/>
    <w:rsid w:val="005B1218"/>
    <w:rsid w:val="005B2525"/>
    <w:rsid w:val="005B3FB7"/>
    <w:rsid w:val="005C04FF"/>
    <w:rsid w:val="005C218C"/>
    <w:rsid w:val="005C7948"/>
    <w:rsid w:val="005D0470"/>
    <w:rsid w:val="005D08DC"/>
    <w:rsid w:val="005D0B33"/>
    <w:rsid w:val="005D1620"/>
    <w:rsid w:val="005D4F47"/>
    <w:rsid w:val="005E1BA5"/>
    <w:rsid w:val="005E7180"/>
    <w:rsid w:val="005F5B48"/>
    <w:rsid w:val="005F632A"/>
    <w:rsid w:val="00606AFA"/>
    <w:rsid w:val="00622B51"/>
    <w:rsid w:val="00623752"/>
    <w:rsid w:val="00623872"/>
    <w:rsid w:val="006261AF"/>
    <w:rsid w:val="00641DC4"/>
    <w:rsid w:val="00642235"/>
    <w:rsid w:val="00642A57"/>
    <w:rsid w:val="006471E3"/>
    <w:rsid w:val="00650AE5"/>
    <w:rsid w:val="006518A3"/>
    <w:rsid w:val="0065464B"/>
    <w:rsid w:val="00677F47"/>
    <w:rsid w:val="00683614"/>
    <w:rsid w:val="0068403B"/>
    <w:rsid w:val="00686189"/>
    <w:rsid w:val="0069309F"/>
    <w:rsid w:val="00694B28"/>
    <w:rsid w:val="006A55B4"/>
    <w:rsid w:val="006B05A1"/>
    <w:rsid w:val="006C33D2"/>
    <w:rsid w:val="006D6427"/>
    <w:rsid w:val="006E0163"/>
    <w:rsid w:val="006E5185"/>
    <w:rsid w:val="0070253E"/>
    <w:rsid w:val="007053E7"/>
    <w:rsid w:val="007114EC"/>
    <w:rsid w:val="00711C4D"/>
    <w:rsid w:val="007203E6"/>
    <w:rsid w:val="007230AC"/>
    <w:rsid w:val="00724C39"/>
    <w:rsid w:val="0072525B"/>
    <w:rsid w:val="0072798F"/>
    <w:rsid w:val="00732AFB"/>
    <w:rsid w:val="0073402F"/>
    <w:rsid w:val="0073440E"/>
    <w:rsid w:val="00743A63"/>
    <w:rsid w:val="00754BAF"/>
    <w:rsid w:val="00766B69"/>
    <w:rsid w:val="00767DA3"/>
    <w:rsid w:val="007755BF"/>
    <w:rsid w:val="007757A9"/>
    <w:rsid w:val="007762A4"/>
    <w:rsid w:val="00776348"/>
    <w:rsid w:val="007816E4"/>
    <w:rsid w:val="00782541"/>
    <w:rsid w:val="00783F4D"/>
    <w:rsid w:val="007846C2"/>
    <w:rsid w:val="00795782"/>
    <w:rsid w:val="007A01B8"/>
    <w:rsid w:val="007A1751"/>
    <w:rsid w:val="007B32D2"/>
    <w:rsid w:val="007B3A82"/>
    <w:rsid w:val="007B3EA1"/>
    <w:rsid w:val="007B641D"/>
    <w:rsid w:val="007C2846"/>
    <w:rsid w:val="007C2F92"/>
    <w:rsid w:val="007D0A79"/>
    <w:rsid w:val="007D3573"/>
    <w:rsid w:val="007D4FE3"/>
    <w:rsid w:val="007E6B3B"/>
    <w:rsid w:val="007F5F54"/>
    <w:rsid w:val="00801234"/>
    <w:rsid w:val="0080414A"/>
    <w:rsid w:val="0081169B"/>
    <w:rsid w:val="00811CE5"/>
    <w:rsid w:val="00812F74"/>
    <w:rsid w:val="00815C5E"/>
    <w:rsid w:val="00816598"/>
    <w:rsid w:val="008255E7"/>
    <w:rsid w:val="008351DF"/>
    <w:rsid w:val="008406BB"/>
    <w:rsid w:val="0084684D"/>
    <w:rsid w:val="0086077B"/>
    <w:rsid w:val="00864AF6"/>
    <w:rsid w:val="008720A6"/>
    <w:rsid w:val="008745CD"/>
    <w:rsid w:val="00881BC0"/>
    <w:rsid w:val="00884544"/>
    <w:rsid w:val="0088500E"/>
    <w:rsid w:val="0089476E"/>
    <w:rsid w:val="008953FC"/>
    <w:rsid w:val="008B1362"/>
    <w:rsid w:val="008B1D1A"/>
    <w:rsid w:val="008C0AE8"/>
    <w:rsid w:val="008C0C66"/>
    <w:rsid w:val="008C679C"/>
    <w:rsid w:val="008D1E25"/>
    <w:rsid w:val="008D469D"/>
    <w:rsid w:val="008D5D3B"/>
    <w:rsid w:val="008D70E6"/>
    <w:rsid w:val="008D77D7"/>
    <w:rsid w:val="008E02AC"/>
    <w:rsid w:val="008F1DD3"/>
    <w:rsid w:val="008F3076"/>
    <w:rsid w:val="008F3EA3"/>
    <w:rsid w:val="0091585E"/>
    <w:rsid w:val="009303DC"/>
    <w:rsid w:val="00935B03"/>
    <w:rsid w:val="00935BB6"/>
    <w:rsid w:val="0093708A"/>
    <w:rsid w:val="00942F6C"/>
    <w:rsid w:val="0094333B"/>
    <w:rsid w:val="0094518B"/>
    <w:rsid w:val="009458C0"/>
    <w:rsid w:val="009632CC"/>
    <w:rsid w:val="00965380"/>
    <w:rsid w:val="009853E1"/>
    <w:rsid w:val="009922DC"/>
    <w:rsid w:val="009A6947"/>
    <w:rsid w:val="009B6C3A"/>
    <w:rsid w:val="009C1E08"/>
    <w:rsid w:val="009C6136"/>
    <w:rsid w:val="009D188F"/>
    <w:rsid w:val="009D58FA"/>
    <w:rsid w:val="009E1189"/>
    <w:rsid w:val="009E5929"/>
    <w:rsid w:val="009E5A12"/>
    <w:rsid w:val="009E66CA"/>
    <w:rsid w:val="009F4450"/>
    <w:rsid w:val="009F57DA"/>
    <w:rsid w:val="009F6A00"/>
    <w:rsid w:val="00A01B18"/>
    <w:rsid w:val="00A0265B"/>
    <w:rsid w:val="00A07FE0"/>
    <w:rsid w:val="00A147F7"/>
    <w:rsid w:val="00A21AEC"/>
    <w:rsid w:val="00A23371"/>
    <w:rsid w:val="00A23661"/>
    <w:rsid w:val="00A36834"/>
    <w:rsid w:val="00A42F7B"/>
    <w:rsid w:val="00A437DE"/>
    <w:rsid w:val="00A44D5F"/>
    <w:rsid w:val="00A500F1"/>
    <w:rsid w:val="00A5381E"/>
    <w:rsid w:val="00A54C2F"/>
    <w:rsid w:val="00A55757"/>
    <w:rsid w:val="00A64C34"/>
    <w:rsid w:val="00A705F5"/>
    <w:rsid w:val="00A707A7"/>
    <w:rsid w:val="00A70C7D"/>
    <w:rsid w:val="00A81341"/>
    <w:rsid w:val="00A82C13"/>
    <w:rsid w:val="00A8532A"/>
    <w:rsid w:val="00A955F6"/>
    <w:rsid w:val="00A97AE7"/>
    <w:rsid w:val="00AA0432"/>
    <w:rsid w:val="00AB5857"/>
    <w:rsid w:val="00AB59B3"/>
    <w:rsid w:val="00AD053F"/>
    <w:rsid w:val="00AE02B3"/>
    <w:rsid w:val="00AE457B"/>
    <w:rsid w:val="00AE6511"/>
    <w:rsid w:val="00B020A3"/>
    <w:rsid w:val="00B10218"/>
    <w:rsid w:val="00B17B80"/>
    <w:rsid w:val="00B22761"/>
    <w:rsid w:val="00B32456"/>
    <w:rsid w:val="00B36C46"/>
    <w:rsid w:val="00B447AA"/>
    <w:rsid w:val="00B467F0"/>
    <w:rsid w:val="00B46C57"/>
    <w:rsid w:val="00B51CB0"/>
    <w:rsid w:val="00B532F2"/>
    <w:rsid w:val="00B55633"/>
    <w:rsid w:val="00B57C55"/>
    <w:rsid w:val="00B6209E"/>
    <w:rsid w:val="00B63C71"/>
    <w:rsid w:val="00B64838"/>
    <w:rsid w:val="00B6488D"/>
    <w:rsid w:val="00B6710C"/>
    <w:rsid w:val="00B67CEF"/>
    <w:rsid w:val="00B85379"/>
    <w:rsid w:val="00B8623F"/>
    <w:rsid w:val="00B93882"/>
    <w:rsid w:val="00B960F5"/>
    <w:rsid w:val="00BA5BEC"/>
    <w:rsid w:val="00BA5E95"/>
    <w:rsid w:val="00BA6878"/>
    <w:rsid w:val="00BA7A5E"/>
    <w:rsid w:val="00BB344D"/>
    <w:rsid w:val="00BC6569"/>
    <w:rsid w:val="00BD2D5E"/>
    <w:rsid w:val="00BD3A1D"/>
    <w:rsid w:val="00BD7362"/>
    <w:rsid w:val="00BE7A33"/>
    <w:rsid w:val="00BF1820"/>
    <w:rsid w:val="00BF2A57"/>
    <w:rsid w:val="00BF3BB7"/>
    <w:rsid w:val="00C02F42"/>
    <w:rsid w:val="00C044AE"/>
    <w:rsid w:val="00C11030"/>
    <w:rsid w:val="00C21BF0"/>
    <w:rsid w:val="00C23AED"/>
    <w:rsid w:val="00C3459A"/>
    <w:rsid w:val="00C34E41"/>
    <w:rsid w:val="00C358D5"/>
    <w:rsid w:val="00C376E8"/>
    <w:rsid w:val="00C406D2"/>
    <w:rsid w:val="00C47B46"/>
    <w:rsid w:val="00C519C2"/>
    <w:rsid w:val="00C543F8"/>
    <w:rsid w:val="00C619D3"/>
    <w:rsid w:val="00C64B6E"/>
    <w:rsid w:val="00C66013"/>
    <w:rsid w:val="00C728A8"/>
    <w:rsid w:val="00C84D8A"/>
    <w:rsid w:val="00C97D15"/>
    <w:rsid w:val="00CA1356"/>
    <w:rsid w:val="00CA6A50"/>
    <w:rsid w:val="00CB2954"/>
    <w:rsid w:val="00CB797F"/>
    <w:rsid w:val="00CC1072"/>
    <w:rsid w:val="00CD2A67"/>
    <w:rsid w:val="00CD4E8C"/>
    <w:rsid w:val="00CD4ED3"/>
    <w:rsid w:val="00CE1526"/>
    <w:rsid w:val="00CE1A19"/>
    <w:rsid w:val="00CE3F94"/>
    <w:rsid w:val="00CE4DD7"/>
    <w:rsid w:val="00CE5D6F"/>
    <w:rsid w:val="00CF63BD"/>
    <w:rsid w:val="00D10757"/>
    <w:rsid w:val="00D1088D"/>
    <w:rsid w:val="00D35759"/>
    <w:rsid w:val="00D364F4"/>
    <w:rsid w:val="00D371BE"/>
    <w:rsid w:val="00D37B81"/>
    <w:rsid w:val="00D42F9C"/>
    <w:rsid w:val="00D44582"/>
    <w:rsid w:val="00D51EC2"/>
    <w:rsid w:val="00D55968"/>
    <w:rsid w:val="00D57833"/>
    <w:rsid w:val="00D614D3"/>
    <w:rsid w:val="00D61E2F"/>
    <w:rsid w:val="00D63F9C"/>
    <w:rsid w:val="00D6614C"/>
    <w:rsid w:val="00D679C5"/>
    <w:rsid w:val="00D708D7"/>
    <w:rsid w:val="00D76BDD"/>
    <w:rsid w:val="00D77C55"/>
    <w:rsid w:val="00D82226"/>
    <w:rsid w:val="00D84A26"/>
    <w:rsid w:val="00D90D34"/>
    <w:rsid w:val="00D9226A"/>
    <w:rsid w:val="00DA13B9"/>
    <w:rsid w:val="00DA5251"/>
    <w:rsid w:val="00DB117B"/>
    <w:rsid w:val="00DB4FF8"/>
    <w:rsid w:val="00DC0A36"/>
    <w:rsid w:val="00DC2F9C"/>
    <w:rsid w:val="00DD4E27"/>
    <w:rsid w:val="00DE0704"/>
    <w:rsid w:val="00DE4F8D"/>
    <w:rsid w:val="00E0664D"/>
    <w:rsid w:val="00E2444D"/>
    <w:rsid w:val="00E25162"/>
    <w:rsid w:val="00E260A8"/>
    <w:rsid w:val="00E376EA"/>
    <w:rsid w:val="00E40277"/>
    <w:rsid w:val="00E41DFD"/>
    <w:rsid w:val="00E4233B"/>
    <w:rsid w:val="00E45332"/>
    <w:rsid w:val="00E505CF"/>
    <w:rsid w:val="00E51B60"/>
    <w:rsid w:val="00E671CE"/>
    <w:rsid w:val="00E72490"/>
    <w:rsid w:val="00E754C8"/>
    <w:rsid w:val="00E8006A"/>
    <w:rsid w:val="00E81371"/>
    <w:rsid w:val="00E82191"/>
    <w:rsid w:val="00E87DCD"/>
    <w:rsid w:val="00E95C5D"/>
    <w:rsid w:val="00EA1FF4"/>
    <w:rsid w:val="00EB13E2"/>
    <w:rsid w:val="00EB2182"/>
    <w:rsid w:val="00EB3B01"/>
    <w:rsid w:val="00EC6597"/>
    <w:rsid w:val="00ED0561"/>
    <w:rsid w:val="00ED171E"/>
    <w:rsid w:val="00ED2466"/>
    <w:rsid w:val="00EE33EF"/>
    <w:rsid w:val="00F039F2"/>
    <w:rsid w:val="00F06018"/>
    <w:rsid w:val="00F17F3D"/>
    <w:rsid w:val="00F21921"/>
    <w:rsid w:val="00F253EA"/>
    <w:rsid w:val="00F26986"/>
    <w:rsid w:val="00F31CB0"/>
    <w:rsid w:val="00F37341"/>
    <w:rsid w:val="00F42876"/>
    <w:rsid w:val="00F472AC"/>
    <w:rsid w:val="00F57342"/>
    <w:rsid w:val="00F700E4"/>
    <w:rsid w:val="00F71922"/>
    <w:rsid w:val="00F73C2B"/>
    <w:rsid w:val="00F744E0"/>
    <w:rsid w:val="00F77CC4"/>
    <w:rsid w:val="00F77E12"/>
    <w:rsid w:val="00F8025E"/>
    <w:rsid w:val="00F83CF8"/>
    <w:rsid w:val="00F878D2"/>
    <w:rsid w:val="00F90148"/>
    <w:rsid w:val="00F9470D"/>
    <w:rsid w:val="00F9528C"/>
    <w:rsid w:val="00FB464A"/>
    <w:rsid w:val="00FB6113"/>
    <w:rsid w:val="00FC5F01"/>
    <w:rsid w:val="00FD1999"/>
    <w:rsid w:val="00FD1D18"/>
    <w:rsid w:val="00FD26FE"/>
    <w:rsid w:val="00FD48B2"/>
    <w:rsid w:val="00FD4B23"/>
    <w:rsid w:val="00FE48D6"/>
    <w:rsid w:val="00FF18C9"/>
    <w:rsid w:val="00FF7EB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700E4"/>
    <w:pPr>
      <w:spacing w:line="280" w:lineRule="atLeast"/>
    </w:pPr>
    <w:rPr>
      <w:rFonts w:ascii="Trebuchet MS" w:hAnsi="Trebuchet MS" w:cs="Trebuchet MS"/>
      <w:snapToGrid w:val="0"/>
      <w:sz w:val="22"/>
      <w:szCs w:val="22"/>
      <w:lang w:val="de-DE"/>
    </w:rPr>
  </w:style>
  <w:style w:type="paragraph" w:styleId="berschrift1">
    <w:name w:val="heading 1"/>
    <w:basedOn w:val="Standard"/>
    <w:next w:val="Standard"/>
    <w:qFormat/>
    <w:rsid w:val="00F700E4"/>
    <w:pPr>
      <w:keepNext/>
      <w:pageBreakBefore/>
      <w:spacing w:after="360"/>
      <w:outlineLvl w:val="0"/>
    </w:pPr>
    <w:rPr>
      <w:rFonts w:ascii="Times New Roman" w:hAnsi="Times New Roman" w:cs="Times New Roman"/>
      <w:b/>
      <w:bCs/>
      <w:caps/>
      <w:kern w:val="28"/>
      <w:sz w:val="48"/>
      <w:szCs w:val="48"/>
    </w:rPr>
  </w:style>
  <w:style w:type="paragraph" w:styleId="berschrift2">
    <w:name w:val="heading 2"/>
    <w:basedOn w:val="Standard"/>
    <w:next w:val="Standard"/>
    <w:qFormat/>
    <w:rsid w:val="00F700E4"/>
    <w:pPr>
      <w:keepNext/>
      <w:spacing w:before="240" w:after="240"/>
      <w:outlineLvl w:val="1"/>
    </w:pPr>
    <w:rPr>
      <w:rFonts w:ascii="Times New Roman" w:hAnsi="Times New Roman" w:cs="Times New Roman"/>
      <w:b/>
      <w:bCs/>
      <w:caps/>
      <w:sz w:val="32"/>
      <w:szCs w:val="32"/>
    </w:rPr>
  </w:style>
  <w:style w:type="paragraph" w:styleId="berschrift3">
    <w:name w:val="heading 3"/>
    <w:basedOn w:val="Standard"/>
    <w:next w:val="Standard"/>
    <w:qFormat/>
    <w:rsid w:val="00F700E4"/>
    <w:pPr>
      <w:keepNext/>
      <w:spacing w:before="240" w:after="240"/>
      <w:outlineLvl w:val="2"/>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F700E4"/>
    <w:rPr>
      <w:sz w:val="18"/>
      <w:szCs w:val="18"/>
    </w:rPr>
  </w:style>
  <w:style w:type="paragraph" w:styleId="Kopfzeile">
    <w:name w:val="header"/>
    <w:basedOn w:val="Standard"/>
    <w:rsid w:val="00F700E4"/>
    <w:pPr>
      <w:tabs>
        <w:tab w:val="center" w:pos="4536"/>
        <w:tab w:val="right" w:pos="9072"/>
      </w:tabs>
    </w:pPr>
  </w:style>
  <w:style w:type="paragraph" w:styleId="Fuzeile">
    <w:name w:val="footer"/>
    <w:basedOn w:val="Standard"/>
    <w:link w:val="FuzeileZchn"/>
    <w:uiPriority w:val="99"/>
    <w:rsid w:val="00F700E4"/>
    <w:pPr>
      <w:tabs>
        <w:tab w:val="center" w:pos="4536"/>
        <w:tab w:val="right" w:pos="9072"/>
      </w:tabs>
    </w:pPr>
  </w:style>
  <w:style w:type="character" w:styleId="Seitenzahl">
    <w:name w:val="page number"/>
    <w:basedOn w:val="Absatz-Standardschriftart"/>
    <w:rsid w:val="00F700E4"/>
  </w:style>
  <w:style w:type="paragraph" w:styleId="Sprechblasentext">
    <w:name w:val="Balloon Text"/>
    <w:basedOn w:val="Standard"/>
    <w:semiHidden/>
    <w:rsid w:val="00F700E4"/>
    <w:rPr>
      <w:rFonts w:ascii="Times New Roman" w:hAnsi="Times New Roman" w:cs="Times New Roman"/>
      <w:sz w:val="16"/>
      <w:szCs w:val="16"/>
    </w:rPr>
  </w:style>
  <w:style w:type="paragraph" w:styleId="Titel">
    <w:name w:val="Title"/>
    <w:basedOn w:val="Standard"/>
    <w:qFormat/>
    <w:rsid w:val="00F700E4"/>
    <w:pPr>
      <w:spacing w:line="240" w:lineRule="auto"/>
      <w:jc w:val="center"/>
    </w:pPr>
    <w:rPr>
      <w:rFonts w:ascii="Arial" w:hAnsi="Arial" w:cs="Arial"/>
      <w:b/>
      <w:bCs/>
      <w:sz w:val="24"/>
      <w:szCs w:val="24"/>
    </w:rPr>
  </w:style>
  <w:style w:type="character" w:customStyle="1" w:styleId="tw4winMark">
    <w:name w:val="tw4winMark"/>
    <w:rsid w:val="00F700E4"/>
    <w:rPr>
      <w:rFonts w:ascii="Courier New" w:hAnsi="Courier New" w:cs="Courier New"/>
      <w:vanish/>
      <w:color w:val="800080"/>
      <w:sz w:val="24"/>
      <w:szCs w:val="24"/>
      <w:vertAlign w:val="subscript"/>
    </w:rPr>
  </w:style>
  <w:style w:type="character" w:customStyle="1" w:styleId="tw4winError">
    <w:name w:val="tw4winError"/>
    <w:rsid w:val="00F700E4"/>
    <w:rPr>
      <w:rFonts w:ascii="Courier New" w:hAnsi="Courier New" w:cs="Courier New"/>
      <w:color w:val="00FF00"/>
      <w:sz w:val="40"/>
      <w:szCs w:val="40"/>
    </w:rPr>
  </w:style>
  <w:style w:type="character" w:customStyle="1" w:styleId="tw4winTerm">
    <w:name w:val="tw4winTerm"/>
    <w:rsid w:val="00F700E4"/>
    <w:rPr>
      <w:color w:val="0000FF"/>
    </w:rPr>
  </w:style>
  <w:style w:type="character" w:customStyle="1" w:styleId="tw4winPopup">
    <w:name w:val="tw4winPopup"/>
    <w:rsid w:val="00F700E4"/>
    <w:rPr>
      <w:rFonts w:ascii="Courier New" w:hAnsi="Courier New" w:cs="Courier New"/>
      <w:noProof/>
      <w:color w:val="008000"/>
    </w:rPr>
  </w:style>
  <w:style w:type="character" w:customStyle="1" w:styleId="tw4winJump">
    <w:name w:val="tw4winJump"/>
    <w:rsid w:val="00F700E4"/>
    <w:rPr>
      <w:rFonts w:ascii="Courier New" w:hAnsi="Courier New" w:cs="Courier New"/>
      <w:noProof/>
      <w:color w:val="008080"/>
    </w:rPr>
  </w:style>
  <w:style w:type="character" w:customStyle="1" w:styleId="tw4winExternal">
    <w:name w:val="tw4winExternal"/>
    <w:rsid w:val="00F700E4"/>
    <w:rPr>
      <w:rFonts w:ascii="Courier New" w:hAnsi="Courier New" w:cs="Courier New"/>
      <w:noProof/>
      <w:color w:val="808080"/>
    </w:rPr>
  </w:style>
  <w:style w:type="character" w:customStyle="1" w:styleId="tw4winInternal">
    <w:name w:val="tw4winInternal"/>
    <w:rsid w:val="00F700E4"/>
    <w:rPr>
      <w:rFonts w:ascii="Courier New" w:hAnsi="Courier New" w:cs="Courier New"/>
      <w:noProof/>
      <w:color w:val="FF0000"/>
    </w:rPr>
  </w:style>
  <w:style w:type="character" w:customStyle="1" w:styleId="DONOTTRANSLATE">
    <w:name w:val="DO_NOT_TRANSLATE"/>
    <w:rsid w:val="00F700E4"/>
    <w:rPr>
      <w:rFonts w:ascii="Courier New" w:hAnsi="Courier New" w:cs="Courier New"/>
      <w:noProof/>
      <w:color w:val="800000"/>
    </w:rPr>
  </w:style>
  <w:style w:type="paragraph" w:styleId="NurText">
    <w:name w:val="Plain Text"/>
    <w:basedOn w:val="Standard"/>
    <w:link w:val="NurTextZchn"/>
    <w:uiPriority w:val="99"/>
    <w:unhideWhenUsed/>
    <w:rsid w:val="00B55633"/>
    <w:pPr>
      <w:spacing w:line="240" w:lineRule="auto"/>
    </w:pPr>
    <w:rPr>
      <w:rFonts w:ascii="Consolas" w:eastAsia="Calibri" w:hAnsi="Consolas" w:cs="Times New Roman"/>
      <w:snapToGrid/>
      <w:sz w:val="21"/>
      <w:szCs w:val="21"/>
      <w:lang w:val="de-AT" w:eastAsia="en-US"/>
    </w:rPr>
  </w:style>
  <w:style w:type="character" w:customStyle="1" w:styleId="NurTextZchn">
    <w:name w:val="Nur Text Zchn"/>
    <w:basedOn w:val="Absatz-Standardschriftart"/>
    <w:link w:val="NurText"/>
    <w:uiPriority w:val="99"/>
    <w:rsid w:val="00B55633"/>
    <w:rPr>
      <w:rFonts w:ascii="Consolas" w:eastAsia="Calibri" w:hAnsi="Consolas" w:cs="Times New Roman"/>
      <w:sz w:val="21"/>
      <w:szCs w:val="21"/>
      <w:lang w:eastAsia="en-US"/>
    </w:rPr>
  </w:style>
  <w:style w:type="character" w:styleId="Hervorhebung">
    <w:name w:val="Emphasis"/>
    <w:basedOn w:val="Absatz-Standardschriftart"/>
    <w:uiPriority w:val="20"/>
    <w:qFormat/>
    <w:rsid w:val="008B1362"/>
    <w:rPr>
      <w:i/>
      <w:iCs/>
    </w:rPr>
  </w:style>
  <w:style w:type="paragraph" w:styleId="Listenabsatz">
    <w:name w:val="List Paragraph"/>
    <w:aliases w:val="Paragraphe EI,Paragraphe de liste1,EC"/>
    <w:basedOn w:val="Standard"/>
    <w:link w:val="ListenabsatzZchn"/>
    <w:uiPriority w:val="34"/>
    <w:qFormat/>
    <w:rsid w:val="00CD2A67"/>
    <w:pPr>
      <w:ind w:left="720"/>
      <w:contextualSpacing/>
    </w:pPr>
  </w:style>
  <w:style w:type="paragraph" w:styleId="StandardWeb">
    <w:name w:val="Normal (Web)"/>
    <w:basedOn w:val="Standard"/>
    <w:uiPriority w:val="99"/>
    <w:unhideWhenUsed/>
    <w:rsid w:val="00B63C71"/>
    <w:pPr>
      <w:spacing w:before="100" w:beforeAutospacing="1" w:after="100" w:afterAutospacing="1" w:line="240" w:lineRule="auto"/>
    </w:pPr>
    <w:rPr>
      <w:rFonts w:ascii="Times New Roman" w:eastAsiaTheme="minorHAnsi" w:hAnsi="Times New Roman" w:cs="Times New Roman"/>
      <w:snapToGrid/>
      <w:sz w:val="24"/>
      <w:szCs w:val="24"/>
      <w:lang w:val="de-AT"/>
    </w:rPr>
  </w:style>
  <w:style w:type="character" w:styleId="Fett">
    <w:name w:val="Strong"/>
    <w:basedOn w:val="Absatz-Standardschriftart"/>
    <w:uiPriority w:val="22"/>
    <w:qFormat/>
    <w:rsid w:val="00B63C71"/>
    <w:rPr>
      <w:b/>
      <w:bCs/>
    </w:rPr>
  </w:style>
  <w:style w:type="character" w:customStyle="1" w:styleId="FuzeileZchn">
    <w:name w:val="Fußzeile Zchn"/>
    <w:basedOn w:val="Absatz-Standardschriftart"/>
    <w:link w:val="Fuzeile"/>
    <w:uiPriority w:val="99"/>
    <w:rsid w:val="00ED2466"/>
    <w:rPr>
      <w:rFonts w:ascii="Trebuchet MS" w:hAnsi="Trebuchet MS" w:cs="Trebuchet MS"/>
      <w:snapToGrid w:val="0"/>
      <w:sz w:val="22"/>
      <w:szCs w:val="22"/>
      <w:lang w:val="de-DE"/>
    </w:rPr>
  </w:style>
  <w:style w:type="character" w:styleId="Hyperlink">
    <w:name w:val="Hyperlink"/>
    <w:basedOn w:val="Absatz-Standardschriftart"/>
    <w:rsid w:val="005B3FB7"/>
    <w:rPr>
      <w:color w:val="0000FF" w:themeColor="hyperlink"/>
      <w:u w:val="single"/>
    </w:rPr>
  </w:style>
  <w:style w:type="paragraph" w:customStyle="1" w:styleId="Default">
    <w:name w:val="Default"/>
    <w:rsid w:val="007755BF"/>
    <w:pPr>
      <w:widowControl w:val="0"/>
      <w:autoSpaceDE w:val="0"/>
      <w:autoSpaceDN w:val="0"/>
      <w:adjustRightInd w:val="0"/>
    </w:pPr>
    <w:rPr>
      <w:rFonts w:ascii="Arial" w:eastAsiaTheme="minorHAnsi" w:hAnsi="Arial" w:cs="Arial"/>
      <w:color w:val="000000"/>
      <w:sz w:val="24"/>
      <w:szCs w:val="24"/>
      <w:lang w:val="de-DE" w:eastAsia="en-US"/>
    </w:rPr>
  </w:style>
  <w:style w:type="character" w:customStyle="1" w:styleId="ListenabsatzZchn">
    <w:name w:val="Listenabsatz Zchn"/>
    <w:aliases w:val="Paragraphe EI Zchn,Paragraphe de liste1 Zchn,EC Zchn"/>
    <w:link w:val="Listenabsatz"/>
    <w:rsid w:val="005C7948"/>
    <w:rPr>
      <w:rFonts w:ascii="Trebuchet MS" w:hAnsi="Trebuchet MS" w:cs="Trebuchet MS"/>
      <w:snapToGrid w:val="0"/>
      <w:sz w:val="22"/>
      <w:szCs w:val="22"/>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700E4"/>
    <w:pPr>
      <w:spacing w:line="280" w:lineRule="atLeast"/>
    </w:pPr>
    <w:rPr>
      <w:rFonts w:ascii="Trebuchet MS" w:hAnsi="Trebuchet MS" w:cs="Trebuchet MS"/>
      <w:snapToGrid w:val="0"/>
      <w:sz w:val="22"/>
      <w:szCs w:val="22"/>
      <w:lang w:val="de-DE"/>
    </w:rPr>
  </w:style>
  <w:style w:type="paragraph" w:styleId="berschrift1">
    <w:name w:val="heading 1"/>
    <w:basedOn w:val="Standard"/>
    <w:next w:val="Standard"/>
    <w:qFormat/>
    <w:rsid w:val="00F700E4"/>
    <w:pPr>
      <w:keepNext/>
      <w:pageBreakBefore/>
      <w:spacing w:after="360"/>
      <w:outlineLvl w:val="0"/>
    </w:pPr>
    <w:rPr>
      <w:rFonts w:ascii="Times New Roman" w:hAnsi="Times New Roman" w:cs="Times New Roman"/>
      <w:b/>
      <w:bCs/>
      <w:caps/>
      <w:kern w:val="28"/>
      <w:sz w:val="48"/>
      <w:szCs w:val="48"/>
    </w:rPr>
  </w:style>
  <w:style w:type="paragraph" w:styleId="berschrift2">
    <w:name w:val="heading 2"/>
    <w:basedOn w:val="Standard"/>
    <w:next w:val="Standard"/>
    <w:qFormat/>
    <w:rsid w:val="00F700E4"/>
    <w:pPr>
      <w:keepNext/>
      <w:spacing w:before="240" w:after="240"/>
      <w:outlineLvl w:val="1"/>
    </w:pPr>
    <w:rPr>
      <w:rFonts w:ascii="Times New Roman" w:hAnsi="Times New Roman" w:cs="Times New Roman"/>
      <w:b/>
      <w:bCs/>
      <w:caps/>
      <w:sz w:val="32"/>
      <w:szCs w:val="32"/>
    </w:rPr>
  </w:style>
  <w:style w:type="paragraph" w:styleId="berschrift3">
    <w:name w:val="heading 3"/>
    <w:basedOn w:val="Standard"/>
    <w:next w:val="Standard"/>
    <w:qFormat/>
    <w:rsid w:val="00F700E4"/>
    <w:pPr>
      <w:keepNext/>
      <w:spacing w:before="240" w:after="240"/>
      <w:outlineLvl w:val="2"/>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F700E4"/>
    <w:rPr>
      <w:sz w:val="18"/>
      <w:szCs w:val="18"/>
    </w:rPr>
  </w:style>
  <w:style w:type="paragraph" w:styleId="Kopfzeile">
    <w:name w:val="header"/>
    <w:basedOn w:val="Standard"/>
    <w:rsid w:val="00F700E4"/>
    <w:pPr>
      <w:tabs>
        <w:tab w:val="center" w:pos="4536"/>
        <w:tab w:val="right" w:pos="9072"/>
      </w:tabs>
    </w:pPr>
  </w:style>
  <w:style w:type="paragraph" w:styleId="Fuzeile">
    <w:name w:val="footer"/>
    <w:basedOn w:val="Standard"/>
    <w:link w:val="FuzeileZchn"/>
    <w:uiPriority w:val="99"/>
    <w:rsid w:val="00F700E4"/>
    <w:pPr>
      <w:tabs>
        <w:tab w:val="center" w:pos="4536"/>
        <w:tab w:val="right" w:pos="9072"/>
      </w:tabs>
    </w:pPr>
  </w:style>
  <w:style w:type="character" w:styleId="Seitenzahl">
    <w:name w:val="page number"/>
    <w:basedOn w:val="Absatz-Standardschriftart"/>
    <w:rsid w:val="00F700E4"/>
  </w:style>
  <w:style w:type="paragraph" w:styleId="Sprechblasentext">
    <w:name w:val="Balloon Text"/>
    <w:basedOn w:val="Standard"/>
    <w:semiHidden/>
    <w:rsid w:val="00F700E4"/>
    <w:rPr>
      <w:rFonts w:ascii="Times New Roman" w:hAnsi="Times New Roman" w:cs="Times New Roman"/>
      <w:sz w:val="16"/>
      <w:szCs w:val="16"/>
    </w:rPr>
  </w:style>
  <w:style w:type="paragraph" w:styleId="Titel">
    <w:name w:val="Title"/>
    <w:basedOn w:val="Standard"/>
    <w:qFormat/>
    <w:rsid w:val="00F700E4"/>
    <w:pPr>
      <w:spacing w:line="240" w:lineRule="auto"/>
      <w:jc w:val="center"/>
    </w:pPr>
    <w:rPr>
      <w:rFonts w:ascii="Arial" w:hAnsi="Arial" w:cs="Arial"/>
      <w:b/>
      <w:bCs/>
      <w:sz w:val="24"/>
      <w:szCs w:val="24"/>
    </w:rPr>
  </w:style>
  <w:style w:type="character" w:customStyle="1" w:styleId="tw4winMark">
    <w:name w:val="tw4winMark"/>
    <w:rsid w:val="00F700E4"/>
    <w:rPr>
      <w:rFonts w:ascii="Courier New" w:hAnsi="Courier New" w:cs="Courier New"/>
      <w:vanish/>
      <w:color w:val="800080"/>
      <w:sz w:val="24"/>
      <w:szCs w:val="24"/>
      <w:vertAlign w:val="subscript"/>
    </w:rPr>
  </w:style>
  <w:style w:type="character" w:customStyle="1" w:styleId="tw4winError">
    <w:name w:val="tw4winError"/>
    <w:rsid w:val="00F700E4"/>
    <w:rPr>
      <w:rFonts w:ascii="Courier New" w:hAnsi="Courier New" w:cs="Courier New"/>
      <w:color w:val="00FF00"/>
      <w:sz w:val="40"/>
      <w:szCs w:val="40"/>
    </w:rPr>
  </w:style>
  <w:style w:type="character" w:customStyle="1" w:styleId="tw4winTerm">
    <w:name w:val="tw4winTerm"/>
    <w:rsid w:val="00F700E4"/>
    <w:rPr>
      <w:color w:val="0000FF"/>
    </w:rPr>
  </w:style>
  <w:style w:type="character" w:customStyle="1" w:styleId="tw4winPopup">
    <w:name w:val="tw4winPopup"/>
    <w:rsid w:val="00F700E4"/>
    <w:rPr>
      <w:rFonts w:ascii="Courier New" w:hAnsi="Courier New" w:cs="Courier New"/>
      <w:noProof/>
      <w:color w:val="008000"/>
    </w:rPr>
  </w:style>
  <w:style w:type="character" w:customStyle="1" w:styleId="tw4winJump">
    <w:name w:val="tw4winJump"/>
    <w:rsid w:val="00F700E4"/>
    <w:rPr>
      <w:rFonts w:ascii="Courier New" w:hAnsi="Courier New" w:cs="Courier New"/>
      <w:noProof/>
      <w:color w:val="008080"/>
    </w:rPr>
  </w:style>
  <w:style w:type="character" w:customStyle="1" w:styleId="tw4winExternal">
    <w:name w:val="tw4winExternal"/>
    <w:rsid w:val="00F700E4"/>
    <w:rPr>
      <w:rFonts w:ascii="Courier New" w:hAnsi="Courier New" w:cs="Courier New"/>
      <w:noProof/>
      <w:color w:val="808080"/>
    </w:rPr>
  </w:style>
  <w:style w:type="character" w:customStyle="1" w:styleId="tw4winInternal">
    <w:name w:val="tw4winInternal"/>
    <w:rsid w:val="00F700E4"/>
    <w:rPr>
      <w:rFonts w:ascii="Courier New" w:hAnsi="Courier New" w:cs="Courier New"/>
      <w:noProof/>
      <w:color w:val="FF0000"/>
    </w:rPr>
  </w:style>
  <w:style w:type="character" w:customStyle="1" w:styleId="DONOTTRANSLATE">
    <w:name w:val="DO_NOT_TRANSLATE"/>
    <w:rsid w:val="00F700E4"/>
    <w:rPr>
      <w:rFonts w:ascii="Courier New" w:hAnsi="Courier New" w:cs="Courier New"/>
      <w:noProof/>
      <w:color w:val="800000"/>
    </w:rPr>
  </w:style>
  <w:style w:type="paragraph" w:styleId="NurText">
    <w:name w:val="Plain Text"/>
    <w:basedOn w:val="Standard"/>
    <w:link w:val="NurTextZchn"/>
    <w:uiPriority w:val="99"/>
    <w:unhideWhenUsed/>
    <w:rsid w:val="00B55633"/>
    <w:pPr>
      <w:spacing w:line="240" w:lineRule="auto"/>
    </w:pPr>
    <w:rPr>
      <w:rFonts w:ascii="Consolas" w:eastAsia="Calibri" w:hAnsi="Consolas" w:cs="Times New Roman"/>
      <w:snapToGrid/>
      <w:sz w:val="21"/>
      <w:szCs w:val="21"/>
      <w:lang w:val="de-AT" w:eastAsia="en-US"/>
    </w:rPr>
  </w:style>
  <w:style w:type="character" w:customStyle="1" w:styleId="NurTextZchn">
    <w:name w:val="Nur Text Zchn"/>
    <w:basedOn w:val="Absatz-Standardschriftart"/>
    <w:link w:val="NurText"/>
    <w:uiPriority w:val="99"/>
    <w:rsid w:val="00B55633"/>
    <w:rPr>
      <w:rFonts w:ascii="Consolas" w:eastAsia="Calibri" w:hAnsi="Consolas" w:cs="Times New Roman"/>
      <w:sz w:val="21"/>
      <w:szCs w:val="21"/>
      <w:lang w:eastAsia="en-US"/>
    </w:rPr>
  </w:style>
  <w:style w:type="character" w:styleId="Hervorhebung">
    <w:name w:val="Emphasis"/>
    <w:basedOn w:val="Absatz-Standardschriftart"/>
    <w:uiPriority w:val="20"/>
    <w:qFormat/>
    <w:rsid w:val="008B1362"/>
    <w:rPr>
      <w:i/>
      <w:iCs/>
    </w:rPr>
  </w:style>
  <w:style w:type="paragraph" w:styleId="Listenabsatz">
    <w:name w:val="List Paragraph"/>
    <w:aliases w:val="Paragraphe EI,Paragraphe de liste1,EC"/>
    <w:basedOn w:val="Standard"/>
    <w:link w:val="ListenabsatzZchn"/>
    <w:uiPriority w:val="34"/>
    <w:qFormat/>
    <w:rsid w:val="00CD2A67"/>
    <w:pPr>
      <w:ind w:left="720"/>
      <w:contextualSpacing/>
    </w:pPr>
  </w:style>
  <w:style w:type="paragraph" w:styleId="StandardWeb">
    <w:name w:val="Normal (Web)"/>
    <w:basedOn w:val="Standard"/>
    <w:uiPriority w:val="99"/>
    <w:unhideWhenUsed/>
    <w:rsid w:val="00B63C71"/>
    <w:pPr>
      <w:spacing w:before="100" w:beforeAutospacing="1" w:after="100" w:afterAutospacing="1" w:line="240" w:lineRule="auto"/>
    </w:pPr>
    <w:rPr>
      <w:rFonts w:ascii="Times New Roman" w:eastAsiaTheme="minorHAnsi" w:hAnsi="Times New Roman" w:cs="Times New Roman"/>
      <w:snapToGrid/>
      <w:sz w:val="24"/>
      <w:szCs w:val="24"/>
      <w:lang w:val="de-AT"/>
    </w:rPr>
  </w:style>
  <w:style w:type="character" w:styleId="Fett">
    <w:name w:val="Strong"/>
    <w:basedOn w:val="Absatz-Standardschriftart"/>
    <w:uiPriority w:val="22"/>
    <w:qFormat/>
    <w:rsid w:val="00B63C71"/>
    <w:rPr>
      <w:b/>
      <w:bCs/>
    </w:rPr>
  </w:style>
  <w:style w:type="character" w:customStyle="1" w:styleId="FuzeileZchn">
    <w:name w:val="Fußzeile Zchn"/>
    <w:basedOn w:val="Absatz-Standardschriftart"/>
    <w:link w:val="Fuzeile"/>
    <w:uiPriority w:val="99"/>
    <w:rsid w:val="00ED2466"/>
    <w:rPr>
      <w:rFonts w:ascii="Trebuchet MS" w:hAnsi="Trebuchet MS" w:cs="Trebuchet MS"/>
      <w:snapToGrid w:val="0"/>
      <w:sz w:val="22"/>
      <w:szCs w:val="22"/>
      <w:lang w:val="de-DE"/>
    </w:rPr>
  </w:style>
  <w:style w:type="character" w:styleId="Hyperlink">
    <w:name w:val="Hyperlink"/>
    <w:basedOn w:val="Absatz-Standardschriftart"/>
    <w:rsid w:val="005B3FB7"/>
    <w:rPr>
      <w:color w:val="0000FF" w:themeColor="hyperlink"/>
      <w:u w:val="single"/>
    </w:rPr>
  </w:style>
  <w:style w:type="paragraph" w:customStyle="1" w:styleId="Default">
    <w:name w:val="Default"/>
    <w:rsid w:val="007755BF"/>
    <w:pPr>
      <w:widowControl w:val="0"/>
      <w:autoSpaceDE w:val="0"/>
      <w:autoSpaceDN w:val="0"/>
      <w:adjustRightInd w:val="0"/>
    </w:pPr>
    <w:rPr>
      <w:rFonts w:ascii="Arial" w:eastAsiaTheme="minorHAnsi" w:hAnsi="Arial" w:cs="Arial"/>
      <w:color w:val="000000"/>
      <w:sz w:val="24"/>
      <w:szCs w:val="24"/>
      <w:lang w:val="de-DE" w:eastAsia="en-US"/>
    </w:rPr>
  </w:style>
  <w:style w:type="character" w:customStyle="1" w:styleId="ListenabsatzZchn">
    <w:name w:val="Listenabsatz Zchn"/>
    <w:aliases w:val="Paragraphe EI Zchn,Paragraphe de liste1 Zchn,EC Zchn"/>
    <w:link w:val="Listenabsatz"/>
    <w:rsid w:val="005C7948"/>
    <w:rPr>
      <w:rFonts w:ascii="Trebuchet MS" w:hAnsi="Trebuchet MS" w:cs="Trebuchet MS"/>
      <w:snapToGrid w:val="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54276874">
      <w:bodyDiv w:val="1"/>
      <w:marLeft w:val="0"/>
      <w:marRight w:val="0"/>
      <w:marTop w:val="0"/>
      <w:marBottom w:val="0"/>
      <w:divBdr>
        <w:top w:val="none" w:sz="0" w:space="0" w:color="auto"/>
        <w:left w:val="none" w:sz="0" w:space="0" w:color="auto"/>
        <w:bottom w:val="none" w:sz="0" w:space="0" w:color="auto"/>
        <w:right w:val="none" w:sz="0" w:space="0" w:color="auto"/>
      </w:divBdr>
    </w:div>
    <w:div w:id="78412682">
      <w:bodyDiv w:val="1"/>
      <w:marLeft w:val="0"/>
      <w:marRight w:val="0"/>
      <w:marTop w:val="0"/>
      <w:marBottom w:val="0"/>
      <w:divBdr>
        <w:top w:val="none" w:sz="0" w:space="0" w:color="auto"/>
        <w:left w:val="none" w:sz="0" w:space="0" w:color="auto"/>
        <w:bottom w:val="none" w:sz="0" w:space="0" w:color="auto"/>
        <w:right w:val="none" w:sz="0" w:space="0" w:color="auto"/>
      </w:divBdr>
    </w:div>
    <w:div w:id="117992046">
      <w:bodyDiv w:val="1"/>
      <w:marLeft w:val="0"/>
      <w:marRight w:val="0"/>
      <w:marTop w:val="0"/>
      <w:marBottom w:val="0"/>
      <w:divBdr>
        <w:top w:val="none" w:sz="0" w:space="0" w:color="auto"/>
        <w:left w:val="none" w:sz="0" w:space="0" w:color="auto"/>
        <w:bottom w:val="none" w:sz="0" w:space="0" w:color="auto"/>
        <w:right w:val="none" w:sz="0" w:space="0" w:color="auto"/>
      </w:divBdr>
    </w:div>
    <w:div w:id="161164005">
      <w:bodyDiv w:val="1"/>
      <w:marLeft w:val="0"/>
      <w:marRight w:val="0"/>
      <w:marTop w:val="0"/>
      <w:marBottom w:val="0"/>
      <w:divBdr>
        <w:top w:val="none" w:sz="0" w:space="0" w:color="auto"/>
        <w:left w:val="none" w:sz="0" w:space="0" w:color="auto"/>
        <w:bottom w:val="none" w:sz="0" w:space="0" w:color="auto"/>
        <w:right w:val="none" w:sz="0" w:space="0" w:color="auto"/>
      </w:divBdr>
    </w:div>
    <w:div w:id="198661731">
      <w:bodyDiv w:val="1"/>
      <w:marLeft w:val="0"/>
      <w:marRight w:val="0"/>
      <w:marTop w:val="0"/>
      <w:marBottom w:val="0"/>
      <w:divBdr>
        <w:top w:val="none" w:sz="0" w:space="0" w:color="auto"/>
        <w:left w:val="none" w:sz="0" w:space="0" w:color="auto"/>
        <w:bottom w:val="none" w:sz="0" w:space="0" w:color="auto"/>
        <w:right w:val="none" w:sz="0" w:space="0" w:color="auto"/>
      </w:divBdr>
    </w:div>
    <w:div w:id="224804073">
      <w:bodyDiv w:val="1"/>
      <w:marLeft w:val="0"/>
      <w:marRight w:val="0"/>
      <w:marTop w:val="0"/>
      <w:marBottom w:val="0"/>
      <w:divBdr>
        <w:top w:val="none" w:sz="0" w:space="0" w:color="auto"/>
        <w:left w:val="none" w:sz="0" w:space="0" w:color="auto"/>
        <w:bottom w:val="none" w:sz="0" w:space="0" w:color="auto"/>
        <w:right w:val="none" w:sz="0" w:space="0" w:color="auto"/>
      </w:divBdr>
    </w:div>
    <w:div w:id="234628101">
      <w:bodyDiv w:val="1"/>
      <w:marLeft w:val="0"/>
      <w:marRight w:val="0"/>
      <w:marTop w:val="0"/>
      <w:marBottom w:val="0"/>
      <w:divBdr>
        <w:top w:val="none" w:sz="0" w:space="0" w:color="auto"/>
        <w:left w:val="none" w:sz="0" w:space="0" w:color="auto"/>
        <w:bottom w:val="none" w:sz="0" w:space="0" w:color="auto"/>
        <w:right w:val="none" w:sz="0" w:space="0" w:color="auto"/>
      </w:divBdr>
    </w:div>
    <w:div w:id="302588301">
      <w:bodyDiv w:val="1"/>
      <w:marLeft w:val="0"/>
      <w:marRight w:val="0"/>
      <w:marTop w:val="0"/>
      <w:marBottom w:val="0"/>
      <w:divBdr>
        <w:top w:val="none" w:sz="0" w:space="0" w:color="auto"/>
        <w:left w:val="none" w:sz="0" w:space="0" w:color="auto"/>
        <w:bottom w:val="none" w:sz="0" w:space="0" w:color="auto"/>
        <w:right w:val="none" w:sz="0" w:space="0" w:color="auto"/>
      </w:divBdr>
    </w:div>
    <w:div w:id="337125047">
      <w:bodyDiv w:val="1"/>
      <w:marLeft w:val="0"/>
      <w:marRight w:val="0"/>
      <w:marTop w:val="0"/>
      <w:marBottom w:val="0"/>
      <w:divBdr>
        <w:top w:val="none" w:sz="0" w:space="0" w:color="auto"/>
        <w:left w:val="none" w:sz="0" w:space="0" w:color="auto"/>
        <w:bottom w:val="none" w:sz="0" w:space="0" w:color="auto"/>
        <w:right w:val="none" w:sz="0" w:space="0" w:color="auto"/>
      </w:divBdr>
    </w:div>
    <w:div w:id="351954080">
      <w:bodyDiv w:val="1"/>
      <w:marLeft w:val="0"/>
      <w:marRight w:val="0"/>
      <w:marTop w:val="0"/>
      <w:marBottom w:val="0"/>
      <w:divBdr>
        <w:top w:val="none" w:sz="0" w:space="0" w:color="auto"/>
        <w:left w:val="none" w:sz="0" w:space="0" w:color="auto"/>
        <w:bottom w:val="none" w:sz="0" w:space="0" w:color="auto"/>
        <w:right w:val="none" w:sz="0" w:space="0" w:color="auto"/>
      </w:divBdr>
    </w:div>
    <w:div w:id="427432364">
      <w:bodyDiv w:val="1"/>
      <w:marLeft w:val="0"/>
      <w:marRight w:val="0"/>
      <w:marTop w:val="0"/>
      <w:marBottom w:val="0"/>
      <w:divBdr>
        <w:top w:val="none" w:sz="0" w:space="0" w:color="auto"/>
        <w:left w:val="none" w:sz="0" w:space="0" w:color="auto"/>
        <w:bottom w:val="none" w:sz="0" w:space="0" w:color="auto"/>
        <w:right w:val="none" w:sz="0" w:space="0" w:color="auto"/>
      </w:divBdr>
    </w:div>
    <w:div w:id="450175200">
      <w:bodyDiv w:val="1"/>
      <w:marLeft w:val="0"/>
      <w:marRight w:val="0"/>
      <w:marTop w:val="0"/>
      <w:marBottom w:val="0"/>
      <w:divBdr>
        <w:top w:val="none" w:sz="0" w:space="0" w:color="auto"/>
        <w:left w:val="none" w:sz="0" w:space="0" w:color="auto"/>
        <w:bottom w:val="none" w:sz="0" w:space="0" w:color="auto"/>
        <w:right w:val="none" w:sz="0" w:space="0" w:color="auto"/>
      </w:divBdr>
    </w:div>
    <w:div w:id="464276662">
      <w:bodyDiv w:val="1"/>
      <w:marLeft w:val="0"/>
      <w:marRight w:val="0"/>
      <w:marTop w:val="0"/>
      <w:marBottom w:val="0"/>
      <w:divBdr>
        <w:top w:val="none" w:sz="0" w:space="0" w:color="auto"/>
        <w:left w:val="none" w:sz="0" w:space="0" w:color="auto"/>
        <w:bottom w:val="none" w:sz="0" w:space="0" w:color="auto"/>
        <w:right w:val="none" w:sz="0" w:space="0" w:color="auto"/>
      </w:divBdr>
    </w:div>
    <w:div w:id="537739201">
      <w:bodyDiv w:val="1"/>
      <w:marLeft w:val="0"/>
      <w:marRight w:val="0"/>
      <w:marTop w:val="0"/>
      <w:marBottom w:val="0"/>
      <w:divBdr>
        <w:top w:val="none" w:sz="0" w:space="0" w:color="auto"/>
        <w:left w:val="none" w:sz="0" w:space="0" w:color="auto"/>
        <w:bottom w:val="none" w:sz="0" w:space="0" w:color="auto"/>
        <w:right w:val="none" w:sz="0" w:space="0" w:color="auto"/>
      </w:divBdr>
    </w:div>
    <w:div w:id="546066532">
      <w:bodyDiv w:val="1"/>
      <w:marLeft w:val="0"/>
      <w:marRight w:val="0"/>
      <w:marTop w:val="0"/>
      <w:marBottom w:val="0"/>
      <w:divBdr>
        <w:top w:val="none" w:sz="0" w:space="0" w:color="auto"/>
        <w:left w:val="none" w:sz="0" w:space="0" w:color="auto"/>
        <w:bottom w:val="none" w:sz="0" w:space="0" w:color="auto"/>
        <w:right w:val="none" w:sz="0" w:space="0" w:color="auto"/>
      </w:divBdr>
    </w:div>
    <w:div w:id="601913484">
      <w:bodyDiv w:val="1"/>
      <w:marLeft w:val="0"/>
      <w:marRight w:val="0"/>
      <w:marTop w:val="0"/>
      <w:marBottom w:val="0"/>
      <w:divBdr>
        <w:top w:val="none" w:sz="0" w:space="0" w:color="auto"/>
        <w:left w:val="none" w:sz="0" w:space="0" w:color="auto"/>
        <w:bottom w:val="none" w:sz="0" w:space="0" w:color="auto"/>
        <w:right w:val="none" w:sz="0" w:space="0" w:color="auto"/>
      </w:divBdr>
    </w:div>
    <w:div w:id="674309752">
      <w:bodyDiv w:val="1"/>
      <w:marLeft w:val="0"/>
      <w:marRight w:val="0"/>
      <w:marTop w:val="0"/>
      <w:marBottom w:val="0"/>
      <w:divBdr>
        <w:top w:val="none" w:sz="0" w:space="0" w:color="auto"/>
        <w:left w:val="none" w:sz="0" w:space="0" w:color="auto"/>
        <w:bottom w:val="none" w:sz="0" w:space="0" w:color="auto"/>
        <w:right w:val="none" w:sz="0" w:space="0" w:color="auto"/>
      </w:divBdr>
    </w:div>
    <w:div w:id="678191585">
      <w:bodyDiv w:val="1"/>
      <w:marLeft w:val="0"/>
      <w:marRight w:val="0"/>
      <w:marTop w:val="0"/>
      <w:marBottom w:val="0"/>
      <w:divBdr>
        <w:top w:val="none" w:sz="0" w:space="0" w:color="auto"/>
        <w:left w:val="none" w:sz="0" w:space="0" w:color="auto"/>
        <w:bottom w:val="none" w:sz="0" w:space="0" w:color="auto"/>
        <w:right w:val="none" w:sz="0" w:space="0" w:color="auto"/>
      </w:divBdr>
    </w:div>
    <w:div w:id="769204917">
      <w:bodyDiv w:val="1"/>
      <w:marLeft w:val="0"/>
      <w:marRight w:val="0"/>
      <w:marTop w:val="0"/>
      <w:marBottom w:val="0"/>
      <w:divBdr>
        <w:top w:val="none" w:sz="0" w:space="0" w:color="auto"/>
        <w:left w:val="none" w:sz="0" w:space="0" w:color="auto"/>
        <w:bottom w:val="none" w:sz="0" w:space="0" w:color="auto"/>
        <w:right w:val="none" w:sz="0" w:space="0" w:color="auto"/>
      </w:divBdr>
    </w:div>
    <w:div w:id="771054331">
      <w:bodyDiv w:val="1"/>
      <w:marLeft w:val="0"/>
      <w:marRight w:val="0"/>
      <w:marTop w:val="0"/>
      <w:marBottom w:val="0"/>
      <w:divBdr>
        <w:top w:val="none" w:sz="0" w:space="0" w:color="auto"/>
        <w:left w:val="none" w:sz="0" w:space="0" w:color="auto"/>
        <w:bottom w:val="none" w:sz="0" w:space="0" w:color="auto"/>
        <w:right w:val="none" w:sz="0" w:space="0" w:color="auto"/>
      </w:divBdr>
    </w:div>
    <w:div w:id="815998986">
      <w:bodyDiv w:val="1"/>
      <w:marLeft w:val="0"/>
      <w:marRight w:val="0"/>
      <w:marTop w:val="0"/>
      <w:marBottom w:val="0"/>
      <w:divBdr>
        <w:top w:val="none" w:sz="0" w:space="0" w:color="auto"/>
        <w:left w:val="none" w:sz="0" w:space="0" w:color="auto"/>
        <w:bottom w:val="none" w:sz="0" w:space="0" w:color="auto"/>
        <w:right w:val="none" w:sz="0" w:space="0" w:color="auto"/>
      </w:divBdr>
    </w:div>
    <w:div w:id="855340421">
      <w:bodyDiv w:val="1"/>
      <w:marLeft w:val="0"/>
      <w:marRight w:val="0"/>
      <w:marTop w:val="0"/>
      <w:marBottom w:val="0"/>
      <w:divBdr>
        <w:top w:val="none" w:sz="0" w:space="0" w:color="auto"/>
        <w:left w:val="none" w:sz="0" w:space="0" w:color="auto"/>
        <w:bottom w:val="none" w:sz="0" w:space="0" w:color="auto"/>
        <w:right w:val="none" w:sz="0" w:space="0" w:color="auto"/>
      </w:divBdr>
    </w:div>
    <w:div w:id="862595549">
      <w:bodyDiv w:val="1"/>
      <w:marLeft w:val="0"/>
      <w:marRight w:val="0"/>
      <w:marTop w:val="0"/>
      <w:marBottom w:val="0"/>
      <w:divBdr>
        <w:top w:val="none" w:sz="0" w:space="0" w:color="auto"/>
        <w:left w:val="none" w:sz="0" w:space="0" w:color="auto"/>
        <w:bottom w:val="none" w:sz="0" w:space="0" w:color="auto"/>
        <w:right w:val="none" w:sz="0" w:space="0" w:color="auto"/>
      </w:divBdr>
    </w:div>
    <w:div w:id="883759583">
      <w:bodyDiv w:val="1"/>
      <w:marLeft w:val="0"/>
      <w:marRight w:val="0"/>
      <w:marTop w:val="0"/>
      <w:marBottom w:val="0"/>
      <w:divBdr>
        <w:top w:val="none" w:sz="0" w:space="0" w:color="auto"/>
        <w:left w:val="none" w:sz="0" w:space="0" w:color="auto"/>
        <w:bottom w:val="none" w:sz="0" w:space="0" w:color="auto"/>
        <w:right w:val="none" w:sz="0" w:space="0" w:color="auto"/>
      </w:divBdr>
    </w:div>
    <w:div w:id="903637825">
      <w:bodyDiv w:val="1"/>
      <w:marLeft w:val="0"/>
      <w:marRight w:val="0"/>
      <w:marTop w:val="0"/>
      <w:marBottom w:val="0"/>
      <w:divBdr>
        <w:top w:val="none" w:sz="0" w:space="0" w:color="auto"/>
        <w:left w:val="none" w:sz="0" w:space="0" w:color="auto"/>
        <w:bottom w:val="none" w:sz="0" w:space="0" w:color="auto"/>
        <w:right w:val="none" w:sz="0" w:space="0" w:color="auto"/>
      </w:divBdr>
    </w:div>
    <w:div w:id="914778966">
      <w:bodyDiv w:val="1"/>
      <w:marLeft w:val="0"/>
      <w:marRight w:val="0"/>
      <w:marTop w:val="0"/>
      <w:marBottom w:val="0"/>
      <w:divBdr>
        <w:top w:val="none" w:sz="0" w:space="0" w:color="auto"/>
        <w:left w:val="none" w:sz="0" w:space="0" w:color="auto"/>
        <w:bottom w:val="none" w:sz="0" w:space="0" w:color="auto"/>
        <w:right w:val="none" w:sz="0" w:space="0" w:color="auto"/>
      </w:divBdr>
    </w:div>
    <w:div w:id="958217177">
      <w:bodyDiv w:val="1"/>
      <w:marLeft w:val="0"/>
      <w:marRight w:val="0"/>
      <w:marTop w:val="0"/>
      <w:marBottom w:val="0"/>
      <w:divBdr>
        <w:top w:val="none" w:sz="0" w:space="0" w:color="auto"/>
        <w:left w:val="none" w:sz="0" w:space="0" w:color="auto"/>
        <w:bottom w:val="none" w:sz="0" w:space="0" w:color="auto"/>
        <w:right w:val="none" w:sz="0" w:space="0" w:color="auto"/>
      </w:divBdr>
    </w:div>
    <w:div w:id="978919423">
      <w:bodyDiv w:val="1"/>
      <w:marLeft w:val="0"/>
      <w:marRight w:val="0"/>
      <w:marTop w:val="0"/>
      <w:marBottom w:val="0"/>
      <w:divBdr>
        <w:top w:val="none" w:sz="0" w:space="0" w:color="auto"/>
        <w:left w:val="none" w:sz="0" w:space="0" w:color="auto"/>
        <w:bottom w:val="none" w:sz="0" w:space="0" w:color="auto"/>
        <w:right w:val="none" w:sz="0" w:space="0" w:color="auto"/>
      </w:divBdr>
    </w:div>
    <w:div w:id="1006325011">
      <w:bodyDiv w:val="1"/>
      <w:marLeft w:val="0"/>
      <w:marRight w:val="0"/>
      <w:marTop w:val="0"/>
      <w:marBottom w:val="0"/>
      <w:divBdr>
        <w:top w:val="none" w:sz="0" w:space="0" w:color="auto"/>
        <w:left w:val="none" w:sz="0" w:space="0" w:color="auto"/>
        <w:bottom w:val="none" w:sz="0" w:space="0" w:color="auto"/>
        <w:right w:val="none" w:sz="0" w:space="0" w:color="auto"/>
      </w:divBdr>
    </w:div>
    <w:div w:id="1087001069">
      <w:bodyDiv w:val="1"/>
      <w:marLeft w:val="0"/>
      <w:marRight w:val="0"/>
      <w:marTop w:val="0"/>
      <w:marBottom w:val="0"/>
      <w:divBdr>
        <w:top w:val="none" w:sz="0" w:space="0" w:color="auto"/>
        <w:left w:val="none" w:sz="0" w:space="0" w:color="auto"/>
        <w:bottom w:val="none" w:sz="0" w:space="0" w:color="auto"/>
        <w:right w:val="none" w:sz="0" w:space="0" w:color="auto"/>
      </w:divBdr>
    </w:div>
    <w:div w:id="1175993054">
      <w:bodyDiv w:val="1"/>
      <w:marLeft w:val="0"/>
      <w:marRight w:val="0"/>
      <w:marTop w:val="0"/>
      <w:marBottom w:val="0"/>
      <w:divBdr>
        <w:top w:val="none" w:sz="0" w:space="0" w:color="auto"/>
        <w:left w:val="none" w:sz="0" w:space="0" w:color="auto"/>
        <w:bottom w:val="none" w:sz="0" w:space="0" w:color="auto"/>
        <w:right w:val="none" w:sz="0" w:space="0" w:color="auto"/>
      </w:divBdr>
    </w:div>
    <w:div w:id="1209225123">
      <w:bodyDiv w:val="1"/>
      <w:marLeft w:val="0"/>
      <w:marRight w:val="0"/>
      <w:marTop w:val="0"/>
      <w:marBottom w:val="0"/>
      <w:divBdr>
        <w:top w:val="none" w:sz="0" w:space="0" w:color="auto"/>
        <w:left w:val="none" w:sz="0" w:space="0" w:color="auto"/>
        <w:bottom w:val="none" w:sz="0" w:space="0" w:color="auto"/>
        <w:right w:val="none" w:sz="0" w:space="0" w:color="auto"/>
      </w:divBdr>
    </w:div>
    <w:div w:id="1210145135">
      <w:bodyDiv w:val="1"/>
      <w:marLeft w:val="0"/>
      <w:marRight w:val="0"/>
      <w:marTop w:val="0"/>
      <w:marBottom w:val="0"/>
      <w:divBdr>
        <w:top w:val="none" w:sz="0" w:space="0" w:color="auto"/>
        <w:left w:val="none" w:sz="0" w:space="0" w:color="auto"/>
        <w:bottom w:val="none" w:sz="0" w:space="0" w:color="auto"/>
        <w:right w:val="none" w:sz="0" w:space="0" w:color="auto"/>
      </w:divBdr>
    </w:div>
    <w:div w:id="1283347804">
      <w:bodyDiv w:val="1"/>
      <w:marLeft w:val="0"/>
      <w:marRight w:val="0"/>
      <w:marTop w:val="0"/>
      <w:marBottom w:val="0"/>
      <w:divBdr>
        <w:top w:val="none" w:sz="0" w:space="0" w:color="auto"/>
        <w:left w:val="none" w:sz="0" w:space="0" w:color="auto"/>
        <w:bottom w:val="none" w:sz="0" w:space="0" w:color="auto"/>
        <w:right w:val="none" w:sz="0" w:space="0" w:color="auto"/>
      </w:divBdr>
    </w:div>
    <w:div w:id="1375353865">
      <w:bodyDiv w:val="1"/>
      <w:marLeft w:val="0"/>
      <w:marRight w:val="0"/>
      <w:marTop w:val="0"/>
      <w:marBottom w:val="0"/>
      <w:divBdr>
        <w:top w:val="none" w:sz="0" w:space="0" w:color="auto"/>
        <w:left w:val="none" w:sz="0" w:space="0" w:color="auto"/>
        <w:bottom w:val="none" w:sz="0" w:space="0" w:color="auto"/>
        <w:right w:val="none" w:sz="0" w:space="0" w:color="auto"/>
      </w:divBdr>
    </w:div>
    <w:div w:id="1401950921">
      <w:bodyDiv w:val="1"/>
      <w:marLeft w:val="0"/>
      <w:marRight w:val="0"/>
      <w:marTop w:val="0"/>
      <w:marBottom w:val="0"/>
      <w:divBdr>
        <w:top w:val="none" w:sz="0" w:space="0" w:color="auto"/>
        <w:left w:val="none" w:sz="0" w:space="0" w:color="auto"/>
        <w:bottom w:val="none" w:sz="0" w:space="0" w:color="auto"/>
        <w:right w:val="none" w:sz="0" w:space="0" w:color="auto"/>
      </w:divBdr>
    </w:div>
    <w:div w:id="1436289696">
      <w:bodyDiv w:val="1"/>
      <w:marLeft w:val="0"/>
      <w:marRight w:val="0"/>
      <w:marTop w:val="0"/>
      <w:marBottom w:val="0"/>
      <w:divBdr>
        <w:top w:val="none" w:sz="0" w:space="0" w:color="auto"/>
        <w:left w:val="none" w:sz="0" w:space="0" w:color="auto"/>
        <w:bottom w:val="none" w:sz="0" w:space="0" w:color="auto"/>
        <w:right w:val="none" w:sz="0" w:space="0" w:color="auto"/>
      </w:divBdr>
    </w:div>
    <w:div w:id="1572078641">
      <w:bodyDiv w:val="1"/>
      <w:marLeft w:val="0"/>
      <w:marRight w:val="0"/>
      <w:marTop w:val="0"/>
      <w:marBottom w:val="0"/>
      <w:divBdr>
        <w:top w:val="none" w:sz="0" w:space="0" w:color="auto"/>
        <w:left w:val="none" w:sz="0" w:space="0" w:color="auto"/>
        <w:bottom w:val="none" w:sz="0" w:space="0" w:color="auto"/>
        <w:right w:val="none" w:sz="0" w:space="0" w:color="auto"/>
      </w:divBdr>
    </w:div>
    <w:div w:id="1581714927">
      <w:bodyDiv w:val="1"/>
      <w:marLeft w:val="0"/>
      <w:marRight w:val="0"/>
      <w:marTop w:val="0"/>
      <w:marBottom w:val="0"/>
      <w:divBdr>
        <w:top w:val="none" w:sz="0" w:space="0" w:color="auto"/>
        <w:left w:val="none" w:sz="0" w:space="0" w:color="auto"/>
        <w:bottom w:val="none" w:sz="0" w:space="0" w:color="auto"/>
        <w:right w:val="none" w:sz="0" w:space="0" w:color="auto"/>
      </w:divBdr>
    </w:div>
    <w:div w:id="1606305908">
      <w:bodyDiv w:val="1"/>
      <w:marLeft w:val="0"/>
      <w:marRight w:val="0"/>
      <w:marTop w:val="0"/>
      <w:marBottom w:val="0"/>
      <w:divBdr>
        <w:top w:val="none" w:sz="0" w:space="0" w:color="auto"/>
        <w:left w:val="none" w:sz="0" w:space="0" w:color="auto"/>
        <w:bottom w:val="none" w:sz="0" w:space="0" w:color="auto"/>
        <w:right w:val="none" w:sz="0" w:space="0" w:color="auto"/>
      </w:divBdr>
    </w:div>
    <w:div w:id="1660037952">
      <w:bodyDiv w:val="1"/>
      <w:marLeft w:val="0"/>
      <w:marRight w:val="0"/>
      <w:marTop w:val="0"/>
      <w:marBottom w:val="0"/>
      <w:divBdr>
        <w:top w:val="none" w:sz="0" w:space="0" w:color="auto"/>
        <w:left w:val="none" w:sz="0" w:space="0" w:color="auto"/>
        <w:bottom w:val="none" w:sz="0" w:space="0" w:color="auto"/>
        <w:right w:val="none" w:sz="0" w:space="0" w:color="auto"/>
      </w:divBdr>
    </w:div>
    <w:div w:id="1832208781">
      <w:bodyDiv w:val="1"/>
      <w:marLeft w:val="0"/>
      <w:marRight w:val="0"/>
      <w:marTop w:val="0"/>
      <w:marBottom w:val="0"/>
      <w:divBdr>
        <w:top w:val="none" w:sz="0" w:space="0" w:color="auto"/>
        <w:left w:val="none" w:sz="0" w:space="0" w:color="auto"/>
        <w:bottom w:val="none" w:sz="0" w:space="0" w:color="auto"/>
        <w:right w:val="none" w:sz="0" w:space="0" w:color="auto"/>
      </w:divBdr>
    </w:div>
    <w:div w:id="1841189066">
      <w:bodyDiv w:val="1"/>
      <w:marLeft w:val="0"/>
      <w:marRight w:val="0"/>
      <w:marTop w:val="0"/>
      <w:marBottom w:val="0"/>
      <w:divBdr>
        <w:top w:val="none" w:sz="0" w:space="0" w:color="auto"/>
        <w:left w:val="none" w:sz="0" w:space="0" w:color="auto"/>
        <w:bottom w:val="none" w:sz="0" w:space="0" w:color="auto"/>
        <w:right w:val="none" w:sz="0" w:space="0" w:color="auto"/>
      </w:divBdr>
    </w:div>
    <w:div w:id="1955208613">
      <w:bodyDiv w:val="1"/>
      <w:marLeft w:val="0"/>
      <w:marRight w:val="0"/>
      <w:marTop w:val="0"/>
      <w:marBottom w:val="0"/>
      <w:divBdr>
        <w:top w:val="none" w:sz="0" w:space="0" w:color="auto"/>
        <w:left w:val="none" w:sz="0" w:space="0" w:color="auto"/>
        <w:bottom w:val="none" w:sz="0" w:space="0" w:color="auto"/>
        <w:right w:val="none" w:sz="0" w:space="0" w:color="auto"/>
      </w:divBdr>
    </w:div>
    <w:div w:id="1970088177">
      <w:bodyDiv w:val="1"/>
      <w:marLeft w:val="0"/>
      <w:marRight w:val="0"/>
      <w:marTop w:val="0"/>
      <w:marBottom w:val="0"/>
      <w:divBdr>
        <w:top w:val="none" w:sz="0" w:space="0" w:color="auto"/>
        <w:left w:val="none" w:sz="0" w:space="0" w:color="auto"/>
        <w:bottom w:val="none" w:sz="0" w:space="0" w:color="auto"/>
        <w:right w:val="none" w:sz="0" w:space="0" w:color="auto"/>
      </w:divBdr>
    </w:div>
    <w:div w:id="1998993635">
      <w:bodyDiv w:val="1"/>
      <w:marLeft w:val="0"/>
      <w:marRight w:val="0"/>
      <w:marTop w:val="0"/>
      <w:marBottom w:val="0"/>
      <w:divBdr>
        <w:top w:val="none" w:sz="0" w:space="0" w:color="auto"/>
        <w:left w:val="none" w:sz="0" w:space="0" w:color="auto"/>
        <w:bottom w:val="none" w:sz="0" w:space="0" w:color="auto"/>
        <w:right w:val="none" w:sz="0" w:space="0" w:color="auto"/>
      </w:divBdr>
    </w:div>
    <w:div w:id="2025087811">
      <w:bodyDiv w:val="1"/>
      <w:marLeft w:val="0"/>
      <w:marRight w:val="0"/>
      <w:marTop w:val="0"/>
      <w:marBottom w:val="0"/>
      <w:divBdr>
        <w:top w:val="none" w:sz="0" w:space="0" w:color="auto"/>
        <w:left w:val="none" w:sz="0" w:space="0" w:color="auto"/>
        <w:bottom w:val="none" w:sz="0" w:space="0" w:color="auto"/>
        <w:right w:val="none" w:sz="0" w:space="0" w:color="auto"/>
      </w:divBdr>
    </w:div>
    <w:div w:id="213498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59124-8340-4048-8ADE-097005C1D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2117</Words>
  <Characters>11197</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Translation: www.brainstorm.at</vt:lpstr>
    </vt:vector>
  </TitlesOfParts>
  <Company>Translation: www.brainstorm.at</Company>
  <LinksUpToDate>false</LinksUpToDate>
  <CharactersWithSpaces>13288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Translation: www.brainstorm.at</dc:title>
  <dc:creator>Manuela Bruck</dc:creator>
  <dc:description>Translation: www.brainstorm.at</dc:description>
  <cp:lastModifiedBy>Horvath Philipp, LL.M., WKÖ BSBV</cp:lastModifiedBy>
  <cp:revision>7</cp:revision>
  <cp:lastPrinted>2016-09-16T09:18:00Z</cp:lastPrinted>
  <dcterms:created xsi:type="dcterms:W3CDTF">2016-09-16T09:18:00Z</dcterms:created>
  <dcterms:modified xsi:type="dcterms:W3CDTF">2016-09-19T09:32:00Z</dcterms:modified>
  <cp:category>Translation: www.brainstorm.at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ion">
    <vt:lpwstr>Translation: www.brainstorm.at</vt:lpwstr>
  </property>
</Properties>
</file>