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8E0154" w:rsidTr="0017413A">
        <w:trPr>
          <w:trHeight w:hRule="exact" w:val="3261"/>
        </w:trPr>
        <w:tc>
          <w:tcPr>
            <w:tcW w:w="5102" w:type="dxa"/>
          </w:tcPr>
          <w:p w:rsidR="00B51CB0" w:rsidRPr="00011DC9" w:rsidRDefault="00650AE5" w:rsidP="00CE5D6F">
            <w:pPr>
              <w:rPr>
                <w:b/>
              </w:rPr>
            </w:pPr>
            <w:r w:rsidRPr="00011DC9">
              <w:rPr>
                <w:b/>
                <w:lang w:val="fi-FI"/>
              </w:rPr>
              <w:br/>
            </w:r>
          </w:p>
          <w:p w:rsidR="00B51CB0" w:rsidRDefault="008E0154" w:rsidP="00CE5D6F">
            <w:pPr>
              <w:rPr>
                <w:lang w:val="fi-FI"/>
              </w:rPr>
            </w:pPr>
            <w:r>
              <w:rPr>
                <w:lang w:val="fi-FI"/>
              </w:rPr>
              <w:t>European Banking Authority (EBA)</w:t>
            </w: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D161B5">
        <w:rPr>
          <w:noProof/>
          <w:color w:val="000000"/>
          <w:lang w:val="en-GB"/>
        </w:rPr>
        <w:t>115</w:t>
      </w:r>
      <w:r w:rsidR="00641DC4" w:rsidRPr="00DC0A36">
        <w:rPr>
          <w:noProof/>
          <w:color w:val="000000"/>
          <w:lang w:val="en-GB"/>
        </w:rPr>
        <w:t>/</w:t>
      </w:r>
      <w:r w:rsidR="00D20260">
        <w:rPr>
          <w:noProof/>
          <w:color w:val="000000"/>
          <w:lang w:val="en-GB"/>
        </w:rPr>
        <w:t>Dr. Egger</w:t>
      </w:r>
      <w:r w:rsidR="00641DC4" w:rsidRPr="00DC0A36">
        <w:rPr>
          <w:noProof/>
          <w:color w:val="000000"/>
          <w:lang w:val="en-GB"/>
        </w:rPr>
        <w:tab/>
        <w:t>31</w:t>
      </w:r>
      <w:r w:rsidR="00D20260">
        <w:rPr>
          <w:noProof/>
          <w:color w:val="000000"/>
          <w:lang w:val="en-GB"/>
        </w:rPr>
        <w:t>37</w:t>
      </w:r>
      <w:r w:rsidRPr="00DC0A36">
        <w:rPr>
          <w:color w:val="000000"/>
          <w:lang w:val="en-GB"/>
        </w:rPr>
        <w:tab/>
      </w:r>
      <w:r w:rsidR="00D20260">
        <w:rPr>
          <w:color w:val="000000"/>
          <w:lang w:val="en-GB"/>
        </w:rPr>
        <w:t>25 October 2016</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D161B5" w:rsidRPr="00D161B5" w:rsidRDefault="00D161B5" w:rsidP="00D161B5">
      <w:pPr>
        <w:pStyle w:val="Default"/>
        <w:rPr>
          <w:rFonts w:ascii="Trebuchet MS" w:hAnsi="Trebuchet MS"/>
          <w:b/>
          <w:lang w:val="en-US"/>
        </w:rPr>
      </w:pPr>
      <w:r w:rsidRPr="00D161B5">
        <w:rPr>
          <w:rFonts w:ascii="Trebuchet MS" w:hAnsi="Trebuchet MS"/>
          <w:b/>
          <w:lang w:val="en-US"/>
        </w:rPr>
        <w:t>EBA</w:t>
      </w:r>
      <w:r w:rsidR="005B2525" w:rsidRPr="00D161B5">
        <w:rPr>
          <w:rFonts w:ascii="Trebuchet MS" w:hAnsi="Trebuchet MS"/>
          <w:b/>
          <w:lang w:val="en-US"/>
        </w:rPr>
        <w:t xml:space="preserve"> Consultation </w:t>
      </w:r>
      <w:r>
        <w:rPr>
          <w:rFonts w:ascii="Trebuchet MS" w:hAnsi="Trebuchet MS"/>
          <w:b/>
          <w:lang w:val="en-US"/>
        </w:rPr>
        <w:t xml:space="preserve">on </w:t>
      </w:r>
      <w:r w:rsidRPr="00D161B5">
        <w:rPr>
          <w:rFonts w:ascii="Trebuchet MS" w:hAnsi="Trebuchet MS"/>
          <w:b/>
          <w:lang w:val="en-US"/>
        </w:rPr>
        <w:t xml:space="preserve">Draft Guidelines on </w:t>
      </w:r>
      <w:r w:rsidR="000E0A0D">
        <w:rPr>
          <w:rFonts w:ascii="Trebuchet MS" w:hAnsi="Trebuchet MS"/>
          <w:b/>
          <w:lang w:val="en-US"/>
        </w:rPr>
        <w:t xml:space="preserve">the treatment of connected clients for large exposures </w:t>
      </w:r>
    </w:p>
    <w:p w:rsidR="00B22761" w:rsidRPr="00D161B5" w:rsidRDefault="00B22761" w:rsidP="00CE5D6F">
      <w:pPr>
        <w:rPr>
          <w:lang w:val="en-GB"/>
        </w:rPr>
      </w:pPr>
    </w:p>
    <w:p w:rsidR="00DC0A36" w:rsidRDefault="00DC0A36" w:rsidP="00C11030">
      <w:pPr>
        <w:spacing w:line="240" w:lineRule="auto"/>
        <w:rPr>
          <w:rFonts w:cs="Arial"/>
          <w:color w:val="000000"/>
          <w:lang w:val="en-GB" w:eastAsia="en-US"/>
        </w:rPr>
      </w:pPr>
      <w:r w:rsidRPr="00DC0A36">
        <w:rPr>
          <w:lang w:val="en-GB"/>
        </w:rPr>
        <w:t xml:space="preserve">The Division Bank and Insurance of the Austrian Federal Economic </w:t>
      </w:r>
      <w:proofErr w:type="gramStart"/>
      <w:r w:rsidRPr="00DC0A36">
        <w:rPr>
          <w:lang w:val="en-GB"/>
        </w:rPr>
        <w:t>Chamber,</w:t>
      </w:r>
      <w:proofErr w:type="gramEnd"/>
      <w:r w:rsidRPr="00DC0A36">
        <w:rPr>
          <w:lang w:val="en-GB"/>
        </w:rPr>
        <w:t xml:space="preserve"> as 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CE5D6F">
        <w:rPr>
          <w:rFonts w:cs="Arial"/>
          <w:color w:val="000000"/>
          <w:lang w:val="en-GB" w:eastAsia="en-US"/>
        </w:rPr>
        <w:t xml:space="preserve">consultation </w:t>
      </w:r>
      <w:r w:rsidR="005B2525">
        <w:rPr>
          <w:rFonts w:cs="Arial"/>
          <w:color w:val="000000"/>
          <w:lang w:val="en-GB" w:eastAsia="en-US"/>
        </w:rPr>
        <w:t>document</w:t>
      </w:r>
      <w:r w:rsidR="00B467F0">
        <w:rPr>
          <w:rFonts w:cs="Arial"/>
          <w:color w:val="000000"/>
          <w:lang w:val="en-GB" w:eastAsia="en-US"/>
        </w:rPr>
        <w:t xml:space="preserve"> </w:t>
      </w:r>
      <w:r w:rsidR="00B467F0" w:rsidRPr="00487A00">
        <w:rPr>
          <w:rFonts w:cs="Arial"/>
          <w:color w:val="000000"/>
          <w:lang w:val="en-GB" w:eastAsia="en-US"/>
        </w:rPr>
        <w:t>and would like to submit the following position:</w:t>
      </w:r>
    </w:p>
    <w:p w:rsidR="003C35DC" w:rsidRDefault="003C35DC" w:rsidP="00CE5D6F">
      <w:pPr>
        <w:rPr>
          <w:lang w:val="en-GB"/>
        </w:rPr>
      </w:pPr>
    </w:p>
    <w:p w:rsidR="00452A16" w:rsidRPr="0094444B" w:rsidRDefault="005808AD" w:rsidP="0094444B">
      <w:pPr>
        <w:rPr>
          <w:b/>
          <w:lang w:val="en-GB"/>
        </w:rPr>
      </w:pPr>
      <w:r w:rsidRPr="005808AD">
        <w:rPr>
          <w:b/>
          <w:lang w:val="en-GB"/>
        </w:rPr>
        <w:t>General comments</w:t>
      </w:r>
    </w:p>
    <w:p w:rsidR="00847491"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The new definition of economic dependency will lead to substantial changes and particularly to expansions regarding the classification of </w:t>
      </w:r>
      <w:r w:rsidR="0094444B">
        <w:rPr>
          <w:rFonts w:ascii="Trebuchet MS" w:eastAsia="Times New Roman" w:hAnsi="Trebuchet MS" w:cs="Trebuchet MS"/>
          <w:snapToGrid w:val="0"/>
          <w:color w:val="auto"/>
          <w:sz w:val="22"/>
          <w:szCs w:val="22"/>
          <w:lang w:val="en-GB" w:eastAsia="de-AT"/>
        </w:rPr>
        <w:t xml:space="preserve">a </w:t>
      </w:r>
      <w:r w:rsidRPr="0094444B">
        <w:rPr>
          <w:rFonts w:ascii="Trebuchet MS" w:eastAsia="Times New Roman" w:hAnsi="Trebuchet MS" w:cs="Trebuchet MS"/>
          <w:snapToGrid w:val="0"/>
          <w:color w:val="auto"/>
          <w:sz w:val="22"/>
          <w:szCs w:val="22"/>
          <w:lang w:val="en-GB" w:eastAsia="de-AT"/>
        </w:rPr>
        <w:t xml:space="preserve">group of connected clients within institutions. </w:t>
      </w:r>
    </w:p>
    <w:p w:rsidR="00847491" w:rsidRPr="0094444B" w:rsidRDefault="00847491"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Clear instructions and definitions which are operationally manageable are needed. A broader application of the economic dependency criterion would involve a significant operational and IT effort by banks which will have to adjust and change substantially their procedures (collection of information, definition of new rules, interconnection with other areas that use the concept of connected clients, validation, etc.) and IT systems. Since information on suppliers or other counterparts that are dependent on the large corporate is often not made public, economic interdependence is most often revealed by evaluating the credit risk of the supplier or dependent party itself. A proper identification process therefore can only be bottom up, which makes it operationally complex. Further, any form of economic dependence that a supplier has to one single client will be reflected in its internal rating and form an integral part of the admission policies. It should suffice to have auditable principles or policies for monitoring economic interdependencies, instead of requiring banks to monitor and report exposures that are perhaps not even material.</w:t>
      </w:r>
    </w:p>
    <w:p w:rsidR="00847491" w:rsidRPr="0094444B" w:rsidRDefault="00847491"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When assessing interconnectedness based on control relationship and/or economic dependency, actual substantiality and material impact on credit risk in the individual case is to be considered. </w:t>
      </w:r>
    </w:p>
    <w:p w:rsidR="00452A16"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The requirements related to control and management procedures are very extensive and have to be set up which means not only high costs for institutions regarding the implementation, administration and monitoring but also a certain amount of time. To fulfill these requirements a close monitoring of almost all clients including their interconnectedness would be needed. It would be useful if the guideline would be more precise regarding the establishment of control and management procedures (Chapter 3.5). In any case it would be important and necessary to foresee a transitional period since the proposed concept means an extensive enlargement compared to the existing CEBS guideline.</w:t>
      </w:r>
    </w:p>
    <w:p w:rsidR="00452A16"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p>
    <w:p w:rsid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lastRenderedPageBreak/>
        <w:t xml:space="preserve">From a practical point of view we have to note that lots of individually arbitrary decisions have to be taken in regard to the classification of a group of connected clients. To take these decisions, in practice, however, it may be difficult to obtain the required information, which is often not available even from current customer relationships. At this point the question arises not only </w:t>
      </w:r>
    </w:p>
    <w:p w:rsidR="0094444B" w:rsidRDefault="00452A16" w:rsidP="0094444B">
      <w:pPr>
        <w:pStyle w:val="Default"/>
        <w:numPr>
          <w:ilvl w:val="0"/>
          <w:numId w:val="24"/>
        </w:numPr>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how the information procurement should be achieved but also</w:t>
      </w:r>
    </w:p>
    <w:p w:rsidR="00452A16" w:rsidRPr="0094444B" w:rsidRDefault="00452A16" w:rsidP="0094444B">
      <w:pPr>
        <w:pStyle w:val="Default"/>
        <w:numPr>
          <w:ilvl w:val="0"/>
          <w:numId w:val="24"/>
        </w:numPr>
        <w:tabs>
          <w:tab w:val="left" w:pos="991"/>
        </w:tabs>
        <w:spacing w:after="120"/>
        <w:rPr>
          <w:rFonts w:ascii="Trebuchet MS" w:eastAsia="Times New Roman" w:hAnsi="Trebuchet MS" w:cs="Trebuchet MS"/>
          <w:snapToGrid w:val="0"/>
          <w:color w:val="auto"/>
          <w:sz w:val="22"/>
          <w:szCs w:val="22"/>
          <w:lang w:val="en-GB" w:eastAsia="de-AT"/>
        </w:rPr>
      </w:pPr>
      <w:proofErr w:type="gramStart"/>
      <w:r w:rsidRPr="0094444B">
        <w:rPr>
          <w:rFonts w:ascii="Trebuchet MS" w:eastAsia="Times New Roman" w:hAnsi="Trebuchet MS" w:cs="Trebuchet MS"/>
          <w:snapToGrid w:val="0"/>
          <w:color w:val="auto"/>
          <w:sz w:val="22"/>
          <w:szCs w:val="22"/>
          <w:lang w:val="en-GB" w:eastAsia="de-AT"/>
        </w:rPr>
        <w:t>how</w:t>
      </w:r>
      <w:proofErr w:type="gramEnd"/>
      <w:r w:rsidRPr="0094444B">
        <w:rPr>
          <w:rFonts w:ascii="Trebuchet MS" w:eastAsia="Times New Roman" w:hAnsi="Trebuchet MS" w:cs="Trebuchet MS"/>
          <w:snapToGrid w:val="0"/>
          <w:color w:val="auto"/>
          <w:sz w:val="22"/>
          <w:szCs w:val="22"/>
          <w:lang w:val="en-GB" w:eastAsia="de-AT"/>
        </w:rPr>
        <w:t xml:space="preserve"> these administrative burdens could be carrie</w:t>
      </w:r>
      <w:r w:rsidR="0094444B" w:rsidRPr="0094444B">
        <w:rPr>
          <w:rFonts w:ascii="Trebuchet MS" w:eastAsia="Times New Roman" w:hAnsi="Trebuchet MS" w:cs="Trebuchet MS"/>
          <w:snapToGrid w:val="0"/>
          <w:color w:val="auto"/>
          <w:sz w:val="22"/>
          <w:szCs w:val="22"/>
          <w:lang w:val="en-GB" w:eastAsia="de-AT"/>
        </w:rPr>
        <w:t xml:space="preserve">d by the relationship managers, </w:t>
      </w:r>
      <w:r w:rsidRPr="0094444B">
        <w:rPr>
          <w:rFonts w:ascii="Trebuchet MS" w:eastAsia="Times New Roman" w:hAnsi="Trebuchet MS" w:cs="Trebuchet MS"/>
          <w:snapToGrid w:val="0"/>
          <w:color w:val="auto"/>
          <w:sz w:val="22"/>
          <w:szCs w:val="22"/>
          <w:lang w:val="en-GB" w:eastAsia="de-AT"/>
        </w:rPr>
        <w:t>wh</w:t>
      </w:r>
      <w:r w:rsidR="00E52ECE">
        <w:rPr>
          <w:rFonts w:ascii="Trebuchet MS" w:eastAsia="Times New Roman" w:hAnsi="Trebuchet MS" w:cs="Trebuchet MS"/>
          <w:snapToGrid w:val="0"/>
          <w:color w:val="auto"/>
          <w:sz w:val="22"/>
          <w:szCs w:val="22"/>
          <w:lang w:val="en-GB" w:eastAsia="de-AT"/>
        </w:rPr>
        <w:t>ose main mission is to serve their</w:t>
      </w:r>
      <w:r w:rsidRPr="0094444B">
        <w:rPr>
          <w:rFonts w:ascii="Trebuchet MS" w:eastAsia="Times New Roman" w:hAnsi="Trebuchet MS" w:cs="Trebuchet MS"/>
          <w:snapToGrid w:val="0"/>
          <w:color w:val="auto"/>
          <w:sz w:val="22"/>
          <w:szCs w:val="22"/>
          <w:lang w:val="en-GB" w:eastAsia="de-AT"/>
        </w:rPr>
        <w:t xml:space="preserve"> clients.</w:t>
      </w:r>
    </w:p>
    <w:p w:rsidR="00452A16" w:rsidRPr="0094444B" w:rsidRDefault="00452A16" w:rsidP="00452A16">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According to the proposed guidelines, institutions should assess the existence of a group of connected (GCC) clients as defined in Article 4(1)(39) CRR based on the criteria described in the draft guideline for the purpose of </w:t>
      </w:r>
      <w:r w:rsidR="00E52ECE">
        <w:rPr>
          <w:rFonts w:ascii="Trebuchet MS" w:eastAsia="Times New Roman" w:hAnsi="Trebuchet MS" w:cs="Trebuchet MS"/>
          <w:snapToGrid w:val="0"/>
          <w:color w:val="auto"/>
          <w:sz w:val="22"/>
          <w:szCs w:val="22"/>
          <w:lang w:val="en-GB" w:eastAsia="de-AT"/>
        </w:rPr>
        <w:t>part four of the CRR, i.e. for large e</w:t>
      </w:r>
      <w:r w:rsidRPr="0094444B">
        <w:rPr>
          <w:rFonts w:ascii="Trebuchet MS" w:eastAsia="Times New Roman" w:hAnsi="Trebuchet MS" w:cs="Trebuchet MS"/>
          <w:snapToGrid w:val="0"/>
          <w:color w:val="auto"/>
          <w:sz w:val="22"/>
          <w:szCs w:val="22"/>
          <w:lang w:val="en-GB" w:eastAsia="de-AT"/>
        </w:rPr>
        <w:t>xposures only. It is unclear how the institutions are expected to handle this asse</w:t>
      </w:r>
      <w:r w:rsidR="00E52ECE">
        <w:rPr>
          <w:rFonts w:ascii="Trebuchet MS" w:eastAsia="Times New Roman" w:hAnsi="Trebuchet MS" w:cs="Trebuchet MS"/>
          <w:snapToGrid w:val="0"/>
          <w:color w:val="auto"/>
          <w:sz w:val="22"/>
          <w:szCs w:val="22"/>
          <w:lang w:val="en-GB" w:eastAsia="de-AT"/>
        </w:rPr>
        <w:t>ssment in cases not related to large e</w:t>
      </w:r>
      <w:r w:rsidRPr="0094444B">
        <w:rPr>
          <w:rFonts w:ascii="Trebuchet MS" w:eastAsia="Times New Roman" w:hAnsi="Trebuchet MS" w:cs="Trebuchet MS"/>
          <w:snapToGrid w:val="0"/>
          <w:color w:val="auto"/>
          <w:sz w:val="22"/>
          <w:szCs w:val="22"/>
          <w:lang w:val="en-GB" w:eastAsia="de-AT"/>
        </w:rPr>
        <w:t xml:space="preserve">xposures. In our opinion it would be not feasible to have different approaches, which could lead to </w:t>
      </w:r>
      <w:r w:rsidR="00E52ECE">
        <w:rPr>
          <w:rFonts w:ascii="Trebuchet MS" w:eastAsia="Times New Roman" w:hAnsi="Trebuchet MS" w:cs="Trebuchet MS"/>
          <w:snapToGrid w:val="0"/>
          <w:color w:val="auto"/>
          <w:sz w:val="22"/>
          <w:szCs w:val="22"/>
          <w:lang w:val="en-GB" w:eastAsia="de-AT"/>
        </w:rPr>
        <w:t xml:space="preserve">the </w:t>
      </w:r>
      <w:r w:rsidRPr="0094444B">
        <w:rPr>
          <w:rFonts w:ascii="Trebuchet MS" w:eastAsia="Times New Roman" w:hAnsi="Trebuchet MS" w:cs="Trebuchet MS"/>
          <w:snapToGrid w:val="0"/>
          <w:color w:val="auto"/>
          <w:sz w:val="22"/>
          <w:szCs w:val="22"/>
          <w:lang w:val="en-GB" w:eastAsia="de-AT"/>
        </w:rPr>
        <w:t xml:space="preserve">creation of different GCCs, depending on the different purposes GCC definition according to Article 4(1)(39) CRR is used for. </w:t>
      </w:r>
    </w:p>
    <w:p w:rsidR="00452A16" w:rsidRPr="0094444B" w:rsidRDefault="00452A16" w:rsidP="00452A16">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As you are aware, CRR requires the use of GCC as defined in Article 4(1</w:t>
      </w:r>
      <w:proofErr w:type="gramStart"/>
      <w:r w:rsidRPr="0094444B">
        <w:rPr>
          <w:rFonts w:ascii="Trebuchet MS" w:eastAsia="Times New Roman" w:hAnsi="Trebuchet MS" w:cs="Trebuchet MS"/>
          <w:snapToGrid w:val="0"/>
          <w:color w:val="auto"/>
          <w:sz w:val="22"/>
          <w:szCs w:val="22"/>
          <w:lang w:val="en-GB" w:eastAsia="de-AT"/>
        </w:rPr>
        <w:t>)(</w:t>
      </w:r>
      <w:proofErr w:type="gramEnd"/>
      <w:r w:rsidRPr="0094444B">
        <w:rPr>
          <w:rFonts w:ascii="Trebuchet MS" w:eastAsia="Times New Roman" w:hAnsi="Trebuchet MS" w:cs="Trebuchet MS"/>
          <w:snapToGrid w:val="0"/>
          <w:color w:val="auto"/>
          <w:sz w:val="22"/>
          <w:szCs w:val="22"/>
          <w:lang w:val="en-GB" w:eastAsia="de-AT"/>
        </w:rPr>
        <w:t>39) CRR, for fol</w:t>
      </w:r>
      <w:r w:rsidR="00E52ECE">
        <w:rPr>
          <w:rFonts w:ascii="Trebuchet MS" w:eastAsia="Times New Roman" w:hAnsi="Trebuchet MS" w:cs="Trebuchet MS"/>
          <w:snapToGrid w:val="0"/>
          <w:color w:val="auto"/>
          <w:sz w:val="22"/>
          <w:szCs w:val="22"/>
          <w:lang w:val="en-GB" w:eastAsia="de-AT"/>
        </w:rPr>
        <w:t>lowing purposes in addition to the large e</w:t>
      </w:r>
      <w:r w:rsidRPr="0094444B">
        <w:rPr>
          <w:rFonts w:ascii="Trebuchet MS" w:eastAsia="Times New Roman" w:hAnsi="Trebuchet MS" w:cs="Trebuchet MS"/>
          <w:snapToGrid w:val="0"/>
          <w:color w:val="auto"/>
          <w:sz w:val="22"/>
          <w:szCs w:val="22"/>
          <w:lang w:val="en-GB" w:eastAsia="de-AT"/>
        </w:rPr>
        <w:t xml:space="preserve">xposure chapter: Article 123 and Article 147 CRR for the definition of Retail segment in both STD-Approach and IRB-Approach, Article 172(1)(d) CRR for rating process and Article 501 CRR for SME supporting factor. It is unclear what definition shall be used for the above listed purposes that are not subject of the draft guidelines and how the existence of different GCC definitions based on the same CRR definition can be explained and defended both in internal governance and for the supervisory authorities. </w:t>
      </w:r>
    </w:p>
    <w:p w:rsidR="00452A16" w:rsidRPr="0094444B" w:rsidRDefault="00452A16" w:rsidP="00452A16">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In our opinion, group of connected customers as defined in Article 4(1</w:t>
      </w:r>
      <w:proofErr w:type="gramStart"/>
      <w:r w:rsidRPr="0094444B">
        <w:rPr>
          <w:rFonts w:ascii="Trebuchet MS" w:eastAsia="Times New Roman" w:hAnsi="Trebuchet MS" w:cs="Trebuchet MS"/>
          <w:snapToGrid w:val="0"/>
          <w:color w:val="auto"/>
          <w:sz w:val="22"/>
          <w:szCs w:val="22"/>
          <w:lang w:val="en-GB" w:eastAsia="de-AT"/>
        </w:rPr>
        <w:t>)(</w:t>
      </w:r>
      <w:proofErr w:type="gramEnd"/>
      <w:r w:rsidRPr="0094444B">
        <w:rPr>
          <w:rFonts w:ascii="Trebuchet MS" w:eastAsia="Times New Roman" w:hAnsi="Trebuchet MS" w:cs="Trebuchet MS"/>
          <w:snapToGrid w:val="0"/>
          <w:color w:val="auto"/>
          <w:sz w:val="22"/>
          <w:szCs w:val="22"/>
          <w:lang w:val="en-GB" w:eastAsia="de-AT"/>
        </w:rPr>
        <w:t>39) CRR is a concept firmly established in overall risk management processes of the institutions. Established lending policies and credit application processes usually take into account the whole GCC and not each member separately. All GCC members are treated in the same portfolio of the respective business and risk management units who are consequently responsible for them throughout the lifetime of the GCC. Therefore, we find it necessary to clearly define how the assessment of control relationship and economic dependency should be performed in general, and if there can be any differences between such assessments, depending on the purpose Article 4(1</w:t>
      </w:r>
      <w:proofErr w:type="gramStart"/>
      <w:r w:rsidRPr="0094444B">
        <w:rPr>
          <w:rFonts w:ascii="Trebuchet MS" w:eastAsia="Times New Roman" w:hAnsi="Trebuchet MS" w:cs="Trebuchet MS"/>
          <w:snapToGrid w:val="0"/>
          <w:color w:val="auto"/>
          <w:sz w:val="22"/>
          <w:szCs w:val="22"/>
          <w:lang w:val="en-GB" w:eastAsia="de-AT"/>
        </w:rPr>
        <w:t>)(</w:t>
      </w:r>
      <w:proofErr w:type="gramEnd"/>
      <w:r w:rsidRPr="0094444B">
        <w:rPr>
          <w:rFonts w:ascii="Trebuchet MS" w:eastAsia="Times New Roman" w:hAnsi="Trebuchet MS" w:cs="Trebuchet MS"/>
          <w:snapToGrid w:val="0"/>
          <w:color w:val="auto"/>
          <w:sz w:val="22"/>
          <w:szCs w:val="22"/>
          <w:lang w:val="en-GB" w:eastAsia="de-AT"/>
        </w:rPr>
        <w:t>39) CRR definition is used for.</w:t>
      </w:r>
    </w:p>
    <w:p w:rsidR="00452A16"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Moreover, we find it absolutely necessary to clarify the relation between the concept of ‘single risk’ and the same probability of default. The draft guidelines interpret ‘single risk’ cases when the failure of a client would lead to ‘repayment difficulties’ of another client of an institution. In this case, these clients shall form one group of connected clients. In both cases, control relationship and economic dependency, the chain of contagion (‘domino effect’) leading to ‘possible default’ of all entities concerned is a relevant factor for the grouping. In our opinion, it should be made clearer how such likeliness to default or to experience financial difficulties should be treated in the rating assessment of the members of the GCC, and especially in the cases when one member of the GCC defaults. In our understanding (i) ‘repayment difficulties’ do not equate to ‘default’</w:t>
      </w:r>
      <w:r w:rsidR="00E52ECE">
        <w:rPr>
          <w:rFonts w:ascii="Trebuchet MS" w:eastAsia="Times New Roman" w:hAnsi="Trebuchet MS" w:cs="Trebuchet MS"/>
          <w:snapToGrid w:val="0"/>
          <w:color w:val="auto"/>
          <w:sz w:val="22"/>
          <w:szCs w:val="22"/>
          <w:lang w:val="en-GB" w:eastAsia="de-AT"/>
        </w:rPr>
        <w:t xml:space="preserve"> and (ii) ‘single risk’ does </w:t>
      </w:r>
      <w:r w:rsidR="00E52ECE" w:rsidRPr="00E52ECE">
        <w:rPr>
          <w:rFonts w:ascii="Trebuchet MS" w:eastAsia="Times New Roman" w:hAnsi="Trebuchet MS" w:cs="Trebuchet MS"/>
          <w:snapToGrid w:val="0"/>
          <w:color w:val="auto"/>
          <w:sz w:val="22"/>
          <w:szCs w:val="22"/>
          <w:u w:val="single"/>
          <w:lang w:val="en-GB" w:eastAsia="de-AT"/>
        </w:rPr>
        <w:t>not</w:t>
      </w:r>
      <w:r w:rsidRPr="0094444B">
        <w:rPr>
          <w:rFonts w:ascii="Trebuchet MS" w:eastAsia="Times New Roman" w:hAnsi="Trebuchet MS" w:cs="Trebuchet MS"/>
          <w:snapToGrid w:val="0"/>
          <w:color w:val="auto"/>
          <w:sz w:val="22"/>
          <w:szCs w:val="22"/>
          <w:lang w:val="en-GB" w:eastAsia="de-AT"/>
        </w:rPr>
        <w:t xml:space="preserve"> equate to ‘the same probability of default’. However, this distinction is not clear, as the terminology of the draft guidelines uses wording that also apply for Article 178 CRR default definition that is a cornerstone of IRB rating systems.</w:t>
      </w:r>
    </w:p>
    <w:p w:rsidR="00847491" w:rsidRPr="0094444B" w:rsidRDefault="00847491"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The EBA’s proposal to reduce to 2% of the eligible capital the threshold which triggers investigation of potential economic connections would override the Basel framework jeopardising the level playing field. Moreover, we deem that such an important change should not be implemented via EBA guidelines but rather through a revision of the level one regulation. Overall we think that the 5% level is already a conservative threshold as long as large exposures are defined as those which overcome the 10% of bank’s eligible capital. In any case, the investigation required by the 2% should not imply any additional documentation to be provided by the institutions. Finally, we would appreciate it to be clarified whether the threshold is </w:t>
      </w:r>
      <w:r w:rsidRPr="0094444B">
        <w:rPr>
          <w:rFonts w:ascii="Trebuchet MS" w:eastAsia="Times New Roman" w:hAnsi="Trebuchet MS" w:cs="Trebuchet MS"/>
          <w:snapToGrid w:val="0"/>
          <w:color w:val="auto"/>
          <w:sz w:val="22"/>
          <w:szCs w:val="22"/>
          <w:lang w:val="en-GB" w:eastAsia="de-AT"/>
        </w:rPr>
        <w:lastRenderedPageBreak/>
        <w:t>intended to be applied at group or single counterparty level.</w:t>
      </w:r>
    </w:p>
    <w:p w:rsidR="00847491" w:rsidRPr="0094444B" w:rsidRDefault="00847491"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The presentation of the examples in the consultation paper is very helpful and appreciated. However, from a practical perspective the implementation of the examples  E 2, E 3, E 6 (page 17/18) and C/E 1 – 3 (page 19 – 22) will be very difficult to implement and connections between e.g. different retailers and wholesalers or supply chains in different business sectors will be hardly identifiable.  </w:t>
      </w:r>
    </w:p>
    <w:p w:rsidR="00847491" w:rsidRPr="0094444B" w:rsidRDefault="00847491"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Furthermore, clarification would be needed whether para 36 (page 23) refers to the example provided in E 2 (page 14) as well.</w:t>
      </w:r>
    </w:p>
    <w:p w:rsidR="0094444B" w:rsidRDefault="00847491"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Regarding example E2 (section 3.2.3) we note the variation to main case (no direct exposure to source of risk). It can be a very subjective identification and burdensome due to manual task to identify such a group where the relation is dependent on a customer to which the institution has no exposure against and limited knowledge about. What has to be the exact criteria for the relations to the common customer with no direct exposure if it has to be identified as connected client?</w:t>
      </w:r>
    </w:p>
    <w:p w:rsidR="0094444B" w:rsidRPr="0094444B" w:rsidRDefault="005808AD" w:rsidP="0094444B">
      <w:pPr>
        <w:pStyle w:val="Default"/>
        <w:tabs>
          <w:tab w:val="left" w:pos="991"/>
        </w:tabs>
        <w:spacing w:after="120"/>
        <w:rPr>
          <w:rFonts w:ascii="Trebuchet MS" w:eastAsia="Times New Roman" w:hAnsi="Trebuchet MS" w:cs="Trebuchet MS"/>
          <w:b/>
          <w:i/>
          <w:snapToGrid w:val="0"/>
          <w:color w:val="auto"/>
          <w:sz w:val="22"/>
          <w:szCs w:val="22"/>
          <w:lang w:val="en-GB" w:eastAsia="de-AT"/>
        </w:rPr>
      </w:pPr>
      <w:r w:rsidRPr="0094444B">
        <w:rPr>
          <w:rFonts w:ascii="Trebuchet MS" w:eastAsia="Times New Roman" w:hAnsi="Trebuchet MS" w:cs="Trebuchet MS"/>
          <w:b/>
          <w:i/>
          <w:snapToGrid w:val="0"/>
          <w:color w:val="auto"/>
          <w:sz w:val="22"/>
          <w:szCs w:val="22"/>
          <w:lang w:val="en-GB" w:eastAsia="de-AT"/>
        </w:rPr>
        <w:t>Question 1: Are you aware of any situations where the existence of a control relationship among clients does not lead to a ‘single risk’?</w:t>
      </w:r>
    </w:p>
    <w:p w:rsidR="00847491" w:rsidRPr="0094444B" w:rsidRDefault="00847491"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In most cases a control relationship triggers ‘single risk’ and hence if financial distress occurs, the controlling entity will intervene to support the troubled subsidiary and vice versa. </w:t>
      </w:r>
      <w:proofErr w:type="gramStart"/>
      <w:r w:rsidRPr="0094444B">
        <w:rPr>
          <w:rFonts w:ascii="Trebuchet MS" w:eastAsia="Times New Roman" w:hAnsi="Trebuchet MS" w:cs="Trebuchet MS"/>
          <w:snapToGrid w:val="0"/>
          <w:color w:val="auto"/>
          <w:sz w:val="22"/>
          <w:szCs w:val="22"/>
          <w:lang w:val="en-GB" w:eastAsia="de-AT"/>
        </w:rPr>
        <w:t>This being said, it might be the case in situations where another party has such control as described in guideline No. 13 c), such as management rights based on contractual conditions, clauses, etc.</w:t>
      </w:r>
      <w:proofErr w:type="gramEnd"/>
      <w:r w:rsidRPr="0094444B">
        <w:rPr>
          <w:rFonts w:ascii="Trebuchet MS" w:eastAsia="Times New Roman" w:hAnsi="Trebuchet MS" w:cs="Trebuchet MS"/>
          <w:snapToGrid w:val="0"/>
          <w:color w:val="auto"/>
          <w:sz w:val="22"/>
          <w:szCs w:val="22"/>
          <w:lang w:val="en-GB" w:eastAsia="de-AT"/>
        </w:rPr>
        <w:t xml:space="preserve"> Such types of control do not necessarily have any impact on financial difficulties, etc.</w:t>
      </w:r>
    </w:p>
    <w:p w:rsidR="00847491" w:rsidRPr="0094444B" w:rsidRDefault="00847491"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Hence i</w:t>
      </w:r>
      <w:r w:rsidR="005808AD" w:rsidRPr="0094444B">
        <w:rPr>
          <w:rFonts w:ascii="Trebuchet MS" w:eastAsia="Times New Roman" w:hAnsi="Trebuchet MS" w:cs="Trebuchet MS"/>
          <w:snapToGrid w:val="0"/>
          <w:color w:val="auto"/>
          <w:sz w:val="22"/>
          <w:szCs w:val="22"/>
          <w:lang w:val="en-GB" w:eastAsia="de-AT"/>
        </w:rPr>
        <w:t>n our opinion, there are situations, in which a control relationship does not lead to a single</w:t>
      </w:r>
      <w:r w:rsidRPr="0094444B">
        <w:rPr>
          <w:rFonts w:ascii="Trebuchet MS" w:eastAsia="Times New Roman" w:hAnsi="Trebuchet MS" w:cs="Trebuchet MS"/>
          <w:snapToGrid w:val="0"/>
          <w:color w:val="auto"/>
          <w:sz w:val="22"/>
          <w:szCs w:val="22"/>
          <w:lang w:val="en-GB" w:eastAsia="de-AT"/>
        </w:rPr>
        <w:t xml:space="preserve"> </w:t>
      </w:r>
      <w:r w:rsidR="005808AD" w:rsidRPr="0094444B">
        <w:rPr>
          <w:rFonts w:ascii="Trebuchet MS" w:eastAsia="Times New Roman" w:hAnsi="Trebuchet MS" w:cs="Trebuchet MS"/>
          <w:snapToGrid w:val="0"/>
          <w:color w:val="auto"/>
          <w:sz w:val="22"/>
          <w:szCs w:val="22"/>
          <w:lang w:val="en-GB" w:eastAsia="de-AT"/>
        </w:rPr>
        <w:t>risk, as e.g. fund structures or SPV financings with paid-up equity commitment or ring-fenced</w:t>
      </w:r>
      <w:r w:rsidRPr="0094444B">
        <w:rPr>
          <w:rFonts w:ascii="Trebuchet MS" w:eastAsia="Times New Roman" w:hAnsi="Trebuchet MS" w:cs="Trebuchet MS"/>
          <w:snapToGrid w:val="0"/>
          <w:color w:val="auto"/>
          <w:sz w:val="22"/>
          <w:szCs w:val="22"/>
          <w:lang w:val="en-GB" w:eastAsia="de-AT"/>
        </w:rPr>
        <w:t xml:space="preserve"> </w:t>
      </w:r>
      <w:r w:rsidR="005808AD" w:rsidRPr="0094444B">
        <w:rPr>
          <w:rFonts w:ascii="Trebuchet MS" w:eastAsia="Times New Roman" w:hAnsi="Trebuchet MS" w:cs="Trebuchet MS"/>
          <w:snapToGrid w:val="0"/>
          <w:color w:val="auto"/>
          <w:sz w:val="22"/>
          <w:szCs w:val="22"/>
          <w:lang w:val="en-GB" w:eastAsia="de-AT"/>
        </w:rPr>
        <w:t>financings with specific restrictions (on distributions, intercompany loans etc.).</w:t>
      </w:r>
    </w:p>
    <w:p w:rsidR="00452A16"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Another situation where interconnectedness through control does not necessarily lead to a “single risk”, which is not very likely but deserves to be mentioned, occurs when a parent holding controls several sub-holdings but explicitly states that it leaves to one or more of them a high degree of autonomy without exercising managing and controlling activities. In this situation, if it is also likely that possible financial difficulties would not generate a domino effect, then the autonomous sub-holding should constitute a separate group of connected clients. </w:t>
      </w:r>
    </w:p>
    <w:p w:rsidR="00452A16"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A very typical feature of many SPV types (basically those established for undertaking business initiatives, like project finance and real estate) in practice is their bankruptcy-remote style set-up. Such ring-fencing design typically results in most SPVs being economically independent from other parties´ (such as the originator´s) economic fate even if accounting rules require the relationship to be deemed a controlling one. </w:t>
      </w:r>
    </w:p>
    <w:p w:rsidR="00452A16"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We only would agree with the concept that the existence of a control relationship </w:t>
      </w:r>
      <w:r w:rsidR="00CF62F5" w:rsidRPr="0094444B">
        <w:rPr>
          <w:rFonts w:ascii="Trebuchet MS" w:eastAsia="Times New Roman" w:hAnsi="Trebuchet MS" w:cs="Trebuchet MS"/>
          <w:snapToGrid w:val="0"/>
          <w:color w:val="auto"/>
          <w:sz w:val="22"/>
          <w:szCs w:val="22"/>
          <w:lang w:val="en-GB" w:eastAsia="de-AT"/>
        </w:rPr>
        <w:t>as it wou</w:t>
      </w:r>
      <w:r w:rsidRPr="0094444B">
        <w:rPr>
          <w:rFonts w:ascii="Trebuchet MS" w:eastAsia="Times New Roman" w:hAnsi="Trebuchet MS" w:cs="Trebuchet MS"/>
          <w:snapToGrid w:val="0"/>
          <w:color w:val="auto"/>
          <w:sz w:val="22"/>
          <w:szCs w:val="22"/>
          <w:lang w:val="en-GB" w:eastAsia="de-AT"/>
        </w:rPr>
        <w:t>ld always lead to a ‘single risk’ if control relat</w:t>
      </w:r>
      <w:r w:rsidR="00CF62F5" w:rsidRPr="0094444B">
        <w:rPr>
          <w:rFonts w:ascii="Trebuchet MS" w:eastAsia="Times New Roman" w:hAnsi="Trebuchet MS" w:cs="Trebuchet MS"/>
          <w:snapToGrid w:val="0"/>
          <w:color w:val="auto"/>
          <w:sz w:val="22"/>
          <w:szCs w:val="22"/>
          <w:lang w:val="en-GB" w:eastAsia="de-AT"/>
        </w:rPr>
        <w:t>ionship does no</w:t>
      </w:r>
      <w:r w:rsidRPr="0094444B">
        <w:rPr>
          <w:rFonts w:ascii="Trebuchet MS" w:eastAsia="Times New Roman" w:hAnsi="Trebuchet MS" w:cs="Trebuchet MS"/>
          <w:snapToGrid w:val="0"/>
          <w:color w:val="auto"/>
          <w:sz w:val="22"/>
          <w:szCs w:val="22"/>
          <w:lang w:val="en-GB" w:eastAsia="de-AT"/>
        </w:rPr>
        <w:t>t mean the same probability of default. Otherwise all counterparties within the same scope of consolidation of the parent undertaking would have to have the same PD/rating under the IRB Approach. In our opinion this would not reflect the economic reality.</w:t>
      </w:r>
    </w:p>
    <w:p w:rsidR="00452A16"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This concept is also elaborated by external rating agencies (please see below the quote from Standard &amp; Poor’s RatingDirect paper: “Parent and Subsidiary Ratings”, August 29, 2000):</w:t>
      </w:r>
    </w:p>
    <w:p w:rsidR="00452A16" w:rsidRPr="0094444B" w:rsidRDefault="00452A16" w:rsidP="00452A16">
      <w:pPr>
        <w:rPr>
          <w:i/>
          <w:lang w:val="en-US"/>
        </w:rPr>
      </w:pPr>
      <w:r w:rsidRPr="0094444B">
        <w:rPr>
          <w:lang w:val="en-US"/>
        </w:rPr>
        <w:t>“</w:t>
      </w:r>
      <w:r w:rsidRPr="0094444B">
        <w:rPr>
          <w:i/>
          <w:lang w:val="en-US"/>
        </w:rPr>
        <w:t>Insulation</w:t>
      </w:r>
    </w:p>
    <w:p w:rsidR="00452A16" w:rsidRPr="0094444B" w:rsidRDefault="00452A16" w:rsidP="00452A16">
      <w:pPr>
        <w:rPr>
          <w:i/>
          <w:lang w:val="en-US"/>
        </w:rPr>
      </w:pPr>
      <w:r w:rsidRPr="0094444B">
        <w:rPr>
          <w:i/>
          <w:lang w:val="en-US"/>
        </w:rPr>
        <w:t xml:space="preserve">It is possible for a subsidiary to achieve a higher rating than that of a parent or a consolidated family if it is insulated. </w:t>
      </w:r>
    </w:p>
    <w:p w:rsidR="00452A16" w:rsidRPr="0094444B" w:rsidRDefault="00452A16" w:rsidP="00452A16">
      <w:pPr>
        <w:rPr>
          <w:i/>
          <w:lang w:val="en-US"/>
        </w:rPr>
      </w:pPr>
      <w:r w:rsidRPr="0094444B">
        <w:rPr>
          <w:i/>
          <w:lang w:val="en-US"/>
        </w:rPr>
        <w:t xml:space="preserve">As a result of insulation, parent companies may be prevented or restricted from accessing the resources of the subsidiary. The two strongest means of insulation are through either </w:t>
      </w:r>
      <w:r w:rsidRPr="0094444B">
        <w:rPr>
          <w:i/>
          <w:lang w:val="en-US"/>
        </w:rPr>
        <w:lastRenderedPageBreak/>
        <w:t>regulatory or legal barriers, which prevent excessive dividend upstreaming, intercompany loans, or any "non-arm's-length" transactions.</w:t>
      </w:r>
    </w:p>
    <w:p w:rsidR="00452A16" w:rsidRPr="0094444B" w:rsidRDefault="00452A16" w:rsidP="00452A16">
      <w:pPr>
        <w:rPr>
          <w:i/>
          <w:lang w:val="en-US"/>
        </w:rPr>
      </w:pPr>
      <w:r w:rsidRPr="0094444B">
        <w:rPr>
          <w:i/>
          <w:lang w:val="en-US"/>
        </w:rPr>
        <w:t xml:space="preserve">Generally, the rating of a bankruptcy-remote, special-purpose vehicle (SPV) can exceed a parent rating or group rating by up to three notches. Thus, while insulation can protect the credit of a stronger entity, it cannot totally delink it from a weaker parent or weaker group rating. Legal or regulatory insulation in and of itself can be sufficient to warrant an entity ICR above the group's credit quality. However, other factors in combination can serve to enhance a rating. </w:t>
      </w:r>
    </w:p>
    <w:p w:rsidR="00452A16" w:rsidRPr="0094444B" w:rsidRDefault="00452A16" w:rsidP="00452A16">
      <w:pPr>
        <w:rPr>
          <w:i/>
          <w:lang w:val="en-US"/>
        </w:rPr>
      </w:pPr>
      <w:r w:rsidRPr="0094444B">
        <w:rPr>
          <w:i/>
          <w:lang w:val="en-US"/>
        </w:rPr>
        <w:t>Insulation factors include:</w:t>
      </w:r>
    </w:p>
    <w:p w:rsidR="00452A16" w:rsidRPr="0094444B" w:rsidRDefault="00452A16" w:rsidP="00452A16">
      <w:pPr>
        <w:rPr>
          <w:i/>
          <w:lang w:val="en-US"/>
        </w:rPr>
      </w:pPr>
      <w:r w:rsidRPr="0094444B">
        <w:rPr>
          <w:i/>
          <w:lang w:val="en-US"/>
        </w:rPr>
        <w:t>· Legal structure—an SPV with a cash waterfall distribution that limits disbursements to owners;</w:t>
      </w:r>
    </w:p>
    <w:p w:rsidR="00452A16" w:rsidRPr="0094444B" w:rsidRDefault="00452A16" w:rsidP="00452A16">
      <w:pPr>
        <w:rPr>
          <w:i/>
          <w:lang w:val="en-US"/>
        </w:rPr>
      </w:pPr>
      <w:r w:rsidRPr="0094444B">
        <w:rPr>
          <w:i/>
          <w:lang w:val="en-US"/>
        </w:rPr>
        <w:t>· National legal systems—for example, in certain countries corporations can only declare dividends up to a limited amount of earnings;</w:t>
      </w:r>
    </w:p>
    <w:p w:rsidR="00452A16" w:rsidRPr="0094444B" w:rsidRDefault="00452A16" w:rsidP="00452A16">
      <w:pPr>
        <w:rPr>
          <w:i/>
          <w:lang w:val="en-US"/>
        </w:rPr>
      </w:pPr>
      <w:r w:rsidRPr="0094444B">
        <w:rPr>
          <w:i/>
          <w:lang w:val="en-US"/>
        </w:rPr>
        <w:t>· Explicit regulatory restrictions or the threat of repercussions via tariff setting authority;</w:t>
      </w:r>
    </w:p>
    <w:p w:rsidR="00452A16" w:rsidRPr="0094444B" w:rsidRDefault="00452A16" w:rsidP="00452A16">
      <w:pPr>
        <w:rPr>
          <w:i/>
          <w:lang w:val="en-US"/>
        </w:rPr>
      </w:pPr>
      <w:r w:rsidRPr="0094444B">
        <w:rPr>
          <w:i/>
          <w:lang w:val="en-US"/>
        </w:rPr>
        <w:t>· Separate management and/or board of directors;</w:t>
      </w:r>
    </w:p>
    <w:p w:rsidR="00452A16" w:rsidRPr="0094444B" w:rsidRDefault="00452A16" w:rsidP="00452A16">
      <w:pPr>
        <w:rPr>
          <w:i/>
          <w:lang w:val="en-US"/>
        </w:rPr>
      </w:pPr>
      <w:r w:rsidRPr="0094444B">
        <w:rPr>
          <w:i/>
          <w:lang w:val="en-US"/>
        </w:rPr>
        <w:t>· Different countries with different legal jurisdictions;</w:t>
      </w:r>
    </w:p>
    <w:p w:rsidR="00452A16" w:rsidRPr="0094444B" w:rsidRDefault="00452A16" w:rsidP="00452A16">
      <w:pPr>
        <w:rPr>
          <w:lang w:val="en-US"/>
        </w:rPr>
      </w:pPr>
      <w:proofErr w:type="gramStart"/>
      <w:r w:rsidRPr="0094444B">
        <w:rPr>
          <w:i/>
          <w:lang w:val="en-US"/>
        </w:rPr>
        <w:t>· Tax disincentives discouraging repatriation of dividends/cash between countries.</w:t>
      </w:r>
      <w:r w:rsidRPr="0094444B">
        <w:rPr>
          <w:lang w:val="en-US"/>
        </w:rPr>
        <w:t>”</w:t>
      </w:r>
      <w:proofErr w:type="gramEnd"/>
    </w:p>
    <w:p w:rsidR="00452A16" w:rsidRDefault="00452A16" w:rsidP="005808AD">
      <w:pPr>
        <w:autoSpaceDE w:val="0"/>
        <w:autoSpaceDN w:val="0"/>
        <w:adjustRightInd w:val="0"/>
        <w:spacing w:line="240" w:lineRule="auto"/>
        <w:rPr>
          <w:rFonts w:cs="Calibri,Bold"/>
          <w:b/>
          <w:bCs/>
          <w:snapToGrid/>
          <w:lang w:val="de-AT"/>
        </w:rPr>
      </w:pPr>
    </w:p>
    <w:p w:rsidR="005808AD" w:rsidRPr="0094444B" w:rsidRDefault="005808AD" w:rsidP="0094444B">
      <w:pPr>
        <w:pStyle w:val="Default"/>
        <w:tabs>
          <w:tab w:val="left" w:pos="991"/>
        </w:tabs>
        <w:spacing w:after="120"/>
        <w:rPr>
          <w:rFonts w:ascii="Trebuchet MS" w:eastAsia="Times New Roman" w:hAnsi="Trebuchet MS" w:cs="Trebuchet MS"/>
          <w:b/>
          <w:i/>
          <w:snapToGrid w:val="0"/>
          <w:color w:val="auto"/>
          <w:sz w:val="22"/>
          <w:szCs w:val="22"/>
          <w:lang w:val="en-GB" w:eastAsia="de-AT"/>
        </w:rPr>
      </w:pPr>
      <w:r w:rsidRPr="0094444B">
        <w:rPr>
          <w:rFonts w:ascii="Trebuchet MS" w:eastAsia="Times New Roman" w:hAnsi="Trebuchet MS" w:cs="Trebuchet MS"/>
          <w:b/>
          <w:i/>
          <w:snapToGrid w:val="0"/>
          <w:color w:val="auto"/>
          <w:sz w:val="22"/>
          <w:szCs w:val="22"/>
          <w:lang w:val="en-GB" w:eastAsia="de-AT"/>
        </w:rPr>
        <w:t>Question 2: What is the likely impact of the clarification of having an exceptional case when the existence of a control relationship does not lead to a ‘single risk’? Please provide an estimation of the associated quantitative costs.</w:t>
      </w:r>
    </w:p>
    <w:p w:rsidR="00CF62F5" w:rsidRPr="0094444B" w:rsidRDefault="00CF62F5"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The impact is positive; it permits more accurate counterparty credit risk underwriting and steering by not mixing cash-flows that should not be related.</w:t>
      </w:r>
    </w:p>
    <w:p w:rsidR="005808AD" w:rsidRPr="0094444B" w:rsidRDefault="005808AD"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For most SPV financings, this should already be covered by the legal due diligence; for some other cases, extra due diligence may need to be commissioned at significant cost.</w:t>
      </w:r>
    </w:p>
    <w:p w:rsidR="0094444B"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As we are dealing with information contained in the official documentation (e.g. annual reports, local registries), which is collected from group clients, it would be sufficient to document the lack of single risk in a detailed and comprehensive manner. Hence, we estimated that the impact would be overall null or low in line with the current operating practices.  It is expected that no further information/analyses will be required in addition to the documents already set used by mapping functions in risk management. Otherwise, the impact will be relevant. </w:t>
      </w:r>
    </w:p>
    <w:p w:rsidR="005808AD" w:rsidRPr="0094444B" w:rsidRDefault="005808AD" w:rsidP="0094444B">
      <w:pPr>
        <w:pStyle w:val="Default"/>
        <w:tabs>
          <w:tab w:val="left" w:pos="991"/>
        </w:tabs>
        <w:spacing w:after="120"/>
        <w:rPr>
          <w:rFonts w:ascii="Trebuchet MS" w:eastAsia="Times New Roman" w:hAnsi="Trebuchet MS" w:cs="Trebuchet MS"/>
          <w:b/>
          <w:i/>
          <w:snapToGrid w:val="0"/>
          <w:color w:val="auto"/>
          <w:sz w:val="22"/>
          <w:szCs w:val="22"/>
          <w:lang w:val="en-GB" w:eastAsia="de-AT"/>
        </w:rPr>
      </w:pPr>
      <w:r w:rsidRPr="0094444B">
        <w:rPr>
          <w:rFonts w:ascii="Trebuchet MS" w:eastAsia="Times New Roman" w:hAnsi="Trebuchet MS" w:cs="Trebuchet MS"/>
          <w:b/>
          <w:i/>
          <w:snapToGrid w:val="0"/>
          <w:color w:val="auto"/>
          <w:sz w:val="22"/>
          <w:szCs w:val="22"/>
          <w:lang w:val="en-GB" w:eastAsia="de-AT"/>
        </w:rPr>
        <w:t>Question 3: Do you see a need for further clarification of the accounting provisions which are relevant for large exposures purposes? If yes, please point out the exact indicator of control according to the Directive 2013/34/EU or Regulation (EC) No 1606/2002 which should be clarified with respect to the large exposures regime.</w:t>
      </w:r>
    </w:p>
    <w:p w:rsidR="00452A16" w:rsidRDefault="005808AD" w:rsidP="005808AD">
      <w:pPr>
        <w:autoSpaceDE w:val="0"/>
        <w:autoSpaceDN w:val="0"/>
        <w:adjustRightInd w:val="0"/>
        <w:spacing w:line="240" w:lineRule="auto"/>
        <w:rPr>
          <w:lang w:val="en-GB"/>
        </w:rPr>
      </w:pPr>
      <w:r w:rsidRPr="0094444B">
        <w:rPr>
          <w:lang w:val="en-GB"/>
        </w:rPr>
        <w:t>No further clarification required.</w:t>
      </w:r>
    </w:p>
    <w:p w:rsidR="0094444B" w:rsidRPr="0094444B" w:rsidRDefault="0094444B" w:rsidP="005808AD">
      <w:pPr>
        <w:autoSpaceDE w:val="0"/>
        <w:autoSpaceDN w:val="0"/>
        <w:adjustRightInd w:val="0"/>
        <w:spacing w:line="240" w:lineRule="auto"/>
        <w:rPr>
          <w:i/>
          <w:lang w:val="en-GB"/>
        </w:rPr>
      </w:pPr>
    </w:p>
    <w:p w:rsidR="005808AD" w:rsidRPr="0094444B" w:rsidRDefault="005808AD" w:rsidP="005808AD">
      <w:pPr>
        <w:autoSpaceDE w:val="0"/>
        <w:autoSpaceDN w:val="0"/>
        <w:adjustRightInd w:val="0"/>
        <w:spacing w:line="240" w:lineRule="auto"/>
        <w:rPr>
          <w:rFonts w:cs="Calibri,Bold"/>
          <w:b/>
          <w:bCs/>
          <w:i/>
          <w:snapToGrid/>
          <w:lang w:val="de-AT"/>
        </w:rPr>
      </w:pPr>
      <w:r w:rsidRPr="0094444B">
        <w:rPr>
          <w:rFonts w:cs="Calibri,Bold"/>
          <w:b/>
          <w:bCs/>
          <w:i/>
          <w:snapToGrid/>
          <w:lang w:val="de-AT"/>
        </w:rPr>
        <w:t>Question 4: Are there any other indicators of control in the case of a similar relationship which are useful to add to this list of indicators?</w:t>
      </w:r>
    </w:p>
    <w:p w:rsidR="00452A16" w:rsidRDefault="00452A16" w:rsidP="005808AD">
      <w:pPr>
        <w:autoSpaceDE w:val="0"/>
        <w:autoSpaceDN w:val="0"/>
        <w:adjustRightInd w:val="0"/>
        <w:spacing w:line="240" w:lineRule="auto"/>
        <w:rPr>
          <w:rFonts w:cs="Calibri,Bold"/>
          <w:b/>
          <w:bCs/>
          <w:snapToGrid/>
          <w:lang w:val="de-AT"/>
        </w:rPr>
      </w:pPr>
    </w:p>
    <w:p w:rsidR="00452A16" w:rsidRPr="0094444B" w:rsidRDefault="00452A16"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In our view there are no other indicators of control which should be added to the list. Nevertheless, we find the list not clear enough in terms of relations between the situations described, i.e. ranking of criteria. Especially, it should be clarified how the cases when more than one situation is fulfilled between different natural or legal persons should be treated. For example, if for the same legal entity </w:t>
      </w:r>
      <w:proofErr w:type="gramStart"/>
      <w:r w:rsidRPr="0094444B">
        <w:rPr>
          <w:rFonts w:ascii="Trebuchet MS" w:eastAsia="Times New Roman" w:hAnsi="Trebuchet MS" w:cs="Trebuchet MS"/>
          <w:snapToGrid w:val="0"/>
          <w:color w:val="auto"/>
          <w:sz w:val="22"/>
          <w:szCs w:val="22"/>
          <w:lang w:val="en-GB" w:eastAsia="de-AT"/>
        </w:rPr>
        <w:t>one counterparty</w:t>
      </w:r>
      <w:proofErr w:type="gramEnd"/>
      <w:r w:rsidRPr="0094444B">
        <w:rPr>
          <w:rFonts w:ascii="Trebuchet MS" w:eastAsia="Times New Roman" w:hAnsi="Trebuchet MS" w:cs="Trebuchet MS"/>
          <w:snapToGrid w:val="0"/>
          <w:color w:val="auto"/>
          <w:sz w:val="22"/>
          <w:szCs w:val="22"/>
          <w:lang w:val="en-GB" w:eastAsia="de-AT"/>
        </w:rPr>
        <w:t xml:space="preserve"> holds the majority of voting rights whereas a different counterparty holds the majority of shares of capital. According to our understanding the majority of voting rights should be a decisive criterion for the control relationship.</w:t>
      </w:r>
    </w:p>
    <w:p w:rsidR="00452A16" w:rsidRDefault="00452A16" w:rsidP="005808AD">
      <w:pPr>
        <w:autoSpaceDE w:val="0"/>
        <w:autoSpaceDN w:val="0"/>
        <w:adjustRightInd w:val="0"/>
        <w:spacing w:line="240" w:lineRule="auto"/>
        <w:rPr>
          <w:rFonts w:cs="Calibri,Bold"/>
          <w:b/>
          <w:bCs/>
          <w:snapToGrid/>
          <w:lang w:val="de-AT"/>
        </w:rPr>
      </w:pPr>
    </w:p>
    <w:p w:rsidR="005808AD" w:rsidRPr="0094444B" w:rsidRDefault="005808AD" w:rsidP="005808AD">
      <w:pPr>
        <w:autoSpaceDE w:val="0"/>
        <w:autoSpaceDN w:val="0"/>
        <w:adjustRightInd w:val="0"/>
        <w:spacing w:line="240" w:lineRule="auto"/>
        <w:rPr>
          <w:rFonts w:cs="Calibri,Bold"/>
          <w:b/>
          <w:bCs/>
          <w:i/>
          <w:snapToGrid/>
          <w:lang w:val="de-AT"/>
        </w:rPr>
      </w:pPr>
      <w:r w:rsidRPr="0094444B">
        <w:rPr>
          <w:rFonts w:cs="Calibri,Bold"/>
          <w:b/>
          <w:bCs/>
          <w:i/>
          <w:snapToGrid/>
          <w:lang w:val="de-AT"/>
        </w:rPr>
        <w:lastRenderedPageBreak/>
        <w:t>Question 5: What would be the cost of the assessment of the existence of control relationships in the case of subsidiaries exempted from accounting consolidation? Please provide an estimation of quantitative costs. In your experience, how significant are these cases?</w:t>
      </w:r>
    </w:p>
    <w:p w:rsidR="0094444B" w:rsidRPr="005808AD" w:rsidRDefault="0094444B" w:rsidP="005808AD">
      <w:pPr>
        <w:autoSpaceDE w:val="0"/>
        <w:autoSpaceDN w:val="0"/>
        <w:adjustRightInd w:val="0"/>
        <w:spacing w:line="240" w:lineRule="auto"/>
        <w:rPr>
          <w:rFonts w:cs="Calibri,Bold"/>
          <w:b/>
          <w:bCs/>
          <w:snapToGrid/>
          <w:lang w:val="de-AT"/>
        </w:rPr>
      </w:pPr>
    </w:p>
    <w:p w:rsidR="00CF62F5" w:rsidRPr="0094444B" w:rsidRDefault="00CF62F5"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According to our assessment this is not a significant problem as far as this information can be retrieved from official documentation (e.g. financial statements, public registries). Additional costs may arise in countries where centralised databases on control relationships among companies are not available. </w:t>
      </w:r>
    </w:p>
    <w:p w:rsidR="00452A16" w:rsidRPr="00E52ECE" w:rsidRDefault="005808AD" w:rsidP="00E52ECE">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Indicators for such an assessment should be provided out of the Know-Your-Customer Procedures at no relevant additional cost. If there are control relationships which cannot be derived out of the KYC documents (e.g. corporate registries extracts) the cost of establishing the control relationship would be higher. </w:t>
      </w:r>
    </w:p>
    <w:p w:rsidR="005808AD" w:rsidRPr="0094444B" w:rsidRDefault="005808AD" w:rsidP="005808AD">
      <w:pPr>
        <w:autoSpaceDE w:val="0"/>
        <w:autoSpaceDN w:val="0"/>
        <w:adjustRightInd w:val="0"/>
        <w:spacing w:line="240" w:lineRule="auto"/>
        <w:rPr>
          <w:rFonts w:cs="Calibri,Bold"/>
          <w:b/>
          <w:bCs/>
          <w:i/>
          <w:snapToGrid/>
          <w:lang w:val="de-AT"/>
        </w:rPr>
      </w:pPr>
      <w:r w:rsidRPr="0094444B">
        <w:rPr>
          <w:rFonts w:cs="Calibri,Bold"/>
          <w:b/>
          <w:bCs/>
          <w:i/>
          <w:snapToGrid/>
          <w:lang w:val="de-AT"/>
        </w:rPr>
        <w:t>Question 6: Is the guidance provided in section 5. ‘Alternative approach for exposures to central governments’ clear? If not, please provide concrete suggestions.</w:t>
      </w:r>
    </w:p>
    <w:p w:rsidR="00CF62F5" w:rsidRPr="0094444B" w:rsidRDefault="00CF62F5" w:rsidP="005808AD">
      <w:pPr>
        <w:autoSpaceDE w:val="0"/>
        <w:autoSpaceDN w:val="0"/>
        <w:adjustRightInd w:val="0"/>
        <w:spacing w:line="240" w:lineRule="auto"/>
        <w:rPr>
          <w:rFonts w:cs="Calibri,Bold"/>
          <w:bCs/>
          <w:snapToGrid/>
          <w:lang w:val="de-AT"/>
        </w:rPr>
      </w:pPr>
    </w:p>
    <w:p w:rsidR="00452A16" w:rsidRPr="0094444B" w:rsidRDefault="005808AD" w:rsidP="00CF62F5">
      <w:pPr>
        <w:autoSpaceDE w:val="0"/>
        <w:autoSpaceDN w:val="0"/>
        <w:adjustRightInd w:val="0"/>
        <w:spacing w:line="240" w:lineRule="auto"/>
        <w:rPr>
          <w:rFonts w:cs="Calibri,Bold"/>
          <w:bCs/>
          <w:snapToGrid/>
          <w:lang w:val="de-AT"/>
        </w:rPr>
      </w:pPr>
      <w:r w:rsidRPr="0094444B">
        <w:rPr>
          <w:rFonts w:cs="Calibri,Bold"/>
          <w:bCs/>
          <w:snapToGrid/>
          <w:lang w:val="de-AT"/>
        </w:rPr>
        <w:t>The guidance is clear.</w:t>
      </w:r>
      <w:r w:rsidR="00CF62F5" w:rsidRPr="0094444B">
        <w:rPr>
          <w:rFonts w:cs="Calibri,Bold"/>
          <w:bCs/>
          <w:snapToGrid/>
          <w:lang w:val="de-AT"/>
        </w:rPr>
        <w:t xml:space="preserve"> </w:t>
      </w:r>
      <w:r w:rsidR="00452A16" w:rsidRPr="0094444B">
        <w:rPr>
          <w:rFonts w:cs="Calibri,Bold"/>
          <w:bCs/>
          <w:snapToGrid/>
          <w:lang w:val="de-AT"/>
        </w:rPr>
        <w:t>We understand that institutions are granted full flexibility in choosing the approach - full approach, alternative approach and partial alternative - to be applied to central governments, on a case by case basis, in order to limit the operating burdens.</w:t>
      </w:r>
    </w:p>
    <w:p w:rsidR="00452A16" w:rsidRPr="0094444B" w:rsidRDefault="00452A16" w:rsidP="0094444B">
      <w:pPr>
        <w:autoSpaceDE w:val="0"/>
        <w:autoSpaceDN w:val="0"/>
        <w:adjustRightInd w:val="0"/>
        <w:spacing w:line="240" w:lineRule="auto"/>
        <w:rPr>
          <w:rFonts w:cs="Calibri,Bold"/>
          <w:bCs/>
          <w:snapToGrid/>
          <w:lang w:val="de-AT"/>
        </w:rPr>
      </w:pPr>
      <w:r w:rsidRPr="0094444B">
        <w:rPr>
          <w:rFonts w:cs="Calibri,Bold"/>
          <w:bCs/>
          <w:snapToGrid/>
          <w:lang w:val="de-AT"/>
        </w:rPr>
        <w:t xml:space="preserve">With respect to the examples outlined in the consultation paper, the group of connected clients constituted by the controlled entities (A, A1, A2, B, B1, B2) in the case illustrated in Example CG4 seems not to be explicitly required by the CRR and therefore in our opinion it should not be considered. </w:t>
      </w:r>
    </w:p>
    <w:p w:rsidR="005808AD" w:rsidRDefault="005808AD" w:rsidP="005808AD">
      <w:pPr>
        <w:autoSpaceDE w:val="0"/>
        <w:autoSpaceDN w:val="0"/>
        <w:adjustRightInd w:val="0"/>
        <w:spacing w:line="240" w:lineRule="auto"/>
        <w:rPr>
          <w:rFonts w:cs="Calibri,Bold"/>
          <w:b/>
          <w:bCs/>
          <w:snapToGrid/>
          <w:lang w:val="de-AT"/>
        </w:rPr>
      </w:pPr>
    </w:p>
    <w:p w:rsidR="005808AD" w:rsidRPr="005808AD" w:rsidRDefault="005808AD" w:rsidP="005808AD">
      <w:pPr>
        <w:autoSpaceDE w:val="0"/>
        <w:autoSpaceDN w:val="0"/>
        <w:adjustRightInd w:val="0"/>
        <w:spacing w:line="240" w:lineRule="auto"/>
        <w:rPr>
          <w:rFonts w:cs="Calibri,Bold"/>
          <w:b/>
          <w:bCs/>
          <w:snapToGrid/>
          <w:lang w:val="de-AT"/>
        </w:rPr>
      </w:pPr>
      <w:r>
        <w:rPr>
          <w:rFonts w:cs="Calibri,Bold"/>
          <w:b/>
          <w:bCs/>
          <w:snapToGrid/>
          <w:lang w:val="de-AT"/>
        </w:rPr>
        <w:t xml:space="preserve">Question </w:t>
      </w:r>
      <w:r w:rsidRPr="005808AD">
        <w:rPr>
          <w:rFonts w:cs="Calibri,Bold"/>
          <w:b/>
          <w:bCs/>
          <w:snapToGrid/>
          <w:lang w:val="de-AT"/>
        </w:rPr>
        <w:t>7: What is the likely impact of considering that clients are connected as soon as the</w:t>
      </w:r>
    </w:p>
    <w:p w:rsidR="005808AD" w:rsidRPr="005808AD" w:rsidRDefault="005808AD" w:rsidP="005808AD">
      <w:pPr>
        <w:autoSpaceDE w:val="0"/>
        <w:autoSpaceDN w:val="0"/>
        <w:adjustRightInd w:val="0"/>
        <w:spacing w:line="240" w:lineRule="auto"/>
        <w:rPr>
          <w:rFonts w:cs="Calibri,Bold"/>
          <w:b/>
          <w:bCs/>
          <w:snapToGrid/>
          <w:lang w:val="de-AT"/>
        </w:rPr>
      </w:pPr>
      <w:r w:rsidRPr="005808AD">
        <w:rPr>
          <w:rFonts w:cs="Calibri,Bold"/>
          <w:b/>
          <w:bCs/>
          <w:snapToGrid/>
          <w:lang w:val="de-AT"/>
        </w:rPr>
        <w:t>failure of a client would lead to ‘repayment difficulties’ of another client? Please provide an</w:t>
      </w:r>
    </w:p>
    <w:p w:rsidR="005808AD" w:rsidRPr="005808AD" w:rsidRDefault="005808AD" w:rsidP="005808AD">
      <w:pPr>
        <w:autoSpaceDE w:val="0"/>
        <w:autoSpaceDN w:val="0"/>
        <w:adjustRightInd w:val="0"/>
        <w:spacing w:line="240" w:lineRule="auto"/>
        <w:rPr>
          <w:rFonts w:cs="Calibri,Bold"/>
          <w:b/>
          <w:bCs/>
          <w:snapToGrid/>
          <w:lang w:val="de-AT"/>
        </w:rPr>
      </w:pPr>
      <w:r w:rsidRPr="005808AD">
        <w:rPr>
          <w:rFonts w:cs="Calibri,Bold"/>
          <w:b/>
          <w:bCs/>
          <w:snapToGrid/>
          <w:lang w:val="de-AT"/>
        </w:rPr>
        <w:t>estimation of any associated quantitative costs.</w:t>
      </w:r>
    </w:p>
    <w:p w:rsidR="0053760D" w:rsidRDefault="0053760D" w:rsidP="005808AD">
      <w:pPr>
        <w:autoSpaceDE w:val="0"/>
        <w:autoSpaceDN w:val="0"/>
        <w:adjustRightInd w:val="0"/>
        <w:spacing w:line="240" w:lineRule="auto"/>
        <w:rPr>
          <w:rFonts w:cs="Calibri"/>
          <w:snapToGrid/>
          <w:lang w:val="de-AT"/>
        </w:rPr>
      </w:pPr>
    </w:p>
    <w:p w:rsidR="0053760D" w:rsidRPr="0094444B" w:rsidRDefault="0053760D"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Switching from the restrictive concept of 'default contagion' (“substantial existence-threatening repayment difficulties”) </w:t>
      </w:r>
      <w:r w:rsidRPr="0094444B">
        <w:rPr>
          <w:rFonts w:ascii="Trebuchet MS" w:eastAsia="Times New Roman" w:hAnsi="Trebuchet MS" w:cs="Trebuchet MS"/>
          <w:snapToGrid w:val="0"/>
          <w:color w:val="auto"/>
          <w:sz w:val="22"/>
          <w:szCs w:val="22"/>
          <w:u w:val="single"/>
          <w:lang w:val="en-GB" w:eastAsia="de-AT"/>
        </w:rPr>
        <w:t>to the less restrictive concept of 'repayment difficulties' is counterproductive and effectively prevents proper counterparty risk assessment and risk steering</w:t>
      </w:r>
      <w:r w:rsidRPr="0094444B">
        <w:rPr>
          <w:rFonts w:ascii="Trebuchet MS" w:eastAsia="Times New Roman" w:hAnsi="Trebuchet MS" w:cs="Trebuchet MS"/>
          <w:snapToGrid w:val="0"/>
          <w:color w:val="auto"/>
          <w:sz w:val="22"/>
          <w:szCs w:val="22"/>
          <w:lang w:val="en-GB" w:eastAsia="de-AT"/>
        </w:rPr>
        <w:t xml:space="preserve">. </w:t>
      </w:r>
    </w:p>
    <w:p w:rsidR="0053760D" w:rsidRPr="0094444B" w:rsidRDefault="0053760D"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By removing the crucial qualification that economic dependence exists only in case of 'default contagion', entire value chains may or must be connected. This creates artificial groupings that cannot be managed with the tools of counterparty credit risk management any more (financial analysis, counterparty rating</w:t>
      </w:r>
      <w:proofErr w:type="gramStart"/>
      <w:r w:rsidRPr="0094444B">
        <w:rPr>
          <w:rFonts w:ascii="Trebuchet MS" w:eastAsia="Times New Roman" w:hAnsi="Trebuchet MS" w:cs="Trebuchet MS"/>
          <w:snapToGrid w:val="0"/>
          <w:color w:val="auto"/>
          <w:sz w:val="22"/>
          <w:szCs w:val="22"/>
          <w:lang w:val="en-GB" w:eastAsia="de-AT"/>
        </w:rPr>
        <w:t>,…</w:t>
      </w:r>
      <w:proofErr w:type="gramEnd"/>
      <w:r w:rsidRPr="0094444B">
        <w:rPr>
          <w:rFonts w:ascii="Trebuchet MS" w:eastAsia="Times New Roman" w:hAnsi="Trebuchet MS" w:cs="Trebuchet MS"/>
          <w:snapToGrid w:val="0"/>
          <w:color w:val="auto"/>
          <w:sz w:val="22"/>
          <w:szCs w:val="22"/>
          <w:lang w:val="en-GB" w:eastAsia="de-AT"/>
        </w:rPr>
        <w:t xml:space="preserve">) and significantly deteriorates the quality of credit risk management in a bank. </w:t>
      </w:r>
    </w:p>
    <w:p w:rsidR="0053760D" w:rsidRPr="0094444B" w:rsidRDefault="0053760D"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The further clarification provided by para 24 &amp; para 25 (page 16) does not remove this fundamental problem of the proposed modification to the current definition. </w:t>
      </w:r>
    </w:p>
    <w:p w:rsidR="0053760D" w:rsidRPr="0094444B" w:rsidRDefault="0053760D"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We generally doubt whether individual loan officers and relationship managers do have the soft information needed to identify connected clients according to the new guideline (para 34, page 23). To fulfill these extended requirements banks could be forced to take additional external data providers to closely monitor their business relationships of the clients.</w:t>
      </w:r>
    </w:p>
    <w:p w:rsidR="0053760D" w:rsidRPr="0094444B" w:rsidRDefault="0053760D" w:rsidP="0094444B">
      <w:pPr>
        <w:pStyle w:val="Default"/>
        <w:tabs>
          <w:tab w:val="left" w:pos="991"/>
        </w:tabs>
        <w:spacing w:after="120"/>
        <w:rPr>
          <w:rFonts w:ascii="Trebuchet MS" w:eastAsia="Times New Roman" w:hAnsi="Trebuchet MS" w:cs="Trebuchet MS"/>
          <w:snapToGrid w:val="0"/>
          <w:color w:val="auto"/>
          <w:sz w:val="22"/>
          <w:szCs w:val="22"/>
          <w:lang w:val="en-GB" w:eastAsia="de-AT"/>
        </w:rPr>
      </w:pPr>
      <w:r w:rsidRPr="0094444B">
        <w:rPr>
          <w:rFonts w:ascii="Trebuchet MS" w:eastAsia="Times New Roman" w:hAnsi="Trebuchet MS" w:cs="Trebuchet MS"/>
          <w:snapToGrid w:val="0"/>
          <w:color w:val="auto"/>
          <w:sz w:val="22"/>
          <w:szCs w:val="22"/>
          <w:lang w:val="en-GB" w:eastAsia="de-AT"/>
        </w:rPr>
        <w:t xml:space="preserve">Economic dependence is an extremely important criterion for determining single risks that, by its very nature, can and </w:t>
      </w:r>
      <w:r w:rsidRPr="0094444B">
        <w:rPr>
          <w:rFonts w:ascii="Trebuchet MS" w:eastAsia="Times New Roman" w:hAnsi="Trebuchet MS" w:cs="Trebuchet MS"/>
          <w:snapToGrid w:val="0"/>
          <w:color w:val="auto"/>
          <w:sz w:val="22"/>
          <w:szCs w:val="22"/>
          <w:u w:val="single"/>
          <w:lang w:val="en-GB" w:eastAsia="de-AT"/>
        </w:rPr>
        <w:t>should only be established based on a thorough case-by-case assessment</w:t>
      </w:r>
      <w:r w:rsidRPr="0094444B">
        <w:rPr>
          <w:rFonts w:ascii="Trebuchet MS" w:eastAsia="Times New Roman" w:hAnsi="Trebuchet MS" w:cs="Trebuchet MS"/>
          <w:snapToGrid w:val="0"/>
          <w:color w:val="auto"/>
          <w:sz w:val="22"/>
          <w:szCs w:val="22"/>
          <w:lang w:val="en-GB" w:eastAsia="de-AT"/>
        </w:rPr>
        <w:t xml:space="preserve">. Except for para k), any of the criteria listed in paragraph. 23 (page 35) may indicate economic dependence, but does not conclusively define it. The case-by-case assessment must be conducted by adequately skilled professionals familiar with the individual case. Defining any list of criteria may – and in actual practice – does lead to situations where Group of Connected Clients formation is done algorithmically by IT-processes or by back-office functions not familiar with the particular case. This creates groupings that may not constitute a single risk which </w:t>
      </w:r>
      <w:r w:rsidR="00823E75">
        <w:rPr>
          <w:rFonts w:ascii="Trebuchet MS" w:eastAsia="Times New Roman" w:hAnsi="Trebuchet MS" w:cs="Trebuchet MS"/>
          <w:snapToGrid w:val="0"/>
          <w:color w:val="auto"/>
          <w:sz w:val="22"/>
          <w:szCs w:val="22"/>
          <w:lang w:val="en-GB" w:eastAsia="de-AT"/>
        </w:rPr>
        <w:lastRenderedPageBreak/>
        <w:t>undermines the very concept and</w:t>
      </w:r>
      <w:r w:rsidRPr="0094444B">
        <w:rPr>
          <w:rFonts w:ascii="Trebuchet MS" w:eastAsia="Times New Roman" w:hAnsi="Trebuchet MS" w:cs="Trebuchet MS"/>
          <w:snapToGrid w:val="0"/>
          <w:color w:val="auto"/>
          <w:sz w:val="22"/>
          <w:szCs w:val="22"/>
          <w:lang w:val="en-GB" w:eastAsia="de-AT"/>
        </w:rPr>
        <w:t xml:space="preserve"> usefulness of a group of connected clients.</w:t>
      </w:r>
    </w:p>
    <w:p w:rsidR="005808AD" w:rsidRPr="005808AD" w:rsidRDefault="005808AD" w:rsidP="005808AD">
      <w:pPr>
        <w:autoSpaceDE w:val="0"/>
        <w:autoSpaceDN w:val="0"/>
        <w:adjustRightInd w:val="0"/>
        <w:spacing w:line="240" w:lineRule="auto"/>
        <w:rPr>
          <w:rFonts w:cs="Calibri"/>
          <w:snapToGrid/>
          <w:lang w:val="de-AT"/>
        </w:rPr>
      </w:pPr>
      <w:r w:rsidRPr="00823E75">
        <w:rPr>
          <w:rFonts w:cs="Calibri"/>
          <w:snapToGrid/>
          <w:lang w:val="de-AT"/>
        </w:rPr>
        <w:t>If “repayment</w:t>
      </w:r>
      <w:r w:rsidRPr="005808AD">
        <w:rPr>
          <w:rFonts w:cs="Calibri"/>
          <w:snapToGrid/>
          <w:lang w:val="de-AT"/>
        </w:rPr>
        <w:t xml:space="preserve"> difficulties” are used as basis for the establishment of client groups instead of</w:t>
      </w:r>
    </w:p>
    <w:p w:rsidR="005808AD" w:rsidRP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“Substantial, existence threatening repayment difficulties” (as use</w:t>
      </w:r>
      <w:r w:rsidR="0053760D">
        <w:rPr>
          <w:rFonts w:cs="Calibri"/>
          <w:snapToGrid/>
          <w:lang w:val="de-AT"/>
        </w:rPr>
        <w:t>d so far), the consequence could</w:t>
      </w:r>
      <w:r>
        <w:rPr>
          <w:rFonts w:cs="Calibri"/>
          <w:snapToGrid/>
          <w:lang w:val="de-AT"/>
        </w:rPr>
        <w:t xml:space="preserve"> </w:t>
      </w:r>
      <w:r w:rsidRPr="005808AD">
        <w:rPr>
          <w:rFonts w:cs="Calibri"/>
          <w:snapToGrid/>
          <w:lang w:val="de-AT"/>
        </w:rPr>
        <w:t>be</w:t>
      </w:r>
    </w:p>
    <w:p w:rsidR="005808AD" w:rsidRPr="0094444B" w:rsidRDefault="005808AD" w:rsidP="005808AD">
      <w:pPr>
        <w:pStyle w:val="Listenabsatz"/>
        <w:numPr>
          <w:ilvl w:val="0"/>
          <w:numId w:val="25"/>
        </w:numPr>
        <w:autoSpaceDE w:val="0"/>
        <w:autoSpaceDN w:val="0"/>
        <w:adjustRightInd w:val="0"/>
        <w:spacing w:line="240" w:lineRule="auto"/>
        <w:rPr>
          <w:rFonts w:cs="Calibri"/>
          <w:snapToGrid/>
          <w:lang w:val="de-AT"/>
        </w:rPr>
      </w:pPr>
      <w:r w:rsidRPr="0094444B">
        <w:rPr>
          <w:rFonts w:cs="Calibri"/>
          <w:snapToGrid/>
          <w:lang w:val="de-AT"/>
        </w:rPr>
        <w:t>That more effort needs to be undertaken and a more detailed analysis would be required in</w:t>
      </w:r>
      <w:r w:rsidR="0094444B">
        <w:rPr>
          <w:rFonts w:cs="Calibri"/>
          <w:snapToGrid/>
          <w:lang w:val="de-AT"/>
        </w:rPr>
        <w:t xml:space="preserve"> </w:t>
      </w:r>
      <w:r w:rsidRPr="0094444B">
        <w:rPr>
          <w:rFonts w:cs="Calibri"/>
          <w:snapToGrid/>
          <w:lang w:val="de-AT"/>
        </w:rPr>
        <w:t>order to establish such difficulties (i.e. the analysis whether a compensation for a loss could be</w:t>
      </w:r>
      <w:r w:rsidR="0094444B">
        <w:rPr>
          <w:rFonts w:cs="Calibri"/>
          <w:snapToGrid/>
          <w:lang w:val="de-AT"/>
        </w:rPr>
        <w:t xml:space="preserve"> </w:t>
      </w:r>
      <w:r w:rsidRPr="0094444B">
        <w:rPr>
          <w:rFonts w:cs="Calibri"/>
          <w:snapToGrid/>
          <w:lang w:val="de-AT"/>
        </w:rPr>
        <w:t>found by other means). In many cases, the detailed insight in the business might not be given or</w:t>
      </w:r>
      <w:r w:rsidR="0094444B">
        <w:rPr>
          <w:rFonts w:cs="Calibri"/>
          <w:snapToGrid/>
          <w:lang w:val="de-AT"/>
        </w:rPr>
        <w:t xml:space="preserve"> </w:t>
      </w:r>
      <w:r w:rsidRPr="0094444B">
        <w:rPr>
          <w:rFonts w:cs="Calibri"/>
          <w:snapToGrid/>
          <w:lang w:val="de-AT"/>
        </w:rPr>
        <w:t>is legally impossible; thus it would be hard to see whether e.g. cost cuts are possible to</w:t>
      </w:r>
      <w:r w:rsidR="0094444B">
        <w:rPr>
          <w:rFonts w:cs="Calibri"/>
          <w:snapToGrid/>
          <w:lang w:val="de-AT"/>
        </w:rPr>
        <w:t xml:space="preserve"> </w:t>
      </w:r>
      <w:r w:rsidRPr="0094444B">
        <w:rPr>
          <w:rFonts w:cs="Calibri"/>
          <w:snapToGrid/>
          <w:lang w:val="de-AT"/>
        </w:rPr>
        <w:t>compensate for a loss.</w:t>
      </w:r>
    </w:p>
    <w:p w:rsidR="0094444B" w:rsidRDefault="005808AD" w:rsidP="005808AD">
      <w:pPr>
        <w:pStyle w:val="Listenabsatz"/>
        <w:numPr>
          <w:ilvl w:val="0"/>
          <w:numId w:val="25"/>
        </w:numPr>
        <w:autoSpaceDE w:val="0"/>
        <w:autoSpaceDN w:val="0"/>
        <w:adjustRightInd w:val="0"/>
        <w:spacing w:line="240" w:lineRule="auto"/>
        <w:rPr>
          <w:rFonts w:cs="Calibri"/>
          <w:snapToGrid/>
          <w:lang w:val="de-AT"/>
        </w:rPr>
      </w:pPr>
      <w:r w:rsidRPr="0094444B">
        <w:rPr>
          <w:rFonts w:cs="Calibri"/>
          <w:snapToGrid/>
          <w:lang w:val="de-AT"/>
        </w:rPr>
        <w:t>That a more judgemental factor is introduced, as one analyst might easier come to another</w:t>
      </w:r>
      <w:r w:rsidR="0094444B">
        <w:rPr>
          <w:rFonts w:cs="Calibri"/>
          <w:snapToGrid/>
          <w:lang w:val="de-AT"/>
        </w:rPr>
        <w:t xml:space="preserve"> </w:t>
      </w:r>
      <w:r w:rsidRPr="0094444B">
        <w:rPr>
          <w:rFonts w:cs="Calibri"/>
          <w:snapToGrid/>
          <w:lang w:val="de-AT"/>
        </w:rPr>
        <w:t>conclusion as another if a credit repayment could be made</w:t>
      </w:r>
      <w:r w:rsidR="0094444B">
        <w:rPr>
          <w:rFonts w:cs="Calibri"/>
          <w:snapToGrid/>
          <w:lang w:val="de-AT"/>
        </w:rPr>
        <w:t>.</w:t>
      </w:r>
    </w:p>
    <w:p w:rsidR="005808AD" w:rsidRPr="0094444B" w:rsidRDefault="005808AD" w:rsidP="005808AD">
      <w:pPr>
        <w:pStyle w:val="Listenabsatz"/>
        <w:numPr>
          <w:ilvl w:val="0"/>
          <w:numId w:val="25"/>
        </w:numPr>
        <w:autoSpaceDE w:val="0"/>
        <w:autoSpaceDN w:val="0"/>
        <w:adjustRightInd w:val="0"/>
        <w:spacing w:line="240" w:lineRule="auto"/>
        <w:rPr>
          <w:rFonts w:cs="Calibri"/>
          <w:snapToGrid/>
          <w:lang w:val="de-AT"/>
        </w:rPr>
      </w:pPr>
      <w:r w:rsidRPr="0094444B">
        <w:rPr>
          <w:rFonts w:cs="Calibri"/>
          <w:snapToGrid/>
          <w:lang w:val="de-AT"/>
        </w:rPr>
        <w:t>More interdependencies between clients will exist which leads to more groups of connected</w:t>
      </w:r>
      <w:r w:rsidR="0094444B">
        <w:rPr>
          <w:rFonts w:cs="Calibri"/>
          <w:snapToGrid/>
          <w:lang w:val="de-AT"/>
        </w:rPr>
        <w:t xml:space="preserve"> </w:t>
      </w:r>
      <w:r w:rsidRPr="0094444B">
        <w:rPr>
          <w:rFonts w:cs="Calibri"/>
          <w:snapToGrid/>
          <w:lang w:val="de-AT"/>
        </w:rPr>
        <w:t>clients. This in turn leads to higher workload, as more companies will have to be included in</w:t>
      </w:r>
      <w:r w:rsidR="0094444B">
        <w:rPr>
          <w:rFonts w:cs="Calibri"/>
          <w:snapToGrid/>
          <w:lang w:val="de-AT"/>
        </w:rPr>
        <w:t xml:space="preserve"> </w:t>
      </w:r>
      <w:r w:rsidRPr="0094444B">
        <w:rPr>
          <w:rFonts w:cs="Calibri"/>
          <w:snapToGrid/>
          <w:lang w:val="de-AT"/>
        </w:rPr>
        <w:t>proposals than before. Due to the limit restrictions loan volumes will decrease.</w:t>
      </w:r>
      <w:r w:rsidR="0094444B">
        <w:rPr>
          <w:rFonts w:cs="Calibri"/>
          <w:snapToGrid/>
          <w:lang w:val="de-AT"/>
        </w:rPr>
        <w:t xml:space="preserve"> </w:t>
      </w:r>
      <w:r w:rsidRPr="0094444B">
        <w:rPr>
          <w:rFonts w:cs="Calibri"/>
          <w:snapToGrid/>
          <w:lang w:val="de-AT"/>
        </w:rPr>
        <w:t>An estimation of costs is not possible without reviewing the whole portfolio in detail in order to</w:t>
      </w:r>
      <w:r w:rsidR="0094444B">
        <w:rPr>
          <w:rFonts w:cs="Calibri"/>
          <w:snapToGrid/>
          <w:lang w:val="de-AT"/>
        </w:rPr>
        <w:t xml:space="preserve"> </w:t>
      </w:r>
      <w:r w:rsidRPr="0094444B">
        <w:rPr>
          <w:rFonts w:cs="Calibri"/>
          <w:snapToGrid/>
          <w:lang w:val="de-AT"/>
        </w:rPr>
        <w:t>establish the groups to be built out of this change of guidance.</w:t>
      </w:r>
    </w:p>
    <w:p w:rsidR="00452A16" w:rsidRPr="0094444B" w:rsidRDefault="00452A16" w:rsidP="005808AD">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As already mentioned in our general comments, we find it absolutely necessary to clarify the terminology used in the draft guidelines, especially in relation to the default definition. In our understanding (i) ‘repayment difficulties’ do not equate to ‘default’ and (ii) ‘single risk’ does not equate to ‘the same probability of default’.</w:t>
      </w:r>
    </w:p>
    <w:p w:rsidR="00452A16" w:rsidRDefault="00452A16" w:rsidP="005808AD">
      <w:pPr>
        <w:autoSpaceDE w:val="0"/>
        <w:autoSpaceDN w:val="0"/>
        <w:adjustRightInd w:val="0"/>
        <w:spacing w:line="240" w:lineRule="auto"/>
        <w:rPr>
          <w:rFonts w:cs="Calibri,Bold"/>
          <w:b/>
          <w:bCs/>
          <w:snapToGrid/>
          <w:lang w:val="de-AT"/>
        </w:rPr>
      </w:pPr>
    </w:p>
    <w:p w:rsidR="005808AD" w:rsidRPr="0094444B" w:rsidRDefault="005808AD" w:rsidP="005808AD">
      <w:pPr>
        <w:autoSpaceDE w:val="0"/>
        <w:autoSpaceDN w:val="0"/>
        <w:adjustRightInd w:val="0"/>
        <w:spacing w:line="240" w:lineRule="auto"/>
        <w:rPr>
          <w:rFonts w:cs="Calibri,Bold"/>
          <w:b/>
          <w:bCs/>
          <w:i/>
          <w:snapToGrid/>
          <w:lang w:val="de-AT"/>
        </w:rPr>
      </w:pPr>
      <w:r w:rsidRPr="0094444B">
        <w:rPr>
          <w:rFonts w:cs="Calibri,Bold"/>
          <w:b/>
          <w:bCs/>
          <w:i/>
          <w:snapToGrid/>
          <w:lang w:val="de-AT"/>
        </w:rPr>
        <w:t>Question 8: Are the situations described in the list in paragraph 23 as constituting economic</w:t>
      </w:r>
      <w:r w:rsidR="0094444B">
        <w:rPr>
          <w:rFonts w:cs="Calibri,Bold"/>
          <w:b/>
          <w:bCs/>
          <w:i/>
          <w:snapToGrid/>
          <w:lang w:val="de-AT"/>
        </w:rPr>
        <w:t xml:space="preserve"> </w:t>
      </w:r>
      <w:r w:rsidRPr="0094444B">
        <w:rPr>
          <w:rFonts w:cs="Calibri,Bold"/>
          <w:b/>
          <w:bCs/>
          <w:i/>
          <w:snapToGrid/>
          <w:lang w:val="de-AT"/>
        </w:rPr>
        <w:t>dependency clear? If not, provide concrete suggestions. In particular, do you have any comments regarding the introduction of the threshold of ‘at least 50%’ in points c), d), f) and g)?</w:t>
      </w:r>
    </w:p>
    <w:p w:rsidR="0094444B" w:rsidRDefault="0094444B" w:rsidP="005808AD">
      <w:pPr>
        <w:autoSpaceDE w:val="0"/>
        <w:autoSpaceDN w:val="0"/>
        <w:adjustRightInd w:val="0"/>
        <w:spacing w:line="240" w:lineRule="auto"/>
        <w:rPr>
          <w:rFonts w:cs="Calibri"/>
          <w:snapToGrid/>
          <w:lang w:val="de-AT"/>
        </w:rPr>
      </w:pPr>
    </w:p>
    <w:p w:rsidR="005808AD" w:rsidRP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In general, the guidance is clear. The threshold of “at least 50%” is a helpful benchmark.</w:t>
      </w:r>
    </w:p>
    <w:p w:rsidR="005808AD" w:rsidRP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However, room for reasoning should be left for individual cases, if one item of the list applies, but</w:t>
      </w:r>
      <w:r>
        <w:rPr>
          <w:rFonts w:cs="Calibri"/>
          <w:snapToGrid/>
          <w:lang w:val="de-AT"/>
        </w:rPr>
        <w:t xml:space="preserve"> </w:t>
      </w:r>
      <w:r w:rsidRPr="005808AD">
        <w:rPr>
          <w:rFonts w:cs="Calibri"/>
          <w:snapToGrid/>
          <w:lang w:val="de-AT"/>
        </w:rPr>
        <w:t>there are reasons, why nevertheless no depen</w:t>
      </w:r>
      <w:r w:rsidR="0053760D">
        <w:rPr>
          <w:rFonts w:cs="Calibri"/>
          <w:snapToGrid/>
          <w:lang w:val="de-AT"/>
        </w:rPr>
        <w:t>dency exists. Example: a client</w:t>
      </w:r>
      <w:r w:rsidRPr="005808AD">
        <w:rPr>
          <w:rFonts w:cs="Calibri"/>
          <w:snapToGrid/>
          <w:lang w:val="de-AT"/>
        </w:rPr>
        <w:t>‘s gross receipts from</w:t>
      </w:r>
      <w:r>
        <w:rPr>
          <w:rFonts w:cs="Calibri"/>
          <w:snapToGrid/>
          <w:lang w:val="de-AT"/>
        </w:rPr>
        <w:t xml:space="preserve"> </w:t>
      </w:r>
      <w:r w:rsidRPr="005808AD">
        <w:rPr>
          <w:rFonts w:cs="Calibri"/>
          <w:snapToGrid/>
          <w:lang w:val="de-AT"/>
        </w:rPr>
        <w:t>renting a property to a tenant exceeds 50% of the client’s gross receipts, but the property is so easily</w:t>
      </w:r>
      <w:r>
        <w:rPr>
          <w:rFonts w:cs="Calibri"/>
          <w:snapToGrid/>
          <w:lang w:val="de-AT"/>
        </w:rPr>
        <w:t xml:space="preserve"> </w:t>
      </w:r>
      <w:r w:rsidRPr="005808AD">
        <w:rPr>
          <w:rFonts w:cs="Calibri"/>
          <w:snapToGrid/>
          <w:lang w:val="de-AT"/>
        </w:rPr>
        <w:t>rentable that another tenant can be found.</w:t>
      </w:r>
    </w:p>
    <w:p w:rsidR="005808AD" w:rsidRPr="0094444B" w:rsidRDefault="005808AD" w:rsidP="005808AD">
      <w:pPr>
        <w:autoSpaceDE w:val="0"/>
        <w:autoSpaceDN w:val="0"/>
        <w:adjustRightInd w:val="0"/>
        <w:spacing w:line="240" w:lineRule="auto"/>
        <w:rPr>
          <w:rFonts w:cs="Calibri"/>
          <w:snapToGrid/>
          <w:lang w:val="de-AT"/>
        </w:rPr>
      </w:pPr>
    </w:p>
    <w:p w:rsidR="00452A16" w:rsidRPr="0094444B" w:rsidRDefault="0053760D" w:rsidP="0094444B">
      <w:pPr>
        <w:autoSpaceDE w:val="0"/>
        <w:autoSpaceDN w:val="0"/>
        <w:adjustRightInd w:val="0"/>
        <w:spacing w:line="240" w:lineRule="auto"/>
        <w:rPr>
          <w:rFonts w:cs="Calibri"/>
          <w:snapToGrid/>
          <w:lang w:val="de-AT"/>
        </w:rPr>
      </w:pPr>
      <w:r w:rsidRPr="0094444B">
        <w:rPr>
          <w:rFonts w:cs="Calibri"/>
          <w:snapToGrid/>
          <w:lang w:val="de-AT"/>
        </w:rPr>
        <w:t>Economic</w:t>
      </w:r>
      <w:r w:rsidR="00452A16" w:rsidRPr="0094444B">
        <w:rPr>
          <w:rFonts w:cs="Calibri"/>
          <w:snapToGrid/>
          <w:lang w:val="de-AT"/>
        </w:rPr>
        <w:t xml:space="preserve"> interdependencies should be established, in any case, considering the materiality of the impact in the levels of credit risk for the bank due to the repayment difficulties of the connected counterparty. The examples provided in the draft guidelines help to identify circumstances where economic interconnectedness may be established; however, the guidelines should clarify that these examples do not automatically lead to an economic interdependence and therefore, these clients may not be automatically considered as a group of connected clients. </w:t>
      </w:r>
    </w:p>
    <w:p w:rsidR="0094444B" w:rsidRDefault="0094444B" w:rsidP="0094444B">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In the assessments of situations where control may exist and grouping must be done, except for companies included in the consolidation for accounting purposes, it is indicated that the listed criteria should be considered in the assessment process. Regarding economic dependency it is however written in the proposed guidelines that a dependency shall be deemed to exist ("deem") if the criteria are met. In such cases it becomes particularly important that the conditions actually are believed to lead to defa</w:t>
      </w:r>
      <w:r w:rsidR="00EB2B6D">
        <w:rPr>
          <w:rFonts w:cs="Calibri"/>
          <w:snapToGrid/>
          <w:lang w:val="de-AT"/>
        </w:rPr>
        <w:t>ult or non-payment issues. For m</w:t>
      </w:r>
      <w:r w:rsidRPr="0094444B">
        <w:rPr>
          <w:rFonts w:cs="Calibri"/>
          <w:snapToGrid/>
          <w:lang w:val="de-AT"/>
        </w:rPr>
        <w:t xml:space="preserve">any of the criteria such a condition is described as a prerequisite («… so significant for the … is likely to default or experience financial difficulties…»). For the second criterion this condition is not included. These are criteria for a possible grouping where it may be more likely than not that this will be the consequence, but not necessarily. It will, inter alia, depend on the relevant customer's relative debt burden, cost structure, general adaptability, etc. Also for criteria c (income / </w:t>
      </w:r>
      <w:r w:rsidRPr="0094444B">
        <w:rPr>
          <w:rFonts w:cs="Calibri"/>
          <w:snapToGrid/>
          <w:lang w:val="de-AT"/>
        </w:rPr>
        <w:lastRenderedPageBreak/>
        <w:t xml:space="preserve">expense), d (production), f (assets / liabilities), h (customer base), i (ownership structure) and j (relations to co-borrowers) this should be included as a condition. </w:t>
      </w:r>
    </w:p>
    <w:p w:rsidR="0094444B" w:rsidRDefault="0094444B" w:rsidP="0094444B">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The existence of such criteria should not automatically lead to the conclusion that a grouping must be done. The expert judgement of the bank, based on credit experience and knowledge of its customers, should necessarily play a role in the decision about the existence of interconnectedness through economic dependency. Consistently, the 50% threshold should not represent a mandatory threshold that triggers the existence of such connection, but rather a warning, prompting the bank to further analysing the clients.</w:t>
      </w:r>
    </w:p>
    <w:p w:rsidR="0094444B" w:rsidRDefault="0094444B" w:rsidP="0094444B">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It follows from the introductory comments in the consultation document that the grouping should not be based on risk concentrations as a result of industry or geography. Meanwhile, criterion 23 e) could be read as that such a common source of income can be a geographical region or a sector (what you produce / sell). Thus, it would be beneficial if the guidelines, in the introduction to chapter 6, indicate that the risk concentrations as a result of industry or geography matter shall not give rise to demands for grouping.</w:t>
      </w:r>
    </w:p>
    <w:p w:rsidR="0094444B" w:rsidRDefault="0094444B" w:rsidP="0094444B">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Cri</w:t>
      </w:r>
      <w:r w:rsidR="00ED16BB">
        <w:rPr>
          <w:rFonts w:cs="Calibri"/>
          <w:snapToGrid/>
          <w:lang w:val="de-AT"/>
        </w:rPr>
        <w:t>terion j (</w:t>
      </w:r>
      <w:r w:rsidRPr="0094444B">
        <w:rPr>
          <w:rFonts w:cs="Calibri"/>
          <w:snapToGrid/>
          <w:lang w:val="de-AT"/>
        </w:rPr>
        <w:t>"The relationship between a debtor and his / her co-borrowers") appears in any case not as a sufficiently precise indication of a situation that necessarily describe economic dependence as this among other things will have to depend on the relative importance of the loan they are co-borrowers for compared to their total economic and financial situations.</w:t>
      </w: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Furthermore, along with the size of the economic relationship, other aspects should be taken into account for the purpose of identifying genuine economic dependency, such as the stability of the interconnection. For example, the bank could deem that the clients should be regarded as connected only after a permanence of the link for a predefined period of time. This would help in reducing volatility in the composition of the groups of connected clients (see also the answer to question 7) and would affect the magnitude of the single risk (i.e. if a counterparty’s repayment difficulties affect temporarily or permanently the likeliness of repayment of another counterparty, the risk for the bank is different).</w:t>
      </w:r>
    </w:p>
    <w:p w:rsidR="0094444B" w:rsidRDefault="0094444B" w:rsidP="0094444B">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 xml:space="preserve">The </w:t>
      </w:r>
      <w:proofErr w:type="gramStart"/>
      <w:r w:rsidRPr="0094444B">
        <w:rPr>
          <w:rFonts w:cs="Calibri"/>
          <w:snapToGrid/>
          <w:lang w:val="de-AT"/>
        </w:rPr>
        <w:t>list</w:t>
      </w:r>
      <w:proofErr w:type="gramEnd"/>
      <w:r w:rsidRPr="0094444B">
        <w:rPr>
          <w:rFonts w:cs="Calibri"/>
          <w:snapToGrid/>
          <w:lang w:val="de-AT"/>
        </w:rPr>
        <w:t xml:space="preserve"> provided in paragraph 23 is detailed and exhaustive. However, in our opinion it will be very difficult to identify and prove these dependencies. It will not be feasible to assess the threshold of ‘at least 50%’ with reference to particular customers operating in less transparent markets where this information is deemed to be confidential. Generally, in such cases it is possible to check whether the situations described in paragraph 23 take place only if it is publicly available information. We think that the cost of research on economic dependency relations would be disproportionate. </w:t>
      </w:r>
    </w:p>
    <w:p w:rsidR="00452A16" w:rsidRPr="0094444B" w:rsidRDefault="00452A16" w:rsidP="005808AD">
      <w:pPr>
        <w:autoSpaceDE w:val="0"/>
        <w:autoSpaceDN w:val="0"/>
        <w:adjustRightInd w:val="0"/>
        <w:spacing w:line="240" w:lineRule="auto"/>
        <w:rPr>
          <w:rFonts w:cs="Calibri"/>
          <w:snapToGrid/>
          <w:lang w:val="de-AT"/>
        </w:rPr>
      </w:pPr>
    </w:p>
    <w:p w:rsidR="0053760D" w:rsidRPr="0094444B" w:rsidRDefault="0053760D" w:rsidP="005808AD">
      <w:pPr>
        <w:autoSpaceDE w:val="0"/>
        <w:autoSpaceDN w:val="0"/>
        <w:adjustRightInd w:val="0"/>
        <w:spacing w:line="240" w:lineRule="auto"/>
        <w:rPr>
          <w:rFonts w:cs="Calibri"/>
          <w:snapToGrid/>
          <w:lang w:val="de-AT"/>
        </w:rPr>
      </w:pPr>
      <w:r w:rsidRPr="0094444B">
        <w:rPr>
          <w:rFonts w:cs="Calibri"/>
          <w:snapToGrid/>
          <w:lang w:val="de-AT"/>
        </w:rPr>
        <w:t xml:space="preserve">We </w:t>
      </w:r>
      <w:r w:rsidR="00ED16BB">
        <w:rPr>
          <w:rFonts w:cs="Calibri"/>
          <w:snapToGrid/>
          <w:lang w:val="de-AT"/>
        </w:rPr>
        <w:t xml:space="preserve">therefore </w:t>
      </w:r>
      <w:r w:rsidRPr="0094444B">
        <w:rPr>
          <w:rFonts w:cs="Calibri"/>
          <w:snapToGrid/>
          <w:lang w:val="de-AT"/>
        </w:rPr>
        <w:t>call for maintaining the wording of the CEBS Guidelines ("substantial, existence-threatening repayment difficulties"), as the expression "repayment difficulties" alone is too vague. Although the wording of point (b) of Article 4 (1)(39) of the CRR only says "repayment difficulties", it was always the common understanding, that the conditions to qualify as repayment difficulties in the meaning of the CRR are: the difficulties have to be substantial and permanent economic dependency.</w:t>
      </w:r>
    </w:p>
    <w:p w:rsidR="00452A16" w:rsidRDefault="00452A16" w:rsidP="005808AD">
      <w:pPr>
        <w:autoSpaceDE w:val="0"/>
        <w:autoSpaceDN w:val="0"/>
        <w:adjustRightInd w:val="0"/>
        <w:spacing w:line="240" w:lineRule="auto"/>
        <w:rPr>
          <w:rFonts w:cs="Calibri,Bold"/>
          <w:b/>
          <w:bCs/>
          <w:snapToGrid/>
          <w:lang w:val="de-AT"/>
        </w:rPr>
      </w:pPr>
    </w:p>
    <w:p w:rsidR="005808AD" w:rsidRPr="0094444B" w:rsidRDefault="005808AD" w:rsidP="005808AD">
      <w:pPr>
        <w:autoSpaceDE w:val="0"/>
        <w:autoSpaceDN w:val="0"/>
        <w:adjustRightInd w:val="0"/>
        <w:spacing w:line="240" w:lineRule="auto"/>
        <w:rPr>
          <w:rFonts w:cs="Calibri,Bold"/>
          <w:b/>
          <w:bCs/>
          <w:i/>
          <w:snapToGrid/>
          <w:lang w:val="de-AT"/>
        </w:rPr>
      </w:pPr>
      <w:r w:rsidRPr="0094444B">
        <w:rPr>
          <w:rFonts w:cs="Calibri,Bold"/>
          <w:b/>
          <w:bCs/>
          <w:i/>
          <w:snapToGrid/>
          <w:lang w:val="de-AT"/>
        </w:rPr>
        <w:t>Question 9: Are you aware of any other situations that should be added to the list of situations that constitute economic dependency? In relation to the situation described above, would you treat these exposures as connected? Please explain.</w:t>
      </w:r>
    </w:p>
    <w:p w:rsidR="0094444B" w:rsidRDefault="0094444B" w:rsidP="005808AD">
      <w:pPr>
        <w:autoSpaceDE w:val="0"/>
        <w:autoSpaceDN w:val="0"/>
        <w:adjustRightInd w:val="0"/>
        <w:spacing w:line="240" w:lineRule="auto"/>
        <w:rPr>
          <w:rFonts w:cs="Calibri"/>
          <w:snapToGrid/>
          <w:lang w:val="de-AT"/>
        </w:rPr>
      </w:pPr>
    </w:p>
    <w:p w:rsidR="005808AD" w:rsidRP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We are not aware of other situations that should be added. In relation to the case with the same</w:t>
      </w:r>
    </w:p>
    <w:p w:rsid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guarantor, we would argue that neither the guarantor has repayment difficulties, if a guaranteed</w:t>
      </w:r>
      <w:r>
        <w:rPr>
          <w:rFonts w:cs="Calibri"/>
          <w:snapToGrid/>
          <w:lang w:val="de-AT"/>
        </w:rPr>
        <w:t xml:space="preserve"> </w:t>
      </w:r>
      <w:r w:rsidRPr="005808AD">
        <w:rPr>
          <w:rFonts w:cs="Calibri"/>
          <w:snapToGrid/>
          <w:lang w:val="de-AT"/>
        </w:rPr>
        <w:t>entity has problems nor has the guaranteed entity repayment difficulties, if the guarantor</w:t>
      </w:r>
      <w:r>
        <w:rPr>
          <w:rFonts w:cs="Calibri"/>
          <w:snapToGrid/>
          <w:lang w:val="de-AT"/>
        </w:rPr>
        <w:t xml:space="preserve"> </w:t>
      </w:r>
      <w:r w:rsidRPr="005808AD">
        <w:rPr>
          <w:rFonts w:cs="Calibri"/>
          <w:snapToGrid/>
          <w:lang w:val="de-AT"/>
        </w:rPr>
        <w:t xml:space="preserve">experiences financial trouble (as it is “only” a guarantee). If there are no other </w:t>
      </w:r>
      <w:r w:rsidRPr="005808AD">
        <w:rPr>
          <w:rFonts w:cs="Calibri"/>
          <w:snapToGrid/>
          <w:lang w:val="de-AT"/>
        </w:rPr>
        <w:lastRenderedPageBreak/>
        <w:t>factors of</w:t>
      </w:r>
      <w:r>
        <w:rPr>
          <w:rFonts w:cs="Calibri"/>
          <w:snapToGrid/>
          <w:lang w:val="de-AT"/>
        </w:rPr>
        <w:t xml:space="preserve"> </w:t>
      </w:r>
      <w:r w:rsidRPr="005808AD">
        <w:rPr>
          <w:rFonts w:cs="Calibri"/>
          <w:snapToGrid/>
          <w:lang w:val="de-AT"/>
        </w:rPr>
        <w:t>interconnectedness between the guaranteed entities, there would be no group to our mind.</w:t>
      </w:r>
    </w:p>
    <w:p w:rsidR="00ED16BB" w:rsidRDefault="00ED16BB" w:rsidP="0094444B">
      <w:pPr>
        <w:autoSpaceDE w:val="0"/>
        <w:autoSpaceDN w:val="0"/>
        <w:adjustRightInd w:val="0"/>
        <w:spacing w:line="240" w:lineRule="auto"/>
        <w:rPr>
          <w:rFonts w:cs="Calibri"/>
          <w:snapToGrid/>
          <w:lang w:val="de-AT"/>
        </w:rPr>
      </w:pPr>
    </w:p>
    <w:p w:rsidR="00ED16BB" w:rsidRPr="0094444B" w:rsidRDefault="00452A16" w:rsidP="00ED16BB">
      <w:pPr>
        <w:autoSpaceDE w:val="0"/>
        <w:autoSpaceDN w:val="0"/>
        <w:adjustRightInd w:val="0"/>
        <w:spacing w:line="240" w:lineRule="auto"/>
        <w:rPr>
          <w:rFonts w:cs="Calibri"/>
          <w:snapToGrid/>
          <w:lang w:val="de-AT"/>
        </w:rPr>
      </w:pPr>
      <w:r w:rsidRPr="0094444B">
        <w:rPr>
          <w:rFonts w:cs="Calibri"/>
          <w:snapToGrid/>
          <w:lang w:val="de-AT"/>
        </w:rPr>
        <w:t xml:space="preserve">According to our experience, this is a quite exceptional case; as the likelihood of simultaneous claims under guarantees to unrelated counterparties seems to be fairly low, we would not treat such clients as connected. The situation described in the explanatory box on page 35 would be a </w:t>
      </w:r>
      <w:r w:rsidRPr="0094444B">
        <w:rPr>
          <w:rFonts w:cs="Calibri"/>
          <w:snapToGrid/>
          <w:u w:val="single"/>
          <w:lang w:val="de-AT"/>
        </w:rPr>
        <w:t>too far reaching interpretation of the term “single risk”.</w:t>
      </w:r>
      <w:r w:rsidR="00ED16BB" w:rsidRPr="00ED16BB">
        <w:rPr>
          <w:rFonts w:cs="Calibri"/>
          <w:snapToGrid/>
          <w:lang w:val="de-AT"/>
        </w:rPr>
        <w:t xml:space="preserve"> </w:t>
      </w:r>
      <w:r w:rsidR="00ED16BB" w:rsidRPr="0094444B">
        <w:rPr>
          <w:rFonts w:cs="Calibri"/>
          <w:snapToGrid/>
          <w:lang w:val="de-AT"/>
        </w:rPr>
        <w:t>We believe that these cases shall not be considered as connected. First, such a treatment would lead to a disadvantageous treatment of smaller Member States, where the availability of guarantors is limited and therefore a group of connected clients would be reached more easily than in larger countries. Further, it would be difficult for the institutions to obtain these information and to monitor these cases.</w:t>
      </w:r>
    </w:p>
    <w:p w:rsidR="00452A16" w:rsidRPr="0094444B" w:rsidRDefault="00452A16" w:rsidP="005808AD">
      <w:pPr>
        <w:autoSpaceDE w:val="0"/>
        <w:autoSpaceDN w:val="0"/>
        <w:adjustRightInd w:val="0"/>
        <w:spacing w:line="240" w:lineRule="auto"/>
        <w:rPr>
          <w:rFonts w:cs="Calibri"/>
          <w:snapToGrid/>
          <w:lang w:val="de-AT"/>
        </w:rPr>
      </w:pPr>
    </w:p>
    <w:p w:rsidR="00452A16" w:rsidRPr="0094444B" w:rsidRDefault="00ED16BB" w:rsidP="0094444B">
      <w:pPr>
        <w:autoSpaceDE w:val="0"/>
        <w:autoSpaceDN w:val="0"/>
        <w:adjustRightInd w:val="0"/>
        <w:spacing w:line="240" w:lineRule="auto"/>
        <w:rPr>
          <w:rFonts w:cs="Calibri"/>
          <w:snapToGrid/>
          <w:lang w:val="de-AT"/>
        </w:rPr>
      </w:pPr>
      <w:r>
        <w:rPr>
          <w:rFonts w:cs="Calibri"/>
          <w:snapToGrid/>
          <w:lang w:val="de-AT"/>
        </w:rPr>
        <w:t xml:space="preserve">We think that there </w:t>
      </w:r>
      <w:r w:rsidR="00452A16" w:rsidRPr="0094444B">
        <w:rPr>
          <w:rFonts w:cs="Calibri"/>
          <w:snapToGrid/>
          <w:lang w:val="de-AT"/>
        </w:rPr>
        <w:t>are no other situations which should be added to the list from paragraph 23. As stated above, the list is already detailed and exhaustive. In particular, we do not find the additional situation described as constituting economic dependency, since the guarantee only refers to secondary credit risk. Different to the point (a) from paragraph 23, the primary credit risk in the situation described is unrelated to each other and therefore does not constitute a single risk due to risk diversification.</w:t>
      </w:r>
    </w:p>
    <w:p w:rsidR="00452A16" w:rsidRDefault="00452A16" w:rsidP="005808AD">
      <w:pPr>
        <w:autoSpaceDE w:val="0"/>
        <w:autoSpaceDN w:val="0"/>
        <w:adjustRightInd w:val="0"/>
        <w:spacing w:line="240" w:lineRule="auto"/>
        <w:rPr>
          <w:rFonts w:cs="Calibri,Bold"/>
          <w:b/>
          <w:bCs/>
          <w:snapToGrid/>
          <w:lang w:val="de-AT"/>
        </w:rPr>
      </w:pPr>
    </w:p>
    <w:p w:rsidR="005808AD" w:rsidRPr="0094444B" w:rsidRDefault="005808AD" w:rsidP="005808AD">
      <w:pPr>
        <w:autoSpaceDE w:val="0"/>
        <w:autoSpaceDN w:val="0"/>
        <w:adjustRightInd w:val="0"/>
        <w:spacing w:line="240" w:lineRule="auto"/>
        <w:rPr>
          <w:rFonts w:cs="Calibri,Bold"/>
          <w:b/>
          <w:bCs/>
          <w:i/>
          <w:snapToGrid/>
          <w:lang w:val="de-AT"/>
        </w:rPr>
      </w:pPr>
      <w:r w:rsidRPr="0094444B">
        <w:rPr>
          <w:rFonts w:cs="Calibri,Bold"/>
          <w:b/>
          <w:bCs/>
          <w:i/>
          <w:snapToGrid/>
          <w:lang w:val="de-AT"/>
        </w:rPr>
        <w:t>Question 10: Is the guidance in section 7. ‘Relation between interconnectedness through control and interconnectedness through economic dependency’ clear? If not, please provide concrete suggestions.</w:t>
      </w:r>
    </w:p>
    <w:p w:rsidR="00037778" w:rsidRDefault="00037778" w:rsidP="005808AD">
      <w:pPr>
        <w:autoSpaceDE w:val="0"/>
        <w:autoSpaceDN w:val="0"/>
        <w:adjustRightInd w:val="0"/>
        <w:spacing w:line="240" w:lineRule="auto"/>
        <w:rPr>
          <w:rFonts w:cs="Calibri"/>
          <w:snapToGrid/>
          <w:lang w:val="de-AT"/>
        </w:rPr>
      </w:pPr>
    </w:p>
    <w:p w:rsidR="005808AD" w:rsidRP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While the guidance is clear, since inte</w:t>
      </w:r>
      <w:r w:rsidR="00ED16BB">
        <w:rPr>
          <w:rFonts w:cs="Calibri"/>
          <w:snapToGrid/>
          <w:lang w:val="de-AT"/>
        </w:rPr>
        <w:t xml:space="preserve">rconnectedness via control will </w:t>
      </w:r>
      <w:r w:rsidRPr="005808AD">
        <w:rPr>
          <w:rFonts w:cs="Calibri"/>
          <w:snapToGrid/>
          <w:lang w:val="de-AT"/>
        </w:rPr>
        <w:t>cover most cases, we</w:t>
      </w:r>
      <w:r>
        <w:rPr>
          <w:rFonts w:cs="Calibri"/>
          <w:snapToGrid/>
          <w:lang w:val="de-AT"/>
        </w:rPr>
        <w:t xml:space="preserve"> </w:t>
      </w:r>
      <w:r w:rsidRPr="005808AD">
        <w:rPr>
          <w:rFonts w:cs="Calibri"/>
          <w:snapToGrid/>
          <w:lang w:val="de-AT"/>
        </w:rPr>
        <w:t>would suggest an approach where first the interconnectedness via control is established,</w:t>
      </w:r>
      <w:r>
        <w:rPr>
          <w:rFonts w:cs="Calibri"/>
          <w:snapToGrid/>
          <w:lang w:val="de-AT"/>
        </w:rPr>
        <w:t xml:space="preserve"> </w:t>
      </w:r>
      <w:r w:rsidRPr="005808AD">
        <w:rPr>
          <w:rFonts w:cs="Calibri"/>
          <w:snapToGrid/>
          <w:lang w:val="de-AT"/>
        </w:rPr>
        <w:t>and thereafter economic dependency is assessed only for those entities not already covered</w:t>
      </w:r>
      <w:r>
        <w:rPr>
          <w:rFonts w:cs="Calibri"/>
          <w:snapToGrid/>
          <w:lang w:val="de-AT"/>
        </w:rPr>
        <w:t xml:space="preserve"> </w:t>
      </w:r>
      <w:r w:rsidRPr="005808AD">
        <w:rPr>
          <w:rFonts w:cs="Calibri"/>
          <w:snapToGrid/>
          <w:lang w:val="de-AT"/>
        </w:rPr>
        <w:t>by control, and added then if necessary, instead of doing an all-encompassing economic</w:t>
      </w:r>
    </w:p>
    <w:p w:rsidR="005808AD" w:rsidRP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dependency verification for all entities. This should limit double efforts and costs which</w:t>
      </w:r>
    </w:p>
    <w:p w:rsidR="005808AD" w:rsidRP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would otherwise be high.</w:t>
      </w:r>
    </w:p>
    <w:p w:rsidR="005808AD" w:rsidRDefault="005808AD" w:rsidP="005808AD">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The implementation of the envisaged measures is likely to determine in many cases multiple counting of risk positions to clients that should be included in different groups of connected clients. We deem that double counting of exposures (due to entities being included in different groups of connec</w:t>
      </w:r>
      <w:r w:rsidR="00F31924">
        <w:rPr>
          <w:rFonts w:cs="Calibri"/>
          <w:snapToGrid/>
          <w:lang w:val="de-AT"/>
        </w:rPr>
        <w:t>ted clients) is not desirable. </w:t>
      </w:r>
      <w:r w:rsidRPr="0094444B">
        <w:rPr>
          <w:rFonts w:cs="Calibri"/>
          <w:snapToGrid/>
          <w:lang w:val="de-AT"/>
        </w:rPr>
        <w:t>In fact, this would lead to the double counting of the bank exposure to the client in the bank records aimed at sup</w:t>
      </w:r>
      <w:r w:rsidR="00F31924">
        <w:rPr>
          <w:rFonts w:cs="Calibri"/>
          <w:snapToGrid/>
          <w:lang w:val="de-AT"/>
        </w:rPr>
        <w:t xml:space="preserve">ervisory reporting. </w:t>
      </w:r>
      <w:r w:rsidRPr="0094444B">
        <w:rPr>
          <w:rFonts w:cs="Calibri"/>
          <w:snapToGrid/>
          <w:lang w:val="de-AT"/>
        </w:rPr>
        <w:t xml:space="preserve">Consequently (unless the bank creates a double-track management system detaching the credit risk management from supervisory evidences), the double counting would affect the monitoring of bank exposure to the client for risk management purposes, in terms of determination of credit limits and allocation of credit decisions. Potential consequences could also arise with respect to the identification of the actual parent company for the purpose of the attribution of the credit rating to the client.         </w:t>
      </w:r>
    </w:p>
    <w:p w:rsidR="0094444B" w:rsidRDefault="0094444B" w:rsidP="0094444B">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The occurrences of this situation should therefore be limited to the cases explicitly addressed in the CRR (that seems not to be the case with the simultaneous presence of interconnectedness through control and interconnectedness through economic dependency with different entities addressed in Section 7 of the proposed Guidelines).</w:t>
      </w:r>
    </w:p>
    <w:p w:rsidR="0094444B" w:rsidRDefault="0094444B" w:rsidP="0094444B">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In any case, the EBA proposal is quite clear, even if its application is not straightforward, for the considerations explained above but also because the assessment of the economic dependency is not always easy. In fact, the concept of “Economic dependency” and its relationship with the concept of “control” raises several doubts. Please consider the following example:</w:t>
      </w: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 xml:space="preserve">The set-up of a dedicated communication channel between banks and EBA is of the utmost importance, not only for questions that might arise, but also to harmonise the interpretations between banks.      </w:t>
      </w:r>
    </w:p>
    <w:p w:rsidR="0094444B" w:rsidRDefault="0094444B" w:rsidP="0094444B">
      <w:pPr>
        <w:autoSpaceDE w:val="0"/>
        <w:autoSpaceDN w:val="0"/>
        <w:adjustRightInd w:val="0"/>
        <w:spacing w:line="240" w:lineRule="auto"/>
        <w:rPr>
          <w:rFonts w:cs="Calibri"/>
          <w:snapToGrid/>
          <w:lang w:val="de-AT"/>
        </w:rPr>
      </w:pPr>
    </w:p>
    <w:p w:rsidR="00452A16" w:rsidRPr="0094444B" w:rsidRDefault="00452A16" w:rsidP="0094444B">
      <w:pPr>
        <w:autoSpaceDE w:val="0"/>
        <w:autoSpaceDN w:val="0"/>
        <w:adjustRightInd w:val="0"/>
        <w:spacing w:line="240" w:lineRule="auto"/>
        <w:rPr>
          <w:rFonts w:cs="Calibri"/>
          <w:snapToGrid/>
          <w:lang w:val="de-AT"/>
        </w:rPr>
      </w:pPr>
      <w:r w:rsidRPr="0094444B">
        <w:rPr>
          <w:rFonts w:cs="Calibri"/>
          <w:snapToGrid/>
          <w:lang w:val="de-AT"/>
        </w:rPr>
        <w:t>Moreover, the concept application is not straightforward as the assessment of the economic dependency is not always easy because of the high degree of subjectivity and the lack of relevant information; furthermore the reporting of groups’ exposures in the LE framework would be more ‘volatile’ due to the changes in the groups perimeter.</w:t>
      </w:r>
    </w:p>
    <w:p w:rsidR="00452A16" w:rsidRPr="005808AD" w:rsidRDefault="00452A16" w:rsidP="005808AD">
      <w:pPr>
        <w:autoSpaceDE w:val="0"/>
        <w:autoSpaceDN w:val="0"/>
        <w:adjustRightInd w:val="0"/>
        <w:spacing w:line="240" w:lineRule="auto"/>
        <w:rPr>
          <w:rFonts w:cs="Calibri"/>
          <w:snapToGrid/>
          <w:lang w:val="de-AT"/>
        </w:rPr>
      </w:pPr>
    </w:p>
    <w:p w:rsidR="005808AD" w:rsidRDefault="005808AD" w:rsidP="005808AD">
      <w:pPr>
        <w:autoSpaceDE w:val="0"/>
        <w:autoSpaceDN w:val="0"/>
        <w:adjustRightInd w:val="0"/>
        <w:spacing w:line="240" w:lineRule="auto"/>
        <w:rPr>
          <w:rFonts w:cs="Calibri,Bold"/>
          <w:b/>
          <w:bCs/>
          <w:snapToGrid/>
          <w:lang w:val="de-AT"/>
        </w:rPr>
      </w:pPr>
      <w:r>
        <w:rPr>
          <w:rFonts w:cs="Calibri,Bold"/>
          <w:b/>
          <w:bCs/>
          <w:snapToGrid/>
          <w:lang w:val="de-AT"/>
        </w:rPr>
        <w:t>Other issues</w:t>
      </w:r>
    </w:p>
    <w:p w:rsidR="005808AD" w:rsidRPr="005808AD" w:rsidRDefault="005808AD" w:rsidP="005808AD">
      <w:pPr>
        <w:autoSpaceDE w:val="0"/>
        <w:autoSpaceDN w:val="0"/>
        <w:adjustRightInd w:val="0"/>
        <w:spacing w:line="240" w:lineRule="auto"/>
        <w:rPr>
          <w:rFonts w:cs="Calibri,Bold"/>
          <w:b/>
          <w:bCs/>
          <w:snapToGrid/>
          <w:lang w:val="de-AT"/>
        </w:rPr>
      </w:pPr>
    </w:p>
    <w:p w:rsidR="005808AD" w:rsidRP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In general, the guidelines lead to the building of more groups and to more cases where an entity is</w:t>
      </w:r>
      <w:r>
        <w:rPr>
          <w:rFonts w:cs="Calibri"/>
          <w:snapToGrid/>
          <w:lang w:val="de-AT"/>
        </w:rPr>
        <w:t xml:space="preserve"> </w:t>
      </w:r>
      <w:r w:rsidRPr="005808AD">
        <w:rPr>
          <w:rFonts w:cs="Calibri"/>
          <w:snapToGrid/>
          <w:lang w:val="de-AT"/>
        </w:rPr>
        <w:t>member of more than one groups of connected clients and to more large exposures. This proves</w:t>
      </w:r>
      <w:r>
        <w:rPr>
          <w:rFonts w:cs="Calibri"/>
          <w:snapToGrid/>
          <w:lang w:val="de-AT"/>
        </w:rPr>
        <w:t xml:space="preserve"> </w:t>
      </w:r>
      <w:r w:rsidRPr="005808AD">
        <w:rPr>
          <w:rFonts w:cs="Calibri"/>
          <w:snapToGrid/>
          <w:lang w:val="de-AT"/>
        </w:rPr>
        <w:t>difficult in the day-to-day operations of a bank and would most probably induce IT-system changes.</w:t>
      </w:r>
    </w:p>
    <w:p w:rsidR="002A2428" w:rsidRDefault="002A2428" w:rsidP="002A2428">
      <w:pPr>
        <w:autoSpaceDE w:val="0"/>
        <w:autoSpaceDN w:val="0"/>
        <w:adjustRightInd w:val="0"/>
        <w:spacing w:line="240" w:lineRule="auto"/>
        <w:rPr>
          <w:rFonts w:cs="Symbol"/>
          <w:snapToGrid/>
          <w:lang w:val="de-AT"/>
        </w:rPr>
      </w:pPr>
    </w:p>
    <w:p w:rsidR="005808AD" w:rsidRPr="002A2428" w:rsidRDefault="005808AD" w:rsidP="002A2428">
      <w:pPr>
        <w:autoSpaceDE w:val="0"/>
        <w:autoSpaceDN w:val="0"/>
        <w:adjustRightInd w:val="0"/>
        <w:spacing w:line="240" w:lineRule="auto"/>
        <w:rPr>
          <w:rFonts w:cs="Calibri"/>
          <w:snapToGrid/>
          <w:lang w:val="de-AT"/>
        </w:rPr>
      </w:pPr>
      <w:r w:rsidRPr="002A2428">
        <w:rPr>
          <w:rFonts w:cs="Calibri"/>
          <w:snapToGrid/>
          <w:u w:val="single"/>
          <w:lang w:val="de-AT"/>
        </w:rPr>
        <w:t>Sovereign group building</w:t>
      </w:r>
      <w:r w:rsidRPr="002A2428">
        <w:rPr>
          <w:rFonts w:cs="Calibri"/>
          <w:snapToGrid/>
          <w:lang w:val="de-AT"/>
        </w:rPr>
        <w:t xml:space="preserve"> (with or without alternative approach) might lead to an extension</w:t>
      </w:r>
      <w:r w:rsidR="0094444B" w:rsidRPr="002A2428">
        <w:rPr>
          <w:rFonts w:cs="Calibri"/>
          <w:snapToGrid/>
          <w:lang w:val="de-AT"/>
        </w:rPr>
        <w:t xml:space="preserve"> </w:t>
      </w:r>
      <w:r w:rsidRPr="002A2428">
        <w:rPr>
          <w:rFonts w:cs="Calibri"/>
          <w:snapToGrid/>
          <w:lang w:val="de-AT"/>
        </w:rPr>
        <w:t>of costs based on the following example:</w:t>
      </w:r>
      <w:r w:rsidR="0094444B" w:rsidRPr="002A2428">
        <w:rPr>
          <w:rFonts w:cs="Calibri"/>
          <w:snapToGrid/>
          <w:lang w:val="de-AT"/>
        </w:rPr>
        <w:t xml:space="preserve"> </w:t>
      </w:r>
      <w:r w:rsidRPr="002A2428">
        <w:rPr>
          <w:rFonts w:cs="Calibri"/>
          <w:snapToGrid/>
          <w:lang w:val="de-AT"/>
        </w:rPr>
        <w:t>If the Sovereign itself is a large exposure for an institution, all entities which are dependent</w:t>
      </w:r>
      <w:r w:rsidR="0094444B" w:rsidRPr="002A2428">
        <w:rPr>
          <w:rFonts w:cs="Calibri"/>
          <w:snapToGrid/>
          <w:lang w:val="de-AT"/>
        </w:rPr>
        <w:t xml:space="preserve"> </w:t>
      </w:r>
      <w:r w:rsidRPr="002A2428">
        <w:rPr>
          <w:rFonts w:cs="Calibri"/>
          <w:snapToGrid/>
          <w:lang w:val="de-AT"/>
        </w:rPr>
        <w:t>on the Sovereign have to be in a group with the Sovereign (sub-group or single group). This</w:t>
      </w:r>
      <w:r w:rsidR="0094444B" w:rsidRPr="002A2428">
        <w:rPr>
          <w:rFonts w:cs="Calibri"/>
          <w:snapToGrid/>
          <w:lang w:val="de-AT"/>
        </w:rPr>
        <w:t xml:space="preserve"> </w:t>
      </w:r>
      <w:r w:rsidRPr="002A2428">
        <w:rPr>
          <w:rFonts w:cs="Calibri"/>
          <w:snapToGrid/>
          <w:lang w:val="de-AT"/>
        </w:rPr>
        <w:t>also applies to e.g. small associations which receive subsidies from the Sovereign. If such an</w:t>
      </w:r>
      <w:r w:rsidR="0094444B" w:rsidRPr="002A2428">
        <w:rPr>
          <w:rFonts w:cs="Calibri"/>
          <w:snapToGrid/>
          <w:lang w:val="de-AT"/>
        </w:rPr>
        <w:t xml:space="preserve"> </w:t>
      </w:r>
      <w:r w:rsidRPr="002A2428">
        <w:rPr>
          <w:rFonts w:cs="Calibri"/>
          <w:snapToGrid/>
          <w:lang w:val="de-AT"/>
        </w:rPr>
        <w:t>association would apply for a new – even very small – credit, this would lead to a required</w:t>
      </w:r>
      <w:r w:rsidR="0094444B" w:rsidRPr="002A2428">
        <w:rPr>
          <w:rFonts w:cs="Calibri"/>
          <w:snapToGrid/>
          <w:lang w:val="de-AT"/>
        </w:rPr>
        <w:t xml:space="preserve"> </w:t>
      </w:r>
      <w:r w:rsidRPr="002A2428">
        <w:rPr>
          <w:rFonts w:cs="Calibri"/>
          <w:snapToGrid/>
          <w:lang w:val="de-AT"/>
        </w:rPr>
        <w:t>decision of the Supervisory Board, as the group would be a large exposure. Business decision</w:t>
      </w:r>
      <w:r w:rsidR="0094444B" w:rsidRPr="002A2428">
        <w:rPr>
          <w:rFonts w:cs="Calibri"/>
          <w:snapToGrid/>
          <w:lang w:val="de-AT"/>
        </w:rPr>
        <w:t xml:space="preserve"> </w:t>
      </w:r>
      <w:r w:rsidRPr="002A2428">
        <w:rPr>
          <w:rFonts w:cs="Calibri"/>
          <w:snapToGrid/>
          <w:lang w:val="de-AT"/>
        </w:rPr>
        <w:t>making would slow down significantly for such cases.</w:t>
      </w:r>
    </w:p>
    <w:p w:rsidR="005808AD" w:rsidRDefault="005808AD" w:rsidP="005808AD">
      <w:pPr>
        <w:autoSpaceDE w:val="0"/>
        <w:autoSpaceDN w:val="0"/>
        <w:adjustRightInd w:val="0"/>
        <w:spacing w:line="240" w:lineRule="auto"/>
        <w:rPr>
          <w:rFonts w:cs="Calibri"/>
          <w:snapToGrid/>
          <w:lang w:val="de-AT"/>
        </w:rPr>
      </w:pPr>
    </w:p>
    <w:p w:rsidR="005808AD" w:rsidRPr="005808AD" w:rsidRDefault="005808AD" w:rsidP="005808AD">
      <w:pPr>
        <w:autoSpaceDE w:val="0"/>
        <w:autoSpaceDN w:val="0"/>
        <w:adjustRightInd w:val="0"/>
        <w:spacing w:line="240" w:lineRule="auto"/>
        <w:rPr>
          <w:rFonts w:cs="Calibri"/>
          <w:snapToGrid/>
          <w:lang w:val="de-AT"/>
        </w:rPr>
      </w:pPr>
      <w:r w:rsidRPr="005808AD">
        <w:rPr>
          <w:rFonts w:cs="Calibri"/>
          <w:snapToGrid/>
          <w:lang w:val="de-AT"/>
        </w:rPr>
        <w:t>Additionally, there would be limitations to lending due to the grouping requirements.</w:t>
      </w:r>
    </w:p>
    <w:p w:rsidR="005808AD" w:rsidRPr="002A2428" w:rsidRDefault="005808AD" w:rsidP="005808AD">
      <w:pPr>
        <w:pStyle w:val="Listenabsatz"/>
        <w:numPr>
          <w:ilvl w:val="0"/>
          <w:numId w:val="27"/>
        </w:numPr>
        <w:autoSpaceDE w:val="0"/>
        <w:autoSpaceDN w:val="0"/>
        <w:adjustRightInd w:val="0"/>
        <w:spacing w:line="240" w:lineRule="auto"/>
        <w:rPr>
          <w:rFonts w:cs="Calibri,Italic"/>
          <w:i/>
          <w:iCs/>
          <w:snapToGrid/>
          <w:lang w:val="de-AT"/>
        </w:rPr>
      </w:pPr>
      <w:r w:rsidRPr="002A2428">
        <w:rPr>
          <w:rFonts w:cs="Calibri"/>
          <w:snapToGrid/>
          <w:lang w:val="de-AT"/>
        </w:rPr>
        <w:t xml:space="preserve">Item 23 g.) </w:t>
      </w:r>
      <w:r w:rsidRPr="002A2428">
        <w:rPr>
          <w:rFonts w:cs="Calibri,Italic"/>
          <w:i/>
          <w:iCs/>
          <w:snapToGrid/>
          <w:lang w:val="de-AT"/>
        </w:rPr>
        <w:t>“(...) economic dependency: where a significant part or at least 50% of a client’s</w:t>
      </w:r>
      <w:r w:rsidR="002A2428">
        <w:rPr>
          <w:rFonts w:cs="Calibri,Italic"/>
          <w:i/>
          <w:iCs/>
          <w:snapToGrid/>
          <w:lang w:val="de-AT"/>
        </w:rPr>
        <w:t xml:space="preserve"> </w:t>
      </w:r>
      <w:r w:rsidRPr="002A2428">
        <w:rPr>
          <w:rFonts w:cs="Calibri,Italic"/>
          <w:i/>
          <w:iCs/>
          <w:snapToGrid/>
          <w:lang w:val="de-AT"/>
        </w:rPr>
        <w:t>asset is invested in another client”</w:t>
      </w:r>
      <w:r w:rsidRPr="002A2428">
        <w:rPr>
          <w:rFonts w:cs="Calibri"/>
          <w:snapToGrid/>
          <w:lang w:val="de-AT"/>
        </w:rPr>
        <w:t>: Would this lead to a group of connected clients if a funds</w:t>
      </w:r>
      <w:r w:rsidR="002A2428">
        <w:rPr>
          <w:rFonts w:cs="Calibri"/>
          <w:snapToGrid/>
          <w:lang w:val="de-AT"/>
        </w:rPr>
        <w:t xml:space="preserve"> </w:t>
      </w:r>
      <w:r w:rsidRPr="002A2428">
        <w:rPr>
          <w:rFonts w:cs="Calibri"/>
          <w:snapToGrid/>
          <w:lang w:val="de-AT"/>
        </w:rPr>
        <w:t>is invested with 51% in state bonds (which might easily be the case)?</w:t>
      </w:r>
    </w:p>
    <w:p w:rsidR="00F97B7D" w:rsidRPr="00F31924" w:rsidRDefault="005808AD" w:rsidP="00F31924">
      <w:pPr>
        <w:pStyle w:val="Listenabsatz"/>
        <w:numPr>
          <w:ilvl w:val="0"/>
          <w:numId w:val="27"/>
        </w:numPr>
        <w:autoSpaceDE w:val="0"/>
        <w:autoSpaceDN w:val="0"/>
        <w:adjustRightInd w:val="0"/>
        <w:spacing w:line="240" w:lineRule="auto"/>
        <w:rPr>
          <w:rFonts w:cs="Calibri,Italic"/>
          <w:i/>
          <w:iCs/>
          <w:snapToGrid/>
          <w:lang w:val="de-AT"/>
        </w:rPr>
      </w:pPr>
      <w:r w:rsidRPr="002A2428">
        <w:rPr>
          <w:rFonts w:cs="Calibri"/>
          <w:snapToGrid/>
          <w:lang w:val="de-AT"/>
        </w:rPr>
        <w:t>Item 26: “Institutions should form a group of connected clients where two or more of their</w:t>
      </w:r>
      <w:r w:rsidR="002A2428">
        <w:rPr>
          <w:rFonts w:cs="Calibri"/>
          <w:snapToGrid/>
          <w:lang w:val="de-AT"/>
        </w:rPr>
        <w:t xml:space="preserve"> </w:t>
      </w:r>
      <w:r w:rsidRPr="002A2428">
        <w:rPr>
          <w:rFonts w:cs="Calibri"/>
          <w:snapToGrid/>
          <w:lang w:val="de-AT"/>
        </w:rPr>
        <w:t>clients are economically dependent on an entity, even if this entity is not a client of the</w:t>
      </w:r>
      <w:r w:rsidR="002A2428">
        <w:rPr>
          <w:rFonts w:cs="Calibri"/>
          <w:snapToGrid/>
          <w:lang w:val="de-AT"/>
        </w:rPr>
        <w:t xml:space="preserve"> </w:t>
      </w:r>
      <w:r w:rsidRPr="002A2428">
        <w:rPr>
          <w:rFonts w:cs="Calibri"/>
          <w:snapToGrid/>
          <w:lang w:val="de-AT"/>
        </w:rPr>
        <w:t>institution.”</w:t>
      </w:r>
      <w:r w:rsidR="00F31924">
        <w:rPr>
          <w:rFonts w:cs="Calibri"/>
          <w:snapToGrid/>
          <w:lang w:val="de-AT"/>
        </w:rPr>
        <w:t xml:space="preserve"> </w:t>
      </w:r>
      <w:r w:rsidR="00F97B7D" w:rsidRPr="00F31924">
        <w:rPr>
          <w:lang w:val="en-GB"/>
        </w:rPr>
        <w:t>Such a requirement would cause a disproportionate administrative burden for the institutions and lead to an unintended data volume. Such a requirement should be limited to exceptional cases.</w:t>
      </w:r>
    </w:p>
    <w:p w:rsidR="002B0634" w:rsidRPr="005808AD" w:rsidRDefault="00F31924" w:rsidP="00F97B7D">
      <w:pPr>
        <w:autoSpaceDE w:val="0"/>
        <w:autoSpaceDN w:val="0"/>
        <w:adjustRightInd w:val="0"/>
        <w:rPr>
          <w:lang w:val="en-GB"/>
        </w:rPr>
      </w:pPr>
      <w:r w:rsidRPr="005808AD">
        <w:rPr>
          <w:rFonts w:cs="Calibri"/>
          <w:snapToGrid/>
          <w:lang w:val="de-AT"/>
        </w:rPr>
        <w:t>This connection cannot be established on a systematic basis.</w:t>
      </w:r>
      <w:r>
        <w:rPr>
          <w:lang w:val="en-GB"/>
        </w:rPr>
        <w:t xml:space="preserve"> We consider it</w:t>
      </w:r>
      <w:r w:rsidR="00F97B7D" w:rsidRPr="00F97B7D">
        <w:rPr>
          <w:lang w:val="en-GB"/>
        </w:rPr>
        <w:t xml:space="preserve"> difficult f</w:t>
      </w:r>
      <w:r>
        <w:rPr>
          <w:lang w:val="en-GB"/>
        </w:rPr>
        <w:t>or the institutions to get this</w:t>
      </w:r>
      <w:r w:rsidR="00F97B7D" w:rsidRPr="00F97B7D">
        <w:rPr>
          <w:lang w:val="en-GB"/>
        </w:rPr>
        <w:t xml:space="preserve"> information and to monitor these cases.</w:t>
      </w:r>
    </w:p>
    <w:p w:rsidR="002B0634" w:rsidRDefault="002B0634" w:rsidP="00B1272A">
      <w:pPr>
        <w:autoSpaceDE w:val="0"/>
        <w:autoSpaceDN w:val="0"/>
        <w:adjustRightInd w:val="0"/>
        <w:rPr>
          <w:lang w:val="en-GB"/>
        </w:rPr>
      </w:pPr>
    </w:p>
    <w:p w:rsidR="00452A16" w:rsidRPr="002A2428" w:rsidRDefault="00452A16" w:rsidP="002A2428">
      <w:pPr>
        <w:autoSpaceDE w:val="0"/>
        <w:autoSpaceDN w:val="0"/>
        <w:adjustRightInd w:val="0"/>
        <w:rPr>
          <w:b/>
          <w:lang w:val="en-GB"/>
        </w:rPr>
      </w:pPr>
      <w:r w:rsidRPr="002A2428">
        <w:rPr>
          <w:b/>
          <w:lang w:val="en-GB"/>
        </w:rPr>
        <w:t>Proposed amendments to the draft guidelines:</w:t>
      </w:r>
    </w:p>
    <w:p w:rsidR="00452A16" w:rsidRPr="002A2428" w:rsidRDefault="00452A16" w:rsidP="002A2428">
      <w:pPr>
        <w:autoSpaceDE w:val="0"/>
        <w:autoSpaceDN w:val="0"/>
        <w:adjustRightInd w:val="0"/>
        <w:rPr>
          <w:lang w:val="en-GB"/>
        </w:rPr>
      </w:pPr>
    </w:p>
    <w:p w:rsidR="00452A16" w:rsidRPr="002A2428" w:rsidRDefault="00452A16" w:rsidP="002A2428">
      <w:pPr>
        <w:autoSpaceDE w:val="0"/>
        <w:autoSpaceDN w:val="0"/>
        <w:adjustRightInd w:val="0"/>
        <w:rPr>
          <w:lang w:val="en-GB"/>
        </w:rPr>
      </w:pPr>
      <w:r w:rsidRPr="002A2428">
        <w:rPr>
          <w:lang w:val="en-GB"/>
        </w:rPr>
        <w:t xml:space="preserve">Section 6 </w:t>
      </w:r>
    </w:p>
    <w:p w:rsidR="00452A16" w:rsidRPr="002A2428" w:rsidRDefault="00452A16" w:rsidP="002A2428">
      <w:pPr>
        <w:autoSpaceDE w:val="0"/>
        <w:autoSpaceDN w:val="0"/>
        <w:adjustRightInd w:val="0"/>
        <w:rPr>
          <w:lang w:val="en-GB"/>
        </w:rPr>
      </w:pPr>
      <w:r w:rsidRPr="002A2428">
        <w:rPr>
          <w:lang w:val="en-GB"/>
        </w:rPr>
        <w:t>23</w:t>
      </w:r>
      <w:proofErr w:type="gramStart"/>
      <w:r w:rsidRPr="002A2428">
        <w:rPr>
          <w:lang w:val="en-GB"/>
        </w:rPr>
        <w:t>.j</w:t>
      </w:r>
      <w:proofErr w:type="gramEnd"/>
      <w:r w:rsidRPr="002A2428">
        <w:rPr>
          <w:lang w:val="en-GB"/>
        </w:rPr>
        <w:t>)</w:t>
      </w:r>
    </w:p>
    <w:p w:rsidR="00452A16" w:rsidRDefault="00452A16" w:rsidP="002A2428">
      <w:pPr>
        <w:spacing w:line="240" w:lineRule="auto"/>
        <w:rPr>
          <w:i/>
          <w:iCs/>
          <w:lang w:val="en-US"/>
        </w:rPr>
      </w:pPr>
      <w:proofErr w:type="gramStart"/>
      <w:r>
        <w:rPr>
          <w:lang w:val="en-US"/>
        </w:rPr>
        <w:t xml:space="preserve">The relationship between a debtor and his/her co-borrower </w:t>
      </w:r>
      <w:r w:rsidRPr="00F31924">
        <w:rPr>
          <w:i/>
          <w:u w:val="single"/>
          <w:lang w:val="en-US"/>
        </w:rPr>
        <w:t>if the loan is significant for both</w:t>
      </w:r>
      <w:r w:rsidRPr="00F31924">
        <w:rPr>
          <w:lang w:val="en-US"/>
        </w:rPr>
        <w:t>.</w:t>
      </w:r>
      <w:proofErr w:type="gramEnd"/>
    </w:p>
    <w:p w:rsidR="00452A16" w:rsidRDefault="00452A16" w:rsidP="002A2428">
      <w:pPr>
        <w:spacing w:line="240" w:lineRule="auto"/>
        <w:rPr>
          <w:lang w:val="en-US"/>
        </w:rPr>
      </w:pPr>
    </w:p>
    <w:p w:rsidR="00452A16" w:rsidRPr="002A2428" w:rsidRDefault="00452A16" w:rsidP="002A2428">
      <w:pPr>
        <w:spacing w:line="240" w:lineRule="auto"/>
        <w:rPr>
          <w:bCs/>
          <w:lang w:val="en-US"/>
        </w:rPr>
      </w:pPr>
      <w:r w:rsidRPr="002A2428">
        <w:rPr>
          <w:bCs/>
          <w:lang w:val="en-US"/>
        </w:rPr>
        <w:t>28.</w:t>
      </w:r>
    </w:p>
    <w:p w:rsidR="00452A16" w:rsidRDefault="00452A16" w:rsidP="002A2428">
      <w:pPr>
        <w:spacing w:line="240" w:lineRule="auto"/>
        <w:rPr>
          <w:i/>
          <w:iCs/>
          <w:color w:val="FF0000"/>
          <w:lang w:val="en-US"/>
        </w:rPr>
      </w:pPr>
      <w:r>
        <w:rPr>
          <w:lang w:val="en-US"/>
        </w:rPr>
        <w:t xml:space="preserve">Institutions should consider cases where the dependency on a common source of funding is provided by the institution itself, its financial group or its connected parties. </w:t>
      </w:r>
      <w:r w:rsidRPr="00F31924">
        <w:rPr>
          <w:i/>
          <w:u w:val="single"/>
          <w:lang w:val="en-US"/>
        </w:rPr>
        <w:t>This only applies in cases where the single risk is created by the use of similar structures and the funding source cannot be replaced normally.</w:t>
      </w:r>
    </w:p>
    <w:p w:rsidR="00C11030" w:rsidRDefault="00C11030" w:rsidP="00C619D3">
      <w:pPr>
        <w:rPr>
          <w:lang w:val="en-US"/>
        </w:rPr>
      </w:pPr>
    </w:p>
    <w:p w:rsidR="00F31924" w:rsidRPr="005C7948" w:rsidRDefault="00F31924" w:rsidP="00C619D3">
      <w:pPr>
        <w:rPr>
          <w:lang w:val="en-US"/>
        </w:rPr>
      </w:pPr>
    </w:p>
    <w:p w:rsidR="00686189" w:rsidRPr="00767DA3" w:rsidRDefault="00C66013" w:rsidP="00CE5D6F">
      <w:pPr>
        <w:spacing w:line="240" w:lineRule="auto"/>
        <w:rPr>
          <w:rFonts w:cs="Arial"/>
          <w:color w:val="000000"/>
          <w:lang w:val="en-GB" w:eastAsia="en-US"/>
        </w:rPr>
      </w:pPr>
      <w:r w:rsidRPr="00767DA3">
        <w:rPr>
          <w:rFonts w:cs="Arial"/>
          <w:color w:val="000000"/>
          <w:lang w:val="en-GB" w:eastAsia="en-US"/>
        </w:rPr>
        <w:t>We ask you to give our remarks du</w:t>
      </w:r>
      <w:r w:rsidR="00B960F5" w:rsidRPr="00767DA3">
        <w:rPr>
          <w:rFonts w:cs="Arial"/>
          <w:color w:val="000000"/>
          <w:lang w:val="en-GB" w:eastAsia="en-US"/>
        </w:rPr>
        <w:t>e consideration.</w:t>
      </w:r>
    </w:p>
    <w:p w:rsidR="00686189" w:rsidRPr="00767DA3" w:rsidRDefault="00686189" w:rsidP="00CE5D6F">
      <w:pPr>
        <w:spacing w:line="240" w:lineRule="auto"/>
        <w:rPr>
          <w:rFonts w:cs="Arial"/>
          <w:color w:val="000000"/>
          <w:lang w:val="en-GB" w:eastAsia="en-US"/>
        </w:rPr>
      </w:pPr>
    </w:p>
    <w:p w:rsidR="008E0154" w:rsidRPr="00767DA3" w:rsidRDefault="008E0154" w:rsidP="008E0154">
      <w:pPr>
        <w:spacing w:line="240" w:lineRule="auto"/>
        <w:rPr>
          <w:rFonts w:cs="Arial"/>
          <w:color w:val="000000"/>
          <w:lang w:val="en-GB" w:eastAsia="en-US"/>
        </w:rPr>
      </w:pPr>
      <w:r w:rsidRPr="00767DA3">
        <w:rPr>
          <w:rFonts w:cs="Arial"/>
          <w:color w:val="000000"/>
          <w:lang w:val="en-GB" w:eastAsia="en-US"/>
        </w:rPr>
        <w:t>Yours sincerely,</w:t>
      </w:r>
    </w:p>
    <w:p w:rsidR="008E0154" w:rsidRPr="00767DA3" w:rsidRDefault="008E0154" w:rsidP="008E0154">
      <w:pPr>
        <w:spacing w:line="240" w:lineRule="auto"/>
        <w:rPr>
          <w:rFonts w:cs="Arial"/>
          <w:color w:val="000000"/>
          <w:lang w:val="en-GB" w:eastAsia="en-US"/>
        </w:rPr>
      </w:pPr>
    </w:p>
    <w:p w:rsidR="008E0154" w:rsidRPr="00767DA3" w:rsidRDefault="008E0154" w:rsidP="008E0154">
      <w:pPr>
        <w:spacing w:line="240" w:lineRule="auto"/>
        <w:rPr>
          <w:rFonts w:cs="Arial"/>
          <w:color w:val="000000"/>
          <w:lang w:val="en-GB" w:eastAsia="en-US"/>
        </w:rPr>
      </w:pPr>
      <w:r w:rsidRPr="00767DA3">
        <w:rPr>
          <w:rFonts w:cs="Arial"/>
          <w:color w:val="000000"/>
          <w:lang w:val="en-GB" w:eastAsia="en-US"/>
        </w:rPr>
        <w:t>Dr. Franz Rudorfer</w:t>
      </w:r>
    </w:p>
    <w:p w:rsidR="008E0154" w:rsidRPr="00767DA3" w:rsidRDefault="008E0154" w:rsidP="008E0154">
      <w:pPr>
        <w:spacing w:line="240" w:lineRule="auto"/>
        <w:rPr>
          <w:rFonts w:cs="Arial"/>
          <w:color w:val="000000"/>
          <w:lang w:val="en-GB" w:eastAsia="en-US"/>
        </w:rPr>
      </w:pPr>
      <w:r w:rsidRPr="00767DA3">
        <w:rPr>
          <w:rFonts w:cs="Arial"/>
          <w:color w:val="000000"/>
          <w:lang w:val="en-GB" w:eastAsia="en-US"/>
        </w:rPr>
        <w:t>Managing Director</w:t>
      </w:r>
    </w:p>
    <w:p w:rsidR="00346DF4" w:rsidRPr="007C2846" w:rsidRDefault="008E0154" w:rsidP="00CE5D6F">
      <w:pPr>
        <w:spacing w:line="240" w:lineRule="auto"/>
        <w:rPr>
          <w:noProof/>
          <w:lang w:val="en-GB"/>
        </w:rPr>
      </w:pPr>
      <w:r w:rsidRPr="00767DA3">
        <w:rPr>
          <w:rFonts w:cs="Arial"/>
          <w:color w:val="000000"/>
          <w:lang w:val="en-GB" w:eastAsia="en-US"/>
        </w:rPr>
        <w:t>Division Bank and Insurance</w:t>
      </w:r>
      <w:bookmarkStart w:id="0" w:name="_GoBack"/>
      <w:bookmarkEnd w:id="0"/>
    </w:p>
    <w:sectPr w:rsidR="00346DF4" w:rsidRPr="007C284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A3" w:rsidRDefault="00B020A3">
      <w:r>
        <w:separator/>
      </w:r>
    </w:p>
  </w:endnote>
  <w:endnote w:type="continuationSeparator" w:id="0">
    <w:p w:rsidR="00B020A3" w:rsidRDefault="00B0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A3" w:rsidRDefault="00B020A3">
      <w:r>
        <w:separator/>
      </w:r>
    </w:p>
  </w:footnote>
  <w:footnote w:type="continuationSeparator" w:id="0">
    <w:p w:rsidR="00B020A3" w:rsidRDefault="00B02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F31924">
      <w:rPr>
        <w:rStyle w:val="Seitenzahl"/>
        <w:noProof/>
      </w:rPr>
      <w:t>7</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0753262A"/>
    <w:multiLevelType w:val="hybridMultilevel"/>
    <w:tmpl w:val="78A618FA"/>
    <w:lvl w:ilvl="0" w:tplc="1A323130">
      <w:start w:val="1"/>
      <w:numFmt w:val="lowerRoman"/>
      <w:lvlText w:val="(%1)"/>
      <w:lvlJc w:val="left"/>
      <w:pPr>
        <w:ind w:left="1080" w:hanging="720"/>
      </w:pPr>
      <w:rPr>
        <w:rFonts w:cs="Symbol" w:hint="default"/>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8">
    <w:nsid w:val="24080C1C"/>
    <w:multiLevelType w:val="hybridMultilevel"/>
    <w:tmpl w:val="29E495B8"/>
    <w:lvl w:ilvl="0" w:tplc="CAD83A2C">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0">
    <w:nsid w:val="29DA43B5"/>
    <w:multiLevelType w:val="hybridMultilevel"/>
    <w:tmpl w:val="296A22F0"/>
    <w:lvl w:ilvl="0" w:tplc="A7166D9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48C27902"/>
    <w:multiLevelType w:val="hybridMultilevel"/>
    <w:tmpl w:val="45F88D18"/>
    <w:lvl w:ilvl="0" w:tplc="0C070013">
      <w:start w:val="1"/>
      <w:numFmt w:val="upperRoman"/>
      <w:lvlText w:val="%1."/>
      <w:lvlJc w:val="right"/>
      <w:pPr>
        <w:ind w:left="502" w:hanging="360"/>
      </w:p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13">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431DFD"/>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20">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1">
    <w:nsid w:val="6E0052D8"/>
    <w:multiLevelType w:val="hybridMultilevel"/>
    <w:tmpl w:val="CAA82652"/>
    <w:lvl w:ilvl="0" w:tplc="38E4F724">
      <w:numFmt w:val="bullet"/>
      <w:lvlText w:val="-"/>
      <w:lvlJc w:val="left"/>
      <w:pPr>
        <w:ind w:left="720" w:hanging="360"/>
      </w:pPr>
      <w:rPr>
        <w:rFonts w:ascii="Arial" w:eastAsia="Times New Roman" w:hAnsi="Aria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2">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nsid w:val="72462943"/>
    <w:multiLevelType w:val="hybridMultilevel"/>
    <w:tmpl w:val="FF4CD16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72F86EC0"/>
    <w:multiLevelType w:val="hybridMultilevel"/>
    <w:tmpl w:val="FF8E89CE"/>
    <w:lvl w:ilvl="0" w:tplc="AE629106">
      <w:start w:val="1"/>
      <w:numFmt w:val="lowerRoman"/>
      <w:lvlText w:val="(%1)"/>
      <w:lvlJc w:val="left"/>
      <w:pPr>
        <w:ind w:left="1080" w:hanging="720"/>
      </w:pPr>
      <w:rPr>
        <w:rFonts w:cs="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1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0"/>
  </w:num>
  <w:num w:numId="5">
    <w:abstractNumId w:val="2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6"/>
  </w:num>
  <w:num w:numId="9">
    <w:abstractNumId w:val="5"/>
  </w:num>
  <w:num w:numId="10">
    <w:abstractNumId w:val="22"/>
  </w:num>
  <w:num w:numId="11">
    <w:abstractNumId w:val="16"/>
  </w:num>
  <w:num w:numId="12">
    <w:abstractNumId w:val="24"/>
  </w:num>
  <w:num w:numId="13">
    <w:abstractNumId w:val="4"/>
  </w:num>
  <w:num w:numId="14">
    <w:abstractNumId w:val="0"/>
  </w:num>
  <w:num w:numId="15">
    <w:abstractNumId w:val="18"/>
  </w:num>
  <w:num w:numId="16">
    <w:abstractNumId w:val="23"/>
  </w:num>
  <w:num w:numId="17">
    <w:abstractNumId w:val="3"/>
  </w:num>
  <w:num w:numId="18">
    <w:abstractNumId w:val="1"/>
  </w:num>
  <w:num w:numId="19">
    <w:abstractNumId w:val="9"/>
  </w:num>
  <w:num w:numId="20">
    <w:abstractNumId w:val="13"/>
  </w:num>
  <w:num w:numId="21">
    <w:abstractNumId w:val="12"/>
  </w:num>
  <w:num w:numId="22">
    <w:abstractNumId w:val="17"/>
  </w:num>
  <w:num w:numId="23">
    <w:abstractNumId w:val="21"/>
  </w:num>
  <w:num w:numId="24">
    <w:abstractNumId w:val="8"/>
  </w:num>
  <w:num w:numId="25">
    <w:abstractNumId w:val="10"/>
  </w:num>
  <w:num w:numId="26">
    <w:abstractNumId w:val="25"/>
  </w:num>
  <w:num w:numId="2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1DC9"/>
    <w:rsid w:val="00013086"/>
    <w:rsid w:val="000135FB"/>
    <w:rsid w:val="000163E0"/>
    <w:rsid w:val="00021DBA"/>
    <w:rsid w:val="00024D8C"/>
    <w:rsid w:val="00026657"/>
    <w:rsid w:val="00035D58"/>
    <w:rsid w:val="00037778"/>
    <w:rsid w:val="00044A71"/>
    <w:rsid w:val="00053316"/>
    <w:rsid w:val="00057439"/>
    <w:rsid w:val="00061814"/>
    <w:rsid w:val="000619FB"/>
    <w:rsid w:val="0006215B"/>
    <w:rsid w:val="00071436"/>
    <w:rsid w:val="00071BF7"/>
    <w:rsid w:val="00080E83"/>
    <w:rsid w:val="0008171B"/>
    <w:rsid w:val="0008527D"/>
    <w:rsid w:val="0008698A"/>
    <w:rsid w:val="00086BFB"/>
    <w:rsid w:val="000919C4"/>
    <w:rsid w:val="00094EB8"/>
    <w:rsid w:val="0009753B"/>
    <w:rsid w:val="000A0183"/>
    <w:rsid w:val="000A205C"/>
    <w:rsid w:val="000A4FC6"/>
    <w:rsid w:val="000A771B"/>
    <w:rsid w:val="000A7D13"/>
    <w:rsid w:val="000B2CE7"/>
    <w:rsid w:val="000B449E"/>
    <w:rsid w:val="000B4D96"/>
    <w:rsid w:val="000B572C"/>
    <w:rsid w:val="000D7538"/>
    <w:rsid w:val="000E0A0D"/>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6155"/>
    <w:rsid w:val="0014746B"/>
    <w:rsid w:val="00151673"/>
    <w:rsid w:val="00151A78"/>
    <w:rsid w:val="00155AEE"/>
    <w:rsid w:val="00161914"/>
    <w:rsid w:val="00163CC0"/>
    <w:rsid w:val="00163DDA"/>
    <w:rsid w:val="0017413A"/>
    <w:rsid w:val="00174D0C"/>
    <w:rsid w:val="00183969"/>
    <w:rsid w:val="00196D5C"/>
    <w:rsid w:val="00196EB4"/>
    <w:rsid w:val="001974F7"/>
    <w:rsid w:val="001B0788"/>
    <w:rsid w:val="001B4AB0"/>
    <w:rsid w:val="001C4931"/>
    <w:rsid w:val="001C49F8"/>
    <w:rsid w:val="001D40CC"/>
    <w:rsid w:val="001E0374"/>
    <w:rsid w:val="001F3545"/>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2428"/>
    <w:rsid w:val="002A3540"/>
    <w:rsid w:val="002B0634"/>
    <w:rsid w:val="002B08BD"/>
    <w:rsid w:val="002B3BF4"/>
    <w:rsid w:val="002B4B41"/>
    <w:rsid w:val="002D14BF"/>
    <w:rsid w:val="002D4A90"/>
    <w:rsid w:val="002D69C4"/>
    <w:rsid w:val="002E4BD0"/>
    <w:rsid w:val="002F1DC4"/>
    <w:rsid w:val="003104AE"/>
    <w:rsid w:val="00312578"/>
    <w:rsid w:val="00316718"/>
    <w:rsid w:val="0031680D"/>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78"/>
    <w:rsid w:val="003D07A4"/>
    <w:rsid w:val="003E09A5"/>
    <w:rsid w:val="003E6845"/>
    <w:rsid w:val="003E6FC7"/>
    <w:rsid w:val="003F44A2"/>
    <w:rsid w:val="003F5EEF"/>
    <w:rsid w:val="003F6706"/>
    <w:rsid w:val="00404863"/>
    <w:rsid w:val="004235FB"/>
    <w:rsid w:val="00425684"/>
    <w:rsid w:val="00430245"/>
    <w:rsid w:val="004302FD"/>
    <w:rsid w:val="004339AE"/>
    <w:rsid w:val="004400CB"/>
    <w:rsid w:val="00445FAF"/>
    <w:rsid w:val="0044708F"/>
    <w:rsid w:val="00450B6F"/>
    <w:rsid w:val="00452A16"/>
    <w:rsid w:val="0045567D"/>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0040"/>
    <w:rsid w:val="004E2249"/>
    <w:rsid w:val="004E2A45"/>
    <w:rsid w:val="004E51E5"/>
    <w:rsid w:val="004F1B60"/>
    <w:rsid w:val="004F53C0"/>
    <w:rsid w:val="004F6198"/>
    <w:rsid w:val="00505343"/>
    <w:rsid w:val="0051495A"/>
    <w:rsid w:val="00517690"/>
    <w:rsid w:val="00521B7F"/>
    <w:rsid w:val="00535CF4"/>
    <w:rsid w:val="0053760D"/>
    <w:rsid w:val="00550380"/>
    <w:rsid w:val="005548F9"/>
    <w:rsid w:val="00556359"/>
    <w:rsid w:val="00560A66"/>
    <w:rsid w:val="00562C44"/>
    <w:rsid w:val="00576F32"/>
    <w:rsid w:val="005808AD"/>
    <w:rsid w:val="00590AAE"/>
    <w:rsid w:val="00596B5B"/>
    <w:rsid w:val="005A2D33"/>
    <w:rsid w:val="005B1218"/>
    <w:rsid w:val="005B2525"/>
    <w:rsid w:val="005B3FB7"/>
    <w:rsid w:val="005C04FF"/>
    <w:rsid w:val="005C218C"/>
    <w:rsid w:val="005C7948"/>
    <w:rsid w:val="005D0470"/>
    <w:rsid w:val="005D08DC"/>
    <w:rsid w:val="005D0B33"/>
    <w:rsid w:val="005D1620"/>
    <w:rsid w:val="005D4F47"/>
    <w:rsid w:val="005E1BA5"/>
    <w:rsid w:val="005E7180"/>
    <w:rsid w:val="005F5B48"/>
    <w:rsid w:val="005F632A"/>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5177"/>
    <w:rsid w:val="006C33D2"/>
    <w:rsid w:val="006D6427"/>
    <w:rsid w:val="006E0163"/>
    <w:rsid w:val="006E5185"/>
    <w:rsid w:val="0070253E"/>
    <w:rsid w:val="007053E7"/>
    <w:rsid w:val="007114EC"/>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6B3B"/>
    <w:rsid w:val="007F5F54"/>
    <w:rsid w:val="00801234"/>
    <w:rsid w:val="0080414A"/>
    <w:rsid w:val="0081169B"/>
    <w:rsid w:val="00811CE5"/>
    <w:rsid w:val="00812F74"/>
    <w:rsid w:val="00815C5E"/>
    <w:rsid w:val="00816598"/>
    <w:rsid w:val="00823E75"/>
    <w:rsid w:val="008255E7"/>
    <w:rsid w:val="008351DF"/>
    <w:rsid w:val="008406BB"/>
    <w:rsid w:val="0084684D"/>
    <w:rsid w:val="00847491"/>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D77D7"/>
    <w:rsid w:val="008E0154"/>
    <w:rsid w:val="008E02AC"/>
    <w:rsid w:val="008F1DD3"/>
    <w:rsid w:val="008F3076"/>
    <w:rsid w:val="008F3EA3"/>
    <w:rsid w:val="0091585E"/>
    <w:rsid w:val="009303DC"/>
    <w:rsid w:val="00935B03"/>
    <w:rsid w:val="00935BB6"/>
    <w:rsid w:val="0093708A"/>
    <w:rsid w:val="00942F6C"/>
    <w:rsid w:val="0094333B"/>
    <w:rsid w:val="0094444B"/>
    <w:rsid w:val="0094518B"/>
    <w:rsid w:val="009458C0"/>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3989"/>
    <w:rsid w:val="00A44D5F"/>
    <w:rsid w:val="00A500F1"/>
    <w:rsid w:val="00A5381E"/>
    <w:rsid w:val="00A54C2F"/>
    <w:rsid w:val="00A55757"/>
    <w:rsid w:val="00A64C34"/>
    <w:rsid w:val="00A705F5"/>
    <w:rsid w:val="00A707A7"/>
    <w:rsid w:val="00A70C7D"/>
    <w:rsid w:val="00A81341"/>
    <w:rsid w:val="00A82C13"/>
    <w:rsid w:val="00A8532A"/>
    <w:rsid w:val="00A955F6"/>
    <w:rsid w:val="00A97AE7"/>
    <w:rsid w:val="00AA0432"/>
    <w:rsid w:val="00AB5857"/>
    <w:rsid w:val="00AB59B3"/>
    <w:rsid w:val="00AD053F"/>
    <w:rsid w:val="00AD2009"/>
    <w:rsid w:val="00AE02B3"/>
    <w:rsid w:val="00AE457B"/>
    <w:rsid w:val="00AE6511"/>
    <w:rsid w:val="00B020A3"/>
    <w:rsid w:val="00B10218"/>
    <w:rsid w:val="00B1272A"/>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709EC"/>
    <w:rsid w:val="00B85379"/>
    <w:rsid w:val="00B8623F"/>
    <w:rsid w:val="00B93882"/>
    <w:rsid w:val="00B960F5"/>
    <w:rsid w:val="00BA5BEC"/>
    <w:rsid w:val="00BA5E95"/>
    <w:rsid w:val="00BA6878"/>
    <w:rsid w:val="00BA7A5E"/>
    <w:rsid w:val="00BB344D"/>
    <w:rsid w:val="00BC6569"/>
    <w:rsid w:val="00BD2D5E"/>
    <w:rsid w:val="00BD3A1D"/>
    <w:rsid w:val="00BD7362"/>
    <w:rsid w:val="00BE7A33"/>
    <w:rsid w:val="00BF1820"/>
    <w:rsid w:val="00BF2A57"/>
    <w:rsid w:val="00BF3BB7"/>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2F5"/>
    <w:rsid w:val="00CF63BD"/>
    <w:rsid w:val="00D10757"/>
    <w:rsid w:val="00D1088D"/>
    <w:rsid w:val="00D161B5"/>
    <w:rsid w:val="00D20260"/>
    <w:rsid w:val="00D35759"/>
    <w:rsid w:val="00D364F4"/>
    <w:rsid w:val="00D371BE"/>
    <w:rsid w:val="00D37B81"/>
    <w:rsid w:val="00D40D24"/>
    <w:rsid w:val="00D42F9C"/>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505CF"/>
    <w:rsid w:val="00E51B60"/>
    <w:rsid w:val="00E52ECE"/>
    <w:rsid w:val="00E72490"/>
    <w:rsid w:val="00E754C8"/>
    <w:rsid w:val="00E8006A"/>
    <w:rsid w:val="00E81371"/>
    <w:rsid w:val="00E82191"/>
    <w:rsid w:val="00E87DCD"/>
    <w:rsid w:val="00E95C5D"/>
    <w:rsid w:val="00EA1FF4"/>
    <w:rsid w:val="00EB13E2"/>
    <w:rsid w:val="00EB2182"/>
    <w:rsid w:val="00EB2B6D"/>
    <w:rsid w:val="00EB3B01"/>
    <w:rsid w:val="00EC6597"/>
    <w:rsid w:val="00ED0561"/>
    <w:rsid w:val="00ED16BB"/>
    <w:rsid w:val="00ED171E"/>
    <w:rsid w:val="00ED2466"/>
    <w:rsid w:val="00EE33EF"/>
    <w:rsid w:val="00F039F2"/>
    <w:rsid w:val="00F06018"/>
    <w:rsid w:val="00F17DA3"/>
    <w:rsid w:val="00F17F3D"/>
    <w:rsid w:val="00F21921"/>
    <w:rsid w:val="00F253EA"/>
    <w:rsid w:val="00F26986"/>
    <w:rsid w:val="00F31924"/>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97B7D"/>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35324182">
      <w:bodyDiv w:val="1"/>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5934701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0362924">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5228914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59266669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21232768">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63218859">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761947526">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070110119">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 w:id="21408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3DAC-CB14-4B73-BB59-FA90F621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5186</Words>
  <Characters>28140</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33260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Egger Bernhard, Dr, WKÖ BSBV</cp:lastModifiedBy>
  <cp:revision>7</cp:revision>
  <cp:lastPrinted>2016-10-25T07:22:00Z</cp:lastPrinted>
  <dcterms:created xsi:type="dcterms:W3CDTF">2016-10-24T14:10:00Z</dcterms:created>
  <dcterms:modified xsi:type="dcterms:W3CDTF">2016-10-25T16:22:00Z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