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5A7" w:rsidRPr="0050316F" w:rsidRDefault="00B105A7" w:rsidP="00A422C0">
      <w:pPr>
        <w:ind w:left="4820"/>
        <w:rPr>
          <w:rFonts w:cs="Arial"/>
          <w:noProof/>
          <w:color w:val="000000" w:themeColor="text1"/>
          <w:sz w:val="22"/>
          <w:szCs w:val="22"/>
          <w:lang w:val="en-US"/>
        </w:rPr>
      </w:pPr>
    </w:p>
    <w:p w:rsidR="00B105A7" w:rsidRPr="0050316F" w:rsidRDefault="00B105A7" w:rsidP="00A966C3">
      <w:pPr>
        <w:ind w:left="4820"/>
        <w:jc w:val="both"/>
        <w:rPr>
          <w:rFonts w:cs="Arial"/>
          <w:noProof/>
          <w:color w:val="000000" w:themeColor="text1"/>
          <w:sz w:val="22"/>
          <w:szCs w:val="22"/>
          <w:lang w:val="en-US"/>
        </w:rPr>
      </w:pPr>
    </w:p>
    <w:p w:rsidR="003542F7" w:rsidRPr="00185DC2" w:rsidRDefault="003542F7" w:rsidP="00A966C3">
      <w:pPr>
        <w:jc w:val="both"/>
        <w:rPr>
          <w:rFonts w:cs="Arial"/>
          <w:b/>
          <w:color w:val="000000" w:themeColor="text1"/>
          <w:sz w:val="22"/>
          <w:szCs w:val="22"/>
          <w:u w:val="single"/>
          <w:lang w:val="en-US"/>
        </w:rPr>
      </w:pPr>
      <w:r w:rsidRPr="00185DC2">
        <w:rPr>
          <w:rFonts w:cs="Arial"/>
          <w:b/>
          <w:color w:val="000000" w:themeColor="text1"/>
          <w:sz w:val="22"/>
          <w:szCs w:val="22"/>
          <w:u w:val="single"/>
          <w:lang w:val="en-US"/>
        </w:rPr>
        <w:t>General comments</w:t>
      </w:r>
    </w:p>
    <w:p w:rsidR="003542F7" w:rsidRPr="00185DC2" w:rsidRDefault="003542F7" w:rsidP="00A966C3">
      <w:pPr>
        <w:pStyle w:val="Default"/>
        <w:spacing w:line="276" w:lineRule="auto"/>
        <w:jc w:val="both"/>
        <w:rPr>
          <w:rFonts w:ascii="Arial" w:hAnsi="Arial" w:cs="Arial"/>
          <w:sz w:val="22"/>
          <w:szCs w:val="22"/>
        </w:rPr>
      </w:pPr>
    </w:p>
    <w:p w:rsidR="006F2F8E" w:rsidRPr="00185DC2" w:rsidRDefault="000E5653" w:rsidP="00495704">
      <w:pPr>
        <w:spacing w:line="264" w:lineRule="auto"/>
        <w:jc w:val="both"/>
        <w:rPr>
          <w:rFonts w:cs="Arial"/>
          <w:sz w:val="22"/>
          <w:szCs w:val="22"/>
          <w:lang w:val="en-US"/>
        </w:rPr>
      </w:pPr>
      <w:r w:rsidRPr="00185DC2">
        <w:rPr>
          <w:rFonts w:cs="Arial"/>
          <w:sz w:val="22"/>
          <w:szCs w:val="22"/>
          <w:lang w:val="en-US"/>
        </w:rPr>
        <w:t xml:space="preserve">The Association </w:t>
      </w:r>
      <w:proofErr w:type="spellStart"/>
      <w:r w:rsidRPr="00185DC2">
        <w:rPr>
          <w:rFonts w:cs="Arial"/>
          <w:sz w:val="22"/>
          <w:szCs w:val="22"/>
          <w:lang w:val="en-US"/>
        </w:rPr>
        <w:t>Française</w:t>
      </w:r>
      <w:proofErr w:type="spellEnd"/>
      <w:r w:rsidRPr="00185DC2">
        <w:rPr>
          <w:rFonts w:cs="Arial"/>
          <w:sz w:val="22"/>
          <w:szCs w:val="22"/>
          <w:lang w:val="en-US"/>
        </w:rPr>
        <w:t xml:space="preserve"> de la </w:t>
      </w:r>
      <w:proofErr w:type="spellStart"/>
      <w:r w:rsidRPr="00185DC2">
        <w:rPr>
          <w:rFonts w:cs="Arial"/>
          <w:sz w:val="22"/>
          <w:szCs w:val="22"/>
          <w:lang w:val="en-US"/>
        </w:rPr>
        <w:t>Gestion</w:t>
      </w:r>
      <w:proofErr w:type="spellEnd"/>
      <w:r w:rsidRPr="00185DC2">
        <w:rPr>
          <w:rFonts w:cs="Arial"/>
          <w:sz w:val="22"/>
          <w:szCs w:val="22"/>
          <w:lang w:val="en-US"/>
        </w:rPr>
        <w:t xml:space="preserve"> </w:t>
      </w:r>
      <w:proofErr w:type="spellStart"/>
      <w:r w:rsidRPr="00185DC2">
        <w:rPr>
          <w:rFonts w:cs="Arial"/>
          <w:sz w:val="22"/>
          <w:szCs w:val="22"/>
          <w:lang w:val="en-US"/>
        </w:rPr>
        <w:t>financière</w:t>
      </w:r>
      <w:proofErr w:type="spellEnd"/>
      <w:r w:rsidRPr="00185DC2">
        <w:rPr>
          <w:rFonts w:cs="Arial"/>
          <w:sz w:val="22"/>
          <w:szCs w:val="22"/>
          <w:lang w:val="en-US"/>
        </w:rPr>
        <w:t xml:space="preserve"> (AFG) </w:t>
      </w:r>
      <w:r w:rsidRPr="00185DC2">
        <w:rPr>
          <w:rFonts w:cs="Arial"/>
          <w:sz w:val="22"/>
          <w:szCs w:val="22"/>
          <w:lang w:val="en-US"/>
        </w:rPr>
        <w:footnoteReference w:id="1"/>
      </w:r>
      <w:r w:rsidRPr="00185DC2">
        <w:rPr>
          <w:rFonts w:cs="Arial"/>
          <w:sz w:val="22"/>
          <w:szCs w:val="22"/>
          <w:lang w:val="en-US"/>
        </w:rPr>
        <w:t xml:space="preserve"> is grateful to have the opportunity to respond to the ESMA and EBA</w:t>
      </w:r>
      <w:r w:rsidR="008B27A8" w:rsidRPr="00185DC2">
        <w:rPr>
          <w:rFonts w:cs="Arial"/>
          <w:sz w:val="22"/>
          <w:szCs w:val="22"/>
          <w:lang w:val="en-US"/>
        </w:rPr>
        <w:t>’s</w:t>
      </w:r>
      <w:r w:rsidRPr="00185DC2">
        <w:rPr>
          <w:rFonts w:cs="Arial"/>
          <w:sz w:val="22"/>
          <w:szCs w:val="22"/>
          <w:lang w:val="en-US"/>
        </w:rPr>
        <w:t xml:space="preserve"> consultation </w:t>
      </w:r>
      <w:r w:rsidR="008B27A8" w:rsidRPr="00185DC2">
        <w:rPr>
          <w:rFonts w:cs="Arial"/>
          <w:sz w:val="22"/>
          <w:szCs w:val="22"/>
          <w:lang w:val="en-US"/>
        </w:rPr>
        <w:t>on the assessment of the suitability of members of the management body and key function holders under CRD 4 and MIFID 2 directives</w:t>
      </w:r>
      <w:r w:rsidRPr="00185DC2">
        <w:rPr>
          <w:rFonts w:cs="Arial"/>
          <w:sz w:val="22"/>
          <w:szCs w:val="22"/>
          <w:lang w:val="en-US"/>
        </w:rPr>
        <w:t xml:space="preserve">. AFG fully supports the authorities’ objective to seek feedback from the stakeholders on this matter, which is of utmost importance. </w:t>
      </w:r>
    </w:p>
    <w:p w:rsidR="006F2F8E" w:rsidRPr="00185DC2" w:rsidRDefault="006F2F8E" w:rsidP="00495704">
      <w:pPr>
        <w:spacing w:line="264" w:lineRule="auto"/>
        <w:jc w:val="both"/>
        <w:rPr>
          <w:rFonts w:cs="Arial"/>
          <w:sz w:val="22"/>
          <w:szCs w:val="22"/>
          <w:lang w:val="en-US"/>
        </w:rPr>
      </w:pPr>
    </w:p>
    <w:p w:rsidR="00981447" w:rsidRDefault="001826D7" w:rsidP="00495704">
      <w:pPr>
        <w:spacing w:line="264" w:lineRule="auto"/>
        <w:jc w:val="both"/>
        <w:rPr>
          <w:rFonts w:cs="Arial"/>
          <w:sz w:val="22"/>
          <w:szCs w:val="22"/>
          <w:lang w:val="en-US"/>
        </w:rPr>
      </w:pPr>
      <w:r w:rsidRPr="00185DC2">
        <w:rPr>
          <w:rFonts w:cs="Arial"/>
          <w:sz w:val="22"/>
          <w:szCs w:val="22"/>
          <w:lang w:val="en-US"/>
        </w:rPr>
        <w:t xml:space="preserve">As a preliminary comment </w:t>
      </w:r>
      <w:r w:rsidR="00981447" w:rsidRPr="00185DC2">
        <w:rPr>
          <w:rFonts w:cs="Arial"/>
          <w:sz w:val="22"/>
          <w:szCs w:val="22"/>
          <w:lang w:val="en-US"/>
        </w:rPr>
        <w:t xml:space="preserve">it seems to us that soft law is the most suited solution concerning </w:t>
      </w:r>
      <w:r w:rsidR="00184F8E" w:rsidRPr="00185DC2">
        <w:rPr>
          <w:rFonts w:cs="Arial"/>
          <w:sz w:val="22"/>
          <w:szCs w:val="22"/>
          <w:lang w:val="en-US"/>
        </w:rPr>
        <w:t xml:space="preserve">the topic of </w:t>
      </w:r>
      <w:r w:rsidR="00981447" w:rsidRPr="00185DC2">
        <w:rPr>
          <w:rFonts w:cs="Arial"/>
          <w:sz w:val="22"/>
          <w:szCs w:val="22"/>
          <w:lang w:val="en-US"/>
        </w:rPr>
        <w:t>governance, particularly as regards to asset management companies. It is essential to allow a flexibility to offer the most appropriate framework to all structures.</w:t>
      </w:r>
    </w:p>
    <w:p w:rsidR="00C974AF" w:rsidRPr="009913BB" w:rsidRDefault="00C974AF" w:rsidP="00C974AF">
      <w:pPr>
        <w:spacing w:line="264" w:lineRule="auto"/>
        <w:jc w:val="both"/>
        <w:rPr>
          <w:rFonts w:cs="Arial"/>
          <w:sz w:val="22"/>
          <w:szCs w:val="22"/>
          <w:lang w:val="en-US"/>
        </w:rPr>
      </w:pPr>
      <w:r w:rsidRPr="009913BB">
        <w:rPr>
          <w:rFonts w:cs="Arial"/>
          <w:sz w:val="22"/>
          <w:szCs w:val="22"/>
          <w:lang w:val="en-US"/>
        </w:rPr>
        <w:t>It is essential for the management body to have a maximum of efficiency, which requires among other things, that the composition of the body be proportionate to the size of the entity.</w:t>
      </w:r>
    </w:p>
    <w:p w:rsidR="00C974AF" w:rsidRPr="00185DC2" w:rsidRDefault="00C974AF" w:rsidP="00495704">
      <w:pPr>
        <w:spacing w:line="264" w:lineRule="auto"/>
        <w:jc w:val="both"/>
        <w:rPr>
          <w:rFonts w:cs="Arial"/>
          <w:sz w:val="22"/>
          <w:szCs w:val="22"/>
          <w:lang w:val="en-US"/>
        </w:rPr>
      </w:pPr>
    </w:p>
    <w:p w:rsidR="00184F8E" w:rsidRPr="00185DC2" w:rsidRDefault="00444ED6" w:rsidP="00A966C3">
      <w:pPr>
        <w:pStyle w:val="Default"/>
        <w:spacing w:line="276" w:lineRule="auto"/>
        <w:jc w:val="both"/>
        <w:rPr>
          <w:rFonts w:ascii="Arial" w:hAnsi="Arial" w:cs="Arial"/>
          <w:color w:val="auto"/>
          <w:sz w:val="22"/>
          <w:szCs w:val="22"/>
        </w:rPr>
      </w:pPr>
      <w:r w:rsidRPr="00185DC2">
        <w:rPr>
          <w:rFonts w:ascii="Arial" w:hAnsi="Arial" w:cs="Arial"/>
          <w:color w:val="auto"/>
          <w:sz w:val="22"/>
          <w:szCs w:val="22"/>
        </w:rPr>
        <w:t xml:space="preserve">French asset managers are aware </w:t>
      </w:r>
      <w:r w:rsidR="00184F8E" w:rsidRPr="00185DC2">
        <w:rPr>
          <w:rFonts w:ascii="Arial" w:hAnsi="Arial" w:cs="Arial"/>
          <w:color w:val="auto"/>
          <w:sz w:val="22"/>
          <w:szCs w:val="22"/>
        </w:rPr>
        <w:t xml:space="preserve">that the </w:t>
      </w:r>
      <w:r w:rsidR="00C974AF">
        <w:rPr>
          <w:rFonts w:ascii="Arial" w:hAnsi="Arial" w:cs="Arial"/>
          <w:color w:val="auto"/>
          <w:sz w:val="22"/>
          <w:szCs w:val="22"/>
        </w:rPr>
        <w:t>key</w:t>
      </w:r>
      <w:r w:rsidR="00C974AF" w:rsidRPr="00185DC2">
        <w:rPr>
          <w:rFonts w:ascii="Arial" w:hAnsi="Arial" w:cs="Arial"/>
          <w:color w:val="auto"/>
          <w:sz w:val="22"/>
          <w:szCs w:val="22"/>
        </w:rPr>
        <w:t xml:space="preserve"> </w:t>
      </w:r>
      <w:r w:rsidR="00184F8E" w:rsidRPr="00185DC2">
        <w:rPr>
          <w:rFonts w:ascii="Arial" w:hAnsi="Arial" w:cs="Arial"/>
          <w:color w:val="auto"/>
          <w:sz w:val="22"/>
          <w:szCs w:val="22"/>
        </w:rPr>
        <w:t>point is to ensure that investor protection, market integrity and financial stability are fully endorsed as key requirements by the firm and that the Board has to give the pace and show its total dedication to those objectives. Both collectively and individually</w:t>
      </w:r>
      <w:r w:rsidR="00BF5235">
        <w:rPr>
          <w:rFonts w:ascii="Arial" w:hAnsi="Arial" w:cs="Arial"/>
          <w:color w:val="auto"/>
          <w:sz w:val="22"/>
          <w:szCs w:val="22"/>
        </w:rPr>
        <w:t>,</w:t>
      </w:r>
      <w:r w:rsidR="00184F8E" w:rsidRPr="00185DC2">
        <w:rPr>
          <w:rFonts w:ascii="Arial" w:hAnsi="Arial" w:cs="Arial"/>
          <w:color w:val="auto"/>
          <w:sz w:val="22"/>
          <w:szCs w:val="22"/>
        </w:rPr>
        <w:t xml:space="preserve"> members of the Board have to take the necessary steps to ensure efficiency and effective control of the management.</w:t>
      </w:r>
    </w:p>
    <w:p w:rsidR="005D25AD" w:rsidRPr="00185DC2" w:rsidRDefault="005D25AD" w:rsidP="00A966C3">
      <w:pPr>
        <w:pStyle w:val="Default"/>
        <w:spacing w:line="276" w:lineRule="auto"/>
        <w:jc w:val="both"/>
        <w:rPr>
          <w:rFonts w:ascii="Arial" w:hAnsi="Arial" w:cs="Arial"/>
          <w:color w:val="auto"/>
          <w:sz w:val="22"/>
          <w:szCs w:val="22"/>
        </w:rPr>
      </w:pPr>
    </w:p>
    <w:p w:rsidR="008C77F7" w:rsidRDefault="003E6969" w:rsidP="00932AB4">
      <w:pPr>
        <w:pStyle w:val="Default"/>
        <w:spacing w:line="276" w:lineRule="auto"/>
        <w:jc w:val="both"/>
        <w:rPr>
          <w:rFonts w:ascii="Arial" w:hAnsi="Arial" w:cs="Arial"/>
          <w:color w:val="auto"/>
          <w:sz w:val="22"/>
          <w:szCs w:val="22"/>
        </w:rPr>
      </w:pPr>
      <w:r>
        <w:rPr>
          <w:rFonts w:ascii="Arial" w:hAnsi="Arial" w:cs="Arial"/>
          <w:color w:val="auto"/>
          <w:sz w:val="22"/>
          <w:szCs w:val="22"/>
        </w:rPr>
        <w:t>Particular a</w:t>
      </w:r>
      <w:r w:rsidR="00820681" w:rsidRPr="00185DC2">
        <w:rPr>
          <w:rFonts w:ascii="Arial" w:hAnsi="Arial" w:cs="Arial"/>
          <w:color w:val="auto"/>
          <w:sz w:val="22"/>
          <w:szCs w:val="22"/>
        </w:rPr>
        <w:t>ttention</w:t>
      </w:r>
      <w:r w:rsidR="005D25AD" w:rsidRPr="00185DC2">
        <w:rPr>
          <w:rFonts w:ascii="Arial" w:hAnsi="Arial" w:cs="Arial"/>
          <w:color w:val="auto"/>
          <w:sz w:val="22"/>
          <w:szCs w:val="22"/>
        </w:rPr>
        <w:t xml:space="preserve"> </w:t>
      </w:r>
      <w:r w:rsidR="00820681" w:rsidRPr="00185DC2">
        <w:rPr>
          <w:rFonts w:ascii="Arial" w:hAnsi="Arial" w:cs="Arial"/>
          <w:color w:val="auto"/>
          <w:sz w:val="22"/>
          <w:szCs w:val="22"/>
        </w:rPr>
        <w:t xml:space="preserve">should be paid </w:t>
      </w:r>
      <w:r w:rsidR="005D25AD" w:rsidRPr="00185DC2">
        <w:rPr>
          <w:rFonts w:ascii="Arial" w:hAnsi="Arial" w:cs="Arial"/>
          <w:color w:val="auto"/>
          <w:sz w:val="22"/>
          <w:szCs w:val="22"/>
        </w:rPr>
        <w:t xml:space="preserve">to </w:t>
      </w:r>
      <w:r w:rsidR="00820681" w:rsidRPr="00185DC2">
        <w:rPr>
          <w:rFonts w:ascii="Arial" w:hAnsi="Arial" w:cs="Arial"/>
          <w:color w:val="auto"/>
          <w:sz w:val="22"/>
          <w:szCs w:val="22"/>
        </w:rPr>
        <w:t>maintain</w:t>
      </w:r>
      <w:r w:rsidR="008C77F7">
        <w:rPr>
          <w:rFonts w:ascii="Arial" w:hAnsi="Arial" w:cs="Arial"/>
          <w:color w:val="auto"/>
          <w:sz w:val="22"/>
          <w:szCs w:val="22"/>
        </w:rPr>
        <w:t>ing</w:t>
      </w:r>
      <w:r w:rsidR="00820681" w:rsidRPr="00185DC2">
        <w:rPr>
          <w:rFonts w:ascii="Arial" w:hAnsi="Arial" w:cs="Arial"/>
          <w:color w:val="auto"/>
          <w:sz w:val="22"/>
          <w:szCs w:val="22"/>
        </w:rPr>
        <w:t xml:space="preserve"> </w:t>
      </w:r>
      <w:r w:rsidR="005D25AD" w:rsidRPr="00185DC2">
        <w:rPr>
          <w:rFonts w:ascii="Arial" w:hAnsi="Arial" w:cs="Arial"/>
          <w:color w:val="auto"/>
          <w:sz w:val="22"/>
          <w:szCs w:val="22"/>
        </w:rPr>
        <w:t xml:space="preserve">the competitiveness of European </w:t>
      </w:r>
      <w:r w:rsidR="008C77F7">
        <w:rPr>
          <w:rFonts w:ascii="Arial" w:hAnsi="Arial" w:cs="Arial"/>
          <w:color w:val="auto"/>
          <w:sz w:val="22"/>
          <w:szCs w:val="22"/>
        </w:rPr>
        <w:t>asset management players</w:t>
      </w:r>
      <w:r w:rsidR="008C77F7" w:rsidRPr="00185DC2">
        <w:rPr>
          <w:rFonts w:ascii="Arial" w:hAnsi="Arial" w:cs="Arial"/>
          <w:color w:val="auto"/>
          <w:sz w:val="22"/>
          <w:szCs w:val="22"/>
        </w:rPr>
        <w:t xml:space="preserve"> </w:t>
      </w:r>
      <w:r w:rsidR="00DA5BDA" w:rsidRPr="00185DC2">
        <w:rPr>
          <w:rFonts w:ascii="Arial" w:hAnsi="Arial" w:cs="Arial"/>
          <w:color w:val="auto"/>
          <w:sz w:val="22"/>
          <w:szCs w:val="22"/>
        </w:rPr>
        <w:t>which involves</w:t>
      </w:r>
      <w:r w:rsidR="008C77F7">
        <w:rPr>
          <w:rFonts w:ascii="Arial" w:hAnsi="Arial" w:cs="Arial"/>
          <w:color w:val="auto"/>
          <w:sz w:val="22"/>
          <w:szCs w:val="22"/>
        </w:rPr>
        <w:t>:</w:t>
      </w:r>
      <w:r w:rsidR="00DA5BDA" w:rsidRPr="00185DC2">
        <w:rPr>
          <w:rFonts w:ascii="Arial" w:hAnsi="Arial" w:cs="Arial"/>
          <w:color w:val="auto"/>
          <w:sz w:val="22"/>
          <w:szCs w:val="22"/>
        </w:rPr>
        <w:t xml:space="preserve"> </w:t>
      </w:r>
    </w:p>
    <w:p w:rsidR="008C77F7" w:rsidRDefault="00932AB4" w:rsidP="008C77F7">
      <w:pPr>
        <w:pStyle w:val="Default"/>
        <w:numPr>
          <w:ilvl w:val="0"/>
          <w:numId w:val="8"/>
        </w:numPr>
        <w:spacing w:line="276" w:lineRule="auto"/>
        <w:jc w:val="both"/>
        <w:rPr>
          <w:rFonts w:ascii="Arial" w:hAnsi="Arial" w:cs="Arial"/>
          <w:color w:val="auto"/>
          <w:sz w:val="22"/>
          <w:szCs w:val="22"/>
        </w:rPr>
      </w:pPr>
      <w:r w:rsidRPr="00185DC2">
        <w:rPr>
          <w:rFonts w:ascii="Arial" w:hAnsi="Arial" w:cs="Arial"/>
          <w:color w:val="auto"/>
          <w:sz w:val="22"/>
          <w:szCs w:val="22"/>
        </w:rPr>
        <w:t>avoiding</w:t>
      </w:r>
      <w:r w:rsidR="00DA5BDA" w:rsidRPr="00185DC2">
        <w:rPr>
          <w:rFonts w:ascii="Arial" w:hAnsi="Arial" w:cs="Arial"/>
          <w:color w:val="auto"/>
          <w:sz w:val="22"/>
          <w:szCs w:val="22"/>
        </w:rPr>
        <w:t xml:space="preserve"> an unfair </w:t>
      </w:r>
      <w:r w:rsidR="008C77F7">
        <w:rPr>
          <w:rFonts w:ascii="Arial" w:hAnsi="Arial" w:cs="Arial"/>
          <w:color w:val="auto"/>
          <w:sz w:val="22"/>
          <w:szCs w:val="22"/>
        </w:rPr>
        <w:t xml:space="preserve">and inadequate </w:t>
      </w:r>
      <w:r w:rsidR="00DA5BDA" w:rsidRPr="00185DC2">
        <w:rPr>
          <w:rFonts w:ascii="Arial" w:hAnsi="Arial" w:cs="Arial"/>
          <w:color w:val="auto"/>
          <w:sz w:val="22"/>
          <w:szCs w:val="22"/>
        </w:rPr>
        <w:t xml:space="preserve">extension of banking concepts to subsidiaries not exercising banking activity, </w:t>
      </w:r>
      <w:r w:rsidR="005627D1">
        <w:rPr>
          <w:rFonts w:ascii="Arial" w:hAnsi="Arial" w:cs="Arial"/>
          <w:color w:val="auto"/>
          <w:sz w:val="22"/>
          <w:szCs w:val="22"/>
        </w:rPr>
        <w:t>and</w:t>
      </w:r>
    </w:p>
    <w:p w:rsidR="00B105A7" w:rsidRPr="00185DC2" w:rsidRDefault="005627D1" w:rsidP="008C77F7">
      <w:pPr>
        <w:pStyle w:val="Default"/>
        <w:numPr>
          <w:ilvl w:val="0"/>
          <w:numId w:val="8"/>
        </w:numPr>
        <w:spacing w:line="276" w:lineRule="auto"/>
        <w:jc w:val="both"/>
        <w:rPr>
          <w:rFonts w:ascii="Arial" w:hAnsi="Arial" w:cs="Arial"/>
          <w:color w:val="auto"/>
          <w:sz w:val="22"/>
          <w:szCs w:val="22"/>
        </w:rPr>
      </w:pPr>
      <w:proofErr w:type="gramStart"/>
      <w:r>
        <w:rPr>
          <w:rFonts w:ascii="Arial" w:hAnsi="Arial" w:cs="Arial"/>
          <w:color w:val="auto"/>
          <w:sz w:val="22"/>
          <w:szCs w:val="22"/>
        </w:rPr>
        <w:t>aim</w:t>
      </w:r>
      <w:r w:rsidR="008C77F7">
        <w:rPr>
          <w:rFonts w:ascii="Arial" w:hAnsi="Arial" w:cs="Arial"/>
          <w:color w:val="auto"/>
          <w:sz w:val="22"/>
          <w:szCs w:val="22"/>
        </w:rPr>
        <w:t>ing</w:t>
      </w:r>
      <w:proofErr w:type="gramEnd"/>
      <w:r>
        <w:rPr>
          <w:rFonts w:ascii="Arial" w:hAnsi="Arial" w:cs="Arial"/>
          <w:color w:val="auto"/>
          <w:sz w:val="22"/>
          <w:szCs w:val="22"/>
        </w:rPr>
        <w:t xml:space="preserve"> to </w:t>
      </w:r>
      <w:r w:rsidR="00DA5BDA" w:rsidRPr="00185DC2">
        <w:rPr>
          <w:rFonts w:ascii="Arial" w:hAnsi="Arial" w:cs="Arial"/>
          <w:color w:val="auto"/>
          <w:sz w:val="22"/>
          <w:szCs w:val="22"/>
        </w:rPr>
        <w:t xml:space="preserve">only </w:t>
      </w:r>
      <w:r>
        <w:rPr>
          <w:rFonts w:ascii="Arial" w:hAnsi="Arial" w:cs="Arial"/>
          <w:color w:val="auto"/>
          <w:sz w:val="22"/>
          <w:szCs w:val="22"/>
        </w:rPr>
        <w:t xml:space="preserve">apply these guidelines to </w:t>
      </w:r>
      <w:r w:rsidR="00DA5BDA" w:rsidRPr="00185DC2">
        <w:rPr>
          <w:rFonts w:ascii="Arial" w:hAnsi="Arial" w:cs="Arial"/>
          <w:color w:val="auto"/>
          <w:sz w:val="22"/>
          <w:szCs w:val="22"/>
        </w:rPr>
        <w:t xml:space="preserve">subsidiaries having a significant impact on the risk profile of the </w:t>
      </w:r>
      <w:r w:rsidR="0050316F">
        <w:rPr>
          <w:rFonts w:ascii="Arial" w:hAnsi="Arial" w:cs="Arial"/>
          <w:color w:val="auto"/>
          <w:sz w:val="22"/>
          <w:szCs w:val="22"/>
        </w:rPr>
        <w:t xml:space="preserve">investment firms’ </w:t>
      </w:r>
      <w:r w:rsidR="00DA5BDA" w:rsidRPr="00185DC2">
        <w:rPr>
          <w:rFonts w:ascii="Arial" w:hAnsi="Arial" w:cs="Arial"/>
          <w:color w:val="auto"/>
          <w:sz w:val="22"/>
          <w:szCs w:val="22"/>
        </w:rPr>
        <w:t xml:space="preserve">group. </w:t>
      </w:r>
      <w:r w:rsidR="002F370D" w:rsidRPr="00185DC2">
        <w:rPr>
          <w:rFonts w:ascii="Arial" w:hAnsi="Arial" w:cs="Arial"/>
          <w:color w:val="auto"/>
          <w:sz w:val="22"/>
          <w:szCs w:val="22"/>
        </w:rPr>
        <w:t>This means to take into account appropriateness to their size, organization and the nature, scope and complexity of their activities.</w:t>
      </w:r>
    </w:p>
    <w:p w:rsidR="00B105A7" w:rsidRDefault="00B105A7">
      <w:pPr>
        <w:spacing w:line="240" w:lineRule="auto"/>
        <w:rPr>
          <w:rFonts w:ascii="Times New Roman" w:hAnsi="Times New Roman"/>
          <w:sz w:val="24"/>
          <w:szCs w:val="24"/>
          <w:lang w:val="en-US"/>
        </w:rPr>
      </w:pPr>
      <w:r w:rsidRPr="0050316F">
        <w:rPr>
          <w:rFonts w:ascii="Times New Roman" w:hAnsi="Times New Roman"/>
          <w:lang w:val="en-US"/>
        </w:rPr>
        <w:br w:type="page"/>
      </w:r>
    </w:p>
    <w:p w:rsidR="002F370D" w:rsidRPr="003934D1" w:rsidRDefault="002F370D" w:rsidP="002F370D">
      <w:pPr>
        <w:pStyle w:val="Default"/>
        <w:jc w:val="both"/>
        <w:rPr>
          <w:rFonts w:ascii="Arial" w:hAnsi="Arial" w:cs="Arial"/>
          <w:sz w:val="22"/>
          <w:szCs w:val="22"/>
        </w:rPr>
      </w:pPr>
    </w:p>
    <w:p w:rsidR="00A94F97" w:rsidRPr="00051747" w:rsidRDefault="008C3B22" w:rsidP="00A966C3">
      <w:pPr>
        <w:pStyle w:val="Default"/>
        <w:spacing w:line="276" w:lineRule="auto"/>
        <w:jc w:val="both"/>
        <w:rPr>
          <w:rFonts w:ascii="Arial" w:hAnsi="Arial" w:cs="Arial"/>
          <w:sz w:val="22"/>
          <w:szCs w:val="22"/>
        </w:rPr>
      </w:pPr>
      <w:r>
        <w:rPr>
          <w:rFonts w:ascii="Arial" w:hAnsi="Arial" w:cs="Arial"/>
          <w:sz w:val="22"/>
          <w:szCs w:val="22"/>
        </w:rPr>
        <w:t xml:space="preserve">If we were to summarize our </w:t>
      </w:r>
      <w:r w:rsidRPr="00051747">
        <w:rPr>
          <w:rFonts w:ascii="Arial" w:hAnsi="Arial" w:cs="Arial"/>
          <w:sz w:val="22"/>
          <w:szCs w:val="22"/>
        </w:rPr>
        <w:t>position and main comments on the</w:t>
      </w:r>
      <w:r w:rsidR="002A067D" w:rsidRPr="00051747">
        <w:rPr>
          <w:rFonts w:ascii="Arial" w:hAnsi="Arial" w:cs="Arial"/>
          <w:sz w:val="22"/>
          <w:szCs w:val="22"/>
        </w:rPr>
        <w:t xml:space="preserve"> </w:t>
      </w:r>
      <w:r w:rsidRPr="00051747">
        <w:rPr>
          <w:rFonts w:ascii="Arial" w:hAnsi="Arial" w:cs="Arial"/>
          <w:sz w:val="22"/>
          <w:szCs w:val="22"/>
        </w:rPr>
        <w:t>proposed guidelines</w:t>
      </w:r>
      <w:r w:rsidR="00B105A7" w:rsidRPr="00051747">
        <w:rPr>
          <w:rFonts w:ascii="Arial" w:hAnsi="Arial" w:cs="Arial"/>
          <w:sz w:val="22"/>
          <w:szCs w:val="22"/>
        </w:rPr>
        <w:t>, we</w:t>
      </w:r>
      <w:r w:rsidRPr="00051747">
        <w:rPr>
          <w:rFonts w:ascii="Arial" w:hAnsi="Arial" w:cs="Arial"/>
          <w:sz w:val="22"/>
          <w:szCs w:val="22"/>
        </w:rPr>
        <w:t xml:space="preserve"> would list </w:t>
      </w:r>
      <w:r w:rsidR="00010043" w:rsidRPr="00051747">
        <w:rPr>
          <w:rFonts w:ascii="Arial" w:hAnsi="Arial" w:cs="Arial"/>
          <w:sz w:val="22"/>
          <w:szCs w:val="22"/>
        </w:rPr>
        <w:t>our</w:t>
      </w:r>
      <w:r w:rsidR="00D76C91" w:rsidRPr="00051747">
        <w:rPr>
          <w:rFonts w:ascii="Arial" w:hAnsi="Arial" w:cs="Arial"/>
          <w:sz w:val="22"/>
          <w:szCs w:val="22"/>
        </w:rPr>
        <w:t xml:space="preserve"> main concerns </w:t>
      </w:r>
      <w:r w:rsidR="00B105A7" w:rsidRPr="00051747">
        <w:rPr>
          <w:rFonts w:ascii="Arial" w:hAnsi="Arial" w:cs="Arial"/>
          <w:sz w:val="22"/>
          <w:szCs w:val="22"/>
        </w:rPr>
        <w:t>as follows</w:t>
      </w:r>
      <w:r w:rsidR="008C77F7" w:rsidRPr="00051747">
        <w:rPr>
          <w:rFonts w:ascii="Arial" w:hAnsi="Arial" w:cs="Arial"/>
          <w:sz w:val="22"/>
          <w:szCs w:val="22"/>
        </w:rPr>
        <w:t>:</w:t>
      </w:r>
      <w:r w:rsidR="00E613CC" w:rsidRPr="00051747">
        <w:rPr>
          <w:rFonts w:ascii="Arial" w:hAnsi="Arial" w:cs="Arial"/>
          <w:sz w:val="22"/>
          <w:szCs w:val="22"/>
        </w:rPr>
        <w:t xml:space="preserve"> </w:t>
      </w:r>
    </w:p>
    <w:p w:rsidR="00A94F97" w:rsidRPr="00051747" w:rsidRDefault="00A94F97" w:rsidP="00A966C3">
      <w:pPr>
        <w:pStyle w:val="Default"/>
        <w:spacing w:line="276" w:lineRule="auto"/>
        <w:jc w:val="both"/>
        <w:rPr>
          <w:rFonts w:ascii="Arial" w:hAnsi="Arial" w:cs="Arial"/>
          <w:sz w:val="22"/>
          <w:szCs w:val="22"/>
        </w:rPr>
      </w:pPr>
    </w:p>
    <w:p w:rsidR="005C141E" w:rsidRPr="00051747" w:rsidRDefault="00D76C91" w:rsidP="00A966C3">
      <w:pPr>
        <w:pStyle w:val="Default"/>
        <w:numPr>
          <w:ilvl w:val="0"/>
          <w:numId w:val="5"/>
        </w:numPr>
        <w:spacing w:line="276" w:lineRule="auto"/>
        <w:jc w:val="both"/>
        <w:rPr>
          <w:rFonts w:ascii="Arial" w:hAnsi="Arial" w:cs="Arial"/>
          <w:sz w:val="22"/>
          <w:szCs w:val="22"/>
        </w:rPr>
      </w:pPr>
      <w:r w:rsidRPr="00051747">
        <w:rPr>
          <w:rFonts w:ascii="Arial" w:hAnsi="Arial" w:cs="Arial"/>
          <w:sz w:val="22"/>
          <w:szCs w:val="22"/>
        </w:rPr>
        <w:t xml:space="preserve">The </w:t>
      </w:r>
      <w:r w:rsidR="005C141E" w:rsidRPr="00051747">
        <w:rPr>
          <w:rFonts w:ascii="Arial" w:hAnsi="Arial" w:cs="Arial"/>
          <w:sz w:val="22"/>
          <w:szCs w:val="22"/>
        </w:rPr>
        <w:t xml:space="preserve">definition of a limited number of entities within a group (conceived in a different manner than a banking group for prudential regulation purpose) that will have to directly apply </w:t>
      </w:r>
      <w:r w:rsidR="0050316F" w:rsidRPr="00051747">
        <w:rPr>
          <w:rFonts w:ascii="Arial" w:hAnsi="Arial" w:cs="Arial"/>
          <w:sz w:val="22"/>
          <w:szCs w:val="22"/>
        </w:rPr>
        <w:t xml:space="preserve">the </w:t>
      </w:r>
      <w:r w:rsidR="005C141E" w:rsidRPr="00051747">
        <w:rPr>
          <w:rFonts w:ascii="Arial" w:hAnsi="Arial" w:cs="Arial"/>
          <w:sz w:val="22"/>
          <w:szCs w:val="22"/>
        </w:rPr>
        <w:t>guidelines, the others relying on the compliance at the top of the group or subgroup;</w:t>
      </w:r>
    </w:p>
    <w:p w:rsidR="00D76C91" w:rsidRPr="00051747" w:rsidRDefault="005C141E" w:rsidP="00A966C3">
      <w:pPr>
        <w:pStyle w:val="Default"/>
        <w:numPr>
          <w:ilvl w:val="0"/>
          <w:numId w:val="5"/>
        </w:numPr>
        <w:spacing w:line="276" w:lineRule="auto"/>
        <w:jc w:val="both"/>
        <w:rPr>
          <w:rFonts w:ascii="Arial" w:hAnsi="Arial" w:cs="Arial"/>
          <w:sz w:val="22"/>
          <w:szCs w:val="22"/>
        </w:rPr>
      </w:pPr>
      <w:r w:rsidRPr="00051747">
        <w:rPr>
          <w:rFonts w:ascii="Arial" w:hAnsi="Arial" w:cs="Arial"/>
          <w:sz w:val="22"/>
          <w:szCs w:val="22"/>
        </w:rPr>
        <w:t xml:space="preserve">The </w:t>
      </w:r>
      <w:r w:rsidR="00D76C91" w:rsidRPr="00051747">
        <w:rPr>
          <w:rFonts w:ascii="Arial" w:hAnsi="Arial" w:cs="Arial"/>
          <w:sz w:val="22"/>
          <w:szCs w:val="22"/>
        </w:rPr>
        <w:t>neutrality towards dual or unitary Board structure</w:t>
      </w:r>
    </w:p>
    <w:p w:rsidR="00D76C91" w:rsidRDefault="00D76C91" w:rsidP="00A966C3">
      <w:pPr>
        <w:pStyle w:val="Default"/>
        <w:numPr>
          <w:ilvl w:val="0"/>
          <w:numId w:val="5"/>
        </w:numPr>
        <w:spacing w:line="276" w:lineRule="auto"/>
        <w:jc w:val="both"/>
        <w:rPr>
          <w:rFonts w:ascii="Arial" w:hAnsi="Arial" w:cs="Arial"/>
          <w:sz w:val="22"/>
          <w:szCs w:val="22"/>
        </w:rPr>
      </w:pPr>
      <w:r w:rsidRPr="00051747">
        <w:rPr>
          <w:rFonts w:ascii="Arial" w:hAnsi="Arial" w:cs="Arial"/>
          <w:sz w:val="22"/>
          <w:szCs w:val="22"/>
        </w:rPr>
        <w:t>The necessity to introduce more proportionality</w:t>
      </w:r>
      <w:r w:rsidR="008C3B22">
        <w:rPr>
          <w:rFonts w:ascii="Arial" w:hAnsi="Arial" w:cs="Arial"/>
          <w:sz w:val="22"/>
          <w:szCs w:val="22"/>
        </w:rPr>
        <w:t xml:space="preserve"> with the complexity/simplicity of the firm and its activities</w:t>
      </w:r>
      <w:r w:rsidR="005C141E">
        <w:rPr>
          <w:rFonts w:ascii="Arial" w:hAnsi="Arial" w:cs="Arial"/>
          <w:sz w:val="22"/>
          <w:szCs w:val="22"/>
        </w:rPr>
        <w:t>;</w:t>
      </w:r>
    </w:p>
    <w:p w:rsidR="005C141E" w:rsidRDefault="005C141E" w:rsidP="00A966C3">
      <w:pPr>
        <w:pStyle w:val="Default"/>
        <w:numPr>
          <w:ilvl w:val="0"/>
          <w:numId w:val="5"/>
        </w:numPr>
        <w:spacing w:line="276" w:lineRule="auto"/>
        <w:jc w:val="both"/>
        <w:rPr>
          <w:rFonts w:ascii="Arial" w:hAnsi="Arial" w:cs="Arial"/>
          <w:sz w:val="22"/>
          <w:szCs w:val="22"/>
        </w:rPr>
      </w:pPr>
      <w:r>
        <w:rPr>
          <w:rFonts w:ascii="Arial" w:hAnsi="Arial" w:cs="Arial"/>
          <w:sz w:val="22"/>
          <w:szCs w:val="22"/>
        </w:rPr>
        <w:t>The need for flexibility in the application of the guidelines in order to better adjust to realities of a firm;</w:t>
      </w:r>
      <w:r w:rsidR="0050316F">
        <w:rPr>
          <w:rFonts w:ascii="Arial" w:hAnsi="Arial" w:cs="Arial"/>
          <w:sz w:val="22"/>
          <w:szCs w:val="22"/>
        </w:rPr>
        <w:t xml:space="preserve"> </w:t>
      </w:r>
      <w:r w:rsidR="008C77F7">
        <w:rPr>
          <w:rFonts w:ascii="Arial" w:hAnsi="Arial" w:cs="Arial"/>
          <w:sz w:val="22"/>
          <w:szCs w:val="22"/>
        </w:rPr>
        <w:t>i</w:t>
      </w:r>
      <w:r w:rsidR="0050316F">
        <w:rPr>
          <w:rFonts w:ascii="Arial" w:hAnsi="Arial" w:cs="Arial"/>
          <w:sz w:val="22"/>
          <w:szCs w:val="22"/>
        </w:rPr>
        <w:t xml:space="preserve">n particular the ability to mutualize the nomination committee in a </w:t>
      </w:r>
      <w:r w:rsidR="008C77F7">
        <w:rPr>
          <w:rFonts w:ascii="Arial" w:hAnsi="Arial" w:cs="Arial"/>
          <w:sz w:val="22"/>
          <w:szCs w:val="22"/>
        </w:rPr>
        <w:t>g</w:t>
      </w:r>
      <w:r w:rsidR="0050316F">
        <w:rPr>
          <w:rFonts w:ascii="Arial" w:hAnsi="Arial" w:cs="Arial"/>
          <w:sz w:val="22"/>
          <w:szCs w:val="22"/>
        </w:rPr>
        <w:t xml:space="preserve">roup or a </w:t>
      </w:r>
      <w:r w:rsidR="008C77F7">
        <w:rPr>
          <w:rFonts w:ascii="Arial" w:hAnsi="Arial" w:cs="Arial"/>
          <w:sz w:val="22"/>
          <w:szCs w:val="22"/>
        </w:rPr>
        <w:t>s</w:t>
      </w:r>
      <w:r w:rsidR="0050316F">
        <w:rPr>
          <w:rFonts w:ascii="Arial" w:hAnsi="Arial" w:cs="Arial"/>
          <w:sz w:val="22"/>
          <w:szCs w:val="22"/>
        </w:rPr>
        <w:t>ub</w:t>
      </w:r>
      <w:r w:rsidR="008C77F7">
        <w:rPr>
          <w:rFonts w:ascii="Arial" w:hAnsi="Arial" w:cs="Arial"/>
          <w:sz w:val="22"/>
          <w:szCs w:val="22"/>
        </w:rPr>
        <w:t>-g</w:t>
      </w:r>
      <w:r w:rsidR="0050316F">
        <w:rPr>
          <w:rFonts w:ascii="Arial" w:hAnsi="Arial" w:cs="Arial"/>
          <w:sz w:val="22"/>
          <w:szCs w:val="22"/>
        </w:rPr>
        <w:t>roup, as is already allowed for the remuneration committee</w:t>
      </w:r>
    </w:p>
    <w:p w:rsidR="0050316F" w:rsidRDefault="005C141E" w:rsidP="00A966C3">
      <w:pPr>
        <w:pStyle w:val="Default"/>
        <w:numPr>
          <w:ilvl w:val="0"/>
          <w:numId w:val="5"/>
        </w:numPr>
        <w:spacing w:line="276" w:lineRule="auto"/>
        <w:jc w:val="both"/>
        <w:rPr>
          <w:rFonts w:ascii="Arial" w:hAnsi="Arial" w:cs="Arial"/>
          <w:sz w:val="22"/>
          <w:szCs w:val="22"/>
        </w:rPr>
      </w:pPr>
      <w:r>
        <w:rPr>
          <w:rFonts w:ascii="Arial" w:hAnsi="Arial" w:cs="Arial"/>
          <w:sz w:val="22"/>
          <w:szCs w:val="22"/>
        </w:rPr>
        <w:t xml:space="preserve">The limitation of extraterritorial application of these guidelines which intend to </w:t>
      </w:r>
      <w:r w:rsidR="00E613CC">
        <w:rPr>
          <w:rFonts w:ascii="Arial" w:hAnsi="Arial" w:cs="Arial"/>
          <w:sz w:val="22"/>
          <w:szCs w:val="22"/>
        </w:rPr>
        <w:t>harmonize</w:t>
      </w:r>
      <w:r>
        <w:rPr>
          <w:rFonts w:ascii="Arial" w:hAnsi="Arial" w:cs="Arial"/>
          <w:sz w:val="22"/>
          <w:szCs w:val="22"/>
        </w:rPr>
        <w:t xml:space="preserve"> practices in the EU and should not impact non EU subsidiaries governed by local legislation</w:t>
      </w:r>
      <w:r w:rsidR="008C77F7">
        <w:rPr>
          <w:rFonts w:ascii="Arial" w:hAnsi="Arial" w:cs="Arial"/>
          <w:sz w:val="22"/>
          <w:szCs w:val="22"/>
        </w:rPr>
        <w:t>, particularly for asset management entities</w:t>
      </w:r>
      <w:r>
        <w:rPr>
          <w:rFonts w:ascii="Arial" w:hAnsi="Arial" w:cs="Arial"/>
          <w:sz w:val="22"/>
          <w:szCs w:val="22"/>
        </w:rPr>
        <w:t>;</w:t>
      </w:r>
    </w:p>
    <w:p w:rsidR="005C141E" w:rsidRDefault="0050316F" w:rsidP="00A966C3">
      <w:pPr>
        <w:pStyle w:val="Default"/>
        <w:numPr>
          <w:ilvl w:val="0"/>
          <w:numId w:val="5"/>
        </w:numPr>
        <w:spacing w:line="276" w:lineRule="auto"/>
        <w:jc w:val="both"/>
        <w:rPr>
          <w:rFonts w:ascii="Arial" w:hAnsi="Arial" w:cs="Arial"/>
          <w:sz w:val="22"/>
          <w:szCs w:val="22"/>
        </w:rPr>
      </w:pPr>
      <w:r>
        <w:rPr>
          <w:rFonts w:ascii="Arial" w:hAnsi="Arial" w:cs="Arial"/>
          <w:sz w:val="22"/>
          <w:szCs w:val="22"/>
        </w:rPr>
        <w:t>The maximum limitation of the guidelines to the professional sphere, notably in terms of time commitment</w:t>
      </w:r>
      <w:r w:rsidR="008C77F7">
        <w:rPr>
          <w:rFonts w:ascii="Arial" w:hAnsi="Arial" w:cs="Arial"/>
          <w:sz w:val="22"/>
          <w:szCs w:val="22"/>
        </w:rPr>
        <w:t xml:space="preserve">. This means no obligation to collect time commitment on private – </w:t>
      </w:r>
      <w:r w:rsidR="00903CB7">
        <w:rPr>
          <w:rFonts w:ascii="Arial" w:hAnsi="Arial" w:cs="Arial"/>
          <w:sz w:val="22"/>
          <w:szCs w:val="22"/>
        </w:rPr>
        <w:t>i.e.</w:t>
      </w:r>
      <w:r w:rsidR="008C77F7">
        <w:rPr>
          <w:rFonts w:ascii="Arial" w:hAnsi="Arial" w:cs="Arial"/>
          <w:sz w:val="22"/>
          <w:szCs w:val="22"/>
        </w:rPr>
        <w:t xml:space="preserve"> non paid and </w:t>
      </w:r>
      <w:r w:rsidR="00903CB7">
        <w:rPr>
          <w:rFonts w:ascii="Arial" w:hAnsi="Arial" w:cs="Arial"/>
          <w:sz w:val="22"/>
          <w:szCs w:val="22"/>
        </w:rPr>
        <w:t>non-employer</w:t>
      </w:r>
      <w:r w:rsidR="008C77F7">
        <w:rPr>
          <w:rFonts w:ascii="Arial" w:hAnsi="Arial" w:cs="Arial"/>
          <w:sz w:val="22"/>
          <w:szCs w:val="22"/>
        </w:rPr>
        <w:t>-related – activities.</w:t>
      </w:r>
    </w:p>
    <w:p w:rsidR="00BF5235" w:rsidRDefault="00BF5235" w:rsidP="00BF5235">
      <w:pPr>
        <w:pStyle w:val="Default"/>
        <w:spacing w:line="276" w:lineRule="auto"/>
        <w:ind w:left="720"/>
        <w:jc w:val="both"/>
        <w:rPr>
          <w:rFonts w:ascii="Arial" w:hAnsi="Arial" w:cs="Arial"/>
          <w:sz w:val="22"/>
          <w:szCs w:val="22"/>
        </w:rPr>
      </w:pPr>
    </w:p>
    <w:p w:rsidR="00BF5235" w:rsidRDefault="00BF5235" w:rsidP="00BF5235">
      <w:pPr>
        <w:pStyle w:val="Default"/>
        <w:spacing w:line="276" w:lineRule="auto"/>
        <w:ind w:left="720"/>
        <w:jc w:val="both"/>
        <w:rPr>
          <w:rFonts w:ascii="Arial" w:hAnsi="Arial" w:cs="Arial"/>
          <w:sz w:val="22"/>
          <w:szCs w:val="22"/>
        </w:rPr>
      </w:pPr>
    </w:p>
    <w:p w:rsidR="00E613CC" w:rsidRDefault="00E613CC" w:rsidP="00E613CC">
      <w:pPr>
        <w:pStyle w:val="Default"/>
        <w:spacing w:line="276" w:lineRule="auto"/>
        <w:jc w:val="both"/>
        <w:rPr>
          <w:rFonts w:ascii="Arial" w:hAnsi="Arial" w:cs="Arial"/>
          <w:sz w:val="22"/>
          <w:szCs w:val="22"/>
        </w:rPr>
      </w:pPr>
    </w:p>
    <w:p w:rsidR="00E613CC" w:rsidRDefault="005627D1" w:rsidP="00E613CC">
      <w:pPr>
        <w:pStyle w:val="Default"/>
        <w:spacing w:line="276" w:lineRule="auto"/>
        <w:jc w:val="both"/>
        <w:rPr>
          <w:rFonts w:ascii="Arial" w:hAnsi="Arial" w:cs="Arial"/>
          <w:sz w:val="22"/>
          <w:szCs w:val="22"/>
        </w:rPr>
      </w:pPr>
      <w:r>
        <w:rPr>
          <w:rFonts w:ascii="Arial" w:hAnsi="Arial" w:cs="Arial"/>
          <w:sz w:val="22"/>
          <w:szCs w:val="22"/>
        </w:rPr>
        <w:t xml:space="preserve">In addition, </w:t>
      </w:r>
      <w:r w:rsidR="00932AB4">
        <w:rPr>
          <w:rFonts w:ascii="Arial" w:hAnsi="Arial" w:cs="Arial"/>
          <w:sz w:val="22"/>
          <w:szCs w:val="22"/>
        </w:rPr>
        <w:t xml:space="preserve">the following </w:t>
      </w:r>
      <w:r>
        <w:rPr>
          <w:rFonts w:ascii="Arial" w:hAnsi="Arial" w:cs="Arial"/>
          <w:sz w:val="22"/>
          <w:szCs w:val="22"/>
        </w:rPr>
        <w:t xml:space="preserve">technical </w:t>
      </w:r>
      <w:r w:rsidR="00932AB4">
        <w:rPr>
          <w:rFonts w:ascii="Arial" w:hAnsi="Arial" w:cs="Arial"/>
          <w:sz w:val="22"/>
          <w:szCs w:val="22"/>
        </w:rPr>
        <w:t>items are also very important</w:t>
      </w:r>
      <w:r w:rsidR="00E613CC">
        <w:rPr>
          <w:rFonts w:ascii="Arial" w:hAnsi="Arial" w:cs="Arial"/>
          <w:sz w:val="22"/>
          <w:szCs w:val="22"/>
        </w:rPr>
        <w:t>:</w:t>
      </w:r>
    </w:p>
    <w:p w:rsidR="00A94F97" w:rsidRDefault="00A94F97" w:rsidP="00E613CC">
      <w:pPr>
        <w:pStyle w:val="Default"/>
        <w:spacing w:line="276" w:lineRule="auto"/>
        <w:jc w:val="both"/>
        <w:rPr>
          <w:rFonts w:ascii="Arial" w:hAnsi="Arial" w:cs="Arial"/>
          <w:sz w:val="22"/>
          <w:szCs w:val="22"/>
        </w:rPr>
      </w:pPr>
    </w:p>
    <w:p w:rsidR="00D76C91" w:rsidRDefault="00D76C91" w:rsidP="00A966C3">
      <w:pPr>
        <w:pStyle w:val="Default"/>
        <w:numPr>
          <w:ilvl w:val="0"/>
          <w:numId w:val="5"/>
        </w:numPr>
        <w:spacing w:line="276" w:lineRule="auto"/>
        <w:jc w:val="both"/>
        <w:rPr>
          <w:rFonts w:ascii="Arial" w:hAnsi="Arial" w:cs="Arial"/>
          <w:sz w:val="22"/>
          <w:szCs w:val="22"/>
        </w:rPr>
      </w:pPr>
      <w:r>
        <w:rPr>
          <w:rFonts w:ascii="Arial" w:hAnsi="Arial" w:cs="Arial"/>
          <w:sz w:val="22"/>
          <w:szCs w:val="22"/>
        </w:rPr>
        <w:t xml:space="preserve">The definition of </w:t>
      </w:r>
      <w:r w:rsidR="005627D1">
        <w:rPr>
          <w:rFonts w:ascii="Arial" w:hAnsi="Arial" w:cs="Arial"/>
          <w:sz w:val="22"/>
          <w:szCs w:val="22"/>
        </w:rPr>
        <w:t xml:space="preserve">the </w:t>
      </w:r>
      <w:r>
        <w:rPr>
          <w:rFonts w:ascii="Arial" w:hAnsi="Arial" w:cs="Arial"/>
          <w:sz w:val="22"/>
          <w:szCs w:val="22"/>
        </w:rPr>
        <w:t xml:space="preserve">independence of </w:t>
      </w:r>
      <w:r w:rsidR="005627D1">
        <w:rPr>
          <w:rFonts w:ascii="Arial" w:hAnsi="Arial" w:cs="Arial"/>
          <w:sz w:val="22"/>
          <w:szCs w:val="22"/>
        </w:rPr>
        <w:t xml:space="preserve">a </w:t>
      </w:r>
      <w:r>
        <w:rPr>
          <w:rFonts w:ascii="Arial" w:hAnsi="Arial" w:cs="Arial"/>
          <w:sz w:val="22"/>
          <w:szCs w:val="22"/>
        </w:rPr>
        <w:t>director</w:t>
      </w:r>
      <w:r w:rsidR="008C77F7">
        <w:rPr>
          <w:rFonts w:ascii="Arial" w:hAnsi="Arial" w:cs="Arial"/>
          <w:sz w:val="22"/>
          <w:szCs w:val="22"/>
        </w:rPr>
        <w:t>,</w:t>
      </w:r>
      <w:r>
        <w:rPr>
          <w:rFonts w:ascii="Arial" w:hAnsi="Arial" w:cs="Arial"/>
          <w:sz w:val="22"/>
          <w:szCs w:val="22"/>
        </w:rPr>
        <w:t xml:space="preserve"> which appears to be too restrictive</w:t>
      </w:r>
    </w:p>
    <w:p w:rsidR="00D76C91" w:rsidRDefault="00D76C91" w:rsidP="00A966C3">
      <w:pPr>
        <w:pStyle w:val="Default"/>
        <w:numPr>
          <w:ilvl w:val="0"/>
          <w:numId w:val="5"/>
        </w:numPr>
        <w:spacing w:line="276" w:lineRule="auto"/>
        <w:jc w:val="both"/>
        <w:rPr>
          <w:rFonts w:ascii="Arial" w:hAnsi="Arial" w:cs="Arial"/>
          <w:sz w:val="22"/>
          <w:szCs w:val="22"/>
        </w:rPr>
      </w:pPr>
      <w:r>
        <w:rPr>
          <w:rFonts w:ascii="Arial" w:hAnsi="Arial" w:cs="Arial"/>
          <w:sz w:val="22"/>
          <w:szCs w:val="22"/>
        </w:rPr>
        <w:t>The neutrality of European regulation vis à vis ex ante or ex post clearance of appointments by the competent authority</w:t>
      </w:r>
      <w:r w:rsidR="005627D1">
        <w:rPr>
          <w:rFonts w:ascii="Arial" w:hAnsi="Arial" w:cs="Arial"/>
          <w:sz w:val="22"/>
          <w:szCs w:val="22"/>
        </w:rPr>
        <w:t xml:space="preserve"> should be assured</w:t>
      </w:r>
    </w:p>
    <w:p w:rsidR="00D76C91" w:rsidRDefault="00D76C91" w:rsidP="00A966C3">
      <w:pPr>
        <w:pStyle w:val="Default"/>
        <w:numPr>
          <w:ilvl w:val="0"/>
          <w:numId w:val="5"/>
        </w:numPr>
        <w:spacing w:line="276" w:lineRule="auto"/>
        <w:jc w:val="both"/>
        <w:rPr>
          <w:rFonts w:ascii="Arial" w:hAnsi="Arial" w:cs="Arial"/>
          <w:sz w:val="22"/>
          <w:szCs w:val="22"/>
        </w:rPr>
      </w:pPr>
      <w:r>
        <w:rPr>
          <w:rFonts w:ascii="Arial" w:hAnsi="Arial" w:cs="Arial"/>
          <w:sz w:val="22"/>
          <w:szCs w:val="22"/>
        </w:rPr>
        <w:t xml:space="preserve">The evidence </w:t>
      </w:r>
      <w:r w:rsidR="008C3B22">
        <w:rPr>
          <w:rFonts w:ascii="Arial" w:hAnsi="Arial" w:cs="Arial"/>
          <w:sz w:val="22"/>
          <w:szCs w:val="22"/>
        </w:rPr>
        <w:t xml:space="preserve">that honesty, </w:t>
      </w:r>
      <w:r>
        <w:rPr>
          <w:rFonts w:ascii="Arial" w:hAnsi="Arial" w:cs="Arial"/>
          <w:sz w:val="22"/>
          <w:szCs w:val="22"/>
        </w:rPr>
        <w:t>integrity</w:t>
      </w:r>
      <w:r w:rsidR="008C3B22">
        <w:rPr>
          <w:rFonts w:ascii="Arial" w:hAnsi="Arial" w:cs="Arial"/>
          <w:sz w:val="22"/>
          <w:szCs w:val="22"/>
        </w:rPr>
        <w:t xml:space="preserve"> as well as independence of mind</w:t>
      </w:r>
      <w:r>
        <w:rPr>
          <w:rFonts w:ascii="Arial" w:hAnsi="Arial" w:cs="Arial"/>
          <w:sz w:val="22"/>
          <w:szCs w:val="22"/>
        </w:rPr>
        <w:t xml:space="preserve"> cannot be </w:t>
      </w:r>
      <w:r w:rsidR="005627D1">
        <w:rPr>
          <w:rFonts w:ascii="Arial" w:hAnsi="Arial" w:cs="Arial"/>
          <w:sz w:val="22"/>
          <w:szCs w:val="22"/>
        </w:rPr>
        <w:t xml:space="preserve">quantified </w:t>
      </w:r>
      <w:r>
        <w:rPr>
          <w:rFonts w:ascii="Arial" w:hAnsi="Arial" w:cs="Arial"/>
          <w:sz w:val="22"/>
          <w:szCs w:val="22"/>
        </w:rPr>
        <w:t xml:space="preserve">and are assessed in a subjective </w:t>
      </w:r>
      <w:r w:rsidR="008C3B22">
        <w:rPr>
          <w:rFonts w:ascii="Arial" w:hAnsi="Arial" w:cs="Arial"/>
          <w:sz w:val="22"/>
          <w:szCs w:val="22"/>
        </w:rPr>
        <w:t>manner through direct contact</w:t>
      </w:r>
      <w:r>
        <w:rPr>
          <w:rFonts w:ascii="Arial" w:hAnsi="Arial" w:cs="Arial"/>
          <w:sz w:val="22"/>
          <w:szCs w:val="22"/>
        </w:rPr>
        <w:t xml:space="preserve"> with the candidate</w:t>
      </w:r>
      <w:r w:rsidR="008C3B22">
        <w:rPr>
          <w:rFonts w:ascii="Arial" w:hAnsi="Arial" w:cs="Arial"/>
          <w:sz w:val="22"/>
          <w:szCs w:val="22"/>
        </w:rPr>
        <w:t>;</w:t>
      </w:r>
    </w:p>
    <w:p w:rsidR="00D76C91" w:rsidRDefault="008C3B22" w:rsidP="00A966C3">
      <w:pPr>
        <w:pStyle w:val="Default"/>
        <w:numPr>
          <w:ilvl w:val="0"/>
          <w:numId w:val="5"/>
        </w:numPr>
        <w:spacing w:line="276" w:lineRule="auto"/>
        <w:jc w:val="both"/>
        <w:rPr>
          <w:rFonts w:ascii="Arial" w:hAnsi="Arial" w:cs="Arial"/>
          <w:sz w:val="22"/>
          <w:szCs w:val="22"/>
        </w:rPr>
      </w:pPr>
      <w:r>
        <w:rPr>
          <w:rFonts w:ascii="Arial" w:hAnsi="Arial" w:cs="Arial"/>
          <w:sz w:val="22"/>
          <w:szCs w:val="22"/>
        </w:rPr>
        <w:t xml:space="preserve">Cross checking </w:t>
      </w:r>
      <w:r w:rsidR="005627D1">
        <w:rPr>
          <w:rFonts w:ascii="Arial" w:hAnsi="Arial" w:cs="Arial"/>
          <w:sz w:val="22"/>
          <w:szCs w:val="22"/>
        </w:rPr>
        <w:t xml:space="preserve">obligations should be </w:t>
      </w:r>
      <w:r>
        <w:rPr>
          <w:rFonts w:ascii="Arial" w:hAnsi="Arial" w:cs="Arial"/>
          <w:sz w:val="22"/>
          <w:szCs w:val="22"/>
        </w:rPr>
        <w:t>limited to easily accessible official data</w:t>
      </w:r>
      <w:r w:rsidR="00D76C91">
        <w:rPr>
          <w:rFonts w:ascii="Arial" w:hAnsi="Arial" w:cs="Arial"/>
          <w:sz w:val="22"/>
          <w:szCs w:val="22"/>
        </w:rPr>
        <w:t xml:space="preserve"> </w:t>
      </w:r>
      <w:r w:rsidR="0050316F">
        <w:rPr>
          <w:rFonts w:ascii="Arial" w:hAnsi="Arial" w:cs="Arial"/>
          <w:sz w:val="22"/>
          <w:szCs w:val="22"/>
        </w:rPr>
        <w:t>/ have a “reasonable efforts” limitation</w:t>
      </w:r>
    </w:p>
    <w:p w:rsidR="008C3B22" w:rsidRDefault="008C3B22" w:rsidP="00A966C3">
      <w:pPr>
        <w:pStyle w:val="Default"/>
        <w:numPr>
          <w:ilvl w:val="0"/>
          <w:numId w:val="5"/>
        </w:numPr>
        <w:spacing w:line="276" w:lineRule="auto"/>
        <w:jc w:val="both"/>
        <w:rPr>
          <w:rFonts w:ascii="Arial" w:hAnsi="Arial" w:cs="Arial"/>
          <w:sz w:val="22"/>
          <w:szCs w:val="22"/>
        </w:rPr>
      </w:pPr>
      <w:r>
        <w:rPr>
          <w:rFonts w:ascii="Arial" w:hAnsi="Arial" w:cs="Arial"/>
          <w:sz w:val="22"/>
          <w:szCs w:val="22"/>
        </w:rPr>
        <w:t>The Board or management body’s confidentiality</w:t>
      </w:r>
      <w:r w:rsidR="008C77F7">
        <w:rPr>
          <w:rFonts w:ascii="Arial" w:hAnsi="Arial" w:cs="Arial"/>
          <w:sz w:val="22"/>
          <w:szCs w:val="22"/>
        </w:rPr>
        <w:t>, which</w:t>
      </w:r>
      <w:r>
        <w:rPr>
          <w:rFonts w:ascii="Arial" w:hAnsi="Arial" w:cs="Arial"/>
          <w:sz w:val="22"/>
          <w:szCs w:val="22"/>
        </w:rPr>
        <w:t xml:space="preserve"> does not </w:t>
      </w:r>
      <w:r w:rsidR="0050316F">
        <w:rPr>
          <w:rFonts w:ascii="Arial" w:hAnsi="Arial" w:cs="Arial"/>
          <w:sz w:val="22"/>
          <w:szCs w:val="22"/>
        </w:rPr>
        <w:t xml:space="preserve">systematically </w:t>
      </w:r>
      <w:r>
        <w:rPr>
          <w:rFonts w:ascii="Arial" w:hAnsi="Arial" w:cs="Arial"/>
          <w:sz w:val="22"/>
          <w:szCs w:val="22"/>
        </w:rPr>
        <w:t xml:space="preserve">allow for </w:t>
      </w:r>
      <w:r w:rsidR="0050316F">
        <w:rPr>
          <w:rFonts w:ascii="Arial" w:hAnsi="Arial" w:cs="Arial"/>
          <w:sz w:val="22"/>
          <w:szCs w:val="22"/>
        </w:rPr>
        <w:t xml:space="preserve">all </w:t>
      </w:r>
      <w:r>
        <w:rPr>
          <w:rFonts w:ascii="Arial" w:hAnsi="Arial" w:cs="Arial"/>
          <w:sz w:val="22"/>
          <w:szCs w:val="22"/>
        </w:rPr>
        <w:t>authorities to be an observer</w:t>
      </w:r>
      <w:r w:rsidR="0050316F">
        <w:rPr>
          <w:rFonts w:ascii="Arial" w:hAnsi="Arial" w:cs="Arial"/>
          <w:sz w:val="22"/>
          <w:szCs w:val="22"/>
        </w:rPr>
        <w:t>, in particular for asset management entities</w:t>
      </w:r>
      <w:r>
        <w:rPr>
          <w:rFonts w:ascii="Arial" w:hAnsi="Arial" w:cs="Arial"/>
          <w:sz w:val="22"/>
          <w:szCs w:val="22"/>
        </w:rPr>
        <w:t xml:space="preserve">. </w:t>
      </w:r>
    </w:p>
    <w:p w:rsidR="00BF5235" w:rsidRDefault="00BF5235" w:rsidP="00010043">
      <w:pPr>
        <w:spacing w:after="400" w:line="276" w:lineRule="auto"/>
        <w:ind w:left="567"/>
        <w:jc w:val="center"/>
        <w:rPr>
          <w:rFonts w:asciiTheme="majorHAnsi" w:hAnsiTheme="majorHAnsi" w:cstheme="majorHAnsi"/>
          <w:b/>
          <w:sz w:val="32"/>
          <w:szCs w:val="32"/>
        </w:rPr>
      </w:pPr>
    </w:p>
    <w:p w:rsidR="00BF5235" w:rsidRDefault="00D81B58" w:rsidP="00010043">
      <w:pPr>
        <w:spacing w:after="400" w:line="276" w:lineRule="auto"/>
        <w:ind w:left="567"/>
        <w:jc w:val="center"/>
        <w:rPr>
          <w:rFonts w:asciiTheme="majorHAnsi" w:hAnsiTheme="majorHAnsi" w:cstheme="majorHAnsi"/>
          <w:b/>
          <w:sz w:val="32"/>
          <w:szCs w:val="32"/>
        </w:rPr>
      </w:pPr>
      <w:r w:rsidRPr="00D81B58">
        <w:rPr>
          <w:rFonts w:asciiTheme="majorHAnsi" w:hAnsiTheme="majorHAnsi" w:cstheme="majorHAnsi"/>
          <w:b/>
          <w:sz w:val="32"/>
          <w:szCs w:val="32"/>
        </w:rPr>
        <w:sym w:font="Wingdings" w:char="F098"/>
      </w:r>
      <w:r w:rsidRPr="00D81B58">
        <w:rPr>
          <w:rFonts w:asciiTheme="majorHAnsi" w:hAnsiTheme="majorHAnsi" w:cstheme="majorHAnsi"/>
          <w:b/>
          <w:sz w:val="32"/>
          <w:szCs w:val="32"/>
        </w:rPr>
        <w:sym w:font="Wingdings" w:char="F098"/>
      </w:r>
    </w:p>
    <w:p w:rsidR="00BF5235" w:rsidRDefault="00BF5235">
      <w:pPr>
        <w:spacing w:line="240" w:lineRule="auto"/>
        <w:rPr>
          <w:rFonts w:asciiTheme="majorHAnsi" w:hAnsiTheme="majorHAnsi" w:cstheme="majorHAnsi"/>
          <w:b/>
          <w:sz w:val="32"/>
          <w:szCs w:val="32"/>
        </w:rPr>
      </w:pPr>
      <w:r>
        <w:rPr>
          <w:rFonts w:asciiTheme="majorHAnsi" w:hAnsiTheme="majorHAnsi" w:cstheme="majorHAnsi"/>
          <w:b/>
          <w:sz w:val="32"/>
          <w:szCs w:val="32"/>
        </w:rPr>
        <w:br w:type="page"/>
      </w:r>
    </w:p>
    <w:p w:rsidR="00D81B58" w:rsidRPr="00D81B58" w:rsidRDefault="00D81B58" w:rsidP="00010043">
      <w:pPr>
        <w:spacing w:after="400" w:line="276" w:lineRule="auto"/>
        <w:ind w:left="567"/>
        <w:jc w:val="center"/>
        <w:rPr>
          <w:rFonts w:asciiTheme="majorHAnsi" w:hAnsiTheme="majorHAnsi" w:cstheme="majorHAnsi"/>
          <w:b/>
          <w:sz w:val="32"/>
          <w:szCs w:val="32"/>
        </w:rPr>
      </w:pPr>
    </w:p>
    <w:p w:rsidR="00007065" w:rsidRPr="009167CB" w:rsidRDefault="00007065" w:rsidP="00A966C3">
      <w:pPr>
        <w:pStyle w:val="Default"/>
        <w:jc w:val="both"/>
        <w:rPr>
          <w:rFonts w:asciiTheme="majorHAnsi" w:hAnsiTheme="majorHAnsi" w:cstheme="majorHAnsi"/>
          <w:b/>
          <w:color w:val="auto"/>
          <w:sz w:val="22"/>
          <w:szCs w:val="22"/>
        </w:rPr>
      </w:pPr>
      <w:r w:rsidRPr="009167CB">
        <w:rPr>
          <w:rFonts w:asciiTheme="majorHAnsi" w:hAnsiTheme="majorHAnsi" w:cstheme="majorHAnsi"/>
          <w:b/>
          <w:color w:val="auto"/>
          <w:sz w:val="22"/>
          <w:szCs w:val="22"/>
        </w:rPr>
        <w:t xml:space="preserve">Q1: Are there any conflicts between the responsibilities assigned by national company law to a specific function of the management body and the responsibilities assigned by the Guidelines to either the management or supervisory function? </w:t>
      </w:r>
    </w:p>
    <w:p w:rsidR="00007065" w:rsidRPr="009167CB" w:rsidRDefault="00007065" w:rsidP="00A966C3">
      <w:pPr>
        <w:pStyle w:val="Default"/>
        <w:jc w:val="both"/>
        <w:rPr>
          <w:rFonts w:asciiTheme="majorHAnsi" w:hAnsiTheme="majorHAnsi" w:cstheme="majorHAnsi"/>
          <w:b/>
          <w:color w:val="auto"/>
          <w:sz w:val="22"/>
          <w:szCs w:val="22"/>
          <w:highlight w:val="green"/>
        </w:rPr>
      </w:pPr>
    </w:p>
    <w:p w:rsidR="00C174B3" w:rsidRPr="00184F8E" w:rsidRDefault="00C174B3" w:rsidP="00A966C3">
      <w:pPr>
        <w:pStyle w:val="Default"/>
        <w:spacing w:line="276" w:lineRule="auto"/>
        <w:jc w:val="both"/>
        <w:rPr>
          <w:rFonts w:ascii="Arial" w:hAnsi="Arial" w:cs="Arial"/>
          <w:sz w:val="22"/>
          <w:szCs w:val="22"/>
        </w:rPr>
      </w:pPr>
      <w:r w:rsidRPr="00184F8E">
        <w:rPr>
          <w:rFonts w:ascii="Arial" w:hAnsi="Arial" w:cs="Arial"/>
          <w:sz w:val="22"/>
          <w:szCs w:val="22"/>
        </w:rPr>
        <w:t xml:space="preserve">We approve the clarification given in the box under §6 on the relative responsibilities of the management and the supervision body. We have already worked with AMF to determine, under UCITS 5 for example, what is the management body under French law. We now feel confident that the area has been largely </w:t>
      </w:r>
      <w:proofErr w:type="gramStart"/>
      <w:r w:rsidRPr="00184F8E">
        <w:rPr>
          <w:rFonts w:ascii="Arial" w:hAnsi="Arial" w:cs="Arial"/>
          <w:sz w:val="22"/>
          <w:szCs w:val="22"/>
        </w:rPr>
        <w:t xml:space="preserve">cleared </w:t>
      </w:r>
      <w:r w:rsidR="00C01A22">
        <w:rPr>
          <w:rFonts w:ascii="Arial" w:hAnsi="Arial" w:cs="Arial"/>
          <w:sz w:val="22"/>
          <w:szCs w:val="22"/>
        </w:rPr>
        <w:t>.</w:t>
      </w:r>
      <w:proofErr w:type="gramEnd"/>
    </w:p>
    <w:p w:rsidR="005620EE" w:rsidRDefault="00C174B3" w:rsidP="00A966C3">
      <w:pPr>
        <w:pStyle w:val="Default"/>
        <w:spacing w:line="276" w:lineRule="auto"/>
        <w:jc w:val="both"/>
        <w:rPr>
          <w:rFonts w:ascii="Arial" w:hAnsi="Arial" w:cs="Arial"/>
          <w:sz w:val="22"/>
          <w:szCs w:val="22"/>
        </w:rPr>
      </w:pPr>
      <w:r w:rsidRPr="00184F8E">
        <w:rPr>
          <w:rFonts w:ascii="Arial" w:hAnsi="Arial" w:cs="Arial"/>
          <w:sz w:val="22"/>
          <w:szCs w:val="22"/>
        </w:rPr>
        <w:t xml:space="preserve">We agree that regulators should not take a view on the advantages or drawbacks of either the unitary or the dual structure for the Board. </w:t>
      </w:r>
    </w:p>
    <w:p w:rsidR="00932AB4" w:rsidRDefault="00932AB4">
      <w:pPr>
        <w:spacing w:line="240" w:lineRule="auto"/>
        <w:rPr>
          <w:rFonts w:cs="Arial"/>
          <w:color w:val="000000"/>
          <w:sz w:val="22"/>
          <w:szCs w:val="22"/>
          <w:lang w:val="en-US"/>
        </w:rPr>
      </w:pPr>
    </w:p>
    <w:p w:rsidR="00E947D9" w:rsidRDefault="00293B17" w:rsidP="00A966C3">
      <w:pPr>
        <w:pStyle w:val="Default"/>
        <w:jc w:val="both"/>
        <w:rPr>
          <w:rFonts w:ascii="Arial" w:hAnsi="Arial" w:cs="Arial"/>
          <w:sz w:val="22"/>
          <w:szCs w:val="22"/>
        </w:rPr>
      </w:pPr>
      <w:r>
        <w:rPr>
          <w:rFonts w:ascii="Arial" w:hAnsi="Arial" w:cs="Arial"/>
          <w:sz w:val="22"/>
          <w:szCs w:val="22"/>
        </w:rPr>
        <w:t>Please also include the notions indicated in § 116</w:t>
      </w:r>
      <w:r w:rsidR="007A0118">
        <w:rPr>
          <w:rFonts w:ascii="Arial" w:hAnsi="Arial" w:cs="Arial"/>
          <w:sz w:val="22"/>
          <w:szCs w:val="22"/>
        </w:rPr>
        <w:t xml:space="preserve"> of the guidelines</w:t>
      </w:r>
      <w:r>
        <w:rPr>
          <w:rFonts w:ascii="Arial" w:hAnsi="Arial" w:cs="Arial"/>
          <w:sz w:val="22"/>
          <w:szCs w:val="22"/>
        </w:rPr>
        <w:t xml:space="preserve"> (</w:t>
      </w:r>
      <w:r w:rsidR="007A0118">
        <w:rPr>
          <w:rFonts w:ascii="Arial" w:hAnsi="Arial" w:cs="Arial"/>
          <w:sz w:val="22"/>
          <w:szCs w:val="22"/>
        </w:rPr>
        <w:t>cf.</w:t>
      </w:r>
      <w:r>
        <w:rPr>
          <w:rFonts w:ascii="Arial" w:hAnsi="Arial" w:cs="Arial"/>
          <w:sz w:val="22"/>
          <w:szCs w:val="22"/>
        </w:rPr>
        <w:t xml:space="preserve"> our answer to question 10 below)</w:t>
      </w:r>
      <w:r w:rsidR="007A0118">
        <w:rPr>
          <w:rFonts w:ascii="Arial" w:hAnsi="Arial" w:cs="Arial"/>
          <w:sz w:val="22"/>
          <w:szCs w:val="22"/>
        </w:rPr>
        <w:t>.</w:t>
      </w:r>
    </w:p>
    <w:p w:rsidR="00293B17" w:rsidRDefault="00293B17" w:rsidP="00A966C3">
      <w:pPr>
        <w:pStyle w:val="Default"/>
        <w:jc w:val="both"/>
        <w:rPr>
          <w:rFonts w:ascii="Arial" w:hAnsi="Arial" w:cs="Arial"/>
          <w:sz w:val="22"/>
          <w:szCs w:val="22"/>
        </w:rPr>
      </w:pPr>
    </w:p>
    <w:p w:rsidR="00293B17" w:rsidRPr="00E947D9" w:rsidRDefault="00293B17" w:rsidP="00A966C3">
      <w:pPr>
        <w:pStyle w:val="Default"/>
        <w:jc w:val="both"/>
        <w:rPr>
          <w:rFonts w:ascii="Arial" w:hAnsi="Arial" w:cs="Arial"/>
          <w:sz w:val="22"/>
          <w:szCs w:val="22"/>
        </w:rPr>
      </w:pPr>
    </w:p>
    <w:p w:rsidR="00007065" w:rsidRDefault="00007065" w:rsidP="00A966C3">
      <w:pPr>
        <w:pStyle w:val="Default"/>
        <w:jc w:val="both"/>
        <w:rPr>
          <w:sz w:val="22"/>
          <w:szCs w:val="22"/>
        </w:rPr>
      </w:pPr>
      <w:r w:rsidRPr="00007065">
        <w:rPr>
          <w:b/>
          <w:sz w:val="22"/>
          <w:szCs w:val="22"/>
        </w:rPr>
        <w:t xml:space="preserve">Q2: Are the subject matter, scope and definitions sufficiently clear? </w:t>
      </w:r>
    </w:p>
    <w:p w:rsidR="00007065" w:rsidRDefault="00007065" w:rsidP="00A966C3">
      <w:pPr>
        <w:pStyle w:val="Default"/>
        <w:jc w:val="both"/>
        <w:rPr>
          <w:rFonts w:ascii="Arial" w:hAnsi="Arial" w:cs="Arial"/>
          <w:sz w:val="22"/>
          <w:szCs w:val="22"/>
        </w:rPr>
      </w:pPr>
    </w:p>
    <w:p w:rsidR="00002DA0" w:rsidRDefault="00002DA0" w:rsidP="00A966C3">
      <w:pPr>
        <w:pStyle w:val="Default"/>
        <w:spacing w:line="276" w:lineRule="auto"/>
        <w:jc w:val="both"/>
        <w:rPr>
          <w:rFonts w:ascii="Arial" w:hAnsi="Arial" w:cs="Arial"/>
          <w:sz w:val="22"/>
          <w:szCs w:val="22"/>
        </w:rPr>
      </w:pPr>
      <w:r>
        <w:rPr>
          <w:rFonts w:ascii="Arial" w:hAnsi="Arial" w:cs="Arial"/>
          <w:sz w:val="22"/>
          <w:szCs w:val="22"/>
        </w:rPr>
        <w:t xml:space="preserve">We suggest that a new definition be introduced: “Competent authorities”. In the present guidelines, </w:t>
      </w:r>
      <w:r w:rsidR="005627D1">
        <w:rPr>
          <w:rFonts w:ascii="Arial" w:hAnsi="Arial" w:cs="Arial"/>
          <w:sz w:val="22"/>
          <w:szCs w:val="22"/>
        </w:rPr>
        <w:t>“C</w:t>
      </w:r>
      <w:r>
        <w:rPr>
          <w:rFonts w:ascii="Arial" w:hAnsi="Arial" w:cs="Arial"/>
          <w:sz w:val="22"/>
          <w:szCs w:val="22"/>
        </w:rPr>
        <w:t>ompetent authorities</w:t>
      </w:r>
      <w:r w:rsidR="005627D1">
        <w:rPr>
          <w:rFonts w:ascii="Arial" w:hAnsi="Arial" w:cs="Arial"/>
          <w:sz w:val="22"/>
          <w:szCs w:val="22"/>
        </w:rPr>
        <w:t>”</w:t>
      </w:r>
      <w:r>
        <w:rPr>
          <w:rFonts w:ascii="Arial" w:hAnsi="Arial" w:cs="Arial"/>
          <w:sz w:val="22"/>
          <w:szCs w:val="22"/>
        </w:rPr>
        <w:t xml:space="preserve"> must be understood as EU competent authorities. </w:t>
      </w:r>
      <w:r w:rsidR="00293B17">
        <w:rPr>
          <w:rFonts w:ascii="Arial" w:hAnsi="Arial" w:cs="Arial"/>
          <w:sz w:val="22"/>
          <w:szCs w:val="22"/>
        </w:rPr>
        <w:t xml:space="preserve">In particular for asset management activities, these </w:t>
      </w:r>
      <w:r>
        <w:rPr>
          <w:rFonts w:ascii="Arial" w:hAnsi="Arial" w:cs="Arial"/>
          <w:sz w:val="22"/>
          <w:szCs w:val="22"/>
        </w:rPr>
        <w:t>guidelines have no power to describe what should be the conduct of third country authorities in the matter of collaboration and exchange of information for example.</w:t>
      </w:r>
    </w:p>
    <w:p w:rsidR="00E947D9" w:rsidRDefault="00263EAD" w:rsidP="00A966C3">
      <w:pPr>
        <w:pStyle w:val="Default"/>
        <w:spacing w:line="276" w:lineRule="auto"/>
        <w:jc w:val="both"/>
        <w:rPr>
          <w:rFonts w:ascii="Arial" w:hAnsi="Arial" w:cs="Arial"/>
          <w:sz w:val="22"/>
          <w:szCs w:val="22"/>
        </w:rPr>
      </w:pPr>
      <w:r>
        <w:rPr>
          <w:rFonts w:ascii="Arial" w:hAnsi="Arial" w:cs="Arial"/>
          <w:sz w:val="22"/>
          <w:szCs w:val="22"/>
        </w:rPr>
        <w:t xml:space="preserve">Considering definitions, we </w:t>
      </w:r>
      <w:r w:rsidR="00293B17">
        <w:rPr>
          <w:rFonts w:ascii="Arial" w:hAnsi="Arial" w:cs="Arial"/>
          <w:sz w:val="22"/>
          <w:szCs w:val="22"/>
        </w:rPr>
        <w:t xml:space="preserve">also </w:t>
      </w:r>
      <w:r>
        <w:rPr>
          <w:rFonts w:ascii="Arial" w:hAnsi="Arial" w:cs="Arial"/>
          <w:sz w:val="22"/>
          <w:szCs w:val="22"/>
        </w:rPr>
        <w:t xml:space="preserve">suggest that the meaning of “entities that do not pursue predominantly commercial objectives” that appears in §53 be transferred to §13 </w:t>
      </w:r>
      <w:r w:rsidR="00A966C3">
        <w:rPr>
          <w:rFonts w:ascii="Arial" w:hAnsi="Arial" w:cs="Arial"/>
          <w:sz w:val="22"/>
          <w:szCs w:val="22"/>
        </w:rPr>
        <w:t xml:space="preserve">among the other definitions </w:t>
      </w:r>
      <w:r>
        <w:rPr>
          <w:rFonts w:ascii="Arial" w:hAnsi="Arial" w:cs="Arial"/>
          <w:sz w:val="22"/>
          <w:szCs w:val="22"/>
        </w:rPr>
        <w:t xml:space="preserve">as it is a definition which is used not only in §53 but also in §39 (d).  </w:t>
      </w:r>
    </w:p>
    <w:p w:rsidR="00E947D9" w:rsidRPr="00007065" w:rsidRDefault="00E947D9" w:rsidP="00A966C3">
      <w:pPr>
        <w:pStyle w:val="Default"/>
        <w:jc w:val="both"/>
        <w:rPr>
          <w:rFonts w:ascii="Arial" w:hAnsi="Arial" w:cs="Arial"/>
          <w:sz w:val="22"/>
          <w:szCs w:val="22"/>
        </w:rPr>
      </w:pPr>
    </w:p>
    <w:p w:rsidR="00007065" w:rsidRDefault="00007065" w:rsidP="00A966C3">
      <w:pPr>
        <w:pStyle w:val="Default"/>
        <w:jc w:val="both"/>
        <w:rPr>
          <w:b/>
          <w:sz w:val="22"/>
          <w:szCs w:val="22"/>
        </w:rPr>
      </w:pPr>
      <w:r w:rsidRPr="00007065">
        <w:rPr>
          <w:b/>
          <w:sz w:val="22"/>
          <w:szCs w:val="22"/>
        </w:rPr>
        <w:t xml:space="preserve">Q3: Is the scope of assessments of key function holders by CRD-institutions appropriate and sufficiently clear? </w:t>
      </w:r>
    </w:p>
    <w:p w:rsidR="00E947D9" w:rsidRDefault="00E947D9" w:rsidP="00A966C3">
      <w:pPr>
        <w:pStyle w:val="Default"/>
        <w:jc w:val="both"/>
        <w:rPr>
          <w:rFonts w:ascii="Arial" w:hAnsi="Arial" w:cs="Arial"/>
          <w:sz w:val="22"/>
          <w:szCs w:val="22"/>
        </w:rPr>
      </w:pPr>
    </w:p>
    <w:p w:rsidR="00293B17" w:rsidRDefault="00293B17" w:rsidP="00903CB7">
      <w:pPr>
        <w:pStyle w:val="Default"/>
        <w:spacing w:line="276" w:lineRule="auto"/>
        <w:jc w:val="both"/>
        <w:rPr>
          <w:rFonts w:ascii="Arial" w:hAnsi="Arial" w:cs="Arial"/>
          <w:sz w:val="22"/>
          <w:szCs w:val="22"/>
        </w:rPr>
      </w:pPr>
      <w:r>
        <w:rPr>
          <w:rFonts w:ascii="Arial" w:hAnsi="Arial" w:cs="Arial"/>
          <w:sz w:val="22"/>
          <w:szCs w:val="22"/>
        </w:rPr>
        <w:t>As a reminder, Portfolio Management Companies are generally not directly subject to CRD</w:t>
      </w:r>
      <w:r w:rsidR="008C77F7">
        <w:rPr>
          <w:rFonts w:ascii="Arial" w:hAnsi="Arial" w:cs="Arial"/>
          <w:sz w:val="22"/>
          <w:szCs w:val="22"/>
        </w:rPr>
        <w:t>,</w:t>
      </w:r>
      <w:r>
        <w:rPr>
          <w:rFonts w:ascii="Arial" w:hAnsi="Arial" w:cs="Arial"/>
          <w:sz w:val="22"/>
          <w:szCs w:val="22"/>
        </w:rPr>
        <w:t xml:space="preserve"> as </w:t>
      </w:r>
      <w:r w:rsidR="007A0118">
        <w:rPr>
          <w:rFonts w:ascii="Arial" w:hAnsi="Arial" w:cs="Arial"/>
          <w:sz w:val="22"/>
          <w:szCs w:val="22"/>
        </w:rPr>
        <w:t>CRD’s</w:t>
      </w:r>
      <w:r>
        <w:rPr>
          <w:rFonts w:ascii="Arial" w:hAnsi="Arial" w:cs="Arial"/>
          <w:sz w:val="22"/>
          <w:szCs w:val="22"/>
        </w:rPr>
        <w:t xml:space="preserve"> scope definition in article 4.1 of CRR 575/2013, excludes companies which do not take </w:t>
      </w:r>
      <w:r w:rsidR="007A0118">
        <w:rPr>
          <w:rFonts w:ascii="Arial" w:hAnsi="Arial" w:cs="Arial"/>
          <w:sz w:val="22"/>
          <w:szCs w:val="22"/>
        </w:rPr>
        <w:t xml:space="preserve">clients’ </w:t>
      </w:r>
      <w:r>
        <w:rPr>
          <w:rFonts w:ascii="Arial" w:hAnsi="Arial" w:cs="Arial"/>
          <w:sz w:val="22"/>
          <w:szCs w:val="22"/>
        </w:rPr>
        <w:t>deposit</w:t>
      </w:r>
      <w:r w:rsidR="007A0118">
        <w:rPr>
          <w:rFonts w:ascii="Arial" w:hAnsi="Arial" w:cs="Arial"/>
          <w:sz w:val="22"/>
          <w:szCs w:val="22"/>
        </w:rPr>
        <w:t>s</w:t>
      </w:r>
      <w:r>
        <w:rPr>
          <w:rFonts w:ascii="Arial" w:hAnsi="Arial" w:cs="Arial"/>
          <w:sz w:val="22"/>
          <w:szCs w:val="22"/>
        </w:rPr>
        <w:t>.  However, EU law currently defines an oversight duty under CRD</w:t>
      </w:r>
      <w:r w:rsidR="007A0118">
        <w:rPr>
          <w:rFonts w:ascii="Arial" w:hAnsi="Arial" w:cs="Arial"/>
          <w:sz w:val="22"/>
          <w:szCs w:val="22"/>
        </w:rPr>
        <w:t xml:space="preserve"> IV</w:t>
      </w:r>
      <w:r>
        <w:rPr>
          <w:rFonts w:ascii="Arial" w:hAnsi="Arial" w:cs="Arial"/>
          <w:sz w:val="22"/>
          <w:szCs w:val="22"/>
        </w:rPr>
        <w:t xml:space="preserve">’s art 109, and CRR </w:t>
      </w:r>
      <w:r w:rsidR="007A0118">
        <w:rPr>
          <w:rFonts w:ascii="Arial" w:hAnsi="Arial" w:cs="Arial"/>
          <w:sz w:val="22"/>
          <w:szCs w:val="22"/>
        </w:rPr>
        <w:t xml:space="preserve">575/2013 </w:t>
      </w:r>
      <w:r>
        <w:rPr>
          <w:rFonts w:ascii="Arial" w:hAnsi="Arial" w:cs="Arial"/>
          <w:sz w:val="22"/>
          <w:szCs w:val="22"/>
        </w:rPr>
        <w:t>art 4.26, whe</w:t>
      </w:r>
      <w:r w:rsidR="007A0118">
        <w:rPr>
          <w:rFonts w:ascii="Arial" w:hAnsi="Arial" w:cs="Arial"/>
          <w:sz w:val="22"/>
          <w:szCs w:val="22"/>
        </w:rPr>
        <w:t>re</w:t>
      </w:r>
      <w:r>
        <w:rPr>
          <w:rFonts w:ascii="Arial" w:hAnsi="Arial" w:cs="Arial"/>
          <w:sz w:val="22"/>
          <w:szCs w:val="22"/>
        </w:rPr>
        <w:t xml:space="preserve"> asset management subsidiaries are deemed part of the </w:t>
      </w:r>
      <w:r w:rsidR="007A0118">
        <w:rPr>
          <w:rFonts w:ascii="Arial" w:hAnsi="Arial" w:cs="Arial"/>
          <w:sz w:val="22"/>
          <w:szCs w:val="22"/>
        </w:rPr>
        <w:t>p</w:t>
      </w:r>
      <w:r>
        <w:rPr>
          <w:rFonts w:ascii="Arial" w:hAnsi="Arial" w:cs="Arial"/>
          <w:sz w:val="22"/>
          <w:szCs w:val="22"/>
        </w:rPr>
        <w:t xml:space="preserve">rudential </w:t>
      </w:r>
      <w:r w:rsidR="007A0118">
        <w:rPr>
          <w:rFonts w:ascii="Arial" w:hAnsi="Arial" w:cs="Arial"/>
          <w:sz w:val="22"/>
          <w:szCs w:val="22"/>
        </w:rPr>
        <w:t>c</w:t>
      </w:r>
      <w:r>
        <w:rPr>
          <w:rFonts w:ascii="Arial" w:hAnsi="Arial" w:cs="Arial"/>
          <w:sz w:val="22"/>
          <w:szCs w:val="22"/>
        </w:rPr>
        <w:t>onsolidati</w:t>
      </w:r>
      <w:r w:rsidR="007A0118">
        <w:rPr>
          <w:rFonts w:ascii="Arial" w:hAnsi="Arial" w:cs="Arial"/>
          <w:sz w:val="22"/>
          <w:szCs w:val="22"/>
        </w:rPr>
        <w:t>o</w:t>
      </w:r>
      <w:r>
        <w:rPr>
          <w:rFonts w:ascii="Arial" w:hAnsi="Arial" w:cs="Arial"/>
          <w:sz w:val="22"/>
          <w:szCs w:val="22"/>
        </w:rPr>
        <w:t>n</w:t>
      </w:r>
      <w:r w:rsidR="007A0118">
        <w:rPr>
          <w:rFonts w:ascii="Arial" w:hAnsi="Arial" w:cs="Arial"/>
          <w:sz w:val="22"/>
          <w:szCs w:val="22"/>
        </w:rPr>
        <w:t xml:space="preserve"> perimeter.  This creates layering of regulations, notably in the field of remuneration, adding unnecessary complexity and often </w:t>
      </w:r>
      <w:proofErr w:type="spellStart"/>
      <w:r w:rsidR="007A0118">
        <w:rPr>
          <w:rFonts w:ascii="Arial" w:hAnsi="Arial" w:cs="Arial"/>
          <w:sz w:val="22"/>
          <w:szCs w:val="22"/>
        </w:rPr>
        <w:t>inadapted</w:t>
      </w:r>
      <w:proofErr w:type="spellEnd"/>
      <w:r w:rsidR="007A0118">
        <w:rPr>
          <w:rFonts w:ascii="Arial" w:hAnsi="Arial" w:cs="Arial"/>
          <w:sz w:val="22"/>
          <w:szCs w:val="22"/>
        </w:rPr>
        <w:t xml:space="preserve"> one-size-fits-all situations between banking and asset management sectors.</w:t>
      </w:r>
    </w:p>
    <w:p w:rsidR="00C01A22" w:rsidRDefault="00C01A22">
      <w:pPr>
        <w:spacing w:line="240" w:lineRule="auto"/>
        <w:rPr>
          <w:rFonts w:cs="Arial"/>
          <w:color w:val="000000"/>
          <w:sz w:val="22"/>
          <w:szCs w:val="22"/>
          <w:lang w:val="en-US"/>
        </w:rPr>
      </w:pPr>
      <w:r>
        <w:rPr>
          <w:rFonts w:cs="Arial"/>
          <w:sz w:val="22"/>
          <w:szCs w:val="22"/>
        </w:rPr>
        <w:br w:type="page"/>
      </w:r>
    </w:p>
    <w:p w:rsidR="007A0118" w:rsidRPr="00E947D9" w:rsidRDefault="007A0118" w:rsidP="00903CB7">
      <w:pPr>
        <w:pStyle w:val="Default"/>
        <w:spacing w:line="276" w:lineRule="auto"/>
        <w:jc w:val="both"/>
        <w:rPr>
          <w:rFonts w:ascii="Arial" w:hAnsi="Arial" w:cs="Arial"/>
          <w:sz w:val="22"/>
          <w:szCs w:val="22"/>
        </w:rPr>
      </w:pPr>
    </w:p>
    <w:p w:rsidR="00007065" w:rsidRDefault="00007065" w:rsidP="00A966C3">
      <w:pPr>
        <w:pStyle w:val="Default"/>
        <w:jc w:val="both"/>
        <w:rPr>
          <w:b/>
          <w:sz w:val="22"/>
          <w:szCs w:val="22"/>
        </w:rPr>
      </w:pPr>
      <w:r w:rsidRPr="00007065">
        <w:rPr>
          <w:b/>
          <w:sz w:val="22"/>
          <w:szCs w:val="22"/>
        </w:rPr>
        <w:t xml:space="preserve">Q4: Do you agree with this approach to the proportionality principle and consider that it will help in the practical implementation of the guidelines? Which aspects are not practical and the reasons why? Institutions are asked to provide quantitative and qualitative information about the size, internal </w:t>
      </w:r>
      <w:r w:rsidR="00185DC2" w:rsidRPr="00007065">
        <w:rPr>
          <w:b/>
          <w:sz w:val="22"/>
          <w:szCs w:val="22"/>
        </w:rPr>
        <w:t>organization</w:t>
      </w:r>
      <w:r w:rsidRPr="00007065">
        <w:rPr>
          <w:b/>
          <w:sz w:val="22"/>
          <w:szCs w:val="22"/>
        </w:rPr>
        <w:t xml:space="preserve"> and the nature, scale and complexity of the activities of their institution to support their answers. </w:t>
      </w:r>
    </w:p>
    <w:p w:rsidR="00E947D9" w:rsidRDefault="00E947D9" w:rsidP="00A966C3">
      <w:pPr>
        <w:pStyle w:val="Default"/>
        <w:jc w:val="both"/>
        <w:rPr>
          <w:rFonts w:ascii="Arial" w:hAnsi="Arial" w:cs="Arial"/>
          <w:sz w:val="22"/>
          <w:szCs w:val="22"/>
        </w:rPr>
      </w:pPr>
    </w:p>
    <w:p w:rsidR="002213B5" w:rsidRDefault="004616FC" w:rsidP="00A966C3">
      <w:pPr>
        <w:pStyle w:val="Default"/>
        <w:spacing w:line="276" w:lineRule="auto"/>
        <w:jc w:val="both"/>
        <w:rPr>
          <w:rFonts w:ascii="Arial" w:hAnsi="Arial" w:cs="Arial"/>
          <w:sz w:val="22"/>
          <w:szCs w:val="22"/>
        </w:rPr>
      </w:pPr>
      <w:r>
        <w:rPr>
          <w:rFonts w:ascii="Arial" w:hAnsi="Arial" w:cs="Arial"/>
          <w:sz w:val="22"/>
          <w:szCs w:val="22"/>
        </w:rPr>
        <w:t xml:space="preserve">We do support the application of proportionality in the guidelines. As a general rule we consider it to be fair when properly applied. </w:t>
      </w:r>
      <w:r w:rsidR="00AD1766">
        <w:rPr>
          <w:rFonts w:ascii="Arial" w:hAnsi="Arial" w:cs="Arial"/>
          <w:sz w:val="22"/>
          <w:szCs w:val="22"/>
        </w:rPr>
        <w:t xml:space="preserve">Thus, we totally share the view in §35 that there is no room for proportionality when it comes to integrity or honesty: they are matters of conduct that cannot suffer </w:t>
      </w:r>
      <w:r w:rsidR="00A94F97">
        <w:rPr>
          <w:rFonts w:ascii="Arial" w:hAnsi="Arial" w:cs="Arial"/>
          <w:sz w:val="22"/>
          <w:szCs w:val="22"/>
        </w:rPr>
        <w:t>sub</w:t>
      </w:r>
      <w:r w:rsidR="008C77F7">
        <w:rPr>
          <w:rFonts w:ascii="Arial" w:hAnsi="Arial" w:cs="Arial"/>
          <w:sz w:val="22"/>
          <w:szCs w:val="22"/>
        </w:rPr>
        <w:t>-</w:t>
      </w:r>
      <w:r w:rsidR="00A94F97">
        <w:rPr>
          <w:rFonts w:ascii="Arial" w:hAnsi="Arial" w:cs="Arial"/>
          <w:sz w:val="22"/>
          <w:szCs w:val="22"/>
        </w:rPr>
        <w:t>standard</w:t>
      </w:r>
      <w:r w:rsidR="00AD1766">
        <w:rPr>
          <w:rFonts w:ascii="Arial" w:hAnsi="Arial" w:cs="Arial"/>
          <w:sz w:val="22"/>
          <w:szCs w:val="22"/>
        </w:rPr>
        <w:t xml:space="preserve"> appraisal.</w:t>
      </w:r>
      <w:r w:rsidR="00185DC2">
        <w:rPr>
          <w:rFonts w:ascii="Arial" w:hAnsi="Arial" w:cs="Arial"/>
          <w:sz w:val="22"/>
          <w:szCs w:val="22"/>
        </w:rPr>
        <w:t xml:space="preserve"> </w:t>
      </w:r>
      <w:proofErr w:type="gramStart"/>
      <w:r w:rsidR="0035301E">
        <w:rPr>
          <w:rFonts w:ascii="Arial" w:hAnsi="Arial" w:cs="Arial"/>
          <w:sz w:val="22"/>
          <w:szCs w:val="22"/>
        </w:rPr>
        <w:t>The same in our view with independence of mind.</w:t>
      </w:r>
      <w:proofErr w:type="gramEnd"/>
      <w:r w:rsidR="00AD1766">
        <w:rPr>
          <w:rFonts w:ascii="Arial" w:hAnsi="Arial" w:cs="Arial"/>
          <w:sz w:val="22"/>
          <w:szCs w:val="22"/>
        </w:rPr>
        <w:t xml:space="preserve"> But we do not believe that when the regulator asks for a full dossier to be prepared to justify the application of proportionality it helps smaller firms</w:t>
      </w:r>
      <w:r w:rsidR="007F4120">
        <w:rPr>
          <w:rFonts w:ascii="Arial" w:hAnsi="Arial" w:cs="Arial"/>
          <w:sz w:val="22"/>
          <w:szCs w:val="22"/>
        </w:rPr>
        <w:t>.</w:t>
      </w:r>
      <w:r w:rsidR="00AD1766">
        <w:rPr>
          <w:rFonts w:ascii="Arial" w:hAnsi="Arial" w:cs="Arial"/>
          <w:sz w:val="22"/>
          <w:szCs w:val="22"/>
        </w:rPr>
        <w:t xml:space="preserve"> The rationale for proportionality is that simpler situations allow simpler monitoring and organization. </w:t>
      </w:r>
    </w:p>
    <w:p w:rsidR="002213B5" w:rsidRDefault="002213B5" w:rsidP="00A966C3">
      <w:pPr>
        <w:pStyle w:val="Default"/>
        <w:spacing w:line="276" w:lineRule="auto"/>
        <w:jc w:val="both"/>
        <w:rPr>
          <w:rFonts w:ascii="Arial" w:hAnsi="Arial" w:cs="Arial"/>
          <w:sz w:val="22"/>
          <w:szCs w:val="22"/>
        </w:rPr>
      </w:pPr>
    </w:p>
    <w:p w:rsidR="009231A3" w:rsidRDefault="00AD1766" w:rsidP="002213B5">
      <w:pPr>
        <w:pStyle w:val="Default"/>
        <w:spacing w:line="276" w:lineRule="auto"/>
        <w:jc w:val="both"/>
        <w:rPr>
          <w:rFonts w:ascii="Arial" w:hAnsi="Arial" w:cs="Arial"/>
          <w:sz w:val="22"/>
          <w:szCs w:val="22"/>
        </w:rPr>
      </w:pPr>
      <w:r>
        <w:rPr>
          <w:rFonts w:ascii="Arial" w:hAnsi="Arial" w:cs="Arial"/>
          <w:sz w:val="22"/>
          <w:szCs w:val="22"/>
        </w:rPr>
        <w:t xml:space="preserve">The main </w:t>
      </w:r>
      <w:r w:rsidR="00A94F97">
        <w:rPr>
          <w:rFonts w:ascii="Arial" w:hAnsi="Arial" w:cs="Arial"/>
          <w:sz w:val="22"/>
          <w:szCs w:val="22"/>
        </w:rPr>
        <w:t>cases</w:t>
      </w:r>
      <w:r>
        <w:rPr>
          <w:rFonts w:ascii="Arial" w:hAnsi="Arial" w:cs="Arial"/>
          <w:sz w:val="22"/>
          <w:szCs w:val="22"/>
        </w:rPr>
        <w:t xml:space="preserve"> for proportionate application of the guidance relate</w:t>
      </w:r>
      <w:r w:rsidR="00A94F97">
        <w:rPr>
          <w:rFonts w:ascii="Arial" w:hAnsi="Arial" w:cs="Arial"/>
          <w:sz w:val="22"/>
          <w:szCs w:val="22"/>
        </w:rPr>
        <w:t xml:space="preserve"> especially</w:t>
      </w:r>
      <w:r>
        <w:rPr>
          <w:rFonts w:ascii="Arial" w:hAnsi="Arial" w:cs="Arial"/>
          <w:sz w:val="22"/>
          <w:szCs w:val="22"/>
        </w:rPr>
        <w:t xml:space="preserve"> in ou</w:t>
      </w:r>
      <w:r w:rsidR="00241D41">
        <w:rPr>
          <w:rFonts w:ascii="Arial" w:hAnsi="Arial" w:cs="Arial"/>
          <w:sz w:val="22"/>
          <w:szCs w:val="22"/>
        </w:rPr>
        <w:t>r</w:t>
      </w:r>
      <w:r>
        <w:rPr>
          <w:rFonts w:ascii="Arial" w:hAnsi="Arial" w:cs="Arial"/>
          <w:sz w:val="22"/>
          <w:szCs w:val="22"/>
        </w:rPr>
        <w:t xml:space="preserve"> view </w:t>
      </w:r>
      <w:r w:rsidR="00241D41">
        <w:rPr>
          <w:rFonts w:ascii="Arial" w:hAnsi="Arial" w:cs="Arial"/>
          <w:sz w:val="22"/>
          <w:szCs w:val="22"/>
        </w:rPr>
        <w:t>to</w:t>
      </w:r>
      <w:r w:rsidR="002213B5">
        <w:rPr>
          <w:rFonts w:ascii="Arial" w:hAnsi="Arial" w:cs="Arial"/>
          <w:sz w:val="22"/>
          <w:szCs w:val="22"/>
        </w:rPr>
        <w:t xml:space="preserve"> </w:t>
      </w:r>
      <w:r w:rsidR="008C7F16">
        <w:rPr>
          <w:rFonts w:ascii="Arial" w:hAnsi="Arial" w:cs="Arial"/>
          <w:sz w:val="22"/>
          <w:szCs w:val="22"/>
        </w:rPr>
        <w:t xml:space="preserve">the </w:t>
      </w:r>
      <w:r w:rsidR="002213B5">
        <w:rPr>
          <w:rFonts w:ascii="Arial" w:hAnsi="Arial" w:cs="Arial"/>
          <w:sz w:val="22"/>
          <w:szCs w:val="22"/>
        </w:rPr>
        <w:t>size of the board</w:t>
      </w:r>
      <w:r w:rsidR="008C7F16">
        <w:rPr>
          <w:rFonts w:ascii="Arial" w:hAnsi="Arial" w:cs="Arial"/>
          <w:sz w:val="22"/>
          <w:szCs w:val="22"/>
        </w:rPr>
        <w:t xml:space="preserve"> and the</w:t>
      </w:r>
      <w:r w:rsidR="002213B5">
        <w:rPr>
          <w:rFonts w:ascii="Arial" w:hAnsi="Arial" w:cs="Arial"/>
          <w:sz w:val="22"/>
          <w:szCs w:val="22"/>
        </w:rPr>
        <w:t xml:space="preserve"> </w:t>
      </w:r>
      <w:r w:rsidR="0035301E" w:rsidRPr="002213B5">
        <w:rPr>
          <w:rFonts w:ascii="Arial" w:hAnsi="Arial" w:cs="Arial"/>
          <w:sz w:val="22"/>
          <w:szCs w:val="22"/>
        </w:rPr>
        <w:t xml:space="preserve">education and training of Board members </w:t>
      </w:r>
      <w:r w:rsidR="00A94F97">
        <w:rPr>
          <w:rFonts w:ascii="Arial" w:hAnsi="Arial" w:cs="Arial"/>
          <w:sz w:val="22"/>
          <w:szCs w:val="22"/>
        </w:rPr>
        <w:t xml:space="preserve">which should be </w:t>
      </w:r>
      <w:r w:rsidR="00F80D58" w:rsidRPr="002213B5">
        <w:rPr>
          <w:rFonts w:ascii="Arial" w:hAnsi="Arial" w:cs="Arial"/>
          <w:sz w:val="22"/>
          <w:szCs w:val="22"/>
        </w:rPr>
        <w:t xml:space="preserve">adapted to the </w:t>
      </w:r>
      <w:r w:rsidR="008C7F16">
        <w:rPr>
          <w:rFonts w:ascii="Arial" w:hAnsi="Arial" w:cs="Arial"/>
          <w:sz w:val="22"/>
          <w:szCs w:val="22"/>
        </w:rPr>
        <w:t xml:space="preserve">complexity </w:t>
      </w:r>
      <w:r w:rsidR="00F80D58" w:rsidRPr="002213B5">
        <w:rPr>
          <w:rFonts w:ascii="Arial" w:hAnsi="Arial" w:cs="Arial"/>
          <w:sz w:val="22"/>
          <w:szCs w:val="22"/>
        </w:rPr>
        <w:t>of the firm</w:t>
      </w:r>
      <w:r w:rsidR="008C7F16">
        <w:rPr>
          <w:rFonts w:ascii="Arial" w:hAnsi="Arial" w:cs="Arial"/>
          <w:sz w:val="22"/>
          <w:szCs w:val="22"/>
        </w:rPr>
        <w:t>.  Furthermore</w:t>
      </w:r>
      <w:r w:rsidR="002213B5">
        <w:rPr>
          <w:rFonts w:ascii="Arial" w:hAnsi="Arial" w:cs="Arial"/>
          <w:sz w:val="22"/>
          <w:szCs w:val="22"/>
        </w:rPr>
        <w:t xml:space="preserve">, </w:t>
      </w:r>
      <w:r w:rsidR="009231A3">
        <w:rPr>
          <w:rFonts w:ascii="Arial" w:hAnsi="Arial" w:cs="Arial"/>
          <w:sz w:val="22"/>
          <w:szCs w:val="22"/>
        </w:rPr>
        <w:t xml:space="preserve">within a group, technical entities </w:t>
      </w:r>
      <w:r w:rsidR="008C7F16">
        <w:rPr>
          <w:rFonts w:ascii="Arial" w:hAnsi="Arial" w:cs="Arial"/>
          <w:sz w:val="22"/>
          <w:szCs w:val="22"/>
        </w:rPr>
        <w:t>(</w:t>
      </w:r>
      <w:r w:rsidR="000B003E">
        <w:rPr>
          <w:rFonts w:ascii="Arial" w:hAnsi="Arial" w:cs="Arial"/>
          <w:sz w:val="22"/>
          <w:szCs w:val="22"/>
        </w:rPr>
        <w:t>see below</w:t>
      </w:r>
      <w:r w:rsidR="008C7F16">
        <w:rPr>
          <w:rFonts w:ascii="Arial" w:hAnsi="Arial" w:cs="Arial"/>
          <w:sz w:val="22"/>
          <w:szCs w:val="22"/>
        </w:rPr>
        <w:t xml:space="preserve"> some examples in our response to Q5) </w:t>
      </w:r>
      <w:r w:rsidR="009231A3">
        <w:rPr>
          <w:rFonts w:ascii="Arial" w:hAnsi="Arial" w:cs="Arial"/>
          <w:sz w:val="22"/>
          <w:szCs w:val="22"/>
        </w:rPr>
        <w:t>should be exempted provided that the top company in the group is compliant</w:t>
      </w:r>
      <w:proofErr w:type="gramStart"/>
      <w:r w:rsidR="009231A3">
        <w:rPr>
          <w:rFonts w:ascii="Arial" w:hAnsi="Arial" w:cs="Arial"/>
          <w:sz w:val="22"/>
          <w:szCs w:val="22"/>
        </w:rPr>
        <w:t>…</w:t>
      </w:r>
      <w:r w:rsidR="007A0118">
        <w:rPr>
          <w:rFonts w:ascii="Arial" w:hAnsi="Arial" w:cs="Arial"/>
          <w:sz w:val="22"/>
          <w:szCs w:val="22"/>
        </w:rPr>
        <w:t>(</w:t>
      </w:r>
      <w:proofErr w:type="gramEnd"/>
      <w:r w:rsidR="007A0118">
        <w:rPr>
          <w:rFonts w:ascii="Arial" w:hAnsi="Arial" w:cs="Arial"/>
          <w:sz w:val="22"/>
          <w:szCs w:val="22"/>
        </w:rPr>
        <w:t>see also our “Identified Entities” proposal in answer to question 5 below</w:t>
      </w:r>
      <w:r w:rsidR="008C77F7">
        <w:rPr>
          <w:rFonts w:ascii="Arial" w:hAnsi="Arial" w:cs="Arial"/>
          <w:sz w:val="22"/>
          <w:szCs w:val="22"/>
        </w:rPr>
        <w:t>)</w:t>
      </w:r>
      <w:r w:rsidR="007A0118">
        <w:rPr>
          <w:rFonts w:ascii="Arial" w:hAnsi="Arial" w:cs="Arial"/>
          <w:sz w:val="22"/>
          <w:szCs w:val="22"/>
        </w:rPr>
        <w:t>.</w:t>
      </w:r>
    </w:p>
    <w:p w:rsidR="008C7F16" w:rsidRDefault="008C7F16" w:rsidP="002213B5">
      <w:pPr>
        <w:pStyle w:val="Default"/>
        <w:spacing w:line="276" w:lineRule="auto"/>
        <w:jc w:val="both"/>
        <w:rPr>
          <w:rFonts w:ascii="Arial" w:hAnsi="Arial" w:cs="Arial"/>
          <w:sz w:val="22"/>
          <w:szCs w:val="22"/>
        </w:rPr>
      </w:pPr>
    </w:p>
    <w:p w:rsidR="00E947D9" w:rsidRDefault="00007065" w:rsidP="00A966C3">
      <w:pPr>
        <w:pStyle w:val="Default"/>
        <w:jc w:val="both"/>
        <w:rPr>
          <w:b/>
          <w:sz w:val="22"/>
          <w:szCs w:val="22"/>
        </w:rPr>
      </w:pPr>
      <w:r w:rsidRPr="00007065">
        <w:rPr>
          <w:b/>
          <w:sz w:val="22"/>
          <w:szCs w:val="22"/>
        </w:rPr>
        <w:t xml:space="preserve">Q5: Do you consider that a more proportionate application of the guidelines regarding any aspect of the guidelines could be introduced? When providing your answer please specify which aspects and the reasons why. In this respect, institutions are asked to provide quantitative and qualitative information about the size, internal </w:t>
      </w:r>
      <w:r w:rsidR="00185DC2" w:rsidRPr="00007065">
        <w:rPr>
          <w:b/>
          <w:sz w:val="22"/>
          <w:szCs w:val="22"/>
        </w:rPr>
        <w:t>organization</w:t>
      </w:r>
      <w:r w:rsidRPr="00007065">
        <w:rPr>
          <w:b/>
          <w:sz w:val="22"/>
          <w:szCs w:val="22"/>
        </w:rPr>
        <w:t xml:space="preserve"> and the nature, scale and complexity of the activities of their institution to support their answers.</w:t>
      </w:r>
    </w:p>
    <w:p w:rsidR="00E947D9" w:rsidRDefault="00E947D9" w:rsidP="00A966C3">
      <w:pPr>
        <w:pStyle w:val="Default"/>
        <w:jc w:val="both"/>
        <w:rPr>
          <w:rFonts w:ascii="Arial" w:hAnsi="Arial" w:cs="Arial"/>
          <w:sz w:val="22"/>
          <w:szCs w:val="22"/>
        </w:rPr>
      </w:pPr>
    </w:p>
    <w:p w:rsidR="0035301E" w:rsidRDefault="0035301E" w:rsidP="00A966C3">
      <w:pPr>
        <w:pStyle w:val="Default"/>
        <w:spacing w:line="276" w:lineRule="auto"/>
        <w:jc w:val="both"/>
        <w:rPr>
          <w:rFonts w:ascii="Arial" w:hAnsi="Arial" w:cs="Arial"/>
          <w:sz w:val="22"/>
          <w:szCs w:val="22"/>
        </w:rPr>
      </w:pPr>
      <w:r>
        <w:rPr>
          <w:rFonts w:ascii="Arial" w:hAnsi="Arial" w:cs="Arial"/>
          <w:sz w:val="22"/>
          <w:szCs w:val="22"/>
        </w:rPr>
        <w:t xml:space="preserve">See </w:t>
      </w:r>
      <w:r w:rsidR="008C77F7">
        <w:rPr>
          <w:rFonts w:ascii="Arial" w:hAnsi="Arial" w:cs="Arial"/>
          <w:sz w:val="22"/>
          <w:szCs w:val="22"/>
        </w:rPr>
        <w:t xml:space="preserve">also </w:t>
      </w:r>
      <w:r>
        <w:rPr>
          <w:rFonts w:ascii="Arial" w:hAnsi="Arial" w:cs="Arial"/>
          <w:sz w:val="22"/>
          <w:szCs w:val="22"/>
        </w:rPr>
        <w:t xml:space="preserve">our general comment on proportionality above in question 4. </w:t>
      </w:r>
    </w:p>
    <w:p w:rsidR="00472959" w:rsidRDefault="00472959" w:rsidP="00A966C3">
      <w:pPr>
        <w:pStyle w:val="Default"/>
        <w:spacing w:line="276" w:lineRule="auto"/>
        <w:jc w:val="both"/>
        <w:rPr>
          <w:rFonts w:ascii="Arial" w:hAnsi="Arial" w:cs="Arial"/>
          <w:sz w:val="22"/>
          <w:szCs w:val="22"/>
        </w:rPr>
      </w:pPr>
    </w:p>
    <w:p w:rsidR="00C20009" w:rsidRPr="00C20009" w:rsidRDefault="00185DC2" w:rsidP="00C20009">
      <w:pPr>
        <w:pStyle w:val="Default"/>
        <w:spacing w:line="276" w:lineRule="auto"/>
        <w:jc w:val="both"/>
        <w:rPr>
          <w:rFonts w:ascii="Arial" w:hAnsi="Arial" w:cs="Arial"/>
          <w:sz w:val="22"/>
          <w:szCs w:val="22"/>
        </w:rPr>
      </w:pPr>
      <w:r w:rsidRPr="00C20009">
        <w:rPr>
          <w:rFonts w:ascii="Arial" w:hAnsi="Arial" w:cs="Arial"/>
          <w:sz w:val="22"/>
          <w:szCs w:val="22"/>
        </w:rPr>
        <w:t xml:space="preserve">The proportionate application of the guidelines </w:t>
      </w:r>
      <w:r w:rsidR="00C20009">
        <w:rPr>
          <w:rFonts w:ascii="Arial" w:hAnsi="Arial" w:cs="Arial"/>
          <w:sz w:val="22"/>
          <w:szCs w:val="22"/>
        </w:rPr>
        <w:t>i</w:t>
      </w:r>
      <w:r w:rsidR="00C20009" w:rsidRPr="00C20009">
        <w:rPr>
          <w:rFonts w:ascii="Arial" w:hAnsi="Arial" w:cs="Arial"/>
          <w:sz w:val="22"/>
          <w:szCs w:val="22"/>
        </w:rPr>
        <w:t xml:space="preserve">s </w:t>
      </w:r>
      <w:r w:rsidR="008C7F16">
        <w:rPr>
          <w:rFonts w:ascii="Arial" w:hAnsi="Arial" w:cs="Arial"/>
          <w:sz w:val="22"/>
          <w:szCs w:val="22"/>
        </w:rPr>
        <w:t xml:space="preserve">essential in order not to </w:t>
      </w:r>
      <w:r w:rsidR="00C20009" w:rsidRPr="00C20009">
        <w:rPr>
          <w:rFonts w:ascii="Arial" w:hAnsi="Arial" w:cs="Arial"/>
          <w:sz w:val="22"/>
          <w:szCs w:val="22"/>
        </w:rPr>
        <w:t xml:space="preserve">spread rules </w:t>
      </w:r>
      <w:r w:rsidR="008C7F16">
        <w:rPr>
          <w:rFonts w:ascii="Arial" w:hAnsi="Arial" w:cs="Arial"/>
          <w:sz w:val="22"/>
          <w:szCs w:val="22"/>
        </w:rPr>
        <w:t xml:space="preserve">where they are either unnecessary or inappropriate, which would </w:t>
      </w:r>
      <w:r w:rsidR="00C20009" w:rsidRPr="00C20009">
        <w:rPr>
          <w:rFonts w:ascii="Arial" w:hAnsi="Arial" w:cs="Arial"/>
          <w:sz w:val="22"/>
          <w:szCs w:val="22"/>
        </w:rPr>
        <w:t>risk burdening the competitiveness of our entities</w:t>
      </w:r>
      <w:r w:rsidR="00C20009">
        <w:rPr>
          <w:rFonts w:ascii="Arial" w:hAnsi="Arial" w:cs="Arial"/>
          <w:sz w:val="22"/>
          <w:szCs w:val="22"/>
        </w:rPr>
        <w:t>, which means:</w:t>
      </w:r>
    </w:p>
    <w:p w:rsidR="00B42E86" w:rsidRPr="00D910F6" w:rsidRDefault="00185DC2" w:rsidP="00D910F6">
      <w:pPr>
        <w:pStyle w:val="Default"/>
        <w:numPr>
          <w:ilvl w:val="0"/>
          <w:numId w:val="7"/>
        </w:numPr>
        <w:spacing w:line="276" w:lineRule="auto"/>
        <w:jc w:val="both"/>
        <w:rPr>
          <w:rFonts w:ascii="Arial" w:hAnsi="Arial" w:cs="Arial"/>
          <w:sz w:val="22"/>
          <w:szCs w:val="22"/>
        </w:rPr>
      </w:pPr>
      <w:proofErr w:type="gramStart"/>
      <w:r w:rsidRPr="00B42E86">
        <w:rPr>
          <w:rFonts w:ascii="Arial" w:hAnsi="Arial" w:cs="Arial"/>
          <w:sz w:val="22"/>
          <w:szCs w:val="22"/>
        </w:rPr>
        <w:t>avoiding</w:t>
      </w:r>
      <w:proofErr w:type="gramEnd"/>
      <w:r w:rsidRPr="00B42E86">
        <w:rPr>
          <w:rFonts w:ascii="Arial" w:hAnsi="Arial" w:cs="Arial"/>
          <w:sz w:val="22"/>
          <w:szCs w:val="22"/>
        </w:rPr>
        <w:t xml:space="preserve"> an unfair </w:t>
      </w:r>
      <w:r w:rsidR="00C01A22">
        <w:rPr>
          <w:rFonts w:ascii="Arial" w:hAnsi="Arial" w:cs="Arial"/>
          <w:sz w:val="22"/>
          <w:szCs w:val="22"/>
        </w:rPr>
        <w:t xml:space="preserve">and inadequate </w:t>
      </w:r>
      <w:r w:rsidRPr="00B42E86">
        <w:rPr>
          <w:rFonts w:ascii="Arial" w:hAnsi="Arial" w:cs="Arial"/>
          <w:sz w:val="22"/>
          <w:szCs w:val="22"/>
        </w:rPr>
        <w:t>extension of banking concepts to subsidiaries not exercising banking activity</w:t>
      </w:r>
      <w:r w:rsidR="00D910F6">
        <w:rPr>
          <w:rFonts w:ascii="Arial" w:hAnsi="Arial" w:cs="Arial"/>
          <w:sz w:val="22"/>
          <w:szCs w:val="22"/>
        </w:rPr>
        <w:t xml:space="preserve">. </w:t>
      </w:r>
      <w:r w:rsidR="00B42E86" w:rsidRPr="00D910F6">
        <w:rPr>
          <w:rFonts w:ascii="Arial" w:hAnsi="Arial" w:cs="Arial"/>
          <w:sz w:val="22"/>
          <w:szCs w:val="22"/>
        </w:rPr>
        <w:t xml:space="preserve">Asset management is a specific industry: </w:t>
      </w:r>
      <w:r w:rsidR="008C77F7">
        <w:rPr>
          <w:rFonts w:ascii="Arial" w:hAnsi="Arial" w:cs="Arial"/>
          <w:sz w:val="22"/>
          <w:szCs w:val="22"/>
        </w:rPr>
        <w:t>i</w:t>
      </w:r>
      <w:r w:rsidR="00B42E86" w:rsidRPr="00D910F6">
        <w:rPr>
          <w:rFonts w:ascii="Arial" w:hAnsi="Arial" w:cs="Arial"/>
          <w:sz w:val="22"/>
          <w:szCs w:val="22"/>
        </w:rPr>
        <w:t>t should be reminded that asset management companies</w:t>
      </w:r>
      <w:r w:rsidR="00C01A22">
        <w:rPr>
          <w:rFonts w:ascii="Arial" w:hAnsi="Arial" w:cs="Arial"/>
          <w:sz w:val="22"/>
          <w:szCs w:val="22"/>
        </w:rPr>
        <w:t>,</w:t>
      </w:r>
      <w:r w:rsidR="00B42E86" w:rsidRPr="00D910F6">
        <w:rPr>
          <w:rFonts w:ascii="Arial" w:hAnsi="Arial" w:cs="Arial"/>
          <w:sz w:val="22"/>
          <w:szCs w:val="22"/>
        </w:rPr>
        <w:t xml:space="preserve"> </w:t>
      </w:r>
      <w:r w:rsidR="007A0118">
        <w:rPr>
          <w:rFonts w:ascii="Arial" w:hAnsi="Arial" w:cs="Arial"/>
          <w:sz w:val="22"/>
          <w:szCs w:val="22"/>
        </w:rPr>
        <w:t>unlike banks, bear</w:t>
      </w:r>
      <w:r w:rsidR="007A0118" w:rsidRPr="00D910F6">
        <w:rPr>
          <w:rFonts w:ascii="Arial" w:hAnsi="Arial" w:cs="Arial"/>
          <w:sz w:val="22"/>
          <w:szCs w:val="22"/>
        </w:rPr>
        <w:t xml:space="preserve"> </w:t>
      </w:r>
      <w:r w:rsidR="00B42E86" w:rsidRPr="00D910F6">
        <w:rPr>
          <w:rFonts w:ascii="Arial" w:hAnsi="Arial" w:cs="Arial"/>
          <w:sz w:val="22"/>
          <w:szCs w:val="22"/>
        </w:rPr>
        <w:t xml:space="preserve">no credit </w:t>
      </w:r>
      <w:r w:rsidR="00677BDE" w:rsidRPr="00D910F6">
        <w:rPr>
          <w:rFonts w:ascii="Arial" w:hAnsi="Arial" w:cs="Arial"/>
          <w:sz w:val="22"/>
          <w:szCs w:val="22"/>
        </w:rPr>
        <w:t xml:space="preserve">risks </w:t>
      </w:r>
      <w:r w:rsidR="00677BDE">
        <w:rPr>
          <w:rFonts w:ascii="Arial" w:hAnsi="Arial" w:cs="Arial"/>
          <w:sz w:val="22"/>
          <w:szCs w:val="22"/>
        </w:rPr>
        <w:t>on</w:t>
      </w:r>
      <w:r w:rsidR="007A0118">
        <w:rPr>
          <w:rFonts w:ascii="Arial" w:hAnsi="Arial" w:cs="Arial"/>
          <w:sz w:val="22"/>
          <w:szCs w:val="22"/>
        </w:rPr>
        <w:t xml:space="preserve"> their balance sheets, as they are agent</w:t>
      </w:r>
      <w:r w:rsidR="008C77F7">
        <w:rPr>
          <w:rFonts w:ascii="Arial" w:hAnsi="Arial" w:cs="Arial"/>
          <w:sz w:val="22"/>
          <w:szCs w:val="22"/>
        </w:rPr>
        <w:t>s</w:t>
      </w:r>
      <w:r w:rsidR="007A0118">
        <w:rPr>
          <w:rFonts w:ascii="Arial" w:hAnsi="Arial" w:cs="Arial"/>
          <w:sz w:val="22"/>
          <w:szCs w:val="22"/>
        </w:rPr>
        <w:t xml:space="preserve"> providing investment services on behalf of their clients who own the assets (and retain them on their balance sheets)</w:t>
      </w:r>
      <w:r w:rsidR="00D910F6">
        <w:rPr>
          <w:rFonts w:ascii="Arial" w:hAnsi="Arial" w:cs="Arial"/>
          <w:sz w:val="22"/>
          <w:szCs w:val="22"/>
        </w:rPr>
        <w:t>.</w:t>
      </w:r>
    </w:p>
    <w:p w:rsidR="00D910F6" w:rsidRDefault="00D910F6" w:rsidP="00D910F6">
      <w:pPr>
        <w:pStyle w:val="Default"/>
        <w:numPr>
          <w:ilvl w:val="0"/>
          <w:numId w:val="7"/>
        </w:numPr>
        <w:spacing w:line="276" w:lineRule="auto"/>
        <w:jc w:val="both"/>
        <w:rPr>
          <w:rFonts w:ascii="Arial" w:hAnsi="Arial" w:cs="Arial"/>
          <w:sz w:val="22"/>
          <w:szCs w:val="22"/>
        </w:rPr>
      </w:pPr>
      <w:r>
        <w:rPr>
          <w:rFonts w:ascii="Arial" w:hAnsi="Arial" w:cs="Arial"/>
          <w:sz w:val="22"/>
          <w:szCs w:val="22"/>
        </w:rPr>
        <w:t>l</w:t>
      </w:r>
      <w:r w:rsidRPr="00D910F6">
        <w:rPr>
          <w:rFonts w:ascii="Arial" w:hAnsi="Arial" w:cs="Arial"/>
          <w:sz w:val="22"/>
          <w:szCs w:val="22"/>
        </w:rPr>
        <w:t>imit</w:t>
      </w:r>
      <w:r>
        <w:rPr>
          <w:rFonts w:ascii="Arial" w:hAnsi="Arial" w:cs="Arial"/>
          <w:sz w:val="22"/>
          <w:szCs w:val="22"/>
        </w:rPr>
        <w:t>ing</w:t>
      </w:r>
      <w:r w:rsidRPr="00D910F6">
        <w:rPr>
          <w:rFonts w:ascii="Arial" w:hAnsi="Arial" w:cs="Arial"/>
          <w:sz w:val="22"/>
          <w:szCs w:val="22"/>
        </w:rPr>
        <w:t xml:space="preserve"> the perimeter</w:t>
      </w:r>
      <w:r w:rsidR="008C77F7">
        <w:rPr>
          <w:rFonts w:ascii="Arial" w:hAnsi="Arial" w:cs="Arial"/>
          <w:sz w:val="22"/>
          <w:szCs w:val="22"/>
        </w:rPr>
        <w:t xml:space="preserve"> </w:t>
      </w:r>
      <w:r w:rsidRPr="00D910F6">
        <w:rPr>
          <w:rFonts w:ascii="Arial" w:hAnsi="Arial" w:cs="Arial"/>
          <w:sz w:val="22"/>
          <w:szCs w:val="22"/>
        </w:rPr>
        <w:t xml:space="preserve">(scope) to the </w:t>
      </w:r>
      <w:r w:rsidR="007A0118">
        <w:rPr>
          <w:rFonts w:ascii="Arial" w:hAnsi="Arial" w:cs="Arial"/>
          <w:sz w:val="22"/>
          <w:szCs w:val="22"/>
        </w:rPr>
        <w:t xml:space="preserve">EU </w:t>
      </w:r>
      <w:r w:rsidRPr="00D910F6">
        <w:rPr>
          <w:rFonts w:ascii="Arial" w:hAnsi="Arial" w:cs="Arial"/>
          <w:sz w:val="22"/>
          <w:szCs w:val="22"/>
        </w:rPr>
        <w:t>regulated entities</w:t>
      </w:r>
      <w:r w:rsidR="007A0118">
        <w:rPr>
          <w:rFonts w:ascii="Arial" w:hAnsi="Arial" w:cs="Arial"/>
          <w:sz w:val="22"/>
          <w:szCs w:val="22"/>
        </w:rPr>
        <w:t>, particularly for asset managers</w:t>
      </w:r>
    </w:p>
    <w:p w:rsidR="00185DC2" w:rsidRDefault="00C20009" w:rsidP="00A966C3">
      <w:pPr>
        <w:pStyle w:val="Default"/>
        <w:numPr>
          <w:ilvl w:val="0"/>
          <w:numId w:val="7"/>
        </w:numPr>
        <w:spacing w:line="276" w:lineRule="auto"/>
        <w:jc w:val="both"/>
        <w:rPr>
          <w:rFonts w:ascii="Arial" w:hAnsi="Arial" w:cs="Arial"/>
          <w:sz w:val="22"/>
          <w:szCs w:val="22"/>
        </w:rPr>
      </w:pPr>
      <w:proofErr w:type="gramStart"/>
      <w:r w:rsidRPr="00C20009">
        <w:rPr>
          <w:rFonts w:ascii="Arial" w:hAnsi="Arial" w:cs="Arial"/>
          <w:sz w:val="22"/>
          <w:szCs w:val="22"/>
        </w:rPr>
        <w:t>strictly</w:t>
      </w:r>
      <w:proofErr w:type="gramEnd"/>
      <w:r w:rsidRPr="00C20009">
        <w:rPr>
          <w:rFonts w:ascii="Arial" w:hAnsi="Arial" w:cs="Arial"/>
          <w:sz w:val="22"/>
          <w:szCs w:val="22"/>
        </w:rPr>
        <w:t xml:space="preserve"> l</w:t>
      </w:r>
      <w:r w:rsidR="00D910F6">
        <w:rPr>
          <w:rFonts w:ascii="Arial" w:hAnsi="Arial" w:cs="Arial"/>
          <w:sz w:val="22"/>
          <w:szCs w:val="22"/>
        </w:rPr>
        <w:t>imiting</w:t>
      </w:r>
      <w:r w:rsidRPr="00C20009">
        <w:rPr>
          <w:rFonts w:ascii="Arial" w:hAnsi="Arial" w:cs="Arial"/>
          <w:sz w:val="22"/>
          <w:szCs w:val="22"/>
        </w:rPr>
        <w:t xml:space="preserve"> </w:t>
      </w:r>
      <w:r w:rsidR="00957E9A">
        <w:rPr>
          <w:rFonts w:ascii="Arial" w:hAnsi="Arial" w:cs="Arial"/>
          <w:sz w:val="22"/>
          <w:szCs w:val="22"/>
        </w:rPr>
        <w:t xml:space="preserve">detailed application </w:t>
      </w:r>
      <w:r w:rsidRPr="00C20009">
        <w:rPr>
          <w:rFonts w:ascii="Arial" w:hAnsi="Arial" w:cs="Arial"/>
          <w:sz w:val="22"/>
          <w:szCs w:val="22"/>
        </w:rPr>
        <w:t xml:space="preserve">to </w:t>
      </w:r>
      <w:r w:rsidR="00185DC2" w:rsidRPr="00C20009">
        <w:rPr>
          <w:rFonts w:ascii="Arial" w:hAnsi="Arial" w:cs="Arial"/>
          <w:sz w:val="22"/>
          <w:szCs w:val="22"/>
        </w:rPr>
        <w:t>subsidiaries having a significant impact on the risk profile of the group</w:t>
      </w:r>
      <w:r w:rsidR="003E6969">
        <w:rPr>
          <w:rFonts w:ascii="Arial" w:hAnsi="Arial" w:cs="Arial"/>
          <w:sz w:val="22"/>
          <w:szCs w:val="22"/>
        </w:rPr>
        <w:t>,</w:t>
      </w:r>
      <w:r w:rsidR="007A0118">
        <w:rPr>
          <w:rFonts w:ascii="Arial" w:hAnsi="Arial" w:cs="Arial"/>
          <w:sz w:val="22"/>
          <w:szCs w:val="22"/>
        </w:rPr>
        <w:t xml:space="preserve"> which could be called “ Identified Entities”, </w:t>
      </w:r>
      <w:r w:rsidR="00903CB7">
        <w:rPr>
          <w:rFonts w:ascii="Arial" w:hAnsi="Arial" w:cs="Arial"/>
          <w:sz w:val="22"/>
          <w:szCs w:val="22"/>
        </w:rPr>
        <w:t>i.e.</w:t>
      </w:r>
      <w:r w:rsidR="00CD1DAE">
        <w:rPr>
          <w:rFonts w:ascii="Arial" w:hAnsi="Arial" w:cs="Arial"/>
          <w:sz w:val="22"/>
          <w:szCs w:val="22"/>
        </w:rPr>
        <w:t xml:space="preserve"> </w:t>
      </w:r>
      <w:r w:rsidR="007A0118">
        <w:rPr>
          <w:rFonts w:ascii="Arial" w:hAnsi="Arial" w:cs="Arial"/>
          <w:sz w:val="22"/>
          <w:szCs w:val="22"/>
        </w:rPr>
        <w:t xml:space="preserve">drawing on </w:t>
      </w:r>
      <w:r w:rsidR="00CD1DAE">
        <w:rPr>
          <w:rFonts w:ascii="Arial" w:hAnsi="Arial" w:cs="Arial"/>
          <w:sz w:val="22"/>
          <w:szCs w:val="22"/>
        </w:rPr>
        <w:t xml:space="preserve">experience, </w:t>
      </w:r>
      <w:r w:rsidR="007A0118">
        <w:rPr>
          <w:rFonts w:ascii="Arial" w:hAnsi="Arial" w:cs="Arial"/>
          <w:sz w:val="22"/>
          <w:szCs w:val="22"/>
        </w:rPr>
        <w:t xml:space="preserve">policies and processes implemented for remuneration governance </w:t>
      </w:r>
      <w:r w:rsidR="00CD1DAE">
        <w:rPr>
          <w:rFonts w:ascii="Arial" w:hAnsi="Arial" w:cs="Arial"/>
          <w:sz w:val="22"/>
          <w:szCs w:val="22"/>
        </w:rPr>
        <w:t>of so-called “identified staff”</w:t>
      </w:r>
      <w:r>
        <w:rPr>
          <w:rFonts w:ascii="Arial" w:hAnsi="Arial" w:cs="Arial"/>
          <w:sz w:val="22"/>
          <w:szCs w:val="22"/>
        </w:rPr>
        <w:t>.</w:t>
      </w:r>
      <w:r w:rsidR="003E6969">
        <w:rPr>
          <w:rFonts w:ascii="Arial" w:hAnsi="Arial" w:cs="Arial"/>
          <w:sz w:val="22"/>
          <w:szCs w:val="22"/>
        </w:rPr>
        <w:t xml:space="preserve"> </w:t>
      </w:r>
      <w:r w:rsidR="00957E9A">
        <w:rPr>
          <w:rFonts w:ascii="Arial" w:hAnsi="Arial" w:cs="Arial"/>
          <w:sz w:val="22"/>
          <w:szCs w:val="22"/>
        </w:rPr>
        <w:t>As for identified staff it should be left with institutions to determine their list of identified entities, with their own procedure and practice.</w:t>
      </w:r>
    </w:p>
    <w:p w:rsidR="00CD1DAE" w:rsidRDefault="00010043" w:rsidP="00C01A22">
      <w:pPr>
        <w:pStyle w:val="Default"/>
        <w:spacing w:line="276" w:lineRule="auto"/>
        <w:jc w:val="both"/>
        <w:rPr>
          <w:rFonts w:ascii="Arial" w:hAnsi="Arial" w:cs="Arial"/>
          <w:sz w:val="22"/>
          <w:szCs w:val="22"/>
        </w:rPr>
      </w:pPr>
      <w:r>
        <w:rPr>
          <w:rFonts w:ascii="Arial" w:hAnsi="Arial" w:cs="Arial"/>
          <w:sz w:val="22"/>
          <w:szCs w:val="22"/>
        </w:rPr>
        <w:lastRenderedPageBreak/>
        <w:t xml:space="preserve">It would be logical that </w:t>
      </w:r>
      <w:r w:rsidR="009231A3">
        <w:rPr>
          <w:rFonts w:ascii="Arial" w:hAnsi="Arial" w:cs="Arial"/>
          <w:sz w:val="22"/>
          <w:szCs w:val="22"/>
        </w:rPr>
        <w:t xml:space="preserve">within a group only identified entities should be subject to the guidelines and </w:t>
      </w:r>
      <w:proofErr w:type="gramStart"/>
      <w:r w:rsidR="009231A3">
        <w:rPr>
          <w:rFonts w:ascii="Arial" w:hAnsi="Arial" w:cs="Arial"/>
          <w:sz w:val="22"/>
          <w:szCs w:val="22"/>
        </w:rPr>
        <w:t>that smaller entities</w:t>
      </w:r>
      <w:proofErr w:type="gramEnd"/>
      <w:r w:rsidR="009231A3">
        <w:rPr>
          <w:rFonts w:ascii="Arial" w:hAnsi="Arial" w:cs="Arial"/>
          <w:sz w:val="22"/>
          <w:szCs w:val="22"/>
        </w:rPr>
        <w:t xml:space="preserve"> should be </w:t>
      </w:r>
      <w:r w:rsidR="003E11AD">
        <w:rPr>
          <w:rFonts w:ascii="Arial" w:hAnsi="Arial" w:cs="Arial"/>
          <w:sz w:val="22"/>
          <w:szCs w:val="22"/>
        </w:rPr>
        <w:t xml:space="preserve">able to </w:t>
      </w:r>
      <w:r w:rsidR="000E7D42">
        <w:rPr>
          <w:rFonts w:ascii="Arial" w:hAnsi="Arial" w:cs="Arial"/>
          <w:sz w:val="22"/>
          <w:szCs w:val="22"/>
        </w:rPr>
        <w:t>benefit from</w:t>
      </w:r>
      <w:r w:rsidR="003E11AD">
        <w:rPr>
          <w:rFonts w:ascii="Arial" w:hAnsi="Arial" w:cs="Arial"/>
          <w:sz w:val="22"/>
          <w:szCs w:val="22"/>
        </w:rPr>
        <w:t xml:space="preserve"> procedures applying at group level.</w:t>
      </w:r>
      <w:r w:rsidR="00AD196B">
        <w:rPr>
          <w:rFonts w:ascii="Arial" w:hAnsi="Arial" w:cs="Arial"/>
          <w:sz w:val="22"/>
          <w:szCs w:val="22"/>
        </w:rPr>
        <w:t xml:space="preserve"> </w:t>
      </w:r>
      <w:r>
        <w:rPr>
          <w:rFonts w:ascii="Arial" w:hAnsi="Arial" w:cs="Arial"/>
          <w:sz w:val="22"/>
          <w:szCs w:val="22"/>
        </w:rPr>
        <w:t>E</w:t>
      </w:r>
      <w:r w:rsidR="00AD196B">
        <w:rPr>
          <w:rFonts w:ascii="Arial" w:hAnsi="Arial" w:cs="Arial"/>
          <w:sz w:val="22"/>
          <w:szCs w:val="22"/>
        </w:rPr>
        <w:t xml:space="preserve">ntities within </w:t>
      </w:r>
      <w:r>
        <w:rPr>
          <w:rFonts w:ascii="Arial" w:hAnsi="Arial" w:cs="Arial"/>
          <w:sz w:val="22"/>
          <w:szCs w:val="22"/>
        </w:rPr>
        <w:t>the same</w:t>
      </w:r>
      <w:r w:rsidR="00AD196B">
        <w:rPr>
          <w:rFonts w:ascii="Arial" w:hAnsi="Arial" w:cs="Arial"/>
          <w:sz w:val="22"/>
          <w:szCs w:val="22"/>
        </w:rPr>
        <w:t xml:space="preserve"> group that conduct the same type of activities (intermediation, banking, asset management</w:t>
      </w:r>
      <w:r w:rsidR="00482791">
        <w:rPr>
          <w:rFonts w:ascii="Arial" w:hAnsi="Arial" w:cs="Arial"/>
          <w:sz w:val="22"/>
          <w:szCs w:val="22"/>
        </w:rPr>
        <w:t>)</w:t>
      </w:r>
      <w:r w:rsidR="00AD196B">
        <w:rPr>
          <w:rFonts w:ascii="Arial" w:hAnsi="Arial" w:cs="Arial"/>
          <w:sz w:val="22"/>
          <w:szCs w:val="22"/>
        </w:rPr>
        <w:t xml:space="preserve">…could be grouped and </w:t>
      </w:r>
      <w:r w:rsidR="00CD1DAE">
        <w:rPr>
          <w:rFonts w:ascii="Arial" w:hAnsi="Arial" w:cs="Arial"/>
          <w:sz w:val="22"/>
          <w:szCs w:val="22"/>
        </w:rPr>
        <w:t xml:space="preserve">these </w:t>
      </w:r>
      <w:r w:rsidR="00AD196B">
        <w:rPr>
          <w:rFonts w:ascii="Arial" w:hAnsi="Arial" w:cs="Arial"/>
          <w:sz w:val="22"/>
          <w:szCs w:val="22"/>
        </w:rPr>
        <w:t xml:space="preserve">guidelines should apply </w:t>
      </w:r>
      <w:r w:rsidR="00957E9A">
        <w:rPr>
          <w:rFonts w:ascii="Arial" w:hAnsi="Arial" w:cs="Arial"/>
          <w:sz w:val="22"/>
          <w:szCs w:val="22"/>
        </w:rPr>
        <w:t xml:space="preserve">in detail </w:t>
      </w:r>
      <w:r w:rsidR="00AD196B">
        <w:rPr>
          <w:rFonts w:ascii="Arial" w:hAnsi="Arial" w:cs="Arial"/>
          <w:sz w:val="22"/>
          <w:szCs w:val="22"/>
        </w:rPr>
        <w:t xml:space="preserve">to one or a few entities in the same sector, the </w:t>
      </w:r>
      <w:r w:rsidR="003E11AD">
        <w:rPr>
          <w:rFonts w:ascii="Arial" w:hAnsi="Arial" w:cs="Arial"/>
          <w:sz w:val="22"/>
          <w:szCs w:val="22"/>
        </w:rPr>
        <w:t>“</w:t>
      </w:r>
      <w:r w:rsidR="00AD196B">
        <w:rPr>
          <w:rFonts w:ascii="Arial" w:hAnsi="Arial" w:cs="Arial"/>
          <w:sz w:val="22"/>
          <w:szCs w:val="22"/>
        </w:rPr>
        <w:t>identified entities</w:t>
      </w:r>
      <w:r w:rsidR="003E11AD">
        <w:rPr>
          <w:rFonts w:ascii="Arial" w:hAnsi="Arial" w:cs="Arial"/>
          <w:sz w:val="22"/>
          <w:szCs w:val="22"/>
        </w:rPr>
        <w:t>”</w:t>
      </w:r>
      <w:r w:rsidR="00AD196B">
        <w:rPr>
          <w:rFonts w:ascii="Arial" w:hAnsi="Arial" w:cs="Arial"/>
          <w:sz w:val="22"/>
          <w:szCs w:val="22"/>
        </w:rPr>
        <w:t xml:space="preserve">. Some companies are set up for technical purpose (link with a distributor, tax, history, niche strategy, capital structure…) where the </w:t>
      </w:r>
      <w:r w:rsidR="00482791">
        <w:rPr>
          <w:rFonts w:ascii="Arial" w:hAnsi="Arial" w:cs="Arial"/>
          <w:sz w:val="22"/>
          <w:szCs w:val="22"/>
        </w:rPr>
        <w:t xml:space="preserve">management body </w:t>
      </w:r>
      <w:r w:rsidR="00CD1DAE">
        <w:rPr>
          <w:rFonts w:ascii="Arial" w:hAnsi="Arial" w:cs="Arial"/>
          <w:sz w:val="22"/>
          <w:szCs w:val="22"/>
        </w:rPr>
        <w:t>does not need full governance standards as set out in the guidelines, to be applied</w:t>
      </w:r>
      <w:r w:rsidR="000E7D42">
        <w:rPr>
          <w:rFonts w:ascii="Arial" w:hAnsi="Arial" w:cs="Arial"/>
          <w:sz w:val="22"/>
          <w:szCs w:val="22"/>
        </w:rPr>
        <w:t>, provided that those</w:t>
      </w:r>
      <w:r w:rsidR="00482791">
        <w:rPr>
          <w:rFonts w:ascii="Arial" w:hAnsi="Arial" w:cs="Arial"/>
          <w:sz w:val="22"/>
          <w:szCs w:val="22"/>
        </w:rPr>
        <w:t xml:space="preserve"> firms rely on the procedures at group level to show compliance</w:t>
      </w:r>
      <w:r w:rsidR="00CD1DAE">
        <w:rPr>
          <w:rFonts w:ascii="Arial" w:hAnsi="Arial" w:cs="Arial"/>
          <w:sz w:val="22"/>
          <w:szCs w:val="22"/>
        </w:rPr>
        <w:t xml:space="preserve">. </w:t>
      </w:r>
    </w:p>
    <w:p w:rsidR="00CD1DAE" w:rsidRDefault="00CD1DAE" w:rsidP="00A966C3">
      <w:pPr>
        <w:pStyle w:val="Default"/>
        <w:spacing w:line="276" w:lineRule="auto"/>
        <w:jc w:val="both"/>
        <w:rPr>
          <w:rFonts w:ascii="Arial" w:hAnsi="Arial" w:cs="Arial"/>
          <w:sz w:val="22"/>
          <w:szCs w:val="22"/>
        </w:rPr>
      </w:pPr>
    </w:p>
    <w:p w:rsidR="00482791" w:rsidRDefault="00CD1DAE" w:rsidP="00A966C3">
      <w:pPr>
        <w:pStyle w:val="Default"/>
        <w:spacing w:line="276" w:lineRule="auto"/>
        <w:jc w:val="both"/>
        <w:rPr>
          <w:rFonts w:ascii="Arial" w:hAnsi="Arial" w:cs="Arial"/>
          <w:sz w:val="22"/>
          <w:szCs w:val="22"/>
        </w:rPr>
      </w:pPr>
      <w:r>
        <w:rPr>
          <w:rFonts w:ascii="Arial" w:hAnsi="Arial" w:cs="Arial"/>
          <w:sz w:val="22"/>
          <w:szCs w:val="22"/>
        </w:rPr>
        <w:t>Also, it would help if, akin to the remuneration committee for remuneration governance in other ESMA Guidelines (</w:t>
      </w:r>
      <w:r w:rsidR="00903CB7">
        <w:rPr>
          <w:rFonts w:ascii="Arial" w:hAnsi="Arial" w:cs="Arial"/>
          <w:sz w:val="22"/>
          <w:szCs w:val="22"/>
        </w:rPr>
        <w:t>e.g.</w:t>
      </w:r>
      <w:r>
        <w:rPr>
          <w:rFonts w:ascii="Arial" w:hAnsi="Arial" w:cs="Arial"/>
          <w:sz w:val="22"/>
          <w:szCs w:val="22"/>
        </w:rPr>
        <w:t xml:space="preserve"> </w:t>
      </w:r>
      <w:r w:rsidR="00957E9A">
        <w:rPr>
          <w:rFonts w:ascii="Arial" w:hAnsi="Arial" w:cs="Arial"/>
          <w:sz w:val="22"/>
          <w:szCs w:val="22"/>
        </w:rPr>
        <w:t xml:space="preserve">Guidelines ESMA 2016/411, relating to remuneration in </w:t>
      </w:r>
      <w:r>
        <w:rPr>
          <w:rFonts w:ascii="Arial" w:hAnsi="Arial" w:cs="Arial"/>
          <w:sz w:val="22"/>
          <w:szCs w:val="22"/>
        </w:rPr>
        <w:t xml:space="preserve">UCITS &amp; AIFMs), the guidelines made it clear that, in the context of a </w:t>
      </w:r>
      <w:r w:rsidR="00EB4515">
        <w:rPr>
          <w:rFonts w:ascii="Arial" w:hAnsi="Arial" w:cs="Arial"/>
          <w:sz w:val="22"/>
          <w:szCs w:val="22"/>
        </w:rPr>
        <w:t>g</w:t>
      </w:r>
      <w:r>
        <w:rPr>
          <w:rFonts w:ascii="Arial" w:hAnsi="Arial" w:cs="Arial"/>
          <w:sz w:val="22"/>
          <w:szCs w:val="22"/>
        </w:rPr>
        <w:t xml:space="preserve">roup, a nomination committee could be established at a group or a </w:t>
      </w:r>
      <w:r w:rsidR="00957E9A">
        <w:rPr>
          <w:rFonts w:ascii="Arial" w:hAnsi="Arial" w:cs="Arial"/>
          <w:sz w:val="22"/>
          <w:szCs w:val="22"/>
        </w:rPr>
        <w:t>sub-</w:t>
      </w:r>
      <w:r>
        <w:rPr>
          <w:rFonts w:ascii="Arial" w:hAnsi="Arial" w:cs="Arial"/>
          <w:sz w:val="22"/>
          <w:szCs w:val="22"/>
        </w:rPr>
        <w:t>group level.</w:t>
      </w:r>
      <w:r w:rsidR="00010043">
        <w:rPr>
          <w:rFonts w:ascii="Arial" w:hAnsi="Arial" w:cs="Arial"/>
          <w:sz w:val="22"/>
          <w:szCs w:val="22"/>
        </w:rPr>
        <w:t xml:space="preserve"> </w:t>
      </w:r>
      <w:r w:rsidR="00957E9A">
        <w:rPr>
          <w:rFonts w:ascii="Arial" w:hAnsi="Arial" w:cs="Arial"/>
          <w:sz w:val="22"/>
          <w:szCs w:val="22"/>
        </w:rPr>
        <w:t xml:space="preserve">For example, such </w:t>
      </w:r>
      <w:r w:rsidR="003E11AD">
        <w:rPr>
          <w:rFonts w:ascii="Arial" w:hAnsi="Arial" w:cs="Arial"/>
          <w:sz w:val="22"/>
          <w:szCs w:val="22"/>
        </w:rPr>
        <w:t xml:space="preserve">nomination committee </w:t>
      </w:r>
      <w:r>
        <w:rPr>
          <w:rFonts w:ascii="Arial" w:hAnsi="Arial" w:cs="Arial"/>
          <w:sz w:val="22"/>
          <w:szCs w:val="22"/>
        </w:rPr>
        <w:t xml:space="preserve">would </w:t>
      </w:r>
      <w:r w:rsidR="003E11AD">
        <w:rPr>
          <w:rFonts w:ascii="Arial" w:hAnsi="Arial" w:cs="Arial"/>
          <w:sz w:val="22"/>
          <w:szCs w:val="22"/>
        </w:rPr>
        <w:t>assess the suitability of a candidate</w:t>
      </w:r>
      <w:r>
        <w:rPr>
          <w:rFonts w:ascii="Arial" w:hAnsi="Arial" w:cs="Arial"/>
          <w:sz w:val="22"/>
          <w:szCs w:val="22"/>
        </w:rPr>
        <w:t xml:space="preserve"> to the management body of the identified entities of the group</w:t>
      </w:r>
      <w:r w:rsidR="00EB4515">
        <w:rPr>
          <w:rFonts w:ascii="Arial" w:hAnsi="Arial" w:cs="Arial"/>
          <w:sz w:val="22"/>
          <w:szCs w:val="22"/>
        </w:rPr>
        <w:t xml:space="preserve"> (or the </w:t>
      </w:r>
      <w:r w:rsidR="00957E9A">
        <w:rPr>
          <w:rFonts w:ascii="Arial" w:hAnsi="Arial" w:cs="Arial"/>
          <w:sz w:val="22"/>
          <w:szCs w:val="22"/>
        </w:rPr>
        <w:t>sub-</w:t>
      </w:r>
      <w:r w:rsidR="00EB4515">
        <w:rPr>
          <w:rFonts w:ascii="Arial" w:hAnsi="Arial" w:cs="Arial"/>
          <w:sz w:val="22"/>
          <w:szCs w:val="22"/>
        </w:rPr>
        <w:t>group)</w:t>
      </w:r>
      <w:r w:rsidR="003E11AD">
        <w:rPr>
          <w:rFonts w:ascii="Arial" w:hAnsi="Arial" w:cs="Arial"/>
          <w:sz w:val="22"/>
          <w:szCs w:val="22"/>
        </w:rPr>
        <w:t>.</w:t>
      </w:r>
    </w:p>
    <w:p w:rsidR="003E11AD" w:rsidRDefault="003E11AD" w:rsidP="00A966C3">
      <w:pPr>
        <w:pStyle w:val="Default"/>
        <w:spacing w:line="276" w:lineRule="auto"/>
        <w:jc w:val="both"/>
        <w:rPr>
          <w:rFonts w:ascii="Arial" w:hAnsi="Arial" w:cs="Arial"/>
          <w:sz w:val="22"/>
          <w:szCs w:val="22"/>
        </w:rPr>
      </w:pPr>
    </w:p>
    <w:p w:rsidR="00007065" w:rsidRDefault="00007065" w:rsidP="00A966C3">
      <w:pPr>
        <w:pStyle w:val="Default"/>
        <w:jc w:val="both"/>
        <w:rPr>
          <w:b/>
          <w:sz w:val="22"/>
          <w:szCs w:val="22"/>
        </w:rPr>
      </w:pPr>
      <w:r w:rsidRPr="00007065">
        <w:rPr>
          <w:b/>
          <w:sz w:val="22"/>
          <w:szCs w:val="22"/>
        </w:rPr>
        <w:t xml:space="preserve">Q6: Are the guidelines with respect to the calculation of the number of directorships appropriate and sufficiently clear? </w:t>
      </w:r>
    </w:p>
    <w:p w:rsidR="00E947D9" w:rsidRDefault="00E947D9" w:rsidP="0005431A">
      <w:pPr>
        <w:pStyle w:val="Default"/>
        <w:spacing w:line="276" w:lineRule="auto"/>
        <w:jc w:val="both"/>
        <w:rPr>
          <w:rFonts w:ascii="Arial" w:hAnsi="Arial" w:cs="Arial"/>
          <w:sz w:val="22"/>
          <w:szCs w:val="22"/>
        </w:rPr>
      </w:pPr>
    </w:p>
    <w:p w:rsidR="007A1BBF" w:rsidRDefault="00241D41" w:rsidP="00A966C3">
      <w:pPr>
        <w:pStyle w:val="Default"/>
        <w:spacing w:line="276" w:lineRule="auto"/>
        <w:jc w:val="both"/>
        <w:rPr>
          <w:rFonts w:ascii="Arial" w:hAnsi="Arial" w:cs="Arial"/>
          <w:sz w:val="22"/>
          <w:szCs w:val="22"/>
        </w:rPr>
      </w:pPr>
      <w:r>
        <w:rPr>
          <w:rFonts w:ascii="Arial" w:hAnsi="Arial" w:cs="Arial"/>
          <w:sz w:val="22"/>
          <w:szCs w:val="22"/>
        </w:rPr>
        <w:t>With regard to the time commitment of members of the management body, we do not agree with the approach that is suggested in the guidelines.</w:t>
      </w:r>
      <w:r w:rsidR="00957E9A">
        <w:rPr>
          <w:rFonts w:ascii="Arial" w:hAnsi="Arial" w:cs="Arial"/>
          <w:sz w:val="22"/>
          <w:szCs w:val="22"/>
        </w:rPr>
        <w:t xml:space="preserve"> Regarding § 38, if a “buffer” of spare time were to be factored in the appraisal of time commitment, it should be mutualized across mandates held by a given individual.</w:t>
      </w:r>
    </w:p>
    <w:p w:rsidR="0005431A" w:rsidRDefault="0005431A" w:rsidP="0005431A">
      <w:pPr>
        <w:pStyle w:val="Default"/>
        <w:spacing w:line="276" w:lineRule="auto"/>
        <w:jc w:val="both"/>
        <w:rPr>
          <w:rFonts w:ascii="Arial" w:hAnsi="Arial" w:cs="Arial"/>
          <w:sz w:val="22"/>
          <w:szCs w:val="22"/>
        </w:rPr>
      </w:pPr>
    </w:p>
    <w:p w:rsidR="0005431A" w:rsidRPr="00A724B9" w:rsidRDefault="0005431A" w:rsidP="0005431A">
      <w:pPr>
        <w:spacing w:line="276" w:lineRule="auto"/>
        <w:jc w:val="both"/>
        <w:rPr>
          <w:rFonts w:cs="Arial"/>
          <w:sz w:val="22"/>
          <w:szCs w:val="22"/>
          <w:lang w:val="en-US"/>
        </w:rPr>
      </w:pPr>
      <w:r w:rsidRPr="00105A64">
        <w:rPr>
          <w:rFonts w:cs="Arial"/>
          <w:sz w:val="22"/>
          <w:szCs w:val="22"/>
          <w:lang w:val="en-US"/>
        </w:rPr>
        <w:t>We disagree on</w:t>
      </w:r>
      <w:r w:rsidRPr="00CE4A55">
        <w:rPr>
          <w:rFonts w:cs="Arial"/>
          <w:sz w:val="22"/>
          <w:szCs w:val="22"/>
          <w:lang w:val="en-US"/>
        </w:rPr>
        <w:t xml:space="preserve"> §39 (d</w:t>
      </w:r>
      <w:r w:rsidR="00E14BCF">
        <w:rPr>
          <w:rFonts w:cs="Arial"/>
          <w:sz w:val="22"/>
          <w:szCs w:val="22"/>
          <w:lang w:val="en-US"/>
        </w:rPr>
        <w:t>)</w:t>
      </w:r>
      <w:r w:rsidRPr="00CE4A55">
        <w:rPr>
          <w:rFonts w:cs="Arial"/>
          <w:sz w:val="22"/>
          <w:szCs w:val="22"/>
          <w:lang w:val="en-US"/>
        </w:rPr>
        <w:t xml:space="preserve"> and </w:t>
      </w:r>
      <w:r w:rsidR="00E14BCF">
        <w:rPr>
          <w:rFonts w:cs="Arial"/>
          <w:sz w:val="22"/>
          <w:szCs w:val="22"/>
          <w:lang w:val="en-US"/>
        </w:rPr>
        <w:t>(</w:t>
      </w:r>
      <w:r w:rsidRPr="00CE4A55">
        <w:rPr>
          <w:rFonts w:cs="Arial"/>
          <w:sz w:val="22"/>
          <w:szCs w:val="22"/>
          <w:lang w:val="en-US"/>
        </w:rPr>
        <w:t>g</w:t>
      </w:r>
      <w:r w:rsidR="00E14BCF">
        <w:rPr>
          <w:rFonts w:cs="Arial"/>
          <w:sz w:val="22"/>
          <w:szCs w:val="22"/>
          <w:lang w:val="en-US"/>
        </w:rPr>
        <w:t>)</w:t>
      </w:r>
      <w:r w:rsidR="00E14BCF" w:rsidRPr="00CE4A55">
        <w:rPr>
          <w:rFonts w:cs="Arial"/>
          <w:sz w:val="22"/>
          <w:szCs w:val="22"/>
          <w:lang w:val="en-US"/>
        </w:rPr>
        <w:t>:</w:t>
      </w:r>
      <w:r w:rsidR="00E14BCF">
        <w:rPr>
          <w:rFonts w:cs="Arial"/>
          <w:sz w:val="22"/>
          <w:szCs w:val="22"/>
          <w:lang w:val="en-US"/>
        </w:rPr>
        <w:t xml:space="preserve"> Both</w:t>
      </w:r>
      <w:r w:rsidR="008C7F16">
        <w:rPr>
          <w:rFonts w:cs="Arial"/>
          <w:sz w:val="22"/>
          <w:szCs w:val="22"/>
          <w:lang w:val="en-US"/>
        </w:rPr>
        <w:t xml:space="preserve"> criteria refer to the personal, non-professional activities of the board member, and we believe that his or her ability to devote sufficient time to the board responsibilities should be based on professional activities relative to the working day and year, and not to the amount of private time the candidate has and how he/she allocates it. </w:t>
      </w:r>
      <w:r w:rsidRPr="00CE4A55">
        <w:rPr>
          <w:rFonts w:cs="Arial"/>
          <w:sz w:val="22"/>
          <w:szCs w:val="22"/>
          <w:lang w:val="en-US"/>
        </w:rPr>
        <w:t xml:space="preserve">The honesty which we require </w:t>
      </w:r>
      <w:r w:rsidR="00EB4515">
        <w:rPr>
          <w:rFonts w:cs="Arial"/>
          <w:sz w:val="22"/>
          <w:szCs w:val="22"/>
          <w:lang w:val="en-US"/>
        </w:rPr>
        <w:t>from</w:t>
      </w:r>
      <w:r w:rsidR="00EB4515" w:rsidRPr="00CE4A55">
        <w:rPr>
          <w:rFonts w:cs="Arial"/>
          <w:sz w:val="22"/>
          <w:szCs w:val="22"/>
          <w:lang w:val="en-US"/>
        </w:rPr>
        <w:t xml:space="preserve"> </w:t>
      </w:r>
      <w:r w:rsidRPr="00CE4A55">
        <w:rPr>
          <w:rFonts w:cs="Arial"/>
          <w:sz w:val="22"/>
          <w:szCs w:val="22"/>
          <w:lang w:val="en-US"/>
        </w:rPr>
        <w:t>a board member includes for him</w:t>
      </w:r>
      <w:r w:rsidR="00E14BCF">
        <w:rPr>
          <w:rFonts w:cs="Arial"/>
          <w:sz w:val="22"/>
          <w:szCs w:val="22"/>
          <w:lang w:val="en-US"/>
        </w:rPr>
        <w:t>/her</w:t>
      </w:r>
      <w:r w:rsidRPr="00CE4A55">
        <w:rPr>
          <w:rFonts w:cs="Arial"/>
          <w:sz w:val="22"/>
          <w:szCs w:val="22"/>
          <w:lang w:val="en-US"/>
        </w:rPr>
        <w:t xml:space="preserve"> to dedicate a sufficient time for his mandate. </w:t>
      </w:r>
      <w:r w:rsidRPr="009C3969">
        <w:rPr>
          <w:rFonts w:cs="Arial"/>
          <w:sz w:val="22"/>
          <w:szCs w:val="22"/>
          <w:lang w:val="en-US"/>
        </w:rPr>
        <w:t xml:space="preserve">It seems neither practically feasible nor </w:t>
      </w:r>
      <w:r w:rsidRPr="009E4A81">
        <w:rPr>
          <w:rFonts w:cs="Arial"/>
          <w:color w:val="000000"/>
          <w:sz w:val="22"/>
          <w:szCs w:val="22"/>
          <w:lang w:val="en-US"/>
        </w:rPr>
        <w:t xml:space="preserve">desirable (with a risk of </w:t>
      </w:r>
      <w:r w:rsidR="00EB4515" w:rsidRPr="009E4A81">
        <w:rPr>
          <w:rFonts w:cs="Arial"/>
          <w:color w:val="000000"/>
          <w:sz w:val="22"/>
          <w:szCs w:val="22"/>
          <w:lang w:val="en-US"/>
        </w:rPr>
        <w:t>contra</w:t>
      </w:r>
      <w:r w:rsidR="00EB4515">
        <w:rPr>
          <w:rFonts w:cs="Arial"/>
          <w:color w:val="000000"/>
          <w:sz w:val="22"/>
          <w:szCs w:val="22"/>
          <w:lang w:val="en-US"/>
        </w:rPr>
        <w:t>diction</w:t>
      </w:r>
      <w:r w:rsidR="00EB4515" w:rsidRPr="009E4A81">
        <w:rPr>
          <w:rFonts w:cs="Arial"/>
          <w:color w:val="000000"/>
          <w:sz w:val="22"/>
          <w:szCs w:val="22"/>
          <w:lang w:val="en-US"/>
        </w:rPr>
        <w:t xml:space="preserve"> </w:t>
      </w:r>
      <w:r w:rsidRPr="009E4A81">
        <w:rPr>
          <w:rFonts w:cs="Arial"/>
          <w:color w:val="000000"/>
          <w:sz w:val="22"/>
          <w:szCs w:val="22"/>
          <w:lang w:val="en-US"/>
        </w:rPr>
        <w:t xml:space="preserve">with </w:t>
      </w:r>
      <w:r>
        <w:rPr>
          <w:rFonts w:cs="Arial"/>
          <w:color w:val="000000"/>
          <w:sz w:val="22"/>
          <w:szCs w:val="22"/>
          <w:lang w:val="en-US"/>
        </w:rPr>
        <w:t>article 8</w:t>
      </w:r>
      <w:r w:rsidRPr="009E4A81">
        <w:rPr>
          <w:rFonts w:cs="Arial"/>
          <w:color w:val="000000"/>
          <w:sz w:val="22"/>
          <w:szCs w:val="22"/>
          <w:lang w:val="en-US"/>
        </w:rPr>
        <w:t xml:space="preserve"> of the European Court of Human Rights </w:t>
      </w:r>
      <w:r>
        <w:rPr>
          <w:rFonts w:cs="Arial"/>
          <w:color w:val="000000"/>
          <w:sz w:val="22"/>
          <w:szCs w:val="22"/>
          <w:lang w:val="en-US"/>
        </w:rPr>
        <w:t>-</w:t>
      </w:r>
      <w:r w:rsidRPr="009E4A81">
        <w:rPr>
          <w:rFonts w:cs="Arial"/>
          <w:color w:val="000000"/>
          <w:sz w:val="22"/>
          <w:szCs w:val="22"/>
          <w:lang w:val="en-US"/>
        </w:rPr>
        <w:t xml:space="preserve">ECHR </w:t>
      </w:r>
      <w:r>
        <w:rPr>
          <w:rFonts w:cs="Arial"/>
          <w:color w:val="000000"/>
          <w:sz w:val="22"/>
          <w:szCs w:val="22"/>
          <w:lang w:val="en-US"/>
        </w:rPr>
        <w:t xml:space="preserve">on </w:t>
      </w:r>
      <w:r w:rsidRPr="009E4A81">
        <w:rPr>
          <w:rFonts w:cs="Arial"/>
          <w:color w:val="000000"/>
          <w:sz w:val="22"/>
          <w:szCs w:val="22"/>
          <w:lang w:val="en-US"/>
        </w:rPr>
        <w:t xml:space="preserve">the right for the respect for </w:t>
      </w:r>
      <w:r w:rsidR="00EB4515" w:rsidRPr="009E4A81">
        <w:rPr>
          <w:rFonts w:cs="Arial"/>
          <w:color w:val="000000"/>
          <w:sz w:val="22"/>
          <w:szCs w:val="22"/>
          <w:lang w:val="en-US"/>
        </w:rPr>
        <w:t>priva</w:t>
      </w:r>
      <w:r w:rsidR="00EB4515">
        <w:rPr>
          <w:rFonts w:cs="Arial"/>
          <w:color w:val="000000"/>
          <w:sz w:val="22"/>
          <w:szCs w:val="22"/>
          <w:lang w:val="en-US"/>
        </w:rPr>
        <w:t>cy</w:t>
      </w:r>
      <w:r>
        <w:rPr>
          <w:rFonts w:cs="Arial"/>
          <w:color w:val="000000"/>
          <w:sz w:val="22"/>
          <w:szCs w:val="22"/>
          <w:lang w:val="en-US"/>
        </w:rPr>
        <w:t>)</w:t>
      </w:r>
      <w:r w:rsidRPr="009E4A81">
        <w:rPr>
          <w:rFonts w:cs="Arial"/>
          <w:sz w:val="22"/>
          <w:szCs w:val="22"/>
          <w:lang w:val="en-US"/>
        </w:rPr>
        <w:t xml:space="preserve"> </w:t>
      </w:r>
      <w:r>
        <w:rPr>
          <w:rFonts w:cs="Arial"/>
          <w:sz w:val="22"/>
          <w:szCs w:val="22"/>
          <w:lang w:val="en-US"/>
        </w:rPr>
        <w:t xml:space="preserve">to </w:t>
      </w:r>
      <w:r w:rsidR="008C7F16">
        <w:rPr>
          <w:rFonts w:cs="Arial"/>
          <w:sz w:val="22"/>
          <w:szCs w:val="22"/>
          <w:lang w:val="en-US"/>
        </w:rPr>
        <w:t xml:space="preserve">require </w:t>
      </w:r>
      <w:r w:rsidRPr="009E4A81">
        <w:rPr>
          <w:rFonts w:cs="Arial"/>
          <w:sz w:val="22"/>
          <w:szCs w:val="22"/>
          <w:lang w:val="en-US"/>
        </w:rPr>
        <w:t>institutions to inv</w:t>
      </w:r>
      <w:r>
        <w:rPr>
          <w:rFonts w:cs="Arial"/>
          <w:sz w:val="22"/>
          <w:szCs w:val="22"/>
          <w:lang w:val="en-US"/>
        </w:rPr>
        <w:t>estigate the private life of</w:t>
      </w:r>
      <w:r w:rsidRPr="00CE4A55">
        <w:rPr>
          <w:rFonts w:cs="Arial"/>
          <w:sz w:val="22"/>
          <w:szCs w:val="22"/>
          <w:lang w:val="en-US"/>
        </w:rPr>
        <w:t xml:space="preserve"> board member</w:t>
      </w:r>
      <w:r>
        <w:rPr>
          <w:rFonts w:cs="Arial"/>
          <w:sz w:val="22"/>
          <w:szCs w:val="22"/>
          <w:lang w:val="en-US"/>
        </w:rPr>
        <w:t>s</w:t>
      </w:r>
      <w:r w:rsidRPr="009E4A81">
        <w:rPr>
          <w:rFonts w:cs="Arial"/>
          <w:sz w:val="22"/>
          <w:szCs w:val="22"/>
          <w:lang w:val="en-US"/>
        </w:rPr>
        <w:t xml:space="preserve">. </w:t>
      </w:r>
      <w:r>
        <w:rPr>
          <w:rFonts w:cs="Arial"/>
          <w:sz w:val="22"/>
          <w:szCs w:val="22"/>
          <w:lang w:val="en-US"/>
        </w:rPr>
        <w:t xml:space="preserve">We would suggest that </w:t>
      </w:r>
      <w:r w:rsidRPr="00CE4A55">
        <w:rPr>
          <w:rFonts w:cs="Arial"/>
          <w:sz w:val="22"/>
          <w:szCs w:val="22"/>
          <w:lang w:val="en-US"/>
        </w:rPr>
        <w:t>board member</w:t>
      </w:r>
      <w:r>
        <w:rPr>
          <w:rFonts w:cs="Arial"/>
          <w:sz w:val="22"/>
          <w:szCs w:val="22"/>
          <w:lang w:val="en-US"/>
        </w:rPr>
        <w:t>s</w:t>
      </w:r>
      <w:r w:rsidRPr="00A724B9">
        <w:rPr>
          <w:rFonts w:cs="Arial"/>
          <w:sz w:val="22"/>
          <w:szCs w:val="22"/>
          <w:lang w:val="en-US"/>
        </w:rPr>
        <w:t xml:space="preserve"> give evidence </w:t>
      </w:r>
      <w:proofErr w:type="gramStart"/>
      <w:r>
        <w:rPr>
          <w:rFonts w:cs="Arial"/>
          <w:sz w:val="22"/>
          <w:szCs w:val="22"/>
          <w:lang w:val="en-US"/>
        </w:rPr>
        <w:t>themselves</w:t>
      </w:r>
      <w:proofErr w:type="gramEnd"/>
      <w:r>
        <w:rPr>
          <w:rFonts w:cs="Arial"/>
          <w:sz w:val="22"/>
          <w:szCs w:val="22"/>
          <w:lang w:val="en-US"/>
        </w:rPr>
        <w:t xml:space="preserve"> that they</w:t>
      </w:r>
      <w:r w:rsidRPr="00A724B9">
        <w:rPr>
          <w:rFonts w:cs="Arial"/>
          <w:sz w:val="22"/>
          <w:szCs w:val="22"/>
          <w:lang w:val="en-US"/>
        </w:rPr>
        <w:t xml:space="preserve"> </w:t>
      </w:r>
      <w:r w:rsidR="005866DA">
        <w:rPr>
          <w:rFonts w:cs="Arial"/>
          <w:sz w:val="22"/>
          <w:szCs w:val="22"/>
          <w:lang w:val="en-US"/>
        </w:rPr>
        <w:t>dedicate</w:t>
      </w:r>
      <w:r w:rsidRPr="00A724B9">
        <w:rPr>
          <w:rFonts w:cs="Arial"/>
          <w:sz w:val="22"/>
          <w:szCs w:val="22"/>
          <w:lang w:val="en-US"/>
        </w:rPr>
        <w:t xml:space="preserve"> sufficient time</w:t>
      </w:r>
      <w:r>
        <w:rPr>
          <w:rFonts w:cs="Arial"/>
          <w:sz w:val="22"/>
          <w:szCs w:val="22"/>
          <w:lang w:val="en-US"/>
        </w:rPr>
        <w:t xml:space="preserve"> to their mandate.</w:t>
      </w:r>
      <w:r w:rsidR="00EB4515">
        <w:rPr>
          <w:rFonts w:cs="Arial"/>
          <w:sz w:val="22"/>
          <w:szCs w:val="22"/>
          <w:lang w:val="en-US"/>
        </w:rPr>
        <w:t xml:space="preserve">  The time commitment identification &amp; records should be strictly limited to the professional activities, leaving full privacy to individuals for the time they commit to their private </w:t>
      </w:r>
      <w:r w:rsidR="00957E9A">
        <w:rPr>
          <w:rFonts w:cs="Arial"/>
          <w:sz w:val="22"/>
          <w:szCs w:val="22"/>
          <w:lang w:val="en-US"/>
        </w:rPr>
        <w:t xml:space="preserve">– </w:t>
      </w:r>
      <w:r w:rsidR="00903CB7">
        <w:rPr>
          <w:rFonts w:cs="Arial"/>
          <w:sz w:val="22"/>
          <w:szCs w:val="22"/>
          <w:lang w:val="en-US"/>
        </w:rPr>
        <w:t>i.e.</w:t>
      </w:r>
      <w:r w:rsidR="00957E9A">
        <w:rPr>
          <w:rFonts w:cs="Arial"/>
          <w:sz w:val="22"/>
          <w:szCs w:val="22"/>
          <w:lang w:val="en-US"/>
        </w:rPr>
        <w:t xml:space="preserve"> non paid and </w:t>
      </w:r>
      <w:r w:rsidR="00903CB7">
        <w:rPr>
          <w:rFonts w:cs="Arial"/>
          <w:sz w:val="22"/>
          <w:szCs w:val="22"/>
          <w:lang w:val="en-US"/>
        </w:rPr>
        <w:t>non-employer</w:t>
      </w:r>
      <w:r w:rsidR="00957E9A">
        <w:rPr>
          <w:rFonts w:cs="Arial"/>
          <w:sz w:val="22"/>
          <w:szCs w:val="22"/>
          <w:lang w:val="en-US"/>
        </w:rPr>
        <w:t xml:space="preserve">-related - </w:t>
      </w:r>
      <w:r w:rsidR="00EB4515">
        <w:rPr>
          <w:rFonts w:cs="Arial"/>
          <w:sz w:val="22"/>
          <w:szCs w:val="22"/>
          <w:lang w:val="en-US"/>
        </w:rPr>
        <w:t>activities.</w:t>
      </w:r>
    </w:p>
    <w:p w:rsidR="0005431A" w:rsidRDefault="0005431A" w:rsidP="00A966C3">
      <w:pPr>
        <w:pStyle w:val="Default"/>
        <w:spacing w:line="276" w:lineRule="auto"/>
        <w:jc w:val="both"/>
        <w:rPr>
          <w:rFonts w:ascii="Arial" w:hAnsi="Arial" w:cs="Arial"/>
          <w:sz w:val="22"/>
          <w:szCs w:val="22"/>
        </w:rPr>
      </w:pPr>
    </w:p>
    <w:p w:rsidR="00241D41" w:rsidRDefault="00241D41" w:rsidP="00A966C3">
      <w:pPr>
        <w:pStyle w:val="Default"/>
        <w:spacing w:line="276" w:lineRule="auto"/>
        <w:jc w:val="both"/>
        <w:rPr>
          <w:rFonts w:ascii="Arial" w:hAnsi="Arial" w:cs="Arial"/>
          <w:sz w:val="22"/>
          <w:szCs w:val="22"/>
        </w:rPr>
      </w:pPr>
      <w:r>
        <w:rPr>
          <w:rFonts w:ascii="Arial" w:hAnsi="Arial" w:cs="Arial"/>
          <w:sz w:val="22"/>
          <w:szCs w:val="22"/>
        </w:rPr>
        <w:t>We do not think appropriate that the firm should define a quantitative time commitment nor refer to benchmarks, nor, as required in §42, monitor the exact amount dedi</w:t>
      </w:r>
      <w:r w:rsidR="001B2E33">
        <w:rPr>
          <w:rFonts w:ascii="Arial" w:hAnsi="Arial" w:cs="Arial"/>
          <w:sz w:val="22"/>
          <w:szCs w:val="22"/>
        </w:rPr>
        <w:t>cated to their job by Board mem</w:t>
      </w:r>
      <w:r>
        <w:rPr>
          <w:rFonts w:ascii="Arial" w:hAnsi="Arial" w:cs="Arial"/>
          <w:sz w:val="22"/>
          <w:szCs w:val="22"/>
        </w:rPr>
        <w:t>bers.</w:t>
      </w:r>
      <w:r w:rsidR="001B2E33">
        <w:rPr>
          <w:rFonts w:ascii="Arial" w:hAnsi="Arial" w:cs="Arial"/>
          <w:sz w:val="22"/>
          <w:szCs w:val="22"/>
        </w:rPr>
        <w:t xml:space="preserve"> Members commit to dedicate sufficient time to accomplish their duties. They are not paid according to the time spent, as consultants are. They have a general duty and it is, </w:t>
      </w:r>
      <w:r w:rsidR="00EB4515">
        <w:rPr>
          <w:rFonts w:ascii="Arial" w:hAnsi="Arial" w:cs="Arial"/>
          <w:sz w:val="22"/>
          <w:szCs w:val="22"/>
        </w:rPr>
        <w:t>assuming</w:t>
      </w:r>
      <w:r w:rsidR="001B2E33">
        <w:rPr>
          <w:rFonts w:ascii="Arial" w:hAnsi="Arial" w:cs="Arial"/>
          <w:sz w:val="22"/>
          <w:szCs w:val="22"/>
        </w:rPr>
        <w:t xml:space="preserve"> they show honesty and integrity, far more demanding than any quantitative approach. Some members may spend far more time than </w:t>
      </w:r>
      <w:proofErr w:type="gramStart"/>
      <w:r w:rsidR="001B2E33">
        <w:rPr>
          <w:rFonts w:ascii="Arial" w:hAnsi="Arial" w:cs="Arial"/>
          <w:sz w:val="22"/>
          <w:szCs w:val="22"/>
        </w:rPr>
        <w:t>others,</w:t>
      </w:r>
      <w:proofErr w:type="gramEnd"/>
      <w:r w:rsidR="001B2E33">
        <w:rPr>
          <w:rFonts w:ascii="Arial" w:hAnsi="Arial" w:cs="Arial"/>
          <w:sz w:val="22"/>
          <w:szCs w:val="22"/>
        </w:rPr>
        <w:t xml:space="preserve"> it depends on </w:t>
      </w:r>
      <w:r w:rsidR="001B2E33">
        <w:rPr>
          <w:rFonts w:ascii="Arial" w:hAnsi="Arial" w:cs="Arial"/>
          <w:sz w:val="22"/>
          <w:szCs w:val="22"/>
        </w:rPr>
        <w:lastRenderedPageBreak/>
        <w:t>skills, experience, intellectual agility, participation to sub-committees… The only quantitative monitoring that the firm can easily and efficiently do is on the presence to meetings that are scheduled. At the end of the day, it is easy to know who is not active and productive in the Board and there is no need to be inquisitorial on the way people work and spend their time in order to assess the efficiency and suitabi</w:t>
      </w:r>
      <w:r w:rsidR="00F80D58">
        <w:rPr>
          <w:rFonts w:ascii="Arial" w:hAnsi="Arial" w:cs="Arial"/>
          <w:sz w:val="22"/>
          <w:szCs w:val="22"/>
        </w:rPr>
        <w:t xml:space="preserve">lity of the Board. </w:t>
      </w:r>
    </w:p>
    <w:p w:rsidR="00E947D9" w:rsidRPr="00E947D9" w:rsidRDefault="00E947D9" w:rsidP="00C01A22">
      <w:pPr>
        <w:spacing w:line="240" w:lineRule="auto"/>
        <w:rPr>
          <w:rFonts w:cs="Arial"/>
          <w:sz w:val="22"/>
          <w:szCs w:val="22"/>
        </w:rPr>
      </w:pPr>
    </w:p>
    <w:p w:rsidR="00007065" w:rsidRDefault="00007065" w:rsidP="00A966C3">
      <w:pPr>
        <w:pStyle w:val="Default"/>
        <w:jc w:val="both"/>
        <w:rPr>
          <w:b/>
          <w:sz w:val="22"/>
          <w:szCs w:val="22"/>
        </w:rPr>
      </w:pPr>
      <w:r w:rsidRPr="00007065">
        <w:rPr>
          <w:b/>
          <w:sz w:val="22"/>
          <w:szCs w:val="22"/>
        </w:rPr>
        <w:t xml:space="preserve">Q7: Are the guidelines within Title II regarding the notions of suitability appropriate and sufficiently clear? </w:t>
      </w:r>
    </w:p>
    <w:p w:rsidR="00E947D9" w:rsidRDefault="00E947D9" w:rsidP="00A966C3">
      <w:pPr>
        <w:pStyle w:val="Default"/>
        <w:jc w:val="both"/>
        <w:rPr>
          <w:rFonts w:ascii="Arial" w:hAnsi="Arial" w:cs="Arial"/>
          <w:sz w:val="22"/>
          <w:szCs w:val="22"/>
        </w:rPr>
      </w:pPr>
    </w:p>
    <w:p w:rsidR="00E947D9" w:rsidRDefault="001B2E33" w:rsidP="00A966C3">
      <w:pPr>
        <w:pStyle w:val="Default"/>
        <w:spacing w:after="120" w:line="276" w:lineRule="auto"/>
        <w:jc w:val="both"/>
        <w:rPr>
          <w:rFonts w:ascii="Arial" w:hAnsi="Arial" w:cs="Arial"/>
          <w:sz w:val="22"/>
          <w:szCs w:val="22"/>
        </w:rPr>
      </w:pPr>
      <w:r>
        <w:rPr>
          <w:rFonts w:ascii="Arial" w:hAnsi="Arial" w:cs="Arial"/>
          <w:sz w:val="22"/>
          <w:szCs w:val="22"/>
        </w:rPr>
        <w:t xml:space="preserve">Please refer to </w:t>
      </w:r>
      <w:r w:rsidR="00F00FCC">
        <w:rPr>
          <w:rFonts w:ascii="Arial" w:hAnsi="Arial" w:cs="Arial"/>
          <w:sz w:val="22"/>
          <w:szCs w:val="22"/>
        </w:rPr>
        <w:t>our answer to question 6 on</w:t>
      </w:r>
      <w:r>
        <w:rPr>
          <w:rFonts w:ascii="Arial" w:hAnsi="Arial" w:cs="Arial"/>
          <w:sz w:val="22"/>
          <w:szCs w:val="22"/>
        </w:rPr>
        <w:t xml:space="preserve"> </w:t>
      </w:r>
      <w:r w:rsidR="00F00FCC">
        <w:rPr>
          <w:rFonts w:ascii="Arial" w:hAnsi="Arial" w:cs="Arial"/>
          <w:sz w:val="22"/>
          <w:szCs w:val="22"/>
        </w:rPr>
        <w:t xml:space="preserve">our </w:t>
      </w:r>
      <w:r>
        <w:rPr>
          <w:rFonts w:ascii="Arial" w:hAnsi="Arial" w:cs="Arial"/>
          <w:sz w:val="22"/>
          <w:szCs w:val="22"/>
        </w:rPr>
        <w:t xml:space="preserve">disagreement </w:t>
      </w:r>
      <w:r w:rsidR="00F00FCC">
        <w:rPr>
          <w:rFonts w:ascii="Arial" w:hAnsi="Arial" w:cs="Arial"/>
          <w:sz w:val="22"/>
          <w:szCs w:val="22"/>
        </w:rPr>
        <w:t>with</w:t>
      </w:r>
      <w:r>
        <w:rPr>
          <w:rFonts w:ascii="Arial" w:hAnsi="Arial" w:cs="Arial"/>
          <w:sz w:val="22"/>
          <w:szCs w:val="22"/>
        </w:rPr>
        <w:t xml:space="preserve"> the mon</w:t>
      </w:r>
      <w:r w:rsidR="00F00FCC">
        <w:rPr>
          <w:rFonts w:ascii="Arial" w:hAnsi="Arial" w:cs="Arial"/>
          <w:sz w:val="22"/>
          <w:szCs w:val="22"/>
        </w:rPr>
        <w:t>i</w:t>
      </w:r>
      <w:r>
        <w:rPr>
          <w:rFonts w:ascii="Arial" w:hAnsi="Arial" w:cs="Arial"/>
          <w:sz w:val="22"/>
          <w:szCs w:val="22"/>
        </w:rPr>
        <w:t>toring of time all</w:t>
      </w:r>
      <w:r w:rsidR="00FB0320">
        <w:rPr>
          <w:rFonts w:ascii="Arial" w:hAnsi="Arial" w:cs="Arial"/>
          <w:sz w:val="22"/>
          <w:szCs w:val="22"/>
        </w:rPr>
        <w:t>ocated by members to their task</w:t>
      </w:r>
      <w:r>
        <w:rPr>
          <w:rFonts w:ascii="Arial" w:hAnsi="Arial" w:cs="Arial"/>
          <w:sz w:val="22"/>
          <w:szCs w:val="22"/>
        </w:rPr>
        <w:t xml:space="preserve"> that is required in the guidelines. For the other chapters of Title </w:t>
      </w:r>
      <w:r w:rsidR="00FB0B79">
        <w:rPr>
          <w:rFonts w:ascii="Arial" w:hAnsi="Arial" w:cs="Arial"/>
          <w:sz w:val="22"/>
          <w:szCs w:val="22"/>
        </w:rPr>
        <w:t>II</w:t>
      </w:r>
      <w:r>
        <w:rPr>
          <w:rFonts w:ascii="Arial" w:hAnsi="Arial" w:cs="Arial"/>
          <w:sz w:val="22"/>
          <w:szCs w:val="22"/>
        </w:rPr>
        <w:t>, we would like t</w:t>
      </w:r>
      <w:r w:rsidR="00FB0B79">
        <w:rPr>
          <w:rFonts w:ascii="Arial" w:hAnsi="Arial" w:cs="Arial"/>
          <w:sz w:val="22"/>
          <w:szCs w:val="22"/>
        </w:rPr>
        <w:t xml:space="preserve">o share </w:t>
      </w:r>
      <w:r w:rsidR="00903CB7">
        <w:rPr>
          <w:rFonts w:ascii="Arial" w:hAnsi="Arial" w:cs="Arial"/>
          <w:sz w:val="22"/>
          <w:szCs w:val="22"/>
        </w:rPr>
        <w:t xml:space="preserve">four </w:t>
      </w:r>
      <w:r w:rsidR="00FB0B79">
        <w:rPr>
          <w:rFonts w:ascii="Arial" w:hAnsi="Arial" w:cs="Arial"/>
          <w:sz w:val="22"/>
          <w:szCs w:val="22"/>
        </w:rPr>
        <w:t>comments.</w:t>
      </w:r>
    </w:p>
    <w:p w:rsidR="00FB0B79" w:rsidRDefault="00FB0B79" w:rsidP="00A966C3">
      <w:pPr>
        <w:pStyle w:val="Default"/>
        <w:numPr>
          <w:ilvl w:val="0"/>
          <w:numId w:val="3"/>
        </w:numPr>
        <w:spacing w:after="120" w:line="276" w:lineRule="auto"/>
        <w:jc w:val="both"/>
        <w:rPr>
          <w:rFonts w:ascii="Arial" w:hAnsi="Arial" w:cs="Arial"/>
          <w:sz w:val="22"/>
          <w:szCs w:val="22"/>
        </w:rPr>
      </w:pPr>
      <w:r w:rsidRPr="00F80D58">
        <w:rPr>
          <w:rFonts w:ascii="Arial" w:hAnsi="Arial" w:cs="Arial"/>
          <w:i/>
          <w:sz w:val="22"/>
          <w:szCs w:val="22"/>
          <w:u w:val="single"/>
        </w:rPr>
        <w:t>On skill, knowledge and experience</w:t>
      </w:r>
      <w:r>
        <w:rPr>
          <w:rFonts w:ascii="Arial" w:hAnsi="Arial" w:cs="Arial"/>
          <w:sz w:val="22"/>
          <w:szCs w:val="22"/>
        </w:rPr>
        <w:t>: the main source of information lies with the candidate to be appointed. He or she is responsible for the CV received and on many other chapters his</w:t>
      </w:r>
      <w:r w:rsidR="00F00FCC">
        <w:rPr>
          <w:rFonts w:ascii="Arial" w:hAnsi="Arial" w:cs="Arial"/>
          <w:sz w:val="22"/>
          <w:szCs w:val="22"/>
        </w:rPr>
        <w:t>/her</w:t>
      </w:r>
      <w:r>
        <w:rPr>
          <w:rFonts w:ascii="Arial" w:hAnsi="Arial" w:cs="Arial"/>
          <w:sz w:val="22"/>
          <w:szCs w:val="22"/>
        </w:rPr>
        <w:t xml:space="preserve"> other declarations are the only first</w:t>
      </w:r>
      <w:r w:rsidR="00F00FCC">
        <w:rPr>
          <w:rFonts w:ascii="Arial" w:hAnsi="Arial" w:cs="Arial"/>
          <w:sz w:val="22"/>
          <w:szCs w:val="22"/>
        </w:rPr>
        <w:t>-</w:t>
      </w:r>
      <w:r>
        <w:rPr>
          <w:rFonts w:ascii="Arial" w:hAnsi="Arial" w:cs="Arial"/>
          <w:sz w:val="22"/>
          <w:szCs w:val="22"/>
        </w:rPr>
        <w:t>hand information available. Nevertheless the firm</w:t>
      </w:r>
      <w:r w:rsidR="00E14BCF">
        <w:rPr>
          <w:rFonts w:ascii="Arial" w:hAnsi="Arial" w:cs="Arial"/>
          <w:sz w:val="22"/>
          <w:szCs w:val="22"/>
        </w:rPr>
        <w:t>,</w:t>
      </w:r>
      <w:r>
        <w:rPr>
          <w:rFonts w:ascii="Arial" w:hAnsi="Arial" w:cs="Arial"/>
          <w:sz w:val="22"/>
          <w:szCs w:val="22"/>
        </w:rPr>
        <w:t xml:space="preserve"> before considering appointment</w:t>
      </w:r>
      <w:r w:rsidR="00E14BCF">
        <w:rPr>
          <w:rFonts w:ascii="Arial" w:hAnsi="Arial" w:cs="Arial"/>
          <w:sz w:val="22"/>
          <w:szCs w:val="22"/>
        </w:rPr>
        <w:t>,</w:t>
      </w:r>
      <w:r>
        <w:rPr>
          <w:rFonts w:ascii="Arial" w:hAnsi="Arial" w:cs="Arial"/>
          <w:sz w:val="22"/>
          <w:szCs w:val="22"/>
        </w:rPr>
        <w:t xml:space="preserve"> has to double check the veracity of these elements. Some items are </w:t>
      </w:r>
      <w:r w:rsidR="00E14BCF">
        <w:rPr>
          <w:rFonts w:ascii="Arial" w:hAnsi="Arial" w:cs="Arial"/>
          <w:sz w:val="22"/>
          <w:szCs w:val="22"/>
        </w:rPr>
        <w:t>easier</w:t>
      </w:r>
      <w:r w:rsidR="00E14BCF">
        <w:rPr>
          <w:rFonts w:ascii="Arial" w:hAnsi="Arial" w:cs="Arial"/>
          <w:sz w:val="22"/>
          <w:szCs w:val="22"/>
        </w:rPr>
        <w:t xml:space="preserve"> </w:t>
      </w:r>
      <w:r>
        <w:rPr>
          <w:rFonts w:ascii="Arial" w:hAnsi="Arial" w:cs="Arial"/>
          <w:sz w:val="22"/>
          <w:szCs w:val="22"/>
        </w:rPr>
        <w:t>to check: university diplomas, past experience through contact with former colleagues</w:t>
      </w:r>
      <w:proofErr w:type="gramStart"/>
      <w:r>
        <w:rPr>
          <w:rFonts w:ascii="Arial" w:hAnsi="Arial" w:cs="Arial"/>
          <w:sz w:val="22"/>
          <w:szCs w:val="22"/>
        </w:rPr>
        <w:t>,…</w:t>
      </w:r>
      <w:proofErr w:type="gramEnd"/>
      <w:r>
        <w:rPr>
          <w:rFonts w:ascii="Arial" w:hAnsi="Arial" w:cs="Arial"/>
          <w:sz w:val="22"/>
          <w:szCs w:val="22"/>
        </w:rPr>
        <w:t xml:space="preserve">but real responsibilities and personal achievements are often more difficult to assess. When a head hunter has been appointed it is part of his mission to conduct those verifications. But it should not be mandatory to appoint </w:t>
      </w:r>
      <w:r w:rsidR="00F00FCC">
        <w:rPr>
          <w:rFonts w:ascii="Arial" w:hAnsi="Arial" w:cs="Arial"/>
          <w:sz w:val="22"/>
          <w:szCs w:val="22"/>
        </w:rPr>
        <w:t>one HR consultant. We appreciate the quality of the Annex II where skills are detailed in an interesting way. We consider it as a good illustration of the queries that the firm (and more specifically the nomination committee) should have in mind. But we feel t</w:t>
      </w:r>
      <w:r w:rsidR="00F80D58">
        <w:rPr>
          <w:rFonts w:ascii="Arial" w:hAnsi="Arial" w:cs="Arial"/>
          <w:sz w:val="22"/>
          <w:szCs w:val="22"/>
        </w:rPr>
        <w:t xml:space="preserve">hat guidelines </w:t>
      </w:r>
      <w:r w:rsidR="00F00FCC">
        <w:rPr>
          <w:rFonts w:ascii="Arial" w:hAnsi="Arial" w:cs="Arial"/>
          <w:sz w:val="22"/>
          <w:szCs w:val="22"/>
        </w:rPr>
        <w:t xml:space="preserve">focus </w:t>
      </w:r>
      <w:r w:rsidR="00F80D58">
        <w:rPr>
          <w:rFonts w:ascii="Arial" w:hAnsi="Arial" w:cs="Arial"/>
          <w:sz w:val="22"/>
          <w:szCs w:val="22"/>
        </w:rPr>
        <w:t xml:space="preserve">too strongly </w:t>
      </w:r>
      <w:r w:rsidR="00F00FCC">
        <w:rPr>
          <w:rFonts w:ascii="Arial" w:hAnsi="Arial" w:cs="Arial"/>
          <w:sz w:val="22"/>
          <w:szCs w:val="22"/>
        </w:rPr>
        <w:t xml:space="preserve">on financial skills </w:t>
      </w:r>
      <w:r w:rsidR="00F80D58">
        <w:rPr>
          <w:rFonts w:ascii="Arial" w:hAnsi="Arial" w:cs="Arial"/>
          <w:sz w:val="22"/>
          <w:szCs w:val="22"/>
        </w:rPr>
        <w:t>(</w:t>
      </w:r>
      <w:r w:rsidR="00F00FCC">
        <w:rPr>
          <w:rFonts w:ascii="Arial" w:hAnsi="Arial" w:cs="Arial"/>
          <w:sz w:val="22"/>
          <w:szCs w:val="22"/>
        </w:rPr>
        <w:t>when the diversity within the college of the management body is an objective</w:t>
      </w:r>
      <w:r w:rsidR="00F80D58">
        <w:rPr>
          <w:rFonts w:ascii="Arial" w:hAnsi="Arial" w:cs="Arial"/>
          <w:sz w:val="22"/>
          <w:szCs w:val="22"/>
        </w:rPr>
        <w:t>)</w:t>
      </w:r>
      <w:r w:rsidR="00F00FCC">
        <w:rPr>
          <w:rFonts w:ascii="Arial" w:hAnsi="Arial" w:cs="Arial"/>
          <w:sz w:val="22"/>
          <w:szCs w:val="22"/>
        </w:rPr>
        <w:t xml:space="preserve"> and on the necessary experience. We believe that experience should not mean cooptation of similar profiles and fear that the </w:t>
      </w:r>
      <w:r w:rsidR="004D4557">
        <w:rPr>
          <w:rFonts w:ascii="Arial" w:hAnsi="Arial" w:cs="Arial"/>
          <w:sz w:val="22"/>
          <w:szCs w:val="22"/>
        </w:rPr>
        <w:t>guidelines will prompt firms to follow that erroneous route. It is a natural trend and guidelines should on the contrary incentivize firms to take a more positive view towards less standard profiles, with less experience of management in a financial institution and, for example, more ethics and conduct expertise.</w:t>
      </w:r>
    </w:p>
    <w:p w:rsidR="005866DA" w:rsidRDefault="005866DA" w:rsidP="005866DA">
      <w:pPr>
        <w:pStyle w:val="Default"/>
        <w:spacing w:after="120" w:line="276" w:lineRule="auto"/>
        <w:ind w:left="720"/>
        <w:jc w:val="both"/>
        <w:rPr>
          <w:rFonts w:ascii="Arial" w:hAnsi="Arial" w:cs="Arial"/>
          <w:sz w:val="22"/>
          <w:szCs w:val="22"/>
        </w:rPr>
      </w:pPr>
    </w:p>
    <w:p w:rsidR="006F66CD" w:rsidRPr="006F66CD" w:rsidRDefault="005866DA" w:rsidP="006F66CD">
      <w:pPr>
        <w:pStyle w:val="Default"/>
        <w:numPr>
          <w:ilvl w:val="0"/>
          <w:numId w:val="3"/>
        </w:numPr>
        <w:spacing w:after="120" w:line="276" w:lineRule="auto"/>
        <w:jc w:val="both"/>
        <w:rPr>
          <w:rFonts w:ascii="Arial" w:hAnsi="Arial" w:cs="Arial"/>
          <w:sz w:val="22"/>
          <w:szCs w:val="22"/>
        </w:rPr>
      </w:pPr>
      <w:r w:rsidRPr="00E51674">
        <w:rPr>
          <w:rFonts w:ascii="Arial" w:hAnsi="Arial" w:cs="Arial"/>
          <w:i/>
          <w:sz w:val="22"/>
          <w:szCs w:val="22"/>
          <w:u w:val="single"/>
        </w:rPr>
        <w:t>On collective suitability criteria:</w:t>
      </w:r>
      <w:r w:rsidRPr="006F66CD">
        <w:rPr>
          <w:rFonts w:ascii="Arial" w:hAnsi="Arial" w:cs="Arial"/>
          <w:sz w:val="22"/>
          <w:szCs w:val="22"/>
        </w:rPr>
        <w:t xml:space="preserve"> </w:t>
      </w:r>
      <w:r w:rsidR="006F66CD" w:rsidRPr="006F66CD">
        <w:rPr>
          <w:rFonts w:ascii="Arial" w:hAnsi="Arial" w:cs="Arial"/>
          <w:sz w:val="22"/>
          <w:szCs w:val="22"/>
        </w:rPr>
        <w:t xml:space="preserve">we suggest </w:t>
      </w:r>
      <w:r w:rsidR="006F66CD">
        <w:rPr>
          <w:rFonts w:ascii="Arial" w:hAnsi="Arial" w:cs="Arial"/>
          <w:sz w:val="22"/>
          <w:szCs w:val="22"/>
        </w:rPr>
        <w:t>th</w:t>
      </w:r>
      <w:r w:rsidR="006F66CD" w:rsidRPr="006F66CD">
        <w:rPr>
          <w:rFonts w:ascii="Arial" w:hAnsi="Arial" w:cs="Arial"/>
          <w:sz w:val="22"/>
          <w:szCs w:val="22"/>
        </w:rPr>
        <w:t xml:space="preserve">e following wording: </w:t>
      </w:r>
      <w:r w:rsidR="006F66CD">
        <w:rPr>
          <w:rFonts w:ascii="Arial" w:hAnsi="Arial" w:cs="Arial"/>
          <w:sz w:val="22"/>
          <w:szCs w:val="22"/>
        </w:rPr>
        <w:t>“</w:t>
      </w:r>
      <w:r w:rsidR="006F66CD" w:rsidRPr="006F66CD">
        <w:rPr>
          <w:rFonts w:ascii="Arial" w:hAnsi="Arial" w:cs="Arial"/>
          <w:sz w:val="22"/>
          <w:szCs w:val="22"/>
        </w:rPr>
        <w:t>The management body should</w:t>
      </w:r>
      <w:r w:rsidR="006F66CD">
        <w:rPr>
          <w:rFonts w:ascii="Arial" w:hAnsi="Arial" w:cs="Arial"/>
          <w:sz w:val="22"/>
          <w:szCs w:val="22"/>
        </w:rPr>
        <w:t>,</w:t>
      </w:r>
      <w:r w:rsidR="006F66CD" w:rsidRPr="006F66CD">
        <w:rPr>
          <w:rFonts w:ascii="Arial" w:hAnsi="Arial" w:cs="Arial"/>
          <w:sz w:val="22"/>
          <w:szCs w:val="22"/>
        </w:rPr>
        <w:t xml:space="preserve"> ideally and generally</w:t>
      </w:r>
      <w:r w:rsidR="006F66CD">
        <w:rPr>
          <w:rFonts w:ascii="Arial" w:hAnsi="Arial" w:cs="Arial"/>
          <w:sz w:val="22"/>
          <w:szCs w:val="22"/>
        </w:rPr>
        <w:t xml:space="preserve">, </w:t>
      </w:r>
      <w:r w:rsidR="006F66CD" w:rsidRPr="006F66CD">
        <w:rPr>
          <w:rFonts w:ascii="Arial" w:hAnsi="Arial" w:cs="Arial"/>
          <w:sz w:val="22"/>
          <w:szCs w:val="22"/>
        </w:rPr>
        <w:t>collectively be able to understand the institution's activities, including the main risks. Unless otherwise indicated in this section, these criteria should be applied separately</w:t>
      </w:r>
      <w:r w:rsidR="006F66CD">
        <w:rPr>
          <w:rFonts w:ascii="Arial" w:hAnsi="Arial" w:cs="Arial"/>
          <w:sz w:val="22"/>
          <w:szCs w:val="22"/>
        </w:rPr>
        <w:t>, where appropriate,</w:t>
      </w:r>
      <w:r w:rsidR="006F66CD" w:rsidRPr="006F66CD">
        <w:rPr>
          <w:rFonts w:ascii="Arial" w:hAnsi="Arial" w:cs="Arial"/>
          <w:sz w:val="22"/>
          <w:szCs w:val="22"/>
        </w:rPr>
        <w:t xml:space="preserve"> to the management body in its management function and the management body in its supervisory function</w:t>
      </w:r>
      <w:r w:rsidR="006F66CD">
        <w:rPr>
          <w:rFonts w:ascii="Arial" w:hAnsi="Arial" w:cs="Arial"/>
          <w:sz w:val="22"/>
          <w:szCs w:val="22"/>
        </w:rPr>
        <w:t>.”</w:t>
      </w:r>
      <w:r w:rsidR="006F66CD" w:rsidRPr="006F66CD">
        <w:rPr>
          <w:rFonts w:ascii="Arial" w:hAnsi="Arial" w:cs="Arial"/>
          <w:sz w:val="22"/>
          <w:szCs w:val="22"/>
        </w:rPr>
        <w:t xml:space="preserve"> </w:t>
      </w:r>
    </w:p>
    <w:p w:rsidR="005866DA" w:rsidRDefault="005866DA" w:rsidP="006F66CD">
      <w:pPr>
        <w:pStyle w:val="Default"/>
        <w:spacing w:after="120" w:line="276" w:lineRule="auto"/>
        <w:ind w:left="720"/>
        <w:jc w:val="both"/>
        <w:rPr>
          <w:rFonts w:ascii="Arial" w:hAnsi="Arial" w:cs="Arial"/>
          <w:sz w:val="22"/>
          <w:szCs w:val="22"/>
        </w:rPr>
      </w:pPr>
    </w:p>
    <w:p w:rsidR="00FB0320" w:rsidRDefault="00FB0B79" w:rsidP="00A966C3">
      <w:pPr>
        <w:pStyle w:val="Default"/>
        <w:numPr>
          <w:ilvl w:val="0"/>
          <w:numId w:val="3"/>
        </w:numPr>
        <w:spacing w:after="120" w:line="276" w:lineRule="auto"/>
        <w:jc w:val="both"/>
        <w:rPr>
          <w:rFonts w:ascii="Arial" w:hAnsi="Arial" w:cs="Arial"/>
          <w:sz w:val="22"/>
          <w:szCs w:val="22"/>
        </w:rPr>
      </w:pPr>
      <w:r w:rsidRPr="00F80D58">
        <w:rPr>
          <w:rFonts w:ascii="Arial" w:hAnsi="Arial" w:cs="Arial"/>
          <w:i/>
          <w:sz w:val="22"/>
          <w:szCs w:val="22"/>
          <w:u w:val="single"/>
        </w:rPr>
        <w:t>On reputation, honesty and integrity</w:t>
      </w:r>
      <w:r>
        <w:rPr>
          <w:rFonts w:ascii="Arial" w:hAnsi="Arial" w:cs="Arial"/>
          <w:sz w:val="22"/>
          <w:szCs w:val="22"/>
        </w:rPr>
        <w:t>:</w:t>
      </w:r>
      <w:r w:rsidR="004D4557">
        <w:rPr>
          <w:rFonts w:ascii="Arial" w:hAnsi="Arial" w:cs="Arial"/>
          <w:sz w:val="22"/>
          <w:szCs w:val="22"/>
        </w:rPr>
        <w:t xml:space="preserve"> the guidelines lack a positive view on personal achievements in this field. We believe that a candidate could provide examples of circumstances where he feels he has demonstrate</w:t>
      </w:r>
      <w:r w:rsidR="00116C57">
        <w:rPr>
          <w:rFonts w:ascii="Arial" w:hAnsi="Arial" w:cs="Arial"/>
          <w:sz w:val="22"/>
          <w:szCs w:val="22"/>
        </w:rPr>
        <w:t>d</w:t>
      </w:r>
      <w:r w:rsidR="004D4557">
        <w:rPr>
          <w:rFonts w:ascii="Arial" w:hAnsi="Arial" w:cs="Arial"/>
          <w:sz w:val="22"/>
          <w:szCs w:val="22"/>
        </w:rPr>
        <w:t xml:space="preserve"> capacity to manage conflict</w:t>
      </w:r>
      <w:r w:rsidR="00F80D58">
        <w:rPr>
          <w:rFonts w:ascii="Arial" w:hAnsi="Arial" w:cs="Arial"/>
          <w:sz w:val="22"/>
          <w:szCs w:val="22"/>
        </w:rPr>
        <w:t>s</w:t>
      </w:r>
      <w:r w:rsidR="004D4557">
        <w:rPr>
          <w:rFonts w:ascii="Arial" w:hAnsi="Arial" w:cs="Arial"/>
          <w:sz w:val="22"/>
          <w:szCs w:val="22"/>
        </w:rPr>
        <w:t xml:space="preserve"> of interest. We also believe that a self-declaration to act in compliance with ethical </w:t>
      </w:r>
      <w:r w:rsidR="004D4557">
        <w:rPr>
          <w:rFonts w:ascii="Arial" w:hAnsi="Arial" w:cs="Arial"/>
          <w:sz w:val="22"/>
          <w:szCs w:val="22"/>
        </w:rPr>
        <w:lastRenderedPageBreak/>
        <w:t>standards is a powerful tool to inform bona fide candidates of their responsibility and to identify those who show dubious conduct.</w:t>
      </w:r>
      <w:r w:rsidR="009425D0">
        <w:rPr>
          <w:rFonts w:ascii="Arial" w:hAnsi="Arial" w:cs="Arial"/>
          <w:sz w:val="22"/>
          <w:szCs w:val="22"/>
        </w:rPr>
        <w:t xml:space="preserve"> </w:t>
      </w:r>
    </w:p>
    <w:p w:rsidR="00FB0320" w:rsidRDefault="009425D0" w:rsidP="00FB0320">
      <w:pPr>
        <w:pStyle w:val="Default"/>
        <w:spacing w:after="120" w:line="276" w:lineRule="auto"/>
        <w:ind w:left="720"/>
        <w:jc w:val="both"/>
        <w:rPr>
          <w:rFonts w:ascii="Arial" w:hAnsi="Arial" w:cs="Arial"/>
          <w:sz w:val="22"/>
          <w:szCs w:val="22"/>
        </w:rPr>
      </w:pPr>
      <w:r>
        <w:rPr>
          <w:rFonts w:ascii="Arial" w:hAnsi="Arial" w:cs="Arial"/>
          <w:sz w:val="22"/>
          <w:szCs w:val="22"/>
        </w:rPr>
        <w:t xml:space="preserve">Of course, checking past activities, absence of sanction or </w:t>
      </w:r>
      <w:r w:rsidR="002819DD">
        <w:rPr>
          <w:rFonts w:ascii="Arial" w:hAnsi="Arial" w:cs="Arial"/>
          <w:sz w:val="22"/>
          <w:szCs w:val="22"/>
        </w:rPr>
        <w:t>misbehavior</w:t>
      </w:r>
      <w:r w:rsidR="00161A83">
        <w:rPr>
          <w:rFonts w:ascii="Arial" w:hAnsi="Arial" w:cs="Arial"/>
          <w:sz w:val="22"/>
          <w:szCs w:val="22"/>
        </w:rPr>
        <w:t xml:space="preserve"> in business or financial</w:t>
      </w:r>
      <w:r>
        <w:rPr>
          <w:rFonts w:ascii="Arial" w:hAnsi="Arial" w:cs="Arial"/>
          <w:sz w:val="22"/>
          <w:szCs w:val="22"/>
        </w:rPr>
        <w:t xml:space="preserve"> operations is of importance. But it is not sufficient to assess integrity and honesty. </w:t>
      </w:r>
      <w:r w:rsidR="00EB4515">
        <w:rPr>
          <w:rFonts w:ascii="Arial" w:hAnsi="Arial" w:cs="Arial"/>
          <w:sz w:val="22"/>
          <w:szCs w:val="22"/>
        </w:rPr>
        <w:t>Besides, the list of checks appears too detailed and there should be a reminder that these checks will always have to be on a best efforts basis.  Also, we do not understand why “tax” is given such a key and specific weight in the criteria (</w:t>
      </w:r>
      <w:proofErr w:type="spellStart"/>
      <w:r w:rsidR="00EB4515">
        <w:rPr>
          <w:rFonts w:ascii="Arial" w:hAnsi="Arial" w:cs="Arial"/>
          <w:sz w:val="22"/>
          <w:szCs w:val="22"/>
        </w:rPr>
        <w:t>cf</w:t>
      </w:r>
      <w:proofErr w:type="spellEnd"/>
      <w:r w:rsidR="00EB4515">
        <w:rPr>
          <w:rFonts w:ascii="Arial" w:hAnsi="Arial" w:cs="Arial"/>
          <w:sz w:val="22"/>
          <w:szCs w:val="22"/>
        </w:rPr>
        <w:t xml:space="preserve"> § 70</w:t>
      </w:r>
      <w:r w:rsidR="002129E2">
        <w:rPr>
          <w:rFonts w:ascii="Arial" w:hAnsi="Arial" w:cs="Arial"/>
          <w:sz w:val="22"/>
          <w:szCs w:val="22"/>
        </w:rPr>
        <w:t>.</w:t>
      </w:r>
      <w:r w:rsidR="00EB4515">
        <w:rPr>
          <w:rFonts w:ascii="Arial" w:hAnsi="Arial" w:cs="Arial"/>
          <w:sz w:val="22"/>
          <w:szCs w:val="22"/>
        </w:rPr>
        <w:t>a.iii, next to other items –</w:t>
      </w:r>
      <w:r w:rsidR="002129E2">
        <w:rPr>
          <w:rFonts w:ascii="Arial" w:hAnsi="Arial" w:cs="Arial"/>
          <w:sz w:val="22"/>
          <w:szCs w:val="22"/>
        </w:rPr>
        <w:t xml:space="preserve"> </w:t>
      </w:r>
      <w:proofErr w:type="spellStart"/>
      <w:r w:rsidR="002129E2">
        <w:rPr>
          <w:rFonts w:ascii="Arial" w:hAnsi="Arial" w:cs="Arial"/>
          <w:sz w:val="22"/>
          <w:szCs w:val="22"/>
        </w:rPr>
        <w:t>i</w:t>
      </w:r>
      <w:proofErr w:type="spellEnd"/>
      <w:r w:rsidR="00EB4515">
        <w:rPr>
          <w:rFonts w:ascii="Arial" w:hAnsi="Arial" w:cs="Arial"/>
          <w:sz w:val="22"/>
          <w:szCs w:val="22"/>
        </w:rPr>
        <w:t xml:space="preserve">, ii and </w:t>
      </w:r>
      <w:proofErr w:type="gramStart"/>
      <w:r w:rsidR="00EB4515">
        <w:rPr>
          <w:rFonts w:ascii="Arial" w:hAnsi="Arial" w:cs="Arial"/>
          <w:sz w:val="22"/>
          <w:szCs w:val="22"/>
        </w:rPr>
        <w:t>iv</w:t>
      </w:r>
      <w:proofErr w:type="gramEnd"/>
      <w:r w:rsidR="00EB4515">
        <w:rPr>
          <w:rFonts w:ascii="Arial" w:hAnsi="Arial" w:cs="Arial"/>
          <w:sz w:val="22"/>
          <w:szCs w:val="22"/>
        </w:rPr>
        <w:t>- which include it already).</w:t>
      </w:r>
    </w:p>
    <w:p w:rsidR="004D3FE9" w:rsidRDefault="009425D0" w:rsidP="00FB0320">
      <w:pPr>
        <w:pStyle w:val="Default"/>
        <w:spacing w:after="120" w:line="276" w:lineRule="auto"/>
        <w:ind w:left="720"/>
        <w:jc w:val="both"/>
        <w:rPr>
          <w:rFonts w:ascii="Arial" w:hAnsi="Arial" w:cs="Arial"/>
          <w:sz w:val="22"/>
          <w:szCs w:val="22"/>
        </w:rPr>
      </w:pPr>
      <w:r>
        <w:rPr>
          <w:rFonts w:ascii="Arial" w:hAnsi="Arial" w:cs="Arial"/>
          <w:sz w:val="22"/>
          <w:szCs w:val="22"/>
        </w:rPr>
        <w:t>We further disagree on two points with the guidelines.</w:t>
      </w:r>
    </w:p>
    <w:p w:rsidR="004D3FE9" w:rsidRDefault="009425D0" w:rsidP="00FB0320">
      <w:pPr>
        <w:pStyle w:val="Default"/>
        <w:spacing w:after="120" w:line="276" w:lineRule="auto"/>
        <w:ind w:left="720"/>
        <w:jc w:val="both"/>
        <w:rPr>
          <w:rFonts w:ascii="Arial" w:hAnsi="Arial" w:cs="Arial"/>
          <w:sz w:val="22"/>
          <w:szCs w:val="22"/>
        </w:rPr>
      </w:pPr>
      <w:r>
        <w:rPr>
          <w:rFonts w:ascii="Arial" w:hAnsi="Arial" w:cs="Arial"/>
          <w:sz w:val="22"/>
          <w:szCs w:val="22"/>
        </w:rPr>
        <w:t xml:space="preserve"> First, in §72 (a) we do not accept the idea to rely on non</w:t>
      </w:r>
      <w:r w:rsidR="00C97CB6">
        <w:rPr>
          <w:rFonts w:ascii="Arial" w:hAnsi="Arial" w:cs="Arial"/>
          <w:sz w:val="22"/>
          <w:szCs w:val="22"/>
        </w:rPr>
        <w:t>-</w:t>
      </w:r>
      <w:r>
        <w:rPr>
          <w:rFonts w:ascii="Arial" w:hAnsi="Arial" w:cs="Arial"/>
          <w:sz w:val="22"/>
          <w:szCs w:val="22"/>
        </w:rPr>
        <w:t xml:space="preserve">official sources and disregard the reference to a “reliable credit bureau”. </w:t>
      </w:r>
    </w:p>
    <w:p w:rsidR="00FB0B79" w:rsidRDefault="009425D0" w:rsidP="00FB0320">
      <w:pPr>
        <w:pStyle w:val="Default"/>
        <w:spacing w:after="120" w:line="276" w:lineRule="auto"/>
        <w:ind w:left="720"/>
        <w:jc w:val="both"/>
        <w:rPr>
          <w:rFonts w:ascii="Arial" w:hAnsi="Arial" w:cs="Arial"/>
          <w:sz w:val="22"/>
          <w:szCs w:val="22"/>
        </w:rPr>
      </w:pPr>
      <w:r>
        <w:rPr>
          <w:rFonts w:ascii="Arial" w:hAnsi="Arial" w:cs="Arial"/>
          <w:sz w:val="22"/>
          <w:szCs w:val="22"/>
        </w:rPr>
        <w:t>Second, in §73 (a) we fear that the requirement to be “cooperative “ in dealings with authorities may suggest that people should renounce their right to organize their defense as they wish if subject to an investigation by an authority. Even if</w:t>
      </w:r>
      <w:r w:rsidR="00F80D58">
        <w:rPr>
          <w:rFonts w:ascii="Arial" w:hAnsi="Arial" w:cs="Arial"/>
          <w:sz w:val="22"/>
          <w:szCs w:val="22"/>
        </w:rPr>
        <w:t>,</w:t>
      </w:r>
      <w:r>
        <w:rPr>
          <w:rFonts w:ascii="Arial" w:hAnsi="Arial" w:cs="Arial"/>
          <w:sz w:val="22"/>
          <w:szCs w:val="22"/>
        </w:rPr>
        <w:t xml:space="preserve"> as rightly stated in §70</w:t>
      </w:r>
      <w:r w:rsidR="00F80D58">
        <w:rPr>
          <w:rFonts w:ascii="Arial" w:hAnsi="Arial" w:cs="Arial"/>
          <w:sz w:val="22"/>
          <w:szCs w:val="22"/>
        </w:rPr>
        <w:t>,</w:t>
      </w:r>
      <w:r>
        <w:rPr>
          <w:rFonts w:ascii="Arial" w:hAnsi="Arial" w:cs="Arial"/>
          <w:sz w:val="22"/>
          <w:szCs w:val="22"/>
        </w:rPr>
        <w:t xml:space="preserve"> such investigation or sanction should be considered and </w:t>
      </w:r>
      <w:r w:rsidR="002819DD">
        <w:rPr>
          <w:rFonts w:ascii="Arial" w:hAnsi="Arial" w:cs="Arial"/>
          <w:sz w:val="22"/>
          <w:szCs w:val="22"/>
        </w:rPr>
        <w:t>analyzed</w:t>
      </w:r>
      <w:r>
        <w:rPr>
          <w:rFonts w:ascii="Arial" w:hAnsi="Arial" w:cs="Arial"/>
          <w:sz w:val="22"/>
          <w:szCs w:val="22"/>
        </w:rPr>
        <w:t xml:space="preserve"> with more de</w:t>
      </w:r>
      <w:r w:rsidR="009F37F6">
        <w:rPr>
          <w:rFonts w:ascii="Arial" w:hAnsi="Arial" w:cs="Arial"/>
          <w:sz w:val="22"/>
          <w:szCs w:val="22"/>
        </w:rPr>
        <w:t>t</w:t>
      </w:r>
      <w:r>
        <w:rPr>
          <w:rFonts w:ascii="Arial" w:hAnsi="Arial" w:cs="Arial"/>
          <w:sz w:val="22"/>
          <w:szCs w:val="22"/>
        </w:rPr>
        <w:t>ails and should not systematically veto a candidacy.</w:t>
      </w:r>
    </w:p>
    <w:p w:rsidR="00FB0B79" w:rsidRDefault="00FB0B79" w:rsidP="00A966C3">
      <w:pPr>
        <w:pStyle w:val="Default"/>
        <w:numPr>
          <w:ilvl w:val="0"/>
          <w:numId w:val="3"/>
        </w:numPr>
        <w:spacing w:line="276" w:lineRule="auto"/>
        <w:jc w:val="both"/>
        <w:rPr>
          <w:rFonts w:ascii="Arial" w:hAnsi="Arial" w:cs="Arial"/>
          <w:sz w:val="22"/>
          <w:szCs w:val="22"/>
        </w:rPr>
      </w:pPr>
      <w:r w:rsidRPr="00F80D58">
        <w:rPr>
          <w:rFonts w:ascii="Arial" w:hAnsi="Arial" w:cs="Arial"/>
          <w:i/>
          <w:sz w:val="22"/>
          <w:szCs w:val="22"/>
          <w:u w:val="single"/>
        </w:rPr>
        <w:t>On independence of mind</w:t>
      </w:r>
      <w:r>
        <w:rPr>
          <w:rFonts w:ascii="Arial" w:hAnsi="Arial" w:cs="Arial"/>
          <w:sz w:val="22"/>
          <w:szCs w:val="22"/>
        </w:rPr>
        <w:t>:</w:t>
      </w:r>
      <w:r w:rsidR="009425D0">
        <w:rPr>
          <w:rFonts w:ascii="Arial" w:hAnsi="Arial" w:cs="Arial"/>
          <w:sz w:val="22"/>
          <w:szCs w:val="22"/>
        </w:rPr>
        <w:t xml:space="preserve"> </w:t>
      </w:r>
      <w:r w:rsidR="009F37F6">
        <w:rPr>
          <w:rFonts w:ascii="Arial" w:hAnsi="Arial" w:cs="Arial"/>
          <w:sz w:val="22"/>
          <w:szCs w:val="22"/>
        </w:rPr>
        <w:t>we share the view that “courage, conviction and strength” are required to show independence of mind. They are marks of character that are not</w:t>
      </w:r>
      <w:r w:rsidR="004D3FE9">
        <w:rPr>
          <w:rFonts w:ascii="Arial" w:hAnsi="Arial" w:cs="Arial"/>
          <w:sz w:val="22"/>
          <w:szCs w:val="22"/>
        </w:rPr>
        <w:t>, and cannot be,</w:t>
      </w:r>
      <w:r w:rsidR="009F37F6">
        <w:rPr>
          <w:rFonts w:ascii="Arial" w:hAnsi="Arial" w:cs="Arial"/>
          <w:sz w:val="22"/>
          <w:szCs w:val="22"/>
        </w:rPr>
        <w:t xml:space="preserve"> taught in any specific class. Education at college or university do</w:t>
      </w:r>
      <w:r w:rsidR="00F80D58">
        <w:rPr>
          <w:rFonts w:ascii="Arial" w:hAnsi="Arial" w:cs="Arial"/>
          <w:sz w:val="22"/>
          <w:szCs w:val="22"/>
        </w:rPr>
        <w:t>es</w:t>
      </w:r>
      <w:r w:rsidR="009F37F6">
        <w:rPr>
          <w:rFonts w:ascii="Arial" w:hAnsi="Arial" w:cs="Arial"/>
          <w:sz w:val="22"/>
          <w:szCs w:val="22"/>
        </w:rPr>
        <w:t xml:space="preserve"> not provide any hint on that skill. It is a very personal matter. Before focusing on the matter of conflicts of interest, we think that guidelines should expand §76 and suggest that candidates would help the process if they accept personal questions to be asked in a meeting with a few members of the nomination committee that would be specifically required to keep confidential all the discussion they have. In other words, we feel that it is possible to </w:t>
      </w:r>
      <w:r w:rsidR="003C0A7E">
        <w:rPr>
          <w:rFonts w:ascii="Arial" w:hAnsi="Arial" w:cs="Arial"/>
          <w:sz w:val="22"/>
          <w:szCs w:val="22"/>
        </w:rPr>
        <w:t xml:space="preserve">work to </w:t>
      </w:r>
      <w:r w:rsidR="009F37F6">
        <w:rPr>
          <w:rFonts w:ascii="Arial" w:hAnsi="Arial" w:cs="Arial"/>
          <w:sz w:val="22"/>
          <w:szCs w:val="22"/>
        </w:rPr>
        <w:t>assess the independence of mind in a meeting, but that it may be in conflict with the privacy right of the candidate.</w:t>
      </w:r>
      <w:r w:rsidR="000B0B56">
        <w:rPr>
          <w:rFonts w:ascii="Arial" w:hAnsi="Arial" w:cs="Arial"/>
          <w:sz w:val="22"/>
          <w:szCs w:val="22"/>
        </w:rPr>
        <w:t xml:space="preserve"> </w:t>
      </w:r>
      <w:r w:rsidR="002129E2">
        <w:rPr>
          <w:rFonts w:ascii="Arial" w:hAnsi="Arial" w:cs="Arial"/>
          <w:sz w:val="22"/>
          <w:szCs w:val="22"/>
        </w:rPr>
        <w:t>Above all, we believe independence of mind is substantially distinct from absence of conflicts of interest and/or ability to manage these.</w:t>
      </w:r>
    </w:p>
    <w:p w:rsidR="002819DD" w:rsidRDefault="002819DD" w:rsidP="002819DD">
      <w:pPr>
        <w:pStyle w:val="Default"/>
        <w:spacing w:line="276" w:lineRule="auto"/>
        <w:ind w:left="720"/>
        <w:jc w:val="both"/>
        <w:rPr>
          <w:rFonts w:ascii="Arial" w:hAnsi="Arial" w:cs="Arial"/>
          <w:sz w:val="22"/>
          <w:szCs w:val="22"/>
        </w:rPr>
      </w:pPr>
      <w:r>
        <w:rPr>
          <w:rFonts w:ascii="Arial" w:hAnsi="Arial" w:cs="Arial"/>
          <w:sz w:val="22"/>
          <w:szCs w:val="22"/>
        </w:rPr>
        <w:t>In §77 (f), we suggest to replace “</w:t>
      </w:r>
      <w:r w:rsidR="008C7F16">
        <w:rPr>
          <w:rFonts w:ascii="Arial" w:hAnsi="Arial" w:cs="Arial"/>
          <w:sz w:val="22"/>
          <w:szCs w:val="22"/>
        </w:rPr>
        <w:t xml:space="preserve">political </w:t>
      </w:r>
      <w:r>
        <w:rPr>
          <w:rFonts w:ascii="Arial" w:hAnsi="Arial" w:cs="Arial"/>
          <w:sz w:val="22"/>
          <w:szCs w:val="22"/>
        </w:rPr>
        <w:t>influence</w:t>
      </w:r>
      <w:r w:rsidR="008C7F16">
        <w:rPr>
          <w:rFonts w:ascii="Arial" w:hAnsi="Arial" w:cs="Arial"/>
          <w:sz w:val="22"/>
          <w:szCs w:val="22"/>
        </w:rPr>
        <w:t xml:space="preserve"> and political relationships</w:t>
      </w:r>
      <w:r>
        <w:rPr>
          <w:rFonts w:ascii="Arial" w:hAnsi="Arial" w:cs="Arial"/>
          <w:sz w:val="22"/>
          <w:szCs w:val="22"/>
        </w:rPr>
        <w:t>” with “</w:t>
      </w:r>
      <w:r w:rsidR="008C7F16">
        <w:rPr>
          <w:rFonts w:ascii="Arial" w:hAnsi="Arial" w:cs="Arial"/>
          <w:sz w:val="22"/>
          <w:szCs w:val="22"/>
        </w:rPr>
        <w:t xml:space="preserve">political </w:t>
      </w:r>
      <w:r>
        <w:rPr>
          <w:rFonts w:ascii="Arial" w:hAnsi="Arial" w:cs="Arial"/>
          <w:sz w:val="22"/>
          <w:szCs w:val="22"/>
        </w:rPr>
        <w:t>position</w:t>
      </w:r>
      <w:r w:rsidR="008C7F16">
        <w:rPr>
          <w:rFonts w:ascii="Arial" w:hAnsi="Arial" w:cs="Arial"/>
          <w:sz w:val="22"/>
          <w:szCs w:val="22"/>
        </w:rPr>
        <w:t xml:space="preserve"> or political relationships that would make the candidate a “politically exposed person</w:t>
      </w:r>
      <w:r>
        <w:rPr>
          <w:rFonts w:ascii="Arial" w:hAnsi="Arial" w:cs="Arial"/>
          <w:sz w:val="22"/>
          <w:szCs w:val="22"/>
        </w:rPr>
        <w:t>”</w:t>
      </w:r>
      <w:r w:rsidR="00903CB7">
        <w:rPr>
          <w:rFonts w:ascii="Arial" w:hAnsi="Arial" w:cs="Arial"/>
          <w:sz w:val="22"/>
          <w:szCs w:val="22"/>
        </w:rPr>
        <w:t>; We</w:t>
      </w:r>
      <w:r w:rsidR="006653E5">
        <w:rPr>
          <w:rFonts w:ascii="Arial" w:hAnsi="Arial" w:cs="Arial"/>
          <w:sz w:val="22"/>
          <w:szCs w:val="22"/>
        </w:rPr>
        <w:t xml:space="preserve"> believe the current redaction is vague and could either lead into an inappropriate intrusion into the personal life and views of the candidate, as well as lead to an </w:t>
      </w:r>
      <w:proofErr w:type="spellStart"/>
      <w:r w:rsidR="006653E5">
        <w:rPr>
          <w:rFonts w:ascii="Arial" w:hAnsi="Arial" w:cs="Arial"/>
          <w:sz w:val="22"/>
          <w:szCs w:val="22"/>
        </w:rPr>
        <w:t>unharmonized</w:t>
      </w:r>
      <w:proofErr w:type="spellEnd"/>
      <w:r w:rsidR="006653E5">
        <w:rPr>
          <w:rFonts w:ascii="Arial" w:hAnsi="Arial" w:cs="Arial"/>
          <w:sz w:val="22"/>
          <w:szCs w:val="22"/>
        </w:rPr>
        <w:t xml:space="preserve"> approach to analyzing this type of conflict across Europe.  We believe that our proposal provides a harmonized practicable approach, which is also aligned with other European law. </w:t>
      </w:r>
    </w:p>
    <w:p w:rsidR="00957E9A" w:rsidRDefault="00957E9A" w:rsidP="002819DD">
      <w:pPr>
        <w:pStyle w:val="Default"/>
        <w:spacing w:line="276" w:lineRule="auto"/>
        <w:ind w:left="720"/>
        <w:jc w:val="both"/>
        <w:rPr>
          <w:rFonts w:ascii="Arial" w:hAnsi="Arial" w:cs="Arial"/>
          <w:sz w:val="22"/>
          <w:szCs w:val="22"/>
        </w:rPr>
      </w:pPr>
    </w:p>
    <w:p w:rsidR="004D3FE9" w:rsidRDefault="00957E9A" w:rsidP="002819DD">
      <w:pPr>
        <w:pStyle w:val="Default"/>
        <w:spacing w:line="276" w:lineRule="auto"/>
        <w:ind w:left="720"/>
        <w:jc w:val="both"/>
        <w:rPr>
          <w:rFonts w:ascii="Arial" w:hAnsi="Arial" w:cs="Arial"/>
          <w:sz w:val="22"/>
          <w:szCs w:val="22"/>
        </w:rPr>
      </w:pPr>
      <w:r>
        <w:rPr>
          <w:rFonts w:ascii="Arial" w:hAnsi="Arial" w:cs="Arial"/>
          <w:sz w:val="22"/>
          <w:szCs w:val="22"/>
        </w:rPr>
        <w:t xml:space="preserve">In § 78, we note the compatibility of holding of shares with the quality of independence, </w:t>
      </w:r>
      <w:r w:rsidR="003E6969">
        <w:rPr>
          <w:rFonts w:ascii="Arial" w:hAnsi="Arial" w:cs="Arial"/>
          <w:sz w:val="22"/>
          <w:szCs w:val="22"/>
        </w:rPr>
        <w:t xml:space="preserve">which we believe </w:t>
      </w:r>
      <w:r>
        <w:rPr>
          <w:rFonts w:ascii="Arial" w:hAnsi="Arial" w:cs="Arial"/>
          <w:sz w:val="22"/>
          <w:szCs w:val="22"/>
        </w:rPr>
        <w:t>at odd with certain local regulators’ policies &amp; supervision in the EU.</w:t>
      </w:r>
    </w:p>
    <w:p w:rsidR="004D3FE9" w:rsidRDefault="004D3FE9">
      <w:pPr>
        <w:spacing w:line="240" w:lineRule="auto"/>
        <w:rPr>
          <w:rFonts w:cs="Arial"/>
          <w:color w:val="000000"/>
          <w:sz w:val="22"/>
          <w:szCs w:val="22"/>
          <w:lang w:val="en-US"/>
        </w:rPr>
      </w:pPr>
      <w:r>
        <w:rPr>
          <w:rFonts w:cs="Arial"/>
          <w:sz w:val="22"/>
          <w:szCs w:val="22"/>
        </w:rPr>
        <w:br w:type="page"/>
      </w:r>
    </w:p>
    <w:p w:rsidR="00007065" w:rsidRDefault="00007065" w:rsidP="00A966C3">
      <w:pPr>
        <w:pStyle w:val="Default"/>
        <w:jc w:val="both"/>
        <w:rPr>
          <w:b/>
          <w:sz w:val="22"/>
          <w:szCs w:val="22"/>
        </w:rPr>
      </w:pPr>
      <w:r w:rsidRPr="00007065">
        <w:rPr>
          <w:b/>
          <w:sz w:val="22"/>
          <w:szCs w:val="22"/>
        </w:rPr>
        <w:lastRenderedPageBreak/>
        <w:t xml:space="preserve">Q8: Are the guidelines within Title III regarding the Human and financial resources for training of members of the management body appropriate and sufficiently clear? </w:t>
      </w:r>
    </w:p>
    <w:p w:rsidR="00E947D9" w:rsidRDefault="00E947D9" w:rsidP="00A966C3">
      <w:pPr>
        <w:pStyle w:val="Default"/>
        <w:jc w:val="both"/>
        <w:rPr>
          <w:rFonts w:ascii="Arial" w:hAnsi="Arial" w:cs="Arial"/>
          <w:sz w:val="22"/>
          <w:szCs w:val="22"/>
        </w:rPr>
      </w:pPr>
    </w:p>
    <w:p w:rsidR="00E947D9" w:rsidRDefault="00405301" w:rsidP="00903CB7">
      <w:pPr>
        <w:pStyle w:val="Default"/>
        <w:spacing w:line="276" w:lineRule="auto"/>
        <w:jc w:val="both"/>
        <w:rPr>
          <w:rFonts w:ascii="Arial" w:hAnsi="Arial" w:cs="Arial"/>
          <w:sz w:val="22"/>
          <w:szCs w:val="22"/>
        </w:rPr>
      </w:pPr>
      <w:r>
        <w:rPr>
          <w:rFonts w:ascii="Arial" w:hAnsi="Arial" w:cs="Arial"/>
          <w:sz w:val="22"/>
          <w:szCs w:val="22"/>
        </w:rPr>
        <w:t xml:space="preserve">We do not consider that benchmarking is a good policy in that matter. It can easily lead to 2 types of deviations. On the one hand, it may prompt firms to organize seminars for members of the board with the view to spend the budget and be at the benchmark or exceed it, without </w:t>
      </w:r>
      <w:r w:rsidR="00957E9A">
        <w:rPr>
          <w:rFonts w:ascii="Arial" w:hAnsi="Arial" w:cs="Arial"/>
          <w:sz w:val="22"/>
          <w:szCs w:val="22"/>
        </w:rPr>
        <w:t xml:space="preserve">sufficient </w:t>
      </w:r>
      <w:r>
        <w:rPr>
          <w:rFonts w:ascii="Arial" w:hAnsi="Arial" w:cs="Arial"/>
          <w:sz w:val="22"/>
          <w:szCs w:val="22"/>
        </w:rPr>
        <w:t xml:space="preserve">consideration to the appropriateness of the content </w:t>
      </w:r>
      <w:r w:rsidR="002129E2">
        <w:rPr>
          <w:rFonts w:ascii="Arial" w:hAnsi="Arial" w:cs="Arial"/>
          <w:sz w:val="22"/>
          <w:szCs w:val="22"/>
        </w:rPr>
        <w:t xml:space="preserve">or efficiency </w:t>
      </w:r>
      <w:r>
        <w:rPr>
          <w:rFonts w:ascii="Arial" w:hAnsi="Arial" w:cs="Arial"/>
          <w:sz w:val="22"/>
          <w:szCs w:val="22"/>
        </w:rPr>
        <w:t xml:space="preserve">of the training. On the other hand it can limit education investments that could be necessary, just because the budget is calibrated to a benchmark. </w:t>
      </w:r>
    </w:p>
    <w:p w:rsidR="006653E5" w:rsidRPr="00903CB7" w:rsidRDefault="00116C57" w:rsidP="00903CB7">
      <w:pPr>
        <w:pStyle w:val="Default"/>
        <w:spacing w:line="276" w:lineRule="auto"/>
        <w:jc w:val="both"/>
        <w:rPr>
          <w:rFonts w:ascii="Arial" w:hAnsi="Arial" w:cs="Arial"/>
          <w:sz w:val="22"/>
          <w:szCs w:val="22"/>
        </w:rPr>
      </w:pPr>
      <w:r>
        <w:rPr>
          <w:rFonts w:ascii="Arial" w:hAnsi="Arial" w:cs="Arial"/>
          <w:sz w:val="22"/>
          <w:szCs w:val="22"/>
        </w:rPr>
        <w:t xml:space="preserve">We further disagree with the reference in §83 to a 1 month delay to implement the induction program. It is not workable with members of a Board </w:t>
      </w:r>
      <w:r w:rsidR="00957E9A">
        <w:rPr>
          <w:rFonts w:ascii="Arial" w:hAnsi="Arial" w:cs="Arial"/>
          <w:sz w:val="22"/>
          <w:szCs w:val="22"/>
        </w:rPr>
        <w:t>who are</w:t>
      </w:r>
      <w:r>
        <w:rPr>
          <w:rFonts w:ascii="Arial" w:hAnsi="Arial" w:cs="Arial"/>
          <w:sz w:val="22"/>
          <w:szCs w:val="22"/>
        </w:rPr>
        <w:t xml:space="preserve"> part of the management body in </w:t>
      </w:r>
      <w:r w:rsidR="002819DD">
        <w:rPr>
          <w:rFonts w:ascii="Arial" w:hAnsi="Arial" w:cs="Arial"/>
          <w:sz w:val="22"/>
          <w:szCs w:val="22"/>
        </w:rPr>
        <w:t>a</w:t>
      </w:r>
      <w:r>
        <w:rPr>
          <w:rFonts w:ascii="Arial" w:hAnsi="Arial" w:cs="Arial"/>
          <w:sz w:val="22"/>
          <w:szCs w:val="22"/>
        </w:rPr>
        <w:t xml:space="preserve"> u</w:t>
      </w:r>
      <w:r w:rsidR="005B3FDD">
        <w:rPr>
          <w:rFonts w:ascii="Arial" w:hAnsi="Arial" w:cs="Arial"/>
          <w:sz w:val="22"/>
          <w:szCs w:val="22"/>
        </w:rPr>
        <w:t>nitary</w:t>
      </w:r>
      <w:r>
        <w:rPr>
          <w:rFonts w:ascii="Arial" w:hAnsi="Arial" w:cs="Arial"/>
          <w:sz w:val="22"/>
          <w:szCs w:val="22"/>
        </w:rPr>
        <w:t xml:space="preserve"> structure. </w:t>
      </w:r>
      <w:r w:rsidR="00CA31F6">
        <w:rPr>
          <w:rFonts w:ascii="Arial" w:hAnsi="Arial" w:cs="Arial"/>
          <w:sz w:val="22"/>
          <w:szCs w:val="22"/>
        </w:rPr>
        <w:t>W</w:t>
      </w:r>
      <w:r w:rsidR="002819DD">
        <w:rPr>
          <w:rFonts w:ascii="Arial" w:hAnsi="Arial" w:cs="Arial"/>
          <w:sz w:val="22"/>
          <w:szCs w:val="22"/>
        </w:rPr>
        <w:t xml:space="preserve">e suggest </w:t>
      </w:r>
      <w:r w:rsidR="00957E9A">
        <w:rPr>
          <w:rFonts w:ascii="Arial" w:hAnsi="Arial" w:cs="Arial"/>
          <w:sz w:val="22"/>
          <w:szCs w:val="22"/>
        </w:rPr>
        <w:t xml:space="preserve">instead </w:t>
      </w:r>
      <w:r w:rsidR="002819DD">
        <w:rPr>
          <w:rFonts w:ascii="Arial" w:hAnsi="Arial" w:cs="Arial"/>
          <w:sz w:val="22"/>
          <w:szCs w:val="22"/>
        </w:rPr>
        <w:t>“</w:t>
      </w:r>
      <w:r w:rsidR="006653E5" w:rsidRPr="00903CB7">
        <w:rPr>
          <w:rFonts w:ascii="Arial" w:hAnsi="Arial" w:cs="Arial"/>
          <w:sz w:val="22"/>
          <w:szCs w:val="22"/>
        </w:rPr>
        <w:t xml:space="preserve">should receive induction </w:t>
      </w:r>
      <w:r w:rsidR="006653E5">
        <w:rPr>
          <w:rFonts w:ascii="Arial" w:hAnsi="Arial" w:cs="Arial"/>
          <w:sz w:val="22"/>
          <w:szCs w:val="22"/>
        </w:rPr>
        <w:t>ideally before the first board meeting that the new member will attend, but no later than 6 months after taking up their position”</w:t>
      </w:r>
      <w:r w:rsidR="00957E9A">
        <w:rPr>
          <w:rFonts w:ascii="Arial" w:hAnsi="Arial" w:cs="Arial"/>
          <w:sz w:val="22"/>
          <w:szCs w:val="22"/>
        </w:rPr>
        <w:t>,</w:t>
      </w:r>
      <w:r w:rsidR="006653E5">
        <w:rPr>
          <w:rFonts w:ascii="Arial" w:hAnsi="Arial" w:cs="Arial"/>
          <w:sz w:val="22"/>
          <w:szCs w:val="22"/>
        </w:rPr>
        <w:t xml:space="preserve"> </w:t>
      </w:r>
      <w:r>
        <w:rPr>
          <w:rFonts w:ascii="Arial" w:hAnsi="Arial" w:cs="Arial"/>
          <w:sz w:val="22"/>
          <w:szCs w:val="22"/>
        </w:rPr>
        <w:t>giving time for a</w:t>
      </w:r>
      <w:r w:rsidR="005B3FDD">
        <w:rPr>
          <w:rFonts w:ascii="Arial" w:hAnsi="Arial" w:cs="Arial"/>
          <w:sz w:val="22"/>
          <w:szCs w:val="22"/>
        </w:rPr>
        <w:t>n induction</w:t>
      </w:r>
      <w:r>
        <w:rPr>
          <w:rFonts w:ascii="Arial" w:hAnsi="Arial" w:cs="Arial"/>
          <w:sz w:val="22"/>
          <w:szCs w:val="22"/>
        </w:rPr>
        <w:t xml:space="preserve"> </w:t>
      </w:r>
      <w:r w:rsidR="005B3FDD">
        <w:rPr>
          <w:rFonts w:ascii="Arial" w:hAnsi="Arial" w:cs="Arial"/>
          <w:sz w:val="22"/>
          <w:szCs w:val="22"/>
        </w:rPr>
        <w:t>more tailored to the needs of the new Director.</w:t>
      </w:r>
      <w:r>
        <w:rPr>
          <w:rFonts w:ascii="Arial" w:hAnsi="Arial" w:cs="Arial"/>
          <w:sz w:val="22"/>
          <w:szCs w:val="22"/>
        </w:rPr>
        <w:t xml:space="preserve"> </w:t>
      </w:r>
      <w:r w:rsidR="006653E5">
        <w:rPr>
          <w:rFonts w:ascii="Arial" w:hAnsi="Arial" w:cs="Arial"/>
          <w:sz w:val="22"/>
          <w:szCs w:val="22"/>
        </w:rPr>
        <w:t xml:space="preserve">Furthermore, we disagree with the reference in §84 to a 6 month delay for customized training. Due to the timing of the offering, as well as duration, of such technical trainings, we propose </w:t>
      </w:r>
      <w:r w:rsidR="00D20A15">
        <w:rPr>
          <w:rFonts w:ascii="Arial" w:hAnsi="Arial" w:cs="Arial"/>
          <w:sz w:val="22"/>
          <w:szCs w:val="22"/>
        </w:rPr>
        <w:t>that you either remove all references to a specific time frame, and rely on the reference in the preceding sentence (</w:t>
      </w:r>
      <w:r w:rsidR="00D20A15" w:rsidRPr="00903CB7">
        <w:rPr>
          <w:rFonts w:ascii="Arial" w:hAnsi="Arial" w:cs="Arial"/>
          <w:sz w:val="22"/>
          <w:szCs w:val="22"/>
        </w:rPr>
        <w:t xml:space="preserve">“…as soon as possible after the position is effectively taken up” ) or that you adapt the relevant sentence to “ </w:t>
      </w:r>
      <w:r w:rsidR="006653E5" w:rsidRPr="00903CB7">
        <w:rPr>
          <w:rFonts w:ascii="Arial" w:hAnsi="Arial" w:cs="Arial"/>
          <w:sz w:val="22"/>
          <w:szCs w:val="22"/>
        </w:rPr>
        <w:t xml:space="preserve">In any case, a member should start </w:t>
      </w:r>
      <w:r w:rsidR="00D20A15" w:rsidRPr="00903CB7">
        <w:rPr>
          <w:rFonts w:ascii="Arial" w:hAnsi="Arial" w:cs="Arial"/>
          <w:sz w:val="22"/>
          <w:szCs w:val="22"/>
        </w:rPr>
        <w:t xml:space="preserve">to take appropriate action as soon as possible, but no later than 6 months </w:t>
      </w:r>
      <w:r w:rsidR="006653E5" w:rsidRPr="00903CB7">
        <w:rPr>
          <w:rFonts w:ascii="Arial" w:hAnsi="Arial" w:cs="Arial"/>
          <w:sz w:val="22"/>
          <w:szCs w:val="22"/>
        </w:rPr>
        <w:t xml:space="preserve">after taking up the position, considering the </w:t>
      </w:r>
      <w:r w:rsidR="00903CB7" w:rsidRPr="00903CB7">
        <w:rPr>
          <w:rFonts w:ascii="Arial" w:hAnsi="Arial" w:cs="Arial"/>
          <w:sz w:val="22"/>
          <w:szCs w:val="22"/>
        </w:rPr>
        <w:t>non-exhaustive</w:t>
      </w:r>
      <w:r w:rsidR="006653E5" w:rsidRPr="00903CB7">
        <w:rPr>
          <w:rFonts w:ascii="Arial" w:hAnsi="Arial" w:cs="Arial"/>
          <w:sz w:val="22"/>
          <w:szCs w:val="22"/>
        </w:rPr>
        <w:t xml:space="preserve"> list of relevant skills provided in Annex II. </w:t>
      </w:r>
      <w:r w:rsidR="00D20A15" w:rsidRPr="00903CB7">
        <w:rPr>
          <w:rFonts w:ascii="Arial" w:hAnsi="Arial" w:cs="Arial"/>
          <w:sz w:val="22"/>
          <w:szCs w:val="22"/>
        </w:rPr>
        <w:t xml:space="preserve">)  To provide a concrete example, in the case that a board member is assigned responsibilities for portfolio management oversight and the company has newly acquired a corporate loans portfolio management team, and the board member should enhance his/her understanding of corporate loan  techniques and regulations, in France, the AFG provides such courses </w:t>
      </w:r>
      <w:r w:rsidR="00957E9A" w:rsidRPr="00903CB7">
        <w:rPr>
          <w:rFonts w:ascii="Arial" w:hAnsi="Arial" w:cs="Arial"/>
          <w:sz w:val="22"/>
          <w:szCs w:val="22"/>
        </w:rPr>
        <w:t xml:space="preserve">once a </w:t>
      </w:r>
      <w:r w:rsidR="00D20A15" w:rsidRPr="00903CB7">
        <w:rPr>
          <w:rFonts w:ascii="Arial" w:hAnsi="Arial" w:cs="Arial"/>
          <w:sz w:val="22"/>
          <w:szCs w:val="22"/>
        </w:rPr>
        <w:t xml:space="preserve">year. </w:t>
      </w:r>
    </w:p>
    <w:p w:rsidR="00116C57" w:rsidRDefault="00116C57" w:rsidP="00903CB7">
      <w:pPr>
        <w:pStyle w:val="Default"/>
        <w:spacing w:line="276" w:lineRule="auto"/>
        <w:jc w:val="both"/>
        <w:rPr>
          <w:rFonts w:ascii="Arial" w:hAnsi="Arial" w:cs="Arial"/>
          <w:sz w:val="22"/>
          <w:szCs w:val="22"/>
        </w:rPr>
      </w:pPr>
    </w:p>
    <w:p w:rsidR="00D51436" w:rsidRDefault="00D51436" w:rsidP="00903CB7">
      <w:pPr>
        <w:pStyle w:val="Default"/>
        <w:spacing w:line="276" w:lineRule="auto"/>
        <w:jc w:val="both"/>
        <w:rPr>
          <w:b/>
          <w:sz w:val="22"/>
          <w:szCs w:val="22"/>
        </w:rPr>
      </w:pPr>
    </w:p>
    <w:p w:rsidR="00007065" w:rsidRDefault="00007065" w:rsidP="00A966C3">
      <w:pPr>
        <w:pStyle w:val="Default"/>
        <w:jc w:val="both"/>
        <w:rPr>
          <w:b/>
          <w:sz w:val="22"/>
          <w:szCs w:val="22"/>
        </w:rPr>
      </w:pPr>
      <w:r w:rsidRPr="00007065">
        <w:rPr>
          <w:b/>
          <w:sz w:val="22"/>
          <w:szCs w:val="22"/>
        </w:rPr>
        <w:t xml:space="preserve">Q9: Are the guidelines within Title IV regarding diversity appropriate and sufficiently clear? </w:t>
      </w:r>
    </w:p>
    <w:p w:rsidR="00E947D9" w:rsidRDefault="00E947D9" w:rsidP="00A966C3">
      <w:pPr>
        <w:pStyle w:val="Default"/>
        <w:jc w:val="both"/>
        <w:rPr>
          <w:rFonts w:ascii="Arial" w:hAnsi="Arial" w:cs="Arial"/>
          <w:sz w:val="22"/>
          <w:szCs w:val="22"/>
        </w:rPr>
      </w:pPr>
    </w:p>
    <w:p w:rsidR="00957E9A" w:rsidRDefault="00957E9A" w:rsidP="00A966C3">
      <w:pPr>
        <w:pStyle w:val="Default"/>
        <w:jc w:val="both"/>
        <w:rPr>
          <w:rFonts w:ascii="Arial" w:hAnsi="Arial" w:cs="Arial"/>
          <w:sz w:val="22"/>
          <w:szCs w:val="22"/>
        </w:rPr>
      </w:pPr>
      <w:r>
        <w:rPr>
          <w:rFonts w:ascii="Arial" w:hAnsi="Arial" w:cs="Arial"/>
          <w:sz w:val="22"/>
          <w:szCs w:val="22"/>
        </w:rPr>
        <w:t>§94: here as well, benchmarking does not seem relevant to us for similar reason</w:t>
      </w:r>
      <w:r w:rsidR="003E6969">
        <w:rPr>
          <w:rFonts w:ascii="Arial" w:hAnsi="Arial" w:cs="Arial"/>
          <w:sz w:val="22"/>
          <w:szCs w:val="22"/>
        </w:rPr>
        <w:t>s</w:t>
      </w:r>
      <w:r>
        <w:rPr>
          <w:rFonts w:ascii="Arial" w:hAnsi="Arial" w:cs="Arial"/>
          <w:sz w:val="22"/>
          <w:szCs w:val="22"/>
        </w:rPr>
        <w:t xml:space="preserve"> as above: matching the company’s specificities should be encouraged, not discouraged.</w:t>
      </w:r>
    </w:p>
    <w:p w:rsidR="00957E9A" w:rsidRDefault="00957E9A" w:rsidP="00A966C3">
      <w:pPr>
        <w:pStyle w:val="Default"/>
        <w:jc w:val="both"/>
        <w:rPr>
          <w:rFonts w:ascii="Arial" w:hAnsi="Arial" w:cs="Arial"/>
          <w:sz w:val="22"/>
          <w:szCs w:val="22"/>
        </w:rPr>
      </w:pPr>
    </w:p>
    <w:p w:rsidR="004C63CC" w:rsidRDefault="00405301" w:rsidP="00A966C3">
      <w:pPr>
        <w:pStyle w:val="Default"/>
        <w:spacing w:line="276" w:lineRule="auto"/>
        <w:jc w:val="both"/>
        <w:rPr>
          <w:rFonts w:ascii="Arial" w:hAnsi="Arial" w:cs="Arial"/>
          <w:sz w:val="22"/>
          <w:szCs w:val="22"/>
        </w:rPr>
      </w:pPr>
      <w:r>
        <w:rPr>
          <w:rFonts w:ascii="Arial" w:hAnsi="Arial" w:cs="Arial"/>
          <w:sz w:val="22"/>
          <w:szCs w:val="22"/>
        </w:rPr>
        <w:t>We are not convinced that an annual review is relevant</w:t>
      </w:r>
      <w:r w:rsidR="005B3FDD">
        <w:rPr>
          <w:rFonts w:ascii="Arial" w:hAnsi="Arial" w:cs="Arial"/>
          <w:sz w:val="22"/>
          <w:szCs w:val="22"/>
        </w:rPr>
        <w:t>, even for significant institutions,</w:t>
      </w:r>
      <w:r>
        <w:rPr>
          <w:rFonts w:ascii="Arial" w:hAnsi="Arial" w:cs="Arial"/>
          <w:sz w:val="22"/>
          <w:szCs w:val="22"/>
        </w:rPr>
        <w:t xml:space="preserve"> and would prefer a more in depth review on</w:t>
      </w:r>
      <w:r w:rsidR="00F80D58">
        <w:rPr>
          <w:rFonts w:ascii="Arial" w:hAnsi="Arial" w:cs="Arial"/>
          <w:sz w:val="22"/>
          <w:szCs w:val="22"/>
        </w:rPr>
        <w:t xml:space="preserve"> a</w:t>
      </w:r>
      <w:r>
        <w:rPr>
          <w:rFonts w:ascii="Arial" w:hAnsi="Arial" w:cs="Arial"/>
          <w:sz w:val="22"/>
          <w:szCs w:val="22"/>
        </w:rPr>
        <w:t xml:space="preserve"> less frequent tempo. Every 3 years would be</w:t>
      </w:r>
      <w:r w:rsidR="0090020F">
        <w:rPr>
          <w:rFonts w:ascii="Arial" w:hAnsi="Arial" w:cs="Arial"/>
          <w:sz w:val="22"/>
          <w:szCs w:val="22"/>
        </w:rPr>
        <w:t xml:space="preserve"> more</w:t>
      </w:r>
      <w:r>
        <w:rPr>
          <w:rFonts w:ascii="Arial" w:hAnsi="Arial" w:cs="Arial"/>
          <w:sz w:val="22"/>
          <w:szCs w:val="22"/>
        </w:rPr>
        <w:t xml:space="preserve"> appropriate in our view, </w:t>
      </w:r>
      <w:r w:rsidR="0090020F">
        <w:rPr>
          <w:rFonts w:ascii="Arial" w:hAnsi="Arial" w:cs="Arial"/>
          <w:sz w:val="22"/>
          <w:szCs w:val="22"/>
        </w:rPr>
        <w:t>with a partial review at each change in the composition of the management body.</w:t>
      </w:r>
      <w:r w:rsidR="004C63CC">
        <w:rPr>
          <w:rFonts w:ascii="Arial" w:hAnsi="Arial" w:cs="Arial"/>
          <w:sz w:val="22"/>
          <w:szCs w:val="22"/>
        </w:rPr>
        <w:t xml:space="preserve"> </w:t>
      </w:r>
    </w:p>
    <w:p w:rsidR="0090020F" w:rsidRDefault="0090020F" w:rsidP="00A966C3">
      <w:pPr>
        <w:pStyle w:val="Default"/>
        <w:spacing w:line="276" w:lineRule="auto"/>
        <w:jc w:val="both"/>
        <w:rPr>
          <w:rFonts w:ascii="Arial" w:hAnsi="Arial" w:cs="Arial"/>
          <w:sz w:val="22"/>
          <w:szCs w:val="22"/>
        </w:rPr>
      </w:pPr>
      <w:r>
        <w:rPr>
          <w:rFonts w:ascii="Arial" w:hAnsi="Arial" w:cs="Arial"/>
          <w:sz w:val="22"/>
          <w:szCs w:val="22"/>
        </w:rPr>
        <w:t xml:space="preserve">We consider that §97 </w:t>
      </w:r>
      <w:proofErr w:type="gramStart"/>
      <w:r>
        <w:rPr>
          <w:rFonts w:ascii="Arial" w:hAnsi="Arial" w:cs="Arial"/>
          <w:sz w:val="22"/>
          <w:szCs w:val="22"/>
        </w:rPr>
        <w:t>is</w:t>
      </w:r>
      <w:proofErr w:type="gramEnd"/>
      <w:r>
        <w:rPr>
          <w:rFonts w:ascii="Arial" w:hAnsi="Arial" w:cs="Arial"/>
          <w:sz w:val="22"/>
          <w:szCs w:val="22"/>
        </w:rPr>
        <w:t xml:space="preserve"> out of topic and should be deleted. We do not oppose the view that firms should implement a diversity policy for staff, but consider that it does not relate to the suitability of members of the management body, the matter of the guidelines. We think that suggesting that candidates for the management body should be recruited internally is not adapted especially in a unitary structure of the Board</w:t>
      </w:r>
      <w:r w:rsidR="002129E2">
        <w:rPr>
          <w:rFonts w:ascii="Arial" w:hAnsi="Arial" w:cs="Arial"/>
          <w:sz w:val="22"/>
          <w:szCs w:val="22"/>
        </w:rPr>
        <w:t>, or requires many caveats</w:t>
      </w:r>
      <w:r>
        <w:rPr>
          <w:rFonts w:ascii="Arial" w:hAnsi="Arial" w:cs="Arial"/>
          <w:sz w:val="22"/>
          <w:szCs w:val="22"/>
        </w:rPr>
        <w:t>.</w:t>
      </w:r>
    </w:p>
    <w:p w:rsidR="00E947D9" w:rsidRPr="00E947D9" w:rsidRDefault="00E947D9" w:rsidP="00A966C3">
      <w:pPr>
        <w:pStyle w:val="Default"/>
        <w:jc w:val="both"/>
        <w:rPr>
          <w:rFonts w:ascii="Arial" w:hAnsi="Arial" w:cs="Arial"/>
          <w:sz w:val="22"/>
          <w:szCs w:val="22"/>
        </w:rPr>
      </w:pPr>
    </w:p>
    <w:p w:rsidR="00DC0679" w:rsidRDefault="00DC0679">
      <w:pPr>
        <w:spacing w:line="240" w:lineRule="auto"/>
        <w:rPr>
          <w:rFonts w:ascii="Calibri" w:hAnsi="Calibri" w:cs="Calibri"/>
          <w:b/>
          <w:color w:val="000000"/>
          <w:sz w:val="22"/>
          <w:szCs w:val="22"/>
          <w:lang w:val="en-US"/>
        </w:rPr>
      </w:pPr>
      <w:r>
        <w:rPr>
          <w:b/>
          <w:sz w:val="22"/>
          <w:szCs w:val="22"/>
        </w:rPr>
        <w:br w:type="page"/>
      </w:r>
    </w:p>
    <w:p w:rsidR="00007065" w:rsidRDefault="00007065" w:rsidP="00A966C3">
      <w:pPr>
        <w:pStyle w:val="Default"/>
        <w:jc w:val="both"/>
        <w:rPr>
          <w:b/>
          <w:sz w:val="22"/>
          <w:szCs w:val="22"/>
        </w:rPr>
      </w:pPr>
      <w:r w:rsidRPr="00007065">
        <w:rPr>
          <w:b/>
          <w:sz w:val="22"/>
          <w:szCs w:val="22"/>
        </w:rPr>
        <w:lastRenderedPageBreak/>
        <w:t xml:space="preserve">Q10: Are the guidelines within Title V regarding the suitability policy and governance arrangements appropriate and sufficiently clear? </w:t>
      </w:r>
    </w:p>
    <w:p w:rsidR="005B3FDD" w:rsidRDefault="005B3FDD" w:rsidP="00A966C3">
      <w:pPr>
        <w:pStyle w:val="Default"/>
        <w:spacing w:line="276" w:lineRule="auto"/>
        <w:jc w:val="both"/>
        <w:rPr>
          <w:rFonts w:ascii="Arial" w:hAnsi="Arial" w:cs="Arial"/>
          <w:sz w:val="22"/>
          <w:szCs w:val="22"/>
        </w:rPr>
      </w:pPr>
    </w:p>
    <w:p w:rsidR="007B2A14" w:rsidRDefault="005B3FDD" w:rsidP="007B2A14">
      <w:pPr>
        <w:pStyle w:val="Default"/>
        <w:spacing w:line="276" w:lineRule="auto"/>
        <w:jc w:val="both"/>
        <w:rPr>
          <w:rFonts w:ascii="Arial" w:hAnsi="Arial" w:cs="Arial"/>
          <w:sz w:val="22"/>
          <w:szCs w:val="22"/>
        </w:rPr>
      </w:pPr>
      <w:r>
        <w:rPr>
          <w:rFonts w:ascii="Arial" w:hAnsi="Arial" w:cs="Arial"/>
          <w:sz w:val="22"/>
          <w:szCs w:val="22"/>
        </w:rPr>
        <w:t>We do not share the approach concerning groups</w:t>
      </w:r>
      <w:r w:rsidR="006735BA">
        <w:rPr>
          <w:rFonts w:ascii="Arial" w:hAnsi="Arial" w:cs="Arial"/>
          <w:sz w:val="22"/>
          <w:szCs w:val="22"/>
        </w:rPr>
        <w:t xml:space="preserve"> in chapter 15</w:t>
      </w:r>
      <w:r w:rsidR="007B2A14">
        <w:rPr>
          <w:rFonts w:ascii="Arial" w:hAnsi="Arial" w:cs="Arial"/>
          <w:sz w:val="22"/>
          <w:szCs w:val="22"/>
        </w:rPr>
        <w:t xml:space="preserve"> (See our comments in question 5). </w:t>
      </w:r>
    </w:p>
    <w:p w:rsidR="00E05E1D" w:rsidRDefault="005B3FDD" w:rsidP="00A966C3">
      <w:pPr>
        <w:pStyle w:val="Default"/>
        <w:spacing w:line="276" w:lineRule="auto"/>
        <w:jc w:val="both"/>
        <w:rPr>
          <w:rFonts w:ascii="Arial" w:hAnsi="Arial" w:cs="Arial"/>
          <w:sz w:val="22"/>
          <w:szCs w:val="22"/>
        </w:rPr>
      </w:pPr>
      <w:r>
        <w:rPr>
          <w:rFonts w:ascii="Arial" w:hAnsi="Arial" w:cs="Arial"/>
          <w:sz w:val="22"/>
          <w:szCs w:val="22"/>
        </w:rPr>
        <w:t>Firstly, it relies on the definition of a group that applies for the purpose of prudential consolidation in the banking industry. We do not consider that it is valid for non</w:t>
      </w:r>
      <w:r w:rsidR="006735BA">
        <w:rPr>
          <w:rFonts w:ascii="Arial" w:hAnsi="Arial" w:cs="Arial"/>
          <w:sz w:val="22"/>
          <w:szCs w:val="22"/>
        </w:rPr>
        <w:t>-</w:t>
      </w:r>
      <w:r>
        <w:rPr>
          <w:rFonts w:ascii="Arial" w:hAnsi="Arial" w:cs="Arial"/>
          <w:sz w:val="22"/>
          <w:szCs w:val="22"/>
        </w:rPr>
        <w:t xml:space="preserve">banking entities. Secondly, the purpose of the guidelines is to ensure suitability of management and supervisory bodies in CRD and MIFID firms. </w:t>
      </w:r>
      <w:r w:rsidR="006735BA">
        <w:rPr>
          <w:rFonts w:ascii="Arial" w:hAnsi="Arial" w:cs="Arial"/>
          <w:sz w:val="22"/>
          <w:szCs w:val="22"/>
        </w:rPr>
        <w:t>A</w:t>
      </w:r>
      <w:r>
        <w:rPr>
          <w:rFonts w:ascii="Arial" w:hAnsi="Arial" w:cs="Arial"/>
          <w:sz w:val="22"/>
          <w:szCs w:val="22"/>
        </w:rPr>
        <w:t xml:space="preserve"> group in that framework must be limited to the standard commercial law definition supplemented by accounting international principles. It means top entity and </w:t>
      </w:r>
      <w:proofErr w:type="gramStart"/>
      <w:r>
        <w:rPr>
          <w:rFonts w:ascii="Arial" w:hAnsi="Arial" w:cs="Arial"/>
          <w:sz w:val="22"/>
          <w:szCs w:val="22"/>
        </w:rPr>
        <w:t>its</w:t>
      </w:r>
      <w:proofErr w:type="gramEnd"/>
      <w:r>
        <w:rPr>
          <w:rFonts w:ascii="Arial" w:hAnsi="Arial" w:cs="Arial"/>
          <w:sz w:val="22"/>
          <w:szCs w:val="22"/>
        </w:rPr>
        <w:t xml:space="preserve"> affiliated where it holds directly or indirectly a majority of the shares or a </w:t>
      </w:r>
      <w:r w:rsidR="006735BA">
        <w:rPr>
          <w:rFonts w:ascii="Arial" w:hAnsi="Arial" w:cs="Arial"/>
          <w:sz w:val="22"/>
          <w:szCs w:val="22"/>
        </w:rPr>
        <w:t>stake</w:t>
      </w:r>
      <w:r>
        <w:rPr>
          <w:rFonts w:ascii="Arial" w:hAnsi="Arial" w:cs="Arial"/>
          <w:sz w:val="22"/>
          <w:szCs w:val="22"/>
        </w:rPr>
        <w:t xml:space="preserve"> sufficient to have </w:t>
      </w:r>
      <w:r w:rsidR="006735BA">
        <w:rPr>
          <w:rFonts w:ascii="Arial" w:hAnsi="Arial" w:cs="Arial"/>
          <w:sz w:val="22"/>
          <w:szCs w:val="22"/>
        </w:rPr>
        <w:t>the</w:t>
      </w:r>
      <w:r>
        <w:rPr>
          <w:rFonts w:ascii="Arial" w:hAnsi="Arial" w:cs="Arial"/>
          <w:sz w:val="22"/>
          <w:szCs w:val="22"/>
        </w:rPr>
        <w:t xml:space="preserve"> </w:t>
      </w:r>
      <w:r w:rsidR="006735BA">
        <w:rPr>
          <w:rFonts w:ascii="Arial" w:hAnsi="Arial" w:cs="Arial"/>
          <w:sz w:val="22"/>
          <w:szCs w:val="22"/>
        </w:rPr>
        <w:t>power to decide.</w:t>
      </w:r>
    </w:p>
    <w:p w:rsidR="005B3FDD" w:rsidRDefault="006735BA" w:rsidP="00A966C3">
      <w:pPr>
        <w:pStyle w:val="Default"/>
        <w:spacing w:line="276" w:lineRule="auto"/>
        <w:jc w:val="both"/>
        <w:rPr>
          <w:rFonts w:ascii="Arial" w:hAnsi="Arial" w:cs="Arial"/>
          <w:sz w:val="22"/>
          <w:szCs w:val="22"/>
        </w:rPr>
      </w:pPr>
      <w:r>
        <w:rPr>
          <w:rFonts w:ascii="Arial" w:hAnsi="Arial" w:cs="Arial"/>
          <w:sz w:val="22"/>
          <w:szCs w:val="22"/>
        </w:rPr>
        <w:t xml:space="preserve">The over-extensive definition taken for risk management of large banking groups is not adequate for pure governance issues. </w:t>
      </w:r>
      <w:r w:rsidR="00860BCB">
        <w:rPr>
          <w:rFonts w:ascii="Arial" w:hAnsi="Arial" w:cs="Arial"/>
          <w:sz w:val="22"/>
          <w:szCs w:val="22"/>
        </w:rPr>
        <w:t>W</w:t>
      </w:r>
      <w:r>
        <w:rPr>
          <w:rFonts w:ascii="Arial" w:hAnsi="Arial" w:cs="Arial"/>
          <w:sz w:val="22"/>
          <w:szCs w:val="22"/>
        </w:rPr>
        <w:t xml:space="preserve">e insist on the necessity to define “identified entities” that are different from </w:t>
      </w:r>
      <w:r w:rsidR="002129E2">
        <w:rPr>
          <w:rFonts w:ascii="Arial" w:hAnsi="Arial" w:cs="Arial"/>
          <w:sz w:val="22"/>
          <w:szCs w:val="22"/>
        </w:rPr>
        <w:t xml:space="preserve">smaller and/or </w:t>
      </w:r>
      <w:r>
        <w:rPr>
          <w:rFonts w:ascii="Arial" w:hAnsi="Arial" w:cs="Arial"/>
          <w:sz w:val="22"/>
          <w:szCs w:val="22"/>
        </w:rPr>
        <w:t xml:space="preserve">technical entities which </w:t>
      </w:r>
      <w:r w:rsidR="00957E9A">
        <w:rPr>
          <w:rFonts w:ascii="Arial" w:hAnsi="Arial" w:cs="Arial"/>
          <w:sz w:val="22"/>
          <w:szCs w:val="22"/>
        </w:rPr>
        <w:t>have a lesser impact on the risk profile of the group</w:t>
      </w:r>
      <w:r>
        <w:rPr>
          <w:rFonts w:ascii="Arial" w:hAnsi="Arial" w:cs="Arial"/>
          <w:sz w:val="22"/>
          <w:szCs w:val="22"/>
        </w:rPr>
        <w:t xml:space="preserve">. Non-identified entities would be </w:t>
      </w:r>
      <w:r w:rsidR="006E27A9">
        <w:rPr>
          <w:rFonts w:ascii="Arial" w:hAnsi="Arial" w:cs="Arial"/>
          <w:sz w:val="22"/>
          <w:szCs w:val="22"/>
        </w:rPr>
        <w:t xml:space="preserve">globally </w:t>
      </w:r>
      <w:r>
        <w:rPr>
          <w:rFonts w:ascii="Arial" w:hAnsi="Arial" w:cs="Arial"/>
          <w:sz w:val="22"/>
          <w:szCs w:val="22"/>
        </w:rPr>
        <w:t xml:space="preserve">compliant </w:t>
      </w:r>
      <w:r w:rsidR="006E27A9">
        <w:rPr>
          <w:rFonts w:ascii="Arial" w:hAnsi="Arial" w:cs="Arial"/>
          <w:sz w:val="22"/>
          <w:szCs w:val="22"/>
        </w:rPr>
        <w:t xml:space="preserve">with </w:t>
      </w:r>
      <w:r>
        <w:rPr>
          <w:rFonts w:ascii="Arial" w:hAnsi="Arial" w:cs="Arial"/>
          <w:sz w:val="22"/>
          <w:szCs w:val="22"/>
        </w:rPr>
        <w:t>the guidelines if</w:t>
      </w:r>
      <w:r w:rsidR="003E11AD">
        <w:rPr>
          <w:rFonts w:ascii="Arial" w:hAnsi="Arial" w:cs="Arial"/>
          <w:sz w:val="22"/>
          <w:szCs w:val="22"/>
        </w:rPr>
        <w:t xml:space="preserve"> relying on </w:t>
      </w:r>
      <w:r w:rsidR="002129E2">
        <w:rPr>
          <w:rFonts w:ascii="Arial" w:hAnsi="Arial" w:cs="Arial"/>
          <w:sz w:val="22"/>
          <w:szCs w:val="22"/>
        </w:rPr>
        <w:t xml:space="preserve">general governance </w:t>
      </w:r>
      <w:r w:rsidR="003E11AD">
        <w:rPr>
          <w:rFonts w:ascii="Arial" w:hAnsi="Arial" w:cs="Arial"/>
          <w:sz w:val="22"/>
          <w:szCs w:val="22"/>
        </w:rPr>
        <w:t>procedures developed at the level of</w:t>
      </w:r>
      <w:r>
        <w:rPr>
          <w:rFonts w:ascii="Arial" w:hAnsi="Arial" w:cs="Arial"/>
          <w:sz w:val="22"/>
          <w:szCs w:val="22"/>
        </w:rPr>
        <w:t xml:space="preserve"> their mother </w:t>
      </w:r>
      <w:r w:rsidR="003E11AD">
        <w:rPr>
          <w:rFonts w:ascii="Arial" w:hAnsi="Arial" w:cs="Arial"/>
          <w:sz w:val="22"/>
          <w:szCs w:val="22"/>
        </w:rPr>
        <w:t>or head of group entity</w:t>
      </w:r>
      <w:r>
        <w:rPr>
          <w:rFonts w:ascii="Arial" w:hAnsi="Arial" w:cs="Arial"/>
          <w:sz w:val="22"/>
          <w:szCs w:val="22"/>
        </w:rPr>
        <w:t>.</w:t>
      </w:r>
      <w:r w:rsidR="003E11AD">
        <w:rPr>
          <w:rFonts w:ascii="Arial" w:hAnsi="Arial" w:cs="Arial"/>
          <w:sz w:val="22"/>
          <w:szCs w:val="22"/>
        </w:rPr>
        <w:t xml:space="preserve"> Typically procedures followed by the nomination committee of the head company could be mutualized and applied for nominations in the smaller company (whose management body in its supervisory function will be discharged). </w:t>
      </w:r>
      <w:r>
        <w:rPr>
          <w:rFonts w:ascii="Arial" w:hAnsi="Arial" w:cs="Arial"/>
          <w:sz w:val="22"/>
          <w:szCs w:val="22"/>
        </w:rPr>
        <w:t xml:space="preserve"> See our answer to question 5 in that respect.  </w:t>
      </w:r>
      <w:r w:rsidR="005B3FDD">
        <w:rPr>
          <w:rFonts w:ascii="Arial" w:hAnsi="Arial" w:cs="Arial"/>
          <w:sz w:val="22"/>
          <w:szCs w:val="22"/>
        </w:rPr>
        <w:t xml:space="preserve"> </w:t>
      </w:r>
    </w:p>
    <w:p w:rsidR="00A06BBF" w:rsidRDefault="00A06BBF" w:rsidP="00A966C3">
      <w:pPr>
        <w:pStyle w:val="Default"/>
        <w:spacing w:line="276" w:lineRule="auto"/>
        <w:jc w:val="both"/>
        <w:rPr>
          <w:rFonts w:ascii="Arial" w:hAnsi="Arial" w:cs="Arial"/>
          <w:sz w:val="22"/>
          <w:szCs w:val="22"/>
        </w:rPr>
      </w:pPr>
    </w:p>
    <w:p w:rsidR="00A06BBF" w:rsidRDefault="00A06BBF" w:rsidP="00A966C3">
      <w:pPr>
        <w:pStyle w:val="Default"/>
        <w:spacing w:line="276" w:lineRule="auto"/>
        <w:jc w:val="both"/>
        <w:rPr>
          <w:rFonts w:ascii="Arial" w:hAnsi="Arial" w:cs="Arial"/>
          <w:sz w:val="22"/>
          <w:szCs w:val="22"/>
        </w:rPr>
      </w:pPr>
      <w:r>
        <w:rPr>
          <w:rFonts w:ascii="Arial" w:hAnsi="Arial" w:cs="Arial"/>
          <w:sz w:val="22"/>
          <w:szCs w:val="22"/>
        </w:rPr>
        <w:t>There is in our view another limitation to the scope of the regulation</w:t>
      </w:r>
      <w:r w:rsidR="002129E2">
        <w:rPr>
          <w:rFonts w:ascii="Arial" w:hAnsi="Arial" w:cs="Arial"/>
          <w:sz w:val="22"/>
          <w:szCs w:val="22"/>
        </w:rPr>
        <w:t>, notably for asset management</w:t>
      </w:r>
      <w:r>
        <w:rPr>
          <w:rFonts w:ascii="Arial" w:hAnsi="Arial" w:cs="Arial"/>
          <w:sz w:val="22"/>
          <w:szCs w:val="22"/>
        </w:rPr>
        <w:t>. It cannot have extraterritorial applications that would put EU firms at a disadvantage in their competition with firms of third countries. Extra territorial application would mean a duplication of regimes (local an</w:t>
      </w:r>
      <w:r w:rsidR="00B85C39">
        <w:rPr>
          <w:rFonts w:ascii="Arial" w:hAnsi="Arial" w:cs="Arial"/>
          <w:sz w:val="22"/>
          <w:szCs w:val="22"/>
        </w:rPr>
        <w:t>d</w:t>
      </w:r>
      <w:r>
        <w:rPr>
          <w:rFonts w:ascii="Arial" w:hAnsi="Arial" w:cs="Arial"/>
          <w:sz w:val="22"/>
          <w:szCs w:val="22"/>
        </w:rPr>
        <w:t xml:space="preserve"> European) for EU based firms. It could also imply third countries </w:t>
      </w:r>
      <w:r w:rsidR="00903CB7">
        <w:rPr>
          <w:rFonts w:ascii="Arial" w:hAnsi="Arial" w:cs="Arial"/>
          <w:sz w:val="22"/>
          <w:szCs w:val="22"/>
        </w:rPr>
        <w:t>authorities’</w:t>
      </w:r>
      <w:r>
        <w:rPr>
          <w:rFonts w:ascii="Arial" w:hAnsi="Arial" w:cs="Arial"/>
          <w:sz w:val="22"/>
          <w:szCs w:val="22"/>
        </w:rPr>
        <w:t xml:space="preserve"> implication in EU </w:t>
      </w:r>
      <w:proofErr w:type="gramStart"/>
      <w:r>
        <w:rPr>
          <w:rFonts w:ascii="Arial" w:hAnsi="Arial" w:cs="Arial"/>
          <w:sz w:val="22"/>
          <w:szCs w:val="22"/>
        </w:rPr>
        <w:t>companies</w:t>
      </w:r>
      <w:proofErr w:type="gramEnd"/>
      <w:r>
        <w:rPr>
          <w:rFonts w:ascii="Arial" w:hAnsi="Arial" w:cs="Arial"/>
          <w:sz w:val="22"/>
          <w:szCs w:val="22"/>
        </w:rPr>
        <w:t xml:space="preserve"> governance. We urge ESAs to confirm that</w:t>
      </w:r>
      <w:r w:rsidR="002129E2">
        <w:rPr>
          <w:rFonts w:ascii="Arial" w:hAnsi="Arial" w:cs="Arial"/>
          <w:sz w:val="22"/>
          <w:szCs w:val="22"/>
        </w:rPr>
        <w:t>, in particular for asset management,</w:t>
      </w:r>
      <w:r>
        <w:rPr>
          <w:rFonts w:ascii="Arial" w:hAnsi="Arial" w:cs="Arial"/>
          <w:sz w:val="22"/>
          <w:szCs w:val="22"/>
        </w:rPr>
        <w:t xml:space="preserve"> the guidelines will apply only to EU </w:t>
      </w:r>
      <w:r w:rsidR="002129E2">
        <w:rPr>
          <w:rFonts w:ascii="Arial" w:hAnsi="Arial" w:cs="Arial"/>
          <w:sz w:val="22"/>
          <w:szCs w:val="22"/>
        </w:rPr>
        <w:t>regulated entities and EU-based “Identified Entities”</w:t>
      </w:r>
      <w:r>
        <w:rPr>
          <w:rFonts w:ascii="Arial" w:hAnsi="Arial" w:cs="Arial"/>
          <w:sz w:val="22"/>
          <w:szCs w:val="22"/>
        </w:rPr>
        <w:t xml:space="preserve">. </w:t>
      </w:r>
    </w:p>
    <w:p w:rsidR="00386906" w:rsidRDefault="00386906" w:rsidP="00A966C3">
      <w:pPr>
        <w:pStyle w:val="Default"/>
        <w:spacing w:line="276" w:lineRule="auto"/>
        <w:jc w:val="both"/>
        <w:rPr>
          <w:rFonts w:ascii="Arial" w:hAnsi="Arial" w:cs="Arial"/>
          <w:sz w:val="22"/>
          <w:szCs w:val="22"/>
        </w:rPr>
      </w:pPr>
    </w:p>
    <w:p w:rsidR="006E27A9" w:rsidRDefault="006E27A9" w:rsidP="00A966C3">
      <w:pPr>
        <w:pStyle w:val="Default"/>
        <w:spacing w:line="276" w:lineRule="auto"/>
        <w:jc w:val="both"/>
        <w:rPr>
          <w:rFonts w:ascii="Arial" w:hAnsi="Arial" w:cs="Arial"/>
          <w:sz w:val="22"/>
          <w:szCs w:val="22"/>
        </w:rPr>
      </w:pPr>
      <w:r>
        <w:rPr>
          <w:rFonts w:ascii="Arial" w:hAnsi="Arial" w:cs="Arial"/>
          <w:sz w:val="22"/>
          <w:szCs w:val="22"/>
        </w:rPr>
        <w:t>Thus, we fully disagree with §106 to 109, which we consider generating obnoxious complexity and sometimes vagueness (cf. the notion of “adjustment” in §107), source of litigations and discrepancy.</w:t>
      </w:r>
    </w:p>
    <w:p w:rsidR="006E27A9" w:rsidRDefault="006E27A9" w:rsidP="00A966C3">
      <w:pPr>
        <w:pStyle w:val="Default"/>
        <w:spacing w:line="276" w:lineRule="auto"/>
        <w:jc w:val="both"/>
        <w:rPr>
          <w:rFonts w:ascii="Arial" w:hAnsi="Arial" w:cs="Arial"/>
          <w:sz w:val="22"/>
          <w:szCs w:val="22"/>
        </w:rPr>
      </w:pPr>
    </w:p>
    <w:p w:rsidR="004C63CC" w:rsidRDefault="004C63CC" w:rsidP="004C63CC">
      <w:pPr>
        <w:pStyle w:val="Default"/>
        <w:spacing w:line="276" w:lineRule="auto"/>
        <w:jc w:val="both"/>
        <w:rPr>
          <w:rFonts w:ascii="Arial" w:hAnsi="Arial" w:cs="Arial"/>
          <w:sz w:val="22"/>
          <w:szCs w:val="22"/>
        </w:rPr>
      </w:pPr>
      <w:r>
        <w:rPr>
          <w:rFonts w:ascii="Arial" w:hAnsi="Arial" w:cs="Arial"/>
          <w:sz w:val="22"/>
          <w:szCs w:val="22"/>
        </w:rPr>
        <w:t xml:space="preserve">We read §116 as a further explanation of the role of the management and supervisory functions which is of particular relevance for the unitary Board structure. </w:t>
      </w:r>
    </w:p>
    <w:p w:rsidR="006E27A9" w:rsidRDefault="006E27A9" w:rsidP="004C63CC">
      <w:pPr>
        <w:pStyle w:val="Default"/>
        <w:spacing w:line="276" w:lineRule="auto"/>
        <w:jc w:val="both"/>
        <w:rPr>
          <w:rFonts w:ascii="Arial" w:hAnsi="Arial" w:cs="Arial"/>
          <w:sz w:val="22"/>
          <w:szCs w:val="22"/>
        </w:rPr>
      </w:pPr>
    </w:p>
    <w:p w:rsidR="004C63CC" w:rsidRDefault="004C63CC" w:rsidP="004C63CC">
      <w:pPr>
        <w:pStyle w:val="Default"/>
        <w:spacing w:line="276" w:lineRule="auto"/>
        <w:jc w:val="both"/>
        <w:rPr>
          <w:rFonts w:ascii="Arial" w:hAnsi="Arial" w:cs="Arial"/>
          <w:sz w:val="22"/>
          <w:szCs w:val="22"/>
        </w:rPr>
      </w:pPr>
      <w:r>
        <w:rPr>
          <w:rFonts w:ascii="Arial" w:hAnsi="Arial" w:cs="Arial"/>
          <w:sz w:val="22"/>
          <w:szCs w:val="22"/>
        </w:rPr>
        <w:t>In § 180 we suggest to delete “a shortlist containing”</w:t>
      </w:r>
      <w:r w:rsidR="006E27A9">
        <w:rPr>
          <w:rFonts w:ascii="Arial" w:hAnsi="Arial" w:cs="Arial"/>
          <w:sz w:val="22"/>
          <w:szCs w:val="22"/>
        </w:rPr>
        <w:t>, as it is too detailed and prescriptive a requirement in our view.</w:t>
      </w:r>
      <w:r w:rsidRPr="00214C81">
        <w:rPr>
          <w:rFonts w:ascii="Arial" w:hAnsi="Arial" w:cs="Arial"/>
          <w:sz w:val="22"/>
          <w:szCs w:val="22"/>
        </w:rPr>
        <w:t xml:space="preserve"> </w:t>
      </w:r>
      <w:r>
        <w:rPr>
          <w:rFonts w:ascii="Arial" w:hAnsi="Arial" w:cs="Arial"/>
          <w:sz w:val="22"/>
          <w:szCs w:val="22"/>
        </w:rPr>
        <w:t xml:space="preserve">We agree with the limitations of diversity which are mentioned in the last sentence of §120 and consider that it should be echoed in chapter 13 on the diversity policy, as a reminder in a new §97. </w:t>
      </w:r>
    </w:p>
    <w:p w:rsidR="004C63CC" w:rsidRDefault="004C63CC" w:rsidP="00A966C3">
      <w:pPr>
        <w:pStyle w:val="Default"/>
        <w:spacing w:line="276" w:lineRule="auto"/>
        <w:jc w:val="both"/>
        <w:rPr>
          <w:rFonts w:ascii="Arial" w:hAnsi="Arial" w:cs="Arial"/>
          <w:sz w:val="22"/>
          <w:szCs w:val="22"/>
        </w:rPr>
      </w:pPr>
    </w:p>
    <w:p w:rsidR="00386906" w:rsidRDefault="00FF6678" w:rsidP="00A966C3">
      <w:pPr>
        <w:pStyle w:val="Default"/>
        <w:spacing w:line="276" w:lineRule="auto"/>
        <w:jc w:val="both"/>
        <w:rPr>
          <w:rFonts w:ascii="Arial" w:hAnsi="Arial" w:cs="Arial"/>
          <w:sz w:val="22"/>
          <w:szCs w:val="22"/>
        </w:rPr>
      </w:pPr>
      <w:r>
        <w:rPr>
          <w:rFonts w:ascii="Arial" w:hAnsi="Arial" w:cs="Arial"/>
          <w:sz w:val="22"/>
          <w:szCs w:val="22"/>
        </w:rPr>
        <w:lastRenderedPageBreak/>
        <w:t>Th</w:t>
      </w:r>
      <w:r w:rsidR="00386906">
        <w:rPr>
          <w:rFonts w:ascii="Arial" w:hAnsi="Arial" w:cs="Arial"/>
          <w:sz w:val="22"/>
          <w:szCs w:val="22"/>
        </w:rPr>
        <w:t>e list of cases where independence is presumed not to exist in §124</w:t>
      </w:r>
      <w:r w:rsidR="005B3FDD">
        <w:rPr>
          <w:rFonts w:ascii="Arial" w:hAnsi="Arial" w:cs="Arial"/>
          <w:sz w:val="22"/>
          <w:szCs w:val="22"/>
        </w:rPr>
        <w:t xml:space="preserve"> concerning CRD-institutions</w:t>
      </w:r>
      <w:r>
        <w:rPr>
          <w:rFonts w:ascii="Arial" w:hAnsi="Arial" w:cs="Arial"/>
          <w:sz w:val="22"/>
          <w:szCs w:val="22"/>
        </w:rPr>
        <w:t xml:space="preserve"> does not seem </w:t>
      </w:r>
      <w:r w:rsidR="002129E2">
        <w:rPr>
          <w:rFonts w:ascii="Arial" w:hAnsi="Arial" w:cs="Arial"/>
          <w:sz w:val="22"/>
          <w:szCs w:val="22"/>
        </w:rPr>
        <w:t xml:space="preserve">fully </w:t>
      </w:r>
      <w:r>
        <w:rPr>
          <w:rFonts w:ascii="Arial" w:hAnsi="Arial" w:cs="Arial"/>
          <w:sz w:val="22"/>
          <w:szCs w:val="22"/>
        </w:rPr>
        <w:t>suitable</w:t>
      </w:r>
      <w:r w:rsidR="00386906">
        <w:rPr>
          <w:rFonts w:ascii="Arial" w:hAnsi="Arial" w:cs="Arial"/>
          <w:sz w:val="22"/>
          <w:szCs w:val="22"/>
        </w:rPr>
        <w:t>. We understand that it is a rebuttable presumption, but we nevertheless consider that the following cases have not to be considered in that list:</w:t>
      </w:r>
    </w:p>
    <w:p w:rsidR="00386906" w:rsidRDefault="00386906" w:rsidP="00A966C3">
      <w:pPr>
        <w:pStyle w:val="Default"/>
        <w:numPr>
          <w:ilvl w:val="0"/>
          <w:numId w:val="4"/>
        </w:numPr>
        <w:spacing w:line="276" w:lineRule="auto"/>
        <w:jc w:val="both"/>
        <w:rPr>
          <w:rFonts w:ascii="Arial" w:hAnsi="Arial" w:cs="Arial"/>
          <w:sz w:val="22"/>
          <w:szCs w:val="22"/>
        </w:rPr>
      </w:pPr>
      <w:r>
        <w:rPr>
          <w:rFonts w:ascii="Arial" w:hAnsi="Arial" w:cs="Arial"/>
          <w:sz w:val="22"/>
          <w:szCs w:val="22"/>
        </w:rPr>
        <w:t xml:space="preserve">Consultants mentioned in (c) are by definition independent and </w:t>
      </w:r>
      <w:r w:rsidR="00EF66D0">
        <w:rPr>
          <w:rFonts w:ascii="Arial" w:hAnsi="Arial" w:cs="Arial"/>
          <w:sz w:val="22"/>
          <w:szCs w:val="22"/>
        </w:rPr>
        <w:t>should not have to wait for 3 years before joining a Board as an independent director;</w:t>
      </w:r>
    </w:p>
    <w:p w:rsidR="00EF66D0" w:rsidRDefault="00EF66D0" w:rsidP="00A966C3">
      <w:pPr>
        <w:pStyle w:val="Default"/>
        <w:numPr>
          <w:ilvl w:val="0"/>
          <w:numId w:val="4"/>
        </w:numPr>
        <w:spacing w:line="276" w:lineRule="auto"/>
        <w:jc w:val="both"/>
        <w:rPr>
          <w:rFonts w:ascii="Arial" w:hAnsi="Arial" w:cs="Arial"/>
          <w:sz w:val="22"/>
          <w:szCs w:val="22"/>
        </w:rPr>
      </w:pPr>
      <w:r>
        <w:rPr>
          <w:rFonts w:ascii="Arial" w:hAnsi="Arial" w:cs="Arial"/>
          <w:sz w:val="22"/>
          <w:szCs w:val="22"/>
        </w:rPr>
        <w:t>In our view, after a 3 year period of non–activity within the firm or its group, a former member of the management body is independent, irrespective of the fact that he or she may have been a manager for more than 12 years (see (f));</w:t>
      </w:r>
    </w:p>
    <w:p w:rsidR="00EF66D0" w:rsidRDefault="00EF66D0" w:rsidP="00A966C3">
      <w:pPr>
        <w:pStyle w:val="Default"/>
        <w:numPr>
          <w:ilvl w:val="0"/>
          <w:numId w:val="4"/>
        </w:numPr>
        <w:spacing w:line="276" w:lineRule="auto"/>
        <w:jc w:val="both"/>
        <w:rPr>
          <w:rFonts w:ascii="Arial" w:hAnsi="Arial" w:cs="Arial"/>
          <w:sz w:val="22"/>
          <w:szCs w:val="22"/>
        </w:rPr>
      </w:pPr>
      <w:r>
        <w:rPr>
          <w:rFonts w:ascii="Arial" w:hAnsi="Arial" w:cs="Arial"/>
          <w:sz w:val="22"/>
          <w:szCs w:val="22"/>
        </w:rPr>
        <w:t xml:space="preserve">Close family members of people </w:t>
      </w:r>
      <w:r w:rsidR="00F246D8">
        <w:rPr>
          <w:rFonts w:ascii="Arial" w:hAnsi="Arial" w:cs="Arial"/>
          <w:sz w:val="22"/>
          <w:szCs w:val="22"/>
        </w:rPr>
        <w:t>who are</w:t>
      </w:r>
      <w:r>
        <w:rPr>
          <w:rFonts w:ascii="Arial" w:hAnsi="Arial" w:cs="Arial"/>
          <w:sz w:val="22"/>
          <w:szCs w:val="22"/>
        </w:rPr>
        <w:t xml:space="preserve"> (a) shareholder, (b) top manager, or (e) beneficiary of </w:t>
      </w:r>
      <w:r w:rsidR="002129E2">
        <w:rPr>
          <w:rFonts w:ascii="Arial" w:hAnsi="Arial" w:cs="Arial"/>
          <w:sz w:val="22"/>
          <w:szCs w:val="22"/>
        </w:rPr>
        <w:t xml:space="preserve">significant </w:t>
      </w:r>
      <w:r>
        <w:rPr>
          <w:rFonts w:ascii="Arial" w:hAnsi="Arial" w:cs="Arial"/>
          <w:sz w:val="22"/>
          <w:szCs w:val="22"/>
        </w:rPr>
        <w:t>fees are rightly suspected of not being independent</w:t>
      </w:r>
      <w:r w:rsidR="00F246D8">
        <w:rPr>
          <w:rFonts w:ascii="Arial" w:hAnsi="Arial" w:cs="Arial"/>
          <w:sz w:val="22"/>
          <w:szCs w:val="22"/>
        </w:rPr>
        <w:t xml:space="preserve"> in (g)</w:t>
      </w:r>
      <w:r>
        <w:rPr>
          <w:rFonts w:ascii="Arial" w:hAnsi="Arial" w:cs="Arial"/>
          <w:sz w:val="22"/>
          <w:szCs w:val="22"/>
        </w:rPr>
        <w:t xml:space="preserve">. But we do not agree that it should extend to close family members in the other </w:t>
      </w:r>
      <w:r w:rsidR="006E27A9">
        <w:rPr>
          <w:rFonts w:ascii="Arial" w:hAnsi="Arial" w:cs="Arial"/>
          <w:sz w:val="22"/>
          <w:szCs w:val="22"/>
        </w:rPr>
        <w:t xml:space="preserve">three </w:t>
      </w:r>
      <w:r>
        <w:rPr>
          <w:rFonts w:ascii="Arial" w:hAnsi="Arial" w:cs="Arial"/>
          <w:sz w:val="22"/>
          <w:szCs w:val="22"/>
        </w:rPr>
        <w:t>cases</w:t>
      </w:r>
      <w:r w:rsidR="002129E2">
        <w:rPr>
          <w:rFonts w:ascii="Arial" w:hAnsi="Arial" w:cs="Arial"/>
          <w:sz w:val="22"/>
          <w:szCs w:val="22"/>
        </w:rPr>
        <w:t xml:space="preserve"> (</w:t>
      </w:r>
      <w:r w:rsidR="000B003E">
        <w:rPr>
          <w:rFonts w:ascii="Arial" w:hAnsi="Arial" w:cs="Arial"/>
          <w:sz w:val="22"/>
          <w:szCs w:val="22"/>
        </w:rPr>
        <w:t>i.e.</w:t>
      </w:r>
      <w:r w:rsidR="002129E2">
        <w:rPr>
          <w:rFonts w:ascii="Arial" w:hAnsi="Arial" w:cs="Arial"/>
          <w:sz w:val="22"/>
          <w:szCs w:val="22"/>
        </w:rPr>
        <w:t xml:space="preserve"> c, d, </w:t>
      </w:r>
      <w:proofErr w:type="gramStart"/>
      <w:r w:rsidR="002129E2">
        <w:rPr>
          <w:rFonts w:ascii="Arial" w:hAnsi="Arial" w:cs="Arial"/>
          <w:sz w:val="22"/>
          <w:szCs w:val="22"/>
        </w:rPr>
        <w:t>f</w:t>
      </w:r>
      <w:proofErr w:type="gramEnd"/>
      <w:r w:rsidR="002129E2">
        <w:rPr>
          <w:rFonts w:ascii="Arial" w:hAnsi="Arial" w:cs="Arial"/>
          <w:sz w:val="22"/>
          <w:szCs w:val="22"/>
        </w:rPr>
        <w:t>)</w:t>
      </w:r>
      <w:r w:rsidR="00F246D8">
        <w:rPr>
          <w:rFonts w:ascii="Arial" w:hAnsi="Arial" w:cs="Arial"/>
          <w:sz w:val="22"/>
          <w:szCs w:val="22"/>
        </w:rPr>
        <w:t>.</w:t>
      </w:r>
    </w:p>
    <w:p w:rsidR="00E947D9" w:rsidRPr="00E947D9" w:rsidRDefault="00E947D9" w:rsidP="00A966C3">
      <w:pPr>
        <w:pStyle w:val="Default"/>
        <w:jc w:val="both"/>
        <w:rPr>
          <w:rFonts w:ascii="Arial" w:hAnsi="Arial" w:cs="Arial"/>
          <w:sz w:val="22"/>
          <w:szCs w:val="22"/>
        </w:rPr>
      </w:pPr>
    </w:p>
    <w:p w:rsidR="00007065" w:rsidRDefault="00007065" w:rsidP="00A966C3">
      <w:pPr>
        <w:pStyle w:val="Default"/>
        <w:jc w:val="both"/>
        <w:rPr>
          <w:b/>
          <w:sz w:val="22"/>
          <w:szCs w:val="22"/>
        </w:rPr>
      </w:pPr>
      <w:r w:rsidRPr="00007065">
        <w:rPr>
          <w:b/>
          <w:sz w:val="22"/>
          <w:szCs w:val="22"/>
        </w:rPr>
        <w:t xml:space="preserve">Q 11: Are the guidelines within Title VI regarding the assessment of suitability by institutions appropriate and sufficiently clear? </w:t>
      </w:r>
    </w:p>
    <w:p w:rsidR="00E947D9" w:rsidRDefault="00E947D9" w:rsidP="00A966C3">
      <w:pPr>
        <w:pStyle w:val="Default"/>
        <w:jc w:val="both"/>
        <w:rPr>
          <w:rFonts w:ascii="Arial" w:hAnsi="Arial" w:cs="Arial"/>
          <w:sz w:val="22"/>
          <w:szCs w:val="22"/>
        </w:rPr>
      </w:pPr>
    </w:p>
    <w:p w:rsidR="008F2652" w:rsidRDefault="00EA3A3D" w:rsidP="00A966C3">
      <w:pPr>
        <w:pStyle w:val="Default"/>
        <w:spacing w:line="276" w:lineRule="auto"/>
        <w:jc w:val="both"/>
        <w:rPr>
          <w:rFonts w:ascii="Arial" w:hAnsi="Arial" w:cs="Arial"/>
          <w:sz w:val="22"/>
          <w:szCs w:val="22"/>
        </w:rPr>
      </w:pPr>
      <w:r>
        <w:rPr>
          <w:rFonts w:ascii="Arial" w:hAnsi="Arial" w:cs="Arial"/>
          <w:sz w:val="22"/>
          <w:szCs w:val="22"/>
        </w:rPr>
        <w:t>In §127, we cannot agree with the proposed delay of 3 weeks for a firm to conduct the suitability assessment of the board  collectively and individually in case of the nomination of a candidate that was not proposed by the management and whose qualities have not been assessed in advance. Our reading of corporate law is that shareholders in AGM take sovereign decisions. There is no room for assessment by the firm that could lead to a review of the decision. There is as a consequence no need to rush to conduct an assessment. Normal procedures will apply in a timely manner and the most likely result will be an adjustment that will allow the Board to work and the new Director to reinforce his or her skills and competence. That does not prevent competent authorities to conduct their own assessment.</w:t>
      </w:r>
      <w:r w:rsidR="008F2652" w:rsidRPr="008F2652">
        <w:rPr>
          <w:rFonts w:ascii="Arial" w:hAnsi="Arial" w:cs="Arial"/>
          <w:sz w:val="22"/>
          <w:szCs w:val="22"/>
        </w:rPr>
        <w:t xml:space="preserve"> </w:t>
      </w:r>
      <w:r w:rsidR="008F2652">
        <w:rPr>
          <w:rFonts w:ascii="Arial" w:hAnsi="Arial" w:cs="Arial"/>
          <w:sz w:val="22"/>
          <w:szCs w:val="22"/>
        </w:rPr>
        <w:t xml:space="preserve">We suspect that some confusion results from the unitary structure where the management body is composed of CEO and deputies appointed that should be immediately efficient and directors who oversee and impulse the strategy more than they implement it. The guidelines would be more easily understandable if the </w:t>
      </w:r>
      <w:r w:rsidR="006E27A9">
        <w:rPr>
          <w:rFonts w:ascii="Arial" w:hAnsi="Arial" w:cs="Arial"/>
          <w:sz w:val="22"/>
          <w:szCs w:val="22"/>
        </w:rPr>
        <w:t xml:space="preserve">two </w:t>
      </w:r>
      <w:r w:rsidR="008F2652">
        <w:rPr>
          <w:rFonts w:ascii="Arial" w:hAnsi="Arial" w:cs="Arial"/>
          <w:sz w:val="22"/>
          <w:szCs w:val="22"/>
        </w:rPr>
        <w:t xml:space="preserve">cases where addressed successively and differently. </w:t>
      </w:r>
    </w:p>
    <w:p w:rsidR="008F2652" w:rsidRPr="00E947D9" w:rsidRDefault="008F2652" w:rsidP="00A966C3">
      <w:pPr>
        <w:pStyle w:val="Default"/>
        <w:jc w:val="both"/>
        <w:rPr>
          <w:rFonts w:ascii="Arial" w:hAnsi="Arial" w:cs="Arial"/>
          <w:sz w:val="22"/>
          <w:szCs w:val="22"/>
        </w:rPr>
      </w:pPr>
    </w:p>
    <w:p w:rsidR="00FD1EC5" w:rsidRDefault="00C16CAF" w:rsidP="00A966C3">
      <w:pPr>
        <w:pStyle w:val="Default"/>
        <w:spacing w:line="276" w:lineRule="auto"/>
        <w:jc w:val="both"/>
        <w:rPr>
          <w:rFonts w:ascii="Arial" w:hAnsi="Arial" w:cs="Arial"/>
          <w:sz w:val="22"/>
          <w:szCs w:val="22"/>
        </w:rPr>
      </w:pPr>
      <w:r>
        <w:rPr>
          <w:rFonts w:ascii="Arial" w:hAnsi="Arial" w:cs="Arial"/>
          <w:sz w:val="22"/>
          <w:szCs w:val="22"/>
        </w:rPr>
        <w:t>It does not seem</w:t>
      </w:r>
      <w:r w:rsidR="00EA3A3D">
        <w:rPr>
          <w:rFonts w:ascii="Arial" w:hAnsi="Arial" w:cs="Arial"/>
          <w:sz w:val="22"/>
          <w:szCs w:val="22"/>
        </w:rPr>
        <w:t xml:space="preserve"> necessary for firms to produce details of the assessment to the competent authority. We strongly suggest </w:t>
      </w:r>
      <w:r w:rsidR="00097DA4">
        <w:rPr>
          <w:rFonts w:ascii="Arial" w:hAnsi="Arial" w:cs="Arial"/>
          <w:sz w:val="22"/>
          <w:szCs w:val="22"/>
        </w:rPr>
        <w:t>making</w:t>
      </w:r>
      <w:r w:rsidR="00EA3A3D">
        <w:rPr>
          <w:rFonts w:ascii="Arial" w:hAnsi="Arial" w:cs="Arial"/>
          <w:sz w:val="22"/>
          <w:szCs w:val="22"/>
        </w:rPr>
        <w:t xml:space="preserve"> the administrat</w:t>
      </w:r>
      <w:r w:rsidR="00FD1EC5">
        <w:rPr>
          <w:rFonts w:ascii="Arial" w:hAnsi="Arial" w:cs="Arial"/>
          <w:sz w:val="22"/>
          <w:szCs w:val="22"/>
        </w:rPr>
        <w:t xml:space="preserve">ive process less burdensome that in §133 </w:t>
      </w:r>
      <w:r w:rsidR="002129E2">
        <w:rPr>
          <w:rFonts w:ascii="Arial" w:hAnsi="Arial" w:cs="Arial"/>
          <w:sz w:val="22"/>
          <w:szCs w:val="22"/>
        </w:rPr>
        <w:t xml:space="preserve">and </w:t>
      </w:r>
      <w:proofErr w:type="gramStart"/>
      <w:r w:rsidR="002129E2">
        <w:rPr>
          <w:rFonts w:ascii="Arial" w:hAnsi="Arial" w:cs="Arial"/>
          <w:sz w:val="22"/>
          <w:szCs w:val="22"/>
        </w:rPr>
        <w:t xml:space="preserve">that </w:t>
      </w:r>
      <w:r w:rsidR="00FD1EC5">
        <w:rPr>
          <w:rFonts w:ascii="Arial" w:hAnsi="Arial" w:cs="Arial"/>
          <w:sz w:val="22"/>
          <w:szCs w:val="22"/>
        </w:rPr>
        <w:t>institutions</w:t>
      </w:r>
      <w:proofErr w:type="gramEnd"/>
      <w:r w:rsidR="00FD1EC5">
        <w:rPr>
          <w:rFonts w:ascii="Arial" w:hAnsi="Arial" w:cs="Arial"/>
          <w:sz w:val="22"/>
          <w:szCs w:val="22"/>
        </w:rPr>
        <w:t xml:space="preserve"> </w:t>
      </w:r>
      <w:r w:rsidR="002129E2">
        <w:rPr>
          <w:rFonts w:ascii="Arial" w:hAnsi="Arial" w:cs="Arial"/>
          <w:sz w:val="22"/>
          <w:szCs w:val="22"/>
        </w:rPr>
        <w:t xml:space="preserve">only </w:t>
      </w:r>
      <w:r w:rsidR="00FD1EC5">
        <w:rPr>
          <w:rFonts w:ascii="Arial" w:hAnsi="Arial" w:cs="Arial"/>
          <w:sz w:val="22"/>
          <w:szCs w:val="22"/>
        </w:rPr>
        <w:t>make</w:t>
      </w:r>
      <w:r w:rsidR="00FD1EC5" w:rsidRPr="00FD1EC5">
        <w:rPr>
          <w:rFonts w:ascii="Arial" w:hAnsi="Arial" w:cs="Arial"/>
          <w:sz w:val="22"/>
          <w:szCs w:val="22"/>
        </w:rPr>
        <w:t xml:space="preserve"> </w:t>
      </w:r>
      <w:r w:rsidR="00FD1EC5">
        <w:rPr>
          <w:rFonts w:ascii="Arial" w:hAnsi="Arial" w:cs="Arial"/>
          <w:sz w:val="22"/>
          <w:szCs w:val="22"/>
        </w:rPr>
        <w:t xml:space="preserve">those documents available to the authority on demand. </w:t>
      </w:r>
      <w:r w:rsidR="000B003E">
        <w:rPr>
          <w:rFonts w:ascii="Arial" w:hAnsi="Arial" w:cs="Arial"/>
          <w:sz w:val="22"/>
          <w:szCs w:val="22"/>
        </w:rPr>
        <w:t>Further,</w:t>
      </w:r>
      <w:r w:rsidR="006E27A9">
        <w:rPr>
          <w:rFonts w:ascii="Arial" w:hAnsi="Arial" w:cs="Arial"/>
          <w:sz w:val="22"/>
          <w:szCs w:val="22"/>
        </w:rPr>
        <w:t xml:space="preserve"> w</w:t>
      </w:r>
      <w:r w:rsidR="00FD1EC5">
        <w:rPr>
          <w:rFonts w:ascii="Arial" w:hAnsi="Arial" w:cs="Arial"/>
          <w:sz w:val="22"/>
          <w:szCs w:val="22"/>
        </w:rPr>
        <w:t>e think that the list of documents produced in Annex III must be considered as indicative and suggest that it be clearly mentioned.</w:t>
      </w:r>
      <w:r w:rsidR="00A722AF">
        <w:rPr>
          <w:rFonts w:ascii="Arial" w:hAnsi="Arial" w:cs="Arial"/>
          <w:sz w:val="22"/>
          <w:szCs w:val="22"/>
        </w:rPr>
        <w:t xml:space="preserve"> </w:t>
      </w:r>
    </w:p>
    <w:p w:rsidR="00A722AF" w:rsidRDefault="00A722AF" w:rsidP="00A966C3">
      <w:pPr>
        <w:pStyle w:val="Default"/>
        <w:spacing w:line="276" w:lineRule="auto"/>
        <w:jc w:val="both"/>
        <w:rPr>
          <w:rFonts w:ascii="Arial" w:hAnsi="Arial" w:cs="Arial"/>
          <w:sz w:val="22"/>
          <w:szCs w:val="22"/>
        </w:rPr>
      </w:pPr>
    </w:p>
    <w:p w:rsidR="006E27A9" w:rsidRDefault="006E27A9" w:rsidP="00EC0CBD">
      <w:pPr>
        <w:pStyle w:val="Default"/>
        <w:spacing w:line="276" w:lineRule="auto"/>
        <w:jc w:val="both"/>
        <w:rPr>
          <w:rFonts w:ascii="Arial" w:hAnsi="Arial" w:cs="Arial"/>
          <w:sz w:val="22"/>
          <w:szCs w:val="22"/>
        </w:rPr>
      </w:pPr>
      <w:r>
        <w:rPr>
          <w:rFonts w:ascii="Arial" w:hAnsi="Arial" w:cs="Arial"/>
          <w:sz w:val="22"/>
          <w:szCs w:val="22"/>
        </w:rPr>
        <w:t>We also have the following drafting comments:</w:t>
      </w:r>
      <w:r w:rsidR="00A722AF">
        <w:rPr>
          <w:rFonts w:ascii="Arial" w:hAnsi="Arial" w:cs="Arial"/>
          <w:sz w:val="22"/>
          <w:szCs w:val="22"/>
        </w:rPr>
        <w:t xml:space="preserve"> </w:t>
      </w:r>
    </w:p>
    <w:p w:rsidR="00097DA4" w:rsidRDefault="009B16EE" w:rsidP="00EC0CBD">
      <w:pPr>
        <w:pStyle w:val="Default"/>
        <w:spacing w:line="276" w:lineRule="auto"/>
        <w:jc w:val="both"/>
        <w:rPr>
          <w:rFonts w:ascii="Arial" w:hAnsi="Arial" w:cs="Arial"/>
          <w:sz w:val="22"/>
          <w:szCs w:val="22"/>
        </w:rPr>
      </w:pPr>
      <w:r>
        <w:rPr>
          <w:rFonts w:ascii="Arial" w:hAnsi="Arial" w:cs="Arial"/>
          <w:sz w:val="22"/>
          <w:szCs w:val="22"/>
        </w:rPr>
        <w:t>In §1</w:t>
      </w:r>
      <w:r w:rsidR="00097DA4">
        <w:rPr>
          <w:rFonts w:ascii="Arial" w:hAnsi="Arial" w:cs="Arial"/>
          <w:sz w:val="22"/>
          <w:szCs w:val="22"/>
        </w:rPr>
        <w:t>36</w:t>
      </w:r>
      <w:r>
        <w:rPr>
          <w:rFonts w:ascii="Arial" w:hAnsi="Arial" w:cs="Arial"/>
          <w:sz w:val="22"/>
          <w:szCs w:val="22"/>
        </w:rPr>
        <w:t xml:space="preserve"> </w:t>
      </w:r>
      <w:r w:rsidR="00C55476">
        <w:rPr>
          <w:rFonts w:ascii="Arial" w:hAnsi="Arial" w:cs="Arial"/>
          <w:sz w:val="22"/>
          <w:szCs w:val="22"/>
        </w:rPr>
        <w:t>(</w:t>
      </w:r>
      <w:r>
        <w:rPr>
          <w:rFonts w:ascii="Arial" w:hAnsi="Arial" w:cs="Arial"/>
          <w:sz w:val="22"/>
          <w:szCs w:val="22"/>
        </w:rPr>
        <w:t>e</w:t>
      </w:r>
      <w:r w:rsidR="00C55476">
        <w:rPr>
          <w:rFonts w:ascii="Arial" w:hAnsi="Arial" w:cs="Arial"/>
          <w:sz w:val="22"/>
          <w:szCs w:val="22"/>
        </w:rPr>
        <w:t>)</w:t>
      </w:r>
      <w:r>
        <w:rPr>
          <w:rFonts w:ascii="Arial" w:hAnsi="Arial" w:cs="Arial"/>
          <w:sz w:val="22"/>
          <w:szCs w:val="22"/>
        </w:rPr>
        <w:t>, after “to the extent possible”</w:t>
      </w:r>
      <w:r w:rsidR="00B061F9">
        <w:rPr>
          <w:rFonts w:ascii="Arial" w:hAnsi="Arial" w:cs="Arial"/>
          <w:sz w:val="22"/>
          <w:szCs w:val="22"/>
        </w:rPr>
        <w:t xml:space="preserve">, </w:t>
      </w:r>
      <w:r>
        <w:rPr>
          <w:rFonts w:ascii="Arial" w:hAnsi="Arial" w:cs="Arial"/>
          <w:sz w:val="22"/>
          <w:szCs w:val="22"/>
        </w:rPr>
        <w:t xml:space="preserve">we suggest to add “and reasonable, </w:t>
      </w:r>
      <w:r w:rsidR="00B061F9">
        <w:rPr>
          <w:rFonts w:ascii="Arial" w:hAnsi="Arial" w:cs="Arial"/>
          <w:sz w:val="22"/>
          <w:szCs w:val="22"/>
        </w:rPr>
        <w:t>through publicly available channels and instrument”</w:t>
      </w:r>
      <w:r w:rsidR="00097DA4">
        <w:rPr>
          <w:rFonts w:ascii="Arial" w:hAnsi="Arial" w:cs="Arial"/>
          <w:sz w:val="22"/>
          <w:szCs w:val="22"/>
        </w:rPr>
        <w:t>.</w:t>
      </w:r>
      <w:r>
        <w:rPr>
          <w:rFonts w:ascii="Arial" w:hAnsi="Arial" w:cs="Arial"/>
          <w:sz w:val="22"/>
          <w:szCs w:val="22"/>
        </w:rPr>
        <w:t xml:space="preserve"> </w:t>
      </w:r>
    </w:p>
    <w:p w:rsidR="00097DA4" w:rsidRDefault="00A722AF" w:rsidP="00EC0CBD">
      <w:pPr>
        <w:pStyle w:val="Default"/>
        <w:spacing w:line="276" w:lineRule="auto"/>
        <w:jc w:val="both"/>
        <w:rPr>
          <w:rFonts w:ascii="Arial" w:hAnsi="Arial" w:cs="Arial"/>
          <w:sz w:val="22"/>
          <w:szCs w:val="22"/>
        </w:rPr>
      </w:pPr>
      <w:r>
        <w:rPr>
          <w:rFonts w:ascii="Arial" w:hAnsi="Arial" w:cs="Arial"/>
          <w:sz w:val="22"/>
          <w:szCs w:val="22"/>
        </w:rPr>
        <w:t>In</w:t>
      </w:r>
      <w:r w:rsidR="00FD1EC5">
        <w:rPr>
          <w:rFonts w:ascii="Arial" w:hAnsi="Arial" w:cs="Arial"/>
          <w:sz w:val="22"/>
          <w:szCs w:val="22"/>
        </w:rPr>
        <w:t xml:space="preserve"> §143 in the last sentence, we do not follow the idea that guidelines shou</w:t>
      </w:r>
      <w:r w:rsidR="004E2700">
        <w:rPr>
          <w:rFonts w:ascii="Arial" w:hAnsi="Arial" w:cs="Arial"/>
          <w:sz w:val="22"/>
          <w:szCs w:val="22"/>
        </w:rPr>
        <w:t>l</w:t>
      </w:r>
      <w:r w:rsidR="00FD1EC5">
        <w:rPr>
          <w:rFonts w:ascii="Arial" w:hAnsi="Arial" w:cs="Arial"/>
          <w:sz w:val="22"/>
          <w:szCs w:val="22"/>
        </w:rPr>
        <w:t>d address “a</w:t>
      </w:r>
      <w:r w:rsidR="00097DA4">
        <w:rPr>
          <w:rFonts w:ascii="Arial" w:hAnsi="Arial" w:cs="Arial"/>
          <w:sz w:val="22"/>
          <w:szCs w:val="22"/>
        </w:rPr>
        <w:t xml:space="preserve">ctual or required” suitability and </w:t>
      </w:r>
      <w:r w:rsidR="00FD1EC5">
        <w:rPr>
          <w:rFonts w:ascii="Arial" w:hAnsi="Arial" w:cs="Arial"/>
          <w:sz w:val="22"/>
          <w:szCs w:val="22"/>
        </w:rPr>
        <w:t xml:space="preserve">suggest the deletion of these two adjectives. </w:t>
      </w:r>
    </w:p>
    <w:p w:rsidR="00FD1EC5" w:rsidRPr="00A722AF" w:rsidRDefault="00FD1EC5" w:rsidP="00EC0CBD">
      <w:pPr>
        <w:pStyle w:val="Default"/>
        <w:spacing w:line="276" w:lineRule="auto"/>
        <w:jc w:val="both"/>
        <w:rPr>
          <w:rFonts w:ascii="Arial" w:hAnsi="Arial" w:cs="Arial"/>
          <w:sz w:val="22"/>
          <w:szCs w:val="22"/>
        </w:rPr>
      </w:pPr>
      <w:r>
        <w:rPr>
          <w:rFonts w:ascii="Arial" w:hAnsi="Arial" w:cs="Arial"/>
          <w:sz w:val="22"/>
          <w:szCs w:val="22"/>
        </w:rPr>
        <w:t>In §144, we think that it is necessary to introduce the list of items in stating: “… should in particular consider</w:t>
      </w:r>
      <w:r w:rsidRPr="00812D4F">
        <w:rPr>
          <w:rFonts w:ascii="Arial" w:hAnsi="Arial" w:cs="Arial"/>
          <w:i/>
          <w:sz w:val="22"/>
          <w:szCs w:val="22"/>
        </w:rPr>
        <w:t>, where appropriate</w:t>
      </w:r>
      <w:r>
        <w:rPr>
          <w:rFonts w:ascii="Arial" w:hAnsi="Arial" w:cs="Arial"/>
          <w:sz w:val="22"/>
          <w:szCs w:val="22"/>
        </w:rPr>
        <w:t xml:space="preserve">:” in order to qualify the approach taken. Among the </w:t>
      </w:r>
      <w:r>
        <w:rPr>
          <w:rFonts w:ascii="Arial" w:hAnsi="Arial" w:cs="Arial"/>
          <w:sz w:val="22"/>
          <w:szCs w:val="22"/>
        </w:rPr>
        <w:lastRenderedPageBreak/>
        <w:t>i</w:t>
      </w:r>
      <w:r w:rsidR="00C55476">
        <w:rPr>
          <w:rFonts w:ascii="Arial" w:hAnsi="Arial" w:cs="Arial"/>
          <w:sz w:val="22"/>
          <w:szCs w:val="22"/>
        </w:rPr>
        <w:t>tems</w:t>
      </w:r>
      <w:r>
        <w:rPr>
          <w:rFonts w:ascii="Arial" w:hAnsi="Arial" w:cs="Arial"/>
          <w:sz w:val="22"/>
          <w:szCs w:val="22"/>
        </w:rPr>
        <w:t xml:space="preserve">, we </w:t>
      </w:r>
      <w:r w:rsidR="00A82F95">
        <w:rPr>
          <w:rFonts w:ascii="Arial" w:hAnsi="Arial" w:cs="Arial"/>
          <w:sz w:val="22"/>
          <w:szCs w:val="22"/>
        </w:rPr>
        <w:t>suggest (</w:t>
      </w:r>
      <w:r>
        <w:rPr>
          <w:rFonts w:ascii="Arial" w:hAnsi="Arial" w:cs="Arial"/>
          <w:sz w:val="22"/>
          <w:szCs w:val="22"/>
        </w:rPr>
        <w:t xml:space="preserve">h) to be deleted as redundant with (d) and both difficult to implement without being overly intrusive and </w:t>
      </w:r>
      <w:r w:rsidR="00A722AF">
        <w:rPr>
          <w:rFonts w:ascii="Arial" w:hAnsi="Arial" w:cs="Arial"/>
          <w:sz w:val="22"/>
          <w:szCs w:val="22"/>
        </w:rPr>
        <w:t>unnecessary</w:t>
      </w:r>
      <w:r w:rsidR="004C3FAB">
        <w:rPr>
          <w:rFonts w:ascii="Arial" w:hAnsi="Arial" w:cs="Arial"/>
          <w:sz w:val="22"/>
          <w:szCs w:val="22"/>
        </w:rPr>
        <w:t>; we suggest (d) to be drafted as follows: “</w:t>
      </w:r>
      <w:r w:rsidR="004C3FAB" w:rsidRPr="004C3FAB">
        <w:rPr>
          <w:rFonts w:ascii="Arial" w:hAnsi="Arial" w:cs="Arial"/>
          <w:sz w:val="22"/>
          <w:szCs w:val="22"/>
        </w:rPr>
        <w:t xml:space="preserve">the adequacy of the number of meetings </w:t>
      </w:r>
      <w:r w:rsidR="00EC0CBD" w:rsidRPr="004C3FAB">
        <w:rPr>
          <w:rFonts w:ascii="Arial" w:hAnsi="Arial" w:cs="Arial"/>
          <w:sz w:val="22"/>
          <w:szCs w:val="22"/>
        </w:rPr>
        <w:t>held,</w:t>
      </w:r>
      <w:r w:rsidR="004C3FAB">
        <w:rPr>
          <w:rFonts w:ascii="Arial" w:hAnsi="Arial" w:cs="Arial"/>
          <w:sz w:val="22"/>
          <w:szCs w:val="22"/>
        </w:rPr>
        <w:t xml:space="preserve"> the adequacy </w:t>
      </w:r>
      <w:proofErr w:type="gramStart"/>
      <w:r w:rsidR="004C3FAB">
        <w:rPr>
          <w:rFonts w:ascii="Arial" w:hAnsi="Arial" w:cs="Arial"/>
          <w:sz w:val="22"/>
          <w:szCs w:val="22"/>
        </w:rPr>
        <w:t>of each director participation</w:t>
      </w:r>
      <w:proofErr w:type="gramEnd"/>
      <w:r w:rsidR="004C3FAB">
        <w:rPr>
          <w:rFonts w:ascii="Arial" w:hAnsi="Arial" w:cs="Arial"/>
          <w:sz w:val="22"/>
          <w:szCs w:val="22"/>
        </w:rPr>
        <w:t xml:space="preserve">”. </w:t>
      </w:r>
      <w:r w:rsidR="00A722AF">
        <w:rPr>
          <w:rFonts w:ascii="Arial" w:hAnsi="Arial" w:cs="Arial"/>
          <w:sz w:val="22"/>
          <w:szCs w:val="22"/>
        </w:rPr>
        <w:t xml:space="preserve">In (j) guidelines should put a limit on “events that may have a </w:t>
      </w:r>
      <w:r w:rsidR="006D4A6D">
        <w:rPr>
          <w:rFonts w:ascii="Arial" w:hAnsi="Arial" w:cs="Arial"/>
          <w:sz w:val="22"/>
          <w:szCs w:val="22"/>
        </w:rPr>
        <w:t>s</w:t>
      </w:r>
      <w:r w:rsidR="006D4A6D" w:rsidRPr="006D4A6D">
        <w:rPr>
          <w:rFonts w:ascii="Arial" w:hAnsi="Arial" w:cs="Arial"/>
          <w:i/>
          <w:sz w:val="22"/>
          <w:szCs w:val="22"/>
        </w:rPr>
        <w:t xml:space="preserve">ubstantial </w:t>
      </w:r>
      <w:r w:rsidR="00A722AF">
        <w:rPr>
          <w:rFonts w:ascii="Arial" w:hAnsi="Arial" w:cs="Arial"/>
          <w:sz w:val="22"/>
          <w:szCs w:val="22"/>
        </w:rPr>
        <w:t>impact…”</w:t>
      </w:r>
    </w:p>
    <w:p w:rsidR="00EA3A3D" w:rsidRDefault="00EA3A3D" w:rsidP="00A966C3">
      <w:pPr>
        <w:pStyle w:val="Default"/>
        <w:spacing w:line="276" w:lineRule="auto"/>
        <w:jc w:val="both"/>
        <w:rPr>
          <w:rFonts w:ascii="Arial" w:hAnsi="Arial" w:cs="Arial"/>
          <w:sz w:val="22"/>
          <w:szCs w:val="22"/>
        </w:rPr>
      </w:pPr>
    </w:p>
    <w:p w:rsidR="008624E8" w:rsidRDefault="002129E2" w:rsidP="00A966C3">
      <w:pPr>
        <w:pStyle w:val="Default"/>
        <w:spacing w:line="276" w:lineRule="auto"/>
        <w:jc w:val="both"/>
        <w:rPr>
          <w:rFonts w:ascii="Arial" w:hAnsi="Arial" w:cs="Arial"/>
          <w:sz w:val="22"/>
          <w:szCs w:val="22"/>
        </w:rPr>
      </w:pPr>
      <w:r>
        <w:rPr>
          <w:rFonts w:ascii="Arial" w:hAnsi="Arial" w:cs="Arial"/>
          <w:sz w:val="22"/>
          <w:szCs w:val="22"/>
        </w:rPr>
        <w:t>Again, i</w:t>
      </w:r>
      <w:r w:rsidR="008624E8" w:rsidRPr="00097DA4">
        <w:rPr>
          <w:rFonts w:ascii="Arial" w:hAnsi="Arial" w:cs="Arial"/>
          <w:sz w:val="22"/>
          <w:szCs w:val="22"/>
        </w:rPr>
        <w:t xml:space="preserve">n the assessment of the collective suitability of the management body in its supervisory function, </w:t>
      </w:r>
      <w:r>
        <w:rPr>
          <w:rFonts w:ascii="Arial" w:hAnsi="Arial" w:cs="Arial"/>
          <w:sz w:val="22"/>
          <w:szCs w:val="22"/>
        </w:rPr>
        <w:t xml:space="preserve">it is important to </w:t>
      </w:r>
      <w:r w:rsidR="00097DA4" w:rsidRPr="00097DA4">
        <w:rPr>
          <w:rFonts w:ascii="Arial" w:hAnsi="Arial" w:cs="Arial"/>
          <w:sz w:val="22"/>
          <w:szCs w:val="22"/>
        </w:rPr>
        <w:t>have the opportunity to mutualize, between entities of the same group, the institution of an appointments and governance committee</w:t>
      </w:r>
    </w:p>
    <w:p w:rsidR="00097DA4" w:rsidRDefault="00097DA4" w:rsidP="00A966C3">
      <w:pPr>
        <w:pStyle w:val="Default"/>
        <w:spacing w:line="276" w:lineRule="auto"/>
        <w:jc w:val="both"/>
        <w:rPr>
          <w:rFonts w:ascii="Arial" w:hAnsi="Arial" w:cs="Arial"/>
          <w:sz w:val="22"/>
          <w:szCs w:val="22"/>
        </w:rPr>
      </w:pPr>
    </w:p>
    <w:p w:rsidR="008624E8" w:rsidRDefault="008624E8" w:rsidP="00A966C3">
      <w:pPr>
        <w:pStyle w:val="Default"/>
        <w:spacing w:line="276" w:lineRule="auto"/>
        <w:jc w:val="both"/>
        <w:rPr>
          <w:rFonts w:ascii="Arial" w:hAnsi="Arial" w:cs="Arial"/>
          <w:sz w:val="22"/>
          <w:szCs w:val="22"/>
        </w:rPr>
      </w:pPr>
      <w:r>
        <w:rPr>
          <w:rFonts w:ascii="Arial" w:hAnsi="Arial" w:cs="Arial"/>
          <w:sz w:val="22"/>
          <w:szCs w:val="22"/>
        </w:rPr>
        <w:t xml:space="preserve">If we agree that, as expressed in §150, non-suitable directors or Board should be changed, we find it highly sensitive </w:t>
      </w:r>
      <w:r w:rsidR="006E27A9">
        <w:rPr>
          <w:rFonts w:ascii="Arial" w:hAnsi="Arial" w:cs="Arial"/>
          <w:sz w:val="22"/>
          <w:szCs w:val="22"/>
        </w:rPr>
        <w:t xml:space="preserve">and thus inappropriate </w:t>
      </w:r>
      <w:r>
        <w:rPr>
          <w:rFonts w:ascii="Arial" w:hAnsi="Arial" w:cs="Arial"/>
          <w:sz w:val="22"/>
          <w:szCs w:val="22"/>
        </w:rPr>
        <w:t>to suggest remedies if the</w:t>
      </w:r>
      <w:r w:rsidR="006E27A9">
        <w:rPr>
          <w:rFonts w:ascii="Arial" w:hAnsi="Arial" w:cs="Arial"/>
          <w:sz w:val="22"/>
          <w:szCs w:val="22"/>
        </w:rPr>
        <w:t>se</w:t>
      </w:r>
      <w:r>
        <w:rPr>
          <w:rFonts w:ascii="Arial" w:hAnsi="Arial" w:cs="Arial"/>
          <w:sz w:val="22"/>
          <w:szCs w:val="22"/>
        </w:rPr>
        <w:t xml:space="preserve"> are not collectively agreed upon. We think that proportionality must be taken into consideration </w:t>
      </w:r>
      <w:r w:rsidR="00097DA4">
        <w:rPr>
          <w:rFonts w:ascii="Arial" w:hAnsi="Arial" w:cs="Arial"/>
          <w:sz w:val="22"/>
          <w:szCs w:val="22"/>
        </w:rPr>
        <w:t xml:space="preserve">as regards </w:t>
      </w:r>
      <w:r>
        <w:rPr>
          <w:rFonts w:ascii="Arial" w:hAnsi="Arial" w:cs="Arial"/>
          <w:sz w:val="22"/>
          <w:szCs w:val="22"/>
        </w:rPr>
        <w:t>reporting to the competent authority. Only important dysfunctions that will amount to crisis of management should be</w:t>
      </w:r>
      <w:r w:rsidR="00097DA4">
        <w:rPr>
          <w:rFonts w:ascii="Arial" w:hAnsi="Arial" w:cs="Arial"/>
          <w:sz w:val="22"/>
          <w:szCs w:val="22"/>
        </w:rPr>
        <w:t xml:space="preserve"> immediately </w:t>
      </w:r>
      <w:r>
        <w:rPr>
          <w:rFonts w:ascii="Arial" w:hAnsi="Arial" w:cs="Arial"/>
          <w:sz w:val="22"/>
          <w:szCs w:val="22"/>
        </w:rPr>
        <w:t>reported</w:t>
      </w:r>
      <w:r w:rsidR="00D72919">
        <w:rPr>
          <w:rFonts w:ascii="Arial" w:hAnsi="Arial" w:cs="Arial"/>
          <w:sz w:val="22"/>
          <w:szCs w:val="22"/>
        </w:rPr>
        <w:t>.</w:t>
      </w:r>
      <w:r>
        <w:rPr>
          <w:rFonts w:ascii="Arial" w:hAnsi="Arial" w:cs="Arial"/>
          <w:sz w:val="22"/>
          <w:szCs w:val="22"/>
        </w:rPr>
        <w:t xml:space="preserve"> </w:t>
      </w:r>
    </w:p>
    <w:p w:rsidR="00E947D9" w:rsidRPr="00E947D9" w:rsidRDefault="00E947D9" w:rsidP="00A966C3">
      <w:pPr>
        <w:pStyle w:val="Default"/>
        <w:jc w:val="both"/>
        <w:rPr>
          <w:rFonts w:ascii="Arial" w:hAnsi="Arial" w:cs="Arial"/>
          <w:sz w:val="22"/>
          <w:szCs w:val="22"/>
        </w:rPr>
      </w:pPr>
    </w:p>
    <w:p w:rsidR="00007065" w:rsidRDefault="00007065" w:rsidP="00A966C3">
      <w:pPr>
        <w:pStyle w:val="Default"/>
        <w:jc w:val="both"/>
        <w:rPr>
          <w:b/>
          <w:sz w:val="22"/>
          <w:szCs w:val="22"/>
        </w:rPr>
      </w:pPr>
      <w:r w:rsidRPr="00007065">
        <w:rPr>
          <w:b/>
          <w:sz w:val="22"/>
          <w:szCs w:val="22"/>
        </w:rPr>
        <w:t xml:space="preserve">Q12: Are the guidelines with regard to the timing (ex-ante) of the competent authority’s assessment process appropriate and sufficiently clear? </w:t>
      </w:r>
    </w:p>
    <w:p w:rsidR="00E947D9" w:rsidRDefault="00E947D9" w:rsidP="00A966C3">
      <w:pPr>
        <w:pStyle w:val="Default"/>
        <w:jc w:val="both"/>
        <w:rPr>
          <w:rFonts w:ascii="Arial" w:hAnsi="Arial" w:cs="Arial"/>
          <w:sz w:val="22"/>
          <w:szCs w:val="22"/>
        </w:rPr>
      </w:pPr>
    </w:p>
    <w:p w:rsidR="00EC0CBD" w:rsidRDefault="00EC0CBD" w:rsidP="00A966C3">
      <w:pPr>
        <w:pStyle w:val="Default"/>
        <w:spacing w:line="276" w:lineRule="auto"/>
        <w:jc w:val="both"/>
        <w:rPr>
          <w:rFonts w:ascii="Arial" w:hAnsi="Arial" w:cs="Arial"/>
          <w:sz w:val="22"/>
          <w:szCs w:val="22"/>
        </w:rPr>
      </w:pPr>
      <w:r>
        <w:rPr>
          <w:rFonts w:ascii="Arial" w:hAnsi="Arial" w:cs="Arial"/>
          <w:sz w:val="22"/>
          <w:szCs w:val="22"/>
        </w:rPr>
        <w:t>In §153 (e), after “the institution should”, we suggest to add</w:t>
      </w:r>
      <w:r w:rsidR="00097DA4">
        <w:rPr>
          <w:rFonts w:ascii="Arial" w:hAnsi="Arial" w:cs="Arial"/>
          <w:sz w:val="22"/>
          <w:szCs w:val="22"/>
        </w:rPr>
        <w:t xml:space="preserve"> “take appropriate measures to e</w:t>
      </w:r>
      <w:r>
        <w:rPr>
          <w:rFonts w:ascii="Arial" w:hAnsi="Arial" w:cs="Arial"/>
          <w:sz w:val="22"/>
          <w:szCs w:val="22"/>
        </w:rPr>
        <w:t>nsure compliance” (instead of “replace this member”)</w:t>
      </w:r>
      <w:r w:rsidR="00097DA4">
        <w:rPr>
          <w:rFonts w:ascii="Arial" w:hAnsi="Arial" w:cs="Arial"/>
          <w:sz w:val="22"/>
          <w:szCs w:val="22"/>
        </w:rPr>
        <w:t>.</w:t>
      </w:r>
    </w:p>
    <w:p w:rsidR="00A722AF" w:rsidRDefault="00A722AF" w:rsidP="00A966C3">
      <w:pPr>
        <w:pStyle w:val="Default"/>
        <w:spacing w:line="276" w:lineRule="auto"/>
        <w:jc w:val="both"/>
        <w:rPr>
          <w:rFonts w:ascii="Arial" w:hAnsi="Arial" w:cs="Arial"/>
          <w:sz w:val="22"/>
          <w:szCs w:val="22"/>
        </w:rPr>
      </w:pPr>
      <w:r>
        <w:rPr>
          <w:rFonts w:ascii="Arial" w:hAnsi="Arial" w:cs="Arial"/>
          <w:sz w:val="22"/>
          <w:szCs w:val="22"/>
        </w:rPr>
        <w:t xml:space="preserve">In §158 </w:t>
      </w:r>
      <w:r w:rsidR="00214C81">
        <w:rPr>
          <w:rFonts w:ascii="Arial" w:hAnsi="Arial" w:cs="Arial"/>
          <w:sz w:val="22"/>
          <w:szCs w:val="22"/>
        </w:rPr>
        <w:t>again,</w:t>
      </w:r>
      <w:r>
        <w:rPr>
          <w:rFonts w:ascii="Arial" w:hAnsi="Arial" w:cs="Arial"/>
          <w:sz w:val="22"/>
          <w:szCs w:val="22"/>
        </w:rPr>
        <w:t xml:space="preserve"> we think that only material shortcomings should be mentioned. It is consistent with the fact that remediable shortcomings </w:t>
      </w:r>
      <w:r w:rsidR="008F2652">
        <w:rPr>
          <w:rFonts w:ascii="Arial" w:hAnsi="Arial" w:cs="Arial"/>
          <w:sz w:val="22"/>
          <w:szCs w:val="22"/>
        </w:rPr>
        <w:t>do not prevent appointments. The competent authority should be informed of those ones that will be difficult to remediate or that create an immediate risk of improper management. There is a question of judgment by the firm on what should be reported.</w:t>
      </w:r>
    </w:p>
    <w:p w:rsidR="00A722AF" w:rsidRDefault="00A722AF" w:rsidP="00A966C3">
      <w:pPr>
        <w:pStyle w:val="Default"/>
        <w:spacing w:line="276" w:lineRule="auto"/>
        <w:jc w:val="both"/>
        <w:rPr>
          <w:rFonts w:ascii="Arial" w:hAnsi="Arial" w:cs="Arial"/>
          <w:sz w:val="22"/>
          <w:szCs w:val="22"/>
        </w:rPr>
      </w:pPr>
    </w:p>
    <w:p w:rsidR="00E947D9" w:rsidRDefault="00E20A9F" w:rsidP="00A966C3">
      <w:pPr>
        <w:pStyle w:val="Default"/>
        <w:spacing w:line="276" w:lineRule="auto"/>
        <w:jc w:val="both"/>
        <w:rPr>
          <w:rFonts w:ascii="Arial" w:hAnsi="Arial" w:cs="Arial"/>
          <w:sz w:val="22"/>
          <w:szCs w:val="22"/>
        </w:rPr>
      </w:pPr>
      <w:r>
        <w:rPr>
          <w:rFonts w:ascii="Arial" w:hAnsi="Arial" w:cs="Arial"/>
          <w:sz w:val="22"/>
          <w:szCs w:val="22"/>
        </w:rPr>
        <w:t>We think that the neutral approach about ex-ante or ex-post approval of nomination taken by EBA in its 2012 guidelines should be maintained. The discussion that follows about advantages and drawbacks of each approach is illustrative of the fact that it is unclear why a solution should be preferred at the European level. National traditions have developed and should not be modified without a clear advantage resulting from this change. We do not see any clear cut advantage for one or the other approach.</w:t>
      </w:r>
    </w:p>
    <w:p w:rsidR="00E947D9" w:rsidRDefault="00A722AF" w:rsidP="00A966C3">
      <w:pPr>
        <w:pStyle w:val="Default"/>
        <w:spacing w:line="276" w:lineRule="auto"/>
        <w:jc w:val="both"/>
        <w:rPr>
          <w:rFonts w:ascii="Arial" w:hAnsi="Arial" w:cs="Arial"/>
          <w:sz w:val="22"/>
          <w:szCs w:val="22"/>
        </w:rPr>
      </w:pPr>
      <w:r>
        <w:rPr>
          <w:rFonts w:ascii="Arial" w:hAnsi="Arial" w:cs="Arial"/>
          <w:sz w:val="22"/>
          <w:szCs w:val="22"/>
        </w:rPr>
        <w:t xml:space="preserve">Our view however is that it makes more sense to have ex-post approval in order to maintain workable delays and prevent administrative requirements to block the necessary agility and reactivity of a firm. We do not think that it is useful to prepare succession plans and be organized to face an unexpected departure if when it comes, there is a 4 month delay before being able to announce the appointment of a successor. </w:t>
      </w:r>
      <w:r w:rsidR="008F2652">
        <w:rPr>
          <w:rFonts w:ascii="Arial" w:hAnsi="Arial" w:cs="Arial"/>
          <w:sz w:val="22"/>
          <w:szCs w:val="22"/>
        </w:rPr>
        <w:t xml:space="preserve">We are further appalled to read that the competent authority could take as much as 6 month to 1 year to provide an answer. In order to manage the risk of refusal to approve the nomination in case of an ex post assessment, we think that </w:t>
      </w:r>
      <w:r w:rsidR="00084026">
        <w:rPr>
          <w:rFonts w:ascii="Arial" w:hAnsi="Arial" w:cs="Arial"/>
          <w:sz w:val="22"/>
          <w:szCs w:val="22"/>
        </w:rPr>
        <w:t>one should consider the 2 different cases of the nomination of a CEO and of a Director. In the first case, the individual assessment is paramount and appointment can be made rapidly under the condition of final approval by the competent authority. We recommend that competent authorities (</w:t>
      </w:r>
      <w:proofErr w:type="spellStart"/>
      <w:r w:rsidR="00084026">
        <w:rPr>
          <w:rFonts w:ascii="Arial" w:hAnsi="Arial" w:cs="Arial"/>
          <w:sz w:val="22"/>
          <w:szCs w:val="22"/>
        </w:rPr>
        <w:t>i</w:t>
      </w:r>
      <w:proofErr w:type="spellEnd"/>
      <w:r w:rsidR="00084026">
        <w:rPr>
          <w:rFonts w:ascii="Arial" w:hAnsi="Arial" w:cs="Arial"/>
          <w:sz w:val="22"/>
          <w:szCs w:val="22"/>
        </w:rPr>
        <w:t xml:space="preserve">) take their decision in the shortest possible delay and (ii) </w:t>
      </w:r>
      <w:r w:rsidR="00A06BBF">
        <w:rPr>
          <w:rFonts w:ascii="Arial" w:hAnsi="Arial" w:cs="Arial"/>
          <w:sz w:val="22"/>
          <w:szCs w:val="22"/>
        </w:rPr>
        <w:t xml:space="preserve">have a discussion with the firm (the Chair of the nomination </w:t>
      </w:r>
      <w:r w:rsidR="00A06BBF">
        <w:rPr>
          <w:rFonts w:ascii="Arial" w:hAnsi="Arial" w:cs="Arial"/>
          <w:sz w:val="22"/>
          <w:szCs w:val="22"/>
        </w:rPr>
        <w:lastRenderedPageBreak/>
        <w:t xml:space="preserve">committee) before announcing a possible refusal. In the second case, the collective suitability is what matters and there are many more ways to remedy shortcomings of one individual. Therefore, we do not think that the risk of refusal will be high. </w:t>
      </w:r>
    </w:p>
    <w:p w:rsidR="004E2700" w:rsidRPr="00E947D9" w:rsidRDefault="004E2700" w:rsidP="00A966C3">
      <w:pPr>
        <w:pStyle w:val="Default"/>
        <w:spacing w:line="276" w:lineRule="auto"/>
        <w:jc w:val="both"/>
        <w:rPr>
          <w:rFonts w:ascii="Arial" w:hAnsi="Arial" w:cs="Arial"/>
          <w:sz w:val="22"/>
          <w:szCs w:val="22"/>
        </w:rPr>
      </w:pPr>
    </w:p>
    <w:p w:rsidR="00894750" w:rsidRPr="00007065" w:rsidRDefault="00007065" w:rsidP="00A966C3">
      <w:pPr>
        <w:jc w:val="both"/>
        <w:rPr>
          <w:rFonts w:ascii="Calibri" w:hAnsi="Calibri" w:cs="Calibri"/>
          <w:b/>
          <w:sz w:val="22"/>
          <w:szCs w:val="22"/>
          <w:lang w:val="en-US"/>
        </w:rPr>
      </w:pPr>
      <w:r w:rsidRPr="00007065">
        <w:rPr>
          <w:rFonts w:ascii="Calibri" w:hAnsi="Calibri" w:cs="Calibri"/>
          <w:b/>
          <w:sz w:val="22"/>
          <w:szCs w:val="22"/>
          <w:lang w:val="en-US"/>
        </w:rPr>
        <w:t>Q13: Which other costs or impediments and benefits would be caused by an ex-ante assessment by the competent authority?</w:t>
      </w:r>
    </w:p>
    <w:p w:rsidR="00E947D9" w:rsidRPr="00E947D9" w:rsidRDefault="00E947D9" w:rsidP="00A966C3">
      <w:pPr>
        <w:jc w:val="both"/>
        <w:rPr>
          <w:rFonts w:cs="Arial"/>
          <w:sz w:val="22"/>
          <w:szCs w:val="22"/>
          <w:lang w:val="en-US"/>
        </w:rPr>
      </w:pPr>
    </w:p>
    <w:p w:rsidR="00007065" w:rsidRDefault="00007065" w:rsidP="00A966C3">
      <w:pPr>
        <w:pStyle w:val="Default"/>
        <w:jc w:val="both"/>
        <w:rPr>
          <w:b/>
          <w:sz w:val="22"/>
          <w:szCs w:val="22"/>
        </w:rPr>
      </w:pPr>
      <w:r w:rsidRPr="00007065">
        <w:rPr>
          <w:b/>
          <w:sz w:val="22"/>
          <w:szCs w:val="22"/>
        </w:rPr>
        <w:t xml:space="preserve">Q14: Which other costs or impediments and benefits would be caused by an ex-post assessment by the competent authority? </w:t>
      </w:r>
    </w:p>
    <w:p w:rsidR="00E947D9" w:rsidRPr="00E947D9" w:rsidRDefault="00E947D9" w:rsidP="00A966C3">
      <w:pPr>
        <w:pStyle w:val="Default"/>
        <w:jc w:val="both"/>
        <w:rPr>
          <w:rFonts w:ascii="Arial" w:hAnsi="Arial" w:cs="Arial"/>
          <w:sz w:val="22"/>
          <w:szCs w:val="22"/>
        </w:rPr>
      </w:pPr>
    </w:p>
    <w:p w:rsidR="00007065" w:rsidRDefault="00007065" w:rsidP="00A966C3">
      <w:pPr>
        <w:pStyle w:val="Default"/>
        <w:jc w:val="both"/>
        <w:rPr>
          <w:b/>
          <w:sz w:val="22"/>
          <w:szCs w:val="22"/>
        </w:rPr>
      </w:pPr>
      <w:r w:rsidRPr="00007065">
        <w:rPr>
          <w:b/>
          <w:sz w:val="22"/>
          <w:szCs w:val="22"/>
        </w:rPr>
        <w:t xml:space="preserve">Q15: Are the guidelines within Title VII regarding the suitability assessment by competent authorities appropriate and sufficiently clear? </w:t>
      </w:r>
    </w:p>
    <w:p w:rsidR="00E947D9" w:rsidRDefault="00E947D9" w:rsidP="00A966C3">
      <w:pPr>
        <w:pStyle w:val="Default"/>
        <w:jc w:val="both"/>
        <w:rPr>
          <w:rFonts w:ascii="Arial" w:hAnsi="Arial" w:cs="Arial"/>
          <w:sz w:val="22"/>
          <w:szCs w:val="22"/>
        </w:rPr>
      </w:pPr>
    </w:p>
    <w:p w:rsidR="006E27A9" w:rsidRDefault="006E27A9" w:rsidP="00A966C3">
      <w:pPr>
        <w:pStyle w:val="Default"/>
        <w:jc w:val="both"/>
        <w:rPr>
          <w:rFonts w:ascii="Arial" w:hAnsi="Arial" w:cs="Arial"/>
          <w:sz w:val="22"/>
          <w:szCs w:val="22"/>
        </w:rPr>
      </w:pPr>
      <w:r>
        <w:rPr>
          <w:rFonts w:ascii="Arial" w:hAnsi="Arial" w:cs="Arial"/>
          <w:sz w:val="22"/>
          <w:szCs w:val="22"/>
        </w:rPr>
        <w:t>§ 167: drafting comment: time commitment is mentioned twice.</w:t>
      </w:r>
    </w:p>
    <w:p w:rsidR="006E27A9" w:rsidRDefault="006E27A9" w:rsidP="00A966C3">
      <w:pPr>
        <w:pStyle w:val="Default"/>
        <w:jc w:val="both"/>
        <w:rPr>
          <w:rFonts w:ascii="Arial" w:hAnsi="Arial" w:cs="Arial"/>
          <w:sz w:val="22"/>
          <w:szCs w:val="22"/>
        </w:rPr>
      </w:pPr>
    </w:p>
    <w:p w:rsidR="00E947D9" w:rsidRDefault="00E20A9F" w:rsidP="00A966C3">
      <w:pPr>
        <w:pStyle w:val="Default"/>
        <w:spacing w:line="276" w:lineRule="auto"/>
        <w:jc w:val="both"/>
        <w:rPr>
          <w:rFonts w:ascii="Arial" w:hAnsi="Arial" w:cs="Arial"/>
          <w:sz w:val="22"/>
          <w:szCs w:val="22"/>
        </w:rPr>
      </w:pPr>
      <w:r>
        <w:rPr>
          <w:rFonts w:ascii="Arial" w:hAnsi="Arial" w:cs="Arial"/>
          <w:sz w:val="22"/>
          <w:szCs w:val="22"/>
        </w:rPr>
        <w:t>We do not object to the possibility for a competent authority to conduct interview</w:t>
      </w:r>
      <w:r w:rsidR="00840015">
        <w:rPr>
          <w:rFonts w:ascii="Arial" w:hAnsi="Arial" w:cs="Arial"/>
          <w:sz w:val="22"/>
          <w:szCs w:val="22"/>
        </w:rPr>
        <w:t xml:space="preserve">s to establish its judgment on the suitability of the management body of a firm. However we do object to the suggestion that the competent authority may attend as an observer to a meeting of the management body. It is a place where confidential matters are discussed and decided and, except for the case when the authority has dismissed the managers and nominated a temporary administrator, </w:t>
      </w:r>
      <w:r w:rsidR="002129E2">
        <w:rPr>
          <w:rFonts w:ascii="Arial" w:hAnsi="Arial" w:cs="Arial"/>
          <w:sz w:val="22"/>
          <w:szCs w:val="22"/>
        </w:rPr>
        <w:t xml:space="preserve">at least in the asset management industry, </w:t>
      </w:r>
      <w:r w:rsidR="00840015">
        <w:rPr>
          <w:rFonts w:ascii="Arial" w:hAnsi="Arial" w:cs="Arial"/>
          <w:sz w:val="22"/>
          <w:szCs w:val="22"/>
        </w:rPr>
        <w:t>there is no legal basis for public intervention.</w:t>
      </w:r>
      <w:r w:rsidR="008F2652">
        <w:rPr>
          <w:rFonts w:ascii="Arial" w:hAnsi="Arial" w:cs="Arial"/>
          <w:sz w:val="22"/>
          <w:szCs w:val="22"/>
        </w:rPr>
        <w:t xml:space="preserve"> </w:t>
      </w:r>
      <w:r w:rsidR="00447570">
        <w:rPr>
          <w:rFonts w:ascii="Arial" w:hAnsi="Arial" w:cs="Arial"/>
          <w:sz w:val="22"/>
          <w:szCs w:val="22"/>
        </w:rPr>
        <w:t xml:space="preserve">We hereby warn of a public image which could jeopardize the EU’s asset management industry’s perception, in terms of privacy and influence from state and political interference.  Such right should be, to the least, strictly defined and conditioned, </w:t>
      </w:r>
      <w:r w:rsidR="00447570" w:rsidRPr="00447570">
        <w:rPr>
          <w:rFonts w:ascii="Arial" w:hAnsi="Arial" w:cs="Arial"/>
          <w:b/>
          <w:sz w:val="22"/>
          <w:szCs w:val="22"/>
        </w:rPr>
        <w:t>including in times of crises</w:t>
      </w:r>
      <w:r w:rsidR="00447570">
        <w:rPr>
          <w:rFonts w:ascii="Arial" w:hAnsi="Arial" w:cs="Arial"/>
          <w:sz w:val="22"/>
          <w:szCs w:val="22"/>
        </w:rPr>
        <w:t xml:space="preserve">. </w:t>
      </w:r>
      <w:r w:rsidR="008F2652">
        <w:rPr>
          <w:rFonts w:ascii="Arial" w:hAnsi="Arial" w:cs="Arial"/>
          <w:sz w:val="22"/>
          <w:szCs w:val="22"/>
        </w:rPr>
        <w:t>We suggest to delete the following in §171 “or participate as an observer in meetings of the management body in order to assess the effective functioning of the management body”</w:t>
      </w:r>
      <w:r w:rsidR="00084026">
        <w:rPr>
          <w:rFonts w:ascii="Arial" w:hAnsi="Arial" w:cs="Arial"/>
          <w:sz w:val="22"/>
          <w:szCs w:val="22"/>
        </w:rPr>
        <w:t>. We further request the deletion of §172 which (</w:t>
      </w:r>
      <w:proofErr w:type="spellStart"/>
      <w:r w:rsidR="00084026">
        <w:rPr>
          <w:rFonts w:ascii="Arial" w:hAnsi="Arial" w:cs="Arial"/>
          <w:sz w:val="22"/>
          <w:szCs w:val="22"/>
        </w:rPr>
        <w:t>i</w:t>
      </w:r>
      <w:proofErr w:type="spellEnd"/>
      <w:r w:rsidR="00084026">
        <w:rPr>
          <w:rFonts w:ascii="Arial" w:hAnsi="Arial" w:cs="Arial"/>
          <w:sz w:val="22"/>
          <w:szCs w:val="22"/>
        </w:rPr>
        <w:t>) exceeds the framework of the assessment of the suitability of the Management body and (ii) is not properly drafted as it suggests arguable ways to bring evidence.</w:t>
      </w:r>
    </w:p>
    <w:p w:rsidR="00840015" w:rsidRDefault="00840015" w:rsidP="00A966C3">
      <w:pPr>
        <w:pStyle w:val="Default"/>
        <w:spacing w:line="276" w:lineRule="auto"/>
        <w:jc w:val="both"/>
        <w:rPr>
          <w:rFonts w:ascii="Arial" w:hAnsi="Arial" w:cs="Arial"/>
          <w:sz w:val="22"/>
          <w:szCs w:val="22"/>
        </w:rPr>
      </w:pPr>
    </w:p>
    <w:p w:rsidR="00840015" w:rsidRDefault="00840015" w:rsidP="00A966C3">
      <w:pPr>
        <w:pStyle w:val="Default"/>
        <w:spacing w:line="276" w:lineRule="auto"/>
        <w:jc w:val="both"/>
        <w:rPr>
          <w:rFonts w:ascii="Arial" w:hAnsi="Arial" w:cs="Arial"/>
          <w:sz w:val="22"/>
          <w:szCs w:val="22"/>
        </w:rPr>
      </w:pPr>
      <w:r>
        <w:rPr>
          <w:rFonts w:ascii="Arial" w:hAnsi="Arial" w:cs="Arial"/>
          <w:sz w:val="22"/>
          <w:szCs w:val="22"/>
        </w:rPr>
        <w:t>We think that the list of possible actions by the authority in § 177 should make it clear that some may only be used as an ultimate recourse in case of default to comply with other measur</w:t>
      </w:r>
      <w:r w:rsidR="00187BD2">
        <w:rPr>
          <w:rFonts w:ascii="Arial" w:hAnsi="Arial" w:cs="Arial"/>
          <w:sz w:val="22"/>
          <w:szCs w:val="22"/>
        </w:rPr>
        <w:t>es which had</w:t>
      </w:r>
      <w:r>
        <w:rPr>
          <w:rFonts w:ascii="Arial" w:hAnsi="Arial" w:cs="Arial"/>
          <w:sz w:val="22"/>
          <w:szCs w:val="22"/>
        </w:rPr>
        <w:t xml:space="preserve"> been required earlier. </w:t>
      </w:r>
      <w:r w:rsidR="00084026">
        <w:rPr>
          <w:rFonts w:ascii="Arial" w:hAnsi="Arial" w:cs="Arial"/>
          <w:sz w:val="22"/>
          <w:szCs w:val="22"/>
        </w:rPr>
        <w:t xml:space="preserve">At the end of the first paragraph we suggest to </w:t>
      </w:r>
      <w:r w:rsidR="00214C81">
        <w:rPr>
          <w:rFonts w:ascii="Arial" w:hAnsi="Arial" w:cs="Arial"/>
          <w:sz w:val="22"/>
          <w:szCs w:val="22"/>
        </w:rPr>
        <w:t>add</w:t>
      </w:r>
      <w:proofErr w:type="gramStart"/>
      <w:r w:rsidR="00214C81">
        <w:rPr>
          <w:rFonts w:ascii="Arial" w:hAnsi="Arial" w:cs="Arial"/>
          <w:sz w:val="22"/>
          <w:szCs w:val="22"/>
        </w:rPr>
        <w:t>:</w:t>
      </w:r>
      <w:r w:rsidR="00A5075B">
        <w:rPr>
          <w:rFonts w:ascii="Arial" w:hAnsi="Arial" w:cs="Arial"/>
          <w:sz w:val="22"/>
          <w:szCs w:val="22"/>
        </w:rPr>
        <w:t xml:space="preserve"> </w:t>
      </w:r>
      <w:r w:rsidR="00084026">
        <w:rPr>
          <w:rFonts w:ascii="Arial" w:hAnsi="Arial" w:cs="Arial"/>
          <w:sz w:val="22"/>
          <w:szCs w:val="22"/>
        </w:rPr>
        <w:t>”</w:t>
      </w:r>
      <w:proofErr w:type="gramEnd"/>
      <w:r w:rsidR="00084026">
        <w:rPr>
          <w:rFonts w:ascii="Arial" w:hAnsi="Arial" w:cs="Arial"/>
          <w:sz w:val="22"/>
          <w:szCs w:val="22"/>
        </w:rPr>
        <w:t>as may</w:t>
      </w:r>
      <w:r w:rsidR="005F7211">
        <w:rPr>
          <w:rFonts w:ascii="Arial" w:hAnsi="Arial" w:cs="Arial"/>
          <w:sz w:val="22"/>
          <w:szCs w:val="22"/>
        </w:rPr>
        <w:t xml:space="preserve"> </w:t>
      </w:r>
      <w:r w:rsidR="00084026">
        <w:rPr>
          <w:rFonts w:ascii="Arial" w:hAnsi="Arial" w:cs="Arial"/>
          <w:sz w:val="22"/>
          <w:szCs w:val="22"/>
        </w:rPr>
        <w:t xml:space="preserve">be appropriate” and in (f) to add at the beginning “where appropriate and </w:t>
      </w:r>
      <w:r w:rsidR="00A5075B">
        <w:rPr>
          <w:rFonts w:ascii="Arial" w:hAnsi="Arial" w:cs="Arial"/>
          <w:sz w:val="22"/>
          <w:szCs w:val="22"/>
        </w:rPr>
        <w:t>provided for</w:t>
      </w:r>
      <w:r w:rsidR="00084026">
        <w:rPr>
          <w:rFonts w:ascii="Arial" w:hAnsi="Arial" w:cs="Arial"/>
          <w:sz w:val="22"/>
          <w:szCs w:val="22"/>
        </w:rPr>
        <w:t xml:space="preserve"> applicable law”. We would like ESAs to provide </w:t>
      </w:r>
      <w:r w:rsidR="0029457D">
        <w:rPr>
          <w:rFonts w:ascii="Arial" w:hAnsi="Arial" w:cs="Arial"/>
          <w:sz w:val="22"/>
          <w:szCs w:val="22"/>
        </w:rPr>
        <w:t xml:space="preserve">possible/likely </w:t>
      </w:r>
      <w:r w:rsidR="00084026">
        <w:rPr>
          <w:rFonts w:ascii="Arial" w:hAnsi="Arial" w:cs="Arial"/>
          <w:sz w:val="22"/>
          <w:szCs w:val="22"/>
        </w:rPr>
        <w:t>examples where such penalties could be enforceable.</w:t>
      </w:r>
    </w:p>
    <w:p w:rsidR="00A06BBF" w:rsidRDefault="00A06BBF" w:rsidP="00A966C3">
      <w:pPr>
        <w:pStyle w:val="Default"/>
        <w:spacing w:line="276" w:lineRule="auto"/>
        <w:jc w:val="both"/>
        <w:rPr>
          <w:rFonts w:ascii="Arial" w:hAnsi="Arial" w:cs="Arial"/>
          <w:sz w:val="22"/>
          <w:szCs w:val="22"/>
        </w:rPr>
      </w:pPr>
    </w:p>
    <w:p w:rsidR="00A06BBF" w:rsidRDefault="00A06BBF" w:rsidP="00214C81">
      <w:pPr>
        <w:pStyle w:val="Default"/>
        <w:spacing w:line="276" w:lineRule="auto"/>
        <w:jc w:val="both"/>
        <w:rPr>
          <w:rFonts w:ascii="Arial" w:hAnsi="Arial" w:cs="Arial"/>
          <w:sz w:val="22"/>
          <w:szCs w:val="22"/>
        </w:rPr>
      </w:pPr>
      <w:r>
        <w:rPr>
          <w:rFonts w:ascii="Arial" w:hAnsi="Arial" w:cs="Arial"/>
          <w:sz w:val="22"/>
          <w:szCs w:val="22"/>
        </w:rPr>
        <w:t xml:space="preserve">With regards to the cooperation between competent authorities, we </w:t>
      </w:r>
      <w:r w:rsidR="00450B57">
        <w:rPr>
          <w:rFonts w:ascii="Arial" w:hAnsi="Arial" w:cs="Arial"/>
          <w:sz w:val="22"/>
          <w:szCs w:val="22"/>
        </w:rPr>
        <w:t xml:space="preserve">have the view that </w:t>
      </w:r>
      <w:r w:rsidR="00447570">
        <w:rPr>
          <w:rFonts w:ascii="Arial" w:hAnsi="Arial" w:cs="Arial"/>
          <w:sz w:val="22"/>
          <w:szCs w:val="22"/>
        </w:rPr>
        <w:t xml:space="preserve">at least for asset management activities, </w:t>
      </w:r>
      <w:r w:rsidR="00450B57">
        <w:rPr>
          <w:rFonts w:ascii="Arial" w:hAnsi="Arial" w:cs="Arial"/>
          <w:sz w:val="22"/>
          <w:szCs w:val="22"/>
        </w:rPr>
        <w:t xml:space="preserve">chapter 27 only applies to EU competent authorities, since it is not in ESA’s remit to impose rules on third countries authorities </w:t>
      </w:r>
      <w:r w:rsidR="00447570">
        <w:rPr>
          <w:rFonts w:ascii="Arial" w:hAnsi="Arial" w:cs="Arial"/>
          <w:sz w:val="22"/>
          <w:szCs w:val="22"/>
        </w:rPr>
        <w:t>in this field</w:t>
      </w:r>
      <w:r w:rsidR="00450B57">
        <w:rPr>
          <w:rFonts w:ascii="Arial" w:hAnsi="Arial" w:cs="Arial"/>
          <w:sz w:val="22"/>
          <w:szCs w:val="22"/>
        </w:rPr>
        <w:t>. We believe that the guidelines should include a general principle concerning the exchange of information between EU authorities. On top of the confidentiality principle which has to be firmly confirmed, there is the “Need to know basis”</w:t>
      </w:r>
      <w:r w:rsidR="0029457D">
        <w:rPr>
          <w:rFonts w:ascii="Arial" w:hAnsi="Arial" w:cs="Arial"/>
          <w:sz w:val="22"/>
          <w:szCs w:val="22"/>
        </w:rPr>
        <w:t xml:space="preserve"> principle</w:t>
      </w:r>
      <w:r w:rsidR="00450B57">
        <w:rPr>
          <w:rFonts w:ascii="Arial" w:hAnsi="Arial" w:cs="Arial"/>
          <w:sz w:val="22"/>
          <w:szCs w:val="22"/>
        </w:rPr>
        <w:t xml:space="preserve">. </w:t>
      </w:r>
      <w:r w:rsidR="0029457D">
        <w:rPr>
          <w:rFonts w:ascii="Arial" w:hAnsi="Arial" w:cs="Arial"/>
          <w:sz w:val="22"/>
          <w:szCs w:val="22"/>
        </w:rPr>
        <w:t xml:space="preserve">Including it </w:t>
      </w:r>
      <w:r w:rsidR="00450B57">
        <w:rPr>
          <w:rFonts w:ascii="Arial" w:hAnsi="Arial" w:cs="Arial"/>
          <w:sz w:val="22"/>
          <w:szCs w:val="22"/>
        </w:rPr>
        <w:t xml:space="preserve">would greatly improve the coherence of the text and reduce the risk </w:t>
      </w:r>
      <w:r w:rsidR="0029457D">
        <w:rPr>
          <w:rFonts w:ascii="Arial" w:hAnsi="Arial" w:cs="Arial"/>
          <w:sz w:val="22"/>
          <w:szCs w:val="22"/>
        </w:rPr>
        <w:t xml:space="preserve">(which </w:t>
      </w:r>
      <w:r w:rsidR="00450B57">
        <w:rPr>
          <w:rFonts w:ascii="Arial" w:hAnsi="Arial" w:cs="Arial"/>
          <w:sz w:val="22"/>
          <w:szCs w:val="22"/>
        </w:rPr>
        <w:t>we fear</w:t>
      </w:r>
      <w:r w:rsidR="0029457D">
        <w:rPr>
          <w:rFonts w:ascii="Arial" w:hAnsi="Arial" w:cs="Arial"/>
          <w:sz w:val="22"/>
          <w:szCs w:val="22"/>
        </w:rPr>
        <w:t>)</w:t>
      </w:r>
      <w:r w:rsidR="00450B57">
        <w:rPr>
          <w:rFonts w:ascii="Arial" w:hAnsi="Arial" w:cs="Arial"/>
          <w:sz w:val="22"/>
          <w:szCs w:val="22"/>
        </w:rPr>
        <w:t xml:space="preserve"> that </w:t>
      </w:r>
      <w:r w:rsidR="00447570">
        <w:rPr>
          <w:rFonts w:ascii="Arial" w:hAnsi="Arial" w:cs="Arial"/>
          <w:sz w:val="22"/>
          <w:szCs w:val="22"/>
        </w:rPr>
        <w:t xml:space="preserve">highly </w:t>
      </w:r>
      <w:r w:rsidR="00450B57">
        <w:rPr>
          <w:rFonts w:ascii="Arial" w:hAnsi="Arial" w:cs="Arial"/>
          <w:sz w:val="22"/>
          <w:szCs w:val="22"/>
        </w:rPr>
        <w:t xml:space="preserve">sensitive </w:t>
      </w:r>
      <w:r w:rsidR="00447570">
        <w:rPr>
          <w:rFonts w:ascii="Arial" w:hAnsi="Arial" w:cs="Arial"/>
          <w:sz w:val="22"/>
          <w:szCs w:val="22"/>
        </w:rPr>
        <w:t xml:space="preserve">and/or personal </w:t>
      </w:r>
      <w:r w:rsidR="00450B57">
        <w:rPr>
          <w:rFonts w:ascii="Arial" w:hAnsi="Arial" w:cs="Arial"/>
          <w:sz w:val="22"/>
          <w:szCs w:val="22"/>
        </w:rPr>
        <w:t>information may circulate without appropriate controls</w:t>
      </w:r>
      <w:r w:rsidR="00447570">
        <w:rPr>
          <w:rFonts w:ascii="Arial" w:hAnsi="Arial" w:cs="Arial"/>
          <w:sz w:val="22"/>
          <w:szCs w:val="22"/>
        </w:rPr>
        <w:t xml:space="preserve"> and protection</w:t>
      </w:r>
      <w:r w:rsidR="00450B57">
        <w:rPr>
          <w:rFonts w:ascii="Arial" w:hAnsi="Arial" w:cs="Arial"/>
          <w:sz w:val="22"/>
          <w:szCs w:val="22"/>
        </w:rPr>
        <w:t xml:space="preserve">. </w:t>
      </w:r>
      <w:r w:rsidR="00447570">
        <w:rPr>
          <w:rFonts w:ascii="Arial" w:hAnsi="Arial" w:cs="Arial"/>
          <w:sz w:val="22"/>
          <w:szCs w:val="22"/>
        </w:rPr>
        <w:t xml:space="preserve">It </w:t>
      </w:r>
      <w:r w:rsidR="00447570">
        <w:rPr>
          <w:rFonts w:ascii="Arial" w:hAnsi="Arial" w:cs="Arial"/>
          <w:sz w:val="22"/>
          <w:szCs w:val="22"/>
        </w:rPr>
        <w:lastRenderedPageBreak/>
        <w:t xml:space="preserve">further stresses that information should be limited to </w:t>
      </w:r>
      <w:r w:rsidR="0029457D">
        <w:rPr>
          <w:rFonts w:ascii="Arial" w:hAnsi="Arial" w:cs="Arial"/>
          <w:sz w:val="22"/>
          <w:szCs w:val="22"/>
        </w:rPr>
        <w:t xml:space="preserve">facts and to </w:t>
      </w:r>
      <w:r w:rsidR="00447570">
        <w:rPr>
          <w:rFonts w:ascii="Arial" w:hAnsi="Arial" w:cs="Arial"/>
          <w:sz w:val="22"/>
          <w:szCs w:val="22"/>
        </w:rPr>
        <w:t>the professional sphere exclusively (see answer to question 6 on time commitment).</w:t>
      </w:r>
    </w:p>
    <w:p w:rsidR="00214C81" w:rsidRPr="00214C81" w:rsidRDefault="00214C81" w:rsidP="008235C0">
      <w:pPr>
        <w:pStyle w:val="Default"/>
        <w:spacing w:line="276" w:lineRule="auto"/>
        <w:jc w:val="both"/>
        <w:rPr>
          <w:rFonts w:ascii="Arial" w:hAnsi="Arial" w:cs="Arial"/>
          <w:sz w:val="22"/>
          <w:szCs w:val="22"/>
        </w:rPr>
      </w:pPr>
      <w:r>
        <w:rPr>
          <w:rFonts w:ascii="Arial" w:hAnsi="Arial" w:cs="Arial"/>
          <w:sz w:val="22"/>
          <w:szCs w:val="22"/>
        </w:rPr>
        <w:t xml:space="preserve">At the end </w:t>
      </w:r>
      <w:r w:rsidR="008235C0">
        <w:rPr>
          <w:rFonts w:ascii="Arial" w:hAnsi="Arial" w:cs="Arial"/>
          <w:sz w:val="22"/>
          <w:szCs w:val="22"/>
        </w:rPr>
        <w:t>of §</w:t>
      </w:r>
      <w:r>
        <w:rPr>
          <w:rFonts w:ascii="Arial" w:hAnsi="Arial" w:cs="Arial"/>
          <w:sz w:val="22"/>
          <w:szCs w:val="22"/>
        </w:rPr>
        <w:t xml:space="preserve"> 180 we suggest to delete “</w:t>
      </w:r>
      <w:r w:rsidRPr="00214C81">
        <w:rPr>
          <w:rFonts w:ascii="Arial" w:hAnsi="Arial" w:cs="Arial"/>
          <w:sz w:val="22"/>
          <w:szCs w:val="22"/>
        </w:rPr>
        <w:t>any identified shortcomings, measures taken to ensure the suitability, the responsibilities of the position for which the person was assessed and basic information on the size, nature, scale and complexity of the relevant institution</w:t>
      </w:r>
      <w:r>
        <w:rPr>
          <w:rFonts w:ascii="Arial" w:hAnsi="Arial" w:cs="Arial"/>
          <w:sz w:val="22"/>
          <w:szCs w:val="22"/>
        </w:rPr>
        <w:t>”</w:t>
      </w:r>
      <w:r w:rsidRPr="00214C81">
        <w:rPr>
          <w:rFonts w:ascii="Arial" w:hAnsi="Arial" w:cs="Arial"/>
          <w:sz w:val="22"/>
          <w:szCs w:val="22"/>
        </w:rPr>
        <w:t xml:space="preserve">. </w:t>
      </w:r>
    </w:p>
    <w:p w:rsidR="00214C81" w:rsidRDefault="008235C0" w:rsidP="008235C0">
      <w:pPr>
        <w:pStyle w:val="Default"/>
        <w:spacing w:line="276" w:lineRule="auto"/>
        <w:jc w:val="both"/>
        <w:rPr>
          <w:rFonts w:ascii="Arial" w:hAnsi="Arial" w:cs="Arial"/>
          <w:sz w:val="22"/>
          <w:szCs w:val="22"/>
        </w:rPr>
      </w:pPr>
      <w:r>
        <w:rPr>
          <w:rFonts w:ascii="Arial" w:hAnsi="Arial" w:cs="Arial"/>
          <w:sz w:val="22"/>
          <w:szCs w:val="22"/>
        </w:rPr>
        <w:t>In §181 the right</w:t>
      </w:r>
      <w:r w:rsidRPr="008235C0">
        <w:rPr>
          <w:rFonts w:ascii="Arial" w:hAnsi="Arial" w:cs="Arial"/>
          <w:sz w:val="22"/>
          <w:szCs w:val="22"/>
        </w:rPr>
        <w:t xml:space="preserve"> for the preliminary information</w:t>
      </w:r>
      <w:r>
        <w:rPr>
          <w:rFonts w:ascii="Arial" w:hAnsi="Arial" w:cs="Arial"/>
          <w:sz w:val="22"/>
          <w:szCs w:val="22"/>
        </w:rPr>
        <w:t xml:space="preserve"> should be </w:t>
      </w:r>
      <w:r w:rsidR="00B44DF6">
        <w:rPr>
          <w:rFonts w:ascii="Arial" w:hAnsi="Arial" w:cs="Arial"/>
          <w:sz w:val="22"/>
          <w:szCs w:val="22"/>
        </w:rPr>
        <w:t xml:space="preserve">specified </w:t>
      </w:r>
      <w:r>
        <w:rPr>
          <w:rFonts w:ascii="Arial" w:hAnsi="Arial" w:cs="Arial"/>
          <w:sz w:val="22"/>
          <w:szCs w:val="22"/>
        </w:rPr>
        <w:t xml:space="preserve">in order to facilitate </w:t>
      </w:r>
      <w:r w:rsidRPr="008235C0">
        <w:rPr>
          <w:rFonts w:ascii="Arial" w:hAnsi="Arial" w:cs="Arial"/>
          <w:sz w:val="22"/>
          <w:szCs w:val="22"/>
        </w:rPr>
        <w:t>the rights of the defense</w:t>
      </w:r>
      <w:r>
        <w:rPr>
          <w:rFonts w:ascii="Arial" w:hAnsi="Arial" w:cs="Arial"/>
          <w:sz w:val="22"/>
          <w:szCs w:val="22"/>
        </w:rPr>
        <w:t>.</w:t>
      </w:r>
    </w:p>
    <w:p w:rsidR="00E947D9" w:rsidRPr="00E947D9" w:rsidRDefault="00E947D9" w:rsidP="008235C0">
      <w:pPr>
        <w:pStyle w:val="Default"/>
        <w:spacing w:line="276" w:lineRule="auto"/>
        <w:jc w:val="both"/>
        <w:rPr>
          <w:rFonts w:ascii="Arial" w:hAnsi="Arial" w:cs="Arial"/>
          <w:sz w:val="22"/>
          <w:szCs w:val="22"/>
        </w:rPr>
      </w:pPr>
    </w:p>
    <w:p w:rsidR="00007065" w:rsidRDefault="00007065" w:rsidP="00A966C3">
      <w:pPr>
        <w:pStyle w:val="Default"/>
        <w:jc w:val="both"/>
        <w:rPr>
          <w:b/>
          <w:sz w:val="22"/>
          <w:szCs w:val="22"/>
        </w:rPr>
      </w:pPr>
      <w:r w:rsidRPr="00007065">
        <w:rPr>
          <w:b/>
          <w:sz w:val="22"/>
          <w:szCs w:val="22"/>
        </w:rPr>
        <w:t xml:space="preserve">Q16: Is the template for a matrix to assess the collective competence of members of the management body appropriate and sufficiently clear? </w:t>
      </w:r>
    </w:p>
    <w:p w:rsidR="00E947D9" w:rsidRDefault="00E947D9" w:rsidP="00A966C3">
      <w:pPr>
        <w:pStyle w:val="Default"/>
        <w:jc w:val="both"/>
        <w:rPr>
          <w:rFonts w:ascii="Arial" w:hAnsi="Arial" w:cs="Arial"/>
          <w:sz w:val="22"/>
          <w:szCs w:val="22"/>
        </w:rPr>
      </w:pPr>
    </w:p>
    <w:p w:rsidR="00E947D9" w:rsidRDefault="000F5B92" w:rsidP="00A966C3">
      <w:pPr>
        <w:pStyle w:val="Default"/>
        <w:spacing w:line="276" w:lineRule="auto"/>
        <w:jc w:val="both"/>
        <w:rPr>
          <w:rFonts w:ascii="Arial" w:hAnsi="Arial" w:cs="Arial"/>
          <w:sz w:val="22"/>
          <w:szCs w:val="22"/>
        </w:rPr>
      </w:pPr>
      <w:r>
        <w:rPr>
          <w:rFonts w:ascii="Arial" w:hAnsi="Arial" w:cs="Arial"/>
          <w:sz w:val="22"/>
          <w:szCs w:val="22"/>
        </w:rPr>
        <w:t xml:space="preserve">It is positive to provide a reference that illustrates a way to </w:t>
      </w:r>
      <w:proofErr w:type="gramStart"/>
      <w:r>
        <w:rPr>
          <w:rFonts w:ascii="Arial" w:hAnsi="Arial" w:cs="Arial"/>
          <w:sz w:val="22"/>
          <w:szCs w:val="22"/>
        </w:rPr>
        <w:t>proceed</w:t>
      </w:r>
      <w:proofErr w:type="gramEnd"/>
      <w:r>
        <w:rPr>
          <w:rFonts w:ascii="Arial" w:hAnsi="Arial" w:cs="Arial"/>
          <w:sz w:val="22"/>
          <w:szCs w:val="22"/>
        </w:rPr>
        <w:t>. It should not be considered by authorities as a requirement to follow this template.</w:t>
      </w:r>
    </w:p>
    <w:p w:rsidR="00E947D9" w:rsidRPr="00E947D9" w:rsidRDefault="00E947D9" w:rsidP="00A966C3">
      <w:pPr>
        <w:pStyle w:val="Default"/>
        <w:jc w:val="both"/>
        <w:rPr>
          <w:rFonts w:ascii="Arial" w:hAnsi="Arial" w:cs="Arial"/>
          <w:sz w:val="22"/>
          <w:szCs w:val="22"/>
        </w:rPr>
      </w:pPr>
    </w:p>
    <w:p w:rsidR="00007065" w:rsidRDefault="00007065" w:rsidP="00A966C3">
      <w:pPr>
        <w:pStyle w:val="Default"/>
        <w:jc w:val="both"/>
        <w:rPr>
          <w:b/>
          <w:sz w:val="22"/>
          <w:szCs w:val="22"/>
        </w:rPr>
      </w:pPr>
      <w:r w:rsidRPr="00007065">
        <w:rPr>
          <w:b/>
          <w:sz w:val="22"/>
          <w:szCs w:val="22"/>
        </w:rPr>
        <w:t xml:space="preserve">Q17: Are the descriptions of skills appropriate and sufficiently clear? </w:t>
      </w:r>
    </w:p>
    <w:p w:rsidR="00E947D9" w:rsidRDefault="00E947D9" w:rsidP="00A966C3">
      <w:pPr>
        <w:pStyle w:val="Default"/>
        <w:jc w:val="both"/>
        <w:rPr>
          <w:rFonts w:ascii="Arial" w:hAnsi="Arial" w:cs="Arial"/>
          <w:sz w:val="22"/>
          <w:szCs w:val="22"/>
        </w:rPr>
      </w:pPr>
    </w:p>
    <w:p w:rsidR="00E947D9" w:rsidRDefault="00840015" w:rsidP="00A966C3">
      <w:pPr>
        <w:pStyle w:val="Default"/>
        <w:spacing w:line="276" w:lineRule="auto"/>
        <w:jc w:val="both"/>
        <w:rPr>
          <w:rFonts w:ascii="Arial" w:hAnsi="Arial" w:cs="Arial"/>
          <w:sz w:val="22"/>
          <w:szCs w:val="22"/>
        </w:rPr>
      </w:pPr>
      <w:r>
        <w:rPr>
          <w:rFonts w:ascii="Arial" w:hAnsi="Arial" w:cs="Arial"/>
          <w:sz w:val="22"/>
          <w:szCs w:val="22"/>
        </w:rPr>
        <w:t xml:space="preserve">We think that this annex is quite profitable to illustrate different angles to consider suitability. Additions could be suggested, for example to insist on the psychological skills </w:t>
      </w:r>
      <w:r w:rsidR="000F5B92">
        <w:rPr>
          <w:rFonts w:ascii="Arial" w:hAnsi="Arial" w:cs="Arial"/>
          <w:sz w:val="22"/>
          <w:szCs w:val="22"/>
        </w:rPr>
        <w:t xml:space="preserve">transversally </w:t>
      </w:r>
      <w:r>
        <w:rPr>
          <w:rFonts w:ascii="Arial" w:hAnsi="Arial" w:cs="Arial"/>
          <w:sz w:val="22"/>
          <w:szCs w:val="22"/>
        </w:rPr>
        <w:t xml:space="preserve">necessary to </w:t>
      </w:r>
      <w:r w:rsidR="000F5B92">
        <w:rPr>
          <w:rFonts w:ascii="Arial" w:hAnsi="Arial" w:cs="Arial"/>
          <w:sz w:val="22"/>
          <w:szCs w:val="22"/>
        </w:rPr>
        <w:t>develop many other listed skills.</w:t>
      </w:r>
    </w:p>
    <w:p w:rsidR="00E947D9" w:rsidRPr="00E947D9" w:rsidRDefault="00E947D9" w:rsidP="00A966C3">
      <w:pPr>
        <w:pStyle w:val="Default"/>
        <w:jc w:val="both"/>
        <w:rPr>
          <w:rFonts w:ascii="Arial" w:hAnsi="Arial" w:cs="Arial"/>
          <w:sz w:val="22"/>
          <w:szCs w:val="22"/>
        </w:rPr>
      </w:pPr>
    </w:p>
    <w:p w:rsidR="00007065" w:rsidRDefault="00007065" w:rsidP="00A966C3">
      <w:pPr>
        <w:pStyle w:val="Default"/>
        <w:jc w:val="both"/>
        <w:rPr>
          <w:b/>
          <w:sz w:val="22"/>
          <w:szCs w:val="22"/>
        </w:rPr>
      </w:pPr>
      <w:r w:rsidRPr="00007065">
        <w:rPr>
          <w:b/>
          <w:sz w:val="22"/>
          <w:szCs w:val="22"/>
        </w:rPr>
        <w:t xml:space="preserve">Q18: Are the documentation requirements for initial appointments appropriate and sufficiently clear? </w:t>
      </w:r>
    </w:p>
    <w:p w:rsidR="00E947D9" w:rsidRDefault="00E947D9" w:rsidP="00A966C3">
      <w:pPr>
        <w:pStyle w:val="Default"/>
        <w:jc w:val="both"/>
        <w:rPr>
          <w:rFonts w:ascii="Arial" w:hAnsi="Arial" w:cs="Arial"/>
          <w:sz w:val="22"/>
          <w:szCs w:val="22"/>
        </w:rPr>
      </w:pPr>
    </w:p>
    <w:p w:rsidR="00E947D9" w:rsidRDefault="000F5B92" w:rsidP="00A966C3">
      <w:pPr>
        <w:pStyle w:val="Default"/>
        <w:spacing w:line="276" w:lineRule="auto"/>
        <w:jc w:val="both"/>
        <w:rPr>
          <w:rFonts w:ascii="Arial" w:hAnsi="Arial" w:cs="Arial"/>
          <w:sz w:val="22"/>
          <w:szCs w:val="22"/>
        </w:rPr>
      </w:pPr>
      <w:r>
        <w:rPr>
          <w:rFonts w:ascii="Arial" w:hAnsi="Arial" w:cs="Arial"/>
          <w:sz w:val="22"/>
          <w:szCs w:val="22"/>
        </w:rPr>
        <w:t>We think that this list should be subject to interpretation by local authorities who should introduce some proportionality in their requirements.</w:t>
      </w:r>
      <w:r w:rsidR="0086731C">
        <w:rPr>
          <w:rFonts w:ascii="Arial" w:hAnsi="Arial" w:cs="Arial"/>
          <w:sz w:val="22"/>
          <w:szCs w:val="22"/>
        </w:rPr>
        <w:t xml:space="preserve"> We read it as illustrative and not mandatory.</w:t>
      </w:r>
    </w:p>
    <w:p w:rsidR="00E947D9" w:rsidRPr="00E947D9" w:rsidRDefault="00E947D9" w:rsidP="00A966C3">
      <w:pPr>
        <w:pStyle w:val="Default"/>
        <w:jc w:val="both"/>
        <w:rPr>
          <w:rFonts w:ascii="Arial" w:hAnsi="Arial" w:cs="Arial"/>
          <w:sz w:val="22"/>
          <w:szCs w:val="22"/>
        </w:rPr>
      </w:pPr>
    </w:p>
    <w:p w:rsidR="00007065" w:rsidRPr="00007065" w:rsidRDefault="00007065" w:rsidP="00A966C3">
      <w:pPr>
        <w:jc w:val="both"/>
        <w:rPr>
          <w:rFonts w:ascii="Calibri" w:hAnsi="Calibri" w:cs="Calibri"/>
          <w:b/>
          <w:sz w:val="22"/>
          <w:szCs w:val="22"/>
          <w:lang w:val="en-US"/>
        </w:rPr>
      </w:pPr>
      <w:r w:rsidRPr="00007065">
        <w:rPr>
          <w:rFonts w:ascii="Calibri" w:hAnsi="Calibri" w:cs="Calibri"/>
          <w:b/>
          <w:sz w:val="22"/>
          <w:szCs w:val="22"/>
          <w:lang w:val="en-US"/>
        </w:rPr>
        <w:t xml:space="preserve">Q19: What level of resource (financial and other) would be required to implement and comply with the Guidelines (IT costs, training costs, staff costs, etc., differentiated between one off and ongoing costs)? If possible please specify the respective costs/resources separately for the assessment of suitability and related policies and procedures, the implementation of a diversity policy and the guidelines regarding induction and training. When answering this question, please also provide information about the size, internal </w:t>
      </w:r>
      <w:proofErr w:type="spellStart"/>
      <w:r w:rsidRPr="00007065">
        <w:rPr>
          <w:rFonts w:ascii="Calibri" w:hAnsi="Calibri" w:cs="Calibri"/>
          <w:b/>
          <w:sz w:val="22"/>
          <w:szCs w:val="22"/>
          <w:lang w:val="en-US"/>
        </w:rPr>
        <w:t>organisation</w:t>
      </w:r>
      <w:proofErr w:type="spellEnd"/>
      <w:r w:rsidRPr="00007065">
        <w:rPr>
          <w:rFonts w:ascii="Calibri" w:hAnsi="Calibri" w:cs="Calibri"/>
          <w:b/>
          <w:sz w:val="22"/>
          <w:szCs w:val="22"/>
          <w:lang w:val="en-US"/>
        </w:rPr>
        <w:t xml:space="preserve"> and the nature, scale and complexity of the activities of your institution, where relevant.</w:t>
      </w:r>
    </w:p>
    <w:p w:rsidR="00894750" w:rsidRDefault="00894750" w:rsidP="00A966C3">
      <w:pPr>
        <w:pStyle w:val="En-tte"/>
        <w:tabs>
          <w:tab w:val="clear" w:pos="4536"/>
          <w:tab w:val="clear" w:pos="9072"/>
        </w:tabs>
        <w:jc w:val="both"/>
        <w:rPr>
          <w:rFonts w:cs="Arial"/>
          <w:sz w:val="22"/>
          <w:szCs w:val="22"/>
          <w:lang w:val="en-US"/>
        </w:rPr>
      </w:pPr>
    </w:p>
    <w:p w:rsidR="00E947D9" w:rsidRDefault="00447570" w:rsidP="000B003E">
      <w:pPr>
        <w:pStyle w:val="En-tte"/>
        <w:tabs>
          <w:tab w:val="clear" w:pos="4536"/>
          <w:tab w:val="clear" w:pos="9072"/>
        </w:tabs>
        <w:spacing w:line="276" w:lineRule="auto"/>
        <w:jc w:val="both"/>
        <w:rPr>
          <w:rFonts w:cs="Arial"/>
          <w:sz w:val="22"/>
          <w:szCs w:val="22"/>
          <w:lang w:val="en-US"/>
        </w:rPr>
      </w:pPr>
      <w:r>
        <w:rPr>
          <w:rFonts w:cs="Arial"/>
          <w:sz w:val="22"/>
          <w:szCs w:val="22"/>
          <w:lang w:val="en-US"/>
        </w:rPr>
        <w:t>There is a huge implementation cost</w:t>
      </w:r>
      <w:r w:rsidR="0029457D">
        <w:rPr>
          <w:rFonts w:cs="Arial"/>
          <w:sz w:val="22"/>
          <w:szCs w:val="22"/>
          <w:lang w:val="en-US"/>
        </w:rPr>
        <w:t xml:space="preserve"> (several million euros for a large European asset manager, </w:t>
      </w:r>
      <w:r w:rsidR="00B80B64">
        <w:rPr>
          <w:rFonts w:cs="Arial"/>
          <w:sz w:val="22"/>
          <w:szCs w:val="22"/>
          <w:lang w:val="en-US"/>
        </w:rPr>
        <w:t>for the first year (</w:t>
      </w:r>
      <w:r w:rsidR="000B003E">
        <w:rPr>
          <w:rFonts w:cs="Arial"/>
          <w:sz w:val="22"/>
          <w:szCs w:val="22"/>
          <w:lang w:val="en-US"/>
        </w:rPr>
        <w:t>i.e.</w:t>
      </w:r>
      <w:r w:rsidR="00B80B64">
        <w:rPr>
          <w:rFonts w:cs="Arial"/>
          <w:sz w:val="22"/>
          <w:szCs w:val="22"/>
          <w:lang w:val="en-US"/>
        </w:rPr>
        <w:t xml:space="preserve"> </w:t>
      </w:r>
      <w:r w:rsidR="0029457D">
        <w:rPr>
          <w:rFonts w:cs="Arial"/>
          <w:sz w:val="22"/>
          <w:szCs w:val="22"/>
          <w:lang w:val="en-US"/>
        </w:rPr>
        <w:t>at inception</w:t>
      </w:r>
      <w:r w:rsidR="00B80B64">
        <w:rPr>
          <w:rFonts w:cs="Arial"/>
          <w:sz w:val="22"/>
          <w:szCs w:val="22"/>
          <w:lang w:val="en-US"/>
        </w:rPr>
        <w:t xml:space="preserve"> of the suitability policy)</w:t>
      </w:r>
      <w:r w:rsidR="0029457D">
        <w:rPr>
          <w:rFonts w:cs="Arial"/>
          <w:sz w:val="22"/>
          <w:szCs w:val="22"/>
          <w:lang w:val="en-US"/>
        </w:rPr>
        <w:t xml:space="preserve"> and </w:t>
      </w:r>
      <w:r w:rsidR="00B80B64">
        <w:rPr>
          <w:rFonts w:cs="Arial"/>
          <w:sz w:val="22"/>
          <w:szCs w:val="22"/>
          <w:lang w:val="en-US"/>
        </w:rPr>
        <w:t xml:space="preserve">then a similar amount every year, for implementation </w:t>
      </w:r>
      <w:r w:rsidR="0029457D">
        <w:rPr>
          <w:rFonts w:cs="Arial"/>
          <w:sz w:val="22"/>
          <w:szCs w:val="22"/>
          <w:lang w:val="en-US"/>
        </w:rPr>
        <w:t>on an on-going basis)</w:t>
      </w:r>
      <w:r>
        <w:rPr>
          <w:rFonts w:cs="Arial"/>
          <w:sz w:val="22"/>
          <w:szCs w:val="22"/>
          <w:lang w:val="en-US"/>
        </w:rPr>
        <w:t xml:space="preserve">, and this is why it </w:t>
      </w:r>
      <w:r w:rsidR="0029457D">
        <w:rPr>
          <w:rFonts w:cs="Arial"/>
          <w:sz w:val="22"/>
          <w:szCs w:val="22"/>
          <w:lang w:val="en-US"/>
        </w:rPr>
        <w:t xml:space="preserve">is crucial it </w:t>
      </w:r>
      <w:r>
        <w:rPr>
          <w:rFonts w:cs="Arial"/>
          <w:sz w:val="22"/>
          <w:szCs w:val="22"/>
          <w:lang w:val="en-US"/>
        </w:rPr>
        <w:t xml:space="preserve">be implemented </w:t>
      </w:r>
      <w:r w:rsidR="0029457D">
        <w:rPr>
          <w:rFonts w:cs="Arial"/>
          <w:sz w:val="22"/>
          <w:szCs w:val="22"/>
          <w:lang w:val="en-US"/>
        </w:rPr>
        <w:t xml:space="preserve">strictly </w:t>
      </w:r>
      <w:r>
        <w:rPr>
          <w:rFonts w:cs="Arial"/>
          <w:sz w:val="22"/>
          <w:szCs w:val="22"/>
          <w:lang w:val="en-US"/>
        </w:rPr>
        <w:t>on a risk-based basis (</w:t>
      </w:r>
      <w:proofErr w:type="spellStart"/>
      <w:r>
        <w:rPr>
          <w:rFonts w:cs="Arial"/>
          <w:sz w:val="22"/>
          <w:szCs w:val="22"/>
          <w:lang w:val="en-US"/>
        </w:rPr>
        <w:t>cf</w:t>
      </w:r>
      <w:proofErr w:type="spellEnd"/>
      <w:r>
        <w:rPr>
          <w:rFonts w:cs="Arial"/>
          <w:sz w:val="22"/>
          <w:szCs w:val="22"/>
          <w:lang w:val="en-US"/>
        </w:rPr>
        <w:t xml:space="preserve"> “Identified Entities” concept </w:t>
      </w:r>
      <w:r w:rsidR="0029457D">
        <w:rPr>
          <w:rFonts w:cs="Arial"/>
          <w:sz w:val="22"/>
          <w:szCs w:val="22"/>
          <w:lang w:val="en-US"/>
        </w:rPr>
        <w:t>pro</w:t>
      </w:r>
      <w:r>
        <w:rPr>
          <w:rFonts w:cs="Arial"/>
          <w:sz w:val="22"/>
          <w:szCs w:val="22"/>
          <w:lang w:val="en-US"/>
        </w:rPr>
        <w:t>posed in our answer to question 5 above)</w:t>
      </w:r>
      <w:r w:rsidR="0029457D">
        <w:rPr>
          <w:rFonts w:cs="Arial"/>
          <w:sz w:val="22"/>
          <w:szCs w:val="22"/>
          <w:lang w:val="en-US"/>
        </w:rPr>
        <w:t>.</w:t>
      </w:r>
    </w:p>
    <w:p w:rsidR="00E947D9" w:rsidRPr="00E947D9" w:rsidRDefault="00E947D9" w:rsidP="000B003E">
      <w:pPr>
        <w:pStyle w:val="En-tte"/>
        <w:tabs>
          <w:tab w:val="clear" w:pos="4536"/>
          <w:tab w:val="clear" w:pos="9072"/>
        </w:tabs>
        <w:spacing w:line="276" w:lineRule="auto"/>
        <w:jc w:val="both"/>
        <w:rPr>
          <w:rFonts w:cs="Arial"/>
          <w:sz w:val="22"/>
          <w:szCs w:val="22"/>
          <w:lang w:val="en-US"/>
        </w:rPr>
      </w:pPr>
    </w:p>
    <w:sectPr w:rsidR="00E947D9" w:rsidRPr="00E947D9" w:rsidSect="00007065">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418" w:bottom="1701" w:left="1418" w:header="567" w:footer="567" w:gutter="0"/>
      <w:cols w:space="709"/>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EB" w:rsidRDefault="00BB28EB">
      <w:r>
        <w:separator/>
      </w:r>
    </w:p>
  </w:endnote>
  <w:endnote w:type="continuationSeparator" w:id="0">
    <w:p w:rsidR="00BB28EB" w:rsidRDefault="00BB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7D1" w:rsidRPr="005F7211" w:rsidRDefault="00BB28EB" w:rsidP="005F7211">
    <w:pPr>
      <w:pStyle w:val="Pieddepage"/>
      <w:jc w:val="center"/>
    </w:pPr>
    <w:fldSimple w:instr=" DOCPROPERTY bjFooterEvenPageDocProperty \* MERGEFORMAT " w:fldLock="1">
      <w:r w:rsidR="005F7211" w:rsidRPr="005F7211">
        <w:rPr>
          <w:rFonts w:cs="Arial"/>
          <w:color w:val="000000"/>
          <w:sz w:val="16"/>
        </w:rPr>
        <w:t>Public</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679" w:rsidRDefault="00DC0679">
    <w:pPr>
      <w:pStyle w:val="Pieddepage"/>
      <w:pBdr>
        <w:top w:val="thinThickSmallGap" w:sz="24" w:space="1" w:color="622423" w:themeColor="accent2" w:themeShade="7F"/>
      </w:pBdr>
      <w:rPr>
        <w:rFonts w:asciiTheme="majorHAnsi" w:eastAsiaTheme="majorEastAsia" w:hAnsiTheme="majorHAnsi" w:cstheme="majorBidi"/>
      </w:rPr>
    </w:pPr>
    <w:r w:rsidRPr="00DC0679">
      <w:rPr>
        <w:rFonts w:asciiTheme="majorHAnsi" w:eastAsiaTheme="majorEastAsia" w:hAnsiTheme="majorHAnsi" w:cstheme="majorBidi"/>
        <w:i/>
      </w:rPr>
      <w:t xml:space="preserve">AFG </w:t>
    </w:r>
    <w:r>
      <w:rPr>
        <w:rFonts w:asciiTheme="majorHAnsi" w:eastAsiaTheme="majorEastAsia" w:hAnsiTheme="majorHAnsi" w:cstheme="majorBidi"/>
        <w:i/>
      </w:rPr>
      <w:t xml:space="preserve">response </w:t>
    </w:r>
    <w:proofErr w:type="spellStart"/>
    <w:r w:rsidRPr="00DC0679">
      <w:rPr>
        <w:rFonts w:asciiTheme="majorHAnsi" w:eastAsiaTheme="majorEastAsia" w:hAnsiTheme="majorHAnsi" w:cstheme="majorBidi"/>
        <w:i/>
      </w:rPr>
      <w:t>ja</w:t>
    </w:r>
    <w:bookmarkStart w:id="0" w:name="_GoBack"/>
    <w:bookmarkEnd w:id="0"/>
    <w:r w:rsidRPr="00DC0679">
      <w:rPr>
        <w:rFonts w:asciiTheme="majorHAnsi" w:eastAsiaTheme="majorEastAsia" w:hAnsiTheme="majorHAnsi" w:cstheme="majorBidi"/>
        <w:i/>
      </w:rPr>
      <w:t>nuary</w:t>
    </w:r>
    <w:proofErr w:type="spellEnd"/>
    <w:r w:rsidRPr="00DC0679">
      <w:rPr>
        <w:rFonts w:asciiTheme="majorHAnsi" w:eastAsiaTheme="majorEastAsia" w:hAnsiTheme="majorHAnsi" w:cstheme="majorBidi"/>
        <w:i/>
      </w:rPr>
      <w:t xml:space="preserve"> 2017</w:t>
    </w:r>
    <w:r w:rsidRPr="00DC0679">
      <w:rPr>
        <w:rFonts w:asciiTheme="majorHAnsi" w:eastAsiaTheme="majorEastAsia" w:hAnsiTheme="majorHAnsi" w:cstheme="majorBidi"/>
        <w:i/>
      </w:rPr>
      <w:ptab w:relativeTo="margin" w:alignment="right" w:leader="none"/>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DC0679">
      <w:rPr>
        <w:rFonts w:asciiTheme="majorHAnsi" w:eastAsiaTheme="majorEastAsia" w:hAnsiTheme="majorHAnsi" w:cstheme="majorBidi"/>
        <w:noProof/>
      </w:rPr>
      <w:t>3</w:t>
    </w:r>
    <w:r>
      <w:rPr>
        <w:rFonts w:asciiTheme="majorHAnsi" w:eastAsiaTheme="majorEastAsia" w:hAnsiTheme="majorHAnsi" w:cstheme="majorBidi"/>
      </w:rPr>
      <w:fldChar w:fldCharType="end"/>
    </w:r>
  </w:p>
  <w:p w:rsidR="005F7211" w:rsidRDefault="005F7211" w:rsidP="00DC0679">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679" w:rsidRDefault="00DC0679">
    <w:pPr>
      <w:pStyle w:val="Pieddepage"/>
      <w:pBdr>
        <w:top w:val="thinThickSmallGap" w:sz="24" w:space="1" w:color="622423" w:themeColor="accent2" w:themeShade="7F"/>
      </w:pBdr>
      <w:rPr>
        <w:rFonts w:asciiTheme="majorHAnsi" w:eastAsiaTheme="majorEastAsia" w:hAnsiTheme="majorHAnsi" w:cstheme="majorBidi"/>
      </w:rPr>
    </w:pPr>
    <w:r w:rsidRPr="00DC0679">
      <w:rPr>
        <w:rFonts w:asciiTheme="majorHAnsi" w:eastAsiaTheme="majorEastAsia" w:hAnsiTheme="majorHAnsi" w:cstheme="majorBidi"/>
        <w:i/>
      </w:rPr>
      <w:t xml:space="preserve">AFG </w:t>
    </w:r>
    <w:r>
      <w:rPr>
        <w:rFonts w:asciiTheme="majorHAnsi" w:eastAsiaTheme="majorEastAsia" w:hAnsiTheme="majorHAnsi" w:cstheme="majorBidi"/>
        <w:i/>
      </w:rPr>
      <w:t xml:space="preserve">response </w:t>
    </w:r>
    <w:proofErr w:type="spellStart"/>
    <w:r w:rsidRPr="00DC0679">
      <w:rPr>
        <w:rFonts w:asciiTheme="majorHAnsi" w:eastAsiaTheme="majorEastAsia" w:hAnsiTheme="majorHAnsi" w:cstheme="majorBidi"/>
        <w:i/>
      </w:rPr>
      <w:t>january</w:t>
    </w:r>
    <w:proofErr w:type="spellEnd"/>
    <w:r w:rsidRPr="00DC0679">
      <w:rPr>
        <w:rFonts w:asciiTheme="majorHAnsi" w:eastAsiaTheme="majorEastAsia" w:hAnsiTheme="majorHAnsi" w:cstheme="majorBidi"/>
        <w:i/>
      </w:rPr>
      <w:t xml:space="preserve"> 2017</w:t>
    </w:r>
    <w:r w:rsidRPr="00DC0679">
      <w:rPr>
        <w:rFonts w:asciiTheme="majorHAnsi" w:eastAsiaTheme="majorEastAsia" w:hAnsiTheme="majorHAnsi" w:cstheme="majorBidi"/>
        <w:i/>
      </w:rPr>
      <w:ptab w:relativeTo="margin" w:alignment="right" w:leader="none"/>
    </w:r>
    <w:r w:rsidRPr="00DC0679">
      <w:rPr>
        <w:rFonts w:asciiTheme="majorHAnsi" w:eastAsiaTheme="majorEastAsia" w:hAnsiTheme="majorHAnsi" w:cstheme="majorBidi"/>
        <w:i/>
      </w:rPr>
      <w:t>Page</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DC0679">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894750" w:rsidRPr="005F7211" w:rsidRDefault="00894750" w:rsidP="005F7211">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EB" w:rsidRDefault="00BB28EB">
      <w:r>
        <w:separator/>
      </w:r>
    </w:p>
  </w:footnote>
  <w:footnote w:type="continuationSeparator" w:id="0">
    <w:p w:rsidR="00BB28EB" w:rsidRDefault="00BB28EB">
      <w:r>
        <w:continuationSeparator/>
      </w:r>
    </w:p>
  </w:footnote>
  <w:footnote w:id="1">
    <w:p w:rsidR="000E5653" w:rsidRPr="00EA7BC9" w:rsidRDefault="000E5653" w:rsidP="000E5653">
      <w:pPr>
        <w:rPr>
          <w:sz w:val="18"/>
          <w:szCs w:val="18"/>
          <w:lang w:val="en-US"/>
        </w:rPr>
      </w:pPr>
      <w:r w:rsidRPr="00132042">
        <w:rPr>
          <w:rStyle w:val="Appelnotedebasdep"/>
        </w:rPr>
        <w:footnoteRef/>
      </w:r>
      <w:r w:rsidRPr="00BF03D2">
        <w:rPr>
          <w:lang w:val="en-US"/>
        </w:rPr>
        <w:t xml:space="preserve"> </w:t>
      </w:r>
      <w:r w:rsidRPr="000E5653">
        <w:rPr>
          <w:sz w:val="18"/>
          <w:szCs w:val="18"/>
          <w:lang w:val="en-US"/>
        </w:rPr>
        <w:t xml:space="preserve">The Association </w:t>
      </w:r>
      <w:proofErr w:type="spellStart"/>
      <w:r w:rsidRPr="000E5653">
        <w:rPr>
          <w:sz w:val="18"/>
          <w:szCs w:val="18"/>
          <w:lang w:val="en-US"/>
        </w:rPr>
        <w:t>Française</w:t>
      </w:r>
      <w:proofErr w:type="spellEnd"/>
      <w:r w:rsidRPr="000E5653">
        <w:rPr>
          <w:sz w:val="18"/>
          <w:szCs w:val="18"/>
          <w:lang w:val="en-US"/>
        </w:rPr>
        <w:t xml:space="preserve"> de la </w:t>
      </w:r>
      <w:proofErr w:type="spellStart"/>
      <w:r w:rsidRPr="000E5653">
        <w:rPr>
          <w:sz w:val="18"/>
          <w:szCs w:val="18"/>
          <w:lang w:val="en-US"/>
        </w:rPr>
        <w:t>Gestion</w:t>
      </w:r>
      <w:proofErr w:type="spellEnd"/>
      <w:r w:rsidRPr="000E5653">
        <w:rPr>
          <w:sz w:val="18"/>
          <w:szCs w:val="18"/>
          <w:lang w:val="en-US"/>
        </w:rPr>
        <w:t xml:space="preserve"> </w:t>
      </w:r>
      <w:proofErr w:type="spellStart"/>
      <w:r w:rsidRPr="000E5653">
        <w:rPr>
          <w:sz w:val="18"/>
          <w:szCs w:val="18"/>
          <w:lang w:val="en-US"/>
        </w:rPr>
        <w:t>financière</w:t>
      </w:r>
      <w:proofErr w:type="spellEnd"/>
      <w:r w:rsidRPr="000E5653">
        <w:rPr>
          <w:sz w:val="18"/>
          <w:szCs w:val="18"/>
          <w:lang w:val="en-US"/>
        </w:rPr>
        <w:t xml:space="preserve"> (AFG) represents the France-based investment management industry, both for collective and discretionary individual portfolio managements. 600 management companies are based in France. AFG members manage 3,</w:t>
      </w:r>
      <w:r w:rsidR="00185DC2">
        <w:rPr>
          <w:sz w:val="18"/>
          <w:szCs w:val="18"/>
          <w:lang w:val="en-US"/>
        </w:rPr>
        <w:t>6</w:t>
      </w:r>
      <w:r w:rsidRPr="000E5653">
        <w:rPr>
          <w:sz w:val="18"/>
          <w:szCs w:val="18"/>
          <w:lang w:val="en-US"/>
        </w:rPr>
        <w:t>00 billion euros, making the Paris fund industry a leader in Europe for the financial management of collective investments (with 1,</w:t>
      </w:r>
      <w:r w:rsidR="00185DC2">
        <w:rPr>
          <w:sz w:val="18"/>
          <w:szCs w:val="18"/>
          <w:lang w:val="en-US"/>
        </w:rPr>
        <w:t>7</w:t>
      </w:r>
      <w:r w:rsidRPr="000E5653">
        <w:rPr>
          <w:sz w:val="18"/>
          <w:szCs w:val="18"/>
          <w:lang w:val="en-US"/>
        </w:rPr>
        <w:t xml:space="preserve">00 billion euros managed from France, i.e. 19% of all EU assets managed in the form of investment funds). In the field of collective investment, our industry includes – beside UCITS – the whole range of AIFs, such as: employee savings schemes, regulated hedge funds/funds of hedge funds, private equity funds, real estate funds and socially responsible investment funds. AFG is an active member of the European Fund and Asset Management Association (EFAMA) and of </w:t>
      </w:r>
      <w:proofErr w:type="spellStart"/>
      <w:r w:rsidRPr="000E5653">
        <w:rPr>
          <w:sz w:val="18"/>
          <w:szCs w:val="18"/>
          <w:lang w:val="en-US"/>
        </w:rPr>
        <w:t>PensionsEurope</w:t>
      </w:r>
      <w:proofErr w:type="spellEnd"/>
      <w:r w:rsidRPr="000E5653">
        <w:rPr>
          <w:sz w:val="18"/>
          <w:szCs w:val="18"/>
          <w:lang w:val="en-US"/>
        </w:rPr>
        <w:t>. AFG is also an active member of the International Investment Funds Association (IIFA).</w:t>
      </w:r>
    </w:p>
    <w:p w:rsidR="000E5653" w:rsidRPr="003926AA" w:rsidRDefault="000E5653" w:rsidP="000E5653">
      <w:pPr>
        <w:jc w:val="both"/>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679" w:rsidRDefault="00DC06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894750">
    <w:pPr>
      <w:pStyle w:val="En-tte"/>
      <w:tabs>
        <w:tab w:val="clear" w:pos="4536"/>
        <w:tab w:val="clear" w:pos="9072"/>
      </w:tabs>
      <w:spacing w:line="240" w:lineRule="exact"/>
    </w:pPr>
  </w:p>
  <w:p w:rsidR="006F2F8E" w:rsidRDefault="006F2F8E" w:rsidP="006F2F8E">
    <w:pPr>
      <w:pBdr>
        <w:top w:val="single" w:sz="4" w:space="1" w:color="auto"/>
        <w:left w:val="single" w:sz="4" w:space="4" w:color="auto"/>
        <w:bottom w:val="single" w:sz="4" w:space="1" w:color="auto"/>
        <w:right w:val="single" w:sz="4" w:space="4" w:color="auto"/>
      </w:pBdr>
      <w:jc w:val="center"/>
      <w:rPr>
        <w:rFonts w:ascii="Times New Roman" w:hAnsi="Times New Roman"/>
        <w:b/>
        <w:noProof/>
        <w:color w:val="000000" w:themeColor="text1"/>
        <w:sz w:val="24"/>
        <w:szCs w:val="24"/>
        <w:lang w:val="en-US"/>
      </w:rPr>
    </w:pPr>
  </w:p>
  <w:p w:rsidR="001E7B63" w:rsidRDefault="00981447" w:rsidP="006F2F8E">
    <w:pPr>
      <w:pBdr>
        <w:top w:val="single" w:sz="4" w:space="1" w:color="auto"/>
        <w:left w:val="single" w:sz="4" w:space="4" w:color="auto"/>
        <w:bottom w:val="single" w:sz="4" w:space="1" w:color="auto"/>
        <w:right w:val="single" w:sz="4" w:space="4" w:color="auto"/>
      </w:pBdr>
      <w:jc w:val="center"/>
      <w:rPr>
        <w:rFonts w:ascii="Times New Roman" w:hAnsi="Times New Roman"/>
        <w:b/>
        <w:noProof/>
        <w:color w:val="000000" w:themeColor="text1"/>
        <w:sz w:val="24"/>
        <w:szCs w:val="24"/>
        <w:lang w:val="en-US"/>
      </w:rPr>
    </w:pPr>
    <w:r w:rsidRPr="005676CF">
      <w:rPr>
        <w:rFonts w:ascii="Times New Roman" w:hAnsi="Times New Roman"/>
        <w:b/>
        <w:noProof/>
        <w:color w:val="000000" w:themeColor="text1"/>
        <w:sz w:val="24"/>
        <w:szCs w:val="24"/>
        <w:lang w:val="en-US"/>
      </w:rPr>
      <w:t xml:space="preserve">AFG RESPONSE TO THE ESMA AND EBA CONSULTATION </w:t>
    </w:r>
  </w:p>
  <w:p w:rsidR="001E7B63" w:rsidRDefault="00981447" w:rsidP="006F2F8E">
    <w:pPr>
      <w:pBdr>
        <w:top w:val="single" w:sz="4" w:space="1" w:color="auto"/>
        <w:left w:val="single" w:sz="4" w:space="4" w:color="auto"/>
        <w:bottom w:val="single" w:sz="4" w:space="1" w:color="auto"/>
        <w:right w:val="single" w:sz="4" w:space="4" w:color="auto"/>
      </w:pBdr>
      <w:jc w:val="center"/>
      <w:rPr>
        <w:rFonts w:ascii="Times New Roman" w:hAnsi="Times New Roman"/>
        <w:b/>
        <w:noProof/>
        <w:color w:val="000000" w:themeColor="text1"/>
        <w:sz w:val="24"/>
        <w:szCs w:val="24"/>
        <w:lang w:val="en-US"/>
      </w:rPr>
    </w:pPr>
    <w:r w:rsidRPr="005676CF">
      <w:rPr>
        <w:rFonts w:ascii="Times New Roman" w:hAnsi="Times New Roman"/>
        <w:b/>
        <w:noProof/>
        <w:color w:val="000000" w:themeColor="text1"/>
        <w:sz w:val="24"/>
        <w:szCs w:val="24"/>
        <w:lang w:val="en-US"/>
      </w:rPr>
      <w:t xml:space="preserve">ON THE ASSESSMENT OF THE SUITABILITY OF MEMBERS </w:t>
    </w:r>
  </w:p>
  <w:p w:rsidR="006F2F8E" w:rsidRDefault="00981447" w:rsidP="006F2F8E">
    <w:pPr>
      <w:pBdr>
        <w:top w:val="single" w:sz="4" w:space="1" w:color="auto"/>
        <w:left w:val="single" w:sz="4" w:space="4" w:color="auto"/>
        <w:bottom w:val="single" w:sz="4" w:space="1" w:color="auto"/>
        <w:right w:val="single" w:sz="4" w:space="4" w:color="auto"/>
      </w:pBdr>
      <w:jc w:val="center"/>
      <w:rPr>
        <w:rFonts w:ascii="Times New Roman" w:hAnsi="Times New Roman"/>
        <w:b/>
        <w:noProof/>
        <w:color w:val="000000" w:themeColor="text1"/>
        <w:sz w:val="24"/>
        <w:szCs w:val="24"/>
        <w:lang w:val="en-US"/>
      </w:rPr>
    </w:pPr>
    <w:r w:rsidRPr="005676CF">
      <w:rPr>
        <w:rFonts w:ascii="Times New Roman" w:hAnsi="Times New Roman"/>
        <w:b/>
        <w:noProof/>
        <w:color w:val="000000" w:themeColor="text1"/>
        <w:sz w:val="24"/>
        <w:szCs w:val="24"/>
        <w:lang w:val="en-US"/>
      </w:rPr>
      <w:t xml:space="preserve">OF THE MANAGEMENT BODY AND KEY FUNCTION HOLDERS </w:t>
    </w:r>
  </w:p>
  <w:p w:rsidR="00894750" w:rsidRPr="001E7B63" w:rsidRDefault="00981447" w:rsidP="006F2F8E">
    <w:pPr>
      <w:pBdr>
        <w:top w:val="single" w:sz="4" w:space="1" w:color="auto"/>
        <w:left w:val="single" w:sz="4" w:space="4" w:color="auto"/>
        <w:bottom w:val="single" w:sz="4" w:space="1" w:color="auto"/>
        <w:right w:val="single" w:sz="4" w:space="4" w:color="auto"/>
      </w:pBdr>
      <w:jc w:val="center"/>
      <w:rPr>
        <w:lang w:val="en-US"/>
      </w:rPr>
    </w:pPr>
    <w:r w:rsidRPr="005676CF">
      <w:rPr>
        <w:rFonts w:ascii="Times New Roman" w:hAnsi="Times New Roman"/>
        <w:b/>
        <w:noProof/>
        <w:color w:val="000000" w:themeColor="text1"/>
        <w:sz w:val="24"/>
        <w:szCs w:val="24"/>
        <w:lang w:val="en-US"/>
      </w:rPr>
      <w:t>UNDER</w:t>
    </w:r>
    <w:r w:rsidR="001E7B63">
      <w:rPr>
        <w:rFonts w:ascii="Times New Roman" w:hAnsi="Times New Roman"/>
        <w:b/>
        <w:noProof/>
        <w:color w:val="000000" w:themeColor="text1"/>
        <w:sz w:val="24"/>
        <w:szCs w:val="24"/>
        <w:lang w:val="en-US"/>
      </w:rPr>
      <w:t xml:space="preserve"> </w:t>
    </w:r>
    <w:r w:rsidRPr="005676CF">
      <w:rPr>
        <w:rFonts w:ascii="Times New Roman" w:hAnsi="Times New Roman"/>
        <w:b/>
        <w:noProof/>
        <w:color w:val="000000" w:themeColor="text1"/>
        <w:sz w:val="24"/>
        <w:szCs w:val="24"/>
        <w:lang w:val="en-US"/>
      </w:rPr>
      <w:t>DIRECTIVE 2013/36/EU AND DIRECTIVE 2014/65/EU</w:t>
    </w:r>
  </w:p>
  <w:p w:rsidR="00894750" w:rsidRPr="001E7B63" w:rsidRDefault="00894750" w:rsidP="006F2F8E">
    <w:pPr>
      <w:pStyle w:val="En-tte"/>
      <w:pBdr>
        <w:top w:val="single" w:sz="4" w:space="1" w:color="auto"/>
        <w:left w:val="single" w:sz="4" w:space="4" w:color="auto"/>
        <w:bottom w:val="single" w:sz="4" w:space="1" w:color="auto"/>
        <w:right w:val="single" w:sz="4" w:space="4" w:color="auto"/>
      </w:pBdr>
      <w:tabs>
        <w:tab w:val="clear" w:pos="4536"/>
        <w:tab w:val="clear" w:pos="9072"/>
      </w:tabs>
      <w:spacing w:line="240" w:lineRule="exact"/>
      <w:rPr>
        <w:lang w:val="en-US"/>
      </w:rPr>
    </w:pPr>
  </w:p>
  <w:p w:rsidR="00894750" w:rsidRPr="001E7B63" w:rsidRDefault="00894750" w:rsidP="006F2F8E">
    <w:pPr>
      <w:pStyle w:val="En-tte"/>
      <w:tabs>
        <w:tab w:val="clear" w:pos="4536"/>
        <w:tab w:val="clear" w:pos="9072"/>
      </w:tabs>
      <w:spacing w:line="240" w:lineRule="exact"/>
      <w:rPr>
        <w:lang w:val="en-US"/>
      </w:rPr>
    </w:pPr>
  </w:p>
  <w:p w:rsidR="00894750" w:rsidRPr="001E7B63" w:rsidRDefault="00894750">
    <w:pPr>
      <w:pStyle w:val="En-tte"/>
      <w:tabs>
        <w:tab w:val="clear" w:pos="4536"/>
        <w:tab w:val="clear" w:pos="9072"/>
      </w:tabs>
      <w:spacing w:line="190" w:lineRule="exac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F665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22F7E"/>
    <w:multiLevelType w:val="hybridMultilevel"/>
    <w:tmpl w:val="3FDE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B0950"/>
    <w:multiLevelType w:val="hybridMultilevel"/>
    <w:tmpl w:val="DB56FD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3F959E3"/>
    <w:multiLevelType w:val="hybridMultilevel"/>
    <w:tmpl w:val="CA34CF8E"/>
    <w:lvl w:ilvl="0" w:tplc="2C504F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67D24"/>
    <w:multiLevelType w:val="hybridMultilevel"/>
    <w:tmpl w:val="1DD6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E10A4"/>
    <w:multiLevelType w:val="hybridMultilevel"/>
    <w:tmpl w:val="CF5A28D2"/>
    <w:lvl w:ilvl="0" w:tplc="B12A26F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752870"/>
    <w:multiLevelType w:val="hybridMultilevel"/>
    <w:tmpl w:val="8F52BDDA"/>
    <w:lvl w:ilvl="0" w:tplc="88A812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A94D03"/>
    <w:multiLevelType w:val="hybridMultilevel"/>
    <w:tmpl w:val="4792023C"/>
    <w:lvl w:ilvl="0" w:tplc="B12A26F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65"/>
    <w:rsid w:val="00002DA0"/>
    <w:rsid w:val="00002DF8"/>
    <w:rsid w:val="00007065"/>
    <w:rsid w:val="00010043"/>
    <w:rsid w:val="00051747"/>
    <w:rsid w:val="0005431A"/>
    <w:rsid w:val="00066D1F"/>
    <w:rsid w:val="00084026"/>
    <w:rsid w:val="00097DA4"/>
    <w:rsid w:val="000B003E"/>
    <w:rsid w:val="000B0B56"/>
    <w:rsid w:val="000C105E"/>
    <w:rsid w:val="000C79F0"/>
    <w:rsid w:val="000D1CB8"/>
    <w:rsid w:val="000E5653"/>
    <w:rsid w:val="000E6929"/>
    <w:rsid w:val="000E7D42"/>
    <w:rsid w:val="000F5B92"/>
    <w:rsid w:val="00105A64"/>
    <w:rsid w:val="00110F86"/>
    <w:rsid w:val="0011190D"/>
    <w:rsid w:val="00116C57"/>
    <w:rsid w:val="001268E4"/>
    <w:rsid w:val="00144D49"/>
    <w:rsid w:val="0014520A"/>
    <w:rsid w:val="00161A83"/>
    <w:rsid w:val="001826D7"/>
    <w:rsid w:val="00184F8E"/>
    <w:rsid w:val="00185DC2"/>
    <w:rsid w:val="00187BD2"/>
    <w:rsid w:val="00187EE9"/>
    <w:rsid w:val="001B2E33"/>
    <w:rsid w:val="001E7B63"/>
    <w:rsid w:val="002129E2"/>
    <w:rsid w:val="00214C81"/>
    <w:rsid w:val="002213B5"/>
    <w:rsid w:val="002250CE"/>
    <w:rsid w:val="00234C75"/>
    <w:rsid w:val="00241D41"/>
    <w:rsid w:val="00257E49"/>
    <w:rsid w:val="00263EAD"/>
    <w:rsid w:val="002819DD"/>
    <w:rsid w:val="00293B17"/>
    <w:rsid w:val="0029457D"/>
    <w:rsid w:val="002A067D"/>
    <w:rsid w:val="002A3D62"/>
    <w:rsid w:val="002A6896"/>
    <w:rsid w:val="002B6B9B"/>
    <w:rsid w:val="002F370D"/>
    <w:rsid w:val="00321602"/>
    <w:rsid w:val="0035301E"/>
    <w:rsid w:val="003542F7"/>
    <w:rsid w:val="00386906"/>
    <w:rsid w:val="003934D1"/>
    <w:rsid w:val="003C0A7E"/>
    <w:rsid w:val="003E11AD"/>
    <w:rsid w:val="003E15BF"/>
    <w:rsid w:val="003E6969"/>
    <w:rsid w:val="00405301"/>
    <w:rsid w:val="00415CB0"/>
    <w:rsid w:val="00422F6C"/>
    <w:rsid w:val="00427694"/>
    <w:rsid w:val="004420DD"/>
    <w:rsid w:val="00444ED6"/>
    <w:rsid w:val="00447570"/>
    <w:rsid w:val="00450B57"/>
    <w:rsid w:val="004616FC"/>
    <w:rsid w:val="00472959"/>
    <w:rsid w:val="00482791"/>
    <w:rsid w:val="00495704"/>
    <w:rsid w:val="004B6774"/>
    <w:rsid w:val="004C3FAB"/>
    <w:rsid w:val="004C63CC"/>
    <w:rsid w:val="004D3FE9"/>
    <w:rsid w:val="004D4557"/>
    <w:rsid w:val="004E2700"/>
    <w:rsid w:val="0050316F"/>
    <w:rsid w:val="00507334"/>
    <w:rsid w:val="00536081"/>
    <w:rsid w:val="0054322B"/>
    <w:rsid w:val="00556337"/>
    <w:rsid w:val="00557941"/>
    <w:rsid w:val="005620EE"/>
    <w:rsid w:val="005627D1"/>
    <w:rsid w:val="005676CF"/>
    <w:rsid w:val="005866DA"/>
    <w:rsid w:val="005B3FDD"/>
    <w:rsid w:val="005C141E"/>
    <w:rsid w:val="005D25AD"/>
    <w:rsid w:val="005F7211"/>
    <w:rsid w:val="006653E5"/>
    <w:rsid w:val="006655AC"/>
    <w:rsid w:val="006677A2"/>
    <w:rsid w:val="006735BA"/>
    <w:rsid w:val="00677BDE"/>
    <w:rsid w:val="006B11BF"/>
    <w:rsid w:val="006D4A6D"/>
    <w:rsid w:val="006E27A9"/>
    <w:rsid w:val="006F2F8E"/>
    <w:rsid w:val="006F371B"/>
    <w:rsid w:val="006F66CD"/>
    <w:rsid w:val="00743D07"/>
    <w:rsid w:val="0075795D"/>
    <w:rsid w:val="00762C3F"/>
    <w:rsid w:val="00772438"/>
    <w:rsid w:val="007A0118"/>
    <w:rsid w:val="007A1BBF"/>
    <w:rsid w:val="007B2A14"/>
    <w:rsid w:val="007D135B"/>
    <w:rsid w:val="007F4120"/>
    <w:rsid w:val="00805854"/>
    <w:rsid w:val="00812D4F"/>
    <w:rsid w:val="00820681"/>
    <w:rsid w:val="008235C0"/>
    <w:rsid w:val="00840015"/>
    <w:rsid w:val="00845E96"/>
    <w:rsid w:val="00860BCB"/>
    <w:rsid w:val="008624E8"/>
    <w:rsid w:val="0086731C"/>
    <w:rsid w:val="00894750"/>
    <w:rsid w:val="00897CDD"/>
    <w:rsid w:val="008B27A8"/>
    <w:rsid w:val="008C3B22"/>
    <w:rsid w:val="008C77F7"/>
    <w:rsid w:val="008C7F16"/>
    <w:rsid w:val="008D2D7C"/>
    <w:rsid w:val="008F2652"/>
    <w:rsid w:val="0090020F"/>
    <w:rsid w:val="00903CB7"/>
    <w:rsid w:val="009167CB"/>
    <w:rsid w:val="009231A3"/>
    <w:rsid w:val="00932AB4"/>
    <w:rsid w:val="009425D0"/>
    <w:rsid w:val="00957E9A"/>
    <w:rsid w:val="00981447"/>
    <w:rsid w:val="009913BB"/>
    <w:rsid w:val="009A74B9"/>
    <w:rsid w:val="009B16EE"/>
    <w:rsid w:val="009C3969"/>
    <w:rsid w:val="009C6D3B"/>
    <w:rsid w:val="009E4684"/>
    <w:rsid w:val="009E4A81"/>
    <w:rsid w:val="009F37F6"/>
    <w:rsid w:val="00A06BBF"/>
    <w:rsid w:val="00A422C0"/>
    <w:rsid w:val="00A5075B"/>
    <w:rsid w:val="00A712CD"/>
    <w:rsid w:val="00A722AF"/>
    <w:rsid w:val="00A724B9"/>
    <w:rsid w:val="00A82F95"/>
    <w:rsid w:val="00A9412C"/>
    <w:rsid w:val="00A94F97"/>
    <w:rsid w:val="00A966C3"/>
    <w:rsid w:val="00AA78AB"/>
    <w:rsid w:val="00AD1766"/>
    <w:rsid w:val="00AD196B"/>
    <w:rsid w:val="00AE3F75"/>
    <w:rsid w:val="00B061F9"/>
    <w:rsid w:val="00B105A7"/>
    <w:rsid w:val="00B42E86"/>
    <w:rsid w:val="00B44DF6"/>
    <w:rsid w:val="00B6722D"/>
    <w:rsid w:val="00B80B64"/>
    <w:rsid w:val="00B85C39"/>
    <w:rsid w:val="00BB28EB"/>
    <w:rsid w:val="00BB541B"/>
    <w:rsid w:val="00BD6D49"/>
    <w:rsid w:val="00BE4931"/>
    <w:rsid w:val="00BF5235"/>
    <w:rsid w:val="00C01A22"/>
    <w:rsid w:val="00C16CAF"/>
    <w:rsid w:val="00C174B3"/>
    <w:rsid w:val="00C20009"/>
    <w:rsid w:val="00C32D2F"/>
    <w:rsid w:val="00C55476"/>
    <w:rsid w:val="00C9567F"/>
    <w:rsid w:val="00C974AF"/>
    <w:rsid w:val="00C97CB6"/>
    <w:rsid w:val="00CA31F6"/>
    <w:rsid w:val="00CD1DAE"/>
    <w:rsid w:val="00CE4A55"/>
    <w:rsid w:val="00D20A15"/>
    <w:rsid w:val="00D51436"/>
    <w:rsid w:val="00D72919"/>
    <w:rsid w:val="00D76C91"/>
    <w:rsid w:val="00D81B58"/>
    <w:rsid w:val="00D910F6"/>
    <w:rsid w:val="00DA5BDA"/>
    <w:rsid w:val="00DC0679"/>
    <w:rsid w:val="00DD4EFE"/>
    <w:rsid w:val="00E05E1D"/>
    <w:rsid w:val="00E14BCF"/>
    <w:rsid w:val="00E20A9F"/>
    <w:rsid w:val="00E51674"/>
    <w:rsid w:val="00E613CC"/>
    <w:rsid w:val="00E77578"/>
    <w:rsid w:val="00E77C1D"/>
    <w:rsid w:val="00E947D9"/>
    <w:rsid w:val="00EA3A3D"/>
    <w:rsid w:val="00EB4515"/>
    <w:rsid w:val="00EC0CBD"/>
    <w:rsid w:val="00EC5BDD"/>
    <w:rsid w:val="00EF66D0"/>
    <w:rsid w:val="00F00FCC"/>
    <w:rsid w:val="00F0338F"/>
    <w:rsid w:val="00F22206"/>
    <w:rsid w:val="00F246D8"/>
    <w:rsid w:val="00F3106C"/>
    <w:rsid w:val="00F80D58"/>
    <w:rsid w:val="00FB0320"/>
    <w:rsid w:val="00FB0B79"/>
    <w:rsid w:val="00FD1EC5"/>
    <w:rsid w:val="00FE335B"/>
    <w:rsid w:val="00FF66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paragraph" w:customStyle="1" w:styleId="Default">
    <w:name w:val="Default"/>
    <w:rsid w:val="00007065"/>
    <w:pPr>
      <w:autoSpaceDE w:val="0"/>
      <w:autoSpaceDN w:val="0"/>
      <w:adjustRightInd w:val="0"/>
    </w:pPr>
    <w:rPr>
      <w:rFonts w:ascii="Calibri" w:hAnsi="Calibri" w:cs="Calibri"/>
      <w:color w:val="000000"/>
      <w:sz w:val="24"/>
      <w:szCs w:val="24"/>
      <w:lang w:val="en-US"/>
    </w:rPr>
  </w:style>
  <w:style w:type="character" w:customStyle="1" w:styleId="PieddepageCar">
    <w:name w:val="Pied de page Car"/>
    <w:basedOn w:val="Policepardfaut"/>
    <w:link w:val="Pieddepage"/>
    <w:uiPriority w:val="99"/>
    <w:rsid w:val="00E947D9"/>
    <w:rPr>
      <w:rFonts w:ascii="Arial" w:hAnsi="Arial"/>
    </w:rPr>
  </w:style>
  <w:style w:type="paragraph" w:styleId="Textedebulles">
    <w:name w:val="Balloon Text"/>
    <w:basedOn w:val="Normal"/>
    <w:link w:val="TextedebullesCar"/>
    <w:rsid w:val="002A067D"/>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2A067D"/>
    <w:rPr>
      <w:rFonts w:ascii="Tahoma" w:hAnsi="Tahoma" w:cs="Tahoma"/>
      <w:sz w:val="16"/>
      <w:szCs w:val="16"/>
    </w:rPr>
  </w:style>
  <w:style w:type="character" w:styleId="Appelnotedebasdep">
    <w:name w:val="footnote reference"/>
    <w:basedOn w:val="Policepardfaut"/>
    <w:rsid w:val="000E5653"/>
    <w:rPr>
      <w:rFonts w:cs="Times New Roman"/>
      <w:vertAlign w:val="superscript"/>
    </w:rPr>
  </w:style>
  <w:style w:type="character" w:customStyle="1" w:styleId="placeholderbegin21">
    <w:name w:val="placeholder_begin21"/>
    <w:basedOn w:val="Policepardfaut"/>
    <w:rsid w:val="00820681"/>
    <w:rPr>
      <w:vanish/>
      <w:webHidden w:val="0"/>
      <w:specVanish w:val="0"/>
    </w:rPr>
  </w:style>
  <w:style w:type="paragraph" w:styleId="Paragraphedeliste">
    <w:name w:val="List Paragraph"/>
    <w:basedOn w:val="Normal"/>
    <w:uiPriority w:val="72"/>
    <w:rsid w:val="00B42E86"/>
    <w:pPr>
      <w:ind w:left="720"/>
      <w:contextualSpacing/>
    </w:pPr>
  </w:style>
  <w:style w:type="character" w:styleId="Marquedecommentaire">
    <w:name w:val="annotation reference"/>
    <w:basedOn w:val="Policepardfaut"/>
    <w:rsid w:val="005627D1"/>
    <w:rPr>
      <w:sz w:val="16"/>
      <w:szCs w:val="16"/>
    </w:rPr>
  </w:style>
  <w:style w:type="paragraph" w:styleId="Commentaire">
    <w:name w:val="annotation text"/>
    <w:basedOn w:val="Normal"/>
    <w:link w:val="CommentaireCar"/>
    <w:rsid w:val="005627D1"/>
    <w:pPr>
      <w:spacing w:line="240" w:lineRule="auto"/>
    </w:pPr>
  </w:style>
  <w:style w:type="character" w:customStyle="1" w:styleId="CommentaireCar">
    <w:name w:val="Commentaire Car"/>
    <w:basedOn w:val="Policepardfaut"/>
    <w:link w:val="Commentaire"/>
    <w:rsid w:val="005627D1"/>
    <w:rPr>
      <w:rFonts w:ascii="Arial" w:hAnsi="Arial"/>
    </w:rPr>
  </w:style>
  <w:style w:type="paragraph" w:styleId="Objetducommentaire">
    <w:name w:val="annotation subject"/>
    <w:basedOn w:val="Commentaire"/>
    <w:next w:val="Commentaire"/>
    <w:link w:val="ObjetducommentaireCar"/>
    <w:rsid w:val="005627D1"/>
    <w:rPr>
      <w:b/>
      <w:bCs/>
    </w:rPr>
  </w:style>
  <w:style w:type="character" w:customStyle="1" w:styleId="ObjetducommentaireCar">
    <w:name w:val="Objet du commentaire Car"/>
    <w:basedOn w:val="CommentaireCar"/>
    <w:link w:val="Objetducommentaire"/>
    <w:rsid w:val="005627D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paragraph" w:customStyle="1" w:styleId="Default">
    <w:name w:val="Default"/>
    <w:rsid w:val="00007065"/>
    <w:pPr>
      <w:autoSpaceDE w:val="0"/>
      <w:autoSpaceDN w:val="0"/>
      <w:adjustRightInd w:val="0"/>
    </w:pPr>
    <w:rPr>
      <w:rFonts w:ascii="Calibri" w:hAnsi="Calibri" w:cs="Calibri"/>
      <w:color w:val="000000"/>
      <w:sz w:val="24"/>
      <w:szCs w:val="24"/>
      <w:lang w:val="en-US"/>
    </w:rPr>
  </w:style>
  <w:style w:type="character" w:customStyle="1" w:styleId="PieddepageCar">
    <w:name w:val="Pied de page Car"/>
    <w:basedOn w:val="Policepardfaut"/>
    <w:link w:val="Pieddepage"/>
    <w:uiPriority w:val="99"/>
    <w:rsid w:val="00E947D9"/>
    <w:rPr>
      <w:rFonts w:ascii="Arial" w:hAnsi="Arial"/>
    </w:rPr>
  </w:style>
  <w:style w:type="paragraph" w:styleId="Textedebulles">
    <w:name w:val="Balloon Text"/>
    <w:basedOn w:val="Normal"/>
    <w:link w:val="TextedebullesCar"/>
    <w:rsid w:val="002A067D"/>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2A067D"/>
    <w:rPr>
      <w:rFonts w:ascii="Tahoma" w:hAnsi="Tahoma" w:cs="Tahoma"/>
      <w:sz w:val="16"/>
      <w:szCs w:val="16"/>
    </w:rPr>
  </w:style>
  <w:style w:type="character" w:styleId="Appelnotedebasdep">
    <w:name w:val="footnote reference"/>
    <w:basedOn w:val="Policepardfaut"/>
    <w:rsid w:val="000E5653"/>
    <w:rPr>
      <w:rFonts w:cs="Times New Roman"/>
      <w:vertAlign w:val="superscript"/>
    </w:rPr>
  </w:style>
  <w:style w:type="character" w:customStyle="1" w:styleId="placeholderbegin21">
    <w:name w:val="placeholder_begin21"/>
    <w:basedOn w:val="Policepardfaut"/>
    <w:rsid w:val="00820681"/>
    <w:rPr>
      <w:vanish/>
      <w:webHidden w:val="0"/>
      <w:specVanish w:val="0"/>
    </w:rPr>
  </w:style>
  <w:style w:type="paragraph" w:styleId="Paragraphedeliste">
    <w:name w:val="List Paragraph"/>
    <w:basedOn w:val="Normal"/>
    <w:uiPriority w:val="72"/>
    <w:rsid w:val="00B42E86"/>
    <w:pPr>
      <w:ind w:left="720"/>
      <w:contextualSpacing/>
    </w:pPr>
  </w:style>
  <w:style w:type="character" w:styleId="Marquedecommentaire">
    <w:name w:val="annotation reference"/>
    <w:basedOn w:val="Policepardfaut"/>
    <w:rsid w:val="005627D1"/>
    <w:rPr>
      <w:sz w:val="16"/>
      <w:szCs w:val="16"/>
    </w:rPr>
  </w:style>
  <w:style w:type="paragraph" w:styleId="Commentaire">
    <w:name w:val="annotation text"/>
    <w:basedOn w:val="Normal"/>
    <w:link w:val="CommentaireCar"/>
    <w:rsid w:val="005627D1"/>
    <w:pPr>
      <w:spacing w:line="240" w:lineRule="auto"/>
    </w:pPr>
  </w:style>
  <w:style w:type="character" w:customStyle="1" w:styleId="CommentaireCar">
    <w:name w:val="Commentaire Car"/>
    <w:basedOn w:val="Policepardfaut"/>
    <w:link w:val="Commentaire"/>
    <w:rsid w:val="005627D1"/>
    <w:rPr>
      <w:rFonts w:ascii="Arial" w:hAnsi="Arial"/>
    </w:rPr>
  </w:style>
  <w:style w:type="paragraph" w:styleId="Objetducommentaire">
    <w:name w:val="annotation subject"/>
    <w:basedOn w:val="Commentaire"/>
    <w:next w:val="Commentaire"/>
    <w:link w:val="ObjetducommentaireCar"/>
    <w:rsid w:val="005627D1"/>
    <w:rPr>
      <w:b/>
      <w:bCs/>
    </w:rPr>
  </w:style>
  <w:style w:type="character" w:customStyle="1" w:styleId="ObjetducommentaireCar">
    <w:name w:val="Objet du commentaire Car"/>
    <w:basedOn w:val="CommentaireCar"/>
    <w:link w:val="Objetducommentaire"/>
    <w:rsid w:val="005627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8316">
      <w:bodyDiv w:val="1"/>
      <w:marLeft w:val="0"/>
      <w:marRight w:val="0"/>
      <w:marTop w:val="0"/>
      <w:marBottom w:val="0"/>
      <w:divBdr>
        <w:top w:val="none" w:sz="0" w:space="0" w:color="auto"/>
        <w:left w:val="none" w:sz="0" w:space="0" w:color="auto"/>
        <w:bottom w:val="none" w:sz="0" w:space="0" w:color="auto"/>
        <w:right w:val="none" w:sz="0" w:space="0" w:color="auto"/>
      </w:divBdr>
      <w:divsChild>
        <w:div w:id="1339576275">
          <w:marLeft w:val="0"/>
          <w:marRight w:val="0"/>
          <w:marTop w:val="0"/>
          <w:marBottom w:val="0"/>
          <w:divBdr>
            <w:top w:val="none" w:sz="0" w:space="0" w:color="auto"/>
            <w:left w:val="none" w:sz="0" w:space="0" w:color="auto"/>
            <w:bottom w:val="none" w:sz="0" w:space="0" w:color="auto"/>
            <w:right w:val="none" w:sz="0" w:space="0" w:color="auto"/>
          </w:divBdr>
          <w:divsChild>
            <w:div w:id="458450600">
              <w:marLeft w:val="0"/>
              <w:marRight w:val="0"/>
              <w:marTop w:val="0"/>
              <w:marBottom w:val="0"/>
              <w:divBdr>
                <w:top w:val="none" w:sz="0" w:space="0" w:color="auto"/>
                <w:left w:val="none" w:sz="0" w:space="0" w:color="auto"/>
                <w:bottom w:val="none" w:sz="0" w:space="0" w:color="auto"/>
                <w:right w:val="none" w:sz="0" w:space="0" w:color="auto"/>
              </w:divBdr>
              <w:divsChild>
                <w:div w:id="1352301264">
                  <w:marLeft w:val="0"/>
                  <w:marRight w:val="0"/>
                  <w:marTop w:val="0"/>
                  <w:marBottom w:val="0"/>
                  <w:divBdr>
                    <w:top w:val="none" w:sz="0" w:space="0" w:color="auto"/>
                    <w:left w:val="none" w:sz="0" w:space="0" w:color="auto"/>
                    <w:bottom w:val="none" w:sz="0" w:space="0" w:color="auto"/>
                    <w:right w:val="none" w:sz="0" w:space="0" w:color="auto"/>
                  </w:divBdr>
                  <w:divsChild>
                    <w:div w:id="873689211">
                      <w:marLeft w:val="0"/>
                      <w:marRight w:val="0"/>
                      <w:marTop w:val="0"/>
                      <w:marBottom w:val="0"/>
                      <w:divBdr>
                        <w:top w:val="none" w:sz="0" w:space="0" w:color="auto"/>
                        <w:left w:val="none" w:sz="0" w:space="0" w:color="auto"/>
                        <w:bottom w:val="none" w:sz="0" w:space="0" w:color="auto"/>
                        <w:right w:val="none" w:sz="0" w:space="0" w:color="auto"/>
                      </w:divBdr>
                      <w:divsChild>
                        <w:div w:id="1838381906">
                          <w:marLeft w:val="0"/>
                          <w:marRight w:val="0"/>
                          <w:marTop w:val="0"/>
                          <w:marBottom w:val="0"/>
                          <w:divBdr>
                            <w:top w:val="none" w:sz="0" w:space="0" w:color="auto"/>
                            <w:left w:val="none" w:sz="0" w:space="0" w:color="auto"/>
                            <w:bottom w:val="none" w:sz="0" w:space="0" w:color="auto"/>
                            <w:right w:val="none" w:sz="0" w:space="0" w:color="auto"/>
                          </w:divBdr>
                          <w:divsChild>
                            <w:div w:id="1190528563">
                              <w:marLeft w:val="0"/>
                              <w:marRight w:val="0"/>
                              <w:marTop w:val="0"/>
                              <w:marBottom w:val="0"/>
                              <w:divBdr>
                                <w:top w:val="none" w:sz="0" w:space="0" w:color="auto"/>
                                <w:left w:val="none" w:sz="0" w:space="0" w:color="auto"/>
                                <w:bottom w:val="none" w:sz="0" w:space="0" w:color="auto"/>
                                <w:right w:val="none" w:sz="0" w:space="0" w:color="auto"/>
                              </w:divBdr>
                              <w:divsChild>
                                <w:div w:id="1671181764">
                                  <w:marLeft w:val="0"/>
                                  <w:marRight w:val="0"/>
                                  <w:marTop w:val="30"/>
                                  <w:marBottom w:val="2250"/>
                                  <w:divBdr>
                                    <w:top w:val="none" w:sz="0" w:space="0" w:color="auto"/>
                                    <w:left w:val="none" w:sz="0" w:space="0" w:color="auto"/>
                                    <w:bottom w:val="none" w:sz="0" w:space="0" w:color="auto"/>
                                    <w:right w:val="none" w:sz="0" w:space="0" w:color="auto"/>
                                  </w:divBdr>
                                  <w:divsChild>
                                    <w:div w:id="758869886">
                                      <w:marLeft w:val="0"/>
                                      <w:marRight w:val="0"/>
                                      <w:marTop w:val="0"/>
                                      <w:marBottom w:val="0"/>
                                      <w:divBdr>
                                        <w:top w:val="none" w:sz="0" w:space="0" w:color="auto"/>
                                        <w:left w:val="none" w:sz="0" w:space="0" w:color="auto"/>
                                        <w:bottom w:val="none" w:sz="0" w:space="0" w:color="auto"/>
                                        <w:right w:val="none" w:sz="0" w:space="0" w:color="auto"/>
                                      </w:divBdr>
                                      <w:divsChild>
                                        <w:div w:id="909389214">
                                          <w:marLeft w:val="0"/>
                                          <w:marRight w:val="0"/>
                                          <w:marTop w:val="0"/>
                                          <w:marBottom w:val="0"/>
                                          <w:divBdr>
                                            <w:top w:val="none" w:sz="0" w:space="0" w:color="auto"/>
                                            <w:left w:val="none" w:sz="0" w:space="0" w:color="auto"/>
                                            <w:bottom w:val="none" w:sz="0" w:space="0" w:color="auto"/>
                                            <w:right w:val="none" w:sz="0" w:space="0" w:color="auto"/>
                                          </w:divBdr>
                                          <w:divsChild>
                                            <w:div w:id="683170844">
                                              <w:marLeft w:val="0"/>
                                              <w:marRight w:val="0"/>
                                              <w:marTop w:val="0"/>
                                              <w:marBottom w:val="0"/>
                                              <w:divBdr>
                                                <w:top w:val="none" w:sz="0" w:space="0" w:color="auto"/>
                                                <w:left w:val="none" w:sz="0" w:space="0" w:color="auto"/>
                                                <w:bottom w:val="none" w:sz="0" w:space="0" w:color="auto"/>
                                                <w:right w:val="none" w:sz="0" w:space="0" w:color="auto"/>
                                              </w:divBdr>
                                              <w:divsChild>
                                                <w:div w:id="1607807751">
                                                  <w:marLeft w:val="0"/>
                                                  <w:marRight w:val="0"/>
                                                  <w:marTop w:val="0"/>
                                                  <w:marBottom w:val="0"/>
                                                  <w:divBdr>
                                                    <w:top w:val="none" w:sz="0" w:space="0" w:color="auto"/>
                                                    <w:left w:val="none" w:sz="0" w:space="0" w:color="auto"/>
                                                    <w:bottom w:val="none" w:sz="0" w:space="0" w:color="auto"/>
                                                    <w:right w:val="none" w:sz="0" w:space="0" w:color="auto"/>
                                                  </w:divBdr>
                                                  <w:divsChild>
                                                    <w:div w:id="8893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885681">
      <w:bodyDiv w:val="1"/>
      <w:marLeft w:val="0"/>
      <w:marRight w:val="0"/>
      <w:marTop w:val="0"/>
      <w:marBottom w:val="0"/>
      <w:divBdr>
        <w:top w:val="none" w:sz="0" w:space="0" w:color="auto"/>
        <w:left w:val="none" w:sz="0" w:space="0" w:color="auto"/>
        <w:bottom w:val="none" w:sz="0" w:space="0" w:color="auto"/>
        <w:right w:val="none" w:sz="0" w:space="0" w:color="auto"/>
      </w:divBdr>
    </w:div>
    <w:div w:id="1051225196">
      <w:bodyDiv w:val="1"/>
      <w:marLeft w:val="0"/>
      <w:marRight w:val="0"/>
      <w:marTop w:val="0"/>
      <w:marBottom w:val="0"/>
      <w:divBdr>
        <w:top w:val="none" w:sz="0" w:space="0" w:color="auto"/>
        <w:left w:val="none" w:sz="0" w:space="0" w:color="auto"/>
        <w:bottom w:val="none" w:sz="0" w:space="0" w:color="auto"/>
        <w:right w:val="none" w:sz="0" w:space="0" w:color="auto"/>
      </w:divBdr>
    </w:div>
    <w:div w:id="1107844672">
      <w:bodyDiv w:val="1"/>
      <w:marLeft w:val="0"/>
      <w:marRight w:val="0"/>
      <w:marTop w:val="0"/>
      <w:marBottom w:val="0"/>
      <w:divBdr>
        <w:top w:val="none" w:sz="0" w:space="0" w:color="auto"/>
        <w:left w:val="none" w:sz="0" w:space="0" w:color="auto"/>
        <w:bottom w:val="none" w:sz="0" w:space="0" w:color="auto"/>
        <w:right w:val="none" w:sz="0" w:space="0" w:color="auto"/>
      </w:divBdr>
      <w:divsChild>
        <w:div w:id="223758192">
          <w:marLeft w:val="0"/>
          <w:marRight w:val="0"/>
          <w:marTop w:val="0"/>
          <w:marBottom w:val="0"/>
          <w:divBdr>
            <w:top w:val="none" w:sz="0" w:space="0" w:color="auto"/>
            <w:left w:val="none" w:sz="0" w:space="0" w:color="auto"/>
            <w:bottom w:val="none" w:sz="0" w:space="0" w:color="auto"/>
            <w:right w:val="none" w:sz="0" w:space="0" w:color="auto"/>
          </w:divBdr>
          <w:divsChild>
            <w:div w:id="1076240580">
              <w:marLeft w:val="0"/>
              <w:marRight w:val="0"/>
              <w:marTop w:val="0"/>
              <w:marBottom w:val="0"/>
              <w:divBdr>
                <w:top w:val="none" w:sz="0" w:space="0" w:color="auto"/>
                <w:left w:val="none" w:sz="0" w:space="0" w:color="auto"/>
                <w:bottom w:val="none" w:sz="0" w:space="0" w:color="auto"/>
                <w:right w:val="none" w:sz="0" w:space="0" w:color="auto"/>
              </w:divBdr>
              <w:divsChild>
                <w:div w:id="2097239384">
                  <w:marLeft w:val="0"/>
                  <w:marRight w:val="0"/>
                  <w:marTop w:val="0"/>
                  <w:marBottom w:val="0"/>
                  <w:divBdr>
                    <w:top w:val="none" w:sz="0" w:space="0" w:color="auto"/>
                    <w:left w:val="none" w:sz="0" w:space="0" w:color="auto"/>
                    <w:bottom w:val="none" w:sz="0" w:space="0" w:color="auto"/>
                    <w:right w:val="none" w:sz="0" w:space="0" w:color="auto"/>
                  </w:divBdr>
                  <w:divsChild>
                    <w:div w:id="965505278">
                      <w:marLeft w:val="0"/>
                      <w:marRight w:val="0"/>
                      <w:marTop w:val="0"/>
                      <w:marBottom w:val="0"/>
                      <w:divBdr>
                        <w:top w:val="none" w:sz="0" w:space="0" w:color="auto"/>
                        <w:left w:val="none" w:sz="0" w:space="0" w:color="auto"/>
                        <w:bottom w:val="none" w:sz="0" w:space="0" w:color="auto"/>
                        <w:right w:val="none" w:sz="0" w:space="0" w:color="auto"/>
                      </w:divBdr>
                      <w:divsChild>
                        <w:div w:id="411700830">
                          <w:marLeft w:val="0"/>
                          <w:marRight w:val="0"/>
                          <w:marTop w:val="0"/>
                          <w:marBottom w:val="0"/>
                          <w:divBdr>
                            <w:top w:val="none" w:sz="0" w:space="0" w:color="auto"/>
                            <w:left w:val="none" w:sz="0" w:space="0" w:color="auto"/>
                            <w:bottom w:val="none" w:sz="0" w:space="0" w:color="auto"/>
                            <w:right w:val="none" w:sz="0" w:space="0" w:color="auto"/>
                          </w:divBdr>
                          <w:divsChild>
                            <w:div w:id="1257861876">
                              <w:marLeft w:val="0"/>
                              <w:marRight w:val="0"/>
                              <w:marTop w:val="0"/>
                              <w:marBottom w:val="0"/>
                              <w:divBdr>
                                <w:top w:val="none" w:sz="0" w:space="0" w:color="auto"/>
                                <w:left w:val="none" w:sz="0" w:space="0" w:color="auto"/>
                                <w:bottom w:val="none" w:sz="0" w:space="0" w:color="auto"/>
                                <w:right w:val="none" w:sz="0" w:space="0" w:color="auto"/>
                              </w:divBdr>
                              <w:divsChild>
                                <w:div w:id="1293631344">
                                  <w:marLeft w:val="0"/>
                                  <w:marRight w:val="0"/>
                                  <w:marTop w:val="0"/>
                                  <w:marBottom w:val="0"/>
                                  <w:divBdr>
                                    <w:top w:val="none" w:sz="0" w:space="0" w:color="auto"/>
                                    <w:left w:val="none" w:sz="0" w:space="0" w:color="auto"/>
                                    <w:bottom w:val="none" w:sz="0" w:space="0" w:color="auto"/>
                                    <w:right w:val="none" w:sz="0" w:space="0" w:color="auto"/>
                                  </w:divBdr>
                                  <w:divsChild>
                                    <w:div w:id="144392435">
                                      <w:marLeft w:val="0"/>
                                      <w:marRight w:val="0"/>
                                      <w:marTop w:val="0"/>
                                      <w:marBottom w:val="75"/>
                                      <w:divBdr>
                                        <w:top w:val="none" w:sz="0" w:space="0" w:color="auto"/>
                                        <w:left w:val="none" w:sz="0" w:space="0" w:color="auto"/>
                                        <w:bottom w:val="none" w:sz="0" w:space="0" w:color="auto"/>
                                        <w:right w:val="none" w:sz="0" w:space="0" w:color="auto"/>
                                      </w:divBdr>
                                      <w:divsChild>
                                        <w:div w:id="1703941015">
                                          <w:marLeft w:val="0"/>
                                          <w:marRight w:val="0"/>
                                          <w:marTop w:val="0"/>
                                          <w:marBottom w:val="0"/>
                                          <w:divBdr>
                                            <w:top w:val="none" w:sz="0" w:space="0" w:color="auto"/>
                                            <w:left w:val="none" w:sz="0" w:space="0" w:color="auto"/>
                                            <w:bottom w:val="none" w:sz="0" w:space="0" w:color="auto"/>
                                            <w:right w:val="none" w:sz="0" w:space="0" w:color="auto"/>
                                          </w:divBdr>
                                          <w:divsChild>
                                            <w:div w:id="483811834">
                                              <w:marLeft w:val="0"/>
                                              <w:marRight w:val="0"/>
                                              <w:marTop w:val="0"/>
                                              <w:marBottom w:val="0"/>
                                              <w:divBdr>
                                                <w:top w:val="none" w:sz="0" w:space="0" w:color="auto"/>
                                                <w:left w:val="none" w:sz="0" w:space="0" w:color="auto"/>
                                                <w:bottom w:val="none" w:sz="0" w:space="0" w:color="auto"/>
                                                <w:right w:val="none" w:sz="0" w:space="0" w:color="auto"/>
                                              </w:divBdr>
                                              <w:divsChild>
                                                <w:div w:id="138419469">
                                                  <w:marLeft w:val="0"/>
                                                  <w:marRight w:val="0"/>
                                                  <w:marTop w:val="0"/>
                                                  <w:marBottom w:val="0"/>
                                                  <w:divBdr>
                                                    <w:top w:val="none" w:sz="0" w:space="0" w:color="auto"/>
                                                    <w:left w:val="none" w:sz="0" w:space="0" w:color="auto"/>
                                                    <w:bottom w:val="none" w:sz="0" w:space="0" w:color="auto"/>
                                                    <w:right w:val="none" w:sz="0" w:space="0" w:color="auto"/>
                                                  </w:divBdr>
                                                  <w:divsChild>
                                                    <w:div w:id="299578388">
                                                      <w:marLeft w:val="0"/>
                                                      <w:marRight w:val="0"/>
                                                      <w:marTop w:val="30"/>
                                                      <w:marBottom w:val="0"/>
                                                      <w:divBdr>
                                                        <w:top w:val="single" w:sz="6" w:space="4" w:color="C3C4BD"/>
                                                        <w:left w:val="single" w:sz="6" w:space="5" w:color="C3C4BD"/>
                                                        <w:bottom w:val="single" w:sz="6" w:space="4" w:color="C3C4BD"/>
                                                        <w:right w:val="single" w:sz="6" w:space="4" w:color="C3C4BD"/>
                                                      </w:divBdr>
                                                    </w:div>
                                                  </w:divsChild>
                                                </w:div>
                                              </w:divsChild>
                                            </w:div>
                                            <w:div w:id="482695554">
                                              <w:marLeft w:val="0"/>
                                              <w:marRight w:val="0"/>
                                              <w:marTop w:val="0"/>
                                              <w:marBottom w:val="0"/>
                                              <w:divBdr>
                                                <w:top w:val="none" w:sz="0" w:space="0" w:color="auto"/>
                                                <w:left w:val="none" w:sz="0" w:space="0" w:color="auto"/>
                                                <w:bottom w:val="none" w:sz="0" w:space="0" w:color="auto"/>
                                                <w:right w:val="none" w:sz="0" w:space="0" w:color="auto"/>
                                              </w:divBdr>
                                              <w:divsChild>
                                                <w:div w:id="1374621431">
                                                  <w:marLeft w:val="0"/>
                                                  <w:marRight w:val="0"/>
                                                  <w:marTop w:val="30"/>
                                                  <w:marBottom w:val="0"/>
                                                  <w:divBdr>
                                                    <w:top w:val="single" w:sz="6" w:space="4" w:color="C3C4BD"/>
                                                    <w:left w:val="single" w:sz="6" w:space="5" w:color="C3C4BD"/>
                                                    <w:bottom w:val="single" w:sz="6" w:space="4" w:color="C3C4BD"/>
                                                    <w:right w:val="single" w:sz="6" w:space="4" w:color="C3C4BD"/>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3b465d2e-2285-4975-a59d-f56ded1e7838" origin="userSelected">
  <element uid="id_classification_newvalue1" value=""/>
</sisl>
</file>

<file path=customXml/itemProps1.xml><?xml version="1.0" encoding="utf-8"?>
<ds:datastoreItem xmlns:ds="http://schemas.openxmlformats.org/officeDocument/2006/customXml" ds:itemID="{E43432AA-6850-4FC5-B4BF-1076081B7D2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5895</Words>
  <Characters>30951</Characters>
  <Application>Microsoft Office Word</Application>
  <DocSecurity>0</DocSecurity>
  <Lines>257</Lines>
  <Paragraphs>73</Paragraphs>
  <ScaleCrop>false</ScaleCrop>
  <HeadingPairs>
    <vt:vector size="2" baseType="variant">
      <vt:variant>
        <vt:lpstr>Titre</vt:lpstr>
      </vt:variant>
      <vt:variant>
        <vt:i4>1</vt:i4>
      </vt:variant>
    </vt:vector>
  </HeadingPairs>
  <TitlesOfParts>
    <vt:vector size="1" baseType="lpstr">
      <vt:lpstr>AMUNDI</vt:lpstr>
    </vt:vector>
  </TitlesOfParts>
  <Company>AMUNDI-ITS</Company>
  <LinksUpToDate>false</LinksUpToDate>
  <CharactersWithSpaces>36773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dc:title>
  <dc:creator>bompaire</dc:creator>
  <cp:keywords>Public</cp:keywords>
  <cp:lastModifiedBy>BONNET Valentine</cp:lastModifiedBy>
  <cp:revision>13</cp:revision>
  <cp:lastPrinted>2017-01-23T11:06:00Z</cp:lastPrinted>
  <dcterms:created xsi:type="dcterms:W3CDTF">2017-01-23T10:35:00Z</dcterms:created>
  <dcterms:modified xsi:type="dcterms:W3CDTF">2017-01-27T16:11:00Z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0100e8b4-85ce-4400-ac36-0e8c58b39cce</vt:lpwstr>
  </property>
  <property fmtid="{D5CDD505-2E9C-101B-9397-08002B2CF9AE}" pid="4" name="bjSaver">
    <vt:lpwstr>73oqkBckYGQ+7nNQytj8Vz+iqmzkc21b</vt:lpwstr>
  </property>
  <property fmtid="{D5CDD505-2E9C-101B-9397-08002B2CF9AE}" pid="5" name="bjDocumentLabelXML">
    <vt:lpwstr>&lt;?xml version="1.0" encoding="us-ascii"?&gt;&lt;sisl xmlns:xsi="http://www.w3.org/2001/XMLSchema-instance" xmlns:xsd="http://www.w3.org/2001/XMLSchema" sislVersion="0" policy="3b465d2e-2285-4975-a59d-f56ded1e7838" origin="userSelected" xmlns="http://www.boldonj</vt:lpwstr>
  </property>
  <property fmtid="{D5CDD505-2E9C-101B-9397-08002B2CF9AE}" pid="6" name="bjDocumentLabelXML-0">
    <vt:lpwstr>ames.com/2008/01/sie/internal/label"&gt;&lt;element uid="id_classification_newvalue1" value="" /&gt;&lt;/sisl&gt;</vt:lpwstr>
  </property>
  <property fmtid="{D5CDD505-2E9C-101B-9397-08002B2CF9AE}" pid="7" name="bjDocumentSecurityLabel">
    <vt:lpwstr>Public</vt:lpwstr>
  </property>
  <property fmtid="{D5CDD505-2E9C-101B-9397-08002B2CF9AE}" pid="8" name="AZI-Canary-Word">
    <vt:lpwstr>Public</vt:lpwstr>
  </property>
  <property fmtid="{D5CDD505-2E9C-101B-9397-08002B2CF9AE}" pid="9" name="bjFooterBothDocProperty">
    <vt:lpwstr>Public</vt:lpwstr>
  </property>
  <property fmtid="{D5CDD505-2E9C-101B-9397-08002B2CF9AE}" pid="10" name="bjFooterFirstPageDocProperty">
    <vt:lpwstr>Public</vt:lpwstr>
  </property>
  <property fmtid="{D5CDD505-2E9C-101B-9397-08002B2CF9AE}" pid="11" name="bjFooterEvenPageDocProperty">
    <vt:lpwstr>Public</vt:lpwstr>
  </property>
</Properties>
</file>