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18" w:rsidRDefault="009A1018" w:rsidP="00B53C91">
      <w:pPr>
        <w:autoSpaceDE w:val="0"/>
        <w:autoSpaceDN w:val="0"/>
        <w:jc w:val="both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1296338" cy="11398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G_QUADR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338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018" w:rsidRPr="007D0367" w:rsidRDefault="009A1018" w:rsidP="00B53C91">
      <w:pPr>
        <w:autoSpaceDE w:val="0"/>
        <w:autoSpaceDN w:val="0"/>
        <w:jc w:val="both"/>
        <w:rPr>
          <w:rFonts w:cstheme="minorHAnsi"/>
          <w:sz w:val="24"/>
          <w:szCs w:val="24"/>
          <w:lang w:val="en-US" w:eastAsia="fr-FR"/>
        </w:rPr>
      </w:pPr>
      <w:r w:rsidRPr="007D0367">
        <w:rPr>
          <w:rFonts w:cstheme="minorHAnsi"/>
          <w:sz w:val="24"/>
          <w:szCs w:val="24"/>
          <w:lang w:val="en-US" w:eastAsia="fr-FR"/>
        </w:rPr>
        <w:t>February, 2, 2017</w:t>
      </w:r>
    </w:p>
    <w:p w:rsidR="003E3C04" w:rsidRPr="007D0367" w:rsidRDefault="003E3C04" w:rsidP="00B53C91">
      <w:pPr>
        <w:autoSpaceDE w:val="0"/>
        <w:autoSpaceDN w:val="0"/>
        <w:jc w:val="both"/>
        <w:rPr>
          <w:rFonts w:cstheme="minorHAnsi"/>
          <w:sz w:val="24"/>
          <w:szCs w:val="24"/>
          <w:lang w:val="en-US" w:eastAsia="fr-FR"/>
        </w:rPr>
      </w:pPr>
    </w:p>
    <w:p w:rsidR="009A1018" w:rsidRPr="007D0367" w:rsidRDefault="009A1018" w:rsidP="00B53C91">
      <w:pPr>
        <w:autoSpaceDE w:val="0"/>
        <w:autoSpaceDN w:val="0"/>
        <w:jc w:val="both"/>
        <w:rPr>
          <w:rFonts w:cstheme="minorHAnsi"/>
          <w:sz w:val="24"/>
          <w:szCs w:val="24"/>
          <w:lang w:val="en-US" w:eastAsia="fr-FR"/>
        </w:rPr>
      </w:pPr>
    </w:p>
    <w:p w:rsidR="009A1018" w:rsidRPr="009A1018" w:rsidRDefault="009A1018" w:rsidP="009A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cstheme="minorHAnsi"/>
          <w:b/>
          <w:sz w:val="24"/>
          <w:szCs w:val="24"/>
          <w:lang w:val="en-US" w:eastAsia="fr-FR"/>
        </w:rPr>
      </w:pPr>
      <w:r w:rsidRPr="009A1018">
        <w:rPr>
          <w:rFonts w:cstheme="minorHAnsi"/>
          <w:b/>
          <w:sz w:val="24"/>
          <w:szCs w:val="24"/>
          <w:lang w:val="en-US" w:eastAsia="fr-FR"/>
        </w:rPr>
        <w:t xml:space="preserve">AFG’s response to the EBA discussion paper </w:t>
      </w:r>
    </w:p>
    <w:p w:rsidR="009A1018" w:rsidRPr="009A1018" w:rsidRDefault="009A1018" w:rsidP="009A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cstheme="minorHAnsi"/>
          <w:b/>
          <w:sz w:val="24"/>
          <w:szCs w:val="24"/>
          <w:lang w:val="en-US" w:eastAsia="fr-FR"/>
        </w:rPr>
      </w:pPr>
      <w:proofErr w:type="gramStart"/>
      <w:r w:rsidRPr="009A1018">
        <w:rPr>
          <w:rFonts w:cstheme="minorHAnsi"/>
          <w:b/>
          <w:sz w:val="24"/>
          <w:szCs w:val="24"/>
          <w:lang w:val="en-US" w:eastAsia="fr-FR"/>
        </w:rPr>
        <w:t>designing</w:t>
      </w:r>
      <w:proofErr w:type="gramEnd"/>
      <w:r w:rsidRPr="009A1018">
        <w:rPr>
          <w:rFonts w:cstheme="minorHAnsi"/>
          <w:b/>
          <w:sz w:val="24"/>
          <w:szCs w:val="24"/>
          <w:lang w:val="en-US" w:eastAsia="fr-FR"/>
        </w:rPr>
        <w:t xml:space="preserve"> a new prudential regime for investments firms </w:t>
      </w:r>
    </w:p>
    <w:p w:rsidR="009A1018" w:rsidRPr="009A1018" w:rsidRDefault="009A1018" w:rsidP="009A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cstheme="minorHAnsi"/>
          <w:b/>
          <w:sz w:val="24"/>
          <w:szCs w:val="24"/>
          <w:lang w:val="en-US" w:eastAsia="fr-FR"/>
        </w:rPr>
      </w:pPr>
      <w:r w:rsidRPr="009A1018">
        <w:rPr>
          <w:rFonts w:cstheme="minorHAnsi"/>
          <w:b/>
          <w:sz w:val="24"/>
          <w:szCs w:val="24"/>
          <w:lang w:val="en-US" w:eastAsia="fr-FR"/>
        </w:rPr>
        <w:t>(EBA/DP/2016/02)</w:t>
      </w:r>
    </w:p>
    <w:p w:rsidR="009A1018" w:rsidRPr="009A1018" w:rsidRDefault="009A1018" w:rsidP="00B53C91">
      <w:pPr>
        <w:autoSpaceDE w:val="0"/>
        <w:autoSpaceDN w:val="0"/>
        <w:jc w:val="both"/>
        <w:rPr>
          <w:rFonts w:cstheme="minorHAnsi"/>
          <w:sz w:val="24"/>
          <w:szCs w:val="24"/>
          <w:lang w:val="en-US" w:eastAsia="fr-FR"/>
        </w:rPr>
      </w:pPr>
    </w:p>
    <w:p w:rsidR="009A1018" w:rsidRPr="009A1018" w:rsidRDefault="009A1018" w:rsidP="00B53C91">
      <w:pPr>
        <w:autoSpaceDE w:val="0"/>
        <w:autoSpaceDN w:val="0"/>
        <w:jc w:val="both"/>
        <w:rPr>
          <w:rFonts w:cstheme="minorHAnsi"/>
          <w:sz w:val="24"/>
          <w:szCs w:val="24"/>
          <w:lang w:val="en-US" w:eastAsia="fr-FR"/>
        </w:rPr>
      </w:pPr>
    </w:p>
    <w:p w:rsidR="00CB2A4F" w:rsidRPr="009A1018" w:rsidRDefault="00CB2A4F" w:rsidP="009A1018">
      <w:pPr>
        <w:autoSpaceDE w:val="0"/>
        <w:autoSpaceDN w:val="0"/>
        <w:jc w:val="both"/>
        <w:rPr>
          <w:rFonts w:cstheme="minorHAnsi"/>
          <w:color w:val="1F497D"/>
          <w:sz w:val="24"/>
          <w:szCs w:val="24"/>
          <w:lang w:val="en-US"/>
        </w:rPr>
      </w:pPr>
      <w:r w:rsidRPr="007D0367">
        <w:rPr>
          <w:rFonts w:cstheme="minorHAnsi"/>
          <w:sz w:val="24"/>
          <w:szCs w:val="24"/>
          <w:lang w:val="en-US" w:eastAsia="fr-FR"/>
        </w:rPr>
        <w:t xml:space="preserve">The Association </w:t>
      </w:r>
      <w:proofErr w:type="spellStart"/>
      <w:r w:rsidRPr="007D0367">
        <w:rPr>
          <w:rFonts w:cstheme="minorHAnsi"/>
          <w:sz w:val="24"/>
          <w:szCs w:val="24"/>
          <w:lang w:val="en-US" w:eastAsia="fr-FR"/>
        </w:rPr>
        <w:t>Française</w:t>
      </w:r>
      <w:proofErr w:type="spellEnd"/>
      <w:r w:rsidRPr="007D0367">
        <w:rPr>
          <w:rFonts w:cstheme="minorHAnsi"/>
          <w:sz w:val="24"/>
          <w:szCs w:val="24"/>
          <w:lang w:val="en-US" w:eastAsia="fr-FR"/>
        </w:rPr>
        <w:t xml:space="preserve"> de la </w:t>
      </w:r>
      <w:proofErr w:type="spellStart"/>
      <w:r w:rsidRPr="007D0367">
        <w:rPr>
          <w:rFonts w:cstheme="minorHAnsi"/>
          <w:sz w:val="24"/>
          <w:szCs w:val="24"/>
          <w:lang w:val="en-US" w:eastAsia="fr-FR"/>
        </w:rPr>
        <w:t>Gestion</w:t>
      </w:r>
      <w:proofErr w:type="spellEnd"/>
      <w:r w:rsidRPr="007D0367">
        <w:rPr>
          <w:rFonts w:cstheme="minorHAnsi"/>
          <w:sz w:val="24"/>
          <w:szCs w:val="24"/>
          <w:lang w:val="en-US" w:eastAsia="fr-FR"/>
        </w:rPr>
        <w:t xml:space="preserve"> </w:t>
      </w:r>
      <w:proofErr w:type="spellStart"/>
      <w:r w:rsidRPr="007D0367">
        <w:rPr>
          <w:rFonts w:cstheme="minorHAnsi"/>
          <w:sz w:val="24"/>
          <w:szCs w:val="24"/>
          <w:lang w:val="en-US" w:eastAsia="fr-FR"/>
        </w:rPr>
        <w:t>Financière</w:t>
      </w:r>
      <w:proofErr w:type="spellEnd"/>
      <w:r w:rsidRPr="007D0367">
        <w:rPr>
          <w:rFonts w:cstheme="minorHAnsi"/>
          <w:sz w:val="24"/>
          <w:szCs w:val="24"/>
          <w:lang w:val="en-US" w:eastAsia="fr-FR"/>
        </w:rPr>
        <w:t xml:space="preserve"> (French Asset Management Association - AFG) represents and promotes the interests of third-party portfolio management professionals. </w:t>
      </w:r>
      <w:r w:rsidRPr="009A1018">
        <w:rPr>
          <w:rFonts w:cstheme="minorHAnsi"/>
          <w:sz w:val="24"/>
          <w:szCs w:val="24"/>
          <w:lang w:val="en-US" w:eastAsia="fr-FR"/>
        </w:rPr>
        <w:t>It brings together all asset management players from the discretionary and collective portfolio management segments. These companies manage more than €3.6 billion in assets, including €1.7 billion in French funds and €1.9 billion in discretionary portfolios and foreign funds.</w:t>
      </w:r>
    </w:p>
    <w:p w:rsidR="00CB2A4F" w:rsidRPr="009A1018" w:rsidRDefault="00CB2A4F" w:rsidP="009A1018">
      <w:pPr>
        <w:jc w:val="both"/>
        <w:rPr>
          <w:rFonts w:cstheme="minorHAnsi"/>
          <w:sz w:val="24"/>
          <w:szCs w:val="24"/>
          <w:lang w:val="en-US"/>
        </w:rPr>
      </w:pPr>
    </w:p>
    <w:p w:rsidR="00CB2A4F" w:rsidRPr="009A1018" w:rsidRDefault="00CB2A4F" w:rsidP="009A1018">
      <w:pPr>
        <w:jc w:val="both"/>
        <w:rPr>
          <w:rFonts w:cstheme="minorHAnsi"/>
          <w:sz w:val="24"/>
          <w:szCs w:val="24"/>
          <w:lang w:val="en-US"/>
        </w:rPr>
      </w:pPr>
      <w:r w:rsidRPr="009A1018">
        <w:rPr>
          <w:rFonts w:cstheme="minorHAnsi"/>
          <w:sz w:val="24"/>
          <w:szCs w:val="24"/>
          <w:lang w:val="en-US"/>
        </w:rPr>
        <w:t xml:space="preserve">AFG welcomes the opportunity to respond to the EBA on its proposal for a new prudential regime for investment firms. </w:t>
      </w:r>
    </w:p>
    <w:p w:rsidR="00204210" w:rsidRPr="009A1018" w:rsidRDefault="00204210" w:rsidP="009A1018">
      <w:pPr>
        <w:jc w:val="both"/>
        <w:rPr>
          <w:rFonts w:cstheme="minorHAnsi"/>
          <w:sz w:val="24"/>
          <w:szCs w:val="24"/>
          <w:lang w:val="en-US"/>
        </w:rPr>
      </w:pPr>
      <w:r w:rsidRPr="009A1018">
        <w:rPr>
          <w:rFonts w:cstheme="minorHAnsi"/>
          <w:sz w:val="24"/>
          <w:szCs w:val="24"/>
          <w:lang w:val="en-US"/>
        </w:rPr>
        <w:t xml:space="preserve">We recognize that </w:t>
      </w:r>
      <w:r w:rsidR="00CC4129" w:rsidRPr="009A1018">
        <w:rPr>
          <w:rFonts w:cstheme="minorHAnsi"/>
          <w:sz w:val="24"/>
          <w:szCs w:val="24"/>
          <w:lang w:val="en-US"/>
        </w:rPr>
        <w:t>securities, banking and insurance regulators are justified in periodically reassessing the risks within the financial industry</w:t>
      </w:r>
      <w:r w:rsidR="002C0F50" w:rsidRPr="009A1018">
        <w:rPr>
          <w:rFonts w:cstheme="minorHAnsi"/>
          <w:sz w:val="24"/>
          <w:szCs w:val="24"/>
          <w:lang w:val="en-US"/>
        </w:rPr>
        <w:t>, an industry</w:t>
      </w:r>
      <w:r w:rsidR="00CC4129" w:rsidRPr="009A1018">
        <w:rPr>
          <w:rFonts w:cstheme="minorHAnsi"/>
          <w:sz w:val="24"/>
          <w:szCs w:val="24"/>
          <w:lang w:val="en-US"/>
        </w:rPr>
        <w:t xml:space="preserve"> in which asset managers play a significant role. Therefore, the French asset management industry supported the introduction of the AIFM directive on the ground that there should be no part of the industry escaping from a specific regulation as well as a proper supervision.</w:t>
      </w:r>
    </w:p>
    <w:p w:rsidR="001859E6" w:rsidRPr="009A1018" w:rsidRDefault="001859E6" w:rsidP="009A1018">
      <w:pPr>
        <w:jc w:val="both"/>
        <w:rPr>
          <w:sz w:val="24"/>
          <w:szCs w:val="24"/>
          <w:lang w:val="en-US"/>
        </w:rPr>
      </w:pPr>
    </w:p>
    <w:p w:rsidR="001859E6" w:rsidRPr="009A1018" w:rsidRDefault="001859E6" w:rsidP="009A1018">
      <w:pPr>
        <w:jc w:val="both"/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>As you may know:</w:t>
      </w:r>
    </w:p>
    <w:p w:rsidR="001859E6" w:rsidRPr="009A1018" w:rsidRDefault="001859E6" w:rsidP="009A1018">
      <w:pPr>
        <w:jc w:val="both"/>
        <w:rPr>
          <w:sz w:val="24"/>
          <w:szCs w:val="24"/>
          <w:lang w:val="en-US"/>
        </w:rPr>
      </w:pPr>
    </w:p>
    <w:p w:rsidR="001859E6" w:rsidRPr="009A1018" w:rsidRDefault="001859E6" w:rsidP="009A1018">
      <w:pPr>
        <w:pStyle w:val="Paragraphedeliste"/>
        <w:numPr>
          <w:ilvl w:val="0"/>
          <w:numId w:val="2"/>
        </w:numPr>
        <w:rPr>
          <w:sz w:val="24"/>
          <w:szCs w:val="24"/>
          <w:lang w:val="en-US"/>
        </w:rPr>
      </w:pPr>
      <w:r w:rsidRPr="009A1018">
        <w:rPr>
          <w:b/>
          <w:sz w:val="24"/>
          <w:szCs w:val="24"/>
          <w:lang w:val="en-US"/>
        </w:rPr>
        <w:t>The activity of portfolio management on behalf of third-party clients broadly falls under three different EU legal regimes</w:t>
      </w:r>
      <w:r w:rsidRPr="009A1018">
        <w:rPr>
          <w:sz w:val="24"/>
          <w:szCs w:val="24"/>
          <w:lang w:val="en-US"/>
        </w:rPr>
        <w:t xml:space="preserve">: </w:t>
      </w:r>
    </w:p>
    <w:p w:rsidR="001859E6" w:rsidRPr="009A1018" w:rsidRDefault="001859E6" w:rsidP="009A1018">
      <w:pPr>
        <w:pStyle w:val="Paragraphedeliste"/>
        <w:rPr>
          <w:sz w:val="24"/>
          <w:szCs w:val="24"/>
          <w:lang w:val="en-US"/>
        </w:rPr>
      </w:pPr>
    </w:p>
    <w:p w:rsidR="001859E6" w:rsidRPr="009A1018" w:rsidRDefault="001859E6" w:rsidP="009A101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A1018">
        <w:rPr>
          <w:sz w:val="24"/>
          <w:szCs w:val="24"/>
        </w:rPr>
        <w:t>Collective portfolio management performed by a UCITS management and/or investment company, authorised under and complying with the UCITS Directive,</w:t>
      </w:r>
    </w:p>
    <w:p w:rsidR="001859E6" w:rsidRPr="009A1018" w:rsidRDefault="001859E6" w:rsidP="009A101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A1018">
        <w:rPr>
          <w:sz w:val="24"/>
          <w:szCs w:val="24"/>
        </w:rPr>
        <w:t>Collective portfolio management performed by an alternative investment management company, authorised under and complying with the AIFM Directive, and</w:t>
      </w:r>
    </w:p>
    <w:p w:rsidR="00F26BAF" w:rsidRPr="009A1018" w:rsidRDefault="00F26BAF" w:rsidP="009A1018">
      <w:pPr>
        <w:pStyle w:val="Paragraphedeliste"/>
        <w:rPr>
          <w:i/>
          <w:sz w:val="24"/>
          <w:szCs w:val="24"/>
        </w:rPr>
      </w:pPr>
      <w:r w:rsidRPr="009A1018">
        <w:rPr>
          <w:i/>
          <w:sz w:val="24"/>
          <w:szCs w:val="24"/>
        </w:rPr>
        <w:t>Both UCITS and AIFM directives allow management companies to undertake individual portfolio management on a discretionary basis (“MIFID add-on services”).</w:t>
      </w:r>
    </w:p>
    <w:p w:rsidR="001859E6" w:rsidRPr="009A1018" w:rsidRDefault="001859E6" w:rsidP="009A101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A1018">
        <w:rPr>
          <w:sz w:val="24"/>
          <w:szCs w:val="24"/>
        </w:rPr>
        <w:t xml:space="preserve">Individual discretionary portfolio management performed by investment firms on a client-by-client basis, authorised under and complying with the Markets in Financial Instruments Directive, as per Annex I Section A, point 4 (as recently amended by </w:t>
      </w:r>
      <w:proofErr w:type="spellStart"/>
      <w:r w:rsidRPr="009A1018">
        <w:rPr>
          <w:sz w:val="24"/>
          <w:szCs w:val="24"/>
        </w:rPr>
        <w:t>MiFID</w:t>
      </w:r>
      <w:proofErr w:type="spellEnd"/>
      <w:r w:rsidRPr="009A1018">
        <w:rPr>
          <w:sz w:val="24"/>
          <w:szCs w:val="24"/>
        </w:rPr>
        <w:t xml:space="preserve"> II).</w:t>
      </w:r>
    </w:p>
    <w:p w:rsidR="009A1018" w:rsidRDefault="009A10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1859E6" w:rsidRPr="009A1018" w:rsidRDefault="001859E6" w:rsidP="007D0367">
      <w:pPr>
        <w:ind w:left="708"/>
        <w:jc w:val="both"/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lastRenderedPageBreak/>
        <w:t>Capital requirements fort UCITS/AIF management companies are comprehensively reg</w:t>
      </w:r>
      <w:r w:rsidR="00F26BAF" w:rsidRPr="009A1018">
        <w:rPr>
          <w:sz w:val="24"/>
          <w:szCs w:val="24"/>
          <w:lang w:val="en-US"/>
        </w:rPr>
        <w:t>ulated by these directives</w:t>
      </w:r>
      <w:r w:rsidR="00C02A8B" w:rsidRPr="009A1018">
        <w:rPr>
          <w:sz w:val="24"/>
          <w:szCs w:val="24"/>
          <w:lang w:val="en-US"/>
        </w:rPr>
        <w:t xml:space="preserve"> (see point 3 below)</w:t>
      </w:r>
      <w:r w:rsidR="00F26BAF" w:rsidRPr="009A1018">
        <w:rPr>
          <w:sz w:val="24"/>
          <w:szCs w:val="24"/>
          <w:lang w:val="en-US"/>
        </w:rPr>
        <w:t xml:space="preserve">, taking into consideration MIFID add-on services. </w:t>
      </w:r>
      <w:r w:rsidR="00C85B9A" w:rsidRPr="009A1018">
        <w:rPr>
          <w:sz w:val="24"/>
          <w:szCs w:val="24"/>
          <w:lang w:val="en-US"/>
        </w:rPr>
        <w:t xml:space="preserve">We would therefore recommend any change to be entrusted to the supervision of ESMA. </w:t>
      </w:r>
    </w:p>
    <w:p w:rsidR="00F26BAF" w:rsidRPr="009A1018" w:rsidRDefault="00F26BAF" w:rsidP="009A1018">
      <w:pPr>
        <w:ind w:left="360"/>
        <w:jc w:val="both"/>
        <w:rPr>
          <w:sz w:val="24"/>
          <w:szCs w:val="24"/>
          <w:lang w:val="en-US"/>
        </w:rPr>
      </w:pPr>
    </w:p>
    <w:p w:rsidR="00CB2A4F" w:rsidRPr="009A1018" w:rsidRDefault="00CB2A4F" w:rsidP="009A1018">
      <w:pPr>
        <w:jc w:val="both"/>
        <w:rPr>
          <w:rFonts w:cstheme="minorHAnsi"/>
          <w:sz w:val="24"/>
          <w:szCs w:val="24"/>
          <w:lang w:val="en-US"/>
        </w:rPr>
      </w:pPr>
    </w:p>
    <w:p w:rsidR="007D0367" w:rsidRDefault="001859E6" w:rsidP="009A1018">
      <w:pPr>
        <w:pStyle w:val="Paragraphedeliste"/>
        <w:numPr>
          <w:ilvl w:val="0"/>
          <w:numId w:val="2"/>
        </w:numPr>
        <w:rPr>
          <w:sz w:val="24"/>
          <w:szCs w:val="24"/>
          <w:lang w:val="en-US"/>
        </w:rPr>
      </w:pPr>
      <w:r w:rsidRPr="009A1018">
        <w:rPr>
          <w:b/>
          <w:sz w:val="24"/>
          <w:szCs w:val="24"/>
          <w:lang w:val="en-US"/>
        </w:rPr>
        <w:t>Asset managers</w:t>
      </w:r>
      <w:r w:rsidR="00C85B9A" w:rsidRPr="009A1018">
        <w:rPr>
          <w:b/>
          <w:sz w:val="24"/>
          <w:szCs w:val="24"/>
          <w:lang w:val="en-US"/>
        </w:rPr>
        <w:t xml:space="preserve">, regardless of their regime, </w:t>
      </w:r>
      <w:r w:rsidRPr="009A1018">
        <w:rPr>
          <w:b/>
          <w:sz w:val="24"/>
          <w:szCs w:val="24"/>
          <w:lang w:val="en-US"/>
        </w:rPr>
        <w:t>do not hold clients assets on their own balance shee</w:t>
      </w:r>
      <w:r w:rsidR="00E3041C" w:rsidRPr="009A1018">
        <w:rPr>
          <w:b/>
          <w:sz w:val="24"/>
          <w:szCs w:val="24"/>
          <w:lang w:val="en-US"/>
        </w:rPr>
        <w:t>t</w:t>
      </w:r>
      <w:r w:rsidR="00EB19D7" w:rsidRPr="009A1018">
        <w:rPr>
          <w:rStyle w:val="Appelnotedebasdep"/>
          <w:b/>
          <w:sz w:val="24"/>
          <w:szCs w:val="24"/>
          <w:lang w:val="en-US"/>
        </w:rPr>
        <w:footnoteReference w:id="1"/>
      </w:r>
      <w:r w:rsidRPr="009A1018">
        <w:rPr>
          <w:b/>
          <w:sz w:val="24"/>
          <w:szCs w:val="24"/>
          <w:lang w:val="en-US"/>
        </w:rPr>
        <w:t xml:space="preserve"> : </w:t>
      </w:r>
      <w:r w:rsidRPr="009A1018">
        <w:rPr>
          <w:sz w:val="24"/>
          <w:szCs w:val="24"/>
          <w:lang w:val="en-US"/>
        </w:rPr>
        <w:t xml:space="preserve"> </w:t>
      </w:r>
    </w:p>
    <w:p w:rsidR="007D0367" w:rsidRDefault="007D0367" w:rsidP="007D0367">
      <w:pPr>
        <w:pStyle w:val="Paragraphedeliste"/>
        <w:rPr>
          <w:sz w:val="24"/>
          <w:szCs w:val="24"/>
          <w:lang w:val="en-US"/>
        </w:rPr>
      </w:pPr>
    </w:p>
    <w:p w:rsidR="00EF79C6" w:rsidRPr="009A1018" w:rsidRDefault="00011C10" w:rsidP="007D0367">
      <w:pPr>
        <w:pStyle w:val="Paragraphedeliste"/>
        <w:rPr>
          <w:sz w:val="24"/>
          <w:szCs w:val="24"/>
          <w:lang w:val="en-US"/>
        </w:rPr>
      </w:pPr>
      <w:proofErr w:type="gramStart"/>
      <w:r w:rsidRPr="009A1018">
        <w:rPr>
          <w:sz w:val="24"/>
          <w:szCs w:val="24"/>
          <w:lang w:val="en-US"/>
        </w:rPr>
        <w:t>Clients</w:t>
      </w:r>
      <w:proofErr w:type="gramEnd"/>
      <w:r w:rsidRPr="009A1018">
        <w:rPr>
          <w:sz w:val="24"/>
          <w:szCs w:val="24"/>
          <w:lang w:val="en-US"/>
        </w:rPr>
        <w:t xml:space="preserve"> assets are </w:t>
      </w:r>
      <w:r w:rsidR="007D0367">
        <w:rPr>
          <w:sz w:val="24"/>
          <w:szCs w:val="24"/>
          <w:lang w:val="en-US"/>
        </w:rPr>
        <w:t xml:space="preserve">always </w:t>
      </w:r>
      <w:r w:rsidRPr="009A1018">
        <w:rPr>
          <w:sz w:val="24"/>
          <w:szCs w:val="24"/>
          <w:lang w:val="en-US"/>
        </w:rPr>
        <w:t>segregated</w:t>
      </w:r>
      <w:r w:rsidR="00B53C91" w:rsidRPr="009A1018">
        <w:rPr>
          <w:sz w:val="24"/>
          <w:szCs w:val="24"/>
          <w:lang w:val="en-US"/>
        </w:rPr>
        <w:t xml:space="preserve"> and held in custody with a</w:t>
      </w:r>
      <w:r w:rsidR="007D0367">
        <w:rPr>
          <w:sz w:val="24"/>
          <w:szCs w:val="24"/>
          <w:lang w:val="en-US"/>
        </w:rPr>
        <w:t xml:space="preserve">n eligible </w:t>
      </w:r>
      <w:r w:rsidR="00B53C91" w:rsidRPr="009A1018">
        <w:rPr>
          <w:sz w:val="24"/>
          <w:szCs w:val="24"/>
          <w:lang w:val="en-US"/>
        </w:rPr>
        <w:t>depositary institution in the name of the funds or of the client.</w:t>
      </w:r>
      <w:r w:rsidRPr="009A1018">
        <w:rPr>
          <w:sz w:val="24"/>
          <w:szCs w:val="24"/>
          <w:lang w:val="en-US"/>
        </w:rPr>
        <w:t xml:space="preserve"> Asset managers </w:t>
      </w:r>
      <w:r w:rsidR="001859E6" w:rsidRPr="009A1018">
        <w:rPr>
          <w:sz w:val="24"/>
          <w:szCs w:val="24"/>
          <w:lang w:val="en-US"/>
        </w:rPr>
        <w:t>act as agent for the client investors who entrust them with their money. They are paid a fee by investors who take all the market risks, including credit, counterparty and liquidity risks.</w:t>
      </w:r>
      <w:r w:rsidR="00EF79C6" w:rsidRPr="009A1018">
        <w:rPr>
          <w:sz w:val="24"/>
          <w:szCs w:val="24"/>
          <w:lang w:val="en-US"/>
        </w:rPr>
        <w:t xml:space="preserve"> </w:t>
      </w:r>
      <w:r w:rsidRPr="009A1018">
        <w:rPr>
          <w:sz w:val="24"/>
          <w:szCs w:val="24"/>
          <w:lang w:val="en-US"/>
        </w:rPr>
        <w:t>As a consequence, Asset managers exclusively managing assets on behalf of third-parties (hence not “bank-like</w:t>
      </w:r>
      <w:r w:rsidR="002C0F50" w:rsidRPr="009A1018">
        <w:rPr>
          <w:sz w:val="24"/>
          <w:szCs w:val="24"/>
          <w:lang w:val="en-US"/>
        </w:rPr>
        <w:t xml:space="preserve">”) cannot be systemic in a </w:t>
      </w:r>
      <w:proofErr w:type="spellStart"/>
      <w:r w:rsidR="002C0F50" w:rsidRPr="009A1018">
        <w:rPr>
          <w:sz w:val="24"/>
          <w:szCs w:val="24"/>
          <w:lang w:val="en-US"/>
        </w:rPr>
        <w:t>bak</w:t>
      </w:r>
      <w:proofErr w:type="spellEnd"/>
      <w:r w:rsidR="002C0F50" w:rsidRPr="009A1018">
        <w:rPr>
          <w:sz w:val="24"/>
          <w:szCs w:val="24"/>
          <w:lang w:val="en-US"/>
        </w:rPr>
        <w:t xml:space="preserve"> or insurance-like way. </w:t>
      </w:r>
    </w:p>
    <w:p w:rsidR="00CB2A4F" w:rsidRPr="009A1018" w:rsidRDefault="00011C10" w:rsidP="009A1018">
      <w:pPr>
        <w:pStyle w:val="Paragraphedeliste"/>
        <w:rPr>
          <w:sz w:val="24"/>
          <w:szCs w:val="24"/>
          <w:lang w:val="en-US"/>
        </w:rPr>
      </w:pPr>
      <w:r w:rsidRPr="009A1018">
        <w:rPr>
          <w:b/>
          <w:sz w:val="24"/>
          <w:szCs w:val="24"/>
          <w:lang w:val="en-US"/>
        </w:rPr>
        <w:t>Therefore</w:t>
      </w:r>
      <w:r w:rsidR="00EF79C6" w:rsidRPr="009A1018">
        <w:rPr>
          <w:b/>
          <w:sz w:val="24"/>
          <w:szCs w:val="24"/>
          <w:lang w:val="en-US"/>
        </w:rPr>
        <w:t xml:space="preserve">, asset managers only </w:t>
      </w:r>
      <w:r w:rsidR="008256B0" w:rsidRPr="009A1018">
        <w:rPr>
          <w:b/>
          <w:sz w:val="24"/>
          <w:szCs w:val="24"/>
          <w:lang w:val="en-US"/>
        </w:rPr>
        <w:t xml:space="preserve">have </w:t>
      </w:r>
      <w:r w:rsidR="00EF79C6" w:rsidRPr="009A1018">
        <w:rPr>
          <w:b/>
          <w:sz w:val="24"/>
          <w:szCs w:val="24"/>
          <w:lang w:val="en-US"/>
        </w:rPr>
        <w:t>operational risks</w:t>
      </w:r>
      <w:r w:rsidRPr="009A1018">
        <w:rPr>
          <w:sz w:val="24"/>
          <w:szCs w:val="24"/>
          <w:lang w:val="en-US"/>
        </w:rPr>
        <w:t>, market risks being</w:t>
      </w:r>
      <w:r w:rsidR="00EF79C6" w:rsidRPr="009A1018">
        <w:rPr>
          <w:sz w:val="24"/>
          <w:szCs w:val="24"/>
          <w:lang w:val="en-US"/>
        </w:rPr>
        <w:t xml:space="preserve"> borne by investors: a</w:t>
      </w:r>
      <w:r w:rsidR="001859E6" w:rsidRPr="009A1018">
        <w:rPr>
          <w:sz w:val="24"/>
          <w:szCs w:val="24"/>
          <w:lang w:val="en-US"/>
        </w:rPr>
        <w:t>sset managers have to manage operational risk</w:t>
      </w:r>
      <w:r w:rsidR="008256B0" w:rsidRPr="009A1018">
        <w:rPr>
          <w:sz w:val="24"/>
          <w:szCs w:val="24"/>
          <w:lang w:val="en-US"/>
        </w:rPr>
        <w:t>s</w:t>
      </w:r>
      <w:r w:rsidR="001859E6" w:rsidRPr="009A1018">
        <w:rPr>
          <w:sz w:val="24"/>
          <w:szCs w:val="24"/>
          <w:lang w:val="en-US"/>
        </w:rPr>
        <w:t xml:space="preserve"> thanks to an appropriate organization and adequate human and technical means</w:t>
      </w:r>
      <w:r w:rsidR="00EF79C6" w:rsidRPr="009A1018">
        <w:rPr>
          <w:sz w:val="24"/>
          <w:szCs w:val="24"/>
          <w:lang w:val="en-US"/>
        </w:rPr>
        <w:t xml:space="preserve">. </w:t>
      </w:r>
    </w:p>
    <w:p w:rsidR="00E3041C" w:rsidRPr="009A1018" w:rsidRDefault="00E3041C" w:rsidP="009A1018">
      <w:pPr>
        <w:pStyle w:val="Paragraphedeliste"/>
        <w:rPr>
          <w:sz w:val="24"/>
          <w:szCs w:val="24"/>
          <w:lang w:val="en-US"/>
        </w:rPr>
      </w:pPr>
    </w:p>
    <w:p w:rsidR="00E3041C" w:rsidRPr="009A1018" w:rsidRDefault="00E3041C" w:rsidP="009A1018">
      <w:pPr>
        <w:pStyle w:val="Paragraphedeliste"/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>It should be noted that:</w:t>
      </w:r>
    </w:p>
    <w:p w:rsidR="00E3041C" w:rsidRPr="009A1018" w:rsidRDefault="00E3041C" w:rsidP="009A1018">
      <w:pPr>
        <w:pStyle w:val="Paragraphedeliste"/>
        <w:numPr>
          <w:ilvl w:val="1"/>
          <w:numId w:val="3"/>
        </w:numPr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 xml:space="preserve">Asset managers cannot grant a guarantee </w:t>
      </w:r>
      <w:r w:rsidR="00DA1653" w:rsidRPr="009A1018">
        <w:rPr>
          <w:sz w:val="24"/>
          <w:szCs w:val="24"/>
          <w:lang w:val="en-US"/>
        </w:rPr>
        <w:t>to</w:t>
      </w:r>
      <w:r w:rsidRPr="009A1018">
        <w:rPr>
          <w:sz w:val="24"/>
          <w:szCs w:val="24"/>
          <w:lang w:val="en-US"/>
        </w:rPr>
        <w:t xml:space="preserve"> a fund or to an investor</w:t>
      </w:r>
      <w:proofErr w:type="gramStart"/>
      <w:r w:rsidRPr="009A1018">
        <w:rPr>
          <w:sz w:val="24"/>
          <w:szCs w:val="24"/>
          <w:lang w:val="en-US"/>
        </w:rPr>
        <w:t>.,</w:t>
      </w:r>
      <w:proofErr w:type="gramEnd"/>
    </w:p>
    <w:p w:rsidR="001B0FF6" w:rsidRPr="009A1018" w:rsidRDefault="001B0FF6" w:rsidP="009A1018">
      <w:pPr>
        <w:pStyle w:val="Paragraphedeliste"/>
        <w:numPr>
          <w:ilvl w:val="1"/>
          <w:numId w:val="3"/>
        </w:numPr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>Asset managers collect information about each client in order to assess the suitability of a given instrument for that client (“suitability requirements”).</w:t>
      </w:r>
    </w:p>
    <w:p w:rsidR="001B0FF6" w:rsidRPr="009A1018" w:rsidRDefault="001B0FF6" w:rsidP="009A1018">
      <w:pPr>
        <w:pStyle w:val="Paragraphedeliste"/>
        <w:numPr>
          <w:ilvl w:val="1"/>
          <w:numId w:val="3"/>
        </w:numPr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 xml:space="preserve">Asset managers </w:t>
      </w:r>
      <w:r w:rsidR="00CB07D1" w:rsidRPr="009A1018">
        <w:rPr>
          <w:sz w:val="24"/>
          <w:szCs w:val="24"/>
          <w:lang w:val="en-US"/>
        </w:rPr>
        <w:t>shall ensure that investors benefit from a clear information that is not misleading and give a fair and prominent indication of any relevant risks</w:t>
      </w:r>
    </w:p>
    <w:p w:rsidR="00DA1653" w:rsidRPr="009A1018" w:rsidRDefault="00DA1653" w:rsidP="009A1018">
      <w:pPr>
        <w:ind w:left="720"/>
        <w:jc w:val="both"/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>Therefore, potential losses to clients corresponding to the depreciation in value of their invested portfolio would definitely not merit a corresponding capital charge for the investment firm managing it in the absence of any guarantee or agreement to repay the actual amount of any initial investment</w:t>
      </w:r>
    </w:p>
    <w:p w:rsidR="00E3041C" w:rsidRPr="009A1018" w:rsidRDefault="00E3041C" w:rsidP="009A1018">
      <w:pPr>
        <w:pStyle w:val="Paragraphedeliste"/>
        <w:ind w:left="1080"/>
        <w:rPr>
          <w:sz w:val="24"/>
          <w:szCs w:val="24"/>
          <w:lang w:val="en-US"/>
        </w:rPr>
      </w:pPr>
    </w:p>
    <w:p w:rsidR="00DC2747" w:rsidRPr="009A1018" w:rsidRDefault="00DC2747" w:rsidP="009A1018">
      <w:pPr>
        <w:pStyle w:val="Paragraphedeliste"/>
        <w:rPr>
          <w:sz w:val="24"/>
          <w:szCs w:val="24"/>
          <w:lang w:val="en-US"/>
        </w:rPr>
      </w:pPr>
    </w:p>
    <w:p w:rsidR="00DC2747" w:rsidRPr="009A1018" w:rsidRDefault="00DC2747" w:rsidP="009A1018">
      <w:pPr>
        <w:pStyle w:val="Paragraphedeliste"/>
        <w:numPr>
          <w:ilvl w:val="0"/>
          <w:numId w:val="2"/>
        </w:numPr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 xml:space="preserve">Currently, the </w:t>
      </w:r>
      <w:r w:rsidRPr="009A1018">
        <w:rPr>
          <w:b/>
          <w:sz w:val="24"/>
          <w:szCs w:val="24"/>
          <w:lang w:val="en-US"/>
        </w:rPr>
        <w:t>minimum capital requirement is as follows</w:t>
      </w:r>
      <w:r w:rsidRPr="009A1018">
        <w:rPr>
          <w:sz w:val="24"/>
          <w:szCs w:val="24"/>
          <w:lang w:val="en-US"/>
        </w:rPr>
        <w:t xml:space="preserve"> :</w:t>
      </w:r>
    </w:p>
    <w:p w:rsidR="00C27052" w:rsidRPr="009A1018" w:rsidRDefault="00C27052" w:rsidP="009A1018">
      <w:pPr>
        <w:ind w:left="708"/>
        <w:jc w:val="both"/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 xml:space="preserve">The minimum capital requirement is the higher </w:t>
      </w:r>
      <w:r w:rsidR="00AC532F" w:rsidRPr="009A1018">
        <w:rPr>
          <w:sz w:val="24"/>
          <w:szCs w:val="24"/>
          <w:lang w:val="en-US"/>
        </w:rPr>
        <w:t>of:</w:t>
      </w:r>
    </w:p>
    <w:p w:rsidR="00C27052" w:rsidRPr="009A1018" w:rsidRDefault="00C27052" w:rsidP="009A1018">
      <w:pPr>
        <w:pStyle w:val="Paragraphedeliste"/>
        <w:numPr>
          <w:ilvl w:val="1"/>
          <w:numId w:val="3"/>
        </w:numPr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>The initial capital requirement plus the additional amount (see below) and</w:t>
      </w:r>
    </w:p>
    <w:p w:rsidR="00C27052" w:rsidRPr="009A1018" w:rsidRDefault="00C27052" w:rsidP="009A1018">
      <w:pPr>
        <w:pStyle w:val="Paragraphedeliste"/>
        <w:numPr>
          <w:ilvl w:val="1"/>
          <w:numId w:val="3"/>
        </w:numPr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>The expenditure requirement</w:t>
      </w:r>
      <w:r w:rsidR="00F62585" w:rsidRPr="009A1018">
        <w:rPr>
          <w:sz w:val="24"/>
          <w:szCs w:val="24"/>
          <w:lang w:val="en-US"/>
        </w:rPr>
        <w:t xml:space="preserve"> :</w:t>
      </w:r>
    </w:p>
    <w:p w:rsidR="00F62585" w:rsidRPr="009A1018" w:rsidRDefault="00F62585" w:rsidP="009A1018">
      <w:pPr>
        <w:pStyle w:val="Paragraphedeliste"/>
        <w:ind w:left="1080"/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 xml:space="preserve">As </w:t>
      </w:r>
      <w:proofErr w:type="gramStart"/>
      <w:r w:rsidRPr="009A1018">
        <w:rPr>
          <w:sz w:val="24"/>
          <w:szCs w:val="24"/>
          <w:lang w:val="en-US"/>
        </w:rPr>
        <w:t>follows :</w:t>
      </w:r>
      <w:proofErr w:type="gramEnd"/>
      <w:r w:rsidRPr="009A1018">
        <w:rPr>
          <w:sz w:val="24"/>
          <w:szCs w:val="24"/>
          <w:lang w:val="en-US"/>
        </w:rPr>
        <w:t xml:space="preserve"> </w:t>
      </w:r>
    </w:p>
    <w:p w:rsidR="00F62585" w:rsidRPr="009A1018" w:rsidRDefault="00F62585" w:rsidP="009A1018">
      <w:pPr>
        <w:pStyle w:val="Paragraphedeliste"/>
        <w:numPr>
          <w:ilvl w:val="0"/>
          <w:numId w:val="4"/>
        </w:numPr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 xml:space="preserve">The </w:t>
      </w:r>
      <w:r w:rsidRPr="009A1018">
        <w:rPr>
          <w:sz w:val="24"/>
          <w:szCs w:val="24"/>
          <w:u w:val="single"/>
          <w:lang w:val="en-US"/>
        </w:rPr>
        <w:t>initial capital requirement</w:t>
      </w:r>
      <w:r w:rsidRPr="009A1018">
        <w:rPr>
          <w:sz w:val="24"/>
          <w:szCs w:val="24"/>
          <w:lang w:val="en-US"/>
        </w:rPr>
        <w:t xml:space="preserve"> amounts to 125,000 €. When the net assets under management exceed M€ 250, there is </w:t>
      </w:r>
      <w:r w:rsidRPr="009A1018">
        <w:rPr>
          <w:sz w:val="24"/>
          <w:szCs w:val="24"/>
          <w:u w:val="single"/>
          <w:lang w:val="en-US"/>
        </w:rPr>
        <w:t>an additional amount of capital</w:t>
      </w:r>
      <w:r w:rsidRPr="009A1018">
        <w:rPr>
          <w:sz w:val="24"/>
          <w:szCs w:val="24"/>
          <w:lang w:val="en-US"/>
        </w:rPr>
        <w:t xml:space="preserve"> </w:t>
      </w:r>
      <w:r w:rsidRPr="009A1018">
        <w:rPr>
          <w:sz w:val="24"/>
          <w:szCs w:val="24"/>
          <w:lang w:val="en-US"/>
        </w:rPr>
        <w:lastRenderedPageBreak/>
        <w:t xml:space="preserve">equal to 0.02% of the net asset value exceeding M€ 250. Total capital is capped to M€ 10; </w:t>
      </w:r>
    </w:p>
    <w:p w:rsidR="00F62585" w:rsidRPr="009A1018" w:rsidRDefault="00F62585" w:rsidP="009A1018">
      <w:pPr>
        <w:pStyle w:val="Paragraphedeliste"/>
        <w:numPr>
          <w:ilvl w:val="0"/>
          <w:numId w:val="4"/>
        </w:numPr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>The expenditure requirement is equal to one quarter of the management company’s</w:t>
      </w:r>
      <w:r w:rsidR="00C85B9A" w:rsidRPr="009A1018">
        <w:rPr>
          <w:sz w:val="24"/>
          <w:szCs w:val="24"/>
          <w:lang w:val="en-US"/>
        </w:rPr>
        <w:t xml:space="preserve"> annual </w:t>
      </w:r>
      <w:r w:rsidRPr="009A1018">
        <w:rPr>
          <w:sz w:val="24"/>
          <w:szCs w:val="24"/>
          <w:lang w:val="en-US"/>
        </w:rPr>
        <w:t xml:space="preserve">total expenditure. </w:t>
      </w:r>
      <w:r w:rsidR="00B53C91" w:rsidRPr="009A1018">
        <w:rPr>
          <w:sz w:val="24"/>
          <w:szCs w:val="24"/>
          <w:lang w:val="en-US"/>
        </w:rPr>
        <w:t xml:space="preserve">This provision has been designed to ensure that </w:t>
      </w:r>
      <w:r w:rsidR="00FF212A" w:rsidRPr="009A1018">
        <w:rPr>
          <w:sz w:val="24"/>
          <w:szCs w:val="24"/>
          <w:lang w:val="en-US"/>
        </w:rPr>
        <w:t>a</w:t>
      </w:r>
      <w:r w:rsidR="00B53C91" w:rsidRPr="009A1018">
        <w:rPr>
          <w:sz w:val="24"/>
          <w:szCs w:val="24"/>
          <w:lang w:val="en-US"/>
        </w:rPr>
        <w:t xml:space="preserve"> management </w:t>
      </w:r>
      <w:r w:rsidR="00FF212A" w:rsidRPr="009A1018">
        <w:rPr>
          <w:sz w:val="24"/>
          <w:szCs w:val="24"/>
          <w:lang w:val="en-US"/>
        </w:rPr>
        <w:t>company facing financial difficulties will have sufficient time to pursue its business and transfer the client’s assets to another management company.</w:t>
      </w:r>
    </w:p>
    <w:p w:rsidR="00204210" w:rsidRPr="009A1018" w:rsidRDefault="00204210" w:rsidP="009A1018">
      <w:pPr>
        <w:pStyle w:val="Paragraphedeliste"/>
        <w:ind w:left="1440"/>
        <w:rPr>
          <w:sz w:val="24"/>
          <w:szCs w:val="24"/>
          <w:lang w:val="en-US"/>
        </w:rPr>
      </w:pPr>
    </w:p>
    <w:p w:rsidR="00BA4A2D" w:rsidRPr="009A1018" w:rsidRDefault="00BA4A2D" w:rsidP="009A1018">
      <w:pPr>
        <w:pStyle w:val="Paragraphedeliste"/>
        <w:numPr>
          <w:ilvl w:val="1"/>
          <w:numId w:val="3"/>
        </w:numPr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 xml:space="preserve">Moreover, </w:t>
      </w:r>
      <w:r w:rsidR="00907DF0" w:rsidRPr="009A1018">
        <w:rPr>
          <w:sz w:val="24"/>
          <w:szCs w:val="24"/>
          <w:lang w:val="en-US"/>
        </w:rPr>
        <w:t>A</w:t>
      </w:r>
      <w:r w:rsidRPr="009A1018">
        <w:rPr>
          <w:sz w:val="24"/>
          <w:szCs w:val="24"/>
          <w:lang w:val="en-US"/>
        </w:rPr>
        <w:t>lternative Investment Fund Manager</w:t>
      </w:r>
      <w:r w:rsidR="00907DF0" w:rsidRPr="009A1018">
        <w:rPr>
          <w:sz w:val="24"/>
          <w:szCs w:val="24"/>
          <w:lang w:val="en-US"/>
        </w:rPr>
        <w:t>s</w:t>
      </w:r>
      <w:r w:rsidRPr="009A1018">
        <w:rPr>
          <w:sz w:val="24"/>
          <w:szCs w:val="24"/>
          <w:lang w:val="en-US"/>
        </w:rPr>
        <w:t xml:space="preserve"> have an additional capital requirement to cover potential liability risks arising from professional negligence, equal to a minimum of 0.01% of the value of the portfolio of AIFs under management. </w:t>
      </w:r>
    </w:p>
    <w:p w:rsidR="003031C0" w:rsidRPr="009A1018" w:rsidRDefault="00BA4A2D" w:rsidP="009A1018">
      <w:pPr>
        <w:pStyle w:val="Paragraphedeliste"/>
        <w:ind w:left="1440"/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>Alternatively, this risk may be covered by a professional insurance contract.</w:t>
      </w:r>
    </w:p>
    <w:p w:rsidR="00EB19D7" w:rsidRPr="009A1018" w:rsidRDefault="00EB19D7" w:rsidP="009A1018">
      <w:pPr>
        <w:ind w:left="708"/>
        <w:jc w:val="both"/>
        <w:rPr>
          <w:sz w:val="24"/>
          <w:szCs w:val="24"/>
          <w:lang w:val="en-US"/>
        </w:rPr>
      </w:pPr>
      <w:r w:rsidRPr="009A1018">
        <w:rPr>
          <w:sz w:val="24"/>
          <w:szCs w:val="24"/>
          <w:lang w:val="en-US"/>
        </w:rPr>
        <w:t>It should be noted that th</w:t>
      </w:r>
      <w:r w:rsidR="00761BEE" w:rsidRPr="009A1018">
        <w:rPr>
          <w:sz w:val="24"/>
          <w:szCs w:val="24"/>
          <w:lang w:val="en-US"/>
        </w:rPr>
        <w:t xml:space="preserve">e above mentioned minimum capital requirement </w:t>
      </w:r>
      <w:r w:rsidRPr="009A1018">
        <w:rPr>
          <w:sz w:val="24"/>
          <w:szCs w:val="24"/>
          <w:lang w:val="en-US"/>
        </w:rPr>
        <w:t xml:space="preserve">does not apply to management companies who are part of a banking or insurance group and are therefore prudentially consolidated within their parent company. </w:t>
      </w:r>
    </w:p>
    <w:p w:rsidR="00EB19D7" w:rsidRPr="009A1018" w:rsidRDefault="00EB19D7" w:rsidP="009A1018">
      <w:pPr>
        <w:ind w:left="708"/>
        <w:jc w:val="both"/>
        <w:rPr>
          <w:sz w:val="24"/>
          <w:szCs w:val="24"/>
          <w:lang w:val="en-US"/>
        </w:rPr>
      </w:pPr>
    </w:p>
    <w:p w:rsidR="009A1018" w:rsidRDefault="009A1018" w:rsidP="009A1018">
      <w:pPr>
        <w:ind w:left="360"/>
        <w:jc w:val="both"/>
        <w:rPr>
          <w:b/>
          <w:sz w:val="24"/>
          <w:szCs w:val="24"/>
          <w:lang w:val="en-US"/>
        </w:rPr>
      </w:pPr>
    </w:p>
    <w:p w:rsidR="009A1018" w:rsidRDefault="009A1018" w:rsidP="009A1018">
      <w:pPr>
        <w:ind w:left="360"/>
        <w:jc w:val="both"/>
        <w:rPr>
          <w:b/>
          <w:sz w:val="24"/>
          <w:szCs w:val="24"/>
          <w:lang w:val="en-US"/>
        </w:rPr>
      </w:pPr>
    </w:p>
    <w:p w:rsidR="00EB19D7" w:rsidRPr="009A1018" w:rsidRDefault="00EB19D7" w:rsidP="009A1018">
      <w:pPr>
        <w:ind w:left="360"/>
        <w:jc w:val="both"/>
        <w:rPr>
          <w:b/>
          <w:sz w:val="24"/>
          <w:szCs w:val="24"/>
          <w:lang w:val="en-US"/>
        </w:rPr>
      </w:pPr>
      <w:r w:rsidRPr="009A1018">
        <w:rPr>
          <w:b/>
          <w:sz w:val="24"/>
          <w:szCs w:val="24"/>
          <w:lang w:val="en-US"/>
        </w:rPr>
        <w:t xml:space="preserve">Therefore, we consider that the scope of the discussion paper should be limited to firms providing individual portfolio management </w:t>
      </w:r>
      <w:r w:rsidR="00204210" w:rsidRPr="009A1018">
        <w:rPr>
          <w:b/>
          <w:sz w:val="24"/>
          <w:szCs w:val="24"/>
          <w:lang w:val="en-US"/>
        </w:rPr>
        <w:t>as</w:t>
      </w:r>
      <w:r w:rsidRPr="009A1018">
        <w:rPr>
          <w:b/>
          <w:sz w:val="24"/>
          <w:szCs w:val="24"/>
          <w:lang w:val="en-US"/>
        </w:rPr>
        <w:t xml:space="preserve"> a core service under a MIFID license presently falling within the p</w:t>
      </w:r>
      <w:r w:rsidR="00204210" w:rsidRPr="009A1018">
        <w:rPr>
          <w:b/>
          <w:sz w:val="24"/>
          <w:szCs w:val="24"/>
          <w:lang w:val="en-US"/>
        </w:rPr>
        <w:t xml:space="preserve">rudential treatment of CRD/CRR and that, in any case, the specificity of asset management as a non-balance-sheet business must be fully taken into account. </w:t>
      </w:r>
    </w:p>
    <w:p w:rsidR="00761BEE" w:rsidRPr="009A1018" w:rsidRDefault="00761BEE" w:rsidP="009A1018">
      <w:pPr>
        <w:ind w:left="360"/>
        <w:jc w:val="both"/>
        <w:rPr>
          <w:b/>
          <w:sz w:val="24"/>
          <w:szCs w:val="24"/>
          <w:lang w:val="en-US"/>
        </w:rPr>
      </w:pPr>
    </w:p>
    <w:p w:rsidR="00761BEE" w:rsidRPr="009A1018" w:rsidRDefault="00761BEE" w:rsidP="009A1018">
      <w:pPr>
        <w:ind w:left="360"/>
        <w:jc w:val="both"/>
        <w:rPr>
          <w:b/>
          <w:sz w:val="24"/>
          <w:szCs w:val="24"/>
          <w:lang w:val="en-US"/>
        </w:rPr>
      </w:pPr>
    </w:p>
    <w:p w:rsidR="00761BEE" w:rsidRPr="009A1018" w:rsidRDefault="00761BEE" w:rsidP="009A1018">
      <w:pPr>
        <w:ind w:left="360"/>
        <w:jc w:val="both"/>
        <w:rPr>
          <w:b/>
          <w:sz w:val="24"/>
          <w:szCs w:val="24"/>
          <w:lang w:val="en-US"/>
        </w:rPr>
      </w:pPr>
    </w:p>
    <w:p w:rsidR="00500DFB" w:rsidRDefault="007D0367" w:rsidP="007D0367">
      <w:pPr>
        <w:ind w:left="360"/>
        <w:jc w:val="both"/>
        <w:rPr>
          <w:sz w:val="24"/>
          <w:szCs w:val="24"/>
          <w:lang w:val="en-US"/>
        </w:rPr>
      </w:pPr>
      <w:r w:rsidRPr="007D0367">
        <w:rPr>
          <w:sz w:val="24"/>
          <w:szCs w:val="24"/>
          <w:u w:val="single"/>
          <w:lang w:val="en-US"/>
        </w:rPr>
        <w:t>Contacts at AFG</w:t>
      </w:r>
      <w:r>
        <w:rPr>
          <w:sz w:val="24"/>
          <w:szCs w:val="24"/>
          <w:lang w:val="en-US"/>
        </w:rPr>
        <w:t>:</w:t>
      </w:r>
    </w:p>
    <w:p w:rsidR="007D0367" w:rsidRDefault="007D0367" w:rsidP="007D0367">
      <w:pPr>
        <w:ind w:left="360"/>
        <w:jc w:val="both"/>
        <w:rPr>
          <w:sz w:val="24"/>
          <w:szCs w:val="24"/>
          <w:lang w:val="en-US"/>
        </w:rPr>
      </w:pPr>
      <w:hyperlink r:id="rId10" w:history="1">
        <w:r w:rsidRPr="00FB447B">
          <w:rPr>
            <w:rStyle w:val="Lienhypertexte"/>
            <w:sz w:val="24"/>
            <w:szCs w:val="24"/>
            <w:lang w:val="en-US"/>
          </w:rPr>
          <w:t>J.abisset@afg.asso.fr</w:t>
        </w:r>
      </w:hyperlink>
    </w:p>
    <w:p w:rsidR="007D0367" w:rsidRDefault="007D0367" w:rsidP="007D0367">
      <w:pPr>
        <w:ind w:left="360"/>
        <w:jc w:val="both"/>
        <w:rPr>
          <w:sz w:val="24"/>
          <w:szCs w:val="24"/>
          <w:lang w:val="en-US"/>
        </w:rPr>
      </w:pPr>
      <w:hyperlink r:id="rId11" w:history="1">
        <w:r w:rsidRPr="00FB447B">
          <w:rPr>
            <w:rStyle w:val="Lienhypertexte"/>
            <w:sz w:val="24"/>
            <w:szCs w:val="24"/>
            <w:lang w:val="en-US"/>
          </w:rPr>
          <w:t>D.charles-peronne@afg.asso.fr</w:t>
        </w:r>
      </w:hyperlink>
      <w:bookmarkStart w:id="0" w:name="_GoBack"/>
      <w:bookmarkEnd w:id="0"/>
    </w:p>
    <w:p w:rsidR="007D0367" w:rsidRDefault="007D0367" w:rsidP="007D0367">
      <w:pPr>
        <w:ind w:left="360"/>
        <w:jc w:val="both"/>
        <w:rPr>
          <w:sz w:val="24"/>
          <w:szCs w:val="24"/>
          <w:lang w:val="en-US"/>
        </w:rPr>
      </w:pPr>
      <w:hyperlink r:id="rId12" w:history="1">
        <w:r w:rsidRPr="00FB447B">
          <w:rPr>
            <w:rStyle w:val="Lienhypertexte"/>
            <w:sz w:val="24"/>
            <w:szCs w:val="24"/>
            <w:lang w:val="en-US"/>
          </w:rPr>
          <w:t>E.pagniez@afg.asso.fr</w:t>
        </w:r>
      </w:hyperlink>
    </w:p>
    <w:p w:rsidR="007D0367" w:rsidRDefault="007D0367" w:rsidP="007D0367">
      <w:pPr>
        <w:ind w:left="360"/>
        <w:jc w:val="both"/>
        <w:rPr>
          <w:sz w:val="24"/>
          <w:szCs w:val="24"/>
          <w:lang w:val="en-US"/>
        </w:rPr>
      </w:pPr>
    </w:p>
    <w:p w:rsidR="007D0367" w:rsidRDefault="007D0367" w:rsidP="007D0367">
      <w:pPr>
        <w:ind w:left="360"/>
        <w:jc w:val="both"/>
        <w:rPr>
          <w:sz w:val="24"/>
          <w:szCs w:val="24"/>
          <w:lang w:val="en-US"/>
        </w:rPr>
      </w:pPr>
    </w:p>
    <w:p w:rsidR="007D0367" w:rsidRPr="009A1018" w:rsidRDefault="007D0367" w:rsidP="007D0367">
      <w:pPr>
        <w:ind w:left="360"/>
        <w:jc w:val="both"/>
        <w:rPr>
          <w:sz w:val="24"/>
          <w:szCs w:val="24"/>
          <w:lang w:val="en-US"/>
        </w:rPr>
      </w:pPr>
    </w:p>
    <w:sectPr w:rsidR="007D0367" w:rsidRPr="009A1018" w:rsidSect="009A101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BC" w:rsidRDefault="00F241BC" w:rsidP="00CB2A4F">
      <w:r>
        <w:separator/>
      </w:r>
    </w:p>
  </w:endnote>
  <w:endnote w:type="continuationSeparator" w:id="0">
    <w:p w:rsidR="00F241BC" w:rsidRDefault="00F241BC" w:rsidP="00CB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BC" w:rsidRDefault="00F241BC" w:rsidP="00CB2A4F">
      <w:r>
        <w:separator/>
      </w:r>
    </w:p>
  </w:footnote>
  <w:footnote w:type="continuationSeparator" w:id="0">
    <w:p w:rsidR="00F241BC" w:rsidRDefault="00F241BC" w:rsidP="00CB2A4F">
      <w:r>
        <w:continuationSeparator/>
      </w:r>
    </w:p>
  </w:footnote>
  <w:footnote w:id="1">
    <w:p w:rsidR="00EB19D7" w:rsidRDefault="00EB19D7" w:rsidP="00C85B9A">
      <w:pPr>
        <w:ind w:left="708"/>
        <w:jc w:val="both"/>
        <w:rPr>
          <w:sz w:val="24"/>
          <w:szCs w:val="24"/>
          <w:lang w:val="en-US"/>
        </w:rPr>
      </w:pPr>
      <w:r>
        <w:rPr>
          <w:rStyle w:val="Appelnotedebasdep"/>
        </w:rPr>
        <w:footnoteRef/>
      </w:r>
      <w:r w:rsidRPr="00EB19D7">
        <w:rPr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It should be noted that, in very specific circumstances, asset management companies may have to hold financial assets on their balance sheet. The holding may be temporary (i.e. seed capital) or </w:t>
      </w:r>
      <w:r w:rsidR="00C85B9A">
        <w:rPr>
          <w:sz w:val="24"/>
          <w:szCs w:val="24"/>
          <w:lang w:val="en-US"/>
        </w:rPr>
        <w:t xml:space="preserve">required by regulation </w:t>
      </w:r>
      <w:r>
        <w:rPr>
          <w:sz w:val="24"/>
          <w:szCs w:val="24"/>
          <w:lang w:val="en-US"/>
        </w:rPr>
        <w:t xml:space="preserve">(i.e. retention requirement).  </w:t>
      </w:r>
      <w:r w:rsidR="00C85B9A">
        <w:rPr>
          <w:sz w:val="24"/>
          <w:szCs w:val="24"/>
          <w:lang w:val="en-US"/>
        </w:rPr>
        <w:t xml:space="preserve">However, those are included into the scope of the current capital requirements. </w:t>
      </w:r>
    </w:p>
    <w:p w:rsidR="00EB19D7" w:rsidRPr="00EB19D7" w:rsidRDefault="00EB19D7">
      <w:pPr>
        <w:pStyle w:val="Notedebasdepage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E32"/>
    <w:multiLevelType w:val="hybridMultilevel"/>
    <w:tmpl w:val="0C1834E2"/>
    <w:lvl w:ilvl="0" w:tplc="AE64C5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D5C"/>
    <w:multiLevelType w:val="hybridMultilevel"/>
    <w:tmpl w:val="C6EAA774"/>
    <w:lvl w:ilvl="0" w:tplc="E21A84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7D597C"/>
    <w:multiLevelType w:val="hybridMultilevel"/>
    <w:tmpl w:val="6916E080"/>
    <w:lvl w:ilvl="0" w:tplc="FBEAF3C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441BA2"/>
    <w:multiLevelType w:val="hybridMultilevel"/>
    <w:tmpl w:val="87A41B76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30EE3"/>
    <w:multiLevelType w:val="hybridMultilevel"/>
    <w:tmpl w:val="5934998A"/>
    <w:lvl w:ilvl="0" w:tplc="E33E5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4F"/>
    <w:rsid w:val="00011C10"/>
    <w:rsid w:val="000E583B"/>
    <w:rsid w:val="001859E6"/>
    <w:rsid w:val="001B0FF6"/>
    <w:rsid w:val="00204210"/>
    <w:rsid w:val="002C0F50"/>
    <w:rsid w:val="003031C0"/>
    <w:rsid w:val="003E3C04"/>
    <w:rsid w:val="004E3B0D"/>
    <w:rsid w:val="00500DFB"/>
    <w:rsid w:val="00522A1A"/>
    <w:rsid w:val="005C02B4"/>
    <w:rsid w:val="00691166"/>
    <w:rsid w:val="006B6A40"/>
    <w:rsid w:val="00757362"/>
    <w:rsid w:val="00761BEE"/>
    <w:rsid w:val="007D0367"/>
    <w:rsid w:val="007D0732"/>
    <w:rsid w:val="008256B0"/>
    <w:rsid w:val="00907DF0"/>
    <w:rsid w:val="009A1018"/>
    <w:rsid w:val="00AC532F"/>
    <w:rsid w:val="00B53C91"/>
    <w:rsid w:val="00BA4A2D"/>
    <w:rsid w:val="00BD7ED3"/>
    <w:rsid w:val="00C02A8B"/>
    <w:rsid w:val="00C27052"/>
    <w:rsid w:val="00C85B9A"/>
    <w:rsid w:val="00CB07D1"/>
    <w:rsid w:val="00CB2A4F"/>
    <w:rsid w:val="00CC4129"/>
    <w:rsid w:val="00DA1653"/>
    <w:rsid w:val="00DC2747"/>
    <w:rsid w:val="00E2590B"/>
    <w:rsid w:val="00E3041C"/>
    <w:rsid w:val="00EB19D7"/>
    <w:rsid w:val="00EF79C6"/>
    <w:rsid w:val="00F241BC"/>
    <w:rsid w:val="00F26BAF"/>
    <w:rsid w:val="00F426BF"/>
    <w:rsid w:val="00F62585"/>
    <w:rsid w:val="00FF212A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2A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2A4F"/>
  </w:style>
  <w:style w:type="paragraph" w:styleId="Pieddepage">
    <w:name w:val="footer"/>
    <w:basedOn w:val="Normal"/>
    <w:link w:val="PieddepageCar"/>
    <w:uiPriority w:val="99"/>
    <w:unhideWhenUsed/>
    <w:rsid w:val="00CB2A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2A4F"/>
  </w:style>
  <w:style w:type="paragraph" w:styleId="Paragraphedeliste">
    <w:name w:val="List Paragraph"/>
    <w:basedOn w:val="Normal"/>
    <w:uiPriority w:val="34"/>
    <w:qFormat/>
    <w:rsid w:val="001859E6"/>
    <w:pPr>
      <w:spacing w:after="160" w:line="259" w:lineRule="auto"/>
      <w:ind w:left="720"/>
      <w:contextualSpacing/>
      <w:jc w:val="both"/>
    </w:pPr>
    <w:rPr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19D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19D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B19D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1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12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D0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2A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2A4F"/>
  </w:style>
  <w:style w:type="paragraph" w:styleId="Pieddepage">
    <w:name w:val="footer"/>
    <w:basedOn w:val="Normal"/>
    <w:link w:val="PieddepageCar"/>
    <w:uiPriority w:val="99"/>
    <w:unhideWhenUsed/>
    <w:rsid w:val="00CB2A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2A4F"/>
  </w:style>
  <w:style w:type="paragraph" w:styleId="Paragraphedeliste">
    <w:name w:val="List Paragraph"/>
    <w:basedOn w:val="Normal"/>
    <w:uiPriority w:val="34"/>
    <w:qFormat/>
    <w:rsid w:val="001859E6"/>
    <w:pPr>
      <w:spacing w:after="160" w:line="259" w:lineRule="auto"/>
      <w:ind w:left="720"/>
      <w:contextualSpacing/>
      <w:jc w:val="both"/>
    </w:pPr>
    <w:rPr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19D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19D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B19D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1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12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D0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.pagniez@afg.ass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.charles-peronne@afg.asso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.abisset@afg.asso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71D1-7A66-4503-B97B-8F3034F2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CHARLES-PERONNE Delphine</dc:creator>
  <cp:lastModifiedBy>CHARLES-PERONNE Delphine</cp:lastModifiedBy>
  <cp:revision>2</cp:revision>
  <cp:lastPrinted>2017-02-02T11:18:00Z</cp:lastPrinted>
  <dcterms:created xsi:type="dcterms:W3CDTF">2017-02-02T12:47:00Z</dcterms:created>
  <dcterms:modified xsi:type="dcterms:W3CDTF">2017-02-02T12:47:00Z</dcterms:modified>
</cp:coreProperties>
</file>