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9DEEC" w14:textId="77777777" w:rsidR="00CD2170" w:rsidRPr="00CD2170" w:rsidRDefault="00CD2170" w:rsidP="00CD2170">
      <w:pPr>
        <w:suppressAutoHyphens/>
        <w:spacing w:after="120" w:line="240" w:lineRule="auto"/>
        <w:ind w:right="4773"/>
        <w:jc w:val="both"/>
        <w:rPr>
          <w:rFonts w:ascii="Verdana" w:eastAsia="Century Gothic" w:hAnsi="Verdana" w:cs="Times New Roman"/>
          <w:color w:val="2D659A"/>
          <w:sz w:val="20"/>
          <w:szCs w:val="24"/>
        </w:rPr>
      </w:pPr>
      <w:bookmarkStart w:id="0" w:name="_GoBack"/>
      <w:bookmarkEnd w:id="0"/>
    </w:p>
    <w:p w14:paraId="64A474BE" w14:textId="77777777" w:rsidR="00CD2170" w:rsidRPr="00CD2170" w:rsidRDefault="00CD2170" w:rsidP="00CD2170">
      <w:pPr>
        <w:suppressAutoHyphens/>
        <w:spacing w:after="0" w:line="240" w:lineRule="auto"/>
        <w:rPr>
          <w:rFonts w:ascii="Verdana" w:eastAsia="Century Gothic" w:hAnsi="Verdana" w:cs="Times New Roman"/>
          <w:color w:val="2D659A"/>
          <w:sz w:val="18"/>
          <w:szCs w:val="18"/>
        </w:rPr>
      </w:pPr>
    </w:p>
    <w:tbl>
      <w:tblPr>
        <w:tblStyle w:val="GridTable1Light"/>
        <w:tblW w:w="0" w:type="auto"/>
        <w:tblLook w:val="04A0" w:firstRow="1" w:lastRow="0" w:firstColumn="1" w:lastColumn="0" w:noHBand="0" w:noVBand="1"/>
      </w:tblPr>
      <w:tblGrid>
        <w:gridCol w:w="4649"/>
        <w:gridCol w:w="4649"/>
        <w:gridCol w:w="4650"/>
      </w:tblGrid>
      <w:tr w:rsidR="00E21A54" w14:paraId="5BD2302A" w14:textId="77777777" w:rsidTr="00D83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3A5072C8" w14:textId="1F5AA4CB" w:rsidR="00E21A54" w:rsidRDefault="00E21A54" w:rsidP="00E21A54">
            <w:pPr>
              <w:suppressAutoHyphens/>
              <w:spacing w:after="120"/>
              <w:jc w:val="center"/>
              <w:rPr>
                <w:rFonts w:ascii="Verdana" w:eastAsia="Century Gothic" w:hAnsi="Verdana" w:cs="Times New Roman"/>
                <w:color w:val="2D659A"/>
                <w:sz w:val="20"/>
                <w:szCs w:val="24"/>
              </w:rPr>
            </w:pPr>
            <w:r>
              <w:rPr>
                <w:rFonts w:ascii="Verdana" w:eastAsia="Century Gothic" w:hAnsi="Verdana" w:cs="Times New Roman"/>
                <w:color w:val="2D659A"/>
                <w:sz w:val="20"/>
                <w:szCs w:val="24"/>
              </w:rPr>
              <w:t>GLs Section - Article - Paragraph</w:t>
            </w:r>
          </w:p>
        </w:tc>
        <w:tc>
          <w:tcPr>
            <w:tcW w:w="4649" w:type="dxa"/>
          </w:tcPr>
          <w:p w14:paraId="3B503D78" w14:textId="419AF9AB" w:rsidR="00E21A54" w:rsidRDefault="00E21A54" w:rsidP="00E21A54">
            <w:pPr>
              <w:suppressAutoHyphens/>
              <w:spacing w:after="120"/>
              <w:jc w:val="center"/>
              <w:cnfStyle w:val="100000000000" w:firstRow="1"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Proposal for amendment</w:t>
            </w:r>
          </w:p>
        </w:tc>
        <w:tc>
          <w:tcPr>
            <w:tcW w:w="4650" w:type="dxa"/>
          </w:tcPr>
          <w:p w14:paraId="10530421" w14:textId="06C33398" w:rsidR="00E21A54" w:rsidRDefault="00E21A54" w:rsidP="00E21A54">
            <w:pPr>
              <w:suppressAutoHyphens/>
              <w:spacing w:after="120"/>
              <w:jc w:val="center"/>
              <w:cnfStyle w:val="100000000000" w:firstRow="1"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Justification</w:t>
            </w:r>
          </w:p>
        </w:tc>
      </w:tr>
      <w:tr w:rsidR="00EF157E" w14:paraId="2B081DD7"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07DA8B24" w14:textId="48E347EF" w:rsidR="00EF157E" w:rsidRDefault="00EF157E" w:rsidP="00CD2170">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Subject Matter, Scope and Definition</w:t>
            </w:r>
          </w:p>
        </w:tc>
        <w:tc>
          <w:tcPr>
            <w:tcW w:w="4649" w:type="dxa"/>
          </w:tcPr>
          <w:p w14:paraId="6618A231" w14:textId="77777777" w:rsidR="00EF157E" w:rsidRDefault="00EF157E" w:rsidP="00CD2170">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c>
          <w:tcPr>
            <w:tcW w:w="4650" w:type="dxa"/>
          </w:tcPr>
          <w:p w14:paraId="5A1321E4" w14:textId="77777777" w:rsidR="00EF157E" w:rsidRDefault="00EF157E" w:rsidP="009D49B3">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65EDB57A"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06AB02A6" w14:textId="10A9105C"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6. </w:t>
            </w:r>
          </w:p>
        </w:tc>
        <w:tc>
          <w:tcPr>
            <w:tcW w:w="4649" w:type="dxa"/>
          </w:tcPr>
          <w:p w14:paraId="69914529" w14:textId="09E7C43D"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sidRPr="00064517">
              <w:rPr>
                <w:rFonts w:ascii="Verdana" w:eastAsia="Century Gothic" w:hAnsi="Verdana" w:cs="Times New Roman"/>
                <w:color w:val="2D659A"/>
                <w:sz w:val="20"/>
                <w:szCs w:val="24"/>
              </w:rPr>
              <w:t xml:space="preserve">The “CYBER RESILIENCE OVERSIGHT EXPECTATIONS (CROE) FOR FINANCIAL MARKET INFRASTRUCTURE” issued by ECB shall also be taken into consideration for alignment of controls. </w:t>
            </w:r>
          </w:p>
        </w:tc>
        <w:tc>
          <w:tcPr>
            <w:tcW w:w="4650" w:type="dxa"/>
          </w:tcPr>
          <w:p w14:paraId="05173234" w14:textId="77777777"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0CBD836A"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13AC2089" w14:textId="11CF260B"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10</w:t>
            </w:r>
          </w:p>
        </w:tc>
        <w:tc>
          <w:tcPr>
            <w:tcW w:w="4649" w:type="dxa"/>
          </w:tcPr>
          <w:p w14:paraId="4D68EC54" w14:textId="4F6DFAD4"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Remove th</w:t>
            </w:r>
            <w:r w:rsidR="00A207B7">
              <w:rPr>
                <w:rFonts w:ascii="Verdana" w:eastAsia="Century Gothic" w:hAnsi="Verdana" w:cs="Times New Roman"/>
                <w:color w:val="2D659A"/>
                <w:sz w:val="20"/>
                <w:szCs w:val="24"/>
              </w:rPr>
              <w:t>e</w:t>
            </w:r>
            <w:r w:rsidR="00950FBA">
              <w:rPr>
                <w:rFonts w:ascii="Verdana" w:eastAsia="Century Gothic" w:hAnsi="Verdana" w:cs="Times New Roman"/>
                <w:color w:val="2D659A"/>
                <w:sz w:val="20"/>
                <w:szCs w:val="24"/>
              </w:rPr>
              <w:t xml:space="preserve"> word “operational” from the O</w:t>
            </w:r>
            <w:r>
              <w:rPr>
                <w:rFonts w:ascii="Verdana" w:eastAsia="Century Gothic" w:hAnsi="Verdana" w:cs="Times New Roman"/>
                <w:color w:val="2D659A"/>
                <w:sz w:val="20"/>
                <w:szCs w:val="24"/>
              </w:rPr>
              <w:t>p</w:t>
            </w:r>
            <w:r w:rsidR="00950FBA">
              <w:rPr>
                <w:rFonts w:ascii="Verdana" w:eastAsia="Century Gothic" w:hAnsi="Verdana" w:cs="Times New Roman"/>
                <w:color w:val="2D659A"/>
                <w:sz w:val="20"/>
                <w:szCs w:val="24"/>
              </w:rPr>
              <w:t>e</w:t>
            </w:r>
            <w:r>
              <w:rPr>
                <w:rFonts w:ascii="Verdana" w:eastAsia="Century Gothic" w:hAnsi="Verdana" w:cs="Times New Roman"/>
                <w:color w:val="2D659A"/>
                <w:sz w:val="20"/>
                <w:szCs w:val="24"/>
              </w:rPr>
              <w:t>rational and Security Incident</w:t>
            </w:r>
          </w:p>
        </w:tc>
        <w:tc>
          <w:tcPr>
            <w:tcW w:w="4650" w:type="dxa"/>
          </w:tcPr>
          <w:p w14:paraId="517FADE4" w14:textId="233CB7D6"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 description really refers to a security Incident. After all security incidents are part of the Operational Incidents. For the sake of avoidance of confusion, if operational incidents need to be included, they need to be clearly defined.</w:t>
            </w:r>
          </w:p>
          <w:p w14:paraId="6B655293" w14:textId="4E08CD7F" w:rsidR="00C8378A" w:rsidRDefault="00C8378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p w14:paraId="4D3F3412" w14:textId="481C2894" w:rsidR="00EF157E" w:rsidRDefault="00C8378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Since continuity of ICT systems and services is included in terminology </w:t>
            </w:r>
            <w:r w:rsidR="00064517">
              <w:rPr>
                <w:rFonts w:ascii="Verdana" w:eastAsia="Century Gothic" w:hAnsi="Verdana" w:cs="Times New Roman"/>
                <w:color w:val="2D659A"/>
                <w:sz w:val="20"/>
                <w:szCs w:val="24"/>
              </w:rPr>
              <w:t>Availability</w:t>
            </w:r>
            <w:r>
              <w:rPr>
                <w:rFonts w:ascii="Verdana" w:eastAsia="Century Gothic" w:hAnsi="Verdana" w:cs="Times New Roman"/>
                <w:color w:val="2D659A"/>
                <w:sz w:val="20"/>
                <w:szCs w:val="24"/>
              </w:rPr>
              <w:t xml:space="preserve"> specified above, why is the term continuity included in this definition. Are you referring to something else? </w:t>
            </w:r>
          </w:p>
        </w:tc>
      </w:tr>
      <w:tr w:rsidR="00A207B7" w14:paraId="0FEB5710"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7A3F3D1D" w14:textId="77777777" w:rsidR="00A207B7" w:rsidRDefault="00A207B7" w:rsidP="00EF157E">
            <w:pPr>
              <w:suppressAutoHyphens/>
              <w:spacing w:after="120"/>
              <w:jc w:val="both"/>
              <w:rPr>
                <w:rFonts w:ascii="Verdana" w:eastAsia="Century Gothic" w:hAnsi="Verdana" w:cs="Times New Roman"/>
                <w:color w:val="2D659A"/>
                <w:sz w:val="20"/>
                <w:szCs w:val="24"/>
              </w:rPr>
            </w:pPr>
          </w:p>
        </w:tc>
        <w:tc>
          <w:tcPr>
            <w:tcW w:w="4649" w:type="dxa"/>
          </w:tcPr>
          <w:p w14:paraId="6718888E" w14:textId="7F8FCC3F" w:rsidR="00A207B7" w:rsidRDefault="00A207B7"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what Management Body is: is it the Board of Directors or the Executive Management of the Bank? </w:t>
            </w:r>
          </w:p>
        </w:tc>
        <w:tc>
          <w:tcPr>
            <w:tcW w:w="4650" w:type="dxa"/>
          </w:tcPr>
          <w:p w14:paraId="333B95B7" w14:textId="75BC19A2" w:rsidR="00A207B7" w:rsidRDefault="00A207B7"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Need to clarify to avoid confusion </w:t>
            </w:r>
          </w:p>
        </w:tc>
      </w:tr>
      <w:tr w:rsidR="00EF157E" w14:paraId="30655CFD"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7BCE1EF1" w14:textId="46C27918"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Guidelines</w:t>
            </w:r>
          </w:p>
        </w:tc>
        <w:tc>
          <w:tcPr>
            <w:tcW w:w="4649" w:type="dxa"/>
          </w:tcPr>
          <w:p w14:paraId="2D8604BB" w14:textId="77777777"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c>
          <w:tcPr>
            <w:tcW w:w="4650" w:type="dxa"/>
          </w:tcPr>
          <w:p w14:paraId="0970331C" w14:textId="77777777"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46D98E89"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3A9065C9" w14:textId="002EAAD6"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2</w:t>
            </w:r>
          </w:p>
        </w:tc>
        <w:tc>
          <w:tcPr>
            <w:tcW w:w="4649" w:type="dxa"/>
          </w:tcPr>
          <w:p w14:paraId="509D93FB" w14:textId="06CCDE8E"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 Management body sho</w:t>
            </w:r>
            <w:r w:rsidR="002F7680">
              <w:rPr>
                <w:rFonts w:ascii="Verdana" w:eastAsia="Century Gothic" w:hAnsi="Verdana" w:cs="Times New Roman"/>
                <w:color w:val="2D659A"/>
                <w:sz w:val="20"/>
                <w:szCs w:val="24"/>
              </w:rPr>
              <w:t>u</w:t>
            </w:r>
            <w:r>
              <w:rPr>
                <w:rFonts w:ascii="Verdana" w:eastAsia="Century Gothic" w:hAnsi="Verdana" w:cs="Times New Roman"/>
                <w:color w:val="2D659A"/>
                <w:sz w:val="20"/>
                <w:szCs w:val="24"/>
              </w:rPr>
              <w:t xml:space="preserve">ld have at least one expert on Information Security / ICT risks field in order to be able to properly execute </w:t>
            </w:r>
            <w:r w:rsidR="00064517">
              <w:rPr>
                <w:rFonts w:ascii="Verdana" w:eastAsia="Century Gothic" w:hAnsi="Verdana" w:cs="Times New Roman"/>
                <w:color w:val="2D659A"/>
                <w:sz w:val="20"/>
                <w:szCs w:val="24"/>
              </w:rPr>
              <w:t>governance</w:t>
            </w:r>
            <w:r>
              <w:rPr>
                <w:rFonts w:ascii="Verdana" w:eastAsia="Century Gothic" w:hAnsi="Verdana" w:cs="Times New Roman"/>
                <w:color w:val="2D659A"/>
                <w:sz w:val="20"/>
                <w:szCs w:val="24"/>
              </w:rPr>
              <w:t xml:space="preserve">. </w:t>
            </w:r>
          </w:p>
        </w:tc>
        <w:tc>
          <w:tcPr>
            <w:tcW w:w="4650" w:type="dxa"/>
          </w:tcPr>
          <w:p w14:paraId="4842D45B" w14:textId="635D15C3"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09D8E2A9"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298EB4B8" w14:textId="23292A02"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7</w:t>
            </w:r>
          </w:p>
        </w:tc>
        <w:tc>
          <w:tcPr>
            <w:tcW w:w="4649" w:type="dxa"/>
          </w:tcPr>
          <w:p w14:paraId="62B7BB2D" w14:textId="7325B20C"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w:t>
            </w:r>
            <w:r w:rsidR="00BB3CEA">
              <w:rPr>
                <w:rFonts w:ascii="Verdana" w:eastAsia="Century Gothic" w:hAnsi="Verdana" w:cs="Times New Roman"/>
                <w:color w:val="2D659A"/>
                <w:sz w:val="20"/>
                <w:szCs w:val="24"/>
              </w:rPr>
              <w:t>se</w:t>
            </w:r>
            <w:r>
              <w:rPr>
                <w:rFonts w:ascii="Verdana" w:eastAsia="Century Gothic" w:hAnsi="Verdana" w:cs="Times New Roman"/>
                <w:color w:val="2D659A"/>
                <w:sz w:val="20"/>
                <w:szCs w:val="24"/>
              </w:rPr>
              <w:t xml:space="preserve"> guidelines to apply in all subsidiaries o</w:t>
            </w:r>
            <w:r w:rsidR="00BB3CEA">
              <w:rPr>
                <w:rFonts w:ascii="Verdana" w:eastAsia="Century Gothic" w:hAnsi="Verdana" w:cs="Times New Roman"/>
                <w:color w:val="2D659A"/>
                <w:sz w:val="20"/>
                <w:szCs w:val="24"/>
              </w:rPr>
              <w:t>f</w:t>
            </w:r>
            <w:r>
              <w:rPr>
                <w:rFonts w:ascii="Verdana" w:eastAsia="Century Gothic" w:hAnsi="Verdana" w:cs="Times New Roman"/>
                <w:color w:val="2D659A"/>
                <w:sz w:val="20"/>
                <w:szCs w:val="24"/>
              </w:rPr>
              <w:t xml:space="preserve"> financial institution</w:t>
            </w:r>
            <w:r w:rsidR="00BB3CEA">
              <w:rPr>
                <w:rFonts w:ascii="Verdana" w:eastAsia="Century Gothic" w:hAnsi="Verdana" w:cs="Times New Roman"/>
                <w:color w:val="2D659A"/>
                <w:sz w:val="20"/>
                <w:szCs w:val="24"/>
              </w:rPr>
              <w:t xml:space="preserve">s (whether FIs or not – </w:t>
            </w:r>
            <w:r w:rsidR="00064517">
              <w:rPr>
                <w:rFonts w:ascii="Verdana" w:eastAsia="Century Gothic" w:hAnsi="Verdana" w:cs="Times New Roman"/>
                <w:color w:val="2D659A"/>
                <w:sz w:val="20"/>
                <w:szCs w:val="24"/>
              </w:rPr>
              <w:t>e.g.</w:t>
            </w:r>
            <w:r w:rsidR="00BB3CEA">
              <w:rPr>
                <w:rFonts w:ascii="Verdana" w:eastAsia="Century Gothic" w:hAnsi="Verdana" w:cs="Times New Roman"/>
                <w:color w:val="2D659A"/>
                <w:sz w:val="20"/>
                <w:szCs w:val="24"/>
              </w:rPr>
              <w:t xml:space="preserve"> Insurance Companies). </w:t>
            </w:r>
          </w:p>
        </w:tc>
        <w:tc>
          <w:tcPr>
            <w:tcW w:w="4650" w:type="dxa"/>
          </w:tcPr>
          <w:p w14:paraId="3D94A05D" w14:textId="03FD29B4"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In case the FI’s IT serve</w:t>
            </w:r>
            <w:r w:rsidR="00BB3CEA">
              <w:rPr>
                <w:rFonts w:ascii="Verdana" w:eastAsia="Century Gothic" w:hAnsi="Verdana" w:cs="Times New Roman"/>
                <w:color w:val="2D659A"/>
                <w:sz w:val="20"/>
                <w:szCs w:val="24"/>
              </w:rPr>
              <w:t>s</w:t>
            </w:r>
            <w:r>
              <w:rPr>
                <w:rFonts w:ascii="Verdana" w:eastAsia="Century Gothic" w:hAnsi="Verdana" w:cs="Times New Roman"/>
                <w:color w:val="2D659A"/>
                <w:sz w:val="20"/>
                <w:szCs w:val="24"/>
              </w:rPr>
              <w:t xml:space="preserve"> multiple subsidiaries, it is complex to have different security controls on different subsidiaries. For consistency purposes, security controls shall be aligned. </w:t>
            </w:r>
          </w:p>
        </w:tc>
      </w:tr>
      <w:tr w:rsidR="00EF157E" w14:paraId="77AADC79"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124995F1" w14:textId="64013168"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8.a </w:t>
            </w:r>
          </w:p>
        </w:tc>
        <w:tc>
          <w:tcPr>
            <w:tcW w:w="4649" w:type="dxa"/>
          </w:tcPr>
          <w:p w14:paraId="2C09ED28" w14:textId="6B9AE062"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The wording “security objectives” is not clear. </w:t>
            </w:r>
          </w:p>
        </w:tc>
        <w:tc>
          <w:tcPr>
            <w:tcW w:w="4650" w:type="dxa"/>
          </w:tcPr>
          <w:p w14:paraId="13DBF0A0" w14:textId="3BD1279A"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We suggest that the wording “measures” is sufficient</w:t>
            </w:r>
          </w:p>
        </w:tc>
      </w:tr>
      <w:tr w:rsidR="00EF157E" w14:paraId="4572D978"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0D18DAA7" w14:textId="5505717E"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9</w:t>
            </w:r>
          </w:p>
        </w:tc>
        <w:tc>
          <w:tcPr>
            <w:tcW w:w="4649" w:type="dxa"/>
          </w:tcPr>
          <w:p w14:paraId="0D890313" w14:textId="01C9BD9C"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Specific assurance is better to be specified. For the security measures a SOC2 type II security attestation by an independent assessor shall be provided. </w:t>
            </w:r>
          </w:p>
        </w:tc>
        <w:tc>
          <w:tcPr>
            <w:tcW w:w="4650" w:type="dxa"/>
          </w:tcPr>
          <w:p w14:paraId="5C47B18A" w14:textId="5A4C41E0"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Without explicitly stating compliance assurance, service providers can never move to the right direction. </w:t>
            </w:r>
          </w:p>
        </w:tc>
      </w:tr>
      <w:tr w:rsidR="00EF157E" w14:paraId="73C47E78"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1236E935" w14:textId="78BAFC54"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11</w:t>
            </w:r>
          </w:p>
        </w:tc>
        <w:tc>
          <w:tcPr>
            <w:tcW w:w="4649" w:type="dxa"/>
          </w:tcPr>
          <w:p w14:paraId="5F9D5C63" w14:textId="6951DCA2"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 Internal Control Function (2LD) which manages ICT Risks shall be Information Security and Operational Risk Management depts.</w:t>
            </w:r>
          </w:p>
        </w:tc>
        <w:tc>
          <w:tcPr>
            <w:tcW w:w="4650" w:type="dxa"/>
          </w:tcPr>
          <w:p w14:paraId="32EE1C68" w14:textId="63156FFC"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In a typical FI environment the management of ICT risks as a 2LD is taking place thru 2 different departments: ORM and InfoSec. It is not clear how a single </w:t>
            </w:r>
            <w:r w:rsidR="00064517">
              <w:rPr>
                <w:rFonts w:ascii="Verdana" w:eastAsia="Century Gothic" w:hAnsi="Verdana" w:cs="Times New Roman"/>
                <w:color w:val="2D659A"/>
                <w:sz w:val="20"/>
                <w:szCs w:val="24"/>
              </w:rPr>
              <w:t>dept.</w:t>
            </w:r>
            <w:r>
              <w:rPr>
                <w:rFonts w:ascii="Verdana" w:eastAsia="Century Gothic" w:hAnsi="Verdana" w:cs="Times New Roman"/>
                <w:color w:val="2D659A"/>
                <w:sz w:val="20"/>
                <w:szCs w:val="24"/>
              </w:rPr>
              <w:t xml:space="preserve"> can manage ICT risks alone. </w:t>
            </w:r>
          </w:p>
        </w:tc>
      </w:tr>
      <w:tr w:rsidR="00D83660" w14:paraId="66EB1D39"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53E65662" w14:textId="6DC4DA95" w:rsidR="00D83660" w:rsidRDefault="00D83660"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15</w:t>
            </w:r>
          </w:p>
        </w:tc>
        <w:tc>
          <w:tcPr>
            <w:tcW w:w="4649" w:type="dxa"/>
          </w:tcPr>
          <w:p w14:paraId="468CCA70" w14:textId="7BA2050E" w:rsidR="00D83660" w:rsidRDefault="00D83660"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whether the ICT Risk Management Framework is a single framework. </w:t>
            </w:r>
          </w:p>
        </w:tc>
        <w:tc>
          <w:tcPr>
            <w:tcW w:w="4650" w:type="dxa"/>
          </w:tcPr>
          <w:p w14:paraId="223F068D" w14:textId="4A3CB105" w:rsidR="00D83660" w:rsidRDefault="00D83660"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There are separated InfoSec and ORM frameworks. Consolidating the two in a single framework will create operational inconsistencies. Do we need to keep both live, or shall we merge them. </w:t>
            </w:r>
          </w:p>
        </w:tc>
      </w:tr>
      <w:tr w:rsidR="00D4416A" w14:paraId="78959FB8"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0F77496D" w14:textId="2B80114B" w:rsidR="00D4416A" w:rsidRDefault="00D4416A"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19</w:t>
            </w:r>
          </w:p>
        </w:tc>
        <w:tc>
          <w:tcPr>
            <w:tcW w:w="4649" w:type="dxa"/>
          </w:tcPr>
          <w:p w14:paraId="6E488800" w14:textId="6C8E49FF" w:rsidR="00D4416A" w:rsidRDefault="00D4416A" w:rsidP="000100E3">
            <w:pPr>
              <w:suppressAutoHyphens/>
              <w:spacing w:after="120"/>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Include also that the regulatory requirements should be considered before defining the criticality functions/processes/information assets</w:t>
            </w:r>
          </w:p>
        </w:tc>
        <w:tc>
          <w:tcPr>
            <w:tcW w:w="4650" w:type="dxa"/>
          </w:tcPr>
          <w:p w14:paraId="6F966B0C" w14:textId="2291DA51" w:rsidR="00D4416A" w:rsidRDefault="00D4416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There are cases where the criticality is imposed by regulations: PCI, Swift, </w:t>
            </w:r>
            <w:r w:rsidR="00064517">
              <w:rPr>
                <w:rFonts w:ascii="Verdana" w:eastAsia="Century Gothic" w:hAnsi="Verdana" w:cs="Times New Roman"/>
                <w:color w:val="2D659A"/>
                <w:sz w:val="20"/>
                <w:szCs w:val="24"/>
              </w:rPr>
              <w:t>and GDPR</w:t>
            </w:r>
            <w:r>
              <w:rPr>
                <w:rFonts w:ascii="Verdana" w:eastAsia="Century Gothic" w:hAnsi="Verdana" w:cs="Times New Roman"/>
                <w:color w:val="2D659A"/>
                <w:sz w:val="20"/>
                <w:szCs w:val="24"/>
              </w:rPr>
              <w:t xml:space="preserve">. </w:t>
            </w:r>
          </w:p>
        </w:tc>
      </w:tr>
      <w:tr w:rsidR="00EF157E" w14:paraId="023E8EBA"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3B7F49BB" w14:textId="18AF413E"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22</w:t>
            </w:r>
          </w:p>
        </w:tc>
        <w:tc>
          <w:tcPr>
            <w:tcW w:w="4649" w:type="dxa"/>
          </w:tcPr>
          <w:p w14:paraId="1D3C5DA8" w14:textId="47706D1A"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how it is expected to monitor threats. </w:t>
            </w:r>
          </w:p>
        </w:tc>
        <w:tc>
          <w:tcPr>
            <w:tcW w:w="4650" w:type="dxa"/>
          </w:tcPr>
          <w:p w14:paraId="2FE1BDE4" w14:textId="086C6E28"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Please clarify. </w:t>
            </w:r>
          </w:p>
        </w:tc>
      </w:tr>
      <w:tr w:rsidR="00D4416A" w14:paraId="7A86BEAC"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5F554638" w14:textId="3B09E033" w:rsidR="00D4416A" w:rsidRDefault="00D4416A"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25</w:t>
            </w:r>
          </w:p>
        </w:tc>
        <w:tc>
          <w:tcPr>
            <w:tcW w:w="4649" w:type="dxa"/>
          </w:tcPr>
          <w:p w14:paraId="44B5C7A2" w14:textId="77777777" w:rsidR="00D4416A" w:rsidRDefault="00D4416A"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The timely manner shall be set to a specific threshold. </w:t>
            </w:r>
          </w:p>
          <w:p w14:paraId="56A8EA3E" w14:textId="77777777" w:rsidR="00D4416A" w:rsidRDefault="00D4416A"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p w14:paraId="6573BF70" w14:textId="494AE5FD" w:rsidR="00D4416A" w:rsidRDefault="00D4416A"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Also the provision to CAs shall be specified to be “on an annual basis”.</w:t>
            </w:r>
          </w:p>
        </w:tc>
        <w:tc>
          <w:tcPr>
            <w:tcW w:w="4650" w:type="dxa"/>
          </w:tcPr>
          <w:p w14:paraId="031FD43E" w14:textId="4CEC1D29" w:rsidR="00D4416A" w:rsidRDefault="00D4416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Timely manner leads to very subjective </w:t>
            </w:r>
            <w:r w:rsidR="00064517">
              <w:rPr>
                <w:rFonts w:ascii="Verdana" w:eastAsia="Century Gothic" w:hAnsi="Verdana" w:cs="Times New Roman"/>
                <w:color w:val="2D659A"/>
                <w:sz w:val="20"/>
                <w:szCs w:val="24"/>
              </w:rPr>
              <w:t>implementation</w:t>
            </w:r>
            <w:r>
              <w:rPr>
                <w:rFonts w:ascii="Verdana" w:eastAsia="Century Gothic" w:hAnsi="Verdana" w:cs="Times New Roman"/>
                <w:color w:val="2D659A"/>
                <w:sz w:val="20"/>
                <w:szCs w:val="24"/>
              </w:rPr>
              <w:t>. The regulator shall define the threshold, quarterly/</w:t>
            </w:r>
            <w:r w:rsidR="00064517">
              <w:rPr>
                <w:rFonts w:ascii="Verdana" w:eastAsia="Century Gothic" w:hAnsi="Verdana" w:cs="Times New Roman"/>
                <w:color w:val="2D659A"/>
                <w:sz w:val="20"/>
                <w:szCs w:val="24"/>
              </w:rPr>
              <w:t>semi-annually</w:t>
            </w:r>
            <w:r>
              <w:rPr>
                <w:rFonts w:ascii="Verdana" w:eastAsia="Century Gothic" w:hAnsi="Verdana" w:cs="Times New Roman"/>
                <w:color w:val="2D659A"/>
                <w:sz w:val="20"/>
                <w:szCs w:val="24"/>
              </w:rPr>
              <w:t xml:space="preserve"> are good candidates. </w:t>
            </w:r>
          </w:p>
          <w:p w14:paraId="21A75EC8" w14:textId="77777777" w:rsidR="00D4416A" w:rsidRDefault="00D4416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p w14:paraId="24841783" w14:textId="2A137356" w:rsidR="00D4416A" w:rsidRDefault="00D4416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6AED29CD"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31944666" w14:textId="7BA498AA"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28</w:t>
            </w:r>
          </w:p>
        </w:tc>
        <w:tc>
          <w:tcPr>
            <w:tcW w:w="4649" w:type="dxa"/>
          </w:tcPr>
          <w:p w14:paraId="205D964A" w14:textId="72AFCC61" w:rsidR="00EF157E" w:rsidRDefault="00064517"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Follow-up</w:t>
            </w:r>
            <w:r w:rsidR="00EF157E">
              <w:rPr>
                <w:rFonts w:ascii="Verdana" w:eastAsia="Century Gothic" w:hAnsi="Verdana" w:cs="Times New Roman"/>
                <w:color w:val="2D659A"/>
                <w:sz w:val="20"/>
                <w:szCs w:val="24"/>
              </w:rPr>
              <w:t xml:space="preserve"> process for the verification of critical security related findings shall be extended to all critical ICT findings (</w:t>
            </w:r>
            <w:r w:rsidR="00E10EC4">
              <w:rPr>
                <w:rFonts w:ascii="Verdana" w:eastAsia="Century Gothic" w:hAnsi="Verdana" w:cs="Times New Roman"/>
                <w:color w:val="2D659A"/>
                <w:sz w:val="20"/>
                <w:szCs w:val="24"/>
              </w:rPr>
              <w:t>independently</w:t>
            </w:r>
            <w:r w:rsidR="00EF157E">
              <w:rPr>
                <w:rFonts w:ascii="Verdana" w:eastAsia="Century Gothic" w:hAnsi="Verdana" w:cs="Times New Roman"/>
                <w:color w:val="2D659A"/>
                <w:sz w:val="20"/>
                <w:szCs w:val="24"/>
              </w:rPr>
              <w:t xml:space="preserve"> whether these are security or </w:t>
            </w:r>
            <w:r>
              <w:rPr>
                <w:rFonts w:ascii="Verdana" w:eastAsia="Century Gothic" w:hAnsi="Verdana" w:cs="Times New Roman"/>
                <w:color w:val="2D659A"/>
                <w:sz w:val="20"/>
                <w:szCs w:val="24"/>
              </w:rPr>
              <w:t>non-related</w:t>
            </w:r>
            <w:r w:rsidR="00EF157E">
              <w:rPr>
                <w:rFonts w:ascii="Verdana" w:eastAsia="Century Gothic" w:hAnsi="Verdana" w:cs="Times New Roman"/>
                <w:color w:val="2D659A"/>
                <w:sz w:val="20"/>
                <w:szCs w:val="24"/>
              </w:rPr>
              <w:t xml:space="preserve">). </w:t>
            </w:r>
          </w:p>
        </w:tc>
        <w:tc>
          <w:tcPr>
            <w:tcW w:w="4650" w:type="dxa"/>
          </w:tcPr>
          <w:p w14:paraId="415B698D" w14:textId="77777777"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11B93685"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1FAD8696" w14:textId="2CF9A91A"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30</w:t>
            </w:r>
          </w:p>
        </w:tc>
        <w:tc>
          <w:tcPr>
            <w:tcW w:w="4649" w:type="dxa"/>
          </w:tcPr>
          <w:p w14:paraId="5F10DD64" w14:textId="60083DBF"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The Information Security Policy shall NEVER be communicated to third parties. </w:t>
            </w:r>
          </w:p>
        </w:tc>
        <w:tc>
          <w:tcPr>
            <w:tcW w:w="4650" w:type="dxa"/>
          </w:tcPr>
          <w:p w14:paraId="250A284F" w14:textId="4394CB4B"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ISP is a confidential document and its distribution shall be protected. For third parties a legal document reflecting the needed parts of the policy can be used instead. </w:t>
            </w:r>
          </w:p>
        </w:tc>
      </w:tr>
      <w:tr w:rsidR="00070390" w14:paraId="040A59B2"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24EDE4A5" w14:textId="1ABD5C55" w:rsidR="00070390" w:rsidRDefault="00070390"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34 .g</w:t>
            </w:r>
          </w:p>
        </w:tc>
        <w:tc>
          <w:tcPr>
            <w:tcW w:w="4649" w:type="dxa"/>
          </w:tcPr>
          <w:p w14:paraId="5569556C" w14:textId="0693CCE3" w:rsidR="00070390" w:rsidRDefault="00070390"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Provision for password complexity and/or strong customer authentication is vague. </w:t>
            </w:r>
          </w:p>
        </w:tc>
        <w:tc>
          <w:tcPr>
            <w:tcW w:w="4650" w:type="dxa"/>
          </w:tcPr>
          <w:p w14:paraId="44FEF503" w14:textId="3D7CFE8A" w:rsidR="00070390" w:rsidRDefault="00070390"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This leads to multiple interpretations (may, and/or). Banks may understand it differently than regulators. It is recommended that this becomes more solid. </w:t>
            </w:r>
          </w:p>
        </w:tc>
      </w:tr>
      <w:tr w:rsidR="00D4416A" w14:paraId="09D71731"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1FFCD77A" w14:textId="3717CB47" w:rsidR="00D4416A" w:rsidRDefault="00D4416A"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39</w:t>
            </w:r>
          </w:p>
        </w:tc>
        <w:tc>
          <w:tcPr>
            <w:tcW w:w="4649" w:type="dxa"/>
          </w:tcPr>
          <w:p w14:paraId="41E31812" w14:textId="75DF4377" w:rsidR="00D4416A" w:rsidRDefault="00D4416A"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Critical patches shall be deployed no later than 1 month. </w:t>
            </w:r>
          </w:p>
        </w:tc>
        <w:tc>
          <w:tcPr>
            <w:tcW w:w="4650" w:type="dxa"/>
          </w:tcPr>
          <w:p w14:paraId="401F3F95" w14:textId="7A2D6B0E" w:rsidR="00D4416A" w:rsidRDefault="00D4416A"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For alignment with PCI DSS requirements. </w:t>
            </w:r>
          </w:p>
        </w:tc>
      </w:tr>
      <w:tr w:rsidR="00EF157E" w14:paraId="1ACF869C"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506A66AE" w14:textId="4A69F4E3"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39.e</w:t>
            </w:r>
          </w:p>
        </w:tc>
        <w:tc>
          <w:tcPr>
            <w:tcW w:w="4649" w:type="dxa"/>
          </w:tcPr>
          <w:p w14:paraId="1CF1F06A" w14:textId="7094D435" w:rsidR="00EF157E" w:rsidRDefault="00EF157E" w:rsidP="00D4416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in the context what integrity for information means. Can you please </w:t>
            </w:r>
            <w:r w:rsidR="00552358">
              <w:rPr>
                <w:rFonts w:ascii="Verdana" w:eastAsia="Century Gothic" w:hAnsi="Verdana" w:cs="Times New Roman"/>
                <w:color w:val="2D659A"/>
                <w:sz w:val="20"/>
                <w:szCs w:val="24"/>
              </w:rPr>
              <w:t xml:space="preserve">make this clearer? </w:t>
            </w:r>
          </w:p>
        </w:tc>
        <w:tc>
          <w:tcPr>
            <w:tcW w:w="4650" w:type="dxa"/>
          </w:tcPr>
          <w:p w14:paraId="08A0C5C3" w14:textId="77777777"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552358" w14:paraId="5412268B"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6B37CAC5" w14:textId="1B599B2C" w:rsidR="00552358" w:rsidRDefault="00552358"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40</w:t>
            </w:r>
          </w:p>
        </w:tc>
        <w:tc>
          <w:tcPr>
            <w:tcW w:w="4649" w:type="dxa"/>
          </w:tcPr>
          <w:p w14:paraId="566AE85E" w14:textId="59265B05" w:rsidR="00552358" w:rsidRDefault="00552358" w:rsidP="00064517">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 item is very generic. Does the control refer to manual processes, or does it focus on automated processes (</w:t>
            </w:r>
            <w:r w:rsidR="00064517">
              <w:rPr>
                <w:rFonts w:ascii="Verdana" w:eastAsia="Century Gothic" w:hAnsi="Verdana" w:cs="Times New Roman"/>
                <w:color w:val="2D659A"/>
                <w:sz w:val="20"/>
                <w:szCs w:val="24"/>
              </w:rPr>
              <w:t xml:space="preserve">i.e. </w:t>
            </w:r>
            <w:r>
              <w:rPr>
                <w:rFonts w:ascii="Verdana" w:eastAsia="Century Gothic" w:hAnsi="Verdana" w:cs="Times New Roman"/>
                <w:color w:val="2D659A"/>
                <w:sz w:val="20"/>
                <w:szCs w:val="24"/>
              </w:rPr>
              <w:t xml:space="preserve">Static and Dynamic Code Analysis before going live).  </w:t>
            </w:r>
          </w:p>
        </w:tc>
        <w:tc>
          <w:tcPr>
            <w:tcW w:w="4650" w:type="dxa"/>
          </w:tcPr>
          <w:p w14:paraId="5E614147" w14:textId="77777777" w:rsidR="00552358" w:rsidRDefault="00552358"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2E57C95D"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376E87E9" w14:textId="00A1DA72"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42</w:t>
            </w:r>
          </w:p>
        </w:tc>
        <w:tc>
          <w:tcPr>
            <w:tcW w:w="4649" w:type="dxa"/>
          </w:tcPr>
          <w:p w14:paraId="2660D4E1" w14:textId="2D90D7CA"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Clarify how you expect/understand FIs to actively monitor technological developments to ensure that they are aware of security risks. </w:t>
            </w:r>
          </w:p>
        </w:tc>
        <w:tc>
          <w:tcPr>
            <w:tcW w:w="4650" w:type="dxa"/>
          </w:tcPr>
          <w:p w14:paraId="6BD39068" w14:textId="7319BE50"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C8378A" w14:paraId="67688D00"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7DD4655C" w14:textId="0ED9AD70" w:rsidR="00C8378A" w:rsidRDefault="00C8378A"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43</w:t>
            </w:r>
          </w:p>
        </w:tc>
        <w:tc>
          <w:tcPr>
            <w:tcW w:w="4649" w:type="dxa"/>
          </w:tcPr>
          <w:p w14:paraId="584165B8" w14:textId="325ED03F" w:rsidR="00C8378A" w:rsidRDefault="00C8378A" w:rsidP="00C8378A">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how the security monitoring process will help an FI identify an operational incident which will be a security incident. </w:t>
            </w:r>
          </w:p>
        </w:tc>
        <w:tc>
          <w:tcPr>
            <w:tcW w:w="4650" w:type="dxa"/>
          </w:tcPr>
          <w:p w14:paraId="5FE821E1" w14:textId="77777777" w:rsidR="00C8378A" w:rsidRDefault="00C8378A"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444B1134"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31624E34" w14:textId="21E92227"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55</w:t>
            </w:r>
          </w:p>
        </w:tc>
        <w:tc>
          <w:tcPr>
            <w:tcW w:w="4649" w:type="dxa"/>
          </w:tcPr>
          <w:p w14:paraId="235EE5D4" w14:textId="6D77F4CD" w:rsidR="00EF157E" w:rsidRDefault="00EF157E" w:rsidP="000E445D">
            <w:pPr>
              <w:suppressAutoHyphens/>
              <w:spacing w:after="120"/>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Processes and procedures are usually not approved by the Management Body, but from executive/senior management structures. </w:t>
            </w:r>
          </w:p>
        </w:tc>
        <w:tc>
          <w:tcPr>
            <w:tcW w:w="4650" w:type="dxa"/>
          </w:tcPr>
          <w:p w14:paraId="0AA3ADB1" w14:textId="510A3368"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EF157E" w14:paraId="1A61C3D5"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3957B28A" w14:textId="4DE77766"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lastRenderedPageBreak/>
              <w:t>75</w:t>
            </w:r>
          </w:p>
        </w:tc>
        <w:tc>
          <w:tcPr>
            <w:tcW w:w="4649" w:type="dxa"/>
          </w:tcPr>
          <w:p w14:paraId="74691DE3" w14:textId="112841A2" w:rsidR="00EF157E" w:rsidRDefault="00B96E69" w:rsidP="00B96E6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w:t>
            </w:r>
            <w:r w:rsidR="00EF157E">
              <w:rPr>
                <w:rFonts w:ascii="Verdana" w:eastAsia="Century Gothic" w:hAnsi="Verdana" w:cs="Times New Roman"/>
                <w:color w:val="2D659A"/>
                <w:sz w:val="20"/>
                <w:szCs w:val="24"/>
              </w:rPr>
              <w:t xml:space="preserve">what these measures shall be. </w:t>
            </w:r>
          </w:p>
        </w:tc>
        <w:tc>
          <w:tcPr>
            <w:tcW w:w="4650" w:type="dxa"/>
          </w:tcPr>
          <w:p w14:paraId="7FAC91C9" w14:textId="075ED6DE" w:rsidR="00EF157E" w:rsidRDefault="00B96E69"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 word development creates confusion. Are you referring to the processes of a librarian or to something else?</w:t>
            </w:r>
          </w:p>
        </w:tc>
      </w:tr>
      <w:tr w:rsidR="00EF157E" w14:paraId="56E47F25"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05CBB937" w14:textId="6F889397" w:rsidR="00EF157E" w:rsidRDefault="00EF157E"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78</w:t>
            </w:r>
          </w:p>
        </w:tc>
        <w:tc>
          <w:tcPr>
            <w:tcW w:w="4649" w:type="dxa"/>
          </w:tcPr>
          <w:p w14:paraId="738D299A" w14:textId="7483F848"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An addition could be made that copying of production data to other environments shall not be taking place. Only scrambled data can reside on </w:t>
            </w:r>
            <w:r w:rsidR="00064517">
              <w:rPr>
                <w:rFonts w:ascii="Verdana" w:eastAsia="Century Gothic" w:hAnsi="Verdana" w:cs="Times New Roman"/>
                <w:color w:val="2D659A"/>
                <w:sz w:val="20"/>
                <w:szCs w:val="24"/>
              </w:rPr>
              <w:t>non-production</w:t>
            </w:r>
            <w:r>
              <w:rPr>
                <w:rFonts w:ascii="Verdana" w:eastAsia="Century Gothic" w:hAnsi="Verdana" w:cs="Times New Roman"/>
                <w:color w:val="2D659A"/>
                <w:sz w:val="20"/>
                <w:szCs w:val="24"/>
              </w:rPr>
              <w:t xml:space="preserve"> environments. </w:t>
            </w:r>
          </w:p>
        </w:tc>
        <w:tc>
          <w:tcPr>
            <w:tcW w:w="4650" w:type="dxa"/>
          </w:tcPr>
          <w:p w14:paraId="0981E2BF" w14:textId="1B0624E5"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There is a wide practice across the industry that prod data are copied to testing systems. </w:t>
            </w:r>
          </w:p>
        </w:tc>
      </w:tr>
      <w:tr w:rsidR="00EF157E" w14:paraId="7950E073"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41E5D340" w14:textId="59C3F48B" w:rsidR="00EF157E" w:rsidRDefault="00E26271"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81</w:t>
            </w:r>
          </w:p>
        </w:tc>
        <w:tc>
          <w:tcPr>
            <w:tcW w:w="4649" w:type="dxa"/>
          </w:tcPr>
          <w:p w14:paraId="28E61FF5" w14:textId="300BB105" w:rsidR="00EF157E" w:rsidRDefault="00E26271"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The term “asset owner” is used in point (e). It is not clarified in the definitions section who is this person (the business owner or the IT person responsible for the application?)</w:t>
            </w:r>
          </w:p>
        </w:tc>
        <w:tc>
          <w:tcPr>
            <w:tcW w:w="4650" w:type="dxa"/>
          </w:tcPr>
          <w:p w14:paraId="1F64CE73" w14:textId="77777777" w:rsidR="00EF157E" w:rsidRDefault="00EF157E"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r>
      <w:tr w:rsidR="00556866" w14:paraId="6E375DEB"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6BDE7D4D" w14:textId="1243690C" w:rsidR="00556866" w:rsidRDefault="00556866"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84</w:t>
            </w:r>
          </w:p>
        </w:tc>
        <w:tc>
          <w:tcPr>
            <w:tcW w:w="4649" w:type="dxa"/>
          </w:tcPr>
          <w:p w14:paraId="5179DA86" w14:textId="77777777" w:rsidR="00556866" w:rsidRDefault="00556866"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p>
        </w:tc>
        <w:tc>
          <w:tcPr>
            <w:tcW w:w="4650" w:type="dxa"/>
          </w:tcPr>
          <w:p w14:paraId="4AC121B8" w14:textId="1B63B1C0" w:rsidR="00556866" w:rsidRDefault="00556866"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what does external data refer to. </w:t>
            </w:r>
          </w:p>
        </w:tc>
      </w:tr>
      <w:tr w:rsidR="00E26271" w14:paraId="3DFFC559"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4CA3C788" w14:textId="6AC6A67F" w:rsidR="00E26271" w:rsidRDefault="00556866"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86</w:t>
            </w:r>
          </w:p>
        </w:tc>
        <w:tc>
          <w:tcPr>
            <w:tcW w:w="4649" w:type="dxa"/>
          </w:tcPr>
          <w:p w14:paraId="422A7889" w14:textId="3FE881CE" w:rsidR="00E26271" w:rsidRDefault="00556866"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Approval of BCPs shall be approved by Executive Management.</w:t>
            </w:r>
          </w:p>
        </w:tc>
        <w:tc>
          <w:tcPr>
            <w:tcW w:w="4650" w:type="dxa"/>
          </w:tcPr>
          <w:p w14:paraId="725EE839" w14:textId="34FB3998" w:rsidR="00E26271" w:rsidRDefault="00556866"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Management Body (BOD) shall approve the strategy but not the specific BCPs of all functions. </w:t>
            </w:r>
          </w:p>
        </w:tc>
      </w:tr>
      <w:tr w:rsidR="007A40F5" w14:paraId="38A3B68C" w14:textId="77777777" w:rsidTr="00D83660">
        <w:tc>
          <w:tcPr>
            <w:cnfStyle w:val="001000000000" w:firstRow="0" w:lastRow="0" w:firstColumn="1" w:lastColumn="0" w:oddVBand="0" w:evenVBand="0" w:oddHBand="0" w:evenHBand="0" w:firstRowFirstColumn="0" w:firstRowLastColumn="0" w:lastRowFirstColumn="0" w:lastRowLastColumn="0"/>
            <w:tcW w:w="4649" w:type="dxa"/>
          </w:tcPr>
          <w:p w14:paraId="497529B4" w14:textId="13B04E55" w:rsidR="007A40F5" w:rsidRDefault="007A40F5" w:rsidP="00EF157E">
            <w:pPr>
              <w:suppressAutoHyphens/>
              <w:spacing w:after="120"/>
              <w:jc w:val="both"/>
              <w:rPr>
                <w:rFonts w:ascii="Verdana" w:eastAsia="Century Gothic" w:hAnsi="Verdana" w:cs="Times New Roman"/>
                <w:color w:val="2D659A"/>
                <w:sz w:val="20"/>
                <w:szCs w:val="24"/>
              </w:rPr>
            </w:pPr>
            <w:r>
              <w:rPr>
                <w:rFonts w:ascii="Verdana" w:eastAsia="Century Gothic" w:hAnsi="Verdana" w:cs="Times New Roman"/>
                <w:color w:val="2D659A"/>
                <w:sz w:val="20"/>
                <w:szCs w:val="24"/>
              </w:rPr>
              <w:t>100</w:t>
            </w:r>
          </w:p>
        </w:tc>
        <w:tc>
          <w:tcPr>
            <w:tcW w:w="4649" w:type="dxa"/>
          </w:tcPr>
          <w:p w14:paraId="2ECDBD7A" w14:textId="12313F0D" w:rsidR="007A40F5" w:rsidRDefault="007A40F5"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It is not clear the wording: “what product functionality permits”. </w:t>
            </w:r>
          </w:p>
        </w:tc>
        <w:tc>
          <w:tcPr>
            <w:tcW w:w="4650" w:type="dxa"/>
          </w:tcPr>
          <w:p w14:paraId="25EAB80E" w14:textId="7BB45F8A" w:rsidR="007A40F5" w:rsidRDefault="007A40F5" w:rsidP="00EF157E">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Verdana" w:eastAsia="Century Gothic" w:hAnsi="Verdana" w:cs="Times New Roman"/>
                <w:color w:val="2D659A"/>
                <w:sz w:val="20"/>
                <w:szCs w:val="24"/>
              </w:rPr>
            </w:pPr>
            <w:r>
              <w:rPr>
                <w:rFonts w:ascii="Verdana" w:eastAsia="Century Gothic" w:hAnsi="Verdana" w:cs="Times New Roman"/>
                <w:color w:val="2D659A"/>
                <w:sz w:val="20"/>
                <w:szCs w:val="24"/>
              </w:rPr>
              <w:t xml:space="preserve">This wording creates an ambiguity whether this is optional or not. </w:t>
            </w:r>
          </w:p>
        </w:tc>
      </w:tr>
    </w:tbl>
    <w:p w14:paraId="2002BB7F" w14:textId="77777777" w:rsidR="00AB634A" w:rsidRDefault="00AB634A" w:rsidP="00CD2170">
      <w:pPr>
        <w:suppressAutoHyphens/>
        <w:spacing w:after="120" w:line="240" w:lineRule="auto"/>
        <w:jc w:val="both"/>
        <w:rPr>
          <w:rFonts w:ascii="Verdana" w:eastAsia="Century Gothic" w:hAnsi="Verdana" w:cs="Times New Roman"/>
          <w:color w:val="2D659A"/>
          <w:sz w:val="20"/>
          <w:szCs w:val="24"/>
        </w:rPr>
      </w:pPr>
    </w:p>
    <w:p w14:paraId="664ED937" w14:textId="54A85A0B" w:rsidR="00BF4861" w:rsidRPr="009E6CB5" w:rsidRDefault="00BF4861" w:rsidP="009E6CB5">
      <w:pPr>
        <w:jc w:val="both"/>
        <w:rPr>
          <w:rFonts w:ascii="Verdana" w:eastAsia="Century Gothic" w:hAnsi="Verdana" w:cs="Times New Roman"/>
          <w:color w:val="2D659A"/>
          <w:sz w:val="20"/>
          <w:szCs w:val="24"/>
        </w:rPr>
        <w:sectPr w:rsidR="00BF4861" w:rsidRPr="009E6CB5" w:rsidSect="00E21A54">
          <w:footerReference w:type="default" r:id="rId10"/>
          <w:footerReference w:type="first" r:id="rId11"/>
          <w:pgSz w:w="16838" w:h="11906" w:orient="landscape"/>
          <w:pgMar w:top="1440" w:right="1440" w:bottom="1440" w:left="1440" w:header="1644" w:footer="708" w:gutter="0"/>
          <w:cols w:space="708"/>
          <w:titlePg/>
          <w:docGrid w:linePitch="360"/>
        </w:sectPr>
      </w:pPr>
    </w:p>
    <w:p w14:paraId="0CDD30C5" w14:textId="04833385" w:rsidR="00A4750B" w:rsidRDefault="00A4750B"/>
    <w:sectPr w:rsidR="00A4750B" w:rsidSect="00E21A54">
      <w:headerReference w:type="first" r:id="rId12"/>
      <w:footerReference w:type="first" r:id="rId13"/>
      <w:pgSz w:w="16838" w:h="11906" w:orient="landscape"/>
      <w:pgMar w:top="1440" w:right="1440" w:bottom="1440" w:left="1440" w:header="1644" w:footer="7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61D0" w14:textId="77777777" w:rsidR="00556866" w:rsidRDefault="00556866" w:rsidP="00CD2170">
      <w:pPr>
        <w:spacing w:after="0" w:line="240" w:lineRule="auto"/>
      </w:pPr>
      <w:r>
        <w:separator/>
      </w:r>
    </w:p>
  </w:endnote>
  <w:endnote w:type="continuationSeparator" w:id="0">
    <w:p w14:paraId="768B18F2" w14:textId="77777777" w:rsidR="00556866" w:rsidRDefault="00556866" w:rsidP="00CD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6C96" w14:textId="77777777" w:rsidR="00556866" w:rsidRDefault="00556866"/>
  <w:p w14:paraId="5CDC13DD" w14:textId="77777777" w:rsidR="00556866" w:rsidRDefault="00556866" w:rsidP="00190B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50798"/>
      <w:docPartObj>
        <w:docPartGallery w:val="Page Numbers (Bottom of Page)"/>
        <w:docPartUnique/>
      </w:docPartObj>
    </w:sdtPr>
    <w:sdtEndPr>
      <w:rPr>
        <w:rStyle w:val="PageNumber"/>
        <w:sz w:val="17"/>
        <w:szCs w:val="17"/>
      </w:rPr>
    </w:sdtEndPr>
    <w:sdtContent>
      <w:p w14:paraId="7E112981" w14:textId="56E22A68" w:rsidR="00556866" w:rsidRDefault="00556866">
        <w:pPr>
          <w:pStyle w:val="Footer"/>
        </w:pPr>
      </w:p>
      <w:p w14:paraId="73722336" w14:textId="77777777" w:rsidR="00556866" w:rsidRPr="00B12F77" w:rsidRDefault="00986210" w:rsidP="00190B9F">
        <w:pPr>
          <w:pStyle w:val="Footer"/>
          <w:rPr>
            <w:noProof/>
            <w:sz w:val="17"/>
            <w:szCs w:val="17"/>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180289"/>
      <w:docPartObj>
        <w:docPartGallery w:val="Page Numbers (Bottom of Page)"/>
        <w:docPartUnique/>
      </w:docPartObj>
    </w:sdtPr>
    <w:sdtEndPr>
      <w:rPr>
        <w:rStyle w:val="PageNumber"/>
        <w:sz w:val="17"/>
        <w:szCs w:val="17"/>
      </w:rPr>
    </w:sdtEndPr>
    <w:sdtContent>
      <w:p w14:paraId="0A49D3E9" w14:textId="52B9218D" w:rsidR="00556866" w:rsidRDefault="00556866">
        <w:pPr>
          <w:pStyle w:val="Footer"/>
        </w:pPr>
      </w:p>
      <w:p w14:paraId="4D5358E7" w14:textId="2348EE2C" w:rsidR="00556866" w:rsidRPr="00B12F77" w:rsidRDefault="00556866" w:rsidP="00190B9F">
        <w:pPr>
          <w:pStyle w:val="Footer"/>
          <w:rPr>
            <w:noProof/>
            <w:sz w:val="17"/>
            <w:szCs w:val="17"/>
          </w:rPr>
        </w:pPr>
        <w:r>
          <w:rPr>
            <w:noProof/>
            <w:lang w:eastAsia="en-GB"/>
          </w:rPr>
          <w:drawing>
            <wp:anchor distT="0" distB="0" distL="114300" distR="114300" simplePos="0" relativeHeight="251658752" behindDoc="1" locked="0" layoutInCell="1" allowOverlap="1" wp14:anchorId="6BFBE859" wp14:editId="68238571">
              <wp:simplePos x="0" y="0"/>
              <wp:positionH relativeFrom="page">
                <wp:posOffset>-95250</wp:posOffset>
              </wp:positionH>
              <wp:positionV relativeFrom="paragraph">
                <wp:posOffset>2735580</wp:posOffset>
              </wp:positionV>
              <wp:extent cx="5033010" cy="5399409"/>
              <wp:effectExtent l="0" t="0" r="0" b="0"/>
              <wp:wrapNone/>
              <wp:docPr id="336" name="Image 6" descr="element-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bottom.jpg"/>
                      <pic:cNvPicPr/>
                    </pic:nvPicPr>
                    <pic:blipFill>
                      <a:blip r:embed="rId1"/>
                      <a:stretch>
                        <a:fillRect/>
                      </a:stretch>
                    </pic:blipFill>
                    <pic:spPr>
                      <a:xfrm>
                        <a:off x="0" y="0"/>
                        <a:ext cx="5033069" cy="5399472"/>
                      </a:xfrm>
                      <a:prstGeom prst="rect">
                        <a:avLst/>
                      </a:prstGeom>
                    </pic:spPr>
                  </pic:pic>
                </a:graphicData>
              </a:graphic>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3E41" w14:textId="77777777" w:rsidR="00556866" w:rsidRDefault="00556866" w:rsidP="00CD2170">
      <w:pPr>
        <w:spacing w:after="0" w:line="240" w:lineRule="auto"/>
      </w:pPr>
      <w:r>
        <w:separator/>
      </w:r>
    </w:p>
  </w:footnote>
  <w:footnote w:type="continuationSeparator" w:id="0">
    <w:p w14:paraId="56B86DF5" w14:textId="77777777" w:rsidR="00556866" w:rsidRDefault="00556866" w:rsidP="00CD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EDD7" w14:textId="2C761B53" w:rsidR="00556866" w:rsidRPr="00986210" w:rsidRDefault="00556866" w:rsidP="00986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F12"/>
    <w:multiLevelType w:val="hybridMultilevel"/>
    <w:tmpl w:val="1DB883C8"/>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46525"/>
    <w:multiLevelType w:val="hybridMultilevel"/>
    <w:tmpl w:val="3B22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244F8"/>
    <w:multiLevelType w:val="hybridMultilevel"/>
    <w:tmpl w:val="39C0D4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9C3C0B"/>
    <w:multiLevelType w:val="hybridMultilevel"/>
    <w:tmpl w:val="7494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86854"/>
    <w:multiLevelType w:val="hybridMultilevel"/>
    <w:tmpl w:val="1E9A47AA"/>
    <w:lvl w:ilvl="0" w:tplc="76E471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C06C5"/>
    <w:multiLevelType w:val="hybridMultilevel"/>
    <w:tmpl w:val="34DE7880"/>
    <w:lvl w:ilvl="0" w:tplc="20000001">
      <w:start w:val="1"/>
      <w:numFmt w:val="bullet"/>
      <w:lvlText w:val=""/>
      <w:lvlJc w:val="left"/>
      <w:pPr>
        <w:ind w:left="720" w:hanging="360"/>
      </w:pPr>
      <w:rPr>
        <w:rFonts w:ascii="Symbol" w:hAnsi="Symbol" w:hint="default"/>
      </w:rPr>
    </w:lvl>
    <w:lvl w:ilvl="1" w:tplc="55587F86">
      <w:numFmt w:val="bullet"/>
      <w:lvlText w:val="•"/>
      <w:lvlJc w:val="left"/>
      <w:pPr>
        <w:ind w:left="1440" w:hanging="360"/>
      </w:pPr>
      <w:rPr>
        <w:rFonts w:ascii="Verdana" w:eastAsiaTheme="minorHAnsi" w:hAnsi="Verdana"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190795"/>
    <w:multiLevelType w:val="hybridMultilevel"/>
    <w:tmpl w:val="2D2EBA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4AB08E5"/>
    <w:multiLevelType w:val="hybridMultilevel"/>
    <w:tmpl w:val="4294AF06"/>
    <w:lvl w:ilvl="0" w:tplc="3F400F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9868ED"/>
    <w:multiLevelType w:val="hybridMultilevel"/>
    <w:tmpl w:val="F970D7CA"/>
    <w:lvl w:ilvl="0" w:tplc="E256C36E">
      <w:start w:val="1"/>
      <w:numFmt w:val="upperRoman"/>
      <w:lvlText w:val="%1."/>
      <w:lvlJc w:val="left"/>
      <w:pPr>
        <w:ind w:left="1080" w:hanging="72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F5513"/>
    <w:multiLevelType w:val="hybridMultilevel"/>
    <w:tmpl w:val="C21AE4AE"/>
    <w:lvl w:ilvl="0" w:tplc="0AC6A810">
      <w:start w:val="12"/>
      <w:numFmt w:val="bullet"/>
      <w:lvlText w:val="-"/>
      <w:lvlJc w:val="left"/>
      <w:pPr>
        <w:ind w:left="1080" w:hanging="360"/>
      </w:pPr>
      <w:rPr>
        <w:rFonts w:ascii="Verdana" w:eastAsia="Century Gothic"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C019F9"/>
    <w:multiLevelType w:val="hybridMultilevel"/>
    <w:tmpl w:val="276E076E"/>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975F6"/>
    <w:multiLevelType w:val="hybridMultilevel"/>
    <w:tmpl w:val="10AC1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4D6B0A"/>
    <w:multiLevelType w:val="hybridMultilevel"/>
    <w:tmpl w:val="8032635E"/>
    <w:lvl w:ilvl="0" w:tplc="08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BA5777"/>
    <w:multiLevelType w:val="hybridMultilevel"/>
    <w:tmpl w:val="8B2A4C4E"/>
    <w:lvl w:ilvl="0" w:tplc="35B0F6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F5FC8"/>
    <w:multiLevelType w:val="hybridMultilevel"/>
    <w:tmpl w:val="7616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306E9"/>
    <w:multiLevelType w:val="hybridMultilevel"/>
    <w:tmpl w:val="22BCF5C2"/>
    <w:lvl w:ilvl="0" w:tplc="D5CA2420">
      <w:start w:val="1"/>
      <w:numFmt w:val="upperRoman"/>
      <w:lvlText w:val="%1."/>
      <w:lvlJc w:val="left"/>
      <w:pPr>
        <w:ind w:left="720" w:hanging="72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429F0B8B"/>
    <w:multiLevelType w:val="hybridMultilevel"/>
    <w:tmpl w:val="CC8ED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C25F5"/>
    <w:multiLevelType w:val="hybridMultilevel"/>
    <w:tmpl w:val="D93EBD94"/>
    <w:lvl w:ilvl="0" w:tplc="7B0AC6DE">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01C0B5E"/>
    <w:multiLevelType w:val="hybridMultilevel"/>
    <w:tmpl w:val="46A80416"/>
    <w:lvl w:ilvl="0" w:tplc="0BE6C2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A239D6"/>
    <w:multiLevelType w:val="hybridMultilevel"/>
    <w:tmpl w:val="3D66BF08"/>
    <w:lvl w:ilvl="0" w:tplc="0AC6A810">
      <w:start w:val="12"/>
      <w:numFmt w:val="bullet"/>
      <w:lvlText w:val="-"/>
      <w:lvlJc w:val="left"/>
      <w:pPr>
        <w:ind w:left="1080" w:hanging="360"/>
      </w:pPr>
      <w:rPr>
        <w:rFonts w:ascii="Verdana" w:eastAsia="Century Gothic"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6D734F"/>
    <w:multiLevelType w:val="hybridMultilevel"/>
    <w:tmpl w:val="A7A60234"/>
    <w:lvl w:ilvl="0" w:tplc="4DCE26D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EB92A35"/>
    <w:multiLevelType w:val="hybridMultilevel"/>
    <w:tmpl w:val="C04A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E11FE"/>
    <w:multiLevelType w:val="multilevel"/>
    <w:tmpl w:val="BD169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D845B0"/>
    <w:multiLevelType w:val="hybridMultilevel"/>
    <w:tmpl w:val="50A8A2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12F712D"/>
    <w:multiLevelType w:val="hybridMultilevel"/>
    <w:tmpl w:val="5A74703C"/>
    <w:lvl w:ilvl="0" w:tplc="437AF46A">
      <w:start w:val="1"/>
      <w:numFmt w:val="decimal"/>
      <w:lvlText w:val="%1."/>
      <w:lvlJc w:val="left"/>
      <w:pPr>
        <w:ind w:left="360" w:hanging="360"/>
      </w:pPr>
      <w:rPr>
        <w:rFonts w:hint="default"/>
        <w:b/>
        <w:sz w:val="22"/>
        <w:szCs w:val="22"/>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A7705CA"/>
    <w:multiLevelType w:val="hybridMultilevel"/>
    <w:tmpl w:val="57188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24"/>
  </w:num>
  <w:num w:numId="4">
    <w:abstractNumId w:val="5"/>
  </w:num>
  <w:num w:numId="5">
    <w:abstractNumId w:val="2"/>
  </w:num>
  <w:num w:numId="6">
    <w:abstractNumId w:val="22"/>
  </w:num>
  <w:num w:numId="7">
    <w:abstractNumId w:val="25"/>
  </w:num>
  <w:num w:numId="8">
    <w:abstractNumId w:val="4"/>
  </w:num>
  <w:num w:numId="9">
    <w:abstractNumId w:val="8"/>
  </w:num>
  <w:num w:numId="10">
    <w:abstractNumId w:val="20"/>
  </w:num>
  <w:num w:numId="11">
    <w:abstractNumId w:val="17"/>
  </w:num>
  <w:num w:numId="12">
    <w:abstractNumId w:val="1"/>
  </w:num>
  <w:num w:numId="13">
    <w:abstractNumId w:val="19"/>
  </w:num>
  <w:num w:numId="14">
    <w:abstractNumId w:val="16"/>
  </w:num>
  <w:num w:numId="15">
    <w:abstractNumId w:val="11"/>
  </w:num>
  <w:num w:numId="16">
    <w:abstractNumId w:val="7"/>
  </w:num>
  <w:num w:numId="17">
    <w:abstractNumId w:val="9"/>
  </w:num>
  <w:num w:numId="18">
    <w:abstractNumId w:val="10"/>
  </w:num>
  <w:num w:numId="19">
    <w:abstractNumId w:val="0"/>
  </w:num>
  <w:num w:numId="20">
    <w:abstractNumId w:val="23"/>
  </w:num>
  <w:num w:numId="21">
    <w:abstractNumId w:val="12"/>
  </w:num>
  <w:num w:numId="22">
    <w:abstractNumId w:val="21"/>
  </w:num>
  <w:num w:numId="23">
    <w:abstractNumId w:val="14"/>
  </w:num>
  <w:num w:numId="24">
    <w:abstractNumId w:val="3"/>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0B"/>
    <w:rsid w:val="000100E3"/>
    <w:rsid w:val="00035CEE"/>
    <w:rsid w:val="000361B4"/>
    <w:rsid w:val="0005093B"/>
    <w:rsid w:val="00064517"/>
    <w:rsid w:val="00070390"/>
    <w:rsid w:val="000764AF"/>
    <w:rsid w:val="000971D2"/>
    <w:rsid w:val="000C3FFB"/>
    <w:rsid w:val="000E445D"/>
    <w:rsid w:val="000E7984"/>
    <w:rsid w:val="00113A9D"/>
    <w:rsid w:val="00121B2C"/>
    <w:rsid w:val="00135F36"/>
    <w:rsid w:val="00190B9F"/>
    <w:rsid w:val="00197736"/>
    <w:rsid w:val="001A2A83"/>
    <w:rsid w:val="001A7CE8"/>
    <w:rsid w:val="001B1E2E"/>
    <w:rsid w:val="001D0D21"/>
    <w:rsid w:val="00243EF0"/>
    <w:rsid w:val="00244650"/>
    <w:rsid w:val="002558DA"/>
    <w:rsid w:val="00257A9D"/>
    <w:rsid w:val="00274315"/>
    <w:rsid w:val="002A10F3"/>
    <w:rsid w:val="002C049B"/>
    <w:rsid w:val="002C0E87"/>
    <w:rsid w:val="002F1CFA"/>
    <w:rsid w:val="002F38D4"/>
    <w:rsid w:val="002F4632"/>
    <w:rsid w:val="002F7680"/>
    <w:rsid w:val="00301FA1"/>
    <w:rsid w:val="003221B8"/>
    <w:rsid w:val="00322935"/>
    <w:rsid w:val="00350769"/>
    <w:rsid w:val="00382184"/>
    <w:rsid w:val="003B27BB"/>
    <w:rsid w:val="003B5929"/>
    <w:rsid w:val="003E6520"/>
    <w:rsid w:val="003F5748"/>
    <w:rsid w:val="00417364"/>
    <w:rsid w:val="00466925"/>
    <w:rsid w:val="004708BA"/>
    <w:rsid w:val="00471D75"/>
    <w:rsid w:val="004A0F5A"/>
    <w:rsid w:val="004A47F1"/>
    <w:rsid w:val="004A67DB"/>
    <w:rsid w:val="004D7C41"/>
    <w:rsid w:val="004E3A34"/>
    <w:rsid w:val="004E72BC"/>
    <w:rsid w:val="004F6FD7"/>
    <w:rsid w:val="0050027C"/>
    <w:rsid w:val="0050029C"/>
    <w:rsid w:val="005166E4"/>
    <w:rsid w:val="00551E1E"/>
    <w:rsid w:val="00552358"/>
    <w:rsid w:val="0055521C"/>
    <w:rsid w:val="00556866"/>
    <w:rsid w:val="0057037F"/>
    <w:rsid w:val="00570934"/>
    <w:rsid w:val="005774A3"/>
    <w:rsid w:val="00590276"/>
    <w:rsid w:val="005A28DE"/>
    <w:rsid w:val="00603ACF"/>
    <w:rsid w:val="006060A9"/>
    <w:rsid w:val="00615587"/>
    <w:rsid w:val="006249DB"/>
    <w:rsid w:val="00632FDC"/>
    <w:rsid w:val="00651C5B"/>
    <w:rsid w:val="00654748"/>
    <w:rsid w:val="006A17D4"/>
    <w:rsid w:val="006B1359"/>
    <w:rsid w:val="00747CF9"/>
    <w:rsid w:val="00782F54"/>
    <w:rsid w:val="0078556E"/>
    <w:rsid w:val="007946DF"/>
    <w:rsid w:val="007A40F5"/>
    <w:rsid w:val="007C436C"/>
    <w:rsid w:val="007D27D8"/>
    <w:rsid w:val="007E5838"/>
    <w:rsid w:val="007F6068"/>
    <w:rsid w:val="00803CA6"/>
    <w:rsid w:val="008054BF"/>
    <w:rsid w:val="00824072"/>
    <w:rsid w:val="00834732"/>
    <w:rsid w:val="00841E0F"/>
    <w:rsid w:val="00846253"/>
    <w:rsid w:val="008714AD"/>
    <w:rsid w:val="00873566"/>
    <w:rsid w:val="00877569"/>
    <w:rsid w:val="00897A52"/>
    <w:rsid w:val="008A6454"/>
    <w:rsid w:val="008E2A67"/>
    <w:rsid w:val="00912916"/>
    <w:rsid w:val="00922B14"/>
    <w:rsid w:val="00925DA5"/>
    <w:rsid w:val="0093143B"/>
    <w:rsid w:val="00950FBA"/>
    <w:rsid w:val="009847F3"/>
    <w:rsid w:val="00986210"/>
    <w:rsid w:val="009A2CA8"/>
    <w:rsid w:val="009B47C9"/>
    <w:rsid w:val="009C0AEF"/>
    <w:rsid w:val="009C687C"/>
    <w:rsid w:val="009D49B3"/>
    <w:rsid w:val="009E03E7"/>
    <w:rsid w:val="009E6CB5"/>
    <w:rsid w:val="00A002FA"/>
    <w:rsid w:val="00A154ED"/>
    <w:rsid w:val="00A207B7"/>
    <w:rsid w:val="00A21F38"/>
    <w:rsid w:val="00A37CD2"/>
    <w:rsid w:val="00A37D57"/>
    <w:rsid w:val="00A4303C"/>
    <w:rsid w:val="00A43880"/>
    <w:rsid w:val="00A4638C"/>
    <w:rsid w:val="00A46CAE"/>
    <w:rsid w:val="00A4750B"/>
    <w:rsid w:val="00A5303D"/>
    <w:rsid w:val="00A5706D"/>
    <w:rsid w:val="00A67D3C"/>
    <w:rsid w:val="00A80031"/>
    <w:rsid w:val="00AA4838"/>
    <w:rsid w:val="00AB1A54"/>
    <w:rsid w:val="00AB2792"/>
    <w:rsid w:val="00AB39B8"/>
    <w:rsid w:val="00AB634A"/>
    <w:rsid w:val="00AD2120"/>
    <w:rsid w:val="00AE22D2"/>
    <w:rsid w:val="00AF0B65"/>
    <w:rsid w:val="00AF5086"/>
    <w:rsid w:val="00B23D42"/>
    <w:rsid w:val="00B24176"/>
    <w:rsid w:val="00B346D4"/>
    <w:rsid w:val="00B458E4"/>
    <w:rsid w:val="00B518C6"/>
    <w:rsid w:val="00B53191"/>
    <w:rsid w:val="00B715BD"/>
    <w:rsid w:val="00B844C0"/>
    <w:rsid w:val="00B87E82"/>
    <w:rsid w:val="00B96E69"/>
    <w:rsid w:val="00BA20D4"/>
    <w:rsid w:val="00BA47A9"/>
    <w:rsid w:val="00BB2831"/>
    <w:rsid w:val="00BB3CEA"/>
    <w:rsid w:val="00BE1D2E"/>
    <w:rsid w:val="00BF1DE6"/>
    <w:rsid w:val="00BF4861"/>
    <w:rsid w:val="00C054F8"/>
    <w:rsid w:val="00C42E37"/>
    <w:rsid w:val="00C70CDF"/>
    <w:rsid w:val="00C8378A"/>
    <w:rsid w:val="00C93145"/>
    <w:rsid w:val="00CD2170"/>
    <w:rsid w:val="00CD7208"/>
    <w:rsid w:val="00CF48A7"/>
    <w:rsid w:val="00D11622"/>
    <w:rsid w:val="00D1287F"/>
    <w:rsid w:val="00D20AE9"/>
    <w:rsid w:val="00D302F1"/>
    <w:rsid w:val="00D4416A"/>
    <w:rsid w:val="00D54F4B"/>
    <w:rsid w:val="00D67E91"/>
    <w:rsid w:val="00D83660"/>
    <w:rsid w:val="00DB3A49"/>
    <w:rsid w:val="00DC00BC"/>
    <w:rsid w:val="00DC4591"/>
    <w:rsid w:val="00DC6003"/>
    <w:rsid w:val="00DD1567"/>
    <w:rsid w:val="00DD4FC7"/>
    <w:rsid w:val="00DD7694"/>
    <w:rsid w:val="00DF25F6"/>
    <w:rsid w:val="00E037FE"/>
    <w:rsid w:val="00E10EC4"/>
    <w:rsid w:val="00E14C6E"/>
    <w:rsid w:val="00E159A6"/>
    <w:rsid w:val="00E21A54"/>
    <w:rsid w:val="00E25B53"/>
    <w:rsid w:val="00E26271"/>
    <w:rsid w:val="00E26DF7"/>
    <w:rsid w:val="00E41082"/>
    <w:rsid w:val="00E7732C"/>
    <w:rsid w:val="00E8412A"/>
    <w:rsid w:val="00EB64B6"/>
    <w:rsid w:val="00EB7672"/>
    <w:rsid w:val="00ED6DA9"/>
    <w:rsid w:val="00EE0FE4"/>
    <w:rsid w:val="00EF157E"/>
    <w:rsid w:val="00EF2C07"/>
    <w:rsid w:val="00F15C74"/>
    <w:rsid w:val="00F26F11"/>
    <w:rsid w:val="00F54605"/>
    <w:rsid w:val="00F659AB"/>
    <w:rsid w:val="00F71619"/>
    <w:rsid w:val="00F7670C"/>
    <w:rsid w:val="00F97ECF"/>
    <w:rsid w:val="00FA795F"/>
    <w:rsid w:val="00FB5197"/>
    <w:rsid w:val="00FD1E77"/>
    <w:rsid w:val="00FD346C"/>
    <w:rsid w:val="00FE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867F32"/>
  <w15:chartTrackingRefBased/>
  <w15:docId w15:val="{54BC54E8-F063-439F-B9F7-D6BB8616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D21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D2170"/>
    <w:rPr>
      <w:rFonts w:asciiTheme="majorHAnsi" w:eastAsiaTheme="majorEastAsia" w:hAnsiTheme="majorHAnsi" w:cstheme="majorBidi"/>
      <w:color w:val="1F3763" w:themeColor="accent1" w:themeShade="7F"/>
      <w:sz w:val="24"/>
      <w:szCs w:val="24"/>
    </w:rPr>
  </w:style>
  <w:style w:type="paragraph" w:customStyle="1" w:styleId="Bold">
    <w:name w:val="Bold"/>
    <w:basedOn w:val="Normal"/>
    <w:autoRedefine/>
    <w:rsid w:val="00CD2170"/>
    <w:pPr>
      <w:suppressAutoHyphens/>
      <w:spacing w:after="120" w:line="240" w:lineRule="auto"/>
      <w:jc w:val="both"/>
      <w:outlineLvl w:val="0"/>
    </w:pPr>
    <w:rPr>
      <w:rFonts w:ascii="Verdana" w:hAnsi="Verdana"/>
      <w:b/>
      <w:color w:val="3F4B79"/>
      <w:sz w:val="20"/>
      <w:szCs w:val="24"/>
    </w:rPr>
  </w:style>
  <w:style w:type="paragraph" w:styleId="Header">
    <w:name w:val="header"/>
    <w:basedOn w:val="Normal"/>
    <w:link w:val="HeaderChar"/>
    <w:uiPriority w:val="99"/>
    <w:unhideWhenUsed/>
    <w:rsid w:val="00CD2170"/>
    <w:pPr>
      <w:tabs>
        <w:tab w:val="center" w:pos="4513"/>
        <w:tab w:val="right" w:pos="9026"/>
      </w:tabs>
      <w:suppressAutoHyphens/>
      <w:spacing w:after="0" w:line="240" w:lineRule="auto"/>
      <w:jc w:val="both"/>
    </w:pPr>
    <w:rPr>
      <w:rFonts w:ascii="Verdana" w:hAnsi="Verdana"/>
      <w:color w:val="2D659A"/>
      <w:sz w:val="20"/>
      <w:szCs w:val="24"/>
    </w:rPr>
  </w:style>
  <w:style w:type="character" w:customStyle="1" w:styleId="HeaderChar">
    <w:name w:val="Header Char"/>
    <w:basedOn w:val="DefaultParagraphFont"/>
    <w:link w:val="Header"/>
    <w:uiPriority w:val="99"/>
    <w:rsid w:val="00CD2170"/>
    <w:rPr>
      <w:rFonts w:ascii="Verdana" w:hAnsi="Verdana"/>
      <w:color w:val="2D659A"/>
      <w:sz w:val="20"/>
      <w:szCs w:val="24"/>
    </w:rPr>
  </w:style>
  <w:style w:type="paragraph" w:styleId="Footer">
    <w:name w:val="footer"/>
    <w:basedOn w:val="Normal"/>
    <w:link w:val="FooterChar"/>
    <w:uiPriority w:val="99"/>
    <w:unhideWhenUsed/>
    <w:rsid w:val="00CD2170"/>
    <w:pPr>
      <w:tabs>
        <w:tab w:val="center" w:pos="4513"/>
        <w:tab w:val="right" w:pos="9026"/>
      </w:tabs>
      <w:suppressAutoHyphens/>
      <w:spacing w:after="0" w:line="240" w:lineRule="auto"/>
      <w:jc w:val="both"/>
    </w:pPr>
    <w:rPr>
      <w:rFonts w:ascii="Verdana" w:hAnsi="Verdana"/>
      <w:color w:val="2D659A"/>
      <w:sz w:val="20"/>
      <w:szCs w:val="24"/>
    </w:rPr>
  </w:style>
  <w:style w:type="character" w:customStyle="1" w:styleId="FooterChar">
    <w:name w:val="Footer Char"/>
    <w:basedOn w:val="DefaultParagraphFont"/>
    <w:link w:val="Footer"/>
    <w:uiPriority w:val="99"/>
    <w:rsid w:val="00CD2170"/>
    <w:rPr>
      <w:rFonts w:ascii="Verdana" w:hAnsi="Verdana"/>
      <w:color w:val="2D659A"/>
      <w:sz w:val="20"/>
      <w:szCs w:val="24"/>
    </w:rPr>
  </w:style>
  <w:style w:type="paragraph" w:customStyle="1" w:styleId="Footnote">
    <w:name w:val="Footnote"/>
    <w:basedOn w:val="Normal"/>
    <w:uiPriority w:val="99"/>
    <w:rsid w:val="00CD2170"/>
    <w:pPr>
      <w:spacing w:after="0" w:line="240" w:lineRule="auto"/>
      <w:jc w:val="both"/>
    </w:pPr>
    <w:rPr>
      <w:rFonts w:ascii="Verdana" w:eastAsia="Times New Roman" w:hAnsi="Verdana"/>
      <w:color w:val="2D659A"/>
      <w:sz w:val="18"/>
    </w:rPr>
  </w:style>
  <w:style w:type="character" w:styleId="PageNumber">
    <w:name w:val="page number"/>
    <w:basedOn w:val="DefaultParagraphFont"/>
    <w:uiPriority w:val="99"/>
    <w:semiHidden/>
    <w:unhideWhenUsed/>
    <w:rsid w:val="00CD2170"/>
  </w:style>
  <w:style w:type="table" w:customStyle="1" w:styleId="TableGrid1">
    <w:name w:val="Table Grid1"/>
    <w:basedOn w:val="TableNormal"/>
    <w:next w:val="TableGrid"/>
    <w:uiPriority w:val="59"/>
    <w:rsid w:val="00CD2170"/>
    <w:pPr>
      <w:spacing w:after="0" w:line="240" w:lineRule="auto"/>
    </w:pPr>
    <w:rPr>
      <w:rFonts w:ascii="Verdana" w:hAnsi="Verdana"/>
      <w:color w:val="006E95"/>
      <w:sz w:val="20"/>
      <w:szCs w:val="24"/>
      <w:lang w:val="en-US"/>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Verdana" w:hAnsi="Verdana"/>
        <w:b w:val="0"/>
        <w:i w:val="0"/>
        <w:color w:val="FFFFFF"/>
        <w:sz w:val="18"/>
        <w:u w:color="FFFFFF"/>
      </w:rPr>
      <w:tblPr/>
      <w:tcPr>
        <w:shd w:val="clear" w:color="auto" w:fill="006E95"/>
      </w:tcPr>
    </w:tblStylePr>
    <w:tblStylePr w:type="band1Horz">
      <w:tblPr/>
      <w:tcPr>
        <w:shd w:val="clear" w:color="auto" w:fill="D4D8E8"/>
      </w:tcPr>
    </w:tblStylePr>
  </w:style>
  <w:style w:type="character" w:customStyle="1" w:styleId="Hyperlink1">
    <w:name w:val="Hyperlink1"/>
    <w:basedOn w:val="DefaultParagraphFont"/>
    <w:rsid w:val="00CD2170"/>
    <w:rPr>
      <w:rFonts w:ascii="Verdana" w:hAnsi="Verdana"/>
      <w:color w:val="006E95"/>
      <w:sz w:val="17"/>
      <w:u w:val="none"/>
    </w:rPr>
  </w:style>
  <w:style w:type="paragraph" w:styleId="FootnoteText">
    <w:name w:val="footnote text"/>
    <w:basedOn w:val="Normal"/>
    <w:link w:val="FootnoteTextChar"/>
    <w:uiPriority w:val="99"/>
    <w:semiHidden/>
    <w:unhideWhenUsed/>
    <w:rsid w:val="00CD2170"/>
    <w:pPr>
      <w:suppressAutoHyphens/>
      <w:spacing w:after="0" w:line="240" w:lineRule="auto"/>
      <w:jc w:val="both"/>
    </w:pPr>
    <w:rPr>
      <w:rFonts w:ascii="Verdana" w:hAnsi="Verdana"/>
      <w:color w:val="2D659A"/>
      <w:sz w:val="20"/>
      <w:szCs w:val="20"/>
    </w:rPr>
  </w:style>
  <w:style w:type="character" w:customStyle="1" w:styleId="FootnoteTextChar">
    <w:name w:val="Footnote Text Char"/>
    <w:basedOn w:val="DefaultParagraphFont"/>
    <w:link w:val="FootnoteText"/>
    <w:uiPriority w:val="99"/>
    <w:semiHidden/>
    <w:rsid w:val="00CD2170"/>
    <w:rPr>
      <w:rFonts w:ascii="Verdana" w:hAnsi="Verdana"/>
      <w:color w:val="2D659A"/>
      <w:sz w:val="20"/>
      <w:szCs w:val="20"/>
    </w:rPr>
  </w:style>
  <w:style w:type="character" w:styleId="FootnoteReference">
    <w:name w:val="footnote reference"/>
    <w:basedOn w:val="DefaultParagraphFont"/>
    <w:uiPriority w:val="99"/>
    <w:semiHidden/>
    <w:unhideWhenUsed/>
    <w:rsid w:val="00CD2170"/>
    <w:rPr>
      <w:vertAlign w:val="superscript"/>
    </w:rPr>
  </w:style>
  <w:style w:type="table" w:styleId="TableGrid">
    <w:name w:val="Table Grid"/>
    <w:basedOn w:val="TableNormal"/>
    <w:uiPriority w:val="39"/>
    <w:rsid w:val="00CD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170"/>
    <w:rPr>
      <w:color w:val="0563C1" w:themeColor="hyperlink"/>
      <w:u w:val="single"/>
    </w:rPr>
  </w:style>
  <w:style w:type="paragraph" w:styleId="BalloonText">
    <w:name w:val="Balloon Text"/>
    <w:basedOn w:val="Normal"/>
    <w:link w:val="BalloonTextChar"/>
    <w:uiPriority w:val="99"/>
    <w:semiHidden/>
    <w:unhideWhenUsed/>
    <w:rsid w:val="00BF1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E6"/>
    <w:rPr>
      <w:rFonts w:ascii="Segoe UI" w:hAnsi="Segoe UI" w:cs="Segoe UI"/>
      <w:sz w:val="18"/>
      <w:szCs w:val="18"/>
    </w:rPr>
  </w:style>
  <w:style w:type="paragraph" w:styleId="Revision">
    <w:name w:val="Revision"/>
    <w:hidden/>
    <w:uiPriority w:val="99"/>
    <w:semiHidden/>
    <w:rsid w:val="0050029C"/>
    <w:pPr>
      <w:spacing w:after="0" w:line="240" w:lineRule="auto"/>
    </w:pPr>
  </w:style>
  <w:style w:type="paragraph" w:styleId="ListParagraph">
    <w:name w:val="List Paragraph"/>
    <w:basedOn w:val="Normal"/>
    <w:uiPriority w:val="34"/>
    <w:qFormat/>
    <w:rsid w:val="00EE0FE4"/>
    <w:pPr>
      <w:ind w:left="720"/>
      <w:contextualSpacing/>
    </w:pPr>
  </w:style>
  <w:style w:type="character" w:customStyle="1" w:styleId="UnresolvedMention1">
    <w:name w:val="Unresolved Mention1"/>
    <w:basedOn w:val="DefaultParagraphFont"/>
    <w:uiPriority w:val="99"/>
    <w:semiHidden/>
    <w:unhideWhenUsed/>
    <w:rsid w:val="00B346D4"/>
    <w:rPr>
      <w:color w:val="808080"/>
      <w:shd w:val="clear" w:color="auto" w:fill="E6E6E6"/>
    </w:rPr>
  </w:style>
  <w:style w:type="character" w:customStyle="1" w:styleId="UnresolvedMention">
    <w:name w:val="Unresolved Mention"/>
    <w:basedOn w:val="DefaultParagraphFont"/>
    <w:uiPriority w:val="99"/>
    <w:semiHidden/>
    <w:unhideWhenUsed/>
    <w:rsid w:val="00E21A54"/>
    <w:rPr>
      <w:color w:val="808080"/>
      <w:shd w:val="clear" w:color="auto" w:fill="E6E6E6"/>
    </w:rPr>
  </w:style>
  <w:style w:type="table" w:styleId="GridTable1Light">
    <w:name w:val="Grid Table 1 Light"/>
    <w:basedOn w:val="TableNormal"/>
    <w:uiPriority w:val="46"/>
    <w:rsid w:val="00E21A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9D49B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0413">
      <w:bodyDiv w:val="1"/>
      <w:marLeft w:val="0"/>
      <w:marRight w:val="0"/>
      <w:marTop w:val="0"/>
      <w:marBottom w:val="0"/>
      <w:divBdr>
        <w:top w:val="none" w:sz="0" w:space="0" w:color="auto"/>
        <w:left w:val="none" w:sz="0" w:space="0" w:color="auto"/>
        <w:bottom w:val="none" w:sz="0" w:space="0" w:color="auto"/>
        <w:right w:val="none" w:sz="0" w:space="0" w:color="auto"/>
      </w:divBdr>
    </w:div>
    <w:div w:id="303630470">
      <w:bodyDiv w:val="1"/>
      <w:marLeft w:val="0"/>
      <w:marRight w:val="0"/>
      <w:marTop w:val="0"/>
      <w:marBottom w:val="0"/>
      <w:divBdr>
        <w:top w:val="none" w:sz="0" w:space="0" w:color="auto"/>
        <w:left w:val="none" w:sz="0" w:space="0" w:color="auto"/>
        <w:bottom w:val="none" w:sz="0" w:space="0" w:color="auto"/>
        <w:right w:val="none" w:sz="0" w:space="0" w:color="auto"/>
      </w:divBdr>
    </w:div>
    <w:div w:id="584344377">
      <w:bodyDiv w:val="1"/>
      <w:marLeft w:val="0"/>
      <w:marRight w:val="0"/>
      <w:marTop w:val="0"/>
      <w:marBottom w:val="0"/>
      <w:divBdr>
        <w:top w:val="none" w:sz="0" w:space="0" w:color="auto"/>
        <w:left w:val="none" w:sz="0" w:space="0" w:color="auto"/>
        <w:bottom w:val="none" w:sz="0" w:space="0" w:color="auto"/>
        <w:right w:val="none" w:sz="0" w:space="0" w:color="auto"/>
      </w:divBdr>
    </w:div>
    <w:div w:id="1079979089">
      <w:bodyDiv w:val="1"/>
      <w:marLeft w:val="0"/>
      <w:marRight w:val="0"/>
      <w:marTop w:val="0"/>
      <w:marBottom w:val="0"/>
      <w:divBdr>
        <w:top w:val="none" w:sz="0" w:space="0" w:color="auto"/>
        <w:left w:val="none" w:sz="0" w:space="0" w:color="auto"/>
        <w:bottom w:val="none" w:sz="0" w:space="0" w:color="auto"/>
        <w:right w:val="none" w:sz="0" w:space="0" w:color="auto"/>
      </w:divBdr>
    </w:div>
    <w:div w:id="1290360903">
      <w:bodyDiv w:val="1"/>
      <w:marLeft w:val="0"/>
      <w:marRight w:val="0"/>
      <w:marTop w:val="0"/>
      <w:marBottom w:val="0"/>
      <w:divBdr>
        <w:top w:val="none" w:sz="0" w:space="0" w:color="auto"/>
        <w:left w:val="none" w:sz="0" w:space="0" w:color="auto"/>
        <w:bottom w:val="none" w:sz="0" w:space="0" w:color="auto"/>
        <w:right w:val="none" w:sz="0" w:space="0" w:color="auto"/>
      </w:divBdr>
    </w:div>
    <w:div w:id="1344241130">
      <w:bodyDiv w:val="1"/>
      <w:marLeft w:val="0"/>
      <w:marRight w:val="0"/>
      <w:marTop w:val="0"/>
      <w:marBottom w:val="0"/>
      <w:divBdr>
        <w:top w:val="none" w:sz="0" w:space="0" w:color="auto"/>
        <w:left w:val="none" w:sz="0" w:space="0" w:color="auto"/>
        <w:bottom w:val="none" w:sz="0" w:space="0" w:color="auto"/>
        <w:right w:val="none" w:sz="0" w:space="0" w:color="auto"/>
      </w:divBdr>
    </w:div>
    <w:div w:id="1433015010">
      <w:bodyDiv w:val="1"/>
      <w:marLeft w:val="0"/>
      <w:marRight w:val="0"/>
      <w:marTop w:val="0"/>
      <w:marBottom w:val="0"/>
      <w:divBdr>
        <w:top w:val="none" w:sz="0" w:space="0" w:color="auto"/>
        <w:left w:val="none" w:sz="0" w:space="0" w:color="auto"/>
        <w:bottom w:val="none" w:sz="0" w:space="0" w:color="auto"/>
        <w:right w:val="none" w:sz="0" w:space="0" w:color="auto"/>
      </w:divBdr>
    </w:div>
    <w:div w:id="16300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EBF_035307</DocRef>
    <DocSnippet xmlns="8b76e640-9ff4-4d3b-a80d-ae743ace85eb" xsi:nil="true"/>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BF Document" ma:contentTypeID="0x0101004BE274EDB6DB4922B212C2A6A2929FFF008EFE7E95CE2FFB40B7B25AAC1416CF63" ma:contentTypeVersion="15" ma:contentTypeDescription="Create a new document." ma:contentTypeScope="" ma:versionID="6a2badc653d60faeeed0e45986cfc995">
  <xsd:schema xmlns:xsd="http://www.w3.org/2001/XMLSchema" xmlns:xs="http://www.w3.org/2001/XMLSchema" xmlns:p="http://schemas.microsoft.com/office/2006/metadata/properties" xmlns:ns1="http://schemas.microsoft.com/sharepoint/v3" xmlns:ns2="8b76e640-9ff4-4d3b-a80d-ae743ace85eb" targetNamespace="http://schemas.microsoft.com/office/2006/metadata/properties" ma:root="true" ma:fieldsID="8dcb9ffa562303177f635873e1f673ad" ns1:_="" ns2:_="">
    <xsd:import namespace="http://schemas.microsoft.com/sharepoint/v3"/>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internalName="PublishingStartDate">
      <xsd:simpleType>
        <xsd:restriction base="dms:Unknown"/>
      </xsd:simpleType>
    </xsd:element>
    <xsd:element name="PublishingExpirationDate" ma:index="17"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ma:readOnly="fals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format="Dropdown" ma:internalName="DocSnippet">
      <xsd:simpleType>
        <xsd:restriction base="dms:Choice">
          <xsd:enumeration value="Agenda"/>
          <xsd:enumeration value="Agenda Item"/>
          <xsd:enumeration value="Blank"/>
          <xsd:enumeration value="Letter"/>
          <xsd:enumeration value="Chief Executive Letter"/>
          <xsd:enumeration value="ExCo Chair Letter"/>
          <xsd:enumeration value="Fax"/>
          <xsd:enumeration value="Letter President"/>
          <xsd:enumeration value="Master Document"/>
          <xsd:enumeration value="Memo"/>
          <xsd:enumeration value="Minutes"/>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66E51-8490-4C26-A869-F1DE983918E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8b76e640-9ff4-4d3b-a80d-ae743ace85eb"/>
    <ds:schemaRef ds:uri="http://purl.org/dc/terms/"/>
    <ds:schemaRef ds:uri="http://www.w3.org/XML/1998/namespace"/>
  </ds:schemaRefs>
</ds:datastoreItem>
</file>

<file path=customXml/itemProps2.xml><?xml version="1.0" encoding="utf-8"?>
<ds:datastoreItem xmlns:ds="http://schemas.openxmlformats.org/officeDocument/2006/customXml" ds:itemID="{66DACDE8-15D3-44E2-80E6-156FB5220A59}">
  <ds:schemaRefs>
    <ds:schemaRef ds:uri="http://schemas.microsoft.com/sharepoint/v3/contenttype/forms"/>
  </ds:schemaRefs>
</ds:datastoreItem>
</file>

<file path=customXml/itemProps3.xml><?xml version="1.0" encoding="utf-8"?>
<ds:datastoreItem xmlns:ds="http://schemas.openxmlformats.org/officeDocument/2006/customXml" ds:itemID="{7F4AD35D-0990-41F2-8331-992BADCA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A77A3F1A.dotm</Template>
  <TotalTime>583</TotalTime>
  <Pages>5</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EBF_035307 - Template for comments on EBA draft GLs on ICT and security risk management.docx</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EBF_035307 - Template for comments on EBA draft GLs on ICT and security risk management.docx</dc:title>
  <dc:subject/>
  <dc:creator>Iliana Koutoulakou</dc:creator>
  <cp:keywords/>
  <dc:description/>
  <cp:lastModifiedBy>V611</cp:lastModifiedBy>
  <cp:revision>22</cp:revision>
  <cp:lastPrinted>2018-08-14T13:37:00Z</cp:lastPrinted>
  <dcterms:created xsi:type="dcterms:W3CDTF">2018-10-12T12:38:00Z</dcterms:created>
  <dcterms:modified xsi:type="dcterms:W3CDTF">2019-01-25T08:20:00Z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0x0101004BE274EDB6DB4922B212C2A6A2929FFF008EFE7E95CE2FFB40B7B25AAC1416CF63</vt:lpwstr>
  </property>
</Properties>
</file>