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FD" w:rsidRPr="00902591" w:rsidRDefault="001B7A8A" w:rsidP="000B19A6">
      <w:pPr>
        <w:jc w:val="both"/>
        <w:rPr>
          <w:rStyle w:val="TitleChar"/>
          <w:rFonts w:ascii="Garamond" w:hAnsi="Garamond" w:cs="Garamond"/>
          <w:sz w:val="28"/>
          <w:szCs w:val="28"/>
        </w:rPr>
      </w:pPr>
      <w:r w:rsidRPr="00902591">
        <w:rPr>
          <w:rFonts w:ascii="Garamond" w:hAnsi="Garamond" w:cs="Garamond"/>
          <w:b/>
          <w:bCs/>
          <w:noProof/>
          <w:sz w:val="24"/>
          <w:lang w:val="fr-BE" w:eastAsia="zh-CN"/>
        </w:rPr>
        <w:drawing>
          <wp:anchor distT="0" distB="0" distL="114300" distR="114300" simplePos="0" relativeHeight="251660288" behindDoc="1" locked="0" layoutInCell="1" allowOverlap="1" wp14:anchorId="71A7B258" wp14:editId="4971DBBF">
            <wp:simplePos x="0" y="0"/>
            <wp:positionH relativeFrom="column">
              <wp:posOffset>-834390</wp:posOffset>
            </wp:positionH>
            <wp:positionV relativeFrom="paragraph">
              <wp:posOffset>-830580</wp:posOffset>
            </wp:positionV>
            <wp:extent cx="2518410" cy="9928860"/>
            <wp:effectExtent l="19050" t="0" r="0" b="0"/>
            <wp:wrapNone/>
            <wp:docPr id="8" name="Picture 3" descr="POSITION-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ITION-PAPER"/>
                    <pic:cNvPicPr>
                      <a:picLocks noChangeAspect="1" noChangeArrowheads="1"/>
                    </pic:cNvPicPr>
                  </pic:nvPicPr>
                  <pic:blipFill>
                    <a:blip r:embed="rId9"/>
                    <a:srcRect/>
                    <a:stretch>
                      <a:fillRect/>
                    </a:stretch>
                  </pic:blipFill>
                  <pic:spPr bwMode="auto">
                    <a:xfrm>
                      <a:off x="0" y="0"/>
                      <a:ext cx="2518410" cy="9928860"/>
                    </a:xfrm>
                    <a:prstGeom prst="rect">
                      <a:avLst/>
                    </a:prstGeom>
                    <a:noFill/>
                    <a:ln w="9525">
                      <a:noFill/>
                      <a:miter lim="800000"/>
                      <a:headEnd/>
                      <a:tailEnd/>
                    </a:ln>
                  </pic:spPr>
                </pic:pic>
              </a:graphicData>
            </a:graphic>
          </wp:anchor>
        </w:drawing>
      </w:r>
      <w:r w:rsidR="00D22DFD" w:rsidRPr="00902591">
        <w:rPr>
          <w:rFonts w:ascii="Garamond" w:hAnsi="Garamond" w:cs="Garamond"/>
          <w:b/>
          <w:bCs/>
          <w:sz w:val="24"/>
          <w:szCs w:val="24"/>
          <w:lang w:val="en-GB"/>
        </w:rPr>
        <w:tab/>
      </w:r>
    </w:p>
    <w:p w:rsidR="00D22DFD" w:rsidRPr="00902591" w:rsidRDefault="00D22DFD" w:rsidP="000B19A6">
      <w:pPr>
        <w:jc w:val="both"/>
        <w:rPr>
          <w:rFonts w:ascii="Garamond" w:hAnsi="Garamond" w:cs="Garamond"/>
          <w:sz w:val="32"/>
          <w:szCs w:val="32"/>
          <w:lang w:val="en-GB"/>
        </w:rPr>
      </w:pPr>
      <w:r w:rsidRPr="00902591">
        <w:rPr>
          <w:rStyle w:val="TitleChar"/>
          <w:rFonts w:ascii="Garamond" w:hAnsi="Garamond" w:cs="Garamond"/>
          <w:sz w:val="28"/>
          <w:szCs w:val="28"/>
        </w:rPr>
        <w:t xml:space="preserve"> </w:t>
      </w:r>
    </w:p>
    <w:p w:rsidR="00D22DFD" w:rsidRPr="00902591" w:rsidRDefault="00D22DFD" w:rsidP="000B19A6">
      <w:pPr>
        <w:jc w:val="both"/>
        <w:rPr>
          <w:rFonts w:ascii="Garamond" w:hAnsi="Garamond" w:cs="Garamond"/>
          <w:sz w:val="24"/>
          <w:szCs w:val="24"/>
          <w:lang w:val="en-GB"/>
        </w:rPr>
      </w:pPr>
    </w:p>
    <w:p w:rsidR="00D22DFD" w:rsidRPr="00902591" w:rsidRDefault="00D22DFD" w:rsidP="000B19A6">
      <w:pPr>
        <w:ind w:left="1440" w:firstLine="720"/>
        <w:jc w:val="both"/>
        <w:rPr>
          <w:lang w:val="en-GB"/>
        </w:rPr>
      </w:pPr>
    </w:p>
    <w:p w:rsidR="00D22DFD" w:rsidRPr="00902591" w:rsidRDefault="00D22DFD" w:rsidP="000B19A6">
      <w:pPr>
        <w:jc w:val="both"/>
        <w:rPr>
          <w:rFonts w:ascii="Garamond" w:hAnsi="Garamond" w:cs="Garamond"/>
          <w:b/>
          <w:bCs/>
          <w:sz w:val="24"/>
          <w:szCs w:val="24"/>
          <w:lang w:val="en-GB"/>
        </w:rPr>
      </w:pPr>
    </w:p>
    <w:p w:rsidR="000F3B6D" w:rsidRDefault="00457CDE" w:rsidP="00DA039B">
      <w:pPr>
        <w:jc w:val="both"/>
        <w:rPr>
          <w:rFonts w:ascii="Garamond" w:hAnsi="Garamond" w:cs="Garamond"/>
          <w:bCs/>
          <w:sz w:val="16"/>
          <w:szCs w:val="16"/>
          <w:lang w:val="en-GB"/>
        </w:rPr>
      </w:pPr>
      <w:r w:rsidRPr="00902591">
        <w:rPr>
          <w:noProof/>
          <w:lang w:val="fr-BE" w:eastAsia="zh-CN"/>
        </w:rPr>
        <mc:AlternateContent>
          <mc:Choice Requires="wps">
            <w:drawing>
              <wp:anchor distT="0" distB="0" distL="114300" distR="114300" simplePos="0" relativeHeight="251659264" behindDoc="0" locked="0" layoutInCell="1" allowOverlap="1" wp14:anchorId="3007F8F1" wp14:editId="3CE60520">
                <wp:simplePos x="0" y="0"/>
                <wp:positionH relativeFrom="column">
                  <wp:posOffset>1633220</wp:posOffset>
                </wp:positionH>
                <wp:positionV relativeFrom="paragraph">
                  <wp:posOffset>963930</wp:posOffset>
                </wp:positionV>
                <wp:extent cx="3362960" cy="3095625"/>
                <wp:effectExtent l="4445" t="1905" r="444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309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9C2" w:rsidRPr="009229D4" w:rsidRDefault="005659C2" w:rsidP="009229D4">
                            <w:pPr>
                              <w:pStyle w:val="Default"/>
                              <w:jc w:val="both"/>
                              <w:rPr>
                                <w:rFonts w:ascii="Georgia" w:eastAsia="Calibri" w:hAnsi="Georgia" w:cs="Georgia"/>
                                <w:lang w:val="en-US" w:eastAsia="en-US"/>
                              </w:rPr>
                            </w:pPr>
                            <w:r w:rsidRPr="000D26E1">
                              <w:rPr>
                                <w:rStyle w:val="TitleChar"/>
                                <w:rFonts w:ascii="Garamond" w:hAnsi="Garamond" w:cs="Garamond"/>
                                <w:sz w:val="28"/>
                                <w:szCs w:val="28"/>
                              </w:rPr>
                              <w:t>ESBG common response to the EBA Discussion Paper on</w:t>
                            </w:r>
                            <w:r>
                              <w:rPr>
                                <w:rStyle w:val="TitleChar"/>
                                <w:rFonts w:ascii="Garamond" w:hAnsi="Garamond" w:cs="Garamond"/>
                                <w:sz w:val="28"/>
                                <w:szCs w:val="28"/>
                              </w:rPr>
                              <w:t xml:space="preserve"> </w:t>
                            </w:r>
                            <w:r w:rsidRPr="007F0EAA">
                              <w:rPr>
                                <w:rStyle w:val="TitleChar"/>
                                <w:rFonts w:ascii="Garamond" w:hAnsi="Garamond" w:cs="Garamond"/>
                                <w:sz w:val="28"/>
                                <w:szCs w:val="28"/>
                              </w:rPr>
                              <w:t>retail deposits subject to different outflows for purposes of liquidity reporting</w:t>
                            </w:r>
                            <w:r>
                              <w:rPr>
                                <w:rStyle w:val="TitleChar"/>
                                <w:rFonts w:ascii="Garamond" w:hAnsi="Garamond" w:cs="Garamond"/>
                                <w:sz w:val="28"/>
                                <w:szCs w:val="28"/>
                              </w:rPr>
                              <w:t>.</w:t>
                            </w:r>
                          </w:p>
                          <w:p w:rsidR="005659C2" w:rsidRDefault="005659C2" w:rsidP="00D138EA">
                            <w:pPr>
                              <w:rPr>
                                <w:rFonts w:ascii="Garamond" w:hAnsi="Garamond"/>
                                <w:kern w:val="28"/>
                                <w:sz w:val="16"/>
                                <w:szCs w:val="16"/>
                              </w:rPr>
                            </w:pPr>
                          </w:p>
                          <w:p w:rsidR="005659C2" w:rsidRPr="00FA475F" w:rsidRDefault="005659C2" w:rsidP="00D138EA">
                            <w:pPr>
                              <w:spacing w:after="0" w:line="240" w:lineRule="auto"/>
                              <w:rPr>
                                <w:rFonts w:ascii="Garamond" w:hAnsi="Garamond"/>
                                <w:kern w:val="28"/>
                                <w:sz w:val="20"/>
                                <w:szCs w:val="20"/>
                              </w:rPr>
                            </w:pPr>
                            <w:r w:rsidRPr="00FA475F">
                              <w:rPr>
                                <w:rFonts w:ascii="Garamond" w:hAnsi="Garamond"/>
                                <w:kern w:val="28"/>
                                <w:sz w:val="20"/>
                                <w:szCs w:val="20"/>
                              </w:rPr>
                              <w:t>WSBI-ESBG (World Institute of Savings Banks - European Savings Banks Group)</w:t>
                            </w:r>
                          </w:p>
                          <w:p w:rsidR="005659C2" w:rsidRPr="00627367" w:rsidRDefault="005659C2" w:rsidP="00D138EA">
                            <w:pPr>
                              <w:spacing w:after="0" w:line="240" w:lineRule="auto"/>
                              <w:rPr>
                                <w:rFonts w:ascii="Garamond" w:hAnsi="Garamond"/>
                                <w:kern w:val="28"/>
                                <w:sz w:val="20"/>
                                <w:szCs w:val="20"/>
                                <w:lang w:val="fr-BE"/>
                              </w:rPr>
                            </w:pPr>
                            <w:r w:rsidRPr="00FA475F">
                              <w:rPr>
                                <w:rFonts w:ascii="Garamond" w:hAnsi="Garamond"/>
                                <w:sz w:val="20"/>
                                <w:szCs w:val="20"/>
                                <w:lang w:val="fr-BE" w:eastAsia="de-DE"/>
                              </w:rPr>
                              <w:t>Rue Marie-Thérèse, 11 - B-</w:t>
                            </w:r>
                            <w:r w:rsidRPr="00627367">
                              <w:rPr>
                                <w:rFonts w:ascii="Garamond" w:hAnsi="Garamond"/>
                                <w:sz w:val="20"/>
                                <w:szCs w:val="20"/>
                                <w:lang w:val="fr-BE" w:eastAsia="de-DE"/>
                              </w:rPr>
                              <w:t>1000 Brussels</w:t>
                            </w:r>
                          </w:p>
                          <w:p w:rsidR="005659C2" w:rsidRPr="00457CDE" w:rsidRDefault="005659C2" w:rsidP="00D138EA">
                            <w:pPr>
                              <w:spacing w:after="0" w:line="240" w:lineRule="auto"/>
                              <w:rPr>
                                <w:rFonts w:ascii="Garamond" w:hAnsi="Garamond" w:cs="Arial"/>
                                <w:bCs/>
                                <w:kern w:val="28"/>
                                <w:sz w:val="20"/>
                                <w:szCs w:val="20"/>
                                <w:lang w:val="fr-BE"/>
                              </w:rPr>
                            </w:pPr>
                            <w:proofErr w:type="spellStart"/>
                            <w:r w:rsidRPr="00627367">
                              <w:rPr>
                                <w:rFonts w:ascii="Garamond" w:hAnsi="Garamond" w:cs="Arial"/>
                                <w:bCs/>
                                <w:kern w:val="28"/>
                                <w:sz w:val="20"/>
                                <w:szCs w:val="20"/>
                                <w:lang w:val="fr-BE"/>
                              </w:rPr>
                              <w:t>WSBI-ESBG</w:t>
                            </w:r>
                            <w:proofErr w:type="spellEnd"/>
                            <w:r w:rsidRPr="00627367">
                              <w:rPr>
                                <w:rFonts w:ascii="Garamond" w:hAnsi="Garamond" w:cs="Arial"/>
                                <w:bCs/>
                                <w:kern w:val="28"/>
                                <w:sz w:val="20"/>
                                <w:szCs w:val="20"/>
                                <w:lang w:val="fr-BE"/>
                              </w:rPr>
                              <w:t xml:space="preserve"> </w:t>
                            </w:r>
                            <w:proofErr w:type="spellStart"/>
                            <w:r w:rsidRPr="00627367">
                              <w:rPr>
                                <w:rFonts w:ascii="Garamond" w:hAnsi="Garamond" w:cs="Arial"/>
                                <w:bCs/>
                                <w:kern w:val="28"/>
                                <w:sz w:val="20"/>
                                <w:szCs w:val="20"/>
                                <w:lang w:val="fr-BE"/>
                              </w:rPr>
                              <w:t>Register</w:t>
                            </w:r>
                            <w:proofErr w:type="spellEnd"/>
                            <w:r w:rsidRPr="00627367">
                              <w:rPr>
                                <w:rFonts w:ascii="Garamond" w:hAnsi="Garamond" w:cs="Arial"/>
                                <w:bCs/>
                                <w:kern w:val="28"/>
                                <w:sz w:val="20"/>
                                <w:szCs w:val="20"/>
                                <w:lang w:val="fr-BE"/>
                              </w:rPr>
                              <w:t xml:space="preserve"> ID 8765978796</w:t>
                            </w:r>
                            <w:r w:rsidRPr="00457CDE">
                              <w:rPr>
                                <w:rFonts w:ascii="Garamond" w:hAnsi="Garamond" w:cs="Arial"/>
                                <w:bCs/>
                                <w:kern w:val="28"/>
                                <w:sz w:val="20"/>
                                <w:szCs w:val="20"/>
                                <w:lang w:val="fr-BE"/>
                              </w:rPr>
                              <w:t>-80</w:t>
                            </w:r>
                          </w:p>
                          <w:p w:rsidR="005659C2" w:rsidRPr="00457CDE" w:rsidRDefault="005659C2" w:rsidP="00D138EA">
                            <w:pPr>
                              <w:rPr>
                                <w:lang w:val="fr-BE"/>
                              </w:rPr>
                            </w:pPr>
                          </w:p>
                          <w:p w:rsidR="005659C2" w:rsidRDefault="005659C2" w:rsidP="00D138EA">
                            <w:pPr>
                              <w:rPr>
                                <w:rStyle w:val="TitleChar"/>
                                <w:rFonts w:ascii="Garamond" w:hAnsi="Garamond" w:cs="Garamond"/>
                                <w:sz w:val="28"/>
                                <w:szCs w:val="28"/>
                              </w:rPr>
                            </w:pPr>
                            <w:r>
                              <w:rPr>
                                <w:rStyle w:val="TitleChar"/>
                                <w:rFonts w:ascii="Garamond" w:hAnsi="Garamond" w:cs="Garamond"/>
                                <w:sz w:val="28"/>
                                <w:szCs w:val="28"/>
                              </w:rPr>
                              <w:t>October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8.6pt;margin-top:75.9pt;width:264.8pt;height:2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Jgg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" stroked="f">
                <v:textbox>
                  <w:txbxContent>
                    <w:p w:rsidR="005A499C" w:rsidRPr="009229D4" w:rsidRDefault="005A499C" w:rsidP="009229D4">
                      <w:pPr>
                        <w:pStyle w:val="Default"/>
                        <w:jc w:val="both"/>
                        <w:rPr>
                          <w:rFonts w:ascii="Georgia" w:eastAsia="Calibri" w:hAnsi="Georgia" w:cs="Georgia"/>
                          <w:lang w:val="en-US" w:eastAsia="en-US"/>
                        </w:rPr>
                      </w:pPr>
                      <w:r w:rsidRPr="000D26E1">
                        <w:rPr>
                          <w:rStyle w:val="TitleChar"/>
                          <w:rFonts w:ascii="Garamond" w:hAnsi="Garamond" w:cs="Garamond"/>
                          <w:sz w:val="28"/>
                          <w:szCs w:val="28"/>
                        </w:rPr>
                        <w:t>ESBG common response to the EBA Discussion Paper on</w:t>
                      </w:r>
                      <w:r>
                        <w:rPr>
                          <w:rStyle w:val="TitleChar"/>
                          <w:rFonts w:ascii="Garamond" w:hAnsi="Garamond" w:cs="Garamond"/>
                          <w:sz w:val="28"/>
                          <w:szCs w:val="28"/>
                        </w:rPr>
                        <w:t xml:space="preserve"> </w:t>
                      </w:r>
                      <w:r w:rsidRPr="007F0EAA">
                        <w:rPr>
                          <w:rStyle w:val="TitleChar"/>
                          <w:rFonts w:ascii="Garamond" w:hAnsi="Garamond" w:cs="Garamond"/>
                          <w:sz w:val="28"/>
                          <w:szCs w:val="28"/>
                        </w:rPr>
                        <w:t>retail deposits subject to different outflows for purposes of liquidity reporting</w:t>
                      </w:r>
                      <w:r>
                        <w:rPr>
                          <w:rStyle w:val="TitleChar"/>
                          <w:rFonts w:ascii="Garamond" w:hAnsi="Garamond" w:cs="Garamond"/>
                          <w:sz w:val="28"/>
                          <w:szCs w:val="28"/>
                        </w:rPr>
                        <w:t>.</w:t>
                      </w:r>
                    </w:p>
                    <w:p w:rsidR="005A499C" w:rsidRDefault="005A499C" w:rsidP="00D138EA">
                      <w:pPr>
                        <w:rPr>
                          <w:rFonts w:ascii="Garamond" w:hAnsi="Garamond"/>
                          <w:kern w:val="28"/>
                          <w:sz w:val="16"/>
                          <w:szCs w:val="16"/>
                        </w:rPr>
                      </w:pPr>
                    </w:p>
                    <w:p w:rsidR="005A499C" w:rsidRPr="00FA475F" w:rsidRDefault="005A499C" w:rsidP="00D138EA">
                      <w:pPr>
                        <w:spacing w:after="0" w:line="240" w:lineRule="auto"/>
                        <w:rPr>
                          <w:rFonts w:ascii="Garamond" w:hAnsi="Garamond"/>
                          <w:kern w:val="28"/>
                          <w:sz w:val="20"/>
                          <w:szCs w:val="20"/>
                        </w:rPr>
                      </w:pPr>
                      <w:r w:rsidRPr="00FA475F">
                        <w:rPr>
                          <w:rFonts w:ascii="Garamond" w:hAnsi="Garamond"/>
                          <w:kern w:val="28"/>
                          <w:sz w:val="20"/>
                          <w:szCs w:val="20"/>
                        </w:rPr>
                        <w:t>WSBI-ESBG (World Institute of Savings Banks - European Savings Banks Group)</w:t>
                      </w:r>
                    </w:p>
                    <w:p w:rsidR="005A499C" w:rsidRPr="00627367" w:rsidRDefault="005A499C" w:rsidP="00D138EA">
                      <w:pPr>
                        <w:spacing w:after="0" w:line="240" w:lineRule="auto"/>
                        <w:rPr>
                          <w:rFonts w:ascii="Garamond" w:hAnsi="Garamond"/>
                          <w:kern w:val="28"/>
                          <w:sz w:val="20"/>
                          <w:szCs w:val="20"/>
                          <w:lang w:val="fr-BE"/>
                        </w:rPr>
                      </w:pPr>
                      <w:r w:rsidRPr="00FA475F">
                        <w:rPr>
                          <w:rFonts w:ascii="Garamond" w:hAnsi="Garamond"/>
                          <w:sz w:val="20"/>
                          <w:szCs w:val="20"/>
                          <w:lang w:val="fr-BE" w:eastAsia="de-DE"/>
                        </w:rPr>
                        <w:t>Rue Marie-Thérèse, 11 - B-</w:t>
                      </w:r>
                      <w:r w:rsidRPr="00627367">
                        <w:rPr>
                          <w:rFonts w:ascii="Garamond" w:hAnsi="Garamond"/>
                          <w:sz w:val="20"/>
                          <w:szCs w:val="20"/>
                          <w:lang w:val="fr-BE" w:eastAsia="de-DE"/>
                        </w:rPr>
                        <w:t>1000 Brussels</w:t>
                      </w:r>
                    </w:p>
                    <w:p w:rsidR="005A499C" w:rsidRPr="00457CDE" w:rsidRDefault="005A499C" w:rsidP="00D138EA">
                      <w:pPr>
                        <w:spacing w:after="0" w:line="240" w:lineRule="auto"/>
                        <w:rPr>
                          <w:rFonts w:ascii="Garamond" w:hAnsi="Garamond" w:cs="Arial"/>
                          <w:bCs/>
                          <w:kern w:val="28"/>
                          <w:sz w:val="20"/>
                          <w:szCs w:val="20"/>
                          <w:lang w:val="fr-BE"/>
                        </w:rPr>
                      </w:pPr>
                      <w:proofErr w:type="spellStart"/>
                      <w:r w:rsidRPr="00627367">
                        <w:rPr>
                          <w:rFonts w:ascii="Garamond" w:hAnsi="Garamond" w:cs="Arial"/>
                          <w:bCs/>
                          <w:kern w:val="28"/>
                          <w:sz w:val="20"/>
                          <w:szCs w:val="20"/>
                          <w:lang w:val="fr-BE"/>
                        </w:rPr>
                        <w:t>WSBI-ESBG</w:t>
                      </w:r>
                      <w:proofErr w:type="spellEnd"/>
                      <w:r w:rsidRPr="00627367">
                        <w:rPr>
                          <w:rFonts w:ascii="Garamond" w:hAnsi="Garamond" w:cs="Arial"/>
                          <w:bCs/>
                          <w:kern w:val="28"/>
                          <w:sz w:val="20"/>
                          <w:szCs w:val="20"/>
                          <w:lang w:val="fr-BE"/>
                        </w:rPr>
                        <w:t xml:space="preserve"> </w:t>
                      </w:r>
                      <w:proofErr w:type="spellStart"/>
                      <w:r w:rsidRPr="00627367">
                        <w:rPr>
                          <w:rFonts w:ascii="Garamond" w:hAnsi="Garamond" w:cs="Arial"/>
                          <w:bCs/>
                          <w:kern w:val="28"/>
                          <w:sz w:val="20"/>
                          <w:szCs w:val="20"/>
                          <w:lang w:val="fr-BE"/>
                        </w:rPr>
                        <w:t>Register</w:t>
                      </w:r>
                      <w:proofErr w:type="spellEnd"/>
                      <w:r w:rsidRPr="00627367">
                        <w:rPr>
                          <w:rFonts w:ascii="Garamond" w:hAnsi="Garamond" w:cs="Arial"/>
                          <w:bCs/>
                          <w:kern w:val="28"/>
                          <w:sz w:val="20"/>
                          <w:szCs w:val="20"/>
                          <w:lang w:val="fr-BE"/>
                        </w:rPr>
                        <w:t xml:space="preserve"> ID 8765978796</w:t>
                      </w:r>
                      <w:r w:rsidRPr="00457CDE">
                        <w:rPr>
                          <w:rFonts w:ascii="Garamond" w:hAnsi="Garamond" w:cs="Arial"/>
                          <w:bCs/>
                          <w:kern w:val="28"/>
                          <w:sz w:val="20"/>
                          <w:szCs w:val="20"/>
                          <w:lang w:val="fr-BE"/>
                        </w:rPr>
                        <w:t>-80</w:t>
                      </w:r>
                    </w:p>
                    <w:p w:rsidR="005A499C" w:rsidRPr="00457CDE" w:rsidRDefault="005A499C" w:rsidP="00D138EA">
                      <w:pPr>
                        <w:rPr>
                          <w:lang w:val="fr-BE"/>
                        </w:rPr>
                      </w:pPr>
                    </w:p>
                    <w:p w:rsidR="005A499C" w:rsidRDefault="005A499C" w:rsidP="00D138EA">
                      <w:pPr>
                        <w:rPr>
                          <w:rStyle w:val="TitleChar"/>
                          <w:rFonts w:ascii="Garamond" w:hAnsi="Garamond" w:cs="Garamond"/>
                          <w:sz w:val="28"/>
                          <w:szCs w:val="28"/>
                        </w:rPr>
                      </w:pPr>
                      <w:r>
                        <w:rPr>
                          <w:rStyle w:val="TitleChar"/>
                          <w:rFonts w:ascii="Garamond" w:hAnsi="Garamond" w:cs="Garamond"/>
                          <w:sz w:val="28"/>
                          <w:szCs w:val="28"/>
                        </w:rPr>
                        <w:t>October 2013</w:t>
                      </w:r>
                    </w:p>
                  </w:txbxContent>
                </v:textbox>
              </v:shape>
            </w:pict>
          </mc:Fallback>
        </mc:AlternateContent>
      </w:r>
      <w:r w:rsidR="001B7A8A" w:rsidRPr="00902591">
        <w:rPr>
          <w:noProof/>
          <w:lang w:val="fr-BE" w:eastAsia="zh-CN"/>
        </w:rPr>
        <w:drawing>
          <wp:anchor distT="0" distB="0" distL="114300" distR="114300" simplePos="0" relativeHeight="251658240" behindDoc="0" locked="0" layoutInCell="1" allowOverlap="1" wp14:anchorId="5F5F72B7" wp14:editId="6BC0CB5E">
            <wp:simplePos x="0" y="0"/>
            <wp:positionH relativeFrom="column">
              <wp:posOffset>4942840</wp:posOffset>
            </wp:positionH>
            <wp:positionV relativeFrom="paragraph">
              <wp:posOffset>8801100</wp:posOffset>
            </wp:positionV>
            <wp:extent cx="2057400" cy="800100"/>
            <wp:effectExtent l="19050" t="0" r="0" b="0"/>
            <wp:wrapNone/>
            <wp:docPr id="7" name="Picture 8" descr="es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bg"/>
                    <pic:cNvPicPr>
                      <a:picLocks noChangeAspect="1" noChangeArrowheads="1"/>
                    </pic:cNvPicPr>
                  </pic:nvPicPr>
                  <pic:blipFill>
                    <a:blip r:embed="rId10"/>
                    <a:srcRect/>
                    <a:stretch>
                      <a:fillRect/>
                    </a:stretch>
                  </pic:blipFill>
                  <pic:spPr bwMode="auto">
                    <a:xfrm>
                      <a:off x="0" y="0"/>
                      <a:ext cx="2057400" cy="800100"/>
                    </a:xfrm>
                    <a:prstGeom prst="rect">
                      <a:avLst/>
                    </a:prstGeom>
                    <a:noFill/>
                    <a:ln w="9525">
                      <a:noFill/>
                      <a:miter lim="800000"/>
                      <a:headEnd/>
                      <a:tailEnd/>
                    </a:ln>
                  </pic:spPr>
                </pic:pic>
              </a:graphicData>
            </a:graphic>
          </wp:anchor>
        </w:drawing>
      </w:r>
      <w:r w:rsidR="001B7A8A" w:rsidRPr="00902591">
        <w:rPr>
          <w:noProof/>
          <w:lang w:val="fr-BE" w:eastAsia="zh-CN"/>
        </w:rPr>
        <w:drawing>
          <wp:anchor distT="0" distB="0" distL="114300" distR="114300" simplePos="0" relativeHeight="251657216" behindDoc="0" locked="0" layoutInCell="1" allowOverlap="1" wp14:anchorId="5E46BCC6" wp14:editId="5AC4D9DC">
            <wp:simplePos x="0" y="0"/>
            <wp:positionH relativeFrom="column">
              <wp:posOffset>4942840</wp:posOffset>
            </wp:positionH>
            <wp:positionV relativeFrom="paragraph">
              <wp:posOffset>8801100</wp:posOffset>
            </wp:positionV>
            <wp:extent cx="2057400" cy="800100"/>
            <wp:effectExtent l="19050" t="0" r="0" b="0"/>
            <wp:wrapNone/>
            <wp:docPr id="6" name="Picture 7" descr="es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bg"/>
                    <pic:cNvPicPr>
                      <a:picLocks noChangeAspect="1" noChangeArrowheads="1"/>
                    </pic:cNvPicPr>
                  </pic:nvPicPr>
                  <pic:blipFill>
                    <a:blip r:embed="rId10"/>
                    <a:srcRect/>
                    <a:stretch>
                      <a:fillRect/>
                    </a:stretch>
                  </pic:blipFill>
                  <pic:spPr bwMode="auto">
                    <a:xfrm>
                      <a:off x="0" y="0"/>
                      <a:ext cx="2057400" cy="800100"/>
                    </a:xfrm>
                    <a:prstGeom prst="rect">
                      <a:avLst/>
                    </a:prstGeom>
                    <a:noFill/>
                    <a:ln w="9525">
                      <a:noFill/>
                      <a:miter lim="800000"/>
                      <a:headEnd/>
                      <a:tailEnd/>
                    </a:ln>
                  </pic:spPr>
                </pic:pic>
              </a:graphicData>
            </a:graphic>
          </wp:anchor>
        </w:drawing>
      </w:r>
      <w:r w:rsidR="001B7A8A" w:rsidRPr="00902591">
        <w:rPr>
          <w:noProof/>
          <w:lang w:val="fr-BE" w:eastAsia="zh-CN"/>
        </w:rPr>
        <w:drawing>
          <wp:anchor distT="0" distB="0" distL="114300" distR="114300" simplePos="0" relativeHeight="251656192" behindDoc="0" locked="0" layoutInCell="1" allowOverlap="1" wp14:anchorId="4CE6B645" wp14:editId="49EB5DBE">
            <wp:simplePos x="0" y="0"/>
            <wp:positionH relativeFrom="column">
              <wp:posOffset>4942840</wp:posOffset>
            </wp:positionH>
            <wp:positionV relativeFrom="paragraph">
              <wp:posOffset>8801100</wp:posOffset>
            </wp:positionV>
            <wp:extent cx="2057400" cy="800100"/>
            <wp:effectExtent l="19050" t="0" r="0" b="0"/>
            <wp:wrapNone/>
            <wp:docPr id="5" name="Picture 6" descr="es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bg"/>
                    <pic:cNvPicPr>
                      <a:picLocks noChangeAspect="1" noChangeArrowheads="1"/>
                    </pic:cNvPicPr>
                  </pic:nvPicPr>
                  <pic:blipFill>
                    <a:blip r:embed="rId10"/>
                    <a:srcRect/>
                    <a:stretch>
                      <a:fillRect/>
                    </a:stretch>
                  </pic:blipFill>
                  <pic:spPr bwMode="auto">
                    <a:xfrm>
                      <a:off x="0" y="0"/>
                      <a:ext cx="2057400" cy="800100"/>
                    </a:xfrm>
                    <a:prstGeom prst="rect">
                      <a:avLst/>
                    </a:prstGeom>
                    <a:noFill/>
                    <a:ln w="9525">
                      <a:noFill/>
                      <a:miter lim="800000"/>
                      <a:headEnd/>
                      <a:tailEnd/>
                    </a:ln>
                  </pic:spPr>
                </pic:pic>
              </a:graphicData>
            </a:graphic>
          </wp:anchor>
        </w:drawing>
      </w:r>
      <w:r w:rsidR="001B7A8A" w:rsidRPr="00902591">
        <w:rPr>
          <w:noProof/>
          <w:lang w:val="fr-BE" w:eastAsia="zh-CN"/>
        </w:rPr>
        <w:drawing>
          <wp:anchor distT="0" distB="0" distL="114300" distR="114300" simplePos="0" relativeHeight="251655168" behindDoc="0" locked="0" layoutInCell="1" allowOverlap="1" wp14:anchorId="65781258" wp14:editId="4A64AF62">
            <wp:simplePos x="0" y="0"/>
            <wp:positionH relativeFrom="column">
              <wp:posOffset>5080635</wp:posOffset>
            </wp:positionH>
            <wp:positionV relativeFrom="paragraph">
              <wp:posOffset>9486900</wp:posOffset>
            </wp:positionV>
            <wp:extent cx="1657350" cy="571500"/>
            <wp:effectExtent l="19050" t="0" r="0" b="0"/>
            <wp:wrapNone/>
            <wp:docPr id="4" name="Picture 2" descr="es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bg"/>
                    <pic:cNvPicPr>
                      <a:picLocks noChangeAspect="1" noChangeArrowheads="1"/>
                    </pic:cNvPicPr>
                  </pic:nvPicPr>
                  <pic:blipFill>
                    <a:blip r:embed="rId10"/>
                    <a:srcRect/>
                    <a:stretch>
                      <a:fillRect/>
                    </a:stretch>
                  </pic:blipFill>
                  <pic:spPr bwMode="auto">
                    <a:xfrm>
                      <a:off x="0" y="0"/>
                      <a:ext cx="1657350" cy="571500"/>
                    </a:xfrm>
                    <a:prstGeom prst="rect">
                      <a:avLst/>
                    </a:prstGeom>
                    <a:noFill/>
                    <a:ln w="9525">
                      <a:noFill/>
                      <a:miter lim="800000"/>
                      <a:headEnd/>
                      <a:tailEnd/>
                    </a:ln>
                  </pic:spPr>
                </pic:pic>
              </a:graphicData>
            </a:graphic>
          </wp:anchor>
        </w:drawing>
      </w:r>
      <w:r w:rsidR="00D22DFD" w:rsidRPr="00902591">
        <w:rPr>
          <w:rFonts w:ascii="Garamond" w:hAnsi="Garamond" w:cs="Garamond"/>
          <w:b/>
          <w:bCs/>
          <w:sz w:val="24"/>
          <w:szCs w:val="24"/>
          <w:lang w:val="en-GB"/>
        </w:rPr>
        <w:tab/>
      </w:r>
      <w:r w:rsidR="00D22DFD" w:rsidRPr="00902591">
        <w:rPr>
          <w:rFonts w:ascii="Garamond" w:hAnsi="Garamond" w:cs="Garamond"/>
          <w:b/>
          <w:bCs/>
          <w:sz w:val="24"/>
          <w:szCs w:val="24"/>
          <w:lang w:val="en-GB"/>
        </w:rPr>
        <w:tab/>
      </w:r>
      <w:r w:rsidR="00D22DFD" w:rsidRPr="00902591">
        <w:rPr>
          <w:rFonts w:ascii="Garamond" w:hAnsi="Garamond" w:cs="Garamond"/>
          <w:b/>
          <w:bCs/>
          <w:sz w:val="24"/>
          <w:szCs w:val="24"/>
          <w:lang w:val="en-GB"/>
        </w:rPr>
        <w:tab/>
      </w:r>
      <w:r w:rsidR="00D22DFD" w:rsidRPr="00902591">
        <w:rPr>
          <w:rFonts w:ascii="Garamond" w:hAnsi="Garamond" w:cs="Garamond"/>
          <w:b/>
          <w:bCs/>
          <w:sz w:val="24"/>
          <w:szCs w:val="24"/>
          <w:lang w:val="en-GB"/>
        </w:rPr>
        <w:br w:type="page"/>
      </w:r>
      <w:r w:rsidR="005A5CC1" w:rsidRPr="00902591">
        <w:rPr>
          <w:rFonts w:ascii="Garamond" w:hAnsi="Garamond" w:cs="Garamond"/>
          <w:bCs/>
          <w:sz w:val="16"/>
          <w:szCs w:val="16"/>
          <w:lang w:val="en-GB"/>
        </w:rPr>
        <w:lastRenderedPageBreak/>
        <w:t xml:space="preserve">Doc </w:t>
      </w:r>
      <w:r w:rsidR="00C35EA8">
        <w:rPr>
          <w:rFonts w:ascii="Garamond" w:hAnsi="Garamond" w:cs="Garamond"/>
          <w:bCs/>
          <w:sz w:val="16"/>
          <w:szCs w:val="16"/>
          <w:lang w:val="en-GB"/>
        </w:rPr>
        <w:t>0885</w:t>
      </w:r>
      <w:r w:rsidR="005A5CC1" w:rsidRPr="00902591">
        <w:rPr>
          <w:rFonts w:ascii="Garamond" w:hAnsi="Garamond" w:cs="Garamond"/>
          <w:bCs/>
          <w:sz w:val="16"/>
          <w:szCs w:val="16"/>
          <w:lang w:val="en-GB"/>
        </w:rPr>
        <w:t>/201</w:t>
      </w:r>
      <w:r w:rsidR="003006BE" w:rsidRPr="00902591">
        <w:rPr>
          <w:rFonts w:ascii="Garamond" w:hAnsi="Garamond" w:cs="Garamond"/>
          <w:bCs/>
          <w:sz w:val="16"/>
          <w:szCs w:val="16"/>
          <w:lang w:val="en-GB"/>
        </w:rPr>
        <w:t>3</w:t>
      </w:r>
      <w:r w:rsidR="005A5CC1" w:rsidRPr="00902591">
        <w:rPr>
          <w:rFonts w:ascii="Garamond" w:hAnsi="Garamond" w:cs="Garamond"/>
          <w:bCs/>
          <w:sz w:val="16"/>
          <w:szCs w:val="16"/>
          <w:lang w:val="en-GB"/>
        </w:rPr>
        <w:tab/>
      </w:r>
      <w:r w:rsidR="005A5CC1" w:rsidRPr="00902591">
        <w:rPr>
          <w:rFonts w:ascii="Garamond" w:hAnsi="Garamond" w:cs="Garamond"/>
          <w:bCs/>
          <w:sz w:val="16"/>
          <w:szCs w:val="16"/>
          <w:lang w:val="en-GB"/>
        </w:rPr>
        <w:tab/>
      </w:r>
      <w:r w:rsidR="005A5CC1" w:rsidRPr="00902591">
        <w:rPr>
          <w:rFonts w:ascii="Garamond" w:hAnsi="Garamond" w:cs="Garamond"/>
          <w:bCs/>
          <w:sz w:val="16"/>
          <w:szCs w:val="16"/>
          <w:lang w:val="en-GB"/>
        </w:rPr>
        <w:tab/>
      </w:r>
      <w:r w:rsidR="005A5CC1" w:rsidRPr="00902591">
        <w:rPr>
          <w:rFonts w:ascii="Garamond" w:hAnsi="Garamond" w:cs="Garamond"/>
          <w:bCs/>
          <w:sz w:val="16"/>
          <w:szCs w:val="16"/>
          <w:lang w:val="en-GB"/>
        </w:rPr>
        <w:tab/>
      </w:r>
      <w:r w:rsidR="005A5CC1" w:rsidRPr="00902591">
        <w:rPr>
          <w:rFonts w:ascii="Garamond" w:hAnsi="Garamond" w:cs="Garamond"/>
          <w:bCs/>
          <w:sz w:val="16"/>
          <w:szCs w:val="16"/>
          <w:lang w:val="en-GB"/>
        </w:rPr>
        <w:tab/>
      </w:r>
      <w:r w:rsidR="005A5CC1" w:rsidRPr="00902591">
        <w:rPr>
          <w:rFonts w:ascii="Garamond" w:hAnsi="Garamond" w:cs="Garamond"/>
          <w:bCs/>
          <w:sz w:val="16"/>
          <w:szCs w:val="16"/>
          <w:lang w:val="en-GB"/>
        </w:rPr>
        <w:tab/>
      </w:r>
      <w:r w:rsidR="005A5CC1" w:rsidRPr="00902591">
        <w:rPr>
          <w:rFonts w:ascii="Garamond" w:hAnsi="Garamond" w:cs="Garamond"/>
          <w:bCs/>
          <w:sz w:val="16"/>
          <w:szCs w:val="16"/>
          <w:lang w:val="en-GB"/>
        </w:rPr>
        <w:tab/>
      </w:r>
      <w:r w:rsidR="005A5CC1" w:rsidRPr="00902591">
        <w:rPr>
          <w:rFonts w:ascii="Garamond" w:hAnsi="Garamond" w:cs="Garamond"/>
          <w:bCs/>
          <w:sz w:val="16"/>
          <w:szCs w:val="16"/>
          <w:lang w:val="en-GB"/>
        </w:rPr>
        <w:tab/>
      </w:r>
      <w:r w:rsidR="005A5CC1" w:rsidRPr="00902591">
        <w:rPr>
          <w:rFonts w:ascii="Garamond" w:hAnsi="Garamond" w:cs="Garamond"/>
          <w:bCs/>
          <w:sz w:val="16"/>
          <w:szCs w:val="16"/>
          <w:lang w:val="en-GB"/>
        </w:rPr>
        <w:tab/>
      </w:r>
      <w:r w:rsidR="005A5CC1" w:rsidRPr="00902591">
        <w:rPr>
          <w:rFonts w:ascii="Garamond" w:hAnsi="Garamond" w:cs="Garamond"/>
          <w:bCs/>
          <w:sz w:val="16"/>
          <w:szCs w:val="16"/>
          <w:lang w:val="en-GB"/>
        </w:rPr>
        <w:tab/>
      </w:r>
      <w:r w:rsidR="00D7763D" w:rsidRPr="00902591">
        <w:rPr>
          <w:rFonts w:ascii="Garamond" w:hAnsi="Garamond" w:cs="Garamond"/>
          <w:bCs/>
          <w:sz w:val="16"/>
          <w:szCs w:val="16"/>
          <w:lang w:val="en-GB"/>
        </w:rPr>
        <w:tab/>
      </w:r>
      <w:r w:rsidR="00D7763D" w:rsidRPr="00902591">
        <w:rPr>
          <w:rFonts w:ascii="Garamond" w:hAnsi="Garamond" w:cs="Garamond"/>
          <w:bCs/>
          <w:sz w:val="16"/>
          <w:szCs w:val="16"/>
          <w:lang w:val="en-GB"/>
        </w:rPr>
        <w:tab/>
      </w:r>
      <w:r w:rsidR="00D7763D" w:rsidRPr="00902591">
        <w:rPr>
          <w:rFonts w:ascii="Garamond" w:hAnsi="Garamond" w:cs="Garamond"/>
          <w:bCs/>
          <w:sz w:val="16"/>
          <w:szCs w:val="16"/>
          <w:lang w:val="en-GB"/>
        </w:rPr>
        <w:tab/>
      </w:r>
      <w:r w:rsidR="00D7763D" w:rsidRPr="00902591">
        <w:rPr>
          <w:rFonts w:ascii="Garamond" w:hAnsi="Garamond" w:cs="Garamond"/>
          <w:bCs/>
          <w:i/>
          <w:sz w:val="16"/>
          <w:szCs w:val="16"/>
          <w:lang w:val="en-GB"/>
        </w:rPr>
        <w:tab/>
      </w:r>
      <w:r w:rsidR="00D7763D" w:rsidRPr="00902591">
        <w:rPr>
          <w:rFonts w:ascii="Garamond" w:hAnsi="Garamond" w:cs="Garamond"/>
          <w:bCs/>
          <w:sz w:val="16"/>
          <w:szCs w:val="16"/>
          <w:lang w:val="en-GB"/>
        </w:rPr>
        <w:tab/>
      </w:r>
      <w:r w:rsidR="00D7763D" w:rsidRPr="00902591">
        <w:rPr>
          <w:rFonts w:ascii="Garamond" w:hAnsi="Garamond" w:cs="Garamond"/>
          <w:bCs/>
          <w:sz w:val="16"/>
          <w:szCs w:val="16"/>
          <w:lang w:val="en-GB"/>
        </w:rPr>
        <w:tab/>
      </w:r>
      <w:r w:rsidR="00D7763D" w:rsidRPr="00902591">
        <w:rPr>
          <w:rFonts w:ascii="Garamond" w:hAnsi="Garamond" w:cs="Garamond"/>
          <w:bCs/>
          <w:sz w:val="16"/>
          <w:szCs w:val="16"/>
          <w:lang w:val="en-GB"/>
        </w:rPr>
        <w:tab/>
      </w:r>
      <w:r w:rsidR="00D7763D" w:rsidRPr="00902591">
        <w:rPr>
          <w:rFonts w:ascii="Garamond" w:hAnsi="Garamond" w:cs="Garamond"/>
          <w:bCs/>
          <w:sz w:val="16"/>
          <w:szCs w:val="16"/>
          <w:lang w:val="en-GB"/>
        </w:rPr>
        <w:tab/>
      </w:r>
    </w:p>
    <w:p w:rsidR="00E9489D" w:rsidRPr="00902591" w:rsidRDefault="00E9489D" w:rsidP="00C2076D">
      <w:pPr>
        <w:spacing w:after="0" w:line="240" w:lineRule="auto"/>
        <w:ind w:firstLine="720"/>
        <w:jc w:val="both"/>
        <w:rPr>
          <w:rFonts w:ascii="Garamond" w:hAnsi="Garamond" w:cs="Times New Roman"/>
          <w:sz w:val="24"/>
          <w:lang w:val="en-GB" w:bidi="en-US"/>
        </w:rPr>
      </w:pPr>
    </w:p>
    <w:p w:rsidR="00605D3B" w:rsidRDefault="00FF30BD" w:rsidP="00F81E60">
      <w:pPr>
        <w:spacing w:before="120" w:after="120" w:line="240" w:lineRule="auto"/>
        <w:jc w:val="both"/>
        <w:rPr>
          <w:rFonts w:ascii="Garamond" w:hAnsi="Garamond" w:cs="Garamond"/>
          <w:sz w:val="24"/>
          <w:szCs w:val="24"/>
          <w:lang w:val="en-GB" w:eastAsia="sv-SE"/>
        </w:rPr>
      </w:pPr>
      <w:r>
        <w:rPr>
          <w:rFonts w:ascii="Garamond" w:hAnsi="Garamond" w:cs="Garamond"/>
          <w:sz w:val="24"/>
          <w:szCs w:val="24"/>
          <w:lang w:val="en-GB" w:eastAsia="sv-SE"/>
        </w:rPr>
        <w:t>T</w:t>
      </w:r>
      <w:r w:rsidR="00822223" w:rsidRPr="00605D3B">
        <w:rPr>
          <w:rFonts w:ascii="Garamond" w:hAnsi="Garamond" w:cs="Garamond"/>
          <w:sz w:val="24"/>
          <w:szCs w:val="24"/>
          <w:lang w:val="en-GB" w:eastAsia="sv-SE"/>
        </w:rPr>
        <w:t>he</w:t>
      </w:r>
      <w:r w:rsidR="00547788" w:rsidRPr="00605D3B">
        <w:rPr>
          <w:rFonts w:ascii="Garamond" w:hAnsi="Garamond" w:cs="Garamond"/>
          <w:sz w:val="24"/>
          <w:szCs w:val="24"/>
          <w:lang w:val="en-GB" w:eastAsia="sv-SE"/>
        </w:rPr>
        <w:t xml:space="preserve"> European Savings </w:t>
      </w:r>
      <w:r w:rsidR="007E646B">
        <w:rPr>
          <w:rFonts w:ascii="Garamond" w:hAnsi="Garamond" w:cs="Garamond"/>
          <w:sz w:val="24"/>
          <w:szCs w:val="24"/>
          <w:lang w:val="en-GB" w:eastAsia="sv-SE"/>
        </w:rPr>
        <w:t>and retail Banking</w:t>
      </w:r>
      <w:r w:rsidR="00547788" w:rsidRPr="00605D3B">
        <w:rPr>
          <w:rFonts w:ascii="Garamond" w:hAnsi="Garamond" w:cs="Garamond"/>
          <w:sz w:val="24"/>
          <w:szCs w:val="24"/>
          <w:lang w:val="en-GB" w:eastAsia="sv-SE"/>
        </w:rPr>
        <w:t xml:space="preserve"> Group (</w:t>
      </w:r>
      <w:r w:rsidR="00822223" w:rsidRPr="00605D3B">
        <w:rPr>
          <w:rFonts w:ascii="Garamond" w:hAnsi="Garamond" w:cs="Garamond"/>
          <w:sz w:val="24"/>
          <w:szCs w:val="24"/>
          <w:lang w:val="en-GB" w:eastAsia="sv-SE"/>
        </w:rPr>
        <w:t>ESBG</w:t>
      </w:r>
      <w:r w:rsidR="00547788" w:rsidRPr="00605D3B">
        <w:rPr>
          <w:rFonts w:ascii="Garamond" w:hAnsi="Garamond" w:cs="Garamond"/>
          <w:sz w:val="24"/>
          <w:szCs w:val="24"/>
          <w:lang w:val="en-GB" w:eastAsia="sv-SE"/>
        </w:rPr>
        <w:t>)</w:t>
      </w:r>
      <w:r w:rsidR="00822223" w:rsidRPr="00605D3B">
        <w:rPr>
          <w:rFonts w:ascii="Garamond" w:hAnsi="Garamond" w:cs="Garamond"/>
          <w:sz w:val="24"/>
          <w:szCs w:val="24"/>
          <w:lang w:val="en-GB" w:eastAsia="sv-SE"/>
        </w:rPr>
        <w:t xml:space="preserve"> welcomes the opportunity to sha</w:t>
      </w:r>
      <w:r w:rsidR="001C5B11" w:rsidRPr="00605D3B">
        <w:rPr>
          <w:rFonts w:ascii="Garamond" w:hAnsi="Garamond" w:cs="Garamond"/>
          <w:sz w:val="24"/>
          <w:szCs w:val="24"/>
          <w:lang w:val="en-GB" w:eastAsia="sv-SE"/>
        </w:rPr>
        <w:t xml:space="preserve">re its views on this more detailed </w:t>
      </w:r>
      <w:r w:rsidR="0091070C" w:rsidRPr="0091070C">
        <w:rPr>
          <w:rFonts w:ascii="Garamond" w:hAnsi="Garamond" w:cs="Garamond"/>
          <w:sz w:val="24"/>
          <w:szCs w:val="24"/>
          <w:lang w:val="en-GB" w:eastAsia="sv-SE"/>
        </w:rPr>
        <w:t xml:space="preserve">Discussion Paper </w:t>
      </w:r>
      <w:r w:rsidR="00800544">
        <w:rPr>
          <w:rFonts w:ascii="Garamond" w:hAnsi="Garamond" w:cs="Garamond"/>
          <w:sz w:val="24"/>
          <w:szCs w:val="24"/>
          <w:lang w:val="en-GB" w:eastAsia="sv-SE"/>
        </w:rPr>
        <w:t xml:space="preserve">on </w:t>
      </w:r>
      <w:r w:rsidR="007F0EAA" w:rsidRPr="007F0EAA">
        <w:rPr>
          <w:rFonts w:ascii="Garamond" w:hAnsi="Garamond" w:cs="Garamond"/>
          <w:sz w:val="24"/>
          <w:szCs w:val="24"/>
          <w:lang w:val="en-GB" w:eastAsia="sv-SE"/>
        </w:rPr>
        <w:t>retail deposits subject to different outflows for purposes of liquidity reporting</w:t>
      </w:r>
      <w:r w:rsidR="007F0EAA">
        <w:rPr>
          <w:rFonts w:ascii="Garamond" w:hAnsi="Garamond" w:cs="Garamond"/>
          <w:sz w:val="24"/>
          <w:szCs w:val="24"/>
          <w:lang w:val="en-GB" w:eastAsia="sv-SE"/>
        </w:rPr>
        <w:t xml:space="preserve"> </w:t>
      </w:r>
      <w:r w:rsidR="007F0EAA" w:rsidRPr="007F0EAA">
        <w:rPr>
          <w:rFonts w:ascii="Garamond" w:hAnsi="Garamond" w:cs="Garamond"/>
          <w:sz w:val="24"/>
          <w:szCs w:val="24"/>
          <w:lang w:val="en-GB" w:eastAsia="sv-SE"/>
        </w:rPr>
        <w:t>under Regulation (EU) No 575/2013 (Capital</w:t>
      </w:r>
      <w:r w:rsidR="007E646B">
        <w:rPr>
          <w:rFonts w:ascii="Garamond" w:hAnsi="Garamond" w:cs="Garamond"/>
          <w:sz w:val="24"/>
          <w:szCs w:val="24"/>
          <w:lang w:val="en-GB" w:eastAsia="sv-SE"/>
        </w:rPr>
        <w:t xml:space="preserve"> Requirements Regulation - CRR).</w:t>
      </w:r>
    </w:p>
    <w:p w:rsidR="007E646B" w:rsidRPr="007E646B" w:rsidRDefault="007E646B" w:rsidP="00F81E60">
      <w:pPr>
        <w:spacing w:before="120" w:after="120" w:line="240" w:lineRule="auto"/>
        <w:jc w:val="both"/>
        <w:rPr>
          <w:rFonts w:ascii="Garamond" w:hAnsi="Garamond" w:cs="Garamond"/>
          <w:sz w:val="24"/>
          <w:szCs w:val="24"/>
          <w:lang w:val="en-GB" w:eastAsia="sv-SE"/>
        </w:rPr>
      </w:pPr>
    </w:p>
    <w:p w:rsidR="00605D3B" w:rsidRPr="000F3B6D" w:rsidRDefault="00605D3B" w:rsidP="00F81E60">
      <w:pPr>
        <w:pStyle w:val="ListParagraph"/>
        <w:numPr>
          <w:ilvl w:val="0"/>
          <w:numId w:val="34"/>
        </w:numPr>
        <w:spacing w:line="240" w:lineRule="auto"/>
        <w:jc w:val="both"/>
        <w:rPr>
          <w:rFonts w:ascii="Garamond" w:hAnsi="Garamond"/>
          <w:b/>
          <w:sz w:val="24"/>
          <w:szCs w:val="24"/>
          <w:lang w:eastAsia="fr-BE"/>
        </w:rPr>
      </w:pPr>
      <w:r w:rsidRPr="000F3B6D">
        <w:rPr>
          <w:rFonts w:ascii="Garamond" w:hAnsi="Garamond"/>
          <w:b/>
          <w:sz w:val="24"/>
          <w:szCs w:val="24"/>
          <w:lang w:eastAsia="fr-BE"/>
        </w:rPr>
        <w:t>General considerations</w:t>
      </w:r>
    </w:p>
    <w:p w:rsidR="00605D3B" w:rsidRPr="00605D3B" w:rsidRDefault="00605D3B" w:rsidP="00F81E60">
      <w:pPr>
        <w:spacing w:line="240" w:lineRule="auto"/>
        <w:jc w:val="both"/>
        <w:rPr>
          <w:rFonts w:ascii="Garamond" w:hAnsi="Garamond"/>
          <w:color w:val="1F497D"/>
          <w:sz w:val="24"/>
          <w:szCs w:val="24"/>
          <w:lang w:eastAsia="fr-BE"/>
        </w:rPr>
      </w:pPr>
    </w:p>
    <w:p w:rsidR="00020071" w:rsidRPr="00020071" w:rsidRDefault="00020071" w:rsidP="00F81E60">
      <w:pPr>
        <w:spacing w:line="240" w:lineRule="auto"/>
        <w:jc w:val="both"/>
        <w:rPr>
          <w:rFonts w:ascii="Garamond" w:hAnsi="Garamond" w:cs="Garamond"/>
          <w:sz w:val="24"/>
          <w:szCs w:val="24"/>
          <w:lang w:val="en-GB" w:eastAsia="sv-SE"/>
        </w:rPr>
      </w:pPr>
      <w:r w:rsidRPr="00020071">
        <w:rPr>
          <w:rFonts w:ascii="Garamond" w:hAnsi="Garamond" w:cs="Garamond"/>
          <w:sz w:val="24"/>
          <w:szCs w:val="24"/>
          <w:lang w:val="en-GB" w:eastAsia="sv-SE"/>
        </w:rPr>
        <w:t>First</w:t>
      </w:r>
      <w:r w:rsidR="00F81E60">
        <w:rPr>
          <w:rFonts w:ascii="Garamond" w:hAnsi="Garamond" w:cs="Garamond"/>
          <w:sz w:val="24"/>
          <w:szCs w:val="24"/>
          <w:lang w:val="en-GB" w:eastAsia="sv-SE"/>
        </w:rPr>
        <w:t>ly</w:t>
      </w:r>
      <w:r w:rsidRPr="00020071">
        <w:rPr>
          <w:rFonts w:ascii="Garamond" w:hAnsi="Garamond" w:cs="Garamond"/>
          <w:sz w:val="24"/>
          <w:szCs w:val="24"/>
          <w:lang w:val="en-GB" w:eastAsia="sv-SE"/>
        </w:rPr>
        <w:t xml:space="preserve">, we would like </w:t>
      </w:r>
      <w:r w:rsidR="00F81E60">
        <w:rPr>
          <w:rFonts w:ascii="Garamond" w:hAnsi="Garamond" w:cs="Garamond"/>
          <w:sz w:val="24"/>
          <w:szCs w:val="24"/>
          <w:lang w:val="en-GB" w:eastAsia="sv-SE"/>
        </w:rPr>
        <w:t xml:space="preserve">to </w:t>
      </w:r>
      <w:r w:rsidRPr="00020071">
        <w:rPr>
          <w:rFonts w:ascii="Garamond" w:hAnsi="Garamond" w:cs="Garamond"/>
          <w:sz w:val="24"/>
          <w:szCs w:val="24"/>
          <w:lang w:val="en-GB" w:eastAsia="sv-SE"/>
        </w:rPr>
        <w:t>welcome the application of the 5% weight for stable retail account deposits. However, we propose waiving the need fo</w:t>
      </w:r>
      <w:r w:rsidR="00FD2518">
        <w:rPr>
          <w:rFonts w:ascii="Garamond" w:hAnsi="Garamond" w:cs="Garamond"/>
          <w:sz w:val="24"/>
          <w:szCs w:val="24"/>
          <w:lang w:val="en-GB" w:eastAsia="sv-SE"/>
        </w:rPr>
        <w:t>r a fundamental, com</w:t>
      </w:r>
      <w:r w:rsidRPr="00020071">
        <w:rPr>
          <w:rFonts w:ascii="Garamond" w:hAnsi="Garamond" w:cs="Garamond"/>
          <w:sz w:val="24"/>
          <w:szCs w:val="24"/>
          <w:lang w:val="en-GB" w:eastAsia="sv-SE"/>
        </w:rPr>
        <w:t xml:space="preserve">prehensive review of the seven risk categories for deposits which meet the precondition under Art. 421(1) CRR and to only request such a review </w:t>
      </w:r>
      <w:r w:rsidR="00F81E60">
        <w:rPr>
          <w:rFonts w:ascii="Garamond" w:hAnsi="Garamond" w:cs="Garamond"/>
          <w:sz w:val="24"/>
          <w:szCs w:val="24"/>
          <w:lang w:val="en-GB" w:eastAsia="sv-SE"/>
        </w:rPr>
        <w:t>should</w:t>
      </w:r>
      <w:r w:rsidRPr="00020071">
        <w:rPr>
          <w:rFonts w:ascii="Garamond" w:hAnsi="Garamond" w:cs="Garamond"/>
          <w:sz w:val="24"/>
          <w:szCs w:val="24"/>
          <w:lang w:val="en-GB" w:eastAsia="sv-SE"/>
        </w:rPr>
        <w:t xml:space="preserve"> banks</w:t>
      </w:r>
      <w:r w:rsidR="00F81E60">
        <w:rPr>
          <w:rFonts w:ascii="Garamond" w:hAnsi="Garamond" w:cs="Garamond"/>
          <w:sz w:val="24"/>
          <w:szCs w:val="24"/>
          <w:lang w:val="en-GB" w:eastAsia="sv-SE"/>
        </w:rPr>
        <w:t xml:space="preserve"> have</w:t>
      </w:r>
      <w:r w:rsidRPr="00020071">
        <w:rPr>
          <w:rFonts w:ascii="Garamond" w:hAnsi="Garamond" w:cs="Garamond"/>
          <w:sz w:val="24"/>
          <w:szCs w:val="24"/>
          <w:lang w:val="en-GB" w:eastAsia="sv-SE"/>
        </w:rPr>
        <w:t xml:space="preserve"> obvious evidence that – in the event of a market-wide and bank-specific stress scenario - the expected outflow rate for the respective deposit will differ from the 5% set out under the Discussion Paper’s current proposals. </w:t>
      </w:r>
    </w:p>
    <w:p w:rsidR="005A499C" w:rsidRPr="00020071" w:rsidRDefault="0050210D" w:rsidP="005A499C">
      <w:pPr>
        <w:spacing w:line="240" w:lineRule="auto"/>
        <w:jc w:val="both"/>
        <w:rPr>
          <w:rFonts w:ascii="Garamond" w:hAnsi="Garamond" w:cs="Garamond"/>
          <w:sz w:val="24"/>
          <w:szCs w:val="24"/>
          <w:lang w:val="en-GB" w:eastAsia="sv-SE"/>
        </w:rPr>
      </w:pPr>
      <w:r>
        <w:rPr>
          <w:rFonts w:ascii="Garamond" w:hAnsi="Garamond" w:cs="Garamond"/>
          <w:sz w:val="24"/>
          <w:szCs w:val="24"/>
          <w:lang w:val="en-GB" w:eastAsia="sv-SE"/>
        </w:rPr>
        <w:t>By suggesting</w:t>
      </w:r>
      <w:r w:rsidR="00020071" w:rsidRPr="00020071">
        <w:rPr>
          <w:rFonts w:ascii="Garamond" w:hAnsi="Garamond" w:cs="Garamond"/>
          <w:sz w:val="24"/>
          <w:szCs w:val="24"/>
          <w:lang w:val="en-GB" w:eastAsia="sv-SE"/>
        </w:rPr>
        <w:t xml:space="preserve"> th</w:t>
      </w:r>
      <w:r>
        <w:rPr>
          <w:rFonts w:ascii="Garamond" w:hAnsi="Garamond" w:cs="Garamond"/>
          <w:sz w:val="24"/>
          <w:szCs w:val="24"/>
          <w:lang w:val="en-GB" w:eastAsia="sv-SE"/>
        </w:rPr>
        <w:t>e aforementioned seven criteria</w:t>
      </w:r>
      <w:r w:rsidR="00020071" w:rsidRPr="00020071">
        <w:rPr>
          <w:rFonts w:ascii="Garamond" w:hAnsi="Garamond" w:cs="Garamond"/>
          <w:sz w:val="24"/>
          <w:szCs w:val="24"/>
          <w:lang w:val="en-GB" w:eastAsia="sv-SE"/>
        </w:rPr>
        <w:t xml:space="preserve"> under Indent 13, the EBA seeks to oblige banks to review </w:t>
      </w:r>
      <w:r>
        <w:rPr>
          <w:rFonts w:ascii="Garamond" w:hAnsi="Garamond" w:cs="Garamond"/>
          <w:sz w:val="24"/>
          <w:szCs w:val="24"/>
          <w:lang w:val="en-GB" w:eastAsia="sv-SE"/>
        </w:rPr>
        <w:t>additional</w:t>
      </w:r>
      <w:r w:rsidR="00020071" w:rsidRPr="00020071">
        <w:rPr>
          <w:rFonts w:ascii="Garamond" w:hAnsi="Garamond" w:cs="Garamond"/>
          <w:sz w:val="24"/>
          <w:szCs w:val="24"/>
          <w:lang w:val="en-GB" w:eastAsia="sv-SE"/>
        </w:rPr>
        <w:t xml:space="preserve"> characteristics </w:t>
      </w:r>
      <w:r>
        <w:rPr>
          <w:rFonts w:ascii="Garamond" w:hAnsi="Garamond" w:cs="Garamond"/>
          <w:sz w:val="24"/>
          <w:szCs w:val="24"/>
          <w:lang w:val="en-GB" w:eastAsia="sv-SE"/>
        </w:rPr>
        <w:t>in order to assess</w:t>
      </w:r>
      <w:r w:rsidR="00020071" w:rsidRPr="00020071">
        <w:rPr>
          <w:rFonts w:ascii="Garamond" w:hAnsi="Garamond" w:cs="Garamond"/>
          <w:sz w:val="24"/>
          <w:szCs w:val="24"/>
          <w:lang w:val="en-GB" w:eastAsia="sv-SE"/>
        </w:rPr>
        <w:t xml:space="preserve"> whether they </w:t>
      </w:r>
      <w:r>
        <w:rPr>
          <w:rFonts w:ascii="Garamond" w:hAnsi="Garamond" w:cs="Garamond"/>
          <w:sz w:val="24"/>
          <w:szCs w:val="24"/>
          <w:lang w:val="en-GB" w:eastAsia="sv-SE"/>
        </w:rPr>
        <w:t>could</w:t>
      </w:r>
      <w:r w:rsidR="00020071" w:rsidRPr="00020071">
        <w:rPr>
          <w:rFonts w:ascii="Garamond" w:hAnsi="Garamond" w:cs="Garamond"/>
          <w:sz w:val="24"/>
          <w:szCs w:val="24"/>
          <w:lang w:val="en-GB" w:eastAsia="sv-SE"/>
        </w:rPr>
        <w:t xml:space="preserve"> be used as </w:t>
      </w:r>
      <w:r w:rsidR="00A962A5">
        <w:rPr>
          <w:rFonts w:ascii="Garamond" w:hAnsi="Garamond" w:cs="Garamond"/>
          <w:sz w:val="24"/>
          <w:szCs w:val="24"/>
          <w:lang w:val="en-GB" w:eastAsia="sv-SE"/>
        </w:rPr>
        <w:t xml:space="preserve">a </w:t>
      </w:r>
      <w:r w:rsidR="00020071" w:rsidRPr="00020071">
        <w:rPr>
          <w:rFonts w:ascii="Garamond" w:hAnsi="Garamond" w:cs="Garamond"/>
          <w:sz w:val="24"/>
          <w:szCs w:val="24"/>
          <w:lang w:val="en-GB" w:eastAsia="sv-SE"/>
        </w:rPr>
        <w:t xml:space="preserve">measure for higher outflow rates in the field of retail deposits. </w:t>
      </w:r>
      <w:r>
        <w:rPr>
          <w:rFonts w:ascii="Garamond" w:hAnsi="Garamond" w:cs="Garamond"/>
          <w:sz w:val="24"/>
          <w:szCs w:val="24"/>
          <w:lang w:val="en-GB" w:eastAsia="sv-SE"/>
        </w:rPr>
        <w:t>For this purpose</w:t>
      </w:r>
      <w:r w:rsidR="00020071" w:rsidRPr="00020071">
        <w:rPr>
          <w:rFonts w:ascii="Garamond" w:hAnsi="Garamond" w:cs="Garamond"/>
          <w:sz w:val="24"/>
          <w:szCs w:val="24"/>
          <w:lang w:val="en-GB" w:eastAsia="sv-SE"/>
        </w:rPr>
        <w:t>, Indent</w:t>
      </w:r>
      <w:r>
        <w:rPr>
          <w:rFonts w:ascii="Garamond" w:hAnsi="Garamond" w:cs="Garamond"/>
          <w:sz w:val="24"/>
          <w:szCs w:val="24"/>
          <w:lang w:val="en-GB" w:eastAsia="sv-SE"/>
        </w:rPr>
        <w:t>s</w:t>
      </w:r>
      <w:r w:rsidR="00020071" w:rsidRPr="00020071">
        <w:rPr>
          <w:rFonts w:ascii="Garamond" w:hAnsi="Garamond" w:cs="Garamond"/>
          <w:sz w:val="24"/>
          <w:szCs w:val="24"/>
          <w:lang w:val="en-GB" w:eastAsia="sv-SE"/>
        </w:rPr>
        <w:t xml:space="preserve"> 13.1 to 13.7 </w:t>
      </w:r>
      <w:r>
        <w:rPr>
          <w:rFonts w:ascii="Garamond" w:hAnsi="Garamond" w:cs="Garamond"/>
          <w:sz w:val="24"/>
          <w:szCs w:val="24"/>
          <w:lang w:val="en-GB" w:eastAsia="sv-SE"/>
        </w:rPr>
        <w:t>include a long list of</w:t>
      </w:r>
      <w:r w:rsidR="00020071" w:rsidRPr="00020071">
        <w:rPr>
          <w:rFonts w:ascii="Garamond" w:hAnsi="Garamond" w:cs="Garamond"/>
          <w:sz w:val="24"/>
          <w:szCs w:val="24"/>
          <w:lang w:val="en-GB" w:eastAsia="sv-SE"/>
        </w:rPr>
        <w:t xml:space="preserve"> requirements which would </w:t>
      </w:r>
      <w:r>
        <w:rPr>
          <w:rFonts w:ascii="Garamond" w:hAnsi="Garamond" w:cs="Garamond"/>
          <w:sz w:val="24"/>
          <w:szCs w:val="24"/>
          <w:lang w:val="en-GB" w:eastAsia="sv-SE"/>
        </w:rPr>
        <w:t xml:space="preserve">imply </w:t>
      </w:r>
      <w:r w:rsidR="00020071" w:rsidRPr="00020071">
        <w:rPr>
          <w:rFonts w:ascii="Garamond" w:hAnsi="Garamond" w:cs="Garamond"/>
          <w:sz w:val="24"/>
          <w:szCs w:val="24"/>
          <w:lang w:val="en-GB" w:eastAsia="sv-SE"/>
        </w:rPr>
        <w:t>considerable impleme</w:t>
      </w:r>
      <w:r>
        <w:rPr>
          <w:rFonts w:ascii="Garamond" w:hAnsi="Garamond" w:cs="Garamond"/>
          <w:sz w:val="24"/>
          <w:szCs w:val="24"/>
          <w:lang w:val="en-GB" w:eastAsia="sv-SE"/>
        </w:rPr>
        <w:t xml:space="preserve">ntation costs </w:t>
      </w:r>
      <w:r w:rsidR="00C72C84">
        <w:rPr>
          <w:rFonts w:ascii="Garamond" w:hAnsi="Garamond" w:cs="Garamond"/>
          <w:sz w:val="24"/>
          <w:szCs w:val="24"/>
          <w:lang w:val="en-GB" w:eastAsia="sv-SE"/>
        </w:rPr>
        <w:t>as they would entail</w:t>
      </w:r>
      <w:r>
        <w:rPr>
          <w:rFonts w:ascii="Garamond" w:hAnsi="Garamond" w:cs="Garamond"/>
          <w:sz w:val="24"/>
          <w:szCs w:val="24"/>
          <w:lang w:val="en-GB" w:eastAsia="sv-SE"/>
        </w:rPr>
        <w:t xml:space="preserve"> </w:t>
      </w:r>
      <w:r w:rsidR="00020071" w:rsidRPr="00020071">
        <w:rPr>
          <w:rFonts w:ascii="Garamond" w:hAnsi="Garamond" w:cs="Garamond"/>
          <w:sz w:val="24"/>
          <w:szCs w:val="24"/>
          <w:lang w:val="en-GB" w:eastAsia="sv-SE"/>
        </w:rPr>
        <w:t xml:space="preserve">the </w:t>
      </w:r>
      <w:r>
        <w:rPr>
          <w:rFonts w:ascii="Garamond" w:hAnsi="Garamond" w:cs="Garamond"/>
          <w:sz w:val="24"/>
          <w:szCs w:val="24"/>
          <w:lang w:val="en-GB" w:eastAsia="sv-SE"/>
        </w:rPr>
        <w:t>setting up of the</w:t>
      </w:r>
      <w:r w:rsidR="00020071" w:rsidRPr="00020071">
        <w:rPr>
          <w:rFonts w:ascii="Garamond" w:hAnsi="Garamond" w:cs="Garamond"/>
          <w:sz w:val="24"/>
          <w:szCs w:val="24"/>
          <w:lang w:val="en-GB" w:eastAsia="sv-SE"/>
        </w:rPr>
        <w:t xml:space="preserve"> new data requirements during the identification of the risk factors of individual t</w:t>
      </w:r>
      <w:r w:rsidR="00C72C84">
        <w:rPr>
          <w:rFonts w:ascii="Garamond" w:hAnsi="Garamond" w:cs="Garamond"/>
          <w:sz w:val="24"/>
          <w:szCs w:val="24"/>
          <w:lang w:val="en-GB" w:eastAsia="sv-SE"/>
        </w:rPr>
        <w:t>ransactions as well as the collection of</w:t>
      </w:r>
      <w:r w:rsidR="00020071" w:rsidRPr="00020071">
        <w:rPr>
          <w:rFonts w:ascii="Garamond" w:hAnsi="Garamond" w:cs="Garamond"/>
          <w:sz w:val="24"/>
          <w:szCs w:val="24"/>
          <w:lang w:val="en-GB" w:eastAsia="sv-SE"/>
        </w:rPr>
        <w:t xml:space="preserve"> data history for the respective categories needed in order to calculate an estimated outflow rate. </w:t>
      </w:r>
      <w:r w:rsidR="00C72C84">
        <w:rPr>
          <w:rFonts w:ascii="Garamond" w:hAnsi="Garamond" w:cs="Garamond"/>
          <w:sz w:val="24"/>
          <w:szCs w:val="24"/>
          <w:lang w:val="en-GB" w:eastAsia="sv-SE"/>
        </w:rPr>
        <w:t xml:space="preserve">In some cases </w:t>
      </w:r>
      <w:r w:rsidR="00020071" w:rsidRPr="00020071">
        <w:rPr>
          <w:rFonts w:ascii="Garamond" w:hAnsi="Garamond" w:cs="Garamond"/>
          <w:sz w:val="24"/>
          <w:szCs w:val="24"/>
          <w:lang w:val="en-GB" w:eastAsia="sv-SE"/>
        </w:rPr>
        <w:t>such data are non-existent on the level of the individual transaction or, moreover, on</w:t>
      </w:r>
      <w:r w:rsidR="00BF2304">
        <w:rPr>
          <w:rFonts w:ascii="Garamond" w:hAnsi="Garamond" w:cs="Garamond"/>
          <w:sz w:val="24"/>
          <w:szCs w:val="24"/>
          <w:lang w:val="en-GB" w:eastAsia="sv-SE"/>
        </w:rPr>
        <w:t xml:space="preserve"> an aggregated customer level. </w:t>
      </w:r>
      <w:r w:rsidR="005A499C">
        <w:rPr>
          <w:rFonts w:ascii="Garamond" w:hAnsi="Garamond" w:cs="Garamond"/>
          <w:sz w:val="24"/>
          <w:szCs w:val="24"/>
          <w:lang w:val="en-GB" w:eastAsia="sv-SE"/>
        </w:rPr>
        <w:t>The</w:t>
      </w:r>
      <w:r w:rsidR="005A499C" w:rsidRPr="00020071">
        <w:rPr>
          <w:rFonts w:ascii="Garamond" w:hAnsi="Garamond" w:cs="Garamond"/>
          <w:sz w:val="24"/>
          <w:szCs w:val="24"/>
          <w:lang w:val="en-GB" w:eastAsia="sv-SE"/>
        </w:rPr>
        <w:t xml:space="preserve"> amount of additional liquidity outflows which could be identified by </w:t>
      </w:r>
      <w:r w:rsidR="005A499C">
        <w:rPr>
          <w:rFonts w:ascii="Garamond" w:hAnsi="Garamond" w:cs="Garamond"/>
          <w:sz w:val="24"/>
          <w:szCs w:val="24"/>
          <w:lang w:val="en-GB" w:eastAsia="sv-SE"/>
        </w:rPr>
        <w:t xml:space="preserve">the </w:t>
      </w:r>
      <w:r w:rsidR="005A499C" w:rsidRPr="00020071">
        <w:rPr>
          <w:rFonts w:ascii="Garamond" w:hAnsi="Garamond" w:cs="Garamond"/>
          <w:sz w:val="24"/>
          <w:szCs w:val="24"/>
          <w:lang w:val="en-GB" w:eastAsia="sv-SE"/>
        </w:rPr>
        <w:t xml:space="preserve">means of these models and which are not already covered by other criteria would be extremely low. In our opinion, </w:t>
      </w:r>
      <w:r w:rsidR="00BF2304">
        <w:rPr>
          <w:rFonts w:ascii="Garamond" w:hAnsi="Garamond" w:cs="Garamond"/>
          <w:sz w:val="24"/>
          <w:szCs w:val="24"/>
          <w:lang w:val="en-GB" w:eastAsia="sv-SE"/>
        </w:rPr>
        <w:t>the overall cost-benefit impact will be negative</w:t>
      </w:r>
      <w:r w:rsidR="005A499C" w:rsidRPr="00020071">
        <w:rPr>
          <w:rFonts w:ascii="Garamond" w:hAnsi="Garamond" w:cs="Garamond"/>
          <w:sz w:val="24"/>
          <w:szCs w:val="24"/>
          <w:lang w:val="en-GB" w:eastAsia="sv-SE"/>
        </w:rPr>
        <w:t xml:space="preserve">. Hence, we recommend deleting Indent 13. </w:t>
      </w:r>
    </w:p>
    <w:p w:rsidR="00020071" w:rsidRPr="00020071" w:rsidRDefault="005A499C" w:rsidP="00C72C84">
      <w:pPr>
        <w:spacing w:line="240" w:lineRule="auto"/>
        <w:jc w:val="both"/>
        <w:rPr>
          <w:rFonts w:ascii="Garamond" w:hAnsi="Garamond" w:cs="Garamond"/>
          <w:sz w:val="24"/>
          <w:szCs w:val="24"/>
          <w:lang w:val="en-GB" w:eastAsia="sv-SE"/>
        </w:rPr>
      </w:pPr>
      <w:r>
        <w:rPr>
          <w:rFonts w:ascii="Garamond" w:hAnsi="Garamond" w:cs="Garamond"/>
          <w:sz w:val="24"/>
          <w:szCs w:val="24"/>
          <w:lang w:val="en-GB" w:eastAsia="sv-SE"/>
        </w:rPr>
        <w:t>In this sense, w</w:t>
      </w:r>
      <w:r w:rsidR="00C72C84">
        <w:rPr>
          <w:rFonts w:ascii="Garamond" w:hAnsi="Garamond" w:cs="Garamond"/>
          <w:sz w:val="24"/>
          <w:szCs w:val="24"/>
          <w:lang w:val="en-GB" w:eastAsia="sv-SE"/>
        </w:rPr>
        <w:t>e would like to express our disagreement with the</w:t>
      </w:r>
      <w:r w:rsidR="00020071" w:rsidRPr="00020071">
        <w:rPr>
          <w:rFonts w:ascii="Garamond" w:hAnsi="Garamond" w:cs="Garamond"/>
          <w:sz w:val="24"/>
          <w:szCs w:val="24"/>
          <w:lang w:val="en-GB" w:eastAsia="sv-SE"/>
        </w:rPr>
        <w:t xml:space="preserve"> proposal for calculating retail deposi</w:t>
      </w:r>
      <w:r w:rsidR="00C72C84">
        <w:rPr>
          <w:rFonts w:ascii="Garamond" w:hAnsi="Garamond" w:cs="Garamond"/>
          <w:sz w:val="24"/>
          <w:szCs w:val="24"/>
          <w:lang w:val="en-GB" w:eastAsia="sv-SE"/>
        </w:rPr>
        <w:t>ts featuring different outflows. In fact, we are extremely concerned by</w:t>
      </w:r>
      <w:r w:rsidR="00020071" w:rsidRPr="00020071">
        <w:rPr>
          <w:rFonts w:ascii="Garamond" w:hAnsi="Garamond" w:cs="Garamond"/>
          <w:sz w:val="24"/>
          <w:szCs w:val="24"/>
          <w:lang w:val="en-GB" w:eastAsia="sv-SE"/>
        </w:rPr>
        <w:t xml:space="preserve"> the considerable implementation costs involved as well </w:t>
      </w:r>
      <w:r w:rsidR="00C72C84">
        <w:rPr>
          <w:rFonts w:ascii="Garamond" w:hAnsi="Garamond" w:cs="Garamond"/>
          <w:sz w:val="24"/>
          <w:szCs w:val="24"/>
          <w:lang w:val="en-GB" w:eastAsia="sv-SE"/>
        </w:rPr>
        <w:t xml:space="preserve">as </w:t>
      </w:r>
      <w:r w:rsidR="00020071" w:rsidRPr="00020071">
        <w:rPr>
          <w:rFonts w:ascii="Garamond" w:hAnsi="Garamond" w:cs="Garamond"/>
          <w:sz w:val="24"/>
          <w:szCs w:val="24"/>
          <w:lang w:val="en-GB" w:eastAsia="sv-SE"/>
        </w:rPr>
        <w:t xml:space="preserve">the short implementation period. </w:t>
      </w:r>
      <w:r w:rsidR="00C72C84">
        <w:rPr>
          <w:rFonts w:ascii="Garamond" w:hAnsi="Garamond" w:cs="Garamond"/>
          <w:sz w:val="24"/>
          <w:szCs w:val="24"/>
          <w:lang w:val="en-GB" w:eastAsia="sv-SE"/>
        </w:rPr>
        <w:t>Generally speaking, we consider that the</w:t>
      </w:r>
      <w:r w:rsidR="00C72C84" w:rsidRPr="00C72C84">
        <w:rPr>
          <w:rFonts w:ascii="Garamond" w:hAnsi="Garamond" w:cs="Garamond"/>
          <w:sz w:val="24"/>
          <w:szCs w:val="24"/>
          <w:lang w:val="en-GB" w:eastAsia="sv-SE"/>
        </w:rPr>
        <w:t xml:space="preserve"> methodology is really complex to implement compared to the additional outflows</w:t>
      </w:r>
      <w:r w:rsidR="00C72C84">
        <w:rPr>
          <w:rFonts w:ascii="Garamond" w:hAnsi="Garamond" w:cs="Garamond"/>
          <w:sz w:val="24"/>
          <w:szCs w:val="24"/>
          <w:lang w:val="en-GB" w:eastAsia="sv-SE"/>
        </w:rPr>
        <w:t xml:space="preserve"> provided in ter</w:t>
      </w:r>
      <w:r w:rsidR="00BF2304">
        <w:rPr>
          <w:rFonts w:ascii="Garamond" w:hAnsi="Garamond" w:cs="Garamond"/>
          <w:sz w:val="24"/>
          <w:szCs w:val="24"/>
          <w:lang w:val="en-GB" w:eastAsia="sv-SE"/>
        </w:rPr>
        <w:t>ms of the available information</w:t>
      </w:r>
      <w:r w:rsidR="00C72C84">
        <w:rPr>
          <w:rFonts w:ascii="Garamond" w:hAnsi="Garamond" w:cs="Garamond"/>
          <w:sz w:val="24"/>
          <w:szCs w:val="24"/>
          <w:lang w:val="en-GB" w:eastAsia="sv-SE"/>
        </w:rPr>
        <w:t xml:space="preserve">. </w:t>
      </w:r>
      <w:r>
        <w:rPr>
          <w:rFonts w:ascii="Garamond" w:hAnsi="Garamond" w:cs="Garamond"/>
          <w:sz w:val="24"/>
          <w:szCs w:val="24"/>
          <w:lang w:val="en-GB" w:eastAsia="sv-SE"/>
        </w:rPr>
        <w:t>Furthermore, we understand that it is</w:t>
      </w:r>
      <w:r w:rsidRPr="00C72C84">
        <w:rPr>
          <w:rFonts w:ascii="Garamond" w:hAnsi="Garamond" w:cs="Garamond"/>
          <w:sz w:val="24"/>
          <w:szCs w:val="24"/>
          <w:lang w:val="en-GB" w:eastAsia="sv-SE"/>
        </w:rPr>
        <w:t xml:space="preserve"> quite difficult to co</w:t>
      </w:r>
      <w:r>
        <w:rPr>
          <w:rFonts w:ascii="Garamond" w:hAnsi="Garamond" w:cs="Garamond"/>
          <w:sz w:val="24"/>
          <w:szCs w:val="24"/>
          <w:lang w:val="en-GB" w:eastAsia="sv-SE"/>
        </w:rPr>
        <w:t xml:space="preserve">mbine </w:t>
      </w:r>
      <w:r w:rsidRPr="00C72C84">
        <w:rPr>
          <w:rFonts w:ascii="Garamond" w:hAnsi="Garamond" w:cs="Garamond"/>
          <w:sz w:val="24"/>
          <w:szCs w:val="24"/>
          <w:lang w:val="en-GB" w:eastAsia="sv-SE"/>
        </w:rPr>
        <w:t xml:space="preserve">with a D+15 remittance for </w:t>
      </w:r>
      <w:r>
        <w:rPr>
          <w:rFonts w:ascii="Garamond" w:hAnsi="Garamond" w:cs="Garamond"/>
          <w:sz w:val="24"/>
          <w:szCs w:val="24"/>
          <w:lang w:val="en-GB" w:eastAsia="sv-SE"/>
        </w:rPr>
        <w:t>such a</w:t>
      </w:r>
      <w:r w:rsidRPr="00C72C84">
        <w:rPr>
          <w:rFonts w:ascii="Garamond" w:hAnsi="Garamond" w:cs="Garamond"/>
          <w:sz w:val="24"/>
          <w:szCs w:val="24"/>
          <w:lang w:val="en-GB" w:eastAsia="sv-SE"/>
        </w:rPr>
        <w:t xml:space="preserve"> light effect.</w:t>
      </w:r>
      <w:r>
        <w:rPr>
          <w:rFonts w:ascii="Garamond" w:hAnsi="Garamond" w:cs="Garamond"/>
          <w:sz w:val="24"/>
          <w:szCs w:val="24"/>
          <w:lang w:val="en-GB" w:eastAsia="sv-SE"/>
        </w:rPr>
        <w:t xml:space="preserve"> </w:t>
      </w:r>
    </w:p>
    <w:p w:rsidR="00020071" w:rsidRDefault="00020071" w:rsidP="00F81E60">
      <w:pPr>
        <w:spacing w:line="240" w:lineRule="auto"/>
        <w:jc w:val="both"/>
        <w:rPr>
          <w:rFonts w:ascii="Garamond" w:hAnsi="Garamond" w:cs="Garamond"/>
          <w:sz w:val="24"/>
          <w:szCs w:val="24"/>
          <w:lang w:val="en-GB" w:eastAsia="sv-SE"/>
        </w:rPr>
      </w:pPr>
      <w:r w:rsidRPr="00020071">
        <w:rPr>
          <w:rFonts w:ascii="Garamond" w:hAnsi="Garamond" w:cs="Garamond"/>
          <w:sz w:val="24"/>
          <w:szCs w:val="24"/>
          <w:lang w:val="en-GB" w:eastAsia="sv-SE"/>
        </w:rPr>
        <w:t xml:space="preserve">Such a comprehensive calculation of risk parameters is </w:t>
      </w:r>
      <w:r w:rsidR="005A499C">
        <w:rPr>
          <w:rFonts w:ascii="Garamond" w:hAnsi="Garamond" w:cs="Garamond"/>
          <w:sz w:val="24"/>
          <w:szCs w:val="24"/>
          <w:lang w:val="en-GB" w:eastAsia="sv-SE"/>
        </w:rPr>
        <w:t>particularly</w:t>
      </w:r>
      <w:r w:rsidRPr="00020071">
        <w:rPr>
          <w:rFonts w:ascii="Garamond" w:hAnsi="Garamond" w:cs="Garamond"/>
          <w:sz w:val="24"/>
          <w:szCs w:val="24"/>
          <w:lang w:val="en-GB" w:eastAsia="sv-SE"/>
        </w:rPr>
        <w:t xml:space="preserve"> unrealistic for smaller banks with a business model </w:t>
      </w:r>
      <w:r w:rsidR="00F81E60">
        <w:rPr>
          <w:rFonts w:ascii="Garamond" w:hAnsi="Garamond" w:cs="Garamond"/>
          <w:sz w:val="24"/>
          <w:szCs w:val="24"/>
          <w:lang w:val="en-GB" w:eastAsia="sv-SE"/>
        </w:rPr>
        <w:t>based on</w:t>
      </w:r>
      <w:r w:rsidRPr="00020071">
        <w:rPr>
          <w:rFonts w:ascii="Garamond" w:hAnsi="Garamond" w:cs="Garamond"/>
          <w:sz w:val="24"/>
          <w:szCs w:val="24"/>
          <w:lang w:val="en-GB" w:eastAsia="sv-SE"/>
        </w:rPr>
        <w:t xml:space="preserve"> retail clients and SMEs. </w:t>
      </w:r>
      <w:r w:rsidR="005A499C">
        <w:rPr>
          <w:rFonts w:ascii="Garamond" w:hAnsi="Garamond" w:cs="Garamond"/>
          <w:sz w:val="24"/>
          <w:szCs w:val="24"/>
          <w:lang w:val="en-GB" w:eastAsia="sv-SE"/>
        </w:rPr>
        <w:t>Especially</w:t>
      </w:r>
      <w:r w:rsidR="005A499C" w:rsidRPr="00C72C84">
        <w:rPr>
          <w:rFonts w:ascii="Garamond" w:hAnsi="Garamond" w:cs="Garamond"/>
          <w:sz w:val="24"/>
          <w:szCs w:val="24"/>
          <w:lang w:val="en-GB" w:eastAsia="sv-SE"/>
        </w:rPr>
        <w:t xml:space="preserve"> </w:t>
      </w:r>
      <w:r w:rsidR="005A499C">
        <w:rPr>
          <w:rFonts w:ascii="Garamond" w:hAnsi="Garamond" w:cs="Garamond"/>
          <w:sz w:val="24"/>
          <w:szCs w:val="24"/>
          <w:lang w:val="en-GB" w:eastAsia="sv-SE"/>
        </w:rPr>
        <w:t>for</w:t>
      </w:r>
      <w:r w:rsidR="005A499C" w:rsidRPr="00C72C84">
        <w:rPr>
          <w:rFonts w:ascii="Garamond" w:hAnsi="Garamond" w:cs="Garamond"/>
          <w:sz w:val="24"/>
          <w:szCs w:val="24"/>
          <w:lang w:val="en-GB" w:eastAsia="sv-SE"/>
        </w:rPr>
        <w:t xml:space="preserve"> </w:t>
      </w:r>
      <w:r w:rsidR="005A499C">
        <w:rPr>
          <w:rFonts w:ascii="Garamond" w:hAnsi="Garamond" w:cs="Garamond"/>
          <w:sz w:val="24"/>
          <w:szCs w:val="24"/>
          <w:lang w:val="en-GB" w:eastAsia="sv-SE"/>
        </w:rPr>
        <w:t xml:space="preserve">the </w:t>
      </w:r>
      <w:r w:rsidR="005A499C" w:rsidRPr="00C72C84">
        <w:rPr>
          <w:rFonts w:ascii="Garamond" w:hAnsi="Garamond" w:cs="Garamond"/>
          <w:sz w:val="24"/>
          <w:szCs w:val="24"/>
          <w:lang w:val="en-GB" w:eastAsia="sv-SE"/>
        </w:rPr>
        <w:t xml:space="preserve">savings banks, the implementation </w:t>
      </w:r>
      <w:r w:rsidR="005A499C">
        <w:rPr>
          <w:rFonts w:ascii="Garamond" w:hAnsi="Garamond" w:cs="Garamond"/>
          <w:sz w:val="24"/>
          <w:szCs w:val="24"/>
          <w:lang w:val="en-GB" w:eastAsia="sv-SE"/>
        </w:rPr>
        <w:t xml:space="preserve">cost </w:t>
      </w:r>
      <w:r w:rsidR="005A499C" w:rsidRPr="00C72C84">
        <w:rPr>
          <w:rFonts w:ascii="Garamond" w:hAnsi="Garamond" w:cs="Garamond"/>
          <w:sz w:val="24"/>
          <w:szCs w:val="24"/>
          <w:lang w:val="en-GB" w:eastAsia="sv-SE"/>
        </w:rPr>
        <w:t xml:space="preserve">is foreseen </w:t>
      </w:r>
      <w:r w:rsidR="005A499C">
        <w:rPr>
          <w:rFonts w:ascii="Garamond" w:hAnsi="Garamond" w:cs="Garamond"/>
          <w:sz w:val="24"/>
          <w:szCs w:val="24"/>
          <w:lang w:val="en-GB" w:eastAsia="sv-SE"/>
        </w:rPr>
        <w:t>to be</w:t>
      </w:r>
      <w:r w:rsidR="005A499C" w:rsidRPr="00C72C84">
        <w:rPr>
          <w:rFonts w:ascii="Garamond" w:hAnsi="Garamond" w:cs="Garamond"/>
          <w:sz w:val="24"/>
          <w:szCs w:val="24"/>
          <w:lang w:val="en-GB" w:eastAsia="sv-SE"/>
        </w:rPr>
        <w:t xml:space="preserve"> </w:t>
      </w:r>
      <w:r w:rsidR="005A499C">
        <w:rPr>
          <w:rFonts w:ascii="Garamond" w:hAnsi="Garamond" w:cs="Garamond"/>
          <w:sz w:val="24"/>
          <w:szCs w:val="24"/>
          <w:lang w:val="en-GB" w:eastAsia="sv-SE"/>
        </w:rPr>
        <w:t>sizeable</w:t>
      </w:r>
      <w:r w:rsidR="005A499C" w:rsidRPr="00C72C84">
        <w:rPr>
          <w:rFonts w:ascii="Garamond" w:hAnsi="Garamond" w:cs="Garamond"/>
          <w:sz w:val="24"/>
          <w:szCs w:val="24"/>
          <w:lang w:val="en-GB" w:eastAsia="sv-SE"/>
        </w:rPr>
        <w:t xml:space="preserve">. </w:t>
      </w:r>
      <w:r w:rsidRPr="00020071">
        <w:rPr>
          <w:rFonts w:ascii="Garamond" w:hAnsi="Garamond" w:cs="Garamond"/>
          <w:sz w:val="24"/>
          <w:szCs w:val="24"/>
          <w:lang w:val="en-GB" w:eastAsia="sv-SE"/>
        </w:rPr>
        <w:t xml:space="preserve">For the calculation of more volatile deposits, the EBA suggests using the deposit level (aggregated deposits per person) as a risk factor. </w:t>
      </w:r>
      <w:r w:rsidR="0050210D">
        <w:rPr>
          <w:rFonts w:ascii="Garamond" w:hAnsi="Garamond" w:cs="Garamond"/>
          <w:sz w:val="24"/>
          <w:szCs w:val="24"/>
          <w:lang w:val="en-GB" w:eastAsia="sv-SE"/>
        </w:rPr>
        <w:t>Therefore, we would like to</w:t>
      </w:r>
      <w:r w:rsidRPr="00020071">
        <w:rPr>
          <w:rFonts w:ascii="Garamond" w:hAnsi="Garamond" w:cs="Garamond"/>
          <w:sz w:val="24"/>
          <w:szCs w:val="24"/>
          <w:lang w:val="en-GB" w:eastAsia="sv-SE"/>
        </w:rPr>
        <w:t xml:space="preserve"> suggest introducing an absolute fixed threshold that shall be based on the level of the deposits below which the test </w:t>
      </w:r>
      <w:r w:rsidR="005A499C">
        <w:rPr>
          <w:rFonts w:ascii="Garamond" w:hAnsi="Garamond" w:cs="Garamond"/>
          <w:sz w:val="24"/>
          <w:szCs w:val="24"/>
          <w:lang w:val="en-GB" w:eastAsia="sv-SE"/>
        </w:rPr>
        <w:t>included Art. 421(3) CRR should not apply</w:t>
      </w:r>
      <w:r w:rsidRPr="00020071">
        <w:rPr>
          <w:rFonts w:ascii="Garamond" w:hAnsi="Garamond" w:cs="Garamond"/>
          <w:sz w:val="24"/>
          <w:szCs w:val="24"/>
          <w:lang w:val="en-GB" w:eastAsia="sv-SE"/>
        </w:rPr>
        <w:t xml:space="preserve">. </w:t>
      </w:r>
    </w:p>
    <w:p w:rsidR="005A499C" w:rsidRPr="00020071" w:rsidRDefault="005A499C" w:rsidP="00F81E60">
      <w:pPr>
        <w:spacing w:line="240" w:lineRule="auto"/>
        <w:jc w:val="both"/>
        <w:rPr>
          <w:rFonts w:ascii="Garamond" w:hAnsi="Garamond" w:cs="Garamond"/>
          <w:sz w:val="24"/>
          <w:szCs w:val="24"/>
          <w:lang w:val="en-GB" w:eastAsia="sv-SE"/>
        </w:rPr>
      </w:pPr>
    </w:p>
    <w:p w:rsidR="00020071" w:rsidRDefault="00BF2304" w:rsidP="00F81E60">
      <w:pPr>
        <w:spacing w:line="240" w:lineRule="auto"/>
        <w:jc w:val="both"/>
        <w:rPr>
          <w:rFonts w:ascii="Garamond" w:hAnsi="Garamond" w:cs="Garamond"/>
          <w:sz w:val="24"/>
          <w:szCs w:val="24"/>
          <w:lang w:val="en-GB" w:eastAsia="sv-SE"/>
        </w:rPr>
      </w:pPr>
      <w:r>
        <w:rPr>
          <w:rFonts w:ascii="Garamond" w:hAnsi="Garamond" w:cs="Garamond"/>
          <w:sz w:val="24"/>
          <w:szCs w:val="24"/>
          <w:lang w:val="en-GB" w:eastAsia="sv-SE"/>
        </w:rPr>
        <w:lastRenderedPageBreak/>
        <w:t xml:space="preserve">Therefore, </w:t>
      </w:r>
      <w:r w:rsidR="00A962A5">
        <w:rPr>
          <w:rFonts w:ascii="Garamond" w:hAnsi="Garamond" w:cs="Garamond"/>
          <w:sz w:val="24"/>
          <w:szCs w:val="24"/>
          <w:lang w:val="en-GB" w:eastAsia="sv-SE"/>
        </w:rPr>
        <w:t>if</w:t>
      </w:r>
      <w:r w:rsidR="00020071" w:rsidRPr="00020071">
        <w:rPr>
          <w:rFonts w:ascii="Garamond" w:hAnsi="Garamond" w:cs="Garamond"/>
          <w:sz w:val="24"/>
          <w:szCs w:val="24"/>
          <w:lang w:val="en-GB" w:eastAsia="sv-SE"/>
        </w:rPr>
        <w:t xml:space="preserve"> a bank </w:t>
      </w:r>
      <w:r w:rsidR="00A962A5">
        <w:rPr>
          <w:rFonts w:ascii="Garamond" w:hAnsi="Garamond" w:cs="Garamond"/>
          <w:sz w:val="24"/>
          <w:szCs w:val="24"/>
          <w:lang w:val="en-GB" w:eastAsia="sv-SE"/>
        </w:rPr>
        <w:t>were to be</w:t>
      </w:r>
      <w:r w:rsidR="00020071" w:rsidRPr="00020071">
        <w:rPr>
          <w:rFonts w:ascii="Garamond" w:hAnsi="Garamond" w:cs="Garamond"/>
          <w:sz w:val="24"/>
          <w:szCs w:val="24"/>
          <w:lang w:val="en-GB" w:eastAsia="sv-SE"/>
        </w:rPr>
        <w:t xml:space="preserve"> incapable of carrying out the required calculations or if the calculation were to be economically unviable in light of a bank’s retail deposit volume, supervisory authorities should stipulate (within the meaning of a “fallback approach”) outflow factors, too. </w:t>
      </w:r>
    </w:p>
    <w:p w:rsidR="005A499C" w:rsidRPr="00020071" w:rsidRDefault="005A499C" w:rsidP="00F81E60">
      <w:pPr>
        <w:spacing w:line="240" w:lineRule="auto"/>
        <w:jc w:val="both"/>
        <w:rPr>
          <w:rFonts w:ascii="Garamond" w:hAnsi="Garamond" w:cs="Garamond"/>
          <w:sz w:val="24"/>
          <w:szCs w:val="24"/>
          <w:lang w:val="en-GB" w:eastAsia="sv-SE"/>
        </w:rPr>
      </w:pPr>
      <w:r>
        <w:rPr>
          <w:rFonts w:ascii="Garamond" w:hAnsi="Garamond" w:cs="Garamond"/>
          <w:sz w:val="24"/>
          <w:szCs w:val="24"/>
          <w:lang w:val="en-GB" w:eastAsia="sv-SE"/>
        </w:rPr>
        <w:t xml:space="preserve">We are also concerned about the lack of autonomy that this proposal will create. The establishment of a binding risk factor hierarchy will impede banks to carry on using their own established categories. </w:t>
      </w:r>
      <w:r w:rsidR="004F5368">
        <w:rPr>
          <w:rFonts w:ascii="Garamond" w:hAnsi="Garamond" w:cs="Garamond"/>
          <w:sz w:val="24"/>
          <w:szCs w:val="24"/>
          <w:lang w:val="en-GB" w:eastAsia="sv-SE"/>
        </w:rPr>
        <w:t>In our view</w:t>
      </w:r>
      <w:r>
        <w:rPr>
          <w:rFonts w:ascii="Garamond" w:hAnsi="Garamond" w:cs="Garamond"/>
          <w:sz w:val="24"/>
          <w:szCs w:val="24"/>
          <w:lang w:val="en-GB" w:eastAsia="sv-SE"/>
        </w:rPr>
        <w:t xml:space="preserve"> the </w:t>
      </w:r>
      <w:proofErr w:type="spellStart"/>
      <w:r w:rsidRPr="005A499C">
        <w:rPr>
          <w:rFonts w:ascii="Garamond" w:hAnsi="Garamond" w:cs="Garamond"/>
          <w:sz w:val="24"/>
          <w:szCs w:val="24"/>
          <w:lang w:val="en-GB" w:eastAsia="sv-SE"/>
        </w:rPr>
        <w:t>EBA</w:t>
      </w:r>
      <w:proofErr w:type="spellEnd"/>
      <w:r w:rsidRPr="005A499C">
        <w:rPr>
          <w:rFonts w:ascii="Garamond" w:hAnsi="Garamond" w:cs="Garamond"/>
          <w:sz w:val="24"/>
          <w:szCs w:val="24"/>
          <w:lang w:val="en-GB" w:eastAsia="sv-SE"/>
        </w:rPr>
        <w:t xml:space="preserve"> should either </w:t>
      </w:r>
      <w:r>
        <w:rPr>
          <w:rFonts w:ascii="Garamond" w:hAnsi="Garamond" w:cs="Garamond"/>
          <w:sz w:val="24"/>
          <w:szCs w:val="24"/>
          <w:lang w:val="en-GB" w:eastAsia="sv-SE"/>
        </w:rPr>
        <w:t xml:space="preserve">provide </w:t>
      </w:r>
      <w:r w:rsidRPr="005A499C">
        <w:rPr>
          <w:rFonts w:ascii="Garamond" w:hAnsi="Garamond" w:cs="Garamond"/>
          <w:sz w:val="24"/>
          <w:szCs w:val="24"/>
          <w:lang w:val="en-GB" w:eastAsia="sv-SE"/>
        </w:rPr>
        <w:t xml:space="preserve">the full guidelines or let </w:t>
      </w:r>
      <w:r>
        <w:rPr>
          <w:rFonts w:ascii="Garamond" w:hAnsi="Garamond" w:cs="Garamond"/>
          <w:sz w:val="24"/>
          <w:szCs w:val="24"/>
          <w:lang w:val="en-GB" w:eastAsia="sv-SE"/>
        </w:rPr>
        <w:t xml:space="preserve">banks </w:t>
      </w:r>
      <w:r w:rsidR="00BF2304">
        <w:rPr>
          <w:rFonts w:ascii="Garamond" w:hAnsi="Garamond" w:cs="Garamond"/>
          <w:sz w:val="24"/>
          <w:szCs w:val="24"/>
          <w:lang w:val="en-GB" w:eastAsia="sv-SE"/>
        </w:rPr>
        <w:t>continue</w:t>
      </w:r>
      <w:r>
        <w:rPr>
          <w:rFonts w:ascii="Garamond" w:hAnsi="Garamond" w:cs="Garamond"/>
          <w:sz w:val="24"/>
          <w:szCs w:val="24"/>
          <w:lang w:val="en-GB" w:eastAsia="sv-SE"/>
        </w:rPr>
        <w:t xml:space="preserve"> using their own</w:t>
      </w:r>
      <w:r w:rsidRPr="005A499C">
        <w:rPr>
          <w:rFonts w:ascii="Garamond" w:hAnsi="Garamond" w:cs="Garamond"/>
          <w:sz w:val="24"/>
          <w:szCs w:val="24"/>
          <w:lang w:val="en-GB" w:eastAsia="sv-SE"/>
        </w:rPr>
        <w:t xml:space="preserve"> internal models.</w:t>
      </w:r>
      <w:r>
        <w:rPr>
          <w:rFonts w:ascii="Garamond" w:hAnsi="Garamond" w:cs="Garamond"/>
          <w:sz w:val="24"/>
          <w:szCs w:val="24"/>
          <w:lang w:val="en-GB" w:eastAsia="sv-SE"/>
        </w:rPr>
        <w:t xml:space="preserve"> </w:t>
      </w:r>
    </w:p>
    <w:p w:rsidR="00020071" w:rsidRPr="00020071" w:rsidRDefault="00A962A5" w:rsidP="00F81E60">
      <w:pPr>
        <w:spacing w:line="240" w:lineRule="auto"/>
        <w:jc w:val="both"/>
        <w:rPr>
          <w:rFonts w:ascii="Garamond" w:hAnsi="Garamond" w:cs="Garamond"/>
          <w:sz w:val="24"/>
          <w:szCs w:val="24"/>
          <w:lang w:val="en-GB" w:eastAsia="sv-SE"/>
        </w:rPr>
      </w:pPr>
      <w:r>
        <w:rPr>
          <w:rFonts w:ascii="Garamond" w:hAnsi="Garamond" w:cs="Garamond"/>
          <w:sz w:val="24"/>
          <w:szCs w:val="24"/>
          <w:lang w:val="en-GB" w:eastAsia="sv-SE"/>
        </w:rPr>
        <w:t>Final</w:t>
      </w:r>
      <w:r w:rsidR="00F81E60">
        <w:rPr>
          <w:rFonts w:ascii="Garamond" w:hAnsi="Garamond" w:cs="Garamond"/>
          <w:sz w:val="24"/>
          <w:szCs w:val="24"/>
          <w:lang w:val="en-GB" w:eastAsia="sv-SE"/>
        </w:rPr>
        <w:t>ly</w:t>
      </w:r>
      <w:r w:rsidR="00020071" w:rsidRPr="00020071">
        <w:rPr>
          <w:rFonts w:ascii="Garamond" w:hAnsi="Garamond" w:cs="Garamond"/>
          <w:sz w:val="24"/>
          <w:szCs w:val="24"/>
          <w:lang w:val="en-GB" w:eastAsia="sv-SE"/>
        </w:rPr>
        <w:t xml:space="preserve">, we </w:t>
      </w:r>
      <w:r w:rsidR="00BF2304">
        <w:rPr>
          <w:rFonts w:ascii="Garamond" w:hAnsi="Garamond" w:cs="Garamond"/>
          <w:sz w:val="24"/>
          <w:szCs w:val="24"/>
          <w:lang w:val="en-GB" w:eastAsia="sv-SE"/>
        </w:rPr>
        <w:t>would like to express our doubts as to</w:t>
      </w:r>
      <w:r w:rsidR="00020071" w:rsidRPr="00020071">
        <w:rPr>
          <w:rFonts w:ascii="Garamond" w:hAnsi="Garamond" w:cs="Garamond"/>
          <w:sz w:val="24"/>
          <w:szCs w:val="24"/>
          <w:lang w:val="en-GB" w:eastAsia="sv-SE"/>
        </w:rPr>
        <w:t xml:space="preserve"> the fixed buckets a</w:t>
      </w:r>
      <w:r w:rsidR="00BF2304">
        <w:rPr>
          <w:rFonts w:ascii="Garamond" w:hAnsi="Garamond" w:cs="Garamond"/>
          <w:sz w:val="24"/>
          <w:szCs w:val="24"/>
          <w:lang w:val="en-GB" w:eastAsia="sv-SE"/>
        </w:rPr>
        <w:t>ssigned to individual products. In</w:t>
      </w:r>
      <w:r w:rsidR="00020071" w:rsidRPr="00020071">
        <w:rPr>
          <w:rFonts w:ascii="Garamond" w:hAnsi="Garamond" w:cs="Garamond"/>
          <w:sz w:val="24"/>
          <w:szCs w:val="24"/>
          <w:lang w:val="en-GB" w:eastAsia="sv-SE"/>
        </w:rPr>
        <w:t xml:space="preserve"> our opinion the </w:t>
      </w:r>
      <w:r w:rsidR="00BF2304">
        <w:rPr>
          <w:rFonts w:ascii="Garamond" w:hAnsi="Garamond" w:cs="Garamond"/>
          <w:sz w:val="24"/>
          <w:szCs w:val="24"/>
          <w:lang w:val="en-GB" w:eastAsia="sv-SE"/>
        </w:rPr>
        <w:t>approach by which</w:t>
      </w:r>
      <w:r w:rsidR="00020071" w:rsidRPr="00020071">
        <w:rPr>
          <w:rFonts w:ascii="Garamond" w:hAnsi="Garamond" w:cs="Garamond"/>
          <w:sz w:val="24"/>
          <w:szCs w:val="24"/>
          <w:lang w:val="en-GB" w:eastAsia="sv-SE"/>
        </w:rPr>
        <w:t xml:space="preserve"> fixed-term deposits shall be deemed as inherently less stable deposits is </w:t>
      </w:r>
      <w:r w:rsidR="005A499C">
        <w:rPr>
          <w:rFonts w:ascii="Garamond" w:hAnsi="Garamond" w:cs="Garamond"/>
          <w:sz w:val="24"/>
          <w:szCs w:val="24"/>
          <w:lang w:val="en-GB" w:eastAsia="sv-SE"/>
        </w:rPr>
        <w:t>not consistent</w:t>
      </w:r>
      <w:r w:rsidR="00020071" w:rsidRPr="00020071">
        <w:rPr>
          <w:rFonts w:ascii="Garamond" w:hAnsi="Garamond" w:cs="Garamond"/>
          <w:sz w:val="24"/>
          <w:szCs w:val="24"/>
          <w:lang w:val="en-GB" w:eastAsia="sv-SE"/>
        </w:rPr>
        <w:t xml:space="preserve">. Such a simplistic assessment completely ignores the option of a prolongation for these deposits. At this juncture, a more differentiated presentation would be helpful. </w:t>
      </w:r>
    </w:p>
    <w:p w:rsidR="00020071" w:rsidRPr="00020071" w:rsidRDefault="00020071" w:rsidP="00F81E60">
      <w:pPr>
        <w:spacing w:line="240" w:lineRule="auto"/>
        <w:jc w:val="both"/>
        <w:rPr>
          <w:rFonts w:ascii="Garamond" w:hAnsi="Garamond" w:cs="Garamond"/>
          <w:sz w:val="24"/>
          <w:szCs w:val="24"/>
          <w:lang w:val="en-GB" w:eastAsia="sv-SE"/>
        </w:rPr>
      </w:pPr>
    </w:p>
    <w:p w:rsidR="00020071" w:rsidRPr="00020071" w:rsidRDefault="00020071" w:rsidP="00F81E60">
      <w:pPr>
        <w:pStyle w:val="ListParagraph"/>
        <w:numPr>
          <w:ilvl w:val="0"/>
          <w:numId w:val="34"/>
        </w:numPr>
        <w:spacing w:line="240" w:lineRule="auto"/>
        <w:jc w:val="both"/>
        <w:rPr>
          <w:rFonts w:ascii="Garamond" w:hAnsi="Garamond" w:cs="Garamond"/>
          <w:b/>
          <w:sz w:val="24"/>
          <w:szCs w:val="24"/>
          <w:lang w:val="en-GB" w:eastAsia="sv-SE"/>
        </w:rPr>
      </w:pPr>
      <w:r w:rsidRPr="00020071">
        <w:rPr>
          <w:rFonts w:ascii="Garamond" w:hAnsi="Garamond" w:cs="Garamond"/>
          <w:b/>
          <w:sz w:val="24"/>
          <w:szCs w:val="24"/>
          <w:lang w:val="en-GB" w:eastAsia="sv-SE"/>
        </w:rPr>
        <w:t>Response to questions</w:t>
      </w:r>
    </w:p>
    <w:p w:rsidR="00020071" w:rsidRPr="00F81E60" w:rsidRDefault="00020071" w:rsidP="00F81E60">
      <w:pPr>
        <w:pStyle w:val="Default"/>
        <w:rPr>
          <w:rFonts w:ascii="Garamond" w:hAnsi="Garamond" w:cstheme="minorHAnsi"/>
          <w:b/>
          <w:i/>
          <w:lang w:val="en-US"/>
        </w:rPr>
      </w:pPr>
      <w:r w:rsidRPr="00020071">
        <w:rPr>
          <w:rFonts w:ascii="Garamond" w:hAnsi="Garamond" w:cstheme="minorHAnsi"/>
          <w:b/>
          <w:lang w:val="en-US"/>
        </w:rPr>
        <w:t xml:space="preserve">Q1: </w:t>
      </w:r>
      <w:r w:rsidRPr="00F81E60">
        <w:rPr>
          <w:rFonts w:ascii="Garamond" w:hAnsi="Garamond" w:cstheme="minorHAnsi"/>
          <w:i/>
          <w:lang w:val="en-US"/>
        </w:rPr>
        <w:t>Do you agree with these criteria for assessing the existence of an ‘established relationship’? In your view, what other criteria could be considered to qualify deposits as being part of an ‘established relationship making withdrawal highly unlikely’ under a combined idiosyncratic and market-wide stress scenario?</w:t>
      </w:r>
      <w:r w:rsidRPr="00F81E60">
        <w:rPr>
          <w:rFonts w:ascii="Garamond" w:hAnsi="Garamond" w:cstheme="minorHAnsi"/>
          <w:b/>
          <w:i/>
          <w:lang w:val="en-US"/>
        </w:rPr>
        <w:t xml:space="preserve"> </w:t>
      </w:r>
    </w:p>
    <w:p w:rsidR="007E646B" w:rsidRPr="008979D8" w:rsidRDefault="00020071" w:rsidP="00F81E60">
      <w:pPr>
        <w:spacing w:before="240" w:line="240" w:lineRule="auto"/>
        <w:jc w:val="both"/>
        <w:rPr>
          <w:rFonts w:ascii="Garamond" w:hAnsi="Garamond" w:cstheme="minorHAnsi"/>
          <w:sz w:val="24"/>
          <w:szCs w:val="24"/>
        </w:rPr>
      </w:pPr>
      <w:r w:rsidRPr="008979D8">
        <w:rPr>
          <w:rFonts w:ascii="Garamond" w:hAnsi="Garamond" w:cstheme="minorHAnsi"/>
          <w:b/>
          <w:sz w:val="24"/>
          <w:szCs w:val="24"/>
        </w:rPr>
        <w:t>Comment</w:t>
      </w:r>
      <w:r w:rsidRPr="008979D8">
        <w:rPr>
          <w:rFonts w:ascii="Garamond" w:hAnsi="Garamond" w:cstheme="minorHAnsi"/>
          <w:sz w:val="24"/>
          <w:szCs w:val="24"/>
        </w:rPr>
        <w:t xml:space="preserve">: The </w:t>
      </w:r>
      <w:r w:rsidR="007E646B" w:rsidRPr="008979D8">
        <w:rPr>
          <w:rFonts w:ascii="Garamond" w:hAnsi="Garamond" w:cstheme="minorHAnsi"/>
          <w:sz w:val="24"/>
          <w:szCs w:val="24"/>
        </w:rPr>
        <w:t>intensity</w:t>
      </w:r>
      <w:r w:rsidRPr="008979D8">
        <w:rPr>
          <w:rFonts w:ascii="Garamond" w:hAnsi="Garamond" w:cstheme="minorHAnsi"/>
          <w:sz w:val="24"/>
          <w:szCs w:val="24"/>
        </w:rPr>
        <w:t xml:space="preserve"> of </w:t>
      </w:r>
      <w:r w:rsidR="007E646B" w:rsidRPr="008979D8">
        <w:rPr>
          <w:rFonts w:ascii="Garamond" w:hAnsi="Garamond" w:cstheme="minorHAnsi"/>
          <w:sz w:val="24"/>
          <w:szCs w:val="24"/>
        </w:rPr>
        <w:t xml:space="preserve">the </w:t>
      </w:r>
      <w:r w:rsidRPr="008979D8">
        <w:rPr>
          <w:rFonts w:ascii="Garamond" w:hAnsi="Garamond" w:cstheme="minorHAnsi"/>
          <w:sz w:val="24"/>
          <w:szCs w:val="24"/>
        </w:rPr>
        <w:t xml:space="preserve">existing relationship with the client is one of the key factors influencing the probability of a deposit withdrawal under a combined idiosyncratic and market-wide stress scenario. The proposed definition of ‘established relationship’ offers a good and overall guideline. </w:t>
      </w:r>
      <w:r w:rsidR="007E646B" w:rsidRPr="008979D8">
        <w:rPr>
          <w:rFonts w:ascii="Garamond" w:hAnsi="Garamond" w:cstheme="minorHAnsi"/>
          <w:sz w:val="24"/>
          <w:szCs w:val="24"/>
        </w:rPr>
        <w:t>However, we are also of the opinion that an ‘established business relationship’ should already be assumed if the customer maintains an on</w:t>
      </w:r>
      <w:r w:rsidR="004467F2" w:rsidRPr="008979D8">
        <w:rPr>
          <w:rFonts w:ascii="Garamond" w:hAnsi="Garamond" w:cstheme="minorHAnsi"/>
          <w:sz w:val="24"/>
          <w:szCs w:val="24"/>
        </w:rPr>
        <w:t>-</w:t>
      </w:r>
      <w:r w:rsidR="007E646B" w:rsidRPr="008979D8">
        <w:rPr>
          <w:rFonts w:ascii="Garamond" w:hAnsi="Garamond" w:cstheme="minorHAnsi"/>
          <w:sz w:val="24"/>
          <w:szCs w:val="24"/>
        </w:rPr>
        <w:t xml:space="preserve">going account with the bank. In our view, such an account is already enough evidence of close customer relations making an outflow of funds in a stress scenario rather unlikely. One further possible indicator which, however, might be difficult to ascertain and could thus potentially incur greater complexity - would be the principal banker function. </w:t>
      </w:r>
      <w:r w:rsidR="0041613C" w:rsidRPr="008979D8">
        <w:rPr>
          <w:rFonts w:ascii="Garamond" w:hAnsi="Garamond" w:cstheme="minorHAnsi"/>
          <w:sz w:val="24"/>
          <w:szCs w:val="24"/>
        </w:rPr>
        <w:t>We are also of the opinion that the</w:t>
      </w:r>
      <w:r w:rsidR="007E646B" w:rsidRPr="008979D8">
        <w:rPr>
          <w:rFonts w:ascii="Garamond" w:hAnsi="Garamond" w:cstheme="minorHAnsi"/>
          <w:sz w:val="24"/>
          <w:szCs w:val="24"/>
        </w:rPr>
        <w:t xml:space="preserve"> assessment of a stable customer relation</w:t>
      </w:r>
      <w:r w:rsidR="00711F4B">
        <w:rPr>
          <w:rFonts w:ascii="Garamond" w:hAnsi="Garamond" w:cstheme="minorHAnsi"/>
          <w:sz w:val="24"/>
          <w:szCs w:val="24"/>
        </w:rPr>
        <w:t>ship</w:t>
      </w:r>
      <w:r w:rsidR="007E646B" w:rsidRPr="008979D8">
        <w:rPr>
          <w:rFonts w:ascii="Garamond" w:hAnsi="Garamond" w:cstheme="minorHAnsi"/>
          <w:sz w:val="24"/>
          <w:szCs w:val="24"/>
        </w:rPr>
        <w:t xml:space="preserve"> should be determined on the basis of harmonised criteria per customer, i.e. it should be assessed for each and any deposit in a uniform manner. </w:t>
      </w:r>
    </w:p>
    <w:p w:rsidR="007E646B" w:rsidRPr="008979D8" w:rsidRDefault="0041613C" w:rsidP="00F81E60">
      <w:pPr>
        <w:spacing w:before="240" w:line="240" w:lineRule="auto"/>
        <w:jc w:val="both"/>
        <w:rPr>
          <w:rFonts w:ascii="Garamond" w:hAnsi="Garamond" w:cstheme="minorHAnsi"/>
          <w:sz w:val="24"/>
          <w:szCs w:val="24"/>
          <w:lang w:val="en-GB"/>
        </w:rPr>
      </w:pPr>
      <w:r w:rsidRPr="008979D8">
        <w:rPr>
          <w:rFonts w:ascii="Garamond" w:hAnsi="Garamond" w:cstheme="minorHAnsi"/>
          <w:sz w:val="24"/>
          <w:szCs w:val="24"/>
        </w:rPr>
        <w:t xml:space="preserve">Along with the three criteria specified, factors such as the reputation and the existence </w:t>
      </w:r>
      <w:r w:rsidR="00711F4B">
        <w:rPr>
          <w:rFonts w:ascii="Garamond" w:hAnsi="Garamond" w:cstheme="minorHAnsi"/>
          <w:sz w:val="24"/>
          <w:szCs w:val="24"/>
        </w:rPr>
        <w:t xml:space="preserve">of </w:t>
      </w:r>
      <w:r w:rsidRPr="008979D8">
        <w:rPr>
          <w:rFonts w:ascii="Garamond" w:hAnsi="Garamond" w:cstheme="minorHAnsi"/>
          <w:sz w:val="24"/>
          <w:szCs w:val="24"/>
        </w:rPr>
        <w:t xml:space="preserve">members’ capital contributions should also apply. </w:t>
      </w:r>
      <w:r w:rsidR="004467F2" w:rsidRPr="008979D8">
        <w:rPr>
          <w:rFonts w:ascii="Garamond" w:hAnsi="Garamond" w:cstheme="minorHAnsi"/>
          <w:sz w:val="24"/>
          <w:szCs w:val="24"/>
          <w:lang w:val="en-GB"/>
        </w:rPr>
        <w:t xml:space="preserve">However, we also understand that only criteria which can genuinely be quantified and that can be framed into system-side queries (e.g. the presence of members’ capital contributions, minimum duration of the customer relationship of at least 2 years and use as a payroll account) should be taken into account. </w:t>
      </w:r>
    </w:p>
    <w:p w:rsidR="004467F2" w:rsidRPr="008979D8" w:rsidRDefault="004467F2" w:rsidP="00F81E60">
      <w:pPr>
        <w:spacing w:before="240" w:line="240" w:lineRule="auto"/>
        <w:jc w:val="both"/>
        <w:rPr>
          <w:rFonts w:ascii="Garamond" w:hAnsi="Garamond" w:cstheme="minorHAnsi"/>
          <w:sz w:val="24"/>
          <w:szCs w:val="24"/>
        </w:rPr>
      </w:pPr>
      <w:r w:rsidRPr="008979D8">
        <w:rPr>
          <w:rFonts w:ascii="Garamond" w:hAnsi="Garamond" w:cstheme="minorHAnsi"/>
          <w:sz w:val="24"/>
          <w:szCs w:val="24"/>
        </w:rPr>
        <w:t>Furthermore, banks should be allowed to prove to the supervisor the existence of an “established relationship” also by other ways than those proposed by the EBA. One example would be that the equity based participation by the client in a bank’s operating business (for instance in the form of bonds such as profit participation rights, junior loans) can be seen as an expression of a high degree o</w:t>
      </w:r>
      <w:r w:rsidR="008979D8">
        <w:rPr>
          <w:rFonts w:ascii="Garamond" w:hAnsi="Garamond" w:cstheme="minorHAnsi"/>
          <w:sz w:val="24"/>
          <w:szCs w:val="24"/>
        </w:rPr>
        <w:t>f confidence and close relation</w:t>
      </w:r>
      <w:r w:rsidR="00711F4B">
        <w:rPr>
          <w:rFonts w:ascii="Garamond" w:hAnsi="Garamond" w:cstheme="minorHAnsi"/>
          <w:sz w:val="24"/>
          <w:szCs w:val="24"/>
        </w:rPr>
        <w:t>ship</w:t>
      </w:r>
      <w:r w:rsidRPr="008979D8">
        <w:rPr>
          <w:rFonts w:ascii="Garamond" w:hAnsi="Garamond" w:cstheme="minorHAnsi"/>
          <w:sz w:val="24"/>
          <w:szCs w:val="24"/>
        </w:rPr>
        <w:t xml:space="preserve"> between the customer and the bank. </w:t>
      </w:r>
    </w:p>
    <w:p w:rsidR="001822F4" w:rsidRPr="008979D8" w:rsidRDefault="004467F2" w:rsidP="00F81E60">
      <w:pPr>
        <w:pStyle w:val="Default"/>
        <w:jc w:val="both"/>
        <w:rPr>
          <w:rFonts w:ascii="Garamond" w:hAnsi="Garamond" w:cstheme="minorHAnsi"/>
          <w:lang w:val="en-US"/>
        </w:rPr>
      </w:pPr>
      <w:r w:rsidRPr="008979D8">
        <w:rPr>
          <w:rFonts w:ascii="Garamond" w:eastAsia="Calibri" w:hAnsi="Garamond" w:cstheme="minorHAnsi"/>
          <w:color w:val="auto"/>
          <w:lang w:val="en-US" w:eastAsia="en-US"/>
        </w:rPr>
        <w:t>Lastly, c</w:t>
      </w:r>
      <w:r w:rsidR="007E646B" w:rsidRPr="008979D8">
        <w:rPr>
          <w:rFonts w:ascii="Garamond" w:eastAsia="Calibri" w:hAnsi="Garamond" w:cstheme="minorHAnsi"/>
          <w:color w:val="auto"/>
          <w:lang w:val="en-US" w:eastAsia="en-US"/>
        </w:rPr>
        <w:t xml:space="preserve">oncerning the ‘minimum duration’ of </w:t>
      </w:r>
      <w:r w:rsidR="00711F4B">
        <w:rPr>
          <w:rFonts w:ascii="Garamond" w:eastAsia="Calibri" w:hAnsi="Garamond" w:cstheme="minorHAnsi"/>
          <w:color w:val="auto"/>
          <w:lang w:val="en-US" w:eastAsia="en-US"/>
        </w:rPr>
        <w:t xml:space="preserve">a </w:t>
      </w:r>
      <w:r w:rsidR="007E646B" w:rsidRPr="008979D8">
        <w:rPr>
          <w:rFonts w:ascii="Garamond" w:eastAsia="Calibri" w:hAnsi="Garamond" w:cstheme="minorHAnsi"/>
          <w:color w:val="auto"/>
          <w:lang w:val="en-US" w:eastAsia="en-US"/>
        </w:rPr>
        <w:t xml:space="preserve">contractual relationship we consider that it should be set up in </w:t>
      </w:r>
      <w:r w:rsidR="00020071" w:rsidRPr="008979D8">
        <w:rPr>
          <w:rFonts w:ascii="Garamond" w:eastAsia="Calibri" w:hAnsi="Garamond" w:cstheme="minorHAnsi"/>
          <w:color w:val="auto"/>
          <w:lang w:val="en-US" w:eastAsia="en-US"/>
        </w:rPr>
        <w:t xml:space="preserve">at least 1 year. This relates especially to ‘financially sophisticated individuals’ and ‘high net worth individuals’ as they are more likely to consider </w:t>
      </w:r>
      <w:r w:rsidR="00711F4B">
        <w:rPr>
          <w:rFonts w:ascii="Garamond" w:eastAsia="Calibri" w:hAnsi="Garamond" w:cstheme="minorHAnsi"/>
          <w:color w:val="auto"/>
          <w:lang w:val="en-US" w:eastAsia="en-US"/>
        </w:rPr>
        <w:t xml:space="preserve">the </w:t>
      </w:r>
      <w:r w:rsidR="00020071" w:rsidRPr="008979D8">
        <w:rPr>
          <w:rFonts w:ascii="Garamond" w:eastAsia="Calibri" w:hAnsi="Garamond" w:cstheme="minorHAnsi"/>
          <w:color w:val="auto"/>
          <w:lang w:val="en-US" w:eastAsia="en-US"/>
        </w:rPr>
        <w:t>creditworthiness of an institution when making withdrawals regardless of the length or depth of relationship.</w:t>
      </w:r>
    </w:p>
    <w:p w:rsidR="001822F4" w:rsidRPr="001822F4" w:rsidRDefault="001822F4" w:rsidP="00F81E60">
      <w:pPr>
        <w:pStyle w:val="Default"/>
        <w:jc w:val="both"/>
        <w:rPr>
          <w:rFonts w:ascii="Garamond" w:hAnsi="Garamond" w:cstheme="minorHAnsi"/>
          <w:lang w:val="en-GB"/>
        </w:rPr>
      </w:pPr>
    </w:p>
    <w:p w:rsidR="00020071" w:rsidRPr="00020071" w:rsidRDefault="00020071" w:rsidP="00F81E60">
      <w:pPr>
        <w:pStyle w:val="Default"/>
        <w:jc w:val="both"/>
        <w:rPr>
          <w:rFonts w:ascii="Garamond" w:hAnsi="Garamond" w:cstheme="minorHAnsi"/>
          <w:lang w:val="en-US"/>
        </w:rPr>
      </w:pPr>
    </w:p>
    <w:p w:rsidR="00020071" w:rsidRPr="00020071" w:rsidRDefault="00020071" w:rsidP="00F81E60">
      <w:pPr>
        <w:pStyle w:val="Default"/>
        <w:jc w:val="both"/>
        <w:rPr>
          <w:rFonts w:ascii="Garamond" w:hAnsi="Garamond" w:cstheme="minorHAnsi"/>
          <w:lang w:val="en-US"/>
        </w:rPr>
      </w:pPr>
    </w:p>
    <w:p w:rsidR="00020071" w:rsidRPr="00F81E60" w:rsidRDefault="00020071" w:rsidP="00F81E60">
      <w:pPr>
        <w:pStyle w:val="Default"/>
        <w:rPr>
          <w:rFonts w:ascii="Garamond" w:hAnsi="Garamond" w:cstheme="minorHAnsi"/>
          <w:b/>
          <w:i/>
          <w:lang w:val="en-US"/>
        </w:rPr>
      </w:pPr>
      <w:r w:rsidRPr="00020071">
        <w:rPr>
          <w:rFonts w:ascii="Garamond" w:hAnsi="Garamond" w:cstheme="minorHAnsi"/>
          <w:b/>
          <w:lang w:val="en-US"/>
        </w:rPr>
        <w:t xml:space="preserve">Q2: </w:t>
      </w:r>
      <w:r w:rsidRPr="00F81E60">
        <w:rPr>
          <w:rFonts w:ascii="Garamond" w:hAnsi="Garamond" w:cstheme="minorHAnsi"/>
          <w:i/>
          <w:lang w:val="en-US"/>
        </w:rPr>
        <w:t>Do you agree with this criterion for identifying a transactional account?</w:t>
      </w:r>
    </w:p>
    <w:p w:rsidR="00020071" w:rsidRPr="00F81E60" w:rsidRDefault="00020071" w:rsidP="00F81E60">
      <w:pPr>
        <w:pStyle w:val="Default"/>
        <w:jc w:val="both"/>
        <w:rPr>
          <w:rFonts w:ascii="Garamond" w:hAnsi="Garamond" w:cstheme="minorHAnsi"/>
          <w:b/>
          <w:i/>
          <w:lang w:val="en-US"/>
        </w:rPr>
      </w:pPr>
    </w:p>
    <w:p w:rsidR="00020071" w:rsidRDefault="00020071" w:rsidP="00F81E60">
      <w:pPr>
        <w:pStyle w:val="Default"/>
        <w:jc w:val="both"/>
        <w:rPr>
          <w:rFonts w:ascii="Garamond" w:hAnsi="Garamond" w:cstheme="minorHAnsi"/>
          <w:lang w:val="en-US"/>
        </w:rPr>
      </w:pPr>
      <w:r w:rsidRPr="00020071">
        <w:rPr>
          <w:rFonts w:ascii="Garamond" w:hAnsi="Garamond" w:cstheme="minorHAnsi"/>
          <w:b/>
          <w:lang w:val="en-US"/>
        </w:rPr>
        <w:t>Comment</w:t>
      </w:r>
      <w:r w:rsidRPr="00020071">
        <w:rPr>
          <w:rFonts w:ascii="Garamond" w:hAnsi="Garamond" w:cstheme="minorHAnsi"/>
          <w:lang w:val="en-US"/>
        </w:rPr>
        <w:t xml:space="preserve">: </w:t>
      </w:r>
      <w:r w:rsidR="008979D8">
        <w:rPr>
          <w:rFonts w:ascii="Garamond" w:hAnsi="Garamond" w:cstheme="minorHAnsi"/>
          <w:lang w:val="en-US"/>
        </w:rPr>
        <w:t>The ESBG considers that t</w:t>
      </w:r>
      <w:r w:rsidRPr="00020071">
        <w:rPr>
          <w:rFonts w:ascii="Garamond" w:hAnsi="Garamond" w:cstheme="minorHAnsi"/>
          <w:lang w:val="en-US"/>
        </w:rPr>
        <w:t>ransactions (such as salary, mortgage payments, credit card payments, any other comparable periodical income and transactions, etc.) which are regularly credited and debited to an account significantly decrease the probability of a withdr</w:t>
      </w:r>
      <w:r w:rsidR="008979D8">
        <w:rPr>
          <w:rFonts w:ascii="Garamond" w:hAnsi="Garamond" w:cstheme="minorHAnsi"/>
          <w:lang w:val="en-US"/>
        </w:rPr>
        <w:t>awal or closing of such account</w:t>
      </w:r>
      <w:r w:rsidRPr="00020071">
        <w:rPr>
          <w:rFonts w:ascii="Garamond" w:hAnsi="Garamond" w:cstheme="minorHAnsi"/>
          <w:lang w:val="en-US"/>
        </w:rPr>
        <w:t xml:space="preserve"> thus making this type of account a ‘transactional account’.</w:t>
      </w:r>
    </w:p>
    <w:p w:rsidR="001822F4" w:rsidRPr="001822F4" w:rsidRDefault="001822F4" w:rsidP="00F81E60">
      <w:pPr>
        <w:spacing w:before="240" w:line="240" w:lineRule="auto"/>
        <w:ind w:right="-1"/>
        <w:jc w:val="both"/>
        <w:rPr>
          <w:rFonts w:ascii="Garamond" w:eastAsia="Times New Roman" w:hAnsi="Garamond" w:cstheme="minorHAnsi"/>
          <w:color w:val="000000"/>
          <w:sz w:val="24"/>
          <w:szCs w:val="24"/>
          <w:lang w:eastAsia="de-AT"/>
        </w:rPr>
      </w:pPr>
      <w:r w:rsidRPr="008979D8">
        <w:rPr>
          <w:rFonts w:ascii="Garamond" w:eastAsia="Times New Roman" w:hAnsi="Garamond" w:cstheme="minorHAnsi"/>
          <w:color w:val="000000"/>
          <w:sz w:val="24"/>
          <w:szCs w:val="24"/>
          <w:lang w:eastAsia="de-AT"/>
        </w:rPr>
        <w:t xml:space="preserve">Nevertheless, </w:t>
      </w:r>
      <w:r w:rsidR="008979D8" w:rsidRPr="008979D8">
        <w:rPr>
          <w:rFonts w:ascii="Garamond" w:eastAsia="Times New Roman" w:hAnsi="Garamond" w:cstheme="minorHAnsi"/>
          <w:color w:val="000000"/>
          <w:sz w:val="24"/>
          <w:szCs w:val="24"/>
          <w:lang w:eastAsia="de-AT"/>
        </w:rPr>
        <w:t>we also consider that accounts should be identified as a “transactional account” already in the presence of one of the two criteria proposed</w:t>
      </w:r>
      <w:r w:rsidRPr="008979D8">
        <w:rPr>
          <w:rFonts w:ascii="Garamond" w:eastAsia="Times New Roman" w:hAnsi="Garamond" w:cstheme="minorHAnsi"/>
          <w:color w:val="000000"/>
          <w:sz w:val="24"/>
          <w:szCs w:val="24"/>
          <w:lang w:eastAsia="de-AT"/>
        </w:rPr>
        <w:t xml:space="preserve">. </w:t>
      </w:r>
      <w:r w:rsidR="008979D8" w:rsidRPr="008979D8">
        <w:rPr>
          <w:rFonts w:ascii="Garamond" w:eastAsia="Times New Roman" w:hAnsi="Garamond" w:cstheme="minorHAnsi"/>
          <w:color w:val="000000"/>
          <w:sz w:val="24"/>
          <w:szCs w:val="24"/>
          <w:lang w:eastAsia="de-AT"/>
        </w:rPr>
        <w:t xml:space="preserve">The EBA consider that both criteria the account has to be the client’s transactional account and that the customer’s ongoing payment transactions are handled through this account have to apply to consider a bank account as ‘transactional’.  </w:t>
      </w:r>
      <w:r w:rsidRPr="008979D8">
        <w:rPr>
          <w:rFonts w:ascii="Garamond" w:eastAsia="Times New Roman" w:hAnsi="Garamond" w:cstheme="minorHAnsi"/>
          <w:color w:val="000000"/>
          <w:sz w:val="24"/>
          <w:szCs w:val="24"/>
          <w:lang w:eastAsia="de-AT"/>
        </w:rPr>
        <w:t>In our view, t</w:t>
      </w:r>
      <w:r w:rsidR="008979D8" w:rsidRPr="008979D8">
        <w:rPr>
          <w:rFonts w:ascii="Garamond" w:eastAsia="Times New Roman" w:hAnsi="Garamond" w:cstheme="minorHAnsi"/>
          <w:color w:val="000000"/>
          <w:sz w:val="24"/>
          <w:szCs w:val="24"/>
          <w:lang w:eastAsia="de-AT"/>
        </w:rPr>
        <w:t>his rule does not accurately reflect</w:t>
      </w:r>
      <w:r w:rsidRPr="008979D8">
        <w:rPr>
          <w:rFonts w:ascii="Garamond" w:eastAsia="Times New Roman" w:hAnsi="Garamond" w:cstheme="minorHAnsi"/>
          <w:color w:val="000000"/>
          <w:sz w:val="24"/>
          <w:szCs w:val="24"/>
          <w:lang w:eastAsia="de-AT"/>
        </w:rPr>
        <w:t xml:space="preserve"> the banking mar</w:t>
      </w:r>
      <w:r w:rsidR="008979D8" w:rsidRPr="008979D8">
        <w:rPr>
          <w:rFonts w:ascii="Garamond" w:eastAsia="Times New Roman" w:hAnsi="Garamond" w:cstheme="minorHAnsi"/>
          <w:color w:val="000000"/>
          <w:sz w:val="24"/>
          <w:szCs w:val="24"/>
          <w:lang w:eastAsia="de-AT"/>
        </w:rPr>
        <w:t>ket’s evolution in recent years since n</w:t>
      </w:r>
      <w:r w:rsidRPr="008979D8">
        <w:rPr>
          <w:rFonts w:ascii="Garamond" w:eastAsia="Times New Roman" w:hAnsi="Garamond" w:cstheme="minorHAnsi"/>
          <w:color w:val="000000"/>
          <w:sz w:val="24"/>
          <w:szCs w:val="24"/>
          <w:lang w:eastAsia="de-AT"/>
        </w:rPr>
        <w:t xml:space="preserve">owadays clients generally tend to have several accounts which they use for handling their ongoing payment transactions; yet, they only tend to have one single payroll account. </w:t>
      </w:r>
    </w:p>
    <w:p w:rsidR="001822F4" w:rsidRPr="001822F4" w:rsidRDefault="001822F4" w:rsidP="00F81E60">
      <w:pPr>
        <w:pStyle w:val="Default"/>
        <w:jc w:val="both"/>
        <w:rPr>
          <w:rFonts w:ascii="Garamond" w:hAnsi="Garamond" w:cstheme="minorHAnsi"/>
          <w:lang w:val="en-US"/>
        </w:rPr>
      </w:pPr>
    </w:p>
    <w:p w:rsidR="00020071" w:rsidRPr="00020071" w:rsidRDefault="00020071" w:rsidP="00F81E60">
      <w:pPr>
        <w:pStyle w:val="Default"/>
        <w:rPr>
          <w:rFonts w:ascii="Garamond" w:hAnsi="Garamond" w:cstheme="minorHAnsi"/>
          <w:lang w:val="en-US"/>
        </w:rPr>
      </w:pPr>
    </w:p>
    <w:p w:rsidR="00020071" w:rsidRPr="00020071" w:rsidRDefault="00020071" w:rsidP="00F81E60">
      <w:pPr>
        <w:pStyle w:val="Default"/>
        <w:jc w:val="both"/>
        <w:rPr>
          <w:rFonts w:ascii="Garamond" w:hAnsi="Garamond" w:cstheme="minorHAnsi"/>
          <w:b/>
          <w:lang w:val="en-US"/>
        </w:rPr>
      </w:pPr>
      <w:r w:rsidRPr="00020071">
        <w:rPr>
          <w:rFonts w:ascii="Garamond" w:hAnsi="Garamond" w:cstheme="minorHAnsi"/>
          <w:b/>
          <w:lang w:val="en-US"/>
        </w:rPr>
        <w:t>Q3</w:t>
      </w:r>
      <w:r w:rsidRPr="008979D8">
        <w:rPr>
          <w:rFonts w:ascii="Garamond" w:hAnsi="Garamond" w:cstheme="minorHAnsi"/>
          <w:b/>
          <w:i/>
          <w:lang w:val="en-US"/>
        </w:rPr>
        <w:t xml:space="preserve">: </w:t>
      </w:r>
      <w:r w:rsidRPr="008979D8">
        <w:rPr>
          <w:rFonts w:ascii="Garamond" w:hAnsi="Garamond" w:cstheme="minorHAnsi"/>
          <w:i/>
          <w:lang w:val="en-US"/>
        </w:rPr>
        <w:t>Regarding established relationships, how would you assess that the contractual relationship with the Institution and the minimum number of products are active in the sense of being actively managed</w:t>
      </w:r>
      <w:r w:rsidRPr="00020071">
        <w:rPr>
          <w:rFonts w:ascii="Garamond" w:hAnsi="Garamond" w:cstheme="minorHAnsi"/>
          <w:lang w:val="en-US"/>
        </w:rPr>
        <w:t>?</w:t>
      </w:r>
    </w:p>
    <w:p w:rsidR="00020071" w:rsidRPr="00020071" w:rsidRDefault="00020071" w:rsidP="00F81E60">
      <w:pPr>
        <w:pStyle w:val="Default"/>
        <w:jc w:val="both"/>
        <w:rPr>
          <w:rFonts w:ascii="Garamond" w:hAnsi="Garamond" w:cstheme="minorHAnsi"/>
          <w:b/>
          <w:lang w:val="en-US"/>
        </w:rPr>
      </w:pPr>
    </w:p>
    <w:p w:rsidR="00020071" w:rsidRDefault="00020071" w:rsidP="00F81E60">
      <w:pPr>
        <w:pStyle w:val="Default"/>
        <w:jc w:val="both"/>
        <w:rPr>
          <w:rFonts w:ascii="Garamond" w:hAnsi="Garamond" w:cstheme="minorHAnsi"/>
          <w:lang w:val="en-US"/>
        </w:rPr>
      </w:pPr>
      <w:r w:rsidRPr="00020071">
        <w:rPr>
          <w:rFonts w:ascii="Garamond" w:hAnsi="Garamond" w:cstheme="minorHAnsi"/>
          <w:b/>
          <w:lang w:val="en-US"/>
        </w:rPr>
        <w:t>Comment</w:t>
      </w:r>
      <w:r w:rsidRPr="00020071">
        <w:rPr>
          <w:rFonts w:ascii="Garamond" w:hAnsi="Garamond" w:cstheme="minorHAnsi"/>
          <w:lang w:val="en-US"/>
        </w:rPr>
        <w:t xml:space="preserve">: </w:t>
      </w:r>
      <w:r w:rsidR="00AD26C4">
        <w:rPr>
          <w:rFonts w:ascii="Garamond" w:hAnsi="Garamond" w:cstheme="minorHAnsi"/>
          <w:lang w:val="en-US"/>
        </w:rPr>
        <w:t>For identifying ‘</w:t>
      </w:r>
      <w:r w:rsidR="0048759F" w:rsidRPr="0048759F">
        <w:rPr>
          <w:rFonts w:ascii="Garamond" w:hAnsi="Garamond" w:cstheme="minorHAnsi"/>
          <w:lang w:val="en-US"/>
        </w:rPr>
        <w:t>est</w:t>
      </w:r>
      <w:r w:rsidR="00AD26C4">
        <w:rPr>
          <w:rFonts w:ascii="Garamond" w:hAnsi="Garamond" w:cstheme="minorHAnsi"/>
          <w:lang w:val="en-US"/>
        </w:rPr>
        <w:t>ablished business relationships’</w:t>
      </w:r>
      <w:r w:rsidR="0048759F" w:rsidRPr="0048759F">
        <w:rPr>
          <w:rFonts w:ascii="Garamond" w:hAnsi="Garamond" w:cstheme="minorHAnsi"/>
          <w:lang w:val="en-US"/>
        </w:rPr>
        <w:t xml:space="preserve"> the EBA </w:t>
      </w:r>
      <w:r w:rsidR="00AD26C4">
        <w:rPr>
          <w:rFonts w:ascii="Garamond" w:hAnsi="Garamond" w:cstheme="minorHAnsi"/>
          <w:lang w:val="en-US"/>
        </w:rPr>
        <w:t>has suggested</w:t>
      </w:r>
      <w:r w:rsidR="0048759F" w:rsidRPr="0048759F">
        <w:rPr>
          <w:rFonts w:ascii="Garamond" w:hAnsi="Garamond" w:cstheme="minorHAnsi"/>
          <w:lang w:val="en-US"/>
        </w:rPr>
        <w:t xml:space="preserve"> the criterion that the customer shall have a minimum number of active products with the institution. </w:t>
      </w:r>
      <w:r w:rsidRPr="00020071">
        <w:rPr>
          <w:rFonts w:ascii="Garamond" w:hAnsi="Garamond" w:cstheme="minorHAnsi"/>
          <w:lang w:val="en-US"/>
        </w:rPr>
        <w:t xml:space="preserve">The </w:t>
      </w:r>
      <w:r w:rsidR="00AD26C4">
        <w:rPr>
          <w:rFonts w:ascii="Garamond" w:hAnsi="Garamond" w:cstheme="minorHAnsi"/>
          <w:lang w:val="en-US"/>
        </w:rPr>
        <w:t>intensity</w:t>
      </w:r>
      <w:r w:rsidRPr="00020071">
        <w:rPr>
          <w:rFonts w:ascii="Garamond" w:hAnsi="Garamond" w:cstheme="minorHAnsi"/>
          <w:lang w:val="en-US"/>
        </w:rPr>
        <w:t xml:space="preserve"> of the institution – client relationship is hardly uniform across various markets. </w:t>
      </w:r>
      <w:r w:rsidR="0048759F">
        <w:rPr>
          <w:rFonts w:ascii="Garamond" w:hAnsi="Garamond" w:cstheme="minorHAnsi"/>
          <w:lang w:val="en-US"/>
        </w:rPr>
        <w:t>However,</w:t>
      </w:r>
      <w:r w:rsidR="0048759F" w:rsidRPr="0048759F">
        <w:rPr>
          <w:rFonts w:ascii="Garamond" w:hAnsi="Garamond" w:cstheme="minorHAnsi"/>
          <w:lang w:val="en-US"/>
        </w:rPr>
        <w:t xml:space="preserve"> in our view, wh</w:t>
      </w:r>
      <w:r w:rsidR="00AD26C4">
        <w:rPr>
          <w:rFonts w:ascii="Garamond" w:hAnsi="Garamond" w:cstheme="minorHAnsi"/>
          <w:lang w:val="en-US"/>
        </w:rPr>
        <w:t>ereas</w:t>
      </w:r>
      <w:r w:rsidR="0048759F" w:rsidRPr="0048759F">
        <w:rPr>
          <w:rFonts w:ascii="Garamond" w:hAnsi="Garamond" w:cstheme="minorHAnsi"/>
          <w:lang w:val="en-US"/>
        </w:rPr>
        <w:t xml:space="preserve"> such a correlation is possible indeed, the number of active products does not necessarily </w:t>
      </w:r>
      <w:r w:rsidR="00AD26C4">
        <w:rPr>
          <w:rFonts w:ascii="Garamond" w:hAnsi="Garamond" w:cstheme="minorHAnsi"/>
          <w:lang w:val="en-US"/>
        </w:rPr>
        <w:t>imply</w:t>
      </w:r>
      <w:r w:rsidR="0048759F" w:rsidRPr="0048759F">
        <w:rPr>
          <w:rFonts w:ascii="Garamond" w:hAnsi="Garamond" w:cstheme="minorHAnsi"/>
          <w:lang w:val="en-US"/>
        </w:rPr>
        <w:t xml:space="preserve"> higher stability of the customer relation</w:t>
      </w:r>
      <w:r w:rsidR="00711F4B">
        <w:rPr>
          <w:rFonts w:ascii="Garamond" w:hAnsi="Garamond" w:cstheme="minorHAnsi"/>
          <w:lang w:val="en-US"/>
        </w:rPr>
        <w:t>ship</w:t>
      </w:r>
      <w:r w:rsidR="0048759F" w:rsidRPr="0048759F">
        <w:rPr>
          <w:rFonts w:ascii="Garamond" w:hAnsi="Garamond" w:cstheme="minorHAnsi"/>
          <w:lang w:val="en-US"/>
        </w:rPr>
        <w:t xml:space="preserve">. </w:t>
      </w:r>
      <w:r w:rsidR="00521448">
        <w:rPr>
          <w:rFonts w:ascii="Garamond" w:hAnsi="Garamond" w:cstheme="minorHAnsi"/>
          <w:lang w:val="en-US"/>
        </w:rPr>
        <w:t>F</w:t>
      </w:r>
      <w:r w:rsidR="00521448" w:rsidRPr="0048759F">
        <w:rPr>
          <w:rFonts w:ascii="Garamond" w:hAnsi="Garamond" w:cstheme="minorHAnsi"/>
          <w:lang w:val="en-US"/>
        </w:rPr>
        <w:t xml:space="preserve">or </w:t>
      </w:r>
      <w:r w:rsidR="00521448">
        <w:rPr>
          <w:rFonts w:ascii="Garamond" w:hAnsi="Garamond" w:cstheme="minorHAnsi"/>
          <w:lang w:val="en-US"/>
        </w:rPr>
        <w:t>instance</w:t>
      </w:r>
      <w:r w:rsidR="00711F4B">
        <w:rPr>
          <w:rFonts w:ascii="Garamond" w:hAnsi="Garamond" w:cstheme="minorHAnsi"/>
          <w:lang w:val="en-US"/>
        </w:rPr>
        <w:t>,</w:t>
      </w:r>
      <w:r w:rsidR="0048759F" w:rsidRPr="0048759F">
        <w:rPr>
          <w:rFonts w:ascii="Garamond" w:hAnsi="Garamond" w:cstheme="minorHAnsi"/>
          <w:lang w:val="en-US"/>
        </w:rPr>
        <w:t xml:space="preserve"> a customer maintaining a current account who has been a single product user for several years has an established relationship with the bank making higher outflows under stress scenarios unlikely. In this regard,</w:t>
      </w:r>
      <w:r w:rsidR="00AD26C4">
        <w:rPr>
          <w:rFonts w:ascii="Garamond" w:hAnsi="Garamond" w:cstheme="minorHAnsi"/>
          <w:lang w:val="en-US"/>
        </w:rPr>
        <w:t xml:space="preserve"> the correlation pointed out (number of client’s products and </w:t>
      </w:r>
      <w:r w:rsidR="00AD26C4" w:rsidRPr="0048759F">
        <w:rPr>
          <w:rFonts w:ascii="Garamond" w:hAnsi="Garamond" w:cstheme="minorHAnsi"/>
          <w:lang w:val="en-US"/>
        </w:rPr>
        <w:t>“established business relationships”</w:t>
      </w:r>
      <w:r w:rsidR="00AD26C4">
        <w:rPr>
          <w:rFonts w:ascii="Garamond" w:hAnsi="Garamond" w:cstheme="minorHAnsi"/>
          <w:lang w:val="en-US"/>
        </w:rPr>
        <w:t xml:space="preserve">) </w:t>
      </w:r>
      <w:r w:rsidR="0048759F" w:rsidRPr="0048759F">
        <w:rPr>
          <w:rFonts w:ascii="Garamond" w:hAnsi="Garamond" w:cstheme="minorHAnsi"/>
          <w:lang w:val="en-US"/>
        </w:rPr>
        <w:t xml:space="preserve">is highly customer specific; hence, this correlation is not fit </w:t>
      </w:r>
      <w:r w:rsidR="00AD26C4">
        <w:rPr>
          <w:rFonts w:ascii="Garamond" w:hAnsi="Garamond" w:cstheme="minorHAnsi"/>
          <w:lang w:val="en-US"/>
        </w:rPr>
        <w:t>to be used</w:t>
      </w:r>
      <w:r w:rsidR="0048759F" w:rsidRPr="0048759F">
        <w:rPr>
          <w:rFonts w:ascii="Garamond" w:hAnsi="Garamond" w:cstheme="minorHAnsi"/>
          <w:lang w:val="en-US"/>
        </w:rPr>
        <w:t xml:space="preserve"> </w:t>
      </w:r>
      <w:r w:rsidR="00AD26C4">
        <w:rPr>
          <w:rFonts w:ascii="Garamond" w:hAnsi="Garamond" w:cstheme="minorHAnsi"/>
          <w:lang w:val="en-US"/>
        </w:rPr>
        <w:t>as</w:t>
      </w:r>
      <w:r w:rsidR="0048759F" w:rsidRPr="0048759F">
        <w:rPr>
          <w:rFonts w:ascii="Garamond" w:hAnsi="Garamond" w:cstheme="minorHAnsi"/>
          <w:lang w:val="en-US"/>
        </w:rPr>
        <w:t xml:space="preserve"> </w:t>
      </w:r>
      <w:r w:rsidR="00711F4B">
        <w:rPr>
          <w:rFonts w:ascii="Garamond" w:hAnsi="Garamond" w:cstheme="minorHAnsi"/>
          <w:lang w:val="en-US"/>
        </w:rPr>
        <w:t xml:space="preserve">a </w:t>
      </w:r>
      <w:r w:rsidR="0048759F" w:rsidRPr="0048759F">
        <w:rPr>
          <w:rFonts w:ascii="Garamond" w:hAnsi="Garamond" w:cstheme="minorHAnsi"/>
          <w:lang w:val="en-US"/>
        </w:rPr>
        <w:t xml:space="preserve">defining element. In light of the technical implementation in terms of IT, on the whole, we </w:t>
      </w:r>
      <w:r w:rsidR="00AD26C4">
        <w:rPr>
          <w:rFonts w:ascii="Garamond" w:hAnsi="Garamond" w:cstheme="minorHAnsi"/>
          <w:lang w:val="en-US"/>
        </w:rPr>
        <w:t>see</w:t>
      </w:r>
      <w:r w:rsidR="0048759F" w:rsidRPr="0048759F">
        <w:rPr>
          <w:rFonts w:ascii="Garamond" w:hAnsi="Garamond" w:cstheme="minorHAnsi"/>
          <w:lang w:val="en-US"/>
        </w:rPr>
        <w:t xml:space="preserve"> the use of two or more active accounts as an appropriate criterion.</w:t>
      </w:r>
    </w:p>
    <w:p w:rsidR="0048759F" w:rsidRDefault="0048759F" w:rsidP="00F81E60">
      <w:pPr>
        <w:pStyle w:val="Default"/>
        <w:rPr>
          <w:rFonts w:ascii="Garamond" w:hAnsi="Garamond" w:cstheme="minorHAnsi"/>
          <w:lang w:val="en-US"/>
        </w:rPr>
      </w:pPr>
    </w:p>
    <w:p w:rsidR="0048759F" w:rsidRPr="00020071" w:rsidRDefault="0048759F" w:rsidP="00F81E60">
      <w:pPr>
        <w:pStyle w:val="Default"/>
        <w:jc w:val="both"/>
        <w:rPr>
          <w:rFonts w:ascii="Garamond" w:hAnsi="Garamond" w:cstheme="minorHAnsi"/>
          <w:lang w:val="en-US"/>
        </w:rPr>
      </w:pPr>
      <w:r>
        <w:rPr>
          <w:rFonts w:ascii="Garamond" w:hAnsi="Garamond" w:cstheme="minorHAnsi"/>
          <w:lang w:val="en-US"/>
        </w:rPr>
        <w:t>Therefore</w:t>
      </w:r>
      <w:r w:rsidRPr="00020071">
        <w:rPr>
          <w:rFonts w:ascii="Garamond" w:hAnsi="Garamond" w:cstheme="minorHAnsi"/>
          <w:lang w:val="en-US"/>
        </w:rPr>
        <w:t xml:space="preserve">, </w:t>
      </w:r>
      <w:r w:rsidR="00AD26C4">
        <w:rPr>
          <w:rFonts w:ascii="Garamond" w:hAnsi="Garamond" w:cstheme="minorHAnsi"/>
          <w:lang w:val="en-US"/>
        </w:rPr>
        <w:t xml:space="preserve">we consider that </w:t>
      </w:r>
      <w:r w:rsidRPr="00020071">
        <w:rPr>
          <w:rFonts w:ascii="Garamond" w:hAnsi="Garamond" w:cstheme="minorHAnsi"/>
          <w:lang w:val="en-US"/>
        </w:rPr>
        <w:t>the following indicators should generally point to ‘actively managed accounts/relationships’:</w:t>
      </w:r>
    </w:p>
    <w:p w:rsidR="0048759F" w:rsidRPr="00020071" w:rsidRDefault="0048759F" w:rsidP="00F81E60">
      <w:pPr>
        <w:pStyle w:val="Default"/>
        <w:numPr>
          <w:ilvl w:val="0"/>
          <w:numId w:val="35"/>
        </w:numPr>
        <w:jc w:val="both"/>
        <w:rPr>
          <w:rFonts w:ascii="Garamond" w:hAnsi="Garamond" w:cstheme="minorHAnsi"/>
          <w:lang w:val="en-US"/>
        </w:rPr>
      </w:pPr>
      <w:r w:rsidRPr="00020071">
        <w:rPr>
          <w:rFonts w:ascii="Garamond" w:hAnsi="Garamond" w:cstheme="minorHAnsi"/>
          <w:lang w:val="en-US"/>
        </w:rPr>
        <w:t>The client has a ‘bundle’ of products (e.g. savings, transactional account, mortgage, credit cards, etc.)</w:t>
      </w:r>
    </w:p>
    <w:p w:rsidR="0048759F" w:rsidRPr="00020071" w:rsidRDefault="0048759F" w:rsidP="00F81E60">
      <w:pPr>
        <w:pStyle w:val="Default"/>
        <w:numPr>
          <w:ilvl w:val="0"/>
          <w:numId w:val="35"/>
        </w:numPr>
        <w:jc w:val="both"/>
        <w:rPr>
          <w:rFonts w:ascii="Garamond" w:hAnsi="Garamond" w:cstheme="minorHAnsi"/>
          <w:lang w:val="en-US"/>
        </w:rPr>
      </w:pPr>
      <w:r w:rsidRPr="00020071">
        <w:rPr>
          <w:rFonts w:ascii="Garamond" w:hAnsi="Garamond" w:cstheme="minorHAnsi"/>
          <w:lang w:val="en-US"/>
        </w:rPr>
        <w:t>Client has a history of inflows/outflows to/from its savings/transaction account</w:t>
      </w:r>
    </w:p>
    <w:p w:rsidR="0048759F" w:rsidRPr="00020071" w:rsidRDefault="0048759F" w:rsidP="00F81E60">
      <w:pPr>
        <w:pStyle w:val="Default"/>
        <w:rPr>
          <w:rFonts w:ascii="Garamond" w:hAnsi="Garamond" w:cstheme="minorHAnsi"/>
          <w:lang w:val="en-US"/>
        </w:rPr>
      </w:pPr>
    </w:p>
    <w:p w:rsidR="00020071" w:rsidRPr="00020071" w:rsidRDefault="00020071" w:rsidP="00F81E60">
      <w:pPr>
        <w:pStyle w:val="Default"/>
        <w:rPr>
          <w:rFonts w:ascii="Garamond" w:hAnsi="Garamond" w:cstheme="minorHAnsi"/>
          <w:lang w:val="en-US"/>
        </w:rPr>
      </w:pPr>
    </w:p>
    <w:p w:rsidR="00020071" w:rsidRPr="00814457" w:rsidRDefault="00020071" w:rsidP="00F81E60">
      <w:pPr>
        <w:pStyle w:val="Default"/>
        <w:jc w:val="both"/>
        <w:rPr>
          <w:rFonts w:ascii="Garamond" w:hAnsi="Garamond" w:cstheme="minorHAnsi"/>
          <w:i/>
          <w:lang w:val="en-US"/>
        </w:rPr>
      </w:pPr>
      <w:r w:rsidRPr="00020071">
        <w:rPr>
          <w:rFonts w:ascii="Garamond" w:hAnsi="Garamond" w:cstheme="minorHAnsi"/>
          <w:b/>
          <w:lang w:val="en-US"/>
        </w:rPr>
        <w:t>Q4</w:t>
      </w:r>
      <w:r w:rsidRPr="00020071">
        <w:rPr>
          <w:rFonts w:ascii="Garamond" w:hAnsi="Garamond" w:cstheme="minorHAnsi"/>
          <w:lang w:val="en-US"/>
        </w:rPr>
        <w:t xml:space="preserve">: </w:t>
      </w:r>
      <w:r w:rsidRPr="00814457">
        <w:rPr>
          <w:rFonts w:ascii="Garamond" w:hAnsi="Garamond" w:cstheme="minorHAnsi"/>
          <w:i/>
          <w:lang w:val="en-US"/>
        </w:rPr>
        <w:t xml:space="preserve">What is your view concerning the threshold proposed for high and very high value deposits? Please give your reasons. </w:t>
      </w:r>
    </w:p>
    <w:p w:rsidR="00020071" w:rsidRPr="00020071" w:rsidRDefault="00020071" w:rsidP="00F81E60">
      <w:pPr>
        <w:pStyle w:val="Default"/>
        <w:rPr>
          <w:rFonts w:ascii="Garamond" w:hAnsi="Garamond" w:cstheme="minorHAnsi"/>
          <w:lang w:val="en-US"/>
        </w:rPr>
      </w:pPr>
    </w:p>
    <w:p w:rsidR="00050E50" w:rsidRDefault="00020071" w:rsidP="00F81E60">
      <w:pPr>
        <w:pStyle w:val="Default"/>
        <w:jc w:val="both"/>
        <w:rPr>
          <w:rFonts w:ascii="Garamond" w:hAnsi="Garamond" w:cstheme="minorHAnsi"/>
          <w:lang w:val="en-US"/>
        </w:rPr>
      </w:pPr>
      <w:r w:rsidRPr="00020071">
        <w:rPr>
          <w:rFonts w:ascii="Garamond" w:hAnsi="Garamond" w:cstheme="minorHAnsi"/>
          <w:b/>
          <w:lang w:val="en-US"/>
        </w:rPr>
        <w:t>Comment</w:t>
      </w:r>
      <w:r w:rsidRPr="00020071">
        <w:rPr>
          <w:rFonts w:ascii="Garamond" w:hAnsi="Garamond" w:cstheme="minorHAnsi"/>
          <w:lang w:val="en-US"/>
        </w:rPr>
        <w:t xml:space="preserve">: </w:t>
      </w:r>
      <w:r w:rsidR="00814457">
        <w:rPr>
          <w:rFonts w:ascii="Garamond" w:hAnsi="Garamond" w:cstheme="minorHAnsi"/>
          <w:lang w:val="en-US"/>
        </w:rPr>
        <w:t xml:space="preserve"> </w:t>
      </w:r>
      <w:r w:rsidRPr="00020071">
        <w:rPr>
          <w:rFonts w:ascii="Garamond" w:hAnsi="Garamond" w:cstheme="minorHAnsi"/>
          <w:lang w:val="en-US"/>
        </w:rPr>
        <w:t xml:space="preserve">In our view, deposits between </w:t>
      </w:r>
      <w:r w:rsidR="00BF2304">
        <w:rPr>
          <w:rFonts w:ascii="Garamond" w:hAnsi="Garamond" w:cstheme="minorHAnsi"/>
          <w:lang w:val="en-US"/>
        </w:rPr>
        <w:t xml:space="preserve">€ </w:t>
      </w:r>
      <w:r w:rsidRPr="00020071">
        <w:rPr>
          <w:rFonts w:ascii="Garamond" w:hAnsi="Garamond" w:cstheme="minorHAnsi"/>
          <w:lang w:val="en-US"/>
        </w:rPr>
        <w:t xml:space="preserve">100.000 (or </w:t>
      </w:r>
      <w:r w:rsidR="0043656F">
        <w:rPr>
          <w:rFonts w:ascii="Garamond" w:hAnsi="Garamond" w:cstheme="minorHAnsi"/>
          <w:lang w:val="en-US"/>
        </w:rPr>
        <w:t xml:space="preserve">the maximum amount specified by the </w:t>
      </w:r>
      <w:r w:rsidRPr="00020071">
        <w:rPr>
          <w:rFonts w:ascii="Garamond" w:hAnsi="Garamond" w:cstheme="minorHAnsi"/>
          <w:lang w:val="en-US"/>
        </w:rPr>
        <w:t xml:space="preserve">local DGS) and </w:t>
      </w:r>
      <w:r w:rsidR="0043656F">
        <w:rPr>
          <w:rFonts w:ascii="Garamond" w:hAnsi="Garamond" w:cstheme="minorHAnsi"/>
          <w:lang w:val="en-US"/>
        </w:rPr>
        <w:t>€</w:t>
      </w:r>
      <w:r w:rsidRPr="00020071">
        <w:rPr>
          <w:rFonts w:ascii="Garamond" w:hAnsi="Garamond" w:cstheme="minorHAnsi"/>
          <w:lang w:val="en-US"/>
        </w:rPr>
        <w:t xml:space="preserve"> 1</w:t>
      </w:r>
      <w:r w:rsidR="0043656F">
        <w:rPr>
          <w:rFonts w:ascii="Garamond" w:hAnsi="Garamond" w:cstheme="minorHAnsi"/>
          <w:lang w:val="en-US"/>
        </w:rPr>
        <w:t xml:space="preserve"> million</w:t>
      </w:r>
      <w:r w:rsidRPr="00020071">
        <w:rPr>
          <w:rFonts w:ascii="Garamond" w:hAnsi="Garamond" w:cstheme="minorHAnsi"/>
          <w:lang w:val="en-US"/>
        </w:rPr>
        <w:t xml:space="preserve"> should be seen as high, and deposits above </w:t>
      </w:r>
      <w:r w:rsidR="0043656F">
        <w:rPr>
          <w:rFonts w:ascii="Garamond" w:hAnsi="Garamond" w:cstheme="minorHAnsi"/>
          <w:lang w:val="en-US"/>
        </w:rPr>
        <w:t>€</w:t>
      </w:r>
      <w:r w:rsidR="0043656F" w:rsidRPr="00020071">
        <w:rPr>
          <w:rFonts w:ascii="Garamond" w:hAnsi="Garamond" w:cstheme="minorHAnsi"/>
          <w:lang w:val="en-US"/>
        </w:rPr>
        <w:t xml:space="preserve"> 1</w:t>
      </w:r>
      <w:r w:rsidR="0043656F">
        <w:rPr>
          <w:rFonts w:ascii="Garamond" w:hAnsi="Garamond" w:cstheme="minorHAnsi"/>
          <w:lang w:val="en-US"/>
        </w:rPr>
        <w:t xml:space="preserve"> million</w:t>
      </w:r>
      <w:r w:rsidR="0043656F" w:rsidRPr="00020071">
        <w:rPr>
          <w:rFonts w:ascii="Garamond" w:hAnsi="Garamond" w:cstheme="minorHAnsi"/>
          <w:lang w:val="en-US"/>
        </w:rPr>
        <w:t xml:space="preserve"> </w:t>
      </w:r>
      <w:r w:rsidRPr="00020071">
        <w:rPr>
          <w:rFonts w:ascii="Garamond" w:hAnsi="Garamond" w:cstheme="minorHAnsi"/>
          <w:lang w:val="en-US"/>
        </w:rPr>
        <w:t xml:space="preserve">should be considered as very high. </w:t>
      </w:r>
      <w:r w:rsidR="0043656F">
        <w:rPr>
          <w:rFonts w:ascii="Garamond" w:hAnsi="Garamond" w:cstheme="minorHAnsi"/>
          <w:lang w:val="en-US"/>
        </w:rPr>
        <w:t>For the purpose of measuring</w:t>
      </w:r>
      <w:r w:rsidRPr="00020071">
        <w:rPr>
          <w:rFonts w:ascii="Garamond" w:hAnsi="Garamond" w:cstheme="minorHAnsi"/>
          <w:lang w:val="en-US"/>
        </w:rPr>
        <w:t xml:space="preserve"> the value of </w:t>
      </w:r>
      <w:r w:rsidR="000147A4">
        <w:rPr>
          <w:rFonts w:ascii="Garamond" w:hAnsi="Garamond" w:cstheme="minorHAnsi"/>
          <w:lang w:val="en-US"/>
        </w:rPr>
        <w:t xml:space="preserve">a </w:t>
      </w:r>
      <w:r w:rsidRPr="00020071">
        <w:rPr>
          <w:rFonts w:ascii="Garamond" w:hAnsi="Garamond" w:cstheme="minorHAnsi"/>
          <w:lang w:val="en-US"/>
        </w:rPr>
        <w:t>client’s deposit,</w:t>
      </w:r>
      <w:r w:rsidR="0043656F">
        <w:rPr>
          <w:rFonts w:ascii="Garamond" w:hAnsi="Garamond" w:cstheme="minorHAnsi"/>
          <w:lang w:val="en-US"/>
        </w:rPr>
        <w:t xml:space="preserve"> we are of the opinion that</w:t>
      </w:r>
      <w:r w:rsidRPr="00020071">
        <w:rPr>
          <w:rFonts w:ascii="Garamond" w:hAnsi="Garamond" w:cstheme="minorHAnsi"/>
          <w:lang w:val="en-US"/>
        </w:rPr>
        <w:t xml:space="preserve"> all </w:t>
      </w:r>
      <w:r w:rsidR="0043656F">
        <w:rPr>
          <w:rFonts w:ascii="Garamond" w:hAnsi="Garamond" w:cstheme="minorHAnsi"/>
          <w:lang w:val="en-US"/>
        </w:rPr>
        <w:t>the</w:t>
      </w:r>
      <w:r w:rsidRPr="00020071">
        <w:rPr>
          <w:rFonts w:ascii="Garamond" w:hAnsi="Garamond" w:cstheme="minorHAnsi"/>
          <w:lang w:val="en-US"/>
        </w:rPr>
        <w:t xml:space="preserve"> client’s deposit accounts with the institution (or group) should be taken into account. </w:t>
      </w:r>
    </w:p>
    <w:p w:rsidR="0048759F" w:rsidRPr="0043656F" w:rsidRDefault="0048759F" w:rsidP="00F81E60">
      <w:pPr>
        <w:spacing w:before="240" w:line="240" w:lineRule="auto"/>
        <w:jc w:val="both"/>
        <w:rPr>
          <w:rFonts w:ascii="Garamond" w:eastAsia="Times New Roman" w:hAnsi="Garamond" w:cstheme="minorHAnsi"/>
          <w:color w:val="000000"/>
          <w:sz w:val="24"/>
          <w:szCs w:val="24"/>
          <w:lang w:eastAsia="de-AT"/>
        </w:rPr>
      </w:pPr>
      <w:r w:rsidRPr="0043656F">
        <w:rPr>
          <w:rFonts w:ascii="Garamond" w:eastAsia="Times New Roman" w:hAnsi="Garamond" w:cstheme="minorHAnsi"/>
          <w:color w:val="000000"/>
          <w:sz w:val="24"/>
          <w:szCs w:val="24"/>
          <w:lang w:eastAsia="de-AT"/>
        </w:rPr>
        <w:t>Furthermore, as a special type of deposit guarantee, we suggest recognising institutional protection schemes</w:t>
      </w:r>
      <w:r w:rsidR="0043656F">
        <w:rPr>
          <w:rFonts w:ascii="Garamond" w:eastAsia="Times New Roman" w:hAnsi="Garamond" w:cstheme="minorHAnsi"/>
          <w:color w:val="000000"/>
          <w:sz w:val="24"/>
          <w:szCs w:val="24"/>
          <w:lang w:eastAsia="de-AT"/>
        </w:rPr>
        <w:t xml:space="preserve"> as well</w:t>
      </w:r>
      <w:r w:rsidRPr="0043656F">
        <w:rPr>
          <w:rFonts w:ascii="Garamond" w:eastAsia="Times New Roman" w:hAnsi="Garamond" w:cstheme="minorHAnsi"/>
          <w:color w:val="000000"/>
          <w:sz w:val="24"/>
          <w:szCs w:val="24"/>
          <w:lang w:eastAsia="de-AT"/>
        </w:rPr>
        <w:t>. Institutional protection schemes are an important, additional factor which guarantees the security of customer deposits. Consequently, this should also be taken into account as an alternative criterion with regard to outflows in the case of par</w:t>
      </w:r>
      <w:r w:rsidR="0043656F">
        <w:rPr>
          <w:rFonts w:ascii="Garamond" w:eastAsia="Times New Roman" w:hAnsi="Garamond" w:cstheme="minorHAnsi"/>
          <w:color w:val="000000"/>
          <w:sz w:val="24"/>
          <w:szCs w:val="24"/>
          <w:lang w:eastAsia="de-AT"/>
        </w:rPr>
        <w:t xml:space="preserve">ticularly high exposures (&gt; </w:t>
      </w:r>
      <w:r w:rsidR="00BF2304">
        <w:rPr>
          <w:rFonts w:ascii="Garamond" w:eastAsia="Times New Roman" w:hAnsi="Garamond" w:cstheme="minorHAnsi"/>
          <w:color w:val="000000"/>
          <w:sz w:val="24"/>
          <w:szCs w:val="24"/>
          <w:lang w:eastAsia="de-AT"/>
        </w:rPr>
        <w:t xml:space="preserve">€ </w:t>
      </w:r>
      <w:r w:rsidR="0043656F">
        <w:rPr>
          <w:rFonts w:ascii="Garamond" w:eastAsia="Times New Roman" w:hAnsi="Garamond" w:cstheme="minorHAnsi"/>
          <w:color w:val="000000"/>
          <w:sz w:val="24"/>
          <w:szCs w:val="24"/>
          <w:lang w:eastAsia="de-AT"/>
        </w:rPr>
        <w:t>500.000</w:t>
      </w:r>
      <w:r w:rsidRPr="0043656F">
        <w:rPr>
          <w:rFonts w:ascii="Garamond" w:eastAsia="Times New Roman" w:hAnsi="Garamond" w:cstheme="minorHAnsi"/>
          <w:color w:val="000000"/>
          <w:sz w:val="24"/>
          <w:szCs w:val="24"/>
          <w:lang w:eastAsia="de-AT"/>
        </w:rPr>
        <w:t xml:space="preserve">). </w:t>
      </w:r>
      <w:r w:rsidR="0043656F" w:rsidRPr="0043656F">
        <w:rPr>
          <w:rFonts w:ascii="Garamond" w:eastAsia="Times New Roman" w:hAnsi="Garamond" w:cstheme="minorHAnsi"/>
          <w:color w:val="000000"/>
          <w:sz w:val="24"/>
          <w:szCs w:val="24"/>
          <w:lang w:eastAsia="de-AT"/>
        </w:rPr>
        <w:t xml:space="preserve"> </w:t>
      </w:r>
    </w:p>
    <w:p w:rsidR="00020071" w:rsidRPr="00020071" w:rsidRDefault="0043656F" w:rsidP="00F81E60">
      <w:pPr>
        <w:spacing w:before="240" w:line="240" w:lineRule="auto"/>
        <w:jc w:val="both"/>
        <w:rPr>
          <w:rFonts w:ascii="Garamond" w:hAnsi="Garamond" w:cstheme="minorHAnsi"/>
        </w:rPr>
      </w:pPr>
      <w:r w:rsidRPr="004C697F">
        <w:rPr>
          <w:rFonts w:ascii="Garamond" w:eastAsia="Times New Roman" w:hAnsi="Garamond" w:cstheme="minorHAnsi"/>
          <w:color w:val="000000"/>
          <w:sz w:val="24"/>
          <w:szCs w:val="24"/>
          <w:lang w:eastAsia="de-AT"/>
        </w:rPr>
        <w:t>Lastl</w:t>
      </w:r>
      <w:r w:rsidR="004C697F" w:rsidRPr="004C697F">
        <w:rPr>
          <w:rFonts w:ascii="Garamond" w:eastAsia="Times New Roman" w:hAnsi="Garamond" w:cstheme="minorHAnsi"/>
          <w:color w:val="000000"/>
          <w:sz w:val="24"/>
          <w:szCs w:val="24"/>
          <w:lang w:eastAsia="de-AT"/>
        </w:rPr>
        <w:t xml:space="preserve">y, we would like to express </w:t>
      </w:r>
      <w:r w:rsidR="004C697F">
        <w:rPr>
          <w:rFonts w:ascii="Garamond" w:eastAsia="Times New Roman" w:hAnsi="Garamond" w:cstheme="minorHAnsi"/>
          <w:color w:val="000000"/>
          <w:sz w:val="24"/>
          <w:szCs w:val="24"/>
          <w:lang w:eastAsia="de-AT"/>
        </w:rPr>
        <w:t>our difficulties in understanding the</w:t>
      </w:r>
      <w:r w:rsidR="004C697F" w:rsidRPr="004C697F">
        <w:rPr>
          <w:rFonts w:ascii="Garamond" w:eastAsia="Times New Roman" w:hAnsi="Garamond" w:cstheme="minorHAnsi"/>
          <w:color w:val="000000"/>
          <w:sz w:val="24"/>
          <w:szCs w:val="24"/>
          <w:lang w:eastAsia="de-AT"/>
        </w:rPr>
        <w:t xml:space="preserve"> different treatment applied to counterparty risk, which has a privileged treatment with regards to</w:t>
      </w:r>
      <w:r w:rsidR="00050E50" w:rsidRPr="004C697F">
        <w:rPr>
          <w:rFonts w:ascii="Garamond" w:eastAsia="Times New Roman" w:hAnsi="Garamond" w:cstheme="minorHAnsi"/>
          <w:color w:val="000000"/>
          <w:sz w:val="24"/>
          <w:szCs w:val="24"/>
          <w:lang w:eastAsia="de-AT"/>
        </w:rPr>
        <w:t xml:space="preserve"> the stricter treatment </w:t>
      </w:r>
      <w:r w:rsidR="004C697F" w:rsidRPr="004C697F">
        <w:rPr>
          <w:rFonts w:ascii="Garamond" w:eastAsia="Times New Roman" w:hAnsi="Garamond" w:cstheme="minorHAnsi"/>
          <w:color w:val="000000"/>
          <w:sz w:val="24"/>
          <w:szCs w:val="24"/>
          <w:lang w:eastAsia="de-AT"/>
        </w:rPr>
        <w:t>applied to</w:t>
      </w:r>
      <w:r w:rsidR="00050E50" w:rsidRPr="004C697F">
        <w:rPr>
          <w:rFonts w:ascii="Garamond" w:eastAsia="Times New Roman" w:hAnsi="Garamond" w:cstheme="minorHAnsi"/>
          <w:color w:val="000000"/>
          <w:sz w:val="24"/>
          <w:szCs w:val="24"/>
          <w:lang w:eastAsia="de-AT"/>
        </w:rPr>
        <w:t xml:space="preserve"> retail positions for liquidity purposes. </w:t>
      </w:r>
    </w:p>
    <w:p w:rsidR="00020071" w:rsidRPr="00020071" w:rsidRDefault="00020071" w:rsidP="00F81E60">
      <w:pPr>
        <w:pStyle w:val="Default"/>
        <w:jc w:val="both"/>
        <w:rPr>
          <w:rFonts w:ascii="Garamond" w:hAnsi="Garamond" w:cstheme="minorHAnsi"/>
          <w:lang w:val="en-US"/>
        </w:rPr>
      </w:pPr>
    </w:p>
    <w:p w:rsidR="00020071" w:rsidRPr="00814457" w:rsidRDefault="00020071" w:rsidP="00F81E60">
      <w:pPr>
        <w:pStyle w:val="Default"/>
        <w:jc w:val="both"/>
        <w:rPr>
          <w:rFonts w:ascii="Garamond" w:hAnsi="Garamond" w:cstheme="minorHAnsi"/>
          <w:i/>
          <w:lang w:val="en-US"/>
        </w:rPr>
      </w:pPr>
      <w:r w:rsidRPr="00020071">
        <w:rPr>
          <w:rFonts w:ascii="Garamond" w:hAnsi="Garamond" w:cstheme="minorHAnsi"/>
          <w:b/>
          <w:lang w:val="en-US"/>
        </w:rPr>
        <w:t>Q5</w:t>
      </w:r>
      <w:r w:rsidRPr="00020071">
        <w:rPr>
          <w:rFonts w:ascii="Garamond" w:hAnsi="Garamond" w:cstheme="minorHAnsi"/>
          <w:lang w:val="en-US"/>
        </w:rPr>
        <w:t xml:space="preserve">: </w:t>
      </w:r>
      <w:r w:rsidRPr="00814457">
        <w:rPr>
          <w:rFonts w:ascii="Garamond" w:hAnsi="Garamond" w:cstheme="minorHAnsi"/>
          <w:i/>
          <w:lang w:val="en-US"/>
        </w:rPr>
        <w:t>Do you agree with the criterion for considering a deposit to be rate driven?</w:t>
      </w:r>
    </w:p>
    <w:p w:rsidR="00020071" w:rsidRPr="00020071" w:rsidRDefault="00020071" w:rsidP="00F81E60">
      <w:pPr>
        <w:pStyle w:val="Default"/>
        <w:jc w:val="both"/>
        <w:rPr>
          <w:rFonts w:ascii="Garamond" w:hAnsi="Garamond" w:cstheme="minorHAnsi"/>
          <w:lang w:val="en-US"/>
        </w:rPr>
      </w:pPr>
    </w:p>
    <w:p w:rsidR="00020071" w:rsidRPr="00020071" w:rsidRDefault="00020071" w:rsidP="00F81E60">
      <w:pPr>
        <w:pStyle w:val="Default"/>
        <w:rPr>
          <w:rFonts w:ascii="Garamond" w:hAnsi="Garamond" w:cstheme="minorHAnsi"/>
          <w:lang w:val="en-US"/>
        </w:rPr>
      </w:pPr>
    </w:p>
    <w:p w:rsidR="00020071" w:rsidRPr="00020071" w:rsidRDefault="00020071" w:rsidP="00F81E60">
      <w:pPr>
        <w:pStyle w:val="Default"/>
        <w:jc w:val="both"/>
        <w:rPr>
          <w:rFonts w:ascii="Garamond" w:hAnsi="Garamond" w:cstheme="minorHAnsi"/>
          <w:lang w:val="en-US"/>
        </w:rPr>
      </w:pPr>
      <w:r w:rsidRPr="00020071">
        <w:rPr>
          <w:rFonts w:ascii="Garamond" w:hAnsi="Garamond" w:cstheme="minorHAnsi"/>
          <w:b/>
          <w:lang w:val="en-US"/>
        </w:rPr>
        <w:t>Comment</w:t>
      </w:r>
      <w:r w:rsidRPr="00020071">
        <w:rPr>
          <w:rFonts w:ascii="Garamond" w:hAnsi="Garamond" w:cstheme="minorHAnsi"/>
          <w:lang w:val="en-US"/>
        </w:rPr>
        <w:t xml:space="preserve">: </w:t>
      </w:r>
      <w:r w:rsidR="004C697F">
        <w:rPr>
          <w:rFonts w:ascii="Garamond" w:hAnsi="Garamond" w:cstheme="minorHAnsi"/>
          <w:lang w:val="en-US"/>
        </w:rPr>
        <w:t>Concerning the</w:t>
      </w:r>
      <w:r w:rsidRPr="00020071">
        <w:rPr>
          <w:rFonts w:ascii="Garamond" w:hAnsi="Garamond" w:cstheme="minorHAnsi"/>
          <w:lang w:val="en-US"/>
        </w:rPr>
        <w:t xml:space="preserve"> proposed criteria, although</w:t>
      </w:r>
      <w:r w:rsidR="004C697F">
        <w:rPr>
          <w:rFonts w:ascii="Garamond" w:hAnsi="Garamond" w:cstheme="minorHAnsi"/>
          <w:lang w:val="en-US"/>
        </w:rPr>
        <w:t xml:space="preserve"> we see it as</w:t>
      </w:r>
      <w:r w:rsidRPr="00020071">
        <w:rPr>
          <w:rFonts w:ascii="Garamond" w:hAnsi="Garamond" w:cstheme="minorHAnsi"/>
          <w:lang w:val="en-US"/>
        </w:rPr>
        <w:t xml:space="preserve"> logical, </w:t>
      </w:r>
      <w:r w:rsidR="004C697F">
        <w:rPr>
          <w:rFonts w:ascii="Garamond" w:hAnsi="Garamond" w:cstheme="minorHAnsi"/>
          <w:lang w:val="en-US"/>
        </w:rPr>
        <w:t xml:space="preserve">it </w:t>
      </w:r>
      <w:r w:rsidRPr="00020071">
        <w:rPr>
          <w:rFonts w:ascii="Garamond" w:hAnsi="Garamond" w:cstheme="minorHAnsi"/>
          <w:lang w:val="en-US"/>
        </w:rPr>
        <w:t>also</w:t>
      </w:r>
      <w:r w:rsidR="004C697F">
        <w:rPr>
          <w:rFonts w:ascii="Garamond" w:hAnsi="Garamond" w:cstheme="minorHAnsi"/>
          <w:lang w:val="en-US"/>
        </w:rPr>
        <w:t xml:space="preserve"> is </w:t>
      </w:r>
      <w:r w:rsidRPr="00020071">
        <w:rPr>
          <w:rFonts w:ascii="Garamond" w:hAnsi="Garamond" w:cstheme="minorHAnsi"/>
          <w:lang w:val="en-US"/>
        </w:rPr>
        <w:t>very complex and somewhat ambiguous. The concept of</w:t>
      </w:r>
      <w:r w:rsidR="000147A4">
        <w:rPr>
          <w:rFonts w:ascii="Garamond" w:hAnsi="Garamond" w:cstheme="minorHAnsi"/>
          <w:lang w:val="en-US"/>
        </w:rPr>
        <w:t xml:space="preserve"> an</w:t>
      </w:r>
      <w:r w:rsidRPr="00020071">
        <w:rPr>
          <w:rFonts w:ascii="Garamond" w:hAnsi="Garamond" w:cstheme="minorHAnsi"/>
          <w:lang w:val="en-US"/>
        </w:rPr>
        <w:t xml:space="preserve"> ‘average rate for similar products offered by peers’ is a very hard one to define and can be subject to multiple interpretations. This weak definition could lead to heterogeneous measurement practices across markets and institutions, which </w:t>
      </w:r>
      <w:r w:rsidR="004C697F">
        <w:rPr>
          <w:rFonts w:ascii="Garamond" w:hAnsi="Garamond" w:cstheme="minorHAnsi"/>
          <w:lang w:val="en-US"/>
        </w:rPr>
        <w:t>is not consistent</w:t>
      </w:r>
      <w:r w:rsidRPr="00020071">
        <w:rPr>
          <w:rFonts w:ascii="Garamond" w:hAnsi="Garamond" w:cstheme="minorHAnsi"/>
          <w:lang w:val="en-US"/>
        </w:rPr>
        <w:t xml:space="preserve"> with a lev</w:t>
      </w:r>
      <w:r w:rsidR="004C697F">
        <w:rPr>
          <w:rFonts w:ascii="Garamond" w:hAnsi="Garamond" w:cstheme="minorHAnsi"/>
          <w:lang w:val="en-US"/>
        </w:rPr>
        <w:t>el playing field approach. Therefore,</w:t>
      </w:r>
      <w:r w:rsidRPr="00020071">
        <w:rPr>
          <w:rFonts w:ascii="Garamond" w:hAnsi="Garamond" w:cstheme="minorHAnsi"/>
          <w:lang w:val="en-US"/>
        </w:rPr>
        <w:t xml:space="preserve"> </w:t>
      </w:r>
      <w:r w:rsidR="004C697F">
        <w:rPr>
          <w:rFonts w:ascii="Garamond" w:hAnsi="Garamond" w:cstheme="minorHAnsi"/>
          <w:lang w:val="en-US"/>
        </w:rPr>
        <w:t xml:space="preserve">we are in </w:t>
      </w:r>
      <w:proofErr w:type="spellStart"/>
      <w:r w:rsidR="004C697F">
        <w:rPr>
          <w:rFonts w:ascii="Garamond" w:hAnsi="Garamond" w:cstheme="minorHAnsi"/>
          <w:lang w:val="en-US"/>
        </w:rPr>
        <w:t>favo</w:t>
      </w:r>
      <w:r w:rsidR="000147A4">
        <w:rPr>
          <w:rFonts w:ascii="Garamond" w:hAnsi="Garamond" w:cstheme="minorHAnsi"/>
          <w:lang w:val="en-US"/>
        </w:rPr>
        <w:t>u</w:t>
      </w:r>
      <w:r w:rsidR="004C697F">
        <w:rPr>
          <w:rFonts w:ascii="Garamond" w:hAnsi="Garamond" w:cstheme="minorHAnsi"/>
          <w:lang w:val="en-US"/>
        </w:rPr>
        <w:t>r</w:t>
      </w:r>
      <w:proofErr w:type="spellEnd"/>
      <w:r w:rsidR="004C697F">
        <w:rPr>
          <w:rFonts w:ascii="Garamond" w:hAnsi="Garamond" w:cstheme="minorHAnsi"/>
          <w:lang w:val="en-US"/>
        </w:rPr>
        <w:t xml:space="preserve"> of considering and testing simpler criteria </w:t>
      </w:r>
      <w:r w:rsidRPr="00020071">
        <w:rPr>
          <w:rFonts w:ascii="Garamond" w:hAnsi="Garamond" w:cstheme="minorHAnsi"/>
          <w:lang w:val="en-US"/>
        </w:rPr>
        <w:t>such as a fixed threshold or a threshold that depends on official rates plus a fixed spread.</w:t>
      </w:r>
    </w:p>
    <w:p w:rsidR="00020071" w:rsidRPr="00020071" w:rsidRDefault="00020071" w:rsidP="00F81E60">
      <w:pPr>
        <w:pStyle w:val="Default"/>
        <w:jc w:val="both"/>
        <w:rPr>
          <w:rFonts w:ascii="Garamond" w:hAnsi="Garamond" w:cstheme="minorHAnsi"/>
          <w:lang w:val="en-US"/>
        </w:rPr>
      </w:pPr>
    </w:p>
    <w:p w:rsidR="00020071" w:rsidRPr="00020071" w:rsidRDefault="00020071" w:rsidP="00F81E60">
      <w:pPr>
        <w:pStyle w:val="Default"/>
        <w:jc w:val="both"/>
        <w:rPr>
          <w:rFonts w:ascii="Garamond" w:hAnsi="Garamond" w:cstheme="minorHAnsi"/>
          <w:lang w:val="en-US"/>
        </w:rPr>
      </w:pPr>
    </w:p>
    <w:p w:rsidR="00020071" w:rsidRPr="00814457" w:rsidRDefault="00020071" w:rsidP="00F81E60">
      <w:pPr>
        <w:pStyle w:val="Default"/>
        <w:jc w:val="both"/>
        <w:rPr>
          <w:rFonts w:ascii="Garamond" w:hAnsi="Garamond" w:cstheme="minorHAnsi"/>
          <w:i/>
          <w:lang w:val="en-US"/>
        </w:rPr>
      </w:pPr>
      <w:r w:rsidRPr="00020071">
        <w:rPr>
          <w:rFonts w:ascii="Garamond" w:hAnsi="Garamond" w:cstheme="minorHAnsi"/>
          <w:b/>
          <w:lang w:val="en-US"/>
        </w:rPr>
        <w:t>Q6</w:t>
      </w:r>
      <w:r w:rsidRPr="00020071">
        <w:rPr>
          <w:rFonts w:ascii="Garamond" w:hAnsi="Garamond" w:cstheme="minorHAnsi"/>
          <w:lang w:val="en-US"/>
        </w:rPr>
        <w:t xml:space="preserve">: </w:t>
      </w:r>
      <w:r w:rsidRPr="00814457">
        <w:rPr>
          <w:rFonts w:ascii="Garamond" w:hAnsi="Garamond" w:cstheme="minorHAnsi"/>
          <w:i/>
          <w:lang w:val="en-US"/>
        </w:rPr>
        <w:t>Do you agree with the criteria to identify this risk factor?</w:t>
      </w:r>
    </w:p>
    <w:p w:rsidR="00020071" w:rsidRPr="00020071" w:rsidRDefault="00020071" w:rsidP="00F81E60">
      <w:pPr>
        <w:pStyle w:val="Default"/>
        <w:jc w:val="both"/>
        <w:rPr>
          <w:rFonts w:ascii="Garamond" w:hAnsi="Garamond" w:cstheme="minorHAnsi"/>
          <w:b/>
          <w:u w:val="single"/>
          <w:lang w:val="en-US"/>
        </w:rPr>
      </w:pPr>
      <w:r w:rsidRPr="00020071">
        <w:rPr>
          <w:rFonts w:ascii="Garamond" w:hAnsi="Garamond" w:cstheme="minorHAnsi"/>
          <w:lang w:val="en-US"/>
        </w:rPr>
        <w:t xml:space="preserve">  </w:t>
      </w:r>
    </w:p>
    <w:p w:rsidR="00050E50" w:rsidRDefault="00020071" w:rsidP="00F81E60">
      <w:pPr>
        <w:pStyle w:val="Default"/>
        <w:jc w:val="both"/>
        <w:rPr>
          <w:rFonts w:ascii="Garamond" w:hAnsi="Garamond" w:cstheme="minorHAnsi"/>
          <w:lang w:val="en-US"/>
        </w:rPr>
      </w:pPr>
      <w:r w:rsidRPr="00020071">
        <w:rPr>
          <w:rFonts w:ascii="Garamond" w:hAnsi="Garamond" w:cstheme="minorHAnsi"/>
          <w:b/>
          <w:lang w:val="en-US"/>
        </w:rPr>
        <w:t>Comment</w:t>
      </w:r>
      <w:r w:rsidRPr="00020071">
        <w:rPr>
          <w:rFonts w:ascii="Garamond" w:hAnsi="Garamond" w:cstheme="minorHAnsi"/>
          <w:lang w:val="en-US"/>
        </w:rPr>
        <w:t xml:space="preserve">: </w:t>
      </w:r>
      <w:r w:rsidR="00537E44">
        <w:rPr>
          <w:rFonts w:ascii="Garamond" w:hAnsi="Garamond" w:cstheme="minorHAnsi"/>
          <w:lang w:val="en-US"/>
        </w:rPr>
        <w:t xml:space="preserve">With regards to the criteria to </w:t>
      </w:r>
      <w:r w:rsidR="00537E44" w:rsidRPr="00537E44">
        <w:rPr>
          <w:rFonts w:ascii="Garamond" w:hAnsi="Garamond" w:cstheme="minorHAnsi"/>
          <w:lang w:val="en-US"/>
        </w:rPr>
        <w:t>identify risk factors</w:t>
      </w:r>
      <w:r w:rsidR="000147A4">
        <w:rPr>
          <w:rFonts w:ascii="Garamond" w:hAnsi="Garamond" w:cstheme="minorHAnsi"/>
          <w:lang w:val="en-US"/>
        </w:rPr>
        <w:t>,</w:t>
      </w:r>
      <w:r w:rsidR="00537E44" w:rsidRPr="00537E44">
        <w:rPr>
          <w:rFonts w:ascii="Garamond" w:hAnsi="Garamond" w:cstheme="minorHAnsi"/>
          <w:lang w:val="en-US"/>
        </w:rPr>
        <w:t xml:space="preserve"> the “residency factor” is not necessarily an indicator of higher withdrawal rates. Indeed, there is no evidence</w:t>
      </w:r>
      <w:r w:rsidR="00537E44">
        <w:rPr>
          <w:rFonts w:ascii="Garamond" w:hAnsi="Garamond" w:cstheme="minorHAnsi"/>
          <w:lang w:val="en-US"/>
        </w:rPr>
        <w:t xml:space="preserve"> that shows a correlation between them. EU and non-EU residency does not necessarily mean that deposits are likely to be withdrawn. During the ‘Cyprus crisis’, depositors from</w:t>
      </w:r>
      <w:r w:rsidR="000147A4">
        <w:rPr>
          <w:rFonts w:ascii="Garamond" w:hAnsi="Garamond" w:cstheme="minorHAnsi"/>
          <w:lang w:val="en-US"/>
        </w:rPr>
        <w:t xml:space="preserve"> inside and outside</w:t>
      </w:r>
      <w:r w:rsidR="00537E44">
        <w:rPr>
          <w:rFonts w:ascii="Garamond" w:hAnsi="Garamond" w:cstheme="minorHAnsi"/>
          <w:lang w:val="en-US"/>
        </w:rPr>
        <w:t xml:space="preserve"> </w:t>
      </w:r>
      <w:r w:rsidR="000147A4">
        <w:rPr>
          <w:rFonts w:ascii="Garamond" w:hAnsi="Garamond" w:cstheme="minorHAnsi"/>
          <w:lang w:val="en-US"/>
        </w:rPr>
        <w:t xml:space="preserve">the </w:t>
      </w:r>
      <w:r w:rsidR="00537E44">
        <w:rPr>
          <w:rFonts w:ascii="Garamond" w:hAnsi="Garamond" w:cstheme="minorHAnsi"/>
          <w:lang w:val="en-US"/>
        </w:rPr>
        <w:t xml:space="preserve">EU were equally eager to withdraw their deposits. In </w:t>
      </w:r>
      <w:r w:rsidR="000147A4">
        <w:rPr>
          <w:rFonts w:ascii="Garamond" w:hAnsi="Garamond" w:cstheme="minorHAnsi"/>
          <w:lang w:val="en-US"/>
        </w:rPr>
        <w:t xml:space="preserve">a </w:t>
      </w:r>
      <w:r w:rsidR="00537E44">
        <w:rPr>
          <w:rFonts w:ascii="Garamond" w:hAnsi="Garamond" w:cstheme="minorHAnsi"/>
          <w:lang w:val="en-US"/>
        </w:rPr>
        <w:t xml:space="preserve">market wide or institution specific stress situation, deposit outflow is highly dependent on </w:t>
      </w:r>
      <w:r w:rsidR="000147A4">
        <w:rPr>
          <w:rFonts w:ascii="Garamond" w:hAnsi="Garamond" w:cstheme="minorHAnsi"/>
          <w:lang w:val="en-US"/>
        </w:rPr>
        <w:t xml:space="preserve">a </w:t>
      </w:r>
      <w:r w:rsidR="00537E44">
        <w:rPr>
          <w:rFonts w:ascii="Garamond" w:hAnsi="Garamond" w:cstheme="minorHAnsi"/>
          <w:lang w:val="en-US"/>
        </w:rPr>
        <w:t xml:space="preserve">client’s confidence; hence, institution related characteristics, </w:t>
      </w:r>
      <w:r w:rsidR="000147A4">
        <w:rPr>
          <w:rFonts w:ascii="Garamond" w:hAnsi="Garamond" w:cstheme="minorHAnsi"/>
          <w:lang w:val="en-US"/>
        </w:rPr>
        <w:t>such as the</w:t>
      </w:r>
      <w:r w:rsidR="00537E44">
        <w:rPr>
          <w:rFonts w:ascii="Garamond" w:hAnsi="Garamond" w:cstheme="minorHAnsi"/>
          <w:lang w:val="en-US"/>
        </w:rPr>
        <w:t xml:space="preserve"> business model, credit rating, local</w:t>
      </w:r>
      <w:r w:rsidR="000147A4">
        <w:rPr>
          <w:rFonts w:ascii="Garamond" w:hAnsi="Garamond" w:cstheme="minorHAnsi"/>
          <w:lang w:val="en-US"/>
        </w:rPr>
        <w:t xml:space="preserve"> or</w:t>
      </w:r>
      <w:r w:rsidR="00537E44">
        <w:rPr>
          <w:rFonts w:ascii="Garamond" w:hAnsi="Garamond" w:cstheme="minorHAnsi"/>
          <w:lang w:val="en-US"/>
        </w:rPr>
        <w:t xml:space="preserve"> regional significance, should have more weight on deposit outflow than residence. </w:t>
      </w:r>
    </w:p>
    <w:p w:rsidR="002A0378" w:rsidRPr="00537E44" w:rsidRDefault="00537E44" w:rsidP="00F81E60">
      <w:pPr>
        <w:spacing w:before="240" w:line="240" w:lineRule="auto"/>
        <w:ind w:right="-1"/>
        <w:jc w:val="both"/>
        <w:rPr>
          <w:rFonts w:ascii="Garamond" w:eastAsia="Times New Roman" w:hAnsi="Garamond" w:cstheme="minorHAnsi"/>
          <w:color w:val="000000"/>
          <w:sz w:val="24"/>
          <w:szCs w:val="24"/>
          <w:lang w:eastAsia="de-AT"/>
        </w:rPr>
      </w:pPr>
      <w:r w:rsidRPr="00537E44">
        <w:rPr>
          <w:rFonts w:ascii="Garamond" w:eastAsia="Times New Roman" w:hAnsi="Garamond" w:cstheme="minorHAnsi"/>
          <w:color w:val="000000"/>
          <w:sz w:val="24"/>
          <w:szCs w:val="24"/>
          <w:lang w:eastAsia="de-AT"/>
        </w:rPr>
        <w:t>Furthermore</w:t>
      </w:r>
      <w:r w:rsidR="002A0378" w:rsidRPr="00537E44">
        <w:rPr>
          <w:rFonts w:ascii="Garamond" w:eastAsia="Times New Roman" w:hAnsi="Garamond" w:cstheme="minorHAnsi"/>
          <w:color w:val="000000"/>
          <w:sz w:val="24"/>
          <w:szCs w:val="24"/>
          <w:lang w:eastAsia="de-AT"/>
        </w:rPr>
        <w:t xml:space="preserve">, the EBA </w:t>
      </w:r>
      <w:r w:rsidRPr="00537E44">
        <w:rPr>
          <w:rFonts w:ascii="Garamond" w:eastAsia="Times New Roman" w:hAnsi="Garamond" w:cstheme="minorHAnsi"/>
          <w:color w:val="000000"/>
          <w:sz w:val="24"/>
          <w:szCs w:val="24"/>
          <w:lang w:eastAsia="de-AT"/>
        </w:rPr>
        <w:t>has proposed</w:t>
      </w:r>
      <w:r w:rsidR="002A0378" w:rsidRPr="00537E44">
        <w:rPr>
          <w:rFonts w:ascii="Garamond" w:eastAsia="Times New Roman" w:hAnsi="Garamond" w:cstheme="minorHAnsi"/>
          <w:color w:val="000000"/>
          <w:sz w:val="24"/>
          <w:szCs w:val="24"/>
          <w:lang w:eastAsia="de-AT"/>
        </w:rPr>
        <w:t xml:space="preserve"> that banks differentiate between deposits denominated in foreign currencies and deposits denominated in local currencies on the one hand as well as resident and non-resident deposits. For reasons related to the overall nomenclature, we have major concerns over an inclusion of these two criteria and perceive a need for further discussion</w:t>
      </w:r>
      <w:r w:rsidR="000147A4">
        <w:rPr>
          <w:rFonts w:ascii="Garamond" w:eastAsia="Times New Roman" w:hAnsi="Garamond" w:cstheme="minorHAnsi"/>
          <w:color w:val="000000"/>
          <w:sz w:val="24"/>
          <w:szCs w:val="24"/>
          <w:lang w:eastAsia="de-AT"/>
        </w:rPr>
        <w:t>.</w:t>
      </w:r>
      <w:r w:rsidR="002A0378" w:rsidRPr="00537E44">
        <w:rPr>
          <w:rFonts w:ascii="Garamond" w:eastAsia="Times New Roman" w:hAnsi="Garamond" w:cstheme="minorHAnsi"/>
          <w:color w:val="000000"/>
          <w:sz w:val="24"/>
          <w:szCs w:val="24"/>
          <w:lang w:eastAsia="de-AT"/>
        </w:rPr>
        <w:t xml:space="preserve"> After all, customer behaviour and consequently higher outflows not only depend on a single stress scenario in the country where the credit institution is </w:t>
      </w:r>
      <w:r>
        <w:rPr>
          <w:rFonts w:ascii="Garamond" w:eastAsia="Times New Roman" w:hAnsi="Garamond" w:cstheme="minorHAnsi"/>
          <w:color w:val="000000"/>
          <w:sz w:val="24"/>
          <w:szCs w:val="24"/>
          <w:lang w:eastAsia="de-AT"/>
        </w:rPr>
        <w:t>bas</w:t>
      </w:r>
      <w:r w:rsidR="002A0378" w:rsidRPr="00537E44">
        <w:rPr>
          <w:rFonts w:ascii="Garamond" w:eastAsia="Times New Roman" w:hAnsi="Garamond" w:cstheme="minorHAnsi"/>
          <w:color w:val="000000"/>
          <w:sz w:val="24"/>
          <w:szCs w:val="24"/>
          <w:lang w:eastAsia="de-AT"/>
        </w:rPr>
        <w:t>ed</w:t>
      </w:r>
      <w:r w:rsidR="000147A4">
        <w:rPr>
          <w:rFonts w:ascii="Garamond" w:eastAsia="Times New Roman" w:hAnsi="Garamond" w:cstheme="minorHAnsi"/>
          <w:color w:val="000000"/>
          <w:sz w:val="24"/>
          <w:szCs w:val="24"/>
          <w:lang w:eastAsia="de-AT"/>
        </w:rPr>
        <w:t>, but also the c</w:t>
      </w:r>
      <w:r w:rsidR="002A0378" w:rsidRPr="00537E44">
        <w:rPr>
          <w:rFonts w:ascii="Garamond" w:eastAsia="Times New Roman" w:hAnsi="Garamond" w:cstheme="minorHAnsi"/>
          <w:color w:val="000000"/>
          <w:sz w:val="24"/>
          <w:szCs w:val="24"/>
          <w:lang w:eastAsia="de-AT"/>
        </w:rPr>
        <w:t xml:space="preserve">ontrary: </w:t>
      </w:r>
      <w:r w:rsidR="000147A4">
        <w:rPr>
          <w:rFonts w:ascii="Garamond" w:eastAsia="Times New Roman" w:hAnsi="Garamond" w:cstheme="minorHAnsi"/>
          <w:color w:val="000000"/>
          <w:sz w:val="24"/>
          <w:szCs w:val="24"/>
          <w:lang w:eastAsia="de-AT"/>
        </w:rPr>
        <w:t>c</w:t>
      </w:r>
      <w:r w:rsidR="002A0378" w:rsidRPr="00537E44">
        <w:rPr>
          <w:rFonts w:ascii="Garamond" w:eastAsia="Times New Roman" w:hAnsi="Garamond" w:cstheme="minorHAnsi"/>
          <w:color w:val="000000"/>
          <w:sz w:val="24"/>
          <w:szCs w:val="24"/>
          <w:lang w:eastAsia="de-AT"/>
        </w:rPr>
        <w:t xml:space="preserve">ustomer </w:t>
      </w:r>
      <w:proofErr w:type="spellStart"/>
      <w:r w:rsidR="002A0378" w:rsidRPr="00537E44">
        <w:rPr>
          <w:rFonts w:ascii="Garamond" w:eastAsia="Times New Roman" w:hAnsi="Garamond" w:cstheme="minorHAnsi"/>
          <w:color w:val="000000"/>
          <w:sz w:val="24"/>
          <w:szCs w:val="24"/>
          <w:lang w:eastAsia="de-AT"/>
        </w:rPr>
        <w:t>behaviour</w:t>
      </w:r>
      <w:proofErr w:type="spellEnd"/>
      <w:r w:rsidR="002A0378" w:rsidRPr="00537E44">
        <w:rPr>
          <w:rFonts w:ascii="Garamond" w:eastAsia="Times New Roman" w:hAnsi="Garamond" w:cstheme="minorHAnsi"/>
          <w:color w:val="000000"/>
          <w:sz w:val="24"/>
          <w:szCs w:val="24"/>
          <w:lang w:eastAsia="de-AT"/>
        </w:rPr>
        <w:t xml:space="preserve"> very much depends on the situation in the country of origin. </w:t>
      </w:r>
    </w:p>
    <w:p w:rsidR="002A0378" w:rsidRPr="0088298B" w:rsidRDefault="004F5368" w:rsidP="00F81E60">
      <w:pPr>
        <w:spacing w:before="240" w:line="240" w:lineRule="auto"/>
        <w:ind w:right="-1"/>
        <w:jc w:val="both"/>
        <w:rPr>
          <w:rFonts w:ascii="Garamond" w:eastAsia="Times New Roman" w:hAnsi="Garamond" w:cstheme="minorHAnsi"/>
          <w:color w:val="000000"/>
          <w:sz w:val="24"/>
          <w:szCs w:val="24"/>
          <w:lang w:eastAsia="de-AT"/>
        </w:rPr>
      </w:pPr>
      <w:r>
        <w:rPr>
          <w:rFonts w:ascii="Garamond" w:eastAsia="Times New Roman" w:hAnsi="Garamond" w:cstheme="minorHAnsi"/>
          <w:color w:val="000000"/>
          <w:sz w:val="24"/>
          <w:szCs w:val="24"/>
          <w:lang w:eastAsia="de-AT"/>
        </w:rPr>
        <w:t>Indeed, i</w:t>
      </w:r>
      <w:r w:rsidR="00537E44" w:rsidRPr="0088298B">
        <w:rPr>
          <w:rFonts w:ascii="Garamond" w:eastAsia="Times New Roman" w:hAnsi="Garamond" w:cstheme="minorHAnsi"/>
          <w:color w:val="000000"/>
          <w:sz w:val="24"/>
          <w:szCs w:val="24"/>
          <w:lang w:eastAsia="de-AT"/>
        </w:rPr>
        <w:t>t is</w:t>
      </w:r>
      <w:r w:rsidR="002A0378" w:rsidRPr="0088298B">
        <w:rPr>
          <w:rFonts w:ascii="Garamond" w:eastAsia="Times New Roman" w:hAnsi="Garamond" w:cstheme="minorHAnsi"/>
          <w:color w:val="000000"/>
          <w:sz w:val="24"/>
          <w:szCs w:val="24"/>
          <w:lang w:eastAsia="de-AT"/>
        </w:rPr>
        <w:t xml:space="preserve"> more likely than not</w:t>
      </w:r>
      <w:r w:rsidR="00537E44" w:rsidRPr="0088298B">
        <w:rPr>
          <w:rFonts w:ascii="Garamond" w:eastAsia="Times New Roman" w:hAnsi="Garamond" w:cstheme="minorHAnsi"/>
          <w:color w:val="000000"/>
          <w:sz w:val="24"/>
          <w:szCs w:val="24"/>
          <w:lang w:eastAsia="de-AT"/>
        </w:rPr>
        <w:t xml:space="preserve"> that</w:t>
      </w:r>
      <w:r w:rsidR="002A0378" w:rsidRPr="0088298B">
        <w:rPr>
          <w:rFonts w:ascii="Garamond" w:eastAsia="Times New Roman" w:hAnsi="Garamond" w:cstheme="minorHAnsi"/>
          <w:color w:val="000000"/>
          <w:sz w:val="24"/>
          <w:szCs w:val="24"/>
          <w:lang w:eastAsia="de-AT"/>
        </w:rPr>
        <w:t xml:space="preserve"> in the event of a revaluation of the foreign currency – i.e. if there was a “domestic currency stress” – there will be higher inflows. The same would </w:t>
      </w:r>
      <w:r w:rsidR="0088298B">
        <w:rPr>
          <w:rFonts w:ascii="Garamond" w:eastAsia="Times New Roman" w:hAnsi="Garamond" w:cstheme="minorHAnsi"/>
          <w:color w:val="000000"/>
          <w:sz w:val="24"/>
          <w:szCs w:val="24"/>
          <w:lang w:eastAsia="de-AT"/>
        </w:rPr>
        <w:t>apply</w:t>
      </w:r>
      <w:r w:rsidR="002A0378" w:rsidRPr="0088298B">
        <w:rPr>
          <w:rFonts w:ascii="Garamond" w:eastAsia="Times New Roman" w:hAnsi="Garamond" w:cstheme="minorHAnsi"/>
          <w:color w:val="000000"/>
          <w:sz w:val="24"/>
          <w:szCs w:val="24"/>
          <w:lang w:eastAsia="de-AT"/>
        </w:rPr>
        <w:t xml:space="preserve"> </w:t>
      </w:r>
      <w:r w:rsidR="0088298B" w:rsidRPr="0088298B">
        <w:rPr>
          <w:rFonts w:ascii="Garamond" w:eastAsia="Times New Roman" w:hAnsi="Garamond" w:cstheme="minorHAnsi"/>
          <w:color w:val="000000"/>
          <w:sz w:val="24"/>
          <w:szCs w:val="24"/>
          <w:lang w:eastAsia="de-AT"/>
        </w:rPr>
        <w:t>should</w:t>
      </w:r>
      <w:r w:rsidR="002A0378" w:rsidRPr="0088298B">
        <w:rPr>
          <w:rFonts w:ascii="Garamond" w:eastAsia="Times New Roman" w:hAnsi="Garamond" w:cstheme="minorHAnsi"/>
          <w:color w:val="000000"/>
          <w:sz w:val="24"/>
          <w:szCs w:val="24"/>
          <w:lang w:eastAsia="de-AT"/>
        </w:rPr>
        <w:t xml:space="preserve"> an emerging crisis </w:t>
      </w:r>
      <w:r w:rsidR="0088298B" w:rsidRPr="0088298B">
        <w:rPr>
          <w:rFonts w:ascii="Garamond" w:eastAsia="Times New Roman" w:hAnsi="Garamond" w:cstheme="minorHAnsi"/>
          <w:color w:val="000000"/>
          <w:sz w:val="24"/>
          <w:szCs w:val="24"/>
          <w:lang w:eastAsia="de-AT"/>
        </w:rPr>
        <w:t xml:space="preserve">be taking place </w:t>
      </w:r>
      <w:r w:rsidR="002A0378" w:rsidRPr="0088298B">
        <w:rPr>
          <w:rFonts w:ascii="Garamond" w:eastAsia="Times New Roman" w:hAnsi="Garamond" w:cstheme="minorHAnsi"/>
          <w:color w:val="000000"/>
          <w:sz w:val="24"/>
          <w:szCs w:val="24"/>
          <w:lang w:eastAsia="de-AT"/>
        </w:rPr>
        <w:t xml:space="preserve">in the non-domestic banking market. </w:t>
      </w:r>
      <w:r w:rsidR="0088298B">
        <w:rPr>
          <w:rFonts w:ascii="Garamond" w:eastAsia="Times New Roman" w:hAnsi="Garamond" w:cstheme="minorHAnsi"/>
          <w:color w:val="000000"/>
          <w:sz w:val="24"/>
          <w:szCs w:val="24"/>
          <w:lang w:eastAsia="de-AT"/>
        </w:rPr>
        <w:t>In this sense</w:t>
      </w:r>
      <w:r w:rsidR="002A0378" w:rsidRPr="0088298B">
        <w:rPr>
          <w:rFonts w:ascii="Garamond" w:eastAsia="Times New Roman" w:hAnsi="Garamond" w:cstheme="minorHAnsi"/>
          <w:color w:val="000000"/>
          <w:sz w:val="24"/>
          <w:szCs w:val="24"/>
          <w:lang w:eastAsia="de-AT"/>
        </w:rPr>
        <w:t xml:space="preserve"> the </w:t>
      </w:r>
      <w:r w:rsidR="0088298B">
        <w:rPr>
          <w:rFonts w:ascii="Garamond" w:eastAsia="Times New Roman" w:hAnsi="Garamond" w:cstheme="minorHAnsi"/>
          <w:color w:val="000000"/>
          <w:sz w:val="24"/>
          <w:szCs w:val="24"/>
          <w:lang w:eastAsia="de-AT"/>
        </w:rPr>
        <w:t xml:space="preserve">most </w:t>
      </w:r>
      <w:r w:rsidR="002A0378" w:rsidRPr="0088298B">
        <w:rPr>
          <w:rFonts w:ascii="Garamond" w:eastAsia="Times New Roman" w:hAnsi="Garamond" w:cstheme="minorHAnsi"/>
          <w:color w:val="000000"/>
          <w:sz w:val="24"/>
          <w:szCs w:val="24"/>
          <w:lang w:eastAsia="de-AT"/>
        </w:rPr>
        <w:t xml:space="preserve">recent </w:t>
      </w:r>
      <w:r w:rsidR="0088298B">
        <w:rPr>
          <w:rFonts w:ascii="Garamond" w:eastAsia="Times New Roman" w:hAnsi="Garamond" w:cstheme="minorHAnsi"/>
          <w:color w:val="000000"/>
          <w:sz w:val="24"/>
          <w:szCs w:val="24"/>
          <w:lang w:eastAsia="de-AT"/>
        </w:rPr>
        <w:t xml:space="preserve">experience </w:t>
      </w:r>
      <w:r w:rsidR="002A0378" w:rsidRPr="0088298B">
        <w:rPr>
          <w:rFonts w:ascii="Garamond" w:eastAsia="Times New Roman" w:hAnsi="Garamond" w:cstheme="minorHAnsi"/>
          <w:color w:val="000000"/>
          <w:sz w:val="24"/>
          <w:szCs w:val="24"/>
          <w:lang w:eastAsia="de-AT"/>
        </w:rPr>
        <w:t>has shown</w:t>
      </w:r>
      <w:r w:rsidR="0088298B">
        <w:rPr>
          <w:rFonts w:ascii="Garamond" w:eastAsia="Times New Roman" w:hAnsi="Garamond" w:cstheme="minorHAnsi"/>
          <w:color w:val="000000"/>
          <w:sz w:val="24"/>
          <w:szCs w:val="24"/>
          <w:lang w:eastAsia="de-AT"/>
        </w:rPr>
        <w:t xml:space="preserve"> </w:t>
      </w:r>
      <w:r w:rsidR="002A0378" w:rsidRPr="0088298B">
        <w:rPr>
          <w:rFonts w:ascii="Garamond" w:eastAsia="Times New Roman" w:hAnsi="Garamond" w:cstheme="minorHAnsi"/>
          <w:color w:val="000000"/>
          <w:sz w:val="24"/>
          <w:szCs w:val="24"/>
          <w:lang w:eastAsia="de-AT"/>
        </w:rPr>
        <w:t xml:space="preserve">that this involves </w:t>
      </w:r>
      <w:r w:rsidR="0088298B">
        <w:rPr>
          <w:rFonts w:ascii="Garamond" w:eastAsia="Times New Roman" w:hAnsi="Garamond" w:cstheme="minorHAnsi"/>
          <w:color w:val="000000"/>
          <w:sz w:val="24"/>
          <w:szCs w:val="24"/>
          <w:lang w:eastAsia="de-AT"/>
        </w:rPr>
        <w:t>very</w:t>
      </w:r>
      <w:r w:rsidR="002A0378" w:rsidRPr="0088298B">
        <w:rPr>
          <w:rFonts w:ascii="Garamond" w:eastAsia="Times New Roman" w:hAnsi="Garamond" w:cstheme="minorHAnsi"/>
          <w:color w:val="000000"/>
          <w:sz w:val="24"/>
          <w:szCs w:val="24"/>
          <w:lang w:eastAsia="de-AT"/>
        </w:rPr>
        <w:t xml:space="preserve"> complex interactions. The generic definition of both criteria as risk factors does not reflect this complexity in an adequate manner. </w:t>
      </w:r>
      <w:r w:rsidR="0088298B">
        <w:rPr>
          <w:rFonts w:ascii="Garamond" w:eastAsia="Times New Roman" w:hAnsi="Garamond" w:cstheme="minorHAnsi"/>
          <w:color w:val="000000"/>
          <w:sz w:val="24"/>
          <w:szCs w:val="24"/>
          <w:lang w:eastAsia="de-AT"/>
        </w:rPr>
        <w:t>Due to the proportion of these deposits</w:t>
      </w:r>
      <w:r w:rsidR="002A0378" w:rsidRPr="0088298B">
        <w:rPr>
          <w:rFonts w:ascii="Garamond" w:eastAsia="Times New Roman" w:hAnsi="Garamond" w:cstheme="minorHAnsi"/>
          <w:color w:val="000000"/>
          <w:sz w:val="24"/>
          <w:szCs w:val="24"/>
          <w:lang w:eastAsia="de-AT"/>
        </w:rPr>
        <w:t xml:space="preserve"> the question </w:t>
      </w:r>
      <w:r w:rsidR="0088298B">
        <w:rPr>
          <w:rFonts w:ascii="Garamond" w:eastAsia="Times New Roman" w:hAnsi="Garamond" w:cstheme="minorHAnsi"/>
          <w:color w:val="000000"/>
          <w:sz w:val="24"/>
          <w:szCs w:val="24"/>
          <w:lang w:eastAsia="de-AT"/>
        </w:rPr>
        <w:t>is</w:t>
      </w:r>
      <w:r w:rsidR="002A0378" w:rsidRPr="0088298B">
        <w:rPr>
          <w:rFonts w:ascii="Garamond" w:eastAsia="Times New Roman" w:hAnsi="Garamond" w:cstheme="minorHAnsi"/>
          <w:color w:val="000000"/>
          <w:sz w:val="24"/>
          <w:szCs w:val="24"/>
          <w:lang w:eastAsia="de-AT"/>
        </w:rPr>
        <w:t xml:space="preserve"> whether the meaningfulness of the LCR for the purposes of liquidity management would significantly increase if these factors were included.</w:t>
      </w:r>
      <w:r w:rsidR="0088298B">
        <w:rPr>
          <w:rFonts w:ascii="Garamond" w:eastAsia="Times New Roman" w:hAnsi="Garamond" w:cstheme="minorHAnsi"/>
          <w:color w:val="000000"/>
          <w:sz w:val="24"/>
          <w:szCs w:val="24"/>
          <w:lang w:eastAsia="de-AT"/>
        </w:rPr>
        <w:t xml:space="preserve"> </w:t>
      </w:r>
    </w:p>
    <w:p w:rsidR="00050E50" w:rsidRPr="00050E50" w:rsidRDefault="0088298B" w:rsidP="00F81E60">
      <w:pPr>
        <w:spacing w:before="240" w:line="240" w:lineRule="auto"/>
        <w:ind w:right="-1"/>
        <w:jc w:val="both"/>
        <w:rPr>
          <w:rFonts w:ascii="Garamond" w:hAnsi="Garamond" w:cstheme="minorHAnsi"/>
          <w:lang w:val="en-GB"/>
        </w:rPr>
      </w:pPr>
      <w:r w:rsidRPr="008726AF">
        <w:rPr>
          <w:rFonts w:ascii="Garamond" w:eastAsia="Times New Roman" w:hAnsi="Garamond" w:cstheme="minorHAnsi"/>
          <w:color w:val="000000"/>
          <w:sz w:val="24"/>
          <w:szCs w:val="24"/>
          <w:lang w:eastAsia="de-AT"/>
        </w:rPr>
        <w:t>We would like also to express our disagreement concerning the inclusion of the</w:t>
      </w:r>
      <w:r w:rsidR="008726AF" w:rsidRPr="008726AF">
        <w:rPr>
          <w:rFonts w:ascii="Garamond" w:eastAsia="Times New Roman" w:hAnsi="Garamond" w:cstheme="minorHAnsi"/>
          <w:color w:val="000000"/>
          <w:sz w:val="24"/>
          <w:szCs w:val="24"/>
          <w:lang w:eastAsia="de-AT"/>
        </w:rPr>
        <w:t xml:space="preserve"> reference to</w:t>
      </w:r>
      <w:r w:rsidRPr="008726AF">
        <w:rPr>
          <w:rFonts w:ascii="Garamond" w:eastAsia="Times New Roman" w:hAnsi="Garamond" w:cstheme="minorHAnsi"/>
          <w:color w:val="000000"/>
          <w:sz w:val="24"/>
          <w:szCs w:val="24"/>
          <w:lang w:eastAsia="de-AT"/>
        </w:rPr>
        <w:t xml:space="preserve"> </w:t>
      </w:r>
      <w:r w:rsidR="008726AF" w:rsidRPr="008726AF">
        <w:rPr>
          <w:rFonts w:ascii="Garamond" w:eastAsia="Times New Roman" w:hAnsi="Garamond" w:cstheme="minorHAnsi"/>
          <w:color w:val="000000"/>
          <w:sz w:val="24"/>
          <w:szCs w:val="24"/>
          <w:lang w:eastAsia="de-AT"/>
        </w:rPr>
        <w:t xml:space="preserve">banks which conduct its customer </w:t>
      </w:r>
      <w:r w:rsidRPr="008726AF">
        <w:rPr>
          <w:rFonts w:ascii="Garamond" w:eastAsia="Times New Roman" w:hAnsi="Garamond" w:cstheme="minorHAnsi"/>
          <w:color w:val="000000"/>
          <w:sz w:val="24"/>
          <w:szCs w:val="24"/>
          <w:lang w:eastAsia="de-AT"/>
        </w:rPr>
        <w:t xml:space="preserve">transactions exclusively over the internet </w:t>
      </w:r>
      <w:r w:rsidR="00050E50" w:rsidRPr="008726AF">
        <w:rPr>
          <w:rFonts w:ascii="Garamond" w:eastAsia="Times New Roman" w:hAnsi="Garamond" w:cstheme="minorHAnsi"/>
          <w:color w:val="000000"/>
          <w:sz w:val="24"/>
          <w:szCs w:val="24"/>
          <w:lang w:eastAsia="de-AT"/>
        </w:rPr>
        <w:t>as one example for a bank which, due to higher risk distribution channels, should define higher outflow rates for its retail deposits. First</w:t>
      </w:r>
      <w:r w:rsidR="008726AF" w:rsidRPr="008726AF">
        <w:rPr>
          <w:rFonts w:ascii="Garamond" w:eastAsia="Times New Roman" w:hAnsi="Garamond" w:cstheme="minorHAnsi"/>
          <w:color w:val="000000"/>
          <w:sz w:val="24"/>
          <w:szCs w:val="24"/>
          <w:lang w:eastAsia="de-AT"/>
        </w:rPr>
        <w:t>ly</w:t>
      </w:r>
      <w:r w:rsidR="00050E50" w:rsidRPr="008726AF">
        <w:rPr>
          <w:rFonts w:ascii="Garamond" w:eastAsia="Times New Roman" w:hAnsi="Garamond" w:cstheme="minorHAnsi"/>
          <w:color w:val="000000"/>
          <w:sz w:val="24"/>
          <w:szCs w:val="24"/>
          <w:lang w:eastAsia="de-AT"/>
        </w:rPr>
        <w:t>, compared to other business models, this approach would result in a wholesale discrimination against a certain business model in the absence of any valid statistical basis for this</w:t>
      </w:r>
      <w:r w:rsidR="008726AF" w:rsidRPr="008726AF">
        <w:rPr>
          <w:rFonts w:ascii="Garamond" w:eastAsia="Times New Roman" w:hAnsi="Garamond" w:cstheme="minorHAnsi"/>
          <w:color w:val="000000"/>
          <w:sz w:val="24"/>
          <w:szCs w:val="24"/>
          <w:lang w:eastAsia="de-AT"/>
        </w:rPr>
        <w:t xml:space="preserve"> assertion</w:t>
      </w:r>
      <w:r w:rsidR="00050E50" w:rsidRPr="008726AF">
        <w:rPr>
          <w:rFonts w:ascii="Garamond" w:eastAsia="Times New Roman" w:hAnsi="Garamond" w:cstheme="minorHAnsi"/>
          <w:color w:val="000000"/>
          <w:sz w:val="24"/>
          <w:szCs w:val="24"/>
          <w:lang w:eastAsia="de-AT"/>
        </w:rPr>
        <w:t xml:space="preserve">. </w:t>
      </w:r>
      <w:r w:rsidR="008726AF" w:rsidRPr="008726AF">
        <w:rPr>
          <w:rFonts w:ascii="Garamond" w:eastAsia="Times New Roman" w:hAnsi="Garamond" w:cstheme="minorHAnsi"/>
          <w:color w:val="000000"/>
          <w:sz w:val="24"/>
          <w:szCs w:val="24"/>
          <w:lang w:eastAsia="de-AT"/>
        </w:rPr>
        <w:t>All the more,</w:t>
      </w:r>
      <w:r w:rsidR="00050E50" w:rsidRPr="008726AF">
        <w:rPr>
          <w:rFonts w:ascii="Garamond" w:eastAsia="Times New Roman" w:hAnsi="Garamond" w:cstheme="minorHAnsi"/>
          <w:color w:val="000000"/>
          <w:sz w:val="24"/>
          <w:szCs w:val="24"/>
          <w:lang w:eastAsia="de-AT"/>
        </w:rPr>
        <w:t xml:space="preserve"> during the last financial crisis, in the retail banking area internet banks were able to post considerable inflows. Hence, with regard to internet banks, there are no behaviour signs indicatin</w:t>
      </w:r>
      <w:r w:rsidR="008726AF" w:rsidRPr="008726AF">
        <w:rPr>
          <w:rFonts w:ascii="Garamond" w:eastAsia="Times New Roman" w:hAnsi="Garamond" w:cstheme="minorHAnsi"/>
          <w:color w:val="000000"/>
          <w:sz w:val="24"/>
          <w:szCs w:val="24"/>
          <w:lang w:eastAsia="de-AT"/>
        </w:rPr>
        <w:t>g any particular risk aversion from</w:t>
      </w:r>
      <w:r w:rsidR="00050E50" w:rsidRPr="008726AF">
        <w:rPr>
          <w:rFonts w:ascii="Garamond" w:eastAsia="Times New Roman" w:hAnsi="Garamond" w:cstheme="minorHAnsi"/>
          <w:color w:val="000000"/>
          <w:sz w:val="24"/>
          <w:szCs w:val="24"/>
          <w:lang w:eastAsia="de-AT"/>
        </w:rPr>
        <w:t xml:space="preserve"> </w:t>
      </w:r>
      <w:r w:rsidR="006A14F2">
        <w:rPr>
          <w:rFonts w:ascii="Garamond" w:eastAsia="Times New Roman" w:hAnsi="Garamond" w:cstheme="minorHAnsi"/>
          <w:color w:val="000000"/>
          <w:sz w:val="24"/>
          <w:szCs w:val="24"/>
          <w:lang w:eastAsia="de-AT"/>
        </w:rPr>
        <w:t xml:space="preserve">the </w:t>
      </w:r>
      <w:r w:rsidR="008726AF" w:rsidRPr="008726AF">
        <w:rPr>
          <w:rFonts w:ascii="Garamond" w:eastAsia="Times New Roman" w:hAnsi="Garamond" w:cstheme="minorHAnsi"/>
          <w:color w:val="000000"/>
          <w:sz w:val="24"/>
          <w:szCs w:val="24"/>
          <w:lang w:eastAsia="de-AT"/>
        </w:rPr>
        <w:t>customer’s side</w:t>
      </w:r>
      <w:r w:rsidR="00050E50" w:rsidRPr="008726AF">
        <w:rPr>
          <w:rFonts w:ascii="Garamond" w:eastAsia="Times New Roman" w:hAnsi="Garamond" w:cstheme="minorHAnsi"/>
          <w:color w:val="000000"/>
          <w:sz w:val="24"/>
          <w:szCs w:val="24"/>
          <w:lang w:eastAsia="de-AT"/>
        </w:rPr>
        <w:t xml:space="preserve">. </w:t>
      </w:r>
      <w:r w:rsidR="008726AF" w:rsidRPr="008726AF">
        <w:rPr>
          <w:rFonts w:ascii="Garamond" w:eastAsia="Times New Roman" w:hAnsi="Garamond" w:cstheme="minorHAnsi"/>
          <w:color w:val="000000"/>
          <w:sz w:val="24"/>
          <w:szCs w:val="24"/>
          <w:lang w:eastAsia="de-AT"/>
        </w:rPr>
        <w:t>Instead</w:t>
      </w:r>
      <w:r w:rsidR="00050E50" w:rsidRPr="008726AF">
        <w:rPr>
          <w:rFonts w:ascii="Garamond" w:eastAsia="Times New Roman" w:hAnsi="Garamond" w:cstheme="minorHAnsi"/>
          <w:color w:val="000000"/>
          <w:sz w:val="24"/>
          <w:szCs w:val="24"/>
          <w:lang w:eastAsia="de-AT"/>
        </w:rPr>
        <w:t>,</w:t>
      </w:r>
      <w:r w:rsidR="008726AF">
        <w:rPr>
          <w:rFonts w:ascii="Garamond" w:eastAsia="Times New Roman" w:hAnsi="Garamond" w:cstheme="minorHAnsi"/>
          <w:color w:val="000000"/>
          <w:sz w:val="24"/>
          <w:szCs w:val="24"/>
          <w:lang w:eastAsia="de-AT"/>
        </w:rPr>
        <w:t xml:space="preserve"> factors such as</w:t>
      </w:r>
      <w:r w:rsidR="00050E50" w:rsidRPr="008726AF">
        <w:rPr>
          <w:rFonts w:ascii="Garamond" w:eastAsia="Times New Roman" w:hAnsi="Garamond" w:cstheme="minorHAnsi"/>
          <w:color w:val="000000"/>
          <w:sz w:val="24"/>
          <w:szCs w:val="24"/>
          <w:lang w:eastAsia="de-AT"/>
        </w:rPr>
        <w:t xml:space="preserve"> the </w:t>
      </w:r>
      <w:r w:rsidR="008726AF" w:rsidRPr="008726AF">
        <w:rPr>
          <w:rFonts w:ascii="Garamond" w:eastAsia="Times New Roman" w:hAnsi="Garamond" w:cstheme="minorHAnsi"/>
          <w:color w:val="000000"/>
          <w:sz w:val="24"/>
          <w:szCs w:val="24"/>
          <w:lang w:eastAsia="de-AT"/>
        </w:rPr>
        <w:t>amount</w:t>
      </w:r>
      <w:r w:rsidR="00050E50" w:rsidRPr="008726AF">
        <w:rPr>
          <w:rFonts w:ascii="Garamond" w:eastAsia="Times New Roman" w:hAnsi="Garamond" w:cstheme="minorHAnsi"/>
          <w:color w:val="000000"/>
          <w:sz w:val="24"/>
          <w:szCs w:val="24"/>
          <w:lang w:eastAsia="de-AT"/>
        </w:rPr>
        <w:t xml:space="preserve"> of the</w:t>
      </w:r>
      <w:r w:rsidR="008726AF" w:rsidRPr="008726AF">
        <w:rPr>
          <w:rFonts w:ascii="Garamond" w:eastAsia="Times New Roman" w:hAnsi="Garamond" w:cstheme="minorHAnsi"/>
          <w:color w:val="000000"/>
          <w:sz w:val="24"/>
          <w:szCs w:val="24"/>
          <w:lang w:eastAsia="de-AT"/>
        </w:rPr>
        <w:t xml:space="preserve"> local </w:t>
      </w:r>
      <w:r w:rsidR="00050E50" w:rsidRPr="008726AF">
        <w:rPr>
          <w:rFonts w:ascii="Garamond" w:eastAsia="Times New Roman" w:hAnsi="Garamond" w:cstheme="minorHAnsi"/>
          <w:color w:val="000000"/>
          <w:sz w:val="24"/>
          <w:szCs w:val="24"/>
          <w:lang w:eastAsia="de-AT"/>
        </w:rPr>
        <w:t xml:space="preserve">deposit guarantee scheme and the country where the bank is domiciled have a decisive influence on customer behaviour. </w:t>
      </w:r>
    </w:p>
    <w:p w:rsidR="00020071" w:rsidRPr="00020071" w:rsidRDefault="00020071" w:rsidP="00F81E60">
      <w:pPr>
        <w:pStyle w:val="Default"/>
        <w:jc w:val="both"/>
        <w:rPr>
          <w:rFonts w:ascii="Garamond" w:hAnsi="Garamond" w:cstheme="minorHAnsi"/>
          <w:lang w:val="en-US"/>
        </w:rPr>
      </w:pPr>
    </w:p>
    <w:p w:rsidR="00020071" w:rsidRPr="00020071" w:rsidRDefault="00020071" w:rsidP="00F81E60">
      <w:pPr>
        <w:pStyle w:val="Default"/>
        <w:jc w:val="both"/>
        <w:rPr>
          <w:rFonts w:ascii="Garamond" w:hAnsi="Garamond" w:cstheme="minorHAnsi"/>
          <w:b/>
          <w:u w:val="single"/>
          <w:lang w:val="en-US"/>
        </w:rPr>
      </w:pPr>
    </w:p>
    <w:p w:rsidR="00020071" w:rsidRPr="00020071" w:rsidRDefault="00020071" w:rsidP="00F81E60">
      <w:pPr>
        <w:pStyle w:val="Default"/>
        <w:rPr>
          <w:rFonts w:ascii="Garamond" w:hAnsi="Garamond" w:cstheme="minorHAnsi"/>
          <w:lang w:val="en-US"/>
        </w:rPr>
      </w:pPr>
      <w:r w:rsidRPr="00020071">
        <w:rPr>
          <w:rFonts w:ascii="Garamond" w:hAnsi="Garamond" w:cstheme="minorHAnsi"/>
          <w:b/>
          <w:lang w:val="en-US"/>
        </w:rPr>
        <w:t>Q7</w:t>
      </w:r>
      <w:r w:rsidRPr="00020071">
        <w:rPr>
          <w:rFonts w:ascii="Garamond" w:hAnsi="Garamond" w:cstheme="minorHAnsi"/>
          <w:lang w:val="en-US"/>
        </w:rPr>
        <w:t xml:space="preserve">: </w:t>
      </w:r>
      <w:r w:rsidRPr="00814457">
        <w:rPr>
          <w:rFonts w:ascii="Garamond" w:hAnsi="Garamond" w:cstheme="minorHAnsi"/>
          <w:i/>
          <w:lang w:val="en-US"/>
        </w:rPr>
        <w:t>Do you agree with the above analysis of the cost and benefit impact of the proposals?</w:t>
      </w:r>
    </w:p>
    <w:p w:rsidR="00020071" w:rsidRPr="00020071" w:rsidRDefault="00020071" w:rsidP="00F81E60">
      <w:pPr>
        <w:pStyle w:val="Default"/>
        <w:jc w:val="both"/>
        <w:rPr>
          <w:rFonts w:ascii="Garamond" w:hAnsi="Garamond" w:cstheme="minorHAnsi"/>
          <w:b/>
          <w:u w:val="single"/>
          <w:lang w:val="en-US"/>
        </w:rPr>
      </w:pPr>
    </w:p>
    <w:p w:rsidR="002A0378" w:rsidRPr="00537E44" w:rsidRDefault="00020071" w:rsidP="00F81E60">
      <w:pPr>
        <w:pStyle w:val="Default"/>
        <w:jc w:val="both"/>
        <w:rPr>
          <w:rFonts w:ascii="Garamond" w:hAnsi="Garamond" w:cstheme="minorHAnsi"/>
        </w:rPr>
      </w:pPr>
      <w:r w:rsidRPr="00020071">
        <w:rPr>
          <w:rFonts w:ascii="Garamond" w:hAnsi="Garamond" w:cstheme="minorHAnsi"/>
          <w:b/>
          <w:lang w:val="en-US"/>
        </w:rPr>
        <w:t>Comment</w:t>
      </w:r>
      <w:r w:rsidRPr="00020071">
        <w:rPr>
          <w:rFonts w:ascii="Garamond" w:hAnsi="Garamond" w:cstheme="minorHAnsi"/>
          <w:lang w:val="en-US"/>
        </w:rPr>
        <w:t xml:space="preserve">:  </w:t>
      </w:r>
      <w:r w:rsidR="00537E44">
        <w:rPr>
          <w:rFonts w:ascii="Garamond" w:hAnsi="Garamond" w:cstheme="minorHAnsi"/>
          <w:lang w:val="en-US"/>
        </w:rPr>
        <w:t xml:space="preserve">As </w:t>
      </w:r>
      <w:r w:rsidR="00537E44" w:rsidRPr="00537E44">
        <w:rPr>
          <w:rFonts w:ascii="Garamond" w:hAnsi="Garamond" w:cstheme="minorHAnsi"/>
          <w:lang w:val="en-US"/>
        </w:rPr>
        <w:t>to the cost and benefit impact of the proposals</w:t>
      </w:r>
      <w:r w:rsidR="006A14F2">
        <w:rPr>
          <w:rFonts w:ascii="Garamond" w:hAnsi="Garamond" w:cstheme="minorHAnsi"/>
          <w:lang w:val="en-US"/>
        </w:rPr>
        <w:t>,</w:t>
      </w:r>
      <w:r w:rsidR="00537E44" w:rsidRPr="00537E44">
        <w:rPr>
          <w:rFonts w:ascii="Garamond" w:hAnsi="Garamond" w:cstheme="minorHAnsi"/>
          <w:lang w:val="en-US"/>
        </w:rPr>
        <w:t xml:space="preserve"> the implementation of the proposed systems and indicators</w:t>
      </w:r>
      <w:r w:rsidR="00537E44">
        <w:rPr>
          <w:rFonts w:ascii="Garamond" w:hAnsi="Garamond" w:cstheme="minorHAnsi"/>
          <w:lang w:val="en-US"/>
        </w:rPr>
        <w:t xml:space="preserve"> will require significant efforts and business model changes. </w:t>
      </w:r>
      <w:r w:rsidR="000C2508">
        <w:rPr>
          <w:rFonts w:ascii="Garamond" w:hAnsi="Garamond" w:cstheme="minorHAnsi"/>
          <w:lang w:val="en-US"/>
        </w:rPr>
        <w:t>We consider that t</w:t>
      </w:r>
      <w:r w:rsidR="00537E44">
        <w:rPr>
          <w:rFonts w:ascii="Garamond" w:hAnsi="Garamond" w:cstheme="minorHAnsi"/>
          <w:lang w:val="en-US"/>
        </w:rPr>
        <w:t xml:space="preserve">he cost-benefit ratio for the additional measuring of higher outflow rates cannot be estimated in a serious manner at this stage. But it should be recognised that initial costs as well as running costs are substantial and </w:t>
      </w:r>
      <w:r w:rsidR="006A14F2">
        <w:rPr>
          <w:rFonts w:ascii="Garamond" w:hAnsi="Garamond" w:cstheme="minorHAnsi"/>
          <w:lang w:val="en-US"/>
        </w:rPr>
        <w:t xml:space="preserve">that </w:t>
      </w:r>
      <w:r w:rsidR="00537E44">
        <w:rPr>
          <w:rFonts w:ascii="Garamond" w:hAnsi="Garamond" w:cstheme="minorHAnsi"/>
          <w:lang w:val="en-US"/>
        </w:rPr>
        <w:t>any regulatory condition should be defined while considering this aspect</w:t>
      </w:r>
      <w:r w:rsidR="008726AF">
        <w:rPr>
          <w:rFonts w:ascii="Garamond" w:hAnsi="Garamond" w:cstheme="minorHAnsi"/>
          <w:lang w:val="en-US"/>
        </w:rPr>
        <w:t xml:space="preserve">. </w:t>
      </w:r>
      <w:r w:rsidR="00537E44" w:rsidRPr="00537E44">
        <w:rPr>
          <w:rFonts w:ascii="Garamond" w:hAnsi="Garamond" w:cstheme="minorHAnsi"/>
        </w:rPr>
        <w:t>Additionally, w</w:t>
      </w:r>
      <w:r w:rsidR="002A0378" w:rsidRPr="00537E44">
        <w:rPr>
          <w:rFonts w:ascii="Garamond" w:hAnsi="Garamond" w:cstheme="minorHAnsi"/>
        </w:rPr>
        <w:t xml:space="preserve">e </w:t>
      </w:r>
      <w:r w:rsidR="00537E44" w:rsidRPr="00537E44">
        <w:rPr>
          <w:rFonts w:ascii="Garamond" w:hAnsi="Garamond" w:cstheme="minorHAnsi"/>
        </w:rPr>
        <w:t xml:space="preserve">would like to </w:t>
      </w:r>
      <w:r w:rsidR="002A0378" w:rsidRPr="00537E44">
        <w:rPr>
          <w:rFonts w:ascii="Garamond" w:hAnsi="Garamond" w:cstheme="minorHAnsi"/>
        </w:rPr>
        <w:t xml:space="preserve">explicitly </w:t>
      </w:r>
      <w:r w:rsidR="00537E44" w:rsidRPr="00537E44">
        <w:rPr>
          <w:rFonts w:ascii="Garamond" w:hAnsi="Garamond" w:cstheme="minorHAnsi"/>
        </w:rPr>
        <w:t xml:space="preserve">state our </w:t>
      </w:r>
      <w:r w:rsidR="002A0378" w:rsidRPr="00537E44">
        <w:rPr>
          <w:rFonts w:ascii="Garamond" w:hAnsi="Garamond" w:cstheme="minorHAnsi"/>
        </w:rPr>
        <w:t>disagree</w:t>
      </w:r>
      <w:r w:rsidR="00537E44" w:rsidRPr="00537E44">
        <w:rPr>
          <w:rFonts w:ascii="Garamond" w:hAnsi="Garamond" w:cstheme="minorHAnsi"/>
        </w:rPr>
        <w:t>ment</w:t>
      </w:r>
      <w:r w:rsidR="002A0378" w:rsidRPr="00537E44">
        <w:rPr>
          <w:rFonts w:ascii="Garamond" w:hAnsi="Garamond" w:cstheme="minorHAnsi"/>
        </w:rPr>
        <w:t xml:space="preserve"> with the EBA’s view that the proposed further differentiation of the outflow rates can significantly increase the meaningfulness of the LCR ratio whilst incurring but moderate costs. </w:t>
      </w:r>
    </w:p>
    <w:p w:rsidR="002A0378" w:rsidRPr="00814457" w:rsidRDefault="000C2508" w:rsidP="00F81E60">
      <w:pPr>
        <w:spacing w:before="240" w:line="240" w:lineRule="auto"/>
        <w:ind w:right="-1"/>
        <w:jc w:val="both"/>
        <w:rPr>
          <w:rFonts w:ascii="Garamond" w:eastAsia="Times New Roman" w:hAnsi="Garamond" w:cstheme="minorHAnsi"/>
          <w:color w:val="000000"/>
          <w:sz w:val="24"/>
          <w:szCs w:val="24"/>
          <w:lang w:eastAsia="de-AT"/>
        </w:rPr>
      </w:pPr>
      <w:r w:rsidRPr="00814457">
        <w:rPr>
          <w:rFonts w:ascii="Garamond" w:eastAsia="Times New Roman" w:hAnsi="Garamond" w:cstheme="minorHAnsi"/>
          <w:color w:val="000000"/>
          <w:sz w:val="24"/>
          <w:szCs w:val="24"/>
          <w:lang w:eastAsia="de-AT"/>
        </w:rPr>
        <w:t>Concerning the criteria for assessing a cost-benefit study</w:t>
      </w:r>
      <w:r w:rsidR="002A0378" w:rsidRPr="00814457">
        <w:rPr>
          <w:rFonts w:ascii="Garamond" w:eastAsia="Times New Roman" w:hAnsi="Garamond" w:cstheme="minorHAnsi"/>
          <w:color w:val="000000"/>
          <w:sz w:val="24"/>
          <w:szCs w:val="24"/>
          <w:lang w:eastAsia="de-AT"/>
        </w:rPr>
        <w:t xml:space="preserve"> there </w:t>
      </w:r>
      <w:r w:rsidRPr="00814457">
        <w:rPr>
          <w:rFonts w:ascii="Garamond" w:eastAsia="Times New Roman" w:hAnsi="Garamond" w:cstheme="minorHAnsi"/>
          <w:color w:val="000000"/>
          <w:sz w:val="24"/>
          <w:szCs w:val="24"/>
          <w:lang w:eastAsia="de-AT"/>
        </w:rPr>
        <w:t>are a number</w:t>
      </w:r>
      <w:r w:rsidR="002A0378" w:rsidRPr="00814457">
        <w:rPr>
          <w:rFonts w:ascii="Garamond" w:eastAsia="Times New Roman" w:hAnsi="Garamond" w:cstheme="minorHAnsi"/>
          <w:color w:val="000000"/>
          <w:sz w:val="24"/>
          <w:szCs w:val="24"/>
          <w:lang w:eastAsia="de-AT"/>
        </w:rPr>
        <w:t xml:space="preserve"> of factors</w:t>
      </w:r>
      <w:r w:rsidRPr="00814457">
        <w:rPr>
          <w:rFonts w:ascii="Garamond" w:eastAsia="Times New Roman" w:hAnsi="Garamond" w:cstheme="minorHAnsi"/>
          <w:color w:val="000000"/>
          <w:sz w:val="24"/>
          <w:szCs w:val="24"/>
          <w:lang w:eastAsia="de-AT"/>
        </w:rPr>
        <w:t>, as expressed above,</w:t>
      </w:r>
      <w:r w:rsidR="002A0378" w:rsidRPr="00814457">
        <w:rPr>
          <w:rFonts w:ascii="Garamond" w:eastAsia="Times New Roman" w:hAnsi="Garamond" w:cstheme="minorHAnsi"/>
          <w:color w:val="000000"/>
          <w:sz w:val="24"/>
          <w:szCs w:val="24"/>
          <w:lang w:eastAsia="de-AT"/>
        </w:rPr>
        <w:t xml:space="preserve"> which</w:t>
      </w:r>
      <w:r w:rsidRPr="00814457">
        <w:rPr>
          <w:rFonts w:ascii="Garamond" w:eastAsia="Times New Roman" w:hAnsi="Garamond" w:cstheme="minorHAnsi"/>
          <w:color w:val="000000"/>
          <w:sz w:val="24"/>
          <w:szCs w:val="24"/>
          <w:lang w:eastAsia="de-AT"/>
        </w:rPr>
        <w:t xml:space="preserve"> </w:t>
      </w:r>
      <w:r w:rsidR="002A0378" w:rsidRPr="00814457">
        <w:rPr>
          <w:rFonts w:ascii="Garamond" w:eastAsia="Times New Roman" w:hAnsi="Garamond" w:cstheme="minorHAnsi"/>
          <w:color w:val="000000"/>
          <w:sz w:val="24"/>
          <w:szCs w:val="24"/>
          <w:lang w:eastAsia="de-AT"/>
        </w:rPr>
        <w:t xml:space="preserve">are partly correlated with each other. This </w:t>
      </w:r>
      <w:r w:rsidRPr="00814457">
        <w:rPr>
          <w:rFonts w:ascii="Garamond" w:eastAsia="Times New Roman" w:hAnsi="Garamond" w:cstheme="minorHAnsi"/>
          <w:color w:val="000000"/>
          <w:sz w:val="24"/>
          <w:szCs w:val="24"/>
          <w:lang w:eastAsia="de-AT"/>
        </w:rPr>
        <w:t>will most likely lead</w:t>
      </w:r>
      <w:r w:rsidR="002A0378" w:rsidRPr="00814457">
        <w:rPr>
          <w:rFonts w:ascii="Garamond" w:eastAsia="Times New Roman" w:hAnsi="Garamond" w:cstheme="minorHAnsi"/>
          <w:color w:val="000000"/>
          <w:sz w:val="24"/>
          <w:szCs w:val="24"/>
          <w:lang w:eastAsia="de-AT"/>
        </w:rPr>
        <w:t xml:space="preserve"> to a clear increase in </w:t>
      </w:r>
      <w:r w:rsidRPr="00814457">
        <w:rPr>
          <w:rFonts w:ascii="Garamond" w:eastAsia="Times New Roman" w:hAnsi="Garamond" w:cstheme="minorHAnsi"/>
          <w:color w:val="000000"/>
          <w:sz w:val="24"/>
          <w:szCs w:val="24"/>
          <w:lang w:eastAsia="de-AT"/>
        </w:rPr>
        <w:t xml:space="preserve">the </w:t>
      </w:r>
      <w:r w:rsidR="002A0378" w:rsidRPr="00814457">
        <w:rPr>
          <w:rFonts w:ascii="Garamond" w:eastAsia="Times New Roman" w:hAnsi="Garamond" w:cstheme="minorHAnsi"/>
          <w:color w:val="000000"/>
          <w:sz w:val="24"/>
          <w:szCs w:val="24"/>
          <w:lang w:eastAsia="de-AT"/>
        </w:rPr>
        <w:t>complexity</w:t>
      </w:r>
      <w:r w:rsidRPr="00814457">
        <w:rPr>
          <w:rFonts w:ascii="Garamond" w:eastAsia="Times New Roman" w:hAnsi="Garamond" w:cstheme="minorHAnsi"/>
          <w:color w:val="000000"/>
          <w:sz w:val="24"/>
          <w:szCs w:val="24"/>
          <w:lang w:eastAsia="de-AT"/>
        </w:rPr>
        <w:t xml:space="preserve"> of the calculation</w:t>
      </w:r>
      <w:r w:rsidR="002A0378" w:rsidRPr="00814457">
        <w:rPr>
          <w:rFonts w:ascii="Garamond" w:eastAsia="Times New Roman" w:hAnsi="Garamond" w:cstheme="minorHAnsi"/>
          <w:color w:val="000000"/>
          <w:sz w:val="24"/>
          <w:szCs w:val="24"/>
          <w:lang w:eastAsia="de-AT"/>
        </w:rPr>
        <w:t xml:space="preserve"> meaning that the costs for preparing and controlling this ratio will </w:t>
      </w:r>
      <w:r w:rsidR="00983D2A">
        <w:rPr>
          <w:rFonts w:ascii="Garamond" w:eastAsia="Times New Roman" w:hAnsi="Garamond" w:cstheme="minorHAnsi"/>
          <w:color w:val="000000"/>
          <w:sz w:val="24"/>
          <w:szCs w:val="24"/>
          <w:lang w:eastAsia="de-AT"/>
        </w:rPr>
        <w:t xml:space="preserve">also </w:t>
      </w:r>
      <w:r w:rsidR="002A0378" w:rsidRPr="00814457">
        <w:rPr>
          <w:rFonts w:ascii="Garamond" w:eastAsia="Times New Roman" w:hAnsi="Garamond" w:cstheme="minorHAnsi"/>
          <w:color w:val="000000"/>
          <w:sz w:val="24"/>
          <w:szCs w:val="24"/>
          <w:lang w:eastAsia="de-AT"/>
        </w:rPr>
        <w:t>increase</w:t>
      </w:r>
      <w:r w:rsidRPr="00814457">
        <w:rPr>
          <w:rFonts w:ascii="Garamond" w:eastAsia="Times New Roman" w:hAnsi="Garamond" w:cstheme="minorHAnsi"/>
          <w:color w:val="000000"/>
          <w:sz w:val="24"/>
          <w:szCs w:val="24"/>
          <w:lang w:eastAsia="de-AT"/>
        </w:rPr>
        <w:t xml:space="preserve">. Therefore, </w:t>
      </w:r>
      <w:r w:rsidR="002A0378" w:rsidRPr="00814457">
        <w:rPr>
          <w:rFonts w:ascii="Garamond" w:eastAsia="Times New Roman" w:hAnsi="Garamond" w:cstheme="minorHAnsi"/>
          <w:color w:val="000000"/>
          <w:sz w:val="24"/>
          <w:szCs w:val="24"/>
          <w:lang w:eastAsia="de-AT"/>
        </w:rPr>
        <w:t>a further algorithm</w:t>
      </w:r>
      <w:r w:rsidRPr="00814457">
        <w:rPr>
          <w:rFonts w:ascii="Garamond" w:eastAsia="Times New Roman" w:hAnsi="Garamond" w:cstheme="minorHAnsi"/>
          <w:color w:val="000000"/>
          <w:sz w:val="24"/>
          <w:szCs w:val="24"/>
          <w:lang w:eastAsia="de-AT"/>
        </w:rPr>
        <w:t xml:space="preserve"> with a multi-tier calculation method </w:t>
      </w:r>
      <w:r w:rsidR="002A0378" w:rsidRPr="00814457">
        <w:rPr>
          <w:rFonts w:ascii="Garamond" w:eastAsia="Times New Roman" w:hAnsi="Garamond" w:cstheme="minorHAnsi"/>
          <w:color w:val="000000"/>
          <w:sz w:val="24"/>
          <w:szCs w:val="24"/>
          <w:lang w:eastAsia="de-AT"/>
        </w:rPr>
        <w:t xml:space="preserve">becomes necessary for deriving the respective outflow rates. </w:t>
      </w:r>
    </w:p>
    <w:p w:rsidR="00020071" w:rsidRPr="00020071" w:rsidRDefault="00020071" w:rsidP="00F81E60">
      <w:pPr>
        <w:pStyle w:val="Default"/>
        <w:jc w:val="both"/>
        <w:rPr>
          <w:rFonts w:ascii="Garamond" w:hAnsi="Garamond" w:cstheme="minorHAnsi"/>
          <w:b/>
          <w:u w:val="single"/>
          <w:lang w:val="en-US"/>
        </w:rPr>
      </w:pPr>
    </w:p>
    <w:p w:rsidR="00020071" w:rsidRPr="00814457" w:rsidRDefault="00020071" w:rsidP="00F81E60">
      <w:pPr>
        <w:pStyle w:val="Default"/>
        <w:jc w:val="both"/>
        <w:rPr>
          <w:rFonts w:ascii="Garamond" w:hAnsi="Garamond" w:cstheme="minorHAnsi"/>
          <w:i/>
          <w:lang w:val="en-US"/>
        </w:rPr>
      </w:pPr>
      <w:r w:rsidRPr="00020071">
        <w:rPr>
          <w:rFonts w:ascii="Garamond" w:hAnsi="Garamond" w:cstheme="minorHAnsi"/>
          <w:b/>
          <w:lang w:val="en-US"/>
        </w:rPr>
        <w:t>Q8</w:t>
      </w:r>
      <w:r w:rsidRPr="00020071">
        <w:rPr>
          <w:rFonts w:ascii="Garamond" w:hAnsi="Garamond" w:cstheme="minorHAnsi"/>
          <w:lang w:val="en-US"/>
        </w:rPr>
        <w:t xml:space="preserve">: </w:t>
      </w:r>
      <w:r w:rsidRPr="00814457">
        <w:rPr>
          <w:rFonts w:ascii="Garamond" w:hAnsi="Garamond" w:cstheme="minorHAnsi"/>
          <w:i/>
          <w:lang w:val="en-US"/>
        </w:rPr>
        <w:t>Please provide any evidence or data that would further inform the analysis of the likely cost-benefit impact of the proposals.</w:t>
      </w:r>
    </w:p>
    <w:p w:rsidR="00020071" w:rsidRPr="00020071" w:rsidRDefault="00020071" w:rsidP="00F81E60">
      <w:pPr>
        <w:pStyle w:val="Default"/>
        <w:jc w:val="both"/>
        <w:rPr>
          <w:rFonts w:ascii="Garamond" w:hAnsi="Garamond" w:cstheme="minorHAnsi"/>
          <w:b/>
          <w:u w:val="single"/>
          <w:lang w:val="en-US"/>
        </w:rPr>
      </w:pPr>
    </w:p>
    <w:p w:rsidR="00020071" w:rsidRPr="00814457" w:rsidRDefault="00020071" w:rsidP="00F81E60">
      <w:pPr>
        <w:pStyle w:val="Default"/>
        <w:jc w:val="both"/>
        <w:rPr>
          <w:rFonts w:ascii="Garamond" w:hAnsi="Garamond" w:cstheme="minorHAnsi"/>
          <w:lang w:val="en-US"/>
        </w:rPr>
      </w:pPr>
      <w:r w:rsidRPr="00020071">
        <w:rPr>
          <w:rFonts w:ascii="Garamond" w:hAnsi="Garamond" w:cstheme="minorHAnsi"/>
          <w:b/>
          <w:lang w:val="en-US"/>
        </w:rPr>
        <w:t>Comment</w:t>
      </w:r>
      <w:r w:rsidRPr="00020071">
        <w:rPr>
          <w:rFonts w:ascii="Garamond" w:hAnsi="Garamond" w:cstheme="minorHAnsi"/>
          <w:lang w:val="en-US"/>
        </w:rPr>
        <w:t xml:space="preserve">: </w:t>
      </w:r>
      <w:bookmarkStart w:id="0" w:name="_GoBack"/>
      <w:r w:rsidR="00814457">
        <w:rPr>
          <w:rFonts w:ascii="Garamond" w:hAnsi="Garamond" w:cstheme="minorHAnsi"/>
          <w:lang w:val="en-US"/>
        </w:rPr>
        <w:t>With regards to</w:t>
      </w:r>
      <w:r w:rsidR="00814457" w:rsidRPr="00814457">
        <w:rPr>
          <w:rFonts w:ascii="Garamond" w:hAnsi="Garamond" w:cstheme="minorHAnsi"/>
          <w:lang w:val="en-US"/>
        </w:rPr>
        <w:t xml:space="preserve"> the additional evidence or data that would further inform the analysis of the likely cost-benefit impact of the proposal</w:t>
      </w:r>
      <w:r w:rsidR="00983D2A">
        <w:rPr>
          <w:rFonts w:ascii="Garamond" w:hAnsi="Garamond" w:cstheme="minorHAnsi"/>
          <w:lang w:val="en-US"/>
        </w:rPr>
        <w:t>,</w:t>
      </w:r>
      <w:r w:rsidR="00814457" w:rsidRPr="00814457">
        <w:rPr>
          <w:rFonts w:ascii="Garamond" w:hAnsi="Garamond" w:cstheme="minorHAnsi"/>
          <w:lang w:val="en-US"/>
        </w:rPr>
        <w:t xml:space="preserve"> it is extremely difficult to estimate the costs of implementing these proposals at this stage. However, any simplification of the factors and removal of highly correlated factors will at least keep costs at bay, especially, in the case of multinational institutions where there is a great variety of regulation, diversity of IT systems, and where client related information is not always at hand. To track and apply these complex factors, institutions need to build reliable time series which is very difficult to do in the short term. Regulators should focus on simpler factors and defined conditions as currently many institutions do not have time series required to </w:t>
      </w:r>
      <w:proofErr w:type="spellStart"/>
      <w:r w:rsidR="00814457" w:rsidRPr="00814457">
        <w:rPr>
          <w:rFonts w:ascii="Garamond" w:hAnsi="Garamond" w:cstheme="minorHAnsi"/>
          <w:lang w:val="en-US"/>
        </w:rPr>
        <w:t>analyse</w:t>
      </w:r>
      <w:proofErr w:type="spellEnd"/>
      <w:r w:rsidR="00814457" w:rsidRPr="00814457">
        <w:rPr>
          <w:rFonts w:ascii="Garamond" w:hAnsi="Garamond" w:cstheme="minorHAnsi"/>
          <w:lang w:val="en-US"/>
        </w:rPr>
        <w:t xml:space="preserve"> proposed factors. Also, it should be noted that there is a compounded complexity when </w:t>
      </w:r>
      <w:r w:rsidR="00983D2A">
        <w:rPr>
          <w:rFonts w:ascii="Garamond" w:hAnsi="Garamond" w:cstheme="minorHAnsi"/>
          <w:lang w:val="en-US"/>
        </w:rPr>
        <w:t xml:space="preserve">the </w:t>
      </w:r>
      <w:r w:rsidR="00814457" w:rsidRPr="00814457">
        <w:rPr>
          <w:rFonts w:ascii="Garamond" w:hAnsi="Garamond" w:cstheme="minorHAnsi"/>
          <w:lang w:val="en-US"/>
        </w:rPr>
        <w:t xml:space="preserve">value of deposits are paired with product specific features such as step up rate, early withdrawal penalties, </w:t>
      </w:r>
      <w:proofErr w:type="spellStart"/>
      <w:r w:rsidR="00814457" w:rsidRPr="00814457">
        <w:rPr>
          <w:rFonts w:ascii="Garamond" w:hAnsi="Garamond" w:cstheme="minorHAnsi"/>
          <w:lang w:val="en-US"/>
        </w:rPr>
        <w:t>etc</w:t>
      </w:r>
      <w:proofErr w:type="spellEnd"/>
      <w:r w:rsidR="00814457">
        <w:rPr>
          <w:rFonts w:ascii="Garamond" w:hAnsi="Garamond" w:cstheme="minorHAnsi"/>
          <w:lang w:val="en-US"/>
        </w:rPr>
        <w:t xml:space="preserve"> </w:t>
      </w:r>
      <w:r w:rsidR="00F81E60">
        <w:rPr>
          <w:rFonts w:ascii="Garamond" w:hAnsi="Garamond" w:cstheme="minorHAnsi"/>
          <w:lang w:val="en-US"/>
        </w:rPr>
        <w:t xml:space="preserve">that </w:t>
      </w:r>
      <w:r w:rsidR="00814457" w:rsidRPr="00814457">
        <w:rPr>
          <w:rFonts w:ascii="Garamond" w:hAnsi="Garamond" w:cstheme="minorHAnsi"/>
          <w:lang w:val="en-US"/>
        </w:rPr>
        <w:t xml:space="preserve">make </w:t>
      </w:r>
      <w:r w:rsidR="00983D2A">
        <w:rPr>
          <w:rFonts w:ascii="Garamond" w:hAnsi="Garamond" w:cstheme="minorHAnsi"/>
          <w:lang w:val="en-US"/>
        </w:rPr>
        <w:t xml:space="preserve">the </w:t>
      </w:r>
      <w:r w:rsidR="00814457" w:rsidRPr="00814457">
        <w:rPr>
          <w:rFonts w:ascii="Garamond" w:hAnsi="Garamond" w:cstheme="minorHAnsi"/>
          <w:lang w:val="en-US"/>
        </w:rPr>
        <w:t>application of outflow rates on the aggregated deposit value unclear.</w:t>
      </w:r>
    </w:p>
    <w:bookmarkEnd w:id="0"/>
    <w:p w:rsidR="0053651D" w:rsidRPr="00F81E60" w:rsidRDefault="0053651D" w:rsidP="00F81E60">
      <w:pPr>
        <w:pStyle w:val="Default"/>
        <w:jc w:val="both"/>
        <w:rPr>
          <w:lang w:val="en-US"/>
        </w:rPr>
      </w:pPr>
    </w:p>
    <w:p w:rsidR="001319D7" w:rsidRPr="001319D7" w:rsidRDefault="00555E77" w:rsidP="00F81E60">
      <w:pPr>
        <w:pStyle w:val="ListParagraph"/>
        <w:spacing w:after="0" w:line="240" w:lineRule="auto"/>
        <w:jc w:val="both"/>
        <w:rPr>
          <w:rFonts w:ascii="Garamond" w:hAnsi="Garamond"/>
          <w:sz w:val="24"/>
          <w:szCs w:val="24"/>
          <w:lang w:val="nb-NO" w:eastAsia="fr-BE"/>
        </w:rPr>
      </w:pPr>
      <w:r w:rsidRPr="001319D7">
        <w:rPr>
          <w:rFonts w:ascii="Garamond" w:hAnsi="Garamond"/>
          <w:sz w:val="24"/>
          <w:szCs w:val="24"/>
          <w:lang w:val="en-GB"/>
        </w:rPr>
        <w:br w:type="page"/>
      </w:r>
      <w:r w:rsidR="00714B62" w:rsidRPr="001319D7">
        <w:rPr>
          <w:rFonts w:ascii="Garamond" w:hAnsi="Garamond"/>
          <w:sz w:val="24"/>
          <w:szCs w:val="24"/>
          <w:lang w:val="nb-NO" w:eastAsia="fr-BE"/>
        </w:rPr>
        <w:t xml:space="preserve"> </w:t>
      </w:r>
    </w:p>
    <w:p w:rsidR="001319D7" w:rsidRDefault="001319D7" w:rsidP="001319D7">
      <w:pPr>
        <w:rPr>
          <w:szCs w:val="24"/>
          <w:lang w:val="nb-NO" w:eastAsia="fr-BE"/>
        </w:rPr>
      </w:pPr>
      <w:r>
        <w:rPr>
          <w:color w:val="1F497D"/>
          <w:szCs w:val="24"/>
          <w:lang w:eastAsia="fr-BE"/>
        </w:rPr>
        <w:t> </w:t>
      </w:r>
    </w:p>
    <w:p w:rsidR="00555E77" w:rsidRPr="001319D7" w:rsidRDefault="00555E77">
      <w:pPr>
        <w:spacing w:after="0" w:line="240" w:lineRule="auto"/>
        <w:rPr>
          <w:rFonts w:ascii="Times New Roman" w:eastAsia="Times New Roman" w:hAnsi="Times New Roman" w:cs="Times New Roman"/>
          <w:color w:val="000000"/>
          <w:sz w:val="24"/>
          <w:szCs w:val="24"/>
          <w:lang w:val="nb-NO" w:eastAsia="de-AT"/>
        </w:rPr>
      </w:pPr>
    </w:p>
    <w:p w:rsidR="0053651D" w:rsidRPr="00902591" w:rsidRDefault="0053651D" w:rsidP="00AC65E0">
      <w:pPr>
        <w:pStyle w:val="Default"/>
        <w:spacing w:line="276" w:lineRule="auto"/>
        <w:rPr>
          <w:lang w:val="en-GB"/>
        </w:rPr>
      </w:pPr>
    </w:p>
    <w:p w:rsidR="00F82C61" w:rsidRPr="00902591" w:rsidRDefault="00F82C61" w:rsidP="00AC65E0">
      <w:pPr>
        <w:jc w:val="both"/>
        <w:outlineLvl w:val="0"/>
        <w:rPr>
          <w:rFonts w:ascii="Garamond" w:hAnsi="Garamond"/>
          <w:b/>
          <w:color w:val="004483"/>
          <w:sz w:val="24"/>
          <w:szCs w:val="24"/>
          <w:lang w:val="en-GB" w:eastAsia="de-DE"/>
        </w:rPr>
      </w:pPr>
      <w:r w:rsidRPr="00902591">
        <w:rPr>
          <w:rFonts w:ascii="Garamond" w:hAnsi="Garamond"/>
          <w:b/>
          <w:color w:val="004483"/>
          <w:sz w:val="24"/>
          <w:szCs w:val="24"/>
          <w:lang w:val="en-GB" w:eastAsia="de-DE"/>
        </w:rPr>
        <w:t xml:space="preserve">About </w:t>
      </w:r>
      <w:r w:rsidR="00C201A8" w:rsidRPr="00902591">
        <w:rPr>
          <w:rFonts w:ascii="Garamond" w:hAnsi="Garamond"/>
          <w:b/>
          <w:color w:val="004483"/>
          <w:sz w:val="24"/>
          <w:szCs w:val="24"/>
          <w:lang w:val="en-GB" w:eastAsia="de-DE"/>
        </w:rPr>
        <w:t>WSBI-ESBG</w:t>
      </w:r>
      <w:r w:rsidRPr="00902591">
        <w:rPr>
          <w:rFonts w:ascii="Garamond" w:hAnsi="Garamond"/>
          <w:b/>
          <w:color w:val="004483"/>
          <w:sz w:val="24"/>
          <w:szCs w:val="24"/>
          <w:lang w:val="en-GB" w:eastAsia="de-DE"/>
        </w:rPr>
        <w:t xml:space="preserve"> (</w:t>
      </w:r>
      <w:r w:rsidR="00BF2304" w:rsidRPr="00BF2304">
        <w:rPr>
          <w:rFonts w:ascii="Garamond" w:hAnsi="Garamond"/>
          <w:b/>
          <w:color w:val="004483"/>
          <w:sz w:val="24"/>
          <w:szCs w:val="24"/>
          <w:lang w:val="en-GB" w:eastAsia="de-DE"/>
        </w:rPr>
        <w:t>European Savings and retail Banking Group</w:t>
      </w:r>
      <w:r w:rsidRPr="00902591">
        <w:rPr>
          <w:rFonts w:ascii="Garamond" w:hAnsi="Garamond"/>
          <w:b/>
          <w:color w:val="004483"/>
          <w:sz w:val="24"/>
          <w:szCs w:val="24"/>
          <w:lang w:val="en-GB" w:eastAsia="de-DE"/>
        </w:rPr>
        <w:t>)</w:t>
      </w:r>
    </w:p>
    <w:p w:rsidR="00F82C61" w:rsidRPr="00902591" w:rsidRDefault="00C201A8" w:rsidP="00AC65E0">
      <w:pPr>
        <w:jc w:val="both"/>
        <w:outlineLvl w:val="0"/>
        <w:rPr>
          <w:rFonts w:ascii="Garamond" w:hAnsi="Garamond"/>
          <w:b/>
          <w:sz w:val="24"/>
          <w:lang w:val="en-GB" w:eastAsia="de-DE"/>
        </w:rPr>
      </w:pPr>
      <w:r w:rsidRPr="00902591">
        <w:rPr>
          <w:rFonts w:ascii="Garamond" w:hAnsi="Garamond"/>
          <w:b/>
          <w:sz w:val="24"/>
          <w:lang w:val="en-GB" w:eastAsia="de-DE"/>
        </w:rPr>
        <w:t>WSBI-ESBG</w:t>
      </w:r>
      <w:r w:rsidR="00F82C61" w:rsidRPr="00902591">
        <w:rPr>
          <w:rFonts w:ascii="Garamond" w:hAnsi="Garamond"/>
          <w:b/>
          <w:sz w:val="24"/>
          <w:lang w:val="en-GB" w:eastAsia="de-DE"/>
        </w:rPr>
        <w:t xml:space="preserve"> – The European Voice of Savings and Retail Banking</w:t>
      </w:r>
    </w:p>
    <w:p w:rsidR="00E626F8" w:rsidRPr="00902591" w:rsidRDefault="00C201A8" w:rsidP="00AC65E0">
      <w:pPr>
        <w:pStyle w:val="BodyText"/>
        <w:spacing w:line="276" w:lineRule="auto"/>
        <w:rPr>
          <w:rFonts w:ascii="Garamond" w:hAnsi="Garamond"/>
          <w:sz w:val="24"/>
          <w:lang w:val="en-GB"/>
        </w:rPr>
      </w:pPr>
      <w:r w:rsidRPr="00902591">
        <w:rPr>
          <w:rFonts w:ascii="Garamond" w:hAnsi="Garamond"/>
          <w:sz w:val="24"/>
          <w:lang w:val="en-GB"/>
        </w:rPr>
        <w:t>WSBI-ESBG</w:t>
      </w:r>
      <w:r w:rsidR="00E626F8" w:rsidRPr="00902591">
        <w:rPr>
          <w:rFonts w:ascii="Garamond" w:hAnsi="Garamond"/>
          <w:sz w:val="24"/>
          <w:lang w:val="en-GB"/>
        </w:rPr>
        <w:t xml:space="preserve"> (European Savings </w:t>
      </w:r>
      <w:r w:rsidR="00BF2304">
        <w:rPr>
          <w:rFonts w:ascii="Garamond" w:hAnsi="Garamond"/>
          <w:sz w:val="24"/>
          <w:lang w:val="en-GB"/>
        </w:rPr>
        <w:t>and retail Banking</w:t>
      </w:r>
      <w:r w:rsidR="00E626F8" w:rsidRPr="00902591">
        <w:rPr>
          <w:rFonts w:ascii="Garamond" w:hAnsi="Garamond"/>
          <w:sz w:val="24"/>
          <w:lang w:val="en-GB"/>
        </w:rPr>
        <w:t xml:space="preserve"> Group) is an international banking association that represents one of the largest European retail banking networks, comprising of approximately one-third of the retail banking market in Europe, </w:t>
      </w:r>
      <w:r w:rsidR="004611BF">
        <w:rPr>
          <w:rFonts w:ascii="Garamond" w:hAnsi="Garamond"/>
          <w:sz w:val="24"/>
          <w:lang w:val="en-GB"/>
        </w:rPr>
        <w:t>with total assets of over €7,631</w:t>
      </w:r>
      <w:r w:rsidR="00E626F8" w:rsidRPr="00902591">
        <w:rPr>
          <w:rFonts w:ascii="Garamond" w:hAnsi="Garamond"/>
          <w:sz w:val="24"/>
          <w:lang w:val="en-GB"/>
        </w:rPr>
        <w:t xml:space="preserve"> bill</w:t>
      </w:r>
      <w:r w:rsidR="004611BF">
        <w:rPr>
          <w:rFonts w:ascii="Garamond" w:hAnsi="Garamond"/>
          <w:sz w:val="24"/>
          <w:lang w:val="en-GB"/>
        </w:rPr>
        <w:t>ion, non-bank deposits of €3,5</w:t>
      </w:r>
      <w:r w:rsidR="00E626F8" w:rsidRPr="00902591">
        <w:rPr>
          <w:rFonts w:ascii="Garamond" w:hAnsi="Garamond"/>
          <w:sz w:val="24"/>
          <w:lang w:val="en-GB"/>
        </w:rPr>
        <w:t>00 bi</w:t>
      </w:r>
      <w:r w:rsidR="004611BF">
        <w:rPr>
          <w:rFonts w:ascii="Garamond" w:hAnsi="Garamond"/>
          <w:sz w:val="24"/>
          <w:lang w:val="en-GB"/>
        </w:rPr>
        <w:t>llion and non-bank loans of €4,200 billion (31 December 2011</w:t>
      </w:r>
      <w:r w:rsidR="00E626F8" w:rsidRPr="00902591">
        <w:rPr>
          <w:rFonts w:ascii="Garamond" w:hAnsi="Garamond"/>
          <w:sz w:val="24"/>
          <w:lang w:val="en-GB"/>
        </w:rPr>
        <w:t xml:space="preserve">). It represents the interests of its </w:t>
      </w:r>
      <w:proofErr w:type="gramStart"/>
      <w:r w:rsidR="00E626F8" w:rsidRPr="00902591">
        <w:rPr>
          <w:rFonts w:ascii="Garamond" w:hAnsi="Garamond"/>
          <w:sz w:val="24"/>
          <w:lang w:val="en-GB"/>
        </w:rPr>
        <w:t>members</w:t>
      </w:r>
      <w:proofErr w:type="gramEnd"/>
      <w:r w:rsidR="00E626F8" w:rsidRPr="00902591">
        <w:rPr>
          <w:rFonts w:ascii="Garamond" w:hAnsi="Garamond"/>
          <w:sz w:val="24"/>
          <w:lang w:val="en-GB"/>
        </w:rPr>
        <w:t xml:space="preserve"> vis-à-vis the EU Institutions and generates, facilitates and manages high quality cross-border banking projects.</w:t>
      </w:r>
    </w:p>
    <w:p w:rsidR="00E626F8" w:rsidRPr="00902591" w:rsidRDefault="00E626F8" w:rsidP="00AC65E0">
      <w:pPr>
        <w:pStyle w:val="BodyText"/>
        <w:spacing w:line="276" w:lineRule="auto"/>
        <w:rPr>
          <w:rFonts w:ascii="Garamond" w:hAnsi="Garamond"/>
          <w:sz w:val="24"/>
          <w:lang w:val="en-GB"/>
        </w:rPr>
      </w:pPr>
    </w:p>
    <w:p w:rsidR="00F82C61" w:rsidRPr="00902591" w:rsidRDefault="00C201A8" w:rsidP="00AC65E0">
      <w:pPr>
        <w:pStyle w:val="BodyText"/>
        <w:spacing w:after="200" w:line="276" w:lineRule="auto"/>
        <w:rPr>
          <w:rFonts w:ascii="Garamond" w:hAnsi="Garamond"/>
          <w:sz w:val="24"/>
          <w:lang w:val="en-GB"/>
        </w:rPr>
      </w:pPr>
      <w:r w:rsidRPr="00902591">
        <w:rPr>
          <w:rFonts w:ascii="Garamond" w:hAnsi="Garamond"/>
          <w:sz w:val="24"/>
          <w:lang w:val="en-GB"/>
        </w:rPr>
        <w:t>WSBI-ESBG</w:t>
      </w:r>
      <w:r w:rsidR="00E626F8" w:rsidRPr="00902591">
        <w:rPr>
          <w:rFonts w:ascii="Garamond" w:hAnsi="Garamond"/>
          <w:sz w:val="24"/>
          <w:lang w:val="en-GB"/>
        </w:rPr>
        <w:t xml:space="preserve"> members are typically savings and retail banks or associations thereof. They are often organised in decentralised networks and offer their services throughout their region. </w:t>
      </w:r>
      <w:r w:rsidRPr="00902591">
        <w:rPr>
          <w:rFonts w:ascii="Garamond" w:hAnsi="Garamond"/>
          <w:sz w:val="24"/>
          <w:lang w:val="en-GB"/>
        </w:rPr>
        <w:t>WSBI-ESBG</w:t>
      </w:r>
      <w:r w:rsidR="00E626F8" w:rsidRPr="00902591">
        <w:rPr>
          <w:rFonts w:ascii="Garamond" w:hAnsi="Garamond"/>
          <w:sz w:val="24"/>
          <w:lang w:val="en-GB"/>
        </w:rPr>
        <w:t xml:space="preserve"> member banks have reinvested responsibly in their region for many decades and are a distinct benchmark for corporate social responsibility activities throughout Europe and the world.</w:t>
      </w:r>
    </w:p>
    <w:p w:rsidR="00E626F8" w:rsidRPr="00902591" w:rsidRDefault="00E626F8" w:rsidP="00E626F8">
      <w:pPr>
        <w:pStyle w:val="BodyText"/>
        <w:spacing w:after="200"/>
        <w:rPr>
          <w:rFonts w:ascii="Garamond" w:hAnsi="Garamond"/>
          <w:sz w:val="24"/>
          <w:lang w:val="en-GB"/>
        </w:rPr>
      </w:pPr>
    </w:p>
    <w:p w:rsidR="00E626F8" w:rsidRPr="00902591" w:rsidRDefault="00E626F8" w:rsidP="00E626F8">
      <w:pPr>
        <w:pStyle w:val="BodyText"/>
        <w:spacing w:after="200"/>
        <w:rPr>
          <w:rFonts w:ascii="Garamond" w:hAnsi="Garamond"/>
          <w:sz w:val="24"/>
          <w:lang w:val="en-GB"/>
        </w:rPr>
      </w:pPr>
    </w:p>
    <w:p w:rsidR="00F82C61" w:rsidRPr="00902591" w:rsidRDefault="001B7A8A" w:rsidP="000B19A6">
      <w:pPr>
        <w:jc w:val="both"/>
        <w:rPr>
          <w:rFonts w:ascii="Garamond" w:hAnsi="Garamond"/>
          <w:sz w:val="24"/>
          <w:szCs w:val="24"/>
          <w:lang w:val="en-GB" w:eastAsia="de-DE"/>
        </w:rPr>
      </w:pPr>
      <w:r w:rsidRPr="00902591">
        <w:rPr>
          <w:rFonts w:ascii="Garamond" w:hAnsi="Garamond"/>
          <w:noProof/>
          <w:sz w:val="24"/>
          <w:szCs w:val="24"/>
          <w:lang w:val="fr-BE" w:eastAsia="zh-CN"/>
        </w:rPr>
        <w:drawing>
          <wp:inline distT="0" distB="0" distL="0" distR="0" wp14:anchorId="13A90E48" wp14:editId="5795A52A">
            <wp:extent cx="914400" cy="621030"/>
            <wp:effectExtent l="19050" t="0" r="0" b="0"/>
            <wp:docPr id="2" name="Picture 2" descr="ESBG-quadri-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BG-quadri-SMALL"/>
                    <pic:cNvPicPr>
                      <a:picLocks noChangeAspect="1" noChangeArrowheads="1"/>
                    </pic:cNvPicPr>
                  </pic:nvPicPr>
                  <pic:blipFill>
                    <a:blip r:embed="rId11"/>
                    <a:srcRect/>
                    <a:stretch>
                      <a:fillRect/>
                    </a:stretch>
                  </pic:blipFill>
                  <pic:spPr bwMode="auto">
                    <a:xfrm>
                      <a:off x="0" y="0"/>
                      <a:ext cx="914400" cy="621030"/>
                    </a:xfrm>
                    <a:prstGeom prst="rect">
                      <a:avLst/>
                    </a:prstGeom>
                    <a:noFill/>
                    <a:ln w="9525">
                      <a:noFill/>
                      <a:miter lim="800000"/>
                      <a:headEnd/>
                      <a:tailEnd/>
                    </a:ln>
                  </pic:spPr>
                </pic:pic>
              </a:graphicData>
            </a:graphic>
          </wp:inline>
        </w:drawing>
      </w:r>
    </w:p>
    <w:p w:rsidR="00F82C61" w:rsidRPr="00902591" w:rsidRDefault="00C201A8" w:rsidP="000B19A6">
      <w:pPr>
        <w:jc w:val="both"/>
        <w:rPr>
          <w:rFonts w:ascii="Garamond" w:hAnsi="Garamond"/>
          <w:sz w:val="24"/>
          <w:szCs w:val="24"/>
          <w:lang w:val="en-GB" w:eastAsia="de-DE"/>
        </w:rPr>
      </w:pPr>
      <w:proofErr w:type="spellStart"/>
      <w:r w:rsidRPr="00902591">
        <w:rPr>
          <w:rFonts w:ascii="Garamond" w:hAnsi="Garamond"/>
          <w:color w:val="000000"/>
          <w:sz w:val="24"/>
          <w:szCs w:val="24"/>
          <w:lang w:val="en-GB" w:eastAsia="de-DE"/>
        </w:rPr>
        <w:t>WSBI-ESBG</w:t>
      </w:r>
      <w:proofErr w:type="spellEnd"/>
      <w:r w:rsidR="00F82C61" w:rsidRPr="00902591">
        <w:rPr>
          <w:rFonts w:ascii="Garamond" w:hAnsi="Garamond"/>
          <w:color w:val="000000"/>
          <w:sz w:val="24"/>
          <w:szCs w:val="24"/>
          <w:lang w:val="en-GB" w:eastAsia="de-DE"/>
        </w:rPr>
        <w:t xml:space="preserve"> - Association </w:t>
      </w:r>
      <w:proofErr w:type="spellStart"/>
      <w:proofErr w:type="gramStart"/>
      <w:r w:rsidR="00F82C61" w:rsidRPr="00902591">
        <w:rPr>
          <w:rFonts w:ascii="Garamond" w:hAnsi="Garamond"/>
          <w:color w:val="000000"/>
          <w:sz w:val="24"/>
          <w:szCs w:val="24"/>
          <w:lang w:val="en-GB" w:eastAsia="de-DE"/>
        </w:rPr>
        <w:t>internationale</w:t>
      </w:r>
      <w:proofErr w:type="spellEnd"/>
      <w:proofErr w:type="gramEnd"/>
      <w:r w:rsidR="00F82C61" w:rsidRPr="00902591">
        <w:rPr>
          <w:rFonts w:ascii="Garamond" w:hAnsi="Garamond"/>
          <w:color w:val="000000"/>
          <w:sz w:val="24"/>
          <w:szCs w:val="24"/>
          <w:lang w:val="en-GB" w:eastAsia="de-DE"/>
        </w:rPr>
        <w:t xml:space="preserve"> sans but </w:t>
      </w:r>
      <w:proofErr w:type="spellStart"/>
      <w:r w:rsidR="00F82C61" w:rsidRPr="00902591">
        <w:rPr>
          <w:rFonts w:ascii="Garamond" w:hAnsi="Garamond"/>
          <w:color w:val="000000"/>
          <w:sz w:val="24"/>
          <w:szCs w:val="24"/>
          <w:lang w:val="en-GB" w:eastAsia="de-DE"/>
        </w:rPr>
        <w:t>lucratif</w:t>
      </w:r>
      <w:proofErr w:type="spellEnd"/>
      <w:r w:rsidR="00F82C61" w:rsidRPr="00902591">
        <w:rPr>
          <w:rFonts w:ascii="Garamond" w:hAnsi="Garamond"/>
          <w:color w:val="000000"/>
          <w:sz w:val="24"/>
          <w:szCs w:val="24"/>
          <w:lang w:val="en-GB" w:eastAsia="de-DE"/>
        </w:rPr>
        <w:t>/</w:t>
      </w:r>
      <w:proofErr w:type="spellStart"/>
      <w:r w:rsidR="00F82C61" w:rsidRPr="00902591">
        <w:rPr>
          <w:rFonts w:ascii="Garamond" w:hAnsi="Garamond"/>
          <w:color w:val="000000"/>
          <w:sz w:val="24"/>
          <w:szCs w:val="24"/>
          <w:lang w:val="en-GB" w:eastAsia="de-DE"/>
        </w:rPr>
        <w:t>Internationale</w:t>
      </w:r>
      <w:proofErr w:type="spellEnd"/>
      <w:r w:rsidR="00F82C61" w:rsidRPr="00902591">
        <w:rPr>
          <w:rFonts w:ascii="Garamond" w:hAnsi="Garamond"/>
          <w:color w:val="000000"/>
          <w:sz w:val="24"/>
          <w:szCs w:val="24"/>
          <w:lang w:val="en-GB" w:eastAsia="de-DE"/>
        </w:rPr>
        <w:t xml:space="preserve"> </w:t>
      </w:r>
      <w:proofErr w:type="spellStart"/>
      <w:r w:rsidR="00F82C61" w:rsidRPr="00902591">
        <w:rPr>
          <w:rFonts w:ascii="Garamond" w:hAnsi="Garamond"/>
          <w:color w:val="000000"/>
          <w:sz w:val="24"/>
          <w:szCs w:val="24"/>
          <w:lang w:val="en-GB" w:eastAsia="de-DE"/>
        </w:rPr>
        <w:t>vereniging</w:t>
      </w:r>
      <w:proofErr w:type="spellEnd"/>
      <w:r w:rsidR="00F82C61" w:rsidRPr="00902591">
        <w:rPr>
          <w:rFonts w:ascii="Garamond" w:hAnsi="Garamond"/>
          <w:color w:val="000000"/>
          <w:sz w:val="24"/>
          <w:szCs w:val="24"/>
          <w:lang w:val="en-GB" w:eastAsia="de-DE"/>
        </w:rPr>
        <w:t xml:space="preserve"> </w:t>
      </w:r>
      <w:proofErr w:type="spellStart"/>
      <w:r w:rsidR="00F82C61" w:rsidRPr="00902591">
        <w:rPr>
          <w:rFonts w:ascii="Garamond" w:hAnsi="Garamond"/>
          <w:color w:val="000000"/>
          <w:sz w:val="24"/>
          <w:szCs w:val="24"/>
          <w:lang w:val="en-GB" w:eastAsia="de-DE"/>
        </w:rPr>
        <w:t>zonder</w:t>
      </w:r>
      <w:proofErr w:type="spellEnd"/>
      <w:r w:rsidR="00F82C61" w:rsidRPr="00902591">
        <w:rPr>
          <w:rFonts w:ascii="Garamond" w:hAnsi="Garamond"/>
          <w:color w:val="000000"/>
          <w:sz w:val="24"/>
          <w:szCs w:val="24"/>
          <w:lang w:val="en-GB" w:eastAsia="de-DE"/>
        </w:rPr>
        <w:t xml:space="preserve"> </w:t>
      </w:r>
      <w:proofErr w:type="spellStart"/>
      <w:r w:rsidR="00F82C61" w:rsidRPr="00902591">
        <w:rPr>
          <w:rFonts w:ascii="Garamond" w:hAnsi="Garamond"/>
          <w:color w:val="000000"/>
          <w:sz w:val="24"/>
          <w:szCs w:val="24"/>
          <w:lang w:val="en-GB" w:eastAsia="de-DE"/>
        </w:rPr>
        <w:t>instoogmerk</w:t>
      </w:r>
      <w:proofErr w:type="spellEnd"/>
      <w:r w:rsidR="00F82C61" w:rsidRPr="00902591">
        <w:rPr>
          <w:rFonts w:ascii="Garamond" w:hAnsi="Garamond"/>
          <w:color w:val="000000"/>
          <w:sz w:val="24"/>
          <w:szCs w:val="24"/>
          <w:lang w:val="en-GB" w:eastAsia="de-DE"/>
        </w:rPr>
        <w:t>/</w:t>
      </w:r>
      <w:r w:rsidR="00F82C61" w:rsidRPr="00902591">
        <w:rPr>
          <w:rFonts w:ascii="Garamond" w:hAnsi="Garamond"/>
          <w:color w:val="000000"/>
          <w:sz w:val="24"/>
          <w:szCs w:val="24"/>
          <w:lang w:val="en-GB" w:eastAsia="de-DE"/>
        </w:rPr>
        <w:br/>
        <w:t>International not-for-profit association</w:t>
      </w:r>
    </w:p>
    <w:p w:rsidR="00F82C61" w:rsidRPr="00902591" w:rsidRDefault="00F82C61" w:rsidP="000B19A6">
      <w:pPr>
        <w:jc w:val="both"/>
        <w:rPr>
          <w:rFonts w:ascii="Garamond" w:hAnsi="Garamond"/>
          <w:sz w:val="24"/>
          <w:szCs w:val="24"/>
          <w:lang w:val="en-GB" w:eastAsia="de-DE"/>
        </w:rPr>
      </w:pPr>
      <w:r w:rsidRPr="00902591">
        <w:rPr>
          <w:rFonts w:ascii="Garamond" w:hAnsi="Garamond"/>
          <w:sz w:val="24"/>
          <w:szCs w:val="24"/>
          <w:lang w:val="en-GB" w:eastAsia="de-DE"/>
        </w:rPr>
        <w:t xml:space="preserve">Rue Marie-Thérèse, 11 </w:t>
      </w:r>
      <w:r w:rsidRPr="00902591">
        <w:rPr>
          <w:rFonts w:ascii="Garamond" w:eastAsia="MS Mincho" w:hAnsi="Garamond"/>
          <w:color w:val="004483"/>
          <w:sz w:val="24"/>
          <w:szCs w:val="24"/>
          <w:lang w:val="en-GB" w:eastAsia="de-DE"/>
        </w:rPr>
        <w:t>￭</w:t>
      </w:r>
      <w:r w:rsidRPr="00902591">
        <w:rPr>
          <w:rFonts w:ascii="Garamond" w:eastAsia="MS Mincho" w:hAnsi="Garamond"/>
          <w:color w:val="004483"/>
          <w:sz w:val="24"/>
          <w:szCs w:val="24"/>
          <w:lang w:val="en-GB" w:eastAsia="de-DE"/>
        </w:rPr>
        <w:t xml:space="preserve"> </w:t>
      </w:r>
      <w:r w:rsidRPr="00902591">
        <w:rPr>
          <w:rFonts w:ascii="Garamond" w:hAnsi="Garamond"/>
          <w:sz w:val="24"/>
          <w:szCs w:val="24"/>
          <w:lang w:val="en-GB" w:eastAsia="de-DE"/>
        </w:rPr>
        <w:t xml:space="preserve">B-1000 Brussels </w:t>
      </w:r>
      <w:r w:rsidRPr="00902591">
        <w:rPr>
          <w:rFonts w:ascii="Garamond" w:eastAsia="MS Mincho" w:hAnsi="Garamond"/>
          <w:color w:val="004483"/>
          <w:sz w:val="24"/>
          <w:szCs w:val="24"/>
          <w:lang w:val="en-GB" w:eastAsia="de-DE"/>
        </w:rPr>
        <w:t>￭</w:t>
      </w:r>
      <w:r w:rsidRPr="00902591">
        <w:rPr>
          <w:rFonts w:ascii="Garamond" w:eastAsia="MS Mincho" w:hAnsi="Garamond"/>
          <w:color w:val="004483"/>
          <w:sz w:val="24"/>
          <w:szCs w:val="24"/>
          <w:lang w:val="en-GB" w:eastAsia="de-DE"/>
        </w:rPr>
        <w:t xml:space="preserve"> </w:t>
      </w:r>
      <w:r w:rsidRPr="00902591">
        <w:rPr>
          <w:rFonts w:ascii="Garamond" w:hAnsi="Garamond"/>
          <w:sz w:val="24"/>
          <w:szCs w:val="24"/>
          <w:lang w:val="en-GB" w:eastAsia="de-DE"/>
        </w:rPr>
        <w:t xml:space="preserve">Tel: +32 2 211 11 11 </w:t>
      </w:r>
      <w:r w:rsidRPr="00902591">
        <w:rPr>
          <w:rFonts w:ascii="Garamond" w:eastAsia="MS Mincho" w:hAnsi="Garamond"/>
          <w:color w:val="004483"/>
          <w:sz w:val="24"/>
          <w:szCs w:val="24"/>
          <w:lang w:val="en-GB" w:eastAsia="de-DE"/>
        </w:rPr>
        <w:t>￭</w:t>
      </w:r>
      <w:r w:rsidRPr="00902591">
        <w:rPr>
          <w:rFonts w:ascii="Garamond" w:eastAsia="MS Mincho" w:hAnsi="Garamond"/>
          <w:color w:val="004483"/>
          <w:sz w:val="24"/>
          <w:szCs w:val="24"/>
          <w:lang w:val="en-GB" w:eastAsia="de-DE"/>
        </w:rPr>
        <w:t xml:space="preserve"> </w:t>
      </w:r>
      <w:r w:rsidRPr="00902591">
        <w:rPr>
          <w:rFonts w:ascii="Garamond" w:hAnsi="Garamond"/>
          <w:sz w:val="24"/>
          <w:szCs w:val="24"/>
          <w:lang w:val="en-GB" w:eastAsia="de-DE"/>
        </w:rPr>
        <w:t xml:space="preserve">Fax: +32 2 211 11 99 info@savings-banks.eu </w:t>
      </w:r>
      <w:r w:rsidRPr="00902591">
        <w:rPr>
          <w:rFonts w:ascii="Garamond" w:eastAsia="MS Mincho" w:hAnsi="Garamond"/>
          <w:color w:val="004483"/>
          <w:sz w:val="24"/>
          <w:szCs w:val="24"/>
          <w:lang w:val="en-GB" w:eastAsia="de-DE"/>
        </w:rPr>
        <w:t>￭</w:t>
      </w:r>
      <w:r w:rsidRPr="00902591">
        <w:rPr>
          <w:rFonts w:ascii="Garamond" w:eastAsia="MS Mincho" w:hAnsi="Garamond"/>
          <w:color w:val="004483"/>
          <w:sz w:val="24"/>
          <w:szCs w:val="24"/>
          <w:lang w:val="en-GB" w:eastAsia="de-DE"/>
        </w:rPr>
        <w:t xml:space="preserve"> </w:t>
      </w:r>
      <w:r w:rsidRPr="00902591">
        <w:rPr>
          <w:rFonts w:ascii="Garamond" w:hAnsi="Garamond"/>
          <w:sz w:val="24"/>
          <w:szCs w:val="24"/>
          <w:lang w:val="en-GB" w:eastAsia="de-DE"/>
        </w:rPr>
        <w:t>www.savings-banks.eu</w:t>
      </w:r>
    </w:p>
    <w:p w:rsidR="00DD61B0" w:rsidRPr="00902591" w:rsidRDefault="00F82C61" w:rsidP="008C1F73">
      <w:pPr>
        <w:jc w:val="both"/>
        <w:outlineLvl w:val="0"/>
        <w:rPr>
          <w:rFonts w:ascii="Garamond" w:hAnsi="Garamond"/>
          <w:lang w:val="en-GB"/>
        </w:rPr>
      </w:pPr>
      <w:r w:rsidRPr="00902591">
        <w:rPr>
          <w:rFonts w:ascii="Garamond" w:hAnsi="Garamond"/>
          <w:sz w:val="24"/>
          <w:szCs w:val="24"/>
          <w:lang w:val="en-GB" w:eastAsia="de-DE"/>
        </w:rPr>
        <w:t xml:space="preserve">Published by the </w:t>
      </w:r>
      <w:r w:rsidR="00C201A8" w:rsidRPr="00902591">
        <w:rPr>
          <w:rFonts w:ascii="Garamond" w:hAnsi="Garamond"/>
          <w:sz w:val="24"/>
          <w:szCs w:val="24"/>
          <w:lang w:val="en-GB" w:eastAsia="de-DE"/>
        </w:rPr>
        <w:t>WSBI-ESBG</w:t>
      </w:r>
      <w:r w:rsidRPr="00902591">
        <w:rPr>
          <w:rFonts w:ascii="Garamond" w:hAnsi="Garamond"/>
          <w:sz w:val="24"/>
          <w:szCs w:val="24"/>
          <w:lang w:val="en-GB" w:eastAsia="de-DE"/>
        </w:rPr>
        <w:t xml:space="preserve">, </w:t>
      </w:r>
      <w:r w:rsidR="00635064" w:rsidRPr="00902591">
        <w:rPr>
          <w:rFonts w:ascii="Garamond" w:hAnsi="Garamond"/>
          <w:sz w:val="24"/>
          <w:szCs w:val="24"/>
          <w:lang w:val="en-GB" w:eastAsia="de-DE"/>
        </w:rPr>
        <w:t>August</w:t>
      </w:r>
      <w:r w:rsidR="000D1B70" w:rsidRPr="00902591">
        <w:rPr>
          <w:rFonts w:ascii="Garamond" w:hAnsi="Garamond"/>
          <w:sz w:val="24"/>
          <w:szCs w:val="24"/>
          <w:lang w:val="en-GB" w:eastAsia="de-DE"/>
        </w:rPr>
        <w:t xml:space="preserve"> </w:t>
      </w:r>
      <w:r w:rsidRPr="00902591">
        <w:rPr>
          <w:rFonts w:ascii="Garamond" w:hAnsi="Garamond"/>
          <w:sz w:val="24"/>
          <w:szCs w:val="24"/>
          <w:lang w:val="en-GB" w:eastAsia="de-DE"/>
        </w:rPr>
        <w:t>201</w:t>
      </w:r>
      <w:r w:rsidR="00552617" w:rsidRPr="00902591">
        <w:rPr>
          <w:rFonts w:ascii="Garamond" w:hAnsi="Garamond"/>
          <w:sz w:val="24"/>
          <w:szCs w:val="24"/>
          <w:lang w:val="en-GB" w:eastAsia="de-DE"/>
        </w:rPr>
        <w:t>2</w:t>
      </w:r>
    </w:p>
    <w:p w:rsidR="00DD61B0" w:rsidRPr="00902591" w:rsidRDefault="00DD61B0" w:rsidP="000B19A6">
      <w:pPr>
        <w:jc w:val="both"/>
        <w:rPr>
          <w:rFonts w:ascii="Garamond" w:hAnsi="Garamond" w:cs="Garamond"/>
          <w:sz w:val="24"/>
          <w:szCs w:val="24"/>
          <w:lang w:val="en-GB"/>
        </w:rPr>
      </w:pPr>
    </w:p>
    <w:sectPr w:rsidR="00DD61B0" w:rsidRPr="00902591" w:rsidSect="0086783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9C2" w:rsidRDefault="005659C2" w:rsidP="00347091">
      <w:pPr>
        <w:spacing w:after="0" w:line="240" w:lineRule="auto"/>
      </w:pPr>
      <w:r>
        <w:separator/>
      </w:r>
    </w:p>
  </w:endnote>
  <w:endnote w:type="continuationSeparator" w:id="0">
    <w:p w:rsidR="005659C2" w:rsidRDefault="005659C2" w:rsidP="0034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C2" w:rsidRDefault="00565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C2" w:rsidRPr="00261E7D" w:rsidRDefault="005659C2">
    <w:pPr>
      <w:pStyle w:val="Footer"/>
      <w:jc w:val="right"/>
      <w:rPr>
        <w:rFonts w:ascii="Garamond" w:hAnsi="Garamond"/>
        <w:sz w:val="24"/>
        <w:szCs w:val="24"/>
      </w:rPr>
    </w:pPr>
    <w:r w:rsidRPr="00261E7D">
      <w:rPr>
        <w:rFonts w:ascii="Garamond" w:hAnsi="Garamond"/>
        <w:sz w:val="24"/>
        <w:szCs w:val="24"/>
      </w:rPr>
      <w:fldChar w:fldCharType="begin"/>
    </w:r>
    <w:r w:rsidRPr="00261E7D">
      <w:rPr>
        <w:rFonts w:ascii="Garamond" w:hAnsi="Garamond"/>
        <w:sz w:val="24"/>
        <w:szCs w:val="24"/>
      </w:rPr>
      <w:instrText xml:space="preserve"> PAGE   \* MERGEFORMAT </w:instrText>
    </w:r>
    <w:r w:rsidRPr="00261E7D">
      <w:rPr>
        <w:rFonts w:ascii="Garamond" w:hAnsi="Garamond"/>
        <w:sz w:val="24"/>
        <w:szCs w:val="24"/>
      </w:rPr>
      <w:fldChar w:fldCharType="separate"/>
    </w:r>
    <w:r w:rsidR="00B024AD">
      <w:rPr>
        <w:rFonts w:ascii="Garamond" w:hAnsi="Garamond"/>
        <w:noProof/>
        <w:sz w:val="24"/>
        <w:szCs w:val="24"/>
      </w:rPr>
      <w:t>7</w:t>
    </w:r>
    <w:r w:rsidRPr="00261E7D">
      <w:rPr>
        <w:rFonts w:ascii="Garamond" w:hAnsi="Garamond"/>
        <w:sz w:val="24"/>
        <w:szCs w:val="24"/>
      </w:rPr>
      <w:fldChar w:fldCharType="end"/>
    </w:r>
  </w:p>
  <w:p w:rsidR="005659C2" w:rsidRDefault="005659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C2" w:rsidRDefault="005659C2">
    <w:pPr>
      <w:pStyle w:val="Footer"/>
    </w:pPr>
  </w:p>
  <w:p w:rsidR="005659C2" w:rsidRDefault="00565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9C2" w:rsidRDefault="005659C2" w:rsidP="00347091">
      <w:pPr>
        <w:spacing w:after="0" w:line="240" w:lineRule="auto"/>
      </w:pPr>
      <w:r>
        <w:separator/>
      </w:r>
    </w:p>
  </w:footnote>
  <w:footnote w:type="continuationSeparator" w:id="0">
    <w:p w:rsidR="005659C2" w:rsidRDefault="005659C2" w:rsidP="00347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C2" w:rsidRDefault="005659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C2" w:rsidRDefault="005659C2" w:rsidP="00B934A0">
    <w:pPr>
      <w:pStyle w:val="Header"/>
      <w:jc w:val="center"/>
    </w:pPr>
    <w:r>
      <w:rPr>
        <w:rFonts w:ascii="Garamond" w:hAnsi="Garamond" w:cs="Garamond"/>
        <w:noProof/>
        <w:sz w:val="24"/>
        <w:szCs w:val="24"/>
        <w:lang w:val="fr-BE" w:eastAsia="zh-CN"/>
      </w:rPr>
      <w:drawing>
        <wp:inline distT="0" distB="0" distL="0" distR="0" wp14:anchorId="146881B0" wp14:editId="0843F42A">
          <wp:extent cx="716280" cy="267335"/>
          <wp:effectExtent l="19050" t="0" r="7620" b="0"/>
          <wp:docPr id="3" name="Picture 1" descr="esbgkleinzonderletters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bgkleinzonderletters200dpi"/>
                  <pic:cNvPicPr>
                    <a:picLocks noChangeAspect="1" noChangeArrowheads="1"/>
                  </pic:cNvPicPr>
                </pic:nvPicPr>
                <pic:blipFill>
                  <a:blip r:embed="rId1"/>
                  <a:srcRect/>
                  <a:stretch>
                    <a:fillRect/>
                  </a:stretch>
                </pic:blipFill>
                <pic:spPr bwMode="auto">
                  <a:xfrm>
                    <a:off x="0" y="0"/>
                    <a:ext cx="716280" cy="26733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C2" w:rsidRDefault="00565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BE6"/>
    <w:multiLevelType w:val="hybridMultilevel"/>
    <w:tmpl w:val="B53661F8"/>
    <w:lvl w:ilvl="0" w:tplc="F9D6363A">
      <w:start w:val="1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2AB10A9"/>
    <w:multiLevelType w:val="hybridMultilevel"/>
    <w:tmpl w:val="35E04DE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4293E57"/>
    <w:multiLevelType w:val="hybridMultilevel"/>
    <w:tmpl w:val="B23C3112"/>
    <w:lvl w:ilvl="0" w:tplc="EE34BEE4">
      <w:numFmt w:val="bullet"/>
      <w:lvlText w:val="•"/>
      <w:lvlJc w:val="left"/>
      <w:pPr>
        <w:ind w:left="1080" w:hanging="72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C066B"/>
    <w:multiLevelType w:val="hybridMultilevel"/>
    <w:tmpl w:val="D30270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A3709DF"/>
    <w:multiLevelType w:val="hybridMultilevel"/>
    <w:tmpl w:val="ABF2D798"/>
    <w:lvl w:ilvl="0" w:tplc="F9D6363A">
      <w:start w:val="1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EF7412B"/>
    <w:multiLevelType w:val="hybridMultilevel"/>
    <w:tmpl w:val="283875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098501D"/>
    <w:multiLevelType w:val="hybridMultilevel"/>
    <w:tmpl w:val="AAA61078"/>
    <w:lvl w:ilvl="0" w:tplc="F9D6363A">
      <w:start w:val="17"/>
      <w:numFmt w:val="bullet"/>
      <w:lvlText w:val="-"/>
      <w:lvlJc w:val="left"/>
      <w:pPr>
        <w:tabs>
          <w:tab w:val="num" w:pos="420"/>
        </w:tabs>
        <w:ind w:left="420" w:hanging="360"/>
      </w:pPr>
      <w:rPr>
        <w:rFonts w:ascii="Times New Roman" w:eastAsia="Times New Roman" w:hAnsi="Times New Roman" w:cs="Times New Roman" w:hint="default"/>
      </w:rPr>
    </w:lvl>
    <w:lvl w:ilvl="1" w:tplc="0C070003" w:tentative="1">
      <w:start w:val="1"/>
      <w:numFmt w:val="bullet"/>
      <w:lvlText w:val="o"/>
      <w:lvlJc w:val="left"/>
      <w:pPr>
        <w:tabs>
          <w:tab w:val="num" w:pos="1140"/>
        </w:tabs>
        <w:ind w:left="1140" w:hanging="360"/>
      </w:pPr>
      <w:rPr>
        <w:rFonts w:ascii="Courier New" w:hAnsi="Courier New" w:cs="Courier New" w:hint="default"/>
      </w:rPr>
    </w:lvl>
    <w:lvl w:ilvl="2" w:tplc="0C070005" w:tentative="1">
      <w:start w:val="1"/>
      <w:numFmt w:val="bullet"/>
      <w:lvlText w:val=""/>
      <w:lvlJc w:val="left"/>
      <w:pPr>
        <w:tabs>
          <w:tab w:val="num" w:pos="1860"/>
        </w:tabs>
        <w:ind w:left="1860" w:hanging="360"/>
      </w:pPr>
      <w:rPr>
        <w:rFonts w:ascii="Wingdings" w:hAnsi="Wingdings" w:hint="default"/>
      </w:rPr>
    </w:lvl>
    <w:lvl w:ilvl="3" w:tplc="0C070001" w:tentative="1">
      <w:start w:val="1"/>
      <w:numFmt w:val="bullet"/>
      <w:lvlText w:val=""/>
      <w:lvlJc w:val="left"/>
      <w:pPr>
        <w:tabs>
          <w:tab w:val="num" w:pos="2580"/>
        </w:tabs>
        <w:ind w:left="2580" w:hanging="360"/>
      </w:pPr>
      <w:rPr>
        <w:rFonts w:ascii="Symbol" w:hAnsi="Symbol" w:hint="default"/>
      </w:rPr>
    </w:lvl>
    <w:lvl w:ilvl="4" w:tplc="0C070003" w:tentative="1">
      <w:start w:val="1"/>
      <w:numFmt w:val="bullet"/>
      <w:lvlText w:val="o"/>
      <w:lvlJc w:val="left"/>
      <w:pPr>
        <w:tabs>
          <w:tab w:val="num" w:pos="3300"/>
        </w:tabs>
        <w:ind w:left="3300" w:hanging="360"/>
      </w:pPr>
      <w:rPr>
        <w:rFonts w:ascii="Courier New" w:hAnsi="Courier New" w:cs="Courier New" w:hint="default"/>
      </w:rPr>
    </w:lvl>
    <w:lvl w:ilvl="5" w:tplc="0C070005" w:tentative="1">
      <w:start w:val="1"/>
      <w:numFmt w:val="bullet"/>
      <w:lvlText w:val=""/>
      <w:lvlJc w:val="left"/>
      <w:pPr>
        <w:tabs>
          <w:tab w:val="num" w:pos="4020"/>
        </w:tabs>
        <w:ind w:left="4020" w:hanging="360"/>
      </w:pPr>
      <w:rPr>
        <w:rFonts w:ascii="Wingdings" w:hAnsi="Wingdings" w:hint="default"/>
      </w:rPr>
    </w:lvl>
    <w:lvl w:ilvl="6" w:tplc="0C070001" w:tentative="1">
      <w:start w:val="1"/>
      <w:numFmt w:val="bullet"/>
      <w:lvlText w:val=""/>
      <w:lvlJc w:val="left"/>
      <w:pPr>
        <w:tabs>
          <w:tab w:val="num" w:pos="4740"/>
        </w:tabs>
        <w:ind w:left="4740" w:hanging="360"/>
      </w:pPr>
      <w:rPr>
        <w:rFonts w:ascii="Symbol" w:hAnsi="Symbol" w:hint="default"/>
      </w:rPr>
    </w:lvl>
    <w:lvl w:ilvl="7" w:tplc="0C070003" w:tentative="1">
      <w:start w:val="1"/>
      <w:numFmt w:val="bullet"/>
      <w:lvlText w:val="o"/>
      <w:lvlJc w:val="left"/>
      <w:pPr>
        <w:tabs>
          <w:tab w:val="num" w:pos="5460"/>
        </w:tabs>
        <w:ind w:left="5460" w:hanging="360"/>
      </w:pPr>
      <w:rPr>
        <w:rFonts w:ascii="Courier New" w:hAnsi="Courier New" w:cs="Courier New" w:hint="default"/>
      </w:rPr>
    </w:lvl>
    <w:lvl w:ilvl="8" w:tplc="0C070005" w:tentative="1">
      <w:start w:val="1"/>
      <w:numFmt w:val="bullet"/>
      <w:lvlText w:val=""/>
      <w:lvlJc w:val="left"/>
      <w:pPr>
        <w:tabs>
          <w:tab w:val="num" w:pos="6180"/>
        </w:tabs>
        <w:ind w:left="6180" w:hanging="360"/>
      </w:pPr>
      <w:rPr>
        <w:rFonts w:ascii="Wingdings" w:hAnsi="Wingdings" w:hint="default"/>
      </w:rPr>
    </w:lvl>
  </w:abstractNum>
  <w:abstractNum w:abstractNumId="7">
    <w:nsid w:val="163407BE"/>
    <w:multiLevelType w:val="hybridMultilevel"/>
    <w:tmpl w:val="64F0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B73D3"/>
    <w:multiLevelType w:val="hybridMultilevel"/>
    <w:tmpl w:val="61E88170"/>
    <w:lvl w:ilvl="0" w:tplc="DE96B828">
      <w:start w:val="20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06E52E3"/>
    <w:multiLevelType w:val="hybridMultilevel"/>
    <w:tmpl w:val="AA5631DE"/>
    <w:lvl w:ilvl="0" w:tplc="10BA2674">
      <w:numFmt w:val="bullet"/>
      <w:lvlText w:val=""/>
      <w:lvlJc w:val="left"/>
      <w:pPr>
        <w:ind w:left="1080" w:hanging="360"/>
      </w:pPr>
      <w:rPr>
        <w:rFonts w:ascii="Wingdings" w:eastAsia="Calibri" w:hAnsi="Wingdings"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0">
    <w:nsid w:val="23095AF4"/>
    <w:multiLevelType w:val="hybridMultilevel"/>
    <w:tmpl w:val="1AF47FC8"/>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1">
    <w:nsid w:val="25D503C1"/>
    <w:multiLevelType w:val="hybridMultilevel"/>
    <w:tmpl w:val="C80CED8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70652E1"/>
    <w:multiLevelType w:val="hybridMultilevel"/>
    <w:tmpl w:val="8F6C8C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F8700F4"/>
    <w:multiLevelType w:val="hybridMultilevel"/>
    <w:tmpl w:val="66FA08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0C77D54"/>
    <w:multiLevelType w:val="hybridMultilevel"/>
    <w:tmpl w:val="CB9CA4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32E527B2"/>
    <w:multiLevelType w:val="hybridMultilevel"/>
    <w:tmpl w:val="20D4E080"/>
    <w:lvl w:ilvl="0" w:tplc="F9D6363A">
      <w:start w:val="1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53E44FC"/>
    <w:multiLevelType w:val="hybridMultilevel"/>
    <w:tmpl w:val="84844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824A7"/>
    <w:multiLevelType w:val="multilevel"/>
    <w:tmpl w:val="7BE0A6B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BAF79A8"/>
    <w:multiLevelType w:val="hybridMultilevel"/>
    <w:tmpl w:val="4E3CC712"/>
    <w:lvl w:ilvl="0" w:tplc="83DE8366">
      <w:numFmt w:val="bullet"/>
      <w:lvlText w:val="•"/>
      <w:lvlJc w:val="left"/>
      <w:pPr>
        <w:ind w:left="1080" w:hanging="72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BA6240"/>
    <w:multiLevelType w:val="hybridMultilevel"/>
    <w:tmpl w:val="DC5EB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E277B1"/>
    <w:multiLevelType w:val="hybridMultilevel"/>
    <w:tmpl w:val="1BE8FFEE"/>
    <w:lvl w:ilvl="0" w:tplc="F8824B3E">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071D36"/>
    <w:multiLevelType w:val="multilevel"/>
    <w:tmpl w:val="B5B4602E"/>
    <w:lvl w:ilvl="0">
      <w:start w:val="1"/>
      <w:numFmt w:val="decimal"/>
      <w:lvlText w:val="%1."/>
      <w:lvlJc w:val="left"/>
      <w:pPr>
        <w:ind w:left="375" w:hanging="375"/>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EC92BAE"/>
    <w:multiLevelType w:val="hybridMultilevel"/>
    <w:tmpl w:val="179AE46A"/>
    <w:lvl w:ilvl="0" w:tplc="AE36F4C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507D1BB2"/>
    <w:multiLevelType w:val="hybridMultilevel"/>
    <w:tmpl w:val="77961F96"/>
    <w:lvl w:ilvl="0" w:tplc="7C06795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53F357DB"/>
    <w:multiLevelType w:val="hybridMultilevel"/>
    <w:tmpl w:val="10D4E6F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5">
    <w:nsid w:val="55CA5D15"/>
    <w:multiLevelType w:val="hybridMultilevel"/>
    <w:tmpl w:val="776854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B006B88"/>
    <w:multiLevelType w:val="hybridMultilevel"/>
    <w:tmpl w:val="3200780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5B2D0AFF"/>
    <w:multiLevelType w:val="hybridMultilevel"/>
    <w:tmpl w:val="79A04AD4"/>
    <w:lvl w:ilvl="0" w:tplc="5394A99C">
      <w:start w:val="5"/>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D413E53"/>
    <w:multiLevelType w:val="hybridMultilevel"/>
    <w:tmpl w:val="31E4641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618164E8"/>
    <w:multiLevelType w:val="hybridMultilevel"/>
    <w:tmpl w:val="DCF0A2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65BD462F"/>
    <w:multiLevelType w:val="hybridMultilevel"/>
    <w:tmpl w:val="5CFA5200"/>
    <w:lvl w:ilvl="0" w:tplc="F9D6363A">
      <w:start w:val="1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AB16703"/>
    <w:multiLevelType w:val="hybridMultilevel"/>
    <w:tmpl w:val="5E6E0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72243265"/>
    <w:multiLevelType w:val="hybridMultilevel"/>
    <w:tmpl w:val="23003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B51E95"/>
    <w:multiLevelType w:val="hybridMultilevel"/>
    <w:tmpl w:val="C3E0F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7BFD60A4"/>
    <w:multiLevelType w:val="hybridMultilevel"/>
    <w:tmpl w:val="628AA81A"/>
    <w:lvl w:ilvl="0" w:tplc="E2C42BFA">
      <w:numFmt w:val="bullet"/>
      <w:lvlText w:val="•"/>
      <w:lvlJc w:val="left"/>
      <w:pPr>
        <w:ind w:left="1080" w:hanging="72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1F5FBB"/>
    <w:multiLevelType w:val="hybridMultilevel"/>
    <w:tmpl w:val="9A22AD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7E3B7E04"/>
    <w:multiLevelType w:val="hybridMultilevel"/>
    <w:tmpl w:val="CA4A02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2"/>
  </w:num>
  <w:num w:numId="4">
    <w:abstractNumId w:val="6"/>
  </w:num>
  <w:num w:numId="5">
    <w:abstractNumId w:val="33"/>
  </w:num>
  <w:num w:numId="6">
    <w:abstractNumId w:val="16"/>
  </w:num>
  <w:num w:numId="7">
    <w:abstractNumId w:val="2"/>
  </w:num>
  <w:num w:numId="8">
    <w:abstractNumId w:val="19"/>
  </w:num>
  <w:num w:numId="9">
    <w:abstractNumId w:val="34"/>
  </w:num>
  <w:num w:numId="10">
    <w:abstractNumId w:val="32"/>
  </w:num>
  <w:num w:numId="11">
    <w:abstractNumId w:val="18"/>
  </w:num>
  <w:num w:numId="12">
    <w:abstractNumId w:val="7"/>
  </w:num>
  <w:num w:numId="13">
    <w:abstractNumId w:val="29"/>
  </w:num>
  <w:num w:numId="14">
    <w:abstractNumId w:val="13"/>
  </w:num>
  <w:num w:numId="15">
    <w:abstractNumId w:val="36"/>
  </w:num>
  <w:num w:numId="16">
    <w:abstractNumId w:val="25"/>
  </w:num>
  <w:num w:numId="17">
    <w:abstractNumId w:val="35"/>
  </w:num>
  <w:num w:numId="18">
    <w:abstractNumId w:val="4"/>
  </w:num>
  <w:num w:numId="19">
    <w:abstractNumId w:val="30"/>
  </w:num>
  <w:num w:numId="20">
    <w:abstractNumId w:val="15"/>
  </w:num>
  <w:num w:numId="21">
    <w:abstractNumId w:val="22"/>
  </w:num>
  <w:num w:numId="22">
    <w:abstractNumId w:val="0"/>
  </w:num>
  <w:num w:numId="23">
    <w:abstractNumId w:val="3"/>
  </w:num>
  <w:num w:numId="24">
    <w:abstractNumId w:val="14"/>
  </w:num>
  <w:num w:numId="25">
    <w:abstractNumId w:val="27"/>
  </w:num>
  <w:num w:numId="26">
    <w:abstractNumId w:val="26"/>
  </w:num>
  <w:num w:numId="27">
    <w:abstractNumId w:val="31"/>
  </w:num>
  <w:num w:numId="28">
    <w:abstractNumId w:val="8"/>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1"/>
  </w:num>
  <w:num w:numId="35">
    <w:abstractNumId w:val="20"/>
  </w:num>
  <w:num w:numId="36">
    <w:abstractNumId w:val="24"/>
  </w:num>
  <w:num w:numId="37">
    <w:abstractNumId w:val="2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trackRevision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95"/>
    <w:rsid w:val="00000E32"/>
    <w:rsid w:val="00002256"/>
    <w:rsid w:val="000147A4"/>
    <w:rsid w:val="00014C76"/>
    <w:rsid w:val="00015B67"/>
    <w:rsid w:val="00017BE0"/>
    <w:rsid w:val="00017E8B"/>
    <w:rsid w:val="00020071"/>
    <w:rsid w:val="00021662"/>
    <w:rsid w:val="00023205"/>
    <w:rsid w:val="000311B3"/>
    <w:rsid w:val="0003231E"/>
    <w:rsid w:val="00037D52"/>
    <w:rsid w:val="00041D44"/>
    <w:rsid w:val="00050E50"/>
    <w:rsid w:val="00061048"/>
    <w:rsid w:val="0006459E"/>
    <w:rsid w:val="000723A2"/>
    <w:rsid w:val="000724F9"/>
    <w:rsid w:val="00072ECB"/>
    <w:rsid w:val="00073D7E"/>
    <w:rsid w:val="0007499D"/>
    <w:rsid w:val="000762DC"/>
    <w:rsid w:val="00082915"/>
    <w:rsid w:val="000854FF"/>
    <w:rsid w:val="00086831"/>
    <w:rsid w:val="00086BCA"/>
    <w:rsid w:val="000975EF"/>
    <w:rsid w:val="000A5F05"/>
    <w:rsid w:val="000B1442"/>
    <w:rsid w:val="000B19A6"/>
    <w:rsid w:val="000B1B95"/>
    <w:rsid w:val="000B3D48"/>
    <w:rsid w:val="000B600C"/>
    <w:rsid w:val="000C2508"/>
    <w:rsid w:val="000C2808"/>
    <w:rsid w:val="000C459C"/>
    <w:rsid w:val="000C4B37"/>
    <w:rsid w:val="000C55E8"/>
    <w:rsid w:val="000D17E5"/>
    <w:rsid w:val="000D190E"/>
    <w:rsid w:val="000D1B70"/>
    <w:rsid w:val="000D26E1"/>
    <w:rsid w:val="000D31A8"/>
    <w:rsid w:val="000D5769"/>
    <w:rsid w:val="000E08B4"/>
    <w:rsid w:val="000E4F8B"/>
    <w:rsid w:val="000E51E2"/>
    <w:rsid w:val="000F3B6D"/>
    <w:rsid w:val="000F56D9"/>
    <w:rsid w:val="00101F3E"/>
    <w:rsid w:val="00106187"/>
    <w:rsid w:val="00110722"/>
    <w:rsid w:val="00125029"/>
    <w:rsid w:val="00130027"/>
    <w:rsid w:val="001319D7"/>
    <w:rsid w:val="00140290"/>
    <w:rsid w:val="00154695"/>
    <w:rsid w:val="001604E3"/>
    <w:rsid w:val="001637BC"/>
    <w:rsid w:val="00167EA9"/>
    <w:rsid w:val="00176D55"/>
    <w:rsid w:val="001822F4"/>
    <w:rsid w:val="00196087"/>
    <w:rsid w:val="001A615A"/>
    <w:rsid w:val="001A7B58"/>
    <w:rsid w:val="001B5677"/>
    <w:rsid w:val="001B5768"/>
    <w:rsid w:val="001B7743"/>
    <w:rsid w:val="001B7A8A"/>
    <w:rsid w:val="001C2F0D"/>
    <w:rsid w:val="001C5B11"/>
    <w:rsid w:val="001C6AA7"/>
    <w:rsid w:val="001C6B28"/>
    <w:rsid w:val="001C769B"/>
    <w:rsid w:val="001D0BE6"/>
    <w:rsid w:val="001D174E"/>
    <w:rsid w:val="001D20A1"/>
    <w:rsid w:val="001D2161"/>
    <w:rsid w:val="001E0A96"/>
    <w:rsid w:val="001F0EDF"/>
    <w:rsid w:val="001F4FA6"/>
    <w:rsid w:val="00201960"/>
    <w:rsid w:val="0020206F"/>
    <w:rsid w:val="00210E55"/>
    <w:rsid w:val="00213DE2"/>
    <w:rsid w:val="00216D15"/>
    <w:rsid w:val="00222771"/>
    <w:rsid w:val="0022486B"/>
    <w:rsid w:val="0024061D"/>
    <w:rsid w:val="00242C71"/>
    <w:rsid w:val="0024430F"/>
    <w:rsid w:val="002561D5"/>
    <w:rsid w:val="00261E7D"/>
    <w:rsid w:val="0026216A"/>
    <w:rsid w:val="0026716B"/>
    <w:rsid w:val="00267421"/>
    <w:rsid w:val="002678DB"/>
    <w:rsid w:val="00267F06"/>
    <w:rsid w:val="00275C86"/>
    <w:rsid w:val="002761F1"/>
    <w:rsid w:val="00283B86"/>
    <w:rsid w:val="002848F8"/>
    <w:rsid w:val="00291D8D"/>
    <w:rsid w:val="002A0378"/>
    <w:rsid w:val="002A047C"/>
    <w:rsid w:val="002A0939"/>
    <w:rsid w:val="002A4925"/>
    <w:rsid w:val="002A68F0"/>
    <w:rsid w:val="002A7CA0"/>
    <w:rsid w:val="002B1331"/>
    <w:rsid w:val="002B3E6B"/>
    <w:rsid w:val="002B508C"/>
    <w:rsid w:val="002C1A33"/>
    <w:rsid w:val="002C1DBA"/>
    <w:rsid w:val="002C4F23"/>
    <w:rsid w:val="002C7794"/>
    <w:rsid w:val="002D02CA"/>
    <w:rsid w:val="002D1EAC"/>
    <w:rsid w:val="002D33F8"/>
    <w:rsid w:val="002D5EFD"/>
    <w:rsid w:val="002D63D9"/>
    <w:rsid w:val="002D7193"/>
    <w:rsid w:val="002F0B11"/>
    <w:rsid w:val="003006BE"/>
    <w:rsid w:val="003040BB"/>
    <w:rsid w:val="00305470"/>
    <w:rsid w:val="00307BA6"/>
    <w:rsid w:val="00312B8E"/>
    <w:rsid w:val="00317303"/>
    <w:rsid w:val="003303F2"/>
    <w:rsid w:val="0033057F"/>
    <w:rsid w:val="003312D4"/>
    <w:rsid w:val="00331BA4"/>
    <w:rsid w:val="003342DD"/>
    <w:rsid w:val="00337C8E"/>
    <w:rsid w:val="00344617"/>
    <w:rsid w:val="00347091"/>
    <w:rsid w:val="00353A83"/>
    <w:rsid w:val="00361E15"/>
    <w:rsid w:val="003621B7"/>
    <w:rsid w:val="00362207"/>
    <w:rsid w:val="00362D3C"/>
    <w:rsid w:val="00367201"/>
    <w:rsid w:val="00367C87"/>
    <w:rsid w:val="00371BFE"/>
    <w:rsid w:val="00372FA2"/>
    <w:rsid w:val="00377FFA"/>
    <w:rsid w:val="003802C2"/>
    <w:rsid w:val="00380616"/>
    <w:rsid w:val="003811C1"/>
    <w:rsid w:val="00381E78"/>
    <w:rsid w:val="0038368D"/>
    <w:rsid w:val="00383B5F"/>
    <w:rsid w:val="0038456F"/>
    <w:rsid w:val="003851AE"/>
    <w:rsid w:val="00385C36"/>
    <w:rsid w:val="00386223"/>
    <w:rsid w:val="003876EE"/>
    <w:rsid w:val="003937B4"/>
    <w:rsid w:val="003A677F"/>
    <w:rsid w:val="003B063F"/>
    <w:rsid w:val="003B1F45"/>
    <w:rsid w:val="003B2F42"/>
    <w:rsid w:val="003B4B2B"/>
    <w:rsid w:val="003B54BE"/>
    <w:rsid w:val="003B55AC"/>
    <w:rsid w:val="003B5BE6"/>
    <w:rsid w:val="003B795C"/>
    <w:rsid w:val="003C006D"/>
    <w:rsid w:val="003C773C"/>
    <w:rsid w:val="003D35F5"/>
    <w:rsid w:val="003E046F"/>
    <w:rsid w:val="003E4D40"/>
    <w:rsid w:val="003E6F8A"/>
    <w:rsid w:val="003F1DB9"/>
    <w:rsid w:val="003F3763"/>
    <w:rsid w:val="003F7047"/>
    <w:rsid w:val="00406F51"/>
    <w:rsid w:val="0040762B"/>
    <w:rsid w:val="004078EE"/>
    <w:rsid w:val="004104FF"/>
    <w:rsid w:val="00411164"/>
    <w:rsid w:val="004127F7"/>
    <w:rsid w:val="00414707"/>
    <w:rsid w:val="0041613C"/>
    <w:rsid w:val="00422982"/>
    <w:rsid w:val="0042356D"/>
    <w:rsid w:val="004238E9"/>
    <w:rsid w:val="00427A70"/>
    <w:rsid w:val="00431785"/>
    <w:rsid w:val="00433559"/>
    <w:rsid w:val="00434D70"/>
    <w:rsid w:val="0043656F"/>
    <w:rsid w:val="00436ECC"/>
    <w:rsid w:val="00440C0F"/>
    <w:rsid w:val="00442CA2"/>
    <w:rsid w:val="004467F2"/>
    <w:rsid w:val="00457CDE"/>
    <w:rsid w:val="00460A37"/>
    <w:rsid w:val="004611BF"/>
    <w:rsid w:val="00473D82"/>
    <w:rsid w:val="00476E9A"/>
    <w:rsid w:val="00481DBC"/>
    <w:rsid w:val="00482C65"/>
    <w:rsid w:val="0048759F"/>
    <w:rsid w:val="004A0A52"/>
    <w:rsid w:val="004A6872"/>
    <w:rsid w:val="004B0311"/>
    <w:rsid w:val="004B1A74"/>
    <w:rsid w:val="004C2A26"/>
    <w:rsid w:val="004C2C04"/>
    <w:rsid w:val="004C321F"/>
    <w:rsid w:val="004C345F"/>
    <w:rsid w:val="004C5994"/>
    <w:rsid w:val="004C6431"/>
    <w:rsid w:val="004C697F"/>
    <w:rsid w:val="004D167E"/>
    <w:rsid w:val="004D2C6E"/>
    <w:rsid w:val="004D31D4"/>
    <w:rsid w:val="004D3EC0"/>
    <w:rsid w:val="004D4795"/>
    <w:rsid w:val="004E0FF9"/>
    <w:rsid w:val="004F5368"/>
    <w:rsid w:val="005000D6"/>
    <w:rsid w:val="00501FCB"/>
    <w:rsid w:val="0050210D"/>
    <w:rsid w:val="00504933"/>
    <w:rsid w:val="00505750"/>
    <w:rsid w:val="0050714C"/>
    <w:rsid w:val="0051110C"/>
    <w:rsid w:val="005117F0"/>
    <w:rsid w:val="00514439"/>
    <w:rsid w:val="00521448"/>
    <w:rsid w:val="00521A33"/>
    <w:rsid w:val="00534E63"/>
    <w:rsid w:val="0053651D"/>
    <w:rsid w:val="00537E44"/>
    <w:rsid w:val="0054394E"/>
    <w:rsid w:val="00543CF9"/>
    <w:rsid w:val="00546224"/>
    <w:rsid w:val="00547788"/>
    <w:rsid w:val="00552617"/>
    <w:rsid w:val="00555E77"/>
    <w:rsid w:val="0056150C"/>
    <w:rsid w:val="00564922"/>
    <w:rsid w:val="00564ED0"/>
    <w:rsid w:val="005659C2"/>
    <w:rsid w:val="00567283"/>
    <w:rsid w:val="0057395C"/>
    <w:rsid w:val="0058096A"/>
    <w:rsid w:val="005856A1"/>
    <w:rsid w:val="00595726"/>
    <w:rsid w:val="005A170F"/>
    <w:rsid w:val="005A499C"/>
    <w:rsid w:val="005A5154"/>
    <w:rsid w:val="005A5CC1"/>
    <w:rsid w:val="005A5F2C"/>
    <w:rsid w:val="005C1BD7"/>
    <w:rsid w:val="005C3080"/>
    <w:rsid w:val="005C4FD3"/>
    <w:rsid w:val="005C5C02"/>
    <w:rsid w:val="005D07A5"/>
    <w:rsid w:val="005E6AEE"/>
    <w:rsid w:val="0060027E"/>
    <w:rsid w:val="00600DDE"/>
    <w:rsid w:val="00605D3B"/>
    <w:rsid w:val="00605ECD"/>
    <w:rsid w:val="006153B5"/>
    <w:rsid w:val="00615612"/>
    <w:rsid w:val="0062031D"/>
    <w:rsid w:val="00621203"/>
    <w:rsid w:val="006222DF"/>
    <w:rsid w:val="006227F1"/>
    <w:rsid w:val="00622956"/>
    <w:rsid w:val="00623291"/>
    <w:rsid w:val="00626D4C"/>
    <w:rsid w:val="00627367"/>
    <w:rsid w:val="00635064"/>
    <w:rsid w:val="00635F9D"/>
    <w:rsid w:val="006432D1"/>
    <w:rsid w:val="006473AA"/>
    <w:rsid w:val="00654C1E"/>
    <w:rsid w:val="006569F2"/>
    <w:rsid w:val="0066184C"/>
    <w:rsid w:val="00661BCF"/>
    <w:rsid w:val="0066267A"/>
    <w:rsid w:val="00673813"/>
    <w:rsid w:val="006739F9"/>
    <w:rsid w:val="00674DA8"/>
    <w:rsid w:val="006813F7"/>
    <w:rsid w:val="00684C55"/>
    <w:rsid w:val="00686286"/>
    <w:rsid w:val="00686D0A"/>
    <w:rsid w:val="00691008"/>
    <w:rsid w:val="00692CE0"/>
    <w:rsid w:val="00693246"/>
    <w:rsid w:val="00693E9E"/>
    <w:rsid w:val="0069552A"/>
    <w:rsid w:val="00695957"/>
    <w:rsid w:val="00695F23"/>
    <w:rsid w:val="00696A05"/>
    <w:rsid w:val="006A14F2"/>
    <w:rsid w:val="006A2AC3"/>
    <w:rsid w:val="006A49B0"/>
    <w:rsid w:val="006A67D4"/>
    <w:rsid w:val="006B24DF"/>
    <w:rsid w:val="006B277D"/>
    <w:rsid w:val="006B4F03"/>
    <w:rsid w:val="006C2C34"/>
    <w:rsid w:val="006D7ECF"/>
    <w:rsid w:val="006E6E09"/>
    <w:rsid w:val="006F5E4D"/>
    <w:rsid w:val="006F67BC"/>
    <w:rsid w:val="00710BBB"/>
    <w:rsid w:val="00711F4B"/>
    <w:rsid w:val="0071364D"/>
    <w:rsid w:val="00714B62"/>
    <w:rsid w:val="0071621E"/>
    <w:rsid w:val="007247D0"/>
    <w:rsid w:val="007248CF"/>
    <w:rsid w:val="00732148"/>
    <w:rsid w:val="00733A07"/>
    <w:rsid w:val="00737C96"/>
    <w:rsid w:val="00741ED5"/>
    <w:rsid w:val="00742AA0"/>
    <w:rsid w:val="00747A4C"/>
    <w:rsid w:val="0075032B"/>
    <w:rsid w:val="007539FE"/>
    <w:rsid w:val="007540D3"/>
    <w:rsid w:val="00762E15"/>
    <w:rsid w:val="00763810"/>
    <w:rsid w:val="00764C0B"/>
    <w:rsid w:val="0076597D"/>
    <w:rsid w:val="0076731B"/>
    <w:rsid w:val="00767DD0"/>
    <w:rsid w:val="00774592"/>
    <w:rsid w:val="007815BF"/>
    <w:rsid w:val="007829D9"/>
    <w:rsid w:val="00782BE8"/>
    <w:rsid w:val="00785815"/>
    <w:rsid w:val="00793304"/>
    <w:rsid w:val="007951C7"/>
    <w:rsid w:val="007A0C33"/>
    <w:rsid w:val="007A1463"/>
    <w:rsid w:val="007A3521"/>
    <w:rsid w:val="007A4840"/>
    <w:rsid w:val="007A7267"/>
    <w:rsid w:val="007B27C7"/>
    <w:rsid w:val="007B4F35"/>
    <w:rsid w:val="007C0ED0"/>
    <w:rsid w:val="007C0FE8"/>
    <w:rsid w:val="007D2219"/>
    <w:rsid w:val="007D2E50"/>
    <w:rsid w:val="007D4FD7"/>
    <w:rsid w:val="007D70E5"/>
    <w:rsid w:val="007E085B"/>
    <w:rsid w:val="007E646B"/>
    <w:rsid w:val="007E6B87"/>
    <w:rsid w:val="007F0EAA"/>
    <w:rsid w:val="007F1E87"/>
    <w:rsid w:val="00800544"/>
    <w:rsid w:val="00804261"/>
    <w:rsid w:val="00810890"/>
    <w:rsid w:val="00811F34"/>
    <w:rsid w:val="00812701"/>
    <w:rsid w:val="00812BC8"/>
    <w:rsid w:val="00814457"/>
    <w:rsid w:val="008177A1"/>
    <w:rsid w:val="008201A3"/>
    <w:rsid w:val="00822223"/>
    <w:rsid w:val="008316AA"/>
    <w:rsid w:val="00832F2C"/>
    <w:rsid w:val="00833B2A"/>
    <w:rsid w:val="00836DF2"/>
    <w:rsid w:val="008372FF"/>
    <w:rsid w:val="00845DA4"/>
    <w:rsid w:val="0084707D"/>
    <w:rsid w:val="00854B4E"/>
    <w:rsid w:val="00854EEF"/>
    <w:rsid w:val="0085545B"/>
    <w:rsid w:val="00861F25"/>
    <w:rsid w:val="00867839"/>
    <w:rsid w:val="00870D5C"/>
    <w:rsid w:val="008726AF"/>
    <w:rsid w:val="00874375"/>
    <w:rsid w:val="008744F0"/>
    <w:rsid w:val="00874888"/>
    <w:rsid w:val="00874E8D"/>
    <w:rsid w:val="00877B5F"/>
    <w:rsid w:val="008809C9"/>
    <w:rsid w:val="0088298B"/>
    <w:rsid w:val="00884F5D"/>
    <w:rsid w:val="00891E15"/>
    <w:rsid w:val="00895EBF"/>
    <w:rsid w:val="00896F21"/>
    <w:rsid w:val="008976F4"/>
    <w:rsid w:val="008979D8"/>
    <w:rsid w:val="008A1CE9"/>
    <w:rsid w:val="008A5154"/>
    <w:rsid w:val="008A7A90"/>
    <w:rsid w:val="008B0D7E"/>
    <w:rsid w:val="008B599F"/>
    <w:rsid w:val="008B6C05"/>
    <w:rsid w:val="008C1F73"/>
    <w:rsid w:val="008C6A46"/>
    <w:rsid w:val="008D3AF1"/>
    <w:rsid w:val="008D6FA2"/>
    <w:rsid w:val="008E67A5"/>
    <w:rsid w:val="008F1860"/>
    <w:rsid w:val="008F3ADB"/>
    <w:rsid w:val="008F537B"/>
    <w:rsid w:val="008F6674"/>
    <w:rsid w:val="008F6B14"/>
    <w:rsid w:val="008F6E74"/>
    <w:rsid w:val="00901919"/>
    <w:rsid w:val="0090226F"/>
    <w:rsid w:val="00902591"/>
    <w:rsid w:val="0091070C"/>
    <w:rsid w:val="00910E70"/>
    <w:rsid w:val="009229D4"/>
    <w:rsid w:val="00930027"/>
    <w:rsid w:val="00930F75"/>
    <w:rsid w:val="00934E87"/>
    <w:rsid w:val="00935A8D"/>
    <w:rsid w:val="009514B9"/>
    <w:rsid w:val="0095490B"/>
    <w:rsid w:val="00967418"/>
    <w:rsid w:val="00971A58"/>
    <w:rsid w:val="0097311F"/>
    <w:rsid w:val="00975B43"/>
    <w:rsid w:val="009834FC"/>
    <w:rsid w:val="00983D2A"/>
    <w:rsid w:val="009850C3"/>
    <w:rsid w:val="00987DBB"/>
    <w:rsid w:val="00995DA0"/>
    <w:rsid w:val="009A64FB"/>
    <w:rsid w:val="009A7EEE"/>
    <w:rsid w:val="009B21BB"/>
    <w:rsid w:val="009B358B"/>
    <w:rsid w:val="009B3F0C"/>
    <w:rsid w:val="009B4C3D"/>
    <w:rsid w:val="009C130F"/>
    <w:rsid w:val="009C249F"/>
    <w:rsid w:val="009C3220"/>
    <w:rsid w:val="009C3EB6"/>
    <w:rsid w:val="009D07B2"/>
    <w:rsid w:val="009D6CD2"/>
    <w:rsid w:val="009D7FEC"/>
    <w:rsid w:val="009E1428"/>
    <w:rsid w:val="00A109CB"/>
    <w:rsid w:val="00A158C6"/>
    <w:rsid w:val="00A23E6E"/>
    <w:rsid w:val="00A3022C"/>
    <w:rsid w:val="00A34D06"/>
    <w:rsid w:val="00A43D0A"/>
    <w:rsid w:val="00A44774"/>
    <w:rsid w:val="00A4502E"/>
    <w:rsid w:val="00A459D2"/>
    <w:rsid w:val="00A45FA1"/>
    <w:rsid w:val="00A462A6"/>
    <w:rsid w:val="00A5271A"/>
    <w:rsid w:val="00A5406F"/>
    <w:rsid w:val="00A54964"/>
    <w:rsid w:val="00A6045C"/>
    <w:rsid w:val="00A627C5"/>
    <w:rsid w:val="00A63155"/>
    <w:rsid w:val="00A64440"/>
    <w:rsid w:val="00A64A18"/>
    <w:rsid w:val="00A66F10"/>
    <w:rsid w:val="00A724AD"/>
    <w:rsid w:val="00A7635B"/>
    <w:rsid w:val="00A81587"/>
    <w:rsid w:val="00A8588E"/>
    <w:rsid w:val="00A86890"/>
    <w:rsid w:val="00A92503"/>
    <w:rsid w:val="00A92504"/>
    <w:rsid w:val="00A92F1F"/>
    <w:rsid w:val="00A93D6E"/>
    <w:rsid w:val="00A962A5"/>
    <w:rsid w:val="00AA2E98"/>
    <w:rsid w:val="00AA4168"/>
    <w:rsid w:val="00AA49B3"/>
    <w:rsid w:val="00AC65E0"/>
    <w:rsid w:val="00AD26C4"/>
    <w:rsid w:val="00AD3363"/>
    <w:rsid w:val="00AD4429"/>
    <w:rsid w:val="00AD5267"/>
    <w:rsid w:val="00AD527F"/>
    <w:rsid w:val="00AF0D7D"/>
    <w:rsid w:val="00B024AD"/>
    <w:rsid w:val="00B048A5"/>
    <w:rsid w:val="00B05982"/>
    <w:rsid w:val="00B0608F"/>
    <w:rsid w:val="00B116B9"/>
    <w:rsid w:val="00B15CB2"/>
    <w:rsid w:val="00B25CC0"/>
    <w:rsid w:val="00B316B2"/>
    <w:rsid w:val="00B36722"/>
    <w:rsid w:val="00B502AB"/>
    <w:rsid w:val="00B51D30"/>
    <w:rsid w:val="00B55F38"/>
    <w:rsid w:val="00B63B6C"/>
    <w:rsid w:val="00B641D4"/>
    <w:rsid w:val="00B641EE"/>
    <w:rsid w:val="00B66444"/>
    <w:rsid w:val="00B673C1"/>
    <w:rsid w:val="00B72682"/>
    <w:rsid w:val="00B75D05"/>
    <w:rsid w:val="00B77805"/>
    <w:rsid w:val="00B8528C"/>
    <w:rsid w:val="00B90093"/>
    <w:rsid w:val="00B91A1F"/>
    <w:rsid w:val="00B934A0"/>
    <w:rsid w:val="00B96C0A"/>
    <w:rsid w:val="00B97298"/>
    <w:rsid w:val="00BA1A62"/>
    <w:rsid w:val="00BA27F6"/>
    <w:rsid w:val="00BA3A92"/>
    <w:rsid w:val="00BA4C0F"/>
    <w:rsid w:val="00BB00DA"/>
    <w:rsid w:val="00BB0C06"/>
    <w:rsid w:val="00BB2C92"/>
    <w:rsid w:val="00BB39B2"/>
    <w:rsid w:val="00BB48DF"/>
    <w:rsid w:val="00BB4A5E"/>
    <w:rsid w:val="00BB7C7F"/>
    <w:rsid w:val="00BD02F9"/>
    <w:rsid w:val="00BD2D99"/>
    <w:rsid w:val="00BD3418"/>
    <w:rsid w:val="00BE0A9E"/>
    <w:rsid w:val="00BE6453"/>
    <w:rsid w:val="00BE69AE"/>
    <w:rsid w:val="00BF16A1"/>
    <w:rsid w:val="00BF2304"/>
    <w:rsid w:val="00BF3BE6"/>
    <w:rsid w:val="00BF52F9"/>
    <w:rsid w:val="00C055C0"/>
    <w:rsid w:val="00C12C5D"/>
    <w:rsid w:val="00C1686A"/>
    <w:rsid w:val="00C201A8"/>
    <w:rsid w:val="00C2076D"/>
    <w:rsid w:val="00C26982"/>
    <w:rsid w:val="00C304DD"/>
    <w:rsid w:val="00C35EA8"/>
    <w:rsid w:val="00C37A16"/>
    <w:rsid w:val="00C37EA5"/>
    <w:rsid w:val="00C40419"/>
    <w:rsid w:val="00C4132E"/>
    <w:rsid w:val="00C46A6E"/>
    <w:rsid w:val="00C4710C"/>
    <w:rsid w:val="00C51DBE"/>
    <w:rsid w:val="00C53AAE"/>
    <w:rsid w:val="00C65F37"/>
    <w:rsid w:val="00C67198"/>
    <w:rsid w:val="00C672CD"/>
    <w:rsid w:val="00C704CA"/>
    <w:rsid w:val="00C72AC6"/>
    <w:rsid w:val="00C72C84"/>
    <w:rsid w:val="00C73CA7"/>
    <w:rsid w:val="00C74C5F"/>
    <w:rsid w:val="00C80905"/>
    <w:rsid w:val="00C84BE0"/>
    <w:rsid w:val="00C86EC8"/>
    <w:rsid w:val="00C92214"/>
    <w:rsid w:val="00C93666"/>
    <w:rsid w:val="00CA4E3E"/>
    <w:rsid w:val="00CA7FD5"/>
    <w:rsid w:val="00CB0CE1"/>
    <w:rsid w:val="00CB0FA6"/>
    <w:rsid w:val="00CB6312"/>
    <w:rsid w:val="00CD0785"/>
    <w:rsid w:val="00CD7E8B"/>
    <w:rsid w:val="00CE3286"/>
    <w:rsid w:val="00CE365E"/>
    <w:rsid w:val="00CE5142"/>
    <w:rsid w:val="00CE6728"/>
    <w:rsid w:val="00CF1854"/>
    <w:rsid w:val="00CF7FAC"/>
    <w:rsid w:val="00D10399"/>
    <w:rsid w:val="00D11C38"/>
    <w:rsid w:val="00D138EA"/>
    <w:rsid w:val="00D15DCE"/>
    <w:rsid w:val="00D15EC0"/>
    <w:rsid w:val="00D17CD2"/>
    <w:rsid w:val="00D17E49"/>
    <w:rsid w:val="00D221F4"/>
    <w:rsid w:val="00D22DFD"/>
    <w:rsid w:val="00D23D07"/>
    <w:rsid w:val="00D31874"/>
    <w:rsid w:val="00D35B7A"/>
    <w:rsid w:val="00D41AC1"/>
    <w:rsid w:val="00D45939"/>
    <w:rsid w:val="00D470F8"/>
    <w:rsid w:val="00D47B57"/>
    <w:rsid w:val="00D556DC"/>
    <w:rsid w:val="00D55AC9"/>
    <w:rsid w:val="00D5755B"/>
    <w:rsid w:val="00D60F82"/>
    <w:rsid w:val="00D6284B"/>
    <w:rsid w:val="00D633BF"/>
    <w:rsid w:val="00D6398A"/>
    <w:rsid w:val="00D6584B"/>
    <w:rsid w:val="00D66683"/>
    <w:rsid w:val="00D716CE"/>
    <w:rsid w:val="00D728ED"/>
    <w:rsid w:val="00D73446"/>
    <w:rsid w:val="00D7763D"/>
    <w:rsid w:val="00D808B7"/>
    <w:rsid w:val="00D81127"/>
    <w:rsid w:val="00D82577"/>
    <w:rsid w:val="00D830D8"/>
    <w:rsid w:val="00D84667"/>
    <w:rsid w:val="00D86063"/>
    <w:rsid w:val="00D90003"/>
    <w:rsid w:val="00D904BC"/>
    <w:rsid w:val="00D90B6D"/>
    <w:rsid w:val="00D94AA9"/>
    <w:rsid w:val="00D95DCB"/>
    <w:rsid w:val="00DA039B"/>
    <w:rsid w:val="00DA2B6B"/>
    <w:rsid w:val="00DA2D02"/>
    <w:rsid w:val="00DA4295"/>
    <w:rsid w:val="00DA4C3C"/>
    <w:rsid w:val="00DB5653"/>
    <w:rsid w:val="00DC000E"/>
    <w:rsid w:val="00DC19EC"/>
    <w:rsid w:val="00DC2964"/>
    <w:rsid w:val="00DC32C0"/>
    <w:rsid w:val="00DC43A6"/>
    <w:rsid w:val="00DC5164"/>
    <w:rsid w:val="00DC6F64"/>
    <w:rsid w:val="00DD4038"/>
    <w:rsid w:val="00DD61B0"/>
    <w:rsid w:val="00DE02B2"/>
    <w:rsid w:val="00DE7FF3"/>
    <w:rsid w:val="00DF0826"/>
    <w:rsid w:val="00DF49D7"/>
    <w:rsid w:val="00DF7534"/>
    <w:rsid w:val="00E118B5"/>
    <w:rsid w:val="00E1474C"/>
    <w:rsid w:val="00E153EA"/>
    <w:rsid w:val="00E15999"/>
    <w:rsid w:val="00E17C6E"/>
    <w:rsid w:val="00E2119F"/>
    <w:rsid w:val="00E27D46"/>
    <w:rsid w:val="00E36FAF"/>
    <w:rsid w:val="00E37EA5"/>
    <w:rsid w:val="00E37F2B"/>
    <w:rsid w:val="00E4209A"/>
    <w:rsid w:val="00E6249C"/>
    <w:rsid w:val="00E626F8"/>
    <w:rsid w:val="00E80D25"/>
    <w:rsid w:val="00E90BF7"/>
    <w:rsid w:val="00E91F4A"/>
    <w:rsid w:val="00E9489D"/>
    <w:rsid w:val="00EA0B19"/>
    <w:rsid w:val="00EA0C93"/>
    <w:rsid w:val="00EA309C"/>
    <w:rsid w:val="00EB4431"/>
    <w:rsid w:val="00EB47C3"/>
    <w:rsid w:val="00EB7598"/>
    <w:rsid w:val="00EB78A1"/>
    <w:rsid w:val="00ED155E"/>
    <w:rsid w:val="00EE578F"/>
    <w:rsid w:val="00EE7E82"/>
    <w:rsid w:val="00EF42EC"/>
    <w:rsid w:val="00EF4EB0"/>
    <w:rsid w:val="00EF5DF4"/>
    <w:rsid w:val="00F01E68"/>
    <w:rsid w:val="00F1720A"/>
    <w:rsid w:val="00F175E7"/>
    <w:rsid w:val="00F355B9"/>
    <w:rsid w:val="00F374E3"/>
    <w:rsid w:val="00F37AC8"/>
    <w:rsid w:val="00F50634"/>
    <w:rsid w:val="00F5278A"/>
    <w:rsid w:val="00F5697C"/>
    <w:rsid w:val="00F64200"/>
    <w:rsid w:val="00F655A5"/>
    <w:rsid w:val="00F66285"/>
    <w:rsid w:val="00F7136F"/>
    <w:rsid w:val="00F71E1E"/>
    <w:rsid w:val="00F7391A"/>
    <w:rsid w:val="00F755B7"/>
    <w:rsid w:val="00F8063A"/>
    <w:rsid w:val="00F81E60"/>
    <w:rsid w:val="00F82C61"/>
    <w:rsid w:val="00F938DA"/>
    <w:rsid w:val="00F95E9A"/>
    <w:rsid w:val="00FA36E2"/>
    <w:rsid w:val="00FA475F"/>
    <w:rsid w:val="00FA765B"/>
    <w:rsid w:val="00FA7E35"/>
    <w:rsid w:val="00FB348C"/>
    <w:rsid w:val="00FB4446"/>
    <w:rsid w:val="00FB67FD"/>
    <w:rsid w:val="00FC57D0"/>
    <w:rsid w:val="00FC6E8C"/>
    <w:rsid w:val="00FD2518"/>
    <w:rsid w:val="00FD3EC8"/>
    <w:rsid w:val="00FE10CA"/>
    <w:rsid w:val="00FE3547"/>
    <w:rsid w:val="00FE6332"/>
    <w:rsid w:val="00FF0C19"/>
    <w:rsid w:val="00FF1B8E"/>
    <w:rsid w:val="00FF298E"/>
    <w:rsid w:val="00FF30B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763"/>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470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47091"/>
  </w:style>
  <w:style w:type="paragraph" w:styleId="Footer">
    <w:name w:val="footer"/>
    <w:basedOn w:val="Normal"/>
    <w:link w:val="FooterChar"/>
    <w:uiPriority w:val="99"/>
    <w:rsid w:val="003470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47091"/>
  </w:style>
  <w:style w:type="character" w:customStyle="1" w:styleId="longtext1">
    <w:name w:val="long_text1"/>
    <w:uiPriority w:val="99"/>
    <w:rsid w:val="00661BCF"/>
    <w:rPr>
      <w:sz w:val="20"/>
      <w:szCs w:val="20"/>
    </w:rPr>
  </w:style>
  <w:style w:type="paragraph" w:styleId="ListParagraph">
    <w:name w:val="List Paragraph"/>
    <w:basedOn w:val="Normal"/>
    <w:uiPriority w:val="34"/>
    <w:qFormat/>
    <w:rsid w:val="006D7ECF"/>
    <w:pPr>
      <w:ind w:left="720"/>
    </w:pPr>
  </w:style>
  <w:style w:type="paragraph" w:styleId="FootnoteText">
    <w:name w:val="footnote text"/>
    <w:basedOn w:val="Normal"/>
    <w:link w:val="FootnoteTextChar"/>
    <w:uiPriority w:val="99"/>
    <w:semiHidden/>
    <w:rsid w:val="00F175E7"/>
    <w:pPr>
      <w:spacing w:after="0" w:line="240" w:lineRule="auto"/>
    </w:pPr>
    <w:rPr>
      <w:rFonts w:cs="Times New Roman"/>
      <w:sz w:val="20"/>
      <w:szCs w:val="20"/>
    </w:rPr>
  </w:style>
  <w:style w:type="character" w:customStyle="1" w:styleId="FootnoteTextChar">
    <w:name w:val="Footnote Text Char"/>
    <w:link w:val="FootnoteText"/>
    <w:uiPriority w:val="99"/>
    <w:semiHidden/>
    <w:locked/>
    <w:rsid w:val="00F175E7"/>
    <w:rPr>
      <w:sz w:val="20"/>
      <w:szCs w:val="20"/>
    </w:rPr>
  </w:style>
  <w:style w:type="character" w:styleId="FootnoteReference">
    <w:name w:val="footnote reference"/>
    <w:uiPriority w:val="99"/>
    <w:semiHidden/>
    <w:rsid w:val="00F175E7"/>
    <w:rPr>
      <w:vertAlign w:val="superscript"/>
    </w:rPr>
  </w:style>
  <w:style w:type="paragraph" w:styleId="BalloonText">
    <w:name w:val="Balloon Text"/>
    <w:basedOn w:val="Normal"/>
    <w:link w:val="BalloonTextChar"/>
    <w:uiPriority w:val="99"/>
    <w:semiHidden/>
    <w:rsid w:val="0057395C"/>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57395C"/>
    <w:rPr>
      <w:rFonts w:ascii="Tahoma" w:hAnsi="Tahoma" w:cs="Tahoma"/>
      <w:sz w:val="16"/>
      <w:szCs w:val="16"/>
    </w:rPr>
  </w:style>
  <w:style w:type="table" w:styleId="TableGrid">
    <w:name w:val="Table Grid"/>
    <w:basedOn w:val="TableNormal"/>
    <w:uiPriority w:val="99"/>
    <w:rsid w:val="0057395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link w:val="Title"/>
    <w:rsid w:val="00EA309C"/>
    <w:rPr>
      <w:rFonts w:ascii="Verdana" w:hAnsi="Verdana" w:cs="Verdana"/>
      <w:b/>
      <w:bCs/>
      <w:kern w:val="28"/>
      <w:sz w:val="24"/>
      <w:szCs w:val="24"/>
      <w:lang w:val="en-GB" w:eastAsia="en-US"/>
    </w:rPr>
  </w:style>
  <w:style w:type="paragraph" w:customStyle="1" w:styleId="CarCar2">
    <w:name w:val="Car Car2"/>
    <w:basedOn w:val="Normal"/>
    <w:uiPriority w:val="99"/>
    <w:rsid w:val="00EA309C"/>
    <w:pPr>
      <w:spacing w:after="160" w:line="240" w:lineRule="exact"/>
    </w:pPr>
    <w:rPr>
      <w:rFonts w:ascii="Tahoma" w:eastAsia="Times New Roman" w:hAnsi="Tahoma" w:cs="Tahoma"/>
      <w:sz w:val="20"/>
      <w:szCs w:val="20"/>
    </w:rPr>
  </w:style>
  <w:style w:type="character" w:styleId="CommentReference">
    <w:name w:val="annotation reference"/>
    <w:uiPriority w:val="99"/>
    <w:semiHidden/>
    <w:rsid w:val="00F5278A"/>
    <w:rPr>
      <w:sz w:val="16"/>
      <w:szCs w:val="16"/>
    </w:rPr>
  </w:style>
  <w:style w:type="paragraph" w:styleId="CommentText">
    <w:name w:val="annotation text"/>
    <w:basedOn w:val="Normal"/>
    <w:link w:val="CommentTextChar"/>
    <w:uiPriority w:val="99"/>
    <w:semiHidden/>
    <w:rsid w:val="00F5278A"/>
    <w:rPr>
      <w:rFonts w:cs="Times New Roman"/>
      <w:sz w:val="20"/>
      <w:szCs w:val="20"/>
    </w:rPr>
  </w:style>
  <w:style w:type="character" w:customStyle="1" w:styleId="CommentTextChar">
    <w:name w:val="Comment Text Char"/>
    <w:link w:val="CommentText"/>
    <w:uiPriority w:val="99"/>
    <w:semiHidden/>
    <w:rsid w:val="00AD7E97"/>
    <w:rPr>
      <w:rFonts w:cs="Calibri"/>
      <w:sz w:val="20"/>
      <w:szCs w:val="20"/>
    </w:rPr>
  </w:style>
  <w:style w:type="paragraph" w:styleId="CommentSubject">
    <w:name w:val="annotation subject"/>
    <w:basedOn w:val="CommentText"/>
    <w:next w:val="CommentText"/>
    <w:link w:val="CommentSubjectChar"/>
    <w:uiPriority w:val="99"/>
    <w:semiHidden/>
    <w:rsid w:val="00F5278A"/>
    <w:rPr>
      <w:b/>
      <w:bCs/>
    </w:rPr>
  </w:style>
  <w:style w:type="character" w:customStyle="1" w:styleId="CommentSubjectChar">
    <w:name w:val="Comment Subject Char"/>
    <w:link w:val="CommentSubject"/>
    <w:uiPriority w:val="99"/>
    <w:semiHidden/>
    <w:rsid w:val="00AD7E97"/>
    <w:rPr>
      <w:rFonts w:cs="Calibri"/>
      <w:b/>
      <w:bCs/>
      <w:sz w:val="20"/>
      <w:szCs w:val="20"/>
    </w:rPr>
  </w:style>
  <w:style w:type="paragraph" w:customStyle="1" w:styleId="ZchnZchnCharCharZchnZchnCharCharZchnZchn3CharCharZchnZchn">
    <w:name w:val="Zchn Zchn Char Char Zchn Zchn Char Char Zchn Zchn3 Char Char Zchn Zchn"/>
    <w:basedOn w:val="Normal"/>
    <w:rsid w:val="00DD61B0"/>
    <w:pPr>
      <w:spacing w:after="160" w:line="240" w:lineRule="exact"/>
    </w:pPr>
    <w:rPr>
      <w:rFonts w:ascii="Tahoma" w:eastAsia="Times New Roman" w:hAnsi="Tahoma" w:cs="Times New Roman"/>
      <w:sz w:val="20"/>
      <w:szCs w:val="20"/>
    </w:rPr>
  </w:style>
  <w:style w:type="character" w:styleId="Hyperlink">
    <w:name w:val="Hyperlink"/>
    <w:rsid w:val="00DD61B0"/>
    <w:rPr>
      <w:color w:val="0000FF"/>
      <w:u w:val="single"/>
    </w:rPr>
  </w:style>
  <w:style w:type="paragraph" w:styleId="BodyText">
    <w:name w:val="Body Text"/>
    <w:basedOn w:val="Normal"/>
    <w:link w:val="BodyTextChar"/>
    <w:rsid w:val="00F82C61"/>
    <w:pPr>
      <w:autoSpaceDE w:val="0"/>
      <w:autoSpaceDN w:val="0"/>
      <w:adjustRightInd w:val="0"/>
      <w:spacing w:after="0" w:line="240" w:lineRule="auto"/>
      <w:jc w:val="both"/>
    </w:pPr>
    <w:rPr>
      <w:rFonts w:ascii="Verdana" w:eastAsia="Times New Roman" w:hAnsi="Verdana" w:cs="Times New Roman"/>
      <w:sz w:val="20"/>
      <w:szCs w:val="20"/>
      <w:lang w:val="de-DE" w:eastAsia="de-DE"/>
    </w:rPr>
  </w:style>
  <w:style w:type="character" w:customStyle="1" w:styleId="BodyTextChar">
    <w:name w:val="Body Text Char"/>
    <w:link w:val="BodyText"/>
    <w:rsid w:val="00F82C61"/>
    <w:rPr>
      <w:rFonts w:ascii="Verdana" w:eastAsia="Times New Roman" w:hAnsi="Verdana"/>
      <w:sz w:val="20"/>
      <w:szCs w:val="20"/>
      <w:lang w:val="de-DE" w:eastAsia="de-DE"/>
    </w:rPr>
  </w:style>
  <w:style w:type="paragraph" w:customStyle="1" w:styleId="Default">
    <w:name w:val="Default"/>
    <w:rsid w:val="000B19A6"/>
    <w:pPr>
      <w:autoSpaceDE w:val="0"/>
      <w:autoSpaceDN w:val="0"/>
      <w:adjustRightInd w:val="0"/>
    </w:pPr>
    <w:rPr>
      <w:rFonts w:ascii="Times New Roman" w:eastAsia="Times New Roman" w:hAnsi="Times New Roman"/>
      <w:color w:val="000000"/>
      <w:sz w:val="24"/>
      <w:szCs w:val="24"/>
      <w:lang w:val="de-AT" w:eastAsia="de-AT"/>
    </w:rPr>
  </w:style>
  <w:style w:type="character" w:customStyle="1" w:styleId="publigenlongtext">
    <w:name w:val="publigenlongtext"/>
    <w:basedOn w:val="DefaultParagraphFont"/>
    <w:rsid w:val="000B19A6"/>
  </w:style>
  <w:style w:type="paragraph" w:styleId="PlainText">
    <w:name w:val="Plain Text"/>
    <w:basedOn w:val="Normal"/>
    <w:link w:val="PlainTextChar"/>
    <w:uiPriority w:val="99"/>
    <w:unhideWhenUsed/>
    <w:rsid w:val="000B19A6"/>
    <w:pPr>
      <w:spacing w:after="0" w:line="240" w:lineRule="auto"/>
    </w:pPr>
    <w:rPr>
      <w:rFonts w:ascii="Consolas" w:eastAsia="SimSun" w:hAnsi="Consolas" w:cs="Times New Roman"/>
      <w:sz w:val="21"/>
      <w:szCs w:val="21"/>
    </w:rPr>
  </w:style>
  <w:style w:type="character" w:customStyle="1" w:styleId="PlainTextChar">
    <w:name w:val="Plain Text Char"/>
    <w:link w:val="PlainText"/>
    <w:uiPriority w:val="99"/>
    <w:rsid w:val="000B19A6"/>
    <w:rPr>
      <w:rFonts w:ascii="Consolas" w:eastAsia="SimSun" w:hAnsi="Consolas" w:cs="Consolas"/>
      <w:sz w:val="21"/>
      <w:szCs w:val="21"/>
    </w:rPr>
  </w:style>
  <w:style w:type="character" w:customStyle="1" w:styleId="st1">
    <w:name w:val="st1"/>
    <w:basedOn w:val="DefaultParagraphFont"/>
    <w:rsid w:val="0066267A"/>
  </w:style>
  <w:style w:type="paragraph" w:styleId="Title">
    <w:name w:val="Title"/>
    <w:basedOn w:val="Normal"/>
    <w:link w:val="TitleChar"/>
    <w:qFormat/>
    <w:locked/>
    <w:rsid w:val="002A0378"/>
    <w:pPr>
      <w:spacing w:before="240" w:after="60" w:line="280" w:lineRule="exact"/>
      <w:jc w:val="center"/>
      <w:outlineLvl w:val="0"/>
    </w:pPr>
    <w:rPr>
      <w:rFonts w:ascii="Verdana" w:hAnsi="Verdana" w:cs="Verdana"/>
      <w:b/>
      <w:bCs/>
      <w:kern w:val="28"/>
      <w:sz w:val="24"/>
      <w:szCs w:val="24"/>
      <w:lang w:val="en-GB"/>
    </w:rPr>
  </w:style>
  <w:style w:type="character" w:customStyle="1" w:styleId="TitleChar1">
    <w:name w:val="Title Char1"/>
    <w:basedOn w:val="DefaultParagraphFont"/>
    <w:rsid w:val="002A0378"/>
    <w:rPr>
      <w:rFonts w:asciiTheme="majorHAnsi" w:eastAsiaTheme="majorEastAsia" w:hAnsiTheme="majorHAnsi" w:cstheme="majorBidi"/>
      <w:color w:val="17365D" w:themeColor="text2" w:themeShade="BF"/>
      <w:spacing w:val="5"/>
      <w:kern w:val="28"/>
      <w:sz w:val="52"/>
      <w:szCs w:val="5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763"/>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470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47091"/>
  </w:style>
  <w:style w:type="paragraph" w:styleId="Footer">
    <w:name w:val="footer"/>
    <w:basedOn w:val="Normal"/>
    <w:link w:val="FooterChar"/>
    <w:uiPriority w:val="99"/>
    <w:rsid w:val="003470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47091"/>
  </w:style>
  <w:style w:type="character" w:customStyle="1" w:styleId="longtext1">
    <w:name w:val="long_text1"/>
    <w:uiPriority w:val="99"/>
    <w:rsid w:val="00661BCF"/>
    <w:rPr>
      <w:sz w:val="20"/>
      <w:szCs w:val="20"/>
    </w:rPr>
  </w:style>
  <w:style w:type="paragraph" w:styleId="ListParagraph">
    <w:name w:val="List Paragraph"/>
    <w:basedOn w:val="Normal"/>
    <w:uiPriority w:val="34"/>
    <w:qFormat/>
    <w:rsid w:val="006D7ECF"/>
    <w:pPr>
      <w:ind w:left="720"/>
    </w:pPr>
  </w:style>
  <w:style w:type="paragraph" w:styleId="FootnoteText">
    <w:name w:val="footnote text"/>
    <w:basedOn w:val="Normal"/>
    <w:link w:val="FootnoteTextChar"/>
    <w:uiPriority w:val="99"/>
    <w:semiHidden/>
    <w:rsid w:val="00F175E7"/>
    <w:pPr>
      <w:spacing w:after="0" w:line="240" w:lineRule="auto"/>
    </w:pPr>
    <w:rPr>
      <w:rFonts w:cs="Times New Roman"/>
      <w:sz w:val="20"/>
      <w:szCs w:val="20"/>
    </w:rPr>
  </w:style>
  <w:style w:type="character" w:customStyle="1" w:styleId="FootnoteTextChar">
    <w:name w:val="Footnote Text Char"/>
    <w:link w:val="FootnoteText"/>
    <w:uiPriority w:val="99"/>
    <w:semiHidden/>
    <w:locked/>
    <w:rsid w:val="00F175E7"/>
    <w:rPr>
      <w:sz w:val="20"/>
      <w:szCs w:val="20"/>
    </w:rPr>
  </w:style>
  <w:style w:type="character" w:styleId="FootnoteReference">
    <w:name w:val="footnote reference"/>
    <w:uiPriority w:val="99"/>
    <w:semiHidden/>
    <w:rsid w:val="00F175E7"/>
    <w:rPr>
      <w:vertAlign w:val="superscript"/>
    </w:rPr>
  </w:style>
  <w:style w:type="paragraph" w:styleId="BalloonText">
    <w:name w:val="Balloon Text"/>
    <w:basedOn w:val="Normal"/>
    <w:link w:val="BalloonTextChar"/>
    <w:uiPriority w:val="99"/>
    <w:semiHidden/>
    <w:rsid w:val="0057395C"/>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57395C"/>
    <w:rPr>
      <w:rFonts w:ascii="Tahoma" w:hAnsi="Tahoma" w:cs="Tahoma"/>
      <w:sz w:val="16"/>
      <w:szCs w:val="16"/>
    </w:rPr>
  </w:style>
  <w:style w:type="table" w:styleId="TableGrid">
    <w:name w:val="Table Grid"/>
    <w:basedOn w:val="TableNormal"/>
    <w:uiPriority w:val="99"/>
    <w:rsid w:val="0057395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link w:val="Title"/>
    <w:rsid w:val="00EA309C"/>
    <w:rPr>
      <w:rFonts w:ascii="Verdana" w:hAnsi="Verdana" w:cs="Verdana"/>
      <w:b/>
      <w:bCs/>
      <w:kern w:val="28"/>
      <w:sz w:val="24"/>
      <w:szCs w:val="24"/>
      <w:lang w:val="en-GB" w:eastAsia="en-US"/>
    </w:rPr>
  </w:style>
  <w:style w:type="paragraph" w:customStyle="1" w:styleId="CarCar2">
    <w:name w:val="Car Car2"/>
    <w:basedOn w:val="Normal"/>
    <w:uiPriority w:val="99"/>
    <w:rsid w:val="00EA309C"/>
    <w:pPr>
      <w:spacing w:after="160" w:line="240" w:lineRule="exact"/>
    </w:pPr>
    <w:rPr>
      <w:rFonts w:ascii="Tahoma" w:eastAsia="Times New Roman" w:hAnsi="Tahoma" w:cs="Tahoma"/>
      <w:sz w:val="20"/>
      <w:szCs w:val="20"/>
    </w:rPr>
  </w:style>
  <w:style w:type="character" w:styleId="CommentReference">
    <w:name w:val="annotation reference"/>
    <w:uiPriority w:val="99"/>
    <w:semiHidden/>
    <w:rsid w:val="00F5278A"/>
    <w:rPr>
      <w:sz w:val="16"/>
      <w:szCs w:val="16"/>
    </w:rPr>
  </w:style>
  <w:style w:type="paragraph" w:styleId="CommentText">
    <w:name w:val="annotation text"/>
    <w:basedOn w:val="Normal"/>
    <w:link w:val="CommentTextChar"/>
    <w:uiPriority w:val="99"/>
    <w:semiHidden/>
    <w:rsid w:val="00F5278A"/>
    <w:rPr>
      <w:rFonts w:cs="Times New Roman"/>
      <w:sz w:val="20"/>
      <w:szCs w:val="20"/>
    </w:rPr>
  </w:style>
  <w:style w:type="character" w:customStyle="1" w:styleId="CommentTextChar">
    <w:name w:val="Comment Text Char"/>
    <w:link w:val="CommentText"/>
    <w:uiPriority w:val="99"/>
    <w:semiHidden/>
    <w:rsid w:val="00AD7E97"/>
    <w:rPr>
      <w:rFonts w:cs="Calibri"/>
      <w:sz w:val="20"/>
      <w:szCs w:val="20"/>
    </w:rPr>
  </w:style>
  <w:style w:type="paragraph" w:styleId="CommentSubject">
    <w:name w:val="annotation subject"/>
    <w:basedOn w:val="CommentText"/>
    <w:next w:val="CommentText"/>
    <w:link w:val="CommentSubjectChar"/>
    <w:uiPriority w:val="99"/>
    <w:semiHidden/>
    <w:rsid w:val="00F5278A"/>
    <w:rPr>
      <w:b/>
      <w:bCs/>
    </w:rPr>
  </w:style>
  <w:style w:type="character" w:customStyle="1" w:styleId="CommentSubjectChar">
    <w:name w:val="Comment Subject Char"/>
    <w:link w:val="CommentSubject"/>
    <w:uiPriority w:val="99"/>
    <w:semiHidden/>
    <w:rsid w:val="00AD7E97"/>
    <w:rPr>
      <w:rFonts w:cs="Calibri"/>
      <w:b/>
      <w:bCs/>
      <w:sz w:val="20"/>
      <w:szCs w:val="20"/>
    </w:rPr>
  </w:style>
  <w:style w:type="paragraph" w:customStyle="1" w:styleId="ZchnZchnCharCharZchnZchnCharCharZchnZchn3CharCharZchnZchn">
    <w:name w:val="Zchn Zchn Char Char Zchn Zchn Char Char Zchn Zchn3 Char Char Zchn Zchn"/>
    <w:basedOn w:val="Normal"/>
    <w:rsid w:val="00DD61B0"/>
    <w:pPr>
      <w:spacing w:after="160" w:line="240" w:lineRule="exact"/>
    </w:pPr>
    <w:rPr>
      <w:rFonts w:ascii="Tahoma" w:eastAsia="Times New Roman" w:hAnsi="Tahoma" w:cs="Times New Roman"/>
      <w:sz w:val="20"/>
      <w:szCs w:val="20"/>
    </w:rPr>
  </w:style>
  <w:style w:type="character" w:styleId="Hyperlink">
    <w:name w:val="Hyperlink"/>
    <w:rsid w:val="00DD61B0"/>
    <w:rPr>
      <w:color w:val="0000FF"/>
      <w:u w:val="single"/>
    </w:rPr>
  </w:style>
  <w:style w:type="paragraph" w:styleId="BodyText">
    <w:name w:val="Body Text"/>
    <w:basedOn w:val="Normal"/>
    <w:link w:val="BodyTextChar"/>
    <w:rsid w:val="00F82C61"/>
    <w:pPr>
      <w:autoSpaceDE w:val="0"/>
      <w:autoSpaceDN w:val="0"/>
      <w:adjustRightInd w:val="0"/>
      <w:spacing w:after="0" w:line="240" w:lineRule="auto"/>
      <w:jc w:val="both"/>
    </w:pPr>
    <w:rPr>
      <w:rFonts w:ascii="Verdana" w:eastAsia="Times New Roman" w:hAnsi="Verdana" w:cs="Times New Roman"/>
      <w:sz w:val="20"/>
      <w:szCs w:val="20"/>
      <w:lang w:val="de-DE" w:eastAsia="de-DE"/>
    </w:rPr>
  </w:style>
  <w:style w:type="character" w:customStyle="1" w:styleId="BodyTextChar">
    <w:name w:val="Body Text Char"/>
    <w:link w:val="BodyText"/>
    <w:rsid w:val="00F82C61"/>
    <w:rPr>
      <w:rFonts w:ascii="Verdana" w:eastAsia="Times New Roman" w:hAnsi="Verdana"/>
      <w:sz w:val="20"/>
      <w:szCs w:val="20"/>
      <w:lang w:val="de-DE" w:eastAsia="de-DE"/>
    </w:rPr>
  </w:style>
  <w:style w:type="paragraph" w:customStyle="1" w:styleId="Default">
    <w:name w:val="Default"/>
    <w:rsid w:val="000B19A6"/>
    <w:pPr>
      <w:autoSpaceDE w:val="0"/>
      <w:autoSpaceDN w:val="0"/>
      <w:adjustRightInd w:val="0"/>
    </w:pPr>
    <w:rPr>
      <w:rFonts w:ascii="Times New Roman" w:eastAsia="Times New Roman" w:hAnsi="Times New Roman"/>
      <w:color w:val="000000"/>
      <w:sz w:val="24"/>
      <w:szCs w:val="24"/>
      <w:lang w:val="de-AT" w:eastAsia="de-AT"/>
    </w:rPr>
  </w:style>
  <w:style w:type="character" w:customStyle="1" w:styleId="publigenlongtext">
    <w:name w:val="publigenlongtext"/>
    <w:basedOn w:val="DefaultParagraphFont"/>
    <w:rsid w:val="000B19A6"/>
  </w:style>
  <w:style w:type="paragraph" w:styleId="PlainText">
    <w:name w:val="Plain Text"/>
    <w:basedOn w:val="Normal"/>
    <w:link w:val="PlainTextChar"/>
    <w:uiPriority w:val="99"/>
    <w:unhideWhenUsed/>
    <w:rsid w:val="000B19A6"/>
    <w:pPr>
      <w:spacing w:after="0" w:line="240" w:lineRule="auto"/>
    </w:pPr>
    <w:rPr>
      <w:rFonts w:ascii="Consolas" w:eastAsia="SimSun" w:hAnsi="Consolas" w:cs="Times New Roman"/>
      <w:sz w:val="21"/>
      <w:szCs w:val="21"/>
    </w:rPr>
  </w:style>
  <w:style w:type="character" w:customStyle="1" w:styleId="PlainTextChar">
    <w:name w:val="Plain Text Char"/>
    <w:link w:val="PlainText"/>
    <w:uiPriority w:val="99"/>
    <w:rsid w:val="000B19A6"/>
    <w:rPr>
      <w:rFonts w:ascii="Consolas" w:eastAsia="SimSun" w:hAnsi="Consolas" w:cs="Consolas"/>
      <w:sz w:val="21"/>
      <w:szCs w:val="21"/>
    </w:rPr>
  </w:style>
  <w:style w:type="character" w:customStyle="1" w:styleId="st1">
    <w:name w:val="st1"/>
    <w:basedOn w:val="DefaultParagraphFont"/>
    <w:rsid w:val="0066267A"/>
  </w:style>
  <w:style w:type="paragraph" w:styleId="Title">
    <w:name w:val="Title"/>
    <w:basedOn w:val="Normal"/>
    <w:link w:val="TitleChar"/>
    <w:qFormat/>
    <w:locked/>
    <w:rsid w:val="002A0378"/>
    <w:pPr>
      <w:spacing w:before="240" w:after="60" w:line="280" w:lineRule="exact"/>
      <w:jc w:val="center"/>
      <w:outlineLvl w:val="0"/>
    </w:pPr>
    <w:rPr>
      <w:rFonts w:ascii="Verdana" w:hAnsi="Verdana" w:cs="Verdana"/>
      <w:b/>
      <w:bCs/>
      <w:kern w:val="28"/>
      <w:sz w:val="24"/>
      <w:szCs w:val="24"/>
      <w:lang w:val="en-GB"/>
    </w:rPr>
  </w:style>
  <w:style w:type="character" w:customStyle="1" w:styleId="TitleChar1">
    <w:name w:val="Title Char1"/>
    <w:basedOn w:val="DefaultParagraphFont"/>
    <w:rsid w:val="002A0378"/>
    <w:rPr>
      <w:rFonts w:asciiTheme="majorHAnsi" w:eastAsiaTheme="majorEastAsia" w:hAnsiTheme="majorHAnsi" w:cstheme="majorBidi"/>
      <w:color w:val="17365D" w:themeColor="text2" w:themeShade="BF"/>
      <w:spacing w:val="5"/>
      <w:kern w:val="28"/>
      <w:sz w:val="52"/>
      <w:szCs w:val="5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3380">
      <w:bodyDiv w:val="1"/>
      <w:marLeft w:val="0"/>
      <w:marRight w:val="0"/>
      <w:marTop w:val="0"/>
      <w:marBottom w:val="0"/>
      <w:divBdr>
        <w:top w:val="none" w:sz="0" w:space="0" w:color="auto"/>
        <w:left w:val="none" w:sz="0" w:space="0" w:color="auto"/>
        <w:bottom w:val="none" w:sz="0" w:space="0" w:color="auto"/>
        <w:right w:val="none" w:sz="0" w:space="0" w:color="auto"/>
      </w:divBdr>
    </w:div>
    <w:div w:id="85807064">
      <w:bodyDiv w:val="1"/>
      <w:marLeft w:val="0"/>
      <w:marRight w:val="0"/>
      <w:marTop w:val="0"/>
      <w:marBottom w:val="0"/>
      <w:divBdr>
        <w:top w:val="none" w:sz="0" w:space="0" w:color="auto"/>
        <w:left w:val="none" w:sz="0" w:space="0" w:color="auto"/>
        <w:bottom w:val="none" w:sz="0" w:space="0" w:color="auto"/>
        <w:right w:val="none" w:sz="0" w:space="0" w:color="auto"/>
      </w:divBdr>
    </w:div>
    <w:div w:id="108815414">
      <w:bodyDiv w:val="1"/>
      <w:marLeft w:val="0"/>
      <w:marRight w:val="0"/>
      <w:marTop w:val="0"/>
      <w:marBottom w:val="0"/>
      <w:divBdr>
        <w:top w:val="none" w:sz="0" w:space="0" w:color="auto"/>
        <w:left w:val="none" w:sz="0" w:space="0" w:color="auto"/>
        <w:bottom w:val="none" w:sz="0" w:space="0" w:color="auto"/>
        <w:right w:val="none" w:sz="0" w:space="0" w:color="auto"/>
      </w:divBdr>
      <w:divsChild>
        <w:div w:id="985161846">
          <w:marLeft w:val="0"/>
          <w:marRight w:val="0"/>
          <w:marTop w:val="0"/>
          <w:marBottom w:val="0"/>
          <w:divBdr>
            <w:top w:val="none" w:sz="0" w:space="0" w:color="auto"/>
            <w:left w:val="none" w:sz="0" w:space="0" w:color="auto"/>
            <w:bottom w:val="none" w:sz="0" w:space="0" w:color="auto"/>
            <w:right w:val="none" w:sz="0" w:space="0" w:color="auto"/>
          </w:divBdr>
        </w:div>
        <w:div w:id="578636616">
          <w:marLeft w:val="0"/>
          <w:marRight w:val="0"/>
          <w:marTop w:val="0"/>
          <w:marBottom w:val="0"/>
          <w:divBdr>
            <w:top w:val="none" w:sz="0" w:space="0" w:color="auto"/>
            <w:left w:val="none" w:sz="0" w:space="0" w:color="auto"/>
            <w:bottom w:val="none" w:sz="0" w:space="0" w:color="auto"/>
            <w:right w:val="none" w:sz="0" w:space="0" w:color="auto"/>
          </w:divBdr>
        </w:div>
        <w:div w:id="446120083">
          <w:marLeft w:val="0"/>
          <w:marRight w:val="0"/>
          <w:marTop w:val="0"/>
          <w:marBottom w:val="0"/>
          <w:divBdr>
            <w:top w:val="none" w:sz="0" w:space="0" w:color="auto"/>
            <w:left w:val="none" w:sz="0" w:space="0" w:color="auto"/>
            <w:bottom w:val="none" w:sz="0" w:space="0" w:color="auto"/>
            <w:right w:val="none" w:sz="0" w:space="0" w:color="auto"/>
          </w:divBdr>
        </w:div>
        <w:div w:id="1924217438">
          <w:marLeft w:val="0"/>
          <w:marRight w:val="0"/>
          <w:marTop w:val="0"/>
          <w:marBottom w:val="0"/>
          <w:divBdr>
            <w:top w:val="none" w:sz="0" w:space="0" w:color="auto"/>
            <w:left w:val="none" w:sz="0" w:space="0" w:color="auto"/>
            <w:bottom w:val="none" w:sz="0" w:space="0" w:color="auto"/>
            <w:right w:val="none" w:sz="0" w:space="0" w:color="auto"/>
          </w:divBdr>
        </w:div>
        <w:div w:id="828210351">
          <w:marLeft w:val="0"/>
          <w:marRight w:val="0"/>
          <w:marTop w:val="0"/>
          <w:marBottom w:val="0"/>
          <w:divBdr>
            <w:top w:val="none" w:sz="0" w:space="0" w:color="auto"/>
            <w:left w:val="none" w:sz="0" w:space="0" w:color="auto"/>
            <w:bottom w:val="none" w:sz="0" w:space="0" w:color="auto"/>
            <w:right w:val="none" w:sz="0" w:space="0" w:color="auto"/>
          </w:divBdr>
        </w:div>
        <w:div w:id="2006935730">
          <w:marLeft w:val="0"/>
          <w:marRight w:val="0"/>
          <w:marTop w:val="0"/>
          <w:marBottom w:val="0"/>
          <w:divBdr>
            <w:top w:val="none" w:sz="0" w:space="0" w:color="auto"/>
            <w:left w:val="none" w:sz="0" w:space="0" w:color="auto"/>
            <w:bottom w:val="none" w:sz="0" w:space="0" w:color="auto"/>
            <w:right w:val="none" w:sz="0" w:space="0" w:color="auto"/>
          </w:divBdr>
        </w:div>
        <w:div w:id="488598853">
          <w:marLeft w:val="0"/>
          <w:marRight w:val="0"/>
          <w:marTop w:val="0"/>
          <w:marBottom w:val="0"/>
          <w:divBdr>
            <w:top w:val="none" w:sz="0" w:space="0" w:color="auto"/>
            <w:left w:val="none" w:sz="0" w:space="0" w:color="auto"/>
            <w:bottom w:val="none" w:sz="0" w:space="0" w:color="auto"/>
            <w:right w:val="none" w:sz="0" w:space="0" w:color="auto"/>
          </w:divBdr>
        </w:div>
      </w:divsChild>
    </w:div>
    <w:div w:id="150105409">
      <w:bodyDiv w:val="1"/>
      <w:marLeft w:val="0"/>
      <w:marRight w:val="0"/>
      <w:marTop w:val="0"/>
      <w:marBottom w:val="0"/>
      <w:divBdr>
        <w:top w:val="none" w:sz="0" w:space="0" w:color="auto"/>
        <w:left w:val="none" w:sz="0" w:space="0" w:color="auto"/>
        <w:bottom w:val="none" w:sz="0" w:space="0" w:color="auto"/>
        <w:right w:val="none" w:sz="0" w:space="0" w:color="auto"/>
      </w:divBdr>
    </w:div>
    <w:div w:id="153183200">
      <w:bodyDiv w:val="1"/>
      <w:marLeft w:val="0"/>
      <w:marRight w:val="0"/>
      <w:marTop w:val="0"/>
      <w:marBottom w:val="0"/>
      <w:divBdr>
        <w:top w:val="none" w:sz="0" w:space="0" w:color="auto"/>
        <w:left w:val="none" w:sz="0" w:space="0" w:color="auto"/>
        <w:bottom w:val="none" w:sz="0" w:space="0" w:color="auto"/>
        <w:right w:val="none" w:sz="0" w:space="0" w:color="auto"/>
      </w:divBdr>
    </w:div>
    <w:div w:id="383724421">
      <w:bodyDiv w:val="1"/>
      <w:marLeft w:val="0"/>
      <w:marRight w:val="0"/>
      <w:marTop w:val="0"/>
      <w:marBottom w:val="0"/>
      <w:divBdr>
        <w:top w:val="none" w:sz="0" w:space="0" w:color="auto"/>
        <w:left w:val="none" w:sz="0" w:space="0" w:color="auto"/>
        <w:bottom w:val="none" w:sz="0" w:space="0" w:color="auto"/>
        <w:right w:val="none" w:sz="0" w:space="0" w:color="auto"/>
      </w:divBdr>
    </w:div>
    <w:div w:id="424881770">
      <w:bodyDiv w:val="1"/>
      <w:marLeft w:val="0"/>
      <w:marRight w:val="0"/>
      <w:marTop w:val="0"/>
      <w:marBottom w:val="0"/>
      <w:divBdr>
        <w:top w:val="none" w:sz="0" w:space="0" w:color="auto"/>
        <w:left w:val="none" w:sz="0" w:space="0" w:color="auto"/>
        <w:bottom w:val="none" w:sz="0" w:space="0" w:color="auto"/>
        <w:right w:val="none" w:sz="0" w:space="0" w:color="auto"/>
      </w:divBdr>
    </w:div>
    <w:div w:id="580725609">
      <w:bodyDiv w:val="1"/>
      <w:marLeft w:val="0"/>
      <w:marRight w:val="0"/>
      <w:marTop w:val="0"/>
      <w:marBottom w:val="0"/>
      <w:divBdr>
        <w:top w:val="none" w:sz="0" w:space="0" w:color="auto"/>
        <w:left w:val="none" w:sz="0" w:space="0" w:color="auto"/>
        <w:bottom w:val="none" w:sz="0" w:space="0" w:color="auto"/>
        <w:right w:val="none" w:sz="0" w:space="0" w:color="auto"/>
      </w:divBdr>
    </w:div>
    <w:div w:id="596139728">
      <w:bodyDiv w:val="1"/>
      <w:marLeft w:val="0"/>
      <w:marRight w:val="0"/>
      <w:marTop w:val="0"/>
      <w:marBottom w:val="0"/>
      <w:divBdr>
        <w:top w:val="none" w:sz="0" w:space="0" w:color="auto"/>
        <w:left w:val="none" w:sz="0" w:space="0" w:color="auto"/>
        <w:bottom w:val="none" w:sz="0" w:space="0" w:color="auto"/>
        <w:right w:val="none" w:sz="0" w:space="0" w:color="auto"/>
      </w:divBdr>
    </w:div>
    <w:div w:id="817235325">
      <w:bodyDiv w:val="1"/>
      <w:marLeft w:val="0"/>
      <w:marRight w:val="0"/>
      <w:marTop w:val="0"/>
      <w:marBottom w:val="0"/>
      <w:divBdr>
        <w:top w:val="none" w:sz="0" w:space="0" w:color="auto"/>
        <w:left w:val="none" w:sz="0" w:space="0" w:color="auto"/>
        <w:bottom w:val="none" w:sz="0" w:space="0" w:color="auto"/>
        <w:right w:val="none" w:sz="0" w:space="0" w:color="auto"/>
      </w:divBdr>
    </w:div>
    <w:div w:id="963973072">
      <w:bodyDiv w:val="1"/>
      <w:marLeft w:val="0"/>
      <w:marRight w:val="0"/>
      <w:marTop w:val="0"/>
      <w:marBottom w:val="0"/>
      <w:divBdr>
        <w:top w:val="none" w:sz="0" w:space="0" w:color="auto"/>
        <w:left w:val="none" w:sz="0" w:space="0" w:color="auto"/>
        <w:bottom w:val="none" w:sz="0" w:space="0" w:color="auto"/>
        <w:right w:val="none" w:sz="0" w:space="0" w:color="auto"/>
      </w:divBdr>
    </w:div>
    <w:div w:id="1317103853">
      <w:bodyDiv w:val="1"/>
      <w:marLeft w:val="0"/>
      <w:marRight w:val="0"/>
      <w:marTop w:val="0"/>
      <w:marBottom w:val="0"/>
      <w:divBdr>
        <w:top w:val="none" w:sz="0" w:space="0" w:color="auto"/>
        <w:left w:val="none" w:sz="0" w:space="0" w:color="auto"/>
        <w:bottom w:val="none" w:sz="0" w:space="0" w:color="auto"/>
        <w:right w:val="none" w:sz="0" w:space="0" w:color="auto"/>
      </w:divBdr>
    </w:div>
    <w:div w:id="1329477413">
      <w:bodyDiv w:val="1"/>
      <w:marLeft w:val="0"/>
      <w:marRight w:val="0"/>
      <w:marTop w:val="0"/>
      <w:marBottom w:val="0"/>
      <w:divBdr>
        <w:top w:val="none" w:sz="0" w:space="0" w:color="auto"/>
        <w:left w:val="none" w:sz="0" w:space="0" w:color="auto"/>
        <w:bottom w:val="none" w:sz="0" w:space="0" w:color="auto"/>
        <w:right w:val="none" w:sz="0" w:space="0" w:color="auto"/>
      </w:divBdr>
    </w:div>
    <w:div w:id="1419255458">
      <w:bodyDiv w:val="1"/>
      <w:marLeft w:val="0"/>
      <w:marRight w:val="0"/>
      <w:marTop w:val="0"/>
      <w:marBottom w:val="0"/>
      <w:divBdr>
        <w:top w:val="none" w:sz="0" w:space="0" w:color="auto"/>
        <w:left w:val="none" w:sz="0" w:space="0" w:color="auto"/>
        <w:bottom w:val="none" w:sz="0" w:space="0" w:color="auto"/>
        <w:right w:val="none" w:sz="0" w:space="0" w:color="auto"/>
      </w:divBdr>
    </w:div>
    <w:div w:id="1633512757">
      <w:bodyDiv w:val="1"/>
      <w:marLeft w:val="0"/>
      <w:marRight w:val="0"/>
      <w:marTop w:val="0"/>
      <w:marBottom w:val="0"/>
      <w:divBdr>
        <w:top w:val="none" w:sz="0" w:space="0" w:color="auto"/>
        <w:left w:val="none" w:sz="0" w:space="0" w:color="auto"/>
        <w:bottom w:val="none" w:sz="0" w:space="0" w:color="auto"/>
        <w:right w:val="none" w:sz="0" w:space="0" w:color="auto"/>
      </w:divBdr>
    </w:div>
    <w:div w:id="1656059876">
      <w:bodyDiv w:val="1"/>
      <w:marLeft w:val="0"/>
      <w:marRight w:val="0"/>
      <w:marTop w:val="0"/>
      <w:marBottom w:val="0"/>
      <w:divBdr>
        <w:top w:val="none" w:sz="0" w:space="0" w:color="auto"/>
        <w:left w:val="none" w:sz="0" w:space="0" w:color="auto"/>
        <w:bottom w:val="none" w:sz="0" w:space="0" w:color="auto"/>
        <w:right w:val="none" w:sz="0" w:space="0" w:color="auto"/>
      </w:divBdr>
      <w:divsChild>
        <w:div w:id="1966933755">
          <w:marLeft w:val="0"/>
          <w:marRight w:val="0"/>
          <w:marTop w:val="0"/>
          <w:marBottom w:val="0"/>
          <w:divBdr>
            <w:top w:val="none" w:sz="0" w:space="0" w:color="auto"/>
            <w:left w:val="none" w:sz="0" w:space="0" w:color="auto"/>
            <w:bottom w:val="none" w:sz="0" w:space="0" w:color="auto"/>
            <w:right w:val="none" w:sz="0" w:space="0" w:color="auto"/>
          </w:divBdr>
          <w:divsChild>
            <w:div w:id="530874190">
              <w:marLeft w:val="0"/>
              <w:marRight w:val="0"/>
              <w:marTop w:val="0"/>
              <w:marBottom w:val="0"/>
              <w:divBdr>
                <w:top w:val="none" w:sz="0" w:space="0" w:color="auto"/>
                <w:left w:val="none" w:sz="0" w:space="0" w:color="auto"/>
                <w:bottom w:val="none" w:sz="0" w:space="0" w:color="auto"/>
                <w:right w:val="none" w:sz="0" w:space="0" w:color="auto"/>
              </w:divBdr>
              <w:divsChild>
                <w:div w:id="619337374">
                  <w:marLeft w:val="30"/>
                  <w:marRight w:val="225"/>
                  <w:marTop w:val="60"/>
                  <w:marBottom w:val="0"/>
                  <w:divBdr>
                    <w:top w:val="single" w:sz="24" w:space="0" w:color="34B0DF"/>
                    <w:left w:val="none" w:sz="0" w:space="0" w:color="34B0DF"/>
                    <w:bottom w:val="none" w:sz="0" w:space="0" w:color="34B0DF"/>
                    <w:right w:val="none" w:sz="0" w:space="0" w:color="34B0DF"/>
                  </w:divBdr>
                  <w:divsChild>
                    <w:div w:id="33770375">
                      <w:marLeft w:val="0"/>
                      <w:marRight w:val="0"/>
                      <w:marTop w:val="0"/>
                      <w:marBottom w:val="0"/>
                      <w:divBdr>
                        <w:top w:val="none" w:sz="0" w:space="0" w:color="auto"/>
                        <w:left w:val="none" w:sz="0" w:space="0" w:color="auto"/>
                        <w:bottom w:val="none" w:sz="0" w:space="0" w:color="auto"/>
                        <w:right w:val="none" w:sz="0" w:space="0" w:color="auto"/>
                      </w:divBdr>
                      <w:divsChild>
                        <w:div w:id="1910723950">
                          <w:marLeft w:val="0"/>
                          <w:marRight w:val="0"/>
                          <w:marTop w:val="0"/>
                          <w:marBottom w:val="0"/>
                          <w:divBdr>
                            <w:top w:val="none" w:sz="0" w:space="0" w:color="auto"/>
                            <w:left w:val="none" w:sz="0" w:space="0" w:color="auto"/>
                            <w:bottom w:val="none" w:sz="0" w:space="0" w:color="auto"/>
                            <w:right w:val="none" w:sz="0" w:space="0" w:color="auto"/>
                          </w:divBdr>
                          <w:divsChild>
                            <w:div w:id="392460766">
                              <w:marLeft w:val="300"/>
                              <w:marRight w:val="300"/>
                              <w:marTop w:val="345"/>
                              <w:marBottom w:val="345"/>
                              <w:divBdr>
                                <w:top w:val="none" w:sz="0" w:space="0" w:color="auto"/>
                                <w:left w:val="none" w:sz="0" w:space="0" w:color="auto"/>
                                <w:bottom w:val="none" w:sz="0" w:space="0" w:color="auto"/>
                                <w:right w:val="none" w:sz="0" w:space="0" w:color="auto"/>
                              </w:divBdr>
                              <w:divsChild>
                                <w:div w:id="5553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428129">
      <w:bodyDiv w:val="1"/>
      <w:marLeft w:val="0"/>
      <w:marRight w:val="0"/>
      <w:marTop w:val="0"/>
      <w:marBottom w:val="0"/>
      <w:divBdr>
        <w:top w:val="none" w:sz="0" w:space="0" w:color="auto"/>
        <w:left w:val="none" w:sz="0" w:space="0" w:color="auto"/>
        <w:bottom w:val="none" w:sz="0" w:space="0" w:color="auto"/>
        <w:right w:val="none" w:sz="0" w:space="0" w:color="auto"/>
      </w:divBdr>
    </w:div>
    <w:div w:id="1718355912">
      <w:bodyDiv w:val="1"/>
      <w:marLeft w:val="0"/>
      <w:marRight w:val="0"/>
      <w:marTop w:val="0"/>
      <w:marBottom w:val="0"/>
      <w:divBdr>
        <w:top w:val="none" w:sz="0" w:space="0" w:color="auto"/>
        <w:left w:val="none" w:sz="0" w:space="0" w:color="auto"/>
        <w:bottom w:val="none" w:sz="0" w:space="0" w:color="auto"/>
        <w:right w:val="none" w:sz="0" w:space="0" w:color="auto"/>
      </w:divBdr>
    </w:div>
    <w:div w:id="1763060815">
      <w:bodyDiv w:val="1"/>
      <w:marLeft w:val="0"/>
      <w:marRight w:val="0"/>
      <w:marTop w:val="0"/>
      <w:marBottom w:val="0"/>
      <w:divBdr>
        <w:top w:val="none" w:sz="0" w:space="0" w:color="auto"/>
        <w:left w:val="none" w:sz="0" w:space="0" w:color="auto"/>
        <w:bottom w:val="none" w:sz="0" w:space="0" w:color="auto"/>
        <w:right w:val="none" w:sz="0" w:space="0" w:color="auto"/>
      </w:divBdr>
    </w:div>
    <w:div w:id="1763530054">
      <w:bodyDiv w:val="1"/>
      <w:marLeft w:val="0"/>
      <w:marRight w:val="0"/>
      <w:marTop w:val="0"/>
      <w:marBottom w:val="0"/>
      <w:divBdr>
        <w:top w:val="none" w:sz="0" w:space="0" w:color="auto"/>
        <w:left w:val="none" w:sz="0" w:space="0" w:color="auto"/>
        <w:bottom w:val="none" w:sz="0" w:space="0" w:color="auto"/>
        <w:right w:val="none" w:sz="0" w:space="0" w:color="auto"/>
      </w:divBdr>
      <w:divsChild>
        <w:div w:id="1109662000">
          <w:marLeft w:val="0"/>
          <w:marRight w:val="0"/>
          <w:marTop w:val="0"/>
          <w:marBottom w:val="0"/>
          <w:divBdr>
            <w:top w:val="none" w:sz="0" w:space="0" w:color="auto"/>
            <w:left w:val="none" w:sz="0" w:space="0" w:color="auto"/>
            <w:bottom w:val="none" w:sz="0" w:space="0" w:color="auto"/>
            <w:right w:val="none" w:sz="0" w:space="0" w:color="auto"/>
          </w:divBdr>
        </w:div>
        <w:div w:id="1683974328">
          <w:marLeft w:val="0"/>
          <w:marRight w:val="0"/>
          <w:marTop w:val="0"/>
          <w:marBottom w:val="0"/>
          <w:divBdr>
            <w:top w:val="none" w:sz="0" w:space="0" w:color="auto"/>
            <w:left w:val="none" w:sz="0" w:space="0" w:color="auto"/>
            <w:bottom w:val="none" w:sz="0" w:space="0" w:color="auto"/>
            <w:right w:val="none" w:sz="0" w:space="0" w:color="auto"/>
          </w:divBdr>
        </w:div>
        <w:div w:id="2107801087">
          <w:marLeft w:val="0"/>
          <w:marRight w:val="0"/>
          <w:marTop w:val="0"/>
          <w:marBottom w:val="0"/>
          <w:divBdr>
            <w:top w:val="none" w:sz="0" w:space="0" w:color="auto"/>
            <w:left w:val="none" w:sz="0" w:space="0" w:color="auto"/>
            <w:bottom w:val="none" w:sz="0" w:space="0" w:color="auto"/>
            <w:right w:val="none" w:sz="0" w:space="0" w:color="auto"/>
          </w:divBdr>
        </w:div>
        <w:div w:id="979724044">
          <w:marLeft w:val="0"/>
          <w:marRight w:val="0"/>
          <w:marTop w:val="0"/>
          <w:marBottom w:val="0"/>
          <w:divBdr>
            <w:top w:val="none" w:sz="0" w:space="0" w:color="auto"/>
            <w:left w:val="none" w:sz="0" w:space="0" w:color="auto"/>
            <w:bottom w:val="none" w:sz="0" w:space="0" w:color="auto"/>
            <w:right w:val="none" w:sz="0" w:space="0" w:color="auto"/>
          </w:divBdr>
        </w:div>
        <w:div w:id="1713535114">
          <w:marLeft w:val="0"/>
          <w:marRight w:val="0"/>
          <w:marTop w:val="0"/>
          <w:marBottom w:val="0"/>
          <w:divBdr>
            <w:top w:val="none" w:sz="0" w:space="0" w:color="auto"/>
            <w:left w:val="none" w:sz="0" w:space="0" w:color="auto"/>
            <w:bottom w:val="none" w:sz="0" w:space="0" w:color="auto"/>
            <w:right w:val="none" w:sz="0" w:space="0" w:color="auto"/>
          </w:divBdr>
        </w:div>
      </w:divsChild>
    </w:div>
    <w:div w:id="1959755353">
      <w:bodyDiv w:val="1"/>
      <w:marLeft w:val="0"/>
      <w:marRight w:val="0"/>
      <w:marTop w:val="0"/>
      <w:marBottom w:val="0"/>
      <w:divBdr>
        <w:top w:val="none" w:sz="0" w:space="0" w:color="auto"/>
        <w:left w:val="none" w:sz="0" w:space="0" w:color="auto"/>
        <w:bottom w:val="none" w:sz="0" w:space="0" w:color="auto"/>
        <w:right w:val="none" w:sz="0" w:space="0" w:color="auto"/>
      </w:divBdr>
    </w:div>
    <w:div w:id="20933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G:\2011gen\RMO\ESBG%20Respon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147A-C3D8-4EB7-BBB8-9B6FB97F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ESBG Response</Template>
  <TotalTime>0</TotalTime>
  <Pages>8</Pages>
  <Words>2804</Words>
  <Characters>15423</Characters>
  <Application>Microsoft Office Word</Application>
  <DocSecurity>0</DocSecurity>
  <Lines>128</Lines>
  <Paragraphs>36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ESBG / WSBI</Company>
  <LinksUpToDate>false</LinksUpToDate>
  <CharactersWithSpaces>18191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dc:creator>
  <cp:lastModifiedBy>Blanco Martinez Cesar</cp:lastModifiedBy>
  <cp:revision>2</cp:revision>
  <cp:lastPrinted>2013-01-11T09:23:00Z</cp:lastPrinted>
  <dcterms:created xsi:type="dcterms:W3CDTF">2013-10-01T15:51:00Z</dcterms:created>
  <dcterms:modified xsi:type="dcterms:W3CDTF">2013-10-01T15:51:00Z</dcterms:modified>
</cp:coreProperties>
</file>