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FD" w:rsidRPr="006771BA" w:rsidRDefault="001B7A8A" w:rsidP="000B19A6">
      <w:pPr>
        <w:jc w:val="both"/>
        <w:rPr>
          <w:rStyle w:val="TitleChar"/>
          <w:rFonts w:ascii="Garamond" w:hAnsi="Garamond" w:cs="Garamond"/>
          <w:sz w:val="28"/>
          <w:szCs w:val="28"/>
        </w:rPr>
      </w:pPr>
      <w:bookmarkStart w:id="0" w:name="_GoBack"/>
      <w:bookmarkEnd w:id="0"/>
      <w:r w:rsidRPr="006771BA">
        <w:rPr>
          <w:rFonts w:ascii="Garamond" w:hAnsi="Garamond" w:cs="Garamond"/>
          <w:b/>
          <w:bCs/>
          <w:noProof/>
          <w:sz w:val="24"/>
          <w:lang w:val="fr-BE" w:eastAsia="fr-BE"/>
        </w:rPr>
        <w:drawing>
          <wp:anchor distT="0" distB="0" distL="114300" distR="114300" simplePos="0" relativeHeight="251660288" behindDoc="1" locked="0" layoutInCell="1" allowOverlap="1" wp14:anchorId="4A0DA6AE" wp14:editId="08C02C11">
            <wp:simplePos x="0" y="0"/>
            <wp:positionH relativeFrom="column">
              <wp:posOffset>-834390</wp:posOffset>
            </wp:positionH>
            <wp:positionV relativeFrom="paragraph">
              <wp:posOffset>-830580</wp:posOffset>
            </wp:positionV>
            <wp:extent cx="2518410" cy="9928860"/>
            <wp:effectExtent l="19050" t="0" r="0" b="0"/>
            <wp:wrapNone/>
            <wp:docPr id="8" name="Picture 3" descr="POSITION-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-PAP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992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DFD" w:rsidRPr="006771BA">
        <w:rPr>
          <w:rFonts w:ascii="Garamond" w:hAnsi="Garamond" w:cs="Garamond"/>
          <w:b/>
          <w:bCs/>
          <w:sz w:val="24"/>
          <w:szCs w:val="24"/>
          <w:lang w:val="en-GB"/>
        </w:rPr>
        <w:tab/>
      </w:r>
    </w:p>
    <w:p w:rsidR="00D22DFD" w:rsidRPr="006771BA" w:rsidRDefault="00D22DFD" w:rsidP="000B19A6">
      <w:pPr>
        <w:jc w:val="both"/>
        <w:rPr>
          <w:rFonts w:ascii="Garamond" w:hAnsi="Garamond" w:cs="Garamond"/>
          <w:sz w:val="32"/>
          <w:szCs w:val="32"/>
          <w:lang w:val="en-GB"/>
        </w:rPr>
      </w:pPr>
      <w:r w:rsidRPr="006771BA">
        <w:rPr>
          <w:rStyle w:val="TitleChar"/>
          <w:rFonts w:ascii="Garamond" w:hAnsi="Garamond" w:cs="Garamond"/>
          <w:sz w:val="28"/>
          <w:szCs w:val="28"/>
        </w:rPr>
        <w:t xml:space="preserve"> </w:t>
      </w:r>
    </w:p>
    <w:p w:rsidR="00D22DFD" w:rsidRPr="006771BA" w:rsidRDefault="00D22DFD" w:rsidP="000B19A6">
      <w:pPr>
        <w:jc w:val="both"/>
        <w:rPr>
          <w:rFonts w:ascii="Garamond" w:hAnsi="Garamond" w:cs="Garamond"/>
          <w:sz w:val="24"/>
          <w:szCs w:val="24"/>
          <w:lang w:val="en-GB"/>
        </w:rPr>
      </w:pPr>
    </w:p>
    <w:p w:rsidR="00D22DFD" w:rsidRPr="006771BA" w:rsidRDefault="00D22DFD" w:rsidP="000B19A6">
      <w:pPr>
        <w:ind w:left="1440" w:firstLine="720"/>
        <w:jc w:val="both"/>
        <w:rPr>
          <w:lang w:val="en-GB"/>
        </w:rPr>
      </w:pPr>
    </w:p>
    <w:p w:rsidR="00D22DFD" w:rsidRPr="006771BA" w:rsidRDefault="00D22DFD" w:rsidP="000B19A6">
      <w:pPr>
        <w:jc w:val="both"/>
        <w:rPr>
          <w:rFonts w:ascii="Garamond" w:hAnsi="Garamond" w:cs="Garamond"/>
          <w:b/>
          <w:bCs/>
          <w:sz w:val="24"/>
          <w:szCs w:val="24"/>
          <w:lang w:val="en-GB"/>
        </w:rPr>
      </w:pPr>
    </w:p>
    <w:p w:rsidR="00D7763D" w:rsidRPr="006771BA" w:rsidRDefault="00457CDE" w:rsidP="000B19A6">
      <w:pPr>
        <w:jc w:val="both"/>
        <w:rPr>
          <w:rFonts w:ascii="Garamond" w:hAnsi="Garamond" w:cs="Garamond"/>
          <w:bCs/>
          <w:sz w:val="16"/>
          <w:szCs w:val="16"/>
          <w:lang w:val="en-GB"/>
        </w:rPr>
      </w:pPr>
      <w:r w:rsidRPr="006771B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4D42" wp14:editId="490BC8F3">
                <wp:simplePos x="0" y="0"/>
                <wp:positionH relativeFrom="column">
                  <wp:posOffset>1633220</wp:posOffset>
                </wp:positionH>
                <wp:positionV relativeFrom="paragraph">
                  <wp:posOffset>963930</wp:posOffset>
                </wp:positionV>
                <wp:extent cx="3362960" cy="3095625"/>
                <wp:effectExtent l="4445" t="1905" r="444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F49" w:rsidRPr="009229D4" w:rsidRDefault="00965F49" w:rsidP="00EC66D7">
                            <w:pPr>
                              <w:pStyle w:val="Default"/>
                              <w:jc w:val="both"/>
                              <w:rPr>
                                <w:rFonts w:ascii="Georgia" w:eastAsia="Calibri" w:hAnsi="Georgia" w:cs="Georgia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>ESBG</w:t>
                            </w:r>
                            <w:proofErr w:type="spellEnd"/>
                            <w:r w:rsidRPr="004C321F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common response to the </w:t>
                            </w:r>
                            <w:r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European Banking Authority consultation </w:t>
                            </w:r>
                            <w:r w:rsidR="00EC66D7" w:rsidRPr="00EC66D7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F5081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the Draft </w:t>
                            </w:r>
                            <w:proofErr w:type="gramStart"/>
                            <w:r w:rsidR="00F5081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>ITS</w:t>
                            </w:r>
                            <w:proofErr w:type="gramEnd"/>
                            <w:r w:rsidR="00F5081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5081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>on</w:t>
                            </w:r>
                            <w:proofErr w:type="spellEnd"/>
                            <w:r w:rsidR="00F5081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currencies </w:t>
                            </w:r>
                            <w:r w:rsidR="00F50816" w:rsidRPr="006A4D9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with an extremely narrow definition of central bank eligibility under Art. </w:t>
                            </w:r>
                            <w:proofErr w:type="gramStart"/>
                            <w:r w:rsidR="00F50816" w:rsidRPr="006A4D9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416 (5) of the </w:t>
                            </w:r>
                            <w:proofErr w:type="spellStart"/>
                            <w:r w:rsidR="00F50816" w:rsidRPr="006A4D96"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>CRR</w:t>
                            </w:r>
                            <w:proofErr w:type="spellEnd"/>
                            <w:r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965F49" w:rsidRDefault="00965F49" w:rsidP="00D138EA">
                            <w:pPr>
                              <w:rPr>
                                <w:rFonts w:ascii="Garamond" w:hAnsi="Garamond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  <w:p w:rsidR="00965F49" w:rsidRPr="00FA475F" w:rsidRDefault="00965F49" w:rsidP="00D138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A475F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>WSBI-ESBG</w:t>
                            </w:r>
                            <w:proofErr w:type="spellEnd"/>
                            <w:r w:rsidRPr="00FA475F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 xml:space="preserve"> (World Institute of Savings </w:t>
                            </w:r>
                            <w:r w:rsidR="006771BA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 xml:space="preserve">and Retail </w:t>
                            </w:r>
                            <w:r w:rsidRPr="00FA475F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>Banks - European Savings</w:t>
                            </w:r>
                            <w:r w:rsidR="006771BA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 xml:space="preserve"> and Retail</w:t>
                            </w:r>
                            <w:r w:rsidRPr="00FA475F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 xml:space="preserve"> Bank</w:t>
                            </w:r>
                            <w:r w:rsidR="006771BA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>ing</w:t>
                            </w:r>
                            <w:r w:rsidRPr="00FA475F"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</w:rPr>
                              <w:t xml:space="preserve"> Group)</w:t>
                            </w:r>
                          </w:p>
                          <w:p w:rsidR="00965F49" w:rsidRPr="00627367" w:rsidRDefault="00965F49" w:rsidP="00D138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kern w:val="28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FA475F">
                              <w:rPr>
                                <w:rFonts w:ascii="Garamond" w:hAnsi="Garamond"/>
                                <w:sz w:val="20"/>
                                <w:szCs w:val="20"/>
                                <w:lang w:val="fr-BE" w:eastAsia="de-DE"/>
                              </w:rPr>
                              <w:t>Rue Marie-Thérèse, 11 - B-</w:t>
                            </w:r>
                            <w:r w:rsidRPr="00627367">
                              <w:rPr>
                                <w:rFonts w:ascii="Garamond" w:hAnsi="Garamond"/>
                                <w:sz w:val="20"/>
                                <w:szCs w:val="20"/>
                                <w:lang w:val="fr-BE" w:eastAsia="de-DE"/>
                              </w:rPr>
                              <w:t>1000 Brussels</w:t>
                            </w:r>
                          </w:p>
                          <w:p w:rsidR="00965F49" w:rsidRPr="00457CDE" w:rsidRDefault="00965F49" w:rsidP="00D138EA">
                            <w:pPr>
                              <w:spacing w:after="0" w:line="240" w:lineRule="auto"/>
                              <w:rPr>
                                <w:rFonts w:ascii="Garamond" w:hAnsi="Garamond" w:cs="Arial"/>
                                <w:bCs/>
                                <w:kern w:val="28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627367">
                              <w:rPr>
                                <w:rFonts w:ascii="Garamond" w:hAnsi="Garamond" w:cs="Arial"/>
                                <w:bCs/>
                                <w:kern w:val="28"/>
                                <w:sz w:val="20"/>
                                <w:szCs w:val="20"/>
                                <w:lang w:val="fr-BE"/>
                              </w:rPr>
                              <w:t>WSBI-ESBG</w:t>
                            </w:r>
                            <w:proofErr w:type="spellEnd"/>
                            <w:r w:rsidRPr="00627367">
                              <w:rPr>
                                <w:rFonts w:ascii="Garamond" w:hAnsi="Garamond" w:cs="Arial"/>
                                <w:bCs/>
                                <w:kern w:val="28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627367">
                              <w:rPr>
                                <w:rFonts w:ascii="Garamond" w:hAnsi="Garamond" w:cs="Arial"/>
                                <w:bCs/>
                                <w:kern w:val="28"/>
                                <w:sz w:val="20"/>
                                <w:szCs w:val="20"/>
                                <w:lang w:val="fr-BE"/>
                              </w:rPr>
                              <w:t>Register</w:t>
                            </w:r>
                            <w:proofErr w:type="spellEnd"/>
                            <w:r w:rsidRPr="00627367">
                              <w:rPr>
                                <w:rFonts w:ascii="Garamond" w:hAnsi="Garamond" w:cs="Arial"/>
                                <w:bCs/>
                                <w:kern w:val="28"/>
                                <w:sz w:val="20"/>
                                <w:szCs w:val="20"/>
                                <w:lang w:val="fr-BE"/>
                              </w:rPr>
                              <w:t xml:space="preserve"> ID 8765978796</w:t>
                            </w:r>
                            <w:r w:rsidRPr="00457CDE">
                              <w:rPr>
                                <w:rFonts w:ascii="Garamond" w:hAnsi="Garamond" w:cs="Arial"/>
                                <w:bCs/>
                                <w:kern w:val="28"/>
                                <w:sz w:val="20"/>
                                <w:szCs w:val="20"/>
                                <w:lang w:val="fr-BE"/>
                              </w:rPr>
                              <w:t>-80</w:t>
                            </w:r>
                          </w:p>
                          <w:p w:rsidR="00965F49" w:rsidRPr="00457CDE" w:rsidRDefault="00965F49" w:rsidP="00D138EA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965F49" w:rsidRDefault="00965F49" w:rsidP="00D138EA">
                            <w:pPr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itleChar"/>
                                <w:rFonts w:ascii="Garamond" w:hAnsi="Garamond" w:cs="Garamond"/>
                                <w:sz w:val="28"/>
                                <w:szCs w:val="28"/>
                              </w:rPr>
                              <w:t>December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6pt;margin-top:75.9pt;width:264.8pt;height:2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KJ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" stroked="f">
                <v:textbox>
                  <w:txbxContent>
                    <w:p w:rsidR="00965F49" w:rsidRPr="009229D4" w:rsidRDefault="00965F49" w:rsidP="00EC66D7">
                      <w:pPr>
                        <w:pStyle w:val="Default"/>
                        <w:jc w:val="both"/>
                        <w:rPr>
                          <w:rFonts w:ascii="Georgia" w:eastAsia="Calibri" w:hAnsi="Georgia" w:cs="Georgia"/>
                          <w:lang w:val="en-US" w:eastAsia="en-US"/>
                        </w:rPr>
                      </w:pPr>
                      <w:r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>ESBG</w:t>
                      </w:r>
                      <w:r w:rsidRPr="004C321F"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 xml:space="preserve"> common response to the </w:t>
                      </w:r>
                      <w:r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 xml:space="preserve">European Banking Authority consultation </w:t>
                      </w:r>
                      <w:r w:rsidR="00EC66D7" w:rsidRPr="00EC66D7"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 xml:space="preserve">on </w:t>
                      </w:r>
                      <w:r w:rsidR="00F50816"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 xml:space="preserve">the Draft ITS on currencies </w:t>
                      </w:r>
                      <w:r w:rsidR="00F50816" w:rsidRPr="006A4D96"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>with an extremely narrow definition of central bank eligibility under Art. 416 (5) of the CRR</w:t>
                      </w:r>
                      <w:r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>.</w:t>
                      </w:r>
                    </w:p>
                    <w:p w:rsidR="00965F49" w:rsidRDefault="00965F49" w:rsidP="00D138EA">
                      <w:pPr>
                        <w:rPr>
                          <w:rFonts w:ascii="Garamond" w:hAnsi="Garamond"/>
                          <w:kern w:val="28"/>
                          <w:sz w:val="16"/>
                          <w:szCs w:val="16"/>
                        </w:rPr>
                      </w:pPr>
                    </w:p>
                    <w:p w:rsidR="00965F49" w:rsidRPr="00FA475F" w:rsidRDefault="00965F49" w:rsidP="00D138EA">
                      <w:pPr>
                        <w:spacing w:after="0" w:line="240" w:lineRule="auto"/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</w:pPr>
                      <w:r w:rsidRPr="00FA475F"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  <w:t xml:space="preserve">WSBI-ESBG (World Institute of Savings </w:t>
                      </w:r>
                      <w:r w:rsidR="006771BA"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  <w:t xml:space="preserve">and Retail </w:t>
                      </w:r>
                      <w:r w:rsidRPr="00FA475F"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  <w:t>Banks - European Savings</w:t>
                      </w:r>
                      <w:r w:rsidR="006771BA"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  <w:t xml:space="preserve"> and Retail</w:t>
                      </w:r>
                      <w:r w:rsidRPr="00FA475F"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  <w:t xml:space="preserve"> Bank</w:t>
                      </w:r>
                      <w:r w:rsidR="006771BA"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  <w:t>ing</w:t>
                      </w:r>
                      <w:r w:rsidRPr="00FA475F">
                        <w:rPr>
                          <w:rFonts w:ascii="Garamond" w:hAnsi="Garamond"/>
                          <w:kern w:val="28"/>
                          <w:sz w:val="20"/>
                          <w:szCs w:val="20"/>
                        </w:rPr>
                        <w:t xml:space="preserve"> Group)</w:t>
                      </w:r>
                    </w:p>
                    <w:p w:rsidR="00965F49" w:rsidRPr="00627367" w:rsidRDefault="00965F49" w:rsidP="00D138EA">
                      <w:pPr>
                        <w:spacing w:after="0" w:line="240" w:lineRule="auto"/>
                        <w:rPr>
                          <w:rFonts w:ascii="Garamond" w:hAnsi="Garamond"/>
                          <w:kern w:val="28"/>
                          <w:sz w:val="20"/>
                          <w:szCs w:val="20"/>
                          <w:lang w:val="fr-BE"/>
                        </w:rPr>
                      </w:pPr>
                      <w:r w:rsidRPr="00FA475F">
                        <w:rPr>
                          <w:rFonts w:ascii="Garamond" w:hAnsi="Garamond"/>
                          <w:sz w:val="20"/>
                          <w:szCs w:val="20"/>
                          <w:lang w:val="fr-BE" w:eastAsia="de-DE"/>
                        </w:rPr>
                        <w:t>Rue Marie-Thérèse, 11 - B-</w:t>
                      </w:r>
                      <w:r w:rsidRPr="00627367">
                        <w:rPr>
                          <w:rFonts w:ascii="Garamond" w:hAnsi="Garamond"/>
                          <w:sz w:val="20"/>
                          <w:szCs w:val="20"/>
                          <w:lang w:val="fr-BE" w:eastAsia="de-DE"/>
                        </w:rPr>
                        <w:t>1000 Brussels</w:t>
                      </w:r>
                    </w:p>
                    <w:p w:rsidR="00965F49" w:rsidRPr="00457CDE" w:rsidRDefault="00965F49" w:rsidP="00D138EA">
                      <w:pPr>
                        <w:spacing w:after="0" w:line="240" w:lineRule="auto"/>
                        <w:rPr>
                          <w:rFonts w:ascii="Garamond" w:hAnsi="Garamond" w:cs="Arial"/>
                          <w:bCs/>
                          <w:kern w:val="28"/>
                          <w:sz w:val="20"/>
                          <w:szCs w:val="20"/>
                          <w:lang w:val="fr-BE"/>
                        </w:rPr>
                      </w:pPr>
                      <w:r w:rsidRPr="00627367">
                        <w:rPr>
                          <w:rFonts w:ascii="Garamond" w:hAnsi="Garamond" w:cs="Arial"/>
                          <w:bCs/>
                          <w:kern w:val="28"/>
                          <w:sz w:val="20"/>
                          <w:szCs w:val="20"/>
                          <w:lang w:val="fr-BE"/>
                        </w:rPr>
                        <w:t>WSBI-ESBG Register ID 8765978796</w:t>
                      </w:r>
                      <w:r w:rsidRPr="00457CDE">
                        <w:rPr>
                          <w:rFonts w:ascii="Garamond" w:hAnsi="Garamond" w:cs="Arial"/>
                          <w:bCs/>
                          <w:kern w:val="28"/>
                          <w:sz w:val="20"/>
                          <w:szCs w:val="20"/>
                          <w:lang w:val="fr-BE"/>
                        </w:rPr>
                        <w:t>-80</w:t>
                      </w:r>
                    </w:p>
                    <w:p w:rsidR="00965F49" w:rsidRPr="00457CDE" w:rsidRDefault="00965F49" w:rsidP="00D138EA">
                      <w:pPr>
                        <w:rPr>
                          <w:lang w:val="fr-BE"/>
                        </w:rPr>
                      </w:pPr>
                    </w:p>
                    <w:p w:rsidR="00965F49" w:rsidRDefault="00965F49" w:rsidP="00D138EA">
                      <w:pPr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Style w:val="TitleChar"/>
                          <w:rFonts w:ascii="Garamond" w:hAnsi="Garamond" w:cs="Garamond"/>
                          <w:sz w:val="28"/>
                          <w:szCs w:val="28"/>
                        </w:rPr>
                        <w:t>December 2013</w:t>
                      </w:r>
                    </w:p>
                  </w:txbxContent>
                </v:textbox>
              </v:shape>
            </w:pict>
          </mc:Fallback>
        </mc:AlternateContent>
      </w:r>
      <w:r w:rsidR="001B7A8A" w:rsidRPr="006771BA"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6428E24D" wp14:editId="0F7E7D84">
            <wp:simplePos x="0" y="0"/>
            <wp:positionH relativeFrom="column">
              <wp:posOffset>4942840</wp:posOffset>
            </wp:positionH>
            <wp:positionV relativeFrom="paragraph">
              <wp:posOffset>8801100</wp:posOffset>
            </wp:positionV>
            <wp:extent cx="2057400" cy="800100"/>
            <wp:effectExtent l="19050" t="0" r="0" b="0"/>
            <wp:wrapNone/>
            <wp:docPr id="7" name="Picture 8" descr="es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b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A8A" w:rsidRPr="006771BA">
        <w:rPr>
          <w:noProof/>
          <w:lang w:val="fr-BE" w:eastAsia="fr-BE"/>
        </w:rPr>
        <w:drawing>
          <wp:anchor distT="0" distB="0" distL="114300" distR="114300" simplePos="0" relativeHeight="251657216" behindDoc="0" locked="0" layoutInCell="1" allowOverlap="1" wp14:anchorId="02A1E6C1" wp14:editId="181E3DA0">
            <wp:simplePos x="0" y="0"/>
            <wp:positionH relativeFrom="column">
              <wp:posOffset>4942840</wp:posOffset>
            </wp:positionH>
            <wp:positionV relativeFrom="paragraph">
              <wp:posOffset>8801100</wp:posOffset>
            </wp:positionV>
            <wp:extent cx="2057400" cy="800100"/>
            <wp:effectExtent l="19050" t="0" r="0" b="0"/>
            <wp:wrapNone/>
            <wp:docPr id="6" name="Picture 7" descr="es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b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A8A" w:rsidRPr="006771BA">
        <w:rPr>
          <w:noProof/>
          <w:lang w:val="fr-BE" w:eastAsia="fr-BE"/>
        </w:rPr>
        <w:drawing>
          <wp:anchor distT="0" distB="0" distL="114300" distR="114300" simplePos="0" relativeHeight="251656192" behindDoc="0" locked="0" layoutInCell="1" allowOverlap="1" wp14:anchorId="5B2EEFDA" wp14:editId="32B46F0A">
            <wp:simplePos x="0" y="0"/>
            <wp:positionH relativeFrom="column">
              <wp:posOffset>4942840</wp:posOffset>
            </wp:positionH>
            <wp:positionV relativeFrom="paragraph">
              <wp:posOffset>8801100</wp:posOffset>
            </wp:positionV>
            <wp:extent cx="2057400" cy="800100"/>
            <wp:effectExtent l="19050" t="0" r="0" b="0"/>
            <wp:wrapNone/>
            <wp:docPr id="5" name="Picture 6" descr="es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b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A8A" w:rsidRPr="006771BA">
        <w:rPr>
          <w:noProof/>
          <w:lang w:val="fr-BE" w:eastAsia="fr-BE"/>
        </w:rPr>
        <w:drawing>
          <wp:anchor distT="0" distB="0" distL="114300" distR="114300" simplePos="0" relativeHeight="251655168" behindDoc="0" locked="0" layoutInCell="1" allowOverlap="1" wp14:anchorId="4F149B3D" wp14:editId="64944D5F">
            <wp:simplePos x="0" y="0"/>
            <wp:positionH relativeFrom="column">
              <wp:posOffset>5080635</wp:posOffset>
            </wp:positionH>
            <wp:positionV relativeFrom="paragraph">
              <wp:posOffset>9486900</wp:posOffset>
            </wp:positionV>
            <wp:extent cx="1657350" cy="571500"/>
            <wp:effectExtent l="19050" t="0" r="0" b="0"/>
            <wp:wrapNone/>
            <wp:docPr id="4" name="Picture 2" descr="es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b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DFD" w:rsidRPr="006771BA">
        <w:rPr>
          <w:rFonts w:ascii="Garamond" w:hAnsi="Garamond" w:cs="Garamond"/>
          <w:b/>
          <w:bCs/>
          <w:sz w:val="24"/>
          <w:szCs w:val="24"/>
          <w:lang w:val="en-GB"/>
        </w:rPr>
        <w:tab/>
      </w:r>
      <w:r w:rsidR="00D22DFD" w:rsidRPr="006771BA">
        <w:rPr>
          <w:rFonts w:ascii="Garamond" w:hAnsi="Garamond" w:cs="Garamond"/>
          <w:b/>
          <w:bCs/>
          <w:sz w:val="24"/>
          <w:szCs w:val="24"/>
          <w:lang w:val="en-GB"/>
        </w:rPr>
        <w:tab/>
      </w:r>
      <w:r w:rsidR="00D22DFD" w:rsidRPr="006771BA">
        <w:rPr>
          <w:rFonts w:ascii="Garamond" w:hAnsi="Garamond" w:cs="Garamond"/>
          <w:b/>
          <w:bCs/>
          <w:sz w:val="24"/>
          <w:szCs w:val="24"/>
          <w:lang w:val="en-GB"/>
        </w:rPr>
        <w:tab/>
      </w:r>
      <w:r w:rsidR="00D22DFD" w:rsidRPr="006771BA">
        <w:rPr>
          <w:rFonts w:ascii="Garamond" w:hAnsi="Garamond" w:cs="Garamond"/>
          <w:b/>
          <w:bCs/>
          <w:sz w:val="24"/>
          <w:szCs w:val="24"/>
          <w:lang w:val="en-GB"/>
        </w:rPr>
        <w:br w:type="page"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lastRenderedPageBreak/>
        <w:t xml:space="preserve">Doc </w:t>
      </w:r>
      <w:r w:rsidR="003557CF" w:rsidRPr="006771BA">
        <w:rPr>
          <w:rFonts w:ascii="Garamond" w:hAnsi="Garamond" w:cs="Garamond"/>
          <w:bCs/>
          <w:sz w:val="16"/>
          <w:szCs w:val="16"/>
          <w:lang w:val="en-GB"/>
        </w:rPr>
        <w:t>1201</w:t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>/201</w:t>
      </w:r>
      <w:r w:rsidR="003006BE" w:rsidRPr="006771BA">
        <w:rPr>
          <w:rFonts w:ascii="Garamond" w:hAnsi="Garamond" w:cs="Garamond"/>
          <w:bCs/>
          <w:sz w:val="16"/>
          <w:szCs w:val="16"/>
          <w:lang w:val="en-GB"/>
        </w:rPr>
        <w:t>3</w:t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i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7763D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DD61B0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  <w:r w:rsidR="005A5CC1" w:rsidRPr="006771BA">
        <w:rPr>
          <w:rFonts w:ascii="Garamond" w:hAnsi="Garamond" w:cs="Garamond"/>
          <w:bCs/>
          <w:sz w:val="16"/>
          <w:szCs w:val="16"/>
          <w:lang w:val="en-GB"/>
        </w:rPr>
        <w:tab/>
      </w:r>
    </w:p>
    <w:p w:rsidR="008B6C05" w:rsidRPr="006771BA" w:rsidRDefault="008B6C05" w:rsidP="00C2076D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lang w:val="en-GB" w:bidi="en-US"/>
        </w:rPr>
      </w:pPr>
    </w:p>
    <w:p w:rsidR="001C5B11" w:rsidRPr="006771BA" w:rsidRDefault="00502B11" w:rsidP="00AC65E0">
      <w:pPr>
        <w:spacing w:before="120" w:after="120"/>
        <w:jc w:val="both"/>
        <w:rPr>
          <w:rFonts w:ascii="Garamond" w:hAnsi="Garamond" w:cs="Garamond"/>
          <w:sz w:val="24"/>
          <w:szCs w:val="24"/>
          <w:lang w:val="en-GB" w:eastAsia="sv-SE"/>
        </w:rPr>
      </w:pPr>
      <w:r w:rsidRPr="006771BA">
        <w:rPr>
          <w:rFonts w:ascii="Garamond" w:hAnsi="Garamond" w:cs="Garamond"/>
          <w:sz w:val="24"/>
          <w:szCs w:val="24"/>
          <w:lang w:val="en-GB" w:eastAsia="sv-SE"/>
        </w:rPr>
        <w:t xml:space="preserve">First of all, the European Savings and </w:t>
      </w:r>
      <w:r w:rsidR="00047A84">
        <w:rPr>
          <w:rFonts w:ascii="Garamond" w:hAnsi="Garamond" w:cs="Garamond"/>
          <w:sz w:val="24"/>
          <w:szCs w:val="24"/>
          <w:lang w:val="en-GB" w:eastAsia="sv-SE"/>
        </w:rPr>
        <w:t>R</w:t>
      </w:r>
      <w:r w:rsidRPr="006771BA">
        <w:rPr>
          <w:rFonts w:ascii="Garamond" w:hAnsi="Garamond" w:cs="Garamond"/>
          <w:sz w:val="24"/>
          <w:szCs w:val="24"/>
          <w:lang w:val="en-GB" w:eastAsia="sv-SE"/>
        </w:rPr>
        <w:t>etail Banking Group (</w:t>
      </w:r>
      <w:proofErr w:type="spellStart"/>
      <w:r w:rsidRPr="006771BA">
        <w:rPr>
          <w:rFonts w:ascii="Garamond" w:hAnsi="Garamond" w:cs="Garamond"/>
          <w:sz w:val="24"/>
          <w:szCs w:val="24"/>
          <w:lang w:val="en-GB" w:eastAsia="sv-SE"/>
        </w:rPr>
        <w:t>ESBG</w:t>
      </w:r>
      <w:proofErr w:type="spellEnd"/>
      <w:r w:rsidRPr="006771BA">
        <w:rPr>
          <w:rFonts w:ascii="Garamond" w:hAnsi="Garamond" w:cs="Garamond"/>
          <w:sz w:val="24"/>
          <w:szCs w:val="24"/>
          <w:lang w:val="en-GB" w:eastAsia="sv-SE"/>
        </w:rPr>
        <w:t xml:space="preserve">) would like to welcome the opportunity to share its views on this </w:t>
      </w:r>
      <w:r w:rsidR="006771BA">
        <w:rPr>
          <w:rFonts w:ascii="Garamond" w:hAnsi="Garamond" w:cs="Garamond"/>
          <w:sz w:val="24"/>
          <w:szCs w:val="24"/>
          <w:lang w:val="en-GB" w:eastAsia="sv-SE"/>
        </w:rPr>
        <w:t>d</w:t>
      </w:r>
      <w:r w:rsidRPr="006771BA">
        <w:rPr>
          <w:rFonts w:ascii="Garamond" w:hAnsi="Garamond" w:cs="Garamond"/>
          <w:sz w:val="24"/>
          <w:szCs w:val="24"/>
          <w:lang w:val="en-GB" w:eastAsia="sv-SE"/>
        </w:rPr>
        <w:t>raft regulatory technical standards paper. Please find below some of our main messages and views.</w:t>
      </w:r>
      <w:r w:rsidR="001C5B11" w:rsidRPr="006771BA">
        <w:rPr>
          <w:rFonts w:ascii="Garamond" w:hAnsi="Garamond" w:cs="Garamond"/>
          <w:sz w:val="24"/>
          <w:szCs w:val="24"/>
          <w:lang w:val="en-GB" w:eastAsia="sv-SE"/>
        </w:rPr>
        <w:t xml:space="preserve"> </w:t>
      </w:r>
      <w:r w:rsidR="00822223" w:rsidRPr="006771BA">
        <w:rPr>
          <w:rFonts w:ascii="Garamond" w:hAnsi="Garamond" w:cs="Garamond"/>
          <w:sz w:val="24"/>
          <w:szCs w:val="24"/>
          <w:lang w:val="en-GB" w:eastAsia="sv-SE"/>
        </w:rPr>
        <w:t xml:space="preserve"> </w:t>
      </w:r>
      <w:r w:rsidR="001C5B11" w:rsidRPr="006771BA">
        <w:rPr>
          <w:rFonts w:ascii="Garamond" w:hAnsi="Garamond" w:cs="Garamond"/>
          <w:sz w:val="24"/>
          <w:szCs w:val="24"/>
          <w:lang w:val="en-GB" w:eastAsia="sv-SE"/>
        </w:rPr>
        <w:t xml:space="preserve"> </w:t>
      </w:r>
    </w:p>
    <w:p w:rsidR="00F50816" w:rsidRPr="006771BA" w:rsidRDefault="00F50816" w:rsidP="00F50816">
      <w:pPr>
        <w:spacing w:before="120" w:after="120"/>
        <w:jc w:val="both"/>
        <w:rPr>
          <w:rFonts w:ascii="Garamond" w:hAnsi="Garamond" w:cstheme="minorHAnsi"/>
          <w:sz w:val="24"/>
          <w:szCs w:val="24"/>
          <w:lang w:val="en-GB"/>
        </w:rPr>
      </w:pP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With regards to this consultation we consider that there are </w:t>
      </w:r>
      <w:r w:rsidR="00747B28">
        <w:rPr>
          <w:rFonts w:ascii="Garamond" w:hAnsi="Garamond" w:cstheme="minorHAnsi"/>
          <w:sz w:val="24"/>
          <w:szCs w:val="24"/>
          <w:lang w:val="en-GB"/>
        </w:rPr>
        <w:t xml:space="preserve">at 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least two other </w:t>
      </w:r>
      <w:r w:rsidR="00502B11" w:rsidRPr="006771BA">
        <w:rPr>
          <w:rFonts w:ascii="Garamond" w:hAnsi="Garamond" w:cstheme="minorHAnsi"/>
          <w:sz w:val="24"/>
          <w:szCs w:val="24"/>
          <w:lang w:val="en-GB"/>
        </w:rPr>
        <w:t>countr</w:t>
      </w:r>
      <w:r w:rsidR="006771BA">
        <w:rPr>
          <w:rFonts w:ascii="Garamond" w:hAnsi="Garamond" w:cstheme="minorHAnsi"/>
          <w:sz w:val="24"/>
          <w:szCs w:val="24"/>
          <w:lang w:val="en-GB"/>
        </w:rPr>
        <w:t>i</w:t>
      </w:r>
      <w:r w:rsidR="00502B11" w:rsidRPr="006771BA">
        <w:rPr>
          <w:rFonts w:ascii="Garamond" w:hAnsi="Garamond" w:cstheme="minorHAnsi"/>
          <w:sz w:val="24"/>
          <w:szCs w:val="24"/>
          <w:lang w:val="en-GB"/>
        </w:rPr>
        <w:t>es that have not been included into the list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, where the eligibility criteria are also very strict; </w:t>
      </w:r>
      <w:r w:rsidR="00502B11" w:rsidRPr="006771BA">
        <w:rPr>
          <w:rFonts w:ascii="Garamond" w:hAnsi="Garamond" w:cstheme="minorHAnsi"/>
          <w:sz w:val="24"/>
          <w:szCs w:val="24"/>
          <w:lang w:val="en-GB"/>
        </w:rPr>
        <w:t>these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are the Czech Krone (</w:t>
      </w:r>
      <w:proofErr w:type="spellStart"/>
      <w:r w:rsidRPr="00413D47">
        <w:rPr>
          <w:rFonts w:ascii="Garamond" w:hAnsi="Garamond" w:cstheme="minorHAnsi"/>
          <w:sz w:val="24"/>
          <w:szCs w:val="24"/>
          <w:lang w:val="en-GB"/>
        </w:rPr>
        <w:t>CZK</w:t>
      </w:r>
      <w:proofErr w:type="spellEnd"/>
      <w:r w:rsidRPr="00413D47">
        <w:rPr>
          <w:rFonts w:ascii="Garamond" w:hAnsi="Garamond" w:cstheme="minorHAnsi"/>
          <w:sz w:val="24"/>
          <w:szCs w:val="24"/>
          <w:lang w:val="en-GB"/>
        </w:rPr>
        <w:t>)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and the Romanian 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Leu</w:t>
      </w:r>
      <w:proofErr w:type="spellEnd"/>
      <w:r w:rsidRPr="006771BA">
        <w:rPr>
          <w:rFonts w:ascii="Garamond" w:hAnsi="Garamond"/>
          <w:sz w:val="24"/>
          <w:szCs w:val="24"/>
          <w:lang w:val="en-GB"/>
        </w:rPr>
        <w:t xml:space="preserve"> (</w:t>
      </w:r>
      <w:r w:rsidRPr="00413D47">
        <w:rPr>
          <w:rFonts w:ascii="Garamond" w:hAnsi="Garamond" w:cstheme="minorHAnsi"/>
          <w:sz w:val="24"/>
          <w:szCs w:val="24"/>
          <w:lang w:val="en-GB"/>
        </w:rPr>
        <w:t>RON)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. The respective central banks </w:t>
      </w:r>
      <w:r w:rsidR="006771BA">
        <w:rPr>
          <w:rFonts w:ascii="Garamond" w:hAnsi="Garamond" w:cstheme="minorHAnsi"/>
          <w:sz w:val="24"/>
          <w:szCs w:val="24"/>
          <w:lang w:val="en-GB"/>
        </w:rPr>
        <w:t xml:space="preserve">also 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allow supranational debt instruments as collateral in addition to central government debt or debt issued by the central bank. However, </w:t>
      </w:r>
      <w:r w:rsidR="006771BA">
        <w:rPr>
          <w:rFonts w:ascii="Garamond" w:hAnsi="Garamond" w:cstheme="minorHAnsi"/>
          <w:sz w:val="24"/>
          <w:szCs w:val="24"/>
          <w:lang w:val="en-GB"/>
        </w:rPr>
        <w:t xml:space="preserve">neither of </w:t>
      </w:r>
      <w:r w:rsidR="00413D47">
        <w:rPr>
          <w:rFonts w:ascii="Garamond" w:hAnsi="Garamond" w:cstheme="minorHAnsi"/>
          <w:sz w:val="24"/>
          <w:szCs w:val="24"/>
          <w:lang w:val="en-GB"/>
        </w:rPr>
        <w:t xml:space="preserve">the </w:t>
      </w:r>
      <w:r w:rsidR="00413D47" w:rsidRPr="006771BA">
        <w:rPr>
          <w:rFonts w:ascii="Garamond" w:hAnsi="Garamond" w:cstheme="minorHAnsi"/>
          <w:sz w:val="24"/>
          <w:szCs w:val="24"/>
          <w:lang w:val="en-GB"/>
        </w:rPr>
        <w:t>currencies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</w:t>
      </w:r>
      <w:proofErr w:type="gramStart"/>
      <w:r w:rsidRPr="006771BA">
        <w:rPr>
          <w:rFonts w:ascii="Garamond" w:hAnsi="Garamond" w:cstheme="minorHAnsi"/>
          <w:sz w:val="24"/>
          <w:szCs w:val="24"/>
          <w:lang w:val="en-GB"/>
        </w:rPr>
        <w:t>are</w:t>
      </w:r>
      <w:proofErr w:type="gram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classified as being currencies with </w:t>
      </w:r>
      <w:r w:rsidR="006771BA">
        <w:rPr>
          <w:rFonts w:ascii="Garamond" w:hAnsi="Garamond" w:cstheme="minorHAnsi"/>
          <w:sz w:val="24"/>
          <w:szCs w:val="24"/>
          <w:lang w:val="en-GB"/>
        </w:rPr>
        <w:t>‘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narrow central bank eligibility by the 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EBA</w:t>
      </w:r>
      <w:proofErr w:type="spellEnd"/>
      <w:r w:rsidR="00047A84">
        <w:rPr>
          <w:rFonts w:ascii="Garamond" w:hAnsi="Garamond" w:cstheme="minorHAnsi"/>
          <w:sz w:val="24"/>
          <w:szCs w:val="24"/>
          <w:lang w:val="en-GB"/>
        </w:rPr>
        <w:t>,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and are thus not eligible for a waiver.</w:t>
      </w:r>
    </w:p>
    <w:p w:rsidR="00F50816" w:rsidRPr="006771BA" w:rsidRDefault="00F50816" w:rsidP="00F50816">
      <w:pPr>
        <w:spacing w:before="120" w:after="120"/>
        <w:jc w:val="both"/>
        <w:rPr>
          <w:rFonts w:ascii="Garamond" w:hAnsi="Garamond" w:cstheme="minorHAnsi"/>
          <w:sz w:val="24"/>
          <w:szCs w:val="24"/>
          <w:lang w:val="en-GB"/>
        </w:rPr>
      </w:pPr>
      <w:r w:rsidRPr="006771BA">
        <w:rPr>
          <w:rFonts w:ascii="Garamond" w:hAnsi="Garamond" w:cstheme="minorHAnsi"/>
          <w:sz w:val="24"/>
          <w:szCs w:val="24"/>
          <w:lang w:val="en-GB"/>
        </w:rPr>
        <w:t>In our view, the inclusion of the eligibility of supranational debt by the Czech National Bank (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CNB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) and the Romanian National Bank (RNB) does not substantially change the original definition of </w:t>
      </w:r>
      <w:r w:rsidR="006771BA">
        <w:rPr>
          <w:rFonts w:ascii="Garamond" w:hAnsi="Garamond" w:cstheme="minorHAnsi"/>
          <w:sz w:val="24"/>
          <w:szCs w:val="24"/>
          <w:lang w:val="en-GB"/>
        </w:rPr>
        <w:t>‘</w:t>
      </w:r>
      <w:r w:rsidRPr="006771BA">
        <w:rPr>
          <w:rFonts w:ascii="Garamond" w:hAnsi="Garamond" w:cstheme="minorHAnsi"/>
          <w:sz w:val="24"/>
          <w:szCs w:val="24"/>
          <w:lang w:val="en-GB"/>
        </w:rPr>
        <w:t>narrow central bank eligibility</w:t>
      </w:r>
      <w:r w:rsidR="006771BA">
        <w:rPr>
          <w:rFonts w:ascii="Garamond" w:hAnsi="Garamond" w:cstheme="minorHAnsi"/>
          <w:sz w:val="24"/>
          <w:szCs w:val="24"/>
          <w:lang w:val="en-GB"/>
        </w:rPr>
        <w:t>’</w:t>
      </w:r>
      <w:r w:rsidRPr="006771BA">
        <w:rPr>
          <w:rFonts w:ascii="Garamond" w:hAnsi="Garamond" w:cstheme="minorHAnsi"/>
          <w:sz w:val="24"/>
          <w:szCs w:val="24"/>
          <w:lang w:val="en-GB"/>
        </w:rPr>
        <w:t>, as the proportion of most banks’ Counter Balancing Capacity (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CBC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) that consists of supranational debt will not be material. </w:t>
      </w:r>
    </w:p>
    <w:p w:rsidR="00F50816" w:rsidRPr="006771BA" w:rsidRDefault="00F50816" w:rsidP="00F50816">
      <w:pPr>
        <w:spacing w:before="120" w:after="120"/>
        <w:jc w:val="both"/>
        <w:rPr>
          <w:rFonts w:ascii="Garamond" w:hAnsi="Garamond" w:cstheme="minorHAnsi"/>
          <w:sz w:val="24"/>
          <w:szCs w:val="24"/>
          <w:lang w:val="en-GB"/>
        </w:rPr>
      </w:pP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For example, in the case of </w:t>
      </w:r>
      <w:r w:rsidR="006771BA">
        <w:rPr>
          <w:rFonts w:ascii="Garamond" w:hAnsi="Garamond" w:cstheme="minorHAnsi"/>
          <w:sz w:val="24"/>
          <w:szCs w:val="24"/>
          <w:lang w:val="en-GB"/>
        </w:rPr>
        <w:t xml:space="preserve">the </w:t>
      </w:r>
      <w:r w:rsidRPr="006771BA">
        <w:rPr>
          <w:rFonts w:ascii="Garamond" w:hAnsi="Garamond" w:cstheme="minorHAnsi"/>
          <w:sz w:val="24"/>
          <w:szCs w:val="24"/>
          <w:lang w:val="en-GB"/>
        </w:rPr>
        <w:t>RON, there are only 3 eligible bonds issued by supranational</w:t>
      </w:r>
      <w:r w:rsidR="00747B28">
        <w:rPr>
          <w:rFonts w:ascii="Garamond" w:hAnsi="Garamond" w:cstheme="minorHAnsi"/>
          <w:sz w:val="24"/>
          <w:szCs w:val="24"/>
          <w:lang w:val="en-GB"/>
        </w:rPr>
        <w:t xml:space="preserve"> institutions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denominated in RON, </w:t>
      </w:r>
      <w:r w:rsidR="006771BA">
        <w:rPr>
          <w:rFonts w:ascii="Garamond" w:hAnsi="Garamond" w:cstheme="minorHAnsi"/>
          <w:sz w:val="24"/>
          <w:szCs w:val="24"/>
          <w:lang w:val="en-GB"/>
        </w:rPr>
        <w:t>two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of them issued by the European Investment Bank (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EIB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) with a total volume of 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450m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RON (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100m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EUR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) and </w:t>
      </w:r>
      <w:r w:rsidR="006771BA">
        <w:rPr>
          <w:rFonts w:ascii="Garamond" w:hAnsi="Garamond" w:cstheme="minorHAnsi"/>
          <w:sz w:val="24"/>
          <w:szCs w:val="24"/>
          <w:lang w:val="en-GB"/>
        </w:rPr>
        <w:t>one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issued by </w:t>
      </w:r>
      <w:r w:rsidR="006771BA">
        <w:rPr>
          <w:rFonts w:ascii="Garamond" w:hAnsi="Garamond" w:cstheme="minorHAnsi"/>
          <w:sz w:val="24"/>
          <w:szCs w:val="24"/>
          <w:lang w:val="en-GB"/>
        </w:rPr>
        <w:t xml:space="preserve">the </w:t>
      </w:r>
      <w:r w:rsidRPr="006771BA">
        <w:rPr>
          <w:rFonts w:ascii="Garamond" w:hAnsi="Garamond" w:cstheme="minorHAnsi"/>
          <w:sz w:val="24"/>
          <w:szCs w:val="24"/>
          <w:lang w:val="en-GB"/>
        </w:rPr>
        <w:t>European Bank for Reconstruction &amp; Development (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EBRD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>) with a notional of 15</w:t>
      </w:r>
      <w:r w:rsidR="00747B28">
        <w:rPr>
          <w:rFonts w:ascii="Garamond" w:hAnsi="Garamond" w:cstheme="minorHAnsi"/>
          <w:sz w:val="24"/>
          <w:szCs w:val="24"/>
          <w:lang w:val="en-GB"/>
        </w:rPr>
        <w:t xml:space="preserve"> </w:t>
      </w:r>
      <w:r w:rsidRPr="006771BA">
        <w:rPr>
          <w:rFonts w:ascii="Garamond" w:hAnsi="Garamond" w:cstheme="minorHAnsi"/>
          <w:sz w:val="24"/>
          <w:szCs w:val="24"/>
          <w:lang w:val="en-GB"/>
        </w:rPr>
        <w:t>m RON (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3.4m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EUR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). Those figures cannot really justify the decision not to consider the RON as a currency for </w:t>
      </w:r>
      <w:proofErr w:type="gramStart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which a </w:t>
      </w:r>
      <w:r w:rsidR="006771BA">
        <w:rPr>
          <w:rFonts w:ascii="Garamond" w:hAnsi="Garamond" w:cstheme="minorHAnsi"/>
          <w:sz w:val="24"/>
          <w:szCs w:val="24"/>
          <w:lang w:val="en-GB"/>
        </w:rPr>
        <w:t>‘</w:t>
      </w:r>
      <w:r w:rsidRPr="006771BA">
        <w:rPr>
          <w:rFonts w:ascii="Garamond" w:hAnsi="Garamond" w:cstheme="minorHAnsi"/>
          <w:sz w:val="24"/>
          <w:szCs w:val="24"/>
          <w:lang w:val="en-GB"/>
        </w:rPr>
        <w:t>narrow</w:t>
      </w:r>
      <w:proofErr w:type="gram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central bank eligibility</w:t>
      </w:r>
      <w:r w:rsidR="006771BA">
        <w:rPr>
          <w:rFonts w:ascii="Garamond" w:hAnsi="Garamond" w:cstheme="minorHAnsi"/>
          <w:sz w:val="24"/>
          <w:szCs w:val="24"/>
          <w:lang w:val="en-GB"/>
        </w:rPr>
        <w:t>’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exists. </w:t>
      </w:r>
    </w:p>
    <w:p w:rsidR="00F50816" w:rsidRPr="006771BA" w:rsidRDefault="00F50816" w:rsidP="00F50816">
      <w:pPr>
        <w:spacing w:before="120" w:after="120"/>
        <w:jc w:val="both"/>
        <w:rPr>
          <w:rFonts w:ascii="Garamond" w:hAnsi="Garamond" w:cstheme="minorHAnsi"/>
          <w:sz w:val="24"/>
          <w:szCs w:val="24"/>
          <w:lang w:val="en-GB"/>
        </w:rPr>
      </w:pPr>
      <w:r w:rsidRPr="006771BA">
        <w:rPr>
          <w:rFonts w:ascii="Garamond" w:hAnsi="Garamond" w:cstheme="minorHAnsi"/>
          <w:sz w:val="24"/>
          <w:szCs w:val="24"/>
          <w:lang w:val="en-GB"/>
        </w:rPr>
        <w:t>Therefore, our proposal is that the definition of</w:t>
      </w:r>
      <w:r w:rsidR="006771BA">
        <w:rPr>
          <w:rFonts w:ascii="Garamond" w:hAnsi="Garamond" w:cstheme="minorHAnsi"/>
          <w:sz w:val="24"/>
          <w:szCs w:val="24"/>
          <w:lang w:val="en-GB"/>
        </w:rPr>
        <w:t xml:space="preserve"> the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</w:t>
      </w:r>
      <w:r w:rsidR="006771BA">
        <w:rPr>
          <w:rFonts w:ascii="Garamond" w:hAnsi="Garamond" w:cstheme="minorHAnsi"/>
          <w:sz w:val="24"/>
          <w:szCs w:val="24"/>
          <w:lang w:val="en-GB"/>
        </w:rPr>
        <w:t>‘</w:t>
      </w:r>
      <w:r w:rsidRPr="006771BA">
        <w:rPr>
          <w:rFonts w:ascii="Garamond" w:hAnsi="Garamond" w:cstheme="minorHAnsi"/>
          <w:sz w:val="24"/>
          <w:szCs w:val="24"/>
          <w:lang w:val="en-GB"/>
        </w:rPr>
        <w:t>extrem</w:t>
      </w:r>
      <w:r w:rsidR="006771BA">
        <w:rPr>
          <w:rFonts w:ascii="Garamond" w:hAnsi="Garamond" w:cstheme="minorHAnsi"/>
          <w:sz w:val="24"/>
          <w:szCs w:val="24"/>
          <w:lang w:val="en-GB"/>
        </w:rPr>
        <w:t>e</w:t>
      </w:r>
      <w:r w:rsidRPr="006771BA">
        <w:rPr>
          <w:rFonts w:ascii="Garamond" w:hAnsi="Garamond" w:cstheme="minorHAnsi"/>
          <w:sz w:val="24"/>
          <w:szCs w:val="24"/>
          <w:lang w:val="en-GB"/>
        </w:rPr>
        <w:t>ly narrow definition of central bank eligibility</w:t>
      </w:r>
      <w:r w:rsidR="006771BA">
        <w:rPr>
          <w:rFonts w:ascii="Garamond" w:hAnsi="Garamond" w:cstheme="minorHAnsi"/>
          <w:sz w:val="24"/>
          <w:szCs w:val="24"/>
          <w:lang w:val="en-GB"/>
        </w:rPr>
        <w:t>’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sh</w:t>
      </w:r>
      <w:r w:rsidR="006771BA">
        <w:rPr>
          <w:rFonts w:ascii="Garamond" w:hAnsi="Garamond" w:cstheme="minorHAnsi"/>
          <w:sz w:val="24"/>
          <w:szCs w:val="24"/>
          <w:lang w:val="en-GB"/>
        </w:rPr>
        <w:t>ould</w:t>
      </w:r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be extended so as to include supranational debt, which would mean that the 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CZK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 xml:space="preserve"> and RON will also be classified as currencies with narrow definition of central bank eligibility and hence will be eligible for a waiver according to Art. </w:t>
      </w:r>
      <w:proofErr w:type="gramStart"/>
      <w:r w:rsidRPr="006771BA">
        <w:rPr>
          <w:rFonts w:ascii="Garamond" w:hAnsi="Garamond" w:cstheme="minorHAnsi"/>
          <w:sz w:val="24"/>
          <w:szCs w:val="24"/>
          <w:lang w:val="en-GB"/>
        </w:rPr>
        <w:t>416 (</w:t>
      </w:r>
      <w:proofErr w:type="spellStart"/>
      <w:r w:rsidRPr="006771BA">
        <w:rPr>
          <w:rFonts w:ascii="Garamond" w:hAnsi="Garamond" w:cstheme="minorHAnsi"/>
          <w:sz w:val="24"/>
          <w:szCs w:val="24"/>
          <w:lang w:val="en-GB"/>
        </w:rPr>
        <w:t>3d</w:t>
      </w:r>
      <w:proofErr w:type="spellEnd"/>
      <w:r w:rsidRPr="006771BA">
        <w:rPr>
          <w:rFonts w:ascii="Garamond" w:hAnsi="Garamond" w:cstheme="minorHAnsi"/>
          <w:sz w:val="24"/>
          <w:szCs w:val="24"/>
          <w:lang w:val="en-GB"/>
        </w:rPr>
        <w:t>).</w:t>
      </w:r>
      <w:proofErr w:type="gramEnd"/>
    </w:p>
    <w:p w:rsidR="00F50816" w:rsidRPr="006771BA" w:rsidRDefault="00F50816">
      <w:pPr>
        <w:spacing w:after="0" w:line="240" w:lineRule="auto"/>
        <w:rPr>
          <w:rFonts w:ascii="Garamond" w:hAnsi="Garamond" w:cstheme="minorHAnsi"/>
          <w:sz w:val="24"/>
          <w:szCs w:val="24"/>
          <w:lang w:val="en-GB"/>
        </w:rPr>
      </w:pPr>
      <w:r w:rsidRPr="006771BA">
        <w:rPr>
          <w:rFonts w:ascii="Garamond" w:hAnsi="Garamond" w:cstheme="minorHAnsi"/>
          <w:sz w:val="24"/>
          <w:szCs w:val="24"/>
          <w:lang w:val="en-GB"/>
        </w:rPr>
        <w:br w:type="page"/>
      </w:r>
    </w:p>
    <w:p w:rsidR="00F50816" w:rsidRPr="006771BA" w:rsidRDefault="00F50816" w:rsidP="00F50816">
      <w:pPr>
        <w:spacing w:before="120" w:after="120"/>
        <w:jc w:val="both"/>
        <w:rPr>
          <w:rFonts w:ascii="Garamond" w:hAnsi="Garamond" w:cstheme="minorHAnsi"/>
          <w:sz w:val="24"/>
          <w:szCs w:val="24"/>
          <w:lang w:val="en-GB"/>
        </w:rPr>
      </w:pPr>
    </w:p>
    <w:p w:rsidR="0053651D" w:rsidRPr="006771BA" w:rsidRDefault="0053651D" w:rsidP="00AC65E0">
      <w:pPr>
        <w:pStyle w:val="Default"/>
        <w:spacing w:line="276" w:lineRule="auto"/>
        <w:rPr>
          <w:lang w:val="en-GB"/>
        </w:rPr>
      </w:pPr>
    </w:p>
    <w:p w:rsidR="00F82C61" w:rsidRPr="006771BA" w:rsidRDefault="00F82C61" w:rsidP="00AC65E0">
      <w:pPr>
        <w:jc w:val="both"/>
        <w:outlineLvl w:val="0"/>
        <w:rPr>
          <w:rFonts w:ascii="Garamond" w:hAnsi="Garamond"/>
          <w:b/>
          <w:color w:val="004483"/>
          <w:sz w:val="24"/>
          <w:szCs w:val="24"/>
          <w:lang w:val="en-GB" w:eastAsia="de-DE"/>
        </w:rPr>
      </w:pPr>
      <w:r w:rsidRPr="006771BA">
        <w:rPr>
          <w:rFonts w:ascii="Garamond" w:hAnsi="Garamond"/>
          <w:b/>
          <w:color w:val="004483"/>
          <w:sz w:val="24"/>
          <w:szCs w:val="24"/>
          <w:lang w:val="en-GB" w:eastAsia="de-DE"/>
        </w:rPr>
        <w:t xml:space="preserve">About </w:t>
      </w:r>
      <w:proofErr w:type="spellStart"/>
      <w:r w:rsidR="00C201A8" w:rsidRPr="006771BA">
        <w:rPr>
          <w:rFonts w:ascii="Garamond" w:hAnsi="Garamond"/>
          <w:b/>
          <w:color w:val="004483"/>
          <w:sz w:val="24"/>
          <w:szCs w:val="24"/>
          <w:lang w:val="en-GB" w:eastAsia="de-DE"/>
        </w:rPr>
        <w:t>WSBI-ESBG</w:t>
      </w:r>
      <w:proofErr w:type="spellEnd"/>
      <w:r w:rsidRPr="006771BA">
        <w:rPr>
          <w:rFonts w:ascii="Garamond" w:hAnsi="Garamond"/>
          <w:b/>
          <w:color w:val="004483"/>
          <w:sz w:val="24"/>
          <w:szCs w:val="24"/>
          <w:lang w:val="en-GB" w:eastAsia="de-DE"/>
        </w:rPr>
        <w:t xml:space="preserve"> (European Savings </w:t>
      </w:r>
      <w:r w:rsidR="006771BA">
        <w:rPr>
          <w:rFonts w:ascii="Garamond" w:hAnsi="Garamond"/>
          <w:b/>
          <w:color w:val="004483"/>
          <w:sz w:val="24"/>
          <w:szCs w:val="24"/>
          <w:lang w:val="en-GB" w:eastAsia="de-DE"/>
        </w:rPr>
        <w:t xml:space="preserve">and Retail </w:t>
      </w:r>
      <w:r w:rsidRPr="006771BA">
        <w:rPr>
          <w:rFonts w:ascii="Garamond" w:hAnsi="Garamond"/>
          <w:b/>
          <w:color w:val="004483"/>
          <w:sz w:val="24"/>
          <w:szCs w:val="24"/>
          <w:lang w:val="en-GB" w:eastAsia="de-DE"/>
        </w:rPr>
        <w:t>Bank</w:t>
      </w:r>
      <w:r w:rsidR="006771BA">
        <w:rPr>
          <w:rFonts w:ascii="Garamond" w:hAnsi="Garamond"/>
          <w:b/>
          <w:color w:val="004483"/>
          <w:sz w:val="24"/>
          <w:szCs w:val="24"/>
          <w:lang w:val="en-GB" w:eastAsia="de-DE"/>
        </w:rPr>
        <w:t>ing</w:t>
      </w:r>
      <w:r w:rsidRPr="006771BA">
        <w:rPr>
          <w:rFonts w:ascii="Garamond" w:hAnsi="Garamond"/>
          <w:b/>
          <w:color w:val="004483"/>
          <w:sz w:val="24"/>
          <w:szCs w:val="24"/>
          <w:lang w:val="en-GB" w:eastAsia="de-DE"/>
        </w:rPr>
        <w:t xml:space="preserve"> Group)</w:t>
      </w:r>
    </w:p>
    <w:p w:rsidR="00F82C61" w:rsidRPr="006771BA" w:rsidRDefault="00C201A8" w:rsidP="00AC65E0">
      <w:pPr>
        <w:jc w:val="both"/>
        <w:outlineLvl w:val="0"/>
        <w:rPr>
          <w:rFonts w:ascii="Garamond" w:hAnsi="Garamond"/>
          <w:b/>
          <w:sz w:val="24"/>
          <w:lang w:val="en-GB" w:eastAsia="de-DE"/>
        </w:rPr>
      </w:pPr>
      <w:proofErr w:type="spellStart"/>
      <w:r w:rsidRPr="006771BA">
        <w:rPr>
          <w:rFonts w:ascii="Garamond" w:hAnsi="Garamond"/>
          <w:b/>
          <w:sz w:val="24"/>
          <w:lang w:val="en-GB" w:eastAsia="de-DE"/>
        </w:rPr>
        <w:t>WSBI-ESBG</w:t>
      </w:r>
      <w:proofErr w:type="spellEnd"/>
      <w:r w:rsidR="00F82C61" w:rsidRPr="006771BA">
        <w:rPr>
          <w:rFonts w:ascii="Garamond" w:hAnsi="Garamond"/>
          <w:b/>
          <w:sz w:val="24"/>
          <w:lang w:val="en-GB" w:eastAsia="de-DE"/>
        </w:rPr>
        <w:t xml:space="preserve"> – The European Voice of Savings and Retail Banking</w:t>
      </w:r>
    </w:p>
    <w:p w:rsidR="00E626F8" w:rsidRPr="006771BA" w:rsidRDefault="00C201A8" w:rsidP="00AC65E0">
      <w:pPr>
        <w:pStyle w:val="BodyText"/>
        <w:spacing w:line="276" w:lineRule="auto"/>
        <w:rPr>
          <w:rFonts w:ascii="Garamond" w:hAnsi="Garamond"/>
          <w:sz w:val="24"/>
          <w:lang w:val="en-GB"/>
        </w:rPr>
      </w:pPr>
      <w:proofErr w:type="spellStart"/>
      <w:r w:rsidRPr="006771BA">
        <w:rPr>
          <w:rFonts w:ascii="Garamond" w:hAnsi="Garamond"/>
          <w:sz w:val="24"/>
          <w:lang w:val="en-GB"/>
        </w:rPr>
        <w:t>WSBI-ESBG</w:t>
      </w:r>
      <w:proofErr w:type="spellEnd"/>
      <w:r w:rsidR="00E626F8" w:rsidRPr="006771BA">
        <w:rPr>
          <w:rFonts w:ascii="Garamond" w:hAnsi="Garamond"/>
          <w:sz w:val="24"/>
          <w:lang w:val="en-GB"/>
        </w:rPr>
        <w:t xml:space="preserve"> (European Savings </w:t>
      </w:r>
      <w:r w:rsidR="006771BA">
        <w:rPr>
          <w:rFonts w:ascii="Garamond" w:hAnsi="Garamond"/>
          <w:sz w:val="24"/>
          <w:lang w:val="en-GB"/>
        </w:rPr>
        <w:t xml:space="preserve">and Retail </w:t>
      </w:r>
      <w:r w:rsidR="00E626F8" w:rsidRPr="006771BA">
        <w:rPr>
          <w:rFonts w:ascii="Garamond" w:hAnsi="Garamond"/>
          <w:sz w:val="24"/>
          <w:lang w:val="en-GB"/>
        </w:rPr>
        <w:t>Bank</w:t>
      </w:r>
      <w:r w:rsidR="006771BA">
        <w:rPr>
          <w:rFonts w:ascii="Garamond" w:hAnsi="Garamond"/>
          <w:sz w:val="24"/>
          <w:lang w:val="en-GB"/>
        </w:rPr>
        <w:t>ing</w:t>
      </w:r>
      <w:r w:rsidR="00E626F8" w:rsidRPr="006771BA">
        <w:rPr>
          <w:rFonts w:ascii="Garamond" w:hAnsi="Garamond"/>
          <w:sz w:val="24"/>
          <w:lang w:val="en-GB"/>
        </w:rPr>
        <w:t xml:space="preserve"> Group) is an international banking association that represents one of the largest European retail banking networks, comprising of approximately one-third of the retail banking market in Europe, </w:t>
      </w:r>
      <w:r w:rsidR="004611BF" w:rsidRPr="006771BA">
        <w:rPr>
          <w:rFonts w:ascii="Garamond" w:hAnsi="Garamond"/>
          <w:sz w:val="24"/>
          <w:lang w:val="en-GB"/>
        </w:rPr>
        <w:t>with total assets of over €7,631</w:t>
      </w:r>
      <w:r w:rsidR="00E626F8" w:rsidRPr="006771BA">
        <w:rPr>
          <w:rFonts w:ascii="Garamond" w:hAnsi="Garamond"/>
          <w:sz w:val="24"/>
          <w:lang w:val="en-GB"/>
        </w:rPr>
        <w:t xml:space="preserve"> bill</w:t>
      </w:r>
      <w:r w:rsidR="004611BF" w:rsidRPr="006771BA">
        <w:rPr>
          <w:rFonts w:ascii="Garamond" w:hAnsi="Garamond"/>
          <w:sz w:val="24"/>
          <w:lang w:val="en-GB"/>
        </w:rPr>
        <w:t>ion, non-bank deposits of €3,5</w:t>
      </w:r>
      <w:r w:rsidR="00E626F8" w:rsidRPr="006771BA">
        <w:rPr>
          <w:rFonts w:ascii="Garamond" w:hAnsi="Garamond"/>
          <w:sz w:val="24"/>
          <w:lang w:val="en-GB"/>
        </w:rPr>
        <w:t>00 bi</w:t>
      </w:r>
      <w:r w:rsidR="004611BF" w:rsidRPr="006771BA">
        <w:rPr>
          <w:rFonts w:ascii="Garamond" w:hAnsi="Garamond"/>
          <w:sz w:val="24"/>
          <w:lang w:val="en-GB"/>
        </w:rPr>
        <w:t>llion and non-bank loans of €4,200 billion (31 December 2011</w:t>
      </w:r>
      <w:r w:rsidR="00E626F8" w:rsidRPr="006771BA">
        <w:rPr>
          <w:rFonts w:ascii="Garamond" w:hAnsi="Garamond"/>
          <w:sz w:val="24"/>
          <w:lang w:val="en-GB"/>
        </w:rPr>
        <w:t xml:space="preserve">). It represents the interests of its </w:t>
      </w:r>
      <w:proofErr w:type="gramStart"/>
      <w:r w:rsidR="00E626F8" w:rsidRPr="006771BA">
        <w:rPr>
          <w:rFonts w:ascii="Garamond" w:hAnsi="Garamond"/>
          <w:sz w:val="24"/>
          <w:lang w:val="en-GB"/>
        </w:rPr>
        <w:t>members</w:t>
      </w:r>
      <w:proofErr w:type="gramEnd"/>
      <w:r w:rsidR="00E626F8" w:rsidRPr="006771BA">
        <w:rPr>
          <w:rFonts w:ascii="Garamond" w:hAnsi="Garamond"/>
          <w:sz w:val="24"/>
          <w:lang w:val="en-GB"/>
        </w:rPr>
        <w:t xml:space="preserve"> vis-à-vis the EU Institutions and generates, facilitates and manages high quality cross-border banking projects.</w:t>
      </w:r>
    </w:p>
    <w:p w:rsidR="00E626F8" w:rsidRPr="006771BA" w:rsidRDefault="00E626F8" w:rsidP="00AC65E0">
      <w:pPr>
        <w:pStyle w:val="BodyText"/>
        <w:spacing w:line="276" w:lineRule="auto"/>
        <w:rPr>
          <w:rFonts w:ascii="Garamond" w:hAnsi="Garamond"/>
          <w:sz w:val="24"/>
          <w:lang w:val="en-GB"/>
        </w:rPr>
      </w:pPr>
    </w:p>
    <w:p w:rsidR="00F82C61" w:rsidRPr="006771BA" w:rsidRDefault="00C201A8" w:rsidP="00AC65E0">
      <w:pPr>
        <w:pStyle w:val="BodyText"/>
        <w:spacing w:after="200" w:line="276" w:lineRule="auto"/>
        <w:rPr>
          <w:rFonts w:ascii="Garamond" w:hAnsi="Garamond"/>
          <w:sz w:val="24"/>
          <w:lang w:val="en-GB"/>
        </w:rPr>
      </w:pPr>
      <w:proofErr w:type="spellStart"/>
      <w:r w:rsidRPr="006771BA">
        <w:rPr>
          <w:rFonts w:ascii="Garamond" w:hAnsi="Garamond"/>
          <w:sz w:val="24"/>
          <w:lang w:val="en-GB"/>
        </w:rPr>
        <w:t>WSBI-ESBG</w:t>
      </w:r>
      <w:proofErr w:type="spellEnd"/>
      <w:r w:rsidR="00E626F8" w:rsidRPr="006771BA">
        <w:rPr>
          <w:rFonts w:ascii="Garamond" w:hAnsi="Garamond"/>
          <w:sz w:val="24"/>
          <w:lang w:val="en-GB"/>
        </w:rPr>
        <w:t xml:space="preserve"> members are typically savings and retail banks or associations thereof. They are often organised in decentralised networks and offer their services throughout their region. </w:t>
      </w:r>
      <w:proofErr w:type="spellStart"/>
      <w:r w:rsidRPr="006771BA">
        <w:rPr>
          <w:rFonts w:ascii="Garamond" w:hAnsi="Garamond"/>
          <w:sz w:val="24"/>
          <w:lang w:val="en-GB"/>
        </w:rPr>
        <w:t>WSBI-ESBG</w:t>
      </w:r>
      <w:proofErr w:type="spellEnd"/>
      <w:r w:rsidR="00E626F8" w:rsidRPr="006771BA">
        <w:rPr>
          <w:rFonts w:ascii="Garamond" w:hAnsi="Garamond"/>
          <w:sz w:val="24"/>
          <w:lang w:val="en-GB"/>
        </w:rPr>
        <w:t xml:space="preserve"> member banks have reinvested responsibly in their region for many decades and are a distinct benchmark for corporate social responsibility activities throughout Europe and the world.</w:t>
      </w:r>
    </w:p>
    <w:p w:rsidR="00E626F8" w:rsidRPr="006771BA" w:rsidRDefault="00E626F8" w:rsidP="00E626F8">
      <w:pPr>
        <w:pStyle w:val="BodyText"/>
        <w:spacing w:after="200"/>
        <w:rPr>
          <w:rFonts w:ascii="Garamond" w:hAnsi="Garamond"/>
          <w:sz w:val="24"/>
          <w:lang w:val="en-GB"/>
        </w:rPr>
      </w:pPr>
    </w:p>
    <w:p w:rsidR="00E626F8" w:rsidRPr="006771BA" w:rsidRDefault="00E626F8" w:rsidP="00E626F8">
      <w:pPr>
        <w:pStyle w:val="BodyText"/>
        <w:spacing w:after="200"/>
        <w:rPr>
          <w:rFonts w:ascii="Garamond" w:hAnsi="Garamond"/>
          <w:sz w:val="24"/>
          <w:lang w:val="en-GB"/>
        </w:rPr>
      </w:pPr>
    </w:p>
    <w:p w:rsidR="00F82C61" w:rsidRPr="006771BA" w:rsidRDefault="001B7A8A" w:rsidP="000B19A6">
      <w:pPr>
        <w:jc w:val="both"/>
        <w:rPr>
          <w:rFonts w:ascii="Garamond" w:hAnsi="Garamond"/>
          <w:sz w:val="24"/>
          <w:szCs w:val="24"/>
          <w:lang w:val="en-GB" w:eastAsia="de-DE"/>
        </w:rPr>
      </w:pPr>
      <w:r w:rsidRPr="006771BA">
        <w:rPr>
          <w:rFonts w:ascii="Garamond" w:hAnsi="Garamond"/>
          <w:noProof/>
          <w:sz w:val="24"/>
          <w:szCs w:val="24"/>
          <w:lang w:val="fr-BE" w:eastAsia="fr-BE"/>
        </w:rPr>
        <w:drawing>
          <wp:inline distT="0" distB="0" distL="0" distR="0" wp14:anchorId="28692A07" wp14:editId="657E1353">
            <wp:extent cx="914400" cy="621030"/>
            <wp:effectExtent l="19050" t="0" r="0" b="0"/>
            <wp:docPr id="2" name="Picture 2" descr="ESBG-quadri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BG-quadri-SMAL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61" w:rsidRPr="006771BA" w:rsidRDefault="00C201A8" w:rsidP="000B19A6">
      <w:pPr>
        <w:jc w:val="both"/>
        <w:rPr>
          <w:rFonts w:ascii="Garamond" w:hAnsi="Garamond"/>
          <w:sz w:val="24"/>
          <w:szCs w:val="24"/>
          <w:lang w:val="en-GB" w:eastAsia="de-DE"/>
        </w:rPr>
      </w:pPr>
      <w:proofErr w:type="spellStart"/>
      <w:r w:rsidRPr="006771BA">
        <w:rPr>
          <w:rFonts w:ascii="Garamond" w:hAnsi="Garamond"/>
          <w:color w:val="000000"/>
          <w:sz w:val="24"/>
          <w:szCs w:val="24"/>
          <w:lang w:val="en-GB" w:eastAsia="de-DE"/>
        </w:rPr>
        <w:t>WSBI-ESBG</w:t>
      </w:r>
      <w:proofErr w:type="spellEnd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 xml:space="preserve"> - Association </w:t>
      </w:r>
      <w:proofErr w:type="spellStart"/>
      <w:proofErr w:type="gramStart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internationale</w:t>
      </w:r>
      <w:proofErr w:type="spellEnd"/>
      <w:proofErr w:type="gramEnd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 xml:space="preserve"> sans but </w:t>
      </w:r>
      <w:proofErr w:type="spellStart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lucratif</w:t>
      </w:r>
      <w:proofErr w:type="spellEnd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/</w:t>
      </w:r>
      <w:proofErr w:type="spellStart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Internationale</w:t>
      </w:r>
      <w:proofErr w:type="spellEnd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 xml:space="preserve"> </w:t>
      </w:r>
      <w:proofErr w:type="spellStart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vereniging</w:t>
      </w:r>
      <w:proofErr w:type="spellEnd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 xml:space="preserve"> </w:t>
      </w:r>
      <w:proofErr w:type="spellStart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zonder</w:t>
      </w:r>
      <w:proofErr w:type="spellEnd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 xml:space="preserve"> </w:t>
      </w:r>
      <w:proofErr w:type="spellStart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instoogmerk</w:t>
      </w:r>
      <w:proofErr w:type="spellEnd"/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t>/</w:t>
      </w:r>
      <w:r w:rsidR="00F82C61" w:rsidRPr="006771BA">
        <w:rPr>
          <w:rFonts w:ascii="Garamond" w:hAnsi="Garamond"/>
          <w:color w:val="000000"/>
          <w:sz w:val="24"/>
          <w:szCs w:val="24"/>
          <w:lang w:val="en-GB" w:eastAsia="de-DE"/>
        </w:rPr>
        <w:br/>
        <w:t>International not-for-profit association</w:t>
      </w:r>
    </w:p>
    <w:p w:rsidR="00F82C61" w:rsidRPr="006771BA" w:rsidRDefault="00F82C61" w:rsidP="000B19A6">
      <w:pPr>
        <w:jc w:val="both"/>
        <w:rPr>
          <w:rFonts w:ascii="Garamond" w:hAnsi="Garamond"/>
          <w:sz w:val="24"/>
          <w:szCs w:val="24"/>
          <w:lang w:val="en-GB" w:eastAsia="de-DE"/>
        </w:rPr>
      </w:pPr>
      <w:r w:rsidRPr="006771BA">
        <w:rPr>
          <w:rFonts w:ascii="Garamond" w:hAnsi="Garamond"/>
          <w:sz w:val="24"/>
          <w:szCs w:val="24"/>
          <w:lang w:val="en-GB" w:eastAsia="de-DE"/>
        </w:rPr>
        <w:t>Rue Marie-</w:t>
      </w:r>
      <w:proofErr w:type="spellStart"/>
      <w:r w:rsidRPr="006771BA">
        <w:rPr>
          <w:rFonts w:ascii="Garamond" w:hAnsi="Garamond"/>
          <w:sz w:val="24"/>
          <w:szCs w:val="24"/>
          <w:lang w:val="en-GB" w:eastAsia="de-DE"/>
        </w:rPr>
        <w:t>Thérèse</w:t>
      </w:r>
      <w:proofErr w:type="spellEnd"/>
      <w:r w:rsidRPr="006771BA">
        <w:rPr>
          <w:rFonts w:ascii="Garamond" w:hAnsi="Garamond"/>
          <w:sz w:val="24"/>
          <w:szCs w:val="24"/>
          <w:lang w:val="en-GB" w:eastAsia="de-DE"/>
        </w:rPr>
        <w:t xml:space="preserve">, 11 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>￭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 xml:space="preserve"> </w:t>
      </w:r>
      <w:r w:rsidRPr="006771BA">
        <w:rPr>
          <w:rFonts w:ascii="Garamond" w:hAnsi="Garamond"/>
          <w:sz w:val="24"/>
          <w:szCs w:val="24"/>
          <w:lang w:val="en-GB" w:eastAsia="de-DE"/>
        </w:rPr>
        <w:t xml:space="preserve">B-1000 Brussels 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>￭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 xml:space="preserve"> </w:t>
      </w:r>
      <w:r w:rsidRPr="006771BA">
        <w:rPr>
          <w:rFonts w:ascii="Garamond" w:hAnsi="Garamond"/>
          <w:sz w:val="24"/>
          <w:szCs w:val="24"/>
          <w:lang w:val="en-GB" w:eastAsia="de-DE"/>
        </w:rPr>
        <w:t xml:space="preserve">Tel: +32 2 211 11 11 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>￭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 xml:space="preserve"> </w:t>
      </w:r>
      <w:r w:rsidRPr="006771BA">
        <w:rPr>
          <w:rFonts w:ascii="Garamond" w:hAnsi="Garamond"/>
          <w:sz w:val="24"/>
          <w:szCs w:val="24"/>
          <w:lang w:val="en-GB" w:eastAsia="de-DE"/>
        </w:rPr>
        <w:t xml:space="preserve">Fax: +32 2 211 11 99 info@savings-banks.eu 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>￭</w:t>
      </w:r>
      <w:r w:rsidRPr="006771BA">
        <w:rPr>
          <w:rFonts w:ascii="Garamond" w:eastAsia="MS Mincho" w:hAnsi="Garamond"/>
          <w:color w:val="004483"/>
          <w:sz w:val="24"/>
          <w:szCs w:val="24"/>
          <w:lang w:val="en-GB" w:eastAsia="de-DE"/>
        </w:rPr>
        <w:t xml:space="preserve"> </w:t>
      </w:r>
      <w:r w:rsidRPr="006771BA">
        <w:rPr>
          <w:rFonts w:ascii="Garamond" w:hAnsi="Garamond"/>
          <w:sz w:val="24"/>
          <w:szCs w:val="24"/>
          <w:lang w:val="en-GB" w:eastAsia="de-DE"/>
        </w:rPr>
        <w:t>www.savings-banks.eu</w:t>
      </w:r>
    </w:p>
    <w:p w:rsidR="00DD61B0" w:rsidRPr="006771BA" w:rsidRDefault="00F82C61" w:rsidP="008C1F73">
      <w:pPr>
        <w:jc w:val="both"/>
        <w:outlineLvl w:val="0"/>
        <w:rPr>
          <w:rFonts w:ascii="Garamond" w:hAnsi="Garamond"/>
          <w:lang w:val="en-GB"/>
        </w:rPr>
      </w:pPr>
      <w:r w:rsidRPr="006771BA">
        <w:rPr>
          <w:rFonts w:ascii="Garamond" w:hAnsi="Garamond"/>
          <w:sz w:val="24"/>
          <w:szCs w:val="24"/>
          <w:lang w:val="en-GB" w:eastAsia="de-DE"/>
        </w:rPr>
        <w:t xml:space="preserve">Published by the </w:t>
      </w:r>
      <w:proofErr w:type="spellStart"/>
      <w:r w:rsidR="00C201A8" w:rsidRPr="006771BA">
        <w:rPr>
          <w:rFonts w:ascii="Garamond" w:hAnsi="Garamond"/>
          <w:sz w:val="24"/>
          <w:szCs w:val="24"/>
          <w:lang w:val="en-GB" w:eastAsia="de-DE"/>
        </w:rPr>
        <w:t>WSBI-ESBG</w:t>
      </w:r>
      <w:proofErr w:type="spellEnd"/>
      <w:r w:rsidRPr="006771BA">
        <w:rPr>
          <w:rFonts w:ascii="Garamond" w:hAnsi="Garamond"/>
          <w:sz w:val="24"/>
          <w:szCs w:val="24"/>
          <w:lang w:val="en-GB" w:eastAsia="de-DE"/>
        </w:rPr>
        <w:t xml:space="preserve">, </w:t>
      </w:r>
      <w:r w:rsidR="00635064" w:rsidRPr="006771BA">
        <w:rPr>
          <w:rFonts w:ascii="Garamond" w:hAnsi="Garamond"/>
          <w:sz w:val="24"/>
          <w:szCs w:val="24"/>
          <w:lang w:val="en-GB" w:eastAsia="de-DE"/>
        </w:rPr>
        <w:t>August</w:t>
      </w:r>
      <w:r w:rsidR="000D1B70" w:rsidRPr="006771BA">
        <w:rPr>
          <w:rFonts w:ascii="Garamond" w:hAnsi="Garamond"/>
          <w:sz w:val="24"/>
          <w:szCs w:val="24"/>
          <w:lang w:val="en-GB" w:eastAsia="de-DE"/>
        </w:rPr>
        <w:t xml:space="preserve"> </w:t>
      </w:r>
      <w:r w:rsidRPr="006771BA">
        <w:rPr>
          <w:rFonts w:ascii="Garamond" w:hAnsi="Garamond"/>
          <w:sz w:val="24"/>
          <w:szCs w:val="24"/>
          <w:lang w:val="en-GB" w:eastAsia="de-DE"/>
        </w:rPr>
        <w:t>201</w:t>
      </w:r>
      <w:r w:rsidR="00552617" w:rsidRPr="006771BA">
        <w:rPr>
          <w:rFonts w:ascii="Garamond" w:hAnsi="Garamond"/>
          <w:sz w:val="24"/>
          <w:szCs w:val="24"/>
          <w:lang w:val="en-GB" w:eastAsia="de-DE"/>
        </w:rPr>
        <w:t>2</w:t>
      </w:r>
    </w:p>
    <w:p w:rsidR="00DD61B0" w:rsidRPr="006771BA" w:rsidRDefault="00DD61B0" w:rsidP="000B19A6">
      <w:pPr>
        <w:jc w:val="both"/>
        <w:rPr>
          <w:rFonts w:ascii="Garamond" w:hAnsi="Garamond" w:cs="Garamond"/>
          <w:sz w:val="24"/>
          <w:szCs w:val="24"/>
          <w:lang w:val="en-GB"/>
        </w:rPr>
      </w:pPr>
    </w:p>
    <w:sectPr w:rsidR="00DD61B0" w:rsidRPr="006771BA" w:rsidSect="00867839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30" w:rsidRDefault="008E6B30" w:rsidP="00347091">
      <w:pPr>
        <w:spacing w:after="0" w:line="240" w:lineRule="auto"/>
      </w:pPr>
      <w:r>
        <w:separator/>
      </w:r>
    </w:p>
  </w:endnote>
  <w:endnote w:type="continuationSeparator" w:id="0">
    <w:p w:rsidR="008E6B30" w:rsidRDefault="008E6B30" w:rsidP="0034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9" w:rsidRPr="00261E7D" w:rsidRDefault="00965F49">
    <w:pPr>
      <w:pStyle w:val="Footer"/>
      <w:jc w:val="right"/>
      <w:rPr>
        <w:rFonts w:ascii="Garamond" w:hAnsi="Garamond"/>
        <w:sz w:val="24"/>
        <w:szCs w:val="24"/>
      </w:rPr>
    </w:pPr>
    <w:r w:rsidRPr="00261E7D">
      <w:rPr>
        <w:rFonts w:ascii="Garamond" w:hAnsi="Garamond"/>
        <w:sz w:val="24"/>
        <w:szCs w:val="24"/>
      </w:rPr>
      <w:fldChar w:fldCharType="begin"/>
    </w:r>
    <w:r w:rsidRPr="00261E7D">
      <w:rPr>
        <w:rFonts w:ascii="Garamond" w:hAnsi="Garamond"/>
        <w:sz w:val="24"/>
        <w:szCs w:val="24"/>
      </w:rPr>
      <w:instrText xml:space="preserve"> PAGE   \* MERGEFORMAT </w:instrText>
    </w:r>
    <w:r w:rsidRPr="00261E7D">
      <w:rPr>
        <w:rFonts w:ascii="Garamond" w:hAnsi="Garamond"/>
        <w:sz w:val="24"/>
        <w:szCs w:val="24"/>
      </w:rPr>
      <w:fldChar w:fldCharType="separate"/>
    </w:r>
    <w:r w:rsidR="00D2099E">
      <w:rPr>
        <w:rFonts w:ascii="Garamond" w:hAnsi="Garamond"/>
        <w:noProof/>
        <w:sz w:val="24"/>
        <w:szCs w:val="24"/>
      </w:rPr>
      <w:t>2</w:t>
    </w:r>
    <w:r w:rsidRPr="00261E7D">
      <w:rPr>
        <w:rFonts w:ascii="Garamond" w:hAnsi="Garamond"/>
        <w:sz w:val="24"/>
        <w:szCs w:val="24"/>
      </w:rPr>
      <w:fldChar w:fldCharType="end"/>
    </w:r>
  </w:p>
  <w:p w:rsidR="00965F49" w:rsidRDefault="00965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9" w:rsidRDefault="00965F49">
    <w:pPr>
      <w:pStyle w:val="Footer"/>
    </w:pPr>
  </w:p>
  <w:p w:rsidR="00965F49" w:rsidRDefault="00965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30" w:rsidRDefault="008E6B30" w:rsidP="00347091">
      <w:pPr>
        <w:spacing w:after="0" w:line="240" w:lineRule="auto"/>
      </w:pPr>
      <w:r>
        <w:separator/>
      </w:r>
    </w:p>
  </w:footnote>
  <w:footnote w:type="continuationSeparator" w:id="0">
    <w:p w:rsidR="008E6B30" w:rsidRDefault="008E6B30" w:rsidP="0034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9" w:rsidRDefault="00965F49" w:rsidP="00B934A0">
    <w:pPr>
      <w:pStyle w:val="Header"/>
      <w:jc w:val="center"/>
    </w:pPr>
    <w:r>
      <w:rPr>
        <w:rFonts w:ascii="Garamond" w:hAnsi="Garamond" w:cs="Garamond"/>
        <w:noProof/>
        <w:sz w:val="24"/>
        <w:szCs w:val="24"/>
        <w:lang w:val="fr-BE" w:eastAsia="fr-BE"/>
      </w:rPr>
      <w:drawing>
        <wp:inline distT="0" distB="0" distL="0" distR="0" wp14:anchorId="07D9238A" wp14:editId="30350F65">
          <wp:extent cx="716280" cy="267335"/>
          <wp:effectExtent l="19050" t="0" r="7620" b="0"/>
          <wp:docPr id="3" name="Picture 1" descr="esbgkleinzonderletters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bgkleinzonderletters2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BE6"/>
    <w:multiLevelType w:val="hybridMultilevel"/>
    <w:tmpl w:val="B53661F8"/>
    <w:lvl w:ilvl="0" w:tplc="F9D6363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93E57"/>
    <w:multiLevelType w:val="hybridMultilevel"/>
    <w:tmpl w:val="B23C3112"/>
    <w:lvl w:ilvl="0" w:tplc="EE34BEE4">
      <w:numFmt w:val="bullet"/>
      <w:lvlText w:val="•"/>
      <w:lvlJc w:val="left"/>
      <w:pPr>
        <w:ind w:left="1080" w:hanging="72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066B"/>
    <w:multiLevelType w:val="hybridMultilevel"/>
    <w:tmpl w:val="D30270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09DF"/>
    <w:multiLevelType w:val="hybridMultilevel"/>
    <w:tmpl w:val="ABF2D798"/>
    <w:lvl w:ilvl="0" w:tplc="F9D6363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12B"/>
    <w:multiLevelType w:val="hybridMultilevel"/>
    <w:tmpl w:val="283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98501D"/>
    <w:multiLevelType w:val="hybridMultilevel"/>
    <w:tmpl w:val="AAA61078"/>
    <w:lvl w:ilvl="0" w:tplc="F9D6363A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63407BE"/>
    <w:multiLevelType w:val="hybridMultilevel"/>
    <w:tmpl w:val="64F0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B73D3"/>
    <w:multiLevelType w:val="hybridMultilevel"/>
    <w:tmpl w:val="61E88170"/>
    <w:lvl w:ilvl="0" w:tplc="DE96B828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52E1"/>
    <w:multiLevelType w:val="hybridMultilevel"/>
    <w:tmpl w:val="8F6C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8700F4"/>
    <w:multiLevelType w:val="hybridMultilevel"/>
    <w:tmpl w:val="66FA08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77D54"/>
    <w:multiLevelType w:val="hybridMultilevel"/>
    <w:tmpl w:val="CB9CA4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527B2"/>
    <w:multiLevelType w:val="hybridMultilevel"/>
    <w:tmpl w:val="20D4E080"/>
    <w:lvl w:ilvl="0" w:tplc="F9D6363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E44FC"/>
    <w:multiLevelType w:val="hybridMultilevel"/>
    <w:tmpl w:val="84844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F79A8"/>
    <w:multiLevelType w:val="hybridMultilevel"/>
    <w:tmpl w:val="4E3CC712"/>
    <w:lvl w:ilvl="0" w:tplc="83DE8366">
      <w:numFmt w:val="bullet"/>
      <w:lvlText w:val="•"/>
      <w:lvlJc w:val="left"/>
      <w:pPr>
        <w:ind w:left="1080" w:hanging="72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A6240"/>
    <w:multiLevelType w:val="hybridMultilevel"/>
    <w:tmpl w:val="DC5EB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71D36"/>
    <w:multiLevelType w:val="multilevel"/>
    <w:tmpl w:val="B5B4602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EC92BAE"/>
    <w:multiLevelType w:val="hybridMultilevel"/>
    <w:tmpl w:val="179AE46A"/>
    <w:lvl w:ilvl="0" w:tplc="AE36F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A5D15"/>
    <w:multiLevelType w:val="hybridMultilevel"/>
    <w:tmpl w:val="77685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06B88"/>
    <w:multiLevelType w:val="hybridMultilevel"/>
    <w:tmpl w:val="320078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D0AFF"/>
    <w:multiLevelType w:val="hybridMultilevel"/>
    <w:tmpl w:val="79A04AD4"/>
    <w:lvl w:ilvl="0" w:tplc="5394A99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164E8"/>
    <w:multiLevelType w:val="hybridMultilevel"/>
    <w:tmpl w:val="DCF0A2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BD462F"/>
    <w:multiLevelType w:val="hybridMultilevel"/>
    <w:tmpl w:val="5CFA5200"/>
    <w:lvl w:ilvl="0" w:tplc="F9D6363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16703"/>
    <w:multiLevelType w:val="hybridMultilevel"/>
    <w:tmpl w:val="5E6E0E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43265"/>
    <w:multiLevelType w:val="hybridMultilevel"/>
    <w:tmpl w:val="23003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51E95"/>
    <w:multiLevelType w:val="hybridMultilevel"/>
    <w:tmpl w:val="C3E0FE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D60A4"/>
    <w:multiLevelType w:val="hybridMultilevel"/>
    <w:tmpl w:val="628AA81A"/>
    <w:lvl w:ilvl="0" w:tplc="E2C42BFA">
      <w:numFmt w:val="bullet"/>
      <w:lvlText w:val="•"/>
      <w:lvlJc w:val="left"/>
      <w:pPr>
        <w:ind w:left="1080" w:hanging="72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1F5FBB"/>
    <w:multiLevelType w:val="hybridMultilevel"/>
    <w:tmpl w:val="9A22AD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B7E04"/>
    <w:multiLevelType w:val="hybridMultilevel"/>
    <w:tmpl w:val="CA4A02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5"/>
  </w:num>
  <w:num w:numId="5">
    <w:abstractNumId w:val="24"/>
  </w:num>
  <w:num w:numId="6">
    <w:abstractNumId w:val="12"/>
  </w:num>
  <w:num w:numId="7">
    <w:abstractNumId w:val="1"/>
  </w:num>
  <w:num w:numId="8">
    <w:abstractNumId w:val="14"/>
  </w:num>
  <w:num w:numId="9">
    <w:abstractNumId w:val="25"/>
  </w:num>
  <w:num w:numId="10">
    <w:abstractNumId w:val="23"/>
  </w:num>
  <w:num w:numId="11">
    <w:abstractNumId w:val="13"/>
  </w:num>
  <w:num w:numId="12">
    <w:abstractNumId w:val="6"/>
  </w:num>
  <w:num w:numId="13">
    <w:abstractNumId w:val="20"/>
  </w:num>
  <w:num w:numId="14">
    <w:abstractNumId w:val="9"/>
  </w:num>
  <w:num w:numId="15">
    <w:abstractNumId w:val="27"/>
  </w:num>
  <w:num w:numId="16">
    <w:abstractNumId w:val="17"/>
  </w:num>
  <w:num w:numId="17">
    <w:abstractNumId w:val="26"/>
  </w:num>
  <w:num w:numId="18">
    <w:abstractNumId w:val="3"/>
  </w:num>
  <w:num w:numId="19">
    <w:abstractNumId w:val="21"/>
  </w:num>
  <w:num w:numId="20">
    <w:abstractNumId w:val="11"/>
  </w:num>
  <w:num w:numId="21">
    <w:abstractNumId w:val="16"/>
  </w:num>
  <w:num w:numId="22">
    <w:abstractNumId w:val="0"/>
  </w:num>
  <w:num w:numId="23">
    <w:abstractNumId w:val="2"/>
  </w:num>
  <w:num w:numId="24">
    <w:abstractNumId w:val="10"/>
  </w:num>
  <w:num w:numId="25">
    <w:abstractNumId w:val="19"/>
  </w:num>
  <w:num w:numId="26">
    <w:abstractNumId w:val="18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revisionView w:markup="0"/>
  <w:trackRevision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95"/>
    <w:rsid w:val="00000E32"/>
    <w:rsid w:val="00002256"/>
    <w:rsid w:val="00014C76"/>
    <w:rsid w:val="00015B67"/>
    <w:rsid w:val="00017BE0"/>
    <w:rsid w:val="00017E8B"/>
    <w:rsid w:val="00021662"/>
    <w:rsid w:val="00023205"/>
    <w:rsid w:val="000311B3"/>
    <w:rsid w:val="0003231E"/>
    <w:rsid w:val="00037D52"/>
    <w:rsid w:val="00041D44"/>
    <w:rsid w:val="00047A84"/>
    <w:rsid w:val="00061048"/>
    <w:rsid w:val="0006459E"/>
    <w:rsid w:val="000723A2"/>
    <w:rsid w:val="000724F9"/>
    <w:rsid w:val="00072ECB"/>
    <w:rsid w:val="00073D7E"/>
    <w:rsid w:val="0007499D"/>
    <w:rsid w:val="000762DC"/>
    <w:rsid w:val="00082915"/>
    <w:rsid w:val="000854FF"/>
    <w:rsid w:val="00086831"/>
    <w:rsid w:val="00086BCA"/>
    <w:rsid w:val="000975EF"/>
    <w:rsid w:val="000A5F05"/>
    <w:rsid w:val="000B1442"/>
    <w:rsid w:val="000B19A6"/>
    <w:rsid w:val="000B1B95"/>
    <w:rsid w:val="000B3D48"/>
    <w:rsid w:val="000B600C"/>
    <w:rsid w:val="000C2808"/>
    <w:rsid w:val="000C459C"/>
    <w:rsid w:val="000C4B37"/>
    <w:rsid w:val="000C55E8"/>
    <w:rsid w:val="000D17E5"/>
    <w:rsid w:val="000D190E"/>
    <w:rsid w:val="000D1B70"/>
    <w:rsid w:val="000D31A8"/>
    <w:rsid w:val="000D5769"/>
    <w:rsid w:val="000E08B4"/>
    <w:rsid w:val="000E4F8B"/>
    <w:rsid w:val="000E51E2"/>
    <w:rsid w:val="000F56D9"/>
    <w:rsid w:val="00101F3E"/>
    <w:rsid w:val="00106187"/>
    <w:rsid w:val="00110722"/>
    <w:rsid w:val="00125029"/>
    <w:rsid w:val="00130027"/>
    <w:rsid w:val="00140290"/>
    <w:rsid w:val="00154695"/>
    <w:rsid w:val="001604E3"/>
    <w:rsid w:val="001637BC"/>
    <w:rsid w:val="00167EA9"/>
    <w:rsid w:val="00176D55"/>
    <w:rsid w:val="00196087"/>
    <w:rsid w:val="001A615A"/>
    <w:rsid w:val="001A7B58"/>
    <w:rsid w:val="001B5677"/>
    <w:rsid w:val="001B5768"/>
    <w:rsid w:val="001B7743"/>
    <w:rsid w:val="001B7A8A"/>
    <w:rsid w:val="001C2F0D"/>
    <w:rsid w:val="001C5B11"/>
    <w:rsid w:val="001C6AA7"/>
    <w:rsid w:val="001C6B28"/>
    <w:rsid w:val="001C769B"/>
    <w:rsid w:val="001D0BE6"/>
    <w:rsid w:val="001D174E"/>
    <w:rsid w:val="001D20A1"/>
    <w:rsid w:val="001D2161"/>
    <w:rsid w:val="001E0A96"/>
    <w:rsid w:val="001F0EDF"/>
    <w:rsid w:val="001F4FA6"/>
    <w:rsid w:val="00201960"/>
    <w:rsid w:val="0020206F"/>
    <w:rsid w:val="00210E55"/>
    <w:rsid w:val="00213DE2"/>
    <w:rsid w:val="00216D15"/>
    <w:rsid w:val="0022486B"/>
    <w:rsid w:val="0024061D"/>
    <w:rsid w:val="00242C71"/>
    <w:rsid w:val="002561D5"/>
    <w:rsid w:val="00261E7D"/>
    <w:rsid w:val="0026216A"/>
    <w:rsid w:val="0026716B"/>
    <w:rsid w:val="00267421"/>
    <w:rsid w:val="002678DB"/>
    <w:rsid w:val="00267F06"/>
    <w:rsid w:val="00275C86"/>
    <w:rsid w:val="002761F1"/>
    <w:rsid w:val="00283B86"/>
    <w:rsid w:val="002848F8"/>
    <w:rsid w:val="00291D8D"/>
    <w:rsid w:val="002A047C"/>
    <w:rsid w:val="002A0939"/>
    <w:rsid w:val="002A4925"/>
    <w:rsid w:val="002A68F0"/>
    <w:rsid w:val="002A7CA0"/>
    <w:rsid w:val="002B1331"/>
    <w:rsid w:val="002B3E6B"/>
    <w:rsid w:val="002B508C"/>
    <w:rsid w:val="002C1A33"/>
    <w:rsid w:val="002C1DBA"/>
    <w:rsid w:val="002C4F23"/>
    <w:rsid w:val="002C7794"/>
    <w:rsid w:val="002D02CA"/>
    <w:rsid w:val="002D1EAC"/>
    <w:rsid w:val="002D33F8"/>
    <w:rsid w:val="002D5EFD"/>
    <w:rsid w:val="002D63D9"/>
    <w:rsid w:val="002D7193"/>
    <w:rsid w:val="002F0B11"/>
    <w:rsid w:val="003006BE"/>
    <w:rsid w:val="003040BB"/>
    <w:rsid w:val="00305470"/>
    <w:rsid w:val="00307BA6"/>
    <w:rsid w:val="00312B8E"/>
    <w:rsid w:val="00317303"/>
    <w:rsid w:val="003303F2"/>
    <w:rsid w:val="0033057F"/>
    <w:rsid w:val="003312D4"/>
    <w:rsid w:val="00331BA4"/>
    <w:rsid w:val="003342DD"/>
    <w:rsid w:val="00337C8E"/>
    <w:rsid w:val="00344617"/>
    <w:rsid w:val="00347091"/>
    <w:rsid w:val="00353A83"/>
    <w:rsid w:val="003557CF"/>
    <w:rsid w:val="00361E15"/>
    <w:rsid w:val="003621B7"/>
    <w:rsid w:val="00362207"/>
    <w:rsid w:val="00362D3C"/>
    <w:rsid w:val="00367201"/>
    <w:rsid w:val="00367C87"/>
    <w:rsid w:val="00371BFE"/>
    <w:rsid w:val="00377FFA"/>
    <w:rsid w:val="003802C2"/>
    <w:rsid w:val="00380616"/>
    <w:rsid w:val="003811C1"/>
    <w:rsid w:val="00381E78"/>
    <w:rsid w:val="0038368D"/>
    <w:rsid w:val="00383B5F"/>
    <w:rsid w:val="0038456F"/>
    <w:rsid w:val="003851AE"/>
    <w:rsid w:val="00385C36"/>
    <w:rsid w:val="00386223"/>
    <w:rsid w:val="003876EE"/>
    <w:rsid w:val="003937B4"/>
    <w:rsid w:val="003A677F"/>
    <w:rsid w:val="003B063F"/>
    <w:rsid w:val="003B1F45"/>
    <w:rsid w:val="003B2F42"/>
    <w:rsid w:val="003B4B2B"/>
    <w:rsid w:val="003B54BE"/>
    <w:rsid w:val="003B55AC"/>
    <w:rsid w:val="003B5BE6"/>
    <w:rsid w:val="003B795C"/>
    <w:rsid w:val="003C006D"/>
    <w:rsid w:val="003C773C"/>
    <w:rsid w:val="003D35F5"/>
    <w:rsid w:val="003E046F"/>
    <w:rsid w:val="003E6F8A"/>
    <w:rsid w:val="003F1DB9"/>
    <w:rsid w:val="003F3763"/>
    <w:rsid w:val="003F7047"/>
    <w:rsid w:val="00406F51"/>
    <w:rsid w:val="0040762B"/>
    <w:rsid w:val="004078EE"/>
    <w:rsid w:val="004104FF"/>
    <w:rsid w:val="00411164"/>
    <w:rsid w:val="004127F7"/>
    <w:rsid w:val="00413D47"/>
    <w:rsid w:val="00414707"/>
    <w:rsid w:val="00422982"/>
    <w:rsid w:val="0042356D"/>
    <w:rsid w:val="004238E9"/>
    <w:rsid w:val="00427A70"/>
    <w:rsid w:val="00431785"/>
    <w:rsid w:val="00433559"/>
    <w:rsid w:val="00434D70"/>
    <w:rsid w:val="00436ECC"/>
    <w:rsid w:val="00442CA2"/>
    <w:rsid w:val="00457CDE"/>
    <w:rsid w:val="00460A37"/>
    <w:rsid w:val="004611BF"/>
    <w:rsid w:val="00473D82"/>
    <w:rsid w:val="00476E9A"/>
    <w:rsid w:val="00481DBC"/>
    <w:rsid w:val="00482C65"/>
    <w:rsid w:val="004A0A52"/>
    <w:rsid w:val="004A6872"/>
    <w:rsid w:val="004B0311"/>
    <w:rsid w:val="004B1A74"/>
    <w:rsid w:val="004C2A26"/>
    <w:rsid w:val="004C2C04"/>
    <w:rsid w:val="004C321F"/>
    <w:rsid w:val="004C345F"/>
    <w:rsid w:val="004C5994"/>
    <w:rsid w:val="004C6431"/>
    <w:rsid w:val="004D167E"/>
    <w:rsid w:val="004D2C6E"/>
    <w:rsid w:val="004D31D4"/>
    <w:rsid w:val="004D3EC0"/>
    <w:rsid w:val="004D4795"/>
    <w:rsid w:val="004E0FF9"/>
    <w:rsid w:val="005000D6"/>
    <w:rsid w:val="00501FCB"/>
    <w:rsid w:val="00502B11"/>
    <w:rsid w:val="00504933"/>
    <w:rsid w:val="00505750"/>
    <w:rsid w:val="0051110C"/>
    <w:rsid w:val="005117F0"/>
    <w:rsid w:val="00514439"/>
    <w:rsid w:val="00521A33"/>
    <w:rsid w:val="00534E63"/>
    <w:rsid w:val="0053651D"/>
    <w:rsid w:val="0054394E"/>
    <w:rsid w:val="00543CF9"/>
    <w:rsid w:val="00546224"/>
    <w:rsid w:val="00547788"/>
    <w:rsid w:val="00552617"/>
    <w:rsid w:val="00555E77"/>
    <w:rsid w:val="0056150C"/>
    <w:rsid w:val="00564922"/>
    <w:rsid w:val="00564ED0"/>
    <w:rsid w:val="00567283"/>
    <w:rsid w:val="0057395C"/>
    <w:rsid w:val="0058096A"/>
    <w:rsid w:val="005856A1"/>
    <w:rsid w:val="00595726"/>
    <w:rsid w:val="005A02D4"/>
    <w:rsid w:val="005A170F"/>
    <w:rsid w:val="005A5154"/>
    <w:rsid w:val="005A5CC1"/>
    <w:rsid w:val="005A5F2C"/>
    <w:rsid w:val="005C1BD7"/>
    <w:rsid w:val="005C3080"/>
    <w:rsid w:val="005C4FD3"/>
    <w:rsid w:val="005C5C02"/>
    <w:rsid w:val="005D07A5"/>
    <w:rsid w:val="005E6AEE"/>
    <w:rsid w:val="0060027E"/>
    <w:rsid w:val="00600DDE"/>
    <w:rsid w:val="00605ECD"/>
    <w:rsid w:val="006153B5"/>
    <w:rsid w:val="00615612"/>
    <w:rsid w:val="0062031D"/>
    <w:rsid w:val="00621203"/>
    <w:rsid w:val="006222DF"/>
    <w:rsid w:val="006227F1"/>
    <w:rsid w:val="00622956"/>
    <w:rsid w:val="00623291"/>
    <w:rsid w:val="00626D4C"/>
    <w:rsid w:val="00627367"/>
    <w:rsid w:val="00635064"/>
    <w:rsid w:val="00635F9D"/>
    <w:rsid w:val="006432D1"/>
    <w:rsid w:val="006473AA"/>
    <w:rsid w:val="00654C1E"/>
    <w:rsid w:val="006569F2"/>
    <w:rsid w:val="0066184C"/>
    <w:rsid w:val="00661BCF"/>
    <w:rsid w:val="0066267A"/>
    <w:rsid w:val="00673813"/>
    <w:rsid w:val="006739F9"/>
    <w:rsid w:val="00674DA8"/>
    <w:rsid w:val="006771BA"/>
    <w:rsid w:val="006813F7"/>
    <w:rsid w:val="00684C55"/>
    <w:rsid w:val="00686286"/>
    <w:rsid w:val="00686D0A"/>
    <w:rsid w:val="00691008"/>
    <w:rsid w:val="00692CE0"/>
    <w:rsid w:val="00693246"/>
    <w:rsid w:val="00693E9E"/>
    <w:rsid w:val="0069552A"/>
    <w:rsid w:val="00695957"/>
    <w:rsid w:val="00695F23"/>
    <w:rsid w:val="00696A05"/>
    <w:rsid w:val="006A2AC3"/>
    <w:rsid w:val="006A49B0"/>
    <w:rsid w:val="006A67D4"/>
    <w:rsid w:val="006B24DF"/>
    <w:rsid w:val="006B277D"/>
    <w:rsid w:val="006B4F03"/>
    <w:rsid w:val="006C2C34"/>
    <w:rsid w:val="006D7ECF"/>
    <w:rsid w:val="006E6E09"/>
    <w:rsid w:val="006F5E4D"/>
    <w:rsid w:val="006F67BC"/>
    <w:rsid w:val="00710BBB"/>
    <w:rsid w:val="0071364D"/>
    <w:rsid w:val="0071621E"/>
    <w:rsid w:val="007247D0"/>
    <w:rsid w:val="007248CF"/>
    <w:rsid w:val="00732148"/>
    <w:rsid w:val="00733A07"/>
    <w:rsid w:val="00737C96"/>
    <w:rsid w:val="00741ED5"/>
    <w:rsid w:val="00742AA0"/>
    <w:rsid w:val="00747A4C"/>
    <w:rsid w:val="00747B28"/>
    <w:rsid w:val="0075032B"/>
    <w:rsid w:val="007539FE"/>
    <w:rsid w:val="007540D3"/>
    <w:rsid w:val="00762E15"/>
    <w:rsid w:val="00763810"/>
    <w:rsid w:val="00764C0B"/>
    <w:rsid w:val="0076597D"/>
    <w:rsid w:val="0076731B"/>
    <w:rsid w:val="00767DD0"/>
    <w:rsid w:val="00774592"/>
    <w:rsid w:val="007815BF"/>
    <w:rsid w:val="007829D9"/>
    <w:rsid w:val="00782BE8"/>
    <w:rsid w:val="00785815"/>
    <w:rsid w:val="007951C7"/>
    <w:rsid w:val="007A1463"/>
    <w:rsid w:val="007A3521"/>
    <w:rsid w:val="007A4840"/>
    <w:rsid w:val="007A7267"/>
    <w:rsid w:val="007B4F35"/>
    <w:rsid w:val="007C0ED0"/>
    <w:rsid w:val="007D2219"/>
    <w:rsid w:val="007D2E50"/>
    <w:rsid w:val="007D4FD7"/>
    <w:rsid w:val="007D70E5"/>
    <w:rsid w:val="007E085B"/>
    <w:rsid w:val="007E6B87"/>
    <w:rsid w:val="007F1E87"/>
    <w:rsid w:val="00804261"/>
    <w:rsid w:val="00810890"/>
    <w:rsid w:val="00812701"/>
    <w:rsid w:val="00812BC8"/>
    <w:rsid w:val="008177A1"/>
    <w:rsid w:val="008201A3"/>
    <w:rsid w:val="00822223"/>
    <w:rsid w:val="008316AA"/>
    <w:rsid w:val="00832F2C"/>
    <w:rsid w:val="00836DF2"/>
    <w:rsid w:val="008372FF"/>
    <w:rsid w:val="00845DA4"/>
    <w:rsid w:val="0084707D"/>
    <w:rsid w:val="00854B4E"/>
    <w:rsid w:val="00854EEF"/>
    <w:rsid w:val="0085545B"/>
    <w:rsid w:val="00861F25"/>
    <w:rsid w:val="00867839"/>
    <w:rsid w:val="00870D5C"/>
    <w:rsid w:val="00874375"/>
    <w:rsid w:val="008744F0"/>
    <w:rsid w:val="00874888"/>
    <w:rsid w:val="00874E8D"/>
    <w:rsid w:val="00877B5F"/>
    <w:rsid w:val="008809C9"/>
    <w:rsid w:val="00884F5D"/>
    <w:rsid w:val="00895EBF"/>
    <w:rsid w:val="00896F21"/>
    <w:rsid w:val="008976F4"/>
    <w:rsid w:val="008A1CE9"/>
    <w:rsid w:val="008A5154"/>
    <w:rsid w:val="008A7A90"/>
    <w:rsid w:val="008B0D7E"/>
    <w:rsid w:val="008B599F"/>
    <w:rsid w:val="008B6C05"/>
    <w:rsid w:val="008C1F73"/>
    <w:rsid w:val="008C6A46"/>
    <w:rsid w:val="008D3AF1"/>
    <w:rsid w:val="008D6FA2"/>
    <w:rsid w:val="008E67A5"/>
    <w:rsid w:val="008E6B30"/>
    <w:rsid w:val="008F3ADB"/>
    <w:rsid w:val="008F537B"/>
    <w:rsid w:val="008F6674"/>
    <w:rsid w:val="008F6B14"/>
    <w:rsid w:val="008F6E74"/>
    <w:rsid w:val="00901919"/>
    <w:rsid w:val="0090226F"/>
    <w:rsid w:val="00902591"/>
    <w:rsid w:val="00910E70"/>
    <w:rsid w:val="009229D4"/>
    <w:rsid w:val="00930F75"/>
    <w:rsid w:val="00934E87"/>
    <w:rsid w:val="00935A8D"/>
    <w:rsid w:val="009514B9"/>
    <w:rsid w:val="0095490B"/>
    <w:rsid w:val="00965F49"/>
    <w:rsid w:val="00967418"/>
    <w:rsid w:val="00971A58"/>
    <w:rsid w:val="0097311F"/>
    <w:rsid w:val="00975B43"/>
    <w:rsid w:val="009834FC"/>
    <w:rsid w:val="009850C3"/>
    <w:rsid w:val="00987DBB"/>
    <w:rsid w:val="00995DA0"/>
    <w:rsid w:val="009A64FB"/>
    <w:rsid w:val="009A7EEE"/>
    <w:rsid w:val="009B21BB"/>
    <w:rsid w:val="009B358B"/>
    <w:rsid w:val="009B3F0C"/>
    <w:rsid w:val="009B4C3D"/>
    <w:rsid w:val="009C130F"/>
    <w:rsid w:val="009C249F"/>
    <w:rsid w:val="009C3220"/>
    <w:rsid w:val="009C3EB6"/>
    <w:rsid w:val="009D07B2"/>
    <w:rsid w:val="009D6CD2"/>
    <w:rsid w:val="009D7FEC"/>
    <w:rsid w:val="009E1428"/>
    <w:rsid w:val="00A109CB"/>
    <w:rsid w:val="00A158C6"/>
    <w:rsid w:val="00A23E6E"/>
    <w:rsid w:val="00A3022C"/>
    <w:rsid w:val="00A34D06"/>
    <w:rsid w:val="00A43D0A"/>
    <w:rsid w:val="00A44774"/>
    <w:rsid w:val="00A4502E"/>
    <w:rsid w:val="00A459D2"/>
    <w:rsid w:val="00A45FA1"/>
    <w:rsid w:val="00A462A6"/>
    <w:rsid w:val="00A5271A"/>
    <w:rsid w:val="00A5406F"/>
    <w:rsid w:val="00A54964"/>
    <w:rsid w:val="00A6045C"/>
    <w:rsid w:val="00A627C5"/>
    <w:rsid w:val="00A63155"/>
    <w:rsid w:val="00A64440"/>
    <w:rsid w:val="00A64A18"/>
    <w:rsid w:val="00A66F10"/>
    <w:rsid w:val="00A724AD"/>
    <w:rsid w:val="00A7635B"/>
    <w:rsid w:val="00A81587"/>
    <w:rsid w:val="00A8588E"/>
    <w:rsid w:val="00A86890"/>
    <w:rsid w:val="00A92503"/>
    <w:rsid w:val="00A92504"/>
    <w:rsid w:val="00A92F1F"/>
    <w:rsid w:val="00A93D6E"/>
    <w:rsid w:val="00AA2E98"/>
    <w:rsid w:val="00AA4168"/>
    <w:rsid w:val="00AA49B3"/>
    <w:rsid w:val="00AC65E0"/>
    <w:rsid w:val="00AD3363"/>
    <w:rsid w:val="00AD4429"/>
    <w:rsid w:val="00AD5267"/>
    <w:rsid w:val="00AD527F"/>
    <w:rsid w:val="00AF0D7D"/>
    <w:rsid w:val="00B048A5"/>
    <w:rsid w:val="00B05982"/>
    <w:rsid w:val="00B0608F"/>
    <w:rsid w:val="00B116B9"/>
    <w:rsid w:val="00B15CB2"/>
    <w:rsid w:val="00B25CC0"/>
    <w:rsid w:val="00B316B2"/>
    <w:rsid w:val="00B36722"/>
    <w:rsid w:val="00B502AB"/>
    <w:rsid w:val="00B51D30"/>
    <w:rsid w:val="00B55F38"/>
    <w:rsid w:val="00B63B6C"/>
    <w:rsid w:val="00B641EE"/>
    <w:rsid w:val="00B66444"/>
    <w:rsid w:val="00B673C1"/>
    <w:rsid w:val="00B72682"/>
    <w:rsid w:val="00B75D05"/>
    <w:rsid w:val="00B77805"/>
    <w:rsid w:val="00B8528C"/>
    <w:rsid w:val="00B90093"/>
    <w:rsid w:val="00B91A1F"/>
    <w:rsid w:val="00B934A0"/>
    <w:rsid w:val="00B96C0A"/>
    <w:rsid w:val="00B97298"/>
    <w:rsid w:val="00BA1A62"/>
    <w:rsid w:val="00BA27F6"/>
    <w:rsid w:val="00BA3A92"/>
    <w:rsid w:val="00BA4C0F"/>
    <w:rsid w:val="00BB00DA"/>
    <w:rsid w:val="00BB0867"/>
    <w:rsid w:val="00BB0C06"/>
    <w:rsid w:val="00BB2C92"/>
    <w:rsid w:val="00BB39B2"/>
    <w:rsid w:val="00BB48DF"/>
    <w:rsid w:val="00BB7C7F"/>
    <w:rsid w:val="00BD02F9"/>
    <w:rsid w:val="00BD2D99"/>
    <w:rsid w:val="00BE0A9E"/>
    <w:rsid w:val="00BE6453"/>
    <w:rsid w:val="00BE69AE"/>
    <w:rsid w:val="00BF16A1"/>
    <w:rsid w:val="00BF3BE6"/>
    <w:rsid w:val="00BF52F9"/>
    <w:rsid w:val="00C055C0"/>
    <w:rsid w:val="00C12C5D"/>
    <w:rsid w:val="00C1686A"/>
    <w:rsid w:val="00C201A8"/>
    <w:rsid w:val="00C2076D"/>
    <w:rsid w:val="00C26982"/>
    <w:rsid w:val="00C304DD"/>
    <w:rsid w:val="00C37A16"/>
    <w:rsid w:val="00C37EA5"/>
    <w:rsid w:val="00C40419"/>
    <w:rsid w:val="00C4132E"/>
    <w:rsid w:val="00C46A6E"/>
    <w:rsid w:val="00C4710C"/>
    <w:rsid w:val="00C51DBE"/>
    <w:rsid w:val="00C53AAE"/>
    <w:rsid w:val="00C65F37"/>
    <w:rsid w:val="00C67198"/>
    <w:rsid w:val="00C672CD"/>
    <w:rsid w:val="00C704CA"/>
    <w:rsid w:val="00C72AC6"/>
    <w:rsid w:val="00C73CA7"/>
    <w:rsid w:val="00C74C5F"/>
    <w:rsid w:val="00C80905"/>
    <w:rsid w:val="00C84BE0"/>
    <w:rsid w:val="00C86EC8"/>
    <w:rsid w:val="00C92214"/>
    <w:rsid w:val="00C93666"/>
    <w:rsid w:val="00CA4E3E"/>
    <w:rsid w:val="00CA7FD5"/>
    <w:rsid w:val="00CB0CE1"/>
    <w:rsid w:val="00CB0FA6"/>
    <w:rsid w:val="00CB6312"/>
    <w:rsid w:val="00CD0785"/>
    <w:rsid w:val="00CD7E8B"/>
    <w:rsid w:val="00CE365E"/>
    <w:rsid w:val="00CE5142"/>
    <w:rsid w:val="00CE6728"/>
    <w:rsid w:val="00CF1854"/>
    <w:rsid w:val="00CF7FAC"/>
    <w:rsid w:val="00D10399"/>
    <w:rsid w:val="00D11C38"/>
    <w:rsid w:val="00D138EA"/>
    <w:rsid w:val="00D15DCE"/>
    <w:rsid w:val="00D15EC0"/>
    <w:rsid w:val="00D17CD2"/>
    <w:rsid w:val="00D17E49"/>
    <w:rsid w:val="00D2099E"/>
    <w:rsid w:val="00D221F4"/>
    <w:rsid w:val="00D22DFD"/>
    <w:rsid w:val="00D23D07"/>
    <w:rsid w:val="00D31874"/>
    <w:rsid w:val="00D35B7A"/>
    <w:rsid w:val="00D41AC1"/>
    <w:rsid w:val="00D43A7A"/>
    <w:rsid w:val="00D45939"/>
    <w:rsid w:val="00D470F8"/>
    <w:rsid w:val="00D47B57"/>
    <w:rsid w:val="00D556DC"/>
    <w:rsid w:val="00D55AC9"/>
    <w:rsid w:val="00D5755B"/>
    <w:rsid w:val="00D60F82"/>
    <w:rsid w:val="00D6284B"/>
    <w:rsid w:val="00D633BF"/>
    <w:rsid w:val="00D6398A"/>
    <w:rsid w:val="00D6584B"/>
    <w:rsid w:val="00D66683"/>
    <w:rsid w:val="00D716CE"/>
    <w:rsid w:val="00D728ED"/>
    <w:rsid w:val="00D7763D"/>
    <w:rsid w:val="00D808B7"/>
    <w:rsid w:val="00D81127"/>
    <w:rsid w:val="00D82577"/>
    <w:rsid w:val="00D830D8"/>
    <w:rsid w:val="00D86063"/>
    <w:rsid w:val="00D90003"/>
    <w:rsid w:val="00D904BC"/>
    <w:rsid w:val="00D90B6D"/>
    <w:rsid w:val="00D94AA9"/>
    <w:rsid w:val="00D95DCB"/>
    <w:rsid w:val="00DA2B6B"/>
    <w:rsid w:val="00DA2D02"/>
    <w:rsid w:val="00DA4295"/>
    <w:rsid w:val="00DA4C3C"/>
    <w:rsid w:val="00DB5653"/>
    <w:rsid w:val="00DC000E"/>
    <w:rsid w:val="00DC19EC"/>
    <w:rsid w:val="00DC2964"/>
    <w:rsid w:val="00DC32C0"/>
    <w:rsid w:val="00DC43A6"/>
    <w:rsid w:val="00DC5164"/>
    <w:rsid w:val="00DC6F64"/>
    <w:rsid w:val="00DD4038"/>
    <w:rsid w:val="00DD61B0"/>
    <w:rsid w:val="00DE02B2"/>
    <w:rsid w:val="00DE7FF3"/>
    <w:rsid w:val="00DF0826"/>
    <w:rsid w:val="00DF49D7"/>
    <w:rsid w:val="00DF7534"/>
    <w:rsid w:val="00E118B5"/>
    <w:rsid w:val="00E1474C"/>
    <w:rsid w:val="00E153EA"/>
    <w:rsid w:val="00E15999"/>
    <w:rsid w:val="00E17C6E"/>
    <w:rsid w:val="00E2119F"/>
    <w:rsid w:val="00E27D46"/>
    <w:rsid w:val="00E36FAF"/>
    <w:rsid w:val="00E37F2B"/>
    <w:rsid w:val="00E4209A"/>
    <w:rsid w:val="00E6249C"/>
    <w:rsid w:val="00E626F8"/>
    <w:rsid w:val="00E80D25"/>
    <w:rsid w:val="00E90BF7"/>
    <w:rsid w:val="00E91F4A"/>
    <w:rsid w:val="00EA0B19"/>
    <w:rsid w:val="00EA0C93"/>
    <w:rsid w:val="00EA309C"/>
    <w:rsid w:val="00EB4431"/>
    <w:rsid w:val="00EB47C3"/>
    <w:rsid w:val="00EB7598"/>
    <w:rsid w:val="00EB78A1"/>
    <w:rsid w:val="00EC66D7"/>
    <w:rsid w:val="00ED155E"/>
    <w:rsid w:val="00EE578F"/>
    <w:rsid w:val="00EE7E82"/>
    <w:rsid w:val="00EF42EC"/>
    <w:rsid w:val="00EF4EB0"/>
    <w:rsid w:val="00EF5DF4"/>
    <w:rsid w:val="00F01E68"/>
    <w:rsid w:val="00F1720A"/>
    <w:rsid w:val="00F175E7"/>
    <w:rsid w:val="00F355B9"/>
    <w:rsid w:val="00F374E3"/>
    <w:rsid w:val="00F37AC8"/>
    <w:rsid w:val="00F50816"/>
    <w:rsid w:val="00F5278A"/>
    <w:rsid w:val="00F5697C"/>
    <w:rsid w:val="00F64200"/>
    <w:rsid w:val="00F655A5"/>
    <w:rsid w:val="00F66285"/>
    <w:rsid w:val="00F7136F"/>
    <w:rsid w:val="00F71E1E"/>
    <w:rsid w:val="00F7391A"/>
    <w:rsid w:val="00F755B7"/>
    <w:rsid w:val="00F8063A"/>
    <w:rsid w:val="00F82C61"/>
    <w:rsid w:val="00F938DA"/>
    <w:rsid w:val="00F95E9A"/>
    <w:rsid w:val="00FA36E2"/>
    <w:rsid w:val="00FA475F"/>
    <w:rsid w:val="00FA765B"/>
    <w:rsid w:val="00FA7E35"/>
    <w:rsid w:val="00FB348C"/>
    <w:rsid w:val="00FB4446"/>
    <w:rsid w:val="00FB67FD"/>
    <w:rsid w:val="00FC57D0"/>
    <w:rsid w:val="00FC6E8C"/>
    <w:rsid w:val="00FD3EC8"/>
    <w:rsid w:val="00FE10CA"/>
    <w:rsid w:val="00FE3547"/>
    <w:rsid w:val="00FE3C46"/>
    <w:rsid w:val="00FE6332"/>
    <w:rsid w:val="00FF0C19"/>
    <w:rsid w:val="00FF1B8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6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4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7091"/>
  </w:style>
  <w:style w:type="paragraph" w:styleId="Footer">
    <w:name w:val="footer"/>
    <w:basedOn w:val="Normal"/>
    <w:link w:val="FooterChar"/>
    <w:uiPriority w:val="99"/>
    <w:rsid w:val="0034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7091"/>
  </w:style>
  <w:style w:type="character" w:customStyle="1" w:styleId="longtext1">
    <w:name w:val="long_text1"/>
    <w:uiPriority w:val="99"/>
    <w:rsid w:val="00661BCF"/>
    <w:rPr>
      <w:sz w:val="20"/>
      <w:szCs w:val="20"/>
    </w:rPr>
  </w:style>
  <w:style w:type="paragraph" w:styleId="ListParagraph">
    <w:name w:val="List Paragraph"/>
    <w:basedOn w:val="Normal"/>
    <w:uiPriority w:val="39"/>
    <w:qFormat/>
    <w:rsid w:val="006D7EC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175E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175E7"/>
    <w:rPr>
      <w:sz w:val="20"/>
      <w:szCs w:val="20"/>
    </w:rPr>
  </w:style>
  <w:style w:type="character" w:styleId="FootnoteReference">
    <w:name w:val="footnote reference"/>
    <w:uiPriority w:val="99"/>
    <w:semiHidden/>
    <w:rsid w:val="00F17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739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7395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semiHidden/>
    <w:rsid w:val="00EA309C"/>
    <w:rPr>
      <w:rFonts w:ascii="Verdana" w:hAnsi="Verdana" w:cs="Verdana"/>
      <w:b/>
      <w:bCs/>
      <w:kern w:val="28"/>
      <w:sz w:val="24"/>
      <w:szCs w:val="24"/>
      <w:lang w:val="en-GB" w:eastAsia="en-US"/>
    </w:rPr>
  </w:style>
  <w:style w:type="paragraph" w:customStyle="1" w:styleId="CarCar2">
    <w:name w:val="Car Car2"/>
    <w:basedOn w:val="Normal"/>
    <w:uiPriority w:val="99"/>
    <w:rsid w:val="00EA309C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uiPriority w:val="99"/>
    <w:semiHidden/>
    <w:rsid w:val="00F5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278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7E97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7E97"/>
    <w:rPr>
      <w:rFonts w:cs="Calibri"/>
      <w:b/>
      <w:bCs/>
      <w:sz w:val="20"/>
      <w:szCs w:val="20"/>
    </w:rPr>
  </w:style>
  <w:style w:type="paragraph" w:customStyle="1" w:styleId="ZchnZchnCharCharZchnZchnCharCharZchnZchn3CharCharZchnZchn">
    <w:name w:val="Zchn Zchn Char Char Zchn Zchn Char Char Zchn Zchn3 Char Char Zchn Zchn"/>
    <w:basedOn w:val="Normal"/>
    <w:rsid w:val="00DD61B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rsid w:val="00DD61B0"/>
    <w:rPr>
      <w:color w:val="0000FF"/>
      <w:u w:val="single"/>
    </w:rPr>
  </w:style>
  <w:style w:type="paragraph" w:styleId="BodyText">
    <w:name w:val="Body Text"/>
    <w:basedOn w:val="Normal"/>
    <w:link w:val="BodyTextChar"/>
    <w:rsid w:val="00F82C61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character" w:customStyle="1" w:styleId="BodyTextChar">
    <w:name w:val="Body Text Char"/>
    <w:link w:val="BodyText"/>
    <w:rsid w:val="00F82C61"/>
    <w:rPr>
      <w:rFonts w:ascii="Verdana" w:eastAsia="Times New Roman" w:hAnsi="Verdana"/>
      <w:sz w:val="20"/>
      <w:szCs w:val="20"/>
      <w:lang w:val="de-DE" w:eastAsia="de-DE"/>
    </w:rPr>
  </w:style>
  <w:style w:type="paragraph" w:customStyle="1" w:styleId="Default">
    <w:name w:val="Default"/>
    <w:rsid w:val="000B19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de-AT" w:eastAsia="de-AT"/>
    </w:rPr>
  </w:style>
  <w:style w:type="character" w:customStyle="1" w:styleId="publigenlongtext">
    <w:name w:val="publigenlongtext"/>
    <w:basedOn w:val="DefaultParagraphFont"/>
    <w:rsid w:val="000B19A6"/>
  </w:style>
  <w:style w:type="paragraph" w:styleId="PlainText">
    <w:name w:val="Plain Text"/>
    <w:basedOn w:val="Normal"/>
    <w:link w:val="PlainTextChar"/>
    <w:uiPriority w:val="99"/>
    <w:unhideWhenUsed/>
    <w:rsid w:val="000B19A6"/>
    <w:pPr>
      <w:spacing w:after="0" w:line="240" w:lineRule="auto"/>
    </w:pPr>
    <w:rPr>
      <w:rFonts w:ascii="Consolas" w:eastAsia="SimSun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B19A6"/>
    <w:rPr>
      <w:rFonts w:ascii="Consolas" w:eastAsia="SimSun" w:hAnsi="Consolas" w:cs="Consolas"/>
      <w:sz w:val="21"/>
      <w:szCs w:val="21"/>
    </w:rPr>
  </w:style>
  <w:style w:type="character" w:customStyle="1" w:styleId="st1">
    <w:name w:val="st1"/>
    <w:basedOn w:val="DefaultParagraphFont"/>
    <w:rsid w:val="00662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6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4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7091"/>
  </w:style>
  <w:style w:type="paragraph" w:styleId="Footer">
    <w:name w:val="footer"/>
    <w:basedOn w:val="Normal"/>
    <w:link w:val="FooterChar"/>
    <w:uiPriority w:val="99"/>
    <w:rsid w:val="0034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7091"/>
  </w:style>
  <w:style w:type="character" w:customStyle="1" w:styleId="longtext1">
    <w:name w:val="long_text1"/>
    <w:uiPriority w:val="99"/>
    <w:rsid w:val="00661BCF"/>
    <w:rPr>
      <w:sz w:val="20"/>
      <w:szCs w:val="20"/>
    </w:rPr>
  </w:style>
  <w:style w:type="paragraph" w:styleId="ListParagraph">
    <w:name w:val="List Paragraph"/>
    <w:basedOn w:val="Normal"/>
    <w:uiPriority w:val="39"/>
    <w:qFormat/>
    <w:rsid w:val="006D7EC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175E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175E7"/>
    <w:rPr>
      <w:sz w:val="20"/>
      <w:szCs w:val="20"/>
    </w:rPr>
  </w:style>
  <w:style w:type="character" w:styleId="FootnoteReference">
    <w:name w:val="footnote reference"/>
    <w:uiPriority w:val="99"/>
    <w:semiHidden/>
    <w:rsid w:val="00F17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739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7395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semiHidden/>
    <w:rsid w:val="00EA309C"/>
    <w:rPr>
      <w:rFonts w:ascii="Verdana" w:hAnsi="Verdana" w:cs="Verdana"/>
      <w:b/>
      <w:bCs/>
      <w:kern w:val="28"/>
      <w:sz w:val="24"/>
      <w:szCs w:val="24"/>
      <w:lang w:val="en-GB" w:eastAsia="en-US"/>
    </w:rPr>
  </w:style>
  <w:style w:type="paragraph" w:customStyle="1" w:styleId="CarCar2">
    <w:name w:val="Car Car2"/>
    <w:basedOn w:val="Normal"/>
    <w:uiPriority w:val="99"/>
    <w:rsid w:val="00EA309C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uiPriority w:val="99"/>
    <w:semiHidden/>
    <w:rsid w:val="00F5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278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7E97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7E97"/>
    <w:rPr>
      <w:rFonts w:cs="Calibri"/>
      <w:b/>
      <w:bCs/>
      <w:sz w:val="20"/>
      <w:szCs w:val="20"/>
    </w:rPr>
  </w:style>
  <w:style w:type="paragraph" w:customStyle="1" w:styleId="ZchnZchnCharCharZchnZchnCharCharZchnZchn3CharCharZchnZchn">
    <w:name w:val="Zchn Zchn Char Char Zchn Zchn Char Char Zchn Zchn3 Char Char Zchn Zchn"/>
    <w:basedOn w:val="Normal"/>
    <w:rsid w:val="00DD61B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rsid w:val="00DD61B0"/>
    <w:rPr>
      <w:color w:val="0000FF"/>
      <w:u w:val="single"/>
    </w:rPr>
  </w:style>
  <w:style w:type="paragraph" w:styleId="BodyText">
    <w:name w:val="Body Text"/>
    <w:basedOn w:val="Normal"/>
    <w:link w:val="BodyTextChar"/>
    <w:rsid w:val="00F82C61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character" w:customStyle="1" w:styleId="BodyTextChar">
    <w:name w:val="Body Text Char"/>
    <w:link w:val="BodyText"/>
    <w:rsid w:val="00F82C61"/>
    <w:rPr>
      <w:rFonts w:ascii="Verdana" w:eastAsia="Times New Roman" w:hAnsi="Verdana"/>
      <w:sz w:val="20"/>
      <w:szCs w:val="20"/>
      <w:lang w:val="de-DE" w:eastAsia="de-DE"/>
    </w:rPr>
  </w:style>
  <w:style w:type="paragraph" w:customStyle="1" w:styleId="Default">
    <w:name w:val="Default"/>
    <w:rsid w:val="000B19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de-AT" w:eastAsia="de-AT"/>
    </w:rPr>
  </w:style>
  <w:style w:type="character" w:customStyle="1" w:styleId="publigenlongtext">
    <w:name w:val="publigenlongtext"/>
    <w:basedOn w:val="DefaultParagraphFont"/>
    <w:rsid w:val="000B19A6"/>
  </w:style>
  <w:style w:type="paragraph" w:styleId="PlainText">
    <w:name w:val="Plain Text"/>
    <w:basedOn w:val="Normal"/>
    <w:link w:val="PlainTextChar"/>
    <w:uiPriority w:val="99"/>
    <w:unhideWhenUsed/>
    <w:rsid w:val="000B19A6"/>
    <w:pPr>
      <w:spacing w:after="0" w:line="240" w:lineRule="auto"/>
    </w:pPr>
    <w:rPr>
      <w:rFonts w:ascii="Consolas" w:eastAsia="SimSun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B19A6"/>
    <w:rPr>
      <w:rFonts w:ascii="Consolas" w:eastAsia="SimSun" w:hAnsi="Consolas" w:cs="Consolas"/>
      <w:sz w:val="21"/>
      <w:szCs w:val="21"/>
    </w:rPr>
  </w:style>
  <w:style w:type="character" w:customStyle="1" w:styleId="st1">
    <w:name w:val="st1"/>
    <w:basedOn w:val="DefaultParagraphFont"/>
    <w:rsid w:val="0066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7374">
                  <w:marLeft w:val="30"/>
                  <w:marRight w:val="225"/>
                  <w:marTop w:val="60"/>
                  <w:marBottom w:val="0"/>
                  <w:divBdr>
                    <w:top w:val="single" w:sz="24" w:space="0" w:color="34B0DF"/>
                    <w:left w:val="none" w:sz="0" w:space="0" w:color="34B0DF"/>
                    <w:bottom w:val="none" w:sz="0" w:space="0" w:color="34B0DF"/>
                    <w:right w:val="none" w:sz="0" w:space="0" w:color="34B0DF"/>
                  </w:divBdr>
                  <w:divsChild>
                    <w:div w:id="337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60766">
                              <w:marLeft w:val="300"/>
                              <w:marRight w:val="300"/>
                              <w:marTop w:val="345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1gen\RMO\ESBG%20Respon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1CB3-E3B1-4425-9117-E4F46760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ESBG Response</Template>
  <TotalTime>0</TotalTime>
  <Pages>3</Pages>
  <Words>515</Words>
  <Characters>2893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ESBG / WSBI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</dc:creator>
  <cp:lastModifiedBy>Blanco Martinez Cesar</cp:lastModifiedBy>
  <cp:revision>2</cp:revision>
  <cp:lastPrinted>2013-01-11T09:23:00Z</cp:lastPrinted>
  <dcterms:created xsi:type="dcterms:W3CDTF">2013-12-20T14:07:00Z</dcterms:created>
  <dcterms:modified xsi:type="dcterms:W3CDTF">2013-12-20T14:07:00Z</dcterms:modified>
</cp:coreProperties>
</file>