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FD" w:rsidRPr="00E109BB" w:rsidRDefault="001B7A8A" w:rsidP="000B19A6">
      <w:pPr>
        <w:jc w:val="both"/>
        <w:rPr>
          <w:rStyle w:val="TitleChar"/>
          <w:rFonts w:ascii="Garamond" w:hAnsi="Garamond" w:cs="Garamond"/>
          <w:sz w:val="28"/>
          <w:szCs w:val="28"/>
        </w:rPr>
      </w:pPr>
      <w:bookmarkStart w:id="0" w:name="_GoBack"/>
      <w:bookmarkEnd w:id="0"/>
      <w:r w:rsidRPr="00E109BB">
        <w:rPr>
          <w:rFonts w:ascii="Garamond" w:hAnsi="Garamond" w:cs="Garamond"/>
          <w:b/>
          <w:bCs/>
          <w:noProof/>
          <w:sz w:val="24"/>
          <w:lang w:val="fr-BE" w:eastAsia="zh-CN"/>
        </w:rPr>
        <w:drawing>
          <wp:anchor distT="0" distB="0" distL="114300" distR="114300" simplePos="0" relativeHeight="251660288" behindDoc="1" locked="0" layoutInCell="1" allowOverlap="1" wp14:anchorId="18C2A2B3" wp14:editId="7DE8599B">
            <wp:simplePos x="0" y="0"/>
            <wp:positionH relativeFrom="column">
              <wp:posOffset>-834390</wp:posOffset>
            </wp:positionH>
            <wp:positionV relativeFrom="paragraph">
              <wp:posOffset>-830580</wp:posOffset>
            </wp:positionV>
            <wp:extent cx="2518410" cy="9928860"/>
            <wp:effectExtent l="19050" t="0" r="0" b="0"/>
            <wp:wrapNone/>
            <wp:docPr id="8" name="Picture 3" descr="POSITION-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ON-PAPER"/>
                    <pic:cNvPicPr>
                      <a:picLocks noChangeAspect="1" noChangeArrowheads="1"/>
                    </pic:cNvPicPr>
                  </pic:nvPicPr>
                  <pic:blipFill>
                    <a:blip r:embed="rId9"/>
                    <a:srcRect/>
                    <a:stretch>
                      <a:fillRect/>
                    </a:stretch>
                  </pic:blipFill>
                  <pic:spPr bwMode="auto">
                    <a:xfrm>
                      <a:off x="0" y="0"/>
                      <a:ext cx="2518410" cy="9928860"/>
                    </a:xfrm>
                    <a:prstGeom prst="rect">
                      <a:avLst/>
                    </a:prstGeom>
                    <a:noFill/>
                    <a:ln w="9525">
                      <a:noFill/>
                      <a:miter lim="800000"/>
                      <a:headEnd/>
                      <a:tailEnd/>
                    </a:ln>
                  </pic:spPr>
                </pic:pic>
              </a:graphicData>
            </a:graphic>
          </wp:anchor>
        </w:drawing>
      </w:r>
      <w:r w:rsidR="00D22DFD" w:rsidRPr="00E109BB">
        <w:rPr>
          <w:rFonts w:ascii="Garamond" w:hAnsi="Garamond" w:cs="Garamond"/>
          <w:b/>
          <w:bCs/>
          <w:sz w:val="24"/>
          <w:szCs w:val="24"/>
          <w:lang w:val="en-GB"/>
        </w:rPr>
        <w:tab/>
      </w:r>
    </w:p>
    <w:p w:rsidR="00D22DFD" w:rsidRPr="00E109BB" w:rsidRDefault="00D22DFD" w:rsidP="000B19A6">
      <w:pPr>
        <w:jc w:val="both"/>
        <w:rPr>
          <w:rFonts w:ascii="Garamond" w:hAnsi="Garamond" w:cs="Garamond"/>
          <w:sz w:val="32"/>
          <w:szCs w:val="32"/>
          <w:lang w:val="en-GB"/>
        </w:rPr>
      </w:pPr>
      <w:r w:rsidRPr="00E109BB">
        <w:rPr>
          <w:rStyle w:val="TitleChar"/>
          <w:rFonts w:ascii="Garamond" w:hAnsi="Garamond" w:cs="Garamond"/>
          <w:sz w:val="28"/>
          <w:szCs w:val="28"/>
        </w:rPr>
        <w:t xml:space="preserve"> </w:t>
      </w:r>
    </w:p>
    <w:p w:rsidR="00D22DFD" w:rsidRPr="00E109BB" w:rsidRDefault="00D22DFD" w:rsidP="000B19A6">
      <w:pPr>
        <w:jc w:val="both"/>
        <w:rPr>
          <w:rFonts w:ascii="Garamond" w:hAnsi="Garamond" w:cs="Garamond"/>
          <w:sz w:val="24"/>
          <w:szCs w:val="24"/>
          <w:lang w:val="en-GB"/>
        </w:rPr>
      </w:pPr>
    </w:p>
    <w:p w:rsidR="00D22DFD" w:rsidRPr="00E109BB" w:rsidRDefault="00D22DFD" w:rsidP="000B19A6">
      <w:pPr>
        <w:ind w:left="1440" w:firstLine="720"/>
        <w:jc w:val="both"/>
        <w:rPr>
          <w:lang w:val="en-GB"/>
        </w:rPr>
      </w:pPr>
    </w:p>
    <w:p w:rsidR="00D22DFD" w:rsidRPr="00E109BB" w:rsidRDefault="00D22DFD" w:rsidP="000B19A6">
      <w:pPr>
        <w:jc w:val="both"/>
        <w:rPr>
          <w:rFonts w:ascii="Garamond" w:hAnsi="Garamond" w:cs="Garamond"/>
          <w:b/>
          <w:bCs/>
          <w:sz w:val="24"/>
          <w:szCs w:val="24"/>
          <w:lang w:val="en-GB"/>
        </w:rPr>
      </w:pPr>
    </w:p>
    <w:p w:rsidR="00D7763D" w:rsidRPr="00E109BB" w:rsidRDefault="00457CDE" w:rsidP="000B19A6">
      <w:pPr>
        <w:jc w:val="both"/>
        <w:rPr>
          <w:rFonts w:ascii="Garamond" w:hAnsi="Garamond" w:cs="Garamond"/>
          <w:bCs/>
          <w:sz w:val="16"/>
          <w:szCs w:val="16"/>
          <w:lang w:val="en-GB"/>
        </w:rPr>
      </w:pPr>
      <w:r w:rsidRPr="00E109BB">
        <w:rPr>
          <w:noProof/>
          <w:lang w:val="fr-BE" w:eastAsia="zh-CN"/>
        </w:rPr>
        <mc:AlternateContent>
          <mc:Choice Requires="wps">
            <w:drawing>
              <wp:anchor distT="0" distB="0" distL="114300" distR="114300" simplePos="0" relativeHeight="251659264" behindDoc="0" locked="0" layoutInCell="1" allowOverlap="1" wp14:anchorId="55C2926F" wp14:editId="24788138">
                <wp:simplePos x="0" y="0"/>
                <wp:positionH relativeFrom="column">
                  <wp:posOffset>1633220</wp:posOffset>
                </wp:positionH>
                <wp:positionV relativeFrom="paragraph">
                  <wp:posOffset>963930</wp:posOffset>
                </wp:positionV>
                <wp:extent cx="3362960" cy="3095625"/>
                <wp:effectExtent l="4445" t="1905"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309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9F6" w:rsidRPr="009229D4" w:rsidRDefault="009549F6" w:rsidP="009229D4">
                            <w:pPr>
                              <w:pStyle w:val="Default"/>
                              <w:jc w:val="both"/>
                              <w:rPr>
                                <w:rFonts w:ascii="Georgia" w:eastAsia="Calibri" w:hAnsi="Georgia" w:cs="Georgia"/>
                                <w:lang w:val="en-US" w:eastAsia="en-US"/>
                              </w:rPr>
                            </w:pPr>
                            <w:r>
                              <w:rPr>
                                <w:rStyle w:val="TitleChar"/>
                                <w:rFonts w:ascii="Garamond" w:hAnsi="Garamond" w:cs="Garamond"/>
                                <w:sz w:val="28"/>
                                <w:szCs w:val="28"/>
                              </w:rPr>
                              <w:t>ESBG</w:t>
                            </w:r>
                            <w:r w:rsidRPr="004C321F">
                              <w:rPr>
                                <w:rStyle w:val="TitleChar"/>
                                <w:rFonts w:ascii="Garamond" w:hAnsi="Garamond" w:cs="Garamond"/>
                                <w:sz w:val="28"/>
                                <w:szCs w:val="28"/>
                              </w:rPr>
                              <w:t xml:space="preserve"> common response to the </w:t>
                            </w:r>
                            <w:r>
                              <w:rPr>
                                <w:rStyle w:val="TitleChar"/>
                                <w:rFonts w:ascii="Garamond" w:hAnsi="Garamond" w:cs="Garamond"/>
                                <w:sz w:val="28"/>
                                <w:szCs w:val="28"/>
                              </w:rPr>
                              <w:t xml:space="preserve">European Banking Authority consultation on </w:t>
                            </w:r>
                            <w:r w:rsidRPr="00965F49">
                              <w:rPr>
                                <w:rStyle w:val="TitleChar"/>
                                <w:rFonts w:ascii="Garamond" w:hAnsi="Garamond" w:cs="Garamond"/>
                                <w:sz w:val="28"/>
                                <w:szCs w:val="28"/>
                              </w:rPr>
                              <w:t>draft implementing technical standards on currencies for which the justified demand for liquid assets exceeds the availability of those assets under Article 419(4) of Regulation (EU) 575/2013 (Capital Requirements Regulation – CRR)</w:t>
                            </w:r>
                            <w:r>
                              <w:rPr>
                                <w:rStyle w:val="TitleChar"/>
                                <w:rFonts w:ascii="Garamond" w:hAnsi="Garamond" w:cs="Garamond"/>
                                <w:sz w:val="28"/>
                                <w:szCs w:val="28"/>
                              </w:rPr>
                              <w:t>.</w:t>
                            </w:r>
                          </w:p>
                          <w:p w:rsidR="009549F6" w:rsidRDefault="009549F6" w:rsidP="00D138EA">
                            <w:pPr>
                              <w:rPr>
                                <w:rFonts w:ascii="Garamond" w:hAnsi="Garamond"/>
                                <w:kern w:val="28"/>
                                <w:sz w:val="16"/>
                                <w:szCs w:val="16"/>
                              </w:rPr>
                            </w:pPr>
                          </w:p>
                          <w:p w:rsidR="009549F6" w:rsidRPr="00FA475F" w:rsidRDefault="009549F6" w:rsidP="00D138EA">
                            <w:pPr>
                              <w:spacing w:after="0" w:line="240" w:lineRule="auto"/>
                              <w:rPr>
                                <w:rFonts w:ascii="Garamond" w:hAnsi="Garamond"/>
                                <w:kern w:val="28"/>
                                <w:sz w:val="20"/>
                                <w:szCs w:val="20"/>
                              </w:rPr>
                            </w:pPr>
                            <w:r w:rsidRPr="00FA475F">
                              <w:rPr>
                                <w:rFonts w:ascii="Garamond" w:hAnsi="Garamond"/>
                                <w:kern w:val="28"/>
                                <w:sz w:val="20"/>
                                <w:szCs w:val="20"/>
                              </w:rPr>
                              <w:t xml:space="preserve">WSBI-ESBG (World Institute of Savings </w:t>
                            </w:r>
                            <w:r>
                              <w:rPr>
                                <w:rFonts w:ascii="Garamond" w:hAnsi="Garamond"/>
                                <w:kern w:val="28"/>
                                <w:sz w:val="20"/>
                                <w:szCs w:val="20"/>
                              </w:rPr>
                              <w:t xml:space="preserve">and Retail </w:t>
                            </w:r>
                            <w:r w:rsidRPr="00FA475F">
                              <w:rPr>
                                <w:rFonts w:ascii="Garamond" w:hAnsi="Garamond"/>
                                <w:kern w:val="28"/>
                                <w:sz w:val="20"/>
                                <w:szCs w:val="20"/>
                              </w:rPr>
                              <w:t xml:space="preserve">Banks - European Savings </w:t>
                            </w:r>
                            <w:r>
                              <w:rPr>
                                <w:rFonts w:ascii="Garamond" w:hAnsi="Garamond"/>
                                <w:kern w:val="28"/>
                                <w:sz w:val="20"/>
                                <w:szCs w:val="20"/>
                              </w:rPr>
                              <w:t xml:space="preserve">and Retail </w:t>
                            </w:r>
                            <w:r w:rsidRPr="00FA475F">
                              <w:rPr>
                                <w:rFonts w:ascii="Garamond" w:hAnsi="Garamond"/>
                                <w:kern w:val="28"/>
                                <w:sz w:val="20"/>
                                <w:szCs w:val="20"/>
                              </w:rPr>
                              <w:t>Bank</w:t>
                            </w:r>
                            <w:r>
                              <w:rPr>
                                <w:rFonts w:ascii="Garamond" w:hAnsi="Garamond"/>
                                <w:kern w:val="28"/>
                                <w:sz w:val="20"/>
                                <w:szCs w:val="20"/>
                              </w:rPr>
                              <w:t>ing</w:t>
                            </w:r>
                            <w:r w:rsidRPr="00FA475F">
                              <w:rPr>
                                <w:rFonts w:ascii="Garamond" w:hAnsi="Garamond"/>
                                <w:kern w:val="28"/>
                                <w:sz w:val="20"/>
                                <w:szCs w:val="20"/>
                              </w:rPr>
                              <w:t xml:space="preserve"> Group)</w:t>
                            </w:r>
                          </w:p>
                          <w:p w:rsidR="009549F6" w:rsidRPr="00627367" w:rsidRDefault="009549F6" w:rsidP="00D138EA">
                            <w:pPr>
                              <w:spacing w:after="0" w:line="240" w:lineRule="auto"/>
                              <w:rPr>
                                <w:rFonts w:ascii="Garamond" w:hAnsi="Garamond"/>
                                <w:kern w:val="28"/>
                                <w:sz w:val="20"/>
                                <w:szCs w:val="20"/>
                                <w:lang w:val="fr-BE"/>
                              </w:rPr>
                            </w:pPr>
                            <w:r w:rsidRPr="00FA475F">
                              <w:rPr>
                                <w:rFonts w:ascii="Garamond" w:hAnsi="Garamond"/>
                                <w:sz w:val="20"/>
                                <w:szCs w:val="20"/>
                                <w:lang w:val="fr-BE" w:eastAsia="de-DE"/>
                              </w:rPr>
                              <w:t>Rue Marie-Thérèse, 11 - B-</w:t>
                            </w:r>
                            <w:r w:rsidRPr="00627367">
                              <w:rPr>
                                <w:rFonts w:ascii="Garamond" w:hAnsi="Garamond"/>
                                <w:sz w:val="20"/>
                                <w:szCs w:val="20"/>
                                <w:lang w:val="fr-BE" w:eastAsia="de-DE"/>
                              </w:rPr>
                              <w:t>1000 Brussels</w:t>
                            </w:r>
                          </w:p>
                          <w:p w:rsidR="009549F6" w:rsidRPr="00457CDE" w:rsidRDefault="009549F6" w:rsidP="00D138EA">
                            <w:pPr>
                              <w:spacing w:after="0" w:line="240" w:lineRule="auto"/>
                              <w:rPr>
                                <w:rFonts w:ascii="Garamond" w:hAnsi="Garamond" w:cs="Arial"/>
                                <w:bCs/>
                                <w:kern w:val="28"/>
                                <w:sz w:val="20"/>
                                <w:szCs w:val="20"/>
                                <w:lang w:val="fr-BE"/>
                              </w:rPr>
                            </w:pPr>
                            <w:r w:rsidRPr="00627367">
                              <w:rPr>
                                <w:rFonts w:ascii="Garamond" w:hAnsi="Garamond" w:cs="Arial"/>
                                <w:bCs/>
                                <w:kern w:val="28"/>
                                <w:sz w:val="20"/>
                                <w:szCs w:val="20"/>
                                <w:lang w:val="fr-BE"/>
                              </w:rPr>
                              <w:t>WSBI-ESBG Register ID 8765978796</w:t>
                            </w:r>
                            <w:r w:rsidRPr="00457CDE">
                              <w:rPr>
                                <w:rFonts w:ascii="Garamond" w:hAnsi="Garamond" w:cs="Arial"/>
                                <w:bCs/>
                                <w:kern w:val="28"/>
                                <w:sz w:val="20"/>
                                <w:szCs w:val="20"/>
                                <w:lang w:val="fr-BE"/>
                              </w:rPr>
                              <w:t>-80</w:t>
                            </w:r>
                          </w:p>
                          <w:p w:rsidR="009549F6" w:rsidRPr="00457CDE" w:rsidRDefault="009549F6" w:rsidP="00D138EA">
                            <w:pPr>
                              <w:rPr>
                                <w:lang w:val="fr-BE"/>
                              </w:rPr>
                            </w:pPr>
                          </w:p>
                          <w:p w:rsidR="009549F6" w:rsidRDefault="009549F6" w:rsidP="00D138EA">
                            <w:pPr>
                              <w:rPr>
                                <w:rStyle w:val="TitleChar"/>
                                <w:rFonts w:ascii="Garamond" w:hAnsi="Garamond" w:cs="Garamond"/>
                                <w:sz w:val="28"/>
                                <w:szCs w:val="28"/>
                              </w:rPr>
                            </w:pPr>
                            <w:r>
                              <w:rPr>
                                <w:rStyle w:val="TitleChar"/>
                                <w:rFonts w:ascii="Garamond" w:hAnsi="Garamond" w:cs="Garamond"/>
                                <w:sz w:val="28"/>
                                <w:szCs w:val="28"/>
                              </w:rPr>
                              <w:t>December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6pt;margin-top:75.9pt;width:264.8pt;height:2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Jgg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" stroked="f">
                <v:textbox>
                  <w:txbxContent>
                    <w:p w:rsidR="00E109BB" w:rsidRPr="009229D4" w:rsidRDefault="00E109BB" w:rsidP="009229D4">
                      <w:pPr>
                        <w:pStyle w:val="Default"/>
                        <w:jc w:val="both"/>
                        <w:rPr>
                          <w:rFonts w:ascii="Georgia" w:eastAsia="Calibri" w:hAnsi="Georgia" w:cs="Georgia"/>
                          <w:lang w:val="en-US" w:eastAsia="en-US"/>
                        </w:rPr>
                      </w:pPr>
                      <w:bookmarkStart w:id="1" w:name="_GoBack"/>
                      <w:r>
                        <w:rPr>
                          <w:rStyle w:val="TitleChar"/>
                          <w:rFonts w:ascii="Garamond" w:hAnsi="Garamond" w:cs="Garamond"/>
                          <w:sz w:val="28"/>
                          <w:szCs w:val="28"/>
                        </w:rPr>
                        <w:t>ESBG</w:t>
                      </w:r>
                      <w:r w:rsidRPr="004C321F">
                        <w:rPr>
                          <w:rStyle w:val="TitleChar"/>
                          <w:rFonts w:ascii="Garamond" w:hAnsi="Garamond" w:cs="Garamond"/>
                          <w:sz w:val="28"/>
                          <w:szCs w:val="28"/>
                        </w:rPr>
                        <w:t xml:space="preserve"> common response to the </w:t>
                      </w:r>
                      <w:r>
                        <w:rPr>
                          <w:rStyle w:val="TitleChar"/>
                          <w:rFonts w:ascii="Garamond" w:hAnsi="Garamond" w:cs="Garamond"/>
                          <w:sz w:val="28"/>
                          <w:szCs w:val="28"/>
                        </w:rPr>
                        <w:t xml:space="preserve">European Banking Authority consultation on </w:t>
                      </w:r>
                      <w:r w:rsidRPr="00965F49">
                        <w:rPr>
                          <w:rStyle w:val="TitleChar"/>
                          <w:rFonts w:ascii="Garamond" w:hAnsi="Garamond" w:cs="Garamond"/>
                          <w:sz w:val="28"/>
                          <w:szCs w:val="28"/>
                        </w:rPr>
                        <w:t>draft implementing technical standards on currencies for which the justified demand for liquid assets exceeds the availability of those assets under Article 419(4) of Regulation (EU) 575/2013 (Capital Requirements Regulation – CRR)</w:t>
                      </w:r>
                      <w:r>
                        <w:rPr>
                          <w:rStyle w:val="TitleChar"/>
                          <w:rFonts w:ascii="Garamond" w:hAnsi="Garamond" w:cs="Garamond"/>
                          <w:sz w:val="28"/>
                          <w:szCs w:val="28"/>
                        </w:rPr>
                        <w:t>.</w:t>
                      </w:r>
                    </w:p>
                    <w:p w:rsidR="00E109BB" w:rsidRDefault="00E109BB" w:rsidP="00D138EA">
                      <w:pPr>
                        <w:rPr>
                          <w:rFonts w:ascii="Garamond" w:hAnsi="Garamond"/>
                          <w:kern w:val="28"/>
                          <w:sz w:val="16"/>
                          <w:szCs w:val="16"/>
                        </w:rPr>
                      </w:pPr>
                    </w:p>
                    <w:p w:rsidR="00E109BB" w:rsidRPr="00FA475F" w:rsidRDefault="00E109BB" w:rsidP="00D138EA">
                      <w:pPr>
                        <w:spacing w:after="0" w:line="240" w:lineRule="auto"/>
                        <w:rPr>
                          <w:rFonts w:ascii="Garamond" w:hAnsi="Garamond"/>
                          <w:kern w:val="28"/>
                          <w:sz w:val="20"/>
                          <w:szCs w:val="20"/>
                        </w:rPr>
                      </w:pPr>
                      <w:r w:rsidRPr="00FA475F">
                        <w:rPr>
                          <w:rFonts w:ascii="Garamond" w:hAnsi="Garamond"/>
                          <w:kern w:val="28"/>
                          <w:sz w:val="20"/>
                          <w:szCs w:val="20"/>
                        </w:rPr>
                        <w:t xml:space="preserve">WSBI-ESBG (World Institute of Savings </w:t>
                      </w:r>
                      <w:r>
                        <w:rPr>
                          <w:rFonts w:ascii="Garamond" w:hAnsi="Garamond"/>
                          <w:kern w:val="28"/>
                          <w:sz w:val="20"/>
                          <w:szCs w:val="20"/>
                        </w:rPr>
                        <w:t xml:space="preserve">and Retail </w:t>
                      </w:r>
                      <w:r w:rsidRPr="00FA475F">
                        <w:rPr>
                          <w:rFonts w:ascii="Garamond" w:hAnsi="Garamond"/>
                          <w:kern w:val="28"/>
                          <w:sz w:val="20"/>
                          <w:szCs w:val="20"/>
                        </w:rPr>
                        <w:t xml:space="preserve">Banks - European Savings </w:t>
                      </w:r>
                      <w:r>
                        <w:rPr>
                          <w:rFonts w:ascii="Garamond" w:hAnsi="Garamond"/>
                          <w:kern w:val="28"/>
                          <w:sz w:val="20"/>
                          <w:szCs w:val="20"/>
                        </w:rPr>
                        <w:t xml:space="preserve">and Retail </w:t>
                      </w:r>
                      <w:r w:rsidRPr="00FA475F">
                        <w:rPr>
                          <w:rFonts w:ascii="Garamond" w:hAnsi="Garamond"/>
                          <w:kern w:val="28"/>
                          <w:sz w:val="20"/>
                          <w:szCs w:val="20"/>
                        </w:rPr>
                        <w:t>Bank</w:t>
                      </w:r>
                      <w:r>
                        <w:rPr>
                          <w:rFonts w:ascii="Garamond" w:hAnsi="Garamond"/>
                          <w:kern w:val="28"/>
                          <w:sz w:val="20"/>
                          <w:szCs w:val="20"/>
                        </w:rPr>
                        <w:t>ing</w:t>
                      </w:r>
                      <w:r w:rsidRPr="00FA475F">
                        <w:rPr>
                          <w:rFonts w:ascii="Garamond" w:hAnsi="Garamond"/>
                          <w:kern w:val="28"/>
                          <w:sz w:val="20"/>
                          <w:szCs w:val="20"/>
                        </w:rPr>
                        <w:t xml:space="preserve"> Group)</w:t>
                      </w:r>
                    </w:p>
                    <w:p w:rsidR="00E109BB" w:rsidRPr="00627367" w:rsidRDefault="00E109BB" w:rsidP="00D138EA">
                      <w:pPr>
                        <w:spacing w:after="0" w:line="240" w:lineRule="auto"/>
                        <w:rPr>
                          <w:rFonts w:ascii="Garamond" w:hAnsi="Garamond"/>
                          <w:kern w:val="28"/>
                          <w:sz w:val="20"/>
                          <w:szCs w:val="20"/>
                          <w:lang w:val="fr-BE"/>
                        </w:rPr>
                      </w:pPr>
                      <w:r w:rsidRPr="00FA475F">
                        <w:rPr>
                          <w:rFonts w:ascii="Garamond" w:hAnsi="Garamond"/>
                          <w:sz w:val="20"/>
                          <w:szCs w:val="20"/>
                          <w:lang w:val="fr-BE" w:eastAsia="de-DE"/>
                        </w:rPr>
                        <w:t>Rue Marie-Thérèse, 11 - B-</w:t>
                      </w:r>
                      <w:r w:rsidRPr="00627367">
                        <w:rPr>
                          <w:rFonts w:ascii="Garamond" w:hAnsi="Garamond"/>
                          <w:sz w:val="20"/>
                          <w:szCs w:val="20"/>
                          <w:lang w:val="fr-BE" w:eastAsia="de-DE"/>
                        </w:rPr>
                        <w:t>1000 Brussels</w:t>
                      </w:r>
                    </w:p>
                    <w:p w:rsidR="00E109BB" w:rsidRPr="00457CDE" w:rsidRDefault="00E109BB" w:rsidP="00D138EA">
                      <w:pPr>
                        <w:spacing w:after="0" w:line="240" w:lineRule="auto"/>
                        <w:rPr>
                          <w:rFonts w:ascii="Garamond" w:hAnsi="Garamond" w:cs="Arial"/>
                          <w:bCs/>
                          <w:kern w:val="28"/>
                          <w:sz w:val="20"/>
                          <w:szCs w:val="20"/>
                          <w:lang w:val="fr-BE"/>
                        </w:rPr>
                      </w:pPr>
                      <w:proofErr w:type="spellStart"/>
                      <w:r w:rsidRPr="00627367">
                        <w:rPr>
                          <w:rFonts w:ascii="Garamond" w:hAnsi="Garamond" w:cs="Arial"/>
                          <w:bCs/>
                          <w:kern w:val="28"/>
                          <w:sz w:val="20"/>
                          <w:szCs w:val="20"/>
                          <w:lang w:val="fr-BE"/>
                        </w:rPr>
                        <w:t>WSBI-ESBG</w:t>
                      </w:r>
                      <w:proofErr w:type="spellEnd"/>
                      <w:r w:rsidRPr="00627367">
                        <w:rPr>
                          <w:rFonts w:ascii="Garamond" w:hAnsi="Garamond" w:cs="Arial"/>
                          <w:bCs/>
                          <w:kern w:val="28"/>
                          <w:sz w:val="20"/>
                          <w:szCs w:val="20"/>
                          <w:lang w:val="fr-BE"/>
                        </w:rPr>
                        <w:t xml:space="preserve"> </w:t>
                      </w:r>
                      <w:proofErr w:type="spellStart"/>
                      <w:r w:rsidRPr="00627367">
                        <w:rPr>
                          <w:rFonts w:ascii="Garamond" w:hAnsi="Garamond" w:cs="Arial"/>
                          <w:bCs/>
                          <w:kern w:val="28"/>
                          <w:sz w:val="20"/>
                          <w:szCs w:val="20"/>
                          <w:lang w:val="fr-BE"/>
                        </w:rPr>
                        <w:t>Register</w:t>
                      </w:r>
                      <w:proofErr w:type="spellEnd"/>
                      <w:r w:rsidRPr="00627367">
                        <w:rPr>
                          <w:rFonts w:ascii="Garamond" w:hAnsi="Garamond" w:cs="Arial"/>
                          <w:bCs/>
                          <w:kern w:val="28"/>
                          <w:sz w:val="20"/>
                          <w:szCs w:val="20"/>
                          <w:lang w:val="fr-BE"/>
                        </w:rPr>
                        <w:t xml:space="preserve"> ID 8765978796</w:t>
                      </w:r>
                      <w:r w:rsidRPr="00457CDE">
                        <w:rPr>
                          <w:rFonts w:ascii="Garamond" w:hAnsi="Garamond" w:cs="Arial"/>
                          <w:bCs/>
                          <w:kern w:val="28"/>
                          <w:sz w:val="20"/>
                          <w:szCs w:val="20"/>
                          <w:lang w:val="fr-BE"/>
                        </w:rPr>
                        <w:t>-80</w:t>
                      </w:r>
                    </w:p>
                    <w:p w:rsidR="00E109BB" w:rsidRPr="00457CDE" w:rsidRDefault="00E109BB" w:rsidP="00D138EA">
                      <w:pPr>
                        <w:rPr>
                          <w:lang w:val="fr-BE"/>
                        </w:rPr>
                      </w:pPr>
                    </w:p>
                    <w:bookmarkEnd w:id="1"/>
                    <w:p w:rsidR="00E109BB" w:rsidRDefault="00E109BB" w:rsidP="00D138EA">
                      <w:pPr>
                        <w:rPr>
                          <w:rStyle w:val="TitleChar"/>
                          <w:rFonts w:ascii="Garamond" w:hAnsi="Garamond" w:cs="Garamond"/>
                          <w:sz w:val="28"/>
                          <w:szCs w:val="28"/>
                        </w:rPr>
                      </w:pPr>
                      <w:r>
                        <w:rPr>
                          <w:rStyle w:val="TitleChar"/>
                          <w:rFonts w:ascii="Garamond" w:hAnsi="Garamond" w:cs="Garamond"/>
                          <w:sz w:val="28"/>
                          <w:szCs w:val="28"/>
                        </w:rPr>
                        <w:t>December 2013</w:t>
                      </w:r>
                    </w:p>
                  </w:txbxContent>
                </v:textbox>
              </v:shape>
            </w:pict>
          </mc:Fallback>
        </mc:AlternateContent>
      </w:r>
      <w:r w:rsidR="001B7A8A" w:rsidRPr="00E109BB">
        <w:rPr>
          <w:noProof/>
          <w:lang w:val="fr-BE" w:eastAsia="zh-CN"/>
        </w:rPr>
        <w:drawing>
          <wp:anchor distT="0" distB="0" distL="114300" distR="114300" simplePos="0" relativeHeight="251658240" behindDoc="0" locked="0" layoutInCell="1" allowOverlap="1" wp14:anchorId="3E021377" wp14:editId="70B19910">
            <wp:simplePos x="0" y="0"/>
            <wp:positionH relativeFrom="column">
              <wp:posOffset>4942840</wp:posOffset>
            </wp:positionH>
            <wp:positionV relativeFrom="paragraph">
              <wp:posOffset>8801100</wp:posOffset>
            </wp:positionV>
            <wp:extent cx="2057400" cy="800100"/>
            <wp:effectExtent l="19050" t="0" r="0" b="0"/>
            <wp:wrapNone/>
            <wp:docPr id="7" name="Picture 8"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bg"/>
                    <pic:cNvPicPr>
                      <a:picLocks noChangeAspect="1" noChangeArrowheads="1"/>
                    </pic:cNvPicPr>
                  </pic:nvPicPr>
                  <pic:blipFill>
                    <a:blip r:embed="rId10"/>
                    <a:srcRect/>
                    <a:stretch>
                      <a:fillRect/>
                    </a:stretch>
                  </pic:blipFill>
                  <pic:spPr bwMode="auto">
                    <a:xfrm>
                      <a:off x="0" y="0"/>
                      <a:ext cx="2057400" cy="800100"/>
                    </a:xfrm>
                    <a:prstGeom prst="rect">
                      <a:avLst/>
                    </a:prstGeom>
                    <a:noFill/>
                    <a:ln w="9525">
                      <a:noFill/>
                      <a:miter lim="800000"/>
                      <a:headEnd/>
                      <a:tailEnd/>
                    </a:ln>
                  </pic:spPr>
                </pic:pic>
              </a:graphicData>
            </a:graphic>
          </wp:anchor>
        </w:drawing>
      </w:r>
      <w:r w:rsidR="001B7A8A" w:rsidRPr="00E109BB">
        <w:rPr>
          <w:noProof/>
          <w:lang w:val="fr-BE" w:eastAsia="zh-CN"/>
        </w:rPr>
        <w:drawing>
          <wp:anchor distT="0" distB="0" distL="114300" distR="114300" simplePos="0" relativeHeight="251657216" behindDoc="0" locked="0" layoutInCell="1" allowOverlap="1" wp14:anchorId="6849FD09" wp14:editId="797D36A1">
            <wp:simplePos x="0" y="0"/>
            <wp:positionH relativeFrom="column">
              <wp:posOffset>4942840</wp:posOffset>
            </wp:positionH>
            <wp:positionV relativeFrom="paragraph">
              <wp:posOffset>8801100</wp:posOffset>
            </wp:positionV>
            <wp:extent cx="2057400" cy="800100"/>
            <wp:effectExtent l="19050" t="0" r="0" b="0"/>
            <wp:wrapNone/>
            <wp:docPr id="6" name="Picture 7"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bg"/>
                    <pic:cNvPicPr>
                      <a:picLocks noChangeAspect="1" noChangeArrowheads="1"/>
                    </pic:cNvPicPr>
                  </pic:nvPicPr>
                  <pic:blipFill>
                    <a:blip r:embed="rId10"/>
                    <a:srcRect/>
                    <a:stretch>
                      <a:fillRect/>
                    </a:stretch>
                  </pic:blipFill>
                  <pic:spPr bwMode="auto">
                    <a:xfrm>
                      <a:off x="0" y="0"/>
                      <a:ext cx="2057400" cy="800100"/>
                    </a:xfrm>
                    <a:prstGeom prst="rect">
                      <a:avLst/>
                    </a:prstGeom>
                    <a:noFill/>
                    <a:ln w="9525">
                      <a:noFill/>
                      <a:miter lim="800000"/>
                      <a:headEnd/>
                      <a:tailEnd/>
                    </a:ln>
                  </pic:spPr>
                </pic:pic>
              </a:graphicData>
            </a:graphic>
          </wp:anchor>
        </w:drawing>
      </w:r>
      <w:r w:rsidR="001B7A8A" w:rsidRPr="00E109BB">
        <w:rPr>
          <w:noProof/>
          <w:lang w:val="fr-BE" w:eastAsia="zh-CN"/>
        </w:rPr>
        <w:drawing>
          <wp:anchor distT="0" distB="0" distL="114300" distR="114300" simplePos="0" relativeHeight="251656192" behindDoc="0" locked="0" layoutInCell="1" allowOverlap="1" wp14:anchorId="53A5C210" wp14:editId="1912B828">
            <wp:simplePos x="0" y="0"/>
            <wp:positionH relativeFrom="column">
              <wp:posOffset>4942840</wp:posOffset>
            </wp:positionH>
            <wp:positionV relativeFrom="paragraph">
              <wp:posOffset>8801100</wp:posOffset>
            </wp:positionV>
            <wp:extent cx="2057400" cy="800100"/>
            <wp:effectExtent l="19050" t="0" r="0" b="0"/>
            <wp:wrapNone/>
            <wp:docPr id="5" name="Picture 6"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bg"/>
                    <pic:cNvPicPr>
                      <a:picLocks noChangeAspect="1" noChangeArrowheads="1"/>
                    </pic:cNvPicPr>
                  </pic:nvPicPr>
                  <pic:blipFill>
                    <a:blip r:embed="rId10"/>
                    <a:srcRect/>
                    <a:stretch>
                      <a:fillRect/>
                    </a:stretch>
                  </pic:blipFill>
                  <pic:spPr bwMode="auto">
                    <a:xfrm>
                      <a:off x="0" y="0"/>
                      <a:ext cx="2057400" cy="800100"/>
                    </a:xfrm>
                    <a:prstGeom prst="rect">
                      <a:avLst/>
                    </a:prstGeom>
                    <a:noFill/>
                    <a:ln w="9525">
                      <a:noFill/>
                      <a:miter lim="800000"/>
                      <a:headEnd/>
                      <a:tailEnd/>
                    </a:ln>
                  </pic:spPr>
                </pic:pic>
              </a:graphicData>
            </a:graphic>
          </wp:anchor>
        </w:drawing>
      </w:r>
      <w:r w:rsidR="001B7A8A" w:rsidRPr="00E109BB">
        <w:rPr>
          <w:noProof/>
          <w:lang w:val="fr-BE" w:eastAsia="zh-CN"/>
        </w:rPr>
        <w:drawing>
          <wp:anchor distT="0" distB="0" distL="114300" distR="114300" simplePos="0" relativeHeight="251655168" behindDoc="0" locked="0" layoutInCell="1" allowOverlap="1" wp14:anchorId="7E2F8FEC" wp14:editId="01B15630">
            <wp:simplePos x="0" y="0"/>
            <wp:positionH relativeFrom="column">
              <wp:posOffset>5080635</wp:posOffset>
            </wp:positionH>
            <wp:positionV relativeFrom="paragraph">
              <wp:posOffset>9486900</wp:posOffset>
            </wp:positionV>
            <wp:extent cx="1657350" cy="571500"/>
            <wp:effectExtent l="19050" t="0" r="0" b="0"/>
            <wp:wrapNone/>
            <wp:docPr id="4" name="Picture 2"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
                    <pic:cNvPicPr>
                      <a:picLocks noChangeAspect="1" noChangeArrowheads="1"/>
                    </pic:cNvPicPr>
                  </pic:nvPicPr>
                  <pic:blipFill>
                    <a:blip r:embed="rId10"/>
                    <a:srcRect/>
                    <a:stretch>
                      <a:fillRect/>
                    </a:stretch>
                  </pic:blipFill>
                  <pic:spPr bwMode="auto">
                    <a:xfrm>
                      <a:off x="0" y="0"/>
                      <a:ext cx="1657350" cy="571500"/>
                    </a:xfrm>
                    <a:prstGeom prst="rect">
                      <a:avLst/>
                    </a:prstGeom>
                    <a:noFill/>
                    <a:ln w="9525">
                      <a:noFill/>
                      <a:miter lim="800000"/>
                      <a:headEnd/>
                      <a:tailEnd/>
                    </a:ln>
                  </pic:spPr>
                </pic:pic>
              </a:graphicData>
            </a:graphic>
          </wp:anchor>
        </w:drawing>
      </w:r>
      <w:r w:rsidR="00D22DFD" w:rsidRPr="00E109BB">
        <w:rPr>
          <w:rFonts w:ascii="Garamond" w:hAnsi="Garamond" w:cs="Garamond"/>
          <w:b/>
          <w:bCs/>
          <w:sz w:val="24"/>
          <w:szCs w:val="24"/>
          <w:lang w:val="en-GB"/>
        </w:rPr>
        <w:tab/>
      </w:r>
      <w:r w:rsidR="00D22DFD" w:rsidRPr="00E109BB">
        <w:rPr>
          <w:rFonts w:ascii="Garamond" w:hAnsi="Garamond" w:cs="Garamond"/>
          <w:b/>
          <w:bCs/>
          <w:sz w:val="24"/>
          <w:szCs w:val="24"/>
          <w:lang w:val="en-GB"/>
        </w:rPr>
        <w:tab/>
      </w:r>
      <w:r w:rsidR="00D22DFD" w:rsidRPr="00E109BB">
        <w:rPr>
          <w:rFonts w:ascii="Garamond" w:hAnsi="Garamond" w:cs="Garamond"/>
          <w:b/>
          <w:bCs/>
          <w:sz w:val="24"/>
          <w:szCs w:val="24"/>
          <w:lang w:val="en-GB"/>
        </w:rPr>
        <w:tab/>
      </w:r>
      <w:r w:rsidR="00D22DFD" w:rsidRPr="00E109BB">
        <w:rPr>
          <w:rFonts w:ascii="Garamond" w:hAnsi="Garamond" w:cs="Garamond"/>
          <w:b/>
          <w:bCs/>
          <w:sz w:val="24"/>
          <w:szCs w:val="24"/>
          <w:lang w:val="en-GB"/>
        </w:rPr>
        <w:br w:type="page"/>
      </w:r>
      <w:r w:rsidR="005A5CC1" w:rsidRPr="00E109BB">
        <w:rPr>
          <w:rFonts w:ascii="Garamond" w:hAnsi="Garamond" w:cs="Garamond"/>
          <w:bCs/>
          <w:sz w:val="16"/>
          <w:szCs w:val="16"/>
          <w:lang w:val="en-GB"/>
        </w:rPr>
        <w:lastRenderedPageBreak/>
        <w:t xml:space="preserve">Doc </w:t>
      </w:r>
      <w:r w:rsidR="00963DE0" w:rsidRPr="00E109BB">
        <w:rPr>
          <w:rFonts w:ascii="Garamond" w:hAnsi="Garamond" w:cs="Garamond"/>
          <w:bCs/>
          <w:sz w:val="16"/>
          <w:szCs w:val="16"/>
          <w:lang w:val="en-GB"/>
        </w:rPr>
        <w:t>1199</w:t>
      </w:r>
      <w:r w:rsidR="005A5CC1" w:rsidRPr="00E109BB">
        <w:rPr>
          <w:rFonts w:ascii="Garamond" w:hAnsi="Garamond" w:cs="Garamond"/>
          <w:bCs/>
          <w:sz w:val="16"/>
          <w:szCs w:val="16"/>
          <w:lang w:val="en-GB"/>
        </w:rPr>
        <w:t>/201</w:t>
      </w:r>
      <w:r w:rsidR="003006BE" w:rsidRPr="00E109BB">
        <w:rPr>
          <w:rFonts w:ascii="Garamond" w:hAnsi="Garamond" w:cs="Garamond"/>
          <w:bCs/>
          <w:sz w:val="16"/>
          <w:szCs w:val="16"/>
          <w:lang w:val="en-GB"/>
        </w:rPr>
        <w:t>3</w:t>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5A5CC1" w:rsidRPr="00E109BB">
        <w:rPr>
          <w:rFonts w:ascii="Garamond" w:hAnsi="Garamond" w:cs="Garamond"/>
          <w:bCs/>
          <w:sz w:val="16"/>
          <w:szCs w:val="16"/>
          <w:lang w:val="en-GB"/>
        </w:rPr>
        <w:tab/>
      </w:r>
      <w:r w:rsidR="00D7763D" w:rsidRPr="00E109BB">
        <w:rPr>
          <w:rFonts w:ascii="Garamond" w:hAnsi="Garamond" w:cs="Garamond"/>
          <w:bCs/>
          <w:sz w:val="16"/>
          <w:szCs w:val="16"/>
          <w:lang w:val="en-GB"/>
        </w:rPr>
        <w:tab/>
      </w:r>
      <w:r w:rsidR="00D7763D" w:rsidRPr="00E109BB">
        <w:rPr>
          <w:rFonts w:ascii="Garamond" w:hAnsi="Garamond" w:cs="Garamond"/>
          <w:bCs/>
          <w:sz w:val="16"/>
          <w:szCs w:val="16"/>
          <w:lang w:val="en-GB"/>
        </w:rPr>
        <w:tab/>
      </w:r>
      <w:r w:rsidR="00D7763D" w:rsidRPr="00E109BB">
        <w:rPr>
          <w:rFonts w:ascii="Garamond" w:hAnsi="Garamond" w:cs="Garamond"/>
          <w:bCs/>
          <w:sz w:val="16"/>
          <w:szCs w:val="16"/>
          <w:lang w:val="en-GB"/>
        </w:rPr>
        <w:tab/>
      </w:r>
      <w:r w:rsidR="00D7763D" w:rsidRPr="00E109BB">
        <w:rPr>
          <w:rFonts w:ascii="Garamond" w:hAnsi="Garamond" w:cs="Garamond"/>
          <w:bCs/>
          <w:i/>
          <w:sz w:val="16"/>
          <w:szCs w:val="16"/>
          <w:lang w:val="en-GB"/>
        </w:rPr>
        <w:tab/>
      </w:r>
      <w:r w:rsidR="00D7763D" w:rsidRPr="00E109BB">
        <w:rPr>
          <w:rFonts w:ascii="Garamond" w:hAnsi="Garamond" w:cs="Garamond"/>
          <w:bCs/>
          <w:sz w:val="16"/>
          <w:szCs w:val="16"/>
          <w:lang w:val="en-GB"/>
        </w:rPr>
        <w:tab/>
      </w:r>
      <w:r w:rsidR="00D7763D" w:rsidRPr="00E109BB">
        <w:rPr>
          <w:rFonts w:ascii="Garamond" w:hAnsi="Garamond" w:cs="Garamond"/>
          <w:bCs/>
          <w:sz w:val="16"/>
          <w:szCs w:val="16"/>
          <w:lang w:val="en-GB"/>
        </w:rPr>
        <w:tab/>
      </w:r>
      <w:r w:rsidR="00D7763D" w:rsidRPr="00E109BB">
        <w:rPr>
          <w:rFonts w:ascii="Garamond" w:hAnsi="Garamond" w:cs="Garamond"/>
          <w:bCs/>
          <w:sz w:val="16"/>
          <w:szCs w:val="16"/>
          <w:lang w:val="en-GB"/>
        </w:rPr>
        <w:tab/>
      </w:r>
      <w:r w:rsidR="00D7763D" w:rsidRPr="00E109BB">
        <w:rPr>
          <w:rFonts w:ascii="Garamond" w:hAnsi="Garamond" w:cs="Garamond"/>
          <w:bCs/>
          <w:sz w:val="16"/>
          <w:szCs w:val="16"/>
          <w:lang w:val="en-GB"/>
        </w:rPr>
        <w:tab/>
      </w:r>
      <w:r w:rsidR="00DD61B0" w:rsidRPr="00E109BB">
        <w:rPr>
          <w:rFonts w:ascii="Garamond" w:hAnsi="Garamond" w:cs="Garamond"/>
          <w:bCs/>
          <w:sz w:val="16"/>
          <w:szCs w:val="16"/>
          <w:lang w:val="en-GB"/>
        </w:rPr>
        <w:tab/>
      </w:r>
      <w:r w:rsidR="005A5CC1" w:rsidRPr="00E109BB">
        <w:rPr>
          <w:rFonts w:ascii="Garamond" w:hAnsi="Garamond" w:cs="Garamond"/>
          <w:bCs/>
          <w:sz w:val="16"/>
          <w:szCs w:val="16"/>
          <w:lang w:val="en-GB"/>
        </w:rPr>
        <w:tab/>
      </w:r>
    </w:p>
    <w:p w:rsidR="008B6C05" w:rsidRPr="00E109BB" w:rsidRDefault="008B6C05" w:rsidP="00C2076D">
      <w:pPr>
        <w:spacing w:after="0" w:line="240" w:lineRule="auto"/>
        <w:ind w:firstLine="720"/>
        <w:jc w:val="both"/>
        <w:rPr>
          <w:rFonts w:ascii="Garamond" w:hAnsi="Garamond" w:cs="Times New Roman"/>
          <w:sz w:val="24"/>
          <w:lang w:val="en-GB" w:bidi="en-US"/>
        </w:rPr>
      </w:pPr>
    </w:p>
    <w:p w:rsidR="00FC4CF6" w:rsidRPr="00E109BB" w:rsidRDefault="00FC4CF6" w:rsidP="00FC4CF6">
      <w:pPr>
        <w:spacing w:before="120" w:after="120"/>
        <w:jc w:val="both"/>
        <w:rPr>
          <w:rFonts w:ascii="Garamond" w:hAnsi="Garamond" w:cs="Garamond"/>
          <w:sz w:val="24"/>
          <w:szCs w:val="24"/>
          <w:lang w:val="en-GB" w:eastAsia="sv-SE"/>
        </w:rPr>
      </w:pPr>
      <w:r w:rsidRPr="00E109BB">
        <w:rPr>
          <w:rFonts w:ascii="Garamond" w:hAnsi="Garamond" w:cs="Garamond"/>
          <w:sz w:val="24"/>
          <w:szCs w:val="24"/>
          <w:lang w:val="en-GB" w:eastAsia="sv-SE"/>
        </w:rPr>
        <w:t xml:space="preserve">First of all, the </w:t>
      </w:r>
      <w:r w:rsidR="00C6207E" w:rsidRPr="00E109BB">
        <w:rPr>
          <w:rFonts w:ascii="Garamond" w:hAnsi="Garamond" w:cs="Garamond"/>
          <w:sz w:val="24"/>
          <w:szCs w:val="24"/>
          <w:lang w:val="en-GB" w:eastAsia="sv-SE"/>
        </w:rPr>
        <w:t>European Savings and retail Banking Group</w:t>
      </w:r>
      <w:r w:rsidRPr="00E109BB">
        <w:rPr>
          <w:rFonts w:ascii="Garamond" w:hAnsi="Garamond" w:cs="Garamond"/>
          <w:sz w:val="24"/>
          <w:szCs w:val="24"/>
          <w:lang w:val="en-GB" w:eastAsia="sv-SE"/>
        </w:rPr>
        <w:t xml:space="preserve"> (ESBG) would like to welcome the opportunity to share its views on this </w:t>
      </w:r>
      <w:r w:rsidR="00E109BB" w:rsidRPr="00E109BB">
        <w:rPr>
          <w:rFonts w:ascii="Garamond" w:hAnsi="Garamond" w:cs="Garamond"/>
          <w:sz w:val="24"/>
          <w:szCs w:val="24"/>
          <w:lang w:val="en-GB" w:eastAsia="sv-SE"/>
        </w:rPr>
        <w:t>d</w:t>
      </w:r>
      <w:r w:rsidRPr="00E109BB">
        <w:rPr>
          <w:rFonts w:ascii="Garamond" w:hAnsi="Garamond" w:cs="Garamond"/>
          <w:sz w:val="24"/>
          <w:szCs w:val="24"/>
          <w:lang w:val="en-GB" w:eastAsia="sv-SE"/>
        </w:rPr>
        <w:t>raft regulatory technical standards paper. Please find below some of our main messages and views.</w:t>
      </w:r>
    </w:p>
    <w:p w:rsidR="00965F49" w:rsidRPr="00E109BB" w:rsidRDefault="00FC4CF6" w:rsidP="00965F49">
      <w:pPr>
        <w:jc w:val="both"/>
        <w:rPr>
          <w:rFonts w:ascii="Garamond" w:hAnsi="Garamond" w:cstheme="minorHAnsi"/>
          <w:b/>
          <w:sz w:val="24"/>
          <w:szCs w:val="24"/>
          <w:lang w:val="en-GB"/>
        </w:rPr>
      </w:pPr>
      <w:r w:rsidRPr="00E109BB">
        <w:rPr>
          <w:rFonts w:ascii="Garamond" w:hAnsi="Garamond"/>
          <w:sz w:val="24"/>
          <w:szCs w:val="24"/>
          <w:lang w:val="en-GB"/>
        </w:rPr>
        <w:t>The ESBG</w:t>
      </w:r>
      <w:r w:rsidR="00965F49" w:rsidRPr="00E109BB">
        <w:rPr>
          <w:rFonts w:ascii="Garamond" w:hAnsi="Garamond"/>
          <w:sz w:val="24"/>
          <w:szCs w:val="24"/>
          <w:lang w:val="en-GB"/>
        </w:rPr>
        <w:t xml:space="preserve"> would </w:t>
      </w:r>
      <w:r w:rsidRPr="00E109BB">
        <w:rPr>
          <w:rFonts w:ascii="Garamond" w:hAnsi="Garamond"/>
          <w:sz w:val="24"/>
          <w:szCs w:val="24"/>
          <w:lang w:val="en-GB"/>
        </w:rPr>
        <w:t xml:space="preserve">first </w:t>
      </w:r>
      <w:r w:rsidR="00965F49" w:rsidRPr="00E109BB">
        <w:rPr>
          <w:rFonts w:ascii="Garamond" w:hAnsi="Garamond"/>
          <w:sz w:val="24"/>
          <w:szCs w:val="24"/>
          <w:lang w:val="en-GB"/>
        </w:rPr>
        <w:t>like to highlight the surprising fact that the EBA only further investigates the Norwegian Krone and Danish Krone, leaving aside the Swedish Krone and the Central Eastern and South Eastern Europe</w:t>
      </w:r>
      <w:r w:rsidR="00965F49" w:rsidRPr="00E109BB">
        <w:rPr>
          <w:rFonts w:ascii="Garamond" w:hAnsi="Garamond" w:cstheme="minorHAnsi"/>
          <w:sz w:val="24"/>
          <w:szCs w:val="24"/>
          <w:lang w:val="en-GB"/>
        </w:rPr>
        <w:t xml:space="preserve"> (CESEE)</w:t>
      </w:r>
      <w:r w:rsidR="00965F49" w:rsidRPr="00E109BB">
        <w:rPr>
          <w:rFonts w:ascii="Garamond" w:hAnsi="Garamond" w:cstheme="minorHAnsi"/>
          <w:b/>
          <w:sz w:val="24"/>
          <w:szCs w:val="24"/>
          <w:lang w:val="en-GB"/>
        </w:rPr>
        <w:t xml:space="preserve"> </w:t>
      </w:r>
      <w:r w:rsidR="00965F49" w:rsidRPr="00E109BB">
        <w:rPr>
          <w:rFonts w:ascii="Garamond" w:hAnsi="Garamond"/>
          <w:sz w:val="24"/>
          <w:szCs w:val="24"/>
          <w:lang w:val="en-GB"/>
        </w:rPr>
        <w:t>currencies. Other countries may also experience somewhat of a deficit in liquid assets, especially</w:t>
      </w:r>
      <w:r w:rsidR="00E157FE">
        <w:rPr>
          <w:rFonts w:ascii="Garamond" w:hAnsi="Garamond"/>
          <w:sz w:val="24"/>
          <w:szCs w:val="24"/>
          <w:lang w:val="en-GB"/>
        </w:rPr>
        <w:t>,</w:t>
      </w:r>
      <w:r w:rsidR="00965F49" w:rsidRPr="00E109BB">
        <w:rPr>
          <w:rFonts w:ascii="Garamond" w:hAnsi="Garamond"/>
          <w:sz w:val="24"/>
          <w:szCs w:val="24"/>
          <w:lang w:val="en-GB"/>
        </w:rPr>
        <w:t xml:space="preserve"> when taking into account the free-float exchange rate. </w:t>
      </w:r>
      <w:r w:rsidR="00E109BB" w:rsidRPr="00E109BB">
        <w:rPr>
          <w:rFonts w:ascii="Garamond" w:hAnsi="Garamond"/>
          <w:sz w:val="24"/>
          <w:szCs w:val="24"/>
          <w:lang w:val="en-GB"/>
        </w:rPr>
        <w:t>We believe that</w:t>
      </w:r>
      <w:r w:rsidR="00965F49" w:rsidRPr="00E109BB">
        <w:rPr>
          <w:rFonts w:ascii="Garamond" w:hAnsi="Garamond"/>
          <w:sz w:val="24"/>
          <w:szCs w:val="24"/>
          <w:lang w:val="en-GB"/>
        </w:rPr>
        <w:t xml:space="preserve"> a broader analysis should have been made. </w:t>
      </w:r>
      <w:r w:rsidR="00965F49" w:rsidRPr="00E109BB">
        <w:rPr>
          <w:rFonts w:ascii="Garamond" w:hAnsi="Garamond" w:cstheme="minorHAnsi"/>
          <w:sz w:val="24"/>
          <w:szCs w:val="24"/>
          <w:lang w:val="en-GB"/>
        </w:rPr>
        <w:t xml:space="preserve">From our point of view it is important that the EBA makes an additional effort to gather data and perform a thorough </w:t>
      </w:r>
      <w:r w:rsidR="00965F49" w:rsidRPr="00E109BB">
        <w:rPr>
          <w:rFonts w:ascii="Garamond" w:hAnsi="Garamond" w:cstheme="minorHAnsi"/>
          <w:b/>
          <w:sz w:val="24"/>
          <w:szCs w:val="24"/>
          <w:lang w:val="en-GB"/>
        </w:rPr>
        <w:t xml:space="preserve">assessment for all </w:t>
      </w:r>
      <w:r w:rsidR="00965F49" w:rsidRPr="00E109BB">
        <w:rPr>
          <w:rFonts w:ascii="Garamond" w:hAnsi="Garamond"/>
          <w:sz w:val="24"/>
          <w:szCs w:val="24"/>
          <w:lang w:val="en-GB"/>
        </w:rPr>
        <w:t xml:space="preserve">the </w:t>
      </w:r>
      <w:r w:rsidR="00965F49" w:rsidRPr="00E109BB">
        <w:rPr>
          <w:rFonts w:ascii="Garamond" w:hAnsi="Garamond"/>
          <w:b/>
          <w:sz w:val="24"/>
          <w:szCs w:val="24"/>
          <w:lang w:val="en-GB"/>
        </w:rPr>
        <w:t>European Union</w:t>
      </w:r>
      <w:r w:rsidR="00965F49" w:rsidRPr="00E109BB">
        <w:rPr>
          <w:rFonts w:ascii="Garamond" w:hAnsi="Garamond" w:cstheme="minorHAnsi"/>
          <w:b/>
          <w:sz w:val="24"/>
          <w:szCs w:val="24"/>
          <w:lang w:val="en-GB"/>
        </w:rPr>
        <w:t xml:space="preserve"> currencies.</w:t>
      </w:r>
    </w:p>
    <w:p w:rsidR="00965F49" w:rsidRPr="00E109BB" w:rsidRDefault="00965F49" w:rsidP="00965F49">
      <w:pPr>
        <w:spacing w:before="120" w:after="120"/>
        <w:jc w:val="both"/>
        <w:rPr>
          <w:rFonts w:ascii="Garamond" w:hAnsi="Garamond" w:cstheme="minorHAnsi"/>
          <w:sz w:val="24"/>
          <w:szCs w:val="24"/>
          <w:lang w:val="en-GB"/>
        </w:rPr>
      </w:pPr>
      <w:r w:rsidRPr="00E109BB">
        <w:rPr>
          <w:rFonts w:ascii="Garamond" w:hAnsi="Garamond" w:cstheme="minorHAnsi"/>
          <w:sz w:val="24"/>
          <w:szCs w:val="24"/>
          <w:lang w:val="en-GB"/>
        </w:rPr>
        <w:t>We are concerned about the po</w:t>
      </w:r>
      <w:r w:rsidR="00E109BB">
        <w:rPr>
          <w:rFonts w:ascii="Garamond" w:hAnsi="Garamond" w:cstheme="minorHAnsi"/>
          <w:sz w:val="24"/>
          <w:szCs w:val="24"/>
          <w:lang w:val="en-GB"/>
        </w:rPr>
        <w:t>s</w:t>
      </w:r>
      <w:r w:rsidRPr="00E109BB">
        <w:rPr>
          <w:rFonts w:ascii="Garamond" w:hAnsi="Garamond" w:cstheme="minorHAnsi"/>
          <w:sz w:val="24"/>
          <w:szCs w:val="24"/>
          <w:lang w:val="en-GB"/>
        </w:rPr>
        <w:t xml:space="preserve">sibility of creating different level playing fields. It could happen that banks operating in countries in which a liquid assets shortage has been observed may gain advantage compared to banks operating in other jurisdictions. Moreover, in some of these excluded countries the demand for liquid assets is expected to exceed the supply of liquid assets in </w:t>
      </w:r>
      <w:r w:rsidR="00E109BB" w:rsidRPr="00E109BB">
        <w:rPr>
          <w:rFonts w:ascii="Garamond" w:hAnsi="Garamond" w:cstheme="minorHAnsi"/>
          <w:sz w:val="24"/>
          <w:szCs w:val="24"/>
          <w:lang w:val="en-GB"/>
        </w:rPr>
        <w:t xml:space="preserve">the </w:t>
      </w:r>
      <w:r w:rsidRPr="00E109BB">
        <w:rPr>
          <w:rFonts w:ascii="Garamond" w:hAnsi="Garamond" w:cstheme="minorHAnsi"/>
          <w:sz w:val="24"/>
          <w:szCs w:val="24"/>
          <w:lang w:val="en-GB"/>
        </w:rPr>
        <w:t>domestic currency.</w:t>
      </w:r>
    </w:p>
    <w:p w:rsidR="00965F49" w:rsidRPr="00E109BB" w:rsidRDefault="00965F49" w:rsidP="00965F49">
      <w:pPr>
        <w:spacing w:before="120" w:after="120"/>
        <w:jc w:val="both"/>
        <w:rPr>
          <w:rFonts w:ascii="Garamond" w:hAnsi="Garamond"/>
          <w:sz w:val="24"/>
          <w:szCs w:val="24"/>
          <w:lang w:val="en-GB"/>
        </w:rPr>
      </w:pPr>
      <w:r w:rsidRPr="00E109BB">
        <w:rPr>
          <w:rFonts w:ascii="Garamond" w:hAnsi="Garamond" w:cstheme="minorHAnsi"/>
          <w:sz w:val="24"/>
          <w:szCs w:val="24"/>
          <w:lang w:val="en-GB"/>
        </w:rPr>
        <w:t xml:space="preserve">Therefore, the ESBG calls </w:t>
      </w:r>
      <w:r w:rsidR="00E109BB" w:rsidRPr="00E109BB">
        <w:rPr>
          <w:rFonts w:ascii="Garamond" w:hAnsi="Garamond" w:cstheme="minorHAnsi"/>
          <w:sz w:val="24"/>
          <w:szCs w:val="24"/>
          <w:lang w:val="en-GB"/>
        </w:rPr>
        <w:t xml:space="preserve">on </w:t>
      </w:r>
      <w:r w:rsidRPr="00E109BB">
        <w:rPr>
          <w:rFonts w:ascii="Garamond" w:hAnsi="Garamond" w:cstheme="minorHAnsi"/>
          <w:sz w:val="24"/>
          <w:szCs w:val="24"/>
          <w:lang w:val="en-GB"/>
        </w:rPr>
        <w:t>the</w:t>
      </w:r>
      <w:r w:rsidRPr="00E109BB">
        <w:rPr>
          <w:rFonts w:ascii="Garamond" w:hAnsi="Garamond" w:cstheme="minorHAnsi"/>
          <w:b/>
          <w:sz w:val="24"/>
          <w:szCs w:val="24"/>
          <w:lang w:val="en-GB"/>
        </w:rPr>
        <w:t xml:space="preserve"> </w:t>
      </w:r>
      <w:r w:rsidRPr="00E109BB">
        <w:rPr>
          <w:rFonts w:ascii="Garamond" w:hAnsi="Garamond" w:cstheme="minorHAnsi"/>
          <w:sz w:val="24"/>
          <w:szCs w:val="24"/>
          <w:lang w:val="en-GB"/>
        </w:rPr>
        <w:t>EBA to perform additional sur</w:t>
      </w:r>
      <w:r w:rsidR="00E157FE">
        <w:rPr>
          <w:rFonts w:ascii="Garamond" w:hAnsi="Garamond" w:cstheme="minorHAnsi"/>
          <w:sz w:val="24"/>
          <w:szCs w:val="24"/>
          <w:lang w:val="en-GB"/>
        </w:rPr>
        <w:t>veys to cover all EU currencies</w:t>
      </w:r>
      <w:r w:rsidRPr="00E109BB">
        <w:rPr>
          <w:rFonts w:ascii="Garamond" w:hAnsi="Garamond" w:cstheme="minorHAnsi"/>
          <w:sz w:val="24"/>
          <w:szCs w:val="24"/>
          <w:lang w:val="en-GB"/>
        </w:rPr>
        <w:t xml:space="preserve"> in its ITS in order to ensure a </w:t>
      </w:r>
      <w:r w:rsidR="00E109BB">
        <w:rPr>
          <w:rFonts w:ascii="Garamond" w:hAnsi="Garamond" w:cstheme="minorHAnsi"/>
          <w:sz w:val="24"/>
          <w:szCs w:val="24"/>
          <w:lang w:val="en-GB"/>
        </w:rPr>
        <w:t>‘</w:t>
      </w:r>
      <w:r w:rsidRPr="00E109BB">
        <w:rPr>
          <w:rFonts w:ascii="Garamond" w:hAnsi="Garamond" w:cstheme="minorHAnsi"/>
          <w:sz w:val="24"/>
          <w:szCs w:val="24"/>
          <w:lang w:val="en-GB"/>
        </w:rPr>
        <w:t>level playing field</w:t>
      </w:r>
      <w:r w:rsidR="00E109BB">
        <w:rPr>
          <w:rFonts w:ascii="Garamond" w:hAnsi="Garamond" w:cstheme="minorHAnsi"/>
          <w:sz w:val="24"/>
          <w:szCs w:val="24"/>
          <w:lang w:val="en-GB"/>
        </w:rPr>
        <w:t>’</w:t>
      </w:r>
      <w:r w:rsidRPr="00E109BB">
        <w:rPr>
          <w:rFonts w:ascii="Garamond" w:hAnsi="Garamond" w:cstheme="minorHAnsi"/>
          <w:sz w:val="24"/>
          <w:szCs w:val="24"/>
          <w:lang w:val="en-GB"/>
        </w:rPr>
        <w:t xml:space="preserve"> to all banks within </w:t>
      </w:r>
      <w:r w:rsidR="00E109BB">
        <w:rPr>
          <w:rFonts w:ascii="Garamond" w:hAnsi="Garamond" w:cstheme="minorHAnsi"/>
          <w:sz w:val="24"/>
          <w:szCs w:val="24"/>
          <w:lang w:val="en-GB"/>
        </w:rPr>
        <w:t xml:space="preserve">the </w:t>
      </w:r>
      <w:r w:rsidRPr="00E109BB">
        <w:rPr>
          <w:rFonts w:ascii="Garamond" w:hAnsi="Garamond" w:cstheme="minorHAnsi"/>
          <w:sz w:val="24"/>
          <w:szCs w:val="24"/>
          <w:lang w:val="en-GB"/>
        </w:rPr>
        <w:t xml:space="preserve">EU which have to cope with the problem of </w:t>
      </w:r>
      <w:r w:rsidR="00E109BB">
        <w:rPr>
          <w:rFonts w:ascii="Garamond" w:hAnsi="Garamond" w:cstheme="minorHAnsi"/>
          <w:sz w:val="24"/>
          <w:szCs w:val="24"/>
          <w:lang w:val="en-GB"/>
        </w:rPr>
        <w:t xml:space="preserve">a </w:t>
      </w:r>
      <w:r w:rsidRPr="00E109BB">
        <w:rPr>
          <w:rFonts w:ascii="Garamond" w:hAnsi="Garamond" w:cstheme="minorHAnsi"/>
          <w:sz w:val="24"/>
          <w:szCs w:val="24"/>
          <w:lang w:val="en-GB"/>
        </w:rPr>
        <w:t xml:space="preserve">liquid asset shortage. Indeed, ensuring a </w:t>
      </w:r>
      <w:r w:rsidR="00E109BB">
        <w:rPr>
          <w:rFonts w:ascii="Garamond" w:hAnsi="Garamond" w:cstheme="minorHAnsi"/>
          <w:sz w:val="24"/>
          <w:szCs w:val="24"/>
          <w:lang w:val="en-GB"/>
        </w:rPr>
        <w:t>‘</w:t>
      </w:r>
      <w:r w:rsidRPr="00E109BB">
        <w:rPr>
          <w:rFonts w:ascii="Garamond" w:hAnsi="Garamond" w:cstheme="minorHAnsi"/>
          <w:sz w:val="24"/>
          <w:szCs w:val="24"/>
          <w:lang w:val="en-GB"/>
        </w:rPr>
        <w:t>level playing field</w:t>
      </w:r>
      <w:r w:rsidR="00E109BB">
        <w:rPr>
          <w:rFonts w:ascii="Garamond" w:hAnsi="Garamond" w:cstheme="minorHAnsi"/>
          <w:sz w:val="24"/>
          <w:szCs w:val="24"/>
          <w:lang w:val="en-GB"/>
        </w:rPr>
        <w:t>’</w:t>
      </w:r>
      <w:r w:rsidRPr="00E109BB">
        <w:rPr>
          <w:rFonts w:ascii="Garamond" w:hAnsi="Garamond" w:cstheme="minorHAnsi"/>
          <w:sz w:val="24"/>
          <w:szCs w:val="24"/>
          <w:lang w:val="en-GB"/>
        </w:rPr>
        <w:t xml:space="preserve"> is one of the key functions and initial mandates of the EBA.</w:t>
      </w:r>
    </w:p>
    <w:p w:rsidR="00965F49" w:rsidRPr="00E109BB" w:rsidRDefault="00E157FE" w:rsidP="00965F49">
      <w:pPr>
        <w:jc w:val="both"/>
        <w:rPr>
          <w:rFonts w:ascii="Garamond" w:hAnsi="Garamond"/>
          <w:sz w:val="24"/>
          <w:szCs w:val="24"/>
          <w:lang w:val="en-GB"/>
        </w:rPr>
      </w:pPr>
      <w:r>
        <w:rPr>
          <w:rFonts w:ascii="Garamond" w:hAnsi="Garamond"/>
          <w:sz w:val="24"/>
          <w:szCs w:val="24"/>
          <w:lang w:val="en-GB"/>
        </w:rPr>
        <w:t>Furthermore</w:t>
      </w:r>
      <w:r w:rsidR="00965F49" w:rsidRPr="00E109BB">
        <w:rPr>
          <w:rFonts w:ascii="Garamond" w:hAnsi="Garamond"/>
          <w:sz w:val="24"/>
          <w:szCs w:val="24"/>
          <w:lang w:val="en-GB"/>
        </w:rPr>
        <w:t xml:space="preserve">, the definitions and data used in the analysis do not seem to be updated, as they have not used the CRR as a reference, but rather the Basel Committee’s definition. This is especially striking due to the fact that it is the CRR text which will be applied. Furthermore, this analysis has been made before finalising the rules on HQLA, which could be problematic as it makes this consultation less relevant. The assumption on the preferred LCR level, 110%, is also remarkable. The extra </w:t>
      </w:r>
      <w:r w:rsidR="00E109BB">
        <w:rPr>
          <w:rFonts w:ascii="Garamond" w:hAnsi="Garamond"/>
          <w:sz w:val="24"/>
          <w:szCs w:val="24"/>
          <w:lang w:val="en-GB"/>
        </w:rPr>
        <w:t>‘</w:t>
      </w:r>
      <w:r w:rsidR="00965F49" w:rsidRPr="00E109BB">
        <w:rPr>
          <w:rFonts w:ascii="Garamond" w:hAnsi="Garamond"/>
          <w:sz w:val="24"/>
          <w:szCs w:val="24"/>
          <w:lang w:val="en-GB"/>
        </w:rPr>
        <w:t>buffer</w:t>
      </w:r>
      <w:r w:rsidR="00E109BB">
        <w:rPr>
          <w:rFonts w:ascii="Garamond" w:hAnsi="Garamond"/>
          <w:sz w:val="24"/>
          <w:szCs w:val="24"/>
          <w:lang w:val="en-GB"/>
        </w:rPr>
        <w:t>’</w:t>
      </w:r>
      <w:r w:rsidR="00965F49" w:rsidRPr="00E109BB">
        <w:rPr>
          <w:rFonts w:ascii="Garamond" w:hAnsi="Garamond"/>
          <w:sz w:val="24"/>
          <w:szCs w:val="24"/>
          <w:lang w:val="en-GB"/>
        </w:rPr>
        <w:t xml:space="preserve"> may affect institutions in a different manner depending on the bank and the business models. For a bank with wholesale flows as issued debt and lending/borrowing to credit institutions the LCR can be rather volatile and a 10% </w:t>
      </w:r>
      <w:r w:rsidR="00E109BB">
        <w:rPr>
          <w:rFonts w:ascii="Garamond" w:hAnsi="Garamond"/>
          <w:sz w:val="24"/>
          <w:szCs w:val="24"/>
          <w:lang w:val="en-GB"/>
        </w:rPr>
        <w:t>‘</w:t>
      </w:r>
      <w:r w:rsidR="00965F49" w:rsidRPr="00E109BB">
        <w:rPr>
          <w:rFonts w:ascii="Garamond" w:hAnsi="Garamond"/>
          <w:sz w:val="24"/>
          <w:szCs w:val="24"/>
          <w:lang w:val="en-GB"/>
        </w:rPr>
        <w:t>buffer</w:t>
      </w:r>
      <w:r w:rsidR="00E109BB">
        <w:rPr>
          <w:rFonts w:ascii="Garamond" w:hAnsi="Garamond"/>
          <w:sz w:val="24"/>
          <w:szCs w:val="24"/>
          <w:lang w:val="en-GB"/>
        </w:rPr>
        <w:t>’</w:t>
      </w:r>
      <w:r w:rsidR="00965F49" w:rsidRPr="00E109BB">
        <w:rPr>
          <w:rFonts w:ascii="Garamond" w:hAnsi="Garamond"/>
          <w:sz w:val="24"/>
          <w:szCs w:val="24"/>
          <w:lang w:val="en-GB"/>
        </w:rPr>
        <w:t xml:space="preserve"> is probably too narrow.</w:t>
      </w:r>
    </w:p>
    <w:p w:rsidR="00965F49" w:rsidRPr="00E109BB" w:rsidRDefault="00965F49" w:rsidP="00965F49">
      <w:pPr>
        <w:jc w:val="both"/>
        <w:rPr>
          <w:rFonts w:ascii="Garamond" w:hAnsi="Garamond"/>
          <w:sz w:val="24"/>
          <w:szCs w:val="24"/>
          <w:lang w:val="en-GB"/>
        </w:rPr>
      </w:pPr>
      <w:r w:rsidRPr="00E109BB">
        <w:rPr>
          <w:rFonts w:ascii="Garamond" w:hAnsi="Garamond"/>
          <w:sz w:val="24"/>
          <w:szCs w:val="24"/>
          <w:lang w:val="en-GB"/>
        </w:rPr>
        <w:t xml:space="preserve">Specifically, with regards to the Norwegian analysis we would like to comment on the consideration of the covered bond market as not liquid. This conclusion seems to be based on what is regarded as low trading volumes. For such an important purpose as defining assets eligible for the LCR, a broader assessment should be undertaken. An in-depth analysis of the Norwegian covered bond market, which takes into account more factors/variables, including that the market has been through a build-up phase, should be made. The market for the Norwegian Krone denominated covered bonds is now larger – in terms of outstanding volumes - than the Norwegian government bond market, and is regarded to be as liquid as the government bond market by market participants. Data show a turnover rate at the same level as government bonds excluding repos, and with lower </w:t>
      </w:r>
      <w:r w:rsidRPr="00E109BB">
        <w:rPr>
          <w:rFonts w:ascii="Garamond" w:hAnsi="Garamond"/>
          <w:sz w:val="24"/>
          <w:szCs w:val="24"/>
          <w:lang w:val="en-GB"/>
        </w:rPr>
        <w:lastRenderedPageBreak/>
        <w:t xml:space="preserve">volatility and spread levels. </w:t>
      </w:r>
      <w:r w:rsidR="00E109BB">
        <w:rPr>
          <w:rFonts w:ascii="Garamond" w:hAnsi="Garamond"/>
          <w:sz w:val="24"/>
          <w:szCs w:val="24"/>
          <w:lang w:val="en-GB"/>
        </w:rPr>
        <w:t>T</w:t>
      </w:r>
      <w:r w:rsidRPr="00E109BB">
        <w:rPr>
          <w:rFonts w:ascii="Garamond" w:hAnsi="Garamond"/>
          <w:sz w:val="24"/>
          <w:szCs w:val="24"/>
          <w:lang w:val="en-GB"/>
        </w:rPr>
        <w:t xml:space="preserve">he repo activity is </w:t>
      </w:r>
      <w:r w:rsidR="00E109BB">
        <w:rPr>
          <w:rFonts w:ascii="Garamond" w:hAnsi="Garamond"/>
          <w:sz w:val="24"/>
          <w:szCs w:val="24"/>
          <w:lang w:val="en-GB"/>
        </w:rPr>
        <w:t xml:space="preserve">also </w:t>
      </w:r>
      <w:r w:rsidRPr="00E109BB">
        <w:rPr>
          <w:rFonts w:ascii="Garamond" w:hAnsi="Garamond"/>
          <w:sz w:val="24"/>
          <w:szCs w:val="24"/>
          <w:lang w:val="en-GB"/>
        </w:rPr>
        <w:t xml:space="preserve">increasing, and the industry is investigating the possibilities of establishing a more standardised repo market. In 2012 the Norwegian covered bond market was assessed by the Norwegian Accounting Standards Board as sufficiently deep and liquid to be used as the basis for calculating the discount rate for use in accordance with IAS 19. </w:t>
      </w:r>
    </w:p>
    <w:p w:rsidR="00965F49" w:rsidRPr="00E109BB" w:rsidRDefault="00965F49" w:rsidP="00965F49">
      <w:pPr>
        <w:jc w:val="both"/>
        <w:rPr>
          <w:rFonts w:ascii="Garamond" w:hAnsi="Garamond"/>
          <w:sz w:val="24"/>
          <w:szCs w:val="24"/>
          <w:lang w:val="en-GB"/>
        </w:rPr>
      </w:pPr>
      <w:r w:rsidRPr="00E109BB">
        <w:rPr>
          <w:rFonts w:ascii="Garamond" w:hAnsi="Garamond"/>
          <w:sz w:val="24"/>
          <w:szCs w:val="24"/>
          <w:lang w:val="en-GB"/>
        </w:rPr>
        <w:t>The Norwegian covered bond market is vital for long term funding in the banking sector. A well-functioning national capital market is generally important for financial stability, especially</w:t>
      </w:r>
      <w:r w:rsidR="00B67DF9">
        <w:rPr>
          <w:rFonts w:ascii="Garamond" w:hAnsi="Garamond"/>
          <w:sz w:val="24"/>
          <w:szCs w:val="24"/>
          <w:lang w:val="en-GB"/>
        </w:rPr>
        <w:t>,</w:t>
      </w:r>
      <w:r w:rsidRPr="00E109BB">
        <w:rPr>
          <w:rFonts w:ascii="Garamond" w:hAnsi="Garamond"/>
          <w:sz w:val="24"/>
          <w:szCs w:val="24"/>
          <w:lang w:val="en-GB"/>
        </w:rPr>
        <w:t xml:space="preserve"> in times where stability is threatened. Norwegian covered bonds were also important in solving the liquidity crisis in 2008/2009, by being the basis for the “swap arrangement” set up by the government. Defining the Norwegian Krone covered bonds as illiquid and thereby not eligible for the LCR will make it very difficult for Norwegian banks to comply with the LCR</w:t>
      </w:r>
      <w:r w:rsidR="00E109BB">
        <w:rPr>
          <w:rFonts w:ascii="Garamond" w:hAnsi="Garamond"/>
          <w:sz w:val="24"/>
          <w:szCs w:val="24"/>
          <w:lang w:val="en-GB"/>
        </w:rPr>
        <w:t xml:space="preserve"> </w:t>
      </w:r>
      <w:r w:rsidRPr="00E109BB">
        <w:rPr>
          <w:rFonts w:ascii="Garamond" w:hAnsi="Garamond"/>
          <w:sz w:val="24"/>
          <w:szCs w:val="24"/>
          <w:lang w:val="en-GB"/>
        </w:rPr>
        <w:t>requirements, and will very likely have a detrimental impact on the national covered bond market.</w:t>
      </w:r>
    </w:p>
    <w:p w:rsidR="00965F49" w:rsidRPr="00E109BB" w:rsidRDefault="00965F49" w:rsidP="00965F49">
      <w:pPr>
        <w:spacing w:before="120" w:after="120"/>
        <w:jc w:val="both"/>
        <w:rPr>
          <w:rFonts w:ascii="Garamond" w:hAnsi="Garamond" w:cstheme="minorHAnsi"/>
          <w:sz w:val="24"/>
          <w:szCs w:val="24"/>
          <w:lang w:val="en-GB"/>
        </w:rPr>
      </w:pPr>
      <w:r w:rsidRPr="00E109BB">
        <w:rPr>
          <w:rFonts w:ascii="Garamond" w:hAnsi="Garamond"/>
          <w:sz w:val="24"/>
          <w:szCs w:val="24"/>
          <w:lang w:val="en-GB"/>
        </w:rPr>
        <w:t>With regards to the CESEE countries</w:t>
      </w:r>
      <w:r w:rsidR="00E109BB">
        <w:rPr>
          <w:rFonts w:ascii="Garamond" w:hAnsi="Garamond"/>
          <w:sz w:val="24"/>
          <w:szCs w:val="24"/>
          <w:lang w:val="en-GB"/>
        </w:rPr>
        <w:t>,</w:t>
      </w:r>
      <w:r w:rsidRPr="00E109BB">
        <w:rPr>
          <w:rFonts w:ascii="Garamond" w:hAnsi="Garamond"/>
          <w:sz w:val="24"/>
          <w:szCs w:val="24"/>
          <w:lang w:val="en-GB"/>
        </w:rPr>
        <w:t xml:space="preserve"> the</w:t>
      </w:r>
      <w:r w:rsidRPr="00E109BB">
        <w:rPr>
          <w:rFonts w:ascii="Garamond" w:hAnsi="Garamond" w:cstheme="minorHAnsi"/>
          <w:sz w:val="24"/>
          <w:szCs w:val="24"/>
          <w:lang w:val="en-GB"/>
        </w:rPr>
        <w:t xml:space="preserve"> expectation is that liquid assets denominated in some of these currencies will also turn out to be short of the estimated demand. Firstly, this can be due to the fact that the local CESEE debt and equity markets are rather undeveloped, i.e. are not </w:t>
      </w:r>
      <w:r w:rsidR="00E109BB">
        <w:rPr>
          <w:rFonts w:ascii="Garamond" w:hAnsi="Garamond" w:cstheme="minorHAnsi"/>
          <w:sz w:val="24"/>
          <w:szCs w:val="24"/>
          <w:lang w:val="en-GB"/>
        </w:rPr>
        <w:t>‘</w:t>
      </w:r>
      <w:r w:rsidRPr="00E109BB">
        <w:rPr>
          <w:rFonts w:ascii="Garamond" w:hAnsi="Garamond" w:cstheme="minorHAnsi"/>
          <w:sz w:val="24"/>
          <w:szCs w:val="24"/>
          <w:lang w:val="en-GB"/>
        </w:rPr>
        <w:t>deep</w:t>
      </w:r>
      <w:r w:rsidR="00E109BB">
        <w:rPr>
          <w:rFonts w:ascii="Garamond" w:hAnsi="Garamond" w:cstheme="minorHAnsi"/>
          <w:sz w:val="24"/>
          <w:szCs w:val="24"/>
          <w:lang w:val="en-GB"/>
        </w:rPr>
        <w:t>’</w:t>
      </w:r>
      <w:r w:rsidRPr="00E109BB">
        <w:rPr>
          <w:rFonts w:ascii="Garamond" w:hAnsi="Garamond" w:cstheme="minorHAnsi"/>
          <w:sz w:val="24"/>
          <w:szCs w:val="24"/>
          <w:lang w:val="en-GB"/>
        </w:rPr>
        <w:t xml:space="preserve"> and the traded volume is very low. Secondly, the volume of domestic currency denominated government bonds in these countries is rather low. Thirdly, due to the pension system reform in most CESEE countries, a great part of the locally</w:t>
      </w:r>
      <w:r w:rsidR="00E109BB">
        <w:rPr>
          <w:rFonts w:ascii="Garamond" w:hAnsi="Garamond" w:cstheme="minorHAnsi"/>
          <w:sz w:val="24"/>
          <w:szCs w:val="24"/>
          <w:lang w:val="en-GB"/>
        </w:rPr>
        <w:t>-</w:t>
      </w:r>
      <w:r w:rsidRPr="00E109BB">
        <w:rPr>
          <w:rFonts w:ascii="Garamond" w:hAnsi="Garamond" w:cstheme="minorHAnsi"/>
          <w:sz w:val="24"/>
          <w:szCs w:val="24"/>
          <w:lang w:val="en-GB"/>
        </w:rPr>
        <w:t>issued government bonds is bought by local pension funds, which means that it is locked-up</w:t>
      </w:r>
    </w:p>
    <w:p w:rsidR="00965F49" w:rsidRPr="00E109BB" w:rsidRDefault="00965F49" w:rsidP="00965F49">
      <w:pPr>
        <w:jc w:val="both"/>
        <w:rPr>
          <w:rFonts w:ascii="Garamond" w:hAnsi="Garamond"/>
          <w:sz w:val="24"/>
          <w:szCs w:val="24"/>
          <w:lang w:val="en-GB"/>
        </w:rPr>
      </w:pPr>
      <w:r w:rsidRPr="00E109BB">
        <w:rPr>
          <w:rFonts w:ascii="Garamond" w:hAnsi="Garamond"/>
          <w:sz w:val="24"/>
          <w:szCs w:val="24"/>
          <w:lang w:val="en-GB"/>
        </w:rPr>
        <w:t xml:space="preserve"> </w:t>
      </w:r>
    </w:p>
    <w:p w:rsidR="00965F49" w:rsidRPr="00E109BB" w:rsidRDefault="00965F49" w:rsidP="00965F49">
      <w:pPr>
        <w:jc w:val="both"/>
        <w:rPr>
          <w:rFonts w:ascii="Garamond" w:hAnsi="Garamond"/>
          <w:b/>
          <w:sz w:val="24"/>
          <w:szCs w:val="24"/>
          <w:lang w:val="en-GB"/>
        </w:rPr>
      </w:pPr>
      <w:r w:rsidRPr="00E109BB">
        <w:rPr>
          <w:rFonts w:ascii="Garamond" w:hAnsi="Garamond"/>
          <w:b/>
          <w:sz w:val="24"/>
          <w:szCs w:val="24"/>
          <w:lang w:val="en-GB"/>
        </w:rPr>
        <w:t>EBA methodology and assumptions</w:t>
      </w:r>
    </w:p>
    <w:p w:rsidR="00555E77" w:rsidRPr="00E109BB" w:rsidRDefault="00965F49" w:rsidP="00965F49">
      <w:pPr>
        <w:jc w:val="both"/>
        <w:rPr>
          <w:rFonts w:ascii="Times New Roman" w:eastAsia="Times New Roman" w:hAnsi="Times New Roman" w:cs="Times New Roman"/>
          <w:color w:val="000000"/>
          <w:sz w:val="24"/>
          <w:szCs w:val="24"/>
          <w:lang w:val="en-GB" w:eastAsia="de-AT"/>
        </w:rPr>
      </w:pPr>
      <w:r w:rsidRPr="00E109BB">
        <w:rPr>
          <w:rFonts w:ascii="Garamond" w:hAnsi="Garamond"/>
          <w:sz w:val="24"/>
          <w:szCs w:val="24"/>
          <w:lang w:val="en-GB"/>
        </w:rPr>
        <w:t xml:space="preserve">Concerning the results of the shortfall calculation it seems clear that the estimated shortfall obtained will largely differ according to the assumptions made by the EBA; thereby, the suggested constraint on the use of derogations will also </w:t>
      </w:r>
      <w:r w:rsidR="00E109BB">
        <w:rPr>
          <w:rFonts w:ascii="Garamond" w:hAnsi="Garamond"/>
          <w:sz w:val="24"/>
          <w:szCs w:val="24"/>
          <w:lang w:val="en-GB"/>
        </w:rPr>
        <w:t>be heavily</w:t>
      </w:r>
      <w:r w:rsidRPr="00E109BB">
        <w:rPr>
          <w:rFonts w:ascii="Garamond" w:hAnsi="Garamond"/>
          <w:sz w:val="24"/>
          <w:szCs w:val="24"/>
          <w:lang w:val="en-GB"/>
        </w:rPr>
        <w:t xml:space="preserve"> dependent on the aforementioned assumptions. In the Norwegian case the estimated shortage has been set at 63% for Norway. </w:t>
      </w:r>
      <w:r w:rsidR="00E109BB">
        <w:rPr>
          <w:rFonts w:ascii="Garamond" w:hAnsi="Garamond"/>
          <w:sz w:val="24"/>
          <w:szCs w:val="24"/>
          <w:lang w:val="en-GB"/>
        </w:rPr>
        <w:t xml:space="preserve">Even though </w:t>
      </w:r>
      <w:r w:rsidRPr="00E109BB">
        <w:rPr>
          <w:rFonts w:ascii="Garamond" w:hAnsi="Garamond"/>
          <w:sz w:val="24"/>
          <w:szCs w:val="24"/>
          <w:lang w:val="en-GB"/>
        </w:rPr>
        <w:t>the estimated shortage is 63% for Norway</w:t>
      </w:r>
      <w:r w:rsidR="00E109BB">
        <w:rPr>
          <w:rFonts w:ascii="Garamond" w:hAnsi="Garamond"/>
          <w:sz w:val="24"/>
          <w:szCs w:val="24"/>
          <w:lang w:val="en-GB"/>
        </w:rPr>
        <w:t>,</w:t>
      </w:r>
      <w:r w:rsidRPr="00E109BB">
        <w:rPr>
          <w:rFonts w:ascii="Garamond" w:hAnsi="Garamond"/>
          <w:sz w:val="24"/>
          <w:szCs w:val="24"/>
          <w:lang w:val="en-GB"/>
        </w:rPr>
        <w:t xml:space="preserve"> this figure could easily be both higher and lower by applying slightly different assumptions. As a matter of fact, the sensitivity analysis made by the EBA clearly supports this view by showing that the shortfall varies from 47% to 83%. Therefore, our conclusion is that the methodology gives resul</w:t>
      </w:r>
      <w:r w:rsidR="00E051AF">
        <w:rPr>
          <w:rFonts w:ascii="Garamond" w:hAnsi="Garamond"/>
          <w:sz w:val="24"/>
          <w:szCs w:val="24"/>
          <w:lang w:val="en-GB"/>
        </w:rPr>
        <w:t>ts which are far less robust tha</w:t>
      </w:r>
      <w:r w:rsidRPr="00E109BB">
        <w:rPr>
          <w:rFonts w:ascii="Garamond" w:hAnsi="Garamond"/>
          <w:sz w:val="24"/>
          <w:szCs w:val="24"/>
          <w:lang w:val="en-GB"/>
        </w:rPr>
        <w:t xml:space="preserve">n what is needed for such an important part of public regulation. This suggests that the use of derogations cannot be solely dependent on this estimate. </w:t>
      </w:r>
      <w:r w:rsidRPr="00E109BB">
        <w:rPr>
          <w:rFonts w:ascii="Garamond" w:hAnsi="Garamond" w:cstheme="minorHAnsi"/>
          <w:sz w:val="24"/>
          <w:szCs w:val="24"/>
          <w:lang w:val="en-GB"/>
        </w:rPr>
        <w:t xml:space="preserve"> </w:t>
      </w:r>
      <w:r w:rsidR="00555E77" w:rsidRPr="00E109BB">
        <w:rPr>
          <w:lang w:val="en-GB"/>
        </w:rPr>
        <w:br w:type="page"/>
      </w:r>
    </w:p>
    <w:p w:rsidR="0053651D" w:rsidRPr="00E109BB" w:rsidRDefault="0053651D" w:rsidP="00AC65E0">
      <w:pPr>
        <w:pStyle w:val="Default"/>
        <w:spacing w:line="276" w:lineRule="auto"/>
        <w:rPr>
          <w:lang w:val="en-GB"/>
        </w:rPr>
      </w:pPr>
    </w:p>
    <w:p w:rsidR="00F82C61" w:rsidRPr="00E109BB" w:rsidRDefault="00F82C61" w:rsidP="00AC65E0">
      <w:pPr>
        <w:jc w:val="both"/>
        <w:outlineLvl w:val="0"/>
        <w:rPr>
          <w:rFonts w:ascii="Garamond" w:hAnsi="Garamond"/>
          <w:b/>
          <w:color w:val="004483"/>
          <w:sz w:val="24"/>
          <w:szCs w:val="24"/>
          <w:lang w:val="en-GB" w:eastAsia="de-DE"/>
        </w:rPr>
      </w:pPr>
      <w:r w:rsidRPr="00E109BB">
        <w:rPr>
          <w:rFonts w:ascii="Garamond" w:hAnsi="Garamond"/>
          <w:b/>
          <w:color w:val="004483"/>
          <w:sz w:val="24"/>
          <w:szCs w:val="24"/>
          <w:lang w:val="en-GB" w:eastAsia="de-DE"/>
        </w:rPr>
        <w:t xml:space="preserve">About </w:t>
      </w:r>
      <w:r w:rsidR="00C201A8" w:rsidRPr="00E109BB">
        <w:rPr>
          <w:rFonts w:ascii="Garamond" w:hAnsi="Garamond"/>
          <w:b/>
          <w:color w:val="004483"/>
          <w:sz w:val="24"/>
          <w:szCs w:val="24"/>
          <w:lang w:val="en-GB" w:eastAsia="de-DE"/>
        </w:rPr>
        <w:t>WSBI-ESBG</w:t>
      </w:r>
      <w:r w:rsidRPr="00E109BB">
        <w:rPr>
          <w:rFonts w:ascii="Garamond" w:hAnsi="Garamond"/>
          <w:b/>
          <w:color w:val="004483"/>
          <w:sz w:val="24"/>
          <w:szCs w:val="24"/>
          <w:lang w:val="en-GB" w:eastAsia="de-DE"/>
        </w:rPr>
        <w:t xml:space="preserve"> (European Savings </w:t>
      </w:r>
      <w:r w:rsidR="004E30CF">
        <w:rPr>
          <w:rFonts w:ascii="Garamond" w:hAnsi="Garamond"/>
          <w:b/>
          <w:color w:val="004483"/>
          <w:sz w:val="24"/>
          <w:szCs w:val="24"/>
          <w:lang w:val="en-GB" w:eastAsia="de-DE"/>
        </w:rPr>
        <w:t xml:space="preserve">and Retail </w:t>
      </w:r>
      <w:r w:rsidRPr="00E109BB">
        <w:rPr>
          <w:rFonts w:ascii="Garamond" w:hAnsi="Garamond"/>
          <w:b/>
          <w:color w:val="004483"/>
          <w:sz w:val="24"/>
          <w:szCs w:val="24"/>
          <w:lang w:val="en-GB" w:eastAsia="de-DE"/>
        </w:rPr>
        <w:t>Bank</w:t>
      </w:r>
      <w:r w:rsidR="004E30CF">
        <w:rPr>
          <w:rFonts w:ascii="Garamond" w:hAnsi="Garamond"/>
          <w:b/>
          <w:color w:val="004483"/>
          <w:sz w:val="24"/>
          <w:szCs w:val="24"/>
          <w:lang w:val="en-GB" w:eastAsia="de-DE"/>
        </w:rPr>
        <w:t>ing</w:t>
      </w:r>
      <w:r w:rsidRPr="00E109BB">
        <w:rPr>
          <w:rFonts w:ascii="Garamond" w:hAnsi="Garamond"/>
          <w:b/>
          <w:color w:val="004483"/>
          <w:sz w:val="24"/>
          <w:szCs w:val="24"/>
          <w:lang w:val="en-GB" w:eastAsia="de-DE"/>
        </w:rPr>
        <w:t xml:space="preserve"> Group)</w:t>
      </w:r>
    </w:p>
    <w:p w:rsidR="00F82C61" w:rsidRPr="00E109BB" w:rsidRDefault="00C201A8" w:rsidP="00AC65E0">
      <w:pPr>
        <w:jc w:val="both"/>
        <w:outlineLvl w:val="0"/>
        <w:rPr>
          <w:rFonts w:ascii="Garamond" w:hAnsi="Garamond"/>
          <w:b/>
          <w:sz w:val="24"/>
          <w:lang w:val="en-GB" w:eastAsia="de-DE"/>
        </w:rPr>
      </w:pPr>
      <w:r w:rsidRPr="00E109BB">
        <w:rPr>
          <w:rFonts w:ascii="Garamond" w:hAnsi="Garamond"/>
          <w:b/>
          <w:sz w:val="24"/>
          <w:lang w:val="en-GB" w:eastAsia="de-DE"/>
        </w:rPr>
        <w:t>WSBI-ESBG</w:t>
      </w:r>
      <w:r w:rsidR="00F82C61" w:rsidRPr="00E109BB">
        <w:rPr>
          <w:rFonts w:ascii="Garamond" w:hAnsi="Garamond"/>
          <w:b/>
          <w:sz w:val="24"/>
          <w:lang w:val="en-GB" w:eastAsia="de-DE"/>
        </w:rPr>
        <w:t xml:space="preserve"> – The European Voice of Savings and Retail Banking</w:t>
      </w:r>
    </w:p>
    <w:p w:rsidR="00E626F8" w:rsidRPr="00E109BB" w:rsidRDefault="00C201A8" w:rsidP="00AC65E0">
      <w:pPr>
        <w:pStyle w:val="BodyText"/>
        <w:spacing w:line="276" w:lineRule="auto"/>
        <w:rPr>
          <w:rFonts w:ascii="Garamond" w:hAnsi="Garamond"/>
          <w:sz w:val="24"/>
          <w:lang w:val="en-GB"/>
        </w:rPr>
      </w:pPr>
      <w:r w:rsidRPr="00E109BB">
        <w:rPr>
          <w:rFonts w:ascii="Garamond" w:hAnsi="Garamond"/>
          <w:sz w:val="24"/>
          <w:lang w:val="en-GB"/>
        </w:rPr>
        <w:t>WSBI-ESBG</w:t>
      </w:r>
      <w:r w:rsidR="00E626F8" w:rsidRPr="00E109BB">
        <w:rPr>
          <w:rFonts w:ascii="Garamond" w:hAnsi="Garamond"/>
          <w:sz w:val="24"/>
          <w:lang w:val="en-GB"/>
        </w:rPr>
        <w:t xml:space="preserve"> (European Savings </w:t>
      </w:r>
      <w:r w:rsidR="0077423D">
        <w:rPr>
          <w:rFonts w:ascii="Garamond" w:hAnsi="Garamond"/>
          <w:sz w:val="24"/>
          <w:lang w:val="en-GB"/>
        </w:rPr>
        <w:t xml:space="preserve">and Retail </w:t>
      </w:r>
      <w:r w:rsidR="00E626F8" w:rsidRPr="00E109BB">
        <w:rPr>
          <w:rFonts w:ascii="Garamond" w:hAnsi="Garamond"/>
          <w:sz w:val="24"/>
          <w:lang w:val="en-GB"/>
        </w:rPr>
        <w:t>Bank</w:t>
      </w:r>
      <w:r w:rsidR="0077423D">
        <w:rPr>
          <w:rFonts w:ascii="Garamond" w:hAnsi="Garamond"/>
          <w:sz w:val="24"/>
          <w:lang w:val="en-GB"/>
        </w:rPr>
        <w:t>ing</w:t>
      </w:r>
      <w:r w:rsidR="00E626F8" w:rsidRPr="00E109BB">
        <w:rPr>
          <w:rFonts w:ascii="Garamond" w:hAnsi="Garamond"/>
          <w:sz w:val="24"/>
          <w:lang w:val="en-GB"/>
        </w:rPr>
        <w:t xml:space="preserve"> Group) is an international banking association that represents one of the largest European retail banking networks, comprising of approximately one-third of the retail banking market in Europe, </w:t>
      </w:r>
      <w:r w:rsidR="004611BF" w:rsidRPr="00E109BB">
        <w:rPr>
          <w:rFonts w:ascii="Garamond" w:hAnsi="Garamond"/>
          <w:sz w:val="24"/>
          <w:lang w:val="en-GB"/>
        </w:rPr>
        <w:t>with total assets of over €7,631</w:t>
      </w:r>
      <w:r w:rsidR="00E626F8" w:rsidRPr="00E109BB">
        <w:rPr>
          <w:rFonts w:ascii="Garamond" w:hAnsi="Garamond"/>
          <w:sz w:val="24"/>
          <w:lang w:val="en-GB"/>
        </w:rPr>
        <w:t xml:space="preserve"> bill</w:t>
      </w:r>
      <w:r w:rsidR="004611BF" w:rsidRPr="00E109BB">
        <w:rPr>
          <w:rFonts w:ascii="Garamond" w:hAnsi="Garamond"/>
          <w:sz w:val="24"/>
          <w:lang w:val="en-GB"/>
        </w:rPr>
        <w:t>ion, non-bank deposits of €3,5</w:t>
      </w:r>
      <w:r w:rsidR="00E626F8" w:rsidRPr="00E109BB">
        <w:rPr>
          <w:rFonts w:ascii="Garamond" w:hAnsi="Garamond"/>
          <w:sz w:val="24"/>
          <w:lang w:val="en-GB"/>
        </w:rPr>
        <w:t>00 bi</w:t>
      </w:r>
      <w:r w:rsidR="004611BF" w:rsidRPr="00E109BB">
        <w:rPr>
          <w:rFonts w:ascii="Garamond" w:hAnsi="Garamond"/>
          <w:sz w:val="24"/>
          <w:lang w:val="en-GB"/>
        </w:rPr>
        <w:t>llion and non-bank loans of €4,200 billion (31 December 2011</w:t>
      </w:r>
      <w:r w:rsidR="00E626F8" w:rsidRPr="00E109BB">
        <w:rPr>
          <w:rFonts w:ascii="Garamond" w:hAnsi="Garamond"/>
          <w:sz w:val="24"/>
          <w:lang w:val="en-GB"/>
        </w:rPr>
        <w:t>). It represents the interests of its members vis-à-vis the EU Institutions and generates, facilitates and manages high quality cross-border banking projects.</w:t>
      </w:r>
    </w:p>
    <w:p w:rsidR="00E626F8" w:rsidRPr="00E109BB" w:rsidRDefault="00E626F8" w:rsidP="00AC65E0">
      <w:pPr>
        <w:pStyle w:val="BodyText"/>
        <w:spacing w:line="276" w:lineRule="auto"/>
        <w:rPr>
          <w:rFonts w:ascii="Garamond" w:hAnsi="Garamond"/>
          <w:sz w:val="24"/>
          <w:lang w:val="en-GB"/>
        </w:rPr>
      </w:pPr>
    </w:p>
    <w:p w:rsidR="00F82C61" w:rsidRPr="00E109BB" w:rsidRDefault="00C201A8" w:rsidP="00AC65E0">
      <w:pPr>
        <w:pStyle w:val="BodyText"/>
        <w:spacing w:after="200" w:line="276" w:lineRule="auto"/>
        <w:rPr>
          <w:rFonts w:ascii="Garamond" w:hAnsi="Garamond"/>
          <w:sz w:val="24"/>
          <w:lang w:val="en-GB"/>
        </w:rPr>
      </w:pPr>
      <w:r w:rsidRPr="00E109BB">
        <w:rPr>
          <w:rFonts w:ascii="Garamond" w:hAnsi="Garamond"/>
          <w:sz w:val="24"/>
          <w:lang w:val="en-GB"/>
        </w:rPr>
        <w:t>WSBI-ESBG</w:t>
      </w:r>
      <w:r w:rsidR="00E626F8" w:rsidRPr="00E109BB">
        <w:rPr>
          <w:rFonts w:ascii="Garamond" w:hAnsi="Garamond"/>
          <w:sz w:val="24"/>
          <w:lang w:val="en-GB"/>
        </w:rPr>
        <w:t xml:space="preserve"> members are typically savings and retail banks or associations thereof. They are often organised in decentralised networks and offer their services throughout their region. </w:t>
      </w:r>
      <w:r w:rsidRPr="00E109BB">
        <w:rPr>
          <w:rFonts w:ascii="Garamond" w:hAnsi="Garamond"/>
          <w:sz w:val="24"/>
          <w:lang w:val="en-GB"/>
        </w:rPr>
        <w:t>WSBI-ESBG</w:t>
      </w:r>
      <w:r w:rsidR="00E626F8" w:rsidRPr="00E109BB">
        <w:rPr>
          <w:rFonts w:ascii="Garamond" w:hAnsi="Garamond"/>
          <w:sz w:val="24"/>
          <w:lang w:val="en-GB"/>
        </w:rPr>
        <w:t xml:space="preserve"> member banks have reinvested responsibly in their region for many decades and are a distinct benchmark for corporate social responsibility activities throughout Europe and the world.</w:t>
      </w:r>
    </w:p>
    <w:p w:rsidR="00E626F8" w:rsidRPr="00E109BB" w:rsidRDefault="00E626F8" w:rsidP="00E626F8">
      <w:pPr>
        <w:pStyle w:val="BodyText"/>
        <w:spacing w:after="200"/>
        <w:rPr>
          <w:rFonts w:ascii="Garamond" w:hAnsi="Garamond"/>
          <w:sz w:val="24"/>
          <w:lang w:val="en-GB"/>
        </w:rPr>
      </w:pPr>
    </w:p>
    <w:p w:rsidR="00E626F8" w:rsidRPr="00E109BB" w:rsidRDefault="00E626F8" w:rsidP="00E626F8">
      <w:pPr>
        <w:pStyle w:val="BodyText"/>
        <w:spacing w:after="200"/>
        <w:rPr>
          <w:rFonts w:ascii="Garamond" w:hAnsi="Garamond"/>
          <w:sz w:val="24"/>
          <w:lang w:val="en-GB"/>
        </w:rPr>
      </w:pPr>
    </w:p>
    <w:p w:rsidR="00F82C61" w:rsidRPr="00E109BB" w:rsidRDefault="001B7A8A" w:rsidP="000B19A6">
      <w:pPr>
        <w:jc w:val="both"/>
        <w:rPr>
          <w:rFonts w:ascii="Garamond" w:hAnsi="Garamond"/>
          <w:sz w:val="24"/>
          <w:szCs w:val="24"/>
          <w:lang w:val="en-GB" w:eastAsia="de-DE"/>
        </w:rPr>
      </w:pPr>
      <w:r w:rsidRPr="00E109BB">
        <w:rPr>
          <w:rFonts w:ascii="Garamond" w:hAnsi="Garamond"/>
          <w:noProof/>
          <w:sz w:val="24"/>
          <w:szCs w:val="24"/>
          <w:lang w:val="fr-BE" w:eastAsia="zh-CN"/>
        </w:rPr>
        <w:drawing>
          <wp:inline distT="0" distB="0" distL="0" distR="0" wp14:anchorId="0B440FE3" wp14:editId="4D221D88">
            <wp:extent cx="914400" cy="621030"/>
            <wp:effectExtent l="19050" t="0" r="0" b="0"/>
            <wp:docPr id="2" name="Picture 2" descr="ESBG-quadri-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quadri-SMALL"/>
                    <pic:cNvPicPr>
                      <a:picLocks noChangeAspect="1" noChangeArrowheads="1"/>
                    </pic:cNvPicPr>
                  </pic:nvPicPr>
                  <pic:blipFill>
                    <a:blip r:embed="rId11"/>
                    <a:srcRect/>
                    <a:stretch>
                      <a:fillRect/>
                    </a:stretch>
                  </pic:blipFill>
                  <pic:spPr bwMode="auto">
                    <a:xfrm>
                      <a:off x="0" y="0"/>
                      <a:ext cx="914400" cy="621030"/>
                    </a:xfrm>
                    <a:prstGeom prst="rect">
                      <a:avLst/>
                    </a:prstGeom>
                    <a:noFill/>
                    <a:ln w="9525">
                      <a:noFill/>
                      <a:miter lim="800000"/>
                      <a:headEnd/>
                      <a:tailEnd/>
                    </a:ln>
                  </pic:spPr>
                </pic:pic>
              </a:graphicData>
            </a:graphic>
          </wp:inline>
        </w:drawing>
      </w:r>
    </w:p>
    <w:p w:rsidR="00F82C61" w:rsidRPr="00E109BB" w:rsidRDefault="00C201A8" w:rsidP="000B19A6">
      <w:pPr>
        <w:jc w:val="both"/>
        <w:rPr>
          <w:rFonts w:ascii="Garamond" w:hAnsi="Garamond"/>
          <w:sz w:val="24"/>
          <w:szCs w:val="24"/>
          <w:lang w:val="en-GB" w:eastAsia="de-DE"/>
        </w:rPr>
      </w:pPr>
      <w:r w:rsidRPr="00E109BB">
        <w:rPr>
          <w:rFonts w:ascii="Garamond" w:hAnsi="Garamond"/>
          <w:color w:val="000000"/>
          <w:sz w:val="24"/>
          <w:szCs w:val="24"/>
          <w:lang w:val="en-GB" w:eastAsia="de-DE"/>
        </w:rPr>
        <w:t>WSBI-ESBG</w:t>
      </w:r>
      <w:r w:rsidR="00F82C61" w:rsidRPr="00E109BB">
        <w:rPr>
          <w:rFonts w:ascii="Garamond" w:hAnsi="Garamond"/>
          <w:color w:val="000000"/>
          <w:sz w:val="24"/>
          <w:szCs w:val="24"/>
          <w:lang w:val="en-GB" w:eastAsia="de-DE"/>
        </w:rPr>
        <w:t xml:space="preserve"> - Association internationale sans but lucratif/Internationale vereniging zonder instoogmerk/</w:t>
      </w:r>
      <w:r w:rsidR="00F82C61" w:rsidRPr="00E109BB">
        <w:rPr>
          <w:rFonts w:ascii="Garamond" w:hAnsi="Garamond"/>
          <w:color w:val="000000"/>
          <w:sz w:val="24"/>
          <w:szCs w:val="24"/>
          <w:lang w:val="en-GB" w:eastAsia="de-DE"/>
        </w:rPr>
        <w:br/>
        <w:t>International not-for-profit association</w:t>
      </w:r>
    </w:p>
    <w:p w:rsidR="00F82C61" w:rsidRPr="00E109BB" w:rsidRDefault="00F82C61" w:rsidP="000B19A6">
      <w:pPr>
        <w:jc w:val="both"/>
        <w:rPr>
          <w:rFonts w:ascii="Garamond" w:hAnsi="Garamond"/>
          <w:sz w:val="24"/>
          <w:szCs w:val="24"/>
          <w:lang w:val="en-GB" w:eastAsia="de-DE"/>
        </w:rPr>
      </w:pPr>
      <w:r w:rsidRPr="00E109BB">
        <w:rPr>
          <w:rFonts w:ascii="Garamond" w:hAnsi="Garamond"/>
          <w:sz w:val="24"/>
          <w:szCs w:val="24"/>
          <w:lang w:val="en-GB" w:eastAsia="de-DE"/>
        </w:rPr>
        <w:t xml:space="preserve">Rue Marie-Thérèse, 11 </w:t>
      </w:r>
      <w:r w:rsidRPr="00E109BB">
        <w:rPr>
          <w:rFonts w:ascii="Garamond" w:eastAsia="MS Mincho" w:hAnsi="Garamond"/>
          <w:color w:val="004483"/>
          <w:sz w:val="24"/>
          <w:szCs w:val="24"/>
          <w:lang w:val="en-GB" w:eastAsia="de-DE"/>
        </w:rPr>
        <w:t>￭</w:t>
      </w:r>
      <w:r w:rsidRPr="00E109BB">
        <w:rPr>
          <w:rFonts w:ascii="Garamond" w:eastAsia="MS Mincho" w:hAnsi="Garamond"/>
          <w:color w:val="004483"/>
          <w:sz w:val="24"/>
          <w:szCs w:val="24"/>
          <w:lang w:val="en-GB" w:eastAsia="de-DE"/>
        </w:rPr>
        <w:t xml:space="preserve"> </w:t>
      </w:r>
      <w:r w:rsidRPr="00E109BB">
        <w:rPr>
          <w:rFonts w:ascii="Garamond" w:hAnsi="Garamond"/>
          <w:sz w:val="24"/>
          <w:szCs w:val="24"/>
          <w:lang w:val="en-GB" w:eastAsia="de-DE"/>
        </w:rPr>
        <w:t xml:space="preserve">B-1000 Brussels </w:t>
      </w:r>
      <w:r w:rsidRPr="00E109BB">
        <w:rPr>
          <w:rFonts w:ascii="Garamond" w:eastAsia="MS Mincho" w:hAnsi="Garamond"/>
          <w:color w:val="004483"/>
          <w:sz w:val="24"/>
          <w:szCs w:val="24"/>
          <w:lang w:val="en-GB" w:eastAsia="de-DE"/>
        </w:rPr>
        <w:t>￭</w:t>
      </w:r>
      <w:r w:rsidRPr="00E109BB">
        <w:rPr>
          <w:rFonts w:ascii="Garamond" w:eastAsia="MS Mincho" w:hAnsi="Garamond"/>
          <w:color w:val="004483"/>
          <w:sz w:val="24"/>
          <w:szCs w:val="24"/>
          <w:lang w:val="en-GB" w:eastAsia="de-DE"/>
        </w:rPr>
        <w:t xml:space="preserve"> </w:t>
      </w:r>
      <w:r w:rsidRPr="00E109BB">
        <w:rPr>
          <w:rFonts w:ascii="Garamond" w:hAnsi="Garamond"/>
          <w:sz w:val="24"/>
          <w:szCs w:val="24"/>
          <w:lang w:val="en-GB" w:eastAsia="de-DE"/>
        </w:rPr>
        <w:t xml:space="preserve">Tel: +32 2 211 11 11 </w:t>
      </w:r>
      <w:r w:rsidRPr="00E109BB">
        <w:rPr>
          <w:rFonts w:ascii="Garamond" w:eastAsia="MS Mincho" w:hAnsi="Garamond"/>
          <w:color w:val="004483"/>
          <w:sz w:val="24"/>
          <w:szCs w:val="24"/>
          <w:lang w:val="en-GB" w:eastAsia="de-DE"/>
        </w:rPr>
        <w:t>￭</w:t>
      </w:r>
      <w:r w:rsidRPr="00E109BB">
        <w:rPr>
          <w:rFonts w:ascii="Garamond" w:eastAsia="MS Mincho" w:hAnsi="Garamond"/>
          <w:color w:val="004483"/>
          <w:sz w:val="24"/>
          <w:szCs w:val="24"/>
          <w:lang w:val="en-GB" w:eastAsia="de-DE"/>
        </w:rPr>
        <w:t xml:space="preserve"> </w:t>
      </w:r>
      <w:r w:rsidRPr="00E109BB">
        <w:rPr>
          <w:rFonts w:ascii="Garamond" w:hAnsi="Garamond"/>
          <w:sz w:val="24"/>
          <w:szCs w:val="24"/>
          <w:lang w:val="en-GB" w:eastAsia="de-DE"/>
        </w:rPr>
        <w:t xml:space="preserve">Fax: +32 2 211 11 99 info@savings-banks.eu </w:t>
      </w:r>
      <w:r w:rsidRPr="00E109BB">
        <w:rPr>
          <w:rFonts w:ascii="Garamond" w:eastAsia="MS Mincho" w:hAnsi="Garamond"/>
          <w:color w:val="004483"/>
          <w:sz w:val="24"/>
          <w:szCs w:val="24"/>
          <w:lang w:val="en-GB" w:eastAsia="de-DE"/>
        </w:rPr>
        <w:t>￭</w:t>
      </w:r>
      <w:r w:rsidRPr="00E109BB">
        <w:rPr>
          <w:rFonts w:ascii="Garamond" w:eastAsia="MS Mincho" w:hAnsi="Garamond"/>
          <w:color w:val="004483"/>
          <w:sz w:val="24"/>
          <w:szCs w:val="24"/>
          <w:lang w:val="en-GB" w:eastAsia="de-DE"/>
        </w:rPr>
        <w:t xml:space="preserve"> </w:t>
      </w:r>
      <w:r w:rsidRPr="00E109BB">
        <w:rPr>
          <w:rFonts w:ascii="Garamond" w:hAnsi="Garamond"/>
          <w:sz w:val="24"/>
          <w:szCs w:val="24"/>
          <w:lang w:val="en-GB" w:eastAsia="de-DE"/>
        </w:rPr>
        <w:t>www.savings-banks.eu</w:t>
      </w:r>
    </w:p>
    <w:p w:rsidR="00DD61B0" w:rsidRPr="00E109BB" w:rsidRDefault="00F82C61" w:rsidP="008C1F73">
      <w:pPr>
        <w:jc w:val="both"/>
        <w:outlineLvl w:val="0"/>
        <w:rPr>
          <w:rFonts w:ascii="Garamond" w:hAnsi="Garamond"/>
          <w:lang w:val="en-GB"/>
        </w:rPr>
      </w:pPr>
      <w:r w:rsidRPr="00E109BB">
        <w:rPr>
          <w:rFonts w:ascii="Garamond" w:hAnsi="Garamond"/>
          <w:sz w:val="24"/>
          <w:szCs w:val="24"/>
          <w:lang w:val="en-GB" w:eastAsia="de-DE"/>
        </w:rPr>
        <w:t xml:space="preserve">Published by the </w:t>
      </w:r>
      <w:r w:rsidR="00C201A8" w:rsidRPr="00E109BB">
        <w:rPr>
          <w:rFonts w:ascii="Garamond" w:hAnsi="Garamond"/>
          <w:sz w:val="24"/>
          <w:szCs w:val="24"/>
          <w:lang w:val="en-GB" w:eastAsia="de-DE"/>
        </w:rPr>
        <w:t>WSBI-ESBG</w:t>
      </w:r>
      <w:r w:rsidRPr="00E109BB">
        <w:rPr>
          <w:rFonts w:ascii="Garamond" w:hAnsi="Garamond"/>
          <w:sz w:val="24"/>
          <w:szCs w:val="24"/>
          <w:lang w:val="en-GB" w:eastAsia="de-DE"/>
        </w:rPr>
        <w:t xml:space="preserve">, </w:t>
      </w:r>
      <w:r w:rsidR="00635064" w:rsidRPr="00E109BB">
        <w:rPr>
          <w:rFonts w:ascii="Garamond" w:hAnsi="Garamond"/>
          <w:sz w:val="24"/>
          <w:szCs w:val="24"/>
          <w:lang w:val="en-GB" w:eastAsia="de-DE"/>
        </w:rPr>
        <w:t>August</w:t>
      </w:r>
      <w:r w:rsidR="000D1B70" w:rsidRPr="00E109BB">
        <w:rPr>
          <w:rFonts w:ascii="Garamond" w:hAnsi="Garamond"/>
          <w:sz w:val="24"/>
          <w:szCs w:val="24"/>
          <w:lang w:val="en-GB" w:eastAsia="de-DE"/>
        </w:rPr>
        <w:t xml:space="preserve"> </w:t>
      </w:r>
      <w:r w:rsidRPr="00E109BB">
        <w:rPr>
          <w:rFonts w:ascii="Garamond" w:hAnsi="Garamond"/>
          <w:sz w:val="24"/>
          <w:szCs w:val="24"/>
          <w:lang w:val="en-GB" w:eastAsia="de-DE"/>
        </w:rPr>
        <w:t>201</w:t>
      </w:r>
      <w:r w:rsidR="00552617" w:rsidRPr="00E109BB">
        <w:rPr>
          <w:rFonts w:ascii="Garamond" w:hAnsi="Garamond"/>
          <w:sz w:val="24"/>
          <w:szCs w:val="24"/>
          <w:lang w:val="en-GB" w:eastAsia="de-DE"/>
        </w:rPr>
        <w:t>2</w:t>
      </w:r>
    </w:p>
    <w:p w:rsidR="00DD61B0" w:rsidRPr="00E109BB" w:rsidRDefault="00DD61B0" w:rsidP="000B19A6">
      <w:pPr>
        <w:jc w:val="both"/>
        <w:rPr>
          <w:rFonts w:ascii="Garamond" w:hAnsi="Garamond" w:cs="Garamond"/>
          <w:sz w:val="24"/>
          <w:szCs w:val="24"/>
          <w:lang w:val="en-GB"/>
        </w:rPr>
      </w:pPr>
    </w:p>
    <w:sectPr w:rsidR="00DD61B0" w:rsidRPr="00E109BB" w:rsidSect="00867839">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F6" w:rsidRDefault="009549F6" w:rsidP="00347091">
      <w:pPr>
        <w:spacing w:after="0" w:line="240" w:lineRule="auto"/>
      </w:pPr>
      <w:r>
        <w:separator/>
      </w:r>
    </w:p>
  </w:endnote>
  <w:endnote w:type="continuationSeparator" w:id="0">
    <w:p w:rsidR="009549F6" w:rsidRDefault="009549F6" w:rsidP="0034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F6" w:rsidRPr="00261E7D" w:rsidRDefault="009549F6">
    <w:pPr>
      <w:pStyle w:val="Footer"/>
      <w:jc w:val="right"/>
      <w:rPr>
        <w:rFonts w:ascii="Garamond" w:hAnsi="Garamond"/>
        <w:sz w:val="24"/>
        <w:szCs w:val="24"/>
      </w:rPr>
    </w:pPr>
    <w:r w:rsidRPr="00261E7D">
      <w:rPr>
        <w:rFonts w:ascii="Garamond" w:hAnsi="Garamond"/>
        <w:sz w:val="24"/>
        <w:szCs w:val="24"/>
      </w:rPr>
      <w:fldChar w:fldCharType="begin"/>
    </w:r>
    <w:r w:rsidRPr="00261E7D">
      <w:rPr>
        <w:rFonts w:ascii="Garamond" w:hAnsi="Garamond"/>
        <w:sz w:val="24"/>
        <w:szCs w:val="24"/>
      </w:rPr>
      <w:instrText xml:space="preserve"> PAGE   \* MERGEFORMAT </w:instrText>
    </w:r>
    <w:r w:rsidRPr="00261E7D">
      <w:rPr>
        <w:rFonts w:ascii="Garamond" w:hAnsi="Garamond"/>
        <w:sz w:val="24"/>
        <w:szCs w:val="24"/>
      </w:rPr>
      <w:fldChar w:fldCharType="separate"/>
    </w:r>
    <w:r w:rsidR="004B4114">
      <w:rPr>
        <w:rFonts w:ascii="Garamond" w:hAnsi="Garamond"/>
        <w:noProof/>
        <w:sz w:val="24"/>
        <w:szCs w:val="24"/>
      </w:rPr>
      <w:t>4</w:t>
    </w:r>
    <w:r w:rsidRPr="00261E7D">
      <w:rPr>
        <w:rFonts w:ascii="Garamond" w:hAnsi="Garamond"/>
        <w:sz w:val="24"/>
        <w:szCs w:val="24"/>
      </w:rPr>
      <w:fldChar w:fldCharType="end"/>
    </w:r>
  </w:p>
  <w:p w:rsidR="009549F6" w:rsidRDefault="00954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F6" w:rsidRDefault="009549F6">
    <w:pPr>
      <w:pStyle w:val="Footer"/>
    </w:pPr>
  </w:p>
  <w:p w:rsidR="009549F6" w:rsidRDefault="00954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F6" w:rsidRDefault="009549F6" w:rsidP="00347091">
      <w:pPr>
        <w:spacing w:after="0" w:line="240" w:lineRule="auto"/>
      </w:pPr>
      <w:r>
        <w:separator/>
      </w:r>
    </w:p>
  </w:footnote>
  <w:footnote w:type="continuationSeparator" w:id="0">
    <w:p w:rsidR="009549F6" w:rsidRDefault="009549F6" w:rsidP="00347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F6" w:rsidRDefault="009549F6" w:rsidP="00B934A0">
    <w:pPr>
      <w:pStyle w:val="Header"/>
      <w:jc w:val="center"/>
    </w:pPr>
    <w:r>
      <w:rPr>
        <w:rFonts w:ascii="Garamond" w:hAnsi="Garamond" w:cs="Garamond"/>
        <w:noProof/>
        <w:sz w:val="24"/>
        <w:szCs w:val="24"/>
        <w:lang w:val="fr-BE" w:eastAsia="zh-CN"/>
      </w:rPr>
      <w:drawing>
        <wp:inline distT="0" distB="0" distL="0" distR="0" wp14:anchorId="07D9238A" wp14:editId="30350F65">
          <wp:extent cx="716280" cy="267335"/>
          <wp:effectExtent l="19050" t="0" r="7620" b="0"/>
          <wp:docPr id="3" name="Picture 1" descr="esbgkleinzonderletters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gkleinzonderletters200dpi"/>
                  <pic:cNvPicPr>
                    <a:picLocks noChangeAspect="1" noChangeArrowheads="1"/>
                  </pic:cNvPicPr>
                </pic:nvPicPr>
                <pic:blipFill>
                  <a:blip r:embed="rId1"/>
                  <a:srcRect/>
                  <a:stretch>
                    <a:fillRect/>
                  </a:stretch>
                </pic:blipFill>
                <pic:spPr bwMode="auto">
                  <a:xfrm>
                    <a:off x="0" y="0"/>
                    <a:ext cx="716280" cy="2673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BE6"/>
    <w:multiLevelType w:val="hybridMultilevel"/>
    <w:tmpl w:val="B53661F8"/>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293E57"/>
    <w:multiLevelType w:val="hybridMultilevel"/>
    <w:tmpl w:val="B23C3112"/>
    <w:lvl w:ilvl="0" w:tplc="EE34BEE4">
      <w:numFmt w:val="bullet"/>
      <w:lvlText w:val="•"/>
      <w:lvlJc w:val="left"/>
      <w:pPr>
        <w:ind w:left="1080" w:hanging="72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C066B"/>
    <w:multiLevelType w:val="hybridMultilevel"/>
    <w:tmpl w:val="D30270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3709DF"/>
    <w:multiLevelType w:val="hybridMultilevel"/>
    <w:tmpl w:val="ABF2D798"/>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F7412B"/>
    <w:multiLevelType w:val="hybridMultilevel"/>
    <w:tmpl w:val="283875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098501D"/>
    <w:multiLevelType w:val="hybridMultilevel"/>
    <w:tmpl w:val="AAA61078"/>
    <w:lvl w:ilvl="0" w:tplc="F9D6363A">
      <w:start w:val="17"/>
      <w:numFmt w:val="bullet"/>
      <w:lvlText w:val="-"/>
      <w:lvlJc w:val="left"/>
      <w:pPr>
        <w:tabs>
          <w:tab w:val="num" w:pos="420"/>
        </w:tabs>
        <w:ind w:left="420" w:hanging="360"/>
      </w:pPr>
      <w:rPr>
        <w:rFonts w:ascii="Times New Roman" w:eastAsia="Times New Roman" w:hAnsi="Times New Roman" w:cs="Times New Roman" w:hint="default"/>
      </w:rPr>
    </w:lvl>
    <w:lvl w:ilvl="1" w:tplc="0C070003" w:tentative="1">
      <w:start w:val="1"/>
      <w:numFmt w:val="bullet"/>
      <w:lvlText w:val="o"/>
      <w:lvlJc w:val="left"/>
      <w:pPr>
        <w:tabs>
          <w:tab w:val="num" w:pos="1140"/>
        </w:tabs>
        <w:ind w:left="1140" w:hanging="360"/>
      </w:pPr>
      <w:rPr>
        <w:rFonts w:ascii="Courier New" w:hAnsi="Courier New" w:cs="Courier New" w:hint="default"/>
      </w:rPr>
    </w:lvl>
    <w:lvl w:ilvl="2" w:tplc="0C070005" w:tentative="1">
      <w:start w:val="1"/>
      <w:numFmt w:val="bullet"/>
      <w:lvlText w:val=""/>
      <w:lvlJc w:val="left"/>
      <w:pPr>
        <w:tabs>
          <w:tab w:val="num" w:pos="1860"/>
        </w:tabs>
        <w:ind w:left="1860" w:hanging="360"/>
      </w:pPr>
      <w:rPr>
        <w:rFonts w:ascii="Wingdings" w:hAnsi="Wingdings" w:hint="default"/>
      </w:rPr>
    </w:lvl>
    <w:lvl w:ilvl="3" w:tplc="0C070001" w:tentative="1">
      <w:start w:val="1"/>
      <w:numFmt w:val="bullet"/>
      <w:lvlText w:val=""/>
      <w:lvlJc w:val="left"/>
      <w:pPr>
        <w:tabs>
          <w:tab w:val="num" w:pos="2580"/>
        </w:tabs>
        <w:ind w:left="2580" w:hanging="360"/>
      </w:pPr>
      <w:rPr>
        <w:rFonts w:ascii="Symbol" w:hAnsi="Symbol" w:hint="default"/>
      </w:rPr>
    </w:lvl>
    <w:lvl w:ilvl="4" w:tplc="0C070003" w:tentative="1">
      <w:start w:val="1"/>
      <w:numFmt w:val="bullet"/>
      <w:lvlText w:val="o"/>
      <w:lvlJc w:val="left"/>
      <w:pPr>
        <w:tabs>
          <w:tab w:val="num" w:pos="3300"/>
        </w:tabs>
        <w:ind w:left="3300" w:hanging="360"/>
      </w:pPr>
      <w:rPr>
        <w:rFonts w:ascii="Courier New" w:hAnsi="Courier New" w:cs="Courier New" w:hint="default"/>
      </w:rPr>
    </w:lvl>
    <w:lvl w:ilvl="5" w:tplc="0C070005" w:tentative="1">
      <w:start w:val="1"/>
      <w:numFmt w:val="bullet"/>
      <w:lvlText w:val=""/>
      <w:lvlJc w:val="left"/>
      <w:pPr>
        <w:tabs>
          <w:tab w:val="num" w:pos="4020"/>
        </w:tabs>
        <w:ind w:left="4020" w:hanging="360"/>
      </w:pPr>
      <w:rPr>
        <w:rFonts w:ascii="Wingdings" w:hAnsi="Wingdings" w:hint="default"/>
      </w:rPr>
    </w:lvl>
    <w:lvl w:ilvl="6" w:tplc="0C070001" w:tentative="1">
      <w:start w:val="1"/>
      <w:numFmt w:val="bullet"/>
      <w:lvlText w:val=""/>
      <w:lvlJc w:val="left"/>
      <w:pPr>
        <w:tabs>
          <w:tab w:val="num" w:pos="4740"/>
        </w:tabs>
        <w:ind w:left="4740" w:hanging="360"/>
      </w:pPr>
      <w:rPr>
        <w:rFonts w:ascii="Symbol" w:hAnsi="Symbol" w:hint="default"/>
      </w:rPr>
    </w:lvl>
    <w:lvl w:ilvl="7" w:tplc="0C070003" w:tentative="1">
      <w:start w:val="1"/>
      <w:numFmt w:val="bullet"/>
      <w:lvlText w:val="o"/>
      <w:lvlJc w:val="left"/>
      <w:pPr>
        <w:tabs>
          <w:tab w:val="num" w:pos="5460"/>
        </w:tabs>
        <w:ind w:left="5460" w:hanging="360"/>
      </w:pPr>
      <w:rPr>
        <w:rFonts w:ascii="Courier New" w:hAnsi="Courier New" w:cs="Courier New" w:hint="default"/>
      </w:rPr>
    </w:lvl>
    <w:lvl w:ilvl="8" w:tplc="0C070005" w:tentative="1">
      <w:start w:val="1"/>
      <w:numFmt w:val="bullet"/>
      <w:lvlText w:val=""/>
      <w:lvlJc w:val="left"/>
      <w:pPr>
        <w:tabs>
          <w:tab w:val="num" w:pos="6180"/>
        </w:tabs>
        <w:ind w:left="6180" w:hanging="360"/>
      </w:pPr>
      <w:rPr>
        <w:rFonts w:ascii="Wingdings" w:hAnsi="Wingdings" w:hint="default"/>
      </w:rPr>
    </w:lvl>
  </w:abstractNum>
  <w:abstractNum w:abstractNumId="6">
    <w:nsid w:val="163407BE"/>
    <w:multiLevelType w:val="hybridMultilevel"/>
    <w:tmpl w:val="64F0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B73D3"/>
    <w:multiLevelType w:val="hybridMultilevel"/>
    <w:tmpl w:val="61E88170"/>
    <w:lvl w:ilvl="0" w:tplc="DE96B828">
      <w:start w:val="20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70652E1"/>
    <w:multiLevelType w:val="hybridMultilevel"/>
    <w:tmpl w:val="8F6C8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F8700F4"/>
    <w:multiLevelType w:val="hybridMultilevel"/>
    <w:tmpl w:val="66FA08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0C77D54"/>
    <w:multiLevelType w:val="hybridMultilevel"/>
    <w:tmpl w:val="CB9CA4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2E527B2"/>
    <w:multiLevelType w:val="hybridMultilevel"/>
    <w:tmpl w:val="20D4E080"/>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53E44FC"/>
    <w:multiLevelType w:val="hybridMultilevel"/>
    <w:tmpl w:val="84844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F79A8"/>
    <w:multiLevelType w:val="hybridMultilevel"/>
    <w:tmpl w:val="4E3CC712"/>
    <w:lvl w:ilvl="0" w:tplc="83DE8366">
      <w:numFmt w:val="bullet"/>
      <w:lvlText w:val="•"/>
      <w:lvlJc w:val="left"/>
      <w:pPr>
        <w:ind w:left="1080" w:hanging="72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A6240"/>
    <w:multiLevelType w:val="hybridMultilevel"/>
    <w:tmpl w:val="DC5EB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71D36"/>
    <w:multiLevelType w:val="multilevel"/>
    <w:tmpl w:val="B5B4602E"/>
    <w:lvl w:ilvl="0">
      <w:start w:val="1"/>
      <w:numFmt w:val="decimal"/>
      <w:lvlText w:val="%1."/>
      <w:lvlJc w:val="left"/>
      <w:pPr>
        <w:ind w:left="375" w:hanging="375"/>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EC92BAE"/>
    <w:multiLevelType w:val="hybridMultilevel"/>
    <w:tmpl w:val="179AE46A"/>
    <w:lvl w:ilvl="0" w:tplc="AE36F4C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5CA5D15"/>
    <w:multiLevelType w:val="hybridMultilevel"/>
    <w:tmpl w:val="776854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B006B88"/>
    <w:multiLevelType w:val="hybridMultilevel"/>
    <w:tmpl w:val="320078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B2D0AFF"/>
    <w:multiLevelType w:val="hybridMultilevel"/>
    <w:tmpl w:val="79A04AD4"/>
    <w:lvl w:ilvl="0" w:tplc="5394A99C">
      <w:start w:val="5"/>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18164E8"/>
    <w:multiLevelType w:val="hybridMultilevel"/>
    <w:tmpl w:val="DCF0A2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5BD462F"/>
    <w:multiLevelType w:val="hybridMultilevel"/>
    <w:tmpl w:val="5CFA5200"/>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AB16703"/>
    <w:multiLevelType w:val="hybridMultilevel"/>
    <w:tmpl w:val="5E6E0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2243265"/>
    <w:multiLevelType w:val="hybridMultilevel"/>
    <w:tmpl w:val="23003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51E95"/>
    <w:multiLevelType w:val="hybridMultilevel"/>
    <w:tmpl w:val="C3E0F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BFD60A4"/>
    <w:multiLevelType w:val="hybridMultilevel"/>
    <w:tmpl w:val="628AA81A"/>
    <w:lvl w:ilvl="0" w:tplc="E2C42BFA">
      <w:numFmt w:val="bullet"/>
      <w:lvlText w:val="•"/>
      <w:lvlJc w:val="left"/>
      <w:pPr>
        <w:ind w:left="1080" w:hanging="72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1F5FBB"/>
    <w:multiLevelType w:val="hybridMultilevel"/>
    <w:tmpl w:val="9A22AD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E3B7E04"/>
    <w:multiLevelType w:val="hybridMultilevel"/>
    <w:tmpl w:val="CA4A02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8"/>
  </w:num>
  <w:num w:numId="4">
    <w:abstractNumId w:val="5"/>
  </w:num>
  <w:num w:numId="5">
    <w:abstractNumId w:val="24"/>
  </w:num>
  <w:num w:numId="6">
    <w:abstractNumId w:val="12"/>
  </w:num>
  <w:num w:numId="7">
    <w:abstractNumId w:val="1"/>
  </w:num>
  <w:num w:numId="8">
    <w:abstractNumId w:val="14"/>
  </w:num>
  <w:num w:numId="9">
    <w:abstractNumId w:val="25"/>
  </w:num>
  <w:num w:numId="10">
    <w:abstractNumId w:val="23"/>
  </w:num>
  <w:num w:numId="11">
    <w:abstractNumId w:val="13"/>
  </w:num>
  <w:num w:numId="12">
    <w:abstractNumId w:val="6"/>
  </w:num>
  <w:num w:numId="13">
    <w:abstractNumId w:val="20"/>
  </w:num>
  <w:num w:numId="14">
    <w:abstractNumId w:val="9"/>
  </w:num>
  <w:num w:numId="15">
    <w:abstractNumId w:val="27"/>
  </w:num>
  <w:num w:numId="16">
    <w:abstractNumId w:val="17"/>
  </w:num>
  <w:num w:numId="17">
    <w:abstractNumId w:val="26"/>
  </w:num>
  <w:num w:numId="18">
    <w:abstractNumId w:val="3"/>
  </w:num>
  <w:num w:numId="19">
    <w:abstractNumId w:val="21"/>
  </w:num>
  <w:num w:numId="20">
    <w:abstractNumId w:val="11"/>
  </w:num>
  <w:num w:numId="21">
    <w:abstractNumId w:val="16"/>
  </w:num>
  <w:num w:numId="22">
    <w:abstractNumId w:val="0"/>
  </w:num>
  <w:num w:numId="23">
    <w:abstractNumId w:val="2"/>
  </w:num>
  <w:num w:numId="24">
    <w:abstractNumId w:val="10"/>
  </w:num>
  <w:num w:numId="25">
    <w:abstractNumId w:val="19"/>
  </w:num>
  <w:num w:numId="26">
    <w:abstractNumId w:val="18"/>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95"/>
    <w:rsid w:val="00000E32"/>
    <w:rsid w:val="00002256"/>
    <w:rsid w:val="00014C76"/>
    <w:rsid w:val="00015B67"/>
    <w:rsid w:val="00017BE0"/>
    <w:rsid w:val="00017E8B"/>
    <w:rsid w:val="00021662"/>
    <w:rsid w:val="00023205"/>
    <w:rsid w:val="000311B3"/>
    <w:rsid w:val="0003231E"/>
    <w:rsid w:val="00037D52"/>
    <w:rsid w:val="00041D44"/>
    <w:rsid w:val="00061048"/>
    <w:rsid w:val="0006459E"/>
    <w:rsid w:val="000723A2"/>
    <w:rsid w:val="000724F9"/>
    <w:rsid w:val="00072ECB"/>
    <w:rsid w:val="00073D7E"/>
    <w:rsid w:val="0007499D"/>
    <w:rsid w:val="000762DC"/>
    <w:rsid w:val="00082915"/>
    <w:rsid w:val="000854FF"/>
    <w:rsid w:val="00086831"/>
    <w:rsid w:val="00086BCA"/>
    <w:rsid w:val="00090943"/>
    <w:rsid w:val="000975EF"/>
    <w:rsid w:val="000A5F05"/>
    <w:rsid w:val="000B1442"/>
    <w:rsid w:val="000B19A6"/>
    <w:rsid w:val="000B1B95"/>
    <w:rsid w:val="000B3D48"/>
    <w:rsid w:val="000B600C"/>
    <w:rsid w:val="000C2808"/>
    <w:rsid w:val="000C459C"/>
    <w:rsid w:val="000C4B37"/>
    <w:rsid w:val="000C55E8"/>
    <w:rsid w:val="000D17E5"/>
    <w:rsid w:val="000D190E"/>
    <w:rsid w:val="000D1B70"/>
    <w:rsid w:val="000D31A8"/>
    <w:rsid w:val="000D5769"/>
    <w:rsid w:val="000E08B4"/>
    <w:rsid w:val="000E4F8B"/>
    <w:rsid w:val="000E51E2"/>
    <w:rsid w:val="000F56D9"/>
    <w:rsid w:val="00101F3E"/>
    <w:rsid w:val="00106187"/>
    <w:rsid w:val="00110722"/>
    <w:rsid w:val="00125029"/>
    <w:rsid w:val="00130027"/>
    <w:rsid w:val="00140290"/>
    <w:rsid w:val="00154695"/>
    <w:rsid w:val="001604E3"/>
    <w:rsid w:val="001637BC"/>
    <w:rsid w:val="00167EA9"/>
    <w:rsid w:val="00176D55"/>
    <w:rsid w:val="00196087"/>
    <w:rsid w:val="001A615A"/>
    <w:rsid w:val="001A7B58"/>
    <w:rsid w:val="001B5677"/>
    <w:rsid w:val="001B5768"/>
    <w:rsid w:val="001B7743"/>
    <w:rsid w:val="001B7A8A"/>
    <w:rsid w:val="001C2F0D"/>
    <w:rsid w:val="001C5B11"/>
    <w:rsid w:val="001C6AA7"/>
    <w:rsid w:val="001C6B28"/>
    <w:rsid w:val="001C769B"/>
    <w:rsid w:val="001D0BE6"/>
    <w:rsid w:val="001D174E"/>
    <w:rsid w:val="001D20A1"/>
    <w:rsid w:val="001D2161"/>
    <w:rsid w:val="001D2A5F"/>
    <w:rsid w:val="001E0A96"/>
    <w:rsid w:val="001F0EDF"/>
    <w:rsid w:val="001F4FA6"/>
    <w:rsid w:val="00201960"/>
    <w:rsid w:val="0020206F"/>
    <w:rsid w:val="00210E55"/>
    <w:rsid w:val="00213DE2"/>
    <w:rsid w:val="00216D15"/>
    <w:rsid w:val="0022486B"/>
    <w:rsid w:val="0024061D"/>
    <w:rsid w:val="00242C71"/>
    <w:rsid w:val="002561D5"/>
    <w:rsid w:val="00261E7D"/>
    <w:rsid w:val="0026216A"/>
    <w:rsid w:val="0026716B"/>
    <w:rsid w:val="00267421"/>
    <w:rsid w:val="002678DB"/>
    <w:rsid w:val="00267F06"/>
    <w:rsid w:val="00275C86"/>
    <w:rsid w:val="002761F1"/>
    <w:rsid w:val="00283B86"/>
    <w:rsid w:val="002848F8"/>
    <w:rsid w:val="00291D8D"/>
    <w:rsid w:val="002A047C"/>
    <w:rsid w:val="002A0939"/>
    <w:rsid w:val="002A4925"/>
    <w:rsid w:val="002A68F0"/>
    <w:rsid w:val="002A7CA0"/>
    <w:rsid w:val="002B1331"/>
    <w:rsid w:val="002B3E6B"/>
    <w:rsid w:val="002B508C"/>
    <w:rsid w:val="002C1A33"/>
    <w:rsid w:val="002C1DBA"/>
    <w:rsid w:val="002C4F23"/>
    <w:rsid w:val="002C7794"/>
    <w:rsid w:val="002D02CA"/>
    <w:rsid w:val="002D1EAC"/>
    <w:rsid w:val="002D33F8"/>
    <w:rsid w:val="002D5EFD"/>
    <w:rsid w:val="002D63D9"/>
    <w:rsid w:val="002D7193"/>
    <w:rsid w:val="002F0B11"/>
    <w:rsid w:val="003006BE"/>
    <w:rsid w:val="003040BB"/>
    <w:rsid w:val="00305470"/>
    <w:rsid w:val="00307BA6"/>
    <w:rsid w:val="00312B8E"/>
    <w:rsid w:val="00317303"/>
    <w:rsid w:val="003303F2"/>
    <w:rsid w:val="0033057F"/>
    <w:rsid w:val="003312D4"/>
    <w:rsid w:val="00331BA4"/>
    <w:rsid w:val="003342DD"/>
    <w:rsid w:val="00337C8E"/>
    <w:rsid w:val="003440F3"/>
    <w:rsid w:val="00344617"/>
    <w:rsid w:val="00347091"/>
    <w:rsid w:val="00353A83"/>
    <w:rsid w:val="00361E15"/>
    <w:rsid w:val="003621B7"/>
    <w:rsid w:val="00362207"/>
    <w:rsid w:val="00362D3C"/>
    <w:rsid w:val="00367201"/>
    <w:rsid w:val="00367C87"/>
    <w:rsid w:val="00371BFE"/>
    <w:rsid w:val="00377FFA"/>
    <w:rsid w:val="003802C2"/>
    <w:rsid w:val="00380616"/>
    <w:rsid w:val="003811C1"/>
    <w:rsid w:val="00381E78"/>
    <w:rsid w:val="0038368D"/>
    <w:rsid w:val="00383B5F"/>
    <w:rsid w:val="0038456F"/>
    <w:rsid w:val="003851AE"/>
    <w:rsid w:val="00385C36"/>
    <w:rsid w:val="00386223"/>
    <w:rsid w:val="003876EE"/>
    <w:rsid w:val="003937B4"/>
    <w:rsid w:val="003A677F"/>
    <w:rsid w:val="003B063F"/>
    <w:rsid w:val="003B1F45"/>
    <w:rsid w:val="003B2F42"/>
    <w:rsid w:val="003B4B2B"/>
    <w:rsid w:val="003B54BE"/>
    <w:rsid w:val="003B55AC"/>
    <w:rsid w:val="003B5BE6"/>
    <w:rsid w:val="003B795C"/>
    <w:rsid w:val="003C006D"/>
    <w:rsid w:val="003C773C"/>
    <w:rsid w:val="003D35F5"/>
    <w:rsid w:val="003E046F"/>
    <w:rsid w:val="003E6F8A"/>
    <w:rsid w:val="003F1DB9"/>
    <w:rsid w:val="003F3763"/>
    <w:rsid w:val="003F7047"/>
    <w:rsid w:val="00406F51"/>
    <w:rsid w:val="0040762B"/>
    <w:rsid w:val="004078EE"/>
    <w:rsid w:val="004104FF"/>
    <w:rsid w:val="00411164"/>
    <w:rsid w:val="004127F7"/>
    <w:rsid w:val="00414707"/>
    <w:rsid w:val="00422982"/>
    <w:rsid w:val="0042356D"/>
    <w:rsid w:val="004238E9"/>
    <w:rsid w:val="00427A70"/>
    <w:rsid w:val="00431785"/>
    <w:rsid w:val="00433559"/>
    <w:rsid w:val="00434D70"/>
    <w:rsid w:val="00436ECC"/>
    <w:rsid w:val="00442CA2"/>
    <w:rsid w:val="00457CDE"/>
    <w:rsid w:val="00460A37"/>
    <w:rsid w:val="004611BF"/>
    <w:rsid w:val="00473D82"/>
    <w:rsid w:val="00476E9A"/>
    <w:rsid w:val="00481DBC"/>
    <w:rsid w:val="00482C65"/>
    <w:rsid w:val="004A0A52"/>
    <w:rsid w:val="004A6872"/>
    <w:rsid w:val="004B0311"/>
    <w:rsid w:val="004B1A74"/>
    <w:rsid w:val="004B4114"/>
    <w:rsid w:val="004C2A26"/>
    <w:rsid w:val="004C2C04"/>
    <w:rsid w:val="004C321F"/>
    <w:rsid w:val="004C345F"/>
    <w:rsid w:val="004C5994"/>
    <w:rsid w:val="004C6431"/>
    <w:rsid w:val="004D167E"/>
    <w:rsid w:val="004D2C6E"/>
    <w:rsid w:val="004D31D4"/>
    <w:rsid w:val="004D3EC0"/>
    <w:rsid w:val="004D4795"/>
    <w:rsid w:val="004E0FF9"/>
    <w:rsid w:val="004E30CF"/>
    <w:rsid w:val="005000D6"/>
    <w:rsid w:val="00501FCB"/>
    <w:rsid w:val="00504933"/>
    <w:rsid w:val="00505750"/>
    <w:rsid w:val="0051110C"/>
    <w:rsid w:val="005117F0"/>
    <w:rsid w:val="00514439"/>
    <w:rsid w:val="00521A33"/>
    <w:rsid w:val="00534E63"/>
    <w:rsid w:val="0053651D"/>
    <w:rsid w:val="0054394E"/>
    <w:rsid w:val="00543CF9"/>
    <w:rsid w:val="00546224"/>
    <w:rsid w:val="00547788"/>
    <w:rsid w:val="00552617"/>
    <w:rsid w:val="00555E77"/>
    <w:rsid w:val="0056150C"/>
    <w:rsid w:val="00564922"/>
    <w:rsid w:val="00564ED0"/>
    <w:rsid w:val="00567283"/>
    <w:rsid w:val="0057395C"/>
    <w:rsid w:val="0058096A"/>
    <w:rsid w:val="005856A1"/>
    <w:rsid w:val="00595726"/>
    <w:rsid w:val="005A170F"/>
    <w:rsid w:val="005A5154"/>
    <w:rsid w:val="005A5CC1"/>
    <w:rsid w:val="005A5F2C"/>
    <w:rsid w:val="005C1BD7"/>
    <w:rsid w:val="005C3080"/>
    <w:rsid w:val="005C4FD3"/>
    <w:rsid w:val="005C5C02"/>
    <w:rsid w:val="005D07A5"/>
    <w:rsid w:val="005E6AEE"/>
    <w:rsid w:val="0060027E"/>
    <w:rsid w:val="00600DDE"/>
    <w:rsid w:val="00605ECD"/>
    <w:rsid w:val="006153B5"/>
    <w:rsid w:val="00615612"/>
    <w:rsid w:val="0062031D"/>
    <w:rsid w:val="00621203"/>
    <w:rsid w:val="006222DF"/>
    <w:rsid w:val="006227F1"/>
    <w:rsid w:val="00622956"/>
    <w:rsid w:val="00623291"/>
    <w:rsid w:val="00626D4C"/>
    <w:rsid w:val="00627367"/>
    <w:rsid w:val="00635064"/>
    <w:rsid w:val="00635F9D"/>
    <w:rsid w:val="006432D1"/>
    <w:rsid w:val="006473AA"/>
    <w:rsid w:val="00654C1E"/>
    <w:rsid w:val="006569F2"/>
    <w:rsid w:val="0066184C"/>
    <w:rsid w:val="00661BCF"/>
    <w:rsid w:val="0066267A"/>
    <w:rsid w:val="00673813"/>
    <w:rsid w:val="006739F9"/>
    <w:rsid w:val="00674DA8"/>
    <w:rsid w:val="006813F7"/>
    <w:rsid w:val="00684C55"/>
    <w:rsid w:val="00686286"/>
    <w:rsid w:val="00686D0A"/>
    <w:rsid w:val="00691008"/>
    <w:rsid w:val="00692CE0"/>
    <w:rsid w:val="00693246"/>
    <w:rsid w:val="00693E9E"/>
    <w:rsid w:val="0069552A"/>
    <w:rsid w:val="00695957"/>
    <w:rsid w:val="00695F23"/>
    <w:rsid w:val="00696A05"/>
    <w:rsid w:val="006A2AC3"/>
    <w:rsid w:val="006A49B0"/>
    <w:rsid w:val="006A67D4"/>
    <w:rsid w:val="006B24DF"/>
    <w:rsid w:val="006B277D"/>
    <w:rsid w:val="006B4F03"/>
    <w:rsid w:val="006C2C34"/>
    <w:rsid w:val="006D7ECF"/>
    <w:rsid w:val="006E6E09"/>
    <w:rsid w:val="006F5E4D"/>
    <w:rsid w:val="006F67BC"/>
    <w:rsid w:val="00710BBB"/>
    <w:rsid w:val="0071364D"/>
    <w:rsid w:val="0071621E"/>
    <w:rsid w:val="007247D0"/>
    <w:rsid w:val="007248CF"/>
    <w:rsid w:val="00732148"/>
    <w:rsid w:val="00733A07"/>
    <w:rsid w:val="00737C96"/>
    <w:rsid w:val="00741ED5"/>
    <w:rsid w:val="00742AA0"/>
    <w:rsid w:val="00747A4C"/>
    <w:rsid w:val="0075032B"/>
    <w:rsid w:val="007539FE"/>
    <w:rsid w:val="007540D3"/>
    <w:rsid w:val="00762E15"/>
    <w:rsid w:val="00763810"/>
    <w:rsid w:val="00764C0B"/>
    <w:rsid w:val="0076597D"/>
    <w:rsid w:val="0076731B"/>
    <w:rsid w:val="00767DD0"/>
    <w:rsid w:val="0077423D"/>
    <w:rsid w:val="00774592"/>
    <w:rsid w:val="007815BF"/>
    <w:rsid w:val="007829D9"/>
    <w:rsid w:val="00782BE8"/>
    <w:rsid w:val="00785815"/>
    <w:rsid w:val="007951C7"/>
    <w:rsid w:val="007A1463"/>
    <w:rsid w:val="007A3521"/>
    <w:rsid w:val="007A4840"/>
    <w:rsid w:val="007A7267"/>
    <w:rsid w:val="007B4F35"/>
    <w:rsid w:val="007C0ED0"/>
    <w:rsid w:val="007D2219"/>
    <w:rsid w:val="007D2E50"/>
    <w:rsid w:val="007D4FD7"/>
    <w:rsid w:val="007D70E5"/>
    <w:rsid w:val="007E085B"/>
    <w:rsid w:val="007E6B87"/>
    <w:rsid w:val="007F1E87"/>
    <w:rsid w:val="00804261"/>
    <w:rsid w:val="00810890"/>
    <w:rsid w:val="00812701"/>
    <w:rsid w:val="00812BC8"/>
    <w:rsid w:val="008177A1"/>
    <w:rsid w:val="008201A3"/>
    <w:rsid w:val="00822223"/>
    <w:rsid w:val="008316AA"/>
    <w:rsid w:val="00832F2C"/>
    <w:rsid w:val="00836DF2"/>
    <w:rsid w:val="008372FF"/>
    <w:rsid w:val="00845DA4"/>
    <w:rsid w:val="0084707D"/>
    <w:rsid w:val="00854B4E"/>
    <w:rsid w:val="00854EEF"/>
    <w:rsid w:val="0085545B"/>
    <w:rsid w:val="00861F25"/>
    <w:rsid w:val="00867839"/>
    <w:rsid w:val="00870D5C"/>
    <w:rsid w:val="00874375"/>
    <w:rsid w:val="008744F0"/>
    <w:rsid w:val="00874888"/>
    <w:rsid w:val="00874E8D"/>
    <w:rsid w:val="00877B5F"/>
    <w:rsid w:val="008809C9"/>
    <w:rsid w:val="00884F5D"/>
    <w:rsid w:val="00895EBF"/>
    <w:rsid w:val="00896F21"/>
    <w:rsid w:val="008976F4"/>
    <w:rsid w:val="008A1CE9"/>
    <w:rsid w:val="008A5154"/>
    <w:rsid w:val="008A7A90"/>
    <w:rsid w:val="008B0D7E"/>
    <w:rsid w:val="008B599F"/>
    <w:rsid w:val="008B6C05"/>
    <w:rsid w:val="008C1F73"/>
    <w:rsid w:val="008C6A46"/>
    <w:rsid w:val="008D3AF1"/>
    <w:rsid w:val="008D6FA2"/>
    <w:rsid w:val="008E67A5"/>
    <w:rsid w:val="008F3ADB"/>
    <w:rsid w:val="008F537B"/>
    <w:rsid w:val="008F6674"/>
    <w:rsid w:val="008F6B14"/>
    <w:rsid w:val="008F6E74"/>
    <w:rsid w:val="00901919"/>
    <w:rsid w:val="0090226F"/>
    <w:rsid w:val="00902591"/>
    <w:rsid w:val="00910E70"/>
    <w:rsid w:val="009229D4"/>
    <w:rsid w:val="00930F75"/>
    <w:rsid w:val="00934E87"/>
    <w:rsid w:val="00935A8D"/>
    <w:rsid w:val="009514B9"/>
    <w:rsid w:val="0095490B"/>
    <w:rsid w:val="009549F6"/>
    <w:rsid w:val="00963DE0"/>
    <w:rsid w:val="00965F49"/>
    <w:rsid w:val="00967418"/>
    <w:rsid w:val="00971A58"/>
    <w:rsid w:val="0097311F"/>
    <w:rsid w:val="00975B43"/>
    <w:rsid w:val="009834FC"/>
    <w:rsid w:val="009850C3"/>
    <w:rsid w:val="00987DBB"/>
    <w:rsid w:val="00995DA0"/>
    <w:rsid w:val="009A64FB"/>
    <w:rsid w:val="009A7EEE"/>
    <w:rsid w:val="009B21BB"/>
    <w:rsid w:val="009B358B"/>
    <w:rsid w:val="009B3F0C"/>
    <w:rsid w:val="009B4C3D"/>
    <w:rsid w:val="009C130F"/>
    <w:rsid w:val="009C249F"/>
    <w:rsid w:val="009C3220"/>
    <w:rsid w:val="009C3EB6"/>
    <w:rsid w:val="009D07B2"/>
    <w:rsid w:val="009D6CD2"/>
    <w:rsid w:val="009D7FEC"/>
    <w:rsid w:val="009E1428"/>
    <w:rsid w:val="00A109CB"/>
    <w:rsid w:val="00A158C6"/>
    <w:rsid w:val="00A23E6E"/>
    <w:rsid w:val="00A3022C"/>
    <w:rsid w:val="00A34D06"/>
    <w:rsid w:val="00A43D0A"/>
    <w:rsid w:val="00A44774"/>
    <w:rsid w:val="00A4502E"/>
    <w:rsid w:val="00A459D2"/>
    <w:rsid w:val="00A45FA1"/>
    <w:rsid w:val="00A462A6"/>
    <w:rsid w:val="00A5271A"/>
    <w:rsid w:val="00A5406F"/>
    <w:rsid w:val="00A54964"/>
    <w:rsid w:val="00A6045C"/>
    <w:rsid w:val="00A627C5"/>
    <w:rsid w:val="00A63155"/>
    <w:rsid w:val="00A64440"/>
    <w:rsid w:val="00A64A18"/>
    <w:rsid w:val="00A66F10"/>
    <w:rsid w:val="00A724AD"/>
    <w:rsid w:val="00A7635B"/>
    <w:rsid w:val="00A81587"/>
    <w:rsid w:val="00A8588E"/>
    <w:rsid w:val="00A86890"/>
    <w:rsid w:val="00A92503"/>
    <w:rsid w:val="00A92504"/>
    <w:rsid w:val="00A92F1F"/>
    <w:rsid w:val="00A93D6E"/>
    <w:rsid w:val="00AA2E98"/>
    <w:rsid w:val="00AA4168"/>
    <w:rsid w:val="00AA49B3"/>
    <w:rsid w:val="00AC65E0"/>
    <w:rsid w:val="00AD3363"/>
    <w:rsid w:val="00AD4429"/>
    <w:rsid w:val="00AD5267"/>
    <w:rsid w:val="00AD527F"/>
    <w:rsid w:val="00AF0D7D"/>
    <w:rsid w:val="00B048A5"/>
    <w:rsid w:val="00B05982"/>
    <w:rsid w:val="00B0608F"/>
    <w:rsid w:val="00B116B9"/>
    <w:rsid w:val="00B15CB2"/>
    <w:rsid w:val="00B25CC0"/>
    <w:rsid w:val="00B316B2"/>
    <w:rsid w:val="00B36722"/>
    <w:rsid w:val="00B502AB"/>
    <w:rsid w:val="00B51D30"/>
    <w:rsid w:val="00B55F38"/>
    <w:rsid w:val="00B63B6C"/>
    <w:rsid w:val="00B641EE"/>
    <w:rsid w:val="00B66444"/>
    <w:rsid w:val="00B673C1"/>
    <w:rsid w:val="00B67DF9"/>
    <w:rsid w:val="00B72682"/>
    <w:rsid w:val="00B75D05"/>
    <w:rsid w:val="00B77805"/>
    <w:rsid w:val="00B8528C"/>
    <w:rsid w:val="00B90093"/>
    <w:rsid w:val="00B91A1F"/>
    <w:rsid w:val="00B934A0"/>
    <w:rsid w:val="00B96C0A"/>
    <w:rsid w:val="00B97298"/>
    <w:rsid w:val="00BA1A62"/>
    <w:rsid w:val="00BA27F6"/>
    <w:rsid w:val="00BA3A92"/>
    <w:rsid w:val="00BA4C0F"/>
    <w:rsid w:val="00BB00DA"/>
    <w:rsid w:val="00BB0C06"/>
    <w:rsid w:val="00BB2C92"/>
    <w:rsid w:val="00BB39B2"/>
    <w:rsid w:val="00BB48DF"/>
    <w:rsid w:val="00BB7C7F"/>
    <w:rsid w:val="00BD02F9"/>
    <w:rsid w:val="00BD2D99"/>
    <w:rsid w:val="00BE0A9E"/>
    <w:rsid w:val="00BE6453"/>
    <w:rsid w:val="00BE69AE"/>
    <w:rsid w:val="00BF16A1"/>
    <w:rsid w:val="00BF3BE6"/>
    <w:rsid w:val="00BF52F9"/>
    <w:rsid w:val="00C055C0"/>
    <w:rsid w:val="00C12C5D"/>
    <w:rsid w:val="00C1686A"/>
    <w:rsid w:val="00C201A8"/>
    <w:rsid w:val="00C2076D"/>
    <w:rsid w:val="00C26982"/>
    <w:rsid w:val="00C304DD"/>
    <w:rsid w:val="00C37A16"/>
    <w:rsid w:val="00C37EA5"/>
    <w:rsid w:val="00C40419"/>
    <w:rsid w:val="00C4132E"/>
    <w:rsid w:val="00C46A6E"/>
    <w:rsid w:val="00C4710C"/>
    <w:rsid w:val="00C51DBE"/>
    <w:rsid w:val="00C53AAE"/>
    <w:rsid w:val="00C6207E"/>
    <w:rsid w:val="00C65F37"/>
    <w:rsid w:val="00C67198"/>
    <w:rsid w:val="00C672CD"/>
    <w:rsid w:val="00C704CA"/>
    <w:rsid w:val="00C72AC6"/>
    <w:rsid w:val="00C73CA7"/>
    <w:rsid w:val="00C74C5F"/>
    <w:rsid w:val="00C80905"/>
    <w:rsid w:val="00C84BE0"/>
    <w:rsid w:val="00C86EC8"/>
    <w:rsid w:val="00C92214"/>
    <w:rsid w:val="00C93666"/>
    <w:rsid w:val="00CA4E3E"/>
    <w:rsid w:val="00CA7FD5"/>
    <w:rsid w:val="00CB0CE1"/>
    <w:rsid w:val="00CB0FA6"/>
    <w:rsid w:val="00CB6312"/>
    <w:rsid w:val="00CD0785"/>
    <w:rsid w:val="00CD7E8B"/>
    <w:rsid w:val="00CE365E"/>
    <w:rsid w:val="00CE5142"/>
    <w:rsid w:val="00CE6728"/>
    <w:rsid w:val="00CF1854"/>
    <w:rsid w:val="00CF7FAC"/>
    <w:rsid w:val="00D10399"/>
    <w:rsid w:val="00D11C38"/>
    <w:rsid w:val="00D138EA"/>
    <w:rsid w:val="00D15DCE"/>
    <w:rsid w:val="00D15EC0"/>
    <w:rsid w:val="00D17CD2"/>
    <w:rsid w:val="00D17E49"/>
    <w:rsid w:val="00D221F4"/>
    <w:rsid w:val="00D22DFD"/>
    <w:rsid w:val="00D23D07"/>
    <w:rsid w:val="00D31874"/>
    <w:rsid w:val="00D35B7A"/>
    <w:rsid w:val="00D41AC1"/>
    <w:rsid w:val="00D45939"/>
    <w:rsid w:val="00D470F8"/>
    <w:rsid w:val="00D47B57"/>
    <w:rsid w:val="00D556DC"/>
    <w:rsid w:val="00D55AC9"/>
    <w:rsid w:val="00D5755B"/>
    <w:rsid w:val="00D60F82"/>
    <w:rsid w:val="00D6284B"/>
    <w:rsid w:val="00D633BF"/>
    <w:rsid w:val="00D6398A"/>
    <w:rsid w:val="00D6584B"/>
    <w:rsid w:val="00D66683"/>
    <w:rsid w:val="00D716CE"/>
    <w:rsid w:val="00D728ED"/>
    <w:rsid w:val="00D7763D"/>
    <w:rsid w:val="00D808B7"/>
    <w:rsid w:val="00D81127"/>
    <w:rsid w:val="00D82577"/>
    <w:rsid w:val="00D830D8"/>
    <w:rsid w:val="00D86063"/>
    <w:rsid w:val="00D90003"/>
    <w:rsid w:val="00D904BC"/>
    <w:rsid w:val="00D90B6D"/>
    <w:rsid w:val="00D94AA9"/>
    <w:rsid w:val="00D95DCB"/>
    <w:rsid w:val="00DA2B6B"/>
    <w:rsid w:val="00DA2D02"/>
    <w:rsid w:val="00DA4295"/>
    <w:rsid w:val="00DA4C3C"/>
    <w:rsid w:val="00DB5653"/>
    <w:rsid w:val="00DC000E"/>
    <w:rsid w:val="00DC19EC"/>
    <w:rsid w:val="00DC2964"/>
    <w:rsid w:val="00DC32C0"/>
    <w:rsid w:val="00DC43A6"/>
    <w:rsid w:val="00DC5164"/>
    <w:rsid w:val="00DC6F64"/>
    <w:rsid w:val="00DD4038"/>
    <w:rsid w:val="00DD61B0"/>
    <w:rsid w:val="00DE02B2"/>
    <w:rsid w:val="00DE7FF3"/>
    <w:rsid w:val="00DF0826"/>
    <w:rsid w:val="00DF49D7"/>
    <w:rsid w:val="00DF7534"/>
    <w:rsid w:val="00E051AF"/>
    <w:rsid w:val="00E109BB"/>
    <w:rsid w:val="00E118B5"/>
    <w:rsid w:val="00E1474C"/>
    <w:rsid w:val="00E153EA"/>
    <w:rsid w:val="00E157FE"/>
    <w:rsid w:val="00E15999"/>
    <w:rsid w:val="00E17C6E"/>
    <w:rsid w:val="00E2119F"/>
    <w:rsid w:val="00E27D46"/>
    <w:rsid w:val="00E31CA7"/>
    <w:rsid w:val="00E36FAF"/>
    <w:rsid w:val="00E37F2B"/>
    <w:rsid w:val="00E4209A"/>
    <w:rsid w:val="00E6249C"/>
    <w:rsid w:val="00E626F8"/>
    <w:rsid w:val="00E80D25"/>
    <w:rsid w:val="00E90BF7"/>
    <w:rsid w:val="00E91F4A"/>
    <w:rsid w:val="00E925A1"/>
    <w:rsid w:val="00EA0B19"/>
    <w:rsid w:val="00EA0C93"/>
    <w:rsid w:val="00EA309C"/>
    <w:rsid w:val="00EB4431"/>
    <w:rsid w:val="00EB47C3"/>
    <w:rsid w:val="00EB7598"/>
    <w:rsid w:val="00EB78A1"/>
    <w:rsid w:val="00ED155E"/>
    <w:rsid w:val="00EE578F"/>
    <w:rsid w:val="00EE7E82"/>
    <w:rsid w:val="00EF42EC"/>
    <w:rsid w:val="00EF4EB0"/>
    <w:rsid w:val="00EF5DF4"/>
    <w:rsid w:val="00F01E68"/>
    <w:rsid w:val="00F1720A"/>
    <w:rsid w:val="00F175E7"/>
    <w:rsid w:val="00F355B9"/>
    <w:rsid w:val="00F374E3"/>
    <w:rsid w:val="00F37AC8"/>
    <w:rsid w:val="00F5278A"/>
    <w:rsid w:val="00F5697C"/>
    <w:rsid w:val="00F64200"/>
    <w:rsid w:val="00F655A5"/>
    <w:rsid w:val="00F66285"/>
    <w:rsid w:val="00F7136F"/>
    <w:rsid w:val="00F71E1E"/>
    <w:rsid w:val="00F7391A"/>
    <w:rsid w:val="00F755B7"/>
    <w:rsid w:val="00F8063A"/>
    <w:rsid w:val="00F82C61"/>
    <w:rsid w:val="00F938DA"/>
    <w:rsid w:val="00F95E9A"/>
    <w:rsid w:val="00FA36E2"/>
    <w:rsid w:val="00FA475F"/>
    <w:rsid w:val="00FA765B"/>
    <w:rsid w:val="00FA7E35"/>
    <w:rsid w:val="00FB348C"/>
    <w:rsid w:val="00FB4446"/>
    <w:rsid w:val="00FB67FD"/>
    <w:rsid w:val="00FC4CF6"/>
    <w:rsid w:val="00FC57D0"/>
    <w:rsid w:val="00FC6E8C"/>
    <w:rsid w:val="00FD3EC8"/>
    <w:rsid w:val="00FE10CA"/>
    <w:rsid w:val="00FE3547"/>
    <w:rsid w:val="00FE3C46"/>
    <w:rsid w:val="00FE6332"/>
    <w:rsid w:val="00FF0C19"/>
    <w:rsid w:val="00FF1B8E"/>
    <w:rsid w:val="00FF298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63"/>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7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47091"/>
  </w:style>
  <w:style w:type="paragraph" w:styleId="Footer">
    <w:name w:val="footer"/>
    <w:basedOn w:val="Normal"/>
    <w:link w:val="FooterChar"/>
    <w:uiPriority w:val="99"/>
    <w:rsid w:val="003470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7091"/>
  </w:style>
  <w:style w:type="character" w:customStyle="1" w:styleId="longtext1">
    <w:name w:val="long_text1"/>
    <w:uiPriority w:val="99"/>
    <w:rsid w:val="00661BCF"/>
    <w:rPr>
      <w:sz w:val="20"/>
      <w:szCs w:val="20"/>
    </w:rPr>
  </w:style>
  <w:style w:type="paragraph" w:styleId="ListParagraph">
    <w:name w:val="List Paragraph"/>
    <w:basedOn w:val="Normal"/>
    <w:uiPriority w:val="39"/>
    <w:qFormat/>
    <w:rsid w:val="006D7ECF"/>
    <w:pPr>
      <w:ind w:left="720"/>
    </w:pPr>
  </w:style>
  <w:style w:type="paragraph" w:styleId="FootnoteText">
    <w:name w:val="footnote text"/>
    <w:basedOn w:val="Normal"/>
    <w:link w:val="FootnoteTextChar"/>
    <w:uiPriority w:val="99"/>
    <w:semiHidden/>
    <w:rsid w:val="00F175E7"/>
    <w:pPr>
      <w:spacing w:after="0" w:line="240" w:lineRule="auto"/>
    </w:pPr>
    <w:rPr>
      <w:rFonts w:cs="Times New Roman"/>
      <w:sz w:val="20"/>
      <w:szCs w:val="20"/>
    </w:rPr>
  </w:style>
  <w:style w:type="character" w:customStyle="1" w:styleId="FootnoteTextChar">
    <w:name w:val="Footnote Text Char"/>
    <w:link w:val="FootnoteText"/>
    <w:uiPriority w:val="99"/>
    <w:semiHidden/>
    <w:locked/>
    <w:rsid w:val="00F175E7"/>
    <w:rPr>
      <w:sz w:val="20"/>
      <w:szCs w:val="20"/>
    </w:rPr>
  </w:style>
  <w:style w:type="character" w:styleId="FootnoteReference">
    <w:name w:val="footnote reference"/>
    <w:uiPriority w:val="99"/>
    <w:semiHidden/>
    <w:rsid w:val="00F175E7"/>
    <w:rPr>
      <w:vertAlign w:val="superscript"/>
    </w:rPr>
  </w:style>
  <w:style w:type="paragraph" w:styleId="BalloonText">
    <w:name w:val="Balloon Text"/>
    <w:basedOn w:val="Normal"/>
    <w:link w:val="BalloonTextChar"/>
    <w:uiPriority w:val="99"/>
    <w:semiHidden/>
    <w:rsid w:val="0057395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57395C"/>
    <w:rPr>
      <w:rFonts w:ascii="Tahoma" w:hAnsi="Tahoma" w:cs="Tahoma"/>
      <w:sz w:val="16"/>
      <w:szCs w:val="16"/>
    </w:rPr>
  </w:style>
  <w:style w:type="table" w:styleId="TableGrid">
    <w:name w:val="Table Grid"/>
    <w:basedOn w:val="TableNormal"/>
    <w:uiPriority w:val="99"/>
    <w:rsid w:val="0057395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semiHidden/>
    <w:rsid w:val="00EA309C"/>
    <w:rPr>
      <w:rFonts w:ascii="Verdana" w:hAnsi="Verdana" w:cs="Verdana"/>
      <w:b/>
      <w:bCs/>
      <w:kern w:val="28"/>
      <w:sz w:val="24"/>
      <w:szCs w:val="24"/>
      <w:lang w:val="en-GB" w:eastAsia="en-US"/>
    </w:rPr>
  </w:style>
  <w:style w:type="paragraph" w:customStyle="1" w:styleId="CarCar2">
    <w:name w:val="Car Car2"/>
    <w:basedOn w:val="Normal"/>
    <w:uiPriority w:val="99"/>
    <w:rsid w:val="00EA309C"/>
    <w:pPr>
      <w:spacing w:after="160" w:line="240" w:lineRule="exact"/>
    </w:pPr>
    <w:rPr>
      <w:rFonts w:ascii="Tahoma" w:eastAsia="Times New Roman" w:hAnsi="Tahoma" w:cs="Tahoma"/>
      <w:sz w:val="20"/>
      <w:szCs w:val="20"/>
    </w:rPr>
  </w:style>
  <w:style w:type="character" w:styleId="CommentReference">
    <w:name w:val="annotation reference"/>
    <w:uiPriority w:val="99"/>
    <w:semiHidden/>
    <w:rsid w:val="00F5278A"/>
    <w:rPr>
      <w:sz w:val="16"/>
      <w:szCs w:val="16"/>
    </w:rPr>
  </w:style>
  <w:style w:type="paragraph" w:styleId="CommentText">
    <w:name w:val="annotation text"/>
    <w:basedOn w:val="Normal"/>
    <w:link w:val="CommentTextChar"/>
    <w:uiPriority w:val="99"/>
    <w:semiHidden/>
    <w:rsid w:val="00F5278A"/>
    <w:rPr>
      <w:rFonts w:cs="Times New Roman"/>
      <w:sz w:val="20"/>
      <w:szCs w:val="20"/>
    </w:rPr>
  </w:style>
  <w:style w:type="character" w:customStyle="1" w:styleId="CommentTextChar">
    <w:name w:val="Comment Text Char"/>
    <w:link w:val="CommentText"/>
    <w:uiPriority w:val="99"/>
    <w:semiHidden/>
    <w:rsid w:val="00AD7E97"/>
    <w:rPr>
      <w:rFonts w:cs="Calibri"/>
      <w:sz w:val="20"/>
      <w:szCs w:val="20"/>
    </w:rPr>
  </w:style>
  <w:style w:type="paragraph" w:styleId="CommentSubject">
    <w:name w:val="annotation subject"/>
    <w:basedOn w:val="CommentText"/>
    <w:next w:val="CommentText"/>
    <w:link w:val="CommentSubjectChar"/>
    <w:uiPriority w:val="99"/>
    <w:semiHidden/>
    <w:rsid w:val="00F5278A"/>
    <w:rPr>
      <w:b/>
      <w:bCs/>
    </w:rPr>
  </w:style>
  <w:style w:type="character" w:customStyle="1" w:styleId="CommentSubjectChar">
    <w:name w:val="Comment Subject Char"/>
    <w:link w:val="CommentSubject"/>
    <w:uiPriority w:val="99"/>
    <w:semiHidden/>
    <w:rsid w:val="00AD7E97"/>
    <w:rPr>
      <w:rFonts w:cs="Calibri"/>
      <w:b/>
      <w:bCs/>
      <w:sz w:val="20"/>
      <w:szCs w:val="20"/>
    </w:rPr>
  </w:style>
  <w:style w:type="paragraph" w:customStyle="1" w:styleId="ZchnZchnCharCharZchnZchnCharCharZchnZchn3CharCharZchnZchn">
    <w:name w:val="Zchn Zchn Char Char Zchn Zchn Char Char Zchn Zchn3 Char Char Zchn Zchn"/>
    <w:basedOn w:val="Normal"/>
    <w:rsid w:val="00DD61B0"/>
    <w:pPr>
      <w:spacing w:after="160" w:line="240" w:lineRule="exact"/>
    </w:pPr>
    <w:rPr>
      <w:rFonts w:ascii="Tahoma" w:eastAsia="Times New Roman" w:hAnsi="Tahoma" w:cs="Times New Roman"/>
      <w:sz w:val="20"/>
      <w:szCs w:val="20"/>
    </w:rPr>
  </w:style>
  <w:style w:type="character" w:styleId="Hyperlink">
    <w:name w:val="Hyperlink"/>
    <w:rsid w:val="00DD61B0"/>
    <w:rPr>
      <w:color w:val="0000FF"/>
      <w:u w:val="single"/>
    </w:rPr>
  </w:style>
  <w:style w:type="paragraph" w:styleId="BodyText">
    <w:name w:val="Body Text"/>
    <w:basedOn w:val="Normal"/>
    <w:link w:val="BodyTextChar"/>
    <w:rsid w:val="00F82C61"/>
    <w:pPr>
      <w:autoSpaceDE w:val="0"/>
      <w:autoSpaceDN w:val="0"/>
      <w:adjustRightInd w:val="0"/>
      <w:spacing w:after="0" w:line="240" w:lineRule="auto"/>
      <w:jc w:val="both"/>
    </w:pPr>
    <w:rPr>
      <w:rFonts w:ascii="Verdana" w:eastAsia="Times New Roman" w:hAnsi="Verdana" w:cs="Times New Roman"/>
      <w:sz w:val="20"/>
      <w:szCs w:val="20"/>
      <w:lang w:val="de-DE" w:eastAsia="de-DE"/>
    </w:rPr>
  </w:style>
  <w:style w:type="character" w:customStyle="1" w:styleId="BodyTextChar">
    <w:name w:val="Body Text Char"/>
    <w:link w:val="BodyText"/>
    <w:rsid w:val="00F82C61"/>
    <w:rPr>
      <w:rFonts w:ascii="Verdana" w:eastAsia="Times New Roman" w:hAnsi="Verdana"/>
      <w:sz w:val="20"/>
      <w:szCs w:val="20"/>
      <w:lang w:val="de-DE" w:eastAsia="de-DE"/>
    </w:rPr>
  </w:style>
  <w:style w:type="paragraph" w:customStyle="1" w:styleId="Default">
    <w:name w:val="Default"/>
    <w:rsid w:val="000B19A6"/>
    <w:pPr>
      <w:autoSpaceDE w:val="0"/>
      <w:autoSpaceDN w:val="0"/>
      <w:adjustRightInd w:val="0"/>
    </w:pPr>
    <w:rPr>
      <w:rFonts w:ascii="Times New Roman" w:eastAsia="Times New Roman" w:hAnsi="Times New Roman"/>
      <w:color w:val="000000"/>
      <w:sz w:val="24"/>
      <w:szCs w:val="24"/>
      <w:lang w:val="de-AT" w:eastAsia="de-AT"/>
    </w:rPr>
  </w:style>
  <w:style w:type="character" w:customStyle="1" w:styleId="publigenlongtext">
    <w:name w:val="publigenlongtext"/>
    <w:basedOn w:val="DefaultParagraphFont"/>
    <w:rsid w:val="000B19A6"/>
  </w:style>
  <w:style w:type="paragraph" w:styleId="PlainText">
    <w:name w:val="Plain Text"/>
    <w:basedOn w:val="Normal"/>
    <w:link w:val="PlainTextChar"/>
    <w:uiPriority w:val="99"/>
    <w:unhideWhenUsed/>
    <w:rsid w:val="000B19A6"/>
    <w:pPr>
      <w:spacing w:after="0" w:line="240" w:lineRule="auto"/>
    </w:pPr>
    <w:rPr>
      <w:rFonts w:ascii="Consolas" w:eastAsia="SimSun" w:hAnsi="Consolas" w:cs="Times New Roman"/>
      <w:sz w:val="21"/>
      <w:szCs w:val="21"/>
    </w:rPr>
  </w:style>
  <w:style w:type="character" w:customStyle="1" w:styleId="PlainTextChar">
    <w:name w:val="Plain Text Char"/>
    <w:link w:val="PlainText"/>
    <w:uiPriority w:val="99"/>
    <w:rsid w:val="000B19A6"/>
    <w:rPr>
      <w:rFonts w:ascii="Consolas" w:eastAsia="SimSun" w:hAnsi="Consolas" w:cs="Consolas"/>
      <w:sz w:val="21"/>
      <w:szCs w:val="21"/>
    </w:rPr>
  </w:style>
  <w:style w:type="character" w:customStyle="1" w:styleId="st1">
    <w:name w:val="st1"/>
    <w:basedOn w:val="DefaultParagraphFont"/>
    <w:rsid w:val="00662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63"/>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7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47091"/>
  </w:style>
  <w:style w:type="paragraph" w:styleId="Footer">
    <w:name w:val="footer"/>
    <w:basedOn w:val="Normal"/>
    <w:link w:val="FooterChar"/>
    <w:uiPriority w:val="99"/>
    <w:rsid w:val="003470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7091"/>
  </w:style>
  <w:style w:type="character" w:customStyle="1" w:styleId="longtext1">
    <w:name w:val="long_text1"/>
    <w:uiPriority w:val="99"/>
    <w:rsid w:val="00661BCF"/>
    <w:rPr>
      <w:sz w:val="20"/>
      <w:szCs w:val="20"/>
    </w:rPr>
  </w:style>
  <w:style w:type="paragraph" w:styleId="ListParagraph">
    <w:name w:val="List Paragraph"/>
    <w:basedOn w:val="Normal"/>
    <w:uiPriority w:val="39"/>
    <w:qFormat/>
    <w:rsid w:val="006D7ECF"/>
    <w:pPr>
      <w:ind w:left="720"/>
    </w:pPr>
  </w:style>
  <w:style w:type="paragraph" w:styleId="FootnoteText">
    <w:name w:val="footnote text"/>
    <w:basedOn w:val="Normal"/>
    <w:link w:val="FootnoteTextChar"/>
    <w:uiPriority w:val="99"/>
    <w:semiHidden/>
    <w:rsid w:val="00F175E7"/>
    <w:pPr>
      <w:spacing w:after="0" w:line="240" w:lineRule="auto"/>
    </w:pPr>
    <w:rPr>
      <w:rFonts w:cs="Times New Roman"/>
      <w:sz w:val="20"/>
      <w:szCs w:val="20"/>
    </w:rPr>
  </w:style>
  <w:style w:type="character" w:customStyle="1" w:styleId="FootnoteTextChar">
    <w:name w:val="Footnote Text Char"/>
    <w:link w:val="FootnoteText"/>
    <w:uiPriority w:val="99"/>
    <w:semiHidden/>
    <w:locked/>
    <w:rsid w:val="00F175E7"/>
    <w:rPr>
      <w:sz w:val="20"/>
      <w:szCs w:val="20"/>
    </w:rPr>
  </w:style>
  <w:style w:type="character" w:styleId="FootnoteReference">
    <w:name w:val="footnote reference"/>
    <w:uiPriority w:val="99"/>
    <w:semiHidden/>
    <w:rsid w:val="00F175E7"/>
    <w:rPr>
      <w:vertAlign w:val="superscript"/>
    </w:rPr>
  </w:style>
  <w:style w:type="paragraph" w:styleId="BalloonText">
    <w:name w:val="Balloon Text"/>
    <w:basedOn w:val="Normal"/>
    <w:link w:val="BalloonTextChar"/>
    <w:uiPriority w:val="99"/>
    <w:semiHidden/>
    <w:rsid w:val="0057395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57395C"/>
    <w:rPr>
      <w:rFonts w:ascii="Tahoma" w:hAnsi="Tahoma" w:cs="Tahoma"/>
      <w:sz w:val="16"/>
      <w:szCs w:val="16"/>
    </w:rPr>
  </w:style>
  <w:style w:type="table" w:styleId="TableGrid">
    <w:name w:val="Table Grid"/>
    <w:basedOn w:val="TableNormal"/>
    <w:uiPriority w:val="99"/>
    <w:rsid w:val="0057395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semiHidden/>
    <w:rsid w:val="00EA309C"/>
    <w:rPr>
      <w:rFonts w:ascii="Verdana" w:hAnsi="Verdana" w:cs="Verdana"/>
      <w:b/>
      <w:bCs/>
      <w:kern w:val="28"/>
      <w:sz w:val="24"/>
      <w:szCs w:val="24"/>
      <w:lang w:val="en-GB" w:eastAsia="en-US"/>
    </w:rPr>
  </w:style>
  <w:style w:type="paragraph" w:customStyle="1" w:styleId="CarCar2">
    <w:name w:val="Car Car2"/>
    <w:basedOn w:val="Normal"/>
    <w:uiPriority w:val="99"/>
    <w:rsid w:val="00EA309C"/>
    <w:pPr>
      <w:spacing w:after="160" w:line="240" w:lineRule="exact"/>
    </w:pPr>
    <w:rPr>
      <w:rFonts w:ascii="Tahoma" w:eastAsia="Times New Roman" w:hAnsi="Tahoma" w:cs="Tahoma"/>
      <w:sz w:val="20"/>
      <w:szCs w:val="20"/>
    </w:rPr>
  </w:style>
  <w:style w:type="character" w:styleId="CommentReference">
    <w:name w:val="annotation reference"/>
    <w:uiPriority w:val="99"/>
    <w:semiHidden/>
    <w:rsid w:val="00F5278A"/>
    <w:rPr>
      <w:sz w:val="16"/>
      <w:szCs w:val="16"/>
    </w:rPr>
  </w:style>
  <w:style w:type="paragraph" w:styleId="CommentText">
    <w:name w:val="annotation text"/>
    <w:basedOn w:val="Normal"/>
    <w:link w:val="CommentTextChar"/>
    <w:uiPriority w:val="99"/>
    <w:semiHidden/>
    <w:rsid w:val="00F5278A"/>
    <w:rPr>
      <w:rFonts w:cs="Times New Roman"/>
      <w:sz w:val="20"/>
      <w:szCs w:val="20"/>
    </w:rPr>
  </w:style>
  <w:style w:type="character" w:customStyle="1" w:styleId="CommentTextChar">
    <w:name w:val="Comment Text Char"/>
    <w:link w:val="CommentText"/>
    <w:uiPriority w:val="99"/>
    <w:semiHidden/>
    <w:rsid w:val="00AD7E97"/>
    <w:rPr>
      <w:rFonts w:cs="Calibri"/>
      <w:sz w:val="20"/>
      <w:szCs w:val="20"/>
    </w:rPr>
  </w:style>
  <w:style w:type="paragraph" w:styleId="CommentSubject">
    <w:name w:val="annotation subject"/>
    <w:basedOn w:val="CommentText"/>
    <w:next w:val="CommentText"/>
    <w:link w:val="CommentSubjectChar"/>
    <w:uiPriority w:val="99"/>
    <w:semiHidden/>
    <w:rsid w:val="00F5278A"/>
    <w:rPr>
      <w:b/>
      <w:bCs/>
    </w:rPr>
  </w:style>
  <w:style w:type="character" w:customStyle="1" w:styleId="CommentSubjectChar">
    <w:name w:val="Comment Subject Char"/>
    <w:link w:val="CommentSubject"/>
    <w:uiPriority w:val="99"/>
    <w:semiHidden/>
    <w:rsid w:val="00AD7E97"/>
    <w:rPr>
      <w:rFonts w:cs="Calibri"/>
      <w:b/>
      <w:bCs/>
      <w:sz w:val="20"/>
      <w:szCs w:val="20"/>
    </w:rPr>
  </w:style>
  <w:style w:type="paragraph" w:customStyle="1" w:styleId="ZchnZchnCharCharZchnZchnCharCharZchnZchn3CharCharZchnZchn">
    <w:name w:val="Zchn Zchn Char Char Zchn Zchn Char Char Zchn Zchn3 Char Char Zchn Zchn"/>
    <w:basedOn w:val="Normal"/>
    <w:rsid w:val="00DD61B0"/>
    <w:pPr>
      <w:spacing w:after="160" w:line="240" w:lineRule="exact"/>
    </w:pPr>
    <w:rPr>
      <w:rFonts w:ascii="Tahoma" w:eastAsia="Times New Roman" w:hAnsi="Tahoma" w:cs="Times New Roman"/>
      <w:sz w:val="20"/>
      <w:szCs w:val="20"/>
    </w:rPr>
  </w:style>
  <w:style w:type="character" w:styleId="Hyperlink">
    <w:name w:val="Hyperlink"/>
    <w:rsid w:val="00DD61B0"/>
    <w:rPr>
      <w:color w:val="0000FF"/>
      <w:u w:val="single"/>
    </w:rPr>
  </w:style>
  <w:style w:type="paragraph" w:styleId="BodyText">
    <w:name w:val="Body Text"/>
    <w:basedOn w:val="Normal"/>
    <w:link w:val="BodyTextChar"/>
    <w:rsid w:val="00F82C61"/>
    <w:pPr>
      <w:autoSpaceDE w:val="0"/>
      <w:autoSpaceDN w:val="0"/>
      <w:adjustRightInd w:val="0"/>
      <w:spacing w:after="0" w:line="240" w:lineRule="auto"/>
      <w:jc w:val="both"/>
    </w:pPr>
    <w:rPr>
      <w:rFonts w:ascii="Verdana" w:eastAsia="Times New Roman" w:hAnsi="Verdana" w:cs="Times New Roman"/>
      <w:sz w:val="20"/>
      <w:szCs w:val="20"/>
      <w:lang w:val="de-DE" w:eastAsia="de-DE"/>
    </w:rPr>
  </w:style>
  <w:style w:type="character" w:customStyle="1" w:styleId="BodyTextChar">
    <w:name w:val="Body Text Char"/>
    <w:link w:val="BodyText"/>
    <w:rsid w:val="00F82C61"/>
    <w:rPr>
      <w:rFonts w:ascii="Verdana" w:eastAsia="Times New Roman" w:hAnsi="Verdana"/>
      <w:sz w:val="20"/>
      <w:szCs w:val="20"/>
      <w:lang w:val="de-DE" w:eastAsia="de-DE"/>
    </w:rPr>
  </w:style>
  <w:style w:type="paragraph" w:customStyle="1" w:styleId="Default">
    <w:name w:val="Default"/>
    <w:rsid w:val="000B19A6"/>
    <w:pPr>
      <w:autoSpaceDE w:val="0"/>
      <w:autoSpaceDN w:val="0"/>
      <w:adjustRightInd w:val="0"/>
    </w:pPr>
    <w:rPr>
      <w:rFonts w:ascii="Times New Roman" w:eastAsia="Times New Roman" w:hAnsi="Times New Roman"/>
      <w:color w:val="000000"/>
      <w:sz w:val="24"/>
      <w:szCs w:val="24"/>
      <w:lang w:val="de-AT" w:eastAsia="de-AT"/>
    </w:rPr>
  </w:style>
  <w:style w:type="character" w:customStyle="1" w:styleId="publigenlongtext">
    <w:name w:val="publigenlongtext"/>
    <w:basedOn w:val="DefaultParagraphFont"/>
    <w:rsid w:val="000B19A6"/>
  </w:style>
  <w:style w:type="paragraph" w:styleId="PlainText">
    <w:name w:val="Plain Text"/>
    <w:basedOn w:val="Normal"/>
    <w:link w:val="PlainTextChar"/>
    <w:uiPriority w:val="99"/>
    <w:unhideWhenUsed/>
    <w:rsid w:val="000B19A6"/>
    <w:pPr>
      <w:spacing w:after="0" w:line="240" w:lineRule="auto"/>
    </w:pPr>
    <w:rPr>
      <w:rFonts w:ascii="Consolas" w:eastAsia="SimSun" w:hAnsi="Consolas" w:cs="Times New Roman"/>
      <w:sz w:val="21"/>
      <w:szCs w:val="21"/>
    </w:rPr>
  </w:style>
  <w:style w:type="character" w:customStyle="1" w:styleId="PlainTextChar">
    <w:name w:val="Plain Text Char"/>
    <w:link w:val="PlainText"/>
    <w:uiPriority w:val="99"/>
    <w:rsid w:val="000B19A6"/>
    <w:rPr>
      <w:rFonts w:ascii="Consolas" w:eastAsia="SimSun" w:hAnsi="Consolas" w:cs="Consolas"/>
      <w:sz w:val="21"/>
      <w:szCs w:val="21"/>
    </w:rPr>
  </w:style>
  <w:style w:type="character" w:customStyle="1" w:styleId="st1">
    <w:name w:val="st1"/>
    <w:basedOn w:val="DefaultParagraphFont"/>
    <w:rsid w:val="0066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7064">
      <w:bodyDiv w:val="1"/>
      <w:marLeft w:val="0"/>
      <w:marRight w:val="0"/>
      <w:marTop w:val="0"/>
      <w:marBottom w:val="0"/>
      <w:divBdr>
        <w:top w:val="none" w:sz="0" w:space="0" w:color="auto"/>
        <w:left w:val="none" w:sz="0" w:space="0" w:color="auto"/>
        <w:bottom w:val="none" w:sz="0" w:space="0" w:color="auto"/>
        <w:right w:val="none" w:sz="0" w:space="0" w:color="auto"/>
      </w:divBdr>
    </w:div>
    <w:div w:id="383724421">
      <w:bodyDiv w:val="1"/>
      <w:marLeft w:val="0"/>
      <w:marRight w:val="0"/>
      <w:marTop w:val="0"/>
      <w:marBottom w:val="0"/>
      <w:divBdr>
        <w:top w:val="none" w:sz="0" w:space="0" w:color="auto"/>
        <w:left w:val="none" w:sz="0" w:space="0" w:color="auto"/>
        <w:bottom w:val="none" w:sz="0" w:space="0" w:color="auto"/>
        <w:right w:val="none" w:sz="0" w:space="0" w:color="auto"/>
      </w:divBdr>
    </w:div>
    <w:div w:id="424881770">
      <w:bodyDiv w:val="1"/>
      <w:marLeft w:val="0"/>
      <w:marRight w:val="0"/>
      <w:marTop w:val="0"/>
      <w:marBottom w:val="0"/>
      <w:divBdr>
        <w:top w:val="none" w:sz="0" w:space="0" w:color="auto"/>
        <w:left w:val="none" w:sz="0" w:space="0" w:color="auto"/>
        <w:bottom w:val="none" w:sz="0" w:space="0" w:color="auto"/>
        <w:right w:val="none" w:sz="0" w:space="0" w:color="auto"/>
      </w:divBdr>
    </w:div>
    <w:div w:id="580725609">
      <w:bodyDiv w:val="1"/>
      <w:marLeft w:val="0"/>
      <w:marRight w:val="0"/>
      <w:marTop w:val="0"/>
      <w:marBottom w:val="0"/>
      <w:divBdr>
        <w:top w:val="none" w:sz="0" w:space="0" w:color="auto"/>
        <w:left w:val="none" w:sz="0" w:space="0" w:color="auto"/>
        <w:bottom w:val="none" w:sz="0" w:space="0" w:color="auto"/>
        <w:right w:val="none" w:sz="0" w:space="0" w:color="auto"/>
      </w:divBdr>
    </w:div>
    <w:div w:id="817235325">
      <w:bodyDiv w:val="1"/>
      <w:marLeft w:val="0"/>
      <w:marRight w:val="0"/>
      <w:marTop w:val="0"/>
      <w:marBottom w:val="0"/>
      <w:divBdr>
        <w:top w:val="none" w:sz="0" w:space="0" w:color="auto"/>
        <w:left w:val="none" w:sz="0" w:space="0" w:color="auto"/>
        <w:bottom w:val="none" w:sz="0" w:space="0" w:color="auto"/>
        <w:right w:val="none" w:sz="0" w:space="0" w:color="auto"/>
      </w:divBdr>
    </w:div>
    <w:div w:id="1633512757">
      <w:bodyDiv w:val="1"/>
      <w:marLeft w:val="0"/>
      <w:marRight w:val="0"/>
      <w:marTop w:val="0"/>
      <w:marBottom w:val="0"/>
      <w:divBdr>
        <w:top w:val="none" w:sz="0" w:space="0" w:color="auto"/>
        <w:left w:val="none" w:sz="0" w:space="0" w:color="auto"/>
        <w:bottom w:val="none" w:sz="0" w:space="0" w:color="auto"/>
        <w:right w:val="none" w:sz="0" w:space="0" w:color="auto"/>
      </w:divBdr>
    </w:div>
    <w:div w:id="1656059876">
      <w:bodyDiv w:val="1"/>
      <w:marLeft w:val="0"/>
      <w:marRight w:val="0"/>
      <w:marTop w:val="0"/>
      <w:marBottom w:val="0"/>
      <w:divBdr>
        <w:top w:val="none" w:sz="0" w:space="0" w:color="auto"/>
        <w:left w:val="none" w:sz="0" w:space="0" w:color="auto"/>
        <w:bottom w:val="none" w:sz="0" w:space="0" w:color="auto"/>
        <w:right w:val="none" w:sz="0" w:space="0" w:color="auto"/>
      </w:divBdr>
      <w:divsChild>
        <w:div w:id="1966933755">
          <w:marLeft w:val="0"/>
          <w:marRight w:val="0"/>
          <w:marTop w:val="0"/>
          <w:marBottom w:val="0"/>
          <w:divBdr>
            <w:top w:val="none" w:sz="0" w:space="0" w:color="auto"/>
            <w:left w:val="none" w:sz="0" w:space="0" w:color="auto"/>
            <w:bottom w:val="none" w:sz="0" w:space="0" w:color="auto"/>
            <w:right w:val="none" w:sz="0" w:space="0" w:color="auto"/>
          </w:divBdr>
          <w:divsChild>
            <w:div w:id="530874190">
              <w:marLeft w:val="0"/>
              <w:marRight w:val="0"/>
              <w:marTop w:val="0"/>
              <w:marBottom w:val="0"/>
              <w:divBdr>
                <w:top w:val="none" w:sz="0" w:space="0" w:color="auto"/>
                <w:left w:val="none" w:sz="0" w:space="0" w:color="auto"/>
                <w:bottom w:val="none" w:sz="0" w:space="0" w:color="auto"/>
                <w:right w:val="none" w:sz="0" w:space="0" w:color="auto"/>
              </w:divBdr>
              <w:divsChild>
                <w:div w:id="619337374">
                  <w:marLeft w:val="30"/>
                  <w:marRight w:val="225"/>
                  <w:marTop w:val="60"/>
                  <w:marBottom w:val="0"/>
                  <w:divBdr>
                    <w:top w:val="single" w:sz="24" w:space="0" w:color="34B0DF"/>
                    <w:left w:val="none" w:sz="0" w:space="0" w:color="34B0DF"/>
                    <w:bottom w:val="none" w:sz="0" w:space="0" w:color="34B0DF"/>
                    <w:right w:val="none" w:sz="0" w:space="0" w:color="34B0DF"/>
                  </w:divBdr>
                  <w:divsChild>
                    <w:div w:id="33770375">
                      <w:marLeft w:val="0"/>
                      <w:marRight w:val="0"/>
                      <w:marTop w:val="0"/>
                      <w:marBottom w:val="0"/>
                      <w:divBdr>
                        <w:top w:val="none" w:sz="0" w:space="0" w:color="auto"/>
                        <w:left w:val="none" w:sz="0" w:space="0" w:color="auto"/>
                        <w:bottom w:val="none" w:sz="0" w:space="0" w:color="auto"/>
                        <w:right w:val="none" w:sz="0" w:space="0" w:color="auto"/>
                      </w:divBdr>
                      <w:divsChild>
                        <w:div w:id="1910723950">
                          <w:marLeft w:val="0"/>
                          <w:marRight w:val="0"/>
                          <w:marTop w:val="0"/>
                          <w:marBottom w:val="0"/>
                          <w:divBdr>
                            <w:top w:val="none" w:sz="0" w:space="0" w:color="auto"/>
                            <w:left w:val="none" w:sz="0" w:space="0" w:color="auto"/>
                            <w:bottom w:val="none" w:sz="0" w:space="0" w:color="auto"/>
                            <w:right w:val="none" w:sz="0" w:space="0" w:color="auto"/>
                          </w:divBdr>
                          <w:divsChild>
                            <w:div w:id="392460766">
                              <w:marLeft w:val="300"/>
                              <w:marRight w:val="300"/>
                              <w:marTop w:val="345"/>
                              <w:marBottom w:val="345"/>
                              <w:divBdr>
                                <w:top w:val="none" w:sz="0" w:space="0" w:color="auto"/>
                                <w:left w:val="none" w:sz="0" w:space="0" w:color="auto"/>
                                <w:bottom w:val="none" w:sz="0" w:space="0" w:color="auto"/>
                                <w:right w:val="none" w:sz="0" w:space="0" w:color="auto"/>
                              </w:divBdr>
                              <w:divsChild>
                                <w:div w:id="555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28129">
      <w:bodyDiv w:val="1"/>
      <w:marLeft w:val="0"/>
      <w:marRight w:val="0"/>
      <w:marTop w:val="0"/>
      <w:marBottom w:val="0"/>
      <w:divBdr>
        <w:top w:val="none" w:sz="0" w:space="0" w:color="auto"/>
        <w:left w:val="none" w:sz="0" w:space="0" w:color="auto"/>
        <w:bottom w:val="none" w:sz="0" w:space="0" w:color="auto"/>
        <w:right w:val="none" w:sz="0" w:space="0" w:color="auto"/>
      </w:divBdr>
    </w:div>
    <w:div w:id="1718355912">
      <w:bodyDiv w:val="1"/>
      <w:marLeft w:val="0"/>
      <w:marRight w:val="0"/>
      <w:marTop w:val="0"/>
      <w:marBottom w:val="0"/>
      <w:divBdr>
        <w:top w:val="none" w:sz="0" w:space="0" w:color="auto"/>
        <w:left w:val="none" w:sz="0" w:space="0" w:color="auto"/>
        <w:bottom w:val="none" w:sz="0" w:space="0" w:color="auto"/>
        <w:right w:val="none" w:sz="0" w:space="0" w:color="auto"/>
      </w:divBdr>
    </w:div>
    <w:div w:id="20933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2011gen\RMO\ESBG%20Respon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80A4-0528-444F-9889-25B5B1A3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ESBG Response</Template>
  <TotalTime>1</TotalTime>
  <Pages>4</Pages>
  <Words>1138</Words>
  <Characters>6087</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ESBG / WSBI</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dc:creator>
  <cp:lastModifiedBy>Blanco Martinez Cesar</cp:lastModifiedBy>
  <cp:revision>2</cp:revision>
  <cp:lastPrinted>2013-01-11T09:23:00Z</cp:lastPrinted>
  <dcterms:created xsi:type="dcterms:W3CDTF">2013-12-20T14:23:00Z</dcterms:created>
  <dcterms:modified xsi:type="dcterms:W3CDTF">2013-12-20T14:23:00Z</dcterms:modified>
</cp:coreProperties>
</file>