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8C20D" w14:textId="77777777" w:rsidR="00FE7D56" w:rsidRPr="00942B34" w:rsidRDefault="00FE7D56" w:rsidP="00942B34">
      <w:pPr>
        <w:pStyle w:val="Header"/>
        <w:spacing w:line="276" w:lineRule="auto"/>
        <w:jc w:val="right"/>
        <w:rPr>
          <w:rFonts w:ascii="Times New Roman" w:hAnsi="Times New Roman"/>
          <w:color w:val="000000"/>
          <w:szCs w:val="24"/>
        </w:rPr>
      </w:pPr>
      <w:r w:rsidRPr="00942B34">
        <w:rPr>
          <w:rFonts w:ascii="Times New Roman" w:hAnsi="Times New Roman"/>
          <w:color w:val="000000"/>
          <w:szCs w:val="24"/>
        </w:rPr>
        <w:t>KK/RB</w:t>
      </w:r>
    </w:p>
    <w:p w14:paraId="52A956F8" w14:textId="77777777" w:rsidR="00FE7D56" w:rsidRPr="00942B34" w:rsidRDefault="00FE7D56" w:rsidP="00942B34">
      <w:pPr>
        <w:pStyle w:val="Header"/>
        <w:spacing w:line="276" w:lineRule="auto"/>
        <w:jc w:val="right"/>
        <w:rPr>
          <w:rFonts w:ascii="Times New Roman" w:hAnsi="Times New Roman"/>
          <w:color w:val="000000"/>
          <w:szCs w:val="24"/>
        </w:rPr>
      </w:pPr>
      <w:r w:rsidRPr="00942B34">
        <w:rPr>
          <w:rFonts w:ascii="Times New Roman" w:hAnsi="Times New Roman"/>
          <w:color w:val="000000"/>
          <w:szCs w:val="24"/>
        </w:rPr>
        <w:t>Ref.:</w:t>
      </w:r>
      <w:bookmarkStart w:id="0" w:name="DocRef"/>
      <w:r w:rsidRPr="00942B34">
        <w:rPr>
          <w:rFonts w:ascii="Times New Roman" w:hAnsi="Times New Roman"/>
          <w:i/>
          <w:color w:val="000000" w:themeColor="text1"/>
        </w:rPr>
        <w:t xml:space="preserve"> </w:t>
      </w:r>
      <w:r w:rsidRPr="00942B34">
        <w:rPr>
          <w:rStyle w:val="SubtitleChar"/>
          <w:rFonts w:ascii="Times New Roman" w:eastAsia="Calibri" w:hAnsi="Times New Roman"/>
          <w:i/>
          <w:color w:val="000000" w:themeColor="text1"/>
        </w:rPr>
        <w:t xml:space="preserve">EBA/CP/2013/40 – </w:t>
      </w:r>
      <w:r w:rsidRPr="00942B34">
        <w:rPr>
          <w:rFonts w:ascii="Times New Roman" w:hAnsi="Times New Roman"/>
          <w:color w:val="000000"/>
          <w:szCs w:val="24"/>
        </w:rPr>
        <w:t>EBF_005879</w:t>
      </w:r>
      <w:bookmarkEnd w:id="0"/>
    </w:p>
    <w:p w14:paraId="457A57A9" w14:textId="77777777" w:rsidR="00FE7D56" w:rsidRPr="00942B34" w:rsidRDefault="00FE7D56" w:rsidP="00942B34">
      <w:pPr>
        <w:pStyle w:val="Header"/>
        <w:spacing w:line="276" w:lineRule="auto"/>
        <w:jc w:val="right"/>
        <w:rPr>
          <w:rFonts w:ascii="Times New Roman" w:hAnsi="Times New Roman"/>
          <w:color w:val="C2CF00"/>
          <w:szCs w:val="24"/>
        </w:rPr>
      </w:pPr>
    </w:p>
    <w:p w14:paraId="0181D9FF" w14:textId="1DAD2AA0" w:rsidR="00FE7D56" w:rsidRPr="00942B34" w:rsidRDefault="00FE7D56" w:rsidP="00942B34">
      <w:pPr>
        <w:pStyle w:val="Header"/>
        <w:spacing w:line="276" w:lineRule="auto"/>
        <w:jc w:val="right"/>
        <w:rPr>
          <w:rFonts w:ascii="Times New Roman" w:hAnsi="Times New Roman"/>
          <w:color w:val="000000"/>
          <w:szCs w:val="24"/>
        </w:rPr>
      </w:pPr>
      <w:r w:rsidRPr="00942B34">
        <w:rPr>
          <w:rFonts w:ascii="Times New Roman" w:hAnsi="Times New Roman"/>
          <w:color w:val="000000"/>
          <w:szCs w:val="24"/>
        </w:rPr>
        <w:t xml:space="preserve">Brussels, </w:t>
      </w:r>
      <w:r w:rsidR="00942B34" w:rsidRPr="00942B34">
        <w:rPr>
          <w:rFonts w:ascii="Times New Roman" w:hAnsi="Times New Roman"/>
          <w:color w:val="000000"/>
          <w:szCs w:val="24"/>
        </w:rPr>
        <w:t>17 January 2014</w:t>
      </w:r>
    </w:p>
    <w:p w14:paraId="6D94B8D1" w14:textId="77777777" w:rsidR="00FE7D56" w:rsidRPr="00942B34" w:rsidRDefault="00FE7D56" w:rsidP="00942B34">
      <w:pPr>
        <w:pStyle w:val="Header"/>
        <w:spacing w:line="276" w:lineRule="auto"/>
        <w:jc w:val="both"/>
        <w:rPr>
          <w:rFonts w:ascii="Times New Roman" w:hAnsi="Times New Roman"/>
          <w:color w:val="F8CE68"/>
          <w:szCs w:val="24"/>
          <w:u w:val="single"/>
        </w:rPr>
      </w:pPr>
    </w:p>
    <w:p w14:paraId="7D831811" w14:textId="77777777" w:rsidR="00FE7D56" w:rsidRPr="00942B34" w:rsidRDefault="00FE7D56" w:rsidP="00942B34">
      <w:pPr>
        <w:pStyle w:val="Header"/>
        <w:spacing w:line="276" w:lineRule="auto"/>
        <w:jc w:val="both"/>
        <w:rPr>
          <w:rFonts w:ascii="Times New Roman" w:hAnsi="Times New Roman"/>
          <w:b/>
          <w:bCs/>
          <w:i/>
          <w:iCs/>
          <w:szCs w:val="24"/>
        </w:rPr>
      </w:pPr>
      <w:r w:rsidRPr="00942B34">
        <w:rPr>
          <w:rFonts w:ascii="Times New Roman" w:hAnsi="Times New Roman"/>
          <w:b/>
          <w:bCs/>
          <w:i/>
          <w:iCs/>
          <w:szCs w:val="24"/>
        </w:rPr>
        <w:t>Launched in 1960, the European Banking Federation (EBF) is the voice of the European banking sector from the European Union and European Free Trade Association countries. The EBF represents the interests of some 4,500 banks, large and small, wholesale and retail, local and cross-border financial institutions. Together, these banks account for over 80% of the total assets and deposits and some 80% of all bank loans in the EU alone.</w:t>
      </w:r>
    </w:p>
    <w:p w14:paraId="293F505E" w14:textId="77777777" w:rsidR="00FE7D56" w:rsidRPr="00942B34" w:rsidRDefault="00FE7D56" w:rsidP="00942B34">
      <w:pPr>
        <w:pStyle w:val="Header"/>
        <w:spacing w:line="276" w:lineRule="auto"/>
        <w:jc w:val="both"/>
        <w:rPr>
          <w:rFonts w:ascii="Times New Roman" w:hAnsi="Times New Roman"/>
          <w:color w:val="C2CF00"/>
          <w:szCs w:val="24"/>
        </w:rPr>
      </w:pPr>
    </w:p>
    <w:p w14:paraId="7CFAFA4A" w14:textId="77777777" w:rsidR="00FE7D56" w:rsidRPr="00942B34" w:rsidRDefault="00FE7D56" w:rsidP="00942B34">
      <w:pPr>
        <w:pStyle w:val="Subtitle"/>
        <w:jc w:val="both"/>
        <w:rPr>
          <w:rFonts w:ascii="Times New Roman" w:hAnsi="Times New Roman"/>
        </w:rPr>
      </w:pPr>
      <w:r w:rsidRPr="00942B34">
        <w:rPr>
          <w:rFonts w:ascii="Times New Roman" w:hAnsi="Times New Roman"/>
          <w:b/>
          <w:szCs w:val="28"/>
        </w:rPr>
        <w:t>EBF response to EBA Consultation Paper on Draft Guidelines setting out the calculation of the discount rate for variable remuneration pursuant to Article 94(1)(g)(iii) CRD IV</w:t>
      </w:r>
    </w:p>
    <w:p w14:paraId="4360E869" w14:textId="77777777" w:rsidR="00FE7D56" w:rsidRPr="00942B34" w:rsidRDefault="00FE7D56" w:rsidP="00942B34">
      <w:pPr>
        <w:pStyle w:val="NoSpacing"/>
        <w:spacing w:line="276" w:lineRule="auto"/>
        <w:jc w:val="both"/>
        <w:rPr>
          <w:rFonts w:ascii="Times New Roman" w:hAnsi="Times New Roman"/>
          <w:lang w:val="en-GB"/>
        </w:rPr>
      </w:pPr>
    </w:p>
    <w:p w14:paraId="77C0E3FA" w14:textId="77777777" w:rsidR="00FE7D56" w:rsidRPr="00942B34" w:rsidRDefault="00FE7D56" w:rsidP="00942B34">
      <w:pPr>
        <w:spacing w:after="120"/>
        <w:jc w:val="both"/>
        <w:rPr>
          <w:rFonts w:ascii="Times New Roman" w:eastAsiaTheme="minorHAnsi" w:hAnsi="Times New Roman"/>
          <w:b/>
          <w:sz w:val="28"/>
          <w:szCs w:val="28"/>
          <w:u w:val="single"/>
        </w:rPr>
      </w:pPr>
      <w:r w:rsidRPr="00942B34">
        <w:rPr>
          <w:rFonts w:ascii="Times New Roman" w:eastAsiaTheme="minorHAnsi" w:hAnsi="Times New Roman"/>
          <w:b/>
          <w:sz w:val="28"/>
          <w:szCs w:val="28"/>
          <w:u w:val="single"/>
        </w:rPr>
        <w:t>Main points</w:t>
      </w:r>
    </w:p>
    <w:p w14:paraId="3DF6D3E0" w14:textId="2DE3281D" w:rsidR="00FE7D56" w:rsidRPr="00942B34" w:rsidRDefault="006D4B62" w:rsidP="00942B34">
      <w:pPr>
        <w:pStyle w:val="ListParagraph"/>
        <w:numPr>
          <w:ilvl w:val="0"/>
          <w:numId w:val="17"/>
        </w:numPr>
        <w:spacing w:after="120"/>
        <w:jc w:val="both"/>
        <w:rPr>
          <w:rFonts w:ascii="Times New Roman" w:eastAsiaTheme="minorHAnsi" w:hAnsi="Times New Roman"/>
          <w:szCs w:val="24"/>
        </w:rPr>
      </w:pPr>
      <w:r w:rsidRPr="00942B34">
        <w:rPr>
          <w:rFonts w:ascii="Times New Roman" w:eastAsiaTheme="minorHAnsi" w:hAnsi="Times New Roman"/>
          <w:szCs w:val="24"/>
        </w:rPr>
        <w:t xml:space="preserve">EBF does not believe that EBA’s approach provides an incentive that </w:t>
      </w:r>
      <w:r w:rsidR="007401D6">
        <w:rPr>
          <w:rFonts w:ascii="Times New Roman" w:eastAsiaTheme="minorHAnsi" w:hAnsi="Times New Roman"/>
          <w:szCs w:val="24"/>
        </w:rPr>
        <w:t>is sufficient to encourage banks</w:t>
      </w:r>
      <w:bookmarkStart w:id="1" w:name="_GoBack"/>
      <w:bookmarkEnd w:id="1"/>
      <w:r w:rsidRPr="00942B34">
        <w:rPr>
          <w:rFonts w:ascii="Times New Roman" w:eastAsiaTheme="minorHAnsi" w:hAnsi="Times New Roman"/>
          <w:szCs w:val="24"/>
        </w:rPr>
        <w:t xml:space="preserve"> to pay bonuses on a longer term deferral basis</w:t>
      </w:r>
      <w:r w:rsidR="00FE7D56" w:rsidRPr="00942B34">
        <w:rPr>
          <w:rFonts w:ascii="Times New Roman" w:eastAsiaTheme="minorHAnsi" w:hAnsi="Times New Roman"/>
          <w:szCs w:val="24"/>
        </w:rPr>
        <w:t>.</w:t>
      </w:r>
    </w:p>
    <w:p w14:paraId="0E5F3D90" w14:textId="14A0FE75" w:rsidR="00066033" w:rsidRPr="00942B34" w:rsidRDefault="00066033" w:rsidP="00942B34">
      <w:pPr>
        <w:pStyle w:val="ListParagraph"/>
        <w:numPr>
          <w:ilvl w:val="0"/>
          <w:numId w:val="17"/>
        </w:numPr>
        <w:spacing w:after="120"/>
        <w:jc w:val="both"/>
        <w:rPr>
          <w:rFonts w:ascii="Times New Roman" w:eastAsiaTheme="minorHAnsi" w:hAnsi="Times New Roman"/>
          <w:szCs w:val="24"/>
        </w:rPr>
      </w:pPr>
      <w:r w:rsidRPr="00942B34">
        <w:rPr>
          <w:rFonts w:ascii="Times New Roman" w:eastAsiaTheme="minorHAnsi" w:hAnsi="Times New Roman"/>
          <w:szCs w:val="24"/>
        </w:rPr>
        <w:t>The EBA draft Guidelines do not use a discount rate to scale up 25% of the variable remuneration. Instead</w:t>
      </w:r>
      <w:r w:rsidR="00942B34">
        <w:rPr>
          <w:rFonts w:ascii="Times New Roman" w:eastAsiaTheme="minorHAnsi" w:hAnsi="Times New Roman"/>
          <w:szCs w:val="24"/>
        </w:rPr>
        <w:t>,</w:t>
      </w:r>
      <w:r w:rsidRPr="00942B34">
        <w:rPr>
          <w:rFonts w:ascii="Times New Roman" w:eastAsiaTheme="minorHAnsi" w:hAnsi="Times New Roman"/>
          <w:szCs w:val="24"/>
        </w:rPr>
        <w:t xml:space="preserve"> the formula uses a discount rate to scale up 100% of the variable remuneration and then reduces that value by a function that takes into account the ratio of the threshold (25% or lower as defined by Member States) to 1 minus the threshold to derive a small increase in total variable remuneration. In addition, </w:t>
      </w:r>
      <w:r w:rsidR="00511455" w:rsidRPr="00942B34">
        <w:rPr>
          <w:rFonts w:ascii="Times New Roman" w:eastAsiaTheme="minorHAnsi" w:hAnsi="Times New Roman"/>
          <w:szCs w:val="24"/>
        </w:rPr>
        <w:t>the</w:t>
      </w:r>
      <w:r w:rsidRPr="00942B34">
        <w:rPr>
          <w:rFonts w:ascii="Times New Roman" w:eastAsiaTheme="minorHAnsi" w:hAnsi="Times New Roman"/>
          <w:szCs w:val="24"/>
        </w:rPr>
        <w:t xml:space="preserve"> draft Guidelines do not result in 25% of the variable remuneration being deferred for a minimum of 5 years, but rather in 25% of the increased variable remuneration being deferred for 5 years. Consequently, since 75% of the increased variable remuneration is greater than 75% of non-increased variable remuneration, the employee also receives an increase in the amount of non-long term variable remuneration.</w:t>
      </w:r>
    </w:p>
    <w:p w14:paraId="52288E6E" w14:textId="77777777" w:rsidR="00C17263" w:rsidRDefault="00511455" w:rsidP="00942B34">
      <w:pPr>
        <w:pStyle w:val="ListParagraph"/>
        <w:numPr>
          <w:ilvl w:val="0"/>
          <w:numId w:val="17"/>
        </w:numPr>
        <w:spacing w:after="120"/>
        <w:jc w:val="both"/>
        <w:rPr>
          <w:rFonts w:ascii="Times New Roman" w:eastAsiaTheme="minorHAnsi" w:hAnsi="Times New Roman"/>
          <w:szCs w:val="24"/>
        </w:rPr>
      </w:pPr>
      <w:r w:rsidRPr="00942B34">
        <w:rPr>
          <w:rFonts w:ascii="Times New Roman" w:eastAsiaTheme="minorHAnsi" w:hAnsi="Times New Roman"/>
          <w:szCs w:val="24"/>
        </w:rPr>
        <w:t>The draft Guidelines require that the most recently available data should be used when remuneration is awarded. This implies that actual maximum ratio between variable and fixed remuneration is unknown during the earning period (when work is performed). This uncertainty could</w:t>
      </w:r>
      <w:r w:rsidR="00066033" w:rsidRPr="00942B34">
        <w:rPr>
          <w:rFonts w:ascii="Times New Roman" w:eastAsiaTheme="minorHAnsi" w:hAnsi="Times New Roman"/>
          <w:szCs w:val="24"/>
        </w:rPr>
        <w:t xml:space="preserve"> be</w:t>
      </w:r>
      <w:r w:rsidRPr="00942B34">
        <w:rPr>
          <w:rFonts w:ascii="Times New Roman" w:eastAsiaTheme="minorHAnsi" w:hAnsi="Times New Roman"/>
          <w:szCs w:val="24"/>
        </w:rPr>
        <w:t>come</w:t>
      </w:r>
      <w:r w:rsidR="00066033" w:rsidRPr="00942B34">
        <w:rPr>
          <w:rFonts w:ascii="Times New Roman" w:eastAsiaTheme="minorHAnsi" w:hAnsi="Times New Roman"/>
          <w:szCs w:val="24"/>
        </w:rPr>
        <w:t xml:space="preserve"> a detrimental fa</w:t>
      </w:r>
      <w:r w:rsidRPr="00942B34">
        <w:rPr>
          <w:rFonts w:ascii="Times New Roman" w:eastAsiaTheme="minorHAnsi" w:hAnsi="Times New Roman"/>
          <w:szCs w:val="24"/>
        </w:rPr>
        <w:t>ctor to motivation of employees</w:t>
      </w:r>
      <w:r w:rsidR="00066033" w:rsidRPr="00942B34">
        <w:rPr>
          <w:rFonts w:ascii="Times New Roman" w:eastAsiaTheme="minorHAnsi" w:hAnsi="Times New Roman"/>
          <w:szCs w:val="24"/>
        </w:rPr>
        <w:t>.</w:t>
      </w:r>
      <w:r w:rsidRPr="00942B34">
        <w:rPr>
          <w:rFonts w:ascii="Times New Roman" w:eastAsiaTheme="minorHAnsi" w:hAnsi="Times New Roman"/>
          <w:szCs w:val="24"/>
        </w:rPr>
        <w:t xml:space="preserve"> </w:t>
      </w:r>
      <w:r w:rsidR="002B732B" w:rsidRPr="00942B34">
        <w:rPr>
          <w:rFonts w:ascii="Times New Roman" w:eastAsiaTheme="minorHAnsi" w:hAnsi="Times New Roman"/>
          <w:szCs w:val="24"/>
        </w:rPr>
        <w:t xml:space="preserve">Thus, </w:t>
      </w:r>
      <w:r w:rsidR="00C17263">
        <w:rPr>
          <w:rFonts w:ascii="Times New Roman" w:eastAsiaTheme="minorHAnsi" w:hAnsi="Times New Roman"/>
          <w:szCs w:val="24"/>
        </w:rPr>
        <w:t>the</w:t>
      </w:r>
      <w:r w:rsidR="002B732B" w:rsidRPr="00942B34">
        <w:rPr>
          <w:rFonts w:ascii="Times New Roman" w:eastAsiaTheme="minorHAnsi" w:hAnsi="Times New Roman"/>
          <w:szCs w:val="24"/>
        </w:rPr>
        <w:t xml:space="preserve"> draft Guidelines seem complex to administer (as regards the salary division of the staff departments) and place a heavy burden on staff managers when explaining the composition and time of payments. </w:t>
      </w:r>
      <w:r w:rsidRPr="00942B34">
        <w:rPr>
          <w:rFonts w:ascii="Times New Roman" w:eastAsiaTheme="minorHAnsi" w:hAnsi="Times New Roman"/>
          <w:szCs w:val="24"/>
        </w:rPr>
        <w:t>EBF calls for predictability and clarity</w:t>
      </w:r>
      <w:r w:rsidR="002B732B" w:rsidRPr="00942B34">
        <w:rPr>
          <w:rFonts w:ascii="Times New Roman" w:eastAsiaTheme="minorHAnsi" w:hAnsi="Times New Roman"/>
          <w:szCs w:val="24"/>
        </w:rPr>
        <w:t xml:space="preserve"> in this respect.</w:t>
      </w:r>
      <w:r w:rsidR="00C17263">
        <w:rPr>
          <w:rFonts w:ascii="Times New Roman" w:eastAsiaTheme="minorHAnsi" w:hAnsi="Times New Roman"/>
          <w:szCs w:val="24"/>
        </w:rPr>
        <w:t xml:space="preserve"> </w:t>
      </w:r>
    </w:p>
    <w:p w14:paraId="12C8005D" w14:textId="7E8A7010" w:rsidR="00C17263" w:rsidRPr="00C17263" w:rsidRDefault="00C17263" w:rsidP="00C17263">
      <w:pPr>
        <w:pStyle w:val="ListParagraph"/>
        <w:numPr>
          <w:ilvl w:val="0"/>
          <w:numId w:val="17"/>
        </w:numPr>
        <w:spacing w:after="120"/>
        <w:jc w:val="both"/>
        <w:rPr>
          <w:rFonts w:ascii="Times New Roman" w:eastAsiaTheme="minorHAnsi" w:hAnsi="Times New Roman"/>
          <w:szCs w:val="24"/>
        </w:rPr>
      </w:pPr>
      <w:r w:rsidRPr="00942B34">
        <w:rPr>
          <w:rFonts w:ascii="Times New Roman" w:hAnsi="Times New Roman"/>
        </w:rPr>
        <w:t>Arguments for why a retention period is required and cannot be substituted by a prolonged deferral period remain weak.</w:t>
      </w:r>
    </w:p>
    <w:p w14:paraId="412AFB23" w14:textId="0694BA9E" w:rsidR="00FE7D56" w:rsidRPr="00942B34" w:rsidRDefault="00FE7D56" w:rsidP="00942B34">
      <w:pPr>
        <w:pStyle w:val="ListParagraph"/>
        <w:numPr>
          <w:ilvl w:val="0"/>
          <w:numId w:val="17"/>
        </w:numPr>
        <w:spacing w:after="120"/>
        <w:jc w:val="both"/>
        <w:rPr>
          <w:rFonts w:ascii="Times New Roman" w:eastAsiaTheme="minorHAnsi" w:hAnsi="Times New Roman"/>
          <w:szCs w:val="24"/>
        </w:rPr>
      </w:pPr>
      <w:r w:rsidRPr="00942B34">
        <w:rPr>
          <w:rFonts w:ascii="Times New Roman" w:eastAsiaTheme="minorHAnsi" w:hAnsi="Times New Roman"/>
          <w:szCs w:val="24"/>
        </w:rPr>
        <w:t>Whilst recognising the limitation of CRD IV text (“</w:t>
      </w:r>
      <w:r w:rsidRPr="00942B34">
        <w:rPr>
          <w:rFonts w:ascii="Times New Roman" w:eastAsiaTheme="minorHAnsi" w:hAnsi="Times New Roman"/>
          <w:i/>
          <w:szCs w:val="24"/>
        </w:rPr>
        <w:t>Member States may allow institutions to apply the discount rate…</w:t>
      </w:r>
      <w:r w:rsidR="00C17263">
        <w:rPr>
          <w:rFonts w:ascii="Times New Roman" w:eastAsiaTheme="minorHAnsi" w:hAnsi="Times New Roman"/>
          <w:szCs w:val="24"/>
        </w:rPr>
        <w:t>”), by</w:t>
      </w:r>
      <w:r w:rsidRPr="00942B34">
        <w:rPr>
          <w:rFonts w:ascii="Times New Roman" w:eastAsiaTheme="minorHAnsi" w:hAnsi="Times New Roman"/>
          <w:szCs w:val="24"/>
        </w:rPr>
        <w:t xml:space="preserve"> allowing </w:t>
      </w:r>
      <w:r w:rsidRPr="00942B34">
        <w:rPr>
          <w:rFonts w:ascii="Times New Roman" w:hAnsi="Times New Roman"/>
        </w:rPr>
        <w:t>Member States to</w:t>
      </w:r>
      <w:r w:rsidR="00C17263">
        <w:rPr>
          <w:rFonts w:ascii="Times New Roman" w:hAnsi="Times New Roman"/>
        </w:rPr>
        <w:t xml:space="preserve"> choose not to comply with </w:t>
      </w:r>
      <w:r w:rsidR="00C17263">
        <w:rPr>
          <w:rFonts w:ascii="Times New Roman" w:hAnsi="Times New Roman"/>
        </w:rPr>
        <w:lastRenderedPageBreak/>
        <w:t>the draft Guidelines may hinder</w:t>
      </w:r>
      <w:r w:rsidRPr="00942B34">
        <w:rPr>
          <w:rFonts w:ascii="Times New Roman" w:hAnsi="Times New Roman"/>
        </w:rPr>
        <w:t xml:space="preserve"> the overall aim to provide a lev</w:t>
      </w:r>
      <w:r w:rsidR="00C17263">
        <w:rPr>
          <w:rFonts w:ascii="Times New Roman" w:hAnsi="Times New Roman"/>
        </w:rPr>
        <w:t>el playing field across the EU.</w:t>
      </w:r>
    </w:p>
    <w:p w14:paraId="61C41038" w14:textId="1FF9FF2A" w:rsidR="00FE7D56" w:rsidRPr="00942B34" w:rsidRDefault="00FE7D56" w:rsidP="00942B34">
      <w:pPr>
        <w:pStyle w:val="ListParagraph"/>
        <w:numPr>
          <w:ilvl w:val="0"/>
          <w:numId w:val="17"/>
        </w:numPr>
        <w:spacing w:after="120"/>
        <w:jc w:val="both"/>
        <w:rPr>
          <w:rFonts w:ascii="Times New Roman" w:eastAsiaTheme="minorHAnsi" w:hAnsi="Times New Roman"/>
          <w:szCs w:val="24"/>
        </w:rPr>
      </w:pPr>
      <w:r w:rsidRPr="00942B34">
        <w:rPr>
          <w:rFonts w:ascii="Times New Roman" w:hAnsi="Times New Roman"/>
        </w:rPr>
        <w:t>Rationale for additional detailed public disclosures as oppose</w:t>
      </w:r>
      <w:r w:rsidR="00C17263">
        <w:rPr>
          <w:rFonts w:ascii="Times New Roman" w:hAnsi="Times New Roman"/>
        </w:rPr>
        <w:t>d</w:t>
      </w:r>
      <w:r w:rsidRPr="00942B34">
        <w:rPr>
          <w:rFonts w:ascii="Times New Roman" w:hAnsi="Times New Roman"/>
        </w:rPr>
        <w:t xml:space="preserve"> to reporting to the respective Member State supervisory authority is lacking.</w:t>
      </w:r>
    </w:p>
    <w:p w14:paraId="39AF30F3" w14:textId="77777777" w:rsidR="00FE7D56" w:rsidRPr="00942B34" w:rsidRDefault="00FE7D56" w:rsidP="00942B34">
      <w:pPr>
        <w:pStyle w:val="ListParagraph"/>
        <w:spacing w:after="120"/>
        <w:jc w:val="both"/>
        <w:rPr>
          <w:rFonts w:ascii="Times New Roman" w:eastAsiaTheme="minorHAnsi" w:hAnsi="Times New Roman"/>
          <w:szCs w:val="24"/>
        </w:rPr>
      </w:pPr>
    </w:p>
    <w:p w14:paraId="10F5B6BE" w14:textId="77777777" w:rsidR="00FE7D56" w:rsidRPr="00942B34" w:rsidRDefault="00FE7D56" w:rsidP="00942B34">
      <w:pPr>
        <w:spacing w:before="240"/>
        <w:jc w:val="both"/>
        <w:rPr>
          <w:rFonts w:ascii="Times New Roman" w:hAnsi="Times New Roman"/>
          <w:b/>
          <w:sz w:val="28"/>
          <w:szCs w:val="28"/>
          <w:u w:val="single"/>
        </w:rPr>
      </w:pPr>
      <w:r w:rsidRPr="00942B34">
        <w:rPr>
          <w:rFonts w:ascii="Times New Roman" w:hAnsi="Times New Roman"/>
          <w:b/>
          <w:sz w:val="28"/>
          <w:szCs w:val="28"/>
          <w:u w:val="single"/>
        </w:rPr>
        <w:t>Responses to questions</w:t>
      </w:r>
    </w:p>
    <w:p w14:paraId="3D70500B" w14:textId="77777777" w:rsidR="00FE7D56" w:rsidRPr="00942B34" w:rsidRDefault="00FE7D56" w:rsidP="00942B34">
      <w:pPr>
        <w:jc w:val="both"/>
        <w:rPr>
          <w:rFonts w:ascii="Times New Roman" w:hAnsi="Times New Roman"/>
          <w:b/>
        </w:rPr>
      </w:pPr>
      <w:r w:rsidRPr="00942B34">
        <w:rPr>
          <w:rFonts w:ascii="Times New Roman" w:hAnsi="Times New Roman"/>
          <w:b/>
        </w:rPr>
        <w:t xml:space="preserve">Q1: Is the scope of variable remuneration which can be discounted sufficiently clear? </w:t>
      </w:r>
    </w:p>
    <w:p w14:paraId="5E4288A9" w14:textId="517E5E54" w:rsidR="004625E2" w:rsidRPr="00942B34" w:rsidRDefault="002233EF" w:rsidP="00942B34">
      <w:pPr>
        <w:jc w:val="both"/>
        <w:rPr>
          <w:rFonts w:ascii="Times New Roman" w:hAnsi="Times New Roman"/>
        </w:rPr>
      </w:pPr>
      <w:r w:rsidRPr="00942B34">
        <w:rPr>
          <w:rFonts w:ascii="Times New Roman" w:hAnsi="Times New Roman"/>
        </w:rPr>
        <w:t>The scope of variable remuneration seems clear. However, the draft Guidelines do not use a discount rate to scale up 25% of the variable remuneration. Instead the formula uses a discount rate to scale up 100% of the variable remuneration and then reduces that value by a function that takes into account the ratio of the threshold (25% or lower as defined by Member States) to 1 minus the threshold to derive a small increase in total variable remuneration. In addition, the draft Guidelines do not result in 25% of the variable remuneration being deferred for a minimum of 5 years, but rather in 25% of the increased variable remuneration being deferred for 5 years. Consequently, since 75% of the increased variable remuneration is greater than 75% of non-increased variable remuneration, the employee also receives an increase in the amount of non-long term variable remuneration.</w:t>
      </w:r>
    </w:p>
    <w:p w14:paraId="7C61714B" w14:textId="732F5911" w:rsidR="004625E2" w:rsidRPr="00942B34" w:rsidRDefault="004625E2" w:rsidP="00942B34">
      <w:pPr>
        <w:jc w:val="both"/>
        <w:rPr>
          <w:rFonts w:ascii="Times New Roman" w:hAnsi="Times New Roman"/>
        </w:rPr>
      </w:pPr>
      <w:r w:rsidRPr="00942B34">
        <w:rPr>
          <w:rFonts w:ascii="Times New Roman" w:hAnsi="Times New Roman"/>
        </w:rPr>
        <w:t xml:space="preserve">EBF does not believe that the incentive and subsequent deferral of compensation for at least 5 years that is provided by CRDIV should also result in an increase in the residual variable compensation. Instead EBF </w:t>
      </w:r>
      <w:r w:rsidR="00910EC5" w:rsidRPr="00942B34">
        <w:rPr>
          <w:rFonts w:ascii="Times New Roman" w:hAnsi="Times New Roman"/>
        </w:rPr>
        <w:t>believes that</w:t>
      </w:r>
      <w:r w:rsidRPr="00942B34">
        <w:rPr>
          <w:rFonts w:ascii="Times New Roman" w:hAnsi="Times New Roman"/>
        </w:rPr>
        <w:t>:</w:t>
      </w:r>
    </w:p>
    <w:p w14:paraId="140C9626" w14:textId="1453F6C9" w:rsidR="004625E2" w:rsidRPr="00942B34" w:rsidRDefault="004625E2" w:rsidP="00942B34">
      <w:pPr>
        <w:pStyle w:val="ListParagraph"/>
        <w:numPr>
          <w:ilvl w:val="0"/>
          <w:numId w:val="21"/>
        </w:numPr>
        <w:jc w:val="both"/>
        <w:rPr>
          <w:rFonts w:ascii="Times New Roman" w:hAnsi="Times New Roman"/>
        </w:rPr>
      </w:pPr>
      <w:r w:rsidRPr="00942B34">
        <w:rPr>
          <w:rFonts w:ascii="Times New Roman" w:hAnsi="Times New Roman"/>
        </w:rPr>
        <w:t>Only the prescribed percentage of the variable remuneration that would be paid if no long-term incentive plan w</w:t>
      </w:r>
      <w:r w:rsidR="00910EC5" w:rsidRPr="00942B34">
        <w:rPr>
          <w:rFonts w:ascii="Times New Roman" w:hAnsi="Times New Roman"/>
        </w:rPr>
        <w:t>as included (</w:t>
      </w:r>
      <w:r w:rsidRPr="00942B34">
        <w:rPr>
          <w:rFonts w:ascii="Times New Roman" w:hAnsi="Times New Roman"/>
        </w:rPr>
        <w:t xml:space="preserve">25% </w:t>
      </w:r>
      <w:r w:rsidR="00910EC5" w:rsidRPr="00942B34">
        <w:rPr>
          <w:rFonts w:ascii="Times New Roman" w:hAnsi="Times New Roman"/>
        </w:rPr>
        <w:t>or lower</w:t>
      </w:r>
      <w:r w:rsidRPr="00942B34">
        <w:rPr>
          <w:rFonts w:ascii="Times New Roman" w:hAnsi="Times New Roman"/>
        </w:rPr>
        <w:t xml:space="preserve">) is subject to the long-term minimum 5-years deferral incentive scheme. </w:t>
      </w:r>
    </w:p>
    <w:p w14:paraId="2043F0A9" w14:textId="1DD3ECD4" w:rsidR="002233EF" w:rsidRPr="00942B34" w:rsidRDefault="004625E2" w:rsidP="00942B34">
      <w:pPr>
        <w:pStyle w:val="ListParagraph"/>
        <w:numPr>
          <w:ilvl w:val="0"/>
          <w:numId w:val="21"/>
        </w:numPr>
        <w:jc w:val="both"/>
        <w:rPr>
          <w:rFonts w:ascii="Times New Roman" w:hAnsi="Times New Roman"/>
        </w:rPr>
      </w:pPr>
      <w:r w:rsidRPr="00942B34">
        <w:rPr>
          <w:rFonts w:ascii="Times New Roman" w:hAnsi="Times New Roman"/>
        </w:rPr>
        <w:t xml:space="preserve">There should </w:t>
      </w:r>
      <w:r w:rsidR="00910EC5" w:rsidRPr="00942B34">
        <w:rPr>
          <w:rFonts w:ascii="Times New Roman" w:hAnsi="Times New Roman"/>
        </w:rPr>
        <w:t>not</w:t>
      </w:r>
      <w:r w:rsidRPr="00942B34">
        <w:rPr>
          <w:rFonts w:ascii="Times New Roman" w:hAnsi="Times New Roman"/>
        </w:rPr>
        <w:t xml:space="preserve"> be any change to the balance </w:t>
      </w:r>
      <w:r w:rsidR="00C17263">
        <w:rPr>
          <w:rFonts w:ascii="Times New Roman" w:hAnsi="Times New Roman"/>
        </w:rPr>
        <w:t>(</w:t>
      </w:r>
      <w:r w:rsidRPr="00942B34">
        <w:rPr>
          <w:rFonts w:ascii="Times New Roman" w:hAnsi="Times New Roman"/>
        </w:rPr>
        <w:t>i.e. 75%</w:t>
      </w:r>
      <w:r w:rsidR="00C17263">
        <w:rPr>
          <w:rFonts w:ascii="Times New Roman" w:hAnsi="Times New Roman"/>
        </w:rPr>
        <w:t>)</w:t>
      </w:r>
      <w:r w:rsidRPr="00942B34">
        <w:rPr>
          <w:rFonts w:ascii="Times New Roman" w:hAnsi="Times New Roman"/>
        </w:rPr>
        <w:t xml:space="preserve"> of the total variable remuneration that is payable</w:t>
      </w:r>
      <w:r w:rsidR="00C17263">
        <w:rPr>
          <w:rFonts w:ascii="Times New Roman" w:hAnsi="Times New Roman"/>
        </w:rPr>
        <w:t xml:space="preserve"> in</w:t>
      </w:r>
      <w:r w:rsidRPr="00942B34">
        <w:rPr>
          <w:rFonts w:ascii="Times New Roman" w:hAnsi="Times New Roman"/>
        </w:rPr>
        <w:t xml:space="preserve"> less than 5 years.</w:t>
      </w:r>
    </w:p>
    <w:p w14:paraId="6FDA2748" w14:textId="77777777" w:rsidR="00FE7D56" w:rsidRPr="00942B34" w:rsidRDefault="00FE7D56" w:rsidP="00942B34">
      <w:pPr>
        <w:jc w:val="both"/>
        <w:rPr>
          <w:rFonts w:ascii="Times New Roman" w:hAnsi="Times New Roman"/>
          <w:b/>
        </w:rPr>
      </w:pPr>
      <w:r w:rsidRPr="00942B34">
        <w:rPr>
          <w:rFonts w:ascii="Times New Roman" w:hAnsi="Times New Roman"/>
          <w:b/>
        </w:rPr>
        <w:t>Q2: Is the suggested factor to consider inflation appropriate?</w:t>
      </w:r>
    </w:p>
    <w:p w14:paraId="1F21DF1B" w14:textId="3FBB8E73" w:rsidR="00FE7D56" w:rsidRPr="00942B34" w:rsidRDefault="00FE7D56" w:rsidP="00942B34">
      <w:pPr>
        <w:jc w:val="both"/>
        <w:rPr>
          <w:rFonts w:ascii="Times New Roman" w:hAnsi="Times New Roman"/>
        </w:rPr>
      </w:pPr>
      <w:r w:rsidRPr="00942B34">
        <w:rPr>
          <w:rFonts w:ascii="Times New Roman" w:hAnsi="Times New Roman"/>
        </w:rPr>
        <w:t>The suggested factor is appropriate, however, there are concerns regarding the use of the most recently available data. In section 7 it is stated: “</w:t>
      </w:r>
      <w:r w:rsidRPr="00942B34">
        <w:rPr>
          <w:rFonts w:ascii="Times New Roman" w:hAnsi="Times New Roman"/>
          <w:i/>
          <w:iCs/>
        </w:rPr>
        <w:t xml:space="preserve">For paragraphs 8 to 10 the most recently available data should be used when remuneration is awarded”. </w:t>
      </w:r>
      <w:r w:rsidRPr="00942B34">
        <w:rPr>
          <w:rFonts w:ascii="Times New Roman" w:hAnsi="Times New Roman"/>
        </w:rPr>
        <w:t>This implies that the institution, when entering the earning period for the variable compensation, is not able to calculate what the actual discount rate allowed is or should be. It is common practice in many institutions to agree upfront the terms &amp; conditions for variable remuneration, including what the maximum ratio between fixed and variable remuneration should be for the earning period. This would not be possible if the discount factor remains unkno</w:t>
      </w:r>
      <w:r w:rsidR="00C17263">
        <w:rPr>
          <w:rFonts w:ascii="Times New Roman" w:hAnsi="Times New Roman"/>
        </w:rPr>
        <w:t>wn until the award is concluded</w:t>
      </w:r>
      <w:r w:rsidRPr="00942B34">
        <w:rPr>
          <w:rFonts w:ascii="Times New Roman" w:hAnsi="Times New Roman"/>
        </w:rPr>
        <w:t xml:space="preserve"> </w:t>
      </w:r>
      <w:r w:rsidR="00C17263">
        <w:rPr>
          <w:rFonts w:ascii="Times New Roman" w:hAnsi="Times New Roman"/>
        </w:rPr>
        <w:t>(</w:t>
      </w:r>
      <w:r w:rsidRPr="00942B34">
        <w:rPr>
          <w:rFonts w:ascii="Times New Roman" w:hAnsi="Times New Roman"/>
        </w:rPr>
        <w:t>i.e. after the earning period in question</w:t>
      </w:r>
      <w:r w:rsidR="00C17263">
        <w:rPr>
          <w:rFonts w:ascii="Times New Roman" w:hAnsi="Times New Roman"/>
        </w:rPr>
        <w:t>)</w:t>
      </w:r>
      <w:r w:rsidRPr="00942B34">
        <w:rPr>
          <w:rFonts w:ascii="Times New Roman" w:hAnsi="Times New Roman"/>
        </w:rPr>
        <w:t xml:space="preserve">, as suggested in the draft guidelines. We believe it is important to withhold the possibility for institutes to communicate the discount rate upfront. </w:t>
      </w:r>
    </w:p>
    <w:p w14:paraId="459C0453" w14:textId="1954A33A" w:rsidR="00FE7D56" w:rsidRPr="00942B34" w:rsidRDefault="00FE7D56" w:rsidP="00942B34">
      <w:pPr>
        <w:jc w:val="both"/>
        <w:rPr>
          <w:rFonts w:ascii="Times New Roman" w:hAnsi="Times New Roman"/>
        </w:rPr>
      </w:pPr>
      <w:r w:rsidRPr="00942B34">
        <w:rPr>
          <w:rFonts w:ascii="Times New Roman" w:hAnsi="Times New Roman"/>
        </w:rPr>
        <w:lastRenderedPageBreak/>
        <w:t>We therefore suggest that the last sentence of section 7 is rephrased as follows: “</w:t>
      </w:r>
      <w:r w:rsidRPr="00942B34">
        <w:rPr>
          <w:rFonts w:ascii="Times New Roman" w:hAnsi="Times New Roman"/>
          <w:i/>
          <w:iCs/>
        </w:rPr>
        <w:t>For paragraphs 8 to 10 the institution can choose between using the most recently available data when the maximum ratio between fixed and variable remuneration for the year is agreed with the employee or when the variable remuneration is awarded”.</w:t>
      </w:r>
      <w:r w:rsidRPr="00942B34">
        <w:rPr>
          <w:rFonts w:ascii="Times New Roman" w:hAnsi="Times New Roman"/>
        </w:rPr>
        <w:t xml:space="preserve"> </w:t>
      </w:r>
    </w:p>
    <w:p w14:paraId="0D5EAE1C" w14:textId="0BE2C35E" w:rsidR="00FE7D56" w:rsidRPr="00942B34" w:rsidRDefault="00FE7D56" w:rsidP="00942B34">
      <w:pPr>
        <w:jc w:val="both"/>
        <w:rPr>
          <w:rFonts w:ascii="Times New Roman" w:hAnsi="Times New Roman"/>
        </w:rPr>
      </w:pPr>
      <w:r w:rsidRPr="00942B34">
        <w:rPr>
          <w:rFonts w:ascii="Times New Roman" w:hAnsi="Times New Roman"/>
        </w:rPr>
        <w:t xml:space="preserve">This change would have limited effects on the actual discount rate, since the inflation in a specific Member State does not </w:t>
      </w:r>
      <w:r w:rsidR="00C17263">
        <w:rPr>
          <w:rFonts w:ascii="Times New Roman" w:hAnsi="Times New Roman"/>
        </w:rPr>
        <w:t xml:space="preserve">significantly </w:t>
      </w:r>
      <w:r w:rsidRPr="00942B34">
        <w:rPr>
          <w:rFonts w:ascii="Times New Roman" w:hAnsi="Times New Roman"/>
        </w:rPr>
        <w:t>differ over</w:t>
      </w:r>
      <w:r w:rsidR="00C17263">
        <w:rPr>
          <w:rFonts w:ascii="Times New Roman" w:hAnsi="Times New Roman"/>
        </w:rPr>
        <w:t xml:space="preserve"> such short</w:t>
      </w:r>
      <w:r w:rsidRPr="00942B34">
        <w:rPr>
          <w:rFonts w:ascii="Times New Roman" w:hAnsi="Times New Roman"/>
        </w:rPr>
        <w:t xml:space="preserve"> time, and further, Member State inflation as such represents a small fraction of the totality when calculating the discount rate.</w:t>
      </w:r>
    </w:p>
    <w:p w14:paraId="044A265E" w14:textId="77777777" w:rsidR="00FE7D56" w:rsidRPr="00942B34" w:rsidRDefault="00FE7D56" w:rsidP="00942B34">
      <w:pPr>
        <w:jc w:val="both"/>
        <w:rPr>
          <w:rFonts w:ascii="Times New Roman" w:hAnsi="Times New Roman"/>
          <w:b/>
        </w:rPr>
      </w:pPr>
      <w:r w:rsidRPr="00942B34">
        <w:rPr>
          <w:rFonts w:ascii="Times New Roman" w:hAnsi="Times New Roman"/>
          <w:b/>
        </w:rPr>
        <w:t>Q3: Is it appropriate to consider the rate for EU government bonds within the discount rate as a proxy for the opportunity costs of deferred remuneration and for the inflation risk?</w:t>
      </w:r>
    </w:p>
    <w:p w14:paraId="2BAE8E7C" w14:textId="77777777" w:rsidR="00FE7D56" w:rsidRPr="00942B34" w:rsidRDefault="00FE7D56" w:rsidP="00942B34">
      <w:pPr>
        <w:jc w:val="both"/>
        <w:rPr>
          <w:rFonts w:ascii="Times New Roman" w:hAnsi="Times New Roman"/>
        </w:rPr>
      </w:pPr>
      <w:r w:rsidRPr="00942B34">
        <w:rPr>
          <w:rFonts w:ascii="Times New Roman" w:hAnsi="Times New Roman"/>
        </w:rPr>
        <w:t xml:space="preserve">Yes. However, for remuneration awarded in countries outside the EU, long-term government bonds may have a risk weight. We suggest that Section 10 should thereby be rephrased to: </w:t>
      </w:r>
    </w:p>
    <w:p w14:paraId="629CF693" w14:textId="77777777" w:rsidR="00FE7D56" w:rsidRPr="00942B34" w:rsidRDefault="00FE7D56" w:rsidP="00942B34">
      <w:pPr>
        <w:spacing w:after="0"/>
        <w:jc w:val="both"/>
        <w:rPr>
          <w:rFonts w:ascii="Times New Roman" w:hAnsi="Times New Roman"/>
          <w:i/>
        </w:rPr>
      </w:pPr>
      <w:r w:rsidRPr="00942B34">
        <w:rPr>
          <w:rFonts w:ascii="Times New Roman" w:hAnsi="Times New Roman"/>
        </w:rPr>
        <w:t>“</w:t>
      </w:r>
      <w:r w:rsidRPr="00942B34">
        <w:rPr>
          <w:rFonts w:ascii="Times New Roman" w:hAnsi="Times New Roman"/>
          <w:i/>
        </w:rPr>
        <w:t>For remuneration awarded in a third country the following should apply:</w:t>
      </w:r>
    </w:p>
    <w:p w14:paraId="3AAC42D7" w14:textId="77777777" w:rsidR="00FE7D56" w:rsidRPr="00942B34" w:rsidRDefault="00FE7D56" w:rsidP="00942B34">
      <w:pPr>
        <w:spacing w:after="0"/>
        <w:jc w:val="both"/>
        <w:rPr>
          <w:rFonts w:ascii="Times New Roman" w:hAnsi="Times New Roman"/>
          <w:i/>
        </w:rPr>
      </w:pPr>
      <w:r w:rsidRPr="00942B34">
        <w:rPr>
          <w:rFonts w:ascii="Times New Roman" w:hAnsi="Times New Roman"/>
          <w:i/>
        </w:rPr>
        <w:t>a. if the remuneration is paid in a currency issued by a third country, institutions should use equivalent official statistical data available for the country issuing the currency or should use the average yield on the EU government bonds with a residual maturity of around ten years, as published by Eurostat;</w:t>
      </w:r>
    </w:p>
    <w:p w14:paraId="7D8CF8FC" w14:textId="77777777" w:rsidR="00FE7D56" w:rsidRPr="00942B34" w:rsidRDefault="00FE7D56" w:rsidP="00942B34">
      <w:pPr>
        <w:jc w:val="both"/>
        <w:rPr>
          <w:rFonts w:ascii="Times New Roman" w:hAnsi="Times New Roman"/>
          <w:i/>
        </w:rPr>
      </w:pPr>
      <w:r w:rsidRPr="00942B34">
        <w:rPr>
          <w:rFonts w:ascii="Times New Roman" w:hAnsi="Times New Roman"/>
          <w:i/>
        </w:rPr>
        <w:t>b. if the remuneration is awarded in a currency issued by an EU Member State, institutions should use the average yield on the EU government bonds with a residual maturity of around ten years, as published by Eurostat.”</w:t>
      </w:r>
    </w:p>
    <w:p w14:paraId="288A1961" w14:textId="77777777" w:rsidR="00C17263" w:rsidRDefault="00FE7D56" w:rsidP="00942B34">
      <w:pPr>
        <w:jc w:val="both"/>
        <w:rPr>
          <w:rFonts w:ascii="Times New Roman" w:hAnsi="Times New Roman"/>
          <w:b/>
        </w:rPr>
      </w:pPr>
      <w:r w:rsidRPr="00942B34">
        <w:rPr>
          <w:rFonts w:ascii="Times New Roman" w:hAnsi="Times New Roman"/>
          <w:b/>
        </w:rPr>
        <w:t>Q4: Is the incentive factor for the use of long-term deferred variable remuneration appropriate?</w:t>
      </w:r>
      <w:r w:rsidR="00C17263">
        <w:rPr>
          <w:rFonts w:ascii="Times New Roman" w:hAnsi="Times New Roman"/>
          <w:b/>
        </w:rPr>
        <w:t xml:space="preserve"> </w:t>
      </w:r>
    </w:p>
    <w:p w14:paraId="5BFEF31D" w14:textId="7F0ECF0A" w:rsidR="004F5385" w:rsidRPr="00942B34" w:rsidRDefault="00FE7D56" w:rsidP="00942B34">
      <w:pPr>
        <w:jc w:val="both"/>
        <w:rPr>
          <w:rFonts w:ascii="Times New Roman" w:hAnsi="Times New Roman"/>
        </w:rPr>
      </w:pPr>
      <w:r w:rsidRPr="00942B34">
        <w:rPr>
          <w:rFonts w:ascii="Times New Roman" w:hAnsi="Times New Roman"/>
        </w:rPr>
        <w:t>A fixed incentive factor</w:t>
      </w:r>
      <w:r w:rsidR="003E15AF" w:rsidRPr="00942B34">
        <w:rPr>
          <w:rFonts w:ascii="Times New Roman" w:hAnsi="Times New Roman"/>
        </w:rPr>
        <w:t xml:space="preserve"> does not seem</w:t>
      </w:r>
      <w:r w:rsidRPr="00942B34">
        <w:rPr>
          <w:rFonts w:ascii="Times New Roman" w:hAnsi="Times New Roman"/>
        </w:rPr>
        <w:t xml:space="preserve"> appropriate. </w:t>
      </w:r>
      <w:r w:rsidR="004F5385" w:rsidRPr="00942B34">
        <w:rPr>
          <w:rFonts w:ascii="Times New Roman" w:hAnsi="Times New Roman"/>
        </w:rPr>
        <w:t xml:space="preserve">The theoretical maximum increase in total </w:t>
      </w:r>
      <w:r w:rsidR="000D2169">
        <w:rPr>
          <w:rFonts w:ascii="Times New Roman" w:hAnsi="Times New Roman"/>
        </w:rPr>
        <w:t>variable remuneration is 33.33%</w:t>
      </w:r>
      <w:r w:rsidR="004F5385" w:rsidRPr="00942B34">
        <w:rPr>
          <w:rFonts w:ascii="Times New Roman" w:hAnsi="Times New Roman"/>
          <w:vertAlign w:val="superscript"/>
        </w:rPr>
        <w:footnoteReference w:id="1"/>
      </w:r>
      <w:r w:rsidR="004F5385" w:rsidRPr="00942B34">
        <w:rPr>
          <w:rFonts w:ascii="Times New Roman" w:hAnsi="Times New Roman"/>
        </w:rPr>
        <w:t xml:space="preserve"> (if the maximum</w:t>
      </w:r>
      <w:r w:rsidR="000D2169">
        <w:rPr>
          <w:rFonts w:ascii="Times New Roman" w:hAnsi="Times New Roman"/>
        </w:rPr>
        <w:t xml:space="preserve"> threshold of 25%</w:t>
      </w:r>
      <w:r w:rsidR="004F5385" w:rsidRPr="00942B34">
        <w:rPr>
          <w:rFonts w:ascii="Times New Roman" w:hAnsi="Times New Roman"/>
        </w:rPr>
        <w:t xml:space="preserve"> is chosen). In </w:t>
      </w:r>
      <w:r w:rsidR="003E15AF" w:rsidRPr="00942B34">
        <w:rPr>
          <w:rFonts w:ascii="Times New Roman" w:hAnsi="Times New Roman"/>
        </w:rPr>
        <w:t>practice,</w:t>
      </w:r>
      <w:r w:rsidR="004F5385" w:rsidRPr="00942B34">
        <w:rPr>
          <w:rFonts w:ascii="Times New Roman" w:hAnsi="Times New Roman"/>
        </w:rPr>
        <w:t xml:space="preserve"> the actual total increase in total variable remuneration will range only between 14% and 22% because of the way the formula has been designed</w:t>
      </w:r>
      <w:r w:rsidR="00942B34" w:rsidRPr="00942B34">
        <w:rPr>
          <w:rFonts w:ascii="Times New Roman" w:hAnsi="Times New Roman"/>
        </w:rPr>
        <w:t>,</w:t>
      </w:r>
      <w:r w:rsidR="004F5385" w:rsidRPr="00942B34">
        <w:rPr>
          <w:rFonts w:ascii="Times New Roman" w:hAnsi="Times New Roman"/>
        </w:rPr>
        <w:t xml:space="preserve"> based upon inflation and government bond</w:t>
      </w:r>
      <w:r w:rsidR="006F2BCD">
        <w:rPr>
          <w:rFonts w:ascii="Times New Roman" w:hAnsi="Times New Roman"/>
        </w:rPr>
        <w:t>s</w:t>
      </w:r>
      <w:r w:rsidR="004F5385" w:rsidRPr="00942B34">
        <w:rPr>
          <w:rFonts w:ascii="Times New Roman" w:hAnsi="Times New Roman"/>
        </w:rPr>
        <w:t xml:space="preserve"> rates ranging between 2%</w:t>
      </w:r>
      <w:r w:rsidR="00942B34" w:rsidRPr="00942B34">
        <w:rPr>
          <w:rFonts w:ascii="Times New Roman" w:hAnsi="Times New Roman"/>
        </w:rPr>
        <w:t xml:space="preserve"> and 5%,</w:t>
      </w:r>
      <w:r w:rsidR="004F5385" w:rsidRPr="00942B34">
        <w:rPr>
          <w:rFonts w:ascii="Times New Roman" w:hAnsi="Times New Roman"/>
        </w:rPr>
        <w:t xml:space="preserve"> and with a fixed incentive factor of 10% p.a. In the event that the threshold is lower than 25%, the increase in total variable remuneration is broadly reduced pro-rata.</w:t>
      </w:r>
      <w:r w:rsidR="004F5385" w:rsidRPr="00942B34">
        <w:rPr>
          <w:rFonts w:ascii="Times New Roman" w:hAnsi="Times New Roman"/>
          <w:vertAlign w:val="superscript"/>
        </w:rPr>
        <w:footnoteReference w:id="2"/>
      </w:r>
    </w:p>
    <w:p w14:paraId="7D057B3D" w14:textId="01BB072C" w:rsidR="004F5385" w:rsidRPr="00942B34" w:rsidRDefault="004F5385" w:rsidP="000D2169">
      <w:pPr>
        <w:jc w:val="both"/>
        <w:rPr>
          <w:rFonts w:ascii="Times New Roman" w:hAnsi="Times New Roman"/>
        </w:rPr>
      </w:pPr>
      <w:r w:rsidRPr="00942B34">
        <w:rPr>
          <w:rFonts w:ascii="Times New Roman" w:hAnsi="Times New Roman"/>
        </w:rPr>
        <w:t>The EBA formula for 5 years deferral (assuming that inflation and government bond</w:t>
      </w:r>
      <w:r w:rsidR="006F2BCD">
        <w:rPr>
          <w:rFonts w:ascii="Times New Roman" w:hAnsi="Times New Roman"/>
        </w:rPr>
        <w:t>s</w:t>
      </w:r>
      <w:r w:rsidRPr="00942B34">
        <w:rPr>
          <w:rFonts w:ascii="Times New Roman" w:hAnsi="Times New Roman"/>
        </w:rPr>
        <w:t xml:space="preserve"> rate are ignored) works as follows: an incentive rate of 10% p.a. results in only 10.5% increase in total variable remuneration. A stress-test of different incentive rates reveals the following:</w:t>
      </w:r>
    </w:p>
    <w:p w14:paraId="5655DBAE" w14:textId="52ED9BD4" w:rsidR="004F5385" w:rsidRPr="00942B34" w:rsidRDefault="004F5385" w:rsidP="00942B34">
      <w:pPr>
        <w:pStyle w:val="ListParagraph"/>
        <w:numPr>
          <w:ilvl w:val="0"/>
          <w:numId w:val="23"/>
        </w:numPr>
        <w:spacing w:after="0"/>
        <w:jc w:val="both"/>
        <w:rPr>
          <w:rFonts w:ascii="Times New Roman" w:hAnsi="Times New Roman"/>
        </w:rPr>
      </w:pPr>
      <w:r w:rsidRPr="00942B34">
        <w:rPr>
          <w:rFonts w:ascii="Times New Roman" w:hAnsi="Times New Roman"/>
        </w:rPr>
        <w:lastRenderedPageBreak/>
        <w:t>50%   p.a.</w:t>
      </w:r>
      <w:r w:rsidRPr="00942B34">
        <w:rPr>
          <w:rFonts w:ascii="Times New Roman" w:hAnsi="Times New Roman"/>
        </w:rPr>
        <w:tab/>
        <w:t>results in 27.7% increase in total variable remuneration;</w:t>
      </w:r>
    </w:p>
    <w:p w14:paraId="36D97A41" w14:textId="007FF3C7" w:rsidR="004F5385" w:rsidRPr="00942B34" w:rsidRDefault="004F5385" w:rsidP="00942B34">
      <w:pPr>
        <w:pStyle w:val="ListParagraph"/>
        <w:numPr>
          <w:ilvl w:val="0"/>
          <w:numId w:val="23"/>
        </w:numPr>
        <w:spacing w:after="0"/>
        <w:jc w:val="both"/>
        <w:rPr>
          <w:rFonts w:ascii="Times New Roman" w:hAnsi="Times New Roman"/>
        </w:rPr>
      </w:pPr>
      <w:r w:rsidRPr="00942B34">
        <w:rPr>
          <w:rFonts w:ascii="Times New Roman" w:hAnsi="Times New Roman"/>
        </w:rPr>
        <w:t>100% p.a.</w:t>
      </w:r>
      <w:r w:rsidRPr="00942B34">
        <w:rPr>
          <w:rFonts w:ascii="Times New Roman" w:hAnsi="Times New Roman"/>
        </w:rPr>
        <w:tab/>
        <w:t>results in 32.2% increase in total variable remuneration;</w:t>
      </w:r>
    </w:p>
    <w:p w14:paraId="5033D37F" w14:textId="1D08A7A7" w:rsidR="004F5385" w:rsidRPr="00942B34" w:rsidRDefault="004F5385" w:rsidP="00942B34">
      <w:pPr>
        <w:pStyle w:val="ListParagraph"/>
        <w:numPr>
          <w:ilvl w:val="0"/>
          <w:numId w:val="23"/>
        </w:numPr>
        <w:spacing w:after="0"/>
        <w:jc w:val="both"/>
        <w:rPr>
          <w:rFonts w:ascii="Times New Roman" w:hAnsi="Times New Roman"/>
        </w:rPr>
      </w:pPr>
      <w:r w:rsidRPr="00942B34">
        <w:rPr>
          <w:rFonts w:ascii="Times New Roman" w:hAnsi="Times New Roman"/>
        </w:rPr>
        <w:t>500% p.a.</w:t>
      </w:r>
      <w:r w:rsidRPr="00942B34">
        <w:rPr>
          <w:rFonts w:ascii="Times New Roman" w:hAnsi="Times New Roman"/>
        </w:rPr>
        <w:tab/>
        <w:t>results in 33.3% increase in total variable remuneration</w:t>
      </w:r>
    </w:p>
    <w:p w14:paraId="6F459EB4" w14:textId="77777777" w:rsidR="004F5385" w:rsidRPr="00942B34" w:rsidRDefault="004F5385" w:rsidP="00942B34">
      <w:pPr>
        <w:spacing w:after="0"/>
        <w:ind w:firstLine="720"/>
        <w:jc w:val="both"/>
        <w:rPr>
          <w:rFonts w:ascii="Times New Roman" w:hAnsi="Times New Roman"/>
        </w:rPr>
      </w:pPr>
    </w:p>
    <w:p w14:paraId="6F48B80A" w14:textId="3395CAD5" w:rsidR="00C21C0F" w:rsidRPr="00942B34" w:rsidRDefault="00C17597" w:rsidP="00942B34">
      <w:pPr>
        <w:jc w:val="both"/>
        <w:rPr>
          <w:rFonts w:ascii="Times New Roman" w:hAnsi="Times New Roman"/>
        </w:rPr>
      </w:pPr>
      <w:r w:rsidRPr="00942B34">
        <w:rPr>
          <w:rFonts w:ascii="Times New Roman" w:hAnsi="Times New Roman"/>
        </w:rPr>
        <w:t>The above</w:t>
      </w:r>
      <w:r w:rsidR="004F5385" w:rsidRPr="00942B34">
        <w:rPr>
          <w:rFonts w:ascii="Times New Roman" w:hAnsi="Times New Roman"/>
        </w:rPr>
        <w:t xml:space="preserve"> demonstrates that the increase in total variable remuneration is not proportional to</w:t>
      </w:r>
      <w:r w:rsidR="00C21C0F" w:rsidRPr="00942B34">
        <w:rPr>
          <w:rFonts w:ascii="Times New Roman" w:hAnsi="Times New Roman"/>
        </w:rPr>
        <w:t xml:space="preserve"> the size of the incentive rate</w:t>
      </w:r>
      <w:r w:rsidR="000D2169">
        <w:rPr>
          <w:rFonts w:ascii="Times New Roman" w:hAnsi="Times New Roman"/>
        </w:rPr>
        <w:t>. Consequently, banks are unlikely to</w:t>
      </w:r>
      <w:r w:rsidR="00C21C0F" w:rsidRPr="000D2169">
        <w:rPr>
          <w:rFonts w:ascii="Times New Roman" w:hAnsi="Times New Roman"/>
        </w:rPr>
        <w:t xml:space="preserve"> consider extending the deferral period significantly in order to </w:t>
      </w:r>
      <w:r w:rsidR="000D2169">
        <w:rPr>
          <w:rFonts w:ascii="Times New Roman" w:hAnsi="Times New Roman"/>
        </w:rPr>
        <w:t xml:space="preserve">only </w:t>
      </w:r>
      <w:r w:rsidR="00C21C0F" w:rsidRPr="000D2169">
        <w:rPr>
          <w:rFonts w:ascii="Times New Roman" w:hAnsi="Times New Roman"/>
        </w:rPr>
        <w:t>slightly increase the cap for variable compensation.</w:t>
      </w:r>
      <w:r w:rsidR="00C21C0F" w:rsidRPr="00942B34">
        <w:rPr>
          <w:rFonts w:ascii="Times New Roman" w:hAnsi="Times New Roman"/>
        </w:rPr>
        <w:t xml:space="preserve"> </w:t>
      </w:r>
    </w:p>
    <w:p w14:paraId="335BF19F" w14:textId="091C4D5F" w:rsidR="00FE7D56" w:rsidRPr="00942B34" w:rsidRDefault="00662504" w:rsidP="00942B34">
      <w:pPr>
        <w:jc w:val="both"/>
        <w:rPr>
          <w:rFonts w:ascii="Times New Roman" w:hAnsi="Times New Roman"/>
        </w:rPr>
      </w:pPr>
      <w:r w:rsidRPr="000D2169">
        <w:rPr>
          <w:rFonts w:ascii="Times New Roman" w:hAnsi="Times New Roman"/>
        </w:rPr>
        <w:t>EBF suggests</w:t>
      </w:r>
      <w:r w:rsidR="00FE7D56" w:rsidRPr="00942B34">
        <w:rPr>
          <w:rFonts w:ascii="Times New Roman" w:hAnsi="Times New Roman"/>
        </w:rPr>
        <w:t xml:space="preserve"> combin</w:t>
      </w:r>
      <w:r w:rsidRPr="00942B34">
        <w:rPr>
          <w:rFonts w:ascii="Times New Roman" w:hAnsi="Times New Roman"/>
        </w:rPr>
        <w:t>ing</w:t>
      </w:r>
      <w:r w:rsidR="00FE7D56" w:rsidRPr="00942B34">
        <w:rPr>
          <w:rFonts w:ascii="Times New Roman" w:hAnsi="Times New Roman"/>
        </w:rPr>
        <w:t xml:space="preserve"> the factors one and two (for inflation and inflation risk) with at least one additional factor. The factor should be multiple of factors one and two combined with a multiple as an incentive and maybe a minimum factor. In addition, we believe that there is no need for difference between factors three and four (incentive for long-term deferred variable remuneration and incentive for retention period).</w:t>
      </w:r>
      <w:r w:rsidR="00C21C0F" w:rsidRPr="00942B34">
        <w:rPr>
          <w:rFonts w:ascii="Times New Roman" w:hAnsi="Times New Roman"/>
        </w:rPr>
        <w:t xml:space="preserve"> </w:t>
      </w:r>
      <w:r w:rsidR="00C21C0F" w:rsidRPr="000D2169">
        <w:rPr>
          <w:rFonts w:ascii="Times New Roman" w:hAnsi="Times New Roman"/>
        </w:rPr>
        <w:t xml:space="preserve">Instead, one factor should be offered for deferral and retention, and this should be either a progressive or – preferably – an exponential factor (i.e. either 2% for the first year, 4% for the second and so on or – preferably – 2^n, where </w:t>
      </w:r>
      <w:r w:rsidR="00C21C0F" w:rsidRPr="000D2169">
        <w:rPr>
          <w:rFonts w:ascii="Times New Roman" w:hAnsi="Times New Roman"/>
          <w:i/>
        </w:rPr>
        <w:t>n</w:t>
      </w:r>
      <w:r w:rsidR="00C21C0F" w:rsidRPr="000D2169">
        <w:rPr>
          <w:rFonts w:ascii="Times New Roman" w:hAnsi="Times New Roman"/>
        </w:rPr>
        <w:t xml:space="preserve"> is the duration of the deferral and retention period)</w:t>
      </w:r>
      <w:r w:rsidRPr="000D2169">
        <w:rPr>
          <w:rFonts w:ascii="Times New Roman" w:hAnsi="Times New Roman"/>
        </w:rPr>
        <w:t>.</w:t>
      </w:r>
    </w:p>
    <w:p w14:paraId="695123E5" w14:textId="77777777" w:rsidR="00FE7D56" w:rsidRPr="00942B34" w:rsidRDefault="00FE7D56" w:rsidP="00942B34">
      <w:pPr>
        <w:jc w:val="both"/>
        <w:rPr>
          <w:rFonts w:ascii="Times New Roman" w:hAnsi="Times New Roman"/>
          <w:b/>
        </w:rPr>
      </w:pPr>
      <w:r w:rsidRPr="00942B34">
        <w:rPr>
          <w:rFonts w:ascii="Times New Roman" w:hAnsi="Times New Roman"/>
          <w:b/>
        </w:rPr>
        <w:t xml:space="preserve">Q5: Is an additional incentive factor for the use of retention periods for long-term deferred instruments appropriate? </w:t>
      </w:r>
    </w:p>
    <w:p w14:paraId="68DAFECD" w14:textId="592C0F3A" w:rsidR="00FE7D56" w:rsidRPr="00942B34" w:rsidRDefault="00FE7D56" w:rsidP="00942B34">
      <w:pPr>
        <w:jc w:val="both"/>
        <w:rPr>
          <w:rFonts w:ascii="Times New Roman" w:hAnsi="Times New Roman"/>
        </w:rPr>
      </w:pPr>
      <w:r w:rsidRPr="00942B34">
        <w:rPr>
          <w:rFonts w:ascii="Times New Roman" w:hAnsi="Times New Roman"/>
        </w:rPr>
        <w:t>It is recognised that a retention period of x years counts for less than a deferral period of x years due to adding half the % in the incentive factor and due to that</w:t>
      </w:r>
      <w:r w:rsidR="000D2169">
        <w:rPr>
          <w:rFonts w:ascii="Times New Roman" w:hAnsi="Times New Roman"/>
        </w:rPr>
        <w:t xml:space="preserve"> the</w:t>
      </w:r>
      <w:r w:rsidRPr="00942B34">
        <w:rPr>
          <w:rFonts w:ascii="Times New Roman" w:hAnsi="Times New Roman"/>
        </w:rPr>
        <w:t xml:space="preserve"> retention period is not taken into account in the exponential (</w:t>
      </w:r>
      <w:r w:rsidRPr="00942B34">
        <w:rPr>
          <w:rFonts w:ascii="Times New Roman" w:hAnsi="Times New Roman"/>
          <w:i/>
        </w:rPr>
        <w:t>n</w:t>
      </w:r>
      <w:r w:rsidRPr="00942B34">
        <w:rPr>
          <w:rFonts w:ascii="Times New Roman" w:hAnsi="Times New Roman"/>
        </w:rPr>
        <w:t xml:space="preserve"> being the vesting period only).</w:t>
      </w:r>
    </w:p>
    <w:p w14:paraId="1209E016" w14:textId="7187DAC9" w:rsidR="00C17597" w:rsidRPr="00942B34" w:rsidRDefault="00FE7D56" w:rsidP="00942B34">
      <w:pPr>
        <w:jc w:val="both"/>
        <w:rPr>
          <w:rFonts w:ascii="Times New Roman" w:hAnsi="Times New Roman"/>
        </w:rPr>
      </w:pPr>
      <w:r w:rsidRPr="00942B34">
        <w:rPr>
          <w:rFonts w:ascii="Times New Roman" w:hAnsi="Times New Roman"/>
        </w:rPr>
        <w:t xml:space="preserve">Still, EBF questions the purpose of requiring the usage of retention as such on top of deferrals. It is recognised that retained variable remuneration is linked to the performance of the institution. However, this also goes for deferred variable remuneration, where deferrals have clear advantages such as malus provisions tailor-made for the position, </w:t>
      </w:r>
      <w:r w:rsidR="000D2169">
        <w:rPr>
          <w:rFonts w:ascii="Times New Roman" w:hAnsi="Times New Roman"/>
        </w:rPr>
        <w:t xml:space="preserve">the relevant business unit </w:t>
      </w:r>
      <w:r w:rsidRPr="00942B34">
        <w:rPr>
          <w:rFonts w:ascii="Times New Roman" w:hAnsi="Times New Roman"/>
        </w:rPr>
        <w:t xml:space="preserve">and the institution. </w:t>
      </w:r>
    </w:p>
    <w:p w14:paraId="346DECEB" w14:textId="1FE66FA8" w:rsidR="00FE7D56" w:rsidRPr="00942B34" w:rsidRDefault="00FE7D56" w:rsidP="00942B34">
      <w:pPr>
        <w:jc w:val="both"/>
        <w:rPr>
          <w:rFonts w:ascii="Times New Roman" w:hAnsi="Times New Roman"/>
        </w:rPr>
      </w:pPr>
      <w:r w:rsidRPr="00942B34">
        <w:rPr>
          <w:rFonts w:ascii="Times New Roman" w:hAnsi="Times New Roman"/>
        </w:rPr>
        <w:t>Further negative aspects of requiring retention (as oppose to deferral) are:</w:t>
      </w:r>
    </w:p>
    <w:p w14:paraId="7826C32B" w14:textId="71A5FB1D" w:rsidR="00FE7D56" w:rsidRPr="00942B34" w:rsidRDefault="00FE7D56" w:rsidP="00942B34">
      <w:pPr>
        <w:pStyle w:val="ListParagraph"/>
        <w:numPr>
          <w:ilvl w:val="0"/>
          <w:numId w:val="16"/>
        </w:numPr>
        <w:jc w:val="both"/>
        <w:rPr>
          <w:rFonts w:ascii="Times New Roman" w:hAnsi="Times New Roman"/>
        </w:rPr>
      </w:pPr>
      <w:r w:rsidRPr="00942B34">
        <w:rPr>
          <w:rFonts w:ascii="Times New Roman" w:hAnsi="Times New Roman"/>
        </w:rPr>
        <w:t>The need for clarity on whether retained money is ta</w:t>
      </w:r>
      <w:r w:rsidR="000D2169">
        <w:rPr>
          <w:rFonts w:ascii="Times New Roman" w:hAnsi="Times New Roman"/>
        </w:rPr>
        <w:t>xed in different Member States</w:t>
      </w:r>
      <w:r w:rsidRPr="00942B34">
        <w:rPr>
          <w:rFonts w:ascii="Times New Roman" w:hAnsi="Times New Roman"/>
        </w:rPr>
        <w:t xml:space="preserve"> and whether retention applies to pre- or post-taxed amounts vested;</w:t>
      </w:r>
    </w:p>
    <w:p w14:paraId="021A339F" w14:textId="642151D9" w:rsidR="00FE7D56" w:rsidRPr="00942B34" w:rsidRDefault="00FE7D56" w:rsidP="00942B34">
      <w:pPr>
        <w:pStyle w:val="ListParagraph"/>
        <w:numPr>
          <w:ilvl w:val="0"/>
          <w:numId w:val="16"/>
        </w:numPr>
        <w:jc w:val="both"/>
        <w:rPr>
          <w:rFonts w:ascii="Times New Roman" w:hAnsi="Times New Roman"/>
        </w:rPr>
      </w:pPr>
      <w:r w:rsidRPr="00942B34">
        <w:rPr>
          <w:rFonts w:ascii="Times New Roman" w:hAnsi="Times New Roman"/>
        </w:rPr>
        <w:t>National labour law in Member States often prevents adding claw back provisions for vested variable remuneration subject to retention, theref</w:t>
      </w:r>
      <w:r w:rsidR="000D2169">
        <w:rPr>
          <w:rFonts w:ascii="Times New Roman" w:hAnsi="Times New Roman"/>
        </w:rPr>
        <w:t>ore, this option cannot be</w:t>
      </w:r>
      <w:r w:rsidRPr="00942B34">
        <w:rPr>
          <w:rFonts w:ascii="Times New Roman" w:hAnsi="Times New Roman"/>
        </w:rPr>
        <w:t xml:space="preserve"> use</w:t>
      </w:r>
      <w:r w:rsidR="000D2169">
        <w:rPr>
          <w:rFonts w:ascii="Times New Roman" w:hAnsi="Times New Roman"/>
        </w:rPr>
        <w:t>d</w:t>
      </w:r>
      <w:r w:rsidRPr="00942B34">
        <w:rPr>
          <w:rFonts w:ascii="Times New Roman" w:hAnsi="Times New Roman"/>
        </w:rPr>
        <w:t xml:space="preserve"> in practice;</w:t>
      </w:r>
    </w:p>
    <w:p w14:paraId="423B1CEC" w14:textId="77777777" w:rsidR="00FE7D56" w:rsidRPr="00942B34" w:rsidRDefault="00FE7D56" w:rsidP="00942B34">
      <w:pPr>
        <w:pStyle w:val="ListParagraph"/>
        <w:numPr>
          <w:ilvl w:val="0"/>
          <w:numId w:val="16"/>
        </w:numPr>
        <w:jc w:val="both"/>
        <w:rPr>
          <w:rFonts w:ascii="Times New Roman" w:hAnsi="Times New Roman"/>
        </w:rPr>
      </w:pPr>
      <w:r w:rsidRPr="00942B34">
        <w:rPr>
          <w:rFonts w:ascii="Times New Roman" w:hAnsi="Times New Roman"/>
        </w:rPr>
        <w:t>The administrative burden of ensuring that shares (or similar) are kept during retention period is significant and costly.</w:t>
      </w:r>
    </w:p>
    <w:p w14:paraId="2593F33A" w14:textId="4E755FA2" w:rsidR="00C17597" w:rsidRPr="00942B34" w:rsidRDefault="00C17597" w:rsidP="00942B34">
      <w:pPr>
        <w:jc w:val="both"/>
        <w:rPr>
          <w:rFonts w:ascii="Times New Roman" w:hAnsi="Times New Roman"/>
        </w:rPr>
      </w:pPr>
      <w:r w:rsidRPr="00942B34">
        <w:rPr>
          <w:rFonts w:ascii="Times New Roman" w:hAnsi="Times New Roman"/>
        </w:rPr>
        <w:t>Moreover, the minimum retentio</w:t>
      </w:r>
      <w:r w:rsidR="00B17094" w:rsidRPr="00942B34">
        <w:rPr>
          <w:rFonts w:ascii="Times New Roman" w:hAnsi="Times New Roman"/>
        </w:rPr>
        <w:t>n period is defined as 2 years, for which there is no rationale</w:t>
      </w:r>
      <w:r w:rsidRPr="00942B34">
        <w:rPr>
          <w:rFonts w:ascii="Times New Roman" w:hAnsi="Times New Roman"/>
        </w:rPr>
        <w:t>.</w:t>
      </w:r>
      <w:r w:rsidR="00B17094" w:rsidRPr="00942B34">
        <w:rPr>
          <w:rFonts w:ascii="Times New Roman" w:hAnsi="Times New Roman"/>
        </w:rPr>
        <w:t xml:space="preserve"> The same applies to </w:t>
      </w:r>
      <w:r w:rsidR="002379F5" w:rsidRPr="00942B34">
        <w:rPr>
          <w:rFonts w:ascii="Times New Roman" w:hAnsi="Times New Roman"/>
        </w:rPr>
        <w:t>the definition of this factor</w:t>
      </w:r>
      <w:r w:rsidRPr="00942B34">
        <w:rPr>
          <w:rFonts w:ascii="Times New Roman" w:hAnsi="Times New Roman"/>
        </w:rPr>
        <w:t xml:space="preserve"> as 1% p.a. </w:t>
      </w:r>
      <w:r w:rsidR="002379F5" w:rsidRPr="00942B34">
        <w:rPr>
          <w:rFonts w:ascii="Times New Roman" w:hAnsi="Times New Roman"/>
        </w:rPr>
        <w:t>(</w:t>
      </w:r>
      <w:r w:rsidRPr="00942B34">
        <w:rPr>
          <w:rFonts w:ascii="Times New Roman" w:hAnsi="Times New Roman"/>
        </w:rPr>
        <w:t>i.e. 10% of the fixed incentive factor</w:t>
      </w:r>
      <w:r w:rsidR="002379F5" w:rsidRPr="00942B34">
        <w:rPr>
          <w:rFonts w:ascii="Times New Roman" w:hAnsi="Times New Roman"/>
        </w:rPr>
        <w:t xml:space="preserve">). </w:t>
      </w:r>
      <w:r w:rsidRPr="00942B34">
        <w:rPr>
          <w:rFonts w:ascii="Times New Roman" w:hAnsi="Times New Roman"/>
        </w:rPr>
        <w:t xml:space="preserve">The impact of </w:t>
      </w:r>
      <w:r w:rsidR="002379F5" w:rsidRPr="00942B34">
        <w:rPr>
          <w:rFonts w:ascii="Times New Roman" w:hAnsi="Times New Roman"/>
        </w:rPr>
        <w:t>the factor results in minor</w:t>
      </w:r>
      <w:r w:rsidRPr="00942B34">
        <w:rPr>
          <w:rFonts w:ascii="Times New Roman" w:hAnsi="Times New Roman"/>
        </w:rPr>
        <w:t xml:space="preserve"> additional variable remuneration for the material risk of those additional retained y</w:t>
      </w:r>
      <w:r w:rsidR="002379F5" w:rsidRPr="00942B34">
        <w:rPr>
          <w:rFonts w:ascii="Times New Roman" w:hAnsi="Times New Roman"/>
        </w:rPr>
        <w:t xml:space="preserve">ears. </w:t>
      </w:r>
      <w:r w:rsidRPr="00942B34">
        <w:rPr>
          <w:rFonts w:ascii="Times New Roman" w:hAnsi="Times New Roman"/>
        </w:rPr>
        <w:t>This is illustrated in example 1</w:t>
      </w:r>
      <w:r w:rsidR="002379F5" w:rsidRPr="00942B34">
        <w:rPr>
          <w:rFonts w:ascii="Times New Roman" w:hAnsi="Times New Roman"/>
        </w:rPr>
        <w:t xml:space="preserve"> of EBA consultation paper</w:t>
      </w:r>
      <w:r w:rsidRPr="00942B34">
        <w:rPr>
          <w:rFonts w:ascii="Times New Roman" w:hAnsi="Times New Roman"/>
        </w:rPr>
        <w:t xml:space="preserve"> that the </w:t>
      </w:r>
      <w:r w:rsidRPr="00942B34">
        <w:rPr>
          <w:rFonts w:ascii="Times New Roman" w:hAnsi="Times New Roman"/>
        </w:rPr>
        <w:lastRenderedPageBreak/>
        <w:t>employee is invited to give up EUR 26,525 that would have invest</w:t>
      </w:r>
      <w:r w:rsidR="002379F5" w:rsidRPr="00942B34">
        <w:rPr>
          <w:rFonts w:ascii="Times New Roman" w:hAnsi="Times New Roman"/>
        </w:rPr>
        <w:t>ed in a minimum of 3 years for</w:t>
      </w:r>
      <w:r w:rsidRPr="00942B34">
        <w:rPr>
          <w:rFonts w:ascii="Times New Roman" w:hAnsi="Times New Roman"/>
        </w:rPr>
        <w:t xml:space="preserve"> EUR 30,00</w:t>
      </w:r>
      <w:r w:rsidR="000D2169">
        <w:rPr>
          <w:rFonts w:ascii="Times New Roman" w:hAnsi="Times New Roman"/>
        </w:rPr>
        <w:t>0 (an increase of EUR 3,475 or</w:t>
      </w:r>
      <w:r w:rsidRPr="00942B34">
        <w:rPr>
          <w:rFonts w:ascii="Times New Roman" w:hAnsi="Times New Roman"/>
        </w:rPr>
        <w:t xml:space="preserve"> 13%) that will vest in 5 and 6 years with further retention of 2 and 3 years.</w:t>
      </w:r>
    </w:p>
    <w:p w14:paraId="70D1727C" w14:textId="77777777" w:rsidR="00FE7D56" w:rsidRPr="00942B34" w:rsidRDefault="00FE7D56" w:rsidP="00942B34">
      <w:pPr>
        <w:jc w:val="both"/>
        <w:rPr>
          <w:rFonts w:ascii="Times New Roman" w:hAnsi="Times New Roman"/>
        </w:rPr>
      </w:pPr>
      <w:r w:rsidRPr="00942B34">
        <w:rPr>
          <w:rFonts w:ascii="Times New Roman" w:hAnsi="Times New Roman"/>
        </w:rPr>
        <w:t>An alternative approach to retention requirements would be that retention periods could be compensated by the institution through prolonged deferral periods of not less than half the length of the relevant retention period (applying the ratio between incentive factors for deferrals and retention respectively).</w:t>
      </w:r>
    </w:p>
    <w:p w14:paraId="2E21ED58" w14:textId="77777777" w:rsidR="00FE7D56" w:rsidRPr="00942B34" w:rsidRDefault="00FE7D56" w:rsidP="00942B34">
      <w:pPr>
        <w:jc w:val="both"/>
        <w:rPr>
          <w:rFonts w:ascii="Times New Roman" w:hAnsi="Times New Roman"/>
          <w:b/>
        </w:rPr>
      </w:pPr>
      <w:r w:rsidRPr="00942B34">
        <w:rPr>
          <w:rFonts w:ascii="Times New Roman" w:hAnsi="Times New Roman"/>
          <w:b/>
        </w:rPr>
        <w:t>Q6: Is the calculation of the discount rate sufficiently clear?</w:t>
      </w:r>
    </w:p>
    <w:p w14:paraId="669B0AD4" w14:textId="77777777" w:rsidR="00FE7D56" w:rsidRPr="00942B34" w:rsidRDefault="00FE7D56" w:rsidP="00942B34">
      <w:pPr>
        <w:jc w:val="both"/>
        <w:rPr>
          <w:rFonts w:ascii="Times New Roman" w:hAnsi="Times New Roman"/>
        </w:rPr>
      </w:pPr>
      <w:r w:rsidRPr="00942B34">
        <w:rPr>
          <w:rFonts w:ascii="Times New Roman" w:hAnsi="Times New Roman"/>
        </w:rPr>
        <w:t>Yes.</w:t>
      </w:r>
    </w:p>
    <w:p w14:paraId="64FB5A41" w14:textId="77777777" w:rsidR="00FE7D56" w:rsidRPr="00942B34" w:rsidRDefault="00FE7D56" w:rsidP="00942B34">
      <w:pPr>
        <w:jc w:val="both"/>
        <w:rPr>
          <w:rFonts w:ascii="Times New Roman" w:hAnsi="Times New Roman"/>
          <w:b/>
        </w:rPr>
      </w:pPr>
      <w:r w:rsidRPr="00942B34">
        <w:rPr>
          <w:rFonts w:ascii="Times New Roman" w:hAnsi="Times New Roman"/>
          <w:b/>
        </w:rPr>
        <w:t>Q7: Is the application of the discount rate sufficiently clear?</w:t>
      </w:r>
    </w:p>
    <w:p w14:paraId="59BE158B" w14:textId="1DD0E000" w:rsidR="00B202CF" w:rsidRPr="00942B34" w:rsidRDefault="00B202CF" w:rsidP="00942B34">
      <w:pPr>
        <w:spacing w:after="0"/>
        <w:jc w:val="both"/>
        <w:rPr>
          <w:rFonts w:ascii="Times New Roman" w:hAnsi="Times New Roman"/>
        </w:rPr>
      </w:pPr>
      <w:r w:rsidRPr="00942B34">
        <w:rPr>
          <w:rFonts w:ascii="Times New Roman" w:hAnsi="Times New Roman"/>
        </w:rPr>
        <w:t xml:space="preserve"> The application of the discount rate seems clear. Nevertheless, European banks believe that: </w:t>
      </w:r>
    </w:p>
    <w:p w14:paraId="6C4D61D7" w14:textId="77777777" w:rsidR="00B202CF" w:rsidRPr="00942B34" w:rsidRDefault="00B202CF" w:rsidP="00942B34">
      <w:pPr>
        <w:spacing w:after="0"/>
        <w:jc w:val="both"/>
        <w:rPr>
          <w:rFonts w:ascii="Times New Roman" w:hAnsi="Times New Roman"/>
        </w:rPr>
      </w:pPr>
    </w:p>
    <w:p w14:paraId="6FAF67F8" w14:textId="7477C23F" w:rsidR="00B202CF" w:rsidRPr="00942B34" w:rsidRDefault="00B202CF" w:rsidP="00942B34">
      <w:pPr>
        <w:pStyle w:val="ListParagraph"/>
        <w:numPr>
          <w:ilvl w:val="0"/>
          <w:numId w:val="24"/>
        </w:numPr>
        <w:spacing w:after="0"/>
        <w:jc w:val="both"/>
        <w:rPr>
          <w:rFonts w:ascii="Times New Roman" w:hAnsi="Times New Roman"/>
        </w:rPr>
      </w:pPr>
      <w:r w:rsidRPr="00942B34">
        <w:rPr>
          <w:rFonts w:ascii="Times New Roman" w:hAnsi="Times New Roman"/>
        </w:rPr>
        <w:t>The portion of the award that is required to be vested for a mi</w:t>
      </w:r>
      <w:r w:rsidR="000D2169">
        <w:rPr>
          <w:rFonts w:ascii="Times New Roman" w:hAnsi="Times New Roman"/>
        </w:rPr>
        <w:t>nimum of 3 years deferred (</w:t>
      </w:r>
      <w:r w:rsidRPr="00942B34">
        <w:rPr>
          <w:rFonts w:ascii="Times New Roman" w:hAnsi="Times New Roman"/>
        </w:rPr>
        <w:t>EUR 15,000</w:t>
      </w:r>
      <w:r w:rsidR="000D2169">
        <w:rPr>
          <w:rFonts w:ascii="Times New Roman" w:hAnsi="Times New Roman"/>
        </w:rPr>
        <w:t xml:space="preserve"> in the example above)</w:t>
      </w:r>
      <w:r w:rsidRPr="00942B34">
        <w:rPr>
          <w:rFonts w:ascii="Times New Roman" w:hAnsi="Times New Roman"/>
        </w:rPr>
        <w:t xml:space="preserve"> should </w:t>
      </w:r>
      <w:r w:rsidR="00EF21D6" w:rsidRPr="00942B34">
        <w:rPr>
          <w:rFonts w:ascii="Times New Roman" w:hAnsi="Times New Roman"/>
        </w:rPr>
        <w:t>remain as EUR 15,000 and</w:t>
      </w:r>
      <w:r w:rsidR="000D2169">
        <w:rPr>
          <w:rFonts w:ascii="Times New Roman" w:hAnsi="Times New Roman"/>
        </w:rPr>
        <w:t>,</w:t>
      </w:r>
      <w:r w:rsidR="00EF21D6" w:rsidRPr="00942B34">
        <w:rPr>
          <w:rFonts w:ascii="Times New Roman" w:hAnsi="Times New Roman"/>
        </w:rPr>
        <w:t xml:space="preserve"> thus</w:t>
      </w:r>
      <w:r w:rsidR="000D2169">
        <w:rPr>
          <w:rFonts w:ascii="Times New Roman" w:hAnsi="Times New Roman"/>
        </w:rPr>
        <w:t>,</w:t>
      </w:r>
      <w:r w:rsidRPr="00942B34">
        <w:rPr>
          <w:rFonts w:ascii="Times New Roman" w:hAnsi="Times New Roman"/>
        </w:rPr>
        <w:t xml:space="preserve"> unaffected by the long-term incentive:</w:t>
      </w:r>
    </w:p>
    <w:p w14:paraId="37348078" w14:textId="77777777" w:rsidR="00B202CF" w:rsidRPr="00942B34" w:rsidRDefault="00B202CF" w:rsidP="00942B34">
      <w:pPr>
        <w:pStyle w:val="ListParagraph"/>
        <w:spacing w:after="0"/>
        <w:jc w:val="both"/>
        <w:rPr>
          <w:rFonts w:ascii="Times New Roman" w:hAnsi="Times New Roman"/>
        </w:rPr>
      </w:pPr>
      <w:r w:rsidRPr="00942B34">
        <w:rPr>
          <w:rFonts w:ascii="Times New Roman" w:hAnsi="Times New Roman"/>
        </w:rPr>
        <w:t xml:space="preserve"> </w:t>
      </w:r>
    </w:p>
    <w:p w14:paraId="74313A4E" w14:textId="77777777" w:rsidR="00B202CF" w:rsidRPr="00942B34" w:rsidRDefault="00B202CF" w:rsidP="00942B34">
      <w:pPr>
        <w:pStyle w:val="ListParagraph"/>
        <w:numPr>
          <w:ilvl w:val="1"/>
          <w:numId w:val="25"/>
        </w:numPr>
        <w:spacing w:after="0"/>
        <w:jc w:val="both"/>
        <w:rPr>
          <w:rFonts w:ascii="Times New Roman" w:hAnsi="Times New Roman"/>
        </w:rPr>
      </w:pPr>
      <w:r w:rsidRPr="00942B34">
        <w:rPr>
          <w:rFonts w:ascii="Times New Roman" w:hAnsi="Times New Roman"/>
        </w:rPr>
        <w:t xml:space="preserve">EUR 100,000 </w:t>
      </w:r>
      <w:r w:rsidRPr="00942B34">
        <w:rPr>
          <w:rFonts w:ascii="Times New Roman" w:hAnsi="Times New Roman"/>
        </w:rPr>
        <w:tab/>
      </w:r>
      <w:r w:rsidRPr="00942B34">
        <w:rPr>
          <w:rFonts w:ascii="Times New Roman" w:hAnsi="Times New Roman"/>
        </w:rPr>
        <w:tab/>
        <w:t>Award without incentive</w:t>
      </w:r>
    </w:p>
    <w:p w14:paraId="1F96C3D0" w14:textId="3C7BAE8C" w:rsidR="00B202CF" w:rsidRPr="00942B34" w:rsidRDefault="00EF21D6" w:rsidP="00942B34">
      <w:pPr>
        <w:pStyle w:val="ListParagraph"/>
        <w:numPr>
          <w:ilvl w:val="1"/>
          <w:numId w:val="25"/>
        </w:numPr>
        <w:spacing w:after="0"/>
        <w:jc w:val="both"/>
        <w:rPr>
          <w:rFonts w:ascii="Times New Roman" w:hAnsi="Times New Roman"/>
        </w:rPr>
      </w:pPr>
      <w:r w:rsidRPr="00942B34">
        <w:rPr>
          <w:rFonts w:ascii="Times New Roman" w:hAnsi="Times New Roman"/>
        </w:rPr>
        <w:t xml:space="preserve">EUR 60,000   </w:t>
      </w:r>
      <w:r w:rsidRPr="00942B34">
        <w:rPr>
          <w:rFonts w:ascii="Times New Roman" w:hAnsi="Times New Roman"/>
        </w:rPr>
        <w:tab/>
      </w:r>
      <w:r w:rsidRPr="00942B34">
        <w:rPr>
          <w:rFonts w:ascii="Times New Roman" w:hAnsi="Times New Roman"/>
        </w:rPr>
        <w:tab/>
        <w:t>Immediate pay-out</w:t>
      </w:r>
      <w:r w:rsidR="00B202CF" w:rsidRPr="00942B34">
        <w:rPr>
          <w:rFonts w:ascii="Times New Roman" w:hAnsi="Times New Roman"/>
        </w:rPr>
        <w:t xml:space="preserve"> </w:t>
      </w:r>
    </w:p>
    <w:p w14:paraId="75E2D79A" w14:textId="5C56B689" w:rsidR="00B202CF" w:rsidRPr="00942B34" w:rsidRDefault="00EF21D6" w:rsidP="00942B34">
      <w:pPr>
        <w:pStyle w:val="ListParagraph"/>
        <w:numPr>
          <w:ilvl w:val="1"/>
          <w:numId w:val="25"/>
        </w:numPr>
        <w:spacing w:after="0"/>
        <w:jc w:val="both"/>
        <w:rPr>
          <w:rFonts w:ascii="Times New Roman" w:hAnsi="Times New Roman"/>
        </w:rPr>
      </w:pPr>
      <w:r w:rsidRPr="00942B34">
        <w:rPr>
          <w:rFonts w:ascii="Times New Roman" w:hAnsi="Times New Roman"/>
        </w:rPr>
        <w:t xml:space="preserve">EUR 25,000   </w:t>
      </w:r>
      <w:r w:rsidR="00B202CF" w:rsidRPr="00942B34">
        <w:rPr>
          <w:rFonts w:ascii="Times New Roman" w:hAnsi="Times New Roman"/>
        </w:rPr>
        <w:t xml:space="preserve"> </w:t>
      </w:r>
      <w:r w:rsidR="00B202CF" w:rsidRPr="00942B34">
        <w:rPr>
          <w:rFonts w:ascii="Times New Roman" w:hAnsi="Times New Roman"/>
        </w:rPr>
        <w:tab/>
        <w:t>25% max of the award</w:t>
      </w:r>
    </w:p>
    <w:p w14:paraId="1A76355F" w14:textId="77777777" w:rsidR="00B202CF" w:rsidRPr="00942B34" w:rsidRDefault="00B202CF" w:rsidP="00942B34">
      <w:pPr>
        <w:pStyle w:val="ListParagraph"/>
        <w:numPr>
          <w:ilvl w:val="1"/>
          <w:numId w:val="25"/>
        </w:numPr>
        <w:spacing w:after="0"/>
        <w:jc w:val="both"/>
        <w:rPr>
          <w:rFonts w:ascii="Times New Roman" w:hAnsi="Times New Roman"/>
        </w:rPr>
      </w:pPr>
      <w:r w:rsidRPr="00942B34">
        <w:rPr>
          <w:rFonts w:ascii="Times New Roman" w:hAnsi="Times New Roman"/>
        </w:rPr>
        <w:t>EUR 15,000</w:t>
      </w:r>
      <w:r w:rsidRPr="00942B34">
        <w:rPr>
          <w:rFonts w:ascii="Times New Roman" w:hAnsi="Times New Roman"/>
        </w:rPr>
        <w:tab/>
      </w:r>
      <w:r w:rsidRPr="00942B34">
        <w:rPr>
          <w:rFonts w:ascii="Times New Roman" w:hAnsi="Times New Roman"/>
        </w:rPr>
        <w:tab/>
        <w:t xml:space="preserve">Balance to be vested for minimum 3 years    </w:t>
      </w:r>
    </w:p>
    <w:p w14:paraId="43EA2BE4" w14:textId="77777777" w:rsidR="00B202CF" w:rsidRPr="00942B34" w:rsidRDefault="00B202CF" w:rsidP="00942B34">
      <w:pPr>
        <w:pStyle w:val="ListParagraph"/>
        <w:spacing w:after="0"/>
        <w:jc w:val="both"/>
        <w:rPr>
          <w:rFonts w:ascii="Times New Roman" w:hAnsi="Times New Roman"/>
        </w:rPr>
      </w:pPr>
    </w:p>
    <w:p w14:paraId="09A2B461" w14:textId="0CFDD351" w:rsidR="00B202CF" w:rsidRPr="00942B34" w:rsidRDefault="00B202CF" w:rsidP="00942B34">
      <w:pPr>
        <w:pStyle w:val="ListParagraph"/>
        <w:numPr>
          <w:ilvl w:val="0"/>
          <w:numId w:val="24"/>
        </w:numPr>
        <w:spacing w:after="0"/>
        <w:jc w:val="both"/>
        <w:rPr>
          <w:rFonts w:ascii="Times New Roman" w:hAnsi="Times New Roman"/>
        </w:rPr>
      </w:pPr>
      <w:r w:rsidRPr="00942B34">
        <w:rPr>
          <w:rFonts w:ascii="Times New Roman" w:hAnsi="Times New Roman"/>
        </w:rPr>
        <w:t>A discount rate should only be applied to the 25%</w:t>
      </w:r>
      <w:r w:rsidR="000D2169">
        <w:rPr>
          <w:rFonts w:ascii="Times New Roman" w:hAnsi="Times New Roman"/>
        </w:rPr>
        <w:t xml:space="preserve"> (</w:t>
      </w:r>
      <w:r w:rsidR="006F2BCD">
        <w:rPr>
          <w:rFonts w:ascii="Times New Roman" w:hAnsi="Times New Roman"/>
        </w:rPr>
        <w:t>or to the lower chosen by Member States</w:t>
      </w:r>
      <w:r w:rsidR="000D2169">
        <w:rPr>
          <w:rFonts w:ascii="Times New Roman" w:hAnsi="Times New Roman"/>
        </w:rPr>
        <w:t>)</w:t>
      </w:r>
      <w:r w:rsidRPr="00942B34">
        <w:rPr>
          <w:rFonts w:ascii="Times New Roman" w:hAnsi="Times New Roman"/>
        </w:rPr>
        <w:t xml:space="preserve"> of the total variable remuneration</w:t>
      </w:r>
      <w:r w:rsidR="00EF21D6" w:rsidRPr="00942B34">
        <w:rPr>
          <w:rFonts w:ascii="Times New Roman" w:hAnsi="Times New Roman"/>
        </w:rPr>
        <w:t>;</w:t>
      </w:r>
      <w:r w:rsidRPr="00942B34">
        <w:rPr>
          <w:rFonts w:ascii="Times New Roman" w:hAnsi="Times New Roman"/>
        </w:rPr>
        <w:t xml:space="preserve"> and </w:t>
      </w:r>
    </w:p>
    <w:p w14:paraId="41EEABF4" w14:textId="77777777" w:rsidR="00B202CF" w:rsidRPr="00942B34" w:rsidRDefault="00B202CF" w:rsidP="00942B34">
      <w:pPr>
        <w:pStyle w:val="ListParagraph"/>
        <w:spacing w:after="0"/>
        <w:jc w:val="both"/>
        <w:rPr>
          <w:rFonts w:ascii="Times New Roman" w:hAnsi="Times New Roman"/>
        </w:rPr>
      </w:pPr>
    </w:p>
    <w:p w14:paraId="7C478AC0" w14:textId="79D08855" w:rsidR="00B202CF" w:rsidRPr="00942B34" w:rsidRDefault="00942B34" w:rsidP="00942B34">
      <w:pPr>
        <w:pStyle w:val="ListParagraph"/>
        <w:numPr>
          <w:ilvl w:val="0"/>
          <w:numId w:val="24"/>
        </w:numPr>
        <w:spacing w:after="0"/>
        <w:jc w:val="both"/>
        <w:rPr>
          <w:rFonts w:ascii="Times New Roman" w:hAnsi="Times New Roman"/>
        </w:rPr>
      </w:pPr>
      <w:r>
        <w:rPr>
          <w:rFonts w:ascii="Times New Roman" w:hAnsi="Times New Roman"/>
        </w:rPr>
        <w:t>T</w:t>
      </w:r>
      <w:r w:rsidR="00B202CF" w:rsidRPr="00942B34">
        <w:rPr>
          <w:rFonts w:ascii="Times New Roman" w:hAnsi="Times New Roman"/>
        </w:rPr>
        <w:t>he total non-discounted variable remuneration</w:t>
      </w:r>
      <w:r w:rsidR="00B202CF" w:rsidRPr="00942B34">
        <w:rPr>
          <w:rFonts w:ascii="Times New Roman" w:hAnsi="Times New Roman"/>
          <w:i/>
        </w:rPr>
        <w:t xml:space="preserve"> </w:t>
      </w:r>
      <w:r w:rsidR="00B202CF" w:rsidRPr="00942B34">
        <w:rPr>
          <w:rFonts w:ascii="Times New Roman" w:hAnsi="Times New Roman"/>
        </w:rPr>
        <w:t>should r</w:t>
      </w:r>
      <w:r>
        <w:rPr>
          <w:rFonts w:ascii="Times New Roman" w:hAnsi="Times New Roman"/>
        </w:rPr>
        <w:t xml:space="preserve">emain unchanged. In the example, </w:t>
      </w:r>
      <w:r w:rsidR="00B202CF" w:rsidRPr="00942B34">
        <w:rPr>
          <w:rFonts w:ascii="Times New Roman" w:hAnsi="Times New Roman"/>
        </w:rPr>
        <w:t xml:space="preserve">the amount remained at EUR 75,000 </w:t>
      </w:r>
    </w:p>
    <w:p w14:paraId="5FA2E328" w14:textId="77777777" w:rsidR="00B202CF" w:rsidRPr="00942B34" w:rsidRDefault="00B202CF" w:rsidP="00942B34">
      <w:pPr>
        <w:pStyle w:val="ListParagraph"/>
        <w:numPr>
          <w:ilvl w:val="1"/>
          <w:numId w:val="24"/>
        </w:numPr>
        <w:spacing w:after="0"/>
        <w:jc w:val="both"/>
        <w:rPr>
          <w:rFonts w:ascii="Times New Roman" w:hAnsi="Times New Roman"/>
        </w:rPr>
      </w:pPr>
      <w:r w:rsidRPr="00942B34">
        <w:rPr>
          <w:rFonts w:ascii="Times New Roman" w:hAnsi="Times New Roman"/>
        </w:rPr>
        <w:t>EUR 60,000</w:t>
      </w:r>
      <w:r w:rsidRPr="00942B34">
        <w:rPr>
          <w:rFonts w:ascii="Times New Roman" w:hAnsi="Times New Roman"/>
        </w:rPr>
        <w:tab/>
      </w:r>
      <w:r w:rsidRPr="00942B34">
        <w:rPr>
          <w:rFonts w:ascii="Times New Roman" w:hAnsi="Times New Roman"/>
        </w:rPr>
        <w:tab/>
        <w:t>Immediate pay-out</w:t>
      </w:r>
    </w:p>
    <w:p w14:paraId="06F155AB" w14:textId="77777777" w:rsidR="00B202CF" w:rsidRPr="00942B34" w:rsidRDefault="00B202CF" w:rsidP="00942B34">
      <w:pPr>
        <w:pStyle w:val="ListParagraph"/>
        <w:numPr>
          <w:ilvl w:val="1"/>
          <w:numId w:val="24"/>
        </w:numPr>
        <w:spacing w:after="0"/>
        <w:jc w:val="both"/>
        <w:rPr>
          <w:rFonts w:ascii="Times New Roman" w:hAnsi="Times New Roman"/>
        </w:rPr>
      </w:pPr>
      <w:r w:rsidRPr="00942B34">
        <w:rPr>
          <w:rFonts w:ascii="Times New Roman" w:hAnsi="Times New Roman"/>
        </w:rPr>
        <w:t>EUR 15,000</w:t>
      </w:r>
      <w:r w:rsidRPr="00942B34">
        <w:rPr>
          <w:rFonts w:ascii="Times New Roman" w:hAnsi="Times New Roman"/>
        </w:rPr>
        <w:tab/>
      </w:r>
      <w:r w:rsidRPr="00942B34">
        <w:rPr>
          <w:rFonts w:ascii="Times New Roman" w:hAnsi="Times New Roman"/>
        </w:rPr>
        <w:tab/>
        <w:t>To be vested for minimum 3 years</w:t>
      </w:r>
    </w:p>
    <w:p w14:paraId="19C25764" w14:textId="0FB57F1D" w:rsidR="00FE7D56" w:rsidRPr="006F2BCD" w:rsidRDefault="00B202CF" w:rsidP="006F2BCD">
      <w:pPr>
        <w:pStyle w:val="ListParagraph"/>
        <w:numPr>
          <w:ilvl w:val="1"/>
          <w:numId w:val="24"/>
        </w:numPr>
        <w:jc w:val="both"/>
        <w:rPr>
          <w:rFonts w:ascii="Times New Roman" w:hAnsi="Times New Roman"/>
        </w:rPr>
      </w:pPr>
      <w:r w:rsidRPr="00942B34">
        <w:rPr>
          <w:rFonts w:ascii="Times New Roman" w:hAnsi="Times New Roman"/>
        </w:rPr>
        <w:t>EUR 75,000</w:t>
      </w:r>
      <w:r w:rsidRPr="00942B34">
        <w:rPr>
          <w:rFonts w:ascii="Times New Roman" w:hAnsi="Times New Roman"/>
        </w:rPr>
        <w:tab/>
      </w:r>
      <w:r w:rsidRPr="00942B34">
        <w:rPr>
          <w:rFonts w:ascii="Times New Roman" w:hAnsi="Times New Roman"/>
        </w:rPr>
        <w:tab/>
        <w:t xml:space="preserve">Sub-total remains unchanged </w:t>
      </w:r>
    </w:p>
    <w:p w14:paraId="4F9F60C2" w14:textId="77777777" w:rsidR="00FE7D56" w:rsidRPr="00942B34" w:rsidRDefault="00FE7D56" w:rsidP="00942B34">
      <w:pPr>
        <w:jc w:val="both"/>
        <w:rPr>
          <w:rFonts w:ascii="Times New Roman" w:hAnsi="Times New Roman"/>
          <w:b/>
        </w:rPr>
      </w:pPr>
      <w:r w:rsidRPr="00942B34">
        <w:rPr>
          <w:rFonts w:ascii="Times New Roman" w:hAnsi="Times New Roman"/>
          <w:b/>
        </w:rPr>
        <w:t>Q8: What additional costs would be triggered by the documentation and transparency requirements?</w:t>
      </w:r>
    </w:p>
    <w:p w14:paraId="304FCC9E" w14:textId="144A4EBB" w:rsidR="00FE7D56" w:rsidRPr="00942B34" w:rsidRDefault="00FE7D56" w:rsidP="00942B34">
      <w:pPr>
        <w:jc w:val="both"/>
        <w:rPr>
          <w:rFonts w:ascii="Times New Roman" w:hAnsi="Times New Roman"/>
        </w:rPr>
      </w:pPr>
      <w:r w:rsidRPr="00942B34">
        <w:rPr>
          <w:rFonts w:ascii="Times New Roman" w:hAnsi="Times New Roman"/>
        </w:rPr>
        <w:t>It is evident that the cost to benefit ratio will vary between banks, as they are dependent on the number of the relevant identified staff</w:t>
      </w:r>
      <w:r w:rsidR="006F2BCD">
        <w:rPr>
          <w:rFonts w:ascii="Times New Roman" w:hAnsi="Times New Roman"/>
        </w:rPr>
        <w:t xml:space="preserve"> and</w:t>
      </w:r>
      <w:r w:rsidRPr="00942B34">
        <w:rPr>
          <w:rFonts w:ascii="Times New Roman" w:hAnsi="Times New Roman"/>
        </w:rPr>
        <w:t xml:space="preserve"> the workload necessary in order to </w:t>
      </w:r>
      <w:r w:rsidR="006F2BCD" w:rsidRPr="00942B34">
        <w:rPr>
          <w:rFonts w:ascii="Times New Roman" w:hAnsi="Times New Roman"/>
        </w:rPr>
        <w:t>fulfil</w:t>
      </w:r>
      <w:r w:rsidRPr="00942B34">
        <w:rPr>
          <w:rFonts w:ascii="Times New Roman" w:hAnsi="Times New Roman"/>
        </w:rPr>
        <w:t xml:space="preserve"> the respective transparency requirements. Overall, the costs associated with these requirements should be largely administrative and not material. However, too detailed public disclosures do not only trigger additional administrative burdens / costs but also encourage employees to compare and question </w:t>
      </w:r>
      <w:r w:rsidRPr="00942B34">
        <w:rPr>
          <w:rFonts w:ascii="Times New Roman" w:hAnsi="Times New Roman"/>
        </w:rPr>
        <w:lastRenderedPageBreak/>
        <w:t>the institution’s numbers compared to peers. For instance, when basing the discount rate on the most recently available data on inflation and interest rate for EU government bonds (and these fluctuating), institutions will arrive at different discount rates despite having identical deferral models, as the dates for awards will vary. A preferred approach would be that, instead, relevant information is reported to the respective Member State supervisory authority.</w:t>
      </w:r>
    </w:p>
    <w:p w14:paraId="00699096" w14:textId="77777777" w:rsidR="00FE7D56" w:rsidRPr="00942B34" w:rsidRDefault="00FE7D56" w:rsidP="00942B34">
      <w:pPr>
        <w:jc w:val="both"/>
        <w:rPr>
          <w:rFonts w:ascii="Times New Roman" w:hAnsi="Times New Roman"/>
          <w:b/>
        </w:rPr>
      </w:pPr>
      <w:r w:rsidRPr="00942B34">
        <w:rPr>
          <w:rFonts w:ascii="Times New Roman" w:hAnsi="Times New Roman"/>
          <w:b/>
        </w:rPr>
        <w:t>Q9: Is the example 1 sufficiently clear and helpful to understand the application of the guidelines?</w:t>
      </w:r>
    </w:p>
    <w:p w14:paraId="2634A218" w14:textId="4BE27241" w:rsidR="007F6BD1" w:rsidRPr="00942B34" w:rsidRDefault="00EF21D6" w:rsidP="00942B34">
      <w:pPr>
        <w:jc w:val="both"/>
        <w:rPr>
          <w:rFonts w:ascii="Times New Roman" w:hAnsi="Times New Roman"/>
        </w:rPr>
      </w:pPr>
      <w:r w:rsidRPr="00942B34">
        <w:rPr>
          <w:rFonts w:ascii="Times New Roman" w:hAnsi="Times New Roman"/>
        </w:rPr>
        <w:t>E</w:t>
      </w:r>
      <w:r w:rsidR="00FE7D56" w:rsidRPr="00942B34">
        <w:rPr>
          <w:rFonts w:ascii="Times New Roman" w:hAnsi="Times New Roman"/>
        </w:rPr>
        <w:t>xample 1</w:t>
      </w:r>
      <w:r w:rsidR="00942B34">
        <w:rPr>
          <w:rFonts w:ascii="Times New Roman" w:hAnsi="Times New Roman"/>
        </w:rPr>
        <w:t xml:space="preserve"> </w:t>
      </w:r>
      <w:r w:rsidR="00FE7D56" w:rsidRPr="00942B34">
        <w:rPr>
          <w:rFonts w:ascii="Times New Roman" w:hAnsi="Times New Roman"/>
        </w:rPr>
        <w:t>addresses several complex areas. There seems to be a minor calculation error on the total amount of variable remuneration, where EUR 132</w:t>
      </w:r>
      <w:r w:rsidRPr="00942B34">
        <w:rPr>
          <w:rFonts w:ascii="Times New Roman" w:hAnsi="Times New Roman"/>
        </w:rPr>
        <w:t>,</w:t>
      </w:r>
      <w:r w:rsidR="00FE7D56" w:rsidRPr="00942B34">
        <w:rPr>
          <w:rFonts w:ascii="Times New Roman" w:hAnsi="Times New Roman"/>
        </w:rPr>
        <w:t>797</w:t>
      </w:r>
      <w:r w:rsidRPr="00942B34">
        <w:rPr>
          <w:rFonts w:ascii="Times New Roman" w:hAnsi="Times New Roman"/>
        </w:rPr>
        <w:t>.</w:t>
      </w:r>
      <w:r w:rsidR="00FE7D56" w:rsidRPr="00942B34">
        <w:rPr>
          <w:rFonts w:ascii="Times New Roman" w:hAnsi="Times New Roman"/>
        </w:rPr>
        <w:t>96 is stated instead of EUR 132</w:t>
      </w:r>
      <w:r w:rsidRPr="00942B34">
        <w:rPr>
          <w:rFonts w:ascii="Times New Roman" w:hAnsi="Times New Roman"/>
        </w:rPr>
        <w:t>,</w:t>
      </w:r>
      <w:r w:rsidR="00FE7D56" w:rsidRPr="00942B34">
        <w:rPr>
          <w:rFonts w:ascii="Times New Roman" w:hAnsi="Times New Roman"/>
        </w:rPr>
        <w:t>622</w:t>
      </w:r>
      <w:r w:rsidRPr="00942B34">
        <w:rPr>
          <w:rFonts w:ascii="Times New Roman" w:hAnsi="Times New Roman"/>
        </w:rPr>
        <w:t>.</w:t>
      </w:r>
      <w:r w:rsidR="00942B34">
        <w:rPr>
          <w:rFonts w:ascii="Times New Roman" w:hAnsi="Times New Roman"/>
        </w:rPr>
        <w:t>73</w:t>
      </w:r>
      <w:r w:rsidR="00FE7D56" w:rsidRPr="00942B34">
        <w:rPr>
          <w:rFonts w:ascii="Times New Roman" w:hAnsi="Times New Roman"/>
        </w:rPr>
        <w:t>.</w:t>
      </w:r>
    </w:p>
    <w:p w14:paraId="678626A0" w14:textId="4D896358" w:rsidR="00EF21D6" w:rsidRPr="00942B34" w:rsidRDefault="006F2BCD" w:rsidP="00942B34">
      <w:pPr>
        <w:jc w:val="both"/>
        <w:rPr>
          <w:rFonts w:ascii="Times New Roman" w:hAnsi="Times New Roman"/>
        </w:rPr>
      </w:pPr>
      <w:r>
        <w:rPr>
          <w:rFonts w:ascii="Times New Roman" w:hAnsi="Times New Roman"/>
        </w:rPr>
        <w:t>While some of EBF</w:t>
      </w:r>
      <w:r w:rsidR="00662504" w:rsidRPr="006F2BCD">
        <w:rPr>
          <w:rFonts w:ascii="Times New Roman" w:hAnsi="Times New Roman"/>
        </w:rPr>
        <w:t xml:space="preserve"> members consider this example clear, there are members who believe that</w:t>
      </w:r>
      <w:r>
        <w:rPr>
          <w:rFonts w:ascii="Times New Roman" w:hAnsi="Times New Roman"/>
        </w:rPr>
        <w:t xml:space="preserve"> even though</w:t>
      </w:r>
      <w:r w:rsidR="00662504" w:rsidRPr="006F2BCD">
        <w:rPr>
          <w:rFonts w:ascii="Times New Roman" w:hAnsi="Times New Roman"/>
        </w:rPr>
        <w:t xml:space="preserve"> t</w:t>
      </w:r>
      <w:r w:rsidR="00EF21D6" w:rsidRPr="006F2BCD">
        <w:rPr>
          <w:rFonts w:ascii="Times New Roman" w:hAnsi="Times New Roman"/>
        </w:rPr>
        <w:t>he example shows the calculation of the values to be included in the calculation of the ratio of variable remune</w:t>
      </w:r>
      <w:r w:rsidR="00662504" w:rsidRPr="006F2BCD">
        <w:rPr>
          <w:rFonts w:ascii="Times New Roman" w:hAnsi="Times New Roman"/>
        </w:rPr>
        <w:t>ration to fixed remuneration, nevertheless, it</w:t>
      </w:r>
      <w:r w:rsidR="00EF21D6" w:rsidRPr="006F2BCD">
        <w:rPr>
          <w:rFonts w:ascii="Times New Roman" w:hAnsi="Times New Roman"/>
        </w:rPr>
        <w:t xml:space="preserve"> fails to</w:t>
      </w:r>
      <w:r w:rsidR="00EF21D6" w:rsidRPr="00942B34">
        <w:rPr>
          <w:rFonts w:ascii="Times New Roman" w:hAnsi="Times New Roman"/>
        </w:rPr>
        <w:t xml:space="preserve"> explain that the amount not subjected to the discount rate that will be paid in less than 5 years (i.e. EUR 120,000) is not the amount that could be paid if no 5 year deferred compensation is pa</w:t>
      </w:r>
      <w:r>
        <w:rPr>
          <w:rFonts w:ascii="Times New Roman" w:hAnsi="Times New Roman"/>
        </w:rPr>
        <w:t>id, which would be EUR 132,623.</w:t>
      </w:r>
    </w:p>
    <w:p w14:paraId="6BDCD9C3" w14:textId="3865C571" w:rsidR="00EF21D6" w:rsidRPr="00942B34" w:rsidRDefault="006F2BCD" w:rsidP="00942B34">
      <w:pPr>
        <w:jc w:val="both"/>
        <w:rPr>
          <w:rFonts w:ascii="Times New Roman" w:hAnsi="Times New Roman"/>
        </w:rPr>
      </w:pPr>
      <w:r>
        <w:rPr>
          <w:rFonts w:ascii="Times New Roman" w:hAnsi="Times New Roman"/>
        </w:rPr>
        <w:t>O</w:t>
      </w:r>
      <w:r w:rsidR="00D50319" w:rsidRPr="00942B34">
        <w:rPr>
          <w:rFonts w:ascii="Times New Roman" w:hAnsi="Times New Roman"/>
        </w:rPr>
        <w:t>f this amount, 60% could have been paid out immediately (50% in cash and 10% in capital instruments, in total EUR 79,574) and 40% (EUR 53,049) would have been vested for a minimum of 3 or 4 years. This 40% can be split into 20% (EUR 26,524.5) that could be increased and 20% that will be excluded. In return for agreeing to exclude the 20%, EBA proposes that the 40% of EUR 132,623 (i.e. EUR 53,049) can be increased to EUR 70,426, an increase of EUR 17,377. T</w:t>
      </w:r>
      <w:r w:rsidR="00EF21D6" w:rsidRPr="00942B34">
        <w:rPr>
          <w:rFonts w:ascii="Times New Roman" w:hAnsi="Times New Roman"/>
        </w:rPr>
        <w:t xml:space="preserve">his increase is in fact attributable to </w:t>
      </w:r>
      <w:r w:rsidR="00D50319" w:rsidRPr="00942B34">
        <w:rPr>
          <w:rFonts w:ascii="Times New Roman" w:hAnsi="Times New Roman"/>
        </w:rPr>
        <w:t xml:space="preserve">the increase in the amount vesting in a minimum of 3 or 4 years (EUR 13,902) and the additional amount (EUR 3,475) that is awarded for </w:t>
      </w:r>
      <w:r w:rsidR="00EF21D6" w:rsidRPr="00942B34">
        <w:rPr>
          <w:rFonts w:ascii="Times New Roman" w:hAnsi="Times New Roman"/>
        </w:rPr>
        <w:t>changing EUR 26,525 vesting in 3 or 4 years</w:t>
      </w:r>
      <w:r w:rsidR="00D50319" w:rsidRPr="00942B34">
        <w:rPr>
          <w:rFonts w:ascii="Times New Roman" w:hAnsi="Times New Roman"/>
        </w:rPr>
        <w:t xml:space="preserve"> into </w:t>
      </w:r>
      <w:r w:rsidR="00EF21D6" w:rsidRPr="00942B34">
        <w:rPr>
          <w:rFonts w:ascii="Times New Roman" w:hAnsi="Times New Roman"/>
        </w:rPr>
        <w:t xml:space="preserve">EUR 30,000 vesting </w:t>
      </w:r>
      <w:r w:rsidR="00D50319" w:rsidRPr="00942B34">
        <w:rPr>
          <w:rFonts w:ascii="Times New Roman" w:hAnsi="Times New Roman"/>
        </w:rPr>
        <w:t>in 5 and 6 years.</w:t>
      </w:r>
    </w:p>
    <w:p w14:paraId="33A11365" w14:textId="6204B032" w:rsidR="00EF21D6" w:rsidRPr="00942B34" w:rsidRDefault="00D50319" w:rsidP="00942B34">
      <w:pPr>
        <w:jc w:val="both"/>
        <w:rPr>
          <w:rFonts w:ascii="Times New Roman" w:hAnsi="Times New Roman"/>
        </w:rPr>
      </w:pPr>
      <w:r w:rsidRPr="00942B34">
        <w:rPr>
          <w:rFonts w:ascii="Times New Roman" w:hAnsi="Times New Roman"/>
        </w:rPr>
        <w:t>The table below is quite explicative:</w:t>
      </w:r>
    </w:p>
    <w:p w14:paraId="4571C629" w14:textId="77777777" w:rsidR="00EF21D6" w:rsidRPr="00942B34" w:rsidRDefault="00EF21D6" w:rsidP="00942B34">
      <w:pPr>
        <w:spacing w:after="0"/>
        <w:jc w:val="both"/>
        <w:rPr>
          <w:rFonts w:ascii="Times New Roman" w:hAnsi="Times New Roman"/>
          <w:b/>
        </w:rPr>
      </w:pPr>
      <w:r w:rsidRPr="00942B34">
        <w:rPr>
          <w:rFonts w:ascii="Times New Roman" w:hAnsi="Times New Roman"/>
        </w:rPr>
        <w:tab/>
      </w:r>
      <w:r w:rsidRPr="00942B34">
        <w:rPr>
          <w:rFonts w:ascii="Times New Roman" w:hAnsi="Times New Roman"/>
        </w:rPr>
        <w:tab/>
      </w:r>
      <w:r w:rsidRPr="00942B34">
        <w:rPr>
          <w:rFonts w:ascii="Times New Roman" w:hAnsi="Times New Roman"/>
        </w:rPr>
        <w:tab/>
      </w:r>
      <w:r w:rsidRPr="00942B34">
        <w:rPr>
          <w:rFonts w:ascii="Times New Roman" w:hAnsi="Times New Roman"/>
          <w:b/>
        </w:rPr>
        <w:t>No incentive</w:t>
      </w:r>
      <w:r w:rsidRPr="00942B34">
        <w:rPr>
          <w:rFonts w:ascii="Times New Roman" w:hAnsi="Times New Roman"/>
          <w:b/>
        </w:rPr>
        <w:tab/>
      </w:r>
      <w:r w:rsidRPr="00942B34">
        <w:rPr>
          <w:rFonts w:ascii="Times New Roman" w:hAnsi="Times New Roman"/>
          <w:b/>
        </w:rPr>
        <w:tab/>
        <w:t>Change</w:t>
      </w:r>
      <w:r w:rsidRPr="00942B34">
        <w:rPr>
          <w:rFonts w:ascii="Times New Roman" w:hAnsi="Times New Roman"/>
          <w:b/>
        </w:rPr>
        <w:tab/>
        <w:t>Incentive</w:t>
      </w:r>
      <w:r w:rsidRPr="00942B34">
        <w:rPr>
          <w:rFonts w:ascii="Times New Roman" w:hAnsi="Times New Roman"/>
          <w:b/>
        </w:rPr>
        <w:tab/>
      </w:r>
    </w:p>
    <w:p w14:paraId="38CBDCC6" w14:textId="77777777" w:rsidR="00EF21D6" w:rsidRPr="00942B34" w:rsidRDefault="00EF21D6" w:rsidP="00942B34">
      <w:pPr>
        <w:spacing w:after="0"/>
        <w:jc w:val="both"/>
        <w:rPr>
          <w:rFonts w:ascii="Times New Roman" w:hAnsi="Times New Roman"/>
        </w:rPr>
      </w:pPr>
      <w:r w:rsidRPr="00942B34">
        <w:rPr>
          <w:rFonts w:ascii="Times New Roman" w:hAnsi="Times New Roman"/>
        </w:rPr>
        <w:t xml:space="preserve">Cash </w:t>
      </w:r>
      <w:r w:rsidRPr="00942B34">
        <w:rPr>
          <w:rFonts w:ascii="Times New Roman" w:hAnsi="Times New Roman"/>
        </w:rPr>
        <w:tab/>
        <w:t xml:space="preserve"> </w:t>
      </w:r>
      <w:r w:rsidRPr="00942B34">
        <w:rPr>
          <w:rFonts w:ascii="Times New Roman" w:hAnsi="Times New Roman"/>
        </w:rPr>
        <w:tab/>
      </w:r>
      <w:r w:rsidRPr="00942B34">
        <w:rPr>
          <w:rFonts w:ascii="Times New Roman" w:hAnsi="Times New Roman"/>
        </w:rPr>
        <w:tab/>
        <w:t xml:space="preserve">EUR   </w:t>
      </w:r>
      <w:r w:rsidRPr="00942B34">
        <w:rPr>
          <w:rFonts w:ascii="Times New Roman" w:hAnsi="Times New Roman"/>
        </w:rPr>
        <w:tab/>
        <w:t>79,574</w:t>
      </w:r>
      <w:r w:rsidRPr="00942B34">
        <w:rPr>
          <w:rFonts w:ascii="Times New Roman" w:hAnsi="Times New Roman"/>
        </w:rPr>
        <w:tab/>
        <w:t xml:space="preserve"> </w:t>
      </w:r>
      <w:r w:rsidRPr="00942B34">
        <w:rPr>
          <w:rFonts w:ascii="Times New Roman" w:hAnsi="Times New Roman"/>
        </w:rPr>
        <w:tab/>
        <w:t>0</w:t>
      </w:r>
      <w:r w:rsidRPr="00942B34">
        <w:rPr>
          <w:rFonts w:ascii="Times New Roman" w:hAnsi="Times New Roman"/>
        </w:rPr>
        <w:tab/>
      </w:r>
      <w:r w:rsidRPr="00942B34">
        <w:rPr>
          <w:rFonts w:ascii="Times New Roman" w:hAnsi="Times New Roman"/>
        </w:rPr>
        <w:tab/>
        <w:t xml:space="preserve">EUR   </w:t>
      </w:r>
      <w:r w:rsidRPr="00942B34">
        <w:rPr>
          <w:rFonts w:ascii="Times New Roman" w:hAnsi="Times New Roman"/>
        </w:rPr>
        <w:tab/>
        <w:t>79,574</w:t>
      </w:r>
    </w:p>
    <w:p w14:paraId="7FE17583" w14:textId="7519B4AD" w:rsidR="00EF21D6" w:rsidRPr="003578A8" w:rsidRDefault="00EF21D6" w:rsidP="00942B34">
      <w:pPr>
        <w:spacing w:after="0"/>
        <w:jc w:val="both"/>
        <w:rPr>
          <w:rFonts w:ascii="Times New Roman" w:hAnsi="Times New Roman"/>
          <w:lang w:val="nl-BE"/>
        </w:rPr>
      </w:pPr>
      <w:r w:rsidRPr="003578A8">
        <w:rPr>
          <w:rFonts w:ascii="Times New Roman" w:hAnsi="Times New Roman"/>
          <w:lang w:val="nl-BE"/>
        </w:rPr>
        <w:t xml:space="preserve">Min 3 yrs vesting </w:t>
      </w:r>
      <w:r w:rsidRPr="003578A8">
        <w:rPr>
          <w:rFonts w:ascii="Times New Roman" w:hAnsi="Times New Roman"/>
          <w:lang w:val="nl-BE"/>
        </w:rPr>
        <w:tab/>
        <w:t xml:space="preserve">EUR   </w:t>
      </w:r>
      <w:r w:rsidRPr="003578A8">
        <w:rPr>
          <w:rFonts w:ascii="Times New Roman" w:hAnsi="Times New Roman"/>
          <w:lang w:val="nl-BE"/>
        </w:rPr>
        <w:tab/>
        <w:t>26,524</w:t>
      </w:r>
      <w:r w:rsidR="00D50319" w:rsidRPr="003578A8">
        <w:rPr>
          <w:rFonts w:ascii="Times New Roman" w:hAnsi="Times New Roman"/>
          <w:lang w:val="nl-BE"/>
        </w:rPr>
        <w:t>.5</w:t>
      </w:r>
      <w:r w:rsidR="00D50319" w:rsidRPr="003578A8">
        <w:rPr>
          <w:rFonts w:ascii="Times New Roman" w:hAnsi="Times New Roman"/>
          <w:lang w:val="nl-BE"/>
        </w:rPr>
        <w:tab/>
      </w:r>
      <w:r w:rsidRPr="003578A8">
        <w:rPr>
          <w:rFonts w:ascii="Times New Roman" w:hAnsi="Times New Roman"/>
          <w:lang w:val="nl-BE"/>
        </w:rPr>
        <w:t>+ 13,902</w:t>
      </w:r>
      <w:r w:rsidRPr="003578A8">
        <w:rPr>
          <w:rFonts w:ascii="Times New Roman" w:hAnsi="Times New Roman"/>
          <w:lang w:val="nl-BE"/>
        </w:rPr>
        <w:tab/>
        <w:t>EUR</w:t>
      </w:r>
      <w:r w:rsidRPr="003578A8">
        <w:rPr>
          <w:rFonts w:ascii="Times New Roman" w:hAnsi="Times New Roman"/>
          <w:lang w:val="nl-BE"/>
        </w:rPr>
        <w:tab/>
        <w:t>40,426</w:t>
      </w:r>
      <w:r w:rsidRPr="003578A8">
        <w:rPr>
          <w:rFonts w:ascii="Times New Roman" w:hAnsi="Times New Roman"/>
          <w:lang w:val="nl-BE"/>
        </w:rPr>
        <w:tab/>
      </w:r>
    </w:p>
    <w:p w14:paraId="07661DC7" w14:textId="77777777" w:rsidR="00EF21D6" w:rsidRPr="003578A8" w:rsidRDefault="00EF21D6" w:rsidP="00942B34">
      <w:pPr>
        <w:spacing w:after="0"/>
        <w:jc w:val="both"/>
        <w:rPr>
          <w:rFonts w:ascii="Times New Roman" w:hAnsi="Times New Roman"/>
          <w:lang w:val="nl-BE"/>
        </w:rPr>
      </w:pPr>
    </w:p>
    <w:p w14:paraId="73910014" w14:textId="75D51881" w:rsidR="00EF21D6" w:rsidRPr="003578A8" w:rsidRDefault="00EF21D6" w:rsidP="00942B34">
      <w:pPr>
        <w:spacing w:after="0"/>
        <w:jc w:val="both"/>
        <w:rPr>
          <w:rFonts w:ascii="Times New Roman" w:hAnsi="Times New Roman"/>
          <w:lang w:val="nl-BE"/>
        </w:rPr>
      </w:pPr>
      <w:r w:rsidRPr="003578A8">
        <w:rPr>
          <w:rFonts w:ascii="Times New Roman" w:hAnsi="Times New Roman"/>
          <w:lang w:val="nl-BE"/>
        </w:rPr>
        <w:t xml:space="preserve">Min </w:t>
      </w:r>
      <w:r w:rsidR="00D50319" w:rsidRPr="003578A8">
        <w:rPr>
          <w:rFonts w:ascii="Times New Roman" w:hAnsi="Times New Roman"/>
          <w:lang w:val="nl-BE"/>
        </w:rPr>
        <w:t xml:space="preserve">3 yrs vesting </w:t>
      </w:r>
      <w:r w:rsidR="00D50319" w:rsidRPr="003578A8">
        <w:rPr>
          <w:rFonts w:ascii="Times New Roman" w:hAnsi="Times New Roman"/>
          <w:lang w:val="nl-BE"/>
        </w:rPr>
        <w:tab/>
        <w:t xml:space="preserve">EUR   </w:t>
      </w:r>
      <w:r w:rsidR="00D50319" w:rsidRPr="003578A8">
        <w:rPr>
          <w:rFonts w:ascii="Times New Roman" w:hAnsi="Times New Roman"/>
          <w:lang w:val="nl-BE"/>
        </w:rPr>
        <w:tab/>
        <w:t>26,524.5</w:t>
      </w:r>
      <w:r w:rsidR="00D50319" w:rsidRPr="003578A8">
        <w:rPr>
          <w:rFonts w:ascii="Times New Roman" w:hAnsi="Times New Roman"/>
          <w:lang w:val="nl-BE"/>
        </w:rPr>
        <w:tab/>
      </w:r>
      <w:r w:rsidRPr="003578A8">
        <w:rPr>
          <w:rFonts w:ascii="Times New Roman" w:hAnsi="Times New Roman"/>
          <w:lang w:val="nl-BE"/>
        </w:rPr>
        <w:t xml:space="preserve">-  </w:t>
      </w:r>
      <w:r w:rsidR="00D50319" w:rsidRPr="003578A8">
        <w:rPr>
          <w:rFonts w:ascii="Times New Roman" w:hAnsi="Times New Roman"/>
          <w:lang w:val="nl-BE"/>
        </w:rPr>
        <w:t>26,524.5</w:t>
      </w:r>
      <w:r w:rsidRPr="003578A8">
        <w:rPr>
          <w:rFonts w:ascii="Times New Roman" w:hAnsi="Times New Roman"/>
          <w:lang w:val="nl-BE"/>
        </w:rPr>
        <w:tab/>
      </w:r>
      <w:r w:rsidRPr="003578A8">
        <w:rPr>
          <w:rFonts w:ascii="Times New Roman" w:hAnsi="Times New Roman"/>
          <w:lang w:val="nl-BE"/>
        </w:rPr>
        <w:tab/>
      </w:r>
    </w:p>
    <w:p w14:paraId="1CBD0697" w14:textId="77777777" w:rsidR="00EF21D6" w:rsidRPr="003578A8" w:rsidRDefault="00EF21D6" w:rsidP="00942B34">
      <w:pPr>
        <w:spacing w:after="0"/>
        <w:jc w:val="both"/>
        <w:rPr>
          <w:rFonts w:ascii="Times New Roman" w:hAnsi="Times New Roman"/>
          <w:lang w:val="nl-BE"/>
        </w:rPr>
      </w:pPr>
      <w:r w:rsidRPr="003578A8">
        <w:rPr>
          <w:rFonts w:ascii="Times New Roman" w:hAnsi="Times New Roman"/>
          <w:lang w:val="nl-BE"/>
        </w:rPr>
        <w:t xml:space="preserve">5 year vesting </w:t>
      </w:r>
      <w:r w:rsidRPr="003578A8">
        <w:rPr>
          <w:rFonts w:ascii="Times New Roman" w:hAnsi="Times New Roman"/>
          <w:lang w:val="nl-BE"/>
        </w:rPr>
        <w:tab/>
      </w:r>
      <w:r w:rsidRPr="003578A8">
        <w:rPr>
          <w:rFonts w:ascii="Times New Roman" w:hAnsi="Times New Roman"/>
          <w:lang w:val="nl-BE"/>
        </w:rPr>
        <w:tab/>
      </w:r>
      <w:r w:rsidRPr="003578A8">
        <w:rPr>
          <w:rFonts w:ascii="Times New Roman" w:hAnsi="Times New Roman"/>
          <w:lang w:val="nl-BE"/>
        </w:rPr>
        <w:tab/>
        <w:t xml:space="preserve">         0</w:t>
      </w:r>
      <w:r w:rsidRPr="003578A8">
        <w:rPr>
          <w:rFonts w:ascii="Times New Roman" w:hAnsi="Times New Roman"/>
          <w:lang w:val="nl-BE"/>
        </w:rPr>
        <w:tab/>
      </w:r>
      <w:r w:rsidRPr="003578A8">
        <w:rPr>
          <w:rFonts w:ascii="Times New Roman" w:hAnsi="Times New Roman"/>
          <w:lang w:val="nl-BE"/>
        </w:rPr>
        <w:tab/>
        <w:t>+ 30,000</w:t>
      </w:r>
      <w:r w:rsidRPr="003578A8">
        <w:rPr>
          <w:rFonts w:ascii="Times New Roman" w:hAnsi="Times New Roman"/>
          <w:lang w:val="nl-BE"/>
        </w:rPr>
        <w:tab/>
        <w:t xml:space="preserve">EUR </w:t>
      </w:r>
      <w:r w:rsidRPr="003578A8">
        <w:rPr>
          <w:rFonts w:ascii="Times New Roman" w:hAnsi="Times New Roman"/>
          <w:lang w:val="nl-BE"/>
        </w:rPr>
        <w:tab/>
        <w:t>30,000</w:t>
      </w:r>
    </w:p>
    <w:p w14:paraId="1AB28422" w14:textId="77777777" w:rsidR="00EF21D6" w:rsidRPr="00942B34" w:rsidRDefault="00EF21D6" w:rsidP="00942B34">
      <w:pPr>
        <w:spacing w:after="0"/>
        <w:jc w:val="both"/>
        <w:rPr>
          <w:rFonts w:ascii="Times New Roman" w:hAnsi="Times New Roman"/>
        </w:rPr>
      </w:pPr>
      <w:r w:rsidRPr="003578A8">
        <w:rPr>
          <w:rFonts w:ascii="Times New Roman" w:hAnsi="Times New Roman"/>
          <w:lang w:val="nl-BE"/>
        </w:rPr>
        <w:tab/>
      </w:r>
      <w:r w:rsidRPr="003578A8">
        <w:rPr>
          <w:rFonts w:ascii="Times New Roman" w:hAnsi="Times New Roman"/>
          <w:lang w:val="nl-BE"/>
        </w:rPr>
        <w:tab/>
      </w:r>
      <w:r w:rsidRPr="003578A8">
        <w:rPr>
          <w:rFonts w:ascii="Times New Roman" w:hAnsi="Times New Roman"/>
          <w:lang w:val="nl-BE"/>
        </w:rPr>
        <w:tab/>
      </w:r>
      <w:r w:rsidRPr="003578A8">
        <w:rPr>
          <w:rFonts w:ascii="Times New Roman" w:hAnsi="Times New Roman"/>
          <w:lang w:val="nl-BE"/>
        </w:rPr>
        <w:tab/>
      </w:r>
      <w:r w:rsidRPr="003578A8">
        <w:rPr>
          <w:rFonts w:ascii="Times New Roman" w:hAnsi="Times New Roman"/>
          <w:lang w:val="nl-BE"/>
        </w:rPr>
        <w:tab/>
      </w:r>
      <w:r w:rsidRPr="003578A8">
        <w:rPr>
          <w:rFonts w:ascii="Times New Roman" w:hAnsi="Times New Roman"/>
          <w:lang w:val="nl-BE"/>
        </w:rPr>
        <w:tab/>
      </w:r>
      <w:r w:rsidRPr="00942B34">
        <w:rPr>
          <w:rFonts w:ascii="Times New Roman" w:hAnsi="Times New Roman"/>
        </w:rPr>
        <w:t>-----------</w:t>
      </w:r>
    </w:p>
    <w:p w14:paraId="4D83C572" w14:textId="77777777" w:rsidR="00EF21D6" w:rsidRPr="00942B34" w:rsidRDefault="00EF21D6" w:rsidP="00942B34">
      <w:pPr>
        <w:spacing w:after="0"/>
        <w:jc w:val="both"/>
        <w:rPr>
          <w:rFonts w:ascii="Times New Roman" w:hAnsi="Times New Roman"/>
        </w:rPr>
      </w:pPr>
      <w:r w:rsidRPr="00942B34">
        <w:rPr>
          <w:rFonts w:ascii="Times New Roman" w:hAnsi="Times New Roman"/>
        </w:rPr>
        <w:tab/>
      </w:r>
      <w:r w:rsidRPr="00942B34">
        <w:rPr>
          <w:rFonts w:ascii="Times New Roman" w:hAnsi="Times New Roman"/>
        </w:rPr>
        <w:tab/>
      </w:r>
      <w:r w:rsidRPr="00942B34">
        <w:rPr>
          <w:rFonts w:ascii="Times New Roman" w:hAnsi="Times New Roman"/>
        </w:rPr>
        <w:tab/>
      </w:r>
      <w:r w:rsidRPr="00942B34">
        <w:rPr>
          <w:rFonts w:ascii="Times New Roman" w:hAnsi="Times New Roman"/>
        </w:rPr>
        <w:tab/>
      </w:r>
      <w:r w:rsidRPr="00942B34">
        <w:rPr>
          <w:rFonts w:ascii="Times New Roman" w:hAnsi="Times New Roman"/>
        </w:rPr>
        <w:tab/>
      </w:r>
      <w:r w:rsidRPr="00942B34">
        <w:rPr>
          <w:rFonts w:ascii="Times New Roman" w:hAnsi="Times New Roman"/>
        </w:rPr>
        <w:tab/>
        <w:t>+   3,475</w:t>
      </w:r>
      <w:r w:rsidRPr="00942B34">
        <w:rPr>
          <w:rFonts w:ascii="Times New Roman" w:hAnsi="Times New Roman"/>
        </w:rPr>
        <w:tab/>
      </w:r>
      <w:r w:rsidRPr="00942B34">
        <w:rPr>
          <w:rFonts w:ascii="Times New Roman" w:hAnsi="Times New Roman"/>
        </w:rPr>
        <w:tab/>
      </w:r>
    </w:p>
    <w:p w14:paraId="533A8FFD" w14:textId="00DE9DA7" w:rsidR="00EF21D6" w:rsidRPr="00942B34" w:rsidRDefault="00D50319" w:rsidP="00942B34">
      <w:pPr>
        <w:spacing w:after="0"/>
        <w:jc w:val="both"/>
        <w:rPr>
          <w:rFonts w:ascii="Times New Roman" w:hAnsi="Times New Roman"/>
        </w:rPr>
      </w:pPr>
      <w:r w:rsidRPr="00942B34">
        <w:rPr>
          <w:rFonts w:ascii="Times New Roman" w:hAnsi="Times New Roman"/>
        </w:rPr>
        <w:t>Total</w:t>
      </w:r>
      <w:r w:rsidRPr="00942B34">
        <w:rPr>
          <w:rFonts w:ascii="Times New Roman" w:hAnsi="Times New Roman"/>
        </w:rPr>
        <w:tab/>
      </w:r>
      <w:r w:rsidRPr="00942B34">
        <w:rPr>
          <w:rFonts w:ascii="Times New Roman" w:hAnsi="Times New Roman"/>
        </w:rPr>
        <w:tab/>
      </w:r>
      <w:r w:rsidRPr="00942B34">
        <w:rPr>
          <w:rFonts w:ascii="Times New Roman" w:hAnsi="Times New Roman"/>
        </w:rPr>
        <w:tab/>
        <w:t>EUR  132,</w:t>
      </w:r>
      <w:r w:rsidR="00EF21D6" w:rsidRPr="00942B34">
        <w:rPr>
          <w:rFonts w:ascii="Times New Roman" w:hAnsi="Times New Roman"/>
        </w:rPr>
        <w:t>623</w:t>
      </w:r>
      <w:r w:rsidR="00EF21D6" w:rsidRPr="00942B34">
        <w:rPr>
          <w:rFonts w:ascii="Times New Roman" w:hAnsi="Times New Roman"/>
        </w:rPr>
        <w:tab/>
      </w:r>
      <w:r w:rsidR="00EF21D6" w:rsidRPr="00942B34">
        <w:rPr>
          <w:rFonts w:ascii="Times New Roman" w:hAnsi="Times New Roman"/>
        </w:rPr>
        <w:tab/>
        <w:t>+ 17,377</w:t>
      </w:r>
      <w:r w:rsidR="00EF21D6" w:rsidRPr="00942B34">
        <w:rPr>
          <w:rFonts w:ascii="Times New Roman" w:hAnsi="Times New Roman"/>
        </w:rPr>
        <w:tab/>
        <w:t>EUR  150,000</w:t>
      </w:r>
    </w:p>
    <w:p w14:paraId="59A7AD3F" w14:textId="77777777" w:rsidR="006F2BCD" w:rsidRDefault="006F2BCD" w:rsidP="00942B34">
      <w:pPr>
        <w:jc w:val="both"/>
        <w:rPr>
          <w:rFonts w:ascii="Times New Roman" w:hAnsi="Times New Roman"/>
        </w:rPr>
      </w:pPr>
    </w:p>
    <w:p w14:paraId="191C967B" w14:textId="05E9591C" w:rsidR="00EF21D6" w:rsidRPr="00942B34" w:rsidRDefault="006A4412" w:rsidP="00942B34">
      <w:pPr>
        <w:jc w:val="both"/>
        <w:rPr>
          <w:rFonts w:ascii="Times New Roman" w:hAnsi="Times New Roman"/>
        </w:rPr>
      </w:pPr>
      <w:r w:rsidRPr="00942B34">
        <w:rPr>
          <w:rFonts w:ascii="Times New Roman" w:hAnsi="Times New Roman"/>
        </w:rPr>
        <w:lastRenderedPageBreak/>
        <w:t xml:space="preserve">In EBA example 1, the employee sees that 20% of the EUR 150,000 (i.e. EUR 30,000) is deferred for 5 or 6 years, however, the employee does not see that, without the incentive, he could have received EUR 26,524.5 vesting in a minimum of 3 years. More specifically, according to EBA formula, the employee would give up EUR 26,524.5 that would have vested in a minimum of 3 years, the vesting period would extend to 5 and 6 years with 2 and 3 years retention, and for this change in terms &amp; conditions he would receive additional EUR 3,475. It can be reasonably concluded that this is a very limited benefit. </w:t>
      </w:r>
    </w:p>
    <w:p w14:paraId="5F4FC1FE" w14:textId="77777777" w:rsidR="00FE7D56" w:rsidRPr="00942B34" w:rsidRDefault="00FE7D56" w:rsidP="00942B34">
      <w:pPr>
        <w:jc w:val="both"/>
        <w:rPr>
          <w:rFonts w:ascii="Times New Roman" w:hAnsi="Times New Roman"/>
          <w:b/>
        </w:rPr>
      </w:pPr>
      <w:r w:rsidRPr="00942B34">
        <w:rPr>
          <w:rFonts w:ascii="Times New Roman" w:hAnsi="Times New Roman"/>
          <w:b/>
        </w:rPr>
        <w:t>Q10: Is the example 2 sufficiently clear and helpful to understand the application of the guidelines?</w:t>
      </w:r>
    </w:p>
    <w:p w14:paraId="11D21FB1" w14:textId="5EB06297" w:rsidR="00FE7D56" w:rsidRPr="00942B34" w:rsidRDefault="00FE7D56" w:rsidP="00942B34">
      <w:pPr>
        <w:jc w:val="both"/>
        <w:rPr>
          <w:rFonts w:ascii="Times New Roman" w:hAnsi="Times New Roman"/>
        </w:rPr>
      </w:pPr>
      <w:r w:rsidRPr="00942B34">
        <w:rPr>
          <w:rFonts w:ascii="Times New Roman" w:hAnsi="Times New Roman"/>
        </w:rPr>
        <w:t xml:space="preserve">EBF considers this example as confusing and believes that it needs to be made </w:t>
      </w:r>
      <w:r w:rsidR="006F2BCD">
        <w:rPr>
          <w:rFonts w:ascii="Times New Roman" w:hAnsi="Times New Roman"/>
        </w:rPr>
        <w:t>simpler and clearer. In fact</w:t>
      </w:r>
      <w:r w:rsidRPr="00942B34">
        <w:rPr>
          <w:rFonts w:ascii="Times New Roman" w:hAnsi="Times New Roman"/>
        </w:rPr>
        <w:t>, the present value formula is not general, but applies when the ratio is 100% (and not, for instance, 200%). Further</w:t>
      </w:r>
      <w:r w:rsidR="006F2BCD">
        <w:rPr>
          <w:rFonts w:ascii="Times New Roman" w:hAnsi="Times New Roman"/>
        </w:rPr>
        <w:t>more</w:t>
      </w:r>
      <w:r w:rsidRPr="00942B34">
        <w:rPr>
          <w:rFonts w:ascii="Times New Roman" w:hAnsi="Times New Roman"/>
        </w:rPr>
        <w:t>, longer deferral periods are not favoured in the pro-rata model where discounted variable remuneration does not necessarily dec</w:t>
      </w:r>
      <w:r w:rsidR="006F2BCD">
        <w:rPr>
          <w:rFonts w:ascii="Times New Roman" w:hAnsi="Times New Roman"/>
        </w:rPr>
        <w:t>rease with the deferral length (is rather a U-curve)</w:t>
      </w:r>
      <w:r w:rsidRPr="00942B34">
        <w:rPr>
          <w:rFonts w:ascii="Times New Roman" w:hAnsi="Times New Roman"/>
        </w:rPr>
        <w:t>.</w:t>
      </w:r>
    </w:p>
    <w:p w14:paraId="45168ACA" w14:textId="77777777" w:rsidR="00FE7D56" w:rsidRPr="00942B34" w:rsidRDefault="00FE7D56" w:rsidP="00942B34">
      <w:pPr>
        <w:jc w:val="both"/>
        <w:rPr>
          <w:rFonts w:ascii="Times New Roman" w:hAnsi="Times New Roman"/>
          <w:b/>
        </w:rPr>
      </w:pPr>
      <w:r w:rsidRPr="00942B34">
        <w:rPr>
          <w:rFonts w:ascii="Times New Roman" w:hAnsi="Times New Roman"/>
          <w:b/>
        </w:rPr>
        <w:t>Q11: Is the example 3 sufficiently clear and helpful to understand the application of the guidelines?</w:t>
      </w:r>
    </w:p>
    <w:p w14:paraId="0CD737C9" w14:textId="72D80E71" w:rsidR="00FE7D56" w:rsidRPr="00942B34" w:rsidRDefault="00FE7D56" w:rsidP="00942B34">
      <w:pPr>
        <w:jc w:val="both"/>
        <w:rPr>
          <w:rFonts w:ascii="Times New Roman" w:hAnsi="Times New Roman"/>
        </w:rPr>
      </w:pPr>
      <w:r w:rsidRPr="00942B34">
        <w:rPr>
          <w:rFonts w:ascii="Times New Roman" w:hAnsi="Times New Roman"/>
        </w:rPr>
        <w:t>Yes. In addition, we would also suggest including examples which assume the maximum ratio between variable and fixed remuneration at 200%.</w:t>
      </w:r>
    </w:p>
    <w:p w14:paraId="3783C9AD" w14:textId="77777777" w:rsidR="00FE7D56" w:rsidRPr="00942B34" w:rsidRDefault="00FE7D56" w:rsidP="00942B34">
      <w:pPr>
        <w:jc w:val="both"/>
        <w:rPr>
          <w:rFonts w:ascii="Times New Roman" w:hAnsi="Times New Roman"/>
          <w:b/>
        </w:rPr>
      </w:pPr>
      <w:r w:rsidRPr="00942B34">
        <w:rPr>
          <w:rFonts w:ascii="Times New Roman" w:hAnsi="Times New Roman"/>
          <w:b/>
        </w:rPr>
        <w:t>Q12: Do you agree with our analysis of the impact of the proposals in this CP? If not, can you provide any evidence or data that would explain why you disagree or might further inform our analysis of the likely impacts of the proposals?</w:t>
      </w:r>
    </w:p>
    <w:p w14:paraId="55DCB967" w14:textId="35710572" w:rsidR="00FE7D56" w:rsidRPr="00942B34" w:rsidRDefault="00FE7D56" w:rsidP="00942B34">
      <w:pPr>
        <w:jc w:val="both"/>
        <w:rPr>
          <w:rFonts w:ascii="Times New Roman" w:hAnsi="Times New Roman"/>
        </w:rPr>
      </w:pPr>
      <w:r w:rsidRPr="00942B34">
        <w:rPr>
          <w:rFonts w:ascii="Times New Roman" w:hAnsi="Times New Roman"/>
        </w:rPr>
        <w:t xml:space="preserve">Whilst we generally agree with the impact analysis of the proposals, there is </w:t>
      </w:r>
      <w:r w:rsidR="007F6BD1" w:rsidRPr="00942B34">
        <w:rPr>
          <w:rFonts w:ascii="Times New Roman" w:hAnsi="Times New Roman"/>
        </w:rPr>
        <w:t>the</w:t>
      </w:r>
      <w:r w:rsidRPr="00942B34">
        <w:rPr>
          <w:rFonts w:ascii="Times New Roman" w:hAnsi="Times New Roman"/>
        </w:rPr>
        <w:t xml:space="preserve"> feeling that the</w:t>
      </w:r>
      <w:r w:rsidR="007F6BD1" w:rsidRPr="00942B34">
        <w:rPr>
          <w:rFonts w:ascii="Times New Roman" w:hAnsi="Times New Roman"/>
        </w:rPr>
        <w:t xml:space="preserve"> draft</w:t>
      </w:r>
      <w:r w:rsidRPr="00942B34">
        <w:rPr>
          <w:rFonts w:ascii="Times New Roman" w:hAnsi="Times New Roman"/>
        </w:rPr>
        <w:t xml:space="preserve"> </w:t>
      </w:r>
      <w:r w:rsidR="007F6BD1" w:rsidRPr="00942B34">
        <w:rPr>
          <w:rFonts w:ascii="Times New Roman" w:hAnsi="Times New Roman"/>
        </w:rPr>
        <w:t>G</w:t>
      </w:r>
      <w:r w:rsidRPr="00942B34">
        <w:rPr>
          <w:rFonts w:ascii="Times New Roman" w:hAnsi="Times New Roman"/>
        </w:rPr>
        <w:t>uidelines do not provide the best means of incentivising long-term deferral structure</w:t>
      </w:r>
      <w:r w:rsidR="006F2BCD">
        <w:rPr>
          <w:rFonts w:ascii="Times New Roman" w:hAnsi="Times New Roman"/>
        </w:rPr>
        <w:t>s due to a lack of practicality,</w:t>
      </w:r>
      <w:r w:rsidRPr="00942B34">
        <w:rPr>
          <w:rFonts w:ascii="Times New Roman" w:hAnsi="Times New Roman"/>
        </w:rPr>
        <w:t xml:space="preserve"> an</w:t>
      </w:r>
      <w:r w:rsidR="006F2BCD">
        <w:rPr>
          <w:rFonts w:ascii="Times New Roman" w:hAnsi="Times New Roman"/>
        </w:rPr>
        <w:t>d complexity. The</w:t>
      </w:r>
      <w:r w:rsidRPr="00942B34">
        <w:rPr>
          <w:rFonts w:ascii="Times New Roman" w:hAnsi="Times New Roman"/>
        </w:rPr>
        <w:t xml:space="preserve"> discount </w:t>
      </w:r>
      <w:r w:rsidR="006F2BCD">
        <w:rPr>
          <w:rFonts w:ascii="Times New Roman" w:hAnsi="Times New Roman"/>
        </w:rPr>
        <w:t>heavily depends</w:t>
      </w:r>
      <w:r w:rsidRPr="00942B34">
        <w:rPr>
          <w:rFonts w:ascii="Times New Roman" w:hAnsi="Times New Roman"/>
        </w:rPr>
        <w:t xml:space="preserve"> on external factors and the resulting volatility makes it difficult to explain</w:t>
      </w:r>
      <w:r w:rsidR="00A81EA7">
        <w:rPr>
          <w:rFonts w:ascii="Times New Roman" w:hAnsi="Times New Roman"/>
        </w:rPr>
        <w:t>,</w:t>
      </w:r>
      <w:r w:rsidRPr="00942B34">
        <w:rPr>
          <w:rFonts w:ascii="Times New Roman" w:hAnsi="Times New Roman"/>
        </w:rPr>
        <w:t xml:space="preserve"> and not reliable enough to be used in real life compensation strategies. As an alternative, the regulator could decide on a fixed discount table of 10%, 15%, 20% and 25% if certain criteria for deferral and retention periods and / or structures are met.</w:t>
      </w:r>
    </w:p>
    <w:p w14:paraId="1748BB28" w14:textId="77777777" w:rsidR="00813E8A" w:rsidRPr="00942B34" w:rsidRDefault="00813E8A" w:rsidP="00942B34">
      <w:pPr>
        <w:jc w:val="both"/>
        <w:rPr>
          <w:rFonts w:ascii="Times New Roman" w:hAnsi="Times New Roman"/>
        </w:rPr>
      </w:pPr>
    </w:p>
    <w:sectPr w:rsidR="00813E8A" w:rsidRPr="00942B34" w:rsidSect="00B60D0B">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17D88" w14:textId="77777777" w:rsidR="00FC1205" w:rsidRDefault="00FC1205" w:rsidP="00091567">
      <w:pPr>
        <w:spacing w:after="0" w:line="240" w:lineRule="auto"/>
      </w:pPr>
      <w:r>
        <w:separator/>
      </w:r>
    </w:p>
  </w:endnote>
  <w:endnote w:type="continuationSeparator" w:id="0">
    <w:p w14:paraId="5F251701" w14:textId="77777777" w:rsidR="00FC1205" w:rsidRDefault="00FC1205" w:rsidP="00091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8BB30" w14:textId="77777777" w:rsidR="00D556B8" w:rsidRDefault="008D588E">
    <w:pPr>
      <w:pStyle w:val="Footer"/>
      <w:jc w:val="right"/>
    </w:pPr>
    <w:r>
      <w:rPr>
        <w:noProof/>
        <w:lang w:val="nl-BE" w:eastAsia="nl-BE"/>
      </w:rPr>
      <w:drawing>
        <wp:anchor distT="0" distB="0" distL="114300" distR="114300" simplePos="0" relativeHeight="251658240" behindDoc="1" locked="0" layoutInCell="1" allowOverlap="1" wp14:anchorId="1748BB34" wp14:editId="1748BB35">
          <wp:simplePos x="0" y="0"/>
          <wp:positionH relativeFrom="column">
            <wp:posOffset>-788472</wp:posOffset>
          </wp:positionH>
          <wp:positionV relativeFrom="paragraph">
            <wp:posOffset>-2743002</wp:posOffset>
          </wp:positionV>
          <wp:extent cx="384711" cy="3396343"/>
          <wp:effectExtent l="19050" t="0" r="0" b="0"/>
          <wp:wrapNone/>
          <wp:docPr id="1" name="Picture 3" descr="Carre orange fo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re orange fonce.jpg"/>
                  <pic:cNvPicPr/>
                </pic:nvPicPr>
                <pic:blipFill>
                  <a:blip r:embed="rId1"/>
                  <a:stretch>
                    <a:fillRect/>
                  </a:stretch>
                </pic:blipFill>
                <pic:spPr>
                  <a:xfrm>
                    <a:off x="0" y="0"/>
                    <a:ext cx="384711" cy="3396343"/>
                  </a:xfrm>
                  <a:prstGeom prst="rect">
                    <a:avLst/>
                  </a:prstGeom>
                </pic:spPr>
              </pic:pic>
            </a:graphicData>
          </a:graphic>
        </wp:anchor>
      </w:drawing>
    </w:r>
    <w:r w:rsidR="004E5C9F">
      <w:fldChar w:fldCharType="begin"/>
    </w:r>
    <w:r w:rsidR="004E5C9F">
      <w:instrText xml:space="preserve"> PAGE   \* MERGEFORMAT </w:instrText>
    </w:r>
    <w:r w:rsidR="004E5C9F">
      <w:fldChar w:fldCharType="separate"/>
    </w:r>
    <w:r w:rsidR="007401D6">
      <w:rPr>
        <w:noProof/>
      </w:rPr>
      <w:t>7</w:t>
    </w:r>
    <w:r w:rsidR="004E5C9F">
      <w:rPr>
        <w:noProof/>
      </w:rPr>
      <w:fldChar w:fldCharType="end"/>
    </w:r>
  </w:p>
  <w:p w14:paraId="1748BB31" w14:textId="77777777" w:rsidR="00D556B8" w:rsidRDefault="00D556B8" w:rsidP="008D58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8BB33" w14:textId="11D55A7F" w:rsidR="00D556B8" w:rsidRDefault="008D588E">
    <w:pPr>
      <w:pStyle w:val="Footer"/>
    </w:pPr>
    <w:r>
      <w:rPr>
        <w:noProof/>
        <w:lang w:val="nl-BE" w:eastAsia="nl-BE"/>
      </w:rPr>
      <w:drawing>
        <wp:anchor distT="0" distB="0" distL="114300" distR="114300" simplePos="0" relativeHeight="251656192" behindDoc="1" locked="0" layoutInCell="1" allowOverlap="1" wp14:anchorId="1748BB38" wp14:editId="1748BB39">
          <wp:simplePos x="0" y="0"/>
          <wp:positionH relativeFrom="column">
            <wp:posOffset>-729096</wp:posOffset>
          </wp:positionH>
          <wp:positionV relativeFrom="paragraph">
            <wp:posOffset>-2906387</wp:posOffset>
          </wp:positionV>
          <wp:extent cx="384711" cy="3396343"/>
          <wp:effectExtent l="19050" t="0" r="0" b="0"/>
          <wp:wrapNone/>
          <wp:docPr id="4" name="Picture 3" descr="Carre orange fo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re orange fonce.jpg"/>
                  <pic:cNvPicPr/>
                </pic:nvPicPr>
                <pic:blipFill>
                  <a:blip r:embed="rId1"/>
                  <a:stretch>
                    <a:fillRect/>
                  </a:stretch>
                </pic:blipFill>
                <pic:spPr>
                  <a:xfrm>
                    <a:off x="0" y="0"/>
                    <a:ext cx="384711" cy="3396343"/>
                  </a:xfrm>
                  <a:prstGeom prst="rect">
                    <a:avLst/>
                  </a:prstGeom>
                </pic:spPr>
              </pic:pic>
            </a:graphicData>
          </a:graphic>
        </wp:anchor>
      </w:drawing>
    </w:r>
    <w:r w:rsidR="00910EC5">
      <w:rPr>
        <w:noProof/>
        <w:lang w:val="nl-BE" w:eastAsia="nl-BE"/>
      </w:rPr>
      <mc:AlternateContent>
        <mc:Choice Requires="wps">
          <w:drawing>
            <wp:anchor distT="0" distB="0" distL="114300" distR="114300" simplePos="0" relativeHeight="251659264" behindDoc="1" locked="0" layoutInCell="1" allowOverlap="1" wp14:anchorId="1748BB3A" wp14:editId="0BE957AE">
              <wp:simplePos x="0" y="0"/>
              <wp:positionH relativeFrom="column">
                <wp:posOffset>-342900</wp:posOffset>
              </wp:positionH>
              <wp:positionV relativeFrom="paragraph">
                <wp:posOffset>-297180</wp:posOffset>
              </wp:positionV>
              <wp:extent cx="2377440" cy="1085850"/>
              <wp:effectExtent l="0" t="0" r="0" b="190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8BB3B" w14:textId="77777777" w:rsidR="004E5C9F" w:rsidRDefault="004E5C9F" w:rsidP="004E5C9F">
                          <w:pPr>
                            <w:rPr>
                              <w:rFonts w:ascii="Tahoma" w:hAnsi="Tahoma" w:cs="Tahoma"/>
                              <w:color w:val="A6A6A6"/>
                              <w:sz w:val="14"/>
                            </w:rPr>
                          </w:pPr>
                          <w:r>
                            <w:rPr>
                              <w:rFonts w:ascii="Tahoma" w:hAnsi="Tahoma" w:cs="Tahoma"/>
                              <w:color w:val="A6A6A6"/>
                              <w:sz w:val="14"/>
                            </w:rPr>
                            <w:t>EBF a.i.s.b.l</w:t>
                          </w:r>
                          <w:r>
                            <w:rPr>
                              <w:rFonts w:ascii="Tahoma" w:hAnsi="Tahoma" w:cs="Tahoma"/>
                              <w:color w:val="A6A6A6"/>
                              <w:sz w:val="14"/>
                            </w:rPr>
                            <w:br/>
                            <w:t>Avenue des Arts 56, B-1000 Brussels</w:t>
                          </w:r>
                          <w:r>
                            <w:rPr>
                              <w:rFonts w:ascii="Tahoma" w:hAnsi="Tahoma" w:cs="Tahoma"/>
                              <w:color w:val="A6A6A6"/>
                              <w:sz w:val="14"/>
                            </w:rPr>
                            <w:br/>
                            <w:t>+32 (0)2 508 37 11 Phone</w:t>
                          </w:r>
                          <w:r>
                            <w:rPr>
                              <w:rFonts w:ascii="Tahoma" w:hAnsi="Tahoma" w:cs="Tahoma"/>
                              <w:color w:val="A6A6A6"/>
                              <w:sz w:val="14"/>
                            </w:rPr>
                            <w:br/>
                            <w:t>+32 (0)2 511 23 28 Fax</w:t>
                          </w:r>
                          <w:r>
                            <w:rPr>
                              <w:rFonts w:ascii="Tahoma" w:hAnsi="Tahoma" w:cs="Tahoma"/>
                              <w:color w:val="A6A6A6"/>
                              <w:sz w:val="14"/>
                            </w:rPr>
                            <w:br/>
                          </w:r>
                          <w:hyperlink r:id="rId2" w:history="1">
                            <w:r>
                              <w:rPr>
                                <w:rStyle w:val="Hyperlink"/>
                                <w:rFonts w:ascii="Tahoma" w:hAnsi="Tahoma" w:cs="Tahoma"/>
                                <w:sz w:val="14"/>
                              </w:rPr>
                              <w:t>www.ebf-fbe.eu</w:t>
                            </w:r>
                          </w:hyperlink>
                        </w:p>
                        <w:p w14:paraId="1748BB3C" w14:textId="77777777" w:rsidR="008D588E" w:rsidRPr="0047451B" w:rsidRDefault="008D588E" w:rsidP="008D588E">
                          <w:pPr>
                            <w:rPr>
                              <w:rFonts w:ascii="Tahoma" w:hAnsi="Tahoma" w:cs="Tahoma"/>
                              <w:color w:val="A6A6A6"/>
                              <w:sz w:val="14"/>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748BB3A" id="_x0000_t202" coordsize="21600,21600" o:spt="202" path="m,l,21600r21600,l21600,xe">
              <v:stroke joinstyle="miter"/>
              <v:path gradientshapeok="t" o:connecttype="rect"/>
            </v:shapetype>
            <v:shape id="Text Box 16" o:spid="_x0000_s1026" type="#_x0000_t202" style="position:absolute;margin-left:-27pt;margin-top:-23.4pt;width:187.2pt;height:85.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YAtQIAALs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" filled="f" stroked="f">
              <v:textbox style="mso-fit-shape-to-text:t">
                <w:txbxContent>
                  <w:p w14:paraId="1748BB3B" w14:textId="77777777" w:rsidR="004E5C9F" w:rsidRDefault="004E5C9F" w:rsidP="004E5C9F">
                    <w:pPr>
                      <w:rPr>
                        <w:rFonts w:ascii="Tahoma" w:hAnsi="Tahoma" w:cs="Tahoma"/>
                        <w:color w:val="A6A6A6"/>
                        <w:sz w:val="14"/>
                      </w:rPr>
                    </w:pPr>
                    <w:r>
                      <w:rPr>
                        <w:rFonts w:ascii="Tahoma" w:hAnsi="Tahoma" w:cs="Tahoma"/>
                        <w:color w:val="A6A6A6"/>
                        <w:sz w:val="14"/>
                      </w:rPr>
                      <w:t>EBF a.i.s.b.l</w:t>
                    </w:r>
                    <w:r>
                      <w:rPr>
                        <w:rFonts w:ascii="Tahoma" w:hAnsi="Tahoma" w:cs="Tahoma"/>
                        <w:color w:val="A6A6A6"/>
                        <w:sz w:val="14"/>
                      </w:rPr>
                      <w:br/>
                      <w:t>Avenue des Arts 56, B-1000 Brussels</w:t>
                    </w:r>
                    <w:r>
                      <w:rPr>
                        <w:rFonts w:ascii="Tahoma" w:hAnsi="Tahoma" w:cs="Tahoma"/>
                        <w:color w:val="A6A6A6"/>
                        <w:sz w:val="14"/>
                      </w:rPr>
                      <w:br/>
                      <w:t>+32 (0)2 508 37 11 Phone</w:t>
                    </w:r>
                    <w:r>
                      <w:rPr>
                        <w:rFonts w:ascii="Tahoma" w:hAnsi="Tahoma" w:cs="Tahoma"/>
                        <w:color w:val="A6A6A6"/>
                        <w:sz w:val="14"/>
                      </w:rPr>
                      <w:br/>
                      <w:t>+32 (0)2 511 23 28 Fax</w:t>
                    </w:r>
                    <w:r>
                      <w:rPr>
                        <w:rFonts w:ascii="Tahoma" w:hAnsi="Tahoma" w:cs="Tahoma"/>
                        <w:color w:val="A6A6A6"/>
                        <w:sz w:val="14"/>
                      </w:rPr>
                      <w:br/>
                    </w:r>
                    <w:hyperlink r:id="rId3" w:history="1">
                      <w:r>
                        <w:rPr>
                          <w:rStyle w:val="Hyperlink"/>
                          <w:rFonts w:ascii="Tahoma" w:hAnsi="Tahoma" w:cs="Tahoma"/>
                          <w:sz w:val="14"/>
                        </w:rPr>
                        <w:t>www.ebf-fbe.eu</w:t>
                      </w:r>
                    </w:hyperlink>
                  </w:p>
                  <w:p w14:paraId="1748BB3C" w14:textId="77777777" w:rsidR="008D588E" w:rsidRPr="0047451B" w:rsidRDefault="008D588E" w:rsidP="008D588E">
                    <w:pPr>
                      <w:rPr>
                        <w:rFonts w:ascii="Tahoma" w:hAnsi="Tahoma" w:cs="Tahoma"/>
                        <w:color w:val="A6A6A6"/>
                        <w:sz w:val="14"/>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9B12B" w14:textId="77777777" w:rsidR="00FC1205" w:rsidRDefault="00FC1205" w:rsidP="00091567">
      <w:pPr>
        <w:spacing w:after="0" w:line="240" w:lineRule="auto"/>
      </w:pPr>
      <w:r>
        <w:separator/>
      </w:r>
    </w:p>
  </w:footnote>
  <w:footnote w:type="continuationSeparator" w:id="0">
    <w:p w14:paraId="3D03253B" w14:textId="77777777" w:rsidR="00FC1205" w:rsidRDefault="00FC1205" w:rsidP="00091567">
      <w:pPr>
        <w:spacing w:after="0" w:line="240" w:lineRule="auto"/>
      </w:pPr>
      <w:r>
        <w:continuationSeparator/>
      </w:r>
    </w:p>
  </w:footnote>
  <w:footnote w:id="1">
    <w:p w14:paraId="584C3574" w14:textId="730A7DA8" w:rsidR="004F5385" w:rsidRPr="00942B34" w:rsidRDefault="004F5385" w:rsidP="00942B34">
      <w:pPr>
        <w:pStyle w:val="FootnoteText"/>
        <w:jc w:val="both"/>
        <w:rPr>
          <w:rFonts w:ascii="Times New Roman" w:hAnsi="Times New Roman" w:cs="Times New Roman"/>
        </w:rPr>
      </w:pPr>
      <w:r w:rsidRPr="00942B34">
        <w:rPr>
          <w:rStyle w:val="FootnoteReference"/>
          <w:rFonts w:ascii="Times New Roman" w:hAnsi="Times New Roman" w:cs="Times New Roman"/>
        </w:rPr>
        <w:footnoteRef/>
      </w:r>
      <w:r w:rsidRPr="00942B34">
        <w:rPr>
          <w:rFonts w:ascii="Times New Roman" w:hAnsi="Times New Roman" w:cs="Times New Roman"/>
        </w:rPr>
        <w:t xml:space="preserve"> This is achieved when annual inflation and government yields are de facto above 1000% p.a. (i.e. infinite). The theoretical maximum is equal to threshold 25% / 1- threshold i.e. 75%.  Thu</w:t>
      </w:r>
      <w:r w:rsidRPr="004F5385">
        <w:rPr>
          <w:rFonts w:ascii="Times New Roman" w:hAnsi="Times New Roman" w:cs="Times New Roman"/>
        </w:rPr>
        <w:t>s when the threshold is 10%,</w:t>
      </w:r>
      <w:r w:rsidRPr="00942B34">
        <w:rPr>
          <w:rFonts w:ascii="Times New Roman" w:hAnsi="Times New Roman" w:cs="Times New Roman"/>
        </w:rPr>
        <w:t xml:space="preserve"> the maximum</w:t>
      </w:r>
      <w:r w:rsidRPr="004F5385">
        <w:rPr>
          <w:rFonts w:ascii="Times New Roman" w:hAnsi="Times New Roman" w:cs="Times New Roman"/>
        </w:rPr>
        <w:t xml:space="preserve"> increase is 11.11% (10% / 90%).</w:t>
      </w:r>
    </w:p>
  </w:footnote>
  <w:footnote w:id="2">
    <w:p w14:paraId="7EAB7F1D" w14:textId="2CCB789B" w:rsidR="004F5385" w:rsidRPr="00942B34" w:rsidRDefault="004F5385" w:rsidP="00942B34">
      <w:pPr>
        <w:pStyle w:val="FootnoteText"/>
        <w:jc w:val="both"/>
        <w:rPr>
          <w:rFonts w:ascii="Times New Roman" w:hAnsi="Times New Roman" w:cs="Times New Roman"/>
        </w:rPr>
      </w:pPr>
      <w:r w:rsidRPr="00942B34">
        <w:rPr>
          <w:rStyle w:val="FootnoteReference"/>
          <w:rFonts w:ascii="Times New Roman" w:hAnsi="Times New Roman" w:cs="Times New Roman"/>
        </w:rPr>
        <w:footnoteRef/>
      </w:r>
      <w:r w:rsidR="00942B34">
        <w:rPr>
          <w:rFonts w:ascii="Times New Roman" w:hAnsi="Times New Roman" w:cs="Times New Roman"/>
        </w:rPr>
        <w:t xml:space="preserve"> For instance,</w:t>
      </w:r>
      <w:r w:rsidRPr="00942B34">
        <w:rPr>
          <w:rFonts w:ascii="Times New Roman" w:hAnsi="Times New Roman" w:cs="Times New Roman"/>
        </w:rPr>
        <w:t xml:space="preserve"> a threshold of 12.5% results in the total increase reducing by 50% to </w:t>
      </w:r>
      <w:r w:rsidR="003E15AF" w:rsidRPr="005111DA">
        <w:rPr>
          <w:rFonts w:ascii="Times New Roman" w:hAnsi="Times New Roman" w:cs="Times New Roman"/>
        </w:rPr>
        <w:t>a range of between 7% and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8BB32" w14:textId="77777777" w:rsidR="00D556B8" w:rsidRDefault="008D588E" w:rsidP="00D556B8">
    <w:pPr>
      <w:pStyle w:val="Header"/>
    </w:pPr>
    <w:r>
      <w:rPr>
        <w:noProof/>
        <w:lang w:val="nl-BE" w:eastAsia="nl-BE"/>
      </w:rPr>
      <w:drawing>
        <wp:anchor distT="0" distB="0" distL="114300" distR="114300" simplePos="0" relativeHeight="251657216" behindDoc="1" locked="0" layoutInCell="1" allowOverlap="1" wp14:anchorId="1748BB36" wp14:editId="1748BB37">
          <wp:simplePos x="0" y="0"/>
          <wp:positionH relativeFrom="column">
            <wp:posOffset>-314325</wp:posOffset>
          </wp:positionH>
          <wp:positionV relativeFrom="paragraph">
            <wp:posOffset>-219075</wp:posOffset>
          </wp:positionV>
          <wp:extent cx="1543050" cy="876300"/>
          <wp:effectExtent l="19050" t="0" r="0" b="0"/>
          <wp:wrapNone/>
          <wp:docPr id="3" name="Picture 2" descr="logo et carre 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t carre orange.jpg"/>
                  <pic:cNvPicPr/>
                </pic:nvPicPr>
                <pic:blipFill>
                  <a:blip r:embed="rId1"/>
                  <a:stretch>
                    <a:fillRect/>
                  </a:stretch>
                </pic:blipFill>
                <pic:spPr>
                  <a:xfrm>
                    <a:off x="0" y="0"/>
                    <a:ext cx="1543050" cy="876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45103"/>
    <w:multiLevelType w:val="hybridMultilevel"/>
    <w:tmpl w:val="339069B2"/>
    <w:lvl w:ilvl="0" w:tplc="F85CAC02">
      <w:start w:val="1"/>
      <w:numFmt w:val="bullet"/>
      <w:lvlText w:val=""/>
      <w:lvlJc w:val="left"/>
      <w:pPr>
        <w:ind w:left="1350" w:hanging="360"/>
      </w:pPr>
      <w:rPr>
        <w:rFonts w:ascii="Wingdings" w:hAnsi="Wingdings" w:hint="default"/>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08A42AF7"/>
    <w:multiLevelType w:val="multilevel"/>
    <w:tmpl w:val="BFFA5544"/>
    <w:lvl w:ilvl="0">
      <w:start w:val="1"/>
      <w:numFmt w:val="decimal"/>
      <w:lvlText w:val="%1."/>
      <w:lvlJc w:val="left"/>
      <w:pPr>
        <w:ind w:left="720" w:hanging="360"/>
      </w:pPr>
      <w:rPr>
        <w:rFonts w:hint="default"/>
      </w:rPr>
    </w:lvl>
    <w:lvl w:ilvl="1">
      <w:start w:val="1"/>
      <w:numFmt w:val="decimal"/>
      <w:isLgl/>
      <w:lvlText w:val="%1.%2"/>
      <w:lvlJc w:val="left"/>
      <w:pPr>
        <w:ind w:left="106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DD13186"/>
    <w:multiLevelType w:val="hybridMultilevel"/>
    <w:tmpl w:val="455099A6"/>
    <w:lvl w:ilvl="0" w:tplc="B8D69C0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54E0A"/>
    <w:multiLevelType w:val="hybridMultilevel"/>
    <w:tmpl w:val="2C3C5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526CB3"/>
    <w:multiLevelType w:val="hybridMultilevel"/>
    <w:tmpl w:val="D4067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3C06E3"/>
    <w:multiLevelType w:val="hybridMultilevel"/>
    <w:tmpl w:val="B5D4224C"/>
    <w:lvl w:ilvl="0" w:tplc="1EB2D6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B243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9B3419"/>
    <w:multiLevelType w:val="hybridMultilevel"/>
    <w:tmpl w:val="E61C5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E94341"/>
    <w:multiLevelType w:val="multilevel"/>
    <w:tmpl w:val="C9323F7E"/>
    <w:lvl w:ilvl="0">
      <w:start w:val="1"/>
      <w:numFmt w:val="decimal"/>
      <w:lvlText w:val="%1."/>
      <w:lvlJc w:val="left"/>
      <w:pPr>
        <w:ind w:left="720" w:hanging="360"/>
      </w:pPr>
      <w:rPr>
        <w:rFonts w:hint="default"/>
      </w:rPr>
    </w:lvl>
    <w:lvl w:ilvl="1">
      <w:start w:val="1"/>
      <w:numFmt w:val="decimal"/>
      <w:isLgl/>
      <w:lvlText w:val="%1.%2"/>
      <w:lvlJc w:val="left"/>
      <w:pPr>
        <w:ind w:left="1065" w:hanging="435"/>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806219C"/>
    <w:multiLevelType w:val="hybridMultilevel"/>
    <w:tmpl w:val="35486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8A7E21"/>
    <w:multiLevelType w:val="hybridMultilevel"/>
    <w:tmpl w:val="0FA47974"/>
    <w:lvl w:ilvl="0" w:tplc="F85CAC02">
      <w:start w:val="1"/>
      <w:numFmt w:val="bullet"/>
      <w:lvlText w:val=""/>
      <w:lvlJc w:val="left"/>
      <w:pPr>
        <w:ind w:left="2148" w:hanging="360"/>
      </w:pPr>
      <w:rPr>
        <w:rFonts w:ascii="Wingdings" w:hAnsi="Wingdings" w:hint="default"/>
        <w:color w:val="auto"/>
      </w:rPr>
    </w:lvl>
    <w:lvl w:ilvl="1" w:tplc="08130003" w:tentative="1">
      <w:start w:val="1"/>
      <w:numFmt w:val="bullet"/>
      <w:lvlText w:val="o"/>
      <w:lvlJc w:val="left"/>
      <w:pPr>
        <w:ind w:left="2868" w:hanging="360"/>
      </w:pPr>
      <w:rPr>
        <w:rFonts w:ascii="Courier New" w:hAnsi="Courier New" w:cs="Courier New" w:hint="default"/>
      </w:rPr>
    </w:lvl>
    <w:lvl w:ilvl="2" w:tplc="08130005" w:tentative="1">
      <w:start w:val="1"/>
      <w:numFmt w:val="bullet"/>
      <w:lvlText w:val=""/>
      <w:lvlJc w:val="left"/>
      <w:pPr>
        <w:ind w:left="3588" w:hanging="360"/>
      </w:pPr>
      <w:rPr>
        <w:rFonts w:ascii="Wingdings" w:hAnsi="Wingdings" w:hint="default"/>
      </w:rPr>
    </w:lvl>
    <w:lvl w:ilvl="3" w:tplc="08130001" w:tentative="1">
      <w:start w:val="1"/>
      <w:numFmt w:val="bullet"/>
      <w:lvlText w:val=""/>
      <w:lvlJc w:val="left"/>
      <w:pPr>
        <w:ind w:left="4308" w:hanging="360"/>
      </w:pPr>
      <w:rPr>
        <w:rFonts w:ascii="Symbol" w:hAnsi="Symbol" w:hint="default"/>
      </w:rPr>
    </w:lvl>
    <w:lvl w:ilvl="4" w:tplc="08130003" w:tentative="1">
      <w:start w:val="1"/>
      <w:numFmt w:val="bullet"/>
      <w:lvlText w:val="o"/>
      <w:lvlJc w:val="left"/>
      <w:pPr>
        <w:ind w:left="5028" w:hanging="360"/>
      </w:pPr>
      <w:rPr>
        <w:rFonts w:ascii="Courier New" w:hAnsi="Courier New" w:cs="Courier New" w:hint="default"/>
      </w:rPr>
    </w:lvl>
    <w:lvl w:ilvl="5" w:tplc="08130005" w:tentative="1">
      <w:start w:val="1"/>
      <w:numFmt w:val="bullet"/>
      <w:lvlText w:val=""/>
      <w:lvlJc w:val="left"/>
      <w:pPr>
        <w:ind w:left="5748" w:hanging="360"/>
      </w:pPr>
      <w:rPr>
        <w:rFonts w:ascii="Wingdings" w:hAnsi="Wingdings" w:hint="default"/>
      </w:rPr>
    </w:lvl>
    <w:lvl w:ilvl="6" w:tplc="08130001" w:tentative="1">
      <w:start w:val="1"/>
      <w:numFmt w:val="bullet"/>
      <w:lvlText w:val=""/>
      <w:lvlJc w:val="left"/>
      <w:pPr>
        <w:ind w:left="6468" w:hanging="360"/>
      </w:pPr>
      <w:rPr>
        <w:rFonts w:ascii="Symbol" w:hAnsi="Symbol" w:hint="default"/>
      </w:rPr>
    </w:lvl>
    <w:lvl w:ilvl="7" w:tplc="08130003" w:tentative="1">
      <w:start w:val="1"/>
      <w:numFmt w:val="bullet"/>
      <w:lvlText w:val="o"/>
      <w:lvlJc w:val="left"/>
      <w:pPr>
        <w:ind w:left="7188" w:hanging="360"/>
      </w:pPr>
      <w:rPr>
        <w:rFonts w:ascii="Courier New" w:hAnsi="Courier New" w:cs="Courier New" w:hint="default"/>
      </w:rPr>
    </w:lvl>
    <w:lvl w:ilvl="8" w:tplc="08130005" w:tentative="1">
      <w:start w:val="1"/>
      <w:numFmt w:val="bullet"/>
      <w:lvlText w:val=""/>
      <w:lvlJc w:val="left"/>
      <w:pPr>
        <w:ind w:left="7908" w:hanging="360"/>
      </w:pPr>
      <w:rPr>
        <w:rFonts w:ascii="Wingdings" w:hAnsi="Wingdings" w:hint="default"/>
      </w:rPr>
    </w:lvl>
  </w:abstractNum>
  <w:abstractNum w:abstractNumId="11">
    <w:nsid w:val="36213E13"/>
    <w:multiLevelType w:val="hybridMultilevel"/>
    <w:tmpl w:val="2F8C99F4"/>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36D96474"/>
    <w:multiLevelType w:val="hybridMultilevel"/>
    <w:tmpl w:val="00AC2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DA766B1"/>
    <w:multiLevelType w:val="hybridMultilevel"/>
    <w:tmpl w:val="E5488A4A"/>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D9BE0A42">
      <w:start w:val="1"/>
      <w:numFmt w:val="decimal"/>
      <w:lvlText w:val="%4."/>
      <w:lvlJc w:val="left"/>
      <w:pPr>
        <w:ind w:left="2880" w:hanging="360"/>
      </w:pPr>
      <w:rPr>
        <w:rFonts w:hint="default"/>
      </w:rPr>
    </w:lvl>
    <w:lvl w:ilvl="4" w:tplc="C5CCD82C">
      <w:start w:val="1"/>
      <w:numFmt w:val="decimal"/>
      <w:lvlText w:val="%5"/>
      <w:lvlJc w:val="left"/>
      <w:pPr>
        <w:ind w:left="3600" w:hanging="360"/>
      </w:pPr>
      <w:rPr>
        <w:rFonts w:hint="default"/>
      </w:rPr>
    </w:lvl>
    <w:lvl w:ilvl="5" w:tplc="CD10588E">
      <w:start w:val="1"/>
      <w:numFmt w:val="decimal"/>
      <w:lvlText w:val="%6"/>
      <w:lvlJc w:val="left"/>
      <w:pPr>
        <w:ind w:left="4500" w:hanging="360"/>
      </w:pPr>
      <w:rPr>
        <w:rFonts w:hint="default"/>
      </w:rPr>
    </w:lvl>
    <w:lvl w:ilvl="6" w:tplc="D4485BD8">
      <w:start w:val="1"/>
      <w:numFmt w:val="decimal"/>
      <w:lvlText w:val="%7"/>
      <w:lvlJc w:val="left"/>
      <w:pPr>
        <w:ind w:left="5040" w:hanging="36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00E23D5"/>
    <w:multiLevelType w:val="hybridMultilevel"/>
    <w:tmpl w:val="C7849262"/>
    <w:lvl w:ilvl="0" w:tplc="B5E8FA60">
      <w:numFmt w:val="bullet"/>
      <w:lvlText w:val="-"/>
      <w:lvlJc w:val="left"/>
      <w:pPr>
        <w:ind w:left="1080" w:hanging="360"/>
      </w:pPr>
      <w:rPr>
        <w:rFonts w:ascii="Times" w:eastAsia="Calibri" w:hAnsi="Times" w:cs="Time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nsid w:val="43E43272"/>
    <w:multiLevelType w:val="hybridMultilevel"/>
    <w:tmpl w:val="18E8E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5C0B10"/>
    <w:multiLevelType w:val="hybridMultilevel"/>
    <w:tmpl w:val="178E2BBE"/>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47B93D00"/>
    <w:multiLevelType w:val="hybridMultilevel"/>
    <w:tmpl w:val="61FC60B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nsid w:val="4B3901AE"/>
    <w:multiLevelType w:val="multilevel"/>
    <w:tmpl w:val="4BA0C66E"/>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4D7F45E9"/>
    <w:multiLevelType w:val="hybridMultilevel"/>
    <w:tmpl w:val="5C825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F6E7103"/>
    <w:multiLevelType w:val="hybridMultilevel"/>
    <w:tmpl w:val="F5A68F1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nsid w:val="548E1742"/>
    <w:multiLevelType w:val="hybridMultilevel"/>
    <w:tmpl w:val="F9885FD6"/>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nsid w:val="57785D79"/>
    <w:multiLevelType w:val="hybridMultilevel"/>
    <w:tmpl w:val="68D2A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5C613C67"/>
    <w:multiLevelType w:val="multilevel"/>
    <w:tmpl w:val="BFFA5544"/>
    <w:lvl w:ilvl="0">
      <w:start w:val="1"/>
      <w:numFmt w:val="decimal"/>
      <w:lvlText w:val="%1."/>
      <w:lvlJc w:val="left"/>
      <w:pPr>
        <w:ind w:left="720" w:hanging="360"/>
      </w:pPr>
      <w:rPr>
        <w:rFonts w:hint="default"/>
      </w:rPr>
    </w:lvl>
    <w:lvl w:ilvl="1">
      <w:start w:val="1"/>
      <w:numFmt w:val="decimal"/>
      <w:isLgl/>
      <w:lvlText w:val="%1.%2"/>
      <w:lvlJc w:val="left"/>
      <w:pPr>
        <w:ind w:left="106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D0666BD"/>
    <w:multiLevelType w:val="hybridMultilevel"/>
    <w:tmpl w:val="7DC8E680"/>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25">
    <w:nsid w:val="5E0C2FDD"/>
    <w:multiLevelType w:val="multilevel"/>
    <w:tmpl w:val="BFFA5544"/>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71580DDE"/>
    <w:multiLevelType w:val="hybridMultilevel"/>
    <w:tmpl w:val="6E6C96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7A600444"/>
    <w:multiLevelType w:val="hybridMultilevel"/>
    <w:tmpl w:val="3CAAD920"/>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C9E02AC"/>
    <w:multiLevelType w:val="hybridMultilevel"/>
    <w:tmpl w:val="52306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18"/>
  </w:num>
  <w:num w:numId="4">
    <w:abstractNumId w:val="25"/>
  </w:num>
  <w:num w:numId="5">
    <w:abstractNumId w:val="2"/>
  </w:num>
  <w:num w:numId="6">
    <w:abstractNumId w:val="7"/>
  </w:num>
  <w:num w:numId="7">
    <w:abstractNumId w:val="6"/>
  </w:num>
  <w:num w:numId="8">
    <w:abstractNumId w:val="1"/>
  </w:num>
  <w:num w:numId="9">
    <w:abstractNumId w:val="8"/>
  </w:num>
  <w:num w:numId="10">
    <w:abstractNumId w:val="16"/>
  </w:num>
  <w:num w:numId="11">
    <w:abstractNumId w:val="21"/>
  </w:num>
  <w:num w:numId="12">
    <w:abstractNumId w:val="11"/>
  </w:num>
  <w:num w:numId="13">
    <w:abstractNumId w:val="0"/>
  </w:num>
  <w:num w:numId="14">
    <w:abstractNumId w:val="9"/>
  </w:num>
  <w:num w:numId="15">
    <w:abstractNumId w:val="5"/>
  </w:num>
  <w:num w:numId="16">
    <w:abstractNumId w:val="26"/>
  </w:num>
  <w:num w:numId="17">
    <w:abstractNumId w:val="22"/>
  </w:num>
  <w:num w:numId="18">
    <w:abstractNumId w:val="19"/>
  </w:num>
  <w:num w:numId="19">
    <w:abstractNumId w:val="14"/>
  </w:num>
  <w:num w:numId="20">
    <w:abstractNumId w:val="12"/>
  </w:num>
  <w:num w:numId="21">
    <w:abstractNumId w:val="17"/>
  </w:num>
  <w:num w:numId="22">
    <w:abstractNumId w:val="24"/>
  </w:num>
  <w:num w:numId="23">
    <w:abstractNumId w:val="20"/>
  </w:num>
  <w:num w:numId="24">
    <w:abstractNumId w:val="27"/>
  </w:num>
  <w:num w:numId="25">
    <w:abstractNumId w:val="13"/>
  </w:num>
  <w:num w:numId="26">
    <w:abstractNumId w:val="4"/>
  </w:num>
  <w:num w:numId="27">
    <w:abstractNumId w:val="15"/>
  </w:num>
  <w:num w:numId="28">
    <w:abstractNumId w:val="2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efaultTableStyle w:val="LightList-Accent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567"/>
    <w:rsid w:val="00042D74"/>
    <w:rsid w:val="00066033"/>
    <w:rsid w:val="00091567"/>
    <w:rsid w:val="000A614C"/>
    <w:rsid w:val="000A7AA6"/>
    <w:rsid w:val="000C27E8"/>
    <w:rsid w:val="000C3F62"/>
    <w:rsid w:val="000D2169"/>
    <w:rsid w:val="000D791C"/>
    <w:rsid w:val="00173060"/>
    <w:rsid w:val="001B7339"/>
    <w:rsid w:val="001D51CA"/>
    <w:rsid w:val="001F336D"/>
    <w:rsid w:val="002075DF"/>
    <w:rsid w:val="002233EF"/>
    <w:rsid w:val="002379F5"/>
    <w:rsid w:val="0024189D"/>
    <w:rsid w:val="00263B11"/>
    <w:rsid w:val="00263C0D"/>
    <w:rsid w:val="00263D97"/>
    <w:rsid w:val="002660A7"/>
    <w:rsid w:val="00281908"/>
    <w:rsid w:val="002B732B"/>
    <w:rsid w:val="0034372D"/>
    <w:rsid w:val="003578A8"/>
    <w:rsid w:val="00361A4C"/>
    <w:rsid w:val="00381CC9"/>
    <w:rsid w:val="003C7DCA"/>
    <w:rsid w:val="003E15AF"/>
    <w:rsid w:val="00421569"/>
    <w:rsid w:val="00426913"/>
    <w:rsid w:val="004625E2"/>
    <w:rsid w:val="00487A10"/>
    <w:rsid w:val="004C58B7"/>
    <w:rsid w:val="004C7715"/>
    <w:rsid w:val="004D0F9A"/>
    <w:rsid w:val="004E5C9F"/>
    <w:rsid w:val="004F5385"/>
    <w:rsid w:val="00510DC6"/>
    <w:rsid w:val="005111DA"/>
    <w:rsid w:val="00511455"/>
    <w:rsid w:val="00524A26"/>
    <w:rsid w:val="005763B3"/>
    <w:rsid w:val="0059549F"/>
    <w:rsid w:val="005957B9"/>
    <w:rsid w:val="005C2A78"/>
    <w:rsid w:val="005F02BE"/>
    <w:rsid w:val="00610FD8"/>
    <w:rsid w:val="006138E9"/>
    <w:rsid w:val="0064607C"/>
    <w:rsid w:val="00662504"/>
    <w:rsid w:val="006A4412"/>
    <w:rsid w:val="006C6E35"/>
    <w:rsid w:val="006D4B62"/>
    <w:rsid w:val="006F2BCD"/>
    <w:rsid w:val="006F54EC"/>
    <w:rsid w:val="007401D6"/>
    <w:rsid w:val="007774DB"/>
    <w:rsid w:val="007D5B13"/>
    <w:rsid w:val="007F6BD1"/>
    <w:rsid w:val="00812F32"/>
    <w:rsid w:val="00813E8A"/>
    <w:rsid w:val="008D588E"/>
    <w:rsid w:val="00910EC5"/>
    <w:rsid w:val="009318F0"/>
    <w:rsid w:val="00940633"/>
    <w:rsid w:val="00942B34"/>
    <w:rsid w:val="009E40AC"/>
    <w:rsid w:val="00A72BF7"/>
    <w:rsid w:val="00A81EA7"/>
    <w:rsid w:val="00AA341D"/>
    <w:rsid w:val="00AB11F7"/>
    <w:rsid w:val="00AF02CA"/>
    <w:rsid w:val="00B0472B"/>
    <w:rsid w:val="00B17094"/>
    <w:rsid w:val="00B202CF"/>
    <w:rsid w:val="00B3256D"/>
    <w:rsid w:val="00B52094"/>
    <w:rsid w:val="00B60D0B"/>
    <w:rsid w:val="00BB6E75"/>
    <w:rsid w:val="00BC2489"/>
    <w:rsid w:val="00BF79FF"/>
    <w:rsid w:val="00C11EFA"/>
    <w:rsid w:val="00C17263"/>
    <w:rsid w:val="00C17597"/>
    <w:rsid w:val="00C21C0F"/>
    <w:rsid w:val="00C32582"/>
    <w:rsid w:val="00C42256"/>
    <w:rsid w:val="00CA5E85"/>
    <w:rsid w:val="00D50319"/>
    <w:rsid w:val="00D556B8"/>
    <w:rsid w:val="00D736E2"/>
    <w:rsid w:val="00DF53E4"/>
    <w:rsid w:val="00E2757C"/>
    <w:rsid w:val="00E3647B"/>
    <w:rsid w:val="00E71FF5"/>
    <w:rsid w:val="00E801A3"/>
    <w:rsid w:val="00EC4EFF"/>
    <w:rsid w:val="00EE0D84"/>
    <w:rsid w:val="00EF21D6"/>
    <w:rsid w:val="00F32A55"/>
    <w:rsid w:val="00F70807"/>
    <w:rsid w:val="00FB604C"/>
    <w:rsid w:val="00FC1205"/>
    <w:rsid w:val="00FD6BEC"/>
    <w:rsid w:val="00FD7CC5"/>
    <w:rsid w:val="00FE551B"/>
    <w:rsid w:val="00FE7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8BB1E"/>
  <w15:docId w15:val="{719979F3-14C1-4776-A1BC-834DC463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63C0D"/>
    <w:pPr>
      <w:spacing w:after="200" w:line="276" w:lineRule="auto"/>
    </w:pPr>
    <w:rPr>
      <w:rFonts w:ascii="Times" w:hAnsi="Times"/>
      <w:sz w:val="24"/>
      <w:szCs w:val="22"/>
      <w:lang w:val="en-GB"/>
    </w:rPr>
  </w:style>
  <w:style w:type="paragraph" w:styleId="Heading1">
    <w:name w:val="heading 1"/>
    <w:basedOn w:val="Normal"/>
    <w:next w:val="Normal"/>
    <w:link w:val="Heading1Char"/>
    <w:uiPriority w:val="9"/>
    <w:rsid w:val="00263C0D"/>
    <w:pPr>
      <w:keepNext/>
      <w:spacing w:before="240" w:after="60"/>
      <w:outlineLvl w:val="0"/>
    </w:pPr>
    <w:rPr>
      <w:rFonts w:ascii="Calibri" w:eastAsia="Times New Roman" w:hAnsi="Calibri"/>
      <w:bCs/>
      <w:color w:val="F8CE68"/>
      <w:kern w:val="32"/>
      <w:sz w:val="48"/>
      <w:szCs w:val="32"/>
    </w:rPr>
  </w:style>
  <w:style w:type="paragraph" w:styleId="Heading2">
    <w:name w:val="heading 2"/>
    <w:aliases w:val="Subtitle-level2"/>
    <w:basedOn w:val="Normal"/>
    <w:next w:val="Normal"/>
    <w:link w:val="Heading2Char"/>
    <w:uiPriority w:val="9"/>
    <w:unhideWhenUsed/>
    <w:qFormat/>
    <w:rsid w:val="00263C0D"/>
    <w:pPr>
      <w:keepNext/>
      <w:spacing w:before="240" w:after="60"/>
      <w:ind w:left="720"/>
      <w:outlineLvl w:val="1"/>
    </w:pPr>
    <w:rPr>
      <w:rFonts w:ascii="Calibri" w:eastAsia="Times New Roman" w:hAnsi="Calibri"/>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15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1567"/>
  </w:style>
  <w:style w:type="paragraph" w:styleId="Footer">
    <w:name w:val="footer"/>
    <w:basedOn w:val="Normal"/>
    <w:link w:val="FooterChar"/>
    <w:uiPriority w:val="99"/>
    <w:unhideWhenUsed/>
    <w:rsid w:val="00091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567"/>
  </w:style>
  <w:style w:type="paragraph" w:styleId="BalloonText">
    <w:name w:val="Balloon Text"/>
    <w:basedOn w:val="Normal"/>
    <w:link w:val="BalloonTextChar"/>
    <w:uiPriority w:val="99"/>
    <w:semiHidden/>
    <w:unhideWhenUsed/>
    <w:rsid w:val="00091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567"/>
    <w:rPr>
      <w:rFonts w:ascii="Tahoma" w:hAnsi="Tahoma" w:cs="Tahoma"/>
      <w:sz w:val="16"/>
      <w:szCs w:val="16"/>
    </w:rPr>
  </w:style>
  <w:style w:type="paragraph" w:styleId="ListParagraph">
    <w:name w:val="List Paragraph"/>
    <w:basedOn w:val="Normal"/>
    <w:uiPriority w:val="34"/>
    <w:qFormat/>
    <w:rsid w:val="00091567"/>
    <w:pPr>
      <w:ind w:left="720"/>
      <w:contextualSpacing/>
    </w:pPr>
  </w:style>
  <w:style w:type="paragraph" w:styleId="NormalWeb">
    <w:name w:val="Normal (Web)"/>
    <w:basedOn w:val="Normal"/>
    <w:uiPriority w:val="99"/>
    <w:unhideWhenUsed/>
    <w:rsid w:val="00091567"/>
    <w:pPr>
      <w:spacing w:after="210" w:line="210" w:lineRule="atLeast"/>
      <w:jc w:val="both"/>
    </w:pPr>
    <w:rPr>
      <w:rFonts w:ascii="Times New Roman" w:eastAsia="Times New Roman" w:hAnsi="Times New Roman"/>
      <w:sz w:val="17"/>
      <w:szCs w:val="17"/>
    </w:rPr>
  </w:style>
  <w:style w:type="character" w:customStyle="1" w:styleId="Heading1Char">
    <w:name w:val="Heading 1 Char"/>
    <w:basedOn w:val="DefaultParagraphFont"/>
    <w:link w:val="Heading1"/>
    <w:uiPriority w:val="9"/>
    <w:rsid w:val="00263C0D"/>
    <w:rPr>
      <w:rFonts w:ascii="Calibri" w:eastAsia="Times New Roman" w:hAnsi="Calibri" w:cs="Times New Roman"/>
      <w:bCs/>
      <w:color w:val="F8CE68"/>
      <w:kern w:val="32"/>
      <w:sz w:val="48"/>
      <w:szCs w:val="32"/>
    </w:rPr>
  </w:style>
  <w:style w:type="paragraph" w:styleId="Title">
    <w:name w:val="Title"/>
    <w:basedOn w:val="Normal"/>
    <w:next w:val="Normal"/>
    <w:link w:val="TitleChar"/>
    <w:uiPriority w:val="10"/>
    <w:qFormat/>
    <w:rsid w:val="008D588E"/>
    <w:pPr>
      <w:spacing w:before="240" w:after="60"/>
      <w:jc w:val="center"/>
      <w:outlineLvl w:val="0"/>
    </w:pPr>
    <w:rPr>
      <w:rFonts w:ascii="Calibri" w:eastAsia="Times New Roman" w:hAnsi="Calibri"/>
      <w:bCs/>
      <w:color w:val="F57709"/>
      <w:kern w:val="28"/>
      <w:sz w:val="36"/>
      <w:szCs w:val="32"/>
    </w:rPr>
  </w:style>
  <w:style w:type="character" w:customStyle="1" w:styleId="TitleChar">
    <w:name w:val="Title Char"/>
    <w:basedOn w:val="DefaultParagraphFont"/>
    <w:link w:val="Title"/>
    <w:uiPriority w:val="10"/>
    <w:rsid w:val="008D588E"/>
    <w:rPr>
      <w:rFonts w:eastAsia="Times New Roman"/>
      <w:bCs/>
      <w:color w:val="F57709"/>
      <w:kern w:val="28"/>
      <w:sz w:val="36"/>
      <w:szCs w:val="32"/>
    </w:rPr>
  </w:style>
  <w:style w:type="paragraph" w:styleId="Subtitle">
    <w:name w:val="Subtitle"/>
    <w:basedOn w:val="Normal"/>
    <w:next w:val="Normal"/>
    <w:link w:val="SubtitleChar"/>
    <w:uiPriority w:val="11"/>
    <w:qFormat/>
    <w:rsid w:val="008D588E"/>
    <w:pPr>
      <w:spacing w:after="60"/>
      <w:outlineLvl w:val="1"/>
    </w:pPr>
    <w:rPr>
      <w:rFonts w:ascii="Calibri" w:eastAsia="Times New Roman" w:hAnsi="Calibri"/>
      <w:color w:val="F57709"/>
      <w:sz w:val="28"/>
      <w:szCs w:val="24"/>
    </w:rPr>
  </w:style>
  <w:style w:type="character" w:customStyle="1" w:styleId="SubtitleChar">
    <w:name w:val="Subtitle Char"/>
    <w:basedOn w:val="DefaultParagraphFont"/>
    <w:link w:val="Subtitle"/>
    <w:uiPriority w:val="11"/>
    <w:rsid w:val="008D588E"/>
    <w:rPr>
      <w:rFonts w:eastAsia="Times New Roman"/>
      <w:color w:val="F57709"/>
      <w:sz w:val="28"/>
      <w:szCs w:val="24"/>
    </w:rPr>
  </w:style>
  <w:style w:type="character" w:styleId="SubtleEmphasis">
    <w:name w:val="Subtle Emphasis"/>
    <w:aliases w:val="Subtitle level2"/>
    <w:basedOn w:val="DefaultParagraphFont"/>
    <w:uiPriority w:val="19"/>
    <w:rsid w:val="00263C0D"/>
    <w:rPr>
      <w:i/>
      <w:iCs/>
      <w:color w:val="808080"/>
    </w:rPr>
  </w:style>
  <w:style w:type="character" w:customStyle="1" w:styleId="Heading2Char">
    <w:name w:val="Heading 2 Char"/>
    <w:aliases w:val="Subtitle-level2 Char"/>
    <w:basedOn w:val="DefaultParagraphFont"/>
    <w:link w:val="Heading2"/>
    <w:uiPriority w:val="9"/>
    <w:rsid w:val="00263C0D"/>
    <w:rPr>
      <w:rFonts w:ascii="Calibri" w:eastAsia="Times New Roman" w:hAnsi="Calibri" w:cs="Times New Roman"/>
      <w:bCs/>
      <w:iCs/>
      <w:sz w:val="28"/>
      <w:szCs w:val="28"/>
    </w:rPr>
  </w:style>
  <w:style w:type="paragraph" w:styleId="NoSpacing">
    <w:name w:val="No Spacing"/>
    <w:aliases w:val="text"/>
    <w:uiPriority w:val="1"/>
    <w:qFormat/>
    <w:rsid w:val="00813E8A"/>
    <w:rPr>
      <w:rFonts w:ascii="Times" w:hAnsi="Times"/>
      <w:sz w:val="24"/>
      <w:szCs w:val="22"/>
    </w:rPr>
  </w:style>
  <w:style w:type="table" w:styleId="TableGrid">
    <w:name w:val="Table Grid"/>
    <w:basedOn w:val="TableNormal"/>
    <w:uiPriority w:val="59"/>
    <w:rsid w:val="000C3F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28190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57709"/>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DF53E4"/>
    <w:rPr>
      <w:color w:val="0000FF" w:themeColor="hyperlink"/>
      <w:u w:val="single"/>
    </w:rPr>
  </w:style>
  <w:style w:type="paragraph" w:styleId="FootnoteText">
    <w:name w:val="footnote text"/>
    <w:basedOn w:val="Normal"/>
    <w:link w:val="FootnoteTextChar"/>
    <w:uiPriority w:val="99"/>
    <w:semiHidden/>
    <w:unhideWhenUsed/>
    <w:rsid w:val="004F5385"/>
    <w:pPr>
      <w:spacing w:after="0" w:line="240" w:lineRule="auto"/>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semiHidden/>
    <w:rsid w:val="004F5385"/>
    <w:rPr>
      <w:rFonts w:ascii="Arial" w:eastAsiaTheme="minorHAnsi" w:hAnsi="Arial" w:cs="Arial"/>
      <w:lang w:val="en-GB"/>
    </w:rPr>
  </w:style>
  <w:style w:type="character" w:styleId="FootnoteReference">
    <w:name w:val="footnote reference"/>
    <w:basedOn w:val="DefaultParagraphFont"/>
    <w:uiPriority w:val="99"/>
    <w:semiHidden/>
    <w:unhideWhenUsed/>
    <w:rsid w:val="004F53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http://www.ebf-fbe.eu" TargetMode="External"/><Relationship Id="rId2" Type="http://schemas.openxmlformats.org/officeDocument/2006/relationships/hyperlink" Target="http://www.ebf-fbe.eu"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BF Document" ma:contentTypeID="0x0101004BE274EDB6DB4922B212C2A6A2929FFF0007406D38E8E77A4180D1BCE6C1BA88D8" ma:contentTypeVersion="13" ma:contentTypeDescription="Create a new document." ma:contentTypeScope="" ma:versionID="0154ae24a823304b0b38fc3f6c89433f">
  <xsd:schema xmlns:xsd="http://www.w3.org/2001/XMLSchema" xmlns:xs="http://www.w3.org/2001/XMLSchema" xmlns:p="http://schemas.microsoft.com/office/2006/metadata/properties" xmlns:ns2="8b76e640-9ff4-4d3b-a80d-ae743ace85eb" targetNamespace="http://schemas.microsoft.com/office/2006/metadata/properties" ma:root="true" ma:fieldsID="2aca80c004ec2097f8216d5df938d159" ns2:_="">
    <xsd:import namespace="8b76e640-9ff4-4d3b-a80d-ae743ace85eb"/>
    <xsd:element name="properties">
      <xsd:complexType>
        <xsd:sequence>
          <xsd:element name="documentManagement">
            <xsd:complexType>
              <xsd:all>
                <xsd:element ref="ns2:DocRef" minOccurs="0"/>
                <xsd:element ref="ns2:DocType" minOccurs="0"/>
                <xsd:element ref="ns2:DocSource" minOccurs="0"/>
                <xsd:element ref="ns2:ReviewURL" minOccurs="0"/>
                <xsd:element ref="ns2:OriginalDocUrl" minOccurs="0"/>
                <xsd:element ref="ns2:DocSnippet" minOccurs="0"/>
                <xsd:element ref="ns2:ReferenceVersion" minOccurs="0"/>
                <xsd:element ref="ns2:ReferenceFil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6e640-9ff4-4d3b-a80d-ae743ace85eb" elementFormDefault="qualified">
    <xsd:import namespace="http://schemas.microsoft.com/office/2006/documentManagement/types"/>
    <xsd:import namespace="http://schemas.microsoft.com/office/infopath/2007/PartnerControls"/>
    <xsd:element name="DocRef" ma:index="8" nillable="true" ma:displayName="Document Ref" ma:internalName="DocRef" ma:readOnly="false">
      <xsd:simpleType>
        <xsd:restriction base="dms:Text"/>
      </xsd:simpleType>
    </xsd:element>
    <xsd:element name="DocType" ma:index="9" nillable="true" ma:displayName="Document Type" ma:internalName="DocType" ma:readOnly="false">
      <xsd:simpleType>
        <xsd:restriction base="dms:Text"/>
      </xsd:simpleType>
    </xsd:element>
    <xsd:element name="DocSource" ma:index="10" nillable="true" ma:displayName="Document Source" ma:format="Dropdown" ma:internalName="DocSource">
      <xsd:simpleType>
        <xsd:restriction base="dms:Choice">
          <xsd:enumeration value="Internal"/>
          <xsd:enumeration value="External"/>
          <xsd:enumeration value="External without reference"/>
        </xsd:restriction>
      </xsd:simpleType>
    </xsd:element>
    <xsd:element name="ReviewURL" ma:index="11" nillable="true" ma:displayName="Review Location" ma:internalName="Review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riginalDocUrl" ma:index="12" nillable="true" ma:displayName="Original Document Location" ma:internalName="OriginalDoc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Snippet" ma:index="13" nillable="true" ma:displayName="Snippet" ma:internalName="DocSnippet" ma:readOnly="false">
      <xsd:simpleType>
        <xsd:restriction base="dms:Choice">
          <xsd:enumeration value="Agenda"/>
          <xsd:enumeration value="C-Letter"/>
          <xsd:enumeration value="Chief Executive Letter"/>
          <xsd:enumeration value="Coms Doc"/>
          <xsd:enumeration value="Excochair Letter"/>
          <xsd:enumeration value="Fax"/>
          <xsd:enumeration value="Letter President"/>
          <xsd:enumeration value="Master Document"/>
          <xsd:enumeration value="Memo"/>
          <xsd:enumeration value="Minutes"/>
          <xsd:enumeration value="Non C-Letter"/>
          <xsd:enumeration value="Press Release"/>
          <xsd:enumeration value="Public Document"/>
          <xsd:enumeration value="Statement"/>
          <xsd:enumeration value="TWG Template"/>
        </xsd:restriction>
      </xsd:simpleType>
    </xsd:element>
    <xsd:element name="ReferenceVersion" ma:index="14" nillable="true" ma:displayName="Reference Version" ma:internalName="ReferenceVersion" ma:readOnly="false">
      <xsd:simpleType>
        <xsd:restriction base="dms:Text"/>
      </xsd:simpleType>
    </xsd:element>
    <xsd:element name="ReferenceFileID" ma:index="15" nillable="true" ma:displayName="Reference File ID" ma:internalName="ReferenceFile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FileID xmlns="8b76e640-9ff4-4d3b-a80d-ae743ace85eb" xsi:nil="true"/>
    <DocRef xmlns="8b76e640-9ff4-4d3b-a80d-ae743ace85eb">EBF_005879</DocRef>
    <DocSnippet xmlns="8b76e640-9ff4-4d3b-a80d-ae743ace85eb">Agenda</DocSnippet>
    <ReferenceVersion xmlns="8b76e640-9ff4-4d3b-a80d-ae743ace85eb" xsi:nil="true"/>
    <DocSource xmlns="8b76e640-9ff4-4d3b-a80d-ae743ace85eb">Internal</DocSource>
    <ReviewURL xmlns="8b76e640-9ff4-4d3b-a80d-ae743ace85eb">
      <Url xsi:nil="true"/>
      <Description xsi:nil="true"/>
    </ReviewURL>
    <DocType xmlns="8b76e640-9ff4-4d3b-a80d-ae743ace85eb" xsi:nil="true"/>
    <OriginalDocUrl xmlns="8b76e640-9ff4-4d3b-a80d-ae743ace85eb">
      <Url xsi:nil="true"/>
      <Description xsi:nil="true"/>
    </OriginalDocUrl>
  </documentManagement>
</p:properties>
</file>

<file path=customXml/itemProps1.xml><?xml version="1.0" encoding="utf-8"?>
<ds:datastoreItem xmlns:ds="http://schemas.openxmlformats.org/officeDocument/2006/customXml" ds:itemID="{CF28CB1A-A112-4768-A87B-097B3F0AC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6e640-9ff4-4d3b-a80d-ae743ace8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1257D5-F3B1-4A81-AB32-DC183BEE7AA0}">
  <ds:schemaRefs>
    <ds:schemaRef ds:uri="http://schemas.microsoft.com/sharepoint/v3/contenttype/forms"/>
  </ds:schemaRefs>
</ds:datastoreItem>
</file>

<file path=customXml/itemProps3.xml><?xml version="1.0" encoding="utf-8"?>
<ds:datastoreItem xmlns:ds="http://schemas.openxmlformats.org/officeDocument/2006/customXml" ds:itemID="{2EA013CD-1251-499E-8186-244329AA7EA7}">
  <ds:schemaRefs>
    <ds:schemaRef ds:uri="http://schemas.microsoft.com/office/2006/metadata/properties"/>
    <ds:schemaRef ds:uri="http://schemas.microsoft.com/office/infopath/2007/PartnerControls"/>
    <ds:schemaRef ds:uri="8b76e640-9ff4-4d3b-a80d-ae743ace85e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2685</Words>
  <Characters>14772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Dieu</dc:creator>
  <cp:lastModifiedBy>Konstantinos Karountzos</cp:lastModifiedBy>
  <cp:revision>4</cp:revision>
  <cp:lastPrinted>2010-11-15T13:52:00Z</cp:lastPrinted>
  <dcterms:created xsi:type="dcterms:W3CDTF">2014-01-17T16:43:00Z</dcterms:created>
  <dcterms:modified xsi:type="dcterms:W3CDTF">2014-01-17T16:53:00Z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0x0101004BE274EDB6DB4922B212C2A6A2929FFF0007406D38E8E77A4180D1BCE6C1BA88D8</vt:lpwstr>
  </property>
</Properties>
</file>