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B7B" w:rsidRPr="00732B7B" w:rsidRDefault="001C7C91" w:rsidP="00732B7B">
      <w:pPr>
        <w:ind w:left="1134"/>
        <w:rPr>
          <w:sz w:val="22"/>
          <w:szCs w:val="22"/>
        </w:rPr>
      </w:pPr>
      <w:r>
        <w:rPr>
          <w:sz w:val="22"/>
          <w:szCs w:val="22"/>
        </w:rPr>
        <w:t>6</w:t>
      </w:r>
      <w:r w:rsidR="00C067CF">
        <w:rPr>
          <w:sz w:val="22"/>
          <w:szCs w:val="22"/>
        </w:rPr>
        <w:t xml:space="preserve"> </w:t>
      </w:r>
      <w:r>
        <w:rPr>
          <w:sz w:val="22"/>
          <w:szCs w:val="22"/>
        </w:rPr>
        <w:t>June</w:t>
      </w:r>
      <w:r w:rsidR="00732B7B" w:rsidRPr="00732B7B">
        <w:rPr>
          <w:sz w:val="22"/>
          <w:szCs w:val="22"/>
        </w:rPr>
        <w:t xml:space="preserve"> 201</w:t>
      </w:r>
      <w:r w:rsidR="00976AEA">
        <w:rPr>
          <w:sz w:val="22"/>
          <w:szCs w:val="22"/>
        </w:rPr>
        <w:t>4</w:t>
      </w:r>
    </w:p>
    <w:p w:rsidR="00732B7B" w:rsidRPr="00732B7B" w:rsidRDefault="00732B7B" w:rsidP="00732B7B">
      <w:pPr>
        <w:ind w:left="1134"/>
        <w:rPr>
          <w:sz w:val="22"/>
          <w:szCs w:val="22"/>
        </w:rPr>
      </w:pPr>
    </w:p>
    <w:p w:rsidR="00732B7B" w:rsidRPr="00C067CF" w:rsidRDefault="00B67F92" w:rsidP="00732B7B">
      <w:pPr>
        <w:ind w:left="1134"/>
        <w:rPr>
          <w:i/>
          <w:sz w:val="22"/>
          <w:szCs w:val="22"/>
        </w:rPr>
      </w:pPr>
      <w:bookmarkStart w:id="0" w:name="Text6"/>
      <w:r>
        <w:rPr>
          <w:i/>
          <w:sz w:val="22"/>
          <w:szCs w:val="22"/>
        </w:rPr>
        <w:t>Submitted electronically</w:t>
      </w:r>
    </w:p>
    <w:p w:rsidR="00732B7B" w:rsidRPr="00732B7B" w:rsidRDefault="00732B7B" w:rsidP="00732B7B">
      <w:pPr>
        <w:ind w:left="1134"/>
        <w:rPr>
          <w:sz w:val="22"/>
          <w:szCs w:val="22"/>
        </w:rPr>
      </w:pPr>
    </w:p>
    <w:p w:rsidR="00732B7B" w:rsidRPr="00732B7B" w:rsidRDefault="00732B7B" w:rsidP="00732B7B">
      <w:pPr>
        <w:spacing w:before="0"/>
        <w:ind w:left="1134"/>
        <w:rPr>
          <w:sz w:val="22"/>
          <w:szCs w:val="22"/>
        </w:rPr>
      </w:pPr>
      <w:bookmarkStart w:id="1" w:name="Text12"/>
      <w:bookmarkStart w:id="2" w:name="Text11"/>
      <w:bookmarkStart w:id="3" w:name="Text2"/>
      <w:r w:rsidRPr="00732B7B">
        <w:rPr>
          <w:sz w:val="22"/>
          <w:szCs w:val="22"/>
        </w:rPr>
        <w:t>European Banking Authority</w:t>
      </w:r>
    </w:p>
    <w:p w:rsidR="00732B7B" w:rsidRPr="00732B7B" w:rsidRDefault="00732B7B" w:rsidP="00732B7B">
      <w:pPr>
        <w:spacing w:before="0"/>
        <w:ind w:left="1134"/>
        <w:rPr>
          <w:sz w:val="22"/>
          <w:szCs w:val="22"/>
        </w:rPr>
      </w:pPr>
      <w:r w:rsidRPr="00732B7B">
        <w:rPr>
          <w:sz w:val="22"/>
          <w:szCs w:val="22"/>
        </w:rPr>
        <w:t>Tower 42</w:t>
      </w:r>
    </w:p>
    <w:p w:rsidR="00732B7B" w:rsidRPr="00732B7B" w:rsidRDefault="00732B7B" w:rsidP="00732B7B">
      <w:pPr>
        <w:spacing w:before="0"/>
        <w:ind w:left="1134"/>
        <w:rPr>
          <w:sz w:val="22"/>
          <w:szCs w:val="22"/>
        </w:rPr>
      </w:pPr>
      <w:r w:rsidRPr="00732B7B">
        <w:rPr>
          <w:sz w:val="22"/>
          <w:szCs w:val="22"/>
        </w:rPr>
        <w:t>25 Old Broad Street</w:t>
      </w:r>
    </w:p>
    <w:p w:rsidR="00732B7B" w:rsidRPr="00732B7B" w:rsidRDefault="00732B7B" w:rsidP="00732B7B">
      <w:pPr>
        <w:spacing w:before="0"/>
        <w:ind w:left="1134"/>
        <w:rPr>
          <w:sz w:val="22"/>
          <w:szCs w:val="22"/>
        </w:rPr>
      </w:pPr>
      <w:r w:rsidRPr="00732B7B">
        <w:rPr>
          <w:sz w:val="22"/>
          <w:szCs w:val="22"/>
        </w:rPr>
        <w:t>London EC2N 1HQ</w:t>
      </w:r>
    </w:p>
    <w:p w:rsidR="00732B7B" w:rsidRPr="00732B7B" w:rsidRDefault="00732B7B" w:rsidP="00732B7B">
      <w:pPr>
        <w:spacing w:before="0"/>
        <w:ind w:left="1134"/>
        <w:rPr>
          <w:sz w:val="22"/>
          <w:szCs w:val="22"/>
        </w:rPr>
      </w:pPr>
      <w:r w:rsidRPr="00732B7B">
        <w:rPr>
          <w:sz w:val="22"/>
          <w:szCs w:val="22"/>
        </w:rPr>
        <w:t>United Kingdom</w:t>
      </w:r>
    </w:p>
    <w:bookmarkEnd w:id="1"/>
    <w:bookmarkEnd w:id="2"/>
    <w:bookmarkEnd w:id="3"/>
    <w:p w:rsidR="00732B7B" w:rsidRPr="00732B7B" w:rsidRDefault="00732B7B" w:rsidP="00732B7B">
      <w:pPr>
        <w:pStyle w:val="Title"/>
        <w:spacing w:line="370" w:lineRule="exact"/>
        <w:ind w:left="1134"/>
        <w:rPr>
          <w:rFonts w:asciiTheme="majorHAnsi" w:hAnsiTheme="majorHAnsi"/>
          <w:sz w:val="22"/>
          <w:szCs w:val="22"/>
        </w:rPr>
      </w:pPr>
    </w:p>
    <w:p w:rsidR="00C067CF" w:rsidRPr="002004AA" w:rsidRDefault="002004AA" w:rsidP="002004AA">
      <w:pPr>
        <w:pStyle w:val="Heading2"/>
        <w:shd w:val="clear" w:color="auto" w:fill="FFFFFF"/>
        <w:spacing w:before="0" w:line="336" w:lineRule="atLeast"/>
        <w:textAlignment w:val="baseline"/>
        <w:rPr>
          <w:color w:val="78A32E"/>
          <w:kern w:val="28"/>
          <w:sz w:val="22"/>
          <w:szCs w:val="22"/>
          <w:lang w:eastAsia="en-GB"/>
        </w:rPr>
      </w:pPr>
      <w:bookmarkStart w:id="4" w:name="Text7"/>
      <w:bookmarkEnd w:id="0"/>
      <w:r w:rsidRPr="002004AA">
        <w:rPr>
          <w:color w:val="78A32E"/>
          <w:kern w:val="28"/>
          <w:sz w:val="22"/>
          <w:szCs w:val="22"/>
          <w:lang w:eastAsia="en-GB"/>
        </w:rPr>
        <w:t>Draft Regulatory Technical Standards (RTS) on</w:t>
      </w:r>
      <w:r w:rsidR="001C7C91">
        <w:rPr>
          <w:color w:val="78A32E"/>
          <w:kern w:val="28"/>
          <w:sz w:val="22"/>
          <w:szCs w:val="22"/>
          <w:lang w:eastAsia="en-GB"/>
        </w:rPr>
        <w:t xml:space="preserve"> </w:t>
      </w:r>
      <w:r w:rsidRPr="002004AA">
        <w:rPr>
          <w:color w:val="78A32E"/>
          <w:kern w:val="28"/>
          <w:sz w:val="22"/>
          <w:szCs w:val="22"/>
          <w:lang w:eastAsia="en-GB"/>
        </w:rPr>
        <w:t>the conditions according to which competent authorities may grant permission for data waiver (EBA/CP/2014/02</w:t>
      </w:r>
      <w:r>
        <w:rPr>
          <w:color w:val="78A32E"/>
          <w:kern w:val="28"/>
          <w:sz w:val="22"/>
          <w:szCs w:val="22"/>
          <w:lang w:eastAsia="en-GB"/>
        </w:rPr>
        <w:t>)</w:t>
      </w:r>
    </w:p>
    <w:p w:rsidR="002B08A5" w:rsidRPr="00732B7B" w:rsidRDefault="002B08A5" w:rsidP="00732B7B">
      <w:pPr>
        <w:spacing w:after="120"/>
        <w:ind w:left="1134"/>
        <w:rPr>
          <w:sz w:val="22"/>
          <w:szCs w:val="22"/>
        </w:rPr>
      </w:pPr>
    </w:p>
    <w:p w:rsidR="00732B7B" w:rsidRPr="00732B7B" w:rsidRDefault="00732B7B" w:rsidP="00732B7B">
      <w:pPr>
        <w:spacing w:after="120"/>
        <w:ind w:left="1134"/>
        <w:rPr>
          <w:sz w:val="22"/>
          <w:szCs w:val="22"/>
        </w:rPr>
      </w:pPr>
      <w:r w:rsidRPr="00732B7B">
        <w:rPr>
          <w:sz w:val="22"/>
          <w:szCs w:val="22"/>
        </w:rPr>
        <w:t>Dear Sir</w:t>
      </w:r>
      <w:bookmarkEnd w:id="4"/>
      <w:r w:rsidRPr="00732B7B">
        <w:rPr>
          <w:sz w:val="22"/>
          <w:szCs w:val="22"/>
        </w:rPr>
        <w:t xml:space="preserve"> / Madam</w:t>
      </w:r>
      <w:r w:rsidR="00B67F92">
        <w:rPr>
          <w:sz w:val="22"/>
          <w:szCs w:val="22"/>
        </w:rPr>
        <w:t>,</w:t>
      </w:r>
      <w:r w:rsidRPr="00732B7B">
        <w:rPr>
          <w:sz w:val="22"/>
          <w:szCs w:val="22"/>
        </w:rPr>
        <w:t xml:space="preserve"> </w:t>
      </w:r>
    </w:p>
    <w:p w:rsidR="00732B7B" w:rsidRPr="00732B7B" w:rsidRDefault="00732B7B" w:rsidP="00732B7B">
      <w:pPr>
        <w:spacing w:after="120"/>
        <w:ind w:left="1134"/>
        <w:rPr>
          <w:sz w:val="22"/>
          <w:szCs w:val="22"/>
        </w:rPr>
      </w:pPr>
    </w:p>
    <w:p w:rsidR="00732B7B" w:rsidRDefault="00732B7B" w:rsidP="00B67F92">
      <w:pPr>
        <w:pStyle w:val="Heading2"/>
        <w:shd w:val="clear" w:color="auto" w:fill="FFFFFF"/>
        <w:spacing w:before="0" w:line="336" w:lineRule="atLeast"/>
        <w:ind w:left="1134"/>
        <w:textAlignment w:val="baseline"/>
        <w:rPr>
          <w:sz w:val="22"/>
          <w:szCs w:val="22"/>
        </w:rPr>
      </w:pPr>
      <w:r w:rsidRPr="00B67F92">
        <w:rPr>
          <w:rFonts w:eastAsiaTheme="minorHAnsi" w:cstheme="minorBidi"/>
          <w:b w:val="0"/>
          <w:bCs w:val="0"/>
          <w:color w:val="auto"/>
          <w:sz w:val="22"/>
          <w:szCs w:val="22"/>
        </w:rPr>
        <w:t xml:space="preserve">Please find enclosed AFME’s response to the </w:t>
      </w:r>
      <w:bookmarkStart w:id="5" w:name="Text9"/>
      <w:r w:rsidR="00B67F92" w:rsidRPr="00B67F92">
        <w:rPr>
          <w:rFonts w:eastAsiaTheme="minorHAnsi" w:cstheme="minorBidi"/>
          <w:b w:val="0"/>
          <w:bCs w:val="0"/>
          <w:color w:val="auto"/>
          <w:sz w:val="22"/>
          <w:szCs w:val="22"/>
        </w:rPr>
        <w:t>Draft Implementing Technical Standards On</w:t>
      </w:r>
      <w:r w:rsidR="002004AA">
        <w:rPr>
          <w:rFonts w:eastAsiaTheme="minorHAnsi" w:cstheme="minorBidi"/>
          <w:b w:val="0"/>
          <w:bCs w:val="0"/>
          <w:color w:val="auto"/>
          <w:sz w:val="22"/>
          <w:szCs w:val="22"/>
        </w:rPr>
        <w:t xml:space="preserve"> permissions for data waivers</w:t>
      </w:r>
      <w:r w:rsidR="00C067CF">
        <w:rPr>
          <w:sz w:val="22"/>
          <w:szCs w:val="22"/>
        </w:rPr>
        <w:t xml:space="preserve">. </w:t>
      </w:r>
      <w:r w:rsidR="00C067CF" w:rsidRPr="00B67F92">
        <w:rPr>
          <w:rFonts w:eastAsiaTheme="minorHAnsi" w:cstheme="minorBidi"/>
          <w:b w:val="0"/>
          <w:bCs w:val="0"/>
          <w:color w:val="auto"/>
          <w:sz w:val="22"/>
          <w:szCs w:val="22"/>
        </w:rPr>
        <w:t>Should you have any questions or desire additional information, please do not hesitate to contact us.</w:t>
      </w:r>
    </w:p>
    <w:p w:rsidR="00C067CF" w:rsidRDefault="00C067CF" w:rsidP="00732B7B">
      <w:pPr>
        <w:spacing w:after="120"/>
        <w:ind w:left="1134"/>
        <w:rPr>
          <w:sz w:val="22"/>
          <w:szCs w:val="22"/>
        </w:rPr>
      </w:pPr>
    </w:p>
    <w:p w:rsidR="00A509A4" w:rsidRPr="00732B7B" w:rsidRDefault="00A509A4" w:rsidP="00732B7B">
      <w:pPr>
        <w:spacing w:after="120"/>
        <w:ind w:left="1134"/>
        <w:rPr>
          <w:sz w:val="22"/>
          <w:szCs w:val="22"/>
        </w:rPr>
      </w:pPr>
    </w:p>
    <w:p w:rsidR="00732B7B" w:rsidRPr="00732B7B" w:rsidRDefault="00732B7B" w:rsidP="00732B7B">
      <w:pPr>
        <w:spacing w:after="120"/>
        <w:ind w:left="1134"/>
        <w:rPr>
          <w:sz w:val="22"/>
          <w:szCs w:val="22"/>
        </w:rPr>
      </w:pPr>
      <w:r w:rsidRPr="00732B7B">
        <w:rPr>
          <w:sz w:val="22"/>
          <w:szCs w:val="22"/>
        </w:rPr>
        <w:t xml:space="preserve">Yours </w:t>
      </w:r>
      <w:bookmarkEnd w:id="5"/>
      <w:r w:rsidR="00C067CF">
        <w:rPr>
          <w:sz w:val="22"/>
          <w:szCs w:val="22"/>
        </w:rPr>
        <w:t>faithfully</w:t>
      </w:r>
    </w:p>
    <w:p w:rsidR="00C067CF" w:rsidRDefault="00A9736E" w:rsidP="00732B7B">
      <w:pPr>
        <w:spacing w:after="120"/>
        <w:ind w:left="1134"/>
        <w:rPr>
          <w:noProof/>
          <w:sz w:val="22"/>
          <w:szCs w:val="22"/>
          <w:lang w:eastAsia="en-GB"/>
        </w:rPr>
      </w:pPr>
      <w:bookmarkStart w:id="6" w:name="Text10"/>
      <w:r w:rsidRPr="00A9736E">
        <w:rPr>
          <w:noProof/>
          <w:sz w:val="22"/>
          <w:szCs w:val="22"/>
          <w:lang w:eastAsia="en-GB"/>
        </w:rPr>
        <w:drawing>
          <wp:inline distT="0" distB="0" distL="0" distR="0">
            <wp:extent cx="1275740" cy="651053"/>
            <wp:effectExtent l="19050" t="0" r="61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84848" cy="655701"/>
                    </a:xfrm>
                    <a:prstGeom prst="rect">
                      <a:avLst/>
                    </a:prstGeom>
                    <a:noFill/>
                    <a:ln w="9525">
                      <a:noFill/>
                      <a:miter lim="800000"/>
                      <a:headEnd/>
                      <a:tailEnd/>
                    </a:ln>
                  </pic:spPr>
                </pic:pic>
              </a:graphicData>
            </a:graphic>
          </wp:inline>
        </w:drawing>
      </w:r>
    </w:p>
    <w:p w:rsidR="00732B7B" w:rsidRPr="00732B7B" w:rsidRDefault="00B67F92" w:rsidP="00732B7B">
      <w:pPr>
        <w:spacing w:after="120"/>
        <w:ind w:left="1134"/>
        <w:rPr>
          <w:sz w:val="22"/>
          <w:szCs w:val="22"/>
        </w:rPr>
      </w:pPr>
      <w:r>
        <w:rPr>
          <w:sz w:val="22"/>
          <w:szCs w:val="22"/>
        </w:rPr>
        <w:t>Jouni Aaltonen</w:t>
      </w:r>
    </w:p>
    <w:p w:rsidR="00C067CF" w:rsidRDefault="00732B7B" w:rsidP="00732B7B">
      <w:pPr>
        <w:spacing w:after="120"/>
        <w:ind w:left="1134"/>
        <w:rPr>
          <w:sz w:val="22"/>
          <w:szCs w:val="22"/>
        </w:rPr>
      </w:pPr>
      <w:r w:rsidRPr="00732B7B">
        <w:rPr>
          <w:sz w:val="22"/>
          <w:szCs w:val="22"/>
        </w:rPr>
        <w:t xml:space="preserve">Director, </w:t>
      </w:r>
      <w:r w:rsidR="00B67F92">
        <w:rPr>
          <w:sz w:val="22"/>
          <w:szCs w:val="22"/>
        </w:rPr>
        <w:t>Prudential Regulation</w:t>
      </w:r>
      <w:r w:rsidRPr="00732B7B">
        <w:rPr>
          <w:sz w:val="22"/>
          <w:szCs w:val="22"/>
        </w:rPr>
        <w:t xml:space="preserve"> </w:t>
      </w:r>
    </w:p>
    <w:p w:rsidR="00732B7B" w:rsidRPr="00732B7B" w:rsidRDefault="00732B7B" w:rsidP="00732B7B">
      <w:pPr>
        <w:spacing w:after="120"/>
        <w:ind w:left="1134"/>
        <w:rPr>
          <w:sz w:val="22"/>
          <w:szCs w:val="22"/>
        </w:rPr>
      </w:pPr>
      <w:r w:rsidRPr="00732B7B">
        <w:rPr>
          <w:sz w:val="22"/>
          <w:szCs w:val="22"/>
        </w:rPr>
        <w:t>AFME</w:t>
      </w:r>
    </w:p>
    <w:p w:rsidR="00732B7B" w:rsidRPr="00732B7B" w:rsidRDefault="00732B7B" w:rsidP="00732B7B">
      <w:pPr>
        <w:spacing w:after="120"/>
        <w:ind w:left="1134"/>
        <w:rPr>
          <w:sz w:val="22"/>
          <w:szCs w:val="22"/>
        </w:rPr>
      </w:pPr>
    </w:p>
    <w:bookmarkEnd w:id="6"/>
    <w:p w:rsidR="00732B7B" w:rsidRPr="005F39C1" w:rsidRDefault="00732B7B" w:rsidP="00EB75F6">
      <w:pPr>
        <w:spacing w:after="120"/>
        <w:ind w:left="1134"/>
      </w:pPr>
    </w:p>
    <w:p w:rsidR="00313DB3" w:rsidRDefault="00313DB3">
      <w:pPr>
        <w:sectPr w:rsidR="00313DB3" w:rsidSect="005A0A66">
          <w:headerReference w:type="default" r:id="rId9"/>
          <w:footerReference w:type="default" r:id="rId10"/>
          <w:headerReference w:type="first" r:id="rId11"/>
          <w:footerReference w:type="first" r:id="rId12"/>
          <w:pgSz w:w="11907" w:h="16839" w:code="9"/>
          <w:pgMar w:top="1440" w:right="850" w:bottom="1440" w:left="1440" w:header="709" w:footer="709" w:gutter="0"/>
          <w:cols w:space="708"/>
          <w:titlePg/>
          <w:docGrid w:linePitch="360"/>
        </w:sectPr>
      </w:pPr>
    </w:p>
    <w:p w:rsidR="00EB75F6" w:rsidRDefault="00EB75F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3"/>
      </w:tblGrid>
      <w:tr w:rsidR="00DD31D1" w:rsidRPr="007C6571" w:rsidTr="00626416">
        <w:tc>
          <w:tcPr>
            <w:tcW w:w="9243" w:type="dxa"/>
            <w:tcBorders>
              <w:bottom w:val="single" w:sz="24" w:space="0" w:color="78A22F"/>
            </w:tcBorders>
          </w:tcPr>
          <w:p w:rsidR="00DD31D1" w:rsidRPr="007C6571" w:rsidRDefault="00B67AEA" w:rsidP="00B67AEA">
            <w:pPr>
              <w:spacing w:after="120"/>
            </w:pPr>
            <w:r w:rsidRPr="007C6571">
              <w:rPr>
                <w:noProof/>
                <w:lang w:eastAsia="en-GB"/>
              </w:rPr>
              <w:drawing>
                <wp:inline distT="0" distB="0" distL="0" distR="0">
                  <wp:extent cx="1676400" cy="664464"/>
                  <wp:effectExtent l="19050" t="0" r="0" b="0"/>
                  <wp:docPr id="2" name="Picture 2" descr="AFME_Logo"/>
                  <wp:cNvGraphicFramePr/>
                  <a:graphic xmlns:a="http://schemas.openxmlformats.org/drawingml/2006/main">
                    <a:graphicData uri="http://schemas.openxmlformats.org/drawingml/2006/picture">
                      <pic:pic xmlns:pic="http://schemas.openxmlformats.org/drawingml/2006/picture">
                        <pic:nvPicPr>
                          <pic:cNvPr id="2051" name="Picture 36" descr="AFME_Logo"/>
                          <pic:cNvPicPr>
                            <a:picLocks noChangeAspect="1" noChangeArrowheads="1"/>
                          </pic:cNvPicPr>
                        </pic:nvPicPr>
                        <pic:blipFill>
                          <a:blip r:embed="rId13" cstate="print"/>
                          <a:stretch>
                            <a:fillRect/>
                          </a:stretch>
                        </pic:blipFill>
                        <pic:spPr bwMode="auto">
                          <a:xfrm>
                            <a:off x="0" y="0"/>
                            <a:ext cx="1676400" cy="664464"/>
                          </a:xfrm>
                          <a:prstGeom prst="rect">
                            <a:avLst/>
                          </a:prstGeom>
                          <a:noFill/>
                          <a:ln w="9525">
                            <a:noFill/>
                            <a:miter lim="800000"/>
                            <a:headEnd/>
                            <a:tailEnd/>
                          </a:ln>
                        </pic:spPr>
                      </pic:pic>
                    </a:graphicData>
                  </a:graphic>
                </wp:inline>
              </w:drawing>
            </w:r>
            <w:r w:rsidR="004C71F4">
              <w:t xml:space="preserve">                                   </w:t>
            </w:r>
            <w:r w:rsidR="00DD31D1" w:rsidRPr="007C6571">
              <w:t>Association for Financial Markets in Europe</w:t>
            </w:r>
          </w:p>
        </w:tc>
      </w:tr>
      <w:tr w:rsidR="00DD31D1" w:rsidRPr="007C6571" w:rsidTr="00626416">
        <w:tc>
          <w:tcPr>
            <w:tcW w:w="9243" w:type="dxa"/>
            <w:tcBorders>
              <w:top w:val="single" w:sz="24" w:space="0" w:color="78A22F"/>
              <w:bottom w:val="single" w:sz="24" w:space="0" w:color="78A22F"/>
            </w:tcBorders>
          </w:tcPr>
          <w:p w:rsidR="00DD31D1" w:rsidRPr="008E4D26" w:rsidRDefault="00DD31D1" w:rsidP="00C0371C">
            <w:pPr>
              <w:rPr>
                <w:b/>
                <w:color w:val="78A22F"/>
                <w:sz w:val="36"/>
                <w:szCs w:val="36"/>
              </w:rPr>
            </w:pPr>
            <w:r w:rsidRPr="008E4D26">
              <w:rPr>
                <w:b/>
                <w:color w:val="78A22F"/>
                <w:sz w:val="36"/>
                <w:szCs w:val="36"/>
              </w:rPr>
              <w:t xml:space="preserve">Consultation </w:t>
            </w:r>
            <w:r w:rsidR="008E4D26" w:rsidRPr="008E4D26">
              <w:rPr>
                <w:b/>
                <w:color w:val="78A22F"/>
                <w:sz w:val="36"/>
                <w:szCs w:val="36"/>
              </w:rPr>
              <w:t>r</w:t>
            </w:r>
            <w:r w:rsidRPr="008E4D26">
              <w:rPr>
                <w:b/>
                <w:color w:val="78A22F"/>
                <w:sz w:val="36"/>
                <w:szCs w:val="36"/>
              </w:rPr>
              <w:t>esponse</w:t>
            </w:r>
            <w:r w:rsidR="00846554" w:rsidRPr="008E4D26">
              <w:rPr>
                <w:b/>
                <w:color w:val="78A22F"/>
                <w:sz w:val="36"/>
                <w:szCs w:val="36"/>
              </w:rPr>
              <w:t xml:space="preserve"> </w:t>
            </w:r>
          </w:p>
          <w:p w:rsidR="002004AA" w:rsidRPr="002004AA" w:rsidRDefault="002004AA" w:rsidP="002004AA">
            <w:pPr>
              <w:pStyle w:val="Heading2"/>
              <w:shd w:val="clear" w:color="auto" w:fill="FFFFFF"/>
              <w:spacing w:before="0" w:line="336" w:lineRule="atLeast"/>
              <w:textAlignment w:val="baseline"/>
              <w:rPr>
                <w:color w:val="auto"/>
                <w:kern w:val="28"/>
                <w:sz w:val="32"/>
                <w:szCs w:val="32"/>
                <w:lang w:eastAsia="en-GB"/>
              </w:rPr>
            </w:pPr>
            <w:r w:rsidRPr="002004AA">
              <w:rPr>
                <w:color w:val="auto"/>
                <w:kern w:val="28"/>
                <w:sz w:val="32"/>
                <w:szCs w:val="32"/>
                <w:lang w:eastAsia="en-GB"/>
              </w:rPr>
              <w:t>Consultation on draft Regulatory Technical Standards (RTS) on</w:t>
            </w:r>
            <w:r w:rsidR="001C7C91">
              <w:rPr>
                <w:color w:val="auto"/>
                <w:kern w:val="28"/>
                <w:sz w:val="32"/>
                <w:szCs w:val="32"/>
                <w:lang w:eastAsia="en-GB"/>
              </w:rPr>
              <w:t xml:space="preserve"> </w:t>
            </w:r>
            <w:r w:rsidRPr="002004AA">
              <w:rPr>
                <w:color w:val="auto"/>
                <w:kern w:val="28"/>
                <w:sz w:val="32"/>
                <w:szCs w:val="32"/>
                <w:lang w:eastAsia="en-GB"/>
              </w:rPr>
              <w:t>the conditions according to which competent authorities may grant permission for data waiver (EBA/CP/2014/02)</w:t>
            </w:r>
          </w:p>
          <w:p w:rsidR="00DD31D1" w:rsidRPr="00EB75F6" w:rsidRDefault="001C7C91" w:rsidP="001C7C91">
            <w:pPr>
              <w:jc w:val="left"/>
              <w:rPr>
                <w:sz w:val="28"/>
                <w:szCs w:val="28"/>
              </w:rPr>
            </w:pPr>
            <w:r>
              <w:rPr>
                <w:rFonts w:cs="Arial"/>
                <w:sz w:val="28"/>
                <w:szCs w:val="28"/>
              </w:rPr>
              <w:t>6</w:t>
            </w:r>
            <w:r w:rsidR="00C067CF" w:rsidRPr="00EB75F6">
              <w:rPr>
                <w:rFonts w:cs="Arial"/>
                <w:sz w:val="28"/>
                <w:szCs w:val="28"/>
              </w:rPr>
              <w:t xml:space="preserve"> </w:t>
            </w:r>
            <w:r>
              <w:rPr>
                <w:rFonts w:cs="Arial"/>
                <w:sz w:val="28"/>
                <w:szCs w:val="28"/>
              </w:rPr>
              <w:t>June</w:t>
            </w:r>
            <w:r w:rsidR="00C067CF" w:rsidRPr="00EB75F6">
              <w:rPr>
                <w:rFonts w:cs="Arial"/>
                <w:sz w:val="28"/>
                <w:szCs w:val="28"/>
              </w:rPr>
              <w:t xml:space="preserve"> 20</w:t>
            </w:r>
            <w:r w:rsidR="00C067CF">
              <w:rPr>
                <w:rFonts w:cs="Arial"/>
                <w:sz w:val="28"/>
                <w:szCs w:val="28"/>
              </w:rPr>
              <w:t>1</w:t>
            </w:r>
            <w:r w:rsidR="00B67F92">
              <w:rPr>
                <w:rFonts w:cs="Arial"/>
                <w:sz w:val="28"/>
                <w:szCs w:val="28"/>
              </w:rPr>
              <w:t>4</w:t>
            </w:r>
            <w:r w:rsidR="00C067CF" w:rsidRPr="00EB75F6">
              <w:rPr>
                <w:rFonts w:cs="Arial"/>
                <w:sz w:val="28"/>
                <w:szCs w:val="28"/>
              </w:rPr>
              <w:t xml:space="preserve">   </w:t>
            </w:r>
            <w:r w:rsidR="00C0371C" w:rsidRPr="00EB75F6">
              <w:rPr>
                <w:rFonts w:cs="Arial"/>
                <w:sz w:val="28"/>
                <w:szCs w:val="28"/>
              </w:rPr>
              <w:br/>
            </w:r>
          </w:p>
        </w:tc>
      </w:tr>
    </w:tbl>
    <w:p w:rsidR="00B67F92" w:rsidRDefault="00B67F92" w:rsidP="002B08A5">
      <w:pPr>
        <w:spacing w:before="0"/>
        <w:rPr>
          <w:rFonts w:ascii="Cambria" w:hAnsi="Cambria" w:cs="Cambria"/>
          <w:color w:val="000000"/>
          <w:sz w:val="22"/>
          <w:szCs w:val="22"/>
        </w:rPr>
      </w:pPr>
    </w:p>
    <w:p w:rsidR="002B08A5" w:rsidRDefault="002B08A5" w:rsidP="002B08A5">
      <w:pPr>
        <w:spacing w:before="0"/>
        <w:rPr>
          <w:rFonts w:ascii="Cambria" w:hAnsi="Cambria" w:cs="Cambria"/>
          <w:bCs/>
          <w:color w:val="000000"/>
          <w:sz w:val="22"/>
          <w:szCs w:val="22"/>
        </w:rPr>
      </w:pPr>
      <w:r w:rsidRPr="00E45DE8">
        <w:rPr>
          <w:rFonts w:ascii="Cambria" w:hAnsi="Cambria" w:cs="Cambria"/>
          <w:color w:val="000000"/>
          <w:sz w:val="22"/>
          <w:szCs w:val="22"/>
        </w:rPr>
        <w:t>The Association for Financial Markets in Europe (AFME) welcomes the opportunity to comment on the</w:t>
      </w:r>
      <w:r>
        <w:rPr>
          <w:rFonts w:ascii="Cambria" w:hAnsi="Cambria" w:cs="Cambria"/>
          <w:color w:val="000000"/>
          <w:sz w:val="22"/>
          <w:szCs w:val="22"/>
        </w:rPr>
        <w:t xml:space="preserve"> </w:t>
      </w:r>
      <w:r w:rsidRPr="006F1754">
        <w:rPr>
          <w:rFonts w:ascii="Cambria" w:hAnsi="Cambria" w:cs="Cambria"/>
          <w:bCs/>
          <w:color w:val="000000"/>
          <w:sz w:val="22"/>
          <w:szCs w:val="22"/>
        </w:rPr>
        <w:t>European Banking Authority</w:t>
      </w:r>
      <w:r w:rsidR="002004AA">
        <w:rPr>
          <w:rFonts w:ascii="Cambria" w:hAnsi="Cambria" w:cs="Cambria"/>
          <w:bCs/>
          <w:color w:val="000000"/>
          <w:sz w:val="22"/>
          <w:szCs w:val="22"/>
        </w:rPr>
        <w:t>’s</w:t>
      </w:r>
      <w:r w:rsidRPr="006F1754">
        <w:rPr>
          <w:rFonts w:ascii="Cambria" w:hAnsi="Cambria" w:cs="Cambria"/>
          <w:bCs/>
          <w:color w:val="000000"/>
          <w:sz w:val="22"/>
          <w:szCs w:val="22"/>
        </w:rPr>
        <w:t xml:space="preserve"> (EBA) Consultation Paper (CP) on </w:t>
      </w:r>
      <w:r w:rsidR="002004AA">
        <w:rPr>
          <w:rFonts w:ascii="Cambria" w:hAnsi="Cambria" w:cs="Cambria"/>
          <w:bCs/>
          <w:color w:val="000000"/>
          <w:sz w:val="22"/>
          <w:szCs w:val="22"/>
        </w:rPr>
        <w:t>permissions for data waivers</w:t>
      </w:r>
      <w:r w:rsidR="00A05AB6">
        <w:rPr>
          <w:rFonts w:ascii="Cambria" w:hAnsi="Cambria" w:cs="Cambria"/>
          <w:bCs/>
          <w:color w:val="000000"/>
          <w:sz w:val="22"/>
          <w:szCs w:val="22"/>
        </w:rPr>
        <w:t xml:space="preserve">. </w:t>
      </w:r>
    </w:p>
    <w:p w:rsidR="00A05AB6" w:rsidRDefault="00A05AB6" w:rsidP="002B08A5">
      <w:pPr>
        <w:spacing w:before="0"/>
        <w:rPr>
          <w:rFonts w:ascii="Cambria" w:hAnsi="Cambria" w:cs="Cambria"/>
          <w:b/>
          <w:bCs/>
          <w:color w:val="000000"/>
          <w:sz w:val="22"/>
          <w:szCs w:val="22"/>
        </w:rPr>
      </w:pPr>
    </w:p>
    <w:p w:rsidR="002B08A5" w:rsidRPr="00A904A9" w:rsidRDefault="002B08A5" w:rsidP="002B08A5">
      <w:pPr>
        <w:autoSpaceDE w:val="0"/>
        <w:autoSpaceDN w:val="0"/>
        <w:adjustRightInd w:val="0"/>
        <w:spacing w:before="0"/>
        <w:rPr>
          <w:rFonts w:ascii="Cambria" w:hAnsi="Cambria" w:cs="Cambria"/>
          <w:color w:val="000000"/>
          <w:sz w:val="22"/>
          <w:szCs w:val="22"/>
        </w:rPr>
      </w:pPr>
      <w:r w:rsidRPr="00E917F3">
        <w:rPr>
          <w:sz w:val="22"/>
          <w:szCs w:val="22"/>
        </w:rPr>
        <w:t>AFME represents a broad array of European and global participants in the wholesale financial markets. Its members comprise pan-EU and global banks as well as key regional banks, brokers, law firms, investors and other financial market participants. We advocate stable, competitive, sustainable European financial markets that support economic growth and benefit society.</w:t>
      </w:r>
      <w:r>
        <w:rPr>
          <w:sz w:val="22"/>
          <w:szCs w:val="22"/>
        </w:rPr>
        <w:t xml:space="preserve"> </w:t>
      </w:r>
      <w:r w:rsidRPr="00A904A9">
        <w:rPr>
          <w:rFonts w:ascii="Cambria" w:hAnsi="Cambria" w:cs="Cambria"/>
          <w:color w:val="000000"/>
          <w:sz w:val="22"/>
          <w:szCs w:val="22"/>
        </w:rPr>
        <w:t>Its pan-European</w:t>
      </w:r>
      <w:r>
        <w:rPr>
          <w:rFonts w:ascii="Cambria" w:hAnsi="Cambria" w:cs="Cambria"/>
          <w:color w:val="000000"/>
          <w:sz w:val="22"/>
          <w:szCs w:val="22"/>
        </w:rPr>
        <w:t xml:space="preserve"> </w:t>
      </w:r>
      <w:r w:rsidRPr="00A904A9">
        <w:rPr>
          <w:rFonts w:ascii="Cambria" w:hAnsi="Cambria" w:cs="Cambria"/>
          <w:color w:val="000000"/>
          <w:sz w:val="22"/>
          <w:szCs w:val="22"/>
        </w:rPr>
        <w:t>membership allows AFME to draw upon the expertise, diversity of business models,</w:t>
      </w:r>
      <w:r>
        <w:rPr>
          <w:rFonts w:ascii="Cambria" w:hAnsi="Cambria" w:cs="Cambria"/>
          <w:color w:val="000000"/>
          <w:sz w:val="22"/>
          <w:szCs w:val="22"/>
        </w:rPr>
        <w:t xml:space="preserve"> </w:t>
      </w:r>
      <w:r w:rsidRPr="00A904A9">
        <w:rPr>
          <w:rFonts w:ascii="Cambria" w:hAnsi="Cambria" w:cs="Cambria"/>
          <w:color w:val="000000"/>
          <w:sz w:val="22"/>
          <w:szCs w:val="22"/>
        </w:rPr>
        <w:t>cultures and experiences found within its member firms.</w:t>
      </w:r>
      <w:r>
        <w:rPr>
          <w:rStyle w:val="FootnoteReference"/>
          <w:rFonts w:ascii="Cambria" w:hAnsi="Cambria" w:cs="Cambria"/>
          <w:color w:val="000000"/>
          <w:sz w:val="22"/>
          <w:szCs w:val="22"/>
        </w:rPr>
        <w:footnoteReference w:id="1"/>
      </w:r>
    </w:p>
    <w:p w:rsidR="002B08A5" w:rsidRPr="00A904A9" w:rsidRDefault="002B08A5" w:rsidP="002B08A5">
      <w:pPr>
        <w:spacing w:before="0"/>
        <w:rPr>
          <w:rFonts w:ascii="Cambria" w:hAnsi="Cambria" w:cs="Cambria"/>
          <w:color w:val="000000"/>
          <w:sz w:val="22"/>
          <w:szCs w:val="22"/>
        </w:rPr>
      </w:pPr>
    </w:p>
    <w:p w:rsidR="00BB5E30" w:rsidRDefault="002004AA" w:rsidP="00BB5E30">
      <w:pPr>
        <w:spacing w:after="120"/>
        <w:jc w:val="left"/>
        <w:rPr>
          <w:b/>
          <w:color w:val="78A22F"/>
        </w:rPr>
      </w:pPr>
      <w:r>
        <w:rPr>
          <w:b/>
          <w:color w:val="78A22F"/>
        </w:rPr>
        <w:t>AFME views</w:t>
      </w:r>
    </w:p>
    <w:p w:rsidR="00974F48" w:rsidRDefault="00974F48" w:rsidP="00974F48">
      <w:pPr>
        <w:rPr>
          <w:rFonts w:ascii="Cambria" w:hAnsi="Cambria" w:cs="Cambria"/>
          <w:color w:val="000000"/>
          <w:sz w:val="22"/>
          <w:szCs w:val="22"/>
        </w:rPr>
      </w:pPr>
      <w:r w:rsidRPr="00974F48">
        <w:rPr>
          <w:rFonts w:ascii="Cambria" w:hAnsi="Cambria" w:cs="Cambria"/>
          <w:color w:val="000000"/>
          <w:sz w:val="22"/>
          <w:szCs w:val="22"/>
        </w:rPr>
        <w:t>We welcome the opportunity to comment the draft RTS specifying conditions acco</w:t>
      </w:r>
      <w:r>
        <w:rPr>
          <w:rFonts w:ascii="Cambria" w:hAnsi="Cambria" w:cs="Cambria"/>
          <w:color w:val="000000"/>
          <w:sz w:val="22"/>
          <w:szCs w:val="22"/>
        </w:rPr>
        <w:t>rding to which competent authori</w:t>
      </w:r>
      <w:r w:rsidRPr="00974F48">
        <w:rPr>
          <w:rFonts w:ascii="Cambria" w:hAnsi="Cambria" w:cs="Cambria"/>
          <w:color w:val="000000"/>
          <w:sz w:val="22"/>
          <w:szCs w:val="22"/>
        </w:rPr>
        <w:t>t</w:t>
      </w:r>
      <w:r>
        <w:rPr>
          <w:rFonts w:ascii="Cambria" w:hAnsi="Cambria" w:cs="Cambria"/>
          <w:color w:val="000000"/>
          <w:sz w:val="22"/>
          <w:szCs w:val="22"/>
        </w:rPr>
        <w:t>i</w:t>
      </w:r>
      <w:r w:rsidRPr="00974F48">
        <w:rPr>
          <w:rFonts w:ascii="Cambria" w:hAnsi="Cambria" w:cs="Cambria"/>
          <w:color w:val="000000"/>
          <w:sz w:val="22"/>
          <w:szCs w:val="22"/>
        </w:rPr>
        <w:t xml:space="preserve">es may permit institutions to use relevant data covering shorter time period (data waiver permission) with the reference EBA/CP/2014/02. We appreciate this disposal which encourages the migration of some institutions to the IRB approach. </w:t>
      </w:r>
      <w:r>
        <w:rPr>
          <w:rFonts w:ascii="Cambria" w:hAnsi="Cambria" w:cs="Cambria"/>
          <w:color w:val="000000"/>
          <w:sz w:val="22"/>
          <w:szCs w:val="22"/>
        </w:rPr>
        <w:t xml:space="preserve">Please find our detailed comments below relating to particular topics that we believe the EBA should consider in its deliberations. </w:t>
      </w:r>
    </w:p>
    <w:p w:rsidR="00974F48" w:rsidRDefault="00974F48" w:rsidP="00974F48">
      <w:pPr>
        <w:pStyle w:val="Heading3"/>
      </w:pPr>
      <w:r>
        <w:t>Definition of institution</w:t>
      </w:r>
    </w:p>
    <w:p w:rsidR="00974F48" w:rsidRPr="00974F48" w:rsidRDefault="00EF0F26" w:rsidP="00974F48">
      <w:pPr>
        <w:rPr>
          <w:rFonts w:ascii="Cambria" w:hAnsi="Cambria" w:cs="Cambria"/>
          <w:color w:val="000000"/>
          <w:sz w:val="22"/>
          <w:szCs w:val="22"/>
        </w:rPr>
      </w:pPr>
      <w:r>
        <w:rPr>
          <w:rFonts w:ascii="Cambria" w:hAnsi="Cambria" w:cs="Cambria"/>
          <w:color w:val="000000"/>
          <w:sz w:val="22"/>
          <w:szCs w:val="22"/>
        </w:rPr>
        <w:t>I</w:t>
      </w:r>
      <w:r w:rsidR="00974F48" w:rsidRPr="00974F48">
        <w:rPr>
          <w:rFonts w:ascii="Cambria" w:hAnsi="Cambria" w:cs="Cambria"/>
          <w:color w:val="000000"/>
          <w:sz w:val="22"/>
          <w:szCs w:val="22"/>
        </w:rPr>
        <w:t>t should be stressed that the draft RTS is not clear enough regarding the entity concerned by the data waiver permission.</w:t>
      </w:r>
      <w:r>
        <w:rPr>
          <w:rFonts w:ascii="Cambria" w:hAnsi="Cambria" w:cs="Cambria"/>
          <w:color w:val="000000"/>
          <w:sz w:val="22"/>
          <w:szCs w:val="22"/>
        </w:rPr>
        <w:t xml:space="preserve"> Article 2 “Definitions” should include a definition of “institution”.</w:t>
      </w:r>
      <w:r w:rsidR="00974F48" w:rsidRPr="00974F48">
        <w:rPr>
          <w:rFonts w:ascii="Cambria" w:hAnsi="Cambria" w:cs="Cambria"/>
          <w:color w:val="000000"/>
          <w:sz w:val="22"/>
          <w:szCs w:val="22"/>
        </w:rPr>
        <w:t xml:space="preserve"> In the article 5 the use of the term "institution" is confusing and difficult t</w:t>
      </w:r>
      <w:r w:rsidR="00974F48">
        <w:rPr>
          <w:rFonts w:ascii="Cambria" w:hAnsi="Cambria" w:cs="Cambria"/>
          <w:color w:val="000000"/>
          <w:sz w:val="22"/>
          <w:szCs w:val="22"/>
        </w:rPr>
        <w:t>o interpret. AFME and our members believe that</w:t>
      </w:r>
      <w:r w:rsidR="00974F48" w:rsidRPr="00974F48">
        <w:rPr>
          <w:rFonts w:ascii="Cambria" w:hAnsi="Cambria" w:cs="Cambria"/>
          <w:color w:val="000000"/>
          <w:sz w:val="22"/>
          <w:szCs w:val="22"/>
        </w:rPr>
        <w:t xml:space="preserve"> it should be replaced by "parent company".</w:t>
      </w:r>
    </w:p>
    <w:p w:rsidR="002004AA" w:rsidRPr="000218E7" w:rsidRDefault="00974F48" w:rsidP="00974F48">
      <w:pPr>
        <w:pStyle w:val="Heading3"/>
      </w:pPr>
      <w:r>
        <w:t>Article</w:t>
      </w:r>
      <w:r w:rsidR="002004AA" w:rsidRPr="000218E7">
        <w:t xml:space="preserve"> 4</w:t>
      </w:r>
      <w:r>
        <w:t>:</w:t>
      </w:r>
      <w:r w:rsidR="002004AA" w:rsidRPr="000218E7">
        <w:t xml:space="preserve"> Conditions for eligibility of exposures</w:t>
      </w:r>
    </w:p>
    <w:p w:rsidR="002004AA" w:rsidRPr="002004AA" w:rsidRDefault="002004AA" w:rsidP="002004AA">
      <w:pPr>
        <w:rPr>
          <w:rFonts w:ascii="Cambria" w:hAnsi="Cambria" w:cs="Cambria"/>
          <w:color w:val="000000"/>
          <w:sz w:val="22"/>
          <w:szCs w:val="22"/>
        </w:rPr>
      </w:pPr>
      <w:r w:rsidRPr="002004AA">
        <w:rPr>
          <w:rFonts w:ascii="Cambria" w:hAnsi="Cambria" w:cs="Cambria"/>
          <w:color w:val="000000"/>
          <w:sz w:val="22"/>
          <w:szCs w:val="22"/>
        </w:rPr>
        <w:t xml:space="preserve">According to paragraph 2, exposures to central governments, central banks and institutions shall not be eligible. We do not agree with this general exemption as the CRR (e.g. Article 180 (1) (h)) explicitly gives the competent authorities the possibility to grant a data waiver permission. </w:t>
      </w:r>
    </w:p>
    <w:p w:rsidR="002004AA" w:rsidRPr="002004AA" w:rsidRDefault="002004AA" w:rsidP="002004AA">
      <w:pPr>
        <w:rPr>
          <w:rFonts w:ascii="Cambria" w:hAnsi="Cambria" w:cs="Cambria"/>
          <w:color w:val="000000"/>
          <w:sz w:val="22"/>
          <w:szCs w:val="22"/>
        </w:rPr>
      </w:pPr>
      <w:r w:rsidRPr="002004AA">
        <w:rPr>
          <w:rFonts w:ascii="Cambria" w:hAnsi="Cambria" w:cs="Cambria"/>
          <w:color w:val="000000"/>
          <w:sz w:val="22"/>
          <w:szCs w:val="22"/>
        </w:rPr>
        <w:lastRenderedPageBreak/>
        <w:t xml:space="preserve">According to Paragraph 3, portfolios “structurally characterised by few or no observed defaults” are not eligible for data waiver permissions. In order to avoid ambiguity and ensure consistent interpretation by institutions as well as competent authorities (CA) across jurisdictions, a more specific definition of this term would be beneficial. In addition, given the requirement to add an appropriate margin of conservatism, we do not agree that exposures with low defaults are not eligible for the data waiver. </w:t>
      </w:r>
      <w:r w:rsidR="00B84B33">
        <w:rPr>
          <w:rFonts w:ascii="Cambria" w:hAnsi="Cambria" w:cs="Cambria"/>
          <w:color w:val="000000"/>
          <w:sz w:val="22"/>
          <w:szCs w:val="22"/>
        </w:rPr>
        <w:t>It must also be noted that CRR (e.g. Article 180 (1) (d</w:t>
      </w:r>
      <w:r w:rsidR="00B84B33" w:rsidRPr="002004AA">
        <w:rPr>
          <w:rFonts w:ascii="Cambria" w:hAnsi="Cambria" w:cs="Cambria"/>
          <w:color w:val="000000"/>
          <w:sz w:val="22"/>
          <w:szCs w:val="22"/>
        </w:rPr>
        <w:t>))</w:t>
      </w:r>
      <w:r w:rsidR="00B84B33">
        <w:rPr>
          <w:rFonts w:ascii="Cambria" w:hAnsi="Cambria" w:cs="Cambria"/>
          <w:color w:val="000000"/>
          <w:sz w:val="22"/>
          <w:szCs w:val="22"/>
        </w:rPr>
        <w:t xml:space="preserve"> specifically invite institutions to use “judgmental considerations” to adjust calibrations if data are scarce (“limitations of techniques and information”). </w:t>
      </w:r>
    </w:p>
    <w:p w:rsidR="002004AA" w:rsidRDefault="009103E2" w:rsidP="002004AA">
      <w:pPr>
        <w:rPr>
          <w:rFonts w:ascii="Cambria" w:hAnsi="Cambria" w:cs="Cambria"/>
          <w:color w:val="000000"/>
          <w:sz w:val="22"/>
          <w:szCs w:val="22"/>
        </w:rPr>
      </w:pPr>
      <w:r>
        <w:rPr>
          <w:rFonts w:ascii="Cambria" w:hAnsi="Cambria" w:cs="Cambria"/>
          <w:color w:val="000000"/>
          <w:sz w:val="22"/>
          <w:szCs w:val="22"/>
        </w:rPr>
        <w:t>Additionally, w</w:t>
      </w:r>
      <w:r w:rsidR="002004AA" w:rsidRPr="002004AA">
        <w:rPr>
          <w:rFonts w:ascii="Cambria" w:hAnsi="Cambria" w:cs="Cambria"/>
          <w:color w:val="000000"/>
          <w:sz w:val="22"/>
          <w:szCs w:val="22"/>
        </w:rPr>
        <w:t>e do not agree with paragraph 4 as it limits granting data waiver permissions to portfolios already existent at the time of the institutions’ initial IR</w:t>
      </w:r>
      <w:r>
        <w:rPr>
          <w:rFonts w:ascii="Cambria" w:hAnsi="Cambria" w:cs="Cambria"/>
          <w:color w:val="000000"/>
          <w:sz w:val="22"/>
          <w:szCs w:val="22"/>
        </w:rPr>
        <w:t>BA approval and within a 5-year</w:t>
      </w:r>
      <w:r w:rsidR="002004AA" w:rsidRPr="002004AA">
        <w:rPr>
          <w:rFonts w:ascii="Cambria" w:hAnsi="Cambria" w:cs="Cambria"/>
          <w:color w:val="000000"/>
          <w:sz w:val="22"/>
          <w:szCs w:val="22"/>
        </w:rPr>
        <w:t xml:space="preserve"> time period after the institutions’ initial IRBA approval. We believe that data waiver permissions with respect to newly acquired portfolios are critical </w:t>
      </w:r>
      <w:r>
        <w:rPr>
          <w:rFonts w:ascii="Cambria" w:hAnsi="Cambria" w:cs="Cambria"/>
          <w:color w:val="000000"/>
          <w:sz w:val="22"/>
          <w:szCs w:val="22"/>
        </w:rPr>
        <w:t xml:space="preserve">in order </w:t>
      </w:r>
      <w:r w:rsidR="002004AA" w:rsidRPr="002004AA">
        <w:rPr>
          <w:rFonts w:ascii="Cambria" w:hAnsi="Cambria" w:cs="Cambria"/>
          <w:color w:val="000000"/>
          <w:sz w:val="22"/>
          <w:szCs w:val="22"/>
        </w:rPr>
        <w:t xml:space="preserve">to allow for a timely integration into institutions’ IRBA rating systems. This would be in line with Article 148 CRR which requires banks to implement the IRBA for all exposures. </w:t>
      </w:r>
    </w:p>
    <w:p w:rsidR="00B84B33" w:rsidRPr="002004AA" w:rsidRDefault="00EE0463" w:rsidP="002004AA">
      <w:pPr>
        <w:rPr>
          <w:rFonts w:ascii="Cambria" w:hAnsi="Cambria" w:cs="Cambria"/>
          <w:color w:val="000000"/>
          <w:sz w:val="22"/>
          <w:szCs w:val="22"/>
        </w:rPr>
      </w:pPr>
      <w:r>
        <w:rPr>
          <w:rFonts w:ascii="Cambria" w:hAnsi="Cambria" w:cs="Cambria"/>
          <w:color w:val="000000"/>
          <w:sz w:val="22"/>
          <w:szCs w:val="22"/>
        </w:rPr>
        <w:t>The 5-year time limit is also ignoring the evolving nature of inst</w:t>
      </w:r>
      <w:r w:rsidR="009103E2">
        <w:rPr>
          <w:rFonts w:ascii="Cambria" w:hAnsi="Cambria" w:cs="Cambria"/>
          <w:color w:val="000000"/>
          <w:sz w:val="22"/>
          <w:szCs w:val="22"/>
        </w:rPr>
        <w:t>itutions’ internal organisation, strategy</w:t>
      </w:r>
      <w:r>
        <w:rPr>
          <w:rFonts w:ascii="Cambria" w:hAnsi="Cambria" w:cs="Cambria"/>
          <w:color w:val="000000"/>
          <w:sz w:val="22"/>
          <w:szCs w:val="22"/>
        </w:rPr>
        <w:t xml:space="preserve"> and I</w:t>
      </w:r>
      <w:r w:rsidR="009103E2">
        <w:rPr>
          <w:rFonts w:ascii="Cambria" w:hAnsi="Cambria" w:cs="Cambria"/>
          <w:color w:val="000000"/>
          <w:sz w:val="22"/>
          <w:szCs w:val="22"/>
        </w:rPr>
        <w:t xml:space="preserve">T systems, as well as </w:t>
      </w:r>
      <w:r>
        <w:rPr>
          <w:rFonts w:ascii="Cambria" w:hAnsi="Cambria" w:cs="Cambria"/>
          <w:color w:val="000000"/>
          <w:sz w:val="22"/>
          <w:szCs w:val="22"/>
        </w:rPr>
        <w:t xml:space="preserve">adaptations to </w:t>
      </w:r>
      <w:r w:rsidR="009103E2">
        <w:rPr>
          <w:rFonts w:ascii="Cambria" w:hAnsi="Cambria" w:cs="Cambria"/>
          <w:color w:val="000000"/>
          <w:sz w:val="22"/>
          <w:szCs w:val="22"/>
        </w:rPr>
        <w:t xml:space="preserve">the </w:t>
      </w:r>
      <w:r>
        <w:rPr>
          <w:rFonts w:ascii="Cambria" w:hAnsi="Cambria" w:cs="Cambria"/>
          <w:color w:val="000000"/>
          <w:sz w:val="22"/>
          <w:szCs w:val="22"/>
        </w:rPr>
        <w:t>market</w:t>
      </w:r>
      <w:r w:rsidR="009103E2">
        <w:rPr>
          <w:rFonts w:ascii="Cambria" w:hAnsi="Cambria" w:cs="Cambria"/>
          <w:color w:val="000000"/>
          <w:sz w:val="22"/>
          <w:szCs w:val="22"/>
        </w:rPr>
        <w:t>’s evolution</w:t>
      </w:r>
      <w:r>
        <w:rPr>
          <w:rFonts w:ascii="Cambria" w:hAnsi="Cambria" w:cs="Cambria"/>
          <w:color w:val="000000"/>
          <w:sz w:val="22"/>
          <w:szCs w:val="22"/>
        </w:rPr>
        <w:t>. It</w:t>
      </w:r>
      <w:r w:rsidR="00B84B33">
        <w:rPr>
          <w:rFonts w:ascii="Cambria" w:hAnsi="Cambria" w:cs="Cambria"/>
          <w:color w:val="000000"/>
          <w:sz w:val="22"/>
          <w:szCs w:val="22"/>
        </w:rPr>
        <w:t xml:space="preserve"> should </w:t>
      </w:r>
      <w:r>
        <w:rPr>
          <w:rFonts w:ascii="Cambria" w:hAnsi="Cambria" w:cs="Cambria"/>
          <w:color w:val="000000"/>
          <w:sz w:val="22"/>
          <w:szCs w:val="22"/>
        </w:rPr>
        <w:t xml:space="preserve">always </w:t>
      </w:r>
      <w:r w:rsidR="00B84B33">
        <w:rPr>
          <w:rFonts w:ascii="Cambria" w:hAnsi="Cambria" w:cs="Cambria"/>
          <w:color w:val="000000"/>
          <w:sz w:val="22"/>
          <w:szCs w:val="22"/>
        </w:rPr>
        <w:t>be possible for an institution facing disruption in data collection to apply for data waiver authorization (</w:t>
      </w:r>
      <w:r>
        <w:rPr>
          <w:rFonts w:ascii="Cambria" w:hAnsi="Cambria" w:cs="Cambria"/>
          <w:color w:val="000000"/>
          <w:sz w:val="22"/>
          <w:szCs w:val="22"/>
        </w:rPr>
        <w:t xml:space="preserve">e.g. </w:t>
      </w:r>
      <w:r w:rsidR="00B84B33">
        <w:rPr>
          <w:rFonts w:ascii="Cambria" w:hAnsi="Cambria" w:cs="Cambria"/>
          <w:color w:val="000000"/>
          <w:sz w:val="22"/>
          <w:szCs w:val="22"/>
        </w:rPr>
        <w:t>changes in definition of default</w:t>
      </w:r>
      <w:r w:rsidR="009103E2">
        <w:rPr>
          <w:rFonts w:ascii="Cambria" w:hAnsi="Cambria" w:cs="Cambria"/>
          <w:color w:val="000000"/>
          <w:sz w:val="22"/>
          <w:szCs w:val="22"/>
        </w:rPr>
        <w:t xml:space="preserve">; M&amp;A impacting </w:t>
      </w:r>
      <w:r w:rsidR="00B84B33">
        <w:rPr>
          <w:rFonts w:ascii="Cambria" w:hAnsi="Cambria" w:cs="Cambria"/>
          <w:color w:val="000000"/>
          <w:sz w:val="22"/>
          <w:szCs w:val="22"/>
        </w:rPr>
        <w:t>internal processes and organization</w:t>
      </w:r>
      <w:r>
        <w:rPr>
          <w:rFonts w:ascii="Cambria" w:hAnsi="Cambria" w:cs="Cambria"/>
          <w:color w:val="000000"/>
          <w:sz w:val="22"/>
          <w:szCs w:val="22"/>
        </w:rPr>
        <w:t>s</w:t>
      </w:r>
      <w:r w:rsidR="00B84B33">
        <w:rPr>
          <w:rFonts w:ascii="Cambria" w:hAnsi="Cambria" w:cs="Cambria"/>
          <w:color w:val="000000"/>
          <w:sz w:val="22"/>
          <w:szCs w:val="22"/>
        </w:rPr>
        <w:t xml:space="preserve"> </w:t>
      </w:r>
      <w:r>
        <w:rPr>
          <w:rFonts w:ascii="Cambria" w:hAnsi="Cambria" w:cs="Cambria"/>
          <w:color w:val="000000"/>
          <w:sz w:val="22"/>
          <w:szCs w:val="22"/>
        </w:rPr>
        <w:t>of merged entities, etc.</w:t>
      </w:r>
      <w:r w:rsidR="00B84B33">
        <w:rPr>
          <w:rFonts w:ascii="Cambria" w:hAnsi="Cambria" w:cs="Cambria"/>
          <w:color w:val="000000"/>
          <w:sz w:val="22"/>
          <w:szCs w:val="22"/>
        </w:rPr>
        <w:t>).</w:t>
      </w:r>
    </w:p>
    <w:p w:rsidR="002004AA" w:rsidRPr="000218E7" w:rsidRDefault="002004AA" w:rsidP="00974F48">
      <w:pPr>
        <w:pStyle w:val="Heading3"/>
      </w:pPr>
      <w:r w:rsidRPr="000218E7">
        <w:t>Art</w:t>
      </w:r>
      <w:r w:rsidR="00974F48">
        <w:t>icle</w:t>
      </w:r>
      <w:r w:rsidRPr="000218E7">
        <w:t xml:space="preserve"> 5</w:t>
      </w:r>
      <w:r w:rsidR="00974F48">
        <w:t>:</w:t>
      </w:r>
      <w:r w:rsidRPr="000218E7">
        <w:t xml:space="preserve"> Quantitative Conditions in conjunction with Art. 2 Definitions</w:t>
      </w:r>
    </w:p>
    <w:p w:rsidR="002004AA" w:rsidRPr="002004AA" w:rsidRDefault="002004AA" w:rsidP="002004AA">
      <w:pPr>
        <w:rPr>
          <w:rFonts w:ascii="Cambria" w:hAnsi="Cambria" w:cs="Cambria"/>
          <w:color w:val="000000"/>
          <w:sz w:val="22"/>
          <w:szCs w:val="22"/>
        </w:rPr>
      </w:pPr>
      <w:r w:rsidRPr="002004AA">
        <w:rPr>
          <w:rFonts w:ascii="Cambria" w:hAnsi="Cambria" w:cs="Cambria"/>
          <w:color w:val="000000"/>
          <w:sz w:val="22"/>
          <w:szCs w:val="22"/>
        </w:rPr>
        <w:t>Clarification is requested whether the conditions apply only to additionally requested data waiver permissions which would</w:t>
      </w:r>
      <w:r w:rsidR="00593DC8">
        <w:rPr>
          <w:rFonts w:ascii="Cambria" w:hAnsi="Cambria" w:cs="Cambria"/>
          <w:color w:val="000000"/>
          <w:sz w:val="22"/>
          <w:szCs w:val="22"/>
        </w:rPr>
        <w:t xml:space="preserve"> lead to threshold breaches (if granted) o</w:t>
      </w:r>
      <w:r w:rsidRPr="002004AA">
        <w:rPr>
          <w:rFonts w:ascii="Cambria" w:hAnsi="Cambria" w:cs="Cambria"/>
          <w:color w:val="000000"/>
          <w:sz w:val="22"/>
          <w:szCs w:val="22"/>
        </w:rPr>
        <w:t xml:space="preserve">r whether the RTS also stipulates repeals of data waiver permissions granted under the RTS in case thresholds are breached e.g. caused by portfolio growth. </w:t>
      </w:r>
    </w:p>
    <w:p w:rsidR="002004AA" w:rsidRPr="002004AA" w:rsidRDefault="002004AA" w:rsidP="002004AA">
      <w:pPr>
        <w:rPr>
          <w:rFonts w:ascii="Cambria" w:hAnsi="Cambria" w:cs="Cambria"/>
          <w:color w:val="000000"/>
          <w:sz w:val="22"/>
          <w:szCs w:val="22"/>
        </w:rPr>
      </w:pPr>
      <w:r w:rsidRPr="002004AA">
        <w:rPr>
          <w:rFonts w:ascii="Cambria" w:hAnsi="Cambria" w:cs="Cambria"/>
          <w:color w:val="000000"/>
          <w:sz w:val="22"/>
          <w:szCs w:val="22"/>
        </w:rPr>
        <w:t>In addi</w:t>
      </w:r>
      <w:r w:rsidR="00593DC8">
        <w:rPr>
          <w:rFonts w:ascii="Cambria" w:hAnsi="Cambria" w:cs="Cambria"/>
          <w:color w:val="000000"/>
          <w:sz w:val="22"/>
          <w:szCs w:val="22"/>
        </w:rPr>
        <w:t>tion, based on the definition of</w:t>
      </w:r>
      <w:r w:rsidRPr="002004AA">
        <w:rPr>
          <w:rFonts w:ascii="Cambria" w:hAnsi="Cambria" w:cs="Cambria"/>
          <w:color w:val="000000"/>
          <w:sz w:val="22"/>
          <w:szCs w:val="22"/>
        </w:rPr>
        <w:t xml:space="preserve"> ‘total risk-weighted expos</w:t>
      </w:r>
      <w:r w:rsidR="00593DC8">
        <w:rPr>
          <w:rFonts w:ascii="Cambria" w:hAnsi="Cambria" w:cs="Cambria"/>
          <w:color w:val="000000"/>
          <w:sz w:val="22"/>
          <w:szCs w:val="22"/>
        </w:rPr>
        <w:t>ure amount’ in Article 2 (4)</w:t>
      </w:r>
      <w:r w:rsidRPr="002004AA">
        <w:rPr>
          <w:rFonts w:ascii="Cambria" w:hAnsi="Cambria" w:cs="Cambria"/>
          <w:color w:val="000000"/>
          <w:sz w:val="22"/>
          <w:szCs w:val="22"/>
        </w:rPr>
        <w:t>, it is not clear how the calculation of the threshold in Article 5 (b) must be calculated. According t</w:t>
      </w:r>
      <w:r w:rsidR="00593DC8">
        <w:rPr>
          <w:rFonts w:ascii="Cambria" w:hAnsi="Cambria" w:cs="Cambria"/>
          <w:color w:val="000000"/>
          <w:sz w:val="22"/>
          <w:szCs w:val="22"/>
        </w:rPr>
        <w:t>o Article 2 (4)</w:t>
      </w:r>
      <w:r w:rsidRPr="002004AA">
        <w:rPr>
          <w:rFonts w:ascii="Cambria" w:hAnsi="Cambria" w:cs="Cambria"/>
          <w:color w:val="000000"/>
          <w:sz w:val="22"/>
          <w:szCs w:val="22"/>
        </w:rPr>
        <w:t>, “total risk-weighted exposure amount” means the aggregate risk exposure amount of all types of exposures, risk-weighted for credit and dilution risk in accordance with the approach applied by the institution. It should be clarified whether the sum of the risk-weighted exposure amounts under the Credit Risk Standar</w:t>
      </w:r>
      <w:r w:rsidR="00593DC8">
        <w:rPr>
          <w:rFonts w:ascii="Cambria" w:hAnsi="Cambria" w:cs="Cambria"/>
          <w:color w:val="000000"/>
          <w:sz w:val="22"/>
          <w:szCs w:val="22"/>
        </w:rPr>
        <w:t>dised approach and the IRBA should</w:t>
      </w:r>
      <w:r w:rsidRPr="002004AA">
        <w:rPr>
          <w:rFonts w:ascii="Cambria" w:hAnsi="Cambria" w:cs="Cambria"/>
          <w:color w:val="000000"/>
          <w:sz w:val="22"/>
          <w:szCs w:val="22"/>
        </w:rPr>
        <w:t xml:space="preserve"> be used as denominator.  </w:t>
      </w:r>
    </w:p>
    <w:p w:rsidR="002004AA" w:rsidRPr="002004AA" w:rsidRDefault="002004AA" w:rsidP="002004AA">
      <w:pPr>
        <w:rPr>
          <w:rFonts w:ascii="Cambria" w:hAnsi="Cambria" w:cs="Cambria"/>
          <w:color w:val="000000"/>
          <w:sz w:val="22"/>
          <w:szCs w:val="22"/>
        </w:rPr>
      </w:pPr>
      <w:r w:rsidRPr="002004AA">
        <w:rPr>
          <w:rFonts w:ascii="Cambria" w:hAnsi="Cambria" w:cs="Cambria"/>
          <w:color w:val="000000"/>
          <w:sz w:val="22"/>
          <w:szCs w:val="22"/>
        </w:rPr>
        <w:t>Generally, the introduction of quantitative thresholds for data waiver permissions could hamper institutions’ efforts to move towards internal models e.g. with respect to newly acquired portfolios and their timely integration into institutions’ IRBA rating systems and should therefore be set carefully.</w:t>
      </w:r>
    </w:p>
    <w:p w:rsidR="002004AA" w:rsidRPr="000218E7" w:rsidRDefault="002004AA" w:rsidP="00974F48">
      <w:pPr>
        <w:pStyle w:val="Heading3"/>
      </w:pPr>
      <w:r w:rsidRPr="000218E7">
        <w:t>Art. 6 Qualitative Conditions</w:t>
      </w:r>
    </w:p>
    <w:p w:rsidR="002004AA" w:rsidRPr="002004AA" w:rsidRDefault="002004AA" w:rsidP="002004AA">
      <w:pPr>
        <w:rPr>
          <w:rFonts w:ascii="Cambria" w:hAnsi="Cambria" w:cs="Cambria"/>
          <w:color w:val="000000"/>
          <w:sz w:val="22"/>
          <w:szCs w:val="22"/>
        </w:rPr>
      </w:pPr>
      <w:r w:rsidRPr="002004AA">
        <w:rPr>
          <w:rFonts w:ascii="Cambria" w:hAnsi="Cambria" w:cs="Cambria"/>
          <w:color w:val="000000"/>
          <w:sz w:val="22"/>
          <w:szCs w:val="22"/>
        </w:rPr>
        <w:t xml:space="preserve">The term “appropriate margin of conservatism” used in number (b) is not well defined in the Regulatory Technical Standards (RTS) but needs interpretation. In order to avoid ambiguity and </w:t>
      </w:r>
      <w:r w:rsidR="00593DC8">
        <w:rPr>
          <w:rFonts w:ascii="Cambria" w:hAnsi="Cambria" w:cs="Cambria"/>
          <w:color w:val="000000"/>
          <w:sz w:val="22"/>
          <w:szCs w:val="22"/>
        </w:rPr>
        <w:t xml:space="preserve">to </w:t>
      </w:r>
      <w:r w:rsidRPr="002004AA">
        <w:rPr>
          <w:rFonts w:ascii="Cambria" w:hAnsi="Cambria" w:cs="Cambria"/>
          <w:color w:val="000000"/>
          <w:sz w:val="22"/>
          <w:szCs w:val="22"/>
        </w:rPr>
        <w:t>ensure consistent interpretation by institutions as well as competent authorities (CA) across jurisdictions</w:t>
      </w:r>
      <w:r w:rsidR="00593DC8">
        <w:rPr>
          <w:rFonts w:ascii="Cambria" w:hAnsi="Cambria" w:cs="Cambria"/>
          <w:color w:val="000000"/>
          <w:sz w:val="22"/>
          <w:szCs w:val="22"/>
        </w:rPr>
        <w:t>,</w:t>
      </w:r>
      <w:r w:rsidRPr="002004AA">
        <w:rPr>
          <w:rFonts w:ascii="Cambria" w:hAnsi="Cambria" w:cs="Cambria"/>
          <w:color w:val="000000"/>
          <w:sz w:val="22"/>
          <w:szCs w:val="22"/>
        </w:rPr>
        <w:t xml:space="preserve"> a more specific definition of the term would be beneficial.</w:t>
      </w:r>
    </w:p>
    <w:p w:rsidR="002004AA" w:rsidRPr="000218E7" w:rsidRDefault="002004AA" w:rsidP="00974F48">
      <w:pPr>
        <w:pStyle w:val="Heading3"/>
      </w:pPr>
      <w:r w:rsidRPr="000218E7">
        <w:t>Art. 7 Timing Conditions</w:t>
      </w:r>
    </w:p>
    <w:p w:rsidR="002004AA" w:rsidRPr="002004AA" w:rsidRDefault="002004AA" w:rsidP="002004AA">
      <w:pPr>
        <w:rPr>
          <w:rFonts w:ascii="Cambria" w:hAnsi="Cambria" w:cs="Cambria"/>
          <w:color w:val="000000"/>
          <w:sz w:val="22"/>
          <w:szCs w:val="22"/>
        </w:rPr>
      </w:pPr>
      <w:r w:rsidRPr="002004AA">
        <w:rPr>
          <w:rFonts w:ascii="Cambria" w:hAnsi="Cambria" w:cs="Cambria"/>
          <w:color w:val="000000"/>
          <w:sz w:val="22"/>
          <w:szCs w:val="22"/>
        </w:rPr>
        <w:t>As already said above, this Article limits granting data waiver permissions to portfolios already existent at the time of the institutions’ initial IRBA approval and withi</w:t>
      </w:r>
      <w:r w:rsidR="00593DC8">
        <w:rPr>
          <w:rFonts w:ascii="Cambria" w:hAnsi="Cambria" w:cs="Cambria"/>
          <w:color w:val="000000"/>
          <w:sz w:val="22"/>
          <w:szCs w:val="22"/>
        </w:rPr>
        <w:t>n a 5-year</w:t>
      </w:r>
      <w:r w:rsidRPr="002004AA">
        <w:rPr>
          <w:rFonts w:ascii="Cambria" w:hAnsi="Cambria" w:cs="Cambria"/>
          <w:color w:val="000000"/>
          <w:sz w:val="22"/>
          <w:szCs w:val="22"/>
        </w:rPr>
        <w:t xml:space="preserve"> time period after the institutions’ initial approval. We believe that data waiver permissions with respect to newly acquired portfolios are critical to allow for a timely integration into institutions’ IRBA rating systems. This would be in line with Article 148 CRR which requires banks to implement the IRBA for all exposures.</w:t>
      </w:r>
    </w:p>
    <w:p w:rsidR="00BB5E30" w:rsidRDefault="00BB5E30" w:rsidP="003D0E7E">
      <w:pPr>
        <w:spacing w:before="0"/>
        <w:rPr>
          <w:rFonts w:ascii="Cambria" w:hAnsi="Cambria" w:cs="Cambria"/>
          <w:color w:val="000000"/>
          <w:sz w:val="22"/>
          <w:szCs w:val="22"/>
        </w:rPr>
      </w:pPr>
    </w:p>
    <w:sectPr w:rsidR="00BB5E30" w:rsidSect="004C71F4">
      <w:footerReference w:type="default" r:id="rId14"/>
      <w:pgSz w:w="11907" w:h="16839"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450" w:rsidRDefault="00713450" w:rsidP="00AD5A26">
      <w:pPr>
        <w:spacing w:before="0"/>
      </w:pPr>
      <w:r>
        <w:separator/>
      </w:r>
    </w:p>
  </w:endnote>
  <w:endnote w:type="continuationSeparator" w:id="0">
    <w:p w:rsidR="00713450" w:rsidRDefault="00713450" w:rsidP="00AD5A26">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3688"/>
      <w:docPartObj>
        <w:docPartGallery w:val="Page Numbers (Bottom of Page)"/>
        <w:docPartUnique/>
      </w:docPartObj>
    </w:sdtPr>
    <w:sdtContent>
      <w:p w:rsidR="009103E2" w:rsidRDefault="00255D13">
        <w:pPr>
          <w:pStyle w:val="Footer"/>
          <w:jc w:val="right"/>
        </w:pPr>
        <w:fldSimple w:instr=" PAGE   \* MERGEFORMAT ">
          <w:r w:rsidR="009103E2">
            <w:rPr>
              <w:noProof/>
            </w:rPr>
            <w:t>2</w:t>
          </w:r>
        </w:fldSimple>
      </w:p>
    </w:sdtContent>
  </w:sdt>
  <w:p w:rsidR="009103E2" w:rsidRDefault="009103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3E2" w:rsidRDefault="009103E2">
    <w:pPr>
      <w:pStyle w:val="Footer"/>
      <w:jc w:val="right"/>
    </w:pPr>
  </w:p>
  <w:p w:rsidR="009103E2" w:rsidRPr="008E4D26" w:rsidRDefault="009103E2" w:rsidP="00313DB3">
    <w:pPr>
      <w:pStyle w:val="Footer1"/>
      <w:spacing w:after="0" w:line="240" w:lineRule="auto"/>
      <w:ind w:left="1134"/>
      <w:rPr>
        <w:rFonts w:asciiTheme="majorHAnsi" w:hAnsiTheme="majorHAnsi"/>
        <w:b/>
        <w:kern w:val="1"/>
      </w:rPr>
    </w:pPr>
    <w:r w:rsidRPr="008E4D26">
      <w:rPr>
        <w:rFonts w:asciiTheme="majorHAnsi" w:hAnsiTheme="majorHAnsi"/>
        <w:b/>
        <w:kern w:val="1"/>
      </w:rPr>
      <w:t>Association for Financial Markets in Europe</w:t>
    </w:r>
  </w:p>
  <w:p w:rsidR="009103E2" w:rsidRPr="008E4D26" w:rsidRDefault="00255D13" w:rsidP="00313DB3">
    <w:pPr>
      <w:pStyle w:val="Footer2"/>
      <w:spacing w:line="240" w:lineRule="auto"/>
      <w:ind w:left="1134"/>
      <w:rPr>
        <w:rFonts w:asciiTheme="majorHAnsi" w:hAnsiTheme="majorHAnsi"/>
        <w:kern w:val="1"/>
      </w:rPr>
    </w:pPr>
    <w:hyperlink r:id="rId1" w:history="1">
      <w:r w:rsidR="009103E2" w:rsidRPr="008E4D26">
        <w:rPr>
          <w:rStyle w:val="Hyperlink"/>
          <w:rFonts w:asciiTheme="majorHAnsi" w:hAnsiTheme="majorHAnsi"/>
          <w:kern w:val="1"/>
        </w:rPr>
        <w:t>www.afme.eu</w:t>
      </w:r>
    </w:hyperlink>
  </w:p>
  <w:p w:rsidR="009103E2" w:rsidRPr="008E4D26" w:rsidRDefault="009103E2" w:rsidP="00313DB3">
    <w:pPr>
      <w:pStyle w:val="Footer2"/>
      <w:spacing w:line="240" w:lineRule="auto"/>
      <w:ind w:left="1134"/>
      <w:rPr>
        <w:rFonts w:asciiTheme="majorHAnsi" w:hAnsiTheme="majorHAnsi"/>
        <w:kern w:val="1"/>
        <w:szCs w:val="16"/>
      </w:rPr>
    </w:pPr>
    <w:r w:rsidRPr="008E4D26">
      <w:rPr>
        <w:rFonts w:asciiTheme="majorHAnsi" w:hAnsiTheme="majorHAnsi"/>
        <w:kern w:val="1"/>
        <w:szCs w:val="16"/>
      </w:rPr>
      <w:t xml:space="preserve">London Office: St. Michael’s House, 1 George Yard, London, EC3V 9DH   T: +44 (0)20 7743 9300    F: +44 (0)20 7743 9301    </w:t>
    </w:r>
  </w:p>
  <w:p w:rsidR="009103E2" w:rsidRPr="008E4D26" w:rsidRDefault="009103E2" w:rsidP="00313DB3">
    <w:pPr>
      <w:pStyle w:val="Footer2"/>
      <w:spacing w:line="240" w:lineRule="auto"/>
      <w:ind w:left="1134"/>
      <w:rPr>
        <w:rFonts w:asciiTheme="majorHAnsi" w:hAnsiTheme="majorHAnsi"/>
        <w:kern w:val="1"/>
        <w:szCs w:val="16"/>
      </w:rPr>
    </w:pPr>
    <w:r w:rsidRPr="008E4D26">
      <w:rPr>
        <w:rFonts w:asciiTheme="majorHAnsi" w:hAnsiTheme="majorHAnsi"/>
        <w:kern w:val="1"/>
        <w:szCs w:val="16"/>
      </w:rPr>
      <w:t>Brussels Office: Square de Meeus 38 – 40, 1000 Brussels, Belgium T: +32 (0)2 401 8724   F: +32(2) 401 6868</w:t>
    </w:r>
  </w:p>
  <w:p w:rsidR="009103E2" w:rsidRPr="008E4D26" w:rsidRDefault="009103E2" w:rsidP="00313DB3">
    <w:pPr>
      <w:pStyle w:val="Footer3"/>
      <w:spacing w:line="240" w:lineRule="auto"/>
      <w:ind w:left="1134"/>
      <w:rPr>
        <w:rFonts w:asciiTheme="majorHAnsi" w:hAnsiTheme="majorHAnsi"/>
        <w:sz w:val="16"/>
        <w:szCs w:val="16"/>
      </w:rPr>
    </w:pPr>
    <w:r w:rsidRPr="008E4D26">
      <w:rPr>
        <w:rFonts w:asciiTheme="majorHAnsi" w:hAnsiTheme="majorHAnsi"/>
        <w:kern w:val="1"/>
        <w:sz w:val="16"/>
        <w:szCs w:val="16"/>
      </w:rPr>
      <w:t>Company Registration No: 6996678   Registered Office: St. Michael’s House, 1 George Yard London EC3V 9DH</w:t>
    </w:r>
  </w:p>
  <w:p w:rsidR="009103E2" w:rsidRDefault="009103E2" w:rsidP="005A0A66">
    <w:pPr>
      <w:pStyle w:val="Footer"/>
      <w:ind w:left="113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79969"/>
      <w:docPartObj>
        <w:docPartGallery w:val="Page Numbers (Bottom of Page)"/>
        <w:docPartUnique/>
      </w:docPartObj>
    </w:sdtPr>
    <w:sdtContent>
      <w:p w:rsidR="009103E2" w:rsidRDefault="00255D13">
        <w:pPr>
          <w:pStyle w:val="Footer"/>
          <w:jc w:val="center"/>
        </w:pPr>
        <w:fldSimple w:instr=" PAGE   \* MERGEFORMAT ">
          <w:r w:rsidR="008F0415">
            <w:rPr>
              <w:noProof/>
            </w:rPr>
            <w:t>3</w:t>
          </w:r>
        </w:fldSimple>
      </w:p>
    </w:sdtContent>
  </w:sdt>
  <w:p w:rsidR="009103E2" w:rsidRDefault="009103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450" w:rsidRDefault="00713450" w:rsidP="00AD5A26">
      <w:pPr>
        <w:spacing w:before="0"/>
      </w:pPr>
      <w:r>
        <w:separator/>
      </w:r>
    </w:p>
  </w:footnote>
  <w:footnote w:type="continuationSeparator" w:id="0">
    <w:p w:rsidR="00713450" w:rsidRDefault="00713450" w:rsidP="00AD5A26">
      <w:pPr>
        <w:spacing w:before="0"/>
      </w:pPr>
      <w:r>
        <w:continuationSeparator/>
      </w:r>
    </w:p>
  </w:footnote>
  <w:footnote w:id="1">
    <w:p w:rsidR="009103E2" w:rsidRPr="00FD2DDF" w:rsidRDefault="009103E2" w:rsidP="002B08A5">
      <w:pPr>
        <w:pStyle w:val="FootnoteText"/>
        <w:rPr>
          <w:sz w:val="16"/>
          <w:szCs w:val="16"/>
        </w:rPr>
      </w:pPr>
      <w:r w:rsidRPr="00FD2DDF">
        <w:rPr>
          <w:rStyle w:val="FootnoteReference"/>
          <w:sz w:val="16"/>
          <w:szCs w:val="16"/>
        </w:rPr>
        <w:footnoteRef/>
      </w:r>
      <w:r w:rsidRPr="00FD2DDF">
        <w:rPr>
          <w:sz w:val="16"/>
          <w:szCs w:val="16"/>
        </w:rPr>
        <w:t xml:space="preserve"> AFME is the European member of the Global Financial Markets Association (GFMA) a global alliance with the Securities Industry and Financial Markets Association (SIFMA) in the US, and the Asia Securities Industry and Financial Markets Association (ASIFMA) in Asia. AFME is listed on the EU Register of Interest Representatives, registration number 65110063986-76.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3E2" w:rsidRDefault="009103E2">
    <w:pPr>
      <w:pStyle w:val="Header"/>
    </w:pPr>
    <w:r>
      <w:rPr>
        <w:noProof/>
        <w:lang w:eastAsia="en-GB"/>
      </w:rPr>
      <w:drawing>
        <wp:inline distT="0" distB="0" distL="0" distR="0">
          <wp:extent cx="1079500" cy="431800"/>
          <wp:effectExtent l="19050" t="0" r="6350" b="0"/>
          <wp:docPr id="3" name="Picture 2" descr="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ll.JPG"/>
                  <pic:cNvPicPr/>
                </pic:nvPicPr>
                <pic:blipFill>
                  <a:blip r:embed="rId1"/>
                  <a:stretch>
                    <a:fillRect/>
                  </a:stretch>
                </pic:blipFill>
                <pic:spPr>
                  <a:xfrm>
                    <a:off x="0" y="0"/>
                    <a:ext cx="1079500" cy="43180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3E2" w:rsidRDefault="009103E2">
    <w:pPr>
      <w:pStyle w:val="Header"/>
    </w:pPr>
    <w:r w:rsidRPr="00EB75F6">
      <w:rPr>
        <w:noProof/>
        <w:lang w:eastAsia="en-GB"/>
      </w:rPr>
      <w:drawing>
        <wp:anchor distT="0" distB="0" distL="114300" distR="114300" simplePos="0" relativeHeight="251659264" behindDoc="0" locked="0" layoutInCell="1" allowOverlap="1">
          <wp:simplePos x="0" y="0"/>
          <wp:positionH relativeFrom="page">
            <wp:posOffset>361950</wp:posOffset>
          </wp:positionH>
          <wp:positionV relativeFrom="page">
            <wp:posOffset>361950</wp:posOffset>
          </wp:positionV>
          <wp:extent cx="1270000" cy="504825"/>
          <wp:effectExtent l="19050" t="0" r="6350" b="0"/>
          <wp:wrapSquare wrapText="bothSides"/>
          <wp:docPr id="1" name="Picture 1" descr="AF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E LOGO"/>
                  <pic:cNvPicPr>
                    <a:picLocks noChangeAspect="1" noChangeArrowheads="1"/>
                  </pic:cNvPicPr>
                </pic:nvPicPr>
                <pic:blipFill>
                  <a:blip r:embed="rId1"/>
                  <a:srcRect/>
                  <a:stretch>
                    <a:fillRect/>
                  </a:stretch>
                </pic:blipFill>
                <pic:spPr bwMode="auto">
                  <a:xfrm>
                    <a:off x="0" y="0"/>
                    <a:ext cx="1270000" cy="5080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1335"/>
    <w:multiLevelType w:val="multilevel"/>
    <w:tmpl w:val="1BC82C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E848D6"/>
    <w:multiLevelType w:val="hybridMultilevel"/>
    <w:tmpl w:val="FE9C6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C870B6"/>
    <w:multiLevelType w:val="hybridMultilevel"/>
    <w:tmpl w:val="1FD47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F84F92"/>
    <w:multiLevelType w:val="multilevel"/>
    <w:tmpl w:val="D4D6C47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64B44D0"/>
    <w:multiLevelType w:val="hybridMultilevel"/>
    <w:tmpl w:val="DEF2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9C2026"/>
    <w:multiLevelType w:val="hybridMultilevel"/>
    <w:tmpl w:val="0082BDF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42B8499A"/>
    <w:multiLevelType w:val="hybridMultilevel"/>
    <w:tmpl w:val="7A349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B8B6924"/>
    <w:multiLevelType w:val="hybridMultilevel"/>
    <w:tmpl w:val="73A6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2E6C3F"/>
    <w:rsid w:val="0000031C"/>
    <w:rsid w:val="0002360D"/>
    <w:rsid w:val="0002632D"/>
    <w:rsid w:val="00027D1A"/>
    <w:rsid w:val="00064D7D"/>
    <w:rsid w:val="00083351"/>
    <w:rsid w:val="00094B58"/>
    <w:rsid w:val="000975C3"/>
    <w:rsid w:val="000B6EB1"/>
    <w:rsid w:val="000E4644"/>
    <w:rsid w:val="000F2E2B"/>
    <w:rsid w:val="0011454F"/>
    <w:rsid w:val="001214B9"/>
    <w:rsid w:val="00126C86"/>
    <w:rsid w:val="00127274"/>
    <w:rsid w:val="00131F66"/>
    <w:rsid w:val="0017278C"/>
    <w:rsid w:val="00194D11"/>
    <w:rsid w:val="001B0E0F"/>
    <w:rsid w:val="001B71B2"/>
    <w:rsid w:val="001C7C91"/>
    <w:rsid w:val="001E216E"/>
    <w:rsid w:val="002004AA"/>
    <w:rsid w:val="00210BA2"/>
    <w:rsid w:val="0022304A"/>
    <w:rsid w:val="00224C52"/>
    <w:rsid w:val="00232F39"/>
    <w:rsid w:val="00233A35"/>
    <w:rsid w:val="00244007"/>
    <w:rsid w:val="002442D3"/>
    <w:rsid w:val="00255D13"/>
    <w:rsid w:val="00297E9A"/>
    <w:rsid w:val="002B08A5"/>
    <w:rsid w:val="002D0944"/>
    <w:rsid w:val="002D1E78"/>
    <w:rsid w:val="002E6C3F"/>
    <w:rsid w:val="00313DB3"/>
    <w:rsid w:val="00314AE0"/>
    <w:rsid w:val="00340C4E"/>
    <w:rsid w:val="00351D0D"/>
    <w:rsid w:val="00356599"/>
    <w:rsid w:val="00366730"/>
    <w:rsid w:val="00374E91"/>
    <w:rsid w:val="00375785"/>
    <w:rsid w:val="003A6CB9"/>
    <w:rsid w:val="003D0E7E"/>
    <w:rsid w:val="003D3105"/>
    <w:rsid w:val="003D7379"/>
    <w:rsid w:val="00402C14"/>
    <w:rsid w:val="00406BAB"/>
    <w:rsid w:val="004200CB"/>
    <w:rsid w:val="0042217E"/>
    <w:rsid w:val="0044037C"/>
    <w:rsid w:val="00467AE2"/>
    <w:rsid w:val="004817A8"/>
    <w:rsid w:val="004A1146"/>
    <w:rsid w:val="004C71F4"/>
    <w:rsid w:val="004F42E6"/>
    <w:rsid w:val="005018FB"/>
    <w:rsid w:val="005077F8"/>
    <w:rsid w:val="00531193"/>
    <w:rsid w:val="005670D8"/>
    <w:rsid w:val="00576331"/>
    <w:rsid w:val="00593DC8"/>
    <w:rsid w:val="005A0A66"/>
    <w:rsid w:val="005C3F22"/>
    <w:rsid w:val="005C6191"/>
    <w:rsid w:val="00616390"/>
    <w:rsid w:val="00623EA8"/>
    <w:rsid w:val="00626416"/>
    <w:rsid w:val="00633ED6"/>
    <w:rsid w:val="0063459C"/>
    <w:rsid w:val="00654A45"/>
    <w:rsid w:val="006748BA"/>
    <w:rsid w:val="00696839"/>
    <w:rsid w:val="006C06B2"/>
    <w:rsid w:val="006C52D1"/>
    <w:rsid w:val="00713450"/>
    <w:rsid w:val="00732B7B"/>
    <w:rsid w:val="0079196A"/>
    <w:rsid w:val="007A009B"/>
    <w:rsid w:val="007B1C76"/>
    <w:rsid w:val="007C6571"/>
    <w:rsid w:val="007D464E"/>
    <w:rsid w:val="008005D9"/>
    <w:rsid w:val="00810721"/>
    <w:rsid w:val="0082544B"/>
    <w:rsid w:val="0084369A"/>
    <w:rsid w:val="00846554"/>
    <w:rsid w:val="00876890"/>
    <w:rsid w:val="00883532"/>
    <w:rsid w:val="008933CD"/>
    <w:rsid w:val="008D552D"/>
    <w:rsid w:val="008E4D26"/>
    <w:rsid w:val="008E792D"/>
    <w:rsid w:val="008F0415"/>
    <w:rsid w:val="008F09EB"/>
    <w:rsid w:val="008F363F"/>
    <w:rsid w:val="00901D6C"/>
    <w:rsid w:val="00905BBD"/>
    <w:rsid w:val="009103E2"/>
    <w:rsid w:val="00925896"/>
    <w:rsid w:val="00930268"/>
    <w:rsid w:val="00973508"/>
    <w:rsid w:val="00974F48"/>
    <w:rsid w:val="00976AEA"/>
    <w:rsid w:val="0098386C"/>
    <w:rsid w:val="009A58A1"/>
    <w:rsid w:val="009B4A23"/>
    <w:rsid w:val="009C2AEE"/>
    <w:rsid w:val="00A0552E"/>
    <w:rsid w:val="00A05AB6"/>
    <w:rsid w:val="00A359FA"/>
    <w:rsid w:val="00A44F60"/>
    <w:rsid w:val="00A509A4"/>
    <w:rsid w:val="00A633B9"/>
    <w:rsid w:val="00A81107"/>
    <w:rsid w:val="00A949D4"/>
    <w:rsid w:val="00A9736E"/>
    <w:rsid w:val="00A97B2D"/>
    <w:rsid w:val="00A97F28"/>
    <w:rsid w:val="00AB45A6"/>
    <w:rsid w:val="00AD4242"/>
    <w:rsid w:val="00AD5A26"/>
    <w:rsid w:val="00AF24CA"/>
    <w:rsid w:val="00B0563F"/>
    <w:rsid w:val="00B33C33"/>
    <w:rsid w:val="00B4359F"/>
    <w:rsid w:val="00B5103F"/>
    <w:rsid w:val="00B57AF3"/>
    <w:rsid w:val="00B67AEA"/>
    <w:rsid w:val="00B67F92"/>
    <w:rsid w:val="00B80662"/>
    <w:rsid w:val="00B84B33"/>
    <w:rsid w:val="00B85F5A"/>
    <w:rsid w:val="00B90F10"/>
    <w:rsid w:val="00B945A9"/>
    <w:rsid w:val="00B966C1"/>
    <w:rsid w:val="00BA7B5D"/>
    <w:rsid w:val="00BB5E30"/>
    <w:rsid w:val="00BC2F99"/>
    <w:rsid w:val="00BD6226"/>
    <w:rsid w:val="00BE5D13"/>
    <w:rsid w:val="00C02319"/>
    <w:rsid w:val="00C0371C"/>
    <w:rsid w:val="00C067CF"/>
    <w:rsid w:val="00C21490"/>
    <w:rsid w:val="00C462EB"/>
    <w:rsid w:val="00C67CB5"/>
    <w:rsid w:val="00C74CF1"/>
    <w:rsid w:val="00C958C4"/>
    <w:rsid w:val="00CA2728"/>
    <w:rsid w:val="00CD45F9"/>
    <w:rsid w:val="00CD6961"/>
    <w:rsid w:val="00CE5534"/>
    <w:rsid w:val="00D23F22"/>
    <w:rsid w:val="00D366A3"/>
    <w:rsid w:val="00D742FF"/>
    <w:rsid w:val="00D76CD4"/>
    <w:rsid w:val="00DC4005"/>
    <w:rsid w:val="00DD31D1"/>
    <w:rsid w:val="00DD37AF"/>
    <w:rsid w:val="00DD4BC1"/>
    <w:rsid w:val="00DD609E"/>
    <w:rsid w:val="00DF410B"/>
    <w:rsid w:val="00E06074"/>
    <w:rsid w:val="00E07872"/>
    <w:rsid w:val="00E36754"/>
    <w:rsid w:val="00E61FF3"/>
    <w:rsid w:val="00E64624"/>
    <w:rsid w:val="00E66650"/>
    <w:rsid w:val="00E917F3"/>
    <w:rsid w:val="00EB21E5"/>
    <w:rsid w:val="00EB75F6"/>
    <w:rsid w:val="00ED3938"/>
    <w:rsid w:val="00ED63B1"/>
    <w:rsid w:val="00EE0463"/>
    <w:rsid w:val="00EF0F26"/>
    <w:rsid w:val="00F1305B"/>
    <w:rsid w:val="00F3153C"/>
    <w:rsid w:val="00F34C73"/>
    <w:rsid w:val="00F57219"/>
    <w:rsid w:val="00F96042"/>
    <w:rsid w:val="00FB5A72"/>
    <w:rsid w:val="00FE53AB"/>
    <w:rsid w:val="00FF7F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4"/>
        <w:szCs w:val="24"/>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3B1"/>
    <w:rPr>
      <w:lang w:val="en-GB"/>
    </w:rPr>
  </w:style>
  <w:style w:type="paragraph" w:styleId="Heading1">
    <w:name w:val="heading 1"/>
    <w:basedOn w:val="Normal"/>
    <w:next w:val="Normal"/>
    <w:link w:val="Heading1Char"/>
    <w:uiPriority w:val="9"/>
    <w:qFormat/>
    <w:rsid w:val="00626416"/>
    <w:pPr>
      <w:keepNext/>
      <w:spacing w:before="240" w:after="60" w:line="276" w:lineRule="auto"/>
      <w:jc w:val="left"/>
      <w:outlineLvl w:val="0"/>
    </w:pPr>
    <w:rPr>
      <w:rFonts w:ascii="Cambria" w:eastAsia="Times New Roman" w:hAnsi="Cambria" w:cs="Times New Roman"/>
      <w:b/>
      <w:bCs/>
      <w:kern w:val="32"/>
      <w:sz w:val="32"/>
      <w:szCs w:val="32"/>
      <w:lang w:val="fr-FR" w:eastAsia="ja-JP"/>
    </w:rPr>
  </w:style>
  <w:style w:type="paragraph" w:styleId="Heading2">
    <w:name w:val="heading 2"/>
    <w:basedOn w:val="Normal"/>
    <w:next w:val="Normal"/>
    <w:link w:val="Heading2Char"/>
    <w:uiPriority w:val="9"/>
    <w:unhideWhenUsed/>
    <w:qFormat/>
    <w:rsid w:val="00B67F92"/>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974F48"/>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31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D31D1"/>
    <w:pPr>
      <w:autoSpaceDE w:val="0"/>
      <w:autoSpaceDN w:val="0"/>
      <w:adjustRightInd w:val="0"/>
    </w:pPr>
    <w:rPr>
      <w:rFonts w:ascii="Cambria" w:hAnsi="Cambria" w:cs="Cambria"/>
      <w:color w:val="000000"/>
    </w:rPr>
  </w:style>
  <w:style w:type="paragraph" w:styleId="NormalWeb">
    <w:name w:val="Normal (Web)"/>
    <w:basedOn w:val="Normal"/>
    <w:uiPriority w:val="99"/>
    <w:unhideWhenUsed/>
    <w:rsid w:val="00DD31D1"/>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CD6961"/>
    <w:rPr>
      <w:rFonts w:ascii="Tahoma" w:hAnsi="Tahoma" w:cs="Tahoma"/>
      <w:sz w:val="16"/>
      <w:szCs w:val="16"/>
    </w:rPr>
  </w:style>
  <w:style w:type="character" w:customStyle="1" w:styleId="BalloonTextChar">
    <w:name w:val="Balloon Text Char"/>
    <w:basedOn w:val="DefaultParagraphFont"/>
    <w:link w:val="BalloonText"/>
    <w:uiPriority w:val="99"/>
    <w:semiHidden/>
    <w:rsid w:val="00CD6961"/>
    <w:rPr>
      <w:rFonts w:ascii="Tahoma" w:hAnsi="Tahoma" w:cs="Tahoma"/>
      <w:sz w:val="16"/>
      <w:szCs w:val="16"/>
    </w:rPr>
  </w:style>
  <w:style w:type="character" w:styleId="PlaceholderText">
    <w:name w:val="Placeholder Text"/>
    <w:basedOn w:val="DefaultParagraphFont"/>
    <w:uiPriority w:val="99"/>
    <w:semiHidden/>
    <w:rsid w:val="00C74CF1"/>
    <w:rPr>
      <w:color w:val="808080"/>
    </w:rPr>
  </w:style>
  <w:style w:type="paragraph" w:styleId="Header">
    <w:name w:val="header"/>
    <w:basedOn w:val="Normal"/>
    <w:link w:val="HeaderChar"/>
    <w:uiPriority w:val="99"/>
    <w:semiHidden/>
    <w:unhideWhenUsed/>
    <w:rsid w:val="00AD5A26"/>
    <w:pPr>
      <w:tabs>
        <w:tab w:val="center" w:pos="4513"/>
        <w:tab w:val="right" w:pos="9026"/>
      </w:tabs>
      <w:spacing w:before="0"/>
    </w:pPr>
  </w:style>
  <w:style w:type="character" w:customStyle="1" w:styleId="HeaderChar">
    <w:name w:val="Header Char"/>
    <w:basedOn w:val="DefaultParagraphFont"/>
    <w:link w:val="Header"/>
    <w:uiPriority w:val="99"/>
    <w:semiHidden/>
    <w:rsid w:val="00AD5A26"/>
    <w:rPr>
      <w:lang w:val="en-GB"/>
    </w:rPr>
  </w:style>
  <w:style w:type="paragraph" w:styleId="Footer">
    <w:name w:val="footer"/>
    <w:basedOn w:val="Normal"/>
    <w:link w:val="FooterChar"/>
    <w:uiPriority w:val="99"/>
    <w:unhideWhenUsed/>
    <w:rsid w:val="00AD5A26"/>
    <w:pPr>
      <w:tabs>
        <w:tab w:val="center" w:pos="4513"/>
        <w:tab w:val="right" w:pos="9026"/>
      </w:tabs>
      <w:spacing w:before="0"/>
    </w:pPr>
  </w:style>
  <w:style w:type="character" w:customStyle="1" w:styleId="FooterChar">
    <w:name w:val="Footer Char"/>
    <w:basedOn w:val="DefaultParagraphFont"/>
    <w:link w:val="Footer"/>
    <w:uiPriority w:val="99"/>
    <w:rsid w:val="00AD5A26"/>
    <w:rPr>
      <w:lang w:val="en-GB"/>
    </w:rPr>
  </w:style>
  <w:style w:type="character" w:styleId="Hyperlink">
    <w:name w:val="Hyperlink"/>
    <w:basedOn w:val="DefaultParagraphFont"/>
    <w:unhideWhenUsed/>
    <w:rsid w:val="00B4359F"/>
    <w:rPr>
      <w:color w:val="0000FF"/>
      <w:u w:val="single"/>
    </w:rPr>
  </w:style>
  <w:style w:type="paragraph" w:styleId="Title">
    <w:name w:val="Title"/>
    <w:basedOn w:val="Normal"/>
    <w:next w:val="Normal"/>
    <w:link w:val="TitleChar"/>
    <w:uiPriority w:val="10"/>
    <w:qFormat/>
    <w:rsid w:val="00EB75F6"/>
    <w:pPr>
      <w:spacing w:before="0" w:line="340" w:lineRule="exact"/>
      <w:jc w:val="left"/>
      <w:outlineLvl w:val="0"/>
    </w:pPr>
    <w:rPr>
      <w:rFonts w:ascii="Times New Roman" w:eastAsiaTheme="majorEastAsia" w:hAnsi="Times New Roman"/>
      <w:b/>
      <w:bCs/>
      <w:color w:val="78A32E"/>
      <w:kern w:val="28"/>
      <w:sz w:val="32"/>
      <w:szCs w:val="32"/>
      <w:lang w:eastAsia="en-GB"/>
    </w:rPr>
  </w:style>
  <w:style w:type="character" w:customStyle="1" w:styleId="TitleChar">
    <w:name w:val="Title Char"/>
    <w:basedOn w:val="DefaultParagraphFont"/>
    <w:link w:val="Title"/>
    <w:uiPriority w:val="10"/>
    <w:rsid w:val="00EB75F6"/>
    <w:rPr>
      <w:rFonts w:ascii="Times New Roman" w:eastAsiaTheme="majorEastAsia" w:hAnsi="Times New Roman"/>
      <w:b/>
      <w:bCs/>
      <w:color w:val="78A32E"/>
      <w:kern w:val="28"/>
      <w:sz w:val="32"/>
      <w:szCs w:val="32"/>
      <w:lang w:val="en-GB" w:eastAsia="en-GB"/>
    </w:rPr>
  </w:style>
  <w:style w:type="paragraph" w:customStyle="1" w:styleId="Footer1">
    <w:name w:val="Footer1"/>
    <w:basedOn w:val="Normal"/>
    <w:qFormat/>
    <w:rsid w:val="00E36754"/>
    <w:pPr>
      <w:spacing w:before="0" w:after="140" w:line="200" w:lineRule="exact"/>
      <w:jc w:val="left"/>
    </w:pPr>
    <w:rPr>
      <w:rFonts w:ascii="Times New Roman" w:eastAsiaTheme="minorEastAsia" w:hAnsi="Times New Roman"/>
      <w:sz w:val="20"/>
      <w:szCs w:val="22"/>
      <w:lang w:eastAsia="en-GB"/>
    </w:rPr>
  </w:style>
  <w:style w:type="paragraph" w:customStyle="1" w:styleId="Footer2">
    <w:name w:val="Footer2"/>
    <w:basedOn w:val="Normal"/>
    <w:qFormat/>
    <w:rsid w:val="00E36754"/>
    <w:pPr>
      <w:spacing w:before="0" w:line="160" w:lineRule="exact"/>
      <w:jc w:val="left"/>
    </w:pPr>
    <w:rPr>
      <w:rFonts w:ascii="Times New Roman" w:eastAsiaTheme="minorEastAsia" w:hAnsi="Times New Roman"/>
      <w:sz w:val="16"/>
      <w:szCs w:val="22"/>
      <w:lang w:eastAsia="en-GB"/>
    </w:rPr>
  </w:style>
  <w:style w:type="paragraph" w:customStyle="1" w:styleId="Footer3">
    <w:name w:val="Footer3"/>
    <w:basedOn w:val="Footer2"/>
    <w:qFormat/>
    <w:rsid w:val="00E36754"/>
    <w:pPr>
      <w:spacing w:line="200" w:lineRule="exact"/>
    </w:pPr>
    <w:rPr>
      <w:sz w:val="14"/>
    </w:rPr>
  </w:style>
  <w:style w:type="paragraph" w:styleId="ListParagraph">
    <w:name w:val="List Paragraph"/>
    <w:basedOn w:val="Normal"/>
    <w:uiPriority w:val="34"/>
    <w:qFormat/>
    <w:rsid w:val="00E917F3"/>
    <w:pPr>
      <w:spacing w:before="0" w:after="200" w:line="276" w:lineRule="auto"/>
      <w:ind w:left="720"/>
      <w:contextualSpacing/>
      <w:jc w:val="left"/>
    </w:pPr>
    <w:rPr>
      <w:rFonts w:ascii="Cambria" w:eastAsia="Calibri" w:hAnsi="Cambria" w:cs="Times New Roman"/>
    </w:rPr>
  </w:style>
  <w:style w:type="character" w:customStyle="1" w:styleId="Heading1Char">
    <w:name w:val="Heading 1 Char"/>
    <w:basedOn w:val="DefaultParagraphFont"/>
    <w:link w:val="Heading1"/>
    <w:uiPriority w:val="9"/>
    <w:rsid w:val="00626416"/>
    <w:rPr>
      <w:rFonts w:ascii="Cambria" w:eastAsia="Times New Roman" w:hAnsi="Cambria" w:cs="Times New Roman"/>
      <w:b/>
      <w:bCs/>
      <w:kern w:val="32"/>
      <w:sz w:val="32"/>
      <w:szCs w:val="32"/>
      <w:lang w:val="fr-FR" w:eastAsia="ja-JP"/>
    </w:rPr>
  </w:style>
  <w:style w:type="paragraph" w:styleId="FootnoteText">
    <w:name w:val="footnote text"/>
    <w:basedOn w:val="Normal"/>
    <w:link w:val="FootnoteTextChar"/>
    <w:uiPriority w:val="99"/>
    <w:semiHidden/>
    <w:unhideWhenUsed/>
    <w:rsid w:val="00626416"/>
    <w:pPr>
      <w:spacing w:before="0"/>
    </w:pPr>
    <w:rPr>
      <w:sz w:val="20"/>
      <w:szCs w:val="20"/>
    </w:rPr>
  </w:style>
  <w:style w:type="character" w:customStyle="1" w:styleId="FootnoteTextChar">
    <w:name w:val="Footnote Text Char"/>
    <w:basedOn w:val="DefaultParagraphFont"/>
    <w:link w:val="FootnoteText"/>
    <w:uiPriority w:val="99"/>
    <w:semiHidden/>
    <w:rsid w:val="00626416"/>
    <w:rPr>
      <w:sz w:val="20"/>
      <w:szCs w:val="20"/>
      <w:lang w:val="en-GB"/>
    </w:rPr>
  </w:style>
  <w:style w:type="character" w:styleId="FootnoteReference">
    <w:name w:val="footnote reference"/>
    <w:basedOn w:val="DefaultParagraphFont"/>
    <w:uiPriority w:val="99"/>
    <w:semiHidden/>
    <w:unhideWhenUsed/>
    <w:rsid w:val="00626416"/>
    <w:rPr>
      <w:vertAlign w:val="superscript"/>
    </w:rPr>
  </w:style>
  <w:style w:type="character" w:customStyle="1" w:styleId="Heading2Char">
    <w:name w:val="Heading 2 Char"/>
    <w:basedOn w:val="DefaultParagraphFont"/>
    <w:link w:val="Heading2"/>
    <w:uiPriority w:val="9"/>
    <w:rsid w:val="00B67F92"/>
    <w:rPr>
      <w:rFonts w:eastAsiaTheme="majorEastAsia" w:cstheme="majorBidi"/>
      <w:b/>
      <w:bCs/>
      <w:color w:val="4F81BD" w:themeColor="accent1"/>
      <w:sz w:val="26"/>
      <w:szCs w:val="26"/>
      <w:lang w:val="en-GB"/>
    </w:rPr>
  </w:style>
  <w:style w:type="character" w:customStyle="1" w:styleId="code">
    <w:name w:val="code"/>
    <w:basedOn w:val="DefaultParagraphFont"/>
    <w:rsid w:val="00B67F92"/>
  </w:style>
  <w:style w:type="character" w:customStyle="1" w:styleId="apple-converted-space">
    <w:name w:val="apple-converted-space"/>
    <w:basedOn w:val="DefaultParagraphFont"/>
    <w:rsid w:val="002004AA"/>
  </w:style>
  <w:style w:type="character" w:customStyle="1" w:styleId="Heading3Char">
    <w:name w:val="Heading 3 Char"/>
    <w:basedOn w:val="DefaultParagraphFont"/>
    <w:link w:val="Heading3"/>
    <w:uiPriority w:val="9"/>
    <w:rsid w:val="00974F48"/>
    <w:rPr>
      <w:rFonts w:eastAsiaTheme="majorEastAsia" w:cstheme="majorBidi"/>
      <w:b/>
      <w:bCs/>
      <w:color w:val="4F81BD" w:themeColor="accent1"/>
      <w:lang w:val="en-GB"/>
    </w:rPr>
  </w:style>
</w:styles>
</file>

<file path=word/webSettings.xml><?xml version="1.0" encoding="utf-8"?>
<w:webSettings xmlns:r="http://schemas.openxmlformats.org/officeDocument/2006/relationships" xmlns:w="http://schemas.openxmlformats.org/wordprocessingml/2006/main">
  <w:divs>
    <w:div w:id="126364155">
      <w:bodyDiv w:val="1"/>
      <w:marLeft w:val="0"/>
      <w:marRight w:val="0"/>
      <w:marTop w:val="0"/>
      <w:marBottom w:val="0"/>
      <w:divBdr>
        <w:top w:val="none" w:sz="0" w:space="0" w:color="auto"/>
        <w:left w:val="none" w:sz="0" w:space="0" w:color="auto"/>
        <w:bottom w:val="none" w:sz="0" w:space="0" w:color="auto"/>
        <w:right w:val="none" w:sz="0" w:space="0" w:color="auto"/>
      </w:divBdr>
    </w:div>
    <w:div w:id="271590762">
      <w:bodyDiv w:val="1"/>
      <w:marLeft w:val="0"/>
      <w:marRight w:val="0"/>
      <w:marTop w:val="0"/>
      <w:marBottom w:val="0"/>
      <w:divBdr>
        <w:top w:val="none" w:sz="0" w:space="0" w:color="auto"/>
        <w:left w:val="none" w:sz="0" w:space="0" w:color="auto"/>
        <w:bottom w:val="none" w:sz="0" w:space="0" w:color="auto"/>
        <w:right w:val="none" w:sz="0" w:space="0" w:color="auto"/>
      </w:divBdr>
    </w:div>
    <w:div w:id="386032460">
      <w:bodyDiv w:val="1"/>
      <w:marLeft w:val="0"/>
      <w:marRight w:val="0"/>
      <w:marTop w:val="0"/>
      <w:marBottom w:val="0"/>
      <w:divBdr>
        <w:top w:val="none" w:sz="0" w:space="0" w:color="auto"/>
        <w:left w:val="none" w:sz="0" w:space="0" w:color="auto"/>
        <w:bottom w:val="none" w:sz="0" w:space="0" w:color="auto"/>
        <w:right w:val="none" w:sz="0" w:space="0" w:color="auto"/>
      </w:divBdr>
    </w:div>
    <w:div w:id="586234508">
      <w:bodyDiv w:val="1"/>
      <w:marLeft w:val="0"/>
      <w:marRight w:val="0"/>
      <w:marTop w:val="0"/>
      <w:marBottom w:val="0"/>
      <w:divBdr>
        <w:top w:val="none" w:sz="0" w:space="0" w:color="auto"/>
        <w:left w:val="none" w:sz="0" w:space="0" w:color="auto"/>
        <w:bottom w:val="none" w:sz="0" w:space="0" w:color="auto"/>
        <w:right w:val="none" w:sz="0" w:space="0" w:color="auto"/>
      </w:divBdr>
    </w:div>
    <w:div w:id="808017550">
      <w:bodyDiv w:val="1"/>
      <w:marLeft w:val="0"/>
      <w:marRight w:val="0"/>
      <w:marTop w:val="0"/>
      <w:marBottom w:val="0"/>
      <w:divBdr>
        <w:top w:val="none" w:sz="0" w:space="0" w:color="auto"/>
        <w:left w:val="none" w:sz="0" w:space="0" w:color="auto"/>
        <w:bottom w:val="none" w:sz="0" w:space="0" w:color="auto"/>
        <w:right w:val="none" w:sz="0" w:space="0" w:color="auto"/>
      </w:divBdr>
    </w:div>
    <w:div w:id="980697402">
      <w:bodyDiv w:val="1"/>
      <w:marLeft w:val="0"/>
      <w:marRight w:val="0"/>
      <w:marTop w:val="0"/>
      <w:marBottom w:val="0"/>
      <w:divBdr>
        <w:top w:val="none" w:sz="0" w:space="0" w:color="auto"/>
        <w:left w:val="none" w:sz="0" w:space="0" w:color="auto"/>
        <w:bottom w:val="none" w:sz="0" w:space="0" w:color="auto"/>
        <w:right w:val="none" w:sz="0" w:space="0" w:color="auto"/>
      </w:divBdr>
    </w:div>
    <w:div w:id="200326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afm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39024-CDC8-4EB7-92EF-01204CCF1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5733</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AFME</Company>
  <LinksUpToDate>false</LinksUpToDate>
  <CharactersWithSpaces>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flemon</dc:creator>
  <cp:lastModifiedBy>JAaltonen</cp:lastModifiedBy>
  <cp:revision>3</cp:revision>
  <cp:lastPrinted>2014-04-29T08:40:00Z</cp:lastPrinted>
  <dcterms:created xsi:type="dcterms:W3CDTF">2014-06-06T13:31:00Z</dcterms:created>
  <dcterms:modified xsi:type="dcterms:W3CDTF">2014-06-06T13:31:00Z</dcterms:modified>
</cp:coreProperties>
</file>