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1" w:type="dxa"/>
        <w:tblLayout w:type="fixed"/>
        <w:tblCellMar>
          <w:left w:w="70" w:type="dxa"/>
          <w:right w:w="70" w:type="dxa"/>
        </w:tblCellMar>
        <w:tblLook w:val="0000" w:firstRow="0" w:lastRow="0" w:firstColumn="0" w:lastColumn="0" w:noHBand="0" w:noVBand="0"/>
      </w:tblPr>
      <w:tblGrid>
        <w:gridCol w:w="5102"/>
        <w:gridCol w:w="4649"/>
      </w:tblGrid>
      <w:tr w:rsidR="006307ED" w:rsidRPr="001B04CB" w:rsidTr="00F90E4E">
        <w:trPr>
          <w:trHeight w:hRule="exact" w:val="3600"/>
        </w:trPr>
        <w:tc>
          <w:tcPr>
            <w:tcW w:w="5102" w:type="dxa"/>
          </w:tcPr>
          <w:p w:rsidR="006307ED" w:rsidRDefault="006307ED" w:rsidP="00F90E4E">
            <w:pPr>
              <w:tabs>
                <w:tab w:val="center" w:pos="2481"/>
              </w:tabs>
              <w:ind w:right="-1"/>
              <w:rPr>
                <w:sz w:val="24"/>
                <w:szCs w:val="24"/>
                <w:lang w:val="pt-BR"/>
              </w:rPr>
            </w:pPr>
          </w:p>
          <w:p w:rsidR="006307ED" w:rsidRDefault="006307ED" w:rsidP="00F90E4E">
            <w:pPr>
              <w:rPr>
                <w:sz w:val="24"/>
                <w:szCs w:val="24"/>
                <w:lang w:val="pt-BR"/>
              </w:rPr>
            </w:pPr>
          </w:p>
          <w:p w:rsidR="006307ED" w:rsidRDefault="006307ED" w:rsidP="00F90E4E">
            <w:pPr>
              <w:rPr>
                <w:sz w:val="24"/>
                <w:szCs w:val="24"/>
                <w:lang w:val="pt-BR"/>
              </w:rPr>
            </w:pPr>
          </w:p>
          <w:p w:rsidR="006307ED" w:rsidRDefault="00EE034B" w:rsidP="00F90E4E">
            <w:pPr>
              <w:rPr>
                <w:sz w:val="24"/>
                <w:szCs w:val="24"/>
                <w:lang w:val="pt-BR"/>
              </w:rPr>
            </w:pPr>
            <w:r>
              <w:rPr>
                <w:sz w:val="24"/>
                <w:szCs w:val="24"/>
                <w:lang w:val="pt-BR"/>
              </w:rPr>
              <w:t>To ESMA</w:t>
            </w:r>
          </w:p>
          <w:p w:rsidR="006307ED" w:rsidRPr="00200C29" w:rsidRDefault="006307ED" w:rsidP="00F90E4E">
            <w:pPr>
              <w:rPr>
                <w:szCs w:val="22"/>
                <w:lang w:val="pt-BR"/>
              </w:rPr>
            </w:pPr>
          </w:p>
        </w:tc>
        <w:tc>
          <w:tcPr>
            <w:tcW w:w="4649" w:type="dxa"/>
          </w:tcPr>
          <w:tbl>
            <w:tblPr>
              <w:tblW w:w="0" w:type="auto"/>
              <w:tblLayout w:type="fixed"/>
              <w:tblCellMar>
                <w:left w:w="70" w:type="dxa"/>
                <w:right w:w="70" w:type="dxa"/>
              </w:tblCellMar>
              <w:tblLook w:val="0000" w:firstRow="0" w:lastRow="0" w:firstColumn="0" w:lastColumn="0" w:noHBand="0" w:noVBand="0"/>
            </w:tblPr>
            <w:tblGrid>
              <w:gridCol w:w="4649"/>
            </w:tblGrid>
            <w:tr w:rsidR="006307ED" w:rsidRPr="001B04CB" w:rsidTr="00F90E4E">
              <w:trPr>
                <w:trHeight w:hRule="exact" w:val="3600"/>
              </w:trPr>
              <w:tc>
                <w:tcPr>
                  <w:tcW w:w="4649" w:type="dxa"/>
                </w:tcPr>
                <w:p w:rsidR="006307ED" w:rsidRPr="00D364F4" w:rsidRDefault="006307ED" w:rsidP="00F90E4E">
                  <w:pPr>
                    <w:spacing w:line="220" w:lineRule="atLeast"/>
                    <w:jc w:val="right"/>
                    <w:rPr>
                      <w:b/>
                      <w:bCs/>
                      <w:color w:val="000000"/>
                      <w:sz w:val="6"/>
                      <w:szCs w:val="6"/>
                      <w:lang w:val="fi-FI"/>
                    </w:rPr>
                  </w:pPr>
                </w:p>
                <w:p w:rsidR="006307ED" w:rsidRPr="00D364F4" w:rsidRDefault="006307ED" w:rsidP="00F90E4E">
                  <w:pPr>
                    <w:spacing w:line="220" w:lineRule="atLeast"/>
                    <w:jc w:val="right"/>
                    <w:rPr>
                      <w:b/>
                      <w:bCs/>
                      <w:color w:val="000000"/>
                      <w:sz w:val="6"/>
                      <w:szCs w:val="6"/>
                      <w:lang w:val="fi-FI"/>
                    </w:rPr>
                  </w:pPr>
                </w:p>
                <w:p w:rsidR="006307ED" w:rsidRPr="00D364F4" w:rsidRDefault="006307ED" w:rsidP="00F90E4E">
                  <w:pPr>
                    <w:spacing w:line="220" w:lineRule="atLeast"/>
                    <w:jc w:val="right"/>
                    <w:rPr>
                      <w:b/>
                      <w:bCs/>
                      <w:color w:val="000000"/>
                      <w:sz w:val="6"/>
                      <w:szCs w:val="6"/>
                      <w:lang w:val="fi-FI"/>
                    </w:rPr>
                  </w:pPr>
                </w:p>
                <w:p w:rsidR="006307ED" w:rsidRPr="00D364F4" w:rsidRDefault="006307ED" w:rsidP="00F90E4E">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6307ED" w:rsidRPr="00D364F4" w:rsidRDefault="006307ED" w:rsidP="00F90E4E">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307ED" w:rsidRPr="00D364F4" w:rsidRDefault="006307ED" w:rsidP="00F90E4E">
                  <w:pPr>
                    <w:spacing w:line="260" w:lineRule="atLeast"/>
                    <w:jc w:val="right"/>
                    <w:rPr>
                      <w:color w:val="000000"/>
                      <w:sz w:val="18"/>
                      <w:szCs w:val="18"/>
                    </w:rPr>
                  </w:pPr>
                  <w:r w:rsidRPr="00D364F4">
                    <w:rPr>
                      <w:noProof/>
                      <w:color w:val="000000"/>
                      <w:sz w:val="18"/>
                      <w:szCs w:val="18"/>
                    </w:rPr>
                    <w:t>Wiedner Hauptstraße 63 | P.O. Box 320</w:t>
                  </w:r>
                </w:p>
                <w:p w:rsidR="006307ED" w:rsidRPr="00D364F4" w:rsidRDefault="006307ED" w:rsidP="00F90E4E">
                  <w:pPr>
                    <w:spacing w:line="260" w:lineRule="atLeast"/>
                    <w:jc w:val="right"/>
                    <w:rPr>
                      <w:color w:val="000000"/>
                      <w:sz w:val="18"/>
                      <w:szCs w:val="18"/>
                    </w:rPr>
                  </w:pPr>
                  <w:r w:rsidRPr="00D364F4">
                    <w:rPr>
                      <w:noProof/>
                      <w:color w:val="000000"/>
                      <w:sz w:val="18"/>
                      <w:szCs w:val="18"/>
                    </w:rPr>
                    <w:t>1045 Vienna</w:t>
                  </w:r>
                </w:p>
                <w:p w:rsidR="006307ED" w:rsidRPr="00D364F4" w:rsidRDefault="006307ED" w:rsidP="00F90E4E">
                  <w:pPr>
                    <w:spacing w:line="260" w:lineRule="atLeast"/>
                    <w:jc w:val="right"/>
                    <w:rPr>
                      <w:color w:val="000000"/>
                      <w:sz w:val="18"/>
                      <w:szCs w:val="18"/>
                    </w:rPr>
                  </w:pPr>
                  <w:r w:rsidRPr="00D364F4">
                    <w:rPr>
                      <w:noProof/>
                      <w:color w:val="000000"/>
                      <w:sz w:val="18"/>
                      <w:szCs w:val="18"/>
                    </w:rPr>
                    <w:t>T +43 (0)5 90 900-DW | F +43 (0)5 90 900-272</w:t>
                  </w:r>
                </w:p>
                <w:p w:rsidR="006307ED" w:rsidRPr="00D364F4" w:rsidRDefault="006307ED" w:rsidP="00F90E4E">
                  <w:pPr>
                    <w:spacing w:line="260" w:lineRule="atLeast"/>
                    <w:jc w:val="right"/>
                    <w:rPr>
                      <w:color w:val="000000"/>
                      <w:sz w:val="18"/>
                      <w:szCs w:val="18"/>
                    </w:rPr>
                  </w:pPr>
                  <w:r w:rsidRPr="00D364F4">
                    <w:rPr>
                      <w:noProof/>
                      <w:color w:val="000000"/>
                      <w:sz w:val="18"/>
                      <w:szCs w:val="18"/>
                    </w:rPr>
                    <w:t>E  bsbv@wko.at</w:t>
                  </w:r>
                </w:p>
                <w:p w:rsidR="006307ED" w:rsidRPr="00D364F4" w:rsidRDefault="006307ED" w:rsidP="00F90E4E">
                  <w:pPr>
                    <w:spacing w:line="260" w:lineRule="atLeast"/>
                    <w:jc w:val="right"/>
                    <w:rPr>
                      <w:lang w:val="en-GB"/>
                    </w:rPr>
                  </w:pPr>
                  <w:r w:rsidRPr="00D364F4">
                    <w:rPr>
                      <w:noProof/>
                      <w:color w:val="000000"/>
                      <w:sz w:val="18"/>
                      <w:szCs w:val="18"/>
                      <w:lang w:val="en-GB"/>
                    </w:rPr>
                    <w:t>W  http://wko.at/bsbv</w:t>
                  </w:r>
                </w:p>
              </w:tc>
            </w:tr>
          </w:tbl>
          <w:p w:rsidR="006307ED" w:rsidRPr="0081262C" w:rsidRDefault="006307ED" w:rsidP="00F90E4E">
            <w:pPr>
              <w:spacing w:line="260" w:lineRule="atLeast"/>
              <w:ind w:right="255"/>
              <w:jc w:val="right"/>
              <w:rPr>
                <w:lang w:val="en-GB"/>
              </w:rPr>
            </w:pPr>
          </w:p>
        </w:tc>
      </w:tr>
    </w:tbl>
    <w:p w:rsidR="006307ED" w:rsidRDefault="006307ED" w:rsidP="006307ED">
      <w:pPr>
        <w:tabs>
          <w:tab w:val="left" w:pos="2977"/>
          <w:tab w:val="left" w:pos="5954"/>
          <w:tab w:val="left" w:pos="7655"/>
          <w:tab w:val="left" w:pos="8364"/>
        </w:tabs>
        <w:ind w:right="-1"/>
        <w:rPr>
          <w:sz w:val="16"/>
        </w:rPr>
      </w:pPr>
      <w:r>
        <w:rPr>
          <w:sz w:val="16"/>
        </w:rPr>
        <w:t>Ihr Zeichen, Ihre Nachricht vom</w:t>
      </w:r>
      <w:r>
        <w:rPr>
          <w:sz w:val="16"/>
        </w:rPr>
        <w:tab/>
        <w:t>Unser Zeichen, Sacharbeiter</w:t>
      </w:r>
      <w:r>
        <w:rPr>
          <w:sz w:val="16"/>
        </w:rPr>
        <w:tab/>
        <w:t>Durchwahl</w:t>
      </w:r>
      <w:r>
        <w:rPr>
          <w:sz w:val="16"/>
        </w:rPr>
        <w:tab/>
        <w:t>Datum</w:t>
      </w:r>
    </w:p>
    <w:p w:rsidR="006307ED" w:rsidRPr="00935B58" w:rsidRDefault="006307ED" w:rsidP="006307ED">
      <w:pPr>
        <w:tabs>
          <w:tab w:val="left" w:pos="2977"/>
          <w:tab w:val="left" w:pos="5954"/>
          <w:tab w:val="left" w:pos="7655"/>
        </w:tabs>
        <w:ind w:right="-1"/>
        <w:rPr>
          <w:snapToGrid w:val="0"/>
          <w:color w:val="000000"/>
          <w:szCs w:val="22"/>
          <w:u w:color="000000"/>
          <w:lang w:val="en-GB"/>
        </w:rPr>
      </w:pPr>
      <w:r w:rsidRPr="0091341A">
        <w:rPr>
          <w:snapToGrid w:val="0"/>
          <w:color w:val="000000"/>
          <w:sz w:val="24"/>
          <w:szCs w:val="24"/>
          <w:u w:color="000000"/>
        </w:rPr>
        <w:tab/>
      </w:r>
      <w:r w:rsidRPr="00935B58">
        <w:rPr>
          <w:snapToGrid w:val="0"/>
          <w:color w:val="000000"/>
          <w:szCs w:val="22"/>
          <w:u w:color="000000"/>
          <w:lang w:val="en-GB"/>
        </w:rPr>
        <w:t>BSBV 48/Dr. Priester/Ha</w:t>
      </w:r>
      <w:r w:rsidRPr="00935B58">
        <w:rPr>
          <w:snapToGrid w:val="0"/>
          <w:color w:val="000000"/>
          <w:szCs w:val="22"/>
          <w:u w:color="000000"/>
          <w:lang w:val="en-GB"/>
        </w:rPr>
        <w:tab/>
        <w:t>3132</w:t>
      </w:r>
      <w:r w:rsidRPr="00935B58">
        <w:rPr>
          <w:snapToGrid w:val="0"/>
          <w:color w:val="000000"/>
          <w:szCs w:val="22"/>
          <w:u w:color="000000"/>
          <w:lang w:val="en-GB"/>
        </w:rPr>
        <w:tab/>
      </w:r>
      <w:r>
        <w:rPr>
          <w:snapToGrid w:val="0"/>
          <w:color w:val="000000"/>
          <w:szCs w:val="22"/>
          <w:u w:color="000000"/>
          <w:lang w:val="en-GB"/>
        </w:rPr>
        <w:t>14</w:t>
      </w:r>
      <w:r w:rsidRPr="00935B58">
        <w:rPr>
          <w:snapToGrid w:val="0"/>
          <w:color w:val="000000"/>
          <w:szCs w:val="22"/>
          <w:u w:color="000000"/>
          <w:lang w:val="en-GB"/>
        </w:rPr>
        <w:t>.07.14</w:t>
      </w:r>
    </w:p>
    <w:p w:rsidR="006307ED" w:rsidRPr="00935B58" w:rsidRDefault="006307ED" w:rsidP="006307ED">
      <w:pPr>
        <w:tabs>
          <w:tab w:val="left" w:pos="2977"/>
          <w:tab w:val="left" w:pos="5954"/>
          <w:tab w:val="left" w:pos="7655"/>
        </w:tabs>
        <w:ind w:right="-1"/>
        <w:rPr>
          <w:snapToGrid w:val="0"/>
          <w:color w:val="000000"/>
          <w:szCs w:val="22"/>
          <w:u w:color="000000"/>
          <w:lang w:val="en-GB"/>
        </w:rPr>
      </w:pPr>
      <w:r w:rsidRPr="00935B58">
        <w:rPr>
          <w:snapToGrid w:val="0"/>
          <w:color w:val="000000"/>
          <w:szCs w:val="22"/>
          <w:u w:color="000000"/>
          <w:lang w:val="en-GB"/>
        </w:rPr>
        <w:tab/>
      </w:r>
    </w:p>
    <w:p w:rsidR="006307ED" w:rsidRPr="00935B58" w:rsidRDefault="006307ED" w:rsidP="006307ED">
      <w:pPr>
        <w:spacing w:line="240" w:lineRule="auto"/>
        <w:ind w:right="-1"/>
        <w:rPr>
          <w:snapToGrid w:val="0"/>
          <w:color w:val="000000"/>
          <w:sz w:val="24"/>
          <w:szCs w:val="24"/>
          <w:u w:color="000000"/>
          <w:lang w:val="en-GB"/>
        </w:rPr>
      </w:pPr>
    </w:p>
    <w:p w:rsidR="006307ED" w:rsidRPr="00935B58" w:rsidRDefault="006307ED" w:rsidP="006307ED">
      <w:pPr>
        <w:spacing w:line="240" w:lineRule="auto"/>
        <w:ind w:right="-1"/>
        <w:rPr>
          <w:b/>
          <w:snapToGrid w:val="0"/>
          <w:color w:val="000000"/>
          <w:szCs w:val="22"/>
          <w:u w:color="000000"/>
          <w:lang w:val="en-GB"/>
        </w:rPr>
      </w:pPr>
      <w:r w:rsidRPr="00935B58">
        <w:rPr>
          <w:snapToGrid w:val="0"/>
          <w:color w:val="000000"/>
          <w:szCs w:val="22"/>
          <w:u w:color="000000"/>
          <w:lang w:val="en-GB"/>
        </w:rPr>
        <w:t>Betrifft:</w:t>
      </w:r>
      <w:r w:rsidRPr="00935B58">
        <w:rPr>
          <w:b/>
          <w:snapToGrid w:val="0"/>
          <w:color w:val="000000"/>
          <w:szCs w:val="22"/>
          <w:u w:color="000000"/>
          <w:lang w:val="en-GB"/>
        </w:rPr>
        <w:t xml:space="preserve"> </w:t>
      </w:r>
      <w:r w:rsidRPr="00935B58">
        <w:rPr>
          <w:b/>
          <w:snapToGrid w:val="0"/>
          <w:color w:val="000000"/>
          <w:szCs w:val="22"/>
          <w:u w:val="single" w:color="000000"/>
          <w:lang w:val="en-GB"/>
        </w:rPr>
        <w:t>ESAs – RTS-risk mitigation techniques for OTCs</w:t>
      </w:r>
    </w:p>
    <w:p w:rsidR="006307ED" w:rsidRPr="003D12AF" w:rsidRDefault="006307ED" w:rsidP="006307ED">
      <w:pPr>
        <w:spacing w:line="240" w:lineRule="auto"/>
        <w:ind w:right="-1"/>
        <w:rPr>
          <w:snapToGrid w:val="0"/>
          <w:color w:val="000000"/>
          <w:szCs w:val="22"/>
          <w:u w:color="000000"/>
          <w:lang w:val="en-GB"/>
        </w:rPr>
      </w:pPr>
    </w:p>
    <w:p w:rsidR="006307ED" w:rsidRPr="003D12AF" w:rsidRDefault="006307ED" w:rsidP="006307ED">
      <w:pPr>
        <w:spacing w:line="240" w:lineRule="auto"/>
        <w:ind w:right="-1"/>
        <w:rPr>
          <w:snapToGrid w:val="0"/>
          <w:color w:val="000000"/>
          <w:szCs w:val="22"/>
          <w:u w:color="000000"/>
          <w:lang w:val="en-GB"/>
        </w:rPr>
      </w:pPr>
      <w:r w:rsidRPr="003D12AF">
        <w:rPr>
          <w:snapToGrid w:val="0"/>
          <w:color w:val="000000"/>
          <w:szCs w:val="22"/>
          <w:u w:color="000000"/>
          <w:lang w:val="en-GB"/>
        </w:rPr>
        <w:t>The Division Bank and Insurance of the Austrian Federal Economic Chamber, as representative of the entire Austrian banking industry, appreciates th</w:t>
      </w:r>
      <w:r>
        <w:rPr>
          <w:snapToGrid w:val="0"/>
          <w:color w:val="000000"/>
          <w:szCs w:val="22"/>
          <w:u w:color="000000"/>
          <w:lang w:val="en-GB"/>
        </w:rPr>
        <w:t xml:space="preserve">e possibility to comment on the consultation paper regarding “draft regulatory technical standards on risk-mitigation techniques for OTC-derivate contracts not cleared by a CCP under Article 11(15) of </w:t>
      </w:r>
      <w:r w:rsidR="008F5F69">
        <w:rPr>
          <w:snapToGrid w:val="0"/>
          <w:color w:val="000000"/>
          <w:szCs w:val="22"/>
          <w:u w:color="000000"/>
          <w:lang w:val="en-GB"/>
        </w:rPr>
        <w:t>EMIR</w:t>
      </w:r>
      <w:r w:rsidR="005E4C2C">
        <w:rPr>
          <w:snapToGrid w:val="0"/>
          <w:color w:val="000000"/>
          <w:szCs w:val="22"/>
          <w:u w:color="000000"/>
          <w:lang w:val="en-GB"/>
        </w:rPr>
        <w:t>”</w:t>
      </w:r>
      <w:bookmarkStart w:id="0" w:name="_GoBack"/>
      <w:bookmarkEnd w:id="0"/>
      <w:r w:rsidR="00953136">
        <w:rPr>
          <w:snapToGrid w:val="0"/>
          <w:color w:val="000000"/>
          <w:szCs w:val="22"/>
          <w:u w:color="000000"/>
          <w:lang w:val="en-GB"/>
        </w:rPr>
        <w:t>:</w:t>
      </w:r>
    </w:p>
    <w:p w:rsidR="006307ED" w:rsidRDefault="006307ED" w:rsidP="006307ED">
      <w:pPr>
        <w:spacing w:line="240" w:lineRule="auto"/>
        <w:ind w:right="-1"/>
        <w:rPr>
          <w:snapToGrid w:val="0"/>
          <w:color w:val="000000"/>
          <w:szCs w:val="22"/>
          <w:u w:color="000000"/>
          <w:lang w:val="en-GB"/>
        </w:rPr>
      </w:pPr>
    </w:p>
    <w:p w:rsidR="006307ED" w:rsidRPr="006D74FB" w:rsidRDefault="006307ED" w:rsidP="006307ED">
      <w:pPr>
        <w:spacing w:line="240" w:lineRule="auto"/>
        <w:ind w:right="-1"/>
        <w:rPr>
          <w:b/>
          <w:snapToGrid w:val="0"/>
          <w:color w:val="000000"/>
          <w:szCs w:val="22"/>
          <w:u w:color="000000"/>
          <w:lang w:val="en-GB"/>
        </w:rPr>
      </w:pPr>
      <w:r w:rsidRPr="006D74FB">
        <w:rPr>
          <w:b/>
          <w:snapToGrid w:val="0"/>
          <w:color w:val="000000"/>
          <w:szCs w:val="22"/>
          <w:u w:color="000000"/>
          <w:lang w:val="en-GB"/>
        </w:rPr>
        <w:t>General Comments</w:t>
      </w:r>
    </w:p>
    <w:p w:rsidR="006307ED" w:rsidRDefault="006307ED" w:rsidP="006307ED">
      <w:pPr>
        <w:spacing w:line="240" w:lineRule="auto"/>
        <w:ind w:right="-1"/>
        <w:rPr>
          <w:snapToGrid w:val="0"/>
          <w:color w:val="000000"/>
          <w:szCs w:val="22"/>
          <w:u w:color="000000"/>
          <w:lang w:val="en-GB"/>
        </w:rPr>
      </w:pPr>
    </w:p>
    <w:p w:rsidR="006307ED" w:rsidRDefault="006307ED" w:rsidP="006307ED">
      <w:pPr>
        <w:spacing w:line="240" w:lineRule="auto"/>
        <w:ind w:right="-1"/>
        <w:rPr>
          <w:snapToGrid w:val="0"/>
          <w:color w:val="000000"/>
          <w:szCs w:val="22"/>
          <w:u w:color="000000"/>
          <w:lang w:val="en-GB"/>
        </w:rPr>
      </w:pPr>
      <w:r>
        <w:rPr>
          <w:snapToGrid w:val="0"/>
          <w:color w:val="000000"/>
          <w:szCs w:val="22"/>
          <w:u w:color="000000"/>
          <w:lang w:val="en-GB"/>
        </w:rPr>
        <w:t xml:space="preserve">We tentatively agree </w:t>
      </w:r>
      <w:r w:rsidRPr="00EA39D4">
        <w:rPr>
          <w:snapToGrid w:val="0"/>
          <w:color w:val="000000"/>
          <w:szCs w:val="22"/>
          <w:u w:color="000000"/>
          <w:lang w:val="en-GB"/>
        </w:rPr>
        <w:t xml:space="preserve">with </w:t>
      </w:r>
      <w:r>
        <w:rPr>
          <w:snapToGrid w:val="0"/>
          <w:color w:val="000000"/>
          <w:szCs w:val="22"/>
          <w:u w:color="000000"/>
          <w:lang w:val="en-GB"/>
        </w:rPr>
        <w:t xml:space="preserve">ESMA’s </w:t>
      </w:r>
      <w:r w:rsidRPr="00EA39D4">
        <w:rPr>
          <w:snapToGrid w:val="0"/>
          <w:color w:val="000000"/>
          <w:szCs w:val="22"/>
          <w:u w:color="000000"/>
          <w:lang w:val="en-GB"/>
        </w:rPr>
        <w:t xml:space="preserve">approach to base the </w:t>
      </w:r>
      <w:r>
        <w:rPr>
          <w:snapToGrid w:val="0"/>
          <w:color w:val="000000"/>
          <w:szCs w:val="22"/>
          <w:u w:color="000000"/>
          <w:lang w:val="en-GB"/>
        </w:rPr>
        <w:t xml:space="preserve">suggested </w:t>
      </w:r>
      <w:r w:rsidRPr="00EA39D4">
        <w:rPr>
          <w:snapToGrid w:val="0"/>
          <w:color w:val="000000"/>
          <w:szCs w:val="22"/>
          <w:u w:color="000000"/>
          <w:lang w:val="en-GB"/>
        </w:rPr>
        <w:t xml:space="preserve">regime for margining requirements under EMIR on the international standards </w:t>
      </w:r>
      <w:r>
        <w:rPr>
          <w:snapToGrid w:val="0"/>
          <w:color w:val="000000"/>
          <w:szCs w:val="22"/>
          <w:u w:color="000000"/>
          <w:lang w:val="en-GB"/>
        </w:rPr>
        <w:t xml:space="preserve">suggested </w:t>
      </w:r>
      <w:r w:rsidRPr="00EA39D4">
        <w:rPr>
          <w:snapToGrid w:val="0"/>
          <w:color w:val="000000"/>
          <w:szCs w:val="22"/>
          <w:u w:color="000000"/>
          <w:lang w:val="en-GB"/>
        </w:rPr>
        <w:t>by the BCBS-IOSCO framework</w:t>
      </w:r>
      <w:r w:rsidRPr="00EA39D4">
        <w:rPr>
          <w:lang w:val="en-GB"/>
        </w:rPr>
        <w:t xml:space="preserve"> </w:t>
      </w:r>
      <w:r>
        <w:rPr>
          <w:snapToGrid w:val="0"/>
          <w:color w:val="000000"/>
          <w:szCs w:val="22"/>
          <w:u w:color="000000"/>
          <w:lang w:val="en-GB"/>
        </w:rPr>
        <w:t xml:space="preserve">on </w:t>
      </w:r>
      <w:r w:rsidRPr="00EA39D4">
        <w:rPr>
          <w:snapToGrid w:val="0"/>
          <w:color w:val="000000"/>
          <w:szCs w:val="22"/>
          <w:u w:color="000000"/>
          <w:lang w:val="en-GB"/>
        </w:rPr>
        <w:t xml:space="preserve">margining requirements </w:t>
      </w:r>
      <w:r>
        <w:rPr>
          <w:snapToGrid w:val="0"/>
          <w:color w:val="000000"/>
          <w:szCs w:val="22"/>
          <w:u w:color="000000"/>
          <w:lang w:val="en-GB"/>
        </w:rPr>
        <w:t xml:space="preserve">for </w:t>
      </w:r>
      <w:r w:rsidRPr="00EA39D4">
        <w:rPr>
          <w:snapToGrid w:val="0"/>
          <w:color w:val="000000"/>
          <w:szCs w:val="22"/>
          <w:u w:color="000000"/>
          <w:lang w:val="en-GB"/>
        </w:rPr>
        <w:t>non-centrally cleared derivative transactions.</w:t>
      </w:r>
      <w:r>
        <w:rPr>
          <w:snapToGrid w:val="0"/>
          <w:color w:val="000000"/>
          <w:szCs w:val="22"/>
          <w:u w:color="000000"/>
          <w:lang w:val="en-GB"/>
        </w:rPr>
        <w:t xml:space="preserve"> We feel however, that some aspects of the suggested European framework will likely lead to unfavourable competitive positions for EU-based firms. This is especially problematic because of the high global interconnectedness of derivative markets, which could lead to important international market participants turning away from EU-financial markets and EU-based counterparties.</w:t>
      </w:r>
    </w:p>
    <w:p w:rsidR="006307ED" w:rsidRDefault="006307ED" w:rsidP="006307ED">
      <w:pPr>
        <w:spacing w:line="240" w:lineRule="auto"/>
        <w:ind w:right="-1"/>
        <w:rPr>
          <w:snapToGrid w:val="0"/>
          <w:color w:val="000000"/>
          <w:szCs w:val="22"/>
          <w:u w:color="000000"/>
          <w:lang w:val="en-GB"/>
        </w:rPr>
      </w:pPr>
    </w:p>
    <w:p w:rsidR="006307ED" w:rsidRDefault="006307ED" w:rsidP="006307ED">
      <w:pPr>
        <w:spacing w:line="240" w:lineRule="auto"/>
        <w:ind w:right="-1"/>
        <w:rPr>
          <w:snapToGrid w:val="0"/>
          <w:color w:val="000000"/>
          <w:szCs w:val="22"/>
          <w:u w:color="000000"/>
          <w:lang w:val="en-GB"/>
        </w:rPr>
      </w:pPr>
      <w:r>
        <w:rPr>
          <w:snapToGrid w:val="0"/>
          <w:color w:val="000000"/>
          <w:szCs w:val="22"/>
          <w:u w:color="000000"/>
          <w:lang w:val="en-GB"/>
        </w:rPr>
        <w:t>T</w:t>
      </w:r>
      <w:r w:rsidRPr="006D74FB">
        <w:rPr>
          <w:snapToGrid w:val="0"/>
          <w:color w:val="000000"/>
          <w:szCs w:val="22"/>
          <w:u w:color="000000"/>
          <w:lang w:val="en-GB"/>
        </w:rPr>
        <w:t>he introduction of mandatory margining requirements will be extremely challenging for all market participants even in the case of counterparties which are exempt from mandatory margining</w:t>
      </w:r>
      <w:r>
        <w:rPr>
          <w:snapToGrid w:val="0"/>
          <w:color w:val="000000"/>
          <w:szCs w:val="22"/>
          <w:u w:color="000000"/>
          <w:lang w:val="en-GB"/>
        </w:rPr>
        <w:t xml:space="preserve"> </w:t>
      </w:r>
      <w:r w:rsidRPr="006D74FB">
        <w:rPr>
          <w:snapToGrid w:val="0"/>
          <w:color w:val="000000"/>
          <w:szCs w:val="22"/>
          <w:u w:color="000000"/>
          <w:lang w:val="en-GB"/>
        </w:rPr>
        <w:t>as they are currently designed to require a formal opt-out by contractual agree</w:t>
      </w:r>
      <w:r>
        <w:rPr>
          <w:snapToGrid w:val="0"/>
          <w:color w:val="000000"/>
          <w:szCs w:val="22"/>
          <w:u w:color="000000"/>
          <w:lang w:val="en-GB"/>
        </w:rPr>
        <w:t xml:space="preserve">ment. The rules will have extended impact on </w:t>
      </w:r>
      <w:r w:rsidRPr="006D74FB">
        <w:rPr>
          <w:snapToGrid w:val="0"/>
          <w:color w:val="000000"/>
          <w:szCs w:val="22"/>
          <w:u w:color="000000"/>
          <w:lang w:val="en-GB"/>
        </w:rPr>
        <w:t xml:space="preserve">market participants which have little experience with margining of </w:t>
      </w:r>
      <w:r>
        <w:rPr>
          <w:snapToGrid w:val="0"/>
          <w:color w:val="000000"/>
          <w:szCs w:val="22"/>
          <w:u w:color="000000"/>
          <w:lang w:val="en-GB"/>
        </w:rPr>
        <w:t xml:space="preserve">strictly </w:t>
      </w:r>
      <w:r w:rsidRPr="006D74FB">
        <w:rPr>
          <w:snapToGrid w:val="0"/>
          <w:color w:val="000000"/>
          <w:szCs w:val="22"/>
          <w:u w:color="000000"/>
          <w:lang w:val="en-GB"/>
        </w:rPr>
        <w:t xml:space="preserve">bilateral transactions, and </w:t>
      </w:r>
      <w:r>
        <w:rPr>
          <w:snapToGrid w:val="0"/>
          <w:color w:val="000000"/>
          <w:szCs w:val="22"/>
          <w:u w:color="000000"/>
          <w:lang w:val="en-GB"/>
        </w:rPr>
        <w:t xml:space="preserve">thus </w:t>
      </w:r>
      <w:r w:rsidRPr="006D74FB">
        <w:rPr>
          <w:snapToGrid w:val="0"/>
          <w:color w:val="000000"/>
          <w:szCs w:val="22"/>
          <w:u w:color="000000"/>
          <w:lang w:val="en-GB"/>
        </w:rPr>
        <w:t>variation and initial margining.</w:t>
      </w:r>
    </w:p>
    <w:p w:rsidR="006307ED" w:rsidRDefault="006307ED" w:rsidP="006307ED">
      <w:pPr>
        <w:spacing w:line="240" w:lineRule="auto"/>
        <w:ind w:right="-1"/>
        <w:rPr>
          <w:snapToGrid w:val="0"/>
          <w:color w:val="000000"/>
          <w:szCs w:val="22"/>
          <w:u w:color="000000"/>
          <w:lang w:val="en-GB"/>
        </w:rPr>
      </w:pPr>
    </w:p>
    <w:p w:rsidR="006307ED" w:rsidRDefault="006307ED" w:rsidP="006307ED">
      <w:pPr>
        <w:spacing w:line="240" w:lineRule="auto"/>
        <w:ind w:right="-1"/>
        <w:rPr>
          <w:snapToGrid w:val="0"/>
          <w:color w:val="000000"/>
          <w:szCs w:val="22"/>
          <w:u w:color="000000"/>
          <w:lang w:val="en-GB"/>
        </w:rPr>
      </w:pPr>
      <w:r>
        <w:rPr>
          <w:snapToGrid w:val="0"/>
          <w:color w:val="000000"/>
          <w:szCs w:val="22"/>
          <w:u w:color="000000"/>
          <w:lang w:val="en-GB"/>
        </w:rPr>
        <w:t>T</w:t>
      </w:r>
      <w:r w:rsidRPr="006D74FB">
        <w:rPr>
          <w:snapToGrid w:val="0"/>
          <w:color w:val="000000"/>
          <w:szCs w:val="22"/>
          <w:u w:color="000000"/>
          <w:lang w:val="en-GB"/>
        </w:rPr>
        <w:t xml:space="preserve">he scope of </w:t>
      </w:r>
      <w:r>
        <w:rPr>
          <w:snapToGrid w:val="0"/>
          <w:color w:val="000000"/>
          <w:szCs w:val="22"/>
          <w:u w:color="000000"/>
          <w:lang w:val="en-GB"/>
        </w:rPr>
        <w:t xml:space="preserve">derivative </w:t>
      </w:r>
      <w:r w:rsidRPr="006D74FB">
        <w:rPr>
          <w:snapToGrid w:val="0"/>
          <w:color w:val="000000"/>
          <w:szCs w:val="22"/>
          <w:u w:color="000000"/>
          <w:lang w:val="en-GB"/>
        </w:rPr>
        <w:t xml:space="preserve">instruments covered under EMIR is wider than under </w:t>
      </w:r>
      <w:r>
        <w:rPr>
          <w:snapToGrid w:val="0"/>
          <w:color w:val="000000"/>
          <w:szCs w:val="22"/>
          <w:u w:color="000000"/>
          <w:lang w:val="en-GB"/>
        </w:rPr>
        <w:t xml:space="preserve">most comparable legislations, especially </w:t>
      </w:r>
      <w:r w:rsidRPr="006D74FB">
        <w:rPr>
          <w:snapToGrid w:val="0"/>
          <w:color w:val="000000"/>
          <w:szCs w:val="22"/>
          <w:u w:color="000000"/>
          <w:lang w:val="en-GB"/>
        </w:rPr>
        <w:t xml:space="preserve">the Dodd-Frank Act. </w:t>
      </w:r>
      <w:r>
        <w:rPr>
          <w:snapToGrid w:val="0"/>
          <w:color w:val="000000"/>
          <w:szCs w:val="22"/>
          <w:u w:color="000000"/>
          <w:lang w:val="en-GB"/>
        </w:rPr>
        <w:t xml:space="preserve">The EU rules will likely mean a competitive disadvantage compared to </w:t>
      </w:r>
      <w:r w:rsidRPr="006D74FB">
        <w:rPr>
          <w:snapToGrid w:val="0"/>
          <w:color w:val="000000"/>
          <w:szCs w:val="22"/>
          <w:u w:color="000000"/>
          <w:lang w:val="en-GB"/>
        </w:rPr>
        <w:t xml:space="preserve">the US and </w:t>
      </w:r>
      <w:r>
        <w:rPr>
          <w:snapToGrid w:val="0"/>
          <w:color w:val="000000"/>
          <w:szCs w:val="22"/>
          <w:u w:color="000000"/>
          <w:lang w:val="en-GB"/>
        </w:rPr>
        <w:t xml:space="preserve">Asian jurisdictions were decisively fewer derivative instruments will be </w:t>
      </w:r>
      <w:r w:rsidRPr="006D74FB">
        <w:rPr>
          <w:snapToGrid w:val="0"/>
          <w:color w:val="000000"/>
          <w:szCs w:val="22"/>
          <w:u w:color="000000"/>
          <w:lang w:val="en-GB"/>
        </w:rPr>
        <w:t xml:space="preserve">subject to </w:t>
      </w:r>
      <w:r>
        <w:rPr>
          <w:snapToGrid w:val="0"/>
          <w:color w:val="000000"/>
          <w:szCs w:val="22"/>
          <w:u w:color="000000"/>
          <w:lang w:val="en-GB"/>
        </w:rPr>
        <w:t xml:space="preserve">extended </w:t>
      </w:r>
      <w:r w:rsidRPr="006D74FB">
        <w:rPr>
          <w:snapToGrid w:val="0"/>
          <w:color w:val="000000"/>
          <w:szCs w:val="22"/>
          <w:u w:color="000000"/>
          <w:lang w:val="en-GB"/>
        </w:rPr>
        <w:t>margin requirements.</w:t>
      </w:r>
      <w:r>
        <w:rPr>
          <w:snapToGrid w:val="0"/>
          <w:color w:val="000000"/>
          <w:szCs w:val="22"/>
          <w:u w:color="000000"/>
          <w:lang w:val="en-GB"/>
        </w:rPr>
        <w:t xml:space="preserve"> This is also the reason why disproportionately strict rules on margin requirements will multiply the burden for European counterparties to non-centrally cleared derivatives on a considerable scale.</w:t>
      </w:r>
    </w:p>
    <w:p w:rsidR="006307ED" w:rsidRDefault="006307ED" w:rsidP="006307ED">
      <w:pPr>
        <w:spacing w:line="240" w:lineRule="auto"/>
        <w:ind w:right="-1"/>
        <w:rPr>
          <w:snapToGrid w:val="0"/>
          <w:color w:val="000000"/>
          <w:szCs w:val="22"/>
          <w:u w:color="000000"/>
          <w:lang w:val="en-GB"/>
        </w:rPr>
      </w:pPr>
    </w:p>
    <w:p w:rsidR="006307ED" w:rsidRDefault="006307ED" w:rsidP="006307ED">
      <w:pPr>
        <w:spacing w:line="240" w:lineRule="auto"/>
        <w:ind w:right="-1"/>
        <w:rPr>
          <w:snapToGrid w:val="0"/>
          <w:color w:val="000000"/>
          <w:szCs w:val="22"/>
          <w:u w:color="000000"/>
          <w:lang w:val="en-GB"/>
        </w:rPr>
      </w:pPr>
      <w:r>
        <w:rPr>
          <w:snapToGrid w:val="0"/>
          <w:color w:val="000000"/>
          <w:szCs w:val="22"/>
          <w:u w:color="000000"/>
          <w:lang w:val="en-GB"/>
        </w:rPr>
        <w:t>We therefor tentatively suggest that the European legislation should be tuned to continuously and consistently create</w:t>
      </w:r>
      <w:r w:rsidRPr="006D74FB">
        <w:rPr>
          <w:snapToGrid w:val="0"/>
          <w:color w:val="000000"/>
          <w:szCs w:val="22"/>
          <w:u w:color="000000"/>
          <w:lang w:val="en-GB"/>
        </w:rPr>
        <w:t xml:space="preserve"> a level playing field </w:t>
      </w:r>
      <w:r>
        <w:rPr>
          <w:snapToGrid w:val="0"/>
          <w:color w:val="000000"/>
          <w:szCs w:val="22"/>
          <w:u w:color="000000"/>
          <w:lang w:val="en-GB"/>
        </w:rPr>
        <w:t xml:space="preserve">for European market participants compared to other major </w:t>
      </w:r>
      <w:r w:rsidRPr="006D74FB">
        <w:rPr>
          <w:snapToGrid w:val="0"/>
          <w:color w:val="000000"/>
          <w:szCs w:val="22"/>
          <w:u w:color="000000"/>
          <w:lang w:val="en-GB"/>
        </w:rPr>
        <w:t xml:space="preserve">jurisdictions </w:t>
      </w:r>
      <w:r>
        <w:rPr>
          <w:snapToGrid w:val="0"/>
          <w:color w:val="000000"/>
          <w:szCs w:val="22"/>
          <w:u w:color="000000"/>
          <w:lang w:val="en-GB"/>
        </w:rPr>
        <w:t xml:space="preserve">relevant for the </w:t>
      </w:r>
      <w:r w:rsidRPr="006D74FB">
        <w:rPr>
          <w:snapToGrid w:val="0"/>
          <w:color w:val="000000"/>
          <w:szCs w:val="22"/>
          <w:u w:color="000000"/>
          <w:lang w:val="en-GB"/>
        </w:rPr>
        <w:t>OTC derivatives space</w:t>
      </w:r>
      <w:r>
        <w:rPr>
          <w:snapToGrid w:val="0"/>
          <w:color w:val="000000"/>
          <w:szCs w:val="22"/>
          <w:u w:color="000000"/>
          <w:lang w:val="en-GB"/>
        </w:rPr>
        <w:t xml:space="preserve">. </w:t>
      </w:r>
    </w:p>
    <w:p w:rsidR="006307ED" w:rsidRDefault="006307ED" w:rsidP="006307ED">
      <w:pPr>
        <w:spacing w:line="240" w:lineRule="auto"/>
        <w:ind w:right="-1"/>
        <w:rPr>
          <w:snapToGrid w:val="0"/>
          <w:color w:val="000000"/>
          <w:szCs w:val="22"/>
          <w:u w:color="000000"/>
          <w:lang w:val="en-GB"/>
        </w:rPr>
      </w:pPr>
    </w:p>
    <w:p w:rsidR="006307ED" w:rsidRDefault="006307ED" w:rsidP="006307ED">
      <w:pPr>
        <w:spacing w:line="240" w:lineRule="auto"/>
        <w:ind w:right="-1"/>
        <w:rPr>
          <w:snapToGrid w:val="0"/>
          <w:color w:val="000000"/>
          <w:szCs w:val="22"/>
          <w:u w:color="000000"/>
          <w:lang w:val="en-GB"/>
        </w:rPr>
      </w:pPr>
      <w:r w:rsidRPr="006D74FB">
        <w:rPr>
          <w:snapToGrid w:val="0"/>
          <w:color w:val="000000"/>
          <w:szCs w:val="22"/>
          <w:u w:color="000000"/>
          <w:lang w:val="en-GB"/>
        </w:rPr>
        <w:lastRenderedPageBreak/>
        <w:t>The requirement for EU entities that are subject to EMIR margin rules to collect</w:t>
      </w:r>
      <w:r w:rsidRPr="00643759">
        <w:rPr>
          <w:snapToGrid w:val="0"/>
          <w:color w:val="000000"/>
          <w:szCs w:val="22"/>
          <w:u w:color="000000"/>
          <w:lang w:val="en-GB"/>
        </w:rPr>
        <w:t xml:space="preserve"> </w:t>
      </w:r>
      <w:r w:rsidRPr="006D74FB">
        <w:rPr>
          <w:snapToGrid w:val="0"/>
          <w:color w:val="000000"/>
          <w:szCs w:val="22"/>
          <w:u w:color="000000"/>
          <w:lang w:val="en-GB"/>
        </w:rPr>
        <w:t xml:space="preserve">VM and </w:t>
      </w:r>
      <w:r>
        <w:rPr>
          <w:snapToGrid w:val="0"/>
          <w:color w:val="000000"/>
          <w:szCs w:val="22"/>
          <w:u w:color="000000"/>
          <w:lang w:val="en-GB"/>
        </w:rPr>
        <w:t xml:space="preserve">(potentially) </w:t>
      </w:r>
      <w:r w:rsidRPr="006D74FB">
        <w:rPr>
          <w:snapToGrid w:val="0"/>
          <w:color w:val="000000"/>
          <w:szCs w:val="22"/>
          <w:u w:color="000000"/>
          <w:lang w:val="en-GB"/>
        </w:rPr>
        <w:t xml:space="preserve">IM from non-EU entities regardless of status or size, </w:t>
      </w:r>
      <w:r>
        <w:rPr>
          <w:snapToGrid w:val="0"/>
          <w:color w:val="000000"/>
          <w:szCs w:val="22"/>
          <w:u w:color="000000"/>
          <w:lang w:val="en-GB"/>
        </w:rPr>
        <w:t>including NFCs</w:t>
      </w:r>
      <w:r w:rsidRPr="006D74FB">
        <w:rPr>
          <w:snapToGrid w:val="0"/>
          <w:color w:val="000000"/>
          <w:szCs w:val="22"/>
          <w:u w:color="000000"/>
          <w:lang w:val="en-GB"/>
        </w:rPr>
        <w:t xml:space="preserve">, central banks or sovereigns </w:t>
      </w:r>
      <w:r>
        <w:rPr>
          <w:snapToGrid w:val="0"/>
          <w:color w:val="000000"/>
          <w:szCs w:val="22"/>
          <w:u w:color="000000"/>
          <w:lang w:val="en-GB"/>
        </w:rPr>
        <w:t xml:space="preserve">will lead to </w:t>
      </w:r>
      <w:r w:rsidRPr="006D74FB">
        <w:rPr>
          <w:snapToGrid w:val="0"/>
          <w:color w:val="000000"/>
          <w:szCs w:val="22"/>
          <w:u w:color="000000"/>
          <w:lang w:val="en-GB"/>
        </w:rPr>
        <w:t xml:space="preserve">counterparties </w:t>
      </w:r>
      <w:r>
        <w:rPr>
          <w:snapToGrid w:val="0"/>
          <w:color w:val="000000"/>
          <w:szCs w:val="22"/>
          <w:u w:color="000000"/>
          <w:lang w:val="en-GB"/>
        </w:rPr>
        <w:t xml:space="preserve">choosing </w:t>
      </w:r>
      <w:r w:rsidRPr="006D74FB">
        <w:rPr>
          <w:snapToGrid w:val="0"/>
          <w:color w:val="000000"/>
          <w:szCs w:val="22"/>
          <w:u w:color="000000"/>
          <w:lang w:val="en-GB"/>
        </w:rPr>
        <w:t xml:space="preserve">to transact with non EU banks instead </w:t>
      </w:r>
      <w:r>
        <w:rPr>
          <w:snapToGrid w:val="0"/>
          <w:color w:val="000000"/>
          <w:szCs w:val="22"/>
          <w:u w:color="000000"/>
          <w:lang w:val="en-GB"/>
        </w:rPr>
        <w:t xml:space="preserve">of </w:t>
      </w:r>
      <w:r w:rsidRPr="006D74FB">
        <w:rPr>
          <w:snapToGrid w:val="0"/>
          <w:color w:val="000000"/>
          <w:szCs w:val="22"/>
          <w:u w:color="000000"/>
          <w:lang w:val="en-GB"/>
        </w:rPr>
        <w:t xml:space="preserve">EU entities which are </w:t>
      </w:r>
      <w:r>
        <w:rPr>
          <w:snapToGrid w:val="0"/>
          <w:color w:val="000000"/>
          <w:szCs w:val="22"/>
          <w:u w:color="000000"/>
          <w:lang w:val="en-GB"/>
        </w:rPr>
        <w:t xml:space="preserve">currently </w:t>
      </w:r>
      <w:r w:rsidRPr="006D74FB">
        <w:rPr>
          <w:snapToGrid w:val="0"/>
          <w:color w:val="000000"/>
          <w:szCs w:val="22"/>
          <w:u w:color="000000"/>
          <w:lang w:val="en-GB"/>
        </w:rPr>
        <w:t xml:space="preserve">active in non-EU jurisdictions </w:t>
      </w:r>
      <w:r>
        <w:rPr>
          <w:snapToGrid w:val="0"/>
          <w:color w:val="000000"/>
          <w:szCs w:val="22"/>
          <w:u w:color="000000"/>
          <w:lang w:val="en-GB"/>
        </w:rPr>
        <w:t xml:space="preserve">without the requirement </w:t>
      </w:r>
      <w:r w:rsidRPr="006D74FB">
        <w:rPr>
          <w:snapToGrid w:val="0"/>
          <w:color w:val="000000"/>
          <w:szCs w:val="22"/>
          <w:u w:color="000000"/>
          <w:lang w:val="en-GB"/>
        </w:rPr>
        <w:t xml:space="preserve">to collect margin from </w:t>
      </w:r>
      <w:r>
        <w:rPr>
          <w:snapToGrid w:val="0"/>
          <w:color w:val="000000"/>
          <w:szCs w:val="22"/>
          <w:u w:color="000000"/>
          <w:lang w:val="en-GB"/>
        </w:rPr>
        <w:t xml:space="preserve">small scale </w:t>
      </w:r>
      <w:r w:rsidRPr="006D74FB">
        <w:rPr>
          <w:snapToGrid w:val="0"/>
          <w:color w:val="000000"/>
          <w:szCs w:val="22"/>
          <w:u w:color="000000"/>
          <w:lang w:val="en-GB"/>
        </w:rPr>
        <w:t>corporates</w:t>
      </w:r>
      <w:r>
        <w:rPr>
          <w:snapToGrid w:val="0"/>
          <w:color w:val="000000"/>
          <w:szCs w:val="22"/>
          <w:u w:color="000000"/>
          <w:lang w:val="en-GB"/>
        </w:rPr>
        <w:t xml:space="preserve"> [e.g. SMEs]</w:t>
      </w:r>
      <w:r w:rsidRPr="006D74FB">
        <w:rPr>
          <w:snapToGrid w:val="0"/>
          <w:color w:val="000000"/>
          <w:szCs w:val="22"/>
          <w:u w:color="000000"/>
          <w:lang w:val="en-GB"/>
        </w:rPr>
        <w:t>.</w:t>
      </w:r>
    </w:p>
    <w:p w:rsidR="006307ED" w:rsidRDefault="006307ED" w:rsidP="006307ED">
      <w:pPr>
        <w:spacing w:line="240" w:lineRule="auto"/>
        <w:ind w:right="-1"/>
        <w:rPr>
          <w:snapToGrid w:val="0"/>
          <w:color w:val="000000"/>
          <w:szCs w:val="22"/>
          <w:u w:color="000000"/>
          <w:lang w:val="en-GB"/>
        </w:rPr>
      </w:pPr>
      <w:r>
        <w:rPr>
          <w:snapToGrid w:val="0"/>
          <w:color w:val="000000"/>
          <w:szCs w:val="22"/>
          <w:u w:color="000000"/>
          <w:lang w:val="en-GB"/>
        </w:rPr>
        <w:t xml:space="preserve">We believe that it would be in line with international standards </w:t>
      </w:r>
      <w:r w:rsidRPr="006D74FB">
        <w:rPr>
          <w:snapToGrid w:val="0"/>
          <w:color w:val="000000"/>
          <w:szCs w:val="22"/>
          <w:u w:color="000000"/>
          <w:lang w:val="en-GB"/>
        </w:rPr>
        <w:t xml:space="preserve">not to apply margin requirements </w:t>
      </w:r>
      <w:r>
        <w:rPr>
          <w:snapToGrid w:val="0"/>
          <w:color w:val="000000"/>
          <w:szCs w:val="22"/>
          <w:u w:color="000000"/>
          <w:lang w:val="en-GB"/>
        </w:rPr>
        <w:t xml:space="preserve">on </w:t>
      </w:r>
      <w:r w:rsidRPr="006D74FB">
        <w:rPr>
          <w:snapToGrid w:val="0"/>
          <w:color w:val="000000"/>
          <w:szCs w:val="22"/>
          <w:u w:color="000000"/>
          <w:lang w:val="en-GB"/>
        </w:rPr>
        <w:t>transaction</w:t>
      </w:r>
      <w:r>
        <w:rPr>
          <w:snapToGrid w:val="0"/>
          <w:color w:val="000000"/>
          <w:szCs w:val="22"/>
          <w:u w:color="000000"/>
          <w:lang w:val="en-GB"/>
        </w:rPr>
        <w:t>s</w:t>
      </w:r>
      <w:r w:rsidRPr="006D74FB">
        <w:rPr>
          <w:snapToGrid w:val="0"/>
          <w:color w:val="000000"/>
          <w:szCs w:val="22"/>
          <w:u w:color="000000"/>
          <w:lang w:val="en-GB"/>
        </w:rPr>
        <w:t xml:space="preserve"> between covered en</w:t>
      </w:r>
      <w:r>
        <w:rPr>
          <w:snapToGrid w:val="0"/>
          <w:color w:val="000000"/>
          <w:szCs w:val="22"/>
          <w:u w:color="000000"/>
          <w:lang w:val="en-GB"/>
        </w:rPr>
        <w:t xml:space="preserve">tities </w:t>
      </w:r>
      <w:r w:rsidRPr="006D74FB">
        <w:rPr>
          <w:snapToGrid w:val="0"/>
          <w:color w:val="000000"/>
          <w:szCs w:val="22"/>
          <w:u w:color="000000"/>
          <w:lang w:val="en-GB"/>
        </w:rPr>
        <w:t>and non-systemically im</w:t>
      </w:r>
      <w:r>
        <w:rPr>
          <w:snapToGrid w:val="0"/>
          <w:color w:val="000000"/>
          <w:szCs w:val="22"/>
          <w:u w:color="000000"/>
          <w:lang w:val="en-GB"/>
        </w:rPr>
        <w:t>portant non-financial entities</w:t>
      </w:r>
      <w:r w:rsidRPr="006D74FB">
        <w:rPr>
          <w:snapToGrid w:val="0"/>
          <w:color w:val="000000"/>
          <w:szCs w:val="22"/>
          <w:u w:color="000000"/>
          <w:lang w:val="en-GB"/>
        </w:rPr>
        <w:t xml:space="preserve"> </w:t>
      </w:r>
      <w:r>
        <w:rPr>
          <w:snapToGrid w:val="0"/>
          <w:color w:val="000000"/>
          <w:szCs w:val="22"/>
          <w:u w:color="000000"/>
          <w:lang w:val="en-GB"/>
        </w:rPr>
        <w:t>and entities normally exempted from the application of EMIR.</w:t>
      </w:r>
    </w:p>
    <w:p w:rsidR="006307ED" w:rsidRDefault="006307ED" w:rsidP="006307ED">
      <w:pPr>
        <w:spacing w:line="240" w:lineRule="auto"/>
        <w:ind w:right="-1"/>
        <w:rPr>
          <w:snapToGrid w:val="0"/>
          <w:color w:val="000000"/>
          <w:szCs w:val="22"/>
          <w:u w:color="000000"/>
          <w:lang w:val="en-GB"/>
        </w:rPr>
      </w:pPr>
    </w:p>
    <w:p w:rsidR="006307ED" w:rsidRDefault="006307ED" w:rsidP="006307ED">
      <w:pPr>
        <w:spacing w:line="240" w:lineRule="auto"/>
        <w:ind w:right="-1"/>
        <w:rPr>
          <w:snapToGrid w:val="0"/>
          <w:color w:val="000000"/>
          <w:szCs w:val="22"/>
          <w:u w:color="000000"/>
          <w:lang w:val="en-GB"/>
        </w:rPr>
      </w:pPr>
      <w:r>
        <w:rPr>
          <w:snapToGrid w:val="0"/>
          <w:color w:val="000000"/>
          <w:szCs w:val="22"/>
          <w:u w:color="000000"/>
          <w:lang w:val="en-GB"/>
        </w:rPr>
        <w:t>The considerable increase in</w:t>
      </w:r>
      <w:r w:rsidRPr="0002149E">
        <w:rPr>
          <w:snapToGrid w:val="0"/>
          <w:color w:val="000000"/>
          <w:szCs w:val="22"/>
          <w:u w:color="000000"/>
          <w:lang w:val="en-GB"/>
        </w:rPr>
        <w:t xml:space="preserve"> administrative costs due to </w:t>
      </w:r>
      <w:r>
        <w:rPr>
          <w:snapToGrid w:val="0"/>
          <w:color w:val="000000"/>
          <w:szCs w:val="22"/>
          <w:u w:color="000000"/>
          <w:lang w:val="en-GB"/>
        </w:rPr>
        <w:t xml:space="preserve">the </w:t>
      </w:r>
      <w:r w:rsidRPr="0002149E">
        <w:rPr>
          <w:snapToGrid w:val="0"/>
          <w:color w:val="000000"/>
          <w:szCs w:val="22"/>
          <w:u w:color="000000"/>
          <w:lang w:val="en-GB"/>
        </w:rPr>
        <w:t xml:space="preserve">significant increase of agreements </w:t>
      </w:r>
      <w:r>
        <w:rPr>
          <w:snapToGrid w:val="0"/>
          <w:color w:val="000000"/>
          <w:szCs w:val="22"/>
          <w:u w:color="000000"/>
          <w:lang w:val="en-GB"/>
        </w:rPr>
        <w:t xml:space="preserve">between </w:t>
      </w:r>
      <w:r w:rsidRPr="0002149E">
        <w:rPr>
          <w:snapToGrid w:val="0"/>
          <w:color w:val="000000"/>
          <w:szCs w:val="22"/>
          <w:u w:color="000000"/>
          <w:lang w:val="en-GB"/>
        </w:rPr>
        <w:t xml:space="preserve">counterparties trading OTC derivative contracts and </w:t>
      </w:r>
      <w:r>
        <w:rPr>
          <w:snapToGrid w:val="0"/>
          <w:color w:val="000000"/>
          <w:szCs w:val="22"/>
          <w:u w:color="000000"/>
          <w:lang w:val="en-GB"/>
        </w:rPr>
        <w:t xml:space="preserve">the </w:t>
      </w:r>
      <w:r w:rsidRPr="0002149E">
        <w:rPr>
          <w:snapToGrid w:val="0"/>
          <w:color w:val="000000"/>
          <w:szCs w:val="22"/>
          <w:u w:color="000000"/>
          <w:lang w:val="en-GB"/>
        </w:rPr>
        <w:t xml:space="preserve">resources </w:t>
      </w:r>
      <w:r>
        <w:rPr>
          <w:snapToGrid w:val="0"/>
          <w:color w:val="000000"/>
          <w:szCs w:val="22"/>
          <w:u w:color="000000"/>
          <w:lang w:val="en-GB"/>
        </w:rPr>
        <w:t xml:space="preserve">necessary </w:t>
      </w:r>
      <w:r w:rsidRPr="0002149E">
        <w:rPr>
          <w:snapToGrid w:val="0"/>
          <w:color w:val="000000"/>
          <w:szCs w:val="22"/>
          <w:u w:color="000000"/>
          <w:lang w:val="en-GB"/>
        </w:rPr>
        <w:t xml:space="preserve">to operate margin transfers on daily basis </w:t>
      </w:r>
      <w:r>
        <w:rPr>
          <w:snapToGrid w:val="0"/>
          <w:color w:val="000000"/>
          <w:szCs w:val="22"/>
          <w:u w:color="000000"/>
          <w:lang w:val="en-GB"/>
        </w:rPr>
        <w:t>[</w:t>
      </w:r>
      <w:r w:rsidRPr="0002149E">
        <w:rPr>
          <w:snapToGrid w:val="0"/>
          <w:color w:val="000000"/>
          <w:szCs w:val="22"/>
          <w:u w:color="000000"/>
          <w:lang w:val="en-GB"/>
        </w:rPr>
        <w:t xml:space="preserve">even </w:t>
      </w:r>
      <w:r>
        <w:rPr>
          <w:snapToGrid w:val="0"/>
          <w:color w:val="000000"/>
          <w:szCs w:val="22"/>
          <w:u w:color="000000"/>
          <w:lang w:val="en-GB"/>
        </w:rPr>
        <w:t xml:space="preserve">small FCs and their </w:t>
      </w:r>
      <w:r w:rsidRPr="0002149E">
        <w:rPr>
          <w:snapToGrid w:val="0"/>
          <w:color w:val="000000"/>
          <w:szCs w:val="22"/>
          <w:u w:color="000000"/>
          <w:lang w:val="en-GB"/>
        </w:rPr>
        <w:t>end-users</w:t>
      </w:r>
      <w:r>
        <w:rPr>
          <w:snapToGrid w:val="0"/>
          <w:color w:val="000000"/>
          <w:szCs w:val="22"/>
          <w:u w:color="000000"/>
          <w:lang w:val="en-GB"/>
        </w:rPr>
        <w:t xml:space="preserve">] will </w:t>
      </w:r>
      <w:r w:rsidRPr="0002149E">
        <w:rPr>
          <w:snapToGrid w:val="0"/>
          <w:color w:val="000000"/>
          <w:szCs w:val="22"/>
          <w:u w:color="000000"/>
          <w:lang w:val="en-GB"/>
        </w:rPr>
        <w:t>have</w:t>
      </w:r>
      <w:r>
        <w:rPr>
          <w:snapToGrid w:val="0"/>
          <w:color w:val="000000"/>
          <w:szCs w:val="22"/>
          <w:u w:color="000000"/>
          <w:lang w:val="en-GB"/>
        </w:rPr>
        <w:t xml:space="preserve"> an</w:t>
      </w:r>
      <w:r w:rsidRPr="0002149E">
        <w:rPr>
          <w:snapToGrid w:val="0"/>
          <w:color w:val="000000"/>
          <w:szCs w:val="22"/>
          <w:u w:color="000000"/>
          <w:lang w:val="en-GB"/>
        </w:rPr>
        <w:t xml:space="preserve"> impact on </w:t>
      </w:r>
      <w:r>
        <w:rPr>
          <w:snapToGrid w:val="0"/>
          <w:color w:val="000000"/>
          <w:szCs w:val="22"/>
          <w:u w:color="000000"/>
          <w:lang w:val="en-GB"/>
        </w:rPr>
        <w:t xml:space="preserve">small end-users, who </w:t>
      </w:r>
      <w:r w:rsidRPr="0002149E">
        <w:rPr>
          <w:snapToGrid w:val="0"/>
          <w:color w:val="000000"/>
          <w:szCs w:val="22"/>
          <w:u w:color="000000"/>
          <w:lang w:val="en-GB"/>
        </w:rPr>
        <w:t xml:space="preserve">will have to rethink the way they use derivatives, </w:t>
      </w:r>
      <w:r>
        <w:rPr>
          <w:snapToGrid w:val="0"/>
          <w:color w:val="000000"/>
          <w:szCs w:val="22"/>
          <w:u w:color="000000"/>
          <w:lang w:val="en-GB"/>
        </w:rPr>
        <w:t xml:space="preserve">even </w:t>
      </w:r>
      <w:r w:rsidRPr="0002149E">
        <w:rPr>
          <w:snapToGrid w:val="0"/>
          <w:color w:val="000000"/>
          <w:szCs w:val="22"/>
          <w:u w:color="000000"/>
          <w:lang w:val="en-GB"/>
        </w:rPr>
        <w:t>for hedging</w:t>
      </w:r>
      <w:r>
        <w:rPr>
          <w:snapToGrid w:val="0"/>
          <w:color w:val="000000"/>
          <w:szCs w:val="22"/>
          <w:u w:color="000000"/>
          <w:lang w:val="en-GB"/>
        </w:rPr>
        <w:t xml:space="preserve"> purposes</w:t>
      </w:r>
      <w:r w:rsidRPr="0002149E">
        <w:rPr>
          <w:snapToGrid w:val="0"/>
          <w:color w:val="000000"/>
          <w:szCs w:val="22"/>
          <w:u w:color="000000"/>
          <w:lang w:val="en-GB"/>
        </w:rPr>
        <w:t>. The increase in administrative and op</w:t>
      </w:r>
      <w:r>
        <w:rPr>
          <w:snapToGrid w:val="0"/>
          <w:color w:val="000000"/>
          <w:szCs w:val="22"/>
          <w:u w:color="000000"/>
          <w:lang w:val="en-GB"/>
        </w:rPr>
        <w:t>erational costs may stop small and</w:t>
      </w:r>
      <w:r w:rsidRPr="0002149E">
        <w:rPr>
          <w:snapToGrid w:val="0"/>
          <w:color w:val="000000"/>
          <w:szCs w:val="22"/>
          <w:u w:color="000000"/>
          <w:lang w:val="en-GB"/>
        </w:rPr>
        <w:t xml:space="preserve"> medium sized entities hedging their interest rate risk, thereby leaving more rather than less risk in the sys</w:t>
      </w:r>
      <w:r>
        <w:rPr>
          <w:snapToGrid w:val="0"/>
          <w:color w:val="000000"/>
          <w:szCs w:val="22"/>
          <w:u w:color="000000"/>
          <w:lang w:val="en-GB"/>
        </w:rPr>
        <w:t xml:space="preserve">tem. If these entities seize hedging risks, the legislation </w:t>
      </w:r>
      <w:r w:rsidRPr="0002149E">
        <w:rPr>
          <w:snapToGrid w:val="0"/>
          <w:color w:val="000000"/>
          <w:szCs w:val="22"/>
          <w:u w:color="000000"/>
          <w:lang w:val="en-GB"/>
        </w:rPr>
        <w:t xml:space="preserve">would </w:t>
      </w:r>
      <w:r>
        <w:rPr>
          <w:snapToGrid w:val="0"/>
          <w:color w:val="000000"/>
          <w:szCs w:val="22"/>
          <w:u w:color="000000"/>
          <w:lang w:val="en-GB"/>
        </w:rPr>
        <w:t xml:space="preserve">as </w:t>
      </w:r>
      <w:r w:rsidRPr="0002149E">
        <w:rPr>
          <w:snapToGrid w:val="0"/>
          <w:color w:val="000000"/>
          <w:szCs w:val="22"/>
          <w:u w:color="000000"/>
          <w:lang w:val="en-GB"/>
        </w:rPr>
        <w:t xml:space="preserve">an unintended consequence </w:t>
      </w:r>
      <w:r>
        <w:rPr>
          <w:snapToGrid w:val="0"/>
          <w:color w:val="000000"/>
          <w:szCs w:val="22"/>
          <w:u w:color="000000"/>
          <w:lang w:val="en-GB"/>
        </w:rPr>
        <w:t>and contrary to its main objective have destabilising effects on the European financial markets and economies</w:t>
      </w:r>
      <w:r w:rsidRPr="0002149E">
        <w:rPr>
          <w:snapToGrid w:val="0"/>
          <w:color w:val="000000"/>
          <w:szCs w:val="22"/>
          <w:u w:color="000000"/>
          <w:lang w:val="en-GB"/>
        </w:rPr>
        <w:t xml:space="preserve">. </w:t>
      </w:r>
    </w:p>
    <w:p w:rsidR="006307ED" w:rsidRDefault="006307ED" w:rsidP="006307ED">
      <w:pPr>
        <w:spacing w:line="240" w:lineRule="auto"/>
        <w:ind w:right="-1"/>
        <w:rPr>
          <w:snapToGrid w:val="0"/>
          <w:color w:val="000000"/>
          <w:szCs w:val="22"/>
          <w:u w:color="000000"/>
          <w:lang w:val="en-GB"/>
        </w:rPr>
      </w:pPr>
    </w:p>
    <w:p w:rsidR="006307ED" w:rsidRDefault="006307ED" w:rsidP="006307ED">
      <w:pPr>
        <w:spacing w:line="240" w:lineRule="auto"/>
        <w:ind w:right="-1"/>
        <w:rPr>
          <w:snapToGrid w:val="0"/>
          <w:color w:val="000000"/>
          <w:szCs w:val="22"/>
          <w:u w:color="000000"/>
          <w:lang w:val="en-GB"/>
        </w:rPr>
      </w:pPr>
      <w:r>
        <w:rPr>
          <w:snapToGrid w:val="0"/>
          <w:color w:val="000000"/>
          <w:szCs w:val="22"/>
          <w:u w:color="000000"/>
          <w:lang w:val="en-GB"/>
        </w:rPr>
        <w:t xml:space="preserve">The rules on </w:t>
      </w:r>
      <w:r w:rsidRPr="006D74FB">
        <w:rPr>
          <w:snapToGrid w:val="0"/>
          <w:color w:val="000000"/>
          <w:szCs w:val="22"/>
          <w:u w:color="000000"/>
          <w:lang w:val="en-GB"/>
        </w:rPr>
        <w:t xml:space="preserve">segregation of initial margins </w:t>
      </w:r>
      <w:r>
        <w:rPr>
          <w:snapToGrid w:val="0"/>
          <w:color w:val="000000"/>
          <w:szCs w:val="22"/>
          <w:u w:color="000000"/>
          <w:lang w:val="en-GB"/>
        </w:rPr>
        <w:t xml:space="preserve">will be extremely complex and burdensome while </w:t>
      </w:r>
      <w:r w:rsidRPr="006D74FB">
        <w:rPr>
          <w:snapToGrid w:val="0"/>
          <w:color w:val="000000"/>
          <w:szCs w:val="22"/>
          <w:u w:color="000000"/>
          <w:lang w:val="en-GB"/>
        </w:rPr>
        <w:t>the ban on re-use/re</w:t>
      </w:r>
      <w:r>
        <w:rPr>
          <w:snapToGrid w:val="0"/>
          <w:color w:val="000000"/>
          <w:szCs w:val="22"/>
          <w:u w:color="000000"/>
          <w:lang w:val="en-GB"/>
        </w:rPr>
        <w:t>-</w:t>
      </w:r>
      <w:r w:rsidRPr="006D74FB">
        <w:rPr>
          <w:snapToGrid w:val="0"/>
          <w:color w:val="000000"/>
          <w:szCs w:val="22"/>
          <w:u w:color="000000"/>
          <w:lang w:val="en-GB"/>
        </w:rPr>
        <w:t>hypothecation</w:t>
      </w:r>
      <w:r>
        <w:rPr>
          <w:snapToGrid w:val="0"/>
          <w:color w:val="000000"/>
          <w:szCs w:val="22"/>
          <w:u w:color="000000"/>
          <w:lang w:val="en-GB"/>
        </w:rPr>
        <w:t xml:space="preserve"> also</w:t>
      </w:r>
      <w:r w:rsidRPr="006D74FB">
        <w:rPr>
          <w:snapToGrid w:val="0"/>
          <w:color w:val="000000"/>
          <w:szCs w:val="22"/>
          <w:u w:color="000000"/>
          <w:lang w:val="en-GB"/>
        </w:rPr>
        <w:t xml:space="preserve"> </w:t>
      </w:r>
      <w:r>
        <w:rPr>
          <w:snapToGrid w:val="0"/>
          <w:color w:val="000000"/>
          <w:szCs w:val="22"/>
          <w:u w:color="000000"/>
          <w:lang w:val="en-GB"/>
        </w:rPr>
        <w:t xml:space="preserve">creates </w:t>
      </w:r>
      <w:r w:rsidRPr="006D74FB">
        <w:rPr>
          <w:snapToGrid w:val="0"/>
          <w:color w:val="000000"/>
          <w:szCs w:val="22"/>
          <w:u w:color="000000"/>
          <w:lang w:val="en-GB"/>
        </w:rPr>
        <w:t xml:space="preserve">a distortion of competition </w:t>
      </w:r>
      <w:r>
        <w:rPr>
          <w:snapToGrid w:val="0"/>
          <w:color w:val="000000"/>
          <w:szCs w:val="22"/>
          <w:u w:color="000000"/>
          <w:lang w:val="en-GB"/>
        </w:rPr>
        <w:t>especially</w:t>
      </w:r>
      <w:r w:rsidR="008F5F69">
        <w:rPr>
          <w:snapToGrid w:val="0"/>
          <w:color w:val="000000"/>
          <w:szCs w:val="22"/>
          <w:u w:color="000000"/>
          <w:lang w:val="en-GB"/>
        </w:rPr>
        <w:t xml:space="preserve"> with regards to</w:t>
      </w:r>
      <w:r>
        <w:rPr>
          <w:snapToGrid w:val="0"/>
          <w:color w:val="000000"/>
          <w:szCs w:val="22"/>
          <w:u w:color="000000"/>
          <w:lang w:val="en-GB"/>
        </w:rPr>
        <w:t xml:space="preserve"> US-based banks </w:t>
      </w:r>
      <w:r w:rsidRPr="006D74FB">
        <w:rPr>
          <w:snapToGrid w:val="0"/>
          <w:color w:val="000000"/>
          <w:szCs w:val="22"/>
          <w:u w:color="000000"/>
          <w:lang w:val="en-GB"/>
        </w:rPr>
        <w:t xml:space="preserve">and will </w:t>
      </w:r>
      <w:r>
        <w:rPr>
          <w:snapToGrid w:val="0"/>
          <w:color w:val="000000"/>
          <w:szCs w:val="22"/>
          <w:u w:color="000000"/>
          <w:lang w:val="en-GB"/>
        </w:rPr>
        <w:t xml:space="preserve">hamper the </w:t>
      </w:r>
      <w:r w:rsidRPr="006D74FB">
        <w:rPr>
          <w:snapToGrid w:val="0"/>
          <w:color w:val="000000"/>
          <w:szCs w:val="22"/>
          <w:u w:color="000000"/>
          <w:lang w:val="en-GB"/>
        </w:rPr>
        <w:t xml:space="preserve">derivative operations of European banks. </w:t>
      </w:r>
    </w:p>
    <w:p w:rsidR="006307ED" w:rsidRPr="006D74FB" w:rsidRDefault="006307ED" w:rsidP="006307ED">
      <w:pPr>
        <w:spacing w:line="240" w:lineRule="auto"/>
        <w:ind w:right="-1"/>
        <w:rPr>
          <w:snapToGrid w:val="0"/>
          <w:color w:val="000000"/>
          <w:szCs w:val="22"/>
          <w:u w:color="000000"/>
          <w:lang w:val="en-GB"/>
        </w:rPr>
      </w:pPr>
    </w:p>
    <w:p w:rsidR="006307ED" w:rsidRDefault="006307ED" w:rsidP="006307ED">
      <w:pPr>
        <w:spacing w:line="240" w:lineRule="auto"/>
        <w:ind w:right="-1"/>
        <w:rPr>
          <w:snapToGrid w:val="0"/>
          <w:color w:val="000000"/>
          <w:szCs w:val="22"/>
          <w:u w:color="000000"/>
          <w:lang w:val="en-GB"/>
        </w:rPr>
      </w:pPr>
      <w:r>
        <w:rPr>
          <w:snapToGrid w:val="0"/>
          <w:color w:val="000000"/>
          <w:szCs w:val="22"/>
          <w:u w:color="000000"/>
          <w:lang w:val="en-GB"/>
        </w:rPr>
        <w:t xml:space="preserve">We also want to stress the very tight time frame of this project. We expect that counterparties </w:t>
      </w:r>
      <w:r w:rsidRPr="006D74FB">
        <w:rPr>
          <w:snapToGrid w:val="0"/>
          <w:color w:val="000000"/>
          <w:szCs w:val="22"/>
          <w:u w:color="000000"/>
          <w:lang w:val="en-GB"/>
        </w:rPr>
        <w:t xml:space="preserve">will </w:t>
      </w:r>
      <w:r>
        <w:rPr>
          <w:snapToGrid w:val="0"/>
          <w:color w:val="000000"/>
          <w:szCs w:val="22"/>
          <w:u w:color="000000"/>
          <w:lang w:val="en-GB"/>
        </w:rPr>
        <w:t xml:space="preserve">need more time to implement the requirements than close to 12 </w:t>
      </w:r>
      <w:r w:rsidRPr="006D74FB">
        <w:rPr>
          <w:snapToGrid w:val="0"/>
          <w:color w:val="000000"/>
          <w:szCs w:val="22"/>
          <w:u w:color="000000"/>
          <w:lang w:val="en-GB"/>
        </w:rPr>
        <w:t xml:space="preserve">months until the mandatory compliance date on </w:t>
      </w:r>
      <w:r>
        <w:rPr>
          <w:snapToGrid w:val="0"/>
          <w:color w:val="000000"/>
          <w:szCs w:val="22"/>
          <w:u w:color="000000"/>
          <w:lang w:val="en-GB"/>
        </w:rPr>
        <w:t>1</w:t>
      </w:r>
      <w:r w:rsidRPr="00520E98">
        <w:rPr>
          <w:snapToGrid w:val="0"/>
          <w:color w:val="000000"/>
          <w:szCs w:val="22"/>
          <w:u w:color="000000"/>
          <w:vertAlign w:val="superscript"/>
          <w:lang w:val="en-GB"/>
        </w:rPr>
        <w:t>st</w:t>
      </w:r>
      <w:r>
        <w:rPr>
          <w:snapToGrid w:val="0"/>
          <w:color w:val="000000"/>
          <w:szCs w:val="22"/>
          <w:u w:color="000000"/>
          <w:lang w:val="en-GB"/>
        </w:rPr>
        <w:t xml:space="preserve"> </w:t>
      </w:r>
      <w:r w:rsidRPr="006D74FB">
        <w:rPr>
          <w:snapToGrid w:val="0"/>
          <w:color w:val="000000"/>
          <w:szCs w:val="22"/>
          <w:u w:color="000000"/>
          <w:lang w:val="en-GB"/>
        </w:rPr>
        <w:t>December 2015</w:t>
      </w:r>
      <w:r>
        <w:rPr>
          <w:snapToGrid w:val="0"/>
          <w:color w:val="000000"/>
          <w:szCs w:val="22"/>
          <w:u w:color="000000"/>
          <w:lang w:val="en-GB"/>
        </w:rPr>
        <w:t xml:space="preserve"> even if the rules can be implemented on time at the beginning of 2015</w:t>
      </w:r>
      <w:r w:rsidRPr="006D74FB">
        <w:rPr>
          <w:snapToGrid w:val="0"/>
          <w:color w:val="000000"/>
          <w:szCs w:val="22"/>
          <w:u w:color="000000"/>
          <w:lang w:val="en-GB"/>
        </w:rPr>
        <w:t xml:space="preserve">. </w:t>
      </w:r>
      <w:r>
        <w:rPr>
          <w:snapToGrid w:val="0"/>
          <w:color w:val="000000"/>
          <w:szCs w:val="22"/>
          <w:u w:color="000000"/>
          <w:lang w:val="en-GB"/>
        </w:rPr>
        <w:t xml:space="preserve">We believe this to be </w:t>
      </w:r>
      <w:r w:rsidRPr="006D74FB">
        <w:rPr>
          <w:snapToGrid w:val="0"/>
          <w:color w:val="000000"/>
          <w:szCs w:val="22"/>
          <w:u w:color="000000"/>
          <w:lang w:val="en-GB"/>
        </w:rPr>
        <w:t xml:space="preserve">too short considering the legal, operational and documentation changes that will </w:t>
      </w:r>
      <w:r>
        <w:rPr>
          <w:snapToGrid w:val="0"/>
          <w:color w:val="000000"/>
          <w:szCs w:val="22"/>
          <w:u w:color="000000"/>
          <w:lang w:val="en-GB"/>
        </w:rPr>
        <w:t>result from the new rules</w:t>
      </w:r>
      <w:r w:rsidRPr="006D74FB">
        <w:rPr>
          <w:snapToGrid w:val="0"/>
          <w:color w:val="000000"/>
          <w:szCs w:val="22"/>
          <w:u w:color="000000"/>
          <w:lang w:val="en-GB"/>
        </w:rPr>
        <w:t>.</w:t>
      </w:r>
      <w:r>
        <w:rPr>
          <w:snapToGrid w:val="0"/>
          <w:color w:val="000000"/>
          <w:szCs w:val="22"/>
          <w:u w:color="000000"/>
          <w:lang w:val="en-GB"/>
        </w:rPr>
        <w:t xml:space="preserve"> </w:t>
      </w:r>
    </w:p>
    <w:p w:rsidR="006307ED" w:rsidRPr="00935B58" w:rsidRDefault="006307ED" w:rsidP="006307ED">
      <w:pPr>
        <w:spacing w:line="240" w:lineRule="auto"/>
        <w:ind w:right="-1"/>
        <w:rPr>
          <w:snapToGrid w:val="0"/>
          <w:color w:val="000000"/>
          <w:szCs w:val="22"/>
          <w:u w:color="000000"/>
          <w:lang w:val="en-GB"/>
        </w:rPr>
      </w:pPr>
    </w:p>
    <w:p w:rsidR="006307ED" w:rsidRPr="009B0388" w:rsidRDefault="006307ED" w:rsidP="006307ED">
      <w:pPr>
        <w:numPr>
          <w:ilvl w:val="0"/>
          <w:numId w:val="2"/>
        </w:numPr>
        <w:spacing w:line="240" w:lineRule="auto"/>
        <w:ind w:right="-1"/>
        <w:rPr>
          <w:b/>
          <w:bCs/>
          <w:snapToGrid w:val="0"/>
          <w:color w:val="000000"/>
          <w:szCs w:val="22"/>
          <w:u w:color="000000"/>
          <w:lang w:val="en-US"/>
        </w:rPr>
      </w:pPr>
      <w:r w:rsidRPr="009B0388">
        <w:rPr>
          <w:b/>
          <w:bCs/>
          <w:snapToGrid w:val="0"/>
          <w:color w:val="000000"/>
          <w:szCs w:val="22"/>
          <w:u w:color="000000"/>
          <w:lang w:val="en-US"/>
        </w:rPr>
        <w:t xml:space="preserve">Question 2 </w:t>
      </w:r>
      <w:r>
        <w:rPr>
          <w:b/>
          <w:bCs/>
          <w:snapToGrid w:val="0"/>
          <w:color w:val="000000"/>
          <w:szCs w:val="22"/>
          <w:u w:color="000000"/>
          <w:lang w:val="en-US"/>
        </w:rPr>
        <w:t>/ page 17</w:t>
      </w:r>
    </w:p>
    <w:p w:rsidR="006307ED" w:rsidRDefault="006307ED" w:rsidP="006307ED">
      <w:pPr>
        <w:spacing w:line="240" w:lineRule="auto"/>
        <w:ind w:right="-1"/>
        <w:rPr>
          <w:bCs/>
          <w:i/>
          <w:snapToGrid w:val="0"/>
          <w:color w:val="000000"/>
          <w:szCs w:val="22"/>
          <w:u w:color="000000"/>
          <w:lang w:val="en-US"/>
        </w:rPr>
      </w:pPr>
      <w:r w:rsidRPr="00014E53">
        <w:rPr>
          <w:bCs/>
          <w:i/>
          <w:snapToGrid w:val="0"/>
          <w:color w:val="000000"/>
          <w:szCs w:val="22"/>
          <w:u w:color="000000"/>
          <w:lang w:val="en-US"/>
        </w:rPr>
        <w:t>Are there particular aspects, for instance of an operational nature, that are not addressed in an appropriate manner? If yes, please provide the rationale for the concerns and potential solutions.</w:t>
      </w:r>
    </w:p>
    <w:p w:rsidR="006307ED" w:rsidRDefault="006307ED" w:rsidP="006307ED">
      <w:pPr>
        <w:spacing w:line="240" w:lineRule="auto"/>
        <w:ind w:right="-1"/>
        <w:rPr>
          <w:bCs/>
          <w:i/>
          <w:snapToGrid w:val="0"/>
          <w:color w:val="000000"/>
          <w:szCs w:val="22"/>
          <w:u w:color="000000"/>
          <w:lang w:val="en-US"/>
        </w:rPr>
      </w:pPr>
    </w:p>
    <w:p w:rsidR="006307ED" w:rsidRPr="007F1BCF" w:rsidRDefault="00953136" w:rsidP="006307ED">
      <w:pPr>
        <w:numPr>
          <w:ilvl w:val="0"/>
          <w:numId w:val="3"/>
        </w:numPr>
        <w:spacing w:line="240" w:lineRule="auto"/>
        <w:ind w:left="284" w:right="-1" w:hanging="284"/>
        <w:rPr>
          <w:b/>
          <w:bCs/>
          <w:snapToGrid w:val="0"/>
          <w:color w:val="000000"/>
          <w:szCs w:val="22"/>
          <w:u w:color="000000"/>
          <w:lang w:val="en-US"/>
        </w:rPr>
      </w:pPr>
      <w:r w:rsidRPr="007F1BCF">
        <w:rPr>
          <w:b/>
          <w:bCs/>
          <w:snapToGrid w:val="0"/>
          <w:color w:val="000000"/>
          <w:szCs w:val="22"/>
          <w:u w:color="000000"/>
          <w:lang w:val="en-US"/>
        </w:rPr>
        <w:t>Exemption</w:t>
      </w:r>
      <w:r w:rsidR="006307ED" w:rsidRPr="007F1BCF">
        <w:rPr>
          <w:b/>
          <w:bCs/>
          <w:snapToGrid w:val="0"/>
          <w:color w:val="000000"/>
          <w:szCs w:val="22"/>
          <w:u w:color="000000"/>
          <w:lang w:val="en-US"/>
        </w:rPr>
        <w:t xml:space="preserve"> for intragroup transactions </w:t>
      </w:r>
    </w:p>
    <w:p w:rsidR="006307ED" w:rsidRDefault="006307ED" w:rsidP="006307ED">
      <w:pPr>
        <w:spacing w:line="240" w:lineRule="auto"/>
        <w:ind w:left="284" w:right="-1"/>
        <w:rPr>
          <w:bCs/>
          <w:snapToGrid w:val="0"/>
          <w:color w:val="000000"/>
          <w:szCs w:val="22"/>
          <w:u w:color="000000"/>
          <w:lang w:val="en-US"/>
        </w:rPr>
      </w:pPr>
      <w:r w:rsidRPr="007F1BCF">
        <w:rPr>
          <w:bCs/>
          <w:snapToGrid w:val="0"/>
          <w:color w:val="000000"/>
          <w:szCs w:val="22"/>
          <w:u w:color="000000"/>
          <w:lang w:val="en-US"/>
        </w:rPr>
        <w:t>We would like to stress the importance to align the interpretation of CRR with EMIR. Therefore, transactions within a group and, based on Article 113 (7) CRR, within institutional protection schemes should automatically benefit from the relevant intragroup exemptions of the EMIR regulation.</w:t>
      </w:r>
    </w:p>
    <w:p w:rsidR="006307ED" w:rsidRDefault="006307ED" w:rsidP="006307ED">
      <w:pPr>
        <w:spacing w:line="240" w:lineRule="auto"/>
        <w:ind w:left="284" w:right="-1"/>
        <w:rPr>
          <w:bCs/>
          <w:snapToGrid w:val="0"/>
          <w:color w:val="000000"/>
          <w:szCs w:val="22"/>
          <w:u w:color="000000"/>
          <w:lang w:val="en-US"/>
        </w:rPr>
      </w:pPr>
    </w:p>
    <w:p w:rsidR="006307ED" w:rsidRPr="007F1BCF" w:rsidRDefault="006307ED" w:rsidP="006307ED">
      <w:pPr>
        <w:numPr>
          <w:ilvl w:val="0"/>
          <w:numId w:val="3"/>
        </w:numPr>
        <w:spacing w:line="240" w:lineRule="auto"/>
        <w:ind w:left="284" w:right="-1" w:hanging="284"/>
        <w:rPr>
          <w:b/>
          <w:bCs/>
          <w:snapToGrid w:val="0"/>
          <w:color w:val="000000"/>
          <w:szCs w:val="22"/>
          <w:u w:color="000000"/>
          <w:lang w:val="en-US"/>
        </w:rPr>
      </w:pPr>
      <w:r w:rsidRPr="007F1BCF">
        <w:rPr>
          <w:b/>
          <w:bCs/>
          <w:snapToGrid w:val="0"/>
          <w:color w:val="000000"/>
          <w:szCs w:val="22"/>
          <w:u w:color="000000"/>
          <w:lang w:val="en-US"/>
        </w:rPr>
        <w:t xml:space="preserve">Legal impediments/non-reliance on the intragroup exemptions: </w:t>
      </w:r>
    </w:p>
    <w:p w:rsidR="006307ED" w:rsidRPr="007F1BCF" w:rsidRDefault="006307ED" w:rsidP="006307ED">
      <w:pPr>
        <w:spacing w:line="240" w:lineRule="auto"/>
        <w:ind w:left="284" w:right="-1"/>
        <w:rPr>
          <w:bCs/>
          <w:snapToGrid w:val="0"/>
          <w:color w:val="000000"/>
          <w:szCs w:val="22"/>
          <w:u w:color="000000"/>
          <w:lang w:val="en-US"/>
        </w:rPr>
      </w:pPr>
      <w:r w:rsidRPr="007F1BCF">
        <w:rPr>
          <w:bCs/>
          <w:snapToGrid w:val="0"/>
          <w:color w:val="000000"/>
          <w:szCs w:val="22"/>
          <w:u w:color="000000"/>
          <w:lang w:val="en-US"/>
        </w:rPr>
        <w:t xml:space="preserve">Article 3 IGT (1) (a) and (b) mention the legal impediments to the prompt transfer of own funds which would result in the </w:t>
      </w:r>
      <w:r w:rsidR="00953136" w:rsidRPr="007F1BCF">
        <w:rPr>
          <w:bCs/>
          <w:snapToGrid w:val="0"/>
          <w:color w:val="000000"/>
          <w:szCs w:val="22"/>
          <w:u w:color="000000"/>
          <w:lang w:val="en-US"/>
        </w:rPr>
        <w:t>non-reliance</w:t>
      </w:r>
      <w:r w:rsidRPr="007F1BCF">
        <w:rPr>
          <w:bCs/>
          <w:snapToGrid w:val="0"/>
          <w:color w:val="000000"/>
          <w:szCs w:val="22"/>
          <w:u w:color="000000"/>
          <w:lang w:val="en-US"/>
        </w:rPr>
        <w:t xml:space="preserve"> on the intragroup exemptions. Many regulatory regimes and all insolvency, resolution or similar other regimes, by their nature, contain provisions which can affect the ability of the regulated or insolvent party or the party under resolution to effect payments or transfer assets. </w:t>
      </w:r>
    </w:p>
    <w:p w:rsidR="006307ED" w:rsidRPr="007F1BCF" w:rsidRDefault="006307ED" w:rsidP="006307ED">
      <w:pPr>
        <w:spacing w:line="240" w:lineRule="auto"/>
        <w:ind w:left="284" w:right="-1"/>
        <w:rPr>
          <w:bCs/>
          <w:snapToGrid w:val="0"/>
          <w:color w:val="000000"/>
          <w:szCs w:val="22"/>
          <w:u w:color="000000"/>
          <w:lang w:val="en-US"/>
        </w:rPr>
      </w:pPr>
    </w:p>
    <w:p w:rsidR="006307ED" w:rsidRDefault="006307ED" w:rsidP="006307ED">
      <w:pPr>
        <w:spacing w:line="240" w:lineRule="auto"/>
        <w:ind w:left="284" w:right="-1"/>
        <w:rPr>
          <w:bCs/>
          <w:i/>
          <w:snapToGrid w:val="0"/>
          <w:color w:val="000000"/>
          <w:szCs w:val="22"/>
          <w:u w:val="single"/>
          <w:lang w:val="en-US"/>
        </w:rPr>
      </w:pPr>
      <w:r w:rsidRPr="007F1BCF">
        <w:rPr>
          <w:bCs/>
          <w:snapToGrid w:val="0"/>
          <w:color w:val="000000"/>
          <w:szCs w:val="22"/>
          <w:u w:color="000000"/>
          <w:lang w:val="en-US"/>
        </w:rPr>
        <w:t xml:space="preserve">We believe that "regulatory restrictions" should only be a valid legal impediment </w:t>
      </w:r>
      <w:r w:rsidRPr="007F1BCF">
        <w:rPr>
          <w:bCs/>
          <w:i/>
          <w:snapToGrid w:val="0"/>
          <w:color w:val="000000"/>
          <w:szCs w:val="22"/>
          <w:u w:val="single"/>
          <w:lang w:val="en-US"/>
        </w:rPr>
        <w:t>from the moment institutions do not comply</w:t>
      </w:r>
      <w:r w:rsidRPr="007F1BCF">
        <w:rPr>
          <w:bCs/>
          <w:snapToGrid w:val="0"/>
          <w:color w:val="000000"/>
          <w:szCs w:val="22"/>
          <w:u w:color="000000"/>
          <w:lang w:val="en-US"/>
        </w:rPr>
        <w:t xml:space="preserve"> with regulatory restrictions any more. Art. 1 IGT (1) (b) should mean that such impediment is only </w:t>
      </w:r>
      <w:r w:rsidRPr="00510104">
        <w:rPr>
          <w:bCs/>
          <w:i/>
          <w:snapToGrid w:val="0"/>
          <w:color w:val="000000"/>
          <w:szCs w:val="22"/>
          <w:u w:val="single"/>
          <w:lang w:val="en-US"/>
        </w:rPr>
        <w:t xml:space="preserve">deemed to exist upon initiation of such </w:t>
      </w:r>
    </w:p>
    <w:p w:rsidR="006307ED" w:rsidRPr="007F1BCF" w:rsidRDefault="006307ED" w:rsidP="006307ED">
      <w:pPr>
        <w:spacing w:line="240" w:lineRule="auto"/>
        <w:ind w:left="284" w:right="-1"/>
        <w:rPr>
          <w:bCs/>
          <w:snapToGrid w:val="0"/>
          <w:color w:val="000000"/>
          <w:szCs w:val="22"/>
          <w:u w:color="000000"/>
          <w:lang w:val="en-US"/>
        </w:rPr>
      </w:pPr>
      <w:proofErr w:type="gramStart"/>
      <w:r w:rsidRPr="00510104">
        <w:rPr>
          <w:bCs/>
          <w:i/>
          <w:snapToGrid w:val="0"/>
          <w:color w:val="000000"/>
          <w:szCs w:val="22"/>
          <w:u w:val="single"/>
          <w:lang w:val="en-US"/>
        </w:rPr>
        <w:t>proceedings</w:t>
      </w:r>
      <w:proofErr w:type="gramEnd"/>
      <w:r w:rsidRPr="007F1BCF">
        <w:rPr>
          <w:bCs/>
          <w:snapToGrid w:val="0"/>
          <w:color w:val="000000"/>
          <w:szCs w:val="22"/>
          <w:u w:color="000000"/>
          <w:lang w:val="en-US"/>
        </w:rPr>
        <w:t xml:space="preserve"> but not before. </w:t>
      </w:r>
    </w:p>
    <w:p w:rsidR="006307ED" w:rsidRPr="007F1BCF" w:rsidRDefault="006307ED" w:rsidP="006307ED">
      <w:pPr>
        <w:spacing w:line="240" w:lineRule="auto"/>
        <w:ind w:left="284" w:right="-1"/>
        <w:rPr>
          <w:bCs/>
          <w:snapToGrid w:val="0"/>
          <w:color w:val="000000"/>
          <w:szCs w:val="22"/>
          <w:u w:color="000000"/>
          <w:lang w:val="en-US"/>
        </w:rPr>
      </w:pPr>
    </w:p>
    <w:p w:rsidR="006307ED" w:rsidRPr="00014E53" w:rsidRDefault="006307ED" w:rsidP="006307ED">
      <w:pPr>
        <w:spacing w:line="240" w:lineRule="auto"/>
        <w:ind w:left="284" w:right="-1"/>
        <w:rPr>
          <w:bCs/>
          <w:snapToGrid w:val="0"/>
          <w:color w:val="000000"/>
          <w:szCs w:val="22"/>
          <w:u w:color="000000"/>
          <w:lang w:val="en-US"/>
        </w:rPr>
      </w:pPr>
      <w:r w:rsidRPr="007F1BCF">
        <w:rPr>
          <w:bCs/>
          <w:snapToGrid w:val="0"/>
          <w:color w:val="000000"/>
          <w:szCs w:val="22"/>
          <w:u w:color="000000"/>
          <w:lang w:val="en-US"/>
        </w:rPr>
        <w:t>The relevant requirement would effectively invalidate the effects of the exemption for intragroup transactions</w:t>
      </w:r>
      <w:r>
        <w:rPr>
          <w:bCs/>
          <w:snapToGrid w:val="0"/>
          <w:color w:val="000000"/>
          <w:szCs w:val="22"/>
          <w:u w:color="000000"/>
          <w:lang w:val="en-US"/>
        </w:rPr>
        <w:t xml:space="preserve"> in the Regulation, which forms the legal basis of the RTS</w:t>
      </w:r>
      <w:r w:rsidRPr="007F1BCF">
        <w:rPr>
          <w:bCs/>
          <w:snapToGrid w:val="0"/>
          <w:color w:val="000000"/>
          <w:szCs w:val="22"/>
          <w:u w:color="000000"/>
          <w:lang w:val="en-US"/>
        </w:rPr>
        <w:t xml:space="preserve">. This </w:t>
      </w:r>
      <w:r w:rsidRPr="007F1BCF">
        <w:rPr>
          <w:bCs/>
          <w:snapToGrid w:val="0"/>
          <w:color w:val="000000"/>
          <w:szCs w:val="22"/>
          <w:u w:color="000000"/>
          <w:lang w:val="en-US"/>
        </w:rPr>
        <w:lastRenderedPageBreak/>
        <w:t xml:space="preserve">cannot </w:t>
      </w:r>
      <w:r>
        <w:rPr>
          <w:bCs/>
          <w:snapToGrid w:val="0"/>
          <w:color w:val="000000"/>
          <w:szCs w:val="22"/>
          <w:u w:color="000000"/>
          <w:lang w:val="en-US"/>
        </w:rPr>
        <w:t xml:space="preserve">and must not </w:t>
      </w:r>
      <w:r w:rsidRPr="007F1BCF">
        <w:rPr>
          <w:bCs/>
          <w:snapToGrid w:val="0"/>
          <w:color w:val="000000"/>
          <w:szCs w:val="22"/>
          <w:u w:color="000000"/>
          <w:lang w:val="en-US"/>
        </w:rPr>
        <w:t xml:space="preserve">be the intention of the supervising authorities. The intragroup exemption is essential to </w:t>
      </w:r>
      <w:r w:rsidR="00953136" w:rsidRPr="007F1BCF">
        <w:rPr>
          <w:bCs/>
          <w:snapToGrid w:val="0"/>
          <w:color w:val="000000"/>
          <w:szCs w:val="22"/>
          <w:u w:color="000000"/>
          <w:lang w:val="en-US"/>
        </w:rPr>
        <w:t>minimize</w:t>
      </w:r>
      <w:r w:rsidRPr="007F1BCF">
        <w:rPr>
          <w:bCs/>
          <w:snapToGrid w:val="0"/>
          <w:color w:val="000000"/>
          <w:szCs w:val="22"/>
          <w:u w:color="000000"/>
          <w:lang w:val="en-US"/>
        </w:rPr>
        <w:t xml:space="preserve"> any adverse effects of and challenges posed by the application of mandatory margining to transactions between members of the same group or institutional protection scheme.</w:t>
      </w:r>
    </w:p>
    <w:p w:rsidR="006307ED" w:rsidRPr="00935B58" w:rsidRDefault="006307ED" w:rsidP="006307ED">
      <w:pPr>
        <w:spacing w:line="240" w:lineRule="auto"/>
        <w:ind w:right="-1"/>
        <w:rPr>
          <w:snapToGrid w:val="0"/>
          <w:color w:val="000000"/>
          <w:szCs w:val="22"/>
          <w:u w:color="000000"/>
          <w:lang w:val="en-GB"/>
        </w:rPr>
      </w:pPr>
    </w:p>
    <w:p w:rsidR="006307ED" w:rsidRPr="00935B58" w:rsidRDefault="006307ED" w:rsidP="006307ED">
      <w:pPr>
        <w:numPr>
          <w:ilvl w:val="0"/>
          <w:numId w:val="3"/>
        </w:numPr>
        <w:spacing w:line="240" w:lineRule="auto"/>
        <w:ind w:left="284" w:right="-1" w:hanging="284"/>
        <w:rPr>
          <w:b/>
          <w:bCs/>
          <w:snapToGrid w:val="0"/>
          <w:color w:val="000000"/>
          <w:szCs w:val="22"/>
          <w:u w:color="000000"/>
          <w:lang w:val="en-GB"/>
        </w:rPr>
      </w:pPr>
      <w:r w:rsidRPr="00935B58">
        <w:rPr>
          <w:b/>
          <w:bCs/>
          <w:snapToGrid w:val="0"/>
          <w:color w:val="000000"/>
          <w:szCs w:val="22"/>
          <w:u w:color="000000"/>
          <w:lang w:val="en-GB"/>
        </w:rPr>
        <w:t xml:space="preserve">Implementation of collateral transfer made of units or shares of UCITS </w:t>
      </w:r>
    </w:p>
    <w:p w:rsidR="006307ED" w:rsidRPr="009B0388" w:rsidRDefault="006307ED" w:rsidP="006307ED">
      <w:pPr>
        <w:spacing w:line="240" w:lineRule="auto"/>
        <w:ind w:left="284" w:right="-1"/>
        <w:rPr>
          <w:bCs/>
          <w:snapToGrid w:val="0"/>
          <w:color w:val="000000"/>
          <w:szCs w:val="22"/>
          <w:u w:color="000000"/>
          <w:lang w:val="en-US"/>
        </w:rPr>
      </w:pPr>
      <w:r w:rsidRPr="009B0388">
        <w:rPr>
          <w:bCs/>
          <w:snapToGrid w:val="0"/>
          <w:color w:val="000000"/>
          <w:szCs w:val="22"/>
          <w:u w:color="000000"/>
          <w:lang w:val="en-US"/>
        </w:rPr>
        <w:t xml:space="preserve">We welcome the ability for the counterparties to use units or shares in UCITS as eligible collateral as it supports the need for liquidity in the markets and even if it does not benefit directly to the funds. </w:t>
      </w:r>
    </w:p>
    <w:p w:rsidR="006307ED" w:rsidRPr="009B0388" w:rsidRDefault="006307ED" w:rsidP="006307ED">
      <w:pPr>
        <w:spacing w:line="240" w:lineRule="auto"/>
        <w:ind w:right="-1"/>
        <w:rPr>
          <w:bCs/>
          <w:snapToGrid w:val="0"/>
          <w:color w:val="000000"/>
          <w:szCs w:val="22"/>
          <w:u w:color="000000"/>
          <w:lang w:val="en-US"/>
        </w:rPr>
      </w:pPr>
    </w:p>
    <w:p w:rsidR="006307ED" w:rsidRPr="009B0388" w:rsidRDefault="006307ED" w:rsidP="006307ED">
      <w:pPr>
        <w:spacing w:line="240" w:lineRule="auto"/>
        <w:ind w:left="284" w:right="-1"/>
        <w:rPr>
          <w:bCs/>
          <w:snapToGrid w:val="0"/>
          <w:color w:val="000000"/>
          <w:szCs w:val="22"/>
          <w:u w:color="000000"/>
          <w:lang w:val="en-US"/>
        </w:rPr>
      </w:pPr>
      <w:r w:rsidRPr="009B0388">
        <w:rPr>
          <w:bCs/>
          <w:snapToGrid w:val="0"/>
          <w:color w:val="000000"/>
          <w:szCs w:val="22"/>
          <w:u w:color="000000"/>
          <w:lang w:val="en-US"/>
        </w:rPr>
        <w:t>However, we must highlight some specific points:</w:t>
      </w:r>
    </w:p>
    <w:p w:rsidR="006307ED" w:rsidRPr="00F30A5B" w:rsidRDefault="006307ED" w:rsidP="006307ED">
      <w:pPr>
        <w:numPr>
          <w:ilvl w:val="0"/>
          <w:numId w:val="1"/>
        </w:numPr>
        <w:spacing w:line="240" w:lineRule="auto"/>
        <w:ind w:right="-1"/>
        <w:rPr>
          <w:snapToGrid w:val="0"/>
          <w:color w:val="000000"/>
          <w:szCs w:val="22"/>
          <w:u w:color="000000"/>
          <w:lang w:val="en-CA"/>
        </w:rPr>
      </w:pPr>
      <w:r w:rsidRPr="00F30A5B">
        <w:rPr>
          <w:snapToGrid w:val="0"/>
          <w:color w:val="000000"/>
          <w:szCs w:val="22"/>
          <w:u w:color="000000"/>
          <w:lang w:val="en-CA"/>
        </w:rPr>
        <w:t xml:space="preserve">As Directive 2011/61/EU has introduced Alternative </w:t>
      </w:r>
      <w:r>
        <w:rPr>
          <w:snapToGrid w:val="0"/>
          <w:color w:val="000000"/>
          <w:szCs w:val="22"/>
          <w:u w:color="000000"/>
          <w:lang w:val="en-CA"/>
        </w:rPr>
        <w:t>I</w:t>
      </w:r>
      <w:r w:rsidRPr="00F30A5B">
        <w:rPr>
          <w:snapToGrid w:val="0"/>
          <w:color w:val="000000"/>
          <w:szCs w:val="22"/>
          <w:u w:color="000000"/>
          <w:lang w:val="en-CA"/>
        </w:rPr>
        <w:t xml:space="preserve">nvestment </w:t>
      </w:r>
      <w:r>
        <w:rPr>
          <w:snapToGrid w:val="0"/>
          <w:color w:val="000000"/>
          <w:szCs w:val="22"/>
          <w:u w:color="000000"/>
          <w:lang w:val="en-CA"/>
        </w:rPr>
        <w:t>F</w:t>
      </w:r>
      <w:r w:rsidRPr="00F30A5B">
        <w:rPr>
          <w:snapToGrid w:val="0"/>
          <w:color w:val="000000"/>
          <w:szCs w:val="22"/>
          <w:u w:color="000000"/>
          <w:lang w:val="en-CA"/>
        </w:rPr>
        <w:t>unds</w:t>
      </w:r>
      <w:r>
        <w:rPr>
          <w:snapToGrid w:val="0"/>
          <w:color w:val="000000"/>
          <w:szCs w:val="22"/>
          <w:u w:color="000000"/>
          <w:lang w:val="en-CA"/>
        </w:rPr>
        <w:t xml:space="preserve"> (AIF)</w:t>
      </w:r>
      <w:r w:rsidRPr="00F30A5B">
        <w:rPr>
          <w:snapToGrid w:val="0"/>
          <w:color w:val="000000"/>
          <w:szCs w:val="22"/>
          <w:u w:color="000000"/>
          <w:lang w:val="en-CA"/>
        </w:rPr>
        <w:t xml:space="preserve"> as a new</w:t>
      </w:r>
      <w:r>
        <w:rPr>
          <w:snapToGrid w:val="0"/>
          <w:color w:val="000000"/>
          <w:szCs w:val="22"/>
          <w:u w:color="000000"/>
          <w:lang w:val="en-CA"/>
        </w:rPr>
        <w:t>ly regulated category</w:t>
      </w:r>
      <w:r w:rsidRPr="00F30A5B">
        <w:rPr>
          <w:snapToGrid w:val="0"/>
          <w:color w:val="000000"/>
          <w:szCs w:val="22"/>
          <w:u w:color="000000"/>
          <w:lang w:val="en-CA"/>
        </w:rPr>
        <w:t xml:space="preserve"> of investment funds which comprises all funds </w:t>
      </w:r>
      <w:r>
        <w:rPr>
          <w:snapToGrid w:val="0"/>
          <w:color w:val="000000"/>
          <w:szCs w:val="22"/>
          <w:u w:color="000000"/>
          <w:lang w:val="en-CA"/>
        </w:rPr>
        <w:t>but</w:t>
      </w:r>
      <w:r w:rsidRPr="00F30A5B">
        <w:rPr>
          <w:snapToGrid w:val="0"/>
          <w:color w:val="000000"/>
          <w:szCs w:val="22"/>
          <w:u w:color="000000"/>
          <w:lang w:val="en-CA"/>
        </w:rPr>
        <w:t xml:space="preserve"> UCITS, a lot </w:t>
      </w:r>
      <w:r w:rsidR="008F5F69">
        <w:rPr>
          <w:snapToGrid w:val="0"/>
          <w:color w:val="000000"/>
          <w:szCs w:val="22"/>
          <w:u w:color="000000"/>
          <w:lang w:val="en-CA"/>
        </w:rPr>
        <w:t xml:space="preserve">of </w:t>
      </w:r>
      <w:r>
        <w:rPr>
          <w:snapToGrid w:val="0"/>
          <w:color w:val="000000"/>
          <w:szCs w:val="22"/>
          <w:u w:color="000000"/>
          <w:lang w:val="en-CA"/>
        </w:rPr>
        <w:t xml:space="preserve">AIF are comparable to UCITS which explains that they are often referred to as “UCITS-type” AIF. Examples in this respect are </w:t>
      </w:r>
      <w:r w:rsidRPr="00F30A5B">
        <w:rPr>
          <w:snapToGrid w:val="0"/>
          <w:color w:val="000000"/>
          <w:szCs w:val="22"/>
          <w:u w:color="000000"/>
          <w:lang w:val="en-CA"/>
        </w:rPr>
        <w:t>Austrian and German „</w:t>
      </w:r>
      <w:proofErr w:type="spellStart"/>
      <w:r w:rsidRPr="00F30A5B">
        <w:rPr>
          <w:snapToGrid w:val="0"/>
          <w:color w:val="000000"/>
          <w:szCs w:val="22"/>
          <w:u w:color="000000"/>
          <w:lang w:val="en-CA"/>
        </w:rPr>
        <w:t>Spezialfonds</w:t>
      </w:r>
      <w:proofErr w:type="spellEnd"/>
      <w:proofErr w:type="gramStart"/>
      <w:r w:rsidRPr="00F30A5B">
        <w:rPr>
          <w:snapToGrid w:val="0"/>
          <w:color w:val="000000"/>
          <w:szCs w:val="22"/>
          <w:u w:color="000000"/>
          <w:lang w:val="en-CA"/>
        </w:rPr>
        <w:t>“ which</w:t>
      </w:r>
      <w:proofErr w:type="gramEnd"/>
      <w:r w:rsidRPr="00F30A5B">
        <w:rPr>
          <w:snapToGrid w:val="0"/>
          <w:color w:val="000000"/>
          <w:szCs w:val="22"/>
          <w:u w:color="000000"/>
          <w:lang w:val="en-CA"/>
        </w:rPr>
        <w:t xml:space="preserve"> can be held by only one investor</w:t>
      </w:r>
      <w:r>
        <w:rPr>
          <w:snapToGrid w:val="0"/>
          <w:color w:val="000000"/>
          <w:szCs w:val="22"/>
          <w:u w:color="000000"/>
          <w:lang w:val="en-CA"/>
        </w:rPr>
        <w:t>. However such AIF</w:t>
      </w:r>
      <w:r w:rsidRPr="00F30A5B">
        <w:rPr>
          <w:snapToGrid w:val="0"/>
          <w:color w:val="000000"/>
          <w:szCs w:val="22"/>
          <w:u w:color="000000"/>
          <w:lang w:val="en-CA"/>
        </w:rPr>
        <w:t xml:space="preserve"> will not be eligible as collateral, although they stick </w:t>
      </w:r>
      <w:r>
        <w:rPr>
          <w:snapToGrid w:val="0"/>
          <w:color w:val="000000"/>
          <w:szCs w:val="22"/>
          <w:u w:color="000000"/>
          <w:lang w:val="en-CA"/>
        </w:rPr>
        <w:t xml:space="preserve">in principle </w:t>
      </w:r>
      <w:r w:rsidRPr="00F30A5B">
        <w:rPr>
          <w:snapToGrid w:val="0"/>
          <w:color w:val="000000"/>
          <w:szCs w:val="22"/>
          <w:u w:color="000000"/>
          <w:lang w:val="en-CA"/>
        </w:rPr>
        <w:t xml:space="preserve">to the same </w:t>
      </w:r>
      <w:r>
        <w:rPr>
          <w:snapToGrid w:val="0"/>
          <w:color w:val="000000"/>
          <w:szCs w:val="22"/>
          <w:u w:color="000000"/>
          <w:lang w:val="en-CA"/>
        </w:rPr>
        <w:t xml:space="preserve">rules and requirements </w:t>
      </w:r>
      <w:r w:rsidRPr="00F30A5B">
        <w:rPr>
          <w:snapToGrid w:val="0"/>
          <w:color w:val="000000"/>
          <w:szCs w:val="22"/>
          <w:u w:color="000000"/>
          <w:lang w:val="en-CA"/>
        </w:rPr>
        <w:t xml:space="preserve">as UCITS. </w:t>
      </w:r>
      <w:r>
        <w:rPr>
          <w:snapToGrid w:val="0"/>
          <w:color w:val="000000"/>
          <w:szCs w:val="22"/>
          <w:u w:color="000000"/>
          <w:lang w:val="en-CA"/>
        </w:rPr>
        <w:t>Consequently, w</w:t>
      </w:r>
      <w:r w:rsidRPr="00F30A5B">
        <w:rPr>
          <w:snapToGrid w:val="0"/>
          <w:color w:val="000000"/>
          <w:szCs w:val="22"/>
          <w:u w:color="000000"/>
          <w:lang w:val="en-CA"/>
        </w:rPr>
        <w:t xml:space="preserve">e would appreciate if </w:t>
      </w:r>
      <w:r>
        <w:rPr>
          <w:snapToGrid w:val="0"/>
          <w:color w:val="000000"/>
          <w:szCs w:val="22"/>
          <w:u w:color="000000"/>
          <w:lang w:val="en-CA"/>
        </w:rPr>
        <w:t>such “UCITS-type” AIF</w:t>
      </w:r>
      <w:r w:rsidRPr="00F30A5B">
        <w:rPr>
          <w:snapToGrid w:val="0"/>
          <w:color w:val="000000"/>
          <w:szCs w:val="22"/>
          <w:u w:color="000000"/>
          <w:lang w:val="en-CA"/>
        </w:rPr>
        <w:t xml:space="preserve"> will also be </w:t>
      </w:r>
      <w:r>
        <w:rPr>
          <w:snapToGrid w:val="0"/>
          <w:color w:val="000000"/>
          <w:szCs w:val="22"/>
          <w:u w:color="000000"/>
          <w:lang w:val="en-CA"/>
        </w:rPr>
        <w:t xml:space="preserve">considered </w:t>
      </w:r>
      <w:r w:rsidRPr="00F30A5B">
        <w:rPr>
          <w:snapToGrid w:val="0"/>
          <w:color w:val="000000"/>
          <w:szCs w:val="22"/>
          <w:u w:color="000000"/>
          <w:lang w:val="en-CA"/>
        </w:rPr>
        <w:t>eligible as collateral (Art 1 (1) (r) (LEC).</w:t>
      </w:r>
    </w:p>
    <w:p w:rsidR="006307ED" w:rsidRPr="00F30A5B" w:rsidRDefault="006307ED" w:rsidP="006307ED">
      <w:pPr>
        <w:numPr>
          <w:ilvl w:val="0"/>
          <w:numId w:val="1"/>
        </w:numPr>
        <w:spacing w:line="240" w:lineRule="auto"/>
        <w:ind w:right="-1"/>
        <w:rPr>
          <w:snapToGrid w:val="0"/>
          <w:color w:val="000000"/>
          <w:szCs w:val="22"/>
          <w:u w:color="000000"/>
          <w:lang w:val="en-CA"/>
        </w:rPr>
      </w:pPr>
      <w:r w:rsidRPr="00F30A5B">
        <w:rPr>
          <w:snapToGrid w:val="0"/>
          <w:color w:val="000000"/>
          <w:szCs w:val="22"/>
          <w:u w:color="000000"/>
          <w:lang w:val="en-CA"/>
        </w:rPr>
        <w:t>Article 2 (1) (d) LEC - Collateral Management, and Article 1 (1) (i) OPE - Operational process for the exchange of collateral should take due account of the principle of proportionality.  Small banks primarily access the markets through another central institution. We believe that relevant collateral management procedures should apply the principle of proportionality. EBA also recommended that smaller banks which access mark</w:t>
      </w:r>
      <w:r>
        <w:rPr>
          <w:snapToGrid w:val="0"/>
          <w:color w:val="000000"/>
          <w:szCs w:val="22"/>
          <w:u w:color="000000"/>
          <w:lang w:val="en-CA"/>
        </w:rPr>
        <w:t>e</w:t>
      </w:r>
      <w:r w:rsidRPr="00F30A5B">
        <w:rPr>
          <w:snapToGrid w:val="0"/>
          <w:color w:val="000000"/>
          <w:szCs w:val="22"/>
          <w:u w:color="000000"/>
          <w:lang w:val="en-CA"/>
        </w:rPr>
        <w:t>ts through another institution will not have to be active in several advanced money and capital markets. Thus, we support to redraft the provisions regarding collateral manag</w:t>
      </w:r>
      <w:r>
        <w:rPr>
          <w:snapToGrid w:val="0"/>
          <w:color w:val="000000"/>
          <w:szCs w:val="22"/>
          <w:u w:color="000000"/>
          <w:lang w:val="en-CA"/>
        </w:rPr>
        <w:t>e</w:t>
      </w:r>
      <w:r w:rsidRPr="00F30A5B">
        <w:rPr>
          <w:snapToGrid w:val="0"/>
          <w:color w:val="000000"/>
          <w:szCs w:val="22"/>
          <w:u w:color="000000"/>
          <w:lang w:val="en-CA"/>
        </w:rPr>
        <w:t>ment procedures of the draft RTS. Similarly, the periodical verification of the liquidity of the eligible collateral (Art. 1 (1) (i) OPE) should be in the responsibility of the institution through which smaller banks access markets, but not the small ins</w:t>
      </w:r>
      <w:r>
        <w:rPr>
          <w:snapToGrid w:val="0"/>
          <w:color w:val="000000"/>
          <w:szCs w:val="22"/>
          <w:u w:color="000000"/>
          <w:lang w:val="en-CA"/>
        </w:rPr>
        <w:t>t</w:t>
      </w:r>
      <w:r w:rsidRPr="00F30A5B">
        <w:rPr>
          <w:snapToGrid w:val="0"/>
          <w:color w:val="000000"/>
          <w:szCs w:val="22"/>
          <w:u w:color="000000"/>
          <w:lang w:val="en-CA"/>
        </w:rPr>
        <w:t>itutions themselves.</w:t>
      </w:r>
    </w:p>
    <w:p w:rsidR="006307ED" w:rsidRPr="008079D3" w:rsidRDefault="006307ED" w:rsidP="006307ED">
      <w:pPr>
        <w:numPr>
          <w:ilvl w:val="0"/>
          <w:numId w:val="1"/>
        </w:numPr>
        <w:spacing w:line="240" w:lineRule="auto"/>
        <w:ind w:right="-1"/>
        <w:rPr>
          <w:snapToGrid w:val="0"/>
          <w:color w:val="000000"/>
          <w:szCs w:val="22"/>
          <w:u w:color="000000"/>
          <w:lang w:val="en-US"/>
        </w:rPr>
      </w:pPr>
      <w:r w:rsidRPr="00F30A5B">
        <w:rPr>
          <w:snapToGrid w:val="0"/>
          <w:color w:val="000000"/>
          <w:szCs w:val="22"/>
          <w:u w:color="000000"/>
          <w:lang w:val="en-CA"/>
        </w:rPr>
        <w:t>We are questioning if the exemption of ex</w:t>
      </w:r>
      <w:r>
        <w:rPr>
          <w:snapToGrid w:val="0"/>
          <w:color w:val="000000"/>
          <w:szCs w:val="22"/>
          <w:u w:color="000000"/>
          <w:lang w:val="en-CA"/>
        </w:rPr>
        <w:t>c</w:t>
      </w:r>
      <w:r w:rsidRPr="00F30A5B">
        <w:rPr>
          <w:snapToGrid w:val="0"/>
          <w:color w:val="000000"/>
          <w:szCs w:val="22"/>
          <w:u w:color="000000"/>
          <w:lang w:val="en-CA"/>
        </w:rPr>
        <w:t>hange of collateral according to Art 2 (4) and (6) GEN comprises both init</w:t>
      </w:r>
      <w:r>
        <w:rPr>
          <w:snapToGrid w:val="0"/>
          <w:color w:val="000000"/>
          <w:szCs w:val="22"/>
          <w:u w:color="000000"/>
          <w:lang w:val="en-CA"/>
        </w:rPr>
        <w:t>i</w:t>
      </w:r>
      <w:r w:rsidRPr="00F30A5B">
        <w:rPr>
          <w:snapToGrid w:val="0"/>
          <w:color w:val="000000"/>
          <w:szCs w:val="22"/>
          <w:u w:color="000000"/>
          <w:lang w:val="en-CA"/>
        </w:rPr>
        <w:t xml:space="preserve">al margins and variation margins. If yes, this has not been mentioned in the chapter 3. </w:t>
      </w:r>
      <w:proofErr w:type="spellStart"/>
      <w:proofErr w:type="gramStart"/>
      <w:r w:rsidRPr="008079D3">
        <w:rPr>
          <w:snapToGrid w:val="0"/>
          <w:color w:val="000000"/>
          <w:szCs w:val="22"/>
          <w:u w:color="000000"/>
          <w:lang w:val="en-US"/>
        </w:rPr>
        <w:t>backround</w:t>
      </w:r>
      <w:proofErr w:type="spellEnd"/>
      <w:proofErr w:type="gramEnd"/>
      <w:r w:rsidRPr="008079D3">
        <w:rPr>
          <w:snapToGrid w:val="0"/>
          <w:color w:val="000000"/>
          <w:szCs w:val="22"/>
          <w:u w:color="000000"/>
          <w:lang w:val="en-US"/>
        </w:rPr>
        <w:t xml:space="preserve"> and rationale.</w:t>
      </w:r>
    </w:p>
    <w:p w:rsidR="006307ED" w:rsidRPr="008079D3" w:rsidRDefault="006307ED" w:rsidP="006307ED">
      <w:pPr>
        <w:spacing w:line="240" w:lineRule="auto"/>
        <w:ind w:right="-1"/>
        <w:rPr>
          <w:snapToGrid w:val="0"/>
          <w:color w:val="000000"/>
          <w:szCs w:val="22"/>
          <w:u w:color="000000"/>
          <w:lang w:val="en-US"/>
        </w:rPr>
      </w:pPr>
    </w:p>
    <w:p w:rsidR="006307ED" w:rsidRPr="000C07F9" w:rsidRDefault="006307ED" w:rsidP="006307ED">
      <w:pPr>
        <w:numPr>
          <w:ilvl w:val="0"/>
          <w:numId w:val="3"/>
        </w:numPr>
        <w:spacing w:line="240" w:lineRule="auto"/>
        <w:ind w:left="284" w:right="-1" w:hanging="284"/>
        <w:rPr>
          <w:b/>
          <w:snapToGrid w:val="0"/>
          <w:color w:val="000000"/>
          <w:szCs w:val="22"/>
          <w:u w:color="000000"/>
        </w:rPr>
      </w:pPr>
      <w:proofErr w:type="spellStart"/>
      <w:r w:rsidRPr="000C07F9">
        <w:rPr>
          <w:b/>
          <w:snapToGrid w:val="0"/>
          <w:color w:val="000000"/>
          <w:szCs w:val="22"/>
          <w:u w:color="000000"/>
        </w:rPr>
        <w:t>Forex</w:t>
      </w:r>
      <w:proofErr w:type="spellEnd"/>
      <w:r w:rsidRPr="000C07F9">
        <w:rPr>
          <w:b/>
          <w:snapToGrid w:val="0"/>
          <w:color w:val="000000"/>
          <w:szCs w:val="22"/>
          <w:u w:color="000000"/>
        </w:rPr>
        <w:t xml:space="preserve"> </w:t>
      </w:r>
      <w:proofErr w:type="spellStart"/>
      <w:r w:rsidRPr="000C07F9">
        <w:rPr>
          <w:b/>
          <w:snapToGrid w:val="0"/>
          <w:color w:val="000000"/>
          <w:szCs w:val="22"/>
          <w:u w:color="000000"/>
        </w:rPr>
        <w:t>financial</w:t>
      </w:r>
      <w:proofErr w:type="spellEnd"/>
      <w:r w:rsidRPr="000C07F9">
        <w:rPr>
          <w:b/>
          <w:snapToGrid w:val="0"/>
          <w:color w:val="000000"/>
          <w:szCs w:val="22"/>
          <w:u w:color="000000"/>
        </w:rPr>
        <w:t xml:space="preserve"> </w:t>
      </w:r>
      <w:proofErr w:type="spellStart"/>
      <w:r w:rsidRPr="000C07F9">
        <w:rPr>
          <w:b/>
          <w:snapToGrid w:val="0"/>
          <w:color w:val="000000"/>
          <w:szCs w:val="22"/>
          <w:u w:color="000000"/>
        </w:rPr>
        <w:t>instruments</w:t>
      </w:r>
      <w:proofErr w:type="spellEnd"/>
      <w:r w:rsidRPr="000C07F9">
        <w:rPr>
          <w:b/>
          <w:snapToGrid w:val="0"/>
          <w:color w:val="000000"/>
          <w:szCs w:val="22"/>
          <w:u w:color="000000"/>
        </w:rPr>
        <w:t>:</w:t>
      </w:r>
    </w:p>
    <w:p w:rsidR="006307ED" w:rsidRPr="00935B58" w:rsidRDefault="006307ED" w:rsidP="006307ED">
      <w:pPr>
        <w:spacing w:line="240" w:lineRule="auto"/>
        <w:ind w:left="284" w:right="-1"/>
        <w:rPr>
          <w:snapToGrid w:val="0"/>
          <w:color w:val="000000"/>
          <w:szCs w:val="22"/>
          <w:u w:color="000000"/>
          <w:lang w:val="en-GB"/>
        </w:rPr>
      </w:pPr>
      <w:r w:rsidRPr="00935B58">
        <w:rPr>
          <w:snapToGrid w:val="0"/>
          <w:color w:val="000000"/>
          <w:szCs w:val="22"/>
          <w:u w:color="000000"/>
          <w:lang w:val="en-GB"/>
        </w:rPr>
        <w:t xml:space="preserve">We consider that foreign exchange transactions with a commercial purpose and which are physically settled should be granted the possibility to be excluded from the collection of the variation margin along with the initial one. </w:t>
      </w:r>
    </w:p>
    <w:p w:rsidR="006307ED" w:rsidRPr="00935B58" w:rsidRDefault="006307ED" w:rsidP="006307ED">
      <w:pPr>
        <w:spacing w:line="240" w:lineRule="auto"/>
        <w:ind w:left="284" w:right="-1"/>
        <w:rPr>
          <w:snapToGrid w:val="0"/>
          <w:color w:val="000000"/>
          <w:szCs w:val="22"/>
          <w:u w:color="000000"/>
          <w:lang w:val="en-GB"/>
        </w:rPr>
      </w:pPr>
      <w:r w:rsidRPr="00935B58">
        <w:rPr>
          <w:snapToGrid w:val="0"/>
          <w:color w:val="000000"/>
          <w:szCs w:val="22"/>
          <w:u w:color="000000"/>
          <w:lang w:val="en-GB"/>
        </w:rPr>
        <w:t xml:space="preserve">Regarding the variation margin: the </w:t>
      </w:r>
      <w:r w:rsidR="00953136" w:rsidRPr="00935B58">
        <w:rPr>
          <w:snapToGrid w:val="0"/>
          <w:color w:val="000000"/>
          <w:szCs w:val="22"/>
          <w:u w:color="000000"/>
          <w:lang w:val="en-GB"/>
        </w:rPr>
        <w:t>requirements</w:t>
      </w:r>
      <w:r w:rsidRPr="00935B58">
        <w:rPr>
          <w:snapToGrid w:val="0"/>
          <w:color w:val="000000"/>
          <w:szCs w:val="22"/>
          <w:u w:color="000000"/>
          <w:lang w:val="en-GB"/>
        </w:rPr>
        <w:t xml:space="preserve"> should be relevant for FX-swaps and FX-forwards, but only for deals with a settlement period beyond 3 months (below the 3 months, the counterparty risks can be considered as low, and the mitigation of the settlement risk has already been addressed by the payment-versus-payment settlement system (CLS). </w:t>
      </w:r>
    </w:p>
    <w:p w:rsidR="006307ED" w:rsidRPr="00935B58" w:rsidRDefault="006307ED" w:rsidP="006307ED">
      <w:pPr>
        <w:spacing w:line="240" w:lineRule="auto"/>
        <w:ind w:left="284" w:right="-1"/>
        <w:rPr>
          <w:snapToGrid w:val="0"/>
          <w:color w:val="000000"/>
          <w:szCs w:val="22"/>
          <w:u w:color="000000"/>
          <w:lang w:val="en-GB"/>
        </w:rPr>
      </w:pPr>
      <w:r w:rsidRPr="00935B58">
        <w:rPr>
          <w:snapToGrid w:val="0"/>
          <w:color w:val="000000"/>
          <w:szCs w:val="22"/>
          <w:u w:color="000000"/>
          <w:lang w:val="en-GB"/>
        </w:rPr>
        <w:t>Foreign exchange transactions with central banks should be exempted from EMIR requirements. Their purpose and low risk for the counterparty differ from the other Forex instruments and should be regarded as such.</w:t>
      </w:r>
    </w:p>
    <w:p w:rsidR="006307ED" w:rsidRPr="00935B58" w:rsidRDefault="006307ED" w:rsidP="006307ED">
      <w:pPr>
        <w:spacing w:line="240" w:lineRule="auto"/>
        <w:ind w:right="-1"/>
        <w:rPr>
          <w:snapToGrid w:val="0"/>
          <w:color w:val="000000"/>
          <w:szCs w:val="22"/>
          <w:u w:color="000000"/>
          <w:lang w:val="en-GB"/>
        </w:rPr>
      </w:pPr>
    </w:p>
    <w:p w:rsidR="006307ED" w:rsidRPr="009B0388" w:rsidRDefault="006307ED" w:rsidP="006307ED">
      <w:pPr>
        <w:numPr>
          <w:ilvl w:val="0"/>
          <w:numId w:val="3"/>
        </w:numPr>
        <w:spacing w:line="240" w:lineRule="auto"/>
        <w:ind w:left="284" w:right="-1" w:hanging="284"/>
        <w:rPr>
          <w:b/>
          <w:bCs/>
          <w:snapToGrid w:val="0"/>
          <w:color w:val="000000"/>
          <w:szCs w:val="22"/>
          <w:u w:color="000000"/>
          <w:lang w:val="de-AT"/>
        </w:rPr>
      </w:pPr>
      <w:r w:rsidRPr="009B0388">
        <w:rPr>
          <w:b/>
          <w:bCs/>
          <w:snapToGrid w:val="0"/>
          <w:color w:val="000000"/>
          <w:szCs w:val="22"/>
          <w:u w:color="000000"/>
          <w:lang w:val="de-AT"/>
        </w:rPr>
        <w:t xml:space="preserve">Post capital </w:t>
      </w:r>
      <w:proofErr w:type="spellStart"/>
      <w:r w:rsidRPr="009B0388">
        <w:rPr>
          <w:b/>
          <w:bCs/>
          <w:snapToGrid w:val="0"/>
          <w:color w:val="000000"/>
          <w:szCs w:val="22"/>
          <w:u w:color="000000"/>
          <w:lang w:val="de-AT"/>
        </w:rPr>
        <w:t>or</w:t>
      </w:r>
      <w:proofErr w:type="spellEnd"/>
      <w:r w:rsidRPr="009B0388">
        <w:rPr>
          <w:b/>
          <w:bCs/>
          <w:snapToGrid w:val="0"/>
          <w:color w:val="000000"/>
          <w:szCs w:val="22"/>
          <w:u w:color="000000"/>
          <w:lang w:val="de-AT"/>
        </w:rPr>
        <w:t xml:space="preserve"> hold </w:t>
      </w:r>
      <w:proofErr w:type="spellStart"/>
      <w:r w:rsidRPr="009B0388">
        <w:rPr>
          <w:b/>
          <w:bCs/>
          <w:snapToGrid w:val="0"/>
          <w:color w:val="000000"/>
          <w:szCs w:val="22"/>
          <w:u w:color="000000"/>
          <w:lang w:val="de-AT"/>
        </w:rPr>
        <w:t>assets</w:t>
      </w:r>
      <w:proofErr w:type="spellEnd"/>
    </w:p>
    <w:p w:rsidR="006307ED" w:rsidRPr="009B0388" w:rsidRDefault="006307ED" w:rsidP="006307ED">
      <w:pPr>
        <w:spacing w:line="240" w:lineRule="auto"/>
        <w:ind w:left="284" w:right="-1"/>
        <w:rPr>
          <w:bCs/>
          <w:snapToGrid w:val="0"/>
          <w:color w:val="000000"/>
          <w:szCs w:val="22"/>
          <w:u w:color="000000"/>
          <w:lang w:val="en-US"/>
        </w:rPr>
      </w:pPr>
      <w:r w:rsidRPr="009B0388">
        <w:rPr>
          <w:bCs/>
          <w:snapToGrid w:val="0"/>
          <w:color w:val="000000"/>
          <w:szCs w:val="22"/>
          <w:u w:color="000000"/>
          <w:lang w:val="en-US"/>
        </w:rPr>
        <w:t>According to Recital 3, a counterparty shall have the choice either to post / collect (initial) margins or holding own capital if the amount of initial margin is below the threshold.</w:t>
      </w:r>
    </w:p>
    <w:p w:rsidR="006307ED" w:rsidRPr="009B0388" w:rsidRDefault="006307ED" w:rsidP="006307ED">
      <w:pPr>
        <w:spacing w:line="240" w:lineRule="auto"/>
        <w:ind w:left="284" w:right="-1"/>
        <w:rPr>
          <w:bCs/>
          <w:snapToGrid w:val="0"/>
          <w:color w:val="000000"/>
          <w:szCs w:val="22"/>
          <w:u w:color="000000"/>
          <w:lang w:val="en-US"/>
        </w:rPr>
      </w:pPr>
    </w:p>
    <w:p w:rsidR="006307ED" w:rsidRPr="009B0388" w:rsidRDefault="006307ED" w:rsidP="006307ED">
      <w:pPr>
        <w:spacing w:line="240" w:lineRule="auto"/>
        <w:ind w:left="284" w:right="-1"/>
        <w:rPr>
          <w:bCs/>
          <w:snapToGrid w:val="0"/>
          <w:color w:val="000000"/>
          <w:szCs w:val="22"/>
          <w:u w:color="000000"/>
          <w:lang w:val="en-US"/>
        </w:rPr>
      </w:pPr>
      <w:r w:rsidRPr="009B0388">
        <w:rPr>
          <w:bCs/>
          <w:snapToGrid w:val="0"/>
          <w:color w:val="000000"/>
          <w:szCs w:val="22"/>
          <w:u w:color="000000"/>
          <w:lang w:val="en-US"/>
        </w:rPr>
        <w:t xml:space="preserve">Investment </w:t>
      </w:r>
      <w:r>
        <w:rPr>
          <w:bCs/>
          <w:snapToGrid w:val="0"/>
          <w:color w:val="000000"/>
          <w:szCs w:val="22"/>
          <w:u w:color="000000"/>
          <w:lang w:val="en-US"/>
        </w:rPr>
        <w:t>f</w:t>
      </w:r>
      <w:r w:rsidRPr="009B0388">
        <w:rPr>
          <w:bCs/>
          <w:snapToGrid w:val="0"/>
          <w:color w:val="000000"/>
          <w:szCs w:val="22"/>
          <w:u w:color="000000"/>
          <w:lang w:val="en-US"/>
        </w:rPr>
        <w:t xml:space="preserve">unds are subject to </w:t>
      </w:r>
      <w:r>
        <w:rPr>
          <w:bCs/>
          <w:snapToGrid w:val="0"/>
          <w:color w:val="000000"/>
          <w:szCs w:val="22"/>
          <w:u w:color="000000"/>
          <w:lang w:val="en-US"/>
        </w:rPr>
        <w:t xml:space="preserve">the so-called </w:t>
      </w:r>
      <w:r w:rsidRPr="009B0388">
        <w:rPr>
          <w:bCs/>
          <w:snapToGrid w:val="0"/>
          <w:color w:val="000000"/>
          <w:szCs w:val="22"/>
          <w:u w:color="000000"/>
          <w:lang w:val="en-US"/>
        </w:rPr>
        <w:t>cover rule (cf. Art. 51 para. 3 of Directive 2009/65/EC as well as CESR consultation 10-108). Th</w:t>
      </w:r>
      <w:r>
        <w:rPr>
          <w:bCs/>
          <w:snapToGrid w:val="0"/>
          <w:color w:val="000000"/>
          <w:szCs w:val="22"/>
          <w:u w:color="000000"/>
          <w:lang w:val="en-US"/>
        </w:rPr>
        <w:t>is</w:t>
      </w:r>
      <w:r w:rsidRPr="009B0388">
        <w:rPr>
          <w:bCs/>
          <w:snapToGrid w:val="0"/>
          <w:color w:val="000000"/>
          <w:szCs w:val="22"/>
          <w:u w:color="000000"/>
          <w:lang w:val="en-US"/>
        </w:rPr>
        <w:t xml:space="preserve"> means, they are only allowed to </w:t>
      </w:r>
      <w:r w:rsidRPr="009B0388">
        <w:rPr>
          <w:bCs/>
          <w:snapToGrid w:val="0"/>
          <w:color w:val="000000"/>
          <w:szCs w:val="22"/>
          <w:u w:color="000000"/>
          <w:lang w:val="en-US"/>
        </w:rPr>
        <w:lastRenderedPageBreak/>
        <w:t xml:space="preserve">enter </w:t>
      </w:r>
      <w:r>
        <w:rPr>
          <w:bCs/>
          <w:snapToGrid w:val="0"/>
          <w:color w:val="000000"/>
          <w:szCs w:val="22"/>
          <w:u w:color="000000"/>
          <w:lang w:val="en-US"/>
        </w:rPr>
        <w:t>into investments</w:t>
      </w:r>
      <w:r w:rsidRPr="009B0388">
        <w:rPr>
          <w:bCs/>
          <w:snapToGrid w:val="0"/>
          <w:color w:val="000000"/>
          <w:szCs w:val="22"/>
          <w:u w:color="000000"/>
          <w:lang w:val="en-US"/>
        </w:rPr>
        <w:t xml:space="preserve"> in derivatives</w:t>
      </w:r>
      <w:r>
        <w:rPr>
          <w:bCs/>
          <w:snapToGrid w:val="0"/>
          <w:color w:val="000000"/>
          <w:szCs w:val="22"/>
          <w:u w:color="000000"/>
          <w:lang w:val="en-US"/>
        </w:rPr>
        <w:t>. The obligations of such investments have to</w:t>
      </w:r>
      <w:r w:rsidRPr="009B0388">
        <w:rPr>
          <w:bCs/>
          <w:snapToGrid w:val="0"/>
          <w:color w:val="000000"/>
          <w:szCs w:val="22"/>
          <w:u w:color="000000"/>
          <w:lang w:val="en-US"/>
        </w:rPr>
        <w:t xml:space="preserve"> be </w:t>
      </w:r>
      <w:r>
        <w:rPr>
          <w:bCs/>
          <w:snapToGrid w:val="0"/>
          <w:color w:val="000000"/>
          <w:szCs w:val="22"/>
          <w:u w:color="000000"/>
          <w:lang w:val="en-US"/>
        </w:rPr>
        <w:t>met with</w:t>
      </w:r>
      <w:r w:rsidRPr="009B0388">
        <w:rPr>
          <w:bCs/>
          <w:snapToGrid w:val="0"/>
          <w:color w:val="000000"/>
          <w:szCs w:val="22"/>
          <w:u w:color="000000"/>
          <w:lang w:val="en-US"/>
        </w:rPr>
        <w:t xml:space="preserve"> the assets of the investment fund. </w:t>
      </w:r>
    </w:p>
    <w:p w:rsidR="006307ED" w:rsidRPr="009B0388" w:rsidRDefault="006307ED" w:rsidP="006307ED">
      <w:pPr>
        <w:spacing w:line="240" w:lineRule="auto"/>
        <w:ind w:left="284" w:right="-1"/>
        <w:rPr>
          <w:bCs/>
          <w:snapToGrid w:val="0"/>
          <w:color w:val="000000"/>
          <w:szCs w:val="22"/>
          <w:u w:color="000000"/>
          <w:lang w:val="en-US"/>
        </w:rPr>
      </w:pPr>
    </w:p>
    <w:p w:rsidR="006307ED" w:rsidRPr="009B0388" w:rsidRDefault="006307ED" w:rsidP="006307ED">
      <w:pPr>
        <w:spacing w:line="240" w:lineRule="auto"/>
        <w:ind w:left="284" w:right="-1"/>
        <w:rPr>
          <w:bCs/>
          <w:snapToGrid w:val="0"/>
          <w:color w:val="000000"/>
          <w:szCs w:val="22"/>
          <w:u w:color="000000"/>
          <w:lang w:val="en-US"/>
        </w:rPr>
      </w:pPr>
      <w:r w:rsidRPr="009B0388">
        <w:rPr>
          <w:bCs/>
          <w:snapToGrid w:val="0"/>
          <w:color w:val="000000"/>
          <w:szCs w:val="22"/>
          <w:u w:color="000000"/>
          <w:lang w:val="en-US"/>
        </w:rPr>
        <w:t xml:space="preserve">In order to avoid any misinterpretation, the ESAs should clarify in Recital 3 that in case of investment funds, complying with the cover rule is an equivalent to holding own capital. </w:t>
      </w:r>
    </w:p>
    <w:p w:rsidR="006307ED" w:rsidRPr="00935B58" w:rsidRDefault="006307ED" w:rsidP="006307ED">
      <w:pPr>
        <w:spacing w:line="240" w:lineRule="auto"/>
        <w:ind w:right="-1"/>
        <w:rPr>
          <w:snapToGrid w:val="0"/>
          <w:color w:val="000000"/>
          <w:szCs w:val="22"/>
          <w:u w:color="000000"/>
          <w:lang w:val="en-GB"/>
        </w:rPr>
      </w:pPr>
    </w:p>
    <w:p w:rsidR="006307ED" w:rsidRPr="009B0388" w:rsidRDefault="006307ED" w:rsidP="006307ED">
      <w:pPr>
        <w:numPr>
          <w:ilvl w:val="0"/>
          <w:numId w:val="2"/>
        </w:numPr>
        <w:spacing w:line="240" w:lineRule="auto"/>
        <w:ind w:right="-1"/>
        <w:rPr>
          <w:bCs/>
          <w:snapToGrid w:val="0"/>
          <w:color w:val="000000"/>
          <w:szCs w:val="22"/>
          <w:u w:color="000000"/>
          <w:lang w:val="en-US"/>
        </w:rPr>
      </w:pPr>
      <w:r w:rsidRPr="009B0388">
        <w:rPr>
          <w:b/>
          <w:bCs/>
          <w:snapToGrid w:val="0"/>
          <w:color w:val="000000"/>
          <w:szCs w:val="22"/>
          <w:u w:color="000000"/>
          <w:lang w:val="en-US"/>
        </w:rPr>
        <w:t xml:space="preserve">Question 5: </w:t>
      </w:r>
    </w:p>
    <w:p w:rsidR="006307ED" w:rsidRPr="00286D27" w:rsidRDefault="006307ED" w:rsidP="006307ED">
      <w:pPr>
        <w:spacing w:line="240" w:lineRule="auto"/>
        <w:ind w:right="-1"/>
        <w:rPr>
          <w:bCs/>
          <w:i/>
          <w:snapToGrid w:val="0"/>
          <w:color w:val="000000"/>
          <w:szCs w:val="22"/>
          <w:u w:color="000000"/>
          <w:lang w:val="en-US"/>
        </w:rPr>
      </w:pPr>
      <w:r w:rsidRPr="00286D27">
        <w:rPr>
          <w:bCs/>
          <w:i/>
          <w:snapToGrid w:val="0"/>
          <w:color w:val="000000"/>
          <w:szCs w:val="22"/>
          <w:u w:color="000000"/>
          <w:lang w:val="en-US"/>
        </w:rPr>
        <w:t xml:space="preserve">How would the introduction of concentration limits impact the management of collateral (please provide if possible quantitative information)? Are there arguments for exempting specific securities from concentration limits and how could negative effects be mitigated? </w:t>
      </w:r>
    </w:p>
    <w:p w:rsidR="006307ED" w:rsidRPr="00286D27" w:rsidRDefault="006307ED" w:rsidP="006307ED">
      <w:pPr>
        <w:spacing w:line="240" w:lineRule="auto"/>
        <w:ind w:right="-1"/>
        <w:rPr>
          <w:bCs/>
          <w:i/>
          <w:snapToGrid w:val="0"/>
          <w:color w:val="000000"/>
          <w:szCs w:val="22"/>
          <w:u w:color="000000"/>
          <w:lang w:val="en-US"/>
        </w:rPr>
      </w:pPr>
      <w:r w:rsidRPr="00286D27">
        <w:rPr>
          <w:bCs/>
          <w:i/>
          <w:snapToGrid w:val="0"/>
          <w:color w:val="000000"/>
          <w:szCs w:val="22"/>
          <w:u w:color="000000"/>
          <w:lang w:val="en-US"/>
        </w:rPr>
        <w:t>What are the pros and cons of exempting securities issued by the governments or central banks of the same jurisdiction? Should proportionality requirements be introduced, if yes, how should these be calibrated to prevent liquidation issues under stressed market conditions?</w:t>
      </w:r>
    </w:p>
    <w:p w:rsidR="006307ED" w:rsidRPr="009B0388" w:rsidRDefault="006307ED" w:rsidP="006307ED">
      <w:pPr>
        <w:spacing w:line="240" w:lineRule="auto"/>
        <w:ind w:right="-1"/>
        <w:rPr>
          <w:bCs/>
          <w:snapToGrid w:val="0"/>
          <w:color w:val="000000"/>
          <w:szCs w:val="22"/>
          <w:u w:color="000000"/>
          <w:lang w:val="en-US"/>
        </w:rPr>
      </w:pPr>
    </w:p>
    <w:p w:rsidR="00EE034B" w:rsidRPr="006307ED" w:rsidRDefault="006307ED" w:rsidP="00EE034B">
      <w:pPr>
        <w:rPr>
          <w:lang w:val="en-US"/>
        </w:rPr>
      </w:pPr>
      <w:r w:rsidRPr="00935B58">
        <w:rPr>
          <w:snapToGrid w:val="0"/>
          <w:color w:val="000000"/>
          <w:szCs w:val="22"/>
          <w:u w:color="000000"/>
          <w:lang w:val="en-GB"/>
        </w:rPr>
        <w:t>We disagree with the introduction of concentration limits. As small banks have portfolios that are to a great part made up of domestic sovereign securities, such regul</w:t>
      </w:r>
      <w:r w:rsidR="008F5F69">
        <w:rPr>
          <w:snapToGrid w:val="0"/>
          <w:color w:val="000000"/>
          <w:szCs w:val="22"/>
          <w:u w:color="000000"/>
          <w:lang w:val="en-GB"/>
        </w:rPr>
        <w:t xml:space="preserve">ation would overly penalize </w:t>
      </w:r>
      <w:r w:rsidRPr="00935B58">
        <w:rPr>
          <w:snapToGrid w:val="0"/>
          <w:color w:val="000000"/>
          <w:szCs w:val="22"/>
          <w:u w:color="000000"/>
          <w:lang w:val="en-GB"/>
        </w:rPr>
        <w:t xml:space="preserve">small institutions. </w:t>
      </w:r>
      <w:proofErr w:type="gramStart"/>
      <w:r w:rsidRPr="00935B58">
        <w:rPr>
          <w:snapToGrid w:val="0"/>
          <w:color w:val="000000"/>
          <w:szCs w:val="22"/>
          <w:u w:color="000000"/>
          <w:lang w:val="en-GB"/>
        </w:rPr>
        <w:t>As in the CRR</w:t>
      </w:r>
      <w:r w:rsidR="008F5F69">
        <w:rPr>
          <w:snapToGrid w:val="0"/>
          <w:color w:val="000000"/>
          <w:szCs w:val="22"/>
          <w:u w:color="000000"/>
          <w:lang w:val="en-GB"/>
        </w:rPr>
        <w:t xml:space="preserve"> </w:t>
      </w:r>
      <w:r>
        <w:rPr>
          <w:snapToGrid w:val="0"/>
          <w:color w:val="000000"/>
          <w:szCs w:val="22"/>
          <w:u w:color="000000"/>
          <w:lang w:val="en-GB"/>
        </w:rPr>
        <w:t>securities issued or guara</w:t>
      </w:r>
      <w:r w:rsidRPr="00935B58">
        <w:rPr>
          <w:snapToGrid w:val="0"/>
          <w:color w:val="000000"/>
          <w:szCs w:val="22"/>
          <w:u w:color="000000"/>
          <w:lang w:val="en-GB"/>
        </w:rPr>
        <w:t>nteed by EEA Sovereigns and EEA Central Banks in the domestic currency should be considered the same way in the EMIR regulation.</w:t>
      </w:r>
      <w:proofErr w:type="gramEnd"/>
      <w:r w:rsidRPr="00935B58">
        <w:rPr>
          <w:snapToGrid w:val="0"/>
          <w:color w:val="000000"/>
          <w:szCs w:val="22"/>
          <w:u w:color="000000"/>
          <w:lang w:val="en-GB"/>
        </w:rPr>
        <w:t xml:space="preserve"> Concentration limits should not be applied to these </w:t>
      </w:r>
      <w:r w:rsidR="00EE034B">
        <w:rPr>
          <w:lang w:val="en-US"/>
        </w:rPr>
        <w:t>securities.</w:t>
      </w:r>
    </w:p>
    <w:p w:rsidR="00EE034B" w:rsidRDefault="00EE034B" w:rsidP="006307ED">
      <w:pPr>
        <w:spacing w:line="240" w:lineRule="auto"/>
        <w:ind w:right="-143"/>
        <w:rPr>
          <w:snapToGrid w:val="0"/>
          <w:color w:val="000000"/>
          <w:szCs w:val="22"/>
          <w:u w:color="000000"/>
          <w:lang w:val="en-GB"/>
        </w:rPr>
      </w:pPr>
    </w:p>
    <w:p w:rsidR="006307ED" w:rsidRPr="00935B58" w:rsidRDefault="006307ED" w:rsidP="006307ED">
      <w:pPr>
        <w:spacing w:line="240" w:lineRule="auto"/>
        <w:ind w:right="-143"/>
        <w:rPr>
          <w:snapToGrid w:val="0"/>
          <w:color w:val="000000"/>
          <w:szCs w:val="22"/>
          <w:u w:color="000000"/>
          <w:lang w:val="en-GB"/>
        </w:rPr>
      </w:pPr>
      <w:r>
        <w:rPr>
          <w:snapToGrid w:val="0"/>
          <w:color w:val="000000"/>
          <w:szCs w:val="22"/>
          <w:u w:color="000000"/>
          <w:lang w:val="en-GB"/>
        </w:rPr>
        <w:t xml:space="preserve">Furthermore, if concentration limits are introduced, </w:t>
      </w:r>
      <w:r w:rsidRPr="00935B58">
        <w:rPr>
          <w:snapToGrid w:val="0"/>
          <w:color w:val="000000"/>
          <w:szCs w:val="22"/>
          <w:u w:color="000000"/>
          <w:lang w:val="en-GB"/>
        </w:rPr>
        <w:t>Art 7 LEC 1 (b) and (c) - concentration limits - need some further clarifications as it is not clear if the look through principle applies to UCITS funds or not (</w:t>
      </w:r>
      <w:r w:rsidRPr="00935B58">
        <w:rPr>
          <w:bCs/>
          <w:snapToGrid w:val="0"/>
          <w:color w:val="000000"/>
          <w:szCs w:val="22"/>
          <w:u w:color="000000"/>
          <w:lang w:val="en-GB"/>
        </w:rPr>
        <w:t>Article 7 LEC 1. (</w:t>
      </w:r>
      <w:proofErr w:type="gramStart"/>
      <w:r w:rsidRPr="00935B58">
        <w:rPr>
          <w:bCs/>
          <w:snapToGrid w:val="0"/>
          <w:color w:val="000000"/>
          <w:szCs w:val="22"/>
          <w:u w:color="000000"/>
          <w:lang w:val="en-GB"/>
        </w:rPr>
        <w:t>b</w:t>
      </w:r>
      <w:proofErr w:type="gramEnd"/>
      <w:r w:rsidRPr="00935B58">
        <w:rPr>
          <w:bCs/>
          <w:snapToGrid w:val="0"/>
          <w:color w:val="000000"/>
          <w:szCs w:val="22"/>
          <w:u w:color="000000"/>
          <w:lang w:val="en-GB"/>
        </w:rPr>
        <w:t>)</w:t>
      </w:r>
      <w:r w:rsidRPr="00935B58">
        <w:rPr>
          <w:snapToGrid w:val="0"/>
          <w:color w:val="000000"/>
          <w:szCs w:val="22"/>
          <w:u w:color="000000"/>
          <w:lang w:val="en-GB"/>
        </w:rPr>
        <w:t xml:space="preserve"> and (c) (page 39). </w:t>
      </w:r>
    </w:p>
    <w:p w:rsidR="006307ED" w:rsidRPr="00935B58" w:rsidRDefault="006307ED" w:rsidP="006307ED">
      <w:pPr>
        <w:spacing w:line="240" w:lineRule="auto"/>
        <w:ind w:right="-1"/>
        <w:rPr>
          <w:snapToGrid w:val="0"/>
          <w:color w:val="000000"/>
          <w:szCs w:val="22"/>
          <w:u w:color="000000"/>
          <w:lang w:val="en-GB"/>
        </w:rPr>
      </w:pPr>
    </w:p>
    <w:p w:rsidR="006307ED" w:rsidRPr="006307ED" w:rsidRDefault="006307ED" w:rsidP="006307ED">
      <w:pPr>
        <w:spacing w:line="240" w:lineRule="auto"/>
        <w:ind w:right="-1"/>
        <w:rPr>
          <w:lang w:val="en-US"/>
        </w:rPr>
      </w:pPr>
      <w:r>
        <w:rPr>
          <w:snapToGrid w:val="0"/>
          <w:color w:val="000000"/>
          <w:szCs w:val="22"/>
          <w:u w:color="000000"/>
          <w:lang w:val="en-GB"/>
        </w:rPr>
        <w:t>In this case w</w:t>
      </w:r>
      <w:r w:rsidRPr="00935B58">
        <w:rPr>
          <w:snapToGrid w:val="0"/>
          <w:color w:val="000000"/>
          <w:szCs w:val="22"/>
          <w:u w:color="000000"/>
          <w:lang w:val="en-GB"/>
        </w:rPr>
        <w:t xml:space="preserve">e would recommend to </w:t>
      </w:r>
      <w:r w:rsidRPr="00935B58">
        <w:rPr>
          <w:snapToGrid w:val="0"/>
          <w:color w:val="000000"/>
          <w:szCs w:val="22"/>
          <w:u w:val="single" w:color="000000"/>
          <w:lang w:val="en-GB"/>
        </w:rPr>
        <w:t>withdraw the concentration limit</w:t>
      </w:r>
      <w:r w:rsidRPr="00935B58">
        <w:rPr>
          <w:snapToGrid w:val="0"/>
          <w:color w:val="000000"/>
          <w:szCs w:val="22"/>
          <w:u w:color="000000"/>
          <w:lang w:val="en-GB"/>
        </w:rPr>
        <w:t xml:space="preserve"> for (r) [shares in UCITS], issued by a single issuer in</w:t>
      </w:r>
      <w:r w:rsidRPr="00935B58">
        <w:rPr>
          <w:bCs/>
          <w:snapToGrid w:val="0"/>
          <w:color w:val="000000"/>
          <w:szCs w:val="22"/>
          <w:u w:color="000000"/>
          <w:lang w:val="en-GB"/>
        </w:rPr>
        <w:t xml:space="preserve"> Article 7 LEC 1. (b)</w:t>
      </w:r>
      <w:r w:rsidRPr="00935B58">
        <w:rPr>
          <w:snapToGrid w:val="0"/>
          <w:color w:val="000000"/>
          <w:szCs w:val="22"/>
          <w:u w:color="000000"/>
          <w:lang w:val="en-GB"/>
        </w:rPr>
        <w:t xml:space="preserve"> (</w:t>
      </w:r>
      <w:proofErr w:type="gramStart"/>
      <w:r w:rsidRPr="00935B58">
        <w:rPr>
          <w:snapToGrid w:val="0"/>
          <w:color w:val="000000"/>
          <w:szCs w:val="22"/>
          <w:u w:color="000000"/>
          <w:lang w:val="en-GB"/>
        </w:rPr>
        <w:t>page</w:t>
      </w:r>
      <w:proofErr w:type="gramEnd"/>
      <w:r w:rsidRPr="00935B58">
        <w:rPr>
          <w:snapToGrid w:val="0"/>
          <w:color w:val="000000"/>
          <w:szCs w:val="22"/>
          <w:u w:color="000000"/>
          <w:lang w:val="en-GB"/>
        </w:rPr>
        <w:t xml:space="preserve"> 39). It should be possible that </w:t>
      </w:r>
      <w:r w:rsidRPr="00935B58">
        <w:rPr>
          <w:snapToGrid w:val="0"/>
          <w:color w:val="000000"/>
          <w:szCs w:val="22"/>
          <w:u w:val="single" w:color="000000"/>
          <w:lang w:val="en-GB"/>
        </w:rPr>
        <w:t xml:space="preserve">up to </w:t>
      </w:r>
      <w:r w:rsidRPr="006307ED">
        <w:rPr>
          <w:lang w:val="en-US"/>
        </w:rPr>
        <w:t>100% of the collateral from that individual counterparty can consist of shares in UCITS as there is no counterparty risk on the issuer of the funds.</w:t>
      </w:r>
    </w:p>
    <w:p w:rsidR="006307ED" w:rsidRPr="006307ED" w:rsidRDefault="006307ED" w:rsidP="006307ED">
      <w:pPr>
        <w:spacing w:line="240" w:lineRule="auto"/>
        <w:ind w:right="-1"/>
        <w:rPr>
          <w:lang w:val="en-US"/>
        </w:rPr>
      </w:pPr>
    </w:p>
    <w:p w:rsidR="006307ED" w:rsidRPr="00953136" w:rsidRDefault="006307ED" w:rsidP="006307ED">
      <w:pPr>
        <w:numPr>
          <w:ilvl w:val="0"/>
          <w:numId w:val="2"/>
        </w:numPr>
        <w:spacing w:line="240" w:lineRule="auto"/>
        <w:ind w:right="-1"/>
        <w:rPr>
          <w:b/>
          <w:bCs/>
          <w:snapToGrid w:val="0"/>
          <w:color w:val="000000"/>
          <w:szCs w:val="22"/>
          <w:u w:color="000000"/>
          <w:lang w:val="en-US"/>
        </w:rPr>
      </w:pPr>
      <w:r w:rsidRPr="00953136">
        <w:rPr>
          <w:b/>
          <w:bCs/>
          <w:snapToGrid w:val="0"/>
          <w:color w:val="000000"/>
          <w:szCs w:val="22"/>
          <w:u w:color="000000"/>
          <w:lang w:val="en-US"/>
        </w:rPr>
        <w:t xml:space="preserve">Question 6: </w:t>
      </w:r>
    </w:p>
    <w:p w:rsidR="006307ED" w:rsidRDefault="006307ED" w:rsidP="006307ED">
      <w:pPr>
        <w:spacing w:line="240" w:lineRule="auto"/>
        <w:ind w:right="-1"/>
        <w:rPr>
          <w:lang w:val="en-US"/>
        </w:rPr>
      </w:pPr>
      <w:r w:rsidRPr="006307ED">
        <w:rPr>
          <w:lang w:val="en-US"/>
        </w:rPr>
        <w:t xml:space="preserve">The re-use of collateral should be allowed not only for transactions cleared with CCPs but also for non-centrally cleared transactions provided that it is limited to certain type of instruments. </w:t>
      </w:r>
    </w:p>
    <w:p w:rsidR="00EE034B" w:rsidRDefault="00EE034B" w:rsidP="006307ED">
      <w:pPr>
        <w:spacing w:line="240" w:lineRule="auto"/>
        <w:ind w:right="-1"/>
        <w:rPr>
          <w:lang w:val="en-US"/>
        </w:rPr>
      </w:pPr>
    </w:p>
    <w:p w:rsidR="00EE034B" w:rsidRDefault="008F5F69" w:rsidP="006307ED">
      <w:pPr>
        <w:spacing w:line="240" w:lineRule="auto"/>
        <w:ind w:right="-1"/>
        <w:rPr>
          <w:lang w:val="en-US"/>
        </w:rPr>
      </w:pPr>
      <w:r>
        <w:rPr>
          <w:lang w:val="en-US"/>
        </w:rPr>
        <w:t>Yours f</w:t>
      </w:r>
      <w:r w:rsidR="00EE034B">
        <w:rPr>
          <w:lang w:val="en-US"/>
        </w:rPr>
        <w:t>aithfully,</w:t>
      </w:r>
    </w:p>
    <w:p w:rsidR="00EE034B" w:rsidRDefault="00EE034B" w:rsidP="006307ED">
      <w:pPr>
        <w:spacing w:line="240" w:lineRule="auto"/>
        <w:ind w:right="-1"/>
        <w:rPr>
          <w:lang w:val="en-US"/>
        </w:rPr>
      </w:pPr>
    </w:p>
    <w:p w:rsidR="00EE034B" w:rsidRDefault="00EE034B" w:rsidP="006307ED">
      <w:pPr>
        <w:spacing w:line="240" w:lineRule="auto"/>
        <w:ind w:right="-1"/>
        <w:rPr>
          <w:lang w:val="en-US"/>
        </w:rPr>
      </w:pPr>
      <w:r>
        <w:rPr>
          <w:lang w:val="en-US"/>
        </w:rPr>
        <w:t>Dr. Franz Rudorfer</w:t>
      </w:r>
    </w:p>
    <w:p w:rsidR="00EE034B" w:rsidRDefault="00EE034B" w:rsidP="006307ED">
      <w:pPr>
        <w:spacing w:line="240" w:lineRule="auto"/>
        <w:ind w:right="-1"/>
        <w:rPr>
          <w:lang w:val="en-US"/>
        </w:rPr>
      </w:pPr>
      <w:r>
        <w:rPr>
          <w:lang w:val="en-US"/>
        </w:rPr>
        <w:t>Managing Director</w:t>
      </w:r>
    </w:p>
    <w:p w:rsidR="00EE034B" w:rsidRPr="006307ED" w:rsidRDefault="00EE034B" w:rsidP="006307ED">
      <w:pPr>
        <w:spacing w:line="240" w:lineRule="auto"/>
        <w:ind w:right="-1"/>
        <w:rPr>
          <w:lang w:val="en-US"/>
        </w:rPr>
      </w:pPr>
      <w:r>
        <w:rPr>
          <w:lang w:val="en-US"/>
        </w:rPr>
        <w:t>Division Bank an</w:t>
      </w:r>
      <w:r w:rsidR="001B04CB">
        <w:rPr>
          <w:lang w:val="en-US"/>
        </w:rPr>
        <w:t>d</w:t>
      </w:r>
      <w:r>
        <w:rPr>
          <w:lang w:val="en-US"/>
        </w:rPr>
        <w:t xml:space="preserve"> Insurance</w:t>
      </w:r>
    </w:p>
    <w:sectPr w:rsidR="00EE034B" w:rsidRPr="006307ED" w:rsidSect="00F0083F">
      <w:footerReference w:type="default" r:id="rId8"/>
      <w:headerReference w:type="first" r:id="rId9"/>
      <w:footerReference w:type="first" r:id="rId10"/>
      <w:pgSz w:w="11906" w:h="16838"/>
      <w:pgMar w:top="1701" w:right="1133"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F1" w:rsidRDefault="001B04CB">
      <w:pPr>
        <w:spacing w:line="240" w:lineRule="auto"/>
      </w:pPr>
      <w:r>
        <w:separator/>
      </w:r>
    </w:p>
  </w:endnote>
  <w:endnote w:type="continuationSeparator" w:id="0">
    <w:p w:rsidR="00771EF1" w:rsidRDefault="001B0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B5" w:rsidRPr="007C6CFC" w:rsidRDefault="00EE034B">
    <w:pPr>
      <w:pStyle w:val="Fuzeile"/>
      <w:rPr>
        <w:szCs w:val="22"/>
      </w:rPr>
    </w:pPr>
    <w:r w:rsidRPr="007C6CFC">
      <w:rPr>
        <w:sz w:val="16"/>
        <w:szCs w:val="16"/>
      </w:rPr>
      <w:tab/>
    </w:r>
    <w:r w:rsidRPr="007C6CFC">
      <w:rPr>
        <w:szCs w:val="22"/>
      </w:rPr>
      <w:t xml:space="preserve">- </w:t>
    </w:r>
    <w:r w:rsidRPr="007C6CFC">
      <w:rPr>
        <w:szCs w:val="22"/>
      </w:rPr>
      <w:fldChar w:fldCharType="begin"/>
    </w:r>
    <w:r w:rsidRPr="007C6CFC">
      <w:rPr>
        <w:szCs w:val="22"/>
      </w:rPr>
      <w:instrText xml:space="preserve"> PAGE </w:instrText>
    </w:r>
    <w:r w:rsidRPr="007C6CFC">
      <w:rPr>
        <w:szCs w:val="22"/>
      </w:rPr>
      <w:fldChar w:fldCharType="separate"/>
    </w:r>
    <w:r w:rsidR="005E4C2C">
      <w:rPr>
        <w:noProof/>
        <w:szCs w:val="22"/>
      </w:rPr>
      <w:t>2</w:t>
    </w:r>
    <w:r w:rsidRPr="007C6CFC">
      <w:rPr>
        <w:szCs w:val="22"/>
      </w:rPr>
      <w:fldChar w:fldCharType="end"/>
    </w:r>
    <w:r w:rsidRPr="007C6CFC">
      <w:rPr>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B5" w:rsidRPr="007C6CFC" w:rsidRDefault="00EE034B" w:rsidP="00C532A4">
    <w:pPr>
      <w:pStyle w:val="Fuzeile"/>
      <w:tabs>
        <w:tab w:val="left" w:pos="3630"/>
      </w:tabs>
      <w:rPr>
        <w:snapToGrid w:val="0"/>
        <w:color w:val="000000"/>
        <w:szCs w:val="22"/>
        <w:u w:color="000000"/>
      </w:rPr>
    </w:pPr>
    <w:r w:rsidRPr="007C6CFC">
      <w:rPr>
        <w:snapToGrid w:val="0"/>
        <w:color w:val="000000"/>
        <w:sz w:val="16"/>
        <w:szCs w:val="16"/>
        <w:u w:color="000000"/>
      </w:rPr>
      <w:tab/>
    </w:r>
    <w:r>
      <w:rPr>
        <w:snapToGrid w:val="0"/>
        <w:color w:val="000000"/>
        <w:sz w:val="16"/>
        <w:szCs w:val="16"/>
        <w:u w:color="000000"/>
      </w:rPr>
      <w:tab/>
    </w:r>
    <w:r w:rsidRPr="007C6CFC">
      <w:rPr>
        <w:snapToGrid w:val="0"/>
        <w:color w:val="000000"/>
        <w:szCs w:val="22"/>
        <w:u w:color="000000"/>
      </w:rPr>
      <w:t xml:space="preserve">- </w:t>
    </w:r>
    <w:r w:rsidRPr="007C6CFC">
      <w:rPr>
        <w:snapToGrid w:val="0"/>
        <w:color w:val="000000"/>
        <w:szCs w:val="22"/>
        <w:u w:color="000000"/>
      </w:rPr>
      <w:fldChar w:fldCharType="begin"/>
    </w:r>
    <w:r w:rsidRPr="007C6CFC">
      <w:rPr>
        <w:snapToGrid w:val="0"/>
        <w:color w:val="000000"/>
        <w:szCs w:val="22"/>
        <w:u w:color="000000"/>
      </w:rPr>
      <w:instrText xml:space="preserve"> PAGE </w:instrText>
    </w:r>
    <w:r w:rsidRPr="007C6CFC">
      <w:rPr>
        <w:snapToGrid w:val="0"/>
        <w:color w:val="000000"/>
        <w:szCs w:val="22"/>
        <w:u w:color="000000"/>
      </w:rPr>
      <w:fldChar w:fldCharType="separate"/>
    </w:r>
    <w:r w:rsidR="005E4C2C">
      <w:rPr>
        <w:noProof/>
        <w:snapToGrid w:val="0"/>
        <w:color w:val="000000"/>
        <w:szCs w:val="22"/>
        <w:u w:color="000000"/>
      </w:rPr>
      <w:t>1</w:t>
    </w:r>
    <w:r w:rsidRPr="007C6CFC">
      <w:rPr>
        <w:snapToGrid w:val="0"/>
        <w:color w:val="000000"/>
        <w:szCs w:val="22"/>
        <w:u w:color="000000"/>
      </w:rPr>
      <w:fldChar w:fldCharType="end"/>
    </w:r>
    <w:r w:rsidRPr="007C6CFC">
      <w:rPr>
        <w:snapToGrid w:val="0"/>
        <w:color w:val="000000"/>
        <w:szCs w:val="22"/>
        <w:u w:color="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F1" w:rsidRDefault="001B04CB">
      <w:pPr>
        <w:spacing w:line="240" w:lineRule="auto"/>
      </w:pPr>
      <w:r>
        <w:separator/>
      </w:r>
    </w:p>
  </w:footnote>
  <w:footnote w:type="continuationSeparator" w:id="0">
    <w:p w:rsidR="00771EF1" w:rsidRDefault="001B04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B5" w:rsidRPr="0081262C" w:rsidRDefault="00EE034B" w:rsidP="00F0083F">
    <w:pPr>
      <w:pStyle w:val="Kopfzeile"/>
      <w:tabs>
        <w:tab w:val="clear" w:pos="9072"/>
        <w:tab w:val="right" w:pos="9498"/>
      </w:tabs>
      <w:jc w:val="right"/>
    </w:pPr>
    <w:r>
      <w:rPr>
        <w:noProof/>
        <w:lang w:val="de-AT" w:eastAsia="de-AT"/>
      </w:rPr>
      <w:drawing>
        <wp:anchor distT="0" distB="0" distL="114300" distR="114300" simplePos="0" relativeHeight="251659264" behindDoc="0" locked="1" layoutInCell="1" allowOverlap="1" wp14:anchorId="6E91654A" wp14:editId="5AE7A89D">
          <wp:simplePos x="0" y="0"/>
          <wp:positionH relativeFrom="page">
            <wp:posOffset>4859655</wp:posOffset>
          </wp:positionH>
          <wp:positionV relativeFrom="page">
            <wp:posOffset>197485</wp:posOffset>
          </wp:positionV>
          <wp:extent cx="2210435" cy="861695"/>
          <wp:effectExtent l="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27B"/>
    <w:multiLevelType w:val="hybridMultilevel"/>
    <w:tmpl w:val="F85EE8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525B3BD1"/>
    <w:multiLevelType w:val="hybridMultilevel"/>
    <w:tmpl w:val="0666EEB4"/>
    <w:lvl w:ilvl="0" w:tplc="F26A64F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6AFE4E2D"/>
    <w:multiLevelType w:val="hybridMultilevel"/>
    <w:tmpl w:val="5D200900"/>
    <w:lvl w:ilvl="0" w:tplc="07C21350">
      <w:start w:val="104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D2"/>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B04CB"/>
    <w:rsid w:val="001C5380"/>
    <w:rsid w:val="001E2D12"/>
    <w:rsid w:val="001F25D1"/>
    <w:rsid w:val="00200EC8"/>
    <w:rsid w:val="0020107C"/>
    <w:rsid w:val="00213287"/>
    <w:rsid w:val="00220E0E"/>
    <w:rsid w:val="00226ADD"/>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7E33"/>
    <w:rsid w:val="005B7474"/>
    <w:rsid w:val="005B7B2B"/>
    <w:rsid w:val="005C5376"/>
    <w:rsid w:val="005D0BA5"/>
    <w:rsid w:val="005D282D"/>
    <w:rsid w:val="005D3BF4"/>
    <w:rsid w:val="005D6B25"/>
    <w:rsid w:val="005D714A"/>
    <w:rsid w:val="005E4C2C"/>
    <w:rsid w:val="005F6829"/>
    <w:rsid w:val="0060498F"/>
    <w:rsid w:val="00617DBA"/>
    <w:rsid w:val="00626C2B"/>
    <w:rsid w:val="006307ED"/>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1EF1"/>
    <w:rsid w:val="007766FC"/>
    <w:rsid w:val="00780333"/>
    <w:rsid w:val="00782F87"/>
    <w:rsid w:val="00786DF5"/>
    <w:rsid w:val="007A6524"/>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713B"/>
    <w:rsid w:val="008B46EE"/>
    <w:rsid w:val="008C62EC"/>
    <w:rsid w:val="008D08A5"/>
    <w:rsid w:val="008D6D1E"/>
    <w:rsid w:val="008F40A5"/>
    <w:rsid w:val="008F5F69"/>
    <w:rsid w:val="00905D69"/>
    <w:rsid w:val="00947228"/>
    <w:rsid w:val="00951D89"/>
    <w:rsid w:val="00953136"/>
    <w:rsid w:val="00954E0A"/>
    <w:rsid w:val="00964715"/>
    <w:rsid w:val="00976333"/>
    <w:rsid w:val="00982719"/>
    <w:rsid w:val="00990658"/>
    <w:rsid w:val="009A789A"/>
    <w:rsid w:val="009B14CE"/>
    <w:rsid w:val="009C58B4"/>
    <w:rsid w:val="009D6188"/>
    <w:rsid w:val="009F7963"/>
    <w:rsid w:val="00A01D86"/>
    <w:rsid w:val="00A04226"/>
    <w:rsid w:val="00A07A71"/>
    <w:rsid w:val="00A26AF1"/>
    <w:rsid w:val="00A30D99"/>
    <w:rsid w:val="00A40993"/>
    <w:rsid w:val="00A40F7B"/>
    <w:rsid w:val="00A44660"/>
    <w:rsid w:val="00A571D2"/>
    <w:rsid w:val="00A675D0"/>
    <w:rsid w:val="00A741F1"/>
    <w:rsid w:val="00AC215F"/>
    <w:rsid w:val="00AC28F5"/>
    <w:rsid w:val="00AC617A"/>
    <w:rsid w:val="00AD057B"/>
    <w:rsid w:val="00AD104F"/>
    <w:rsid w:val="00AD16CA"/>
    <w:rsid w:val="00AD6225"/>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70AE7"/>
    <w:rsid w:val="00E736C4"/>
    <w:rsid w:val="00E76A26"/>
    <w:rsid w:val="00E8086C"/>
    <w:rsid w:val="00E95F0C"/>
    <w:rsid w:val="00EA367F"/>
    <w:rsid w:val="00EB42A2"/>
    <w:rsid w:val="00EB432D"/>
    <w:rsid w:val="00EB5344"/>
    <w:rsid w:val="00EC5392"/>
    <w:rsid w:val="00EC5E56"/>
    <w:rsid w:val="00EC6603"/>
    <w:rsid w:val="00EE034B"/>
    <w:rsid w:val="00EE25FD"/>
    <w:rsid w:val="00F11A35"/>
    <w:rsid w:val="00F12014"/>
    <w:rsid w:val="00F2629E"/>
    <w:rsid w:val="00F31D66"/>
    <w:rsid w:val="00F325D3"/>
    <w:rsid w:val="00F45B5D"/>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7ED"/>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rsid w:val="006307ED"/>
    <w:pPr>
      <w:tabs>
        <w:tab w:val="center" w:pos="4536"/>
        <w:tab w:val="right" w:pos="9072"/>
      </w:tabs>
    </w:pPr>
  </w:style>
  <w:style w:type="character" w:customStyle="1" w:styleId="KopfzeileZchn">
    <w:name w:val="Kopfzeile Zchn"/>
    <w:basedOn w:val="Absatz-Standardschriftart"/>
    <w:link w:val="Kopfzeile"/>
    <w:rsid w:val="006307ED"/>
    <w:rPr>
      <w:rFonts w:ascii="Trebuchet MS" w:hAnsi="Trebuchet MS" w:cs="Times New Roman"/>
      <w:szCs w:val="20"/>
      <w:lang w:val="de-DE" w:eastAsia="de-DE"/>
    </w:rPr>
  </w:style>
  <w:style w:type="paragraph" w:styleId="Fuzeile">
    <w:name w:val="footer"/>
    <w:basedOn w:val="Standard"/>
    <w:link w:val="FuzeileZchn"/>
    <w:rsid w:val="006307ED"/>
    <w:pPr>
      <w:tabs>
        <w:tab w:val="center" w:pos="4536"/>
        <w:tab w:val="right" w:pos="9072"/>
      </w:tabs>
    </w:pPr>
  </w:style>
  <w:style w:type="character" w:customStyle="1" w:styleId="FuzeileZchn">
    <w:name w:val="Fußzeile Zchn"/>
    <w:basedOn w:val="Absatz-Standardschriftart"/>
    <w:link w:val="Fuzeile"/>
    <w:rsid w:val="006307ED"/>
    <w:rPr>
      <w:rFonts w:ascii="Trebuchet MS" w:hAnsi="Trebuchet MS" w:cs="Times New Roman"/>
      <w:szCs w:val="20"/>
      <w:lang w:val="de-DE" w:eastAsia="de-DE"/>
    </w:rPr>
  </w:style>
  <w:style w:type="character" w:styleId="Kommentarzeichen">
    <w:name w:val="annotation reference"/>
    <w:basedOn w:val="Absatz-Standardschriftart"/>
    <w:rsid w:val="006307ED"/>
    <w:rPr>
      <w:sz w:val="16"/>
      <w:szCs w:val="16"/>
    </w:rPr>
  </w:style>
  <w:style w:type="paragraph" w:styleId="Kommentartext">
    <w:name w:val="annotation text"/>
    <w:basedOn w:val="Standard"/>
    <w:link w:val="KommentartextZchn"/>
    <w:rsid w:val="006307ED"/>
    <w:pPr>
      <w:spacing w:line="240" w:lineRule="auto"/>
    </w:pPr>
    <w:rPr>
      <w:sz w:val="20"/>
    </w:rPr>
  </w:style>
  <w:style w:type="character" w:customStyle="1" w:styleId="KommentartextZchn">
    <w:name w:val="Kommentartext Zchn"/>
    <w:basedOn w:val="Absatz-Standardschriftart"/>
    <w:link w:val="Kommentartext"/>
    <w:rsid w:val="006307ED"/>
    <w:rPr>
      <w:rFonts w:ascii="Trebuchet MS" w:hAnsi="Trebuchet MS" w:cs="Times New Roman"/>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7ED"/>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rsid w:val="006307ED"/>
    <w:pPr>
      <w:tabs>
        <w:tab w:val="center" w:pos="4536"/>
        <w:tab w:val="right" w:pos="9072"/>
      </w:tabs>
    </w:pPr>
  </w:style>
  <w:style w:type="character" w:customStyle="1" w:styleId="KopfzeileZchn">
    <w:name w:val="Kopfzeile Zchn"/>
    <w:basedOn w:val="Absatz-Standardschriftart"/>
    <w:link w:val="Kopfzeile"/>
    <w:rsid w:val="006307ED"/>
    <w:rPr>
      <w:rFonts w:ascii="Trebuchet MS" w:hAnsi="Trebuchet MS" w:cs="Times New Roman"/>
      <w:szCs w:val="20"/>
      <w:lang w:val="de-DE" w:eastAsia="de-DE"/>
    </w:rPr>
  </w:style>
  <w:style w:type="paragraph" w:styleId="Fuzeile">
    <w:name w:val="footer"/>
    <w:basedOn w:val="Standard"/>
    <w:link w:val="FuzeileZchn"/>
    <w:rsid w:val="006307ED"/>
    <w:pPr>
      <w:tabs>
        <w:tab w:val="center" w:pos="4536"/>
        <w:tab w:val="right" w:pos="9072"/>
      </w:tabs>
    </w:pPr>
  </w:style>
  <w:style w:type="character" w:customStyle="1" w:styleId="FuzeileZchn">
    <w:name w:val="Fußzeile Zchn"/>
    <w:basedOn w:val="Absatz-Standardschriftart"/>
    <w:link w:val="Fuzeile"/>
    <w:rsid w:val="006307ED"/>
    <w:rPr>
      <w:rFonts w:ascii="Trebuchet MS" w:hAnsi="Trebuchet MS" w:cs="Times New Roman"/>
      <w:szCs w:val="20"/>
      <w:lang w:val="de-DE" w:eastAsia="de-DE"/>
    </w:rPr>
  </w:style>
  <w:style w:type="character" w:styleId="Kommentarzeichen">
    <w:name w:val="annotation reference"/>
    <w:basedOn w:val="Absatz-Standardschriftart"/>
    <w:rsid w:val="006307ED"/>
    <w:rPr>
      <w:sz w:val="16"/>
      <w:szCs w:val="16"/>
    </w:rPr>
  </w:style>
  <w:style w:type="paragraph" w:styleId="Kommentartext">
    <w:name w:val="annotation text"/>
    <w:basedOn w:val="Standard"/>
    <w:link w:val="KommentartextZchn"/>
    <w:rsid w:val="006307ED"/>
    <w:pPr>
      <w:spacing w:line="240" w:lineRule="auto"/>
    </w:pPr>
    <w:rPr>
      <w:sz w:val="20"/>
    </w:rPr>
  </w:style>
  <w:style w:type="character" w:customStyle="1" w:styleId="KommentartextZchn">
    <w:name w:val="Kommentartext Zchn"/>
    <w:basedOn w:val="Absatz-Standardschriftart"/>
    <w:link w:val="Kommentartext"/>
    <w:rsid w:val="006307ED"/>
    <w:rPr>
      <w:rFonts w:ascii="Trebuchet MS" w:hAnsi="Trebuchet MS"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10421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Ofner Inge, WKÖ BSBV</dc:creator>
  <cp:lastModifiedBy>Egger Bernhard, Dr, WKÖ BSBV</cp:lastModifiedBy>
  <cp:revision>5</cp:revision>
  <cp:lastPrinted>2014-07-14T13:37:00Z</cp:lastPrinted>
  <dcterms:created xsi:type="dcterms:W3CDTF">2014-07-14T13:09:00Z</dcterms:created>
  <dcterms:modified xsi:type="dcterms:W3CDTF">2014-07-14T14:36:00Z</dcterms:modified>
</cp:coreProperties>
</file>