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7BAC5" w14:textId="52EAF2A4" w:rsidR="001F5D09" w:rsidRPr="004E68C0" w:rsidRDefault="001F5D09" w:rsidP="005870BC">
      <w:pPr>
        <w:jc w:val="right"/>
        <w:rPr>
          <w:rFonts w:ascii="Times New Roman" w:hAnsi="Times New Roman"/>
          <w:sz w:val="24"/>
          <w:szCs w:val="24"/>
          <w:lang w:val="en-GB"/>
        </w:rPr>
      </w:pPr>
      <w:r w:rsidRPr="004E68C0">
        <w:rPr>
          <w:rFonts w:ascii="Times New Roman" w:hAnsi="Times New Roman"/>
          <w:sz w:val="24"/>
          <w:szCs w:val="24"/>
          <w:lang w:val="en-GB"/>
        </w:rPr>
        <w:t>Ref.:</w:t>
      </w:r>
      <w:bookmarkStart w:id="0" w:name="DocRef"/>
      <w:r>
        <w:rPr>
          <w:rFonts w:ascii="Times New Roman" w:hAnsi="Times New Roman"/>
          <w:sz w:val="24"/>
          <w:szCs w:val="24"/>
          <w:lang w:val="en-GB"/>
        </w:rPr>
        <w:t>EBF_009935</w:t>
      </w:r>
      <w:bookmarkEnd w:id="0"/>
      <w:r w:rsidR="00223109">
        <w:rPr>
          <w:rFonts w:ascii="Times New Roman" w:hAnsi="Times New Roman"/>
          <w:sz w:val="24"/>
          <w:szCs w:val="24"/>
          <w:lang w:val="en-GB"/>
        </w:rPr>
        <w:t>E</w:t>
      </w:r>
    </w:p>
    <w:p w14:paraId="77E7BAC6" w14:textId="677D3AE6" w:rsidR="001F5D09" w:rsidRPr="004F6FF5" w:rsidRDefault="001F5D09" w:rsidP="005870BC">
      <w:pPr>
        <w:jc w:val="right"/>
        <w:rPr>
          <w:rFonts w:ascii="Times New Roman" w:hAnsi="Times New Roman"/>
          <w:sz w:val="24"/>
          <w:szCs w:val="24"/>
          <w:lang w:val="en-GB"/>
        </w:rPr>
      </w:pPr>
      <w:r w:rsidRPr="004E68C0">
        <w:rPr>
          <w:rFonts w:ascii="Times New Roman" w:hAnsi="Times New Roman"/>
          <w:sz w:val="24"/>
          <w:szCs w:val="24"/>
          <w:lang w:val="en-GB"/>
        </w:rPr>
        <w:t xml:space="preserve">Brussels, </w:t>
      </w:r>
      <w:r w:rsidR="00B472D2">
        <w:rPr>
          <w:rFonts w:ascii="Times New Roman" w:hAnsi="Times New Roman"/>
          <w:sz w:val="24"/>
          <w:szCs w:val="24"/>
          <w:lang w:val="en-GB"/>
        </w:rPr>
        <w:t>1</w:t>
      </w:r>
      <w:r w:rsidR="00223109">
        <w:rPr>
          <w:rFonts w:ascii="Times New Roman" w:hAnsi="Times New Roman"/>
          <w:sz w:val="24"/>
          <w:szCs w:val="24"/>
          <w:lang w:val="en-GB"/>
        </w:rPr>
        <w:t>8</w:t>
      </w:r>
      <w:r w:rsidR="00B472D2">
        <w:rPr>
          <w:rFonts w:ascii="Times New Roman" w:hAnsi="Times New Roman"/>
          <w:sz w:val="24"/>
          <w:szCs w:val="24"/>
          <w:lang w:val="en-GB"/>
        </w:rPr>
        <w:t xml:space="preserve"> </w:t>
      </w:r>
      <w:r w:rsidR="009A1E36">
        <w:rPr>
          <w:rFonts w:ascii="Times New Roman" w:hAnsi="Times New Roman"/>
          <w:sz w:val="24"/>
          <w:szCs w:val="24"/>
          <w:lang w:val="en-GB"/>
        </w:rPr>
        <w:t>August 2014</w:t>
      </w:r>
    </w:p>
    <w:p w14:paraId="77E7BAC7" w14:textId="77777777" w:rsidR="001F5D09" w:rsidRPr="004F6FF5" w:rsidRDefault="001F5D09" w:rsidP="005870BC">
      <w:pPr>
        <w:rPr>
          <w:rFonts w:ascii="Times New Roman" w:hAnsi="Times New Roman"/>
          <w:b/>
          <w:i/>
          <w:sz w:val="24"/>
          <w:szCs w:val="24"/>
          <w:lang w:val="en-GB"/>
        </w:rPr>
      </w:pPr>
    </w:p>
    <w:p w14:paraId="77E7BAC8" w14:textId="77777777" w:rsidR="001F5D09" w:rsidRPr="00CA464D" w:rsidRDefault="001F5D09" w:rsidP="005870BC">
      <w:pPr>
        <w:jc w:val="both"/>
        <w:rPr>
          <w:rFonts w:ascii="Times New Roman" w:hAnsi="Times New Roman"/>
          <w:b/>
          <w:bCs/>
          <w:i/>
          <w:iCs/>
          <w:sz w:val="24"/>
          <w:szCs w:val="24"/>
          <w:lang w:val="en-GB"/>
        </w:rPr>
      </w:pPr>
      <w:r w:rsidRPr="00CA464D">
        <w:rPr>
          <w:rFonts w:ascii="Times New Roman" w:hAnsi="Times New Roman"/>
          <w:b/>
          <w:bCs/>
          <w:i/>
          <w:iCs/>
          <w:sz w:val="24"/>
          <w:szCs w:val="24"/>
          <w:lang w:val="en-GB"/>
        </w:rPr>
        <w:t>Launched in 1960, the European Banking Federation is the voice of the European banking sector from the European Union and European Free Trade Association countries. The EBF represents the interests of some 4,500 banks, large and small, wholesale and retail, local and cross-border financial institutions. Together, these banks account for over 80% of the total assets and deposits and some 80% of all bank loans in the EU alone.</w:t>
      </w:r>
    </w:p>
    <w:p w14:paraId="77E7BAC9" w14:textId="77777777" w:rsidR="001F5D09" w:rsidRPr="00CA464D" w:rsidRDefault="001F5D09" w:rsidP="005870BC">
      <w:pPr>
        <w:rPr>
          <w:rFonts w:ascii="Times New Roman" w:hAnsi="Times New Roman"/>
          <w:bCs/>
          <w:iCs/>
          <w:sz w:val="24"/>
          <w:szCs w:val="24"/>
          <w:lang w:val="en-GB"/>
        </w:rPr>
      </w:pPr>
    </w:p>
    <w:p w14:paraId="77E7BACA" w14:textId="77777777" w:rsidR="001F5D09" w:rsidRPr="00CA464D" w:rsidRDefault="001F5D09" w:rsidP="00A72747">
      <w:pPr>
        <w:jc w:val="both"/>
        <w:rPr>
          <w:rFonts w:ascii="Times New Roman" w:hAnsi="Times New Roman"/>
          <w:bCs/>
          <w:iCs/>
          <w:sz w:val="24"/>
          <w:szCs w:val="24"/>
          <w:lang w:val="en-GB"/>
        </w:rPr>
      </w:pPr>
      <w:r w:rsidRPr="00CA464D">
        <w:rPr>
          <w:rFonts w:ascii="Times New Roman" w:hAnsi="Times New Roman"/>
          <w:bCs/>
          <w:iCs/>
          <w:sz w:val="24"/>
          <w:szCs w:val="24"/>
          <w:lang w:val="en-GB"/>
        </w:rPr>
        <w:t xml:space="preserve">The EBF welcomes the opportunity to express the views of the EU banking industry on the </w:t>
      </w:r>
      <w:r w:rsidR="00F809F7" w:rsidRPr="00CA464D">
        <w:rPr>
          <w:rFonts w:ascii="Times New Roman" w:hAnsi="Times New Roman"/>
          <w:bCs/>
          <w:iCs/>
          <w:sz w:val="24"/>
          <w:szCs w:val="24"/>
          <w:lang w:val="en-GB"/>
        </w:rPr>
        <w:t>EBA consultation</w:t>
      </w:r>
      <w:r w:rsidRPr="00CA464D">
        <w:rPr>
          <w:rFonts w:ascii="Times New Roman" w:hAnsi="Times New Roman"/>
          <w:bCs/>
          <w:iCs/>
          <w:sz w:val="24"/>
          <w:szCs w:val="24"/>
          <w:lang w:val="en-GB"/>
        </w:rPr>
        <w:t xml:space="preserve"> paper</w:t>
      </w:r>
      <w:r w:rsidR="00DC028F">
        <w:rPr>
          <w:rFonts w:ascii="Times New Roman" w:hAnsi="Times New Roman"/>
          <w:bCs/>
          <w:iCs/>
          <w:sz w:val="24"/>
          <w:szCs w:val="24"/>
          <w:lang w:val="en-GB"/>
        </w:rPr>
        <w:t xml:space="preserve"> 2014/07</w:t>
      </w:r>
      <w:r w:rsidRPr="00CA464D">
        <w:rPr>
          <w:rFonts w:ascii="Times New Roman" w:hAnsi="Times New Roman"/>
          <w:bCs/>
          <w:iCs/>
          <w:sz w:val="24"/>
          <w:szCs w:val="24"/>
          <w:lang w:val="en-GB"/>
        </w:rPr>
        <w:t xml:space="preserve"> </w:t>
      </w:r>
      <w:r w:rsidR="00F809F7" w:rsidRPr="00CA464D">
        <w:rPr>
          <w:rFonts w:ascii="Times New Roman" w:hAnsi="Times New Roman"/>
          <w:bCs/>
          <w:iCs/>
          <w:sz w:val="24"/>
          <w:szCs w:val="24"/>
          <w:lang w:val="en-GB"/>
        </w:rPr>
        <w:t xml:space="preserve">that covers the draft regulatory technical standards (RTS) on benchmarking portfolio assessment standards and assessment sharing procedures as well as the implementing technical standards (ITS) on benchmarking portfolios, templates, definitions and IT solutions under article 78 of the Capital Requirements Directive (CRD IV). </w:t>
      </w:r>
    </w:p>
    <w:p w14:paraId="77E7BACB" w14:textId="77777777" w:rsidR="002B0779" w:rsidRPr="00CA464D" w:rsidRDefault="002B0779" w:rsidP="002B0779">
      <w:pPr>
        <w:spacing w:before="360"/>
        <w:jc w:val="both"/>
        <w:rPr>
          <w:rFonts w:ascii="Times New Roman" w:hAnsi="Times New Roman"/>
          <w:b/>
          <w:color w:val="E36C0A"/>
          <w:sz w:val="24"/>
          <w:szCs w:val="24"/>
          <w:lang w:val="en-GB"/>
        </w:rPr>
      </w:pPr>
      <w:r w:rsidRPr="00CA464D">
        <w:rPr>
          <w:rFonts w:ascii="Times New Roman" w:hAnsi="Times New Roman"/>
          <w:b/>
          <w:color w:val="E36C0A"/>
          <w:sz w:val="24"/>
          <w:szCs w:val="24"/>
          <w:lang w:val="en-GB"/>
        </w:rPr>
        <w:t>EBF general comments</w:t>
      </w:r>
      <w:r w:rsidR="00C82182" w:rsidRPr="00CA464D">
        <w:rPr>
          <w:rFonts w:ascii="Times New Roman" w:hAnsi="Times New Roman"/>
          <w:b/>
          <w:color w:val="E36C0A"/>
          <w:sz w:val="24"/>
          <w:szCs w:val="24"/>
          <w:lang w:val="en-GB"/>
        </w:rPr>
        <w:t xml:space="preserve"> for all risk types</w:t>
      </w:r>
      <w:r w:rsidR="00C82182" w:rsidRPr="00CA464D">
        <w:rPr>
          <w:rStyle w:val="FootnoteReference"/>
          <w:rFonts w:ascii="Times New Roman" w:hAnsi="Times New Roman"/>
          <w:b/>
          <w:color w:val="E36C0A"/>
          <w:sz w:val="24"/>
          <w:szCs w:val="24"/>
          <w:lang w:val="en-GB"/>
        </w:rPr>
        <w:footnoteReference w:id="2"/>
      </w:r>
    </w:p>
    <w:p w14:paraId="77E7BACC" w14:textId="77777777" w:rsidR="00C82182" w:rsidRPr="00CA464D" w:rsidRDefault="00C82182" w:rsidP="00C82182">
      <w:pPr>
        <w:pStyle w:val="ListParagraph"/>
        <w:numPr>
          <w:ilvl w:val="0"/>
          <w:numId w:val="33"/>
        </w:numPr>
        <w:spacing w:before="120"/>
        <w:ind w:left="714" w:hanging="357"/>
        <w:contextualSpacing w:val="0"/>
        <w:jc w:val="both"/>
        <w:rPr>
          <w:rFonts w:ascii="Times New Roman" w:hAnsi="Times New Roman"/>
          <w:sz w:val="24"/>
          <w:szCs w:val="24"/>
          <w:lang w:val="en-GB"/>
        </w:rPr>
      </w:pPr>
      <w:r w:rsidRPr="00CA464D">
        <w:rPr>
          <w:rFonts w:ascii="Times New Roman" w:hAnsi="Times New Roman"/>
          <w:sz w:val="24"/>
          <w:szCs w:val="24"/>
          <w:lang w:val="en-GB"/>
        </w:rPr>
        <w:t xml:space="preserve">The EBF supports the idea behind benchmarking, which is to ensure the proper functioning of internal models that banks use to manage their risks. The use of internal models has made risk management more precise and it has enabled banks to better understand </w:t>
      </w:r>
      <w:r w:rsidR="00EC38CE" w:rsidRPr="00CA464D">
        <w:rPr>
          <w:rFonts w:ascii="Times New Roman" w:hAnsi="Times New Roman"/>
          <w:sz w:val="24"/>
          <w:szCs w:val="24"/>
          <w:lang w:val="en-GB"/>
        </w:rPr>
        <w:t xml:space="preserve">and manage </w:t>
      </w:r>
      <w:r w:rsidRPr="00CA464D">
        <w:rPr>
          <w:rFonts w:ascii="Times New Roman" w:hAnsi="Times New Roman"/>
          <w:sz w:val="24"/>
          <w:szCs w:val="24"/>
          <w:lang w:val="en-GB"/>
        </w:rPr>
        <w:t xml:space="preserve">the risks they </w:t>
      </w:r>
      <w:r w:rsidR="00B35D45" w:rsidRPr="00CA464D">
        <w:rPr>
          <w:rFonts w:ascii="Times New Roman" w:hAnsi="Times New Roman"/>
          <w:sz w:val="24"/>
          <w:szCs w:val="24"/>
          <w:lang w:val="en-GB"/>
        </w:rPr>
        <w:t>have taken</w:t>
      </w:r>
      <w:r w:rsidRPr="00CA464D">
        <w:rPr>
          <w:rFonts w:ascii="Times New Roman" w:hAnsi="Times New Roman"/>
          <w:sz w:val="24"/>
          <w:szCs w:val="24"/>
          <w:lang w:val="en-GB"/>
        </w:rPr>
        <w:t xml:space="preserve">. </w:t>
      </w:r>
      <w:r w:rsidR="00EC38CE" w:rsidRPr="00CA464D">
        <w:rPr>
          <w:rFonts w:ascii="Times New Roman" w:hAnsi="Times New Roman"/>
          <w:sz w:val="24"/>
          <w:szCs w:val="24"/>
          <w:lang w:val="en-GB"/>
        </w:rPr>
        <w:t xml:space="preserve">The correct assessment of risk </w:t>
      </w:r>
      <w:r w:rsidR="00B35D45" w:rsidRPr="00CA464D">
        <w:rPr>
          <w:rFonts w:ascii="Times New Roman" w:hAnsi="Times New Roman"/>
          <w:sz w:val="24"/>
          <w:szCs w:val="24"/>
          <w:lang w:val="en-GB"/>
        </w:rPr>
        <w:t>is</w:t>
      </w:r>
      <w:r w:rsidR="00EC38CE" w:rsidRPr="00CA464D">
        <w:rPr>
          <w:rFonts w:ascii="Times New Roman" w:hAnsi="Times New Roman"/>
          <w:sz w:val="24"/>
          <w:szCs w:val="24"/>
          <w:lang w:val="en-GB"/>
        </w:rPr>
        <w:t xml:space="preserve"> key in ensuring banks comply with the use test requirements associated with internal models. Banks have to incorporate model results in their day</w:t>
      </w:r>
      <w:r w:rsidR="00B35D45" w:rsidRPr="00CA464D">
        <w:rPr>
          <w:rFonts w:ascii="Times New Roman" w:hAnsi="Times New Roman"/>
          <w:sz w:val="24"/>
          <w:szCs w:val="24"/>
          <w:lang w:val="en-GB"/>
        </w:rPr>
        <w:t>-</w:t>
      </w:r>
      <w:r w:rsidR="00EC38CE" w:rsidRPr="00CA464D">
        <w:rPr>
          <w:rFonts w:ascii="Times New Roman" w:hAnsi="Times New Roman"/>
          <w:sz w:val="24"/>
          <w:szCs w:val="24"/>
          <w:lang w:val="en-GB"/>
        </w:rPr>
        <w:t>to</w:t>
      </w:r>
      <w:r w:rsidR="00B35D45" w:rsidRPr="00CA464D">
        <w:rPr>
          <w:rFonts w:ascii="Times New Roman" w:hAnsi="Times New Roman"/>
          <w:sz w:val="24"/>
          <w:szCs w:val="24"/>
          <w:lang w:val="en-GB"/>
        </w:rPr>
        <w:t>-</w:t>
      </w:r>
      <w:r w:rsidR="00EC38CE" w:rsidRPr="00CA464D">
        <w:rPr>
          <w:rFonts w:ascii="Times New Roman" w:hAnsi="Times New Roman"/>
          <w:sz w:val="24"/>
          <w:szCs w:val="24"/>
          <w:lang w:val="en-GB"/>
        </w:rPr>
        <w:t xml:space="preserve">day portfolio management and </w:t>
      </w:r>
      <w:r w:rsidR="00B35D45" w:rsidRPr="00CA464D">
        <w:rPr>
          <w:rFonts w:ascii="Times New Roman" w:hAnsi="Times New Roman"/>
          <w:sz w:val="24"/>
          <w:szCs w:val="24"/>
          <w:lang w:val="en-GB"/>
        </w:rPr>
        <w:t xml:space="preserve">to </w:t>
      </w:r>
      <w:r w:rsidR="00EC38CE" w:rsidRPr="00CA464D">
        <w:rPr>
          <w:rFonts w:ascii="Times New Roman" w:hAnsi="Times New Roman"/>
          <w:sz w:val="24"/>
          <w:szCs w:val="24"/>
          <w:lang w:val="en-GB"/>
        </w:rPr>
        <w:t xml:space="preserve">use that information to manage their portfolios. If the risk assessments are incorrect (either due to flaws in the model or by alterations required by competent authorities that would make the risk estimation deviate from the actual risks) this will cause banks to steer on improper information, which can create wrong incentives. </w:t>
      </w:r>
      <w:r w:rsidRPr="00CA464D">
        <w:rPr>
          <w:rFonts w:ascii="Times New Roman" w:hAnsi="Times New Roman"/>
          <w:sz w:val="24"/>
          <w:szCs w:val="24"/>
          <w:lang w:val="en-GB"/>
        </w:rPr>
        <w:t xml:space="preserve">Benchmarking, if executed in a well-structured way, can enhance and improve the effectiveness of models and risk management in general. </w:t>
      </w:r>
    </w:p>
    <w:p w14:paraId="77E7BACD" w14:textId="77777777" w:rsidR="00D4456F" w:rsidRPr="00CA464D" w:rsidRDefault="00C82182" w:rsidP="002B0779">
      <w:pPr>
        <w:pStyle w:val="ListParagraph"/>
        <w:numPr>
          <w:ilvl w:val="0"/>
          <w:numId w:val="33"/>
        </w:numPr>
        <w:spacing w:before="120"/>
        <w:ind w:left="714" w:hanging="357"/>
        <w:contextualSpacing w:val="0"/>
        <w:jc w:val="both"/>
        <w:rPr>
          <w:rFonts w:ascii="Times New Roman" w:hAnsi="Times New Roman"/>
          <w:b/>
          <w:color w:val="E36C0A"/>
          <w:sz w:val="24"/>
          <w:szCs w:val="24"/>
          <w:lang w:val="en-GB"/>
        </w:rPr>
      </w:pPr>
      <w:r w:rsidRPr="00CA464D">
        <w:rPr>
          <w:rFonts w:ascii="Times New Roman" w:hAnsi="Times New Roman"/>
          <w:sz w:val="24"/>
          <w:szCs w:val="24"/>
          <w:lang w:val="en-GB"/>
        </w:rPr>
        <w:t xml:space="preserve">Every effort should be made to remove the role of benchmarks based on standardised risk weights.  These are not risk-sensitive and have no role in the assessment of granular internally modelled portfolios. </w:t>
      </w:r>
    </w:p>
    <w:p w14:paraId="77E7BACE" w14:textId="77777777" w:rsidR="00C82182" w:rsidRPr="007B1D23" w:rsidRDefault="00D4456F" w:rsidP="002952C0">
      <w:pPr>
        <w:pStyle w:val="ListParagraph"/>
        <w:numPr>
          <w:ilvl w:val="0"/>
          <w:numId w:val="33"/>
        </w:numPr>
        <w:spacing w:before="120"/>
        <w:contextualSpacing w:val="0"/>
        <w:jc w:val="both"/>
        <w:rPr>
          <w:rFonts w:ascii="Times New Roman" w:hAnsi="Times New Roman"/>
          <w:b/>
          <w:color w:val="E36C0A"/>
          <w:sz w:val="24"/>
          <w:szCs w:val="24"/>
          <w:lang w:val="en-GB"/>
        </w:rPr>
      </w:pPr>
      <w:r w:rsidRPr="004E68C0">
        <w:rPr>
          <w:rFonts w:ascii="Times New Roman" w:hAnsi="Times New Roman"/>
          <w:sz w:val="24"/>
          <w:szCs w:val="24"/>
          <w:lang w:val="en-GB"/>
        </w:rPr>
        <w:t xml:space="preserve">It is extremely important that the EBA and the competent authorities involved </w:t>
      </w:r>
      <w:r w:rsidR="00B35D45" w:rsidRPr="004E68C0">
        <w:rPr>
          <w:rFonts w:ascii="Times New Roman" w:hAnsi="Times New Roman"/>
          <w:sz w:val="24"/>
          <w:szCs w:val="24"/>
          <w:lang w:val="en-GB"/>
        </w:rPr>
        <w:t xml:space="preserve">address the </w:t>
      </w:r>
      <w:r w:rsidR="004E68C0">
        <w:rPr>
          <w:rFonts w:ascii="Times New Roman" w:hAnsi="Times New Roman"/>
          <w:sz w:val="24"/>
          <w:szCs w:val="24"/>
          <w:lang w:val="en-GB"/>
        </w:rPr>
        <w:t>concern</w:t>
      </w:r>
      <w:r w:rsidR="00B35D45" w:rsidRPr="004E68C0">
        <w:rPr>
          <w:rFonts w:ascii="Times New Roman" w:hAnsi="Times New Roman"/>
          <w:sz w:val="24"/>
          <w:szCs w:val="24"/>
          <w:lang w:val="en-GB"/>
        </w:rPr>
        <w:t>s raised</w:t>
      </w:r>
      <w:r w:rsidRPr="004E68C0">
        <w:rPr>
          <w:rFonts w:ascii="Times New Roman" w:hAnsi="Times New Roman"/>
          <w:sz w:val="24"/>
          <w:szCs w:val="24"/>
          <w:lang w:val="en-GB"/>
        </w:rPr>
        <w:t xml:space="preserve"> about “divergences” and “underestimation”</w:t>
      </w:r>
      <w:r w:rsidR="00B35D45" w:rsidRPr="004E68C0">
        <w:rPr>
          <w:rFonts w:ascii="Times New Roman" w:hAnsi="Times New Roman"/>
          <w:sz w:val="24"/>
          <w:szCs w:val="24"/>
          <w:lang w:val="en-GB"/>
        </w:rPr>
        <w:t xml:space="preserve"> of risk weighted assets</w:t>
      </w:r>
      <w:r w:rsidRPr="004E68C0">
        <w:rPr>
          <w:rFonts w:ascii="Times New Roman" w:hAnsi="Times New Roman"/>
          <w:sz w:val="24"/>
          <w:szCs w:val="24"/>
          <w:lang w:val="en-GB"/>
        </w:rPr>
        <w:t>. There appears to be a widespread belief that because of the existing methodological differences banks</w:t>
      </w:r>
      <w:r w:rsidR="00B35D45" w:rsidRPr="004E68C0">
        <w:rPr>
          <w:rFonts w:ascii="Times New Roman" w:hAnsi="Times New Roman"/>
          <w:sz w:val="24"/>
          <w:szCs w:val="24"/>
          <w:lang w:val="en-GB"/>
        </w:rPr>
        <w:t>,</w:t>
      </w:r>
      <w:r w:rsidRPr="00B36639">
        <w:rPr>
          <w:rFonts w:ascii="Times New Roman" w:hAnsi="Times New Roman"/>
          <w:sz w:val="24"/>
          <w:szCs w:val="24"/>
          <w:lang w:val="en-GB"/>
        </w:rPr>
        <w:t xml:space="preserve"> and</w:t>
      </w:r>
      <w:r w:rsidRPr="00397D0D">
        <w:rPr>
          <w:rFonts w:ascii="Times New Roman" w:hAnsi="Times New Roman"/>
          <w:sz w:val="24"/>
          <w:szCs w:val="24"/>
          <w:lang w:val="en-GB"/>
        </w:rPr>
        <w:t xml:space="preserve"> in pa</w:t>
      </w:r>
      <w:r w:rsidRPr="004F6FF5">
        <w:rPr>
          <w:rFonts w:ascii="Times New Roman" w:hAnsi="Times New Roman"/>
          <w:sz w:val="24"/>
          <w:szCs w:val="24"/>
          <w:lang w:val="en-GB"/>
        </w:rPr>
        <w:t xml:space="preserve">rticular EU banks, underestimate their capital needs. Such a flawed conclusion needs to be clearly refuted. The EBA can </w:t>
      </w:r>
      <w:r w:rsidR="00B35D45" w:rsidRPr="00850B39">
        <w:rPr>
          <w:rFonts w:ascii="Times New Roman" w:hAnsi="Times New Roman"/>
          <w:sz w:val="24"/>
          <w:szCs w:val="24"/>
          <w:lang w:val="en-GB"/>
        </w:rPr>
        <w:t>assist</w:t>
      </w:r>
      <w:r w:rsidRPr="00850B39">
        <w:rPr>
          <w:rFonts w:ascii="Times New Roman" w:hAnsi="Times New Roman"/>
          <w:sz w:val="24"/>
          <w:szCs w:val="24"/>
          <w:lang w:val="en-GB"/>
        </w:rPr>
        <w:t xml:space="preserve"> in this regard with a clear communication</w:t>
      </w:r>
      <w:r w:rsidRPr="004E68C0">
        <w:rPr>
          <w:rFonts w:ascii="Times New Roman" w:hAnsi="Times New Roman"/>
          <w:sz w:val="24"/>
          <w:szCs w:val="24"/>
          <w:lang w:val="en-GB"/>
        </w:rPr>
        <w:t xml:space="preserve"> </w:t>
      </w:r>
      <w:r w:rsidR="002952C0" w:rsidRPr="00CA464D">
        <w:rPr>
          <w:rFonts w:ascii="Times New Roman" w:hAnsi="Times New Roman"/>
          <w:sz w:val="24"/>
          <w:szCs w:val="24"/>
          <w:lang w:val="en-GB"/>
        </w:rPr>
        <w:t xml:space="preserve">of the results (i.e. harmonisation of the output made by the supervisors to the banks) to the public domain (i.e. organised around principles to explain the divergences to meet the transparency objective). </w:t>
      </w:r>
    </w:p>
    <w:p w14:paraId="20B3CB4D" w14:textId="0BF6C604" w:rsidR="007B1D23" w:rsidRDefault="007B1D23" w:rsidP="007B1D23">
      <w:pPr>
        <w:pStyle w:val="ListParagraph"/>
        <w:spacing w:before="120"/>
        <w:contextualSpacing w:val="0"/>
        <w:jc w:val="both"/>
        <w:rPr>
          <w:rFonts w:ascii="Times New Roman" w:hAnsi="Times New Roman"/>
          <w:b/>
          <w:color w:val="E36C0A"/>
          <w:sz w:val="24"/>
          <w:szCs w:val="24"/>
          <w:lang w:val="en-GB"/>
        </w:rPr>
      </w:pPr>
    </w:p>
    <w:p w14:paraId="31184AB5" w14:textId="77777777" w:rsidR="007B1D23" w:rsidRPr="00CA464D" w:rsidRDefault="007B1D23" w:rsidP="007B1D23">
      <w:pPr>
        <w:pStyle w:val="ListParagraph"/>
        <w:spacing w:before="120"/>
        <w:contextualSpacing w:val="0"/>
        <w:jc w:val="both"/>
        <w:rPr>
          <w:rFonts w:ascii="Times New Roman" w:hAnsi="Times New Roman"/>
          <w:b/>
          <w:color w:val="E36C0A"/>
          <w:sz w:val="24"/>
          <w:szCs w:val="24"/>
          <w:lang w:val="en-GB"/>
        </w:rPr>
      </w:pPr>
    </w:p>
    <w:p w14:paraId="77E7BACF" w14:textId="77777777" w:rsidR="00D4456F" w:rsidRPr="00CA464D" w:rsidRDefault="00D4456F" w:rsidP="005A4040">
      <w:pPr>
        <w:spacing w:before="360"/>
        <w:jc w:val="both"/>
        <w:rPr>
          <w:rFonts w:ascii="Times New Roman" w:hAnsi="Times New Roman"/>
          <w:b/>
          <w:color w:val="E36C0A"/>
          <w:sz w:val="24"/>
          <w:szCs w:val="24"/>
          <w:lang w:val="en-GB"/>
        </w:rPr>
      </w:pPr>
      <w:r w:rsidRPr="00CA464D">
        <w:rPr>
          <w:rFonts w:ascii="Times New Roman" w:hAnsi="Times New Roman"/>
          <w:b/>
          <w:color w:val="E36C0A"/>
          <w:sz w:val="24"/>
          <w:szCs w:val="24"/>
          <w:lang w:val="en-GB"/>
        </w:rPr>
        <w:t>EBF general comments for credit risk</w:t>
      </w:r>
    </w:p>
    <w:p w14:paraId="77E7BAD0" w14:textId="77777777" w:rsidR="002B0779" w:rsidRPr="00E80F13" w:rsidRDefault="002B0779" w:rsidP="002B0779">
      <w:pPr>
        <w:pStyle w:val="ListParagraph"/>
        <w:numPr>
          <w:ilvl w:val="0"/>
          <w:numId w:val="33"/>
        </w:numPr>
        <w:spacing w:before="120"/>
        <w:ind w:left="714" w:hanging="357"/>
        <w:contextualSpacing w:val="0"/>
        <w:jc w:val="both"/>
        <w:rPr>
          <w:rFonts w:ascii="Times New Roman" w:hAnsi="Times New Roman"/>
          <w:b/>
          <w:sz w:val="24"/>
          <w:szCs w:val="24"/>
          <w:lang w:val="en-GB"/>
        </w:rPr>
      </w:pPr>
      <w:r w:rsidRPr="0073489B">
        <w:rPr>
          <w:rFonts w:ascii="Times New Roman" w:hAnsi="Times New Roman"/>
          <w:sz w:val="24"/>
          <w:szCs w:val="24"/>
          <w:lang w:val="en-GB"/>
        </w:rPr>
        <w:t xml:space="preserve">The objective of benchmarking </w:t>
      </w:r>
      <w:r w:rsidR="00D4456F" w:rsidRPr="0073489B">
        <w:rPr>
          <w:rFonts w:ascii="Times New Roman" w:hAnsi="Times New Roman"/>
          <w:sz w:val="24"/>
          <w:szCs w:val="24"/>
          <w:lang w:val="en-GB"/>
        </w:rPr>
        <w:t xml:space="preserve">of credit risk models </w:t>
      </w:r>
      <w:r w:rsidR="00B35D45" w:rsidRPr="0073489B">
        <w:rPr>
          <w:rFonts w:ascii="Times New Roman" w:hAnsi="Times New Roman"/>
          <w:sz w:val="24"/>
          <w:szCs w:val="24"/>
          <w:lang w:val="en-GB"/>
        </w:rPr>
        <w:t>lacks specificity</w:t>
      </w:r>
      <w:r w:rsidRPr="0073489B">
        <w:rPr>
          <w:rFonts w:ascii="Times New Roman" w:hAnsi="Times New Roman"/>
          <w:sz w:val="24"/>
          <w:szCs w:val="24"/>
          <w:lang w:val="en-GB"/>
        </w:rPr>
        <w:t xml:space="preserve">. It is to “constrain the inconsistent calculation” of RWA (and EL).  However this concept is </w:t>
      </w:r>
      <w:r w:rsidRPr="00E80F13">
        <w:rPr>
          <w:rFonts w:ascii="Times New Roman" w:hAnsi="Times New Roman"/>
          <w:sz w:val="24"/>
          <w:szCs w:val="24"/>
          <w:lang w:val="en-GB"/>
        </w:rPr>
        <w:t>not defined.</w:t>
      </w:r>
      <w:r w:rsidR="00B35D45" w:rsidRPr="00E80F13">
        <w:rPr>
          <w:rFonts w:ascii="Times New Roman" w:hAnsi="Times New Roman"/>
          <w:sz w:val="24"/>
          <w:szCs w:val="24"/>
          <w:lang w:val="en-GB"/>
        </w:rPr>
        <w:t xml:space="preserve">  The proposed RTS would benefit from further elaboration on this point.</w:t>
      </w:r>
      <w:r w:rsidRPr="00E80F13">
        <w:rPr>
          <w:rFonts w:ascii="Times New Roman" w:hAnsi="Times New Roman"/>
          <w:sz w:val="24"/>
          <w:szCs w:val="24"/>
          <w:lang w:val="en-GB"/>
        </w:rPr>
        <w:t xml:space="preserve">  </w:t>
      </w:r>
    </w:p>
    <w:p w14:paraId="77E7BAD1" w14:textId="77777777" w:rsidR="00654805" w:rsidRPr="00654805" w:rsidRDefault="005B213F" w:rsidP="002B0779">
      <w:pPr>
        <w:pStyle w:val="ListParagraph"/>
        <w:numPr>
          <w:ilvl w:val="0"/>
          <w:numId w:val="33"/>
        </w:numPr>
        <w:spacing w:before="120"/>
        <w:ind w:left="714" w:hanging="357"/>
        <w:contextualSpacing w:val="0"/>
        <w:jc w:val="both"/>
        <w:rPr>
          <w:rFonts w:ascii="Times New Roman" w:hAnsi="Times New Roman"/>
          <w:b/>
          <w:color w:val="E36C0A"/>
          <w:sz w:val="24"/>
          <w:szCs w:val="24"/>
          <w:lang w:val="en-GB"/>
        </w:rPr>
      </w:pPr>
      <w:r w:rsidRPr="00E80F13">
        <w:rPr>
          <w:rFonts w:ascii="Times New Roman" w:hAnsi="Times New Roman"/>
          <w:sz w:val="24"/>
          <w:szCs w:val="24"/>
          <w:lang w:val="en-GB"/>
        </w:rPr>
        <w:t>As elaborated in the TCOR exercises conducted by the EBA, d</w:t>
      </w:r>
      <w:r w:rsidR="002B0779" w:rsidRPr="00E80F13">
        <w:rPr>
          <w:rFonts w:ascii="Times New Roman" w:hAnsi="Times New Roman"/>
          <w:sz w:val="24"/>
          <w:szCs w:val="24"/>
          <w:lang w:val="en-GB"/>
        </w:rPr>
        <w:t xml:space="preserve">ifferences in practices surrounding probability of default (PD) calibration (rating philosophy, determination of economic </w:t>
      </w:r>
      <w:r w:rsidR="002B0779" w:rsidRPr="0073489B">
        <w:rPr>
          <w:rFonts w:ascii="Times New Roman" w:hAnsi="Times New Roman"/>
          <w:sz w:val="24"/>
          <w:szCs w:val="24"/>
          <w:lang w:val="en-GB"/>
        </w:rPr>
        <w:t xml:space="preserve">cycle, adjustments for low default portfolios and data challenges, conservatism), loss given default (LGD) calibration (determination of downturn conditions, </w:t>
      </w:r>
      <w:r w:rsidR="002B0779" w:rsidRPr="00CA464D">
        <w:rPr>
          <w:rFonts w:ascii="Times New Roman" w:hAnsi="Times New Roman"/>
          <w:sz w:val="24"/>
          <w:szCs w:val="24"/>
          <w:lang w:val="en-GB"/>
        </w:rPr>
        <w:t xml:space="preserve">determination of current conditions for best estimate of expected loss (BEEL)) and the treatment of defaulted assets exist across all portfolios.  Until and unless the objectives of these underlying processes are defined and a common approach determined </w:t>
      </w:r>
      <w:r w:rsidR="00002521" w:rsidRPr="00CA464D">
        <w:rPr>
          <w:rFonts w:ascii="Times New Roman" w:hAnsi="Times New Roman"/>
          <w:sz w:val="24"/>
          <w:szCs w:val="24"/>
          <w:lang w:val="en-GB"/>
        </w:rPr>
        <w:t xml:space="preserve">by supervisors </w:t>
      </w:r>
      <w:r w:rsidR="002B0779" w:rsidRPr="00CA464D">
        <w:rPr>
          <w:rFonts w:ascii="Times New Roman" w:hAnsi="Times New Roman"/>
          <w:sz w:val="24"/>
          <w:szCs w:val="24"/>
          <w:lang w:val="en-GB"/>
        </w:rPr>
        <w:t xml:space="preserve">and for time to elapse for its implementation, differences in outcomes will persist. The benchmarking approach outlined, in this context, </w:t>
      </w:r>
      <w:r w:rsidR="00002521" w:rsidRPr="00CA464D">
        <w:rPr>
          <w:rFonts w:ascii="Times New Roman" w:hAnsi="Times New Roman"/>
          <w:sz w:val="24"/>
          <w:szCs w:val="24"/>
          <w:lang w:val="en-GB"/>
        </w:rPr>
        <w:t>cannot serve its</w:t>
      </w:r>
      <w:r w:rsidR="002B0779" w:rsidRPr="00CA464D">
        <w:rPr>
          <w:rFonts w:ascii="Times New Roman" w:hAnsi="Times New Roman"/>
          <w:sz w:val="24"/>
          <w:szCs w:val="24"/>
          <w:lang w:val="en-GB"/>
        </w:rPr>
        <w:t xml:space="preserve"> real purpose and may in fact exacerbate legitimate differences in outcomes between institutions that do not represent different underlying risks (e.g. pressure may be placed upon a bank to increase its fourth quartile RWA outcomes for a portfolio notwithstanding its stringent underwriting practices; another bank operating in the same market but with high risk appetite may successfully underestimate its RWA requirements provided that its estimates lie within the second or third quartile of outcomes; a third bank may be forced to increase its RWA outcomes to match that of other banks whose RWA outcomes are in turn driven by a difference in supervisory practice not relevant to it).</w:t>
      </w:r>
    </w:p>
    <w:p w14:paraId="77E7BAD2" w14:textId="77777777" w:rsidR="00654805" w:rsidRPr="000F7E53" w:rsidRDefault="00654805" w:rsidP="00654805">
      <w:pPr>
        <w:pStyle w:val="ListParagraph"/>
        <w:numPr>
          <w:ilvl w:val="0"/>
          <w:numId w:val="33"/>
        </w:numPr>
        <w:rPr>
          <w:rFonts w:ascii="Times New Roman" w:hAnsi="Times New Roman"/>
          <w:sz w:val="24"/>
          <w:szCs w:val="24"/>
          <w:lang w:val="en-GB"/>
        </w:rPr>
      </w:pPr>
      <w:r w:rsidRPr="000F7E53">
        <w:rPr>
          <w:rFonts w:ascii="Times New Roman" w:hAnsi="Times New Roman"/>
          <w:sz w:val="24"/>
          <w:szCs w:val="24"/>
          <w:lang w:val="en-GB"/>
        </w:rPr>
        <w:t xml:space="preserve">It should be articulated that the banks themselves are very interested in improving the quality of their models and the benchmark exercises </w:t>
      </w:r>
      <w:r w:rsidR="008B5CF9">
        <w:rPr>
          <w:rFonts w:ascii="Times New Roman" w:hAnsi="Times New Roman"/>
          <w:sz w:val="24"/>
          <w:szCs w:val="24"/>
          <w:lang w:val="en-GB"/>
        </w:rPr>
        <w:t>will</w:t>
      </w:r>
      <w:r w:rsidRPr="000F7E53">
        <w:rPr>
          <w:rFonts w:ascii="Times New Roman" w:hAnsi="Times New Roman"/>
          <w:sz w:val="24"/>
          <w:szCs w:val="24"/>
          <w:lang w:val="en-GB"/>
        </w:rPr>
        <w:t xml:space="preserve"> be useful in this respect. The design of the benchmark processes should facilitate maximum usefulness of the efforts on the banks’ side</w:t>
      </w:r>
      <w:r w:rsidR="008B5CF9">
        <w:rPr>
          <w:rFonts w:ascii="Times New Roman" w:hAnsi="Times New Roman"/>
          <w:sz w:val="24"/>
          <w:szCs w:val="24"/>
          <w:lang w:val="en-GB"/>
        </w:rPr>
        <w:t>, as well as ensure maximum added value for regulators</w:t>
      </w:r>
      <w:r w:rsidRPr="000F7E53">
        <w:rPr>
          <w:rFonts w:ascii="Times New Roman" w:hAnsi="Times New Roman"/>
          <w:sz w:val="24"/>
          <w:szCs w:val="24"/>
          <w:lang w:val="en-GB"/>
        </w:rPr>
        <w:t>. The communication of the results from EBA and the local regulators back to the banks will be very important. This communication should be open so that the participating banks can improve their own models also in the cases when the risks seem to be overstated.</w:t>
      </w:r>
      <w:r w:rsidRPr="000F7E53">
        <w:rPr>
          <w:rFonts w:ascii="Times New Roman" w:hAnsi="Times New Roman"/>
          <w:sz w:val="24"/>
          <w:szCs w:val="24"/>
          <w:lang w:val="en-GB"/>
        </w:rPr>
        <w:br/>
        <w:t xml:space="preserve"> </w:t>
      </w:r>
    </w:p>
    <w:p w14:paraId="77E7BAD3" w14:textId="77777777" w:rsidR="002B0779" w:rsidRPr="000F7E53" w:rsidRDefault="008B5CF9" w:rsidP="00654805">
      <w:pPr>
        <w:pStyle w:val="ListParagraph"/>
        <w:numPr>
          <w:ilvl w:val="0"/>
          <w:numId w:val="33"/>
        </w:numPr>
        <w:rPr>
          <w:rFonts w:ascii="Times New Roman" w:hAnsi="Times New Roman"/>
          <w:sz w:val="24"/>
          <w:szCs w:val="24"/>
          <w:lang w:val="en-GB"/>
        </w:rPr>
      </w:pPr>
      <w:r>
        <w:rPr>
          <w:rFonts w:ascii="Times New Roman" w:hAnsi="Times New Roman"/>
          <w:sz w:val="24"/>
          <w:szCs w:val="24"/>
          <w:lang w:val="en-GB"/>
        </w:rPr>
        <w:t>D</w:t>
      </w:r>
      <w:r w:rsidR="00654805" w:rsidRPr="000F7E53">
        <w:rPr>
          <w:rFonts w:ascii="Times New Roman" w:hAnsi="Times New Roman"/>
          <w:sz w:val="24"/>
          <w:szCs w:val="24"/>
          <w:lang w:val="en-GB"/>
        </w:rPr>
        <w:t>ifferences in RWA (against the EBA benchmark report) caused by local discretionary regulatory requirements/floors should be analy</w:t>
      </w:r>
      <w:r>
        <w:rPr>
          <w:rFonts w:ascii="Times New Roman" w:hAnsi="Times New Roman"/>
          <w:sz w:val="24"/>
          <w:szCs w:val="24"/>
          <w:lang w:val="en-GB"/>
        </w:rPr>
        <w:t>s</w:t>
      </w:r>
      <w:r w:rsidR="00654805" w:rsidRPr="000F7E53">
        <w:rPr>
          <w:rFonts w:ascii="Times New Roman" w:hAnsi="Times New Roman"/>
          <w:sz w:val="24"/>
          <w:szCs w:val="24"/>
          <w:lang w:val="en-GB"/>
        </w:rPr>
        <w:t>ed and included in the list given in article 8 (2).</w:t>
      </w:r>
    </w:p>
    <w:p w14:paraId="77E7BAD4" w14:textId="77777777" w:rsidR="00EB5C35" w:rsidRDefault="002B0779" w:rsidP="00D000B7">
      <w:pPr>
        <w:pStyle w:val="ListParagraph"/>
        <w:numPr>
          <w:ilvl w:val="0"/>
          <w:numId w:val="33"/>
        </w:numPr>
        <w:spacing w:before="360"/>
        <w:contextualSpacing w:val="0"/>
        <w:jc w:val="both"/>
        <w:rPr>
          <w:rFonts w:ascii="Times New Roman" w:hAnsi="Times New Roman"/>
          <w:sz w:val="24"/>
          <w:szCs w:val="24"/>
          <w:lang w:val="en-GB"/>
        </w:rPr>
      </w:pPr>
      <w:r w:rsidRPr="00CA464D">
        <w:rPr>
          <w:rFonts w:ascii="Times New Roman" w:hAnsi="Times New Roman"/>
          <w:sz w:val="24"/>
          <w:szCs w:val="24"/>
          <w:lang w:val="en-GB"/>
        </w:rPr>
        <w:t xml:space="preserve">While the requirement for benchmarking is clearly articulated in law, adequate safeguards need to be established to ensure that adverse consequences, as outlined in point 5 of Article 78, do not become a reality. Every effort should be made to build upon the results of the benchmarking work already completed by the EBA and to progress its recommendations to develop specific guidance around PD and LGD calibration and the treatment of defaulted assets. Such guidance could be issued under point 6 of Article 78. Until such guidance is established and time permitted for implementation, the benchmarking requirement should be maintained as uncostly as possible. </w:t>
      </w:r>
      <w:r w:rsidR="002952C0" w:rsidRPr="00CA464D">
        <w:rPr>
          <w:rFonts w:ascii="Times New Roman" w:hAnsi="Times New Roman"/>
          <w:sz w:val="24"/>
          <w:szCs w:val="24"/>
          <w:lang w:val="en-GB"/>
        </w:rPr>
        <w:t>The benchma</w:t>
      </w:r>
      <w:r w:rsidR="00D000B7" w:rsidRPr="00CA464D">
        <w:rPr>
          <w:rFonts w:ascii="Times New Roman" w:hAnsi="Times New Roman"/>
          <w:sz w:val="24"/>
          <w:szCs w:val="24"/>
          <w:lang w:val="en-GB"/>
        </w:rPr>
        <w:t>r</w:t>
      </w:r>
      <w:r w:rsidR="002952C0" w:rsidRPr="00CA464D">
        <w:rPr>
          <w:rFonts w:ascii="Times New Roman" w:hAnsi="Times New Roman"/>
          <w:sz w:val="24"/>
          <w:szCs w:val="24"/>
          <w:lang w:val="en-GB"/>
        </w:rPr>
        <w:t xml:space="preserve">king exercises conducted by the EBA should be coordinated as much as possible with the exercises required by other supervisors/regulators. </w:t>
      </w:r>
      <w:r w:rsidRPr="00CA464D">
        <w:rPr>
          <w:rFonts w:ascii="Times New Roman" w:hAnsi="Times New Roman"/>
          <w:sz w:val="24"/>
          <w:szCs w:val="24"/>
          <w:lang w:val="en-GB"/>
        </w:rPr>
        <w:t>This would also provide time for banks to modify IT systems to satisfy the requirement in the future.</w:t>
      </w:r>
      <w:r w:rsidR="00EB5C35" w:rsidRPr="00CA464D">
        <w:rPr>
          <w:rFonts w:ascii="Times New Roman" w:hAnsi="Times New Roman"/>
          <w:sz w:val="24"/>
          <w:szCs w:val="24"/>
          <w:lang w:val="en-GB"/>
        </w:rPr>
        <w:t xml:space="preserve"> </w:t>
      </w:r>
    </w:p>
    <w:p w14:paraId="0FC3EB14" w14:textId="77777777" w:rsidR="007B1D23" w:rsidRDefault="007B1D23" w:rsidP="007B1D23">
      <w:pPr>
        <w:pStyle w:val="ListParagraph"/>
        <w:spacing w:after="0" w:line="240" w:lineRule="auto"/>
        <w:ind w:left="714"/>
        <w:contextualSpacing w:val="0"/>
        <w:jc w:val="both"/>
        <w:rPr>
          <w:rFonts w:ascii="Times New Roman" w:hAnsi="Times New Roman"/>
          <w:sz w:val="24"/>
          <w:szCs w:val="24"/>
          <w:lang w:val="en-GB"/>
        </w:rPr>
      </w:pPr>
    </w:p>
    <w:p w14:paraId="77E7BAD5" w14:textId="77777777" w:rsidR="00EB5C35" w:rsidRPr="00CA464D" w:rsidRDefault="00073D48" w:rsidP="007B1D23">
      <w:pPr>
        <w:pStyle w:val="ListParagraph"/>
        <w:numPr>
          <w:ilvl w:val="0"/>
          <w:numId w:val="33"/>
        </w:numPr>
        <w:spacing w:after="0" w:line="240" w:lineRule="auto"/>
        <w:ind w:left="714" w:hanging="357"/>
        <w:contextualSpacing w:val="0"/>
        <w:jc w:val="both"/>
        <w:rPr>
          <w:rFonts w:ascii="Times New Roman" w:hAnsi="Times New Roman"/>
          <w:sz w:val="24"/>
          <w:szCs w:val="24"/>
          <w:lang w:val="en-GB"/>
        </w:rPr>
      </w:pPr>
      <w:r w:rsidRPr="00CA464D">
        <w:rPr>
          <w:rFonts w:ascii="Times New Roman" w:hAnsi="Times New Roman"/>
          <w:sz w:val="24"/>
          <w:szCs w:val="24"/>
          <w:lang w:val="en-GB"/>
        </w:rPr>
        <w:t>Due to differences in supervisory practices, market characteristics and coverage, among other things, conclusions should not be drawn directly from the risk-weighted-assets (RWA)</w:t>
      </w:r>
      <w:r w:rsidR="00EC38CE" w:rsidRPr="00CA464D">
        <w:rPr>
          <w:rFonts w:ascii="Times New Roman" w:hAnsi="Times New Roman"/>
          <w:sz w:val="24"/>
          <w:szCs w:val="24"/>
          <w:lang w:val="en-GB"/>
        </w:rPr>
        <w:t xml:space="preserve"> but from the statistical predictive power of the model</w:t>
      </w:r>
      <w:r w:rsidR="00002521" w:rsidRPr="00CA464D">
        <w:rPr>
          <w:rFonts w:ascii="Times New Roman" w:hAnsi="Times New Roman"/>
          <w:sz w:val="24"/>
          <w:szCs w:val="24"/>
          <w:lang w:val="en-GB"/>
        </w:rPr>
        <w:t>s</w:t>
      </w:r>
      <w:r w:rsidRPr="00CA464D">
        <w:rPr>
          <w:rFonts w:ascii="Times New Roman" w:hAnsi="Times New Roman"/>
          <w:sz w:val="24"/>
          <w:szCs w:val="24"/>
          <w:lang w:val="en-GB"/>
        </w:rPr>
        <w:t xml:space="preserve">. </w:t>
      </w:r>
      <w:r w:rsidR="00002521" w:rsidRPr="00CA464D">
        <w:rPr>
          <w:rFonts w:ascii="Times New Roman" w:hAnsi="Times New Roman"/>
          <w:sz w:val="24"/>
          <w:szCs w:val="24"/>
          <w:lang w:val="en-GB"/>
        </w:rPr>
        <w:t xml:space="preserve">The </w:t>
      </w:r>
      <w:r w:rsidRPr="00CA464D">
        <w:rPr>
          <w:rFonts w:ascii="Times New Roman" w:hAnsi="Times New Roman"/>
          <w:sz w:val="24"/>
          <w:szCs w:val="24"/>
          <w:lang w:val="en-GB"/>
        </w:rPr>
        <w:t xml:space="preserve">EBA acknowledges these differences and notes that they will be taken into account in the assessment of portfolios. The paper, however, does not determine how these differences will be taken into account, and if this will be quantitative or qualitative. If the approach is qualitative, this would lead to a high level of subjectivity in the assessments. And subjectivity is exactly what EBA is </w:t>
      </w:r>
      <w:r w:rsidR="00BE6730" w:rsidRPr="00CA464D">
        <w:rPr>
          <w:rFonts w:ascii="Times New Roman" w:hAnsi="Times New Roman"/>
          <w:sz w:val="24"/>
          <w:szCs w:val="24"/>
          <w:lang w:val="en-GB"/>
        </w:rPr>
        <w:t>attempting to prevent</w:t>
      </w:r>
      <w:r w:rsidRPr="00CA464D">
        <w:rPr>
          <w:rFonts w:ascii="Times New Roman" w:hAnsi="Times New Roman"/>
          <w:sz w:val="24"/>
          <w:szCs w:val="24"/>
          <w:lang w:val="en-GB"/>
        </w:rPr>
        <w:t xml:space="preserve"> by using the first and fourth quartile criteria. </w:t>
      </w:r>
    </w:p>
    <w:p w14:paraId="77E7BAD6" w14:textId="77777777" w:rsidR="000435F1" w:rsidRPr="000F7E53" w:rsidRDefault="000435F1" w:rsidP="000F7E53">
      <w:pPr>
        <w:pStyle w:val="ListParagraph"/>
        <w:numPr>
          <w:ilvl w:val="0"/>
          <w:numId w:val="33"/>
        </w:numPr>
        <w:spacing w:before="360"/>
        <w:ind w:left="714" w:hanging="357"/>
        <w:contextualSpacing w:val="0"/>
        <w:jc w:val="both"/>
        <w:rPr>
          <w:rFonts w:ascii="Times New Roman" w:hAnsi="Times New Roman"/>
          <w:sz w:val="24"/>
          <w:szCs w:val="24"/>
          <w:lang w:val="en-GB"/>
        </w:rPr>
      </w:pPr>
      <w:r w:rsidRPr="000F7E53">
        <w:rPr>
          <w:rFonts w:ascii="Times New Roman" w:hAnsi="Times New Roman"/>
          <w:sz w:val="24"/>
          <w:szCs w:val="24"/>
          <w:lang w:val="en-GB"/>
        </w:rPr>
        <w:t xml:space="preserve">The proposed approach for Low Default Portfolios (LDP) is, in our opinion, inappropriate due to the HPE being particularly difficult to use especially as far as secured LGD is concerned. As for high-default portfolios (HDP), in our view the portfolios defined for mortgages are too granular (more details in answer to question 6). </w:t>
      </w:r>
    </w:p>
    <w:p w14:paraId="77E7BAD7" w14:textId="77777777" w:rsidR="005B213F" w:rsidRPr="00CA464D" w:rsidRDefault="005B213F" w:rsidP="00680D0E">
      <w:pPr>
        <w:pStyle w:val="ListParagraph"/>
        <w:numPr>
          <w:ilvl w:val="0"/>
          <w:numId w:val="33"/>
        </w:numPr>
        <w:spacing w:before="360"/>
        <w:ind w:left="714" w:hanging="357"/>
        <w:contextualSpacing w:val="0"/>
        <w:jc w:val="both"/>
        <w:rPr>
          <w:rFonts w:ascii="Times New Roman" w:hAnsi="Times New Roman"/>
          <w:sz w:val="24"/>
          <w:szCs w:val="24"/>
          <w:lang w:val="en-GB"/>
        </w:rPr>
      </w:pPr>
      <w:r w:rsidRPr="00CA464D">
        <w:rPr>
          <w:rFonts w:ascii="Times New Roman" w:hAnsi="Times New Roman"/>
          <w:sz w:val="24"/>
          <w:szCs w:val="24"/>
          <w:lang w:val="en-GB"/>
        </w:rPr>
        <w:t xml:space="preserve">Significant differences in capital requirements may stem, not only from different modelling methodologies and supervisory requirements, but from differences in risk appetite and the resulting differences in real risk profile between institutions.  Such differences in capital requirements are legitimate and every effort must be made to ensure that the use of benchmarks does not create incorrect incentives or herd </w:t>
      </w:r>
      <w:r w:rsidR="009A1E36" w:rsidRPr="009A1E36">
        <w:rPr>
          <w:rFonts w:ascii="Times New Roman" w:hAnsi="Times New Roman"/>
          <w:sz w:val="24"/>
          <w:szCs w:val="24"/>
          <w:lang w:val="en-GB"/>
        </w:rPr>
        <w:t>behaviour</w:t>
      </w:r>
      <w:r w:rsidRPr="00CA464D">
        <w:rPr>
          <w:rFonts w:ascii="Times New Roman" w:hAnsi="Times New Roman"/>
          <w:sz w:val="24"/>
          <w:szCs w:val="24"/>
          <w:lang w:val="en-GB"/>
        </w:rPr>
        <w:t xml:space="preserve"> as outlined in Article 78.</w:t>
      </w:r>
    </w:p>
    <w:p w14:paraId="77E7BAD8" w14:textId="77777777" w:rsidR="00EB5C35" w:rsidRPr="00CA464D" w:rsidRDefault="002B0779" w:rsidP="00680D0E">
      <w:pPr>
        <w:pStyle w:val="ListParagraph"/>
        <w:numPr>
          <w:ilvl w:val="0"/>
          <w:numId w:val="33"/>
        </w:numPr>
        <w:spacing w:before="360"/>
        <w:ind w:left="714" w:hanging="357"/>
        <w:contextualSpacing w:val="0"/>
        <w:jc w:val="both"/>
        <w:rPr>
          <w:rFonts w:ascii="Times New Roman" w:hAnsi="Times New Roman"/>
          <w:sz w:val="24"/>
          <w:szCs w:val="24"/>
          <w:lang w:val="en-GB"/>
        </w:rPr>
      </w:pPr>
      <w:r w:rsidRPr="00CA464D">
        <w:rPr>
          <w:rFonts w:ascii="Times New Roman" w:hAnsi="Times New Roman"/>
          <w:sz w:val="24"/>
          <w:szCs w:val="24"/>
          <w:lang w:val="en-GB"/>
        </w:rPr>
        <w:t>Recitals (11) and (12) of the proposed RTS outline requirements regarding the quality of internal approaches.  Every effort should be made to allow banks to determine quality for themselves with the provision that capital requirements are not distorted. Generally, there are benefits to a bank to improve the quality of its internal approaches (enhanced risk assessment, reduced capital requirements) but there are also costs. Individual banks are better placed to evaluate the cost/benefits of enhancements than are competent authorities.</w:t>
      </w:r>
      <w:r w:rsidR="00EB5C35" w:rsidRPr="00CA464D">
        <w:rPr>
          <w:rFonts w:ascii="Times New Roman" w:hAnsi="Times New Roman"/>
          <w:sz w:val="24"/>
          <w:szCs w:val="24"/>
          <w:lang w:val="en-GB"/>
        </w:rPr>
        <w:t xml:space="preserve"> </w:t>
      </w:r>
    </w:p>
    <w:p w14:paraId="77E7BAD9" w14:textId="77777777" w:rsidR="002B0779" w:rsidRPr="00CA464D" w:rsidRDefault="002B0779" w:rsidP="00680D0E">
      <w:pPr>
        <w:pStyle w:val="ListParagraph"/>
        <w:numPr>
          <w:ilvl w:val="0"/>
          <w:numId w:val="33"/>
        </w:numPr>
        <w:spacing w:before="360"/>
        <w:ind w:left="714" w:hanging="357"/>
        <w:contextualSpacing w:val="0"/>
        <w:jc w:val="both"/>
        <w:rPr>
          <w:rFonts w:ascii="Times New Roman" w:hAnsi="Times New Roman"/>
          <w:sz w:val="24"/>
          <w:szCs w:val="24"/>
          <w:lang w:val="en-GB"/>
        </w:rPr>
      </w:pPr>
      <w:r w:rsidRPr="00CA464D">
        <w:rPr>
          <w:rFonts w:ascii="Times New Roman" w:hAnsi="Times New Roman"/>
          <w:sz w:val="24"/>
          <w:szCs w:val="24"/>
          <w:lang w:val="en-GB"/>
        </w:rPr>
        <w:t>The IT and reporting requirements imposed by the ITS should be recognised as burdensome (ITS Article 5, page 45).  As such, every effort should be made to minimise reporting requirements for as long as is reasonable. In particular, individual competent authorities should be strongly encouraged or required to utilise the same IT and reporting systems that are eventually developed.</w:t>
      </w:r>
      <w:r w:rsidR="00EB5C35" w:rsidRPr="00CA464D">
        <w:rPr>
          <w:rFonts w:ascii="Times New Roman" w:hAnsi="Times New Roman"/>
          <w:sz w:val="24"/>
          <w:szCs w:val="24"/>
          <w:lang w:val="en-GB"/>
        </w:rPr>
        <w:t xml:space="preserve"> </w:t>
      </w:r>
    </w:p>
    <w:p w14:paraId="77E7BADB" w14:textId="4695864B" w:rsidR="0087675A" w:rsidRDefault="005B213F" w:rsidP="007B1D23">
      <w:pPr>
        <w:pStyle w:val="ListParagraph"/>
        <w:numPr>
          <w:ilvl w:val="0"/>
          <w:numId w:val="33"/>
        </w:numPr>
        <w:spacing w:before="360" w:line="240" w:lineRule="auto"/>
        <w:ind w:left="714" w:hanging="357"/>
        <w:contextualSpacing w:val="0"/>
        <w:jc w:val="both"/>
        <w:rPr>
          <w:rFonts w:ascii="Times New Roman" w:hAnsi="Times New Roman"/>
          <w:sz w:val="24"/>
          <w:szCs w:val="24"/>
          <w:lang w:val="en-GB"/>
        </w:rPr>
      </w:pPr>
      <w:r w:rsidRPr="007B1D23">
        <w:rPr>
          <w:rFonts w:ascii="Times New Roman" w:hAnsi="Times New Roman"/>
          <w:sz w:val="24"/>
          <w:szCs w:val="24"/>
          <w:lang w:val="en-GB"/>
        </w:rPr>
        <w:t xml:space="preserve">As discussed within </w:t>
      </w:r>
      <w:r w:rsidR="0087675A" w:rsidRPr="007B1D23">
        <w:rPr>
          <w:rFonts w:ascii="Times New Roman" w:hAnsi="Times New Roman"/>
          <w:sz w:val="24"/>
          <w:szCs w:val="24"/>
          <w:lang w:val="en-GB"/>
        </w:rPr>
        <w:t xml:space="preserve">the EBA’s “Interim results of the EBA review of the consistency of risk-weighted assets. Top-down assessment of the banking book” (February 2013), we </w:t>
      </w:r>
      <w:r w:rsidR="00CE3253" w:rsidRPr="007B1D23">
        <w:rPr>
          <w:rFonts w:ascii="Times New Roman" w:hAnsi="Times New Roman"/>
          <w:sz w:val="24"/>
          <w:szCs w:val="24"/>
          <w:lang w:val="en-GB"/>
        </w:rPr>
        <w:t>endorse the view</w:t>
      </w:r>
      <w:r w:rsidR="0087675A" w:rsidRPr="007B1D23">
        <w:rPr>
          <w:rFonts w:ascii="Times New Roman" w:hAnsi="Times New Roman"/>
          <w:sz w:val="24"/>
          <w:szCs w:val="24"/>
          <w:lang w:val="en-GB"/>
        </w:rPr>
        <w:t xml:space="preserve"> that the Global Charge, combining both RWA and EL, is the most suitable and reliable way of presenting </w:t>
      </w:r>
      <w:r w:rsidR="00850B39" w:rsidRPr="007B1D23">
        <w:rPr>
          <w:rFonts w:ascii="Times New Roman" w:hAnsi="Times New Roman"/>
          <w:sz w:val="24"/>
          <w:szCs w:val="24"/>
          <w:lang w:val="en-GB"/>
        </w:rPr>
        <w:t>and utilis</w:t>
      </w:r>
      <w:r w:rsidR="00226FDD" w:rsidRPr="007B1D23">
        <w:rPr>
          <w:rFonts w:ascii="Times New Roman" w:hAnsi="Times New Roman"/>
          <w:sz w:val="24"/>
          <w:szCs w:val="24"/>
          <w:lang w:val="en-GB"/>
        </w:rPr>
        <w:t xml:space="preserve">ing </w:t>
      </w:r>
      <w:r w:rsidR="0087675A" w:rsidRPr="007B1D23">
        <w:rPr>
          <w:rFonts w:ascii="Times New Roman" w:hAnsi="Times New Roman"/>
          <w:sz w:val="24"/>
          <w:szCs w:val="24"/>
          <w:lang w:val="en-GB"/>
        </w:rPr>
        <w:t>benchmark quantities.</w:t>
      </w:r>
    </w:p>
    <w:p w14:paraId="7A811F2A" w14:textId="77777777" w:rsidR="007B1D23" w:rsidRPr="007B1D23" w:rsidRDefault="007B1D23" w:rsidP="007B1D23">
      <w:pPr>
        <w:pStyle w:val="ListParagraph"/>
        <w:spacing w:before="360" w:line="240" w:lineRule="auto"/>
        <w:ind w:left="714"/>
        <w:contextualSpacing w:val="0"/>
        <w:jc w:val="both"/>
        <w:rPr>
          <w:rFonts w:ascii="Times New Roman" w:hAnsi="Times New Roman"/>
          <w:sz w:val="24"/>
          <w:szCs w:val="24"/>
          <w:lang w:val="en-GB"/>
        </w:rPr>
      </w:pPr>
    </w:p>
    <w:p w14:paraId="77E7BADC" w14:textId="77777777" w:rsidR="00D4456F" w:rsidRPr="00CA464D" w:rsidRDefault="00D4456F" w:rsidP="00D4456F">
      <w:pPr>
        <w:spacing w:before="120"/>
        <w:jc w:val="both"/>
        <w:rPr>
          <w:rFonts w:ascii="Times New Roman" w:hAnsi="Times New Roman"/>
          <w:sz w:val="24"/>
          <w:szCs w:val="24"/>
          <w:lang w:val="en-GB"/>
        </w:rPr>
      </w:pPr>
      <w:r w:rsidRPr="00CA464D">
        <w:rPr>
          <w:rFonts w:ascii="Times New Roman" w:hAnsi="Times New Roman"/>
          <w:b/>
          <w:color w:val="E36C0A"/>
          <w:sz w:val="24"/>
          <w:szCs w:val="24"/>
          <w:lang w:val="en-GB"/>
        </w:rPr>
        <w:t>EBF general comments for market risk</w:t>
      </w:r>
    </w:p>
    <w:p w14:paraId="453D74D1" w14:textId="2F182483" w:rsidR="007B1D23" w:rsidRPr="007B1D23" w:rsidRDefault="00D000B7" w:rsidP="006C1BC6">
      <w:pPr>
        <w:pStyle w:val="ListParagraph"/>
        <w:numPr>
          <w:ilvl w:val="0"/>
          <w:numId w:val="33"/>
        </w:numPr>
        <w:spacing w:before="120"/>
        <w:jc w:val="both"/>
        <w:rPr>
          <w:rFonts w:ascii="Times New Roman" w:hAnsi="Times New Roman"/>
          <w:sz w:val="24"/>
          <w:szCs w:val="24"/>
          <w:lang w:val="en-GB"/>
        </w:rPr>
      </w:pPr>
      <w:r w:rsidRPr="007B1D23">
        <w:rPr>
          <w:rFonts w:ascii="Times New Roman" w:hAnsi="Times New Roman"/>
          <w:sz w:val="24"/>
          <w:szCs w:val="24"/>
          <w:lang w:val="en-GB"/>
        </w:rPr>
        <w:t xml:space="preserve">The use of Standardised Approaches (SA) as a benchmark for market risk portfolios would open a wide breach in most cases as the market risk SA method does not account </w:t>
      </w:r>
    </w:p>
    <w:p w14:paraId="77E7BADD" w14:textId="5676A972" w:rsidR="00D000B7" w:rsidRDefault="00D000B7" w:rsidP="007B1D23">
      <w:pPr>
        <w:pStyle w:val="ListParagraph"/>
        <w:spacing w:before="120"/>
        <w:jc w:val="both"/>
        <w:rPr>
          <w:rFonts w:ascii="Times New Roman" w:hAnsi="Times New Roman"/>
          <w:sz w:val="24"/>
          <w:szCs w:val="24"/>
          <w:lang w:val="en-GB"/>
        </w:rPr>
      </w:pPr>
      <w:r w:rsidRPr="00CA464D">
        <w:rPr>
          <w:rFonts w:ascii="Times New Roman" w:hAnsi="Times New Roman"/>
          <w:sz w:val="24"/>
          <w:szCs w:val="24"/>
          <w:lang w:val="en-GB"/>
        </w:rPr>
        <w:t xml:space="preserve">for netting and diversification. As an alternative proposal, we would suggest relying on the back-testing framework of the market </w:t>
      </w:r>
      <w:r w:rsidR="009A1E36">
        <w:rPr>
          <w:rFonts w:ascii="Times New Roman" w:hAnsi="Times New Roman"/>
          <w:sz w:val="24"/>
          <w:szCs w:val="24"/>
          <w:lang w:val="en-GB"/>
        </w:rPr>
        <w:t xml:space="preserve">risk </w:t>
      </w:r>
      <w:r w:rsidRPr="00CA464D">
        <w:rPr>
          <w:rFonts w:ascii="Times New Roman" w:hAnsi="Times New Roman"/>
          <w:sz w:val="24"/>
          <w:szCs w:val="24"/>
          <w:lang w:val="en-GB"/>
        </w:rPr>
        <w:t xml:space="preserve">VaR. </w:t>
      </w:r>
    </w:p>
    <w:p w14:paraId="4F10E6E4" w14:textId="77777777" w:rsidR="007B1D23" w:rsidRPr="00CA464D" w:rsidRDefault="007B1D23" w:rsidP="007B1D23">
      <w:pPr>
        <w:pStyle w:val="ListParagraph"/>
        <w:spacing w:before="120"/>
        <w:jc w:val="both"/>
        <w:rPr>
          <w:rFonts w:ascii="Times New Roman" w:hAnsi="Times New Roman"/>
          <w:sz w:val="24"/>
          <w:szCs w:val="24"/>
          <w:lang w:val="en-GB"/>
        </w:rPr>
      </w:pPr>
    </w:p>
    <w:p w14:paraId="77E7BADE" w14:textId="77777777" w:rsidR="00C3182F" w:rsidRPr="00CA464D" w:rsidRDefault="00C3182F" w:rsidP="00C3182F">
      <w:pPr>
        <w:pStyle w:val="ListParagraph"/>
        <w:numPr>
          <w:ilvl w:val="0"/>
          <w:numId w:val="33"/>
        </w:numPr>
        <w:spacing w:before="360"/>
        <w:ind w:left="714" w:hanging="357"/>
        <w:contextualSpacing w:val="0"/>
        <w:jc w:val="both"/>
        <w:rPr>
          <w:rFonts w:ascii="Times New Roman" w:hAnsi="Times New Roman"/>
          <w:sz w:val="24"/>
          <w:szCs w:val="24"/>
          <w:lang w:val="en-GB"/>
        </w:rPr>
      </w:pPr>
      <w:r w:rsidRPr="00CA464D">
        <w:rPr>
          <w:rFonts w:ascii="Times New Roman" w:hAnsi="Times New Roman"/>
          <w:sz w:val="24"/>
          <w:szCs w:val="24"/>
          <w:lang w:val="en-GB"/>
        </w:rPr>
        <w:t xml:space="preserve">Benchmarking on hypothetical portfolios can provide valuable insights on modelling choices made by banks. As also pointed out by EBA, differences should however be treated cautiously and the benchmarks should only be a starting point for the analysis. We appreciate EBA’s approach in this respect. Care should also be taken to explicitly reflect this </w:t>
      </w:r>
      <w:r w:rsidR="00EC38CE" w:rsidRPr="00CA464D">
        <w:rPr>
          <w:rFonts w:ascii="Times New Roman" w:hAnsi="Times New Roman"/>
          <w:sz w:val="24"/>
          <w:szCs w:val="24"/>
          <w:lang w:val="en-GB"/>
        </w:rPr>
        <w:t xml:space="preserve">approach </w:t>
      </w:r>
      <w:r w:rsidRPr="00CA464D">
        <w:rPr>
          <w:rFonts w:ascii="Times New Roman" w:hAnsi="Times New Roman"/>
          <w:sz w:val="24"/>
          <w:szCs w:val="24"/>
          <w:lang w:val="en-GB"/>
        </w:rPr>
        <w:t>in any publication of results.</w:t>
      </w:r>
    </w:p>
    <w:p w14:paraId="77E7BADF" w14:textId="77777777" w:rsidR="00D4456F" w:rsidRPr="00CA464D" w:rsidRDefault="00C3182F" w:rsidP="00C3182F">
      <w:pPr>
        <w:pStyle w:val="ListParagraph"/>
        <w:numPr>
          <w:ilvl w:val="0"/>
          <w:numId w:val="33"/>
        </w:numPr>
        <w:spacing w:before="360"/>
        <w:ind w:left="714" w:hanging="357"/>
        <w:contextualSpacing w:val="0"/>
        <w:jc w:val="both"/>
        <w:rPr>
          <w:rFonts w:ascii="Times New Roman" w:hAnsi="Times New Roman"/>
          <w:sz w:val="24"/>
          <w:szCs w:val="24"/>
          <w:lang w:val="en-GB"/>
        </w:rPr>
      </w:pPr>
      <w:r w:rsidRPr="00CA464D">
        <w:rPr>
          <w:rFonts w:ascii="Times New Roman" w:hAnsi="Times New Roman"/>
          <w:sz w:val="24"/>
          <w:szCs w:val="24"/>
          <w:lang w:val="en-GB"/>
        </w:rPr>
        <w:t>When evaluating modelling decisions that can impact the variations between banks, the market circumstances during the benchmark period should also be taken into account. Modelling decisions that lead to low figures under some market circumstances (and portfolio direction) can lead to high figures under other market circumstances (or opposite portfolio direction).</w:t>
      </w:r>
    </w:p>
    <w:p w14:paraId="77E7BAE0" w14:textId="77777777" w:rsidR="001F5D09" w:rsidRPr="00CA464D" w:rsidRDefault="001F5D09" w:rsidP="00D7511E">
      <w:pPr>
        <w:pStyle w:val="Heading2"/>
        <w:spacing w:before="360"/>
        <w:rPr>
          <w:rFonts w:ascii="Times New Roman" w:hAnsi="Times New Roman"/>
          <w:b/>
          <w:color w:val="E36C0A"/>
          <w:sz w:val="24"/>
          <w:szCs w:val="24"/>
          <w:lang w:val="en-GB"/>
        </w:rPr>
      </w:pPr>
      <w:r w:rsidRPr="00CA464D">
        <w:rPr>
          <w:rFonts w:ascii="Times New Roman" w:hAnsi="Times New Roman"/>
          <w:b/>
          <w:color w:val="E36C0A"/>
          <w:sz w:val="24"/>
          <w:szCs w:val="24"/>
          <w:lang w:val="en-GB"/>
        </w:rPr>
        <w:t xml:space="preserve">EBF comments on the questions of the </w:t>
      </w:r>
      <w:r w:rsidR="00747876" w:rsidRPr="00CA464D">
        <w:rPr>
          <w:rFonts w:ascii="Times New Roman" w:hAnsi="Times New Roman"/>
          <w:b/>
          <w:color w:val="E36C0A"/>
          <w:sz w:val="24"/>
          <w:szCs w:val="24"/>
          <w:lang w:val="en-GB"/>
        </w:rPr>
        <w:t>consultation</w:t>
      </w:r>
      <w:r w:rsidRPr="00CA464D">
        <w:rPr>
          <w:rFonts w:ascii="Times New Roman" w:hAnsi="Times New Roman"/>
          <w:b/>
          <w:color w:val="E36C0A"/>
          <w:sz w:val="24"/>
          <w:szCs w:val="24"/>
          <w:lang w:val="en-GB"/>
        </w:rPr>
        <w:t xml:space="preserve"> paper </w:t>
      </w:r>
    </w:p>
    <w:p w14:paraId="77E7BAE1" w14:textId="77777777" w:rsidR="001F5D09" w:rsidRPr="00CA464D" w:rsidRDefault="001F5D09" w:rsidP="00A72747">
      <w:pPr>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5D09" w:rsidRPr="007770DC" w14:paraId="77E7BAE3" w14:textId="77777777" w:rsidTr="00D329B4">
        <w:tc>
          <w:tcPr>
            <w:tcW w:w="9212" w:type="dxa"/>
            <w:shd w:val="clear" w:color="auto" w:fill="auto"/>
          </w:tcPr>
          <w:p w14:paraId="77E7BAE2" w14:textId="77777777" w:rsidR="001F5D09" w:rsidRPr="004E68C0" w:rsidRDefault="00747876" w:rsidP="00D329B4">
            <w:pPr>
              <w:spacing w:before="120"/>
              <w:jc w:val="both"/>
              <w:rPr>
                <w:rFonts w:ascii="Times New Roman" w:hAnsi="Times New Roman"/>
                <w:b/>
                <w:sz w:val="24"/>
                <w:szCs w:val="24"/>
                <w:lang w:val="en-GB"/>
              </w:rPr>
            </w:pPr>
            <w:r w:rsidRPr="004E68C0">
              <w:rPr>
                <w:rFonts w:ascii="Times New Roman" w:hAnsi="Times New Roman"/>
                <w:b/>
                <w:sz w:val="24"/>
                <w:szCs w:val="24"/>
                <w:lang w:val="en-GB"/>
              </w:rPr>
              <w:t xml:space="preserve">Q1. Do you consider the use of common benchmarks for credit and market portfolios necessary to ensure a common approach? </w:t>
            </w:r>
          </w:p>
        </w:tc>
      </w:tr>
    </w:tbl>
    <w:p w14:paraId="77E7BAE4" w14:textId="77777777" w:rsidR="001F5D09" w:rsidRPr="004E68C0" w:rsidRDefault="001F5D09" w:rsidP="006B5CBB">
      <w:pPr>
        <w:jc w:val="both"/>
        <w:rPr>
          <w:rFonts w:ascii="Times New Roman" w:hAnsi="Times New Roman"/>
          <w:sz w:val="24"/>
          <w:szCs w:val="24"/>
          <w:lang w:val="en-GB"/>
        </w:rPr>
      </w:pPr>
    </w:p>
    <w:p w14:paraId="77E7BAE5" w14:textId="77777777" w:rsidR="00D07D38" w:rsidRPr="00397D0D" w:rsidRDefault="00FA7EFA" w:rsidP="006B5CBB">
      <w:pPr>
        <w:jc w:val="both"/>
        <w:rPr>
          <w:rFonts w:ascii="Times New Roman" w:hAnsi="Times New Roman"/>
          <w:sz w:val="24"/>
          <w:szCs w:val="24"/>
          <w:lang w:val="en-GB"/>
        </w:rPr>
      </w:pPr>
      <w:r w:rsidRPr="004E68C0">
        <w:rPr>
          <w:rFonts w:ascii="Times New Roman" w:hAnsi="Times New Roman"/>
          <w:sz w:val="24"/>
          <w:szCs w:val="24"/>
          <w:lang w:val="en-GB"/>
        </w:rPr>
        <w:t xml:space="preserve">The EBF considers that the use of common benchmarks is a way to gather useful information in the assessment of results of internal rating based (IRB) </w:t>
      </w:r>
      <w:r w:rsidR="004A22C8" w:rsidRPr="00397D0D">
        <w:rPr>
          <w:rFonts w:ascii="Times New Roman" w:hAnsi="Times New Roman"/>
          <w:sz w:val="24"/>
          <w:szCs w:val="24"/>
          <w:lang w:val="en-GB"/>
        </w:rPr>
        <w:t xml:space="preserve">and internal market risk </w:t>
      </w:r>
      <w:r w:rsidRPr="00894124">
        <w:rPr>
          <w:rFonts w:ascii="Times New Roman" w:hAnsi="Times New Roman"/>
          <w:sz w:val="24"/>
          <w:szCs w:val="24"/>
          <w:lang w:val="en-GB"/>
        </w:rPr>
        <w:t xml:space="preserve">models across banks. </w:t>
      </w:r>
      <w:r w:rsidR="00D07D38" w:rsidRPr="004E68C0">
        <w:rPr>
          <w:rFonts w:ascii="Times New Roman" w:hAnsi="Times New Roman"/>
          <w:sz w:val="24"/>
          <w:szCs w:val="24"/>
          <w:lang w:val="en-GB"/>
        </w:rPr>
        <w:t xml:space="preserve">In the opinion of the EBF the </w:t>
      </w:r>
      <w:r w:rsidR="00CE3253" w:rsidRPr="004E68C0">
        <w:rPr>
          <w:rFonts w:ascii="Times New Roman" w:hAnsi="Times New Roman"/>
          <w:sz w:val="24"/>
          <w:szCs w:val="24"/>
          <w:lang w:val="en-GB"/>
        </w:rPr>
        <w:t xml:space="preserve">optimal </w:t>
      </w:r>
      <w:r w:rsidR="00D07D38" w:rsidRPr="004E68C0">
        <w:rPr>
          <w:rFonts w:ascii="Times New Roman" w:hAnsi="Times New Roman"/>
          <w:sz w:val="24"/>
          <w:szCs w:val="24"/>
          <w:lang w:val="en-GB"/>
        </w:rPr>
        <w:t xml:space="preserve">order in the review of the IRB models should be as follows: </w:t>
      </w:r>
    </w:p>
    <w:p w14:paraId="77E7BAE6" w14:textId="77777777" w:rsidR="00D07D38" w:rsidRPr="004E68C0" w:rsidRDefault="00D07D38" w:rsidP="00D07D38">
      <w:pPr>
        <w:pStyle w:val="ListParagraph"/>
        <w:numPr>
          <w:ilvl w:val="0"/>
          <w:numId w:val="24"/>
        </w:numPr>
        <w:spacing w:before="120"/>
        <w:ind w:left="714" w:hanging="357"/>
        <w:contextualSpacing w:val="0"/>
        <w:jc w:val="both"/>
        <w:rPr>
          <w:rFonts w:ascii="Times New Roman" w:hAnsi="Times New Roman"/>
          <w:sz w:val="24"/>
          <w:szCs w:val="24"/>
          <w:lang w:val="en-GB"/>
        </w:rPr>
      </w:pPr>
      <w:r w:rsidRPr="004F6FF5">
        <w:rPr>
          <w:rFonts w:ascii="Times New Roman" w:hAnsi="Times New Roman"/>
          <w:sz w:val="24"/>
          <w:szCs w:val="24"/>
          <w:lang w:val="en-GB"/>
        </w:rPr>
        <w:t xml:space="preserve">Firstly, the focus should be put into the </w:t>
      </w:r>
      <w:r w:rsidRPr="00D703DA">
        <w:rPr>
          <w:rFonts w:ascii="Times New Roman" w:hAnsi="Times New Roman"/>
          <w:sz w:val="24"/>
          <w:szCs w:val="24"/>
          <w:lang w:val="en-GB"/>
        </w:rPr>
        <w:t>s</w:t>
      </w:r>
      <w:r w:rsidRPr="00850B39">
        <w:rPr>
          <w:rFonts w:ascii="Times New Roman" w:hAnsi="Times New Roman"/>
          <w:sz w:val="24"/>
          <w:szCs w:val="24"/>
          <w:lang w:val="en-GB"/>
        </w:rPr>
        <w:t>etting of common approaches to the calibration of IRB parameters, namely the probability of default (</w:t>
      </w:r>
      <w:r w:rsidRPr="004E68C0">
        <w:rPr>
          <w:rFonts w:ascii="Times New Roman" w:hAnsi="Times New Roman"/>
          <w:sz w:val="24"/>
          <w:szCs w:val="24"/>
          <w:lang w:val="en-GB"/>
        </w:rPr>
        <w:t xml:space="preserve">PD), the loss given default (LGD), the exposure at default (EAD) and the credit conversion factors (CCF), as well as the treatment of defaulted assets. </w:t>
      </w:r>
      <w:r w:rsidR="00FA7EFA" w:rsidRPr="004E68C0">
        <w:rPr>
          <w:rFonts w:ascii="Times New Roman" w:hAnsi="Times New Roman"/>
          <w:sz w:val="24"/>
          <w:szCs w:val="24"/>
          <w:lang w:val="en-GB"/>
        </w:rPr>
        <w:t xml:space="preserve">This involves a closer examination of supervisory practices and bank approaches also considering relevant market specificities. </w:t>
      </w:r>
      <w:r w:rsidRPr="004E68C0">
        <w:rPr>
          <w:rFonts w:ascii="Times New Roman" w:hAnsi="Times New Roman"/>
          <w:sz w:val="24"/>
          <w:szCs w:val="24"/>
          <w:lang w:val="en-GB"/>
        </w:rPr>
        <w:t xml:space="preserve"> </w:t>
      </w:r>
    </w:p>
    <w:p w14:paraId="77E7BAE7" w14:textId="77777777" w:rsidR="000435F1" w:rsidRDefault="00FA7EFA" w:rsidP="00FC43E8">
      <w:pPr>
        <w:pStyle w:val="ListParagraph"/>
        <w:numPr>
          <w:ilvl w:val="0"/>
          <w:numId w:val="24"/>
        </w:numPr>
        <w:spacing w:before="120"/>
        <w:ind w:left="714" w:hanging="357"/>
        <w:contextualSpacing w:val="0"/>
        <w:jc w:val="both"/>
        <w:rPr>
          <w:rFonts w:ascii="Times New Roman" w:hAnsi="Times New Roman"/>
          <w:sz w:val="24"/>
          <w:szCs w:val="24"/>
          <w:lang w:val="en-GB"/>
        </w:rPr>
      </w:pPr>
      <w:r w:rsidRPr="004E68C0">
        <w:rPr>
          <w:rFonts w:ascii="Times New Roman" w:hAnsi="Times New Roman"/>
          <w:sz w:val="24"/>
          <w:szCs w:val="24"/>
          <w:lang w:val="en-GB"/>
        </w:rPr>
        <w:t>Secondly, it would make more sense to start using benchmarks w</w:t>
      </w:r>
      <w:r w:rsidR="00D07D38" w:rsidRPr="004E68C0">
        <w:rPr>
          <w:rFonts w:ascii="Times New Roman" w:hAnsi="Times New Roman"/>
          <w:sz w:val="24"/>
          <w:szCs w:val="24"/>
          <w:lang w:val="en-GB"/>
        </w:rPr>
        <w:t xml:space="preserve">hen a </w:t>
      </w:r>
      <w:r w:rsidRPr="004E68C0">
        <w:rPr>
          <w:rFonts w:ascii="Times New Roman" w:hAnsi="Times New Roman"/>
          <w:sz w:val="24"/>
          <w:szCs w:val="24"/>
          <w:lang w:val="en-GB"/>
        </w:rPr>
        <w:t xml:space="preserve">substantial </w:t>
      </w:r>
      <w:r w:rsidR="00D07D38" w:rsidRPr="004E68C0">
        <w:rPr>
          <w:rFonts w:ascii="Times New Roman" w:hAnsi="Times New Roman"/>
          <w:sz w:val="24"/>
          <w:szCs w:val="24"/>
          <w:lang w:val="en-GB"/>
        </w:rPr>
        <w:t xml:space="preserve">degree of commonality and understanding has been achieved as to the factors of IRB models. Only once this has been realised, benchmarking can provide the basis of risk-based supervisory engagement. </w:t>
      </w:r>
    </w:p>
    <w:p w14:paraId="77E7BAE8" w14:textId="77777777" w:rsidR="000435F1" w:rsidRPr="004E68C0" w:rsidRDefault="000435F1" w:rsidP="000435F1">
      <w:pPr>
        <w:jc w:val="both"/>
        <w:rPr>
          <w:rFonts w:ascii="Times New Roman" w:hAnsi="Times New Roman"/>
          <w:sz w:val="24"/>
          <w:szCs w:val="24"/>
          <w:lang w:val="en-GB"/>
        </w:rPr>
      </w:pPr>
      <w:r w:rsidRPr="004F6FF5">
        <w:rPr>
          <w:rFonts w:ascii="Times New Roman" w:hAnsi="Times New Roman"/>
          <w:sz w:val="24"/>
          <w:szCs w:val="24"/>
          <w:lang w:val="en-GB"/>
        </w:rPr>
        <w:t xml:space="preserve">For market risk, the use of common benchmarks is thought to </w:t>
      </w:r>
      <w:r w:rsidRPr="00D703DA">
        <w:rPr>
          <w:rFonts w:ascii="Times New Roman" w:hAnsi="Times New Roman"/>
          <w:sz w:val="24"/>
          <w:szCs w:val="24"/>
          <w:lang w:val="en-GB"/>
        </w:rPr>
        <w:t xml:space="preserve">be the most useful. </w:t>
      </w:r>
      <w:r w:rsidRPr="004E68C0">
        <w:rPr>
          <w:rFonts w:ascii="Times New Roman" w:hAnsi="Times New Roman"/>
          <w:sz w:val="24"/>
          <w:szCs w:val="24"/>
          <w:lang w:val="en-GB"/>
        </w:rPr>
        <w:t xml:space="preserve">However, two important considerations should be taken into account: </w:t>
      </w:r>
    </w:p>
    <w:p w14:paraId="77E7BAE9" w14:textId="77777777" w:rsidR="000435F1" w:rsidRPr="004E68C0" w:rsidRDefault="000435F1" w:rsidP="000435F1">
      <w:pPr>
        <w:pStyle w:val="ListParagraph"/>
        <w:numPr>
          <w:ilvl w:val="0"/>
          <w:numId w:val="28"/>
        </w:numPr>
        <w:spacing w:before="120"/>
        <w:contextualSpacing w:val="0"/>
        <w:jc w:val="both"/>
        <w:rPr>
          <w:rFonts w:ascii="Times New Roman" w:hAnsi="Times New Roman"/>
          <w:sz w:val="24"/>
          <w:szCs w:val="24"/>
          <w:lang w:val="en-GB"/>
        </w:rPr>
      </w:pPr>
      <w:r w:rsidRPr="004E68C0">
        <w:rPr>
          <w:rFonts w:ascii="Times New Roman" w:hAnsi="Times New Roman"/>
          <w:sz w:val="24"/>
          <w:szCs w:val="24"/>
          <w:lang w:val="en-GB"/>
        </w:rPr>
        <w:t xml:space="preserve">When should benchmarks be used?  </w:t>
      </w:r>
    </w:p>
    <w:p w14:paraId="77E7BAEA" w14:textId="77777777" w:rsidR="000435F1" w:rsidRPr="004E68C0" w:rsidRDefault="000435F1" w:rsidP="000435F1">
      <w:pPr>
        <w:pStyle w:val="ListParagraph"/>
        <w:numPr>
          <w:ilvl w:val="0"/>
          <w:numId w:val="28"/>
        </w:numPr>
        <w:spacing w:before="120"/>
        <w:contextualSpacing w:val="0"/>
        <w:jc w:val="both"/>
        <w:rPr>
          <w:rFonts w:ascii="Times New Roman" w:hAnsi="Times New Roman"/>
          <w:sz w:val="24"/>
          <w:szCs w:val="24"/>
          <w:lang w:val="en-GB"/>
        </w:rPr>
      </w:pPr>
      <w:r w:rsidRPr="004E68C0">
        <w:rPr>
          <w:rFonts w:ascii="Times New Roman" w:hAnsi="Times New Roman"/>
          <w:sz w:val="24"/>
          <w:szCs w:val="24"/>
          <w:lang w:val="en-GB"/>
        </w:rPr>
        <w:t>How to turn benchmark data into conclusive assessments?</w:t>
      </w:r>
    </w:p>
    <w:p w14:paraId="15DDE4C7" w14:textId="77777777" w:rsidR="007B1D23" w:rsidRDefault="000435F1" w:rsidP="000435F1">
      <w:pPr>
        <w:spacing w:before="120"/>
        <w:jc w:val="both"/>
        <w:rPr>
          <w:rFonts w:ascii="Times New Roman" w:hAnsi="Times New Roman"/>
          <w:sz w:val="24"/>
          <w:szCs w:val="24"/>
          <w:lang w:val="en-GB"/>
        </w:rPr>
      </w:pPr>
      <w:r w:rsidRPr="000435F1">
        <w:rPr>
          <w:rFonts w:ascii="Times New Roman" w:hAnsi="Times New Roman"/>
          <w:sz w:val="24"/>
          <w:szCs w:val="24"/>
          <w:lang w:val="en-GB"/>
        </w:rPr>
        <w:t xml:space="preserve">For market risk, benchmarking should take into account the internal back testing results, as this measure is an important metric to assess model performance. Benchmarking is most useful if assessments and corrections (if required) are made about the value of all the drivers that have been used, such as the stressed VaR period. By analysing the values of the risk measures, knowledge about the functioning of market risk models will increase. If differences in these measures are present, it does not necessarily mean a bank’s model is not functioning correctly; this should be the starting point for an investigation and dialogue. If the differences are modest, </w:t>
      </w:r>
    </w:p>
    <w:p w14:paraId="20337288" w14:textId="77777777" w:rsidR="007B1D23" w:rsidRDefault="007B1D23" w:rsidP="000435F1">
      <w:pPr>
        <w:spacing w:before="120"/>
        <w:jc w:val="both"/>
        <w:rPr>
          <w:rFonts w:ascii="Times New Roman" w:hAnsi="Times New Roman"/>
          <w:sz w:val="24"/>
          <w:szCs w:val="24"/>
          <w:lang w:val="en-GB"/>
        </w:rPr>
      </w:pPr>
    </w:p>
    <w:p w14:paraId="77E7BAEB" w14:textId="7C9E64EE" w:rsidR="000435F1" w:rsidRPr="000435F1" w:rsidRDefault="000435F1" w:rsidP="000435F1">
      <w:pPr>
        <w:spacing w:before="120"/>
        <w:jc w:val="both"/>
        <w:rPr>
          <w:rFonts w:ascii="Times New Roman" w:hAnsi="Times New Roman"/>
          <w:sz w:val="24"/>
          <w:szCs w:val="24"/>
          <w:lang w:val="en-GB"/>
        </w:rPr>
      </w:pPr>
      <w:r w:rsidRPr="000435F1">
        <w:rPr>
          <w:rFonts w:ascii="Times New Roman" w:hAnsi="Times New Roman"/>
          <w:sz w:val="24"/>
          <w:szCs w:val="24"/>
          <w:lang w:val="en-GB"/>
        </w:rPr>
        <w:t>say within a 20% range, additional investigations of banks in quartiles 1</w:t>
      </w:r>
      <w:r w:rsidRPr="000435F1">
        <w:rPr>
          <w:rFonts w:ascii="Times New Roman" w:hAnsi="Times New Roman"/>
          <w:sz w:val="24"/>
          <w:szCs w:val="24"/>
          <w:vertAlign w:val="superscript"/>
          <w:lang w:val="en-GB"/>
        </w:rPr>
        <w:t>st</w:t>
      </w:r>
      <w:r w:rsidRPr="000435F1">
        <w:rPr>
          <w:rFonts w:ascii="Times New Roman" w:hAnsi="Times New Roman"/>
          <w:sz w:val="24"/>
          <w:szCs w:val="24"/>
          <w:lang w:val="en-GB"/>
        </w:rPr>
        <w:t xml:space="preserve"> and 4</w:t>
      </w:r>
      <w:r w:rsidRPr="000435F1">
        <w:rPr>
          <w:rFonts w:ascii="Times New Roman" w:hAnsi="Times New Roman"/>
          <w:sz w:val="24"/>
          <w:szCs w:val="24"/>
          <w:vertAlign w:val="superscript"/>
          <w:lang w:val="en-GB"/>
        </w:rPr>
        <w:t>th</w:t>
      </w:r>
      <w:r w:rsidRPr="000435F1">
        <w:rPr>
          <w:rFonts w:ascii="Times New Roman" w:hAnsi="Times New Roman"/>
          <w:sz w:val="24"/>
          <w:szCs w:val="24"/>
          <w:lang w:val="en-GB"/>
        </w:rPr>
        <w:t xml:space="preserve"> will not add value. Resources would be best allocated towards analysing significant outliers in these quartiles. </w:t>
      </w:r>
    </w:p>
    <w:p w14:paraId="77E7BAEC" w14:textId="77777777" w:rsidR="001F5D09" w:rsidRPr="004E68C0" w:rsidRDefault="00D07D38" w:rsidP="006B5CBB">
      <w:pPr>
        <w:jc w:val="both"/>
        <w:rPr>
          <w:rFonts w:ascii="Times New Roman" w:hAnsi="Times New Roman"/>
          <w:sz w:val="24"/>
          <w:szCs w:val="24"/>
          <w:lang w:val="en-GB"/>
        </w:rPr>
      </w:pPr>
      <w:r w:rsidRPr="004E68C0">
        <w:rPr>
          <w:rFonts w:ascii="Times New Roman" w:hAnsi="Times New Roman"/>
          <w:sz w:val="24"/>
          <w:szCs w:val="24"/>
          <w:lang w:val="en-GB"/>
        </w:rPr>
        <w:t>We understand that the EBA is taking action following a mandate enshrined in article 78 of the capital requirements directive</w:t>
      </w:r>
      <w:r w:rsidR="00037C08" w:rsidRPr="004E68C0">
        <w:rPr>
          <w:rStyle w:val="FootnoteReference"/>
          <w:rFonts w:ascii="Times New Roman" w:hAnsi="Times New Roman"/>
          <w:sz w:val="24"/>
          <w:szCs w:val="24"/>
          <w:lang w:val="en-GB"/>
        </w:rPr>
        <w:footnoteReference w:id="3"/>
      </w:r>
      <w:r w:rsidRPr="004E68C0">
        <w:rPr>
          <w:rFonts w:ascii="Times New Roman" w:hAnsi="Times New Roman"/>
          <w:sz w:val="24"/>
          <w:szCs w:val="24"/>
          <w:lang w:val="en-GB"/>
        </w:rPr>
        <w:t xml:space="preserve"> (CRD IV) and therefore it has limited room to set the abovementioned order of things. </w:t>
      </w:r>
    </w:p>
    <w:p w14:paraId="77E7BAED" w14:textId="77777777" w:rsidR="005735B8" w:rsidRPr="00850B39" w:rsidRDefault="00037C08" w:rsidP="006B5CBB">
      <w:pPr>
        <w:jc w:val="both"/>
        <w:rPr>
          <w:rFonts w:ascii="Times New Roman" w:hAnsi="Times New Roman"/>
          <w:sz w:val="24"/>
          <w:szCs w:val="24"/>
          <w:lang w:val="en-GB"/>
        </w:rPr>
      </w:pPr>
      <w:r w:rsidRPr="00397D0D">
        <w:rPr>
          <w:rFonts w:ascii="Times New Roman" w:hAnsi="Times New Roman"/>
          <w:sz w:val="24"/>
          <w:szCs w:val="24"/>
          <w:lang w:val="en-GB"/>
        </w:rPr>
        <w:t>In short, t</w:t>
      </w:r>
      <w:r w:rsidR="005735B8" w:rsidRPr="004F6FF5">
        <w:rPr>
          <w:rFonts w:ascii="Times New Roman" w:hAnsi="Times New Roman"/>
          <w:sz w:val="24"/>
          <w:szCs w:val="24"/>
          <w:lang w:val="en-GB"/>
        </w:rPr>
        <w:t xml:space="preserve">he mandate of CRD IV </w:t>
      </w:r>
      <w:r w:rsidRPr="00D703DA">
        <w:rPr>
          <w:rFonts w:ascii="Times New Roman" w:hAnsi="Times New Roman"/>
          <w:sz w:val="24"/>
          <w:szCs w:val="24"/>
          <w:lang w:val="en-GB"/>
        </w:rPr>
        <w:t xml:space="preserve">basically </w:t>
      </w:r>
      <w:r w:rsidR="005735B8" w:rsidRPr="00850B39">
        <w:rPr>
          <w:rFonts w:ascii="Times New Roman" w:hAnsi="Times New Roman"/>
          <w:sz w:val="24"/>
          <w:szCs w:val="24"/>
          <w:lang w:val="en-GB"/>
        </w:rPr>
        <w:t xml:space="preserve">requests that: </w:t>
      </w:r>
    </w:p>
    <w:p w14:paraId="77E7BAEE" w14:textId="77777777" w:rsidR="005735B8" w:rsidRPr="004E68C0" w:rsidRDefault="005735B8" w:rsidP="00B87EF0">
      <w:pPr>
        <w:pStyle w:val="ListParagraph"/>
        <w:numPr>
          <w:ilvl w:val="0"/>
          <w:numId w:val="30"/>
        </w:numPr>
        <w:spacing w:before="120"/>
        <w:contextualSpacing w:val="0"/>
        <w:jc w:val="both"/>
        <w:rPr>
          <w:rFonts w:ascii="Times New Roman" w:hAnsi="Times New Roman"/>
          <w:sz w:val="24"/>
          <w:szCs w:val="24"/>
          <w:lang w:val="en-GB"/>
        </w:rPr>
      </w:pPr>
      <w:r w:rsidRPr="004E68C0">
        <w:rPr>
          <w:rFonts w:ascii="Times New Roman" w:hAnsi="Times New Roman"/>
          <w:sz w:val="24"/>
          <w:szCs w:val="24"/>
          <w:lang w:val="en-GB"/>
        </w:rPr>
        <w:t xml:space="preserve">Banks report to the EBA by means of a specifically designed </w:t>
      </w:r>
      <w:r w:rsidR="00037C08" w:rsidRPr="004E68C0">
        <w:rPr>
          <w:rFonts w:ascii="Times New Roman" w:hAnsi="Times New Roman"/>
          <w:sz w:val="24"/>
          <w:szCs w:val="24"/>
          <w:lang w:val="en-GB"/>
        </w:rPr>
        <w:t xml:space="preserve">common </w:t>
      </w:r>
      <w:r w:rsidRPr="004E68C0">
        <w:rPr>
          <w:rFonts w:ascii="Times New Roman" w:hAnsi="Times New Roman"/>
          <w:sz w:val="24"/>
          <w:szCs w:val="24"/>
          <w:lang w:val="en-GB"/>
        </w:rPr>
        <w:t>template the results of their IRB models using benchmark portfolios</w:t>
      </w:r>
      <w:r w:rsidR="001B3850" w:rsidRPr="004E68C0">
        <w:rPr>
          <w:rFonts w:ascii="Times New Roman" w:hAnsi="Times New Roman"/>
          <w:sz w:val="24"/>
          <w:szCs w:val="24"/>
          <w:lang w:val="en-GB"/>
        </w:rPr>
        <w:t xml:space="preserve"> (article 78 points 1 and 2)</w:t>
      </w:r>
      <w:r w:rsidRPr="004E68C0">
        <w:rPr>
          <w:rFonts w:ascii="Times New Roman" w:hAnsi="Times New Roman"/>
          <w:sz w:val="24"/>
          <w:szCs w:val="24"/>
          <w:lang w:val="en-GB"/>
        </w:rPr>
        <w:t xml:space="preserve">. </w:t>
      </w:r>
    </w:p>
    <w:p w14:paraId="77E7BAEF" w14:textId="77777777" w:rsidR="001B3850" w:rsidRPr="004E68C0" w:rsidRDefault="001B3850" w:rsidP="00B87EF0">
      <w:pPr>
        <w:pStyle w:val="ListParagraph"/>
        <w:numPr>
          <w:ilvl w:val="0"/>
          <w:numId w:val="30"/>
        </w:numPr>
        <w:spacing w:before="120"/>
        <w:contextualSpacing w:val="0"/>
        <w:jc w:val="both"/>
        <w:rPr>
          <w:rFonts w:ascii="Times New Roman" w:hAnsi="Times New Roman"/>
          <w:sz w:val="24"/>
          <w:szCs w:val="24"/>
          <w:lang w:val="en-GB"/>
        </w:rPr>
      </w:pPr>
      <w:r w:rsidRPr="004E68C0">
        <w:rPr>
          <w:rFonts w:ascii="Times New Roman" w:hAnsi="Times New Roman"/>
          <w:sz w:val="24"/>
          <w:szCs w:val="24"/>
          <w:lang w:val="en-GB"/>
        </w:rPr>
        <w:t>Competent authorities</w:t>
      </w:r>
      <w:r w:rsidR="005735B8" w:rsidRPr="004E68C0">
        <w:rPr>
          <w:rFonts w:ascii="Times New Roman" w:hAnsi="Times New Roman"/>
          <w:sz w:val="24"/>
          <w:szCs w:val="24"/>
          <w:lang w:val="en-GB"/>
        </w:rPr>
        <w:t xml:space="preserve"> monitor the range of results and make an assessment (at least annually) with focus on significant differences and potential systematic underestimation of own funds requirements</w:t>
      </w:r>
      <w:r w:rsidRPr="004E68C0">
        <w:rPr>
          <w:rFonts w:ascii="Times New Roman" w:hAnsi="Times New Roman"/>
          <w:sz w:val="24"/>
          <w:szCs w:val="24"/>
          <w:lang w:val="en-GB"/>
        </w:rPr>
        <w:t xml:space="preserve"> (article 78 point 3 paragraph 1)</w:t>
      </w:r>
      <w:r w:rsidR="005735B8" w:rsidRPr="004E68C0">
        <w:rPr>
          <w:rFonts w:ascii="Times New Roman" w:hAnsi="Times New Roman"/>
          <w:sz w:val="24"/>
          <w:szCs w:val="24"/>
          <w:lang w:val="en-GB"/>
        </w:rPr>
        <w:t xml:space="preserve">. </w:t>
      </w:r>
    </w:p>
    <w:p w14:paraId="77E7BAF0" w14:textId="77777777" w:rsidR="005735B8" w:rsidRPr="004E68C0" w:rsidRDefault="001B3850" w:rsidP="00B87EF0">
      <w:pPr>
        <w:pStyle w:val="ListParagraph"/>
        <w:numPr>
          <w:ilvl w:val="0"/>
          <w:numId w:val="30"/>
        </w:numPr>
        <w:spacing w:before="120"/>
        <w:contextualSpacing w:val="0"/>
        <w:jc w:val="both"/>
        <w:rPr>
          <w:rFonts w:ascii="Times New Roman" w:hAnsi="Times New Roman"/>
          <w:sz w:val="24"/>
          <w:szCs w:val="24"/>
          <w:lang w:val="en-GB"/>
        </w:rPr>
      </w:pPr>
      <w:r w:rsidRPr="004E68C0">
        <w:rPr>
          <w:rFonts w:ascii="Times New Roman" w:hAnsi="Times New Roman"/>
          <w:sz w:val="24"/>
          <w:szCs w:val="24"/>
          <w:lang w:val="en-GB"/>
        </w:rPr>
        <w:t xml:space="preserve">EBA shall produce a report to assist competent authorities in the assessment (article 78 point 3 paragraph 2). </w:t>
      </w:r>
    </w:p>
    <w:p w14:paraId="77E7BAF1" w14:textId="77777777" w:rsidR="001B3850" w:rsidRPr="004E68C0" w:rsidRDefault="001B3850" w:rsidP="00B87EF0">
      <w:pPr>
        <w:pStyle w:val="ListParagraph"/>
        <w:numPr>
          <w:ilvl w:val="0"/>
          <w:numId w:val="30"/>
        </w:numPr>
        <w:spacing w:before="120"/>
        <w:contextualSpacing w:val="0"/>
        <w:jc w:val="both"/>
        <w:rPr>
          <w:rFonts w:ascii="Times New Roman" w:hAnsi="Times New Roman"/>
          <w:sz w:val="24"/>
          <w:szCs w:val="24"/>
          <w:lang w:val="en-GB"/>
        </w:rPr>
      </w:pPr>
      <w:r w:rsidRPr="004E68C0">
        <w:rPr>
          <w:rFonts w:ascii="Times New Roman" w:hAnsi="Times New Roman"/>
          <w:sz w:val="24"/>
          <w:szCs w:val="24"/>
          <w:lang w:val="en-GB"/>
        </w:rPr>
        <w:t xml:space="preserve">Competent authorities shall investigate significant divergences and, under certain circumstances, they shall take corrective actions (article 78 point 4). </w:t>
      </w:r>
    </w:p>
    <w:p w14:paraId="77E7BAF2" w14:textId="77777777" w:rsidR="00F015B1" w:rsidRPr="004E68C0" w:rsidRDefault="00F015B1" w:rsidP="001B3850">
      <w:pPr>
        <w:spacing w:before="120"/>
        <w:jc w:val="both"/>
        <w:rPr>
          <w:rFonts w:ascii="Times New Roman" w:hAnsi="Times New Roman"/>
          <w:sz w:val="24"/>
          <w:szCs w:val="24"/>
          <w:lang w:val="en-GB"/>
        </w:rPr>
      </w:pPr>
      <w:r w:rsidRPr="004E68C0">
        <w:rPr>
          <w:rFonts w:ascii="Times New Roman" w:hAnsi="Times New Roman"/>
          <w:sz w:val="24"/>
          <w:szCs w:val="24"/>
          <w:lang w:val="en-GB"/>
        </w:rPr>
        <w:t xml:space="preserve">Our comments to the common template and benchmarking requested in letter (a) above follow throughout our responses to other questions. </w:t>
      </w:r>
    </w:p>
    <w:p w14:paraId="77E7BAF3" w14:textId="77777777" w:rsidR="006B13E9" w:rsidRPr="004E68C0" w:rsidRDefault="00F015B1" w:rsidP="006B13E9">
      <w:pPr>
        <w:spacing w:before="120"/>
        <w:jc w:val="both"/>
        <w:rPr>
          <w:rFonts w:ascii="Times New Roman" w:hAnsi="Times New Roman"/>
          <w:sz w:val="24"/>
          <w:szCs w:val="24"/>
          <w:lang w:val="en-GB"/>
        </w:rPr>
      </w:pPr>
      <w:r w:rsidRPr="004E68C0">
        <w:rPr>
          <w:rFonts w:ascii="Times New Roman" w:hAnsi="Times New Roman"/>
          <w:sz w:val="24"/>
          <w:szCs w:val="24"/>
          <w:lang w:val="en-GB"/>
        </w:rPr>
        <w:t xml:space="preserve">As to </w:t>
      </w:r>
      <w:r w:rsidR="00CE3253" w:rsidRPr="004E68C0">
        <w:rPr>
          <w:rFonts w:ascii="Times New Roman" w:hAnsi="Times New Roman"/>
          <w:sz w:val="24"/>
          <w:szCs w:val="24"/>
          <w:lang w:val="en-GB"/>
        </w:rPr>
        <w:t xml:space="preserve">items </w:t>
      </w:r>
      <w:r w:rsidRPr="004E68C0">
        <w:rPr>
          <w:rFonts w:ascii="Times New Roman" w:hAnsi="Times New Roman"/>
          <w:sz w:val="24"/>
          <w:szCs w:val="24"/>
          <w:lang w:val="en-GB"/>
        </w:rPr>
        <w:t>(b) and (d) above, whereby competent authorities shall conduct an assessment and an ensuing investigation of differences, we believe that t</w:t>
      </w:r>
      <w:r w:rsidR="00320BD4" w:rsidRPr="004E68C0">
        <w:rPr>
          <w:rFonts w:ascii="Times New Roman" w:hAnsi="Times New Roman"/>
          <w:sz w:val="24"/>
          <w:szCs w:val="24"/>
          <w:lang w:val="en-GB"/>
        </w:rPr>
        <w:t xml:space="preserve">he room of manoeuvre given to competent authorities </w:t>
      </w:r>
      <w:r w:rsidR="002A18CA" w:rsidRPr="004E68C0">
        <w:rPr>
          <w:rFonts w:ascii="Times New Roman" w:hAnsi="Times New Roman"/>
          <w:sz w:val="24"/>
          <w:szCs w:val="24"/>
          <w:lang w:val="en-GB"/>
        </w:rPr>
        <w:t xml:space="preserve">may outstrip </w:t>
      </w:r>
      <w:r w:rsidR="00320BD4" w:rsidRPr="004E68C0">
        <w:rPr>
          <w:rFonts w:ascii="Times New Roman" w:hAnsi="Times New Roman"/>
          <w:sz w:val="24"/>
          <w:szCs w:val="24"/>
          <w:lang w:val="en-GB"/>
        </w:rPr>
        <w:t xml:space="preserve">their capacity to conduct balanced assessments beyond the limits of their jurisdictions. </w:t>
      </w:r>
      <w:r w:rsidRPr="004E68C0">
        <w:rPr>
          <w:rFonts w:ascii="Times New Roman" w:hAnsi="Times New Roman"/>
          <w:sz w:val="24"/>
          <w:szCs w:val="24"/>
          <w:lang w:val="en-GB"/>
        </w:rPr>
        <w:t xml:space="preserve">Such assessments and investigations should be confined to the boundaries of every supervisor. </w:t>
      </w:r>
      <w:r w:rsidR="00320BD4" w:rsidRPr="004E68C0">
        <w:rPr>
          <w:rFonts w:ascii="Times New Roman" w:hAnsi="Times New Roman"/>
          <w:sz w:val="24"/>
          <w:szCs w:val="24"/>
          <w:lang w:val="en-GB"/>
        </w:rPr>
        <w:t xml:space="preserve">While we acknowledge that the upcoming setup of the Single Supervisory Mechanism (SSM) will regroup a number of former competent authorities under the centralised supervision of the ECB, this fact does not change the wider outreach of the regulations and directives that govern the use of IRB models in the EU. </w:t>
      </w:r>
      <w:r w:rsidR="006B13E9">
        <w:rPr>
          <w:rFonts w:ascii="Times New Roman" w:hAnsi="Times New Roman"/>
          <w:sz w:val="24"/>
          <w:szCs w:val="24"/>
          <w:lang w:val="en-GB"/>
        </w:rPr>
        <w:t>As and when the SSM has become effective, the ECB should work with the EBA to ensure risk sensitivity of internal models across the Eurozone.</w:t>
      </w:r>
    </w:p>
    <w:p w14:paraId="77E7BAF5" w14:textId="77777777" w:rsidR="002C2BFB" w:rsidRPr="004E68C0" w:rsidRDefault="002A18CA" w:rsidP="001B3850">
      <w:pPr>
        <w:spacing w:before="120"/>
        <w:jc w:val="both"/>
        <w:rPr>
          <w:rFonts w:ascii="Times New Roman" w:hAnsi="Times New Roman"/>
          <w:sz w:val="24"/>
          <w:szCs w:val="24"/>
          <w:lang w:val="en-GB"/>
        </w:rPr>
      </w:pPr>
      <w:r w:rsidRPr="004E68C0">
        <w:rPr>
          <w:rFonts w:ascii="Times New Roman" w:hAnsi="Times New Roman"/>
          <w:sz w:val="24"/>
          <w:szCs w:val="24"/>
          <w:lang w:val="en-GB"/>
        </w:rPr>
        <w:t>In consequence, c</w:t>
      </w:r>
      <w:r w:rsidR="00320BD4" w:rsidRPr="004E68C0">
        <w:rPr>
          <w:rFonts w:ascii="Times New Roman" w:hAnsi="Times New Roman"/>
          <w:sz w:val="24"/>
          <w:szCs w:val="24"/>
          <w:lang w:val="en-GB"/>
        </w:rPr>
        <w:t>ompetent authorities</w:t>
      </w:r>
      <w:r w:rsidRPr="004E68C0">
        <w:rPr>
          <w:rFonts w:ascii="Times New Roman" w:hAnsi="Times New Roman"/>
          <w:sz w:val="24"/>
          <w:szCs w:val="24"/>
          <w:lang w:val="en-GB"/>
        </w:rPr>
        <w:t xml:space="preserve">, in the performance of their duties under </w:t>
      </w:r>
      <w:r w:rsidR="00B400AB">
        <w:rPr>
          <w:rFonts w:ascii="Times New Roman" w:hAnsi="Times New Roman"/>
          <w:sz w:val="24"/>
          <w:szCs w:val="24"/>
          <w:lang w:val="en-GB"/>
        </w:rPr>
        <w:t>item</w:t>
      </w:r>
      <w:r w:rsidR="00B400AB" w:rsidRPr="00B400AB">
        <w:rPr>
          <w:rFonts w:ascii="Times New Roman" w:hAnsi="Times New Roman"/>
          <w:sz w:val="24"/>
          <w:szCs w:val="24"/>
          <w:lang w:val="en-GB"/>
        </w:rPr>
        <w:t xml:space="preserve"> </w:t>
      </w:r>
      <w:r w:rsidRPr="00B400AB">
        <w:rPr>
          <w:rFonts w:ascii="Times New Roman" w:hAnsi="Times New Roman"/>
          <w:sz w:val="24"/>
          <w:szCs w:val="24"/>
          <w:lang w:val="en-GB"/>
        </w:rPr>
        <w:t>(d) above,</w:t>
      </w:r>
      <w:r w:rsidR="00320BD4" w:rsidRPr="00397D0D">
        <w:rPr>
          <w:rFonts w:ascii="Times New Roman" w:hAnsi="Times New Roman"/>
          <w:sz w:val="24"/>
          <w:szCs w:val="24"/>
          <w:lang w:val="en-GB"/>
        </w:rPr>
        <w:t xml:space="preserve"> should only make assessments over </w:t>
      </w:r>
      <w:r w:rsidRPr="004F6FF5">
        <w:rPr>
          <w:rFonts w:ascii="Times New Roman" w:hAnsi="Times New Roman"/>
          <w:sz w:val="24"/>
          <w:szCs w:val="24"/>
          <w:lang w:val="en-GB"/>
        </w:rPr>
        <w:t xml:space="preserve">benchmarking </w:t>
      </w:r>
      <w:r w:rsidR="00320BD4" w:rsidRPr="00D703DA">
        <w:rPr>
          <w:rFonts w:ascii="Times New Roman" w:hAnsi="Times New Roman"/>
          <w:sz w:val="24"/>
          <w:szCs w:val="24"/>
          <w:lang w:val="en-GB"/>
        </w:rPr>
        <w:t xml:space="preserve">divergences within their jurisdictions. As a matter of principle, the EBA should </w:t>
      </w:r>
      <w:r w:rsidRPr="004E68C0">
        <w:rPr>
          <w:rFonts w:ascii="Times New Roman" w:hAnsi="Times New Roman"/>
          <w:sz w:val="24"/>
          <w:szCs w:val="24"/>
          <w:lang w:val="en-GB"/>
        </w:rPr>
        <w:t>remain the authority of reference</w:t>
      </w:r>
      <w:r w:rsidR="00320BD4" w:rsidRPr="004E68C0">
        <w:rPr>
          <w:rFonts w:ascii="Times New Roman" w:hAnsi="Times New Roman"/>
          <w:sz w:val="24"/>
          <w:szCs w:val="24"/>
          <w:lang w:val="en-GB"/>
        </w:rPr>
        <w:t xml:space="preserve"> in the assessment of differences between banks located in different supervisory jurisdictions.  </w:t>
      </w:r>
    </w:p>
    <w:p w14:paraId="77E7BAF6" w14:textId="77777777" w:rsidR="00A0767F" w:rsidRPr="004E68C0" w:rsidRDefault="00A0767F" w:rsidP="00A0767F">
      <w:pPr>
        <w:spacing w:before="120"/>
        <w:jc w:val="both"/>
        <w:rPr>
          <w:rFonts w:ascii="Times New Roman" w:hAnsi="Times New Roman"/>
          <w:sz w:val="24"/>
          <w:szCs w:val="24"/>
          <w:lang w:val="en-GB"/>
        </w:rPr>
      </w:pPr>
      <w:r w:rsidRPr="004E68C0">
        <w:rPr>
          <w:rFonts w:ascii="Times New Roman" w:hAnsi="Times New Roman"/>
          <w:sz w:val="24"/>
          <w:szCs w:val="24"/>
          <w:lang w:val="en-GB"/>
        </w:rPr>
        <w:t xml:space="preserve">Against this background, we think that the EBA has the opportunity and the responsibility to decisively intervene in </w:t>
      </w:r>
      <w:r w:rsidR="00CE3253" w:rsidRPr="004E68C0">
        <w:rPr>
          <w:rFonts w:ascii="Times New Roman" w:hAnsi="Times New Roman"/>
          <w:sz w:val="24"/>
          <w:szCs w:val="24"/>
          <w:lang w:val="en-GB"/>
        </w:rPr>
        <w:t xml:space="preserve">item </w:t>
      </w:r>
      <w:r w:rsidRPr="004E68C0">
        <w:rPr>
          <w:rFonts w:ascii="Times New Roman" w:hAnsi="Times New Roman"/>
          <w:sz w:val="24"/>
          <w:szCs w:val="24"/>
          <w:lang w:val="en-GB"/>
        </w:rPr>
        <w:t xml:space="preserve">(c) above because the pan-EU coverage of the EBA can give a flavour of all relevant underlying circumstances of models and markets. For this very reason the EBA is best placed to arrive at educated conclusions. Its mandate of “assistance” should be interpreted in the broadest terms possible to limit the possibility of competent authorities drawing conclusions on the presumed differences between banks under their remit and banks supervised by other authorities in the EU. </w:t>
      </w:r>
    </w:p>
    <w:p w14:paraId="49478ADE" w14:textId="77777777" w:rsidR="007B1D23" w:rsidRDefault="007B1D23" w:rsidP="001B3850">
      <w:pPr>
        <w:spacing w:before="120"/>
        <w:jc w:val="both"/>
        <w:rPr>
          <w:rFonts w:ascii="Times New Roman" w:hAnsi="Times New Roman"/>
          <w:sz w:val="24"/>
          <w:szCs w:val="24"/>
          <w:lang w:val="en-GB"/>
        </w:rPr>
      </w:pPr>
    </w:p>
    <w:p w14:paraId="77E7BAF7" w14:textId="77777777" w:rsidR="002A18CA" w:rsidRPr="004E68C0" w:rsidRDefault="00F015B1" w:rsidP="001B3850">
      <w:pPr>
        <w:spacing w:before="120"/>
        <w:jc w:val="both"/>
        <w:rPr>
          <w:rFonts w:ascii="Times New Roman" w:hAnsi="Times New Roman"/>
          <w:sz w:val="24"/>
          <w:szCs w:val="24"/>
          <w:lang w:val="en-GB"/>
        </w:rPr>
      </w:pPr>
      <w:r w:rsidRPr="004E68C0">
        <w:rPr>
          <w:rFonts w:ascii="Times New Roman" w:hAnsi="Times New Roman"/>
          <w:sz w:val="24"/>
          <w:szCs w:val="24"/>
          <w:lang w:val="en-GB"/>
        </w:rPr>
        <w:t xml:space="preserve">In conclusion, the view of the EBF is that the use of benchmarks is necessary if and only if the caveats herewith explained are carefully considered. </w:t>
      </w:r>
    </w:p>
    <w:p w14:paraId="77E7BAF8" w14:textId="77777777" w:rsidR="00D07D38" w:rsidRPr="004E68C0" w:rsidRDefault="00D07D38" w:rsidP="006B5CBB">
      <w:pPr>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5D09" w:rsidRPr="007770DC" w14:paraId="77E7BAFA" w14:textId="77777777" w:rsidTr="00D329B4">
        <w:tc>
          <w:tcPr>
            <w:tcW w:w="9212" w:type="dxa"/>
            <w:shd w:val="clear" w:color="auto" w:fill="auto"/>
          </w:tcPr>
          <w:p w14:paraId="77E7BAF9" w14:textId="77777777" w:rsidR="001F5D09" w:rsidRPr="004F6FF5" w:rsidRDefault="00747876" w:rsidP="00D329B4">
            <w:pPr>
              <w:spacing w:before="120"/>
              <w:jc w:val="both"/>
              <w:rPr>
                <w:rFonts w:ascii="Times New Roman" w:hAnsi="Times New Roman"/>
                <w:sz w:val="24"/>
                <w:szCs w:val="24"/>
                <w:lang w:val="en-GB"/>
              </w:rPr>
            </w:pPr>
            <w:r w:rsidRPr="00894124">
              <w:rPr>
                <w:rFonts w:ascii="Times New Roman" w:hAnsi="Times New Roman"/>
                <w:b/>
                <w:sz w:val="24"/>
                <w:szCs w:val="24"/>
                <w:lang w:val="en-GB"/>
              </w:rPr>
              <w:t>Q2. Do you consider that the benchmarks outlined in the RTS are sufficiently proportionate and flexible? Do you have any alternative benchmark proposals? If yes, please provide details.</w:t>
            </w:r>
          </w:p>
        </w:tc>
      </w:tr>
    </w:tbl>
    <w:p w14:paraId="77E7BAFB" w14:textId="77777777" w:rsidR="001F5D09" w:rsidRPr="004E68C0" w:rsidRDefault="001F5D09" w:rsidP="006B5CBB">
      <w:pPr>
        <w:jc w:val="both"/>
        <w:rPr>
          <w:rFonts w:ascii="Times New Roman" w:hAnsi="Times New Roman"/>
          <w:sz w:val="24"/>
          <w:szCs w:val="24"/>
          <w:lang w:val="en-GB"/>
        </w:rPr>
      </w:pPr>
    </w:p>
    <w:p w14:paraId="77E7BAFC" w14:textId="77777777" w:rsidR="001F5D09" w:rsidRPr="004E68C0" w:rsidRDefault="00B9555B" w:rsidP="000A5EA8">
      <w:pPr>
        <w:jc w:val="both"/>
        <w:rPr>
          <w:rFonts w:ascii="Times New Roman" w:hAnsi="Times New Roman"/>
          <w:sz w:val="24"/>
          <w:szCs w:val="24"/>
          <w:lang w:val="en-GB"/>
        </w:rPr>
      </w:pPr>
      <w:r w:rsidRPr="004E68C0">
        <w:rPr>
          <w:rFonts w:ascii="Times New Roman" w:hAnsi="Times New Roman"/>
          <w:sz w:val="24"/>
          <w:szCs w:val="24"/>
          <w:lang w:val="en-GB"/>
        </w:rPr>
        <w:t xml:space="preserve">The classes of benchmarks outlined in the RTS appear sufficiently flexible. </w:t>
      </w:r>
      <w:r w:rsidR="00F608DB" w:rsidRPr="004E68C0">
        <w:rPr>
          <w:rFonts w:ascii="Times New Roman" w:hAnsi="Times New Roman"/>
          <w:sz w:val="24"/>
          <w:szCs w:val="24"/>
          <w:lang w:val="en-GB"/>
        </w:rPr>
        <w:t xml:space="preserve">Following our line of thought that </w:t>
      </w:r>
      <w:r w:rsidR="00F608DB" w:rsidRPr="00894124">
        <w:rPr>
          <w:rFonts w:ascii="Times New Roman" w:hAnsi="Times New Roman"/>
          <w:sz w:val="24"/>
          <w:szCs w:val="24"/>
          <w:lang w:val="en-GB"/>
        </w:rPr>
        <w:t>benchmarking should be preceded by the adoption of common approaches to model calibration</w:t>
      </w:r>
      <w:r w:rsidRPr="004F6FF5">
        <w:rPr>
          <w:rFonts w:ascii="Times New Roman" w:hAnsi="Times New Roman"/>
          <w:sz w:val="24"/>
          <w:szCs w:val="24"/>
          <w:lang w:val="en-GB"/>
        </w:rPr>
        <w:t xml:space="preserve">, the collection of benchmark data should be kept as minimal as possible until </w:t>
      </w:r>
      <w:r w:rsidR="00F608DB" w:rsidRPr="004E68C0">
        <w:rPr>
          <w:rFonts w:ascii="Times New Roman" w:hAnsi="Times New Roman"/>
          <w:sz w:val="24"/>
          <w:szCs w:val="24"/>
          <w:lang w:val="en-GB"/>
        </w:rPr>
        <w:t>such commonality in</w:t>
      </w:r>
      <w:r w:rsidRPr="004E68C0">
        <w:rPr>
          <w:rFonts w:ascii="Times New Roman" w:hAnsi="Times New Roman"/>
          <w:sz w:val="24"/>
          <w:szCs w:val="24"/>
          <w:lang w:val="en-GB"/>
        </w:rPr>
        <w:t xml:space="preserve"> model calibration and defaulted assets is established.</w:t>
      </w:r>
      <w:r w:rsidR="00F608DB" w:rsidRPr="004E68C0">
        <w:rPr>
          <w:rFonts w:ascii="Times New Roman" w:hAnsi="Times New Roman"/>
          <w:sz w:val="24"/>
          <w:szCs w:val="24"/>
          <w:lang w:val="en-GB"/>
        </w:rPr>
        <w:t xml:space="preserve"> </w:t>
      </w:r>
    </w:p>
    <w:p w14:paraId="77E7BAFD" w14:textId="77777777" w:rsidR="00BB344E" w:rsidRPr="004E68C0" w:rsidRDefault="00BB344E" w:rsidP="000A5EA8">
      <w:pPr>
        <w:jc w:val="both"/>
        <w:rPr>
          <w:rFonts w:ascii="Times New Roman" w:hAnsi="Times New Roman"/>
          <w:sz w:val="24"/>
          <w:szCs w:val="24"/>
          <w:lang w:val="en-GB"/>
        </w:rPr>
      </w:pPr>
      <w:r w:rsidRPr="004E68C0">
        <w:rPr>
          <w:rFonts w:ascii="Times New Roman" w:hAnsi="Times New Roman"/>
          <w:sz w:val="24"/>
          <w:szCs w:val="24"/>
          <w:lang w:val="en-GB"/>
        </w:rPr>
        <w:t xml:space="preserve">For market risk, benchmarking should only be done for portfolios where the bank actually trades in, or has trades existing. </w:t>
      </w:r>
      <w:r w:rsidR="00C3182F" w:rsidRPr="004E68C0">
        <w:rPr>
          <w:rFonts w:ascii="Times New Roman" w:hAnsi="Times New Roman"/>
          <w:sz w:val="24"/>
          <w:szCs w:val="24"/>
          <w:lang w:val="en-GB"/>
        </w:rPr>
        <w:t xml:space="preserve">For some portfolios, one could consider to assess maximum loss figures (e.g. for long options one can in principle not lose more than the premium). </w:t>
      </w:r>
    </w:p>
    <w:p w14:paraId="77E7BAFE" w14:textId="77777777" w:rsidR="003D16E6" w:rsidRPr="004E68C0" w:rsidRDefault="003D16E6" w:rsidP="000A5EA8">
      <w:pPr>
        <w:jc w:val="both"/>
        <w:rPr>
          <w:rFonts w:ascii="Times New Roman" w:hAnsi="Times New Roman"/>
          <w:sz w:val="24"/>
          <w:szCs w:val="24"/>
          <w:lang w:val="en-GB"/>
        </w:rPr>
      </w:pPr>
      <w:r w:rsidRPr="004E68C0">
        <w:rPr>
          <w:rFonts w:ascii="Times New Roman" w:hAnsi="Times New Roman"/>
          <w:sz w:val="24"/>
          <w:szCs w:val="24"/>
          <w:lang w:val="en-GB"/>
        </w:rPr>
        <w:t xml:space="preserve">Regarding the proportionate aspect of the proposal, the competent authorities are expected to investigate any “output modelling values and standard deviation of the output modelling values falling in the first and fourth quartile of the peer’s ample distribution”. This rule would systematically require competent authorities to enquire on half of the contributions, it appears disproportionate. </w:t>
      </w:r>
    </w:p>
    <w:p w14:paraId="77E7BAFF" w14:textId="77777777" w:rsidR="001F5D09" w:rsidRPr="004E68C0" w:rsidRDefault="001F5D09" w:rsidP="006A4F03">
      <w:pPr>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5D09" w:rsidRPr="007770DC" w14:paraId="77E7BB01" w14:textId="77777777" w:rsidTr="00D329B4">
        <w:tc>
          <w:tcPr>
            <w:tcW w:w="9212" w:type="dxa"/>
            <w:shd w:val="clear" w:color="auto" w:fill="auto"/>
          </w:tcPr>
          <w:p w14:paraId="77E7BB00" w14:textId="77777777" w:rsidR="001F5D09" w:rsidRPr="004E68C0" w:rsidRDefault="00747876" w:rsidP="00D329B4">
            <w:pPr>
              <w:spacing w:before="120"/>
              <w:jc w:val="both"/>
              <w:rPr>
                <w:rFonts w:ascii="Times New Roman" w:hAnsi="Times New Roman"/>
                <w:sz w:val="24"/>
                <w:szCs w:val="24"/>
                <w:lang w:val="en-GB"/>
              </w:rPr>
            </w:pPr>
            <w:r w:rsidRPr="004E68C0">
              <w:rPr>
                <w:rFonts w:ascii="Times New Roman" w:hAnsi="Times New Roman"/>
                <w:b/>
                <w:sz w:val="24"/>
                <w:szCs w:val="24"/>
                <w:lang w:val="en-GB"/>
              </w:rPr>
              <w:t>Q3. What limitations do you see in relation to the use of the proposed benchmarks, i.e., (i) first and the fourth quartiles; (ii) comparison between own funds under the internal models and the standardised approach; and (iii) comparison between estimates and outturns?</w:t>
            </w:r>
          </w:p>
        </w:tc>
      </w:tr>
    </w:tbl>
    <w:p w14:paraId="77E7BB02" w14:textId="77777777" w:rsidR="001F5D09" w:rsidRPr="004E68C0" w:rsidRDefault="001F5D09" w:rsidP="00455409">
      <w:pPr>
        <w:jc w:val="both"/>
        <w:rPr>
          <w:rFonts w:ascii="Times New Roman" w:hAnsi="Times New Roman"/>
          <w:sz w:val="24"/>
          <w:szCs w:val="24"/>
          <w:lang w:val="en-GB"/>
        </w:rPr>
      </w:pPr>
    </w:p>
    <w:p w14:paraId="77E7BB03" w14:textId="77777777" w:rsidR="005F0984" w:rsidRPr="00D703DA" w:rsidRDefault="004933AE" w:rsidP="00455409">
      <w:pPr>
        <w:jc w:val="both"/>
        <w:rPr>
          <w:rFonts w:ascii="Times New Roman" w:hAnsi="Times New Roman"/>
          <w:sz w:val="24"/>
          <w:szCs w:val="24"/>
          <w:lang w:val="en-GB"/>
        </w:rPr>
      </w:pPr>
      <w:r w:rsidRPr="004E68C0">
        <w:rPr>
          <w:rFonts w:ascii="Times New Roman" w:hAnsi="Times New Roman"/>
          <w:sz w:val="24"/>
          <w:szCs w:val="24"/>
          <w:lang w:val="en-GB"/>
        </w:rPr>
        <w:t xml:space="preserve">Given the current dispersion of supervisory practices the utility of the benchmarks proposed </w:t>
      </w:r>
      <w:r w:rsidR="005F0984" w:rsidRPr="004E68C0">
        <w:rPr>
          <w:rFonts w:ascii="Times New Roman" w:hAnsi="Times New Roman"/>
          <w:sz w:val="24"/>
          <w:szCs w:val="24"/>
          <w:lang w:val="en-GB"/>
        </w:rPr>
        <w:t xml:space="preserve">is quite limited. </w:t>
      </w:r>
      <w:r w:rsidRPr="00397D0D">
        <w:rPr>
          <w:rFonts w:ascii="Times New Roman" w:hAnsi="Times New Roman"/>
          <w:sz w:val="24"/>
          <w:szCs w:val="24"/>
          <w:lang w:val="en-GB"/>
        </w:rPr>
        <w:t xml:space="preserve">Once </w:t>
      </w:r>
      <w:r w:rsidR="005F0984" w:rsidRPr="00894124">
        <w:rPr>
          <w:rFonts w:ascii="Times New Roman" w:hAnsi="Times New Roman"/>
          <w:sz w:val="24"/>
          <w:szCs w:val="24"/>
          <w:lang w:val="en-GB"/>
        </w:rPr>
        <w:t>further commonality and understanding is available we think th</w:t>
      </w:r>
      <w:r w:rsidR="00015350" w:rsidRPr="00894124">
        <w:rPr>
          <w:rFonts w:ascii="Times New Roman" w:hAnsi="Times New Roman"/>
          <w:sz w:val="24"/>
          <w:szCs w:val="24"/>
          <w:lang w:val="en-GB"/>
        </w:rPr>
        <w:t>e following</w:t>
      </w:r>
      <w:r w:rsidR="005F0984" w:rsidRPr="004F6FF5">
        <w:rPr>
          <w:rFonts w:ascii="Times New Roman" w:hAnsi="Times New Roman"/>
          <w:sz w:val="24"/>
          <w:szCs w:val="24"/>
          <w:lang w:val="en-GB"/>
        </w:rPr>
        <w:t xml:space="preserve">: </w:t>
      </w:r>
    </w:p>
    <w:p w14:paraId="77E7BB04" w14:textId="77777777" w:rsidR="00D000B7" w:rsidRPr="004E68C0" w:rsidRDefault="00D000B7" w:rsidP="00455409">
      <w:pPr>
        <w:jc w:val="both"/>
        <w:rPr>
          <w:rFonts w:ascii="Times New Roman" w:hAnsi="Times New Roman"/>
          <w:sz w:val="24"/>
          <w:szCs w:val="24"/>
          <w:lang w:val="en-GB"/>
        </w:rPr>
      </w:pPr>
      <w:r w:rsidRPr="004E68C0">
        <w:rPr>
          <w:rFonts w:ascii="Times New Roman" w:hAnsi="Times New Roman"/>
          <w:sz w:val="24"/>
          <w:szCs w:val="24"/>
          <w:lang w:val="en-GB"/>
        </w:rPr>
        <w:t xml:space="preserve">On the comparison between estimates and outturns: </w:t>
      </w:r>
    </w:p>
    <w:p w14:paraId="77E7BB05" w14:textId="77777777" w:rsidR="00DC64EC" w:rsidRPr="004E68C0" w:rsidRDefault="005F0984" w:rsidP="003D16E6">
      <w:pPr>
        <w:pStyle w:val="ListParagraph"/>
        <w:numPr>
          <w:ilvl w:val="0"/>
          <w:numId w:val="31"/>
        </w:numPr>
        <w:spacing w:before="120"/>
        <w:jc w:val="both"/>
        <w:rPr>
          <w:rFonts w:ascii="Times New Roman" w:hAnsi="Times New Roman"/>
          <w:sz w:val="24"/>
          <w:szCs w:val="24"/>
          <w:lang w:val="en-GB"/>
        </w:rPr>
      </w:pPr>
      <w:r w:rsidRPr="004E68C0">
        <w:rPr>
          <w:rFonts w:ascii="Times New Roman" w:hAnsi="Times New Roman"/>
          <w:sz w:val="24"/>
          <w:szCs w:val="24"/>
          <w:lang w:val="en-GB"/>
        </w:rPr>
        <w:t>The comparison of estimates with outturns should provide a basis for supervisory engagement provided that the tests used are meaningful and, in particular, meet the challenge posed by rating philosophies.</w:t>
      </w:r>
      <w:r w:rsidR="00DC64EC" w:rsidRPr="004E68C0">
        <w:rPr>
          <w:rFonts w:ascii="Times New Roman" w:hAnsi="Times New Roman"/>
          <w:sz w:val="24"/>
          <w:szCs w:val="24"/>
          <w:lang w:val="en-GB"/>
        </w:rPr>
        <w:t xml:space="preserve"> However, the comparison between estimates and outturns is very dependent on the number of rating classes. In fact, depending on the number of rating classes in use the confidence intervals, thus the RWA, could be quite different. </w:t>
      </w:r>
      <w:r w:rsidR="003D16E6" w:rsidRPr="004E68C0">
        <w:rPr>
          <w:rFonts w:ascii="Times New Roman" w:hAnsi="Times New Roman"/>
          <w:sz w:val="24"/>
          <w:szCs w:val="24"/>
          <w:lang w:val="en-GB"/>
        </w:rPr>
        <w:t xml:space="preserve">In any case, EBA should give precise guidance on the computation of outturns (such as a spreadsheet), and these computations should take into account all components of the statistical validity of risk estimates. </w:t>
      </w:r>
    </w:p>
    <w:p w14:paraId="42F1D1A0" w14:textId="77777777" w:rsidR="007B1D23" w:rsidRDefault="007B1D23" w:rsidP="00FC43E8">
      <w:pPr>
        <w:spacing w:before="360"/>
        <w:jc w:val="both"/>
        <w:rPr>
          <w:rFonts w:ascii="Times New Roman" w:hAnsi="Times New Roman"/>
          <w:sz w:val="24"/>
          <w:szCs w:val="24"/>
          <w:lang w:val="en-GB"/>
        </w:rPr>
      </w:pPr>
    </w:p>
    <w:p w14:paraId="0055D4D2" w14:textId="77777777" w:rsidR="007B1D23" w:rsidRDefault="007B1D23" w:rsidP="00FC43E8">
      <w:pPr>
        <w:spacing w:before="360"/>
        <w:jc w:val="both"/>
        <w:rPr>
          <w:rFonts w:ascii="Times New Roman" w:hAnsi="Times New Roman"/>
          <w:sz w:val="24"/>
          <w:szCs w:val="24"/>
          <w:lang w:val="en-GB"/>
        </w:rPr>
      </w:pPr>
    </w:p>
    <w:p w14:paraId="77E7BB06" w14:textId="77777777" w:rsidR="00015350" w:rsidRPr="00D53758" w:rsidRDefault="00015350" w:rsidP="00FC43E8">
      <w:pPr>
        <w:spacing w:before="360"/>
        <w:jc w:val="both"/>
        <w:rPr>
          <w:rFonts w:ascii="Times New Roman" w:hAnsi="Times New Roman"/>
          <w:sz w:val="24"/>
          <w:szCs w:val="24"/>
          <w:lang w:val="en-GB"/>
        </w:rPr>
      </w:pPr>
      <w:r w:rsidRPr="004E68C0">
        <w:rPr>
          <w:rFonts w:ascii="Times New Roman" w:hAnsi="Times New Roman"/>
          <w:sz w:val="24"/>
          <w:szCs w:val="24"/>
          <w:lang w:val="en-GB"/>
        </w:rPr>
        <w:t xml:space="preserve">On the first and fourth quartiles: </w:t>
      </w:r>
    </w:p>
    <w:p w14:paraId="77E7BB07" w14:textId="77777777" w:rsidR="005F0984" w:rsidRPr="00894124" w:rsidRDefault="005F0984" w:rsidP="00C3182F">
      <w:pPr>
        <w:pStyle w:val="ListParagraph"/>
        <w:numPr>
          <w:ilvl w:val="0"/>
          <w:numId w:val="31"/>
        </w:numPr>
        <w:spacing w:before="120"/>
        <w:ind w:left="714" w:hanging="357"/>
        <w:contextualSpacing w:val="0"/>
        <w:jc w:val="both"/>
        <w:rPr>
          <w:rFonts w:ascii="Times New Roman" w:hAnsi="Times New Roman"/>
          <w:sz w:val="24"/>
          <w:szCs w:val="24"/>
          <w:lang w:val="en-GB"/>
        </w:rPr>
      </w:pPr>
      <w:r w:rsidRPr="004E68C0">
        <w:rPr>
          <w:rFonts w:ascii="Times New Roman" w:hAnsi="Times New Roman"/>
          <w:sz w:val="24"/>
          <w:szCs w:val="24"/>
          <w:lang w:val="en-GB"/>
        </w:rPr>
        <w:t>The</w:t>
      </w:r>
      <w:r w:rsidR="004933AE" w:rsidRPr="004E68C0">
        <w:rPr>
          <w:rFonts w:ascii="Times New Roman" w:hAnsi="Times New Roman"/>
          <w:sz w:val="24"/>
          <w:szCs w:val="24"/>
          <w:lang w:val="en-GB"/>
        </w:rPr>
        <w:t xml:space="preserve"> combination of a first and fourth quartile approach</w:t>
      </w:r>
      <w:r w:rsidRPr="004E68C0">
        <w:rPr>
          <w:rFonts w:ascii="Times New Roman" w:hAnsi="Times New Roman"/>
          <w:sz w:val="24"/>
          <w:szCs w:val="24"/>
          <w:lang w:val="en-GB"/>
        </w:rPr>
        <w:t xml:space="preserve"> </w:t>
      </w:r>
      <w:r w:rsidR="00DC64EC" w:rsidRPr="004E68C0">
        <w:rPr>
          <w:rFonts w:ascii="Times New Roman" w:hAnsi="Times New Roman"/>
          <w:sz w:val="24"/>
          <w:szCs w:val="24"/>
          <w:lang w:val="en-GB"/>
        </w:rPr>
        <w:t>could</w:t>
      </w:r>
      <w:r w:rsidRPr="004E68C0">
        <w:rPr>
          <w:rFonts w:ascii="Times New Roman" w:hAnsi="Times New Roman"/>
          <w:sz w:val="24"/>
          <w:szCs w:val="24"/>
          <w:lang w:val="en-GB"/>
        </w:rPr>
        <w:t xml:space="preserve"> be useful if </w:t>
      </w:r>
      <w:r w:rsidR="004933AE" w:rsidRPr="004E68C0">
        <w:rPr>
          <w:rFonts w:ascii="Times New Roman" w:hAnsi="Times New Roman"/>
          <w:sz w:val="24"/>
          <w:szCs w:val="24"/>
          <w:lang w:val="en-GB"/>
        </w:rPr>
        <w:t xml:space="preserve">it is used only to drive initial </w:t>
      </w:r>
      <w:r w:rsidR="004933AE" w:rsidRPr="00397D0D">
        <w:rPr>
          <w:rFonts w:ascii="Times New Roman" w:hAnsi="Times New Roman"/>
          <w:sz w:val="24"/>
          <w:szCs w:val="24"/>
          <w:lang w:val="en-GB"/>
        </w:rPr>
        <w:t xml:space="preserve">supervisory interest as distinct from driving </w:t>
      </w:r>
      <w:r w:rsidR="004933AE" w:rsidRPr="00894124">
        <w:rPr>
          <w:rFonts w:ascii="Times New Roman" w:hAnsi="Times New Roman"/>
          <w:sz w:val="24"/>
          <w:szCs w:val="24"/>
          <w:lang w:val="en-GB"/>
        </w:rPr>
        <w:t>conclusions directly</w:t>
      </w:r>
      <w:r w:rsidR="00C3182F" w:rsidRPr="00894124">
        <w:rPr>
          <w:rFonts w:ascii="Times New Roman" w:hAnsi="Times New Roman"/>
          <w:sz w:val="24"/>
          <w:szCs w:val="24"/>
          <w:lang w:val="en-GB"/>
        </w:rPr>
        <w:t xml:space="preserve">. </w:t>
      </w:r>
      <w:r w:rsidR="003807A3" w:rsidRPr="004F6FF5">
        <w:rPr>
          <w:rFonts w:ascii="Times New Roman" w:hAnsi="Times New Roman"/>
          <w:sz w:val="24"/>
          <w:szCs w:val="24"/>
          <w:lang w:val="en-GB"/>
        </w:rPr>
        <w:t xml:space="preserve">If used for screening for a more in-depth assessment of the internal approaches the first and fourth quartiles would appear to be too broad a sample as they comprise 50 % of all banks. For that purpose it would be more appropriate to </w:t>
      </w:r>
      <w:r w:rsidR="003807A3" w:rsidRPr="004E68C0">
        <w:rPr>
          <w:rFonts w:ascii="Times New Roman" w:hAnsi="Times New Roman"/>
          <w:sz w:val="24"/>
          <w:szCs w:val="24"/>
          <w:lang w:val="en-GB"/>
        </w:rPr>
        <w:t xml:space="preserve">use a narrower sample, e.g. the first and </w:t>
      </w:r>
      <w:r w:rsidR="00B05E51" w:rsidRPr="004E68C0">
        <w:rPr>
          <w:rFonts w:ascii="Times New Roman" w:hAnsi="Times New Roman"/>
          <w:sz w:val="24"/>
          <w:szCs w:val="24"/>
          <w:lang w:val="en-GB"/>
        </w:rPr>
        <w:t xml:space="preserve">last </w:t>
      </w:r>
      <w:r w:rsidR="003807A3" w:rsidRPr="004E68C0">
        <w:rPr>
          <w:rFonts w:ascii="Times New Roman" w:hAnsi="Times New Roman"/>
          <w:sz w:val="24"/>
          <w:szCs w:val="24"/>
          <w:lang w:val="en-GB"/>
        </w:rPr>
        <w:t>tenth</w:t>
      </w:r>
      <w:r w:rsidR="00B05E51" w:rsidRPr="004E68C0">
        <w:rPr>
          <w:rFonts w:ascii="Times New Roman" w:hAnsi="Times New Roman"/>
          <w:sz w:val="24"/>
          <w:szCs w:val="24"/>
          <w:lang w:val="en-GB"/>
        </w:rPr>
        <w:t>s</w:t>
      </w:r>
      <w:r w:rsidR="00894124">
        <w:rPr>
          <w:rFonts w:ascii="Times New Roman" w:hAnsi="Times New Roman"/>
          <w:sz w:val="24"/>
          <w:szCs w:val="24"/>
          <w:lang w:val="en-GB"/>
        </w:rPr>
        <w:t xml:space="preserve"> (deciles)</w:t>
      </w:r>
      <w:r w:rsidR="003807A3" w:rsidRPr="00894124">
        <w:rPr>
          <w:rFonts w:ascii="Times New Roman" w:hAnsi="Times New Roman"/>
          <w:sz w:val="24"/>
          <w:szCs w:val="24"/>
          <w:lang w:val="en-GB"/>
        </w:rPr>
        <w:t xml:space="preserve">. </w:t>
      </w:r>
    </w:p>
    <w:p w14:paraId="77E7BB08" w14:textId="77777777" w:rsidR="00015350" w:rsidRPr="00D53758" w:rsidRDefault="00015350" w:rsidP="00D53758">
      <w:pPr>
        <w:spacing w:before="120"/>
        <w:jc w:val="both"/>
        <w:rPr>
          <w:rFonts w:ascii="Times New Roman" w:hAnsi="Times New Roman"/>
          <w:sz w:val="24"/>
          <w:szCs w:val="24"/>
          <w:lang w:val="en-GB"/>
        </w:rPr>
      </w:pPr>
      <w:r w:rsidRPr="00D53758">
        <w:rPr>
          <w:rFonts w:ascii="Times New Roman" w:hAnsi="Times New Roman"/>
          <w:sz w:val="24"/>
          <w:szCs w:val="24"/>
          <w:lang w:val="en-GB"/>
        </w:rPr>
        <w:t>On the comparison</w:t>
      </w:r>
      <w:r w:rsidRPr="004E68C0">
        <w:rPr>
          <w:rFonts w:ascii="Times New Roman" w:hAnsi="Times New Roman"/>
          <w:sz w:val="24"/>
          <w:szCs w:val="24"/>
          <w:lang w:val="en-GB"/>
        </w:rPr>
        <w:t xml:space="preserve"> between own funds under internal models and standardised approach: </w:t>
      </w:r>
      <w:r w:rsidRPr="00D53758">
        <w:rPr>
          <w:rFonts w:ascii="Times New Roman" w:hAnsi="Times New Roman"/>
          <w:sz w:val="24"/>
          <w:szCs w:val="24"/>
          <w:lang w:val="en-GB"/>
        </w:rPr>
        <w:t xml:space="preserve"> </w:t>
      </w:r>
    </w:p>
    <w:p w14:paraId="77E7BB09" w14:textId="77777777" w:rsidR="0005532E" w:rsidRDefault="004E68C0" w:rsidP="007B646F">
      <w:pPr>
        <w:pStyle w:val="ListParagraph"/>
        <w:numPr>
          <w:ilvl w:val="0"/>
          <w:numId w:val="31"/>
        </w:numPr>
        <w:spacing w:before="120"/>
        <w:contextualSpacing w:val="0"/>
        <w:jc w:val="both"/>
        <w:rPr>
          <w:rFonts w:ascii="Times New Roman" w:hAnsi="Times New Roman"/>
          <w:sz w:val="24"/>
          <w:szCs w:val="24"/>
          <w:lang w:val="en-GB"/>
        </w:rPr>
      </w:pPr>
      <w:r w:rsidRPr="007B646F">
        <w:rPr>
          <w:rFonts w:ascii="Times New Roman" w:hAnsi="Times New Roman"/>
          <w:sz w:val="24"/>
          <w:szCs w:val="24"/>
          <w:lang w:val="en-GB"/>
        </w:rPr>
        <w:t>We</w:t>
      </w:r>
      <w:r w:rsidR="004933AE" w:rsidRPr="007B646F">
        <w:rPr>
          <w:rFonts w:ascii="Times New Roman" w:hAnsi="Times New Roman"/>
          <w:sz w:val="24"/>
          <w:szCs w:val="24"/>
          <w:lang w:val="en-GB"/>
        </w:rPr>
        <w:t xml:space="preserve"> see no meaningful role for benchmarks based upon standardised risk weights. </w:t>
      </w:r>
    </w:p>
    <w:p w14:paraId="77E7BB0A" w14:textId="77777777" w:rsidR="0005532E" w:rsidRDefault="00015350" w:rsidP="0005532E">
      <w:pPr>
        <w:pStyle w:val="ListParagraph"/>
        <w:numPr>
          <w:ilvl w:val="0"/>
          <w:numId w:val="31"/>
        </w:numPr>
        <w:spacing w:before="120"/>
        <w:contextualSpacing w:val="0"/>
        <w:jc w:val="both"/>
        <w:rPr>
          <w:rFonts w:ascii="Times New Roman" w:hAnsi="Times New Roman"/>
          <w:sz w:val="24"/>
          <w:szCs w:val="24"/>
          <w:lang w:val="en-GB"/>
        </w:rPr>
      </w:pPr>
      <w:r w:rsidRPr="007B646F">
        <w:rPr>
          <w:rFonts w:ascii="Times New Roman" w:hAnsi="Times New Roman"/>
          <w:sz w:val="24"/>
          <w:szCs w:val="24"/>
          <w:lang w:val="en-GB"/>
        </w:rPr>
        <w:t xml:space="preserve">Article 78 </w:t>
      </w:r>
      <w:r w:rsidR="004F6FF5" w:rsidRPr="007B646F">
        <w:rPr>
          <w:rFonts w:ascii="Times New Roman" w:hAnsi="Times New Roman"/>
          <w:sz w:val="24"/>
          <w:szCs w:val="24"/>
          <w:lang w:val="en-GB"/>
        </w:rPr>
        <w:t>does not</w:t>
      </w:r>
      <w:r w:rsidRPr="007B646F">
        <w:rPr>
          <w:rFonts w:ascii="Times New Roman" w:hAnsi="Times New Roman"/>
          <w:sz w:val="24"/>
          <w:szCs w:val="24"/>
          <w:lang w:val="en-GB"/>
        </w:rPr>
        <w:t xml:space="preserve"> mandate the EBA to define a universal absolute benchmark but rather to help competent authorities identifying those approaches “where there is a significant and systematic under- estimation of own funds requirements”. We consider this objective </w:t>
      </w:r>
      <w:r w:rsidR="004E68C0" w:rsidRPr="007B646F">
        <w:rPr>
          <w:rFonts w:ascii="Times New Roman" w:hAnsi="Times New Roman"/>
          <w:sz w:val="24"/>
          <w:szCs w:val="24"/>
          <w:lang w:val="en-GB"/>
        </w:rPr>
        <w:t>cannot</w:t>
      </w:r>
      <w:r w:rsidRPr="007B646F">
        <w:rPr>
          <w:rFonts w:ascii="Times New Roman" w:hAnsi="Times New Roman"/>
          <w:sz w:val="24"/>
          <w:szCs w:val="24"/>
          <w:lang w:val="en-GB"/>
        </w:rPr>
        <w:t xml:space="preserve"> be achieved on the basis of a simplistic indicator but rather </w:t>
      </w:r>
      <w:r w:rsidR="007D767D" w:rsidRPr="007B646F">
        <w:rPr>
          <w:rFonts w:ascii="Times New Roman" w:hAnsi="Times New Roman"/>
          <w:sz w:val="24"/>
          <w:szCs w:val="24"/>
          <w:lang w:val="en-GB"/>
        </w:rPr>
        <w:t>by</w:t>
      </w:r>
      <w:r w:rsidRPr="007B646F">
        <w:rPr>
          <w:rFonts w:ascii="Times New Roman" w:hAnsi="Times New Roman"/>
          <w:sz w:val="24"/>
          <w:szCs w:val="24"/>
          <w:lang w:val="en-GB"/>
        </w:rPr>
        <w:t xml:space="preserve"> thorough analysis of model assumptions and performance. The necessity to define a common absolute benchmark is not obvious to achieve the benchmarking objectives, and the choice of the standard approach as an absolute benchmark is not relevant.</w:t>
      </w:r>
      <w:r w:rsidR="00E80F13" w:rsidRPr="007B646F">
        <w:rPr>
          <w:rFonts w:ascii="Times New Roman" w:hAnsi="Times New Roman"/>
          <w:sz w:val="24"/>
          <w:szCs w:val="24"/>
          <w:lang w:val="en-GB"/>
        </w:rPr>
        <w:t xml:space="preserve">  An additional issue is that in some jurisdictions supervisors have implemented local regulatory discretions (such as the decision of the Belgian National Bank to increase the risk weight of Belgian mortgages), which may result in poor comparability of some portfolios. </w:t>
      </w:r>
    </w:p>
    <w:p w14:paraId="77E7BB0B" w14:textId="77777777" w:rsidR="00E36923" w:rsidRPr="0005532E" w:rsidRDefault="00BB344E" w:rsidP="0005532E">
      <w:pPr>
        <w:pStyle w:val="ListParagraph"/>
        <w:numPr>
          <w:ilvl w:val="0"/>
          <w:numId w:val="31"/>
        </w:numPr>
        <w:spacing w:before="120"/>
        <w:contextualSpacing w:val="0"/>
        <w:jc w:val="both"/>
        <w:rPr>
          <w:rFonts w:ascii="Times New Roman" w:hAnsi="Times New Roman"/>
          <w:sz w:val="24"/>
          <w:szCs w:val="24"/>
          <w:lang w:val="en-GB"/>
        </w:rPr>
      </w:pPr>
      <w:r w:rsidRPr="0005532E">
        <w:rPr>
          <w:rFonts w:ascii="Times New Roman" w:hAnsi="Times New Roman"/>
          <w:sz w:val="24"/>
          <w:szCs w:val="24"/>
          <w:lang w:val="en-GB"/>
        </w:rPr>
        <w:t>For market risk, the benchmark should not be based on the standardised model, which is being reviewed anyway. The EBF advi</w:t>
      </w:r>
      <w:r w:rsidR="004E68C0" w:rsidRPr="0005532E">
        <w:rPr>
          <w:rFonts w:ascii="Times New Roman" w:hAnsi="Times New Roman"/>
          <w:sz w:val="24"/>
          <w:szCs w:val="24"/>
          <w:lang w:val="en-GB"/>
        </w:rPr>
        <w:t>s</w:t>
      </w:r>
      <w:r w:rsidRPr="0005532E">
        <w:rPr>
          <w:rFonts w:ascii="Times New Roman" w:hAnsi="Times New Roman"/>
          <w:sz w:val="24"/>
          <w:szCs w:val="24"/>
          <w:lang w:val="en-GB"/>
        </w:rPr>
        <w:t xml:space="preserve">es the EBA to perform the benchmark based on the values of risk factors instead. We note that </w:t>
      </w:r>
      <w:r w:rsidR="004E68C0" w:rsidRPr="0005532E">
        <w:rPr>
          <w:rFonts w:ascii="Times New Roman" w:hAnsi="Times New Roman"/>
          <w:sz w:val="24"/>
          <w:szCs w:val="24"/>
          <w:lang w:val="en-GB"/>
        </w:rPr>
        <w:t xml:space="preserve">the </w:t>
      </w:r>
      <w:r w:rsidR="00E36923" w:rsidRPr="0005532E">
        <w:rPr>
          <w:rFonts w:ascii="Times New Roman" w:hAnsi="Times New Roman"/>
          <w:sz w:val="24"/>
          <w:szCs w:val="24"/>
          <w:lang w:val="en-GB"/>
        </w:rPr>
        <w:t>EBA proposes that portfolios with specific relevance for EU non-Euro banks should be included in the market risk benchmarking. That is of course of interest, however it should be noted that there are only four banks in Denmark and Sweden altogether with IMAs and currently only one with specific risk approval. Therefore the outcome of the benchmarking will be very limited.</w:t>
      </w:r>
      <w:r w:rsidR="003D16E6" w:rsidRPr="0005532E">
        <w:rPr>
          <w:rFonts w:ascii="Times New Roman" w:hAnsi="Times New Roman"/>
          <w:sz w:val="24"/>
          <w:szCs w:val="24"/>
          <w:lang w:val="en-GB"/>
        </w:rPr>
        <w:t xml:space="preserve"> </w:t>
      </w:r>
    </w:p>
    <w:p w14:paraId="77E7BB0C" w14:textId="77777777" w:rsidR="003D16E6" w:rsidRPr="004E68C0" w:rsidRDefault="003D16E6" w:rsidP="005A4040">
      <w:pPr>
        <w:spacing w:before="120"/>
        <w:jc w:val="both"/>
        <w:rPr>
          <w:rFonts w:ascii="Times New Roman" w:hAnsi="Times New Roman"/>
          <w:sz w:val="24"/>
          <w:szCs w:val="24"/>
          <w:lang w:val="en-GB"/>
        </w:rPr>
      </w:pPr>
      <w:r w:rsidRPr="004E68C0">
        <w:rPr>
          <w:rFonts w:ascii="Times New Roman" w:hAnsi="Times New Roman"/>
          <w:sz w:val="24"/>
          <w:szCs w:val="24"/>
          <w:lang w:val="en-GB"/>
        </w:rPr>
        <w:t xml:space="preserve">As regards the confidence level set at 97.5%, it could prove inappropriate on some portfolios (owing to various sample sizes, or to the weight of expert judgment in the rating process). We wonder whether there is evidence grounded on economic or academic studies </w:t>
      </w:r>
      <w:r w:rsidR="004E68C0">
        <w:rPr>
          <w:rFonts w:ascii="Times New Roman" w:hAnsi="Times New Roman"/>
          <w:sz w:val="24"/>
          <w:szCs w:val="24"/>
          <w:lang w:val="en-GB"/>
        </w:rPr>
        <w:t>establishing</w:t>
      </w:r>
      <w:r w:rsidR="004E68C0" w:rsidRPr="004E68C0">
        <w:rPr>
          <w:rFonts w:ascii="Times New Roman" w:hAnsi="Times New Roman"/>
          <w:sz w:val="24"/>
          <w:szCs w:val="24"/>
          <w:lang w:val="en-GB"/>
        </w:rPr>
        <w:t xml:space="preserve"> </w:t>
      </w:r>
      <w:r w:rsidRPr="004E68C0">
        <w:rPr>
          <w:rFonts w:ascii="Times New Roman" w:hAnsi="Times New Roman"/>
          <w:sz w:val="24"/>
          <w:szCs w:val="24"/>
          <w:lang w:val="en-GB"/>
        </w:rPr>
        <w:t xml:space="preserve">the relevance of such a confidence level. </w:t>
      </w:r>
    </w:p>
    <w:p w14:paraId="77E7BB0D" w14:textId="77777777" w:rsidR="004933AE" w:rsidRPr="00397D0D" w:rsidRDefault="004933AE" w:rsidP="00455409">
      <w:pPr>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5D09" w:rsidRPr="007770DC" w14:paraId="77E7BB0F" w14:textId="77777777" w:rsidTr="00D329B4">
        <w:tc>
          <w:tcPr>
            <w:tcW w:w="9212" w:type="dxa"/>
            <w:shd w:val="clear" w:color="auto" w:fill="auto"/>
          </w:tcPr>
          <w:p w14:paraId="77E7BB0E" w14:textId="77777777" w:rsidR="001F5D09" w:rsidRPr="004E68C0" w:rsidRDefault="00747876" w:rsidP="00D329B4">
            <w:pPr>
              <w:spacing w:before="120"/>
              <w:jc w:val="both"/>
              <w:rPr>
                <w:rFonts w:ascii="Times New Roman" w:hAnsi="Times New Roman"/>
                <w:b/>
                <w:sz w:val="24"/>
                <w:szCs w:val="24"/>
                <w:lang w:val="en-GB"/>
              </w:rPr>
            </w:pPr>
            <w:r w:rsidRPr="004E68C0">
              <w:rPr>
                <w:rFonts w:ascii="Times New Roman" w:hAnsi="Times New Roman"/>
                <w:b/>
                <w:sz w:val="24"/>
                <w:szCs w:val="24"/>
                <w:lang w:val="en-GB"/>
              </w:rPr>
              <w:t>Q4. What in your view is the most appropriate benchmark and/or approach for the assessment of the level of potential underestimation of own funds requirements?</w:t>
            </w:r>
          </w:p>
        </w:tc>
      </w:tr>
    </w:tbl>
    <w:p w14:paraId="77E7BB10" w14:textId="77777777" w:rsidR="001F5D09" w:rsidRPr="004E68C0" w:rsidRDefault="001F5D09" w:rsidP="00455409">
      <w:pPr>
        <w:jc w:val="both"/>
        <w:rPr>
          <w:rFonts w:ascii="Times New Roman" w:hAnsi="Times New Roman"/>
          <w:sz w:val="24"/>
          <w:szCs w:val="24"/>
          <w:lang w:val="en-GB"/>
        </w:rPr>
      </w:pPr>
    </w:p>
    <w:p w14:paraId="2665A3FD" w14:textId="77777777" w:rsidR="007B1D23" w:rsidRDefault="00690CDC" w:rsidP="007B1D23">
      <w:pPr>
        <w:jc w:val="both"/>
        <w:rPr>
          <w:rFonts w:ascii="Times New Roman" w:hAnsi="Times New Roman"/>
          <w:sz w:val="24"/>
          <w:szCs w:val="24"/>
          <w:lang w:val="en-GB"/>
        </w:rPr>
      </w:pPr>
      <w:r w:rsidRPr="004E68C0">
        <w:rPr>
          <w:rFonts w:ascii="Times New Roman" w:hAnsi="Times New Roman"/>
          <w:sz w:val="24"/>
          <w:szCs w:val="24"/>
          <w:lang w:val="en-GB"/>
        </w:rPr>
        <w:t>For credit risk models, t</w:t>
      </w:r>
      <w:r w:rsidR="00F7101F" w:rsidRPr="004E68C0">
        <w:rPr>
          <w:rFonts w:ascii="Times New Roman" w:hAnsi="Times New Roman"/>
          <w:sz w:val="24"/>
          <w:szCs w:val="24"/>
          <w:lang w:val="en-GB"/>
        </w:rPr>
        <w:t xml:space="preserve">he most appropriate </w:t>
      </w:r>
      <w:r w:rsidR="00CA6963" w:rsidRPr="004E68C0">
        <w:rPr>
          <w:rFonts w:ascii="Times New Roman" w:hAnsi="Times New Roman"/>
          <w:sz w:val="24"/>
          <w:szCs w:val="24"/>
          <w:lang w:val="en-GB"/>
        </w:rPr>
        <w:t xml:space="preserve">approach </w:t>
      </w:r>
      <w:r w:rsidR="00F7101F" w:rsidRPr="004E68C0">
        <w:rPr>
          <w:rFonts w:ascii="Times New Roman" w:hAnsi="Times New Roman"/>
          <w:sz w:val="24"/>
          <w:szCs w:val="24"/>
          <w:lang w:val="en-GB"/>
        </w:rPr>
        <w:t xml:space="preserve">to test potential underestimation of own funds requirements is the comparison between models’ estimates </w:t>
      </w:r>
      <w:r w:rsidRPr="00397D0D">
        <w:rPr>
          <w:rFonts w:ascii="Times New Roman" w:hAnsi="Times New Roman"/>
          <w:sz w:val="24"/>
          <w:szCs w:val="24"/>
          <w:lang w:val="en-GB"/>
        </w:rPr>
        <w:t xml:space="preserve">of risk parameters (i.e. PD, LGD and CF) </w:t>
      </w:r>
      <w:r w:rsidR="00F7101F" w:rsidRPr="004F6FF5">
        <w:rPr>
          <w:rFonts w:ascii="Times New Roman" w:hAnsi="Times New Roman"/>
          <w:sz w:val="24"/>
          <w:szCs w:val="24"/>
          <w:lang w:val="en-GB"/>
        </w:rPr>
        <w:t xml:space="preserve">and actual </w:t>
      </w:r>
      <w:r w:rsidRPr="00850B39">
        <w:rPr>
          <w:rFonts w:ascii="Times New Roman" w:hAnsi="Times New Roman"/>
          <w:sz w:val="24"/>
          <w:szCs w:val="24"/>
          <w:lang w:val="en-GB"/>
        </w:rPr>
        <w:t>outturns in these parameters</w:t>
      </w:r>
      <w:r w:rsidR="00F7101F" w:rsidRPr="004E68C0">
        <w:rPr>
          <w:rFonts w:ascii="Times New Roman" w:hAnsi="Times New Roman"/>
          <w:sz w:val="24"/>
          <w:szCs w:val="24"/>
          <w:lang w:val="en-GB"/>
        </w:rPr>
        <w:t xml:space="preserve">. </w:t>
      </w:r>
      <w:r w:rsidR="004E68C0">
        <w:rPr>
          <w:rFonts w:ascii="Times New Roman" w:hAnsi="Times New Roman"/>
          <w:sz w:val="24"/>
          <w:szCs w:val="24"/>
          <w:lang w:val="en-GB"/>
        </w:rPr>
        <w:t>As discussed above, s</w:t>
      </w:r>
      <w:r w:rsidRPr="004E68C0">
        <w:rPr>
          <w:rFonts w:ascii="Times New Roman" w:hAnsi="Times New Roman"/>
          <w:sz w:val="24"/>
          <w:szCs w:val="24"/>
          <w:lang w:val="en-GB"/>
        </w:rPr>
        <w:t xml:space="preserve">uch tests should account for the philosophy of the risk parameter (e.g. through-the-cycle) and the current economic environment.  </w:t>
      </w:r>
      <w:r w:rsidR="0069698F" w:rsidRPr="004E68C0">
        <w:rPr>
          <w:rFonts w:ascii="Times New Roman" w:hAnsi="Times New Roman"/>
          <w:sz w:val="24"/>
          <w:szCs w:val="24"/>
          <w:lang w:val="en-GB"/>
        </w:rPr>
        <w:t xml:space="preserve">This approach has the advantage of naturally reflecting the risk </w:t>
      </w:r>
    </w:p>
    <w:p w14:paraId="4FF2D790" w14:textId="77777777" w:rsidR="007B1D23" w:rsidRDefault="007B1D23" w:rsidP="00455409">
      <w:pPr>
        <w:jc w:val="both"/>
        <w:rPr>
          <w:rFonts w:ascii="Times New Roman" w:hAnsi="Times New Roman"/>
          <w:sz w:val="24"/>
          <w:szCs w:val="24"/>
          <w:lang w:val="en-GB"/>
        </w:rPr>
      </w:pPr>
    </w:p>
    <w:p w14:paraId="77E7BB11" w14:textId="2450E566" w:rsidR="001F5D09" w:rsidRPr="004E68C0" w:rsidRDefault="0069698F" w:rsidP="00455409">
      <w:pPr>
        <w:jc w:val="both"/>
        <w:rPr>
          <w:rFonts w:ascii="Times New Roman" w:hAnsi="Times New Roman"/>
          <w:sz w:val="24"/>
          <w:szCs w:val="24"/>
          <w:lang w:val="en-GB"/>
        </w:rPr>
      </w:pPr>
      <w:r w:rsidRPr="004E68C0">
        <w:rPr>
          <w:rFonts w:ascii="Times New Roman" w:hAnsi="Times New Roman"/>
          <w:sz w:val="24"/>
          <w:szCs w:val="24"/>
          <w:lang w:val="en-GB"/>
        </w:rPr>
        <w:t xml:space="preserve">appetites of individual firms.  </w:t>
      </w:r>
      <w:r w:rsidR="005204AD" w:rsidRPr="004E68C0">
        <w:rPr>
          <w:rFonts w:ascii="Times New Roman" w:hAnsi="Times New Roman"/>
          <w:sz w:val="24"/>
          <w:szCs w:val="24"/>
          <w:lang w:val="en-GB"/>
        </w:rPr>
        <w:t>For market risk, the most appropriate test</w:t>
      </w:r>
      <w:r w:rsidR="00690CDC" w:rsidRPr="004E68C0">
        <w:rPr>
          <w:rFonts w:ascii="Times New Roman" w:hAnsi="Times New Roman"/>
          <w:sz w:val="24"/>
          <w:szCs w:val="24"/>
          <w:lang w:val="en-GB"/>
        </w:rPr>
        <w:t>s</w:t>
      </w:r>
      <w:r w:rsidR="005204AD" w:rsidRPr="004E68C0">
        <w:rPr>
          <w:rFonts w:ascii="Times New Roman" w:hAnsi="Times New Roman"/>
          <w:sz w:val="24"/>
          <w:szCs w:val="24"/>
          <w:lang w:val="en-GB"/>
        </w:rPr>
        <w:t xml:space="preserve"> are the internal back testing results. Benchmarking can add a lot of value in this domain, provided the differences in risk factors are well understood. </w:t>
      </w:r>
    </w:p>
    <w:p w14:paraId="77E7BB12" w14:textId="77777777" w:rsidR="00D22F73" w:rsidRPr="004F6FF5" w:rsidRDefault="00BA5A44" w:rsidP="00455409">
      <w:pPr>
        <w:jc w:val="both"/>
        <w:rPr>
          <w:rFonts w:ascii="Times New Roman" w:hAnsi="Times New Roman"/>
          <w:sz w:val="24"/>
          <w:szCs w:val="24"/>
          <w:lang w:val="en-GB"/>
        </w:rPr>
      </w:pPr>
      <w:r w:rsidRPr="004E68C0">
        <w:rPr>
          <w:rFonts w:ascii="Times New Roman" w:hAnsi="Times New Roman"/>
          <w:sz w:val="24"/>
          <w:szCs w:val="24"/>
          <w:lang w:val="en-GB"/>
        </w:rPr>
        <w:t>Analysts have published studies based on pillar 3 reports with comparisons between model forecasts and actual losses. Reportedly, m</w:t>
      </w:r>
      <w:r w:rsidRPr="00397D0D">
        <w:rPr>
          <w:rFonts w:ascii="Times New Roman" w:hAnsi="Times New Roman"/>
          <w:sz w:val="24"/>
          <w:szCs w:val="24"/>
          <w:lang w:val="en-GB"/>
        </w:rPr>
        <w:t xml:space="preserve">ost of the banks show actual losses way below the estimates across all portfolios even during the years after the wake of the crisis. </w:t>
      </w:r>
    </w:p>
    <w:p w14:paraId="77E7BB13" w14:textId="77777777" w:rsidR="00D22F73" w:rsidRPr="004E68C0" w:rsidRDefault="00D22F73" w:rsidP="00455409">
      <w:pPr>
        <w:jc w:val="both"/>
        <w:rPr>
          <w:rFonts w:ascii="Times New Roman" w:hAnsi="Times New Roman"/>
          <w:sz w:val="24"/>
          <w:szCs w:val="24"/>
          <w:lang w:val="en-GB"/>
        </w:rPr>
      </w:pPr>
      <w:r w:rsidRPr="004E68C0">
        <w:rPr>
          <w:rFonts w:ascii="Times New Roman" w:hAnsi="Times New Roman"/>
          <w:sz w:val="24"/>
          <w:szCs w:val="24"/>
          <w:lang w:val="en-GB"/>
        </w:rPr>
        <w:t>Evidence clearly indicates that the problem of modelling differences is not the underestimation of capital requirements but the difficulties posed in the comparative analysis of institutions. This needs to be clearly understood by analysts, investors, the media and other stakeholders.</w:t>
      </w:r>
    </w:p>
    <w:p w14:paraId="77E7BB14" w14:textId="77777777" w:rsidR="001F5D09" w:rsidRPr="004E68C0" w:rsidRDefault="001F5D09" w:rsidP="00455409">
      <w:pPr>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5D09" w:rsidRPr="007770DC" w14:paraId="77E7BB16" w14:textId="77777777" w:rsidTr="00D329B4">
        <w:tc>
          <w:tcPr>
            <w:tcW w:w="9212" w:type="dxa"/>
            <w:shd w:val="clear" w:color="auto" w:fill="auto"/>
          </w:tcPr>
          <w:p w14:paraId="77E7BB15" w14:textId="77777777" w:rsidR="001F5D09" w:rsidRPr="004E68C0" w:rsidRDefault="000A5EA8" w:rsidP="00D329B4">
            <w:pPr>
              <w:spacing w:before="120"/>
              <w:jc w:val="both"/>
              <w:rPr>
                <w:rFonts w:ascii="Times New Roman" w:hAnsi="Times New Roman"/>
                <w:b/>
                <w:sz w:val="24"/>
                <w:szCs w:val="24"/>
                <w:lang w:val="en-GB"/>
              </w:rPr>
            </w:pPr>
            <w:r w:rsidRPr="004E68C0">
              <w:rPr>
                <w:rFonts w:ascii="Times New Roman" w:hAnsi="Times New Roman"/>
                <w:b/>
                <w:sz w:val="24"/>
                <w:szCs w:val="24"/>
                <w:lang w:val="en-GB"/>
              </w:rPr>
              <w:t xml:space="preserve">Q5. Which set of market risk portfolios do you consider more appropriate for the initial exercise conducted under Article 78? </w:t>
            </w:r>
          </w:p>
        </w:tc>
      </w:tr>
    </w:tbl>
    <w:p w14:paraId="77E7BB17" w14:textId="77777777" w:rsidR="001F5D09" w:rsidRPr="004E68C0" w:rsidRDefault="001F5D09" w:rsidP="00455409">
      <w:pPr>
        <w:jc w:val="both"/>
        <w:rPr>
          <w:rFonts w:ascii="Times New Roman" w:hAnsi="Times New Roman"/>
          <w:sz w:val="24"/>
          <w:szCs w:val="24"/>
          <w:lang w:val="en-GB"/>
        </w:rPr>
      </w:pPr>
    </w:p>
    <w:p w14:paraId="77E7BB18" w14:textId="77777777" w:rsidR="00427320" w:rsidRPr="004E68C0" w:rsidRDefault="00C5113A" w:rsidP="00C5113A">
      <w:pPr>
        <w:jc w:val="both"/>
        <w:rPr>
          <w:rFonts w:ascii="Times New Roman" w:hAnsi="Times New Roman"/>
          <w:sz w:val="24"/>
          <w:szCs w:val="24"/>
          <w:lang w:val="en-GB"/>
        </w:rPr>
      </w:pPr>
      <w:r w:rsidRPr="00397D0D">
        <w:rPr>
          <w:rFonts w:ascii="Times New Roman" w:hAnsi="Times New Roman"/>
          <w:sz w:val="24"/>
          <w:szCs w:val="24"/>
          <w:lang w:val="en-GB"/>
        </w:rPr>
        <w:t xml:space="preserve">Regarding the options presented in the consultative document for market risk internal </w:t>
      </w:r>
      <w:r w:rsidR="0034555E" w:rsidRPr="00397D0D">
        <w:rPr>
          <w:rFonts w:ascii="Times New Roman" w:hAnsi="Times New Roman"/>
          <w:sz w:val="24"/>
          <w:szCs w:val="24"/>
          <w:lang w:val="en-GB"/>
        </w:rPr>
        <w:t>models;</w:t>
      </w:r>
      <w:r w:rsidRPr="00894124">
        <w:rPr>
          <w:rFonts w:ascii="Times New Roman" w:hAnsi="Times New Roman"/>
          <w:sz w:val="24"/>
          <w:szCs w:val="24"/>
          <w:lang w:val="en-GB"/>
        </w:rPr>
        <w:t xml:space="preserve"> feedback received from our members clearly indicates that the EBF would favour the second option, namely the use of the same portfolios as in the hypothetical portfolio exercises of the Basel Committee and the EBA.</w:t>
      </w:r>
      <w:r w:rsidR="00B05E51" w:rsidRPr="004F6FF5">
        <w:rPr>
          <w:rFonts w:ascii="Times New Roman" w:hAnsi="Times New Roman"/>
          <w:sz w:val="24"/>
          <w:szCs w:val="24"/>
          <w:lang w:val="en-GB"/>
        </w:rPr>
        <w:t xml:space="preserve"> </w:t>
      </w:r>
      <w:r w:rsidR="00427320" w:rsidRPr="00850B39">
        <w:rPr>
          <w:rFonts w:ascii="Times New Roman" w:hAnsi="Times New Roman"/>
          <w:sz w:val="24"/>
          <w:szCs w:val="24"/>
          <w:lang w:val="en-GB"/>
        </w:rPr>
        <w:t xml:space="preserve">Based on the experience of our members, </w:t>
      </w:r>
      <w:r w:rsidR="00FB5A57" w:rsidRPr="00850B39">
        <w:rPr>
          <w:rFonts w:ascii="Times New Roman" w:hAnsi="Times New Roman"/>
          <w:sz w:val="24"/>
          <w:szCs w:val="24"/>
          <w:lang w:val="en-GB"/>
        </w:rPr>
        <w:t>using</w:t>
      </w:r>
      <w:r w:rsidR="00427320" w:rsidRPr="00850B39">
        <w:rPr>
          <w:rFonts w:ascii="Times New Roman" w:hAnsi="Times New Roman"/>
          <w:sz w:val="24"/>
          <w:szCs w:val="24"/>
          <w:lang w:val="en-GB"/>
        </w:rPr>
        <w:t xml:space="preserve"> existing </w:t>
      </w:r>
      <w:r w:rsidR="00FB5A57" w:rsidRPr="00850B39">
        <w:rPr>
          <w:rFonts w:ascii="Times New Roman" w:hAnsi="Times New Roman"/>
          <w:sz w:val="24"/>
          <w:szCs w:val="24"/>
          <w:lang w:val="en-GB"/>
        </w:rPr>
        <w:t xml:space="preserve">high quality </w:t>
      </w:r>
      <w:r w:rsidR="00427320" w:rsidRPr="004E68C0">
        <w:rPr>
          <w:rFonts w:ascii="Times New Roman" w:hAnsi="Times New Roman"/>
          <w:sz w:val="24"/>
          <w:szCs w:val="24"/>
          <w:lang w:val="en-GB"/>
        </w:rPr>
        <w:t xml:space="preserve">portfolios will </w:t>
      </w:r>
      <w:r w:rsidR="00FB5A57" w:rsidRPr="004E68C0">
        <w:rPr>
          <w:rFonts w:ascii="Times New Roman" w:hAnsi="Times New Roman"/>
          <w:sz w:val="24"/>
          <w:szCs w:val="24"/>
          <w:lang w:val="en-GB"/>
        </w:rPr>
        <w:t xml:space="preserve">produce better results and </w:t>
      </w:r>
      <w:r w:rsidR="00427320" w:rsidRPr="004E68C0">
        <w:rPr>
          <w:rFonts w:ascii="Times New Roman" w:hAnsi="Times New Roman"/>
          <w:sz w:val="24"/>
          <w:szCs w:val="24"/>
          <w:lang w:val="en-GB"/>
        </w:rPr>
        <w:t>reduce the development effort required.</w:t>
      </w:r>
      <w:r w:rsidR="00FB5A57" w:rsidRPr="004E68C0">
        <w:rPr>
          <w:rFonts w:ascii="Times New Roman" w:hAnsi="Times New Roman"/>
          <w:sz w:val="24"/>
          <w:szCs w:val="24"/>
          <w:lang w:val="en-GB"/>
        </w:rPr>
        <w:t xml:space="preserve"> </w:t>
      </w:r>
    </w:p>
    <w:p w14:paraId="77E7BB19" w14:textId="77777777" w:rsidR="00FC705D" w:rsidRPr="004E68C0" w:rsidRDefault="00B05E51" w:rsidP="00C5113A">
      <w:pPr>
        <w:jc w:val="both"/>
        <w:rPr>
          <w:rFonts w:ascii="Times New Roman" w:hAnsi="Times New Roman"/>
          <w:sz w:val="24"/>
          <w:szCs w:val="24"/>
          <w:lang w:val="en-GB"/>
        </w:rPr>
      </w:pPr>
      <w:r w:rsidRPr="004E68C0">
        <w:rPr>
          <w:rFonts w:ascii="Times New Roman" w:hAnsi="Times New Roman"/>
          <w:sz w:val="24"/>
          <w:szCs w:val="24"/>
          <w:lang w:val="en-GB"/>
        </w:rPr>
        <w:t xml:space="preserve">However, for banks which do not already participate in the exercise of the Basel Committee the second option could be unduly burdensome as it would entail portfolio set up costs in order first to apply the Basel portfolio for the 2014 exercise and later new portfolio set up costs in order to apply an EBA portfolio for 2015 onwards. We therefore urge the EBA to consider the possibility of exempting banks which do not already participate in the exercise of the Basel Committee from the 2014 exercise or, alternatively, to develop the EBA portfolio to be used from the outset, while allowing banks already participating in the Basel exercise the option to use the Basel portfolio for the 2014 exercise. </w:t>
      </w:r>
    </w:p>
    <w:p w14:paraId="77E7BB1A" w14:textId="77777777" w:rsidR="00C5113A" w:rsidRDefault="00C5113A" w:rsidP="00FC705D">
      <w:pPr>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5D09" w:rsidRPr="007770DC" w14:paraId="77E7BB1D" w14:textId="77777777" w:rsidTr="007B1D23">
        <w:tc>
          <w:tcPr>
            <w:tcW w:w="9060" w:type="dxa"/>
            <w:shd w:val="clear" w:color="auto" w:fill="auto"/>
          </w:tcPr>
          <w:p w14:paraId="77E7BB1C" w14:textId="77777777" w:rsidR="001F5D09" w:rsidRPr="004E68C0" w:rsidRDefault="000A5EA8" w:rsidP="00D329B4">
            <w:pPr>
              <w:spacing w:before="120"/>
              <w:jc w:val="both"/>
              <w:rPr>
                <w:rFonts w:ascii="Times New Roman" w:hAnsi="Times New Roman"/>
                <w:b/>
                <w:sz w:val="24"/>
                <w:szCs w:val="24"/>
                <w:lang w:val="en-GB"/>
              </w:rPr>
            </w:pPr>
            <w:r w:rsidRPr="004E68C0">
              <w:rPr>
                <w:rFonts w:ascii="Times New Roman" w:hAnsi="Times New Roman"/>
                <w:b/>
                <w:sz w:val="24"/>
                <w:szCs w:val="24"/>
                <w:lang w:val="en-GB"/>
              </w:rPr>
              <w:t xml:space="preserve">Q6. As explained in the background section, do you consider the approach proposed by the EBA appropriate for future annual exercises? </w:t>
            </w:r>
          </w:p>
        </w:tc>
      </w:tr>
    </w:tbl>
    <w:p w14:paraId="77E7BB1E" w14:textId="77777777" w:rsidR="001F5D09" w:rsidRPr="004E68C0" w:rsidRDefault="001F5D09" w:rsidP="006B5CBB">
      <w:pPr>
        <w:jc w:val="both"/>
        <w:rPr>
          <w:rFonts w:ascii="Times New Roman" w:hAnsi="Times New Roman"/>
          <w:sz w:val="24"/>
          <w:szCs w:val="24"/>
          <w:lang w:val="en-GB"/>
        </w:rPr>
      </w:pPr>
    </w:p>
    <w:p w14:paraId="77E7BB1F" w14:textId="77777777" w:rsidR="0089588C" w:rsidRPr="004E68C0" w:rsidRDefault="009B2319" w:rsidP="00455409">
      <w:pPr>
        <w:jc w:val="both"/>
        <w:rPr>
          <w:rFonts w:ascii="Times New Roman" w:hAnsi="Times New Roman"/>
          <w:sz w:val="24"/>
          <w:szCs w:val="24"/>
          <w:lang w:val="en-GB"/>
        </w:rPr>
      </w:pPr>
      <w:r w:rsidRPr="004E68C0">
        <w:rPr>
          <w:rFonts w:ascii="Times New Roman" w:hAnsi="Times New Roman"/>
          <w:sz w:val="24"/>
          <w:szCs w:val="24"/>
          <w:lang w:val="en-GB"/>
        </w:rPr>
        <w:t>Firstly, w</w:t>
      </w:r>
      <w:r w:rsidR="0089588C" w:rsidRPr="004E68C0">
        <w:rPr>
          <w:rFonts w:ascii="Times New Roman" w:hAnsi="Times New Roman"/>
          <w:sz w:val="24"/>
          <w:szCs w:val="24"/>
          <w:lang w:val="en-GB"/>
        </w:rPr>
        <w:t xml:space="preserve">e would like to request the </w:t>
      </w:r>
      <w:r w:rsidR="0089588C" w:rsidRPr="00B36639">
        <w:rPr>
          <w:rFonts w:ascii="Times New Roman" w:hAnsi="Times New Roman"/>
          <w:sz w:val="24"/>
          <w:szCs w:val="24"/>
          <w:lang w:val="en-GB"/>
        </w:rPr>
        <w:t>EBA to deliver</w:t>
      </w:r>
      <w:r w:rsidR="0089588C" w:rsidRPr="007D767D">
        <w:rPr>
          <w:rFonts w:ascii="Times New Roman" w:hAnsi="Times New Roman"/>
          <w:sz w:val="24"/>
          <w:szCs w:val="24"/>
          <w:lang w:val="en-GB"/>
        </w:rPr>
        <w:t xml:space="preserve"> portfolio specifications to banks well in advance of the exercises. Booking positions in test portfolios, checking them and performing validation processes requires </w:t>
      </w:r>
      <w:r w:rsidR="0089588C" w:rsidRPr="00397D0D">
        <w:rPr>
          <w:rFonts w:ascii="Times New Roman" w:hAnsi="Times New Roman"/>
          <w:sz w:val="24"/>
          <w:szCs w:val="24"/>
          <w:lang w:val="en-GB"/>
        </w:rPr>
        <w:t xml:space="preserve">a minimum </w:t>
      </w:r>
      <w:r w:rsidR="0089588C" w:rsidRPr="00894124">
        <w:rPr>
          <w:rFonts w:ascii="Times New Roman" w:hAnsi="Times New Roman"/>
          <w:sz w:val="24"/>
          <w:szCs w:val="24"/>
          <w:lang w:val="en-GB"/>
        </w:rPr>
        <w:t xml:space="preserve">time for preparatory tasks of at least 6 months. </w:t>
      </w:r>
      <w:r w:rsidRPr="00894124">
        <w:rPr>
          <w:rFonts w:ascii="Times New Roman" w:hAnsi="Times New Roman"/>
          <w:sz w:val="24"/>
          <w:szCs w:val="24"/>
          <w:lang w:val="en-GB"/>
        </w:rPr>
        <w:t xml:space="preserve">It would also be important to avoid </w:t>
      </w:r>
      <w:r w:rsidR="0089588C" w:rsidRPr="004F6FF5">
        <w:rPr>
          <w:rFonts w:ascii="Times New Roman" w:hAnsi="Times New Roman"/>
          <w:sz w:val="24"/>
          <w:szCs w:val="24"/>
          <w:lang w:val="en-GB"/>
        </w:rPr>
        <w:t xml:space="preserve">multiple iterations of </w:t>
      </w:r>
      <w:r w:rsidR="0089588C" w:rsidRPr="00850B39">
        <w:rPr>
          <w:rFonts w:ascii="Times New Roman" w:hAnsi="Times New Roman"/>
          <w:sz w:val="24"/>
          <w:szCs w:val="24"/>
          <w:lang w:val="en-GB"/>
        </w:rPr>
        <w:t>instructions or late</w:t>
      </w:r>
      <w:r w:rsidRPr="00850B39">
        <w:rPr>
          <w:rFonts w:ascii="Times New Roman" w:hAnsi="Times New Roman"/>
          <w:sz w:val="24"/>
          <w:szCs w:val="24"/>
          <w:lang w:val="en-GB"/>
        </w:rPr>
        <w:t>r</w:t>
      </w:r>
      <w:r w:rsidR="0089588C" w:rsidRPr="00850B39">
        <w:rPr>
          <w:rFonts w:ascii="Times New Roman" w:hAnsi="Times New Roman"/>
          <w:sz w:val="24"/>
          <w:szCs w:val="24"/>
          <w:lang w:val="en-GB"/>
        </w:rPr>
        <w:t xml:space="preserve"> changes to the portfolios.</w:t>
      </w:r>
      <w:r w:rsidR="0089588C" w:rsidRPr="004E68C0">
        <w:rPr>
          <w:rFonts w:ascii="Times New Roman" w:hAnsi="Times New Roman"/>
          <w:sz w:val="24"/>
          <w:szCs w:val="24"/>
          <w:lang w:val="en-GB"/>
        </w:rPr>
        <w:t xml:space="preserve"> </w:t>
      </w:r>
    </w:p>
    <w:p w14:paraId="77E7BB20" w14:textId="77777777" w:rsidR="001F5D09" w:rsidRPr="004E68C0" w:rsidRDefault="00C5113A" w:rsidP="00455409">
      <w:pPr>
        <w:jc w:val="both"/>
        <w:rPr>
          <w:rFonts w:ascii="Times New Roman" w:hAnsi="Times New Roman"/>
          <w:sz w:val="24"/>
          <w:szCs w:val="24"/>
          <w:lang w:val="en-GB"/>
        </w:rPr>
      </w:pPr>
      <w:r w:rsidRPr="004E68C0">
        <w:rPr>
          <w:rFonts w:ascii="Times New Roman" w:hAnsi="Times New Roman"/>
          <w:sz w:val="24"/>
          <w:szCs w:val="24"/>
          <w:lang w:val="en-GB"/>
        </w:rPr>
        <w:t xml:space="preserve">Due to the current divergent background of practices the current benchmarking proposal </w:t>
      </w:r>
      <w:r w:rsidR="00FE77F4" w:rsidRPr="004E68C0">
        <w:rPr>
          <w:rFonts w:ascii="Times New Roman" w:hAnsi="Times New Roman"/>
          <w:sz w:val="24"/>
          <w:szCs w:val="24"/>
          <w:lang w:val="en-GB"/>
        </w:rPr>
        <w:t xml:space="preserve">for credit risk </w:t>
      </w:r>
      <w:r w:rsidRPr="004E68C0">
        <w:rPr>
          <w:rFonts w:ascii="Times New Roman" w:hAnsi="Times New Roman"/>
          <w:sz w:val="24"/>
          <w:szCs w:val="24"/>
          <w:lang w:val="en-GB"/>
        </w:rPr>
        <w:t>hardly justifies its cost with the limited utility it has to offer. In order to achieve a more fruitful and meaningful step towards consistency of internal approaches, additional guidance on these approaches should be developed.  The role of benchmarking can then develop in a more meaningful way.</w:t>
      </w:r>
      <w:r w:rsidR="001F5D09" w:rsidRPr="004E68C0">
        <w:rPr>
          <w:rFonts w:ascii="Times New Roman" w:hAnsi="Times New Roman"/>
          <w:sz w:val="24"/>
          <w:szCs w:val="24"/>
          <w:lang w:val="en-GB"/>
        </w:rPr>
        <w:t xml:space="preserve"> </w:t>
      </w:r>
    </w:p>
    <w:p w14:paraId="45080F30" w14:textId="77777777" w:rsidR="007B1D23" w:rsidRDefault="007B1D23" w:rsidP="00455409">
      <w:pPr>
        <w:jc w:val="both"/>
        <w:rPr>
          <w:rFonts w:ascii="Times New Roman" w:hAnsi="Times New Roman"/>
          <w:sz w:val="24"/>
          <w:szCs w:val="24"/>
          <w:lang w:val="en-GB"/>
        </w:rPr>
      </w:pPr>
    </w:p>
    <w:p w14:paraId="77E7BB21" w14:textId="77777777" w:rsidR="00C87701" w:rsidRPr="004E68C0" w:rsidRDefault="00C87701" w:rsidP="00455409">
      <w:pPr>
        <w:jc w:val="both"/>
        <w:rPr>
          <w:rFonts w:ascii="Times New Roman" w:hAnsi="Times New Roman"/>
          <w:sz w:val="24"/>
          <w:szCs w:val="24"/>
          <w:lang w:val="en-GB"/>
        </w:rPr>
      </w:pPr>
      <w:r w:rsidRPr="004E68C0">
        <w:rPr>
          <w:rFonts w:ascii="Times New Roman" w:hAnsi="Times New Roman"/>
          <w:sz w:val="24"/>
          <w:szCs w:val="24"/>
          <w:lang w:val="en-GB"/>
        </w:rPr>
        <w:t>As to the design of the benchmark portfolio, it seems to EBF members that the use of non-existing transactions is unrealistic and should therefore be reconsidered. Banks should use transaction</w:t>
      </w:r>
      <w:r w:rsidR="00FE77F4" w:rsidRPr="004E68C0">
        <w:rPr>
          <w:rFonts w:ascii="Times New Roman" w:hAnsi="Times New Roman"/>
          <w:sz w:val="24"/>
          <w:szCs w:val="24"/>
          <w:lang w:val="en-GB"/>
        </w:rPr>
        <w:t xml:space="preserve"> type</w:t>
      </w:r>
      <w:r w:rsidRPr="004E68C0">
        <w:rPr>
          <w:rFonts w:ascii="Times New Roman" w:hAnsi="Times New Roman"/>
          <w:sz w:val="24"/>
          <w:szCs w:val="24"/>
          <w:lang w:val="en-GB"/>
        </w:rPr>
        <w:t xml:space="preserve">s present in their portfolios otherwise the meaningfulness of the benchmark exercise is questionable. Risk assessment is not a mere calculation engine but it is a wider discipline involving qualitative assessment, internal controls, governance and other features; the quantitative element is just one more part of risk management. </w:t>
      </w:r>
      <w:r w:rsidR="00FE77F4" w:rsidRPr="004E68C0">
        <w:rPr>
          <w:rFonts w:ascii="Times New Roman" w:hAnsi="Times New Roman"/>
          <w:sz w:val="24"/>
          <w:szCs w:val="24"/>
          <w:lang w:val="en-GB"/>
        </w:rPr>
        <w:t xml:space="preserve">It is important to analyse and understand the root causes of the differences. </w:t>
      </w:r>
    </w:p>
    <w:p w14:paraId="77E7BB22" w14:textId="77777777" w:rsidR="00EF098F" w:rsidRPr="004E68C0" w:rsidRDefault="00EF098F" w:rsidP="00EF098F">
      <w:pPr>
        <w:jc w:val="both"/>
        <w:rPr>
          <w:rFonts w:ascii="Times New Roman" w:hAnsi="Times New Roman"/>
          <w:sz w:val="24"/>
          <w:szCs w:val="24"/>
          <w:lang w:val="en-GB"/>
        </w:rPr>
      </w:pPr>
      <w:r w:rsidRPr="004E68C0">
        <w:rPr>
          <w:rFonts w:ascii="Times New Roman" w:hAnsi="Times New Roman"/>
          <w:sz w:val="24"/>
          <w:szCs w:val="24"/>
          <w:lang w:val="en-GB"/>
        </w:rPr>
        <w:t xml:space="preserve">We would like to focus our comments on the use of HPE for LDP: this approach seems very hard to use, especially as far as secured LGD is concerned, mainly for these reasons: </w:t>
      </w:r>
    </w:p>
    <w:p w14:paraId="77E7BB23" w14:textId="77777777" w:rsidR="00EF098F" w:rsidRPr="00D53758" w:rsidRDefault="00EF098F" w:rsidP="00D53758">
      <w:pPr>
        <w:pStyle w:val="ListParagraph"/>
        <w:numPr>
          <w:ilvl w:val="0"/>
          <w:numId w:val="37"/>
        </w:numPr>
        <w:spacing w:before="120"/>
        <w:ind w:left="714" w:hanging="357"/>
        <w:contextualSpacing w:val="0"/>
        <w:jc w:val="both"/>
        <w:rPr>
          <w:rFonts w:ascii="Times New Roman" w:hAnsi="Times New Roman"/>
          <w:sz w:val="24"/>
          <w:szCs w:val="24"/>
          <w:lang w:val="en-GB"/>
        </w:rPr>
      </w:pPr>
      <w:r w:rsidRPr="004E68C0">
        <w:rPr>
          <w:rFonts w:ascii="Times New Roman" w:hAnsi="Times New Roman"/>
          <w:sz w:val="24"/>
          <w:szCs w:val="24"/>
          <w:lang w:val="en-GB"/>
        </w:rPr>
        <w:t xml:space="preserve">In contrast to previous HPE which used existing transactions, this one proposes </w:t>
      </w:r>
      <w:r w:rsidRPr="00D53758">
        <w:rPr>
          <w:rFonts w:ascii="Times New Roman" w:hAnsi="Times New Roman"/>
          <w:sz w:val="24"/>
          <w:szCs w:val="24"/>
          <w:lang w:val="en-GB"/>
        </w:rPr>
        <w:t xml:space="preserve">underlying transactions </w:t>
      </w:r>
      <w:r w:rsidRPr="004E68C0">
        <w:rPr>
          <w:rFonts w:ascii="Times New Roman" w:hAnsi="Times New Roman"/>
          <w:sz w:val="24"/>
          <w:szCs w:val="24"/>
          <w:lang w:val="en-GB"/>
        </w:rPr>
        <w:t xml:space="preserve">that do </w:t>
      </w:r>
      <w:r w:rsidRPr="00D53758">
        <w:rPr>
          <w:rFonts w:ascii="Times New Roman" w:hAnsi="Times New Roman"/>
          <w:sz w:val="24"/>
          <w:szCs w:val="24"/>
          <w:lang w:val="en-GB"/>
        </w:rPr>
        <w:t>not exist</w:t>
      </w:r>
      <w:r w:rsidRPr="004E68C0">
        <w:rPr>
          <w:rFonts w:ascii="Times New Roman" w:hAnsi="Times New Roman"/>
          <w:sz w:val="24"/>
          <w:szCs w:val="24"/>
          <w:lang w:val="en-GB"/>
        </w:rPr>
        <w:t xml:space="preserve"> in the bank’s portfolio</w:t>
      </w:r>
      <w:r w:rsidRPr="00D53758">
        <w:rPr>
          <w:rFonts w:ascii="Times New Roman" w:hAnsi="Times New Roman"/>
          <w:sz w:val="24"/>
          <w:szCs w:val="24"/>
          <w:lang w:val="en-GB"/>
        </w:rPr>
        <w:t xml:space="preserve">. </w:t>
      </w:r>
      <w:r w:rsidRPr="004E68C0">
        <w:rPr>
          <w:rFonts w:ascii="Times New Roman" w:hAnsi="Times New Roman"/>
          <w:sz w:val="24"/>
          <w:szCs w:val="24"/>
          <w:lang w:val="en-GB"/>
        </w:rPr>
        <w:t xml:space="preserve">This would put into question the </w:t>
      </w:r>
      <w:r w:rsidRPr="00D53758">
        <w:rPr>
          <w:rFonts w:ascii="Times New Roman" w:hAnsi="Times New Roman"/>
          <w:sz w:val="24"/>
          <w:szCs w:val="24"/>
          <w:lang w:val="en-GB"/>
        </w:rPr>
        <w:t xml:space="preserve">reliability of estimates and </w:t>
      </w:r>
      <w:r w:rsidRPr="004E68C0">
        <w:rPr>
          <w:rFonts w:ascii="Times New Roman" w:hAnsi="Times New Roman"/>
          <w:sz w:val="24"/>
          <w:szCs w:val="24"/>
          <w:lang w:val="en-GB"/>
        </w:rPr>
        <w:t>would materially increase t</w:t>
      </w:r>
      <w:r w:rsidRPr="00D53758">
        <w:rPr>
          <w:rFonts w:ascii="Times New Roman" w:hAnsi="Times New Roman"/>
          <w:sz w:val="24"/>
          <w:szCs w:val="24"/>
          <w:lang w:val="en-GB"/>
        </w:rPr>
        <w:t>he workload</w:t>
      </w:r>
      <w:r w:rsidRPr="004E68C0">
        <w:rPr>
          <w:rFonts w:ascii="Times New Roman" w:hAnsi="Times New Roman"/>
          <w:sz w:val="24"/>
          <w:szCs w:val="24"/>
          <w:lang w:val="en-GB"/>
        </w:rPr>
        <w:t xml:space="preserve">.  </w:t>
      </w:r>
    </w:p>
    <w:p w14:paraId="77E7BB24" w14:textId="77777777" w:rsidR="00244F4E" w:rsidRPr="004E68C0" w:rsidRDefault="00EF098F" w:rsidP="00D53758">
      <w:pPr>
        <w:pStyle w:val="ListParagraph"/>
        <w:numPr>
          <w:ilvl w:val="0"/>
          <w:numId w:val="37"/>
        </w:numPr>
        <w:spacing w:before="120"/>
        <w:ind w:left="714" w:hanging="357"/>
        <w:contextualSpacing w:val="0"/>
        <w:jc w:val="both"/>
        <w:rPr>
          <w:rFonts w:ascii="Times New Roman" w:hAnsi="Times New Roman"/>
          <w:sz w:val="24"/>
          <w:szCs w:val="24"/>
          <w:lang w:val="en-GB"/>
        </w:rPr>
      </w:pPr>
      <w:r w:rsidRPr="004E68C0">
        <w:rPr>
          <w:rFonts w:ascii="Times New Roman" w:hAnsi="Times New Roman"/>
          <w:sz w:val="24"/>
          <w:szCs w:val="24"/>
          <w:lang w:val="en-GB"/>
        </w:rPr>
        <w:t>It is highly unlikely that banks can provide</w:t>
      </w:r>
      <w:r w:rsidRPr="00D53758">
        <w:rPr>
          <w:rFonts w:ascii="Times New Roman" w:hAnsi="Times New Roman"/>
          <w:sz w:val="24"/>
          <w:szCs w:val="24"/>
          <w:lang w:val="en-GB"/>
        </w:rPr>
        <w:t xml:space="preserve"> all the requested information to determine CCF/LGD Secured. LGD secured is not function of the collateral </w:t>
      </w:r>
      <w:r w:rsidRPr="004E68C0">
        <w:rPr>
          <w:rFonts w:ascii="Times New Roman" w:hAnsi="Times New Roman"/>
          <w:sz w:val="24"/>
          <w:szCs w:val="24"/>
          <w:lang w:val="en-GB"/>
        </w:rPr>
        <w:t xml:space="preserve">itself but it also </w:t>
      </w:r>
      <w:r w:rsidRPr="00D53758">
        <w:rPr>
          <w:rFonts w:ascii="Times New Roman" w:hAnsi="Times New Roman"/>
          <w:sz w:val="24"/>
          <w:szCs w:val="24"/>
          <w:lang w:val="en-GB"/>
        </w:rPr>
        <w:t xml:space="preserve">depends on </w:t>
      </w:r>
      <w:r w:rsidRPr="004E68C0">
        <w:rPr>
          <w:rFonts w:ascii="Times New Roman" w:hAnsi="Times New Roman"/>
          <w:sz w:val="24"/>
          <w:szCs w:val="24"/>
          <w:lang w:val="en-GB"/>
        </w:rPr>
        <w:t xml:space="preserve">other factors </w:t>
      </w:r>
      <w:r w:rsidRPr="00D53758">
        <w:rPr>
          <w:rFonts w:ascii="Times New Roman" w:hAnsi="Times New Roman"/>
          <w:sz w:val="24"/>
          <w:szCs w:val="24"/>
          <w:lang w:val="en-GB"/>
        </w:rPr>
        <w:t>including</w:t>
      </w:r>
      <w:r w:rsidR="00244F4E" w:rsidRPr="004E68C0">
        <w:rPr>
          <w:rFonts w:ascii="Times New Roman" w:hAnsi="Times New Roman"/>
          <w:sz w:val="24"/>
          <w:szCs w:val="24"/>
          <w:lang w:val="en-GB"/>
        </w:rPr>
        <w:t xml:space="preserve">: </w:t>
      </w:r>
    </w:p>
    <w:p w14:paraId="77E7BB25" w14:textId="77777777" w:rsidR="00244F4E" w:rsidRPr="004E68C0" w:rsidRDefault="00EF098F" w:rsidP="00D53758">
      <w:pPr>
        <w:pStyle w:val="ListParagraph"/>
        <w:numPr>
          <w:ilvl w:val="1"/>
          <w:numId w:val="37"/>
        </w:numPr>
        <w:spacing w:before="120"/>
        <w:contextualSpacing w:val="0"/>
        <w:jc w:val="both"/>
        <w:rPr>
          <w:rFonts w:ascii="Times New Roman" w:hAnsi="Times New Roman"/>
          <w:sz w:val="24"/>
          <w:szCs w:val="24"/>
          <w:lang w:val="en-GB"/>
        </w:rPr>
      </w:pPr>
      <w:r w:rsidRPr="00D53758">
        <w:rPr>
          <w:rFonts w:ascii="Times New Roman" w:hAnsi="Times New Roman"/>
          <w:sz w:val="24"/>
          <w:szCs w:val="24"/>
          <w:lang w:val="en-GB"/>
        </w:rPr>
        <w:t xml:space="preserve">the </w:t>
      </w:r>
      <w:r w:rsidR="00244F4E" w:rsidRPr="004E68C0">
        <w:rPr>
          <w:rFonts w:ascii="Times New Roman" w:hAnsi="Times New Roman"/>
          <w:sz w:val="24"/>
          <w:szCs w:val="24"/>
          <w:lang w:val="en-GB"/>
        </w:rPr>
        <w:t xml:space="preserve">type of </w:t>
      </w:r>
      <w:r w:rsidRPr="00D53758">
        <w:rPr>
          <w:rFonts w:ascii="Times New Roman" w:hAnsi="Times New Roman"/>
          <w:sz w:val="24"/>
          <w:szCs w:val="24"/>
          <w:lang w:val="en-GB"/>
        </w:rPr>
        <w:t xml:space="preserve">collateral, location, </w:t>
      </w:r>
      <w:r w:rsidRPr="004E68C0">
        <w:rPr>
          <w:rFonts w:ascii="Times New Roman" w:hAnsi="Times New Roman"/>
          <w:sz w:val="24"/>
          <w:szCs w:val="24"/>
          <w:lang w:val="en-GB"/>
        </w:rPr>
        <w:t xml:space="preserve">and </w:t>
      </w:r>
      <w:r w:rsidRPr="00D53758">
        <w:rPr>
          <w:rFonts w:ascii="Times New Roman" w:hAnsi="Times New Roman"/>
          <w:sz w:val="24"/>
          <w:szCs w:val="24"/>
          <w:lang w:val="en-GB"/>
        </w:rPr>
        <w:t>condition</w:t>
      </w:r>
      <w:r w:rsidR="00244F4E" w:rsidRPr="004E68C0">
        <w:rPr>
          <w:rFonts w:ascii="Times New Roman" w:hAnsi="Times New Roman"/>
          <w:sz w:val="24"/>
          <w:szCs w:val="24"/>
          <w:lang w:val="en-GB"/>
        </w:rPr>
        <w:t xml:space="preserve">; </w:t>
      </w:r>
    </w:p>
    <w:p w14:paraId="77E7BB26" w14:textId="77777777" w:rsidR="00244F4E" w:rsidRPr="004E68C0" w:rsidRDefault="00244F4E" w:rsidP="00D53758">
      <w:pPr>
        <w:pStyle w:val="ListParagraph"/>
        <w:numPr>
          <w:ilvl w:val="1"/>
          <w:numId w:val="37"/>
        </w:numPr>
        <w:spacing w:before="120"/>
        <w:contextualSpacing w:val="0"/>
        <w:jc w:val="both"/>
        <w:rPr>
          <w:rFonts w:ascii="Times New Roman" w:hAnsi="Times New Roman"/>
          <w:sz w:val="24"/>
          <w:szCs w:val="24"/>
          <w:lang w:val="en-GB"/>
        </w:rPr>
      </w:pPr>
      <w:r w:rsidRPr="004E68C0">
        <w:rPr>
          <w:rFonts w:ascii="Times New Roman" w:hAnsi="Times New Roman"/>
          <w:sz w:val="24"/>
          <w:szCs w:val="24"/>
          <w:lang w:val="en-GB"/>
        </w:rPr>
        <w:t xml:space="preserve">its accessibility </w:t>
      </w:r>
      <w:r w:rsidR="00EF098F" w:rsidRPr="00D53758">
        <w:rPr>
          <w:rFonts w:ascii="Times New Roman" w:hAnsi="Times New Roman"/>
          <w:sz w:val="24"/>
          <w:szCs w:val="24"/>
          <w:lang w:val="en-GB"/>
        </w:rPr>
        <w:t>(</w:t>
      </w:r>
      <w:r w:rsidR="004E68C0">
        <w:rPr>
          <w:rFonts w:ascii="Times New Roman" w:hAnsi="Times New Roman"/>
          <w:sz w:val="24"/>
          <w:szCs w:val="24"/>
          <w:lang w:val="en-GB"/>
        </w:rPr>
        <w:t xml:space="preserve">e.g. </w:t>
      </w:r>
      <w:r w:rsidR="00EF098F" w:rsidRPr="00D53758">
        <w:rPr>
          <w:rFonts w:ascii="Times New Roman" w:hAnsi="Times New Roman"/>
          <w:sz w:val="24"/>
          <w:szCs w:val="24"/>
          <w:lang w:val="en-GB"/>
        </w:rPr>
        <w:t>seniority of the claim, legal environment, nature of the counterparty)</w:t>
      </w:r>
      <w:r w:rsidRPr="004E68C0">
        <w:rPr>
          <w:rFonts w:ascii="Times New Roman" w:hAnsi="Times New Roman"/>
          <w:sz w:val="24"/>
          <w:szCs w:val="24"/>
          <w:lang w:val="en-GB"/>
        </w:rPr>
        <w:t>;</w:t>
      </w:r>
      <w:r w:rsidR="00EF098F" w:rsidRPr="00D53758">
        <w:rPr>
          <w:rFonts w:ascii="Times New Roman" w:hAnsi="Times New Roman"/>
          <w:sz w:val="24"/>
          <w:szCs w:val="24"/>
          <w:lang w:val="en-GB"/>
        </w:rPr>
        <w:t xml:space="preserve"> </w:t>
      </w:r>
    </w:p>
    <w:p w14:paraId="77E7BB27" w14:textId="77777777" w:rsidR="00244F4E" w:rsidRPr="004E68C0" w:rsidRDefault="00EF098F" w:rsidP="00D53758">
      <w:pPr>
        <w:pStyle w:val="ListParagraph"/>
        <w:numPr>
          <w:ilvl w:val="1"/>
          <w:numId w:val="37"/>
        </w:numPr>
        <w:spacing w:before="120"/>
        <w:contextualSpacing w:val="0"/>
        <w:jc w:val="both"/>
        <w:rPr>
          <w:rFonts w:ascii="Times New Roman" w:hAnsi="Times New Roman"/>
          <w:sz w:val="24"/>
          <w:szCs w:val="24"/>
          <w:lang w:val="en-GB"/>
        </w:rPr>
      </w:pPr>
      <w:r w:rsidRPr="00D53758">
        <w:rPr>
          <w:rFonts w:ascii="Times New Roman" w:hAnsi="Times New Roman"/>
          <w:sz w:val="24"/>
          <w:szCs w:val="24"/>
          <w:lang w:val="en-GB"/>
        </w:rPr>
        <w:t>the characteristic</w:t>
      </w:r>
      <w:r w:rsidR="00244F4E" w:rsidRPr="004E68C0">
        <w:rPr>
          <w:rFonts w:ascii="Times New Roman" w:hAnsi="Times New Roman"/>
          <w:sz w:val="24"/>
          <w:szCs w:val="24"/>
          <w:lang w:val="en-GB"/>
        </w:rPr>
        <w:t>s</w:t>
      </w:r>
      <w:r w:rsidRPr="00D53758">
        <w:rPr>
          <w:rFonts w:ascii="Times New Roman" w:hAnsi="Times New Roman"/>
          <w:sz w:val="24"/>
          <w:szCs w:val="24"/>
          <w:lang w:val="en-GB"/>
        </w:rPr>
        <w:t xml:space="preserve"> of the loan (</w:t>
      </w:r>
      <w:r w:rsidR="00244F4E" w:rsidRPr="004E68C0">
        <w:rPr>
          <w:rFonts w:ascii="Times New Roman" w:hAnsi="Times New Roman"/>
          <w:sz w:val="24"/>
          <w:szCs w:val="24"/>
          <w:lang w:val="en-GB"/>
        </w:rPr>
        <w:t xml:space="preserve">e.g. </w:t>
      </w:r>
      <w:r w:rsidRPr="00D53758">
        <w:rPr>
          <w:rFonts w:ascii="Times New Roman" w:hAnsi="Times New Roman"/>
          <w:sz w:val="24"/>
          <w:szCs w:val="24"/>
          <w:lang w:val="en-GB"/>
        </w:rPr>
        <w:t>type, LTV)</w:t>
      </w:r>
      <w:r w:rsidR="00244F4E" w:rsidRPr="004E68C0">
        <w:rPr>
          <w:rFonts w:ascii="Times New Roman" w:hAnsi="Times New Roman"/>
          <w:sz w:val="24"/>
          <w:szCs w:val="24"/>
          <w:lang w:val="en-GB"/>
        </w:rPr>
        <w:t>;</w:t>
      </w:r>
      <w:r w:rsidRPr="00D53758">
        <w:rPr>
          <w:rFonts w:ascii="Times New Roman" w:hAnsi="Times New Roman"/>
          <w:sz w:val="24"/>
          <w:szCs w:val="24"/>
          <w:lang w:val="en-GB"/>
        </w:rPr>
        <w:t xml:space="preserve"> </w:t>
      </w:r>
    </w:p>
    <w:p w14:paraId="77E7BB28" w14:textId="77777777" w:rsidR="00EF098F" w:rsidRPr="00D53758" w:rsidRDefault="00EF098F" w:rsidP="00D53758">
      <w:pPr>
        <w:pStyle w:val="ListParagraph"/>
        <w:numPr>
          <w:ilvl w:val="1"/>
          <w:numId w:val="37"/>
        </w:numPr>
        <w:spacing w:before="120"/>
        <w:contextualSpacing w:val="0"/>
        <w:jc w:val="both"/>
        <w:rPr>
          <w:rFonts w:ascii="Times New Roman" w:hAnsi="Times New Roman"/>
          <w:sz w:val="24"/>
          <w:szCs w:val="24"/>
          <w:lang w:val="en-GB"/>
        </w:rPr>
      </w:pPr>
      <w:r w:rsidRPr="00D53758">
        <w:rPr>
          <w:rFonts w:ascii="Times New Roman" w:hAnsi="Times New Roman"/>
          <w:sz w:val="24"/>
          <w:szCs w:val="24"/>
          <w:lang w:val="en-GB"/>
        </w:rPr>
        <w:t xml:space="preserve">the </w:t>
      </w:r>
      <w:r w:rsidR="00244F4E" w:rsidRPr="004E68C0">
        <w:rPr>
          <w:rFonts w:ascii="Times New Roman" w:hAnsi="Times New Roman"/>
          <w:sz w:val="24"/>
          <w:szCs w:val="24"/>
          <w:lang w:val="en-GB"/>
        </w:rPr>
        <w:t>purpose</w:t>
      </w:r>
      <w:r w:rsidRPr="00D53758">
        <w:rPr>
          <w:rFonts w:ascii="Times New Roman" w:hAnsi="Times New Roman"/>
          <w:sz w:val="24"/>
          <w:szCs w:val="24"/>
          <w:lang w:val="en-GB"/>
        </w:rPr>
        <w:t xml:space="preserve"> of the asset</w:t>
      </w:r>
      <w:r w:rsidR="00244F4E" w:rsidRPr="004E68C0">
        <w:rPr>
          <w:rFonts w:ascii="Times New Roman" w:hAnsi="Times New Roman"/>
          <w:sz w:val="24"/>
          <w:szCs w:val="24"/>
          <w:lang w:val="en-GB"/>
        </w:rPr>
        <w:t xml:space="preserve">. </w:t>
      </w:r>
      <w:r w:rsidRPr="00D53758">
        <w:rPr>
          <w:rFonts w:ascii="Times New Roman" w:hAnsi="Times New Roman"/>
          <w:sz w:val="24"/>
          <w:szCs w:val="24"/>
          <w:lang w:val="en-GB"/>
        </w:rPr>
        <w:t xml:space="preserve"> </w:t>
      </w:r>
    </w:p>
    <w:p w14:paraId="77E7BB29" w14:textId="77777777" w:rsidR="00EF098F" w:rsidRPr="00D53758" w:rsidRDefault="00EF098F" w:rsidP="00D53758">
      <w:pPr>
        <w:pStyle w:val="ListParagraph"/>
        <w:numPr>
          <w:ilvl w:val="0"/>
          <w:numId w:val="37"/>
        </w:numPr>
        <w:spacing w:before="120"/>
        <w:ind w:left="714" w:hanging="357"/>
        <w:contextualSpacing w:val="0"/>
        <w:jc w:val="both"/>
        <w:rPr>
          <w:rFonts w:ascii="Times New Roman" w:hAnsi="Times New Roman"/>
          <w:sz w:val="24"/>
          <w:szCs w:val="24"/>
          <w:lang w:val="en-GB"/>
        </w:rPr>
      </w:pPr>
      <w:r w:rsidRPr="00D53758">
        <w:rPr>
          <w:rFonts w:ascii="Times New Roman" w:hAnsi="Times New Roman"/>
          <w:sz w:val="24"/>
          <w:szCs w:val="24"/>
          <w:lang w:val="en-GB"/>
        </w:rPr>
        <w:t>The outputs would depend on the zone of expertise of some institutions: for instance, a bank would be able to give a</w:t>
      </w:r>
      <w:r w:rsidR="004E68C0">
        <w:rPr>
          <w:rFonts w:ascii="Times New Roman" w:hAnsi="Times New Roman"/>
          <w:sz w:val="24"/>
          <w:szCs w:val="24"/>
          <w:lang w:val="en-GB"/>
        </w:rPr>
        <w:t>n</w:t>
      </w:r>
      <w:r w:rsidRPr="00D53758">
        <w:rPr>
          <w:rFonts w:ascii="Times New Roman" w:hAnsi="Times New Roman"/>
          <w:sz w:val="24"/>
          <w:szCs w:val="24"/>
          <w:lang w:val="en-GB"/>
        </w:rPr>
        <w:t xml:space="preserve"> LGD estimate for a </w:t>
      </w:r>
      <w:r w:rsidR="00244F4E" w:rsidRPr="004E68C0">
        <w:rPr>
          <w:rFonts w:ascii="Times New Roman" w:hAnsi="Times New Roman"/>
          <w:sz w:val="24"/>
          <w:szCs w:val="24"/>
          <w:lang w:val="en-GB"/>
        </w:rPr>
        <w:t>r</w:t>
      </w:r>
      <w:r w:rsidRPr="00D53758">
        <w:rPr>
          <w:rFonts w:ascii="Times New Roman" w:hAnsi="Times New Roman"/>
          <w:sz w:val="24"/>
          <w:szCs w:val="24"/>
          <w:lang w:val="en-GB"/>
        </w:rPr>
        <w:t xml:space="preserve">eal </w:t>
      </w:r>
      <w:r w:rsidR="00244F4E" w:rsidRPr="004E68C0">
        <w:rPr>
          <w:rFonts w:ascii="Times New Roman" w:hAnsi="Times New Roman"/>
          <w:sz w:val="24"/>
          <w:szCs w:val="24"/>
          <w:lang w:val="en-GB"/>
        </w:rPr>
        <w:t>e</w:t>
      </w:r>
      <w:r w:rsidRPr="00D53758">
        <w:rPr>
          <w:rFonts w:ascii="Times New Roman" w:hAnsi="Times New Roman"/>
          <w:sz w:val="24"/>
          <w:szCs w:val="24"/>
          <w:lang w:val="en-GB"/>
        </w:rPr>
        <w:t xml:space="preserve">state transaction in its country, whereas it would probably be much more difficult for a foreign </w:t>
      </w:r>
      <w:r w:rsidR="00244F4E" w:rsidRPr="004E68C0">
        <w:rPr>
          <w:rFonts w:ascii="Times New Roman" w:hAnsi="Times New Roman"/>
          <w:sz w:val="24"/>
          <w:szCs w:val="24"/>
          <w:lang w:val="en-GB"/>
        </w:rPr>
        <w:t>r</w:t>
      </w:r>
      <w:r w:rsidRPr="00D53758">
        <w:rPr>
          <w:rFonts w:ascii="Times New Roman" w:hAnsi="Times New Roman"/>
          <w:sz w:val="24"/>
          <w:szCs w:val="24"/>
          <w:lang w:val="en-GB"/>
        </w:rPr>
        <w:t>etail bank.</w:t>
      </w:r>
    </w:p>
    <w:p w14:paraId="77E7BB2A" w14:textId="77777777" w:rsidR="00EF098F" w:rsidRPr="00894124" w:rsidRDefault="00EF098F" w:rsidP="00EF098F">
      <w:pPr>
        <w:jc w:val="both"/>
        <w:rPr>
          <w:rFonts w:ascii="Times New Roman" w:hAnsi="Times New Roman"/>
          <w:sz w:val="24"/>
          <w:szCs w:val="24"/>
          <w:lang w:val="en-GB"/>
        </w:rPr>
      </w:pPr>
      <w:r w:rsidRPr="004E68C0">
        <w:rPr>
          <w:rFonts w:ascii="Times New Roman" w:hAnsi="Times New Roman"/>
          <w:sz w:val="24"/>
          <w:szCs w:val="24"/>
          <w:lang w:val="en-GB"/>
        </w:rPr>
        <w:t xml:space="preserve">The value of the approach is felt as limited, mainly owing to representativeness issues. We also would like to draw attention </w:t>
      </w:r>
      <w:r w:rsidR="00244F4E" w:rsidRPr="004E68C0">
        <w:rPr>
          <w:rFonts w:ascii="Times New Roman" w:hAnsi="Times New Roman"/>
          <w:sz w:val="24"/>
          <w:szCs w:val="24"/>
          <w:lang w:val="en-GB"/>
        </w:rPr>
        <w:t>to</w:t>
      </w:r>
      <w:r w:rsidRPr="004E68C0">
        <w:rPr>
          <w:rFonts w:ascii="Times New Roman" w:hAnsi="Times New Roman"/>
          <w:sz w:val="24"/>
          <w:szCs w:val="24"/>
          <w:lang w:val="en-GB"/>
        </w:rPr>
        <w:t xml:space="preserve"> the fact that </w:t>
      </w:r>
      <w:r w:rsidR="00244F4E" w:rsidRPr="004E68C0">
        <w:rPr>
          <w:rFonts w:ascii="Times New Roman" w:hAnsi="Times New Roman"/>
          <w:sz w:val="24"/>
          <w:szCs w:val="24"/>
          <w:lang w:val="en-GB"/>
        </w:rPr>
        <w:t>combining</w:t>
      </w:r>
      <w:r w:rsidRPr="004E68C0">
        <w:rPr>
          <w:rFonts w:ascii="Times New Roman" w:hAnsi="Times New Roman"/>
          <w:sz w:val="24"/>
          <w:szCs w:val="24"/>
          <w:lang w:val="en-GB"/>
        </w:rPr>
        <w:t xml:space="preserve"> this approach </w:t>
      </w:r>
      <w:r w:rsidR="00244F4E" w:rsidRPr="004E68C0">
        <w:rPr>
          <w:rFonts w:ascii="Times New Roman" w:hAnsi="Times New Roman"/>
          <w:sz w:val="24"/>
          <w:szCs w:val="24"/>
          <w:lang w:val="en-GB"/>
        </w:rPr>
        <w:t>with</w:t>
      </w:r>
      <w:r w:rsidRPr="004E68C0">
        <w:rPr>
          <w:rFonts w:ascii="Times New Roman" w:hAnsi="Times New Roman"/>
          <w:sz w:val="24"/>
          <w:szCs w:val="24"/>
          <w:lang w:val="en-GB"/>
        </w:rPr>
        <w:t xml:space="preserve"> others for benchmarking purposes would become really burdensome for banks </w:t>
      </w:r>
      <w:r w:rsidR="00244F4E" w:rsidRPr="00397D0D">
        <w:rPr>
          <w:rFonts w:ascii="Times New Roman" w:hAnsi="Times New Roman"/>
          <w:sz w:val="24"/>
          <w:szCs w:val="24"/>
          <w:lang w:val="en-GB"/>
        </w:rPr>
        <w:t>with</w:t>
      </w:r>
      <w:r w:rsidRPr="00397D0D">
        <w:rPr>
          <w:rFonts w:ascii="Times New Roman" w:hAnsi="Times New Roman"/>
          <w:sz w:val="24"/>
          <w:szCs w:val="24"/>
          <w:lang w:val="en-GB"/>
        </w:rPr>
        <w:t xml:space="preserve"> LDP.</w:t>
      </w:r>
      <w:r w:rsidR="00244F4E" w:rsidRPr="00894124">
        <w:rPr>
          <w:rFonts w:ascii="Times New Roman" w:hAnsi="Times New Roman"/>
          <w:sz w:val="24"/>
          <w:szCs w:val="24"/>
          <w:lang w:val="en-GB"/>
        </w:rPr>
        <w:t xml:space="preserve"> </w:t>
      </w:r>
    </w:p>
    <w:p w14:paraId="77E7BB2B" w14:textId="77777777" w:rsidR="001F5D09" w:rsidRPr="004F6FF5" w:rsidRDefault="001F5D09" w:rsidP="006B5CBB">
      <w:pPr>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5D09" w:rsidRPr="007770DC" w14:paraId="77E7BB2D" w14:textId="77777777" w:rsidTr="00D329B4">
        <w:tc>
          <w:tcPr>
            <w:tcW w:w="9212" w:type="dxa"/>
            <w:shd w:val="clear" w:color="auto" w:fill="auto"/>
          </w:tcPr>
          <w:p w14:paraId="77E7BB2C" w14:textId="77777777" w:rsidR="001F5D09" w:rsidRPr="004E68C0" w:rsidRDefault="000A5EA8" w:rsidP="00D329B4">
            <w:pPr>
              <w:spacing w:before="120"/>
              <w:jc w:val="both"/>
              <w:rPr>
                <w:rFonts w:ascii="Times New Roman" w:hAnsi="Times New Roman"/>
                <w:sz w:val="24"/>
                <w:szCs w:val="24"/>
                <w:lang w:val="en-GB"/>
              </w:rPr>
            </w:pPr>
            <w:r w:rsidRPr="004E68C0">
              <w:rPr>
                <w:rFonts w:ascii="Times New Roman" w:hAnsi="Times New Roman"/>
                <w:b/>
                <w:sz w:val="24"/>
                <w:szCs w:val="24"/>
                <w:lang w:val="en-GB"/>
              </w:rPr>
              <w:t xml:space="preserve">Q7. Do you have any alternative proposals? If yes, please provide details. </w:t>
            </w:r>
          </w:p>
        </w:tc>
      </w:tr>
    </w:tbl>
    <w:p w14:paraId="77E7BB2E" w14:textId="77777777" w:rsidR="001F5D09" w:rsidRPr="004E68C0" w:rsidRDefault="001F5D09" w:rsidP="00455409">
      <w:pPr>
        <w:jc w:val="both"/>
        <w:rPr>
          <w:rFonts w:ascii="Times New Roman" w:hAnsi="Times New Roman"/>
          <w:b/>
          <w:sz w:val="24"/>
          <w:szCs w:val="24"/>
          <w:lang w:val="en-GB"/>
        </w:rPr>
      </w:pPr>
    </w:p>
    <w:p w14:paraId="77E7BB2F" w14:textId="77777777" w:rsidR="00DC64EC" w:rsidRPr="004E68C0" w:rsidRDefault="00DC64EC" w:rsidP="002121D1">
      <w:pPr>
        <w:widowControl w:val="0"/>
        <w:tabs>
          <w:tab w:val="left" w:pos="384"/>
        </w:tabs>
        <w:autoSpaceDE w:val="0"/>
        <w:autoSpaceDN w:val="0"/>
        <w:adjustRightInd w:val="0"/>
        <w:spacing w:before="14" w:line="238" w:lineRule="auto"/>
        <w:jc w:val="both"/>
        <w:rPr>
          <w:rFonts w:ascii="Times New Roman" w:hAnsi="Times New Roman"/>
          <w:kern w:val="1"/>
          <w:sz w:val="24"/>
          <w:szCs w:val="24"/>
          <w:lang w:val="en-GB"/>
        </w:rPr>
      </w:pPr>
      <w:r w:rsidRPr="004E68C0">
        <w:rPr>
          <w:rFonts w:ascii="Times New Roman" w:hAnsi="Times New Roman"/>
          <w:kern w:val="1"/>
          <w:sz w:val="24"/>
          <w:szCs w:val="24"/>
          <w:lang w:val="en-GB"/>
        </w:rPr>
        <w:t xml:space="preserve">For credit risk, an alternative trigger could be the use of country-specific industry means or </w:t>
      </w:r>
      <w:r w:rsidRPr="00397D0D">
        <w:rPr>
          <w:rFonts w:ascii="Times New Roman" w:hAnsi="Times New Roman"/>
          <w:kern w:val="1"/>
          <w:sz w:val="24"/>
          <w:szCs w:val="24"/>
          <w:lang w:val="en-GB"/>
        </w:rPr>
        <w:t xml:space="preserve">medians together with a definition of an absolute or </w:t>
      </w:r>
      <w:r w:rsidRPr="00894124">
        <w:rPr>
          <w:rFonts w:ascii="Times New Roman" w:hAnsi="Times New Roman"/>
          <w:kern w:val="1"/>
          <w:sz w:val="24"/>
          <w:szCs w:val="24"/>
          <w:lang w:val="en-GB"/>
        </w:rPr>
        <w:t>relative acceptable variation from the mean</w:t>
      </w:r>
      <w:r w:rsidRPr="004F6FF5">
        <w:rPr>
          <w:rFonts w:ascii="Times New Roman" w:hAnsi="Times New Roman"/>
          <w:kern w:val="1"/>
          <w:sz w:val="24"/>
          <w:szCs w:val="24"/>
          <w:lang w:val="en-GB"/>
        </w:rPr>
        <w:t xml:space="preserve"> or </w:t>
      </w:r>
      <w:r w:rsidRPr="00850B39">
        <w:rPr>
          <w:rFonts w:ascii="Times New Roman" w:hAnsi="Times New Roman"/>
          <w:kern w:val="1"/>
          <w:sz w:val="24"/>
          <w:szCs w:val="24"/>
          <w:lang w:val="en-GB"/>
        </w:rPr>
        <w:t xml:space="preserve">median (to be defined by EBA or national competent authorities). </w:t>
      </w:r>
      <w:r w:rsidR="00D23E81" w:rsidRPr="00850B39">
        <w:rPr>
          <w:rFonts w:ascii="Times New Roman" w:hAnsi="Times New Roman"/>
          <w:kern w:val="1"/>
          <w:sz w:val="24"/>
          <w:szCs w:val="24"/>
          <w:lang w:val="en-GB"/>
        </w:rPr>
        <w:t xml:space="preserve">This approach appears particularly relevant for the benchmarking exercises on mortgage portfolios. The </w:t>
      </w:r>
      <w:r w:rsidR="0034555E" w:rsidRPr="00850B39">
        <w:rPr>
          <w:rFonts w:ascii="Times New Roman" w:hAnsi="Times New Roman"/>
          <w:kern w:val="1"/>
          <w:sz w:val="24"/>
          <w:szCs w:val="24"/>
          <w:lang w:val="en-GB"/>
        </w:rPr>
        <w:t>divergences of RWA on this portfolio are</w:t>
      </w:r>
      <w:r w:rsidR="00D23E81" w:rsidRPr="00850B39">
        <w:rPr>
          <w:rFonts w:ascii="Times New Roman" w:hAnsi="Times New Roman"/>
          <w:kern w:val="1"/>
          <w:sz w:val="24"/>
          <w:szCs w:val="24"/>
          <w:lang w:val="en-GB"/>
        </w:rPr>
        <w:t xml:space="preserve"> mainly explained by t</w:t>
      </w:r>
      <w:r w:rsidR="00D23E81" w:rsidRPr="004E68C0">
        <w:rPr>
          <w:rFonts w:ascii="Times New Roman" w:hAnsi="Times New Roman"/>
          <w:kern w:val="1"/>
          <w:sz w:val="24"/>
          <w:szCs w:val="24"/>
          <w:lang w:val="en-GB"/>
        </w:rPr>
        <w:t>he legal specificities (i.e. state guarantee)</w:t>
      </w:r>
      <w:r w:rsidR="004E68C0">
        <w:rPr>
          <w:rFonts w:ascii="Times New Roman" w:hAnsi="Times New Roman"/>
          <w:kern w:val="1"/>
          <w:sz w:val="24"/>
          <w:szCs w:val="24"/>
          <w:lang w:val="en-GB"/>
        </w:rPr>
        <w:t xml:space="preserve"> and</w:t>
      </w:r>
      <w:r w:rsidR="00D23E81" w:rsidRPr="004E68C0">
        <w:rPr>
          <w:rFonts w:ascii="Times New Roman" w:hAnsi="Times New Roman"/>
          <w:kern w:val="1"/>
          <w:sz w:val="24"/>
          <w:szCs w:val="24"/>
          <w:lang w:val="en-GB"/>
        </w:rPr>
        <w:t xml:space="preserve"> supervisory discretions</w:t>
      </w:r>
      <w:r w:rsidR="00300D66" w:rsidRPr="004E68C0">
        <w:rPr>
          <w:rFonts w:ascii="Times New Roman" w:hAnsi="Times New Roman"/>
          <w:kern w:val="1"/>
          <w:sz w:val="24"/>
          <w:szCs w:val="24"/>
          <w:lang w:val="en-GB"/>
        </w:rPr>
        <w:t xml:space="preserve">. </w:t>
      </w:r>
    </w:p>
    <w:p w14:paraId="77E7BB30" w14:textId="77777777" w:rsidR="00B043B3" w:rsidRPr="004E68C0" w:rsidRDefault="002121D1" w:rsidP="002121D1">
      <w:pPr>
        <w:widowControl w:val="0"/>
        <w:tabs>
          <w:tab w:val="left" w:pos="384"/>
        </w:tabs>
        <w:autoSpaceDE w:val="0"/>
        <w:autoSpaceDN w:val="0"/>
        <w:adjustRightInd w:val="0"/>
        <w:spacing w:before="14" w:line="238" w:lineRule="auto"/>
        <w:jc w:val="both"/>
        <w:rPr>
          <w:rFonts w:ascii="Times New Roman" w:hAnsi="Times New Roman"/>
          <w:kern w:val="1"/>
          <w:sz w:val="24"/>
          <w:szCs w:val="24"/>
          <w:lang w:val="en-GB"/>
        </w:rPr>
      </w:pPr>
      <w:r w:rsidRPr="00397D0D">
        <w:rPr>
          <w:rFonts w:ascii="Times New Roman" w:hAnsi="Times New Roman"/>
          <w:kern w:val="1"/>
          <w:sz w:val="24"/>
          <w:szCs w:val="24"/>
          <w:lang w:val="en-GB"/>
        </w:rPr>
        <w:t xml:space="preserve">For market risk, the suggested approach appears to be logical and having an assessment of the quality of market risk models is supported. As the Basel Committee has already concluded </w:t>
      </w:r>
      <w:r w:rsidRPr="004F6FF5">
        <w:rPr>
          <w:rFonts w:ascii="Times New Roman" w:hAnsi="Times New Roman"/>
          <w:kern w:val="1"/>
          <w:sz w:val="24"/>
          <w:szCs w:val="24"/>
          <w:lang w:val="en-GB"/>
        </w:rPr>
        <w:t>that the current market risk framework should be revised, the information gathered from benchmarking exercises such as this one would be beneficial for the quality of the fundamental review of the trading book.</w:t>
      </w:r>
      <w:r w:rsidRPr="004E68C0">
        <w:rPr>
          <w:rFonts w:ascii="Times New Roman" w:hAnsi="Times New Roman"/>
          <w:kern w:val="1"/>
          <w:sz w:val="24"/>
          <w:szCs w:val="24"/>
          <w:lang w:val="en-GB"/>
        </w:rPr>
        <w:t xml:space="preserve"> </w:t>
      </w:r>
    </w:p>
    <w:p w14:paraId="7C8B5A1E" w14:textId="77777777" w:rsidR="007B1D23" w:rsidRDefault="007B1D23" w:rsidP="00B043B3">
      <w:pPr>
        <w:widowControl w:val="0"/>
        <w:tabs>
          <w:tab w:val="left" w:pos="384"/>
        </w:tabs>
        <w:autoSpaceDE w:val="0"/>
        <w:autoSpaceDN w:val="0"/>
        <w:adjustRightInd w:val="0"/>
        <w:spacing w:before="14" w:line="238" w:lineRule="auto"/>
        <w:jc w:val="both"/>
        <w:rPr>
          <w:rFonts w:ascii="Times New Roman" w:hAnsi="Times New Roman"/>
          <w:kern w:val="1"/>
          <w:sz w:val="24"/>
          <w:szCs w:val="24"/>
          <w:lang w:val="en-GB"/>
        </w:rPr>
      </w:pPr>
    </w:p>
    <w:p w14:paraId="77E7BB31" w14:textId="77777777" w:rsidR="001F5D09" w:rsidRPr="004E68C0" w:rsidRDefault="00B043B3" w:rsidP="00B043B3">
      <w:pPr>
        <w:widowControl w:val="0"/>
        <w:tabs>
          <w:tab w:val="left" w:pos="384"/>
        </w:tabs>
        <w:autoSpaceDE w:val="0"/>
        <w:autoSpaceDN w:val="0"/>
        <w:adjustRightInd w:val="0"/>
        <w:spacing w:before="14" w:line="238" w:lineRule="auto"/>
        <w:jc w:val="both"/>
        <w:rPr>
          <w:rFonts w:ascii="Times New Roman" w:hAnsi="Times New Roman"/>
          <w:kern w:val="1"/>
          <w:sz w:val="24"/>
          <w:szCs w:val="24"/>
          <w:lang w:val="en-GB"/>
        </w:rPr>
      </w:pPr>
      <w:r w:rsidRPr="004E68C0">
        <w:rPr>
          <w:rFonts w:ascii="Times New Roman" w:hAnsi="Times New Roman"/>
          <w:kern w:val="1"/>
          <w:sz w:val="24"/>
          <w:szCs w:val="24"/>
          <w:lang w:val="en-GB"/>
        </w:rPr>
        <w:t>In any case, closer coordination on timing and content of HPE requirements and exercises would be useful. Also, submission of results should not take place until firms have come to a consensus on position specification.</w:t>
      </w:r>
      <w:r w:rsidRPr="004E68C0" w:rsidDel="002121D1">
        <w:rPr>
          <w:rFonts w:ascii="Times New Roman" w:hAnsi="Times New Roman"/>
          <w:kern w:val="1"/>
          <w:sz w:val="24"/>
          <w:szCs w:val="24"/>
          <w:highlight w:val="cyan"/>
          <w:lang w:val="en-GB"/>
        </w:rPr>
        <w:t xml:space="preserve"> </w:t>
      </w:r>
    </w:p>
    <w:p w14:paraId="77E7BB32" w14:textId="77777777" w:rsidR="001F5D09" w:rsidRPr="004E68C0" w:rsidRDefault="001F5D09" w:rsidP="00455409">
      <w:pPr>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5D09" w:rsidRPr="007770DC" w14:paraId="77E7BB34" w14:textId="77777777" w:rsidTr="00D329B4">
        <w:tc>
          <w:tcPr>
            <w:tcW w:w="9212" w:type="dxa"/>
            <w:shd w:val="clear" w:color="auto" w:fill="auto"/>
          </w:tcPr>
          <w:p w14:paraId="77E7BB33" w14:textId="77777777" w:rsidR="001F5D09" w:rsidRPr="004E68C0" w:rsidRDefault="000A5EA8" w:rsidP="00D329B4">
            <w:pPr>
              <w:spacing w:before="120"/>
              <w:jc w:val="both"/>
              <w:rPr>
                <w:rFonts w:ascii="Times New Roman" w:hAnsi="Times New Roman"/>
                <w:b/>
                <w:sz w:val="24"/>
                <w:szCs w:val="24"/>
                <w:lang w:val="en-GB"/>
              </w:rPr>
            </w:pPr>
            <w:r w:rsidRPr="004E68C0">
              <w:rPr>
                <w:rFonts w:ascii="Times New Roman" w:hAnsi="Times New Roman"/>
                <w:b/>
                <w:sz w:val="24"/>
                <w:szCs w:val="24"/>
                <w:lang w:val="en-GB"/>
              </w:rPr>
              <w:t xml:space="preserve">Q8. Which of the two options for phasing-in do you consider preferable? </w:t>
            </w:r>
          </w:p>
        </w:tc>
      </w:tr>
    </w:tbl>
    <w:p w14:paraId="77E7BB35" w14:textId="77777777" w:rsidR="001F5D09" w:rsidRPr="004E68C0" w:rsidRDefault="001F5D09" w:rsidP="00455409">
      <w:pPr>
        <w:jc w:val="both"/>
        <w:rPr>
          <w:rFonts w:ascii="Times New Roman" w:hAnsi="Times New Roman"/>
          <w:sz w:val="24"/>
          <w:szCs w:val="24"/>
          <w:lang w:val="en-GB"/>
        </w:rPr>
      </w:pPr>
    </w:p>
    <w:p w14:paraId="77E7BB36" w14:textId="77777777" w:rsidR="00FF5EBF" w:rsidRPr="004E68C0" w:rsidRDefault="00FF5EBF" w:rsidP="00455409">
      <w:pPr>
        <w:jc w:val="both"/>
        <w:rPr>
          <w:rFonts w:ascii="Times New Roman" w:hAnsi="Times New Roman"/>
          <w:sz w:val="24"/>
          <w:szCs w:val="24"/>
          <w:lang w:val="en-GB"/>
        </w:rPr>
      </w:pPr>
      <w:r w:rsidRPr="004E68C0">
        <w:rPr>
          <w:rFonts w:ascii="Times New Roman" w:hAnsi="Times New Roman"/>
          <w:sz w:val="24"/>
          <w:szCs w:val="24"/>
          <w:lang w:val="en-GB"/>
        </w:rPr>
        <w:t xml:space="preserve">The vast majority of EBF members think that the phase-in option (number 2) is preferable on the grounds that it is: </w:t>
      </w:r>
    </w:p>
    <w:p w14:paraId="77E7BB37" w14:textId="77777777" w:rsidR="00FF5EBF" w:rsidRPr="00397D0D" w:rsidRDefault="00FF5EBF" w:rsidP="00FF5EBF">
      <w:pPr>
        <w:pStyle w:val="ListParagraph"/>
        <w:numPr>
          <w:ilvl w:val="0"/>
          <w:numId w:val="32"/>
        </w:numPr>
        <w:spacing w:before="120"/>
        <w:ind w:left="714" w:hanging="357"/>
        <w:contextualSpacing w:val="0"/>
        <w:jc w:val="both"/>
        <w:rPr>
          <w:rFonts w:ascii="Times New Roman" w:hAnsi="Times New Roman"/>
          <w:sz w:val="24"/>
          <w:szCs w:val="24"/>
          <w:lang w:val="en-GB"/>
        </w:rPr>
      </w:pPr>
      <w:r w:rsidRPr="00397D0D">
        <w:rPr>
          <w:rFonts w:ascii="Times New Roman" w:hAnsi="Times New Roman"/>
          <w:sz w:val="24"/>
          <w:szCs w:val="24"/>
          <w:lang w:val="en-GB"/>
        </w:rPr>
        <w:t xml:space="preserve">The less costly; </w:t>
      </w:r>
    </w:p>
    <w:p w14:paraId="77E7BB38" w14:textId="77777777" w:rsidR="00FF5EBF" w:rsidRPr="00850B39" w:rsidRDefault="00FF5EBF" w:rsidP="00FF5EBF">
      <w:pPr>
        <w:pStyle w:val="ListParagraph"/>
        <w:numPr>
          <w:ilvl w:val="0"/>
          <w:numId w:val="32"/>
        </w:numPr>
        <w:spacing w:before="120"/>
        <w:ind w:left="714" w:hanging="357"/>
        <w:contextualSpacing w:val="0"/>
        <w:jc w:val="both"/>
        <w:rPr>
          <w:rFonts w:ascii="Times New Roman" w:hAnsi="Times New Roman"/>
          <w:sz w:val="24"/>
          <w:szCs w:val="24"/>
          <w:lang w:val="en-GB"/>
        </w:rPr>
      </w:pPr>
      <w:r w:rsidRPr="004F6FF5">
        <w:rPr>
          <w:rFonts w:ascii="Times New Roman" w:hAnsi="Times New Roman"/>
          <w:sz w:val="24"/>
          <w:szCs w:val="24"/>
          <w:lang w:val="en-GB"/>
        </w:rPr>
        <w:t xml:space="preserve">The one with the longest lead-in time. </w:t>
      </w:r>
    </w:p>
    <w:p w14:paraId="77E7BB39" w14:textId="77777777" w:rsidR="00B22B28" w:rsidRPr="004E68C0" w:rsidRDefault="00B22B28" w:rsidP="00FF5EBF">
      <w:pPr>
        <w:pStyle w:val="ListParagraph"/>
        <w:numPr>
          <w:ilvl w:val="0"/>
          <w:numId w:val="32"/>
        </w:numPr>
        <w:spacing w:before="120"/>
        <w:ind w:left="714" w:hanging="357"/>
        <w:contextualSpacing w:val="0"/>
        <w:jc w:val="both"/>
        <w:rPr>
          <w:rFonts w:ascii="Times New Roman" w:hAnsi="Times New Roman"/>
          <w:sz w:val="24"/>
          <w:szCs w:val="24"/>
          <w:lang w:val="en-GB"/>
        </w:rPr>
      </w:pPr>
      <w:r w:rsidRPr="004E68C0">
        <w:rPr>
          <w:rFonts w:ascii="Times New Roman" w:hAnsi="Times New Roman"/>
          <w:sz w:val="24"/>
          <w:szCs w:val="24"/>
          <w:lang w:val="en-GB"/>
        </w:rPr>
        <w:t xml:space="preserve">For market risk, the actual portfolios should be used. If it is decided to use new ones instead, there should be good test procedures in order to ensure high portfolio quality.  </w:t>
      </w:r>
    </w:p>
    <w:p w14:paraId="77E7BB3A" w14:textId="77777777" w:rsidR="001F5D09" w:rsidRPr="004E68C0" w:rsidRDefault="001F5D09" w:rsidP="00455409">
      <w:pPr>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5D09" w:rsidRPr="007770DC" w14:paraId="77E7BB3C" w14:textId="77777777" w:rsidTr="00D329B4">
        <w:tc>
          <w:tcPr>
            <w:tcW w:w="9212" w:type="dxa"/>
            <w:shd w:val="clear" w:color="auto" w:fill="auto"/>
          </w:tcPr>
          <w:p w14:paraId="77E7BB3B" w14:textId="77777777" w:rsidR="001F5D09" w:rsidRPr="004E68C0" w:rsidRDefault="000A5EA8" w:rsidP="00D329B4">
            <w:pPr>
              <w:spacing w:before="120"/>
              <w:jc w:val="both"/>
              <w:rPr>
                <w:rFonts w:ascii="Times New Roman" w:hAnsi="Times New Roman"/>
                <w:b/>
                <w:sz w:val="24"/>
                <w:szCs w:val="24"/>
                <w:lang w:val="en-GB"/>
              </w:rPr>
            </w:pPr>
            <w:r w:rsidRPr="004E68C0">
              <w:rPr>
                <w:rFonts w:ascii="Times New Roman" w:hAnsi="Times New Roman"/>
                <w:b/>
                <w:sz w:val="24"/>
                <w:szCs w:val="24"/>
                <w:lang w:val="en-GB"/>
              </w:rPr>
              <w:t xml:space="preserve">Q9. Do you see any potential ambiguities in the credit risk portfolios defined in Annex I? Please identify the relevant portfolio providing details and any suggestions that would eliminate these ambiguities. </w:t>
            </w:r>
          </w:p>
        </w:tc>
      </w:tr>
    </w:tbl>
    <w:p w14:paraId="77E7BB3D" w14:textId="77777777" w:rsidR="001F5D09" w:rsidRPr="004E68C0" w:rsidRDefault="001F5D09" w:rsidP="00455409">
      <w:pPr>
        <w:jc w:val="both"/>
        <w:rPr>
          <w:rFonts w:ascii="Times New Roman" w:hAnsi="Times New Roman"/>
          <w:sz w:val="24"/>
          <w:szCs w:val="24"/>
          <w:lang w:val="en-GB"/>
        </w:rPr>
      </w:pPr>
    </w:p>
    <w:p w14:paraId="77E7BB3E" w14:textId="77777777" w:rsidR="00891DA2" w:rsidRPr="00850B39" w:rsidRDefault="00891DA2" w:rsidP="00455409">
      <w:pPr>
        <w:jc w:val="both"/>
        <w:rPr>
          <w:rFonts w:ascii="Times New Roman" w:hAnsi="Times New Roman"/>
          <w:sz w:val="24"/>
          <w:szCs w:val="24"/>
          <w:lang w:val="en-GB"/>
        </w:rPr>
      </w:pPr>
      <w:r w:rsidRPr="004E68C0">
        <w:rPr>
          <w:rFonts w:ascii="Times New Roman" w:hAnsi="Times New Roman"/>
          <w:sz w:val="24"/>
          <w:szCs w:val="24"/>
          <w:lang w:val="en-GB"/>
        </w:rPr>
        <w:t xml:space="preserve">Regarding residential mortgages, it would be worth considering specificities that can materially change the risk profile like the different forms of state guarantee programs. Evidence found in the EBA fourth analysis on the consistency of risk weighted assets clearly indicates that member states in which a state guarantee is commonplace have different risk drivers. The </w:t>
      </w:r>
      <w:r w:rsidRPr="00397D0D">
        <w:rPr>
          <w:rFonts w:ascii="Times New Roman" w:hAnsi="Times New Roman"/>
          <w:sz w:val="24"/>
          <w:szCs w:val="24"/>
          <w:lang w:val="en-GB"/>
        </w:rPr>
        <w:t>credit losses experience is also different and can be explained with long-term observed data. Therefore, it would make sense to split the portfolio and analyse separately with bespoke benchmarks the transactions that are backed with such a state guarantee</w:t>
      </w:r>
      <w:r w:rsidRPr="004F6FF5">
        <w:rPr>
          <w:rFonts w:ascii="Times New Roman" w:hAnsi="Times New Roman"/>
          <w:sz w:val="24"/>
          <w:szCs w:val="24"/>
          <w:lang w:val="en-GB"/>
        </w:rPr>
        <w:t xml:space="preserve">. </w:t>
      </w:r>
    </w:p>
    <w:p w14:paraId="77E7BB3F" w14:textId="77777777" w:rsidR="00891DA2" w:rsidRPr="004E68C0" w:rsidRDefault="001009C3" w:rsidP="00455409">
      <w:pPr>
        <w:jc w:val="both"/>
        <w:rPr>
          <w:rFonts w:ascii="Times New Roman" w:hAnsi="Times New Roman"/>
          <w:sz w:val="24"/>
          <w:szCs w:val="24"/>
          <w:lang w:val="en-GB"/>
        </w:rPr>
      </w:pPr>
      <w:r w:rsidRPr="004E68C0">
        <w:rPr>
          <w:rFonts w:ascii="Times New Roman" w:hAnsi="Times New Roman"/>
          <w:sz w:val="24"/>
          <w:szCs w:val="24"/>
          <w:lang w:val="en-GB"/>
        </w:rPr>
        <w:t xml:space="preserve">In the case of low-default-portfolios (LDP) the classes of assets included is somewhat ambiguous. For instance, there is no clarity as to whether and how specialised lending should be included in the LDP benchmarking. </w:t>
      </w:r>
    </w:p>
    <w:p w14:paraId="77E7BB40" w14:textId="77777777" w:rsidR="00B043B3" w:rsidRPr="004E68C0" w:rsidRDefault="00B043B3" w:rsidP="00455409">
      <w:pPr>
        <w:jc w:val="both"/>
        <w:rPr>
          <w:rFonts w:ascii="Times New Roman" w:hAnsi="Times New Roman"/>
          <w:sz w:val="24"/>
          <w:szCs w:val="24"/>
          <w:lang w:val="en-GB"/>
        </w:rPr>
      </w:pPr>
      <w:r w:rsidRPr="004E68C0">
        <w:rPr>
          <w:rFonts w:ascii="Times New Roman" w:hAnsi="Times New Roman"/>
          <w:sz w:val="24"/>
          <w:szCs w:val="24"/>
          <w:lang w:val="en-GB"/>
        </w:rPr>
        <w:t xml:space="preserve">Under appendix 1, tab 103 requires data for retail and SME mortgage assets. Column D specifies the “residence of counterparties”. The drop down options of the </w:t>
      </w:r>
      <w:r w:rsidR="0034555E">
        <w:rPr>
          <w:rFonts w:ascii="Times New Roman" w:hAnsi="Times New Roman"/>
          <w:sz w:val="24"/>
          <w:szCs w:val="24"/>
          <w:lang w:val="en-GB"/>
        </w:rPr>
        <w:t>“</w:t>
      </w:r>
      <w:r w:rsidRPr="004E68C0">
        <w:rPr>
          <w:rFonts w:ascii="Times New Roman" w:hAnsi="Times New Roman"/>
          <w:sz w:val="24"/>
          <w:szCs w:val="24"/>
          <w:lang w:val="en-GB"/>
        </w:rPr>
        <w:t>Residence of counterparties</w:t>
      </w:r>
      <w:r w:rsidR="0034555E">
        <w:rPr>
          <w:rFonts w:ascii="Times New Roman" w:hAnsi="Times New Roman"/>
          <w:sz w:val="24"/>
          <w:szCs w:val="24"/>
          <w:lang w:val="en-GB"/>
        </w:rPr>
        <w:t>”</w:t>
      </w:r>
      <w:r w:rsidRPr="004E68C0">
        <w:rPr>
          <w:rFonts w:ascii="Times New Roman" w:hAnsi="Times New Roman"/>
          <w:sz w:val="24"/>
          <w:szCs w:val="24"/>
          <w:lang w:val="en-GB"/>
        </w:rPr>
        <w:t xml:space="preserve"> </w:t>
      </w:r>
      <w:r w:rsidR="0034555E">
        <w:rPr>
          <w:rFonts w:ascii="Times New Roman" w:hAnsi="Times New Roman"/>
          <w:sz w:val="24"/>
          <w:szCs w:val="24"/>
          <w:lang w:val="en-GB"/>
        </w:rPr>
        <w:t>are</w:t>
      </w:r>
      <w:r w:rsidRPr="004E68C0">
        <w:rPr>
          <w:rFonts w:ascii="Times New Roman" w:hAnsi="Times New Roman"/>
          <w:sz w:val="24"/>
          <w:szCs w:val="24"/>
          <w:lang w:val="en-GB"/>
        </w:rPr>
        <w:t xml:space="preserve"> only European Countries. Is it correct to assume that non-European Country related data is exempted from the benchmarking?</w:t>
      </w:r>
    </w:p>
    <w:p w14:paraId="77E7BB41" w14:textId="77777777" w:rsidR="000A5EA8" w:rsidRPr="004E68C0" w:rsidRDefault="000A5EA8" w:rsidP="00455409">
      <w:pPr>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5D09" w:rsidRPr="004E68C0" w14:paraId="77E7BB43" w14:textId="77777777" w:rsidTr="00D329B4">
        <w:tc>
          <w:tcPr>
            <w:tcW w:w="9212" w:type="dxa"/>
            <w:shd w:val="clear" w:color="auto" w:fill="auto"/>
          </w:tcPr>
          <w:p w14:paraId="77E7BB42" w14:textId="77777777" w:rsidR="001F5D09" w:rsidRPr="004E68C0" w:rsidRDefault="000A5EA8" w:rsidP="00D329B4">
            <w:pPr>
              <w:spacing w:before="120"/>
              <w:jc w:val="both"/>
              <w:rPr>
                <w:rFonts w:ascii="Times New Roman" w:hAnsi="Times New Roman"/>
                <w:b/>
                <w:sz w:val="24"/>
                <w:szCs w:val="24"/>
                <w:lang w:val="en-GB"/>
              </w:rPr>
            </w:pPr>
            <w:r w:rsidRPr="004E68C0">
              <w:rPr>
                <w:rFonts w:ascii="Times New Roman" w:hAnsi="Times New Roman"/>
                <w:b/>
                <w:sz w:val="24"/>
                <w:szCs w:val="24"/>
                <w:lang w:val="en-GB"/>
              </w:rPr>
              <w:t xml:space="preserve">Q10. Do you have any suggestions for additional credit risk portfolios? Please provide details. </w:t>
            </w:r>
          </w:p>
        </w:tc>
      </w:tr>
    </w:tbl>
    <w:p w14:paraId="77E7BB44" w14:textId="77777777" w:rsidR="001F5D09" w:rsidRPr="004E68C0" w:rsidRDefault="001F5D09" w:rsidP="00455409">
      <w:pPr>
        <w:jc w:val="both"/>
        <w:rPr>
          <w:rFonts w:ascii="Times New Roman" w:hAnsi="Times New Roman"/>
          <w:sz w:val="24"/>
          <w:szCs w:val="24"/>
          <w:lang w:val="en-GB"/>
        </w:rPr>
      </w:pPr>
    </w:p>
    <w:p w14:paraId="77E7BB45" w14:textId="77777777" w:rsidR="000A5EA8" w:rsidRPr="004E68C0" w:rsidRDefault="001F5D09" w:rsidP="000A5EA8">
      <w:pPr>
        <w:jc w:val="both"/>
        <w:rPr>
          <w:rFonts w:ascii="Times New Roman" w:hAnsi="Times New Roman"/>
          <w:sz w:val="24"/>
          <w:szCs w:val="24"/>
          <w:lang w:val="en-GB"/>
        </w:rPr>
      </w:pPr>
      <w:r w:rsidRPr="004E68C0">
        <w:rPr>
          <w:rFonts w:ascii="Times New Roman" w:hAnsi="Times New Roman"/>
          <w:sz w:val="24"/>
          <w:szCs w:val="24"/>
          <w:lang w:val="en-GB"/>
        </w:rPr>
        <w:t xml:space="preserve"> </w:t>
      </w:r>
      <w:r w:rsidR="00CA6963" w:rsidRPr="004E68C0">
        <w:rPr>
          <w:rFonts w:ascii="Times New Roman" w:hAnsi="Times New Roman"/>
          <w:sz w:val="24"/>
          <w:szCs w:val="24"/>
          <w:lang w:val="en-GB"/>
        </w:rPr>
        <w:t>We do not have further suggestions for additional credit risk portfolios at this time.</w:t>
      </w:r>
    </w:p>
    <w:p w14:paraId="77E7BB46" w14:textId="77777777" w:rsidR="001F5D09" w:rsidRPr="004E68C0" w:rsidRDefault="001F5D09" w:rsidP="009674BD">
      <w:pPr>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5D09" w:rsidRPr="007770DC" w14:paraId="77E7BB48" w14:textId="77777777" w:rsidTr="00D329B4">
        <w:tc>
          <w:tcPr>
            <w:tcW w:w="9212" w:type="dxa"/>
            <w:shd w:val="clear" w:color="auto" w:fill="auto"/>
          </w:tcPr>
          <w:p w14:paraId="77E7BB47" w14:textId="77777777" w:rsidR="001F5D09" w:rsidRPr="004F6FF5" w:rsidRDefault="000A5EA8" w:rsidP="00D329B4">
            <w:pPr>
              <w:spacing w:before="120"/>
              <w:jc w:val="both"/>
              <w:rPr>
                <w:rFonts w:ascii="Times New Roman" w:hAnsi="Times New Roman"/>
                <w:b/>
                <w:sz w:val="24"/>
                <w:szCs w:val="24"/>
                <w:lang w:val="en-GB"/>
              </w:rPr>
            </w:pPr>
            <w:r w:rsidRPr="00397D0D">
              <w:rPr>
                <w:rFonts w:ascii="Times New Roman" w:hAnsi="Times New Roman"/>
                <w:b/>
                <w:sz w:val="24"/>
                <w:szCs w:val="24"/>
                <w:lang w:val="en-GB"/>
              </w:rPr>
              <w:t>Q11. Do you see any potential ambiguities in the market risk portfolios defined in Annexes VII.a and VII.b? Please identify the relevant portfolio providing details and any suggestions that would eliminate these.</w:t>
            </w:r>
            <w:r w:rsidRPr="00894124">
              <w:rPr>
                <w:rFonts w:ascii="Times New Roman" w:hAnsi="Times New Roman"/>
                <w:b/>
                <w:sz w:val="24"/>
                <w:szCs w:val="24"/>
                <w:lang w:val="en-GB"/>
              </w:rPr>
              <w:t xml:space="preserve"> </w:t>
            </w:r>
          </w:p>
        </w:tc>
      </w:tr>
    </w:tbl>
    <w:p w14:paraId="77E7BB49" w14:textId="77777777" w:rsidR="001F5D09" w:rsidRPr="004E68C0" w:rsidRDefault="001F5D09" w:rsidP="00455409">
      <w:pPr>
        <w:jc w:val="both"/>
        <w:rPr>
          <w:rFonts w:ascii="Times New Roman" w:hAnsi="Times New Roman"/>
          <w:sz w:val="24"/>
          <w:szCs w:val="24"/>
          <w:lang w:val="en-GB"/>
        </w:rPr>
      </w:pPr>
    </w:p>
    <w:p w14:paraId="77E7BB4A" w14:textId="77777777" w:rsidR="001F5D09" w:rsidRPr="004E68C0" w:rsidRDefault="00E36923" w:rsidP="00455409">
      <w:pPr>
        <w:jc w:val="both"/>
        <w:rPr>
          <w:rFonts w:ascii="Times New Roman" w:hAnsi="Times New Roman"/>
          <w:sz w:val="24"/>
          <w:szCs w:val="24"/>
          <w:lang w:val="en-GB"/>
        </w:rPr>
      </w:pPr>
      <w:r w:rsidRPr="004E68C0">
        <w:rPr>
          <w:rFonts w:ascii="Times New Roman" w:hAnsi="Times New Roman"/>
          <w:sz w:val="24"/>
          <w:szCs w:val="24"/>
          <w:lang w:val="en-GB"/>
        </w:rPr>
        <w:t>Market risk proposals indicate that banks should calculate risk figures in the currency of the particular portfolio specified in order for the result not to be polluted by currency effects. However, m</w:t>
      </w:r>
      <w:r w:rsidRPr="00F4326B">
        <w:rPr>
          <w:rFonts w:ascii="Times New Roman" w:hAnsi="Times New Roman"/>
          <w:sz w:val="24"/>
          <w:szCs w:val="24"/>
          <w:lang w:val="en-GB"/>
        </w:rPr>
        <w:t xml:space="preserve">odels </w:t>
      </w:r>
      <w:r w:rsidRPr="00B36639">
        <w:rPr>
          <w:rFonts w:ascii="Times New Roman" w:hAnsi="Times New Roman"/>
          <w:sz w:val="24"/>
          <w:szCs w:val="24"/>
          <w:lang w:val="en-GB"/>
        </w:rPr>
        <w:t xml:space="preserve">of non-Euro markets (e.g. Denmark or Sweden) </w:t>
      </w:r>
      <w:r w:rsidRPr="007D767D">
        <w:rPr>
          <w:rFonts w:ascii="Times New Roman" w:hAnsi="Times New Roman"/>
          <w:sz w:val="24"/>
          <w:szCs w:val="24"/>
          <w:lang w:val="en-GB"/>
        </w:rPr>
        <w:t xml:space="preserve">are in some cases set up to calculate with an outset in Euro </w:t>
      </w:r>
      <w:r w:rsidRPr="00397D0D">
        <w:rPr>
          <w:rFonts w:ascii="Times New Roman" w:hAnsi="Times New Roman"/>
          <w:sz w:val="24"/>
          <w:szCs w:val="24"/>
          <w:lang w:val="en-GB"/>
        </w:rPr>
        <w:t xml:space="preserve">therefore the conversion is </w:t>
      </w:r>
      <w:r w:rsidRPr="00894124">
        <w:rPr>
          <w:rFonts w:ascii="Times New Roman" w:hAnsi="Times New Roman"/>
          <w:sz w:val="24"/>
          <w:szCs w:val="24"/>
          <w:lang w:val="en-GB"/>
        </w:rPr>
        <w:t xml:space="preserve">a </w:t>
      </w:r>
      <w:r w:rsidRPr="004F6FF5">
        <w:rPr>
          <w:rFonts w:ascii="Times New Roman" w:hAnsi="Times New Roman"/>
          <w:sz w:val="24"/>
          <w:szCs w:val="24"/>
          <w:lang w:val="en-GB"/>
        </w:rPr>
        <w:t xml:space="preserve">time-consuming </w:t>
      </w:r>
      <w:r w:rsidRPr="00850B39">
        <w:rPr>
          <w:rFonts w:ascii="Times New Roman" w:hAnsi="Times New Roman"/>
          <w:sz w:val="24"/>
          <w:szCs w:val="24"/>
          <w:lang w:val="en-GB"/>
        </w:rPr>
        <w:t xml:space="preserve">complication. In our view, it </w:t>
      </w:r>
      <w:r w:rsidRPr="004E68C0">
        <w:rPr>
          <w:rFonts w:ascii="Times New Roman" w:hAnsi="Times New Roman"/>
          <w:sz w:val="24"/>
          <w:szCs w:val="24"/>
          <w:lang w:val="en-GB"/>
        </w:rPr>
        <w:t xml:space="preserve">should not be generally expected that banks be able to do this. </w:t>
      </w:r>
    </w:p>
    <w:p w14:paraId="77E7BB4B" w14:textId="77777777" w:rsidR="00B22B28" w:rsidRPr="004E68C0" w:rsidRDefault="00B22B28" w:rsidP="00B22B28">
      <w:pPr>
        <w:jc w:val="both"/>
        <w:rPr>
          <w:rFonts w:ascii="Times New Roman" w:hAnsi="Times New Roman"/>
          <w:sz w:val="24"/>
          <w:szCs w:val="24"/>
          <w:lang w:val="en-GB"/>
        </w:rPr>
      </w:pPr>
      <w:r w:rsidRPr="004E68C0">
        <w:rPr>
          <w:rFonts w:ascii="Times New Roman" w:hAnsi="Times New Roman"/>
          <w:sz w:val="24"/>
          <w:szCs w:val="24"/>
          <w:lang w:val="en-GB"/>
        </w:rPr>
        <w:t xml:space="preserve">General comments regarding benchmark portfolios: </w:t>
      </w:r>
    </w:p>
    <w:p w14:paraId="77E7BB4C" w14:textId="77777777" w:rsidR="00B22B28" w:rsidRPr="004E68C0" w:rsidRDefault="00B22B28" w:rsidP="005A4040">
      <w:pPr>
        <w:pStyle w:val="ListParagraph"/>
        <w:numPr>
          <w:ilvl w:val="0"/>
          <w:numId w:val="34"/>
        </w:numPr>
        <w:ind w:left="714" w:hanging="357"/>
        <w:contextualSpacing w:val="0"/>
        <w:jc w:val="both"/>
        <w:rPr>
          <w:rFonts w:ascii="Times New Roman" w:hAnsi="Times New Roman"/>
          <w:sz w:val="24"/>
          <w:szCs w:val="24"/>
          <w:lang w:val="en-GB"/>
        </w:rPr>
      </w:pPr>
      <w:r w:rsidRPr="004E68C0">
        <w:rPr>
          <w:rFonts w:ascii="Times New Roman" w:hAnsi="Times New Roman"/>
          <w:sz w:val="24"/>
          <w:szCs w:val="24"/>
          <w:lang w:val="en-GB"/>
        </w:rPr>
        <w:t xml:space="preserve">Portfolios should to be available well in advance of the exercises. They should be extensively tested by the competent authority to avoid any confusion or late changes to the portfolios. If possible, a rough indication of the MtM should be available at the moment of the publication of the portfolios. </w:t>
      </w:r>
    </w:p>
    <w:p w14:paraId="77E7BB4D" w14:textId="77777777" w:rsidR="00B22B28" w:rsidRPr="004E68C0" w:rsidRDefault="00B22B28" w:rsidP="005A4040">
      <w:pPr>
        <w:pStyle w:val="ListParagraph"/>
        <w:numPr>
          <w:ilvl w:val="0"/>
          <w:numId w:val="34"/>
        </w:numPr>
        <w:ind w:left="714" w:hanging="357"/>
        <w:contextualSpacing w:val="0"/>
        <w:jc w:val="both"/>
        <w:rPr>
          <w:rFonts w:ascii="Times New Roman" w:hAnsi="Times New Roman"/>
          <w:sz w:val="24"/>
          <w:szCs w:val="24"/>
          <w:lang w:val="en-GB"/>
        </w:rPr>
      </w:pPr>
      <w:r w:rsidRPr="004E68C0">
        <w:rPr>
          <w:rFonts w:ascii="Times New Roman" w:hAnsi="Times New Roman"/>
          <w:sz w:val="24"/>
          <w:szCs w:val="24"/>
          <w:lang w:val="en-GB"/>
        </w:rPr>
        <w:t>The competent authorities should structure the portfolios in such a way that the specific model item can be properly tested. For instance, if the purpose is to test VaR models for interest rate volatility, the portfolio should be structured in such a way that all non-</w:t>
      </w:r>
      <w:r w:rsidRPr="004E68C0">
        <w:rPr>
          <w:rFonts w:ascii="Times New Roman" w:hAnsi="Times New Roman"/>
          <w:i/>
          <w:sz w:val="24"/>
          <w:szCs w:val="24"/>
          <w:lang w:val="en-GB"/>
        </w:rPr>
        <w:t>vega</w:t>
      </w:r>
      <w:r w:rsidRPr="004E68C0">
        <w:rPr>
          <w:rFonts w:ascii="Times New Roman" w:hAnsi="Times New Roman"/>
          <w:sz w:val="24"/>
          <w:szCs w:val="24"/>
          <w:lang w:val="en-GB"/>
        </w:rPr>
        <w:t xml:space="preserve"> sensitivities of the portfolio are small. In this specific case for example the portfolio with a </w:t>
      </w:r>
      <w:r w:rsidRPr="004E68C0">
        <w:rPr>
          <w:rFonts w:ascii="Times New Roman" w:hAnsi="Times New Roman"/>
          <w:i/>
          <w:sz w:val="24"/>
          <w:szCs w:val="24"/>
          <w:lang w:val="en-GB"/>
        </w:rPr>
        <w:t>swaption</w:t>
      </w:r>
      <w:r w:rsidRPr="004E68C0">
        <w:rPr>
          <w:rFonts w:ascii="Times New Roman" w:hAnsi="Times New Roman"/>
          <w:sz w:val="24"/>
          <w:szCs w:val="24"/>
          <w:lang w:val="en-GB"/>
        </w:rPr>
        <w:t xml:space="preserve"> can be made </w:t>
      </w:r>
      <w:r w:rsidRPr="004E68C0">
        <w:rPr>
          <w:rFonts w:ascii="Times New Roman" w:hAnsi="Times New Roman"/>
          <w:i/>
          <w:sz w:val="24"/>
          <w:szCs w:val="24"/>
          <w:lang w:val="en-GB"/>
        </w:rPr>
        <w:t xml:space="preserve">delta </w:t>
      </w:r>
      <w:r w:rsidRPr="004E68C0">
        <w:rPr>
          <w:rFonts w:ascii="Times New Roman" w:hAnsi="Times New Roman"/>
          <w:sz w:val="24"/>
          <w:szCs w:val="24"/>
          <w:lang w:val="en-GB"/>
        </w:rPr>
        <w:t>neutral by adding an interest rate swap.</w:t>
      </w:r>
    </w:p>
    <w:p w14:paraId="77E7BB4E" w14:textId="77777777" w:rsidR="00B043B3" w:rsidRPr="004E68C0" w:rsidRDefault="00B043B3" w:rsidP="00B043B3">
      <w:pPr>
        <w:jc w:val="both"/>
        <w:rPr>
          <w:rFonts w:ascii="Times New Roman" w:hAnsi="Times New Roman"/>
          <w:sz w:val="24"/>
          <w:szCs w:val="24"/>
          <w:lang w:val="en-GB"/>
        </w:rPr>
      </w:pPr>
      <w:r w:rsidRPr="004E68C0">
        <w:rPr>
          <w:rFonts w:ascii="Times New Roman" w:hAnsi="Times New Roman"/>
          <w:sz w:val="24"/>
          <w:szCs w:val="24"/>
          <w:lang w:val="en-GB"/>
        </w:rPr>
        <w:t xml:space="preserve">As regards ambiguities, the definition of portfolios in terms of how to combine the various positions (section 3, Annex Vii.a) should be clarified. For example, portfolio II is described as 1-50 instruments, 2-9 instruments and 3-1 instrument. We understood 1-50 instruments to mean long all positions labelled as 1-50 in section 2. </w:t>
      </w:r>
    </w:p>
    <w:p w14:paraId="77E7BB4F" w14:textId="77777777" w:rsidR="00B043B3" w:rsidRPr="004E68C0" w:rsidRDefault="00B043B3" w:rsidP="00B043B3">
      <w:pPr>
        <w:jc w:val="both"/>
        <w:rPr>
          <w:rFonts w:ascii="Times New Roman" w:hAnsi="Times New Roman"/>
          <w:sz w:val="24"/>
          <w:szCs w:val="24"/>
          <w:lang w:val="en-GB"/>
        </w:rPr>
      </w:pPr>
      <w:r w:rsidRPr="004E68C0">
        <w:rPr>
          <w:rFonts w:ascii="Times New Roman" w:hAnsi="Times New Roman"/>
          <w:sz w:val="24"/>
          <w:szCs w:val="24"/>
          <w:lang w:val="en-GB"/>
        </w:rPr>
        <w:t xml:space="preserve">A spreadsheet list of which instruments to include in each sub-portfolio would be clearer as well as including the possibilities of being long or short the position described in section 2 and in multiples of the quantity described. For example:  </w:t>
      </w:r>
    </w:p>
    <w:p w14:paraId="77E7BB50" w14:textId="77777777" w:rsidR="00B043B3" w:rsidRPr="007B646F" w:rsidRDefault="00B043B3" w:rsidP="00B043B3">
      <w:pPr>
        <w:jc w:val="both"/>
        <w:rPr>
          <w:rFonts w:ascii="Times New Roman" w:hAnsi="Times New Roman"/>
          <w:sz w:val="24"/>
          <w:szCs w:val="24"/>
          <w:u w:val="single"/>
          <w:lang w:val="en-GB"/>
        </w:rPr>
      </w:pPr>
      <w:r w:rsidRPr="007B646F">
        <w:rPr>
          <w:rFonts w:ascii="Times New Roman" w:hAnsi="Times New Roman"/>
          <w:sz w:val="24"/>
          <w:szCs w:val="24"/>
          <w:u w:val="single"/>
          <w:lang w:val="en-GB"/>
        </w:rPr>
        <w:t>Instruments</w:t>
      </w:r>
    </w:p>
    <w:p w14:paraId="77E7BB51" w14:textId="77777777" w:rsidR="00B043B3" w:rsidRPr="004E68C0" w:rsidRDefault="00B043B3" w:rsidP="00B043B3">
      <w:pPr>
        <w:jc w:val="both"/>
        <w:rPr>
          <w:rFonts w:ascii="Times New Roman" w:hAnsi="Times New Roman"/>
          <w:sz w:val="24"/>
          <w:szCs w:val="24"/>
          <w:lang w:val="en-GB"/>
        </w:rPr>
      </w:pPr>
      <w:r w:rsidRPr="004E68C0">
        <w:rPr>
          <w:rFonts w:ascii="Times New Roman" w:hAnsi="Times New Roman"/>
          <w:sz w:val="24"/>
          <w:szCs w:val="24"/>
          <w:lang w:val="en-GB"/>
        </w:rPr>
        <w:t xml:space="preserve">1. Long </w:t>
      </w:r>
      <w:r w:rsidR="0056121A" w:rsidRPr="004E68C0">
        <w:rPr>
          <w:rFonts w:ascii="Times New Roman" w:hAnsi="Times New Roman"/>
          <w:sz w:val="24"/>
          <w:szCs w:val="24"/>
          <w:lang w:val="en-GB"/>
        </w:rPr>
        <w:t>Index X</w:t>
      </w:r>
      <w:r w:rsidRPr="004E68C0">
        <w:rPr>
          <w:rFonts w:ascii="Times New Roman" w:hAnsi="Times New Roman"/>
          <w:sz w:val="24"/>
          <w:szCs w:val="24"/>
          <w:lang w:val="en-GB"/>
        </w:rPr>
        <w:t xml:space="preserve"> OTC Future (1 point equals 10 € movement). Expiry - June 2014 </w:t>
      </w:r>
    </w:p>
    <w:p w14:paraId="77E7BB52" w14:textId="77777777" w:rsidR="00B043B3" w:rsidRPr="004E68C0" w:rsidRDefault="00B043B3" w:rsidP="00B043B3">
      <w:pPr>
        <w:jc w:val="both"/>
        <w:rPr>
          <w:rFonts w:ascii="Times New Roman" w:hAnsi="Times New Roman"/>
          <w:sz w:val="24"/>
          <w:szCs w:val="24"/>
          <w:lang w:val="en-GB"/>
        </w:rPr>
      </w:pPr>
      <w:r w:rsidRPr="004E68C0">
        <w:rPr>
          <w:rFonts w:ascii="Times New Roman" w:hAnsi="Times New Roman"/>
          <w:sz w:val="24"/>
          <w:szCs w:val="24"/>
          <w:lang w:val="en-GB"/>
        </w:rPr>
        <w:t>2. Long OTC Future Ban</w:t>
      </w:r>
      <w:r w:rsidR="0056121A" w:rsidRPr="004E68C0">
        <w:rPr>
          <w:rFonts w:ascii="Times New Roman" w:hAnsi="Times New Roman"/>
          <w:sz w:val="24"/>
          <w:szCs w:val="24"/>
          <w:lang w:val="en-GB"/>
        </w:rPr>
        <w:t>k A</w:t>
      </w:r>
      <w:r w:rsidRPr="004E68C0">
        <w:rPr>
          <w:rFonts w:ascii="Times New Roman" w:hAnsi="Times New Roman"/>
          <w:sz w:val="24"/>
          <w:szCs w:val="24"/>
          <w:lang w:val="en-GB"/>
        </w:rPr>
        <w:t xml:space="preserve"> (1 contract = 100 shares). Expiry – June 2014 </w:t>
      </w:r>
    </w:p>
    <w:p w14:paraId="77E7BB53" w14:textId="77777777" w:rsidR="00B043B3" w:rsidRPr="004E68C0" w:rsidRDefault="00B043B3" w:rsidP="00B043B3">
      <w:pPr>
        <w:jc w:val="both"/>
        <w:rPr>
          <w:rFonts w:ascii="Times New Roman" w:hAnsi="Times New Roman"/>
          <w:sz w:val="24"/>
          <w:szCs w:val="24"/>
          <w:lang w:val="en-GB"/>
        </w:rPr>
      </w:pPr>
      <w:r w:rsidRPr="004E68C0">
        <w:rPr>
          <w:rFonts w:ascii="Times New Roman" w:hAnsi="Times New Roman"/>
          <w:sz w:val="24"/>
          <w:szCs w:val="24"/>
          <w:lang w:val="en-GB"/>
        </w:rPr>
        <w:t>3. Long OTC Future Bank</w:t>
      </w:r>
      <w:r w:rsidR="0056121A" w:rsidRPr="004E68C0">
        <w:rPr>
          <w:rFonts w:ascii="Times New Roman" w:hAnsi="Times New Roman"/>
          <w:sz w:val="24"/>
          <w:szCs w:val="24"/>
          <w:lang w:val="en-GB"/>
        </w:rPr>
        <w:t xml:space="preserve"> B</w:t>
      </w:r>
      <w:r w:rsidRPr="004E68C0">
        <w:rPr>
          <w:rFonts w:ascii="Times New Roman" w:hAnsi="Times New Roman"/>
          <w:sz w:val="24"/>
          <w:szCs w:val="24"/>
          <w:lang w:val="en-GB"/>
        </w:rPr>
        <w:t xml:space="preserve"> (1 contract = 100 shares). Expiry – June 2014 </w:t>
      </w:r>
    </w:p>
    <w:p w14:paraId="77E7BB54" w14:textId="77777777" w:rsidR="00B043B3" w:rsidRPr="004E68C0" w:rsidRDefault="00B043B3" w:rsidP="00B043B3">
      <w:pPr>
        <w:jc w:val="both"/>
        <w:rPr>
          <w:rFonts w:ascii="Times New Roman" w:hAnsi="Times New Roman"/>
          <w:sz w:val="24"/>
          <w:szCs w:val="24"/>
          <w:lang w:val="en-GB"/>
        </w:rPr>
      </w:pPr>
      <w:r w:rsidRPr="004E68C0">
        <w:rPr>
          <w:rFonts w:ascii="Times New Roman" w:hAnsi="Times New Roman"/>
          <w:sz w:val="24"/>
          <w:szCs w:val="24"/>
          <w:lang w:val="en-GB"/>
        </w:rPr>
        <w:t>4. Long OTC future, Ban</w:t>
      </w:r>
      <w:r w:rsidR="0056121A" w:rsidRPr="004E68C0">
        <w:rPr>
          <w:rFonts w:ascii="Times New Roman" w:hAnsi="Times New Roman"/>
          <w:sz w:val="24"/>
          <w:szCs w:val="24"/>
          <w:lang w:val="en-GB"/>
        </w:rPr>
        <w:t>k C</w:t>
      </w:r>
      <w:r w:rsidRPr="004E68C0">
        <w:rPr>
          <w:rFonts w:ascii="Times New Roman" w:hAnsi="Times New Roman"/>
          <w:sz w:val="24"/>
          <w:szCs w:val="24"/>
          <w:lang w:val="en-GB"/>
        </w:rPr>
        <w:t xml:space="preserve"> (1 contract = 100 shares). Expiry – 30 June 2014 </w:t>
      </w:r>
    </w:p>
    <w:p w14:paraId="77E7BB55" w14:textId="77777777" w:rsidR="00B043B3" w:rsidRPr="004E68C0" w:rsidRDefault="00B043B3" w:rsidP="00B043B3">
      <w:pPr>
        <w:jc w:val="both"/>
        <w:rPr>
          <w:rFonts w:ascii="Times New Roman" w:hAnsi="Times New Roman"/>
          <w:sz w:val="24"/>
          <w:szCs w:val="24"/>
          <w:lang w:val="en-GB"/>
        </w:rPr>
      </w:pPr>
      <w:r w:rsidRPr="004E68C0">
        <w:rPr>
          <w:rFonts w:ascii="Times New Roman" w:hAnsi="Times New Roman"/>
          <w:sz w:val="24"/>
          <w:szCs w:val="24"/>
          <w:lang w:val="en-GB"/>
        </w:rPr>
        <w:t xml:space="preserve">5. Long OTC future, </w:t>
      </w:r>
      <w:r w:rsidR="0056121A" w:rsidRPr="004E68C0">
        <w:rPr>
          <w:rFonts w:ascii="Times New Roman" w:hAnsi="Times New Roman"/>
          <w:sz w:val="24"/>
          <w:szCs w:val="24"/>
          <w:lang w:val="en-GB"/>
        </w:rPr>
        <w:t>Bank D</w:t>
      </w:r>
      <w:r w:rsidRPr="004E68C0">
        <w:rPr>
          <w:rFonts w:ascii="Times New Roman" w:hAnsi="Times New Roman"/>
          <w:sz w:val="24"/>
          <w:szCs w:val="24"/>
          <w:lang w:val="en-GB"/>
        </w:rPr>
        <w:t xml:space="preserve"> (1 contract = 100 shares). Expiry – 30 June 2014 </w:t>
      </w:r>
    </w:p>
    <w:p w14:paraId="77E7BB56" w14:textId="77777777" w:rsidR="00B043B3" w:rsidRPr="004E68C0" w:rsidRDefault="00B043B3" w:rsidP="00B043B3">
      <w:pPr>
        <w:jc w:val="both"/>
        <w:rPr>
          <w:rFonts w:ascii="Times New Roman" w:hAnsi="Times New Roman"/>
          <w:sz w:val="24"/>
          <w:szCs w:val="24"/>
          <w:lang w:val="en-GB"/>
        </w:rPr>
      </w:pPr>
      <w:r w:rsidRPr="004E68C0">
        <w:rPr>
          <w:rFonts w:ascii="Times New Roman" w:hAnsi="Times New Roman"/>
          <w:sz w:val="24"/>
          <w:szCs w:val="24"/>
          <w:lang w:val="en-GB"/>
        </w:rPr>
        <w:t xml:space="preserve">6. Long OTC future, </w:t>
      </w:r>
      <w:r w:rsidR="0056121A" w:rsidRPr="004E68C0">
        <w:rPr>
          <w:rFonts w:ascii="Times New Roman" w:hAnsi="Times New Roman"/>
          <w:sz w:val="24"/>
          <w:szCs w:val="24"/>
          <w:lang w:val="en-GB"/>
        </w:rPr>
        <w:t>Bank E</w:t>
      </w:r>
      <w:r w:rsidRPr="004E68C0">
        <w:rPr>
          <w:rFonts w:ascii="Times New Roman" w:hAnsi="Times New Roman"/>
          <w:sz w:val="24"/>
          <w:szCs w:val="24"/>
          <w:lang w:val="en-GB"/>
        </w:rPr>
        <w:t xml:space="preserve"> (1 contract = 100 shares). Expiry – 30 June 2014 </w:t>
      </w:r>
    </w:p>
    <w:p w14:paraId="77E7BB57" w14:textId="77777777" w:rsidR="00B043B3" w:rsidRPr="004E68C0" w:rsidRDefault="00B043B3" w:rsidP="00B043B3">
      <w:pPr>
        <w:jc w:val="both"/>
        <w:rPr>
          <w:rFonts w:ascii="Times New Roman" w:hAnsi="Times New Roman"/>
          <w:sz w:val="24"/>
          <w:szCs w:val="24"/>
          <w:lang w:val="en-GB"/>
        </w:rPr>
      </w:pPr>
      <w:r w:rsidRPr="004E68C0">
        <w:rPr>
          <w:rFonts w:ascii="Times New Roman" w:hAnsi="Times New Roman"/>
          <w:sz w:val="24"/>
          <w:szCs w:val="24"/>
          <w:lang w:val="en-GB"/>
        </w:rPr>
        <w:t xml:space="preserve">7. Long OTC call Option. Underlying </w:t>
      </w:r>
      <w:r w:rsidR="0056121A" w:rsidRPr="004E68C0">
        <w:rPr>
          <w:rFonts w:ascii="Times New Roman" w:hAnsi="Times New Roman"/>
          <w:sz w:val="24"/>
          <w:szCs w:val="24"/>
          <w:lang w:val="en-GB"/>
        </w:rPr>
        <w:t>Corporate 1</w:t>
      </w:r>
      <w:r w:rsidRPr="004E68C0">
        <w:rPr>
          <w:rFonts w:ascii="Times New Roman" w:hAnsi="Times New Roman"/>
          <w:sz w:val="24"/>
          <w:szCs w:val="24"/>
          <w:lang w:val="en-GB"/>
        </w:rPr>
        <w:t xml:space="preserve">, ATM (1 contract = 100 shares). Expiry – 31 July 2014 </w:t>
      </w:r>
    </w:p>
    <w:p w14:paraId="77E7BB58" w14:textId="77777777" w:rsidR="00B043B3" w:rsidRPr="004E68C0" w:rsidRDefault="00B043B3" w:rsidP="00B043B3">
      <w:pPr>
        <w:jc w:val="both"/>
        <w:rPr>
          <w:rFonts w:ascii="Times New Roman" w:hAnsi="Times New Roman"/>
          <w:sz w:val="24"/>
          <w:szCs w:val="24"/>
          <w:lang w:val="en-GB"/>
        </w:rPr>
      </w:pPr>
      <w:r w:rsidRPr="004E68C0">
        <w:rPr>
          <w:rFonts w:ascii="Times New Roman" w:hAnsi="Times New Roman"/>
          <w:sz w:val="24"/>
          <w:szCs w:val="24"/>
          <w:lang w:val="en-GB"/>
        </w:rPr>
        <w:t xml:space="preserve">8. Long OTC call Option. Underlying </w:t>
      </w:r>
      <w:r w:rsidR="0056121A" w:rsidRPr="004E68C0">
        <w:rPr>
          <w:rFonts w:ascii="Times New Roman" w:hAnsi="Times New Roman"/>
          <w:sz w:val="24"/>
          <w:szCs w:val="24"/>
          <w:lang w:val="en-GB"/>
        </w:rPr>
        <w:t>Corporate 1</w:t>
      </w:r>
      <w:r w:rsidRPr="004E68C0">
        <w:rPr>
          <w:rFonts w:ascii="Times New Roman" w:hAnsi="Times New Roman"/>
          <w:sz w:val="24"/>
          <w:szCs w:val="24"/>
          <w:lang w:val="en-GB"/>
        </w:rPr>
        <w:t xml:space="preserve">, ATM (1 contract = 100 shares). Expiry – 31 December 2014 </w:t>
      </w:r>
    </w:p>
    <w:p w14:paraId="77E7BB59" w14:textId="77777777" w:rsidR="00B043B3" w:rsidRPr="004E68C0" w:rsidRDefault="00B043B3" w:rsidP="00B043B3">
      <w:pPr>
        <w:jc w:val="both"/>
        <w:rPr>
          <w:rFonts w:ascii="Times New Roman" w:hAnsi="Times New Roman"/>
          <w:sz w:val="24"/>
          <w:szCs w:val="24"/>
          <w:lang w:val="en-GB"/>
        </w:rPr>
      </w:pPr>
      <w:r w:rsidRPr="004E68C0">
        <w:rPr>
          <w:rFonts w:ascii="Times New Roman" w:hAnsi="Times New Roman"/>
          <w:sz w:val="24"/>
          <w:szCs w:val="24"/>
          <w:lang w:val="en-GB"/>
        </w:rPr>
        <w:t xml:space="preserve">9. Long OTC Future </w:t>
      </w:r>
      <w:r w:rsidR="0056121A" w:rsidRPr="004E68C0">
        <w:rPr>
          <w:rFonts w:ascii="Times New Roman" w:hAnsi="Times New Roman"/>
          <w:sz w:val="24"/>
          <w:szCs w:val="24"/>
          <w:lang w:val="en-GB"/>
        </w:rPr>
        <w:t>Index Y</w:t>
      </w:r>
      <w:r w:rsidRPr="004E68C0">
        <w:rPr>
          <w:rFonts w:ascii="Times New Roman" w:hAnsi="Times New Roman"/>
          <w:sz w:val="24"/>
          <w:szCs w:val="24"/>
          <w:lang w:val="en-GB"/>
        </w:rPr>
        <w:t xml:space="preserve"> CAP. Expiry – 30 June 2014 </w:t>
      </w:r>
    </w:p>
    <w:p w14:paraId="7A365DBD" w14:textId="77777777" w:rsidR="007B1D23" w:rsidRDefault="007B1D23" w:rsidP="00B043B3">
      <w:pPr>
        <w:jc w:val="both"/>
        <w:rPr>
          <w:rFonts w:ascii="Times New Roman" w:hAnsi="Times New Roman"/>
          <w:sz w:val="24"/>
          <w:szCs w:val="24"/>
          <w:lang w:val="en-GB"/>
        </w:rPr>
      </w:pPr>
    </w:p>
    <w:p w14:paraId="77E7BB5A" w14:textId="77777777" w:rsidR="00B043B3" w:rsidRPr="004E68C0" w:rsidRDefault="00B043B3" w:rsidP="00B043B3">
      <w:pPr>
        <w:jc w:val="both"/>
        <w:rPr>
          <w:rFonts w:ascii="Times New Roman" w:hAnsi="Times New Roman"/>
          <w:sz w:val="24"/>
          <w:szCs w:val="24"/>
          <w:lang w:val="en-GB"/>
        </w:rPr>
      </w:pPr>
      <w:r w:rsidRPr="004E68C0">
        <w:rPr>
          <w:rFonts w:ascii="Times New Roman" w:hAnsi="Times New Roman"/>
          <w:sz w:val="24"/>
          <w:szCs w:val="24"/>
          <w:lang w:val="en-GB"/>
        </w:rPr>
        <w:t xml:space="preserve">10. Long call Option. Underlying </w:t>
      </w:r>
      <w:r w:rsidR="0056121A" w:rsidRPr="004E68C0">
        <w:rPr>
          <w:rFonts w:ascii="Times New Roman" w:hAnsi="Times New Roman"/>
          <w:sz w:val="24"/>
          <w:szCs w:val="24"/>
          <w:lang w:val="en-GB"/>
        </w:rPr>
        <w:t>Corporate 2</w:t>
      </w:r>
      <w:r w:rsidRPr="004E68C0">
        <w:rPr>
          <w:rFonts w:ascii="Times New Roman" w:hAnsi="Times New Roman"/>
          <w:sz w:val="24"/>
          <w:szCs w:val="24"/>
          <w:lang w:val="en-GB"/>
        </w:rPr>
        <w:t xml:space="preserve">, ATM (1 contract = 100 shares). Expiry – 31 July 2014 </w:t>
      </w:r>
    </w:p>
    <w:p w14:paraId="77E7BB5B" w14:textId="77777777" w:rsidR="00B043B3" w:rsidRPr="007B646F" w:rsidRDefault="00B043B3" w:rsidP="00B043B3">
      <w:pPr>
        <w:jc w:val="both"/>
        <w:rPr>
          <w:rFonts w:ascii="Times New Roman" w:hAnsi="Times New Roman"/>
          <w:sz w:val="24"/>
          <w:szCs w:val="24"/>
          <w:u w:val="single"/>
          <w:lang w:val="en-GB"/>
        </w:rPr>
      </w:pPr>
      <w:r w:rsidRPr="007B646F">
        <w:rPr>
          <w:rFonts w:ascii="Times New Roman" w:hAnsi="Times New Roman"/>
          <w:sz w:val="24"/>
          <w:szCs w:val="24"/>
          <w:u w:val="single"/>
          <w:lang w:val="en-GB"/>
        </w:rPr>
        <w:t>Portfolios</w:t>
      </w:r>
    </w:p>
    <w:p w14:paraId="77E7BB5C" w14:textId="77777777" w:rsidR="00B043B3" w:rsidRPr="004E68C0" w:rsidRDefault="00B043B3" w:rsidP="00B043B3">
      <w:pPr>
        <w:jc w:val="both"/>
        <w:rPr>
          <w:rFonts w:ascii="Times New Roman" w:hAnsi="Times New Roman"/>
          <w:sz w:val="24"/>
          <w:szCs w:val="24"/>
          <w:lang w:val="en-GB"/>
        </w:rPr>
      </w:pPr>
      <w:r w:rsidRPr="004E68C0">
        <w:rPr>
          <w:rFonts w:ascii="Times New Roman" w:hAnsi="Times New Roman"/>
          <w:sz w:val="24"/>
          <w:szCs w:val="24"/>
          <w:lang w:val="en-GB"/>
        </w:rPr>
        <w:t>I Long 1-10.</w:t>
      </w:r>
    </w:p>
    <w:p w14:paraId="77E7BB5D" w14:textId="77777777" w:rsidR="00B043B3" w:rsidRPr="004E68C0" w:rsidRDefault="00B043B3" w:rsidP="00B043B3">
      <w:pPr>
        <w:jc w:val="both"/>
        <w:rPr>
          <w:rFonts w:ascii="Times New Roman" w:hAnsi="Times New Roman"/>
          <w:sz w:val="24"/>
          <w:szCs w:val="24"/>
          <w:lang w:val="en-GB"/>
        </w:rPr>
      </w:pPr>
      <w:r w:rsidRPr="004E68C0">
        <w:rPr>
          <w:rFonts w:ascii="Times New Roman" w:hAnsi="Times New Roman"/>
          <w:sz w:val="24"/>
          <w:szCs w:val="24"/>
          <w:lang w:val="en-GB"/>
        </w:rPr>
        <w:t>II Long 1-5 and short 6-10.</w:t>
      </w:r>
    </w:p>
    <w:p w14:paraId="77E7BB5E" w14:textId="77777777" w:rsidR="00B043B3" w:rsidRPr="004E68C0" w:rsidRDefault="00B043B3" w:rsidP="00B043B3">
      <w:pPr>
        <w:jc w:val="both"/>
        <w:rPr>
          <w:rFonts w:ascii="Times New Roman" w:hAnsi="Times New Roman"/>
          <w:sz w:val="24"/>
          <w:szCs w:val="24"/>
          <w:lang w:val="en-GB"/>
        </w:rPr>
      </w:pPr>
      <w:r w:rsidRPr="004E68C0">
        <w:rPr>
          <w:rFonts w:ascii="Times New Roman" w:hAnsi="Times New Roman"/>
          <w:sz w:val="24"/>
          <w:szCs w:val="24"/>
          <w:lang w:val="en-GB"/>
        </w:rPr>
        <w:t>III Long 1-3 and short 8-10.</w:t>
      </w:r>
    </w:p>
    <w:p w14:paraId="77E7BB5F" w14:textId="77777777" w:rsidR="00B043B3" w:rsidRPr="004E68C0" w:rsidRDefault="00B043B3" w:rsidP="00B043B3">
      <w:pPr>
        <w:jc w:val="both"/>
        <w:rPr>
          <w:rFonts w:ascii="Times New Roman" w:hAnsi="Times New Roman"/>
          <w:sz w:val="24"/>
          <w:szCs w:val="24"/>
          <w:lang w:val="en-GB"/>
        </w:rPr>
      </w:pPr>
    </w:p>
    <w:p w14:paraId="77E7BB60" w14:textId="77777777" w:rsidR="00B043B3" w:rsidRPr="004E68C0" w:rsidRDefault="00B043B3" w:rsidP="00B043B3">
      <w:pPr>
        <w:jc w:val="both"/>
        <w:rPr>
          <w:rFonts w:ascii="Times New Roman" w:hAnsi="Times New Roman"/>
          <w:sz w:val="24"/>
          <w:szCs w:val="24"/>
          <w:lang w:val="en-GB"/>
        </w:rPr>
      </w:pPr>
      <w:r w:rsidRPr="004E68C0">
        <w:rPr>
          <w:rFonts w:ascii="Times New Roman" w:hAnsi="Times New Roman"/>
          <w:sz w:val="24"/>
          <w:szCs w:val="24"/>
          <w:lang w:val="en-GB"/>
        </w:rPr>
        <w:t>Definition of positions using some kind of trade blotter would help eliminate position definition operational errors as it would encourage copying and pasting or other electronic form of trade entry rather than keying in the data.</w:t>
      </w:r>
    </w:p>
    <w:p w14:paraId="77E7BB61" w14:textId="77777777" w:rsidR="001F5D09" w:rsidRPr="004E68C0" w:rsidRDefault="001F5D09" w:rsidP="00455409">
      <w:pPr>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5D09" w:rsidRPr="004E68C0" w14:paraId="77E7BB63" w14:textId="77777777" w:rsidTr="00D329B4">
        <w:tc>
          <w:tcPr>
            <w:tcW w:w="9212" w:type="dxa"/>
            <w:shd w:val="clear" w:color="auto" w:fill="auto"/>
          </w:tcPr>
          <w:p w14:paraId="77E7BB62" w14:textId="77777777" w:rsidR="001F5D09" w:rsidRPr="004E68C0" w:rsidRDefault="000A5EA8" w:rsidP="00D329B4">
            <w:pPr>
              <w:spacing w:before="120"/>
              <w:jc w:val="both"/>
              <w:rPr>
                <w:rFonts w:ascii="Times New Roman" w:hAnsi="Times New Roman"/>
                <w:b/>
                <w:sz w:val="24"/>
                <w:szCs w:val="24"/>
                <w:lang w:val="en-GB"/>
              </w:rPr>
            </w:pPr>
            <w:r w:rsidRPr="004E68C0">
              <w:rPr>
                <w:rFonts w:ascii="Times New Roman" w:hAnsi="Times New Roman"/>
                <w:b/>
                <w:sz w:val="24"/>
                <w:szCs w:val="24"/>
                <w:lang w:val="en-GB"/>
              </w:rPr>
              <w:t xml:space="preserve">Q12. Do you have any suggestions for additional market risk portfolios? Please provide details. </w:t>
            </w:r>
          </w:p>
        </w:tc>
      </w:tr>
    </w:tbl>
    <w:p w14:paraId="77E7BB64" w14:textId="77777777" w:rsidR="001F5D09" w:rsidRPr="004E68C0" w:rsidRDefault="001F5D09" w:rsidP="00455409">
      <w:pPr>
        <w:jc w:val="both"/>
        <w:rPr>
          <w:rFonts w:ascii="Times New Roman" w:hAnsi="Times New Roman"/>
          <w:sz w:val="24"/>
          <w:szCs w:val="24"/>
          <w:lang w:val="en-GB"/>
        </w:rPr>
      </w:pPr>
    </w:p>
    <w:p w14:paraId="77E7BB65" w14:textId="77777777" w:rsidR="001F5D09" w:rsidRDefault="00B230E8" w:rsidP="00455409">
      <w:pPr>
        <w:jc w:val="both"/>
        <w:rPr>
          <w:rFonts w:ascii="Times New Roman" w:hAnsi="Times New Roman"/>
          <w:sz w:val="24"/>
          <w:szCs w:val="24"/>
          <w:lang w:val="en-GB"/>
        </w:rPr>
      </w:pPr>
      <w:r w:rsidRPr="004E68C0">
        <w:rPr>
          <w:rFonts w:ascii="Times New Roman" w:hAnsi="Times New Roman"/>
          <w:sz w:val="24"/>
          <w:szCs w:val="24"/>
          <w:lang w:val="en-GB"/>
        </w:rPr>
        <w:t>As the risk</w:t>
      </w:r>
      <w:r w:rsidR="000F7E53">
        <w:rPr>
          <w:rFonts w:ascii="Times New Roman" w:hAnsi="Times New Roman"/>
          <w:sz w:val="24"/>
          <w:szCs w:val="24"/>
          <w:lang w:val="en-GB"/>
        </w:rPr>
        <w:t>s</w:t>
      </w:r>
      <w:r w:rsidRPr="004E68C0">
        <w:rPr>
          <w:rFonts w:ascii="Times New Roman" w:hAnsi="Times New Roman"/>
          <w:sz w:val="24"/>
          <w:szCs w:val="24"/>
          <w:lang w:val="en-GB"/>
        </w:rPr>
        <w:t xml:space="preserve"> for most banks are plain vanilla, the EBF suggests </w:t>
      </w:r>
      <w:r w:rsidR="007B646F" w:rsidRPr="004E68C0">
        <w:rPr>
          <w:rFonts w:ascii="Times New Roman" w:hAnsi="Times New Roman"/>
          <w:sz w:val="24"/>
          <w:szCs w:val="24"/>
          <w:lang w:val="en-GB"/>
        </w:rPr>
        <w:t>replacing</w:t>
      </w:r>
      <w:r w:rsidRPr="004E68C0">
        <w:rPr>
          <w:rFonts w:ascii="Times New Roman" w:hAnsi="Times New Roman"/>
          <w:sz w:val="24"/>
          <w:szCs w:val="24"/>
          <w:lang w:val="en-GB"/>
        </w:rPr>
        <w:t xml:space="preserve"> exotic portfolios by vanilla portfolios. </w:t>
      </w:r>
    </w:p>
    <w:p w14:paraId="77E7BB66" w14:textId="77777777" w:rsidR="00397D0D" w:rsidRPr="00397D0D" w:rsidRDefault="007D767D" w:rsidP="00397D0D">
      <w:pPr>
        <w:jc w:val="both"/>
        <w:rPr>
          <w:rFonts w:ascii="Times New Roman" w:hAnsi="Times New Roman"/>
          <w:sz w:val="24"/>
          <w:szCs w:val="24"/>
          <w:lang w:val="en-GB"/>
        </w:rPr>
      </w:pPr>
      <w:r>
        <w:rPr>
          <w:rFonts w:ascii="Times New Roman" w:hAnsi="Times New Roman"/>
          <w:sz w:val="24"/>
          <w:szCs w:val="24"/>
          <w:lang w:val="en-GB"/>
        </w:rPr>
        <w:t xml:space="preserve">While we reiterate our preference to use the Basel portfolios </w:t>
      </w:r>
      <w:r w:rsidR="00397D0D">
        <w:rPr>
          <w:rFonts w:ascii="Times New Roman" w:hAnsi="Times New Roman"/>
          <w:sz w:val="24"/>
          <w:szCs w:val="24"/>
          <w:lang w:val="en-GB"/>
        </w:rPr>
        <w:t>as outlined in the response to Q5</w:t>
      </w:r>
      <w:r w:rsidR="0034555E">
        <w:rPr>
          <w:rFonts w:ascii="Times New Roman" w:hAnsi="Times New Roman"/>
          <w:sz w:val="24"/>
          <w:szCs w:val="24"/>
          <w:lang w:val="en-GB"/>
        </w:rPr>
        <w:t>. However, in case option two would also be used</w:t>
      </w:r>
      <w:r w:rsidR="00397D0D" w:rsidRPr="00397D0D">
        <w:rPr>
          <w:rFonts w:ascii="Times New Roman" w:hAnsi="Times New Roman"/>
          <w:sz w:val="24"/>
          <w:szCs w:val="24"/>
          <w:lang w:val="en-GB"/>
        </w:rPr>
        <w:t xml:space="preserve">, we </w:t>
      </w:r>
      <w:r w:rsidR="00397D0D">
        <w:rPr>
          <w:rFonts w:ascii="Times New Roman" w:hAnsi="Times New Roman"/>
          <w:sz w:val="24"/>
          <w:szCs w:val="24"/>
          <w:lang w:val="en-GB"/>
        </w:rPr>
        <w:t xml:space="preserve">would </w:t>
      </w:r>
      <w:r w:rsidR="00397D0D" w:rsidRPr="00397D0D">
        <w:rPr>
          <w:rFonts w:ascii="Times New Roman" w:hAnsi="Times New Roman"/>
          <w:sz w:val="24"/>
          <w:szCs w:val="24"/>
          <w:lang w:val="en-GB"/>
        </w:rPr>
        <w:t xml:space="preserve">propose </w:t>
      </w:r>
      <w:r w:rsidR="00397D0D">
        <w:rPr>
          <w:rFonts w:ascii="Times New Roman" w:hAnsi="Times New Roman"/>
          <w:sz w:val="24"/>
          <w:szCs w:val="24"/>
          <w:lang w:val="en-GB"/>
        </w:rPr>
        <w:t>introduction of</w:t>
      </w:r>
      <w:r w:rsidR="00397D0D" w:rsidRPr="00397D0D">
        <w:rPr>
          <w:rFonts w:ascii="Times New Roman" w:hAnsi="Times New Roman"/>
          <w:sz w:val="24"/>
          <w:szCs w:val="24"/>
          <w:lang w:val="en-GB"/>
        </w:rPr>
        <w:t xml:space="preserve"> a</w:t>
      </w:r>
      <w:r w:rsidR="00397D0D">
        <w:rPr>
          <w:rFonts w:ascii="Times New Roman" w:hAnsi="Times New Roman"/>
          <w:sz w:val="24"/>
          <w:szCs w:val="24"/>
          <w:lang w:val="en-GB"/>
        </w:rPr>
        <w:t>n</w:t>
      </w:r>
      <w:r w:rsidR="00397D0D" w:rsidRPr="00397D0D">
        <w:rPr>
          <w:rFonts w:ascii="Times New Roman" w:hAnsi="Times New Roman"/>
          <w:sz w:val="24"/>
          <w:szCs w:val="24"/>
          <w:lang w:val="en-GB"/>
        </w:rPr>
        <w:t xml:space="preserve"> FX vanilla option out of the money with strike far from the FX forward by 2.33 standard-deviations</w:t>
      </w:r>
      <w:r w:rsidR="0034555E">
        <w:rPr>
          <w:rFonts w:ascii="Times New Roman" w:hAnsi="Times New Roman"/>
          <w:sz w:val="24"/>
          <w:szCs w:val="24"/>
          <w:lang w:val="en-GB"/>
        </w:rPr>
        <w:t xml:space="preserve"> for FX test portfolios</w:t>
      </w:r>
      <w:r w:rsidR="00397D0D" w:rsidRPr="00397D0D">
        <w:rPr>
          <w:rFonts w:ascii="Times New Roman" w:hAnsi="Times New Roman"/>
          <w:sz w:val="24"/>
          <w:szCs w:val="24"/>
          <w:lang w:val="en-GB"/>
        </w:rPr>
        <w:t xml:space="preserve">. The goal </w:t>
      </w:r>
      <w:r w:rsidR="00397D0D">
        <w:rPr>
          <w:rFonts w:ascii="Times New Roman" w:hAnsi="Times New Roman"/>
          <w:sz w:val="24"/>
          <w:szCs w:val="24"/>
          <w:lang w:val="en-GB"/>
        </w:rPr>
        <w:t>being</w:t>
      </w:r>
      <w:r w:rsidR="00397D0D" w:rsidRPr="00397D0D">
        <w:rPr>
          <w:rFonts w:ascii="Times New Roman" w:hAnsi="Times New Roman"/>
          <w:sz w:val="24"/>
          <w:szCs w:val="24"/>
          <w:lang w:val="en-GB"/>
        </w:rPr>
        <w:t xml:space="preserve"> to check if the VaR captures the convexity between the current FX</w:t>
      </w:r>
      <w:r w:rsidR="00397D0D">
        <w:rPr>
          <w:rFonts w:ascii="Times New Roman" w:hAnsi="Times New Roman"/>
          <w:sz w:val="24"/>
          <w:szCs w:val="24"/>
          <w:lang w:val="en-GB"/>
        </w:rPr>
        <w:t xml:space="preserve"> Spot and the 99% FX Spot bump.  For</w:t>
      </w:r>
      <w:r w:rsidR="00397D0D" w:rsidRPr="00397D0D">
        <w:rPr>
          <w:rFonts w:ascii="Times New Roman" w:hAnsi="Times New Roman"/>
          <w:sz w:val="24"/>
          <w:szCs w:val="24"/>
          <w:lang w:val="en-GB"/>
        </w:rPr>
        <w:t xml:space="preserve"> illustration, the related instrument could be:</w:t>
      </w:r>
    </w:p>
    <w:p w14:paraId="77E7BB67" w14:textId="77777777" w:rsidR="007D767D" w:rsidRPr="007D767D" w:rsidRDefault="00397D0D" w:rsidP="00FC43E8">
      <w:pPr>
        <w:ind w:left="708"/>
        <w:jc w:val="both"/>
        <w:rPr>
          <w:rFonts w:ascii="Times New Roman" w:hAnsi="Times New Roman"/>
          <w:sz w:val="24"/>
          <w:szCs w:val="24"/>
          <w:lang w:val="en-GB"/>
        </w:rPr>
      </w:pPr>
      <w:r w:rsidRPr="00397D0D">
        <w:rPr>
          <w:rFonts w:ascii="Times New Roman" w:hAnsi="Times New Roman"/>
          <w:sz w:val="24"/>
          <w:szCs w:val="24"/>
          <w:lang w:val="en-GB"/>
        </w:rPr>
        <w:t xml:space="preserve">Sell call </w:t>
      </w:r>
      <w:r w:rsidR="0034555E">
        <w:rPr>
          <w:rFonts w:ascii="Times New Roman" w:hAnsi="Times New Roman"/>
          <w:sz w:val="24"/>
          <w:szCs w:val="24"/>
          <w:lang w:val="en-GB"/>
        </w:rPr>
        <w:t>EUR</w:t>
      </w:r>
      <w:r w:rsidRPr="00397D0D">
        <w:rPr>
          <w:rFonts w:ascii="Times New Roman" w:hAnsi="Times New Roman"/>
          <w:sz w:val="24"/>
          <w:szCs w:val="24"/>
          <w:lang w:val="en-GB"/>
        </w:rPr>
        <w:t xml:space="preserve"> put </w:t>
      </w:r>
      <w:r w:rsidR="0034555E">
        <w:rPr>
          <w:rFonts w:ascii="Times New Roman" w:hAnsi="Times New Roman"/>
          <w:sz w:val="24"/>
          <w:szCs w:val="24"/>
          <w:lang w:val="en-GB"/>
        </w:rPr>
        <w:t>USD</w:t>
      </w:r>
      <w:r w:rsidRPr="00397D0D">
        <w:rPr>
          <w:rFonts w:ascii="Times New Roman" w:hAnsi="Times New Roman"/>
          <w:sz w:val="24"/>
          <w:szCs w:val="24"/>
          <w:lang w:val="en-GB"/>
        </w:rPr>
        <w:t xml:space="preserve"> with strike = Current FX Fwd x (1 + 1%) and sell put </w:t>
      </w:r>
      <w:r w:rsidR="0034555E">
        <w:rPr>
          <w:rFonts w:ascii="Times New Roman" w:hAnsi="Times New Roman"/>
          <w:sz w:val="24"/>
          <w:szCs w:val="24"/>
          <w:lang w:val="en-GB"/>
        </w:rPr>
        <w:t>EUR</w:t>
      </w:r>
      <w:r w:rsidRPr="00397D0D">
        <w:rPr>
          <w:rFonts w:ascii="Times New Roman" w:hAnsi="Times New Roman"/>
          <w:sz w:val="24"/>
          <w:szCs w:val="24"/>
          <w:lang w:val="en-GB"/>
        </w:rPr>
        <w:t xml:space="preserve"> call </w:t>
      </w:r>
      <w:r w:rsidR="0034555E">
        <w:rPr>
          <w:rFonts w:ascii="Times New Roman" w:hAnsi="Times New Roman"/>
          <w:sz w:val="24"/>
          <w:szCs w:val="24"/>
          <w:lang w:val="en-GB"/>
        </w:rPr>
        <w:t>USD</w:t>
      </w:r>
      <w:r w:rsidRPr="00397D0D">
        <w:rPr>
          <w:rFonts w:ascii="Times New Roman" w:hAnsi="Times New Roman"/>
          <w:sz w:val="24"/>
          <w:szCs w:val="24"/>
          <w:lang w:val="en-GB"/>
        </w:rPr>
        <w:t xml:space="preserve"> with strike = Current FX Fwd x (1 - 1%)</w:t>
      </w:r>
      <w:r>
        <w:rPr>
          <w:rFonts w:ascii="Times New Roman" w:hAnsi="Times New Roman"/>
          <w:sz w:val="24"/>
          <w:szCs w:val="24"/>
          <w:lang w:val="en-GB"/>
        </w:rPr>
        <w:t>.</w:t>
      </w:r>
    </w:p>
    <w:p w14:paraId="77E7BB68" w14:textId="77777777" w:rsidR="001F5D09" w:rsidRPr="00397D0D" w:rsidRDefault="001F5D09" w:rsidP="00455409">
      <w:pPr>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5D09" w:rsidRPr="007770DC" w14:paraId="77E7BB6A" w14:textId="77777777" w:rsidTr="00D329B4">
        <w:tc>
          <w:tcPr>
            <w:tcW w:w="9212" w:type="dxa"/>
            <w:shd w:val="clear" w:color="auto" w:fill="auto"/>
          </w:tcPr>
          <w:p w14:paraId="77E7BB69" w14:textId="77777777" w:rsidR="001F5D09" w:rsidRPr="00850B39" w:rsidRDefault="000A5EA8" w:rsidP="00D329B4">
            <w:pPr>
              <w:spacing w:before="120"/>
              <w:jc w:val="both"/>
              <w:rPr>
                <w:rFonts w:ascii="Times New Roman" w:hAnsi="Times New Roman"/>
                <w:b/>
                <w:sz w:val="24"/>
                <w:szCs w:val="24"/>
                <w:lang w:val="en-GB"/>
              </w:rPr>
            </w:pPr>
            <w:r w:rsidRPr="00894124">
              <w:rPr>
                <w:rFonts w:ascii="Times New Roman" w:hAnsi="Times New Roman"/>
                <w:b/>
                <w:sz w:val="24"/>
                <w:szCs w:val="24"/>
                <w:lang w:val="en-GB"/>
              </w:rPr>
              <w:t>Q13. Do you agree with the possibility of allowing firms to refrain from reporting portfolios if one of the conditions stated in Article 3 is met?</w:t>
            </w:r>
            <w:r w:rsidRPr="004F6FF5">
              <w:rPr>
                <w:rFonts w:ascii="Times New Roman" w:hAnsi="Times New Roman"/>
                <w:b/>
                <w:sz w:val="24"/>
                <w:szCs w:val="24"/>
                <w:lang w:val="en-GB"/>
              </w:rPr>
              <w:t xml:space="preserve"> </w:t>
            </w:r>
          </w:p>
        </w:tc>
      </w:tr>
    </w:tbl>
    <w:p w14:paraId="77E7BB6B" w14:textId="77777777" w:rsidR="001F5D09" w:rsidRPr="004E68C0" w:rsidRDefault="001F5D09" w:rsidP="00455409">
      <w:pPr>
        <w:jc w:val="both"/>
        <w:rPr>
          <w:rFonts w:ascii="Times New Roman" w:hAnsi="Times New Roman"/>
          <w:sz w:val="24"/>
          <w:szCs w:val="24"/>
          <w:lang w:val="en-GB"/>
        </w:rPr>
      </w:pPr>
    </w:p>
    <w:p w14:paraId="77E7BB6C" w14:textId="77777777" w:rsidR="00B230E8" w:rsidRPr="00397D0D" w:rsidRDefault="003B76A5" w:rsidP="000A5EA8">
      <w:pPr>
        <w:jc w:val="both"/>
        <w:rPr>
          <w:rFonts w:ascii="Times New Roman" w:hAnsi="Times New Roman"/>
          <w:sz w:val="24"/>
          <w:szCs w:val="24"/>
          <w:lang w:val="en-GB"/>
        </w:rPr>
      </w:pPr>
      <w:r w:rsidRPr="004E68C0">
        <w:rPr>
          <w:rFonts w:ascii="Times New Roman" w:hAnsi="Times New Roman"/>
          <w:sz w:val="24"/>
          <w:szCs w:val="24"/>
          <w:lang w:val="en-GB"/>
        </w:rPr>
        <w:t>Yes, banks should be exempted from reporting requirements as outlined in Article 3</w:t>
      </w:r>
      <w:r w:rsidR="00BA0992" w:rsidRPr="004E68C0">
        <w:rPr>
          <w:rFonts w:ascii="Times New Roman" w:hAnsi="Times New Roman"/>
          <w:sz w:val="24"/>
          <w:szCs w:val="24"/>
          <w:lang w:val="en-GB"/>
        </w:rPr>
        <w:t xml:space="preserve"> if it is well justified and </w:t>
      </w:r>
      <w:r w:rsidR="00397D0D">
        <w:rPr>
          <w:rFonts w:ascii="Times New Roman" w:hAnsi="Times New Roman"/>
          <w:sz w:val="24"/>
          <w:szCs w:val="24"/>
          <w:lang w:val="en-GB"/>
        </w:rPr>
        <w:t>the criteria are transparent</w:t>
      </w:r>
      <w:r w:rsidRPr="00397D0D">
        <w:rPr>
          <w:rFonts w:ascii="Times New Roman" w:hAnsi="Times New Roman"/>
          <w:sz w:val="24"/>
          <w:szCs w:val="24"/>
          <w:lang w:val="en-GB"/>
        </w:rPr>
        <w:t>.</w:t>
      </w:r>
      <w:r w:rsidR="00BA0992" w:rsidRPr="00397D0D">
        <w:rPr>
          <w:rFonts w:ascii="Times New Roman" w:hAnsi="Times New Roman"/>
          <w:sz w:val="24"/>
          <w:szCs w:val="24"/>
          <w:lang w:val="en-GB"/>
        </w:rPr>
        <w:t xml:space="preserve"> </w:t>
      </w:r>
    </w:p>
    <w:p w14:paraId="77E7BB6D" w14:textId="77777777" w:rsidR="001F5D09" w:rsidRPr="004F6FF5" w:rsidRDefault="001F5D09" w:rsidP="0036523F">
      <w:pPr>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5D09" w:rsidRPr="004E68C0" w14:paraId="77E7BB6F" w14:textId="77777777" w:rsidTr="00D329B4">
        <w:tc>
          <w:tcPr>
            <w:tcW w:w="9212" w:type="dxa"/>
            <w:shd w:val="clear" w:color="auto" w:fill="auto"/>
          </w:tcPr>
          <w:p w14:paraId="77E7BB6E" w14:textId="77777777" w:rsidR="001F5D09" w:rsidRPr="004E68C0" w:rsidRDefault="000A5EA8" w:rsidP="00D329B4">
            <w:pPr>
              <w:spacing w:before="120"/>
              <w:jc w:val="both"/>
              <w:rPr>
                <w:rFonts w:ascii="Times New Roman" w:hAnsi="Times New Roman"/>
                <w:b/>
                <w:sz w:val="24"/>
                <w:szCs w:val="24"/>
                <w:lang w:val="en-GB"/>
              </w:rPr>
            </w:pPr>
            <w:r w:rsidRPr="00850B39">
              <w:rPr>
                <w:rFonts w:ascii="Times New Roman" w:hAnsi="Times New Roman"/>
                <w:b/>
                <w:sz w:val="24"/>
                <w:szCs w:val="24"/>
                <w:lang w:val="en-GB"/>
              </w:rPr>
              <w:t>Q14. Do you have any suggestion about additional exemptions from reporting? If yes, please provide details.</w:t>
            </w:r>
            <w:r w:rsidRPr="004E68C0">
              <w:rPr>
                <w:rFonts w:ascii="Times New Roman" w:hAnsi="Times New Roman"/>
                <w:b/>
                <w:sz w:val="24"/>
                <w:szCs w:val="24"/>
                <w:lang w:val="en-GB"/>
              </w:rPr>
              <w:t xml:space="preserve"> </w:t>
            </w:r>
          </w:p>
        </w:tc>
      </w:tr>
    </w:tbl>
    <w:p w14:paraId="77E7BB70" w14:textId="77777777" w:rsidR="001F5D09" w:rsidRPr="004E68C0" w:rsidRDefault="001F5D09" w:rsidP="00455409">
      <w:pPr>
        <w:jc w:val="both"/>
        <w:rPr>
          <w:rFonts w:ascii="Times New Roman" w:hAnsi="Times New Roman"/>
          <w:sz w:val="24"/>
          <w:szCs w:val="24"/>
          <w:lang w:val="en-GB"/>
        </w:rPr>
      </w:pPr>
    </w:p>
    <w:p w14:paraId="524FB07A" w14:textId="77777777" w:rsidR="007B1D23" w:rsidRDefault="007B1D23" w:rsidP="000A5EA8">
      <w:pPr>
        <w:jc w:val="both"/>
        <w:rPr>
          <w:rFonts w:ascii="Times New Roman" w:hAnsi="Times New Roman"/>
          <w:sz w:val="24"/>
          <w:szCs w:val="24"/>
          <w:lang w:val="en-GB"/>
        </w:rPr>
      </w:pPr>
    </w:p>
    <w:p w14:paraId="793FEA21" w14:textId="77777777" w:rsidR="007B1D23" w:rsidRDefault="007B1D23" w:rsidP="000A5EA8">
      <w:pPr>
        <w:jc w:val="both"/>
        <w:rPr>
          <w:rFonts w:ascii="Times New Roman" w:hAnsi="Times New Roman"/>
          <w:sz w:val="24"/>
          <w:szCs w:val="24"/>
          <w:lang w:val="en-GB"/>
        </w:rPr>
      </w:pPr>
    </w:p>
    <w:p w14:paraId="77E7BB71" w14:textId="77777777" w:rsidR="001F5D09" w:rsidRPr="007D767D" w:rsidRDefault="003B76A5" w:rsidP="000A5EA8">
      <w:pPr>
        <w:jc w:val="both"/>
        <w:rPr>
          <w:rFonts w:ascii="Times New Roman" w:hAnsi="Times New Roman"/>
          <w:sz w:val="24"/>
          <w:szCs w:val="24"/>
          <w:lang w:val="en-GB"/>
        </w:rPr>
      </w:pPr>
      <w:bookmarkStart w:id="1" w:name="_GoBack"/>
      <w:r w:rsidRPr="004E68C0">
        <w:rPr>
          <w:rFonts w:ascii="Times New Roman" w:hAnsi="Times New Roman"/>
          <w:sz w:val="24"/>
          <w:szCs w:val="24"/>
          <w:lang w:val="en-GB"/>
        </w:rPr>
        <w:t xml:space="preserve">In addition, it should be noted that individual clusters as defined may be immaterial for certain banks. In such cases, banks should also be afforded exemptions from reporting where to do so is overly burdensome. </w:t>
      </w:r>
    </w:p>
    <w:p w14:paraId="77E7BB72" w14:textId="77777777" w:rsidR="00BA0992" w:rsidRPr="004E68C0" w:rsidRDefault="00BA0992" w:rsidP="000A5EA8">
      <w:pPr>
        <w:jc w:val="both"/>
        <w:rPr>
          <w:rFonts w:ascii="Times New Roman" w:hAnsi="Times New Roman"/>
          <w:sz w:val="24"/>
          <w:szCs w:val="24"/>
          <w:lang w:val="en-GB"/>
        </w:rPr>
      </w:pPr>
      <w:r w:rsidRPr="00397D0D">
        <w:rPr>
          <w:rFonts w:ascii="Times New Roman" w:hAnsi="Times New Roman"/>
          <w:sz w:val="24"/>
          <w:szCs w:val="24"/>
          <w:lang w:val="en-GB"/>
        </w:rPr>
        <w:t>Another case that could grant an exemption is when an institution is in the process of purchasing anot</w:t>
      </w:r>
      <w:r w:rsidRPr="004F6FF5">
        <w:rPr>
          <w:rFonts w:ascii="Times New Roman" w:hAnsi="Times New Roman"/>
          <w:sz w:val="24"/>
          <w:szCs w:val="24"/>
          <w:lang w:val="en-GB"/>
        </w:rPr>
        <w:t xml:space="preserve">her financial institution until </w:t>
      </w:r>
      <w:r w:rsidRPr="00850B39">
        <w:rPr>
          <w:rFonts w:ascii="Times New Roman" w:hAnsi="Times New Roman"/>
          <w:sz w:val="24"/>
          <w:szCs w:val="24"/>
          <w:lang w:val="en-GB"/>
        </w:rPr>
        <w:t>decisions are made and authorised regarding the merge</w:t>
      </w:r>
      <w:r w:rsidRPr="004E68C0">
        <w:rPr>
          <w:rFonts w:ascii="Times New Roman" w:hAnsi="Times New Roman"/>
          <w:sz w:val="24"/>
          <w:szCs w:val="24"/>
          <w:lang w:val="en-GB"/>
        </w:rPr>
        <w:t xml:space="preserve">r of portfolios.  </w:t>
      </w:r>
    </w:p>
    <w:p w14:paraId="77E7BB73" w14:textId="77777777" w:rsidR="00300D66" w:rsidRPr="004E68C0" w:rsidRDefault="00300D66" w:rsidP="00300D66">
      <w:pPr>
        <w:jc w:val="both"/>
        <w:rPr>
          <w:rFonts w:ascii="Times New Roman" w:hAnsi="Times New Roman"/>
          <w:sz w:val="24"/>
          <w:szCs w:val="24"/>
          <w:lang w:val="en-GB"/>
        </w:rPr>
      </w:pPr>
      <w:r w:rsidRPr="004E68C0">
        <w:rPr>
          <w:rFonts w:ascii="Times New Roman" w:hAnsi="Times New Roman"/>
          <w:sz w:val="24"/>
          <w:szCs w:val="24"/>
          <w:lang w:val="en-GB"/>
        </w:rPr>
        <w:t xml:space="preserve">It would be welcomed to envisage also an exemption for credit risk. As for market risk, the exemptions should be based on situations where the institutions are under a model validation process for the portfolios included in the samples or for non-material portfolios. As such, a materiality threshold could be defined as: </w:t>
      </w:r>
    </w:p>
    <w:p w14:paraId="77E7BB74" w14:textId="77777777" w:rsidR="00300D66" w:rsidRPr="00D53758" w:rsidRDefault="00300D66" w:rsidP="00D53758">
      <w:pPr>
        <w:pStyle w:val="ListParagraph"/>
        <w:numPr>
          <w:ilvl w:val="0"/>
          <w:numId w:val="38"/>
        </w:numPr>
        <w:spacing w:before="120"/>
        <w:ind w:left="714" w:hanging="357"/>
        <w:contextualSpacing w:val="0"/>
        <w:jc w:val="both"/>
        <w:rPr>
          <w:rFonts w:ascii="Times New Roman" w:hAnsi="Times New Roman"/>
          <w:sz w:val="24"/>
          <w:szCs w:val="24"/>
          <w:lang w:val="en-GB"/>
        </w:rPr>
      </w:pPr>
      <w:r w:rsidRPr="00D53758">
        <w:rPr>
          <w:rFonts w:ascii="Times New Roman" w:hAnsi="Times New Roman"/>
          <w:sz w:val="24"/>
          <w:szCs w:val="24"/>
          <w:lang w:val="en-GB"/>
        </w:rPr>
        <w:t>An absolute portfolio size</w:t>
      </w:r>
      <w:r w:rsidRPr="004E68C0">
        <w:rPr>
          <w:rFonts w:ascii="Times New Roman" w:hAnsi="Times New Roman"/>
          <w:sz w:val="24"/>
          <w:szCs w:val="24"/>
          <w:lang w:val="en-GB"/>
        </w:rPr>
        <w:t xml:space="preserve">; </w:t>
      </w:r>
      <w:r w:rsidRPr="00D53758">
        <w:rPr>
          <w:rFonts w:ascii="Times New Roman" w:hAnsi="Times New Roman"/>
          <w:sz w:val="24"/>
          <w:szCs w:val="24"/>
          <w:lang w:val="en-GB"/>
        </w:rPr>
        <w:t xml:space="preserve"> </w:t>
      </w:r>
    </w:p>
    <w:p w14:paraId="77E7BB75" w14:textId="77777777" w:rsidR="00300D66" w:rsidRPr="00D53758" w:rsidRDefault="00300D66" w:rsidP="00D53758">
      <w:pPr>
        <w:pStyle w:val="ListParagraph"/>
        <w:numPr>
          <w:ilvl w:val="0"/>
          <w:numId w:val="38"/>
        </w:numPr>
        <w:spacing w:before="120"/>
        <w:ind w:left="714" w:hanging="357"/>
        <w:contextualSpacing w:val="0"/>
        <w:jc w:val="both"/>
        <w:rPr>
          <w:rFonts w:ascii="Times New Roman" w:hAnsi="Times New Roman"/>
          <w:sz w:val="24"/>
          <w:szCs w:val="24"/>
          <w:lang w:val="en-GB"/>
        </w:rPr>
      </w:pPr>
      <w:r w:rsidRPr="00D53758">
        <w:rPr>
          <w:rFonts w:ascii="Times New Roman" w:hAnsi="Times New Roman"/>
          <w:sz w:val="24"/>
          <w:szCs w:val="24"/>
          <w:lang w:val="en-GB"/>
        </w:rPr>
        <w:t>A relative portfolio size, in comparison to the total consolidated balance-sheet</w:t>
      </w:r>
      <w:r w:rsidRPr="004E68C0">
        <w:rPr>
          <w:rFonts w:ascii="Times New Roman" w:hAnsi="Times New Roman"/>
          <w:sz w:val="24"/>
          <w:szCs w:val="24"/>
          <w:lang w:val="en-GB"/>
        </w:rPr>
        <w:t xml:space="preserve"> </w:t>
      </w:r>
      <w:r w:rsidRPr="00D53758">
        <w:rPr>
          <w:rFonts w:ascii="Times New Roman" w:hAnsi="Times New Roman"/>
          <w:sz w:val="24"/>
          <w:szCs w:val="24"/>
          <w:lang w:val="en-GB"/>
        </w:rPr>
        <w:t>or to the balance-sheet size of the subsidiary.</w:t>
      </w:r>
      <w:r w:rsidRPr="004E68C0">
        <w:rPr>
          <w:rFonts w:ascii="Times New Roman" w:hAnsi="Times New Roman"/>
          <w:sz w:val="24"/>
          <w:szCs w:val="24"/>
          <w:lang w:val="en-GB"/>
        </w:rPr>
        <w:t xml:space="preserve"> </w:t>
      </w:r>
    </w:p>
    <w:p w14:paraId="77E7BB76" w14:textId="77777777" w:rsidR="00300D66" w:rsidRPr="004E68C0" w:rsidRDefault="00300D66" w:rsidP="00300D66">
      <w:pPr>
        <w:jc w:val="both"/>
        <w:rPr>
          <w:rFonts w:ascii="Times New Roman" w:hAnsi="Times New Roman"/>
          <w:sz w:val="24"/>
          <w:szCs w:val="24"/>
          <w:lang w:val="en-GB"/>
        </w:rPr>
      </w:pPr>
      <w:r w:rsidRPr="004E68C0">
        <w:rPr>
          <w:rFonts w:ascii="Times New Roman" w:hAnsi="Times New Roman"/>
          <w:sz w:val="24"/>
          <w:szCs w:val="24"/>
          <w:lang w:val="en-GB"/>
        </w:rPr>
        <w:t>Portfolios with partial roll-out should also be exempted (or alternatively, the share of the portfolio under Standard approach should be highlighted and the bias resulting from different capital treatments should be eliminated).</w:t>
      </w:r>
    </w:p>
    <w:p w14:paraId="77E7BB77" w14:textId="77777777" w:rsidR="00300D66" w:rsidRDefault="00300D66" w:rsidP="00300D66">
      <w:pPr>
        <w:jc w:val="both"/>
        <w:rPr>
          <w:rFonts w:ascii="Times New Roman" w:hAnsi="Times New Roman"/>
          <w:sz w:val="24"/>
          <w:szCs w:val="24"/>
          <w:lang w:val="en-GB"/>
        </w:rPr>
      </w:pPr>
      <w:r w:rsidRPr="00397D0D">
        <w:rPr>
          <w:rFonts w:ascii="Times New Roman" w:hAnsi="Times New Roman"/>
          <w:sz w:val="24"/>
          <w:szCs w:val="24"/>
          <w:lang w:val="en-GB"/>
        </w:rPr>
        <w:t>Local entities supervised by a host supervisor should also be exempted from solo reporting as long as their portfolios are included in the consolidated vision submitted to the home supervisor.</w:t>
      </w:r>
      <w:r w:rsidRPr="004F6FF5">
        <w:rPr>
          <w:rFonts w:ascii="Times New Roman" w:hAnsi="Times New Roman"/>
          <w:sz w:val="24"/>
          <w:szCs w:val="24"/>
          <w:lang w:val="en-GB"/>
        </w:rPr>
        <w:t xml:space="preserve"> </w:t>
      </w:r>
      <w:bookmarkEnd w:id="1"/>
    </w:p>
    <w:p w14:paraId="116DBD9F" w14:textId="7FAB88A9" w:rsidR="007B1D23" w:rsidRDefault="007B1D23" w:rsidP="00300D66">
      <w:pPr>
        <w:jc w:val="both"/>
        <w:rPr>
          <w:rFonts w:ascii="Times New Roman" w:hAnsi="Times New Roman"/>
          <w:sz w:val="24"/>
          <w:szCs w:val="24"/>
          <w:lang w:val="en-GB"/>
        </w:rPr>
      </w:pPr>
    </w:p>
    <w:p w14:paraId="459EFF0E" w14:textId="29F071B6" w:rsidR="007B1D23" w:rsidRPr="00850B39" w:rsidRDefault="007B1D23" w:rsidP="007B1D23">
      <w:pPr>
        <w:jc w:val="center"/>
        <w:rPr>
          <w:rFonts w:ascii="Times New Roman" w:hAnsi="Times New Roman"/>
          <w:sz w:val="24"/>
          <w:szCs w:val="24"/>
          <w:lang w:val="en-GB"/>
        </w:rPr>
      </w:pPr>
      <w:r>
        <w:rPr>
          <w:rFonts w:ascii="Times New Roman" w:hAnsi="Times New Roman"/>
          <w:sz w:val="24"/>
          <w:szCs w:val="24"/>
          <w:lang w:val="en-GB"/>
        </w:rPr>
        <w:t>_______________________</w:t>
      </w:r>
    </w:p>
    <w:sectPr w:rsidR="007B1D23" w:rsidRPr="00850B39" w:rsidSect="007B1D23">
      <w:headerReference w:type="default" r:id="rId11"/>
      <w:footerReference w:type="default" r:id="rId1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443F7" w14:textId="77777777" w:rsidR="00680D0E" w:rsidRDefault="00680D0E" w:rsidP="00F77EAA">
      <w:pPr>
        <w:spacing w:after="0" w:line="240" w:lineRule="auto"/>
      </w:pPr>
      <w:r>
        <w:separator/>
      </w:r>
    </w:p>
  </w:endnote>
  <w:endnote w:type="continuationSeparator" w:id="0">
    <w:p w14:paraId="0BF945F5" w14:textId="77777777" w:rsidR="00680D0E" w:rsidRDefault="00680D0E" w:rsidP="00F77EAA">
      <w:pPr>
        <w:spacing w:after="0" w:line="240" w:lineRule="auto"/>
      </w:pPr>
      <w:r>
        <w:continuationSeparator/>
      </w:r>
    </w:p>
  </w:endnote>
  <w:endnote w:type="continuationNotice" w:id="1">
    <w:p w14:paraId="6DF46753" w14:textId="77777777" w:rsidR="00BC2A1D" w:rsidRDefault="00BC2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7BB7D" w14:textId="77777777" w:rsidR="00680D0E" w:rsidRDefault="00680D0E">
    <w:pPr>
      <w:pStyle w:val="Footer"/>
      <w:jc w:val="right"/>
    </w:pPr>
    <w:r>
      <w:fldChar w:fldCharType="begin"/>
    </w:r>
    <w:r>
      <w:instrText xml:space="preserve"> PAGE   \* MERGEFORMAT </w:instrText>
    </w:r>
    <w:r>
      <w:fldChar w:fldCharType="separate"/>
    </w:r>
    <w:r w:rsidR="007770DC">
      <w:rPr>
        <w:noProof/>
      </w:rPr>
      <w:t>13</w:t>
    </w:r>
    <w:r>
      <w:rPr>
        <w:noProof/>
      </w:rPr>
      <w:fldChar w:fldCharType="end"/>
    </w:r>
  </w:p>
  <w:p w14:paraId="77E7BB7E" w14:textId="77777777" w:rsidR="00680D0E" w:rsidRPr="00F77EAA" w:rsidRDefault="00680D0E" w:rsidP="00F77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11A23" w14:textId="77777777" w:rsidR="00680D0E" w:rsidRDefault="00680D0E" w:rsidP="00F77EAA">
      <w:pPr>
        <w:spacing w:after="0" w:line="240" w:lineRule="auto"/>
      </w:pPr>
      <w:r>
        <w:separator/>
      </w:r>
    </w:p>
  </w:footnote>
  <w:footnote w:type="continuationSeparator" w:id="0">
    <w:p w14:paraId="3E6EB795" w14:textId="77777777" w:rsidR="00680D0E" w:rsidRDefault="00680D0E" w:rsidP="00F77EAA">
      <w:pPr>
        <w:spacing w:after="0" w:line="240" w:lineRule="auto"/>
      </w:pPr>
      <w:r>
        <w:continuationSeparator/>
      </w:r>
    </w:p>
  </w:footnote>
  <w:footnote w:type="continuationNotice" w:id="1">
    <w:p w14:paraId="77D608B2" w14:textId="77777777" w:rsidR="00BC2A1D" w:rsidRDefault="00BC2A1D">
      <w:pPr>
        <w:spacing w:after="0" w:line="240" w:lineRule="auto"/>
      </w:pPr>
    </w:p>
  </w:footnote>
  <w:footnote w:id="2">
    <w:p w14:paraId="77E7BB81" w14:textId="77777777" w:rsidR="00680D0E" w:rsidRPr="005A4040" w:rsidRDefault="00680D0E">
      <w:pPr>
        <w:pStyle w:val="FootnoteText"/>
        <w:rPr>
          <w:lang w:val="en-GB"/>
        </w:rPr>
      </w:pPr>
      <w:r>
        <w:rPr>
          <w:rStyle w:val="FootnoteReference"/>
        </w:rPr>
        <w:footnoteRef/>
      </w:r>
      <w:r w:rsidRPr="005A4040">
        <w:rPr>
          <w:lang w:val="en-GB"/>
        </w:rPr>
        <w:t xml:space="preserve"> </w:t>
      </w:r>
      <w:r w:rsidRPr="00C82182">
        <w:rPr>
          <w:lang w:val="en-GB"/>
        </w:rPr>
        <w:t>C</w:t>
      </w:r>
      <w:r w:rsidRPr="005A4040">
        <w:rPr>
          <w:lang w:val="en-GB"/>
        </w:rPr>
        <w:t xml:space="preserve">redit </w:t>
      </w:r>
      <w:r>
        <w:rPr>
          <w:lang w:val="en-GB"/>
        </w:rPr>
        <w:t xml:space="preserve">and counterparty </w:t>
      </w:r>
      <w:r w:rsidRPr="005A4040">
        <w:rPr>
          <w:lang w:val="en-GB"/>
        </w:rPr>
        <w:t xml:space="preserve">risk, market risk and </w:t>
      </w:r>
      <w:r>
        <w:rPr>
          <w:lang w:val="en-GB"/>
        </w:rPr>
        <w:t>credit valuation adjustment (CVA)</w:t>
      </w:r>
      <w:r w:rsidRPr="005A4040">
        <w:rPr>
          <w:lang w:val="en-GB"/>
        </w:rPr>
        <w:t xml:space="preserve"> risk</w:t>
      </w:r>
      <w:r>
        <w:rPr>
          <w:lang w:val="en-GB"/>
        </w:rPr>
        <w:t xml:space="preserve">. </w:t>
      </w:r>
    </w:p>
  </w:footnote>
  <w:footnote w:id="3">
    <w:p w14:paraId="77E7BB82" w14:textId="77777777" w:rsidR="00680D0E" w:rsidRPr="005A4040" w:rsidRDefault="00680D0E">
      <w:pPr>
        <w:pStyle w:val="FootnoteText"/>
        <w:rPr>
          <w:lang w:val="en-GB"/>
        </w:rPr>
      </w:pPr>
      <w:r>
        <w:rPr>
          <w:rStyle w:val="FootnoteReference"/>
        </w:rPr>
        <w:footnoteRef/>
      </w:r>
      <w:r w:rsidRPr="005A4040">
        <w:rPr>
          <w:lang w:val="en-GB"/>
        </w:rPr>
        <w:t xml:space="preserve"> Directive 2013/36/EU.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7BB7C" w14:textId="77777777" w:rsidR="00680D0E" w:rsidRDefault="00680D0E">
    <w:pPr>
      <w:pStyle w:val="Header"/>
    </w:pPr>
    <w:r>
      <w:rPr>
        <w:noProof/>
        <w:lang w:val="en-GB" w:eastAsia="en-GB"/>
      </w:rPr>
      <w:drawing>
        <wp:anchor distT="0" distB="0" distL="114300" distR="114300" simplePos="0" relativeHeight="251658240" behindDoc="0" locked="0" layoutInCell="1" allowOverlap="1" wp14:anchorId="77E7BB7F" wp14:editId="77E7BB80">
          <wp:simplePos x="0" y="0"/>
          <wp:positionH relativeFrom="column">
            <wp:posOffset>-709295</wp:posOffset>
          </wp:positionH>
          <wp:positionV relativeFrom="paragraph">
            <wp:posOffset>-259080</wp:posOffset>
          </wp:positionV>
          <wp:extent cx="1371600" cy="495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93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065F"/>
    <w:multiLevelType w:val="hybridMultilevel"/>
    <w:tmpl w:val="114A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F46044"/>
    <w:multiLevelType w:val="hybridMultilevel"/>
    <w:tmpl w:val="966E843C"/>
    <w:lvl w:ilvl="0" w:tplc="BE20721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C81A88"/>
    <w:multiLevelType w:val="hybridMultilevel"/>
    <w:tmpl w:val="F76EEE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DA72F5"/>
    <w:multiLevelType w:val="hybridMultilevel"/>
    <w:tmpl w:val="C200123C"/>
    <w:lvl w:ilvl="0" w:tplc="0813000F">
      <w:start w:val="1"/>
      <w:numFmt w:val="decimal"/>
      <w:lvlText w:val="%1."/>
      <w:lvlJc w:val="left"/>
      <w:pPr>
        <w:ind w:left="720" w:hanging="360"/>
      </w:pPr>
      <w:rPr>
        <w:rFonts w:cs="Times New Roman" w:hint="default"/>
      </w:rPr>
    </w:lvl>
    <w:lvl w:ilvl="1" w:tplc="08130019">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
    <w:nsid w:val="113E225E"/>
    <w:multiLevelType w:val="hybridMultilevel"/>
    <w:tmpl w:val="5FFE16B8"/>
    <w:lvl w:ilvl="0" w:tplc="BE20721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4E42B2A"/>
    <w:multiLevelType w:val="hybridMultilevel"/>
    <w:tmpl w:val="4B44E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EF380D"/>
    <w:multiLevelType w:val="hybridMultilevel"/>
    <w:tmpl w:val="FFFA9D2E"/>
    <w:lvl w:ilvl="0" w:tplc="BE20721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8FD4B8D"/>
    <w:multiLevelType w:val="hybridMultilevel"/>
    <w:tmpl w:val="2FF8C7DA"/>
    <w:lvl w:ilvl="0" w:tplc="BE20721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AD87783"/>
    <w:multiLevelType w:val="hybridMultilevel"/>
    <w:tmpl w:val="6EA40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511108"/>
    <w:multiLevelType w:val="hybridMultilevel"/>
    <w:tmpl w:val="1C00A008"/>
    <w:lvl w:ilvl="0" w:tplc="E46A3B22">
      <w:start w:val="1"/>
      <w:numFmt w:val="bullet"/>
      <w:lvlText w:val="­"/>
      <w:lvlJc w:val="left"/>
      <w:pPr>
        <w:ind w:left="720" w:hanging="360"/>
      </w:pPr>
      <w:rPr>
        <w:rFonts w:ascii="Courier New" w:hAnsi="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A61B7C"/>
    <w:multiLevelType w:val="hybridMultilevel"/>
    <w:tmpl w:val="9A448A90"/>
    <w:lvl w:ilvl="0" w:tplc="997E0588">
      <w:numFmt w:val="bullet"/>
      <w:lvlText w:val="-"/>
      <w:lvlJc w:val="left"/>
      <w:pPr>
        <w:ind w:left="720" w:hanging="360"/>
      </w:pPr>
      <w:rPr>
        <w:rFonts w:ascii="Times New Roman" w:eastAsia="Calibri" w:hAnsi="Times New Roman" w:cs="Times New Roman" w:hint="default"/>
        <w:b/>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D62C55"/>
    <w:multiLevelType w:val="hybridMultilevel"/>
    <w:tmpl w:val="09183D90"/>
    <w:lvl w:ilvl="0" w:tplc="B414FAFA">
      <w:start w:val="1"/>
      <w:numFmt w:val="lowerLetter"/>
      <w:lvlText w:val="(%1)"/>
      <w:lvlJc w:val="left"/>
      <w:pPr>
        <w:ind w:left="739" w:hanging="360"/>
      </w:pPr>
      <w:rPr>
        <w:rFonts w:cs="Times New Roman" w:hint="default"/>
        <w:i w:val="0"/>
      </w:rPr>
    </w:lvl>
    <w:lvl w:ilvl="1" w:tplc="04090019">
      <w:start w:val="1"/>
      <w:numFmt w:val="lowerLetter"/>
      <w:lvlText w:val="%2."/>
      <w:lvlJc w:val="left"/>
      <w:pPr>
        <w:ind w:left="1459" w:hanging="360"/>
      </w:pPr>
      <w:rPr>
        <w:rFonts w:cs="Times New Roman"/>
      </w:rPr>
    </w:lvl>
    <w:lvl w:ilvl="2" w:tplc="0409001B" w:tentative="1">
      <w:start w:val="1"/>
      <w:numFmt w:val="lowerRoman"/>
      <w:lvlText w:val="%3."/>
      <w:lvlJc w:val="right"/>
      <w:pPr>
        <w:ind w:left="2179" w:hanging="180"/>
      </w:pPr>
      <w:rPr>
        <w:rFonts w:cs="Times New Roman"/>
      </w:rPr>
    </w:lvl>
    <w:lvl w:ilvl="3" w:tplc="0409000F" w:tentative="1">
      <w:start w:val="1"/>
      <w:numFmt w:val="decimal"/>
      <w:lvlText w:val="%4."/>
      <w:lvlJc w:val="left"/>
      <w:pPr>
        <w:ind w:left="2899" w:hanging="360"/>
      </w:pPr>
      <w:rPr>
        <w:rFonts w:cs="Times New Roman"/>
      </w:rPr>
    </w:lvl>
    <w:lvl w:ilvl="4" w:tplc="04090019" w:tentative="1">
      <w:start w:val="1"/>
      <w:numFmt w:val="lowerLetter"/>
      <w:lvlText w:val="%5."/>
      <w:lvlJc w:val="left"/>
      <w:pPr>
        <w:ind w:left="3619" w:hanging="360"/>
      </w:pPr>
      <w:rPr>
        <w:rFonts w:cs="Times New Roman"/>
      </w:rPr>
    </w:lvl>
    <w:lvl w:ilvl="5" w:tplc="0409001B" w:tentative="1">
      <w:start w:val="1"/>
      <w:numFmt w:val="lowerRoman"/>
      <w:lvlText w:val="%6."/>
      <w:lvlJc w:val="right"/>
      <w:pPr>
        <w:ind w:left="4339" w:hanging="180"/>
      </w:pPr>
      <w:rPr>
        <w:rFonts w:cs="Times New Roman"/>
      </w:rPr>
    </w:lvl>
    <w:lvl w:ilvl="6" w:tplc="0409000F" w:tentative="1">
      <w:start w:val="1"/>
      <w:numFmt w:val="decimal"/>
      <w:lvlText w:val="%7."/>
      <w:lvlJc w:val="left"/>
      <w:pPr>
        <w:ind w:left="5059" w:hanging="360"/>
      </w:pPr>
      <w:rPr>
        <w:rFonts w:cs="Times New Roman"/>
      </w:rPr>
    </w:lvl>
    <w:lvl w:ilvl="7" w:tplc="04090019" w:tentative="1">
      <w:start w:val="1"/>
      <w:numFmt w:val="lowerLetter"/>
      <w:lvlText w:val="%8."/>
      <w:lvlJc w:val="left"/>
      <w:pPr>
        <w:ind w:left="5779" w:hanging="360"/>
      </w:pPr>
      <w:rPr>
        <w:rFonts w:cs="Times New Roman"/>
      </w:rPr>
    </w:lvl>
    <w:lvl w:ilvl="8" w:tplc="0409001B" w:tentative="1">
      <w:start w:val="1"/>
      <w:numFmt w:val="lowerRoman"/>
      <w:lvlText w:val="%9."/>
      <w:lvlJc w:val="right"/>
      <w:pPr>
        <w:ind w:left="6499" w:hanging="180"/>
      </w:pPr>
      <w:rPr>
        <w:rFonts w:cs="Times New Roman"/>
      </w:rPr>
    </w:lvl>
  </w:abstractNum>
  <w:abstractNum w:abstractNumId="12">
    <w:nsid w:val="2AB34CB5"/>
    <w:multiLevelType w:val="hybridMultilevel"/>
    <w:tmpl w:val="E7B0F314"/>
    <w:lvl w:ilvl="0" w:tplc="E46A3B22">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AC0760"/>
    <w:multiLevelType w:val="hybridMultilevel"/>
    <w:tmpl w:val="95BA8D5A"/>
    <w:lvl w:ilvl="0" w:tplc="C9184022">
      <w:start w:val="1"/>
      <w:numFmt w:val="bullet"/>
      <w:lvlText w:val="-"/>
      <w:lvlJc w:val="left"/>
      <w:pPr>
        <w:ind w:left="720" w:hanging="360"/>
      </w:pPr>
      <w:rPr>
        <w:rFonts w:ascii="Times New Roman" w:eastAsia="Times New Roman" w:hAnsi="Times New Roman" w:hint="default"/>
      </w:rPr>
    </w:lvl>
    <w:lvl w:ilvl="1" w:tplc="5E94AC4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207BD"/>
    <w:multiLevelType w:val="hybridMultilevel"/>
    <w:tmpl w:val="089ED6FA"/>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414944"/>
    <w:multiLevelType w:val="hybridMultilevel"/>
    <w:tmpl w:val="0582A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A30F63"/>
    <w:multiLevelType w:val="hybridMultilevel"/>
    <w:tmpl w:val="D1F2CDE0"/>
    <w:lvl w:ilvl="0" w:tplc="B4607D92">
      <w:start w:val="1"/>
      <w:numFmt w:val="bullet"/>
      <w:lvlText w:val=""/>
      <w:lvlJc w:val="left"/>
      <w:pPr>
        <w:tabs>
          <w:tab w:val="num" w:pos="720"/>
        </w:tabs>
        <w:ind w:left="720" w:hanging="360"/>
      </w:pPr>
      <w:rPr>
        <w:rFonts w:ascii="Wingdings" w:hAnsi="Wingdings" w:hint="default"/>
      </w:rPr>
    </w:lvl>
    <w:lvl w:ilvl="1" w:tplc="BFC69F0C" w:tentative="1">
      <w:start w:val="1"/>
      <w:numFmt w:val="bullet"/>
      <w:lvlText w:val=""/>
      <w:lvlJc w:val="left"/>
      <w:pPr>
        <w:tabs>
          <w:tab w:val="num" w:pos="1440"/>
        </w:tabs>
        <w:ind w:left="1440" w:hanging="360"/>
      </w:pPr>
      <w:rPr>
        <w:rFonts w:ascii="Wingdings" w:hAnsi="Wingdings" w:hint="default"/>
      </w:rPr>
    </w:lvl>
    <w:lvl w:ilvl="2" w:tplc="2D7C6F4E" w:tentative="1">
      <w:start w:val="1"/>
      <w:numFmt w:val="bullet"/>
      <w:lvlText w:val=""/>
      <w:lvlJc w:val="left"/>
      <w:pPr>
        <w:tabs>
          <w:tab w:val="num" w:pos="2160"/>
        </w:tabs>
        <w:ind w:left="2160" w:hanging="360"/>
      </w:pPr>
      <w:rPr>
        <w:rFonts w:ascii="Wingdings" w:hAnsi="Wingdings" w:hint="default"/>
      </w:rPr>
    </w:lvl>
    <w:lvl w:ilvl="3" w:tplc="8990E498" w:tentative="1">
      <w:start w:val="1"/>
      <w:numFmt w:val="bullet"/>
      <w:lvlText w:val=""/>
      <w:lvlJc w:val="left"/>
      <w:pPr>
        <w:tabs>
          <w:tab w:val="num" w:pos="2880"/>
        </w:tabs>
        <w:ind w:left="2880" w:hanging="360"/>
      </w:pPr>
      <w:rPr>
        <w:rFonts w:ascii="Wingdings" w:hAnsi="Wingdings" w:hint="default"/>
      </w:rPr>
    </w:lvl>
    <w:lvl w:ilvl="4" w:tplc="3BDA8EC6" w:tentative="1">
      <w:start w:val="1"/>
      <w:numFmt w:val="bullet"/>
      <w:lvlText w:val=""/>
      <w:lvlJc w:val="left"/>
      <w:pPr>
        <w:tabs>
          <w:tab w:val="num" w:pos="3600"/>
        </w:tabs>
        <w:ind w:left="3600" w:hanging="360"/>
      </w:pPr>
      <w:rPr>
        <w:rFonts w:ascii="Wingdings" w:hAnsi="Wingdings" w:hint="default"/>
      </w:rPr>
    </w:lvl>
    <w:lvl w:ilvl="5" w:tplc="B44A0ECA" w:tentative="1">
      <w:start w:val="1"/>
      <w:numFmt w:val="bullet"/>
      <w:lvlText w:val=""/>
      <w:lvlJc w:val="left"/>
      <w:pPr>
        <w:tabs>
          <w:tab w:val="num" w:pos="4320"/>
        </w:tabs>
        <w:ind w:left="4320" w:hanging="360"/>
      </w:pPr>
      <w:rPr>
        <w:rFonts w:ascii="Wingdings" w:hAnsi="Wingdings" w:hint="default"/>
      </w:rPr>
    </w:lvl>
    <w:lvl w:ilvl="6" w:tplc="A6A24690" w:tentative="1">
      <w:start w:val="1"/>
      <w:numFmt w:val="bullet"/>
      <w:lvlText w:val=""/>
      <w:lvlJc w:val="left"/>
      <w:pPr>
        <w:tabs>
          <w:tab w:val="num" w:pos="5040"/>
        </w:tabs>
        <w:ind w:left="5040" w:hanging="360"/>
      </w:pPr>
      <w:rPr>
        <w:rFonts w:ascii="Wingdings" w:hAnsi="Wingdings" w:hint="default"/>
      </w:rPr>
    </w:lvl>
    <w:lvl w:ilvl="7" w:tplc="6D2EFED4" w:tentative="1">
      <w:start w:val="1"/>
      <w:numFmt w:val="bullet"/>
      <w:lvlText w:val=""/>
      <w:lvlJc w:val="left"/>
      <w:pPr>
        <w:tabs>
          <w:tab w:val="num" w:pos="5760"/>
        </w:tabs>
        <w:ind w:left="5760" w:hanging="360"/>
      </w:pPr>
      <w:rPr>
        <w:rFonts w:ascii="Wingdings" w:hAnsi="Wingdings" w:hint="default"/>
      </w:rPr>
    </w:lvl>
    <w:lvl w:ilvl="8" w:tplc="AEA8F0B6" w:tentative="1">
      <w:start w:val="1"/>
      <w:numFmt w:val="bullet"/>
      <w:lvlText w:val=""/>
      <w:lvlJc w:val="left"/>
      <w:pPr>
        <w:tabs>
          <w:tab w:val="num" w:pos="6480"/>
        </w:tabs>
        <w:ind w:left="6480" w:hanging="360"/>
      </w:pPr>
      <w:rPr>
        <w:rFonts w:ascii="Wingdings" w:hAnsi="Wingdings" w:hint="default"/>
      </w:rPr>
    </w:lvl>
  </w:abstractNum>
  <w:abstractNum w:abstractNumId="17">
    <w:nsid w:val="355949A2"/>
    <w:multiLevelType w:val="hybridMultilevel"/>
    <w:tmpl w:val="3B8E27BE"/>
    <w:lvl w:ilvl="0" w:tplc="BE20721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83E5D98"/>
    <w:multiLevelType w:val="hybridMultilevel"/>
    <w:tmpl w:val="EE6E96D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386777F3"/>
    <w:multiLevelType w:val="hybridMultilevel"/>
    <w:tmpl w:val="CAE08526"/>
    <w:lvl w:ilvl="0" w:tplc="B68E06C4">
      <w:start w:val="1"/>
      <w:numFmt w:val="lowerRoman"/>
      <w:lvlText w:val="(%1)"/>
      <w:lvlJc w:val="left"/>
      <w:pPr>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3C7A481F"/>
    <w:multiLevelType w:val="hybridMultilevel"/>
    <w:tmpl w:val="007A8866"/>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BB54EA"/>
    <w:multiLevelType w:val="hybridMultilevel"/>
    <w:tmpl w:val="9DDC9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EDB0814"/>
    <w:multiLevelType w:val="hybridMultilevel"/>
    <w:tmpl w:val="0D805E46"/>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EF614B"/>
    <w:multiLevelType w:val="hybridMultilevel"/>
    <w:tmpl w:val="BFE2C430"/>
    <w:lvl w:ilvl="0" w:tplc="2EDAA74C">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42CB223B"/>
    <w:multiLevelType w:val="hybridMultilevel"/>
    <w:tmpl w:val="DF7429CE"/>
    <w:lvl w:ilvl="0" w:tplc="BE207210">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9C127BF"/>
    <w:multiLevelType w:val="hybridMultilevel"/>
    <w:tmpl w:val="FC8882DA"/>
    <w:lvl w:ilvl="0" w:tplc="E46A3B22">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545FAE"/>
    <w:multiLevelType w:val="hybridMultilevel"/>
    <w:tmpl w:val="BB40FB58"/>
    <w:lvl w:ilvl="0" w:tplc="5E94AC4C">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nsid w:val="4D67212C"/>
    <w:multiLevelType w:val="hybridMultilevel"/>
    <w:tmpl w:val="BDA26C20"/>
    <w:lvl w:ilvl="0" w:tplc="BE20721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7080E2A"/>
    <w:multiLevelType w:val="hybridMultilevel"/>
    <w:tmpl w:val="03320FE2"/>
    <w:lvl w:ilvl="0" w:tplc="0C0A000F">
      <w:start w:val="1"/>
      <w:numFmt w:val="decimal"/>
      <w:lvlText w:val="%1."/>
      <w:lvlJc w:val="left"/>
      <w:pPr>
        <w:tabs>
          <w:tab w:val="num" w:pos="690"/>
        </w:tabs>
        <w:ind w:left="690" w:hanging="360"/>
      </w:pPr>
      <w:rPr>
        <w:rFonts w:cs="Times New Roman"/>
      </w:rPr>
    </w:lvl>
    <w:lvl w:ilvl="1" w:tplc="0C0A0019" w:tentative="1">
      <w:start w:val="1"/>
      <w:numFmt w:val="lowerLetter"/>
      <w:lvlText w:val="%2."/>
      <w:lvlJc w:val="left"/>
      <w:pPr>
        <w:tabs>
          <w:tab w:val="num" w:pos="1410"/>
        </w:tabs>
        <w:ind w:left="1410" w:hanging="360"/>
      </w:pPr>
      <w:rPr>
        <w:rFonts w:cs="Times New Roman"/>
      </w:rPr>
    </w:lvl>
    <w:lvl w:ilvl="2" w:tplc="0C0A001B" w:tentative="1">
      <w:start w:val="1"/>
      <w:numFmt w:val="lowerRoman"/>
      <w:lvlText w:val="%3."/>
      <w:lvlJc w:val="right"/>
      <w:pPr>
        <w:tabs>
          <w:tab w:val="num" w:pos="2130"/>
        </w:tabs>
        <w:ind w:left="2130" w:hanging="180"/>
      </w:pPr>
      <w:rPr>
        <w:rFonts w:cs="Times New Roman"/>
      </w:rPr>
    </w:lvl>
    <w:lvl w:ilvl="3" w:tplc="0C0A000F" w:tentative="1">
      <w:start w:val="1"/>
      <w:numFmt w:val="decimal"/>
      <w:lvlText w:val="%4."/>
      <w:lvlJc w:val="left"/>
      <w:pPr>
        <w:tabs>
          <w:tab w:val="num" w:pos="2850"/>
        </w:tabs>
        <w:ind w:left="2850" w:hanging="360"/>
      </w:pPr>
      <w:rPr>
        <w:rFonts w:cs="Times New Roman"/>
      </w:rPr>
    </w:lvl>
    <w:lvl w:ilvl="4" w:tplc="0C0A0019" w:tentative="1">
      <w:start w:val="1"/>
      <w:numFmt w:val="lowerLetter"/>
      <w:lvlText w:val="%5."/>
      <w:lvlJc w:val="left"/>
      <w:pPr>
        <w:tabs>
          <w:tab w:val="num" w:pos="3570"/>
        </w:tabs>
        <w:ind w:left="3570" w:hanging="360"/>
      </w:pPr>
      <w:rPr>
        <w:rFonts w:cs="Times New Roman"/>
      </w:rPr>
    </w:lvl>
    <w:lvl w:ilvl="5" w:tplc="0C0A001B" w:tentative="1">
      <w:start w:val="1"/>
      <w:numFmt w:val="lowerRoman"/>
      <w:lvlText w:val="%6."/>
      <w:lvlJc w:val="right"/>
      <w:pPr>
        <w:tabs>
          <w:tab w:val="num" w:pos="4290"/>
        </w:tabs>
        <w:ind w:left="4290" w:hanging="180"/>
      </w:pPr>
      <w:rPr>
        <w:rFonts w:cs="Times New Roman"/>
      </w:rPr>
    </w:lvl>
    <w:lvl w:ilvl="6" w:tplc="0C0A000F" w:tentative="1">
      <w:start w:val="1"/>
      <w:numFmt w:val="decimal"/>
      <w:lvlText w:val="%7."/>
      <w:lvlJc w:val="left"/>
      <w:pPr>
        <w:tabs>
          <w:tab w:val="num" w:pos="5010"/>
        </w:tabs>
        <w:ind w:left="5010" w:hanging="360"/>
      </w:pPr>
      <w:rPr>
        <w:rFonts w:cs="Times New Roman"/>
      </w:rPr>
    </w:lvl>
    <w:lvl w:ilvl="7" w:tplc="0C0A0019" w:tentative="1">
      <w:start w:val="1"/>
      <w:numFmt w:val="lowerLetter"/>
      <w:lvlText w:val="%8."/>
      <w:lvlJc w:val="left"/>
      <w:pPr>
        <w:tabs>
          <w:tab w:val="num" w:pos="5730"/>
        </w:tabs>
        <w:ind w:left="5730" w:hanging="360"/>
      </w:pPr>
      <w:rPr>
        <w:rFonts w:cs="Times New Roman"/>
      </w:rPr>
    </w:lvl>
    <w:lvl w:ilvl="8" w:tplc="0C0A001B" w:tentative="1">
      <w:start w:val="1"/>
      <w:numFmt w:val="lowerRoman"/>
      <w:lvlText w:val="%9."/>
      <w:lvlJc w:val="right"/>
      <w:pPr>
        <w:tabs>
          <w:tab w:val="num" w:pos="6450"/>
        </w:tabs>
        <w:ind w:left="6450" w:hanging="180"/>
      </w:pPr>
      <w:rPr>
        <w:rFonts w:cs="Times New Roman"/>
      </w:rPr>
    </w:lvl>
  </w:abstractNum>
  <w:abstractNum w:abstractNumId="29">
    <w:nsid w:val="5BDB2C07"/>
    <w:multiLevelType w:val="hybridMultilevel"/>
    <w:tmpl w:val="D6DAF2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3447E8F"/>
    <w:multiLevelType w:val="hybridMultilevel"/>
    <w:tmpl w:val="843EAC4E"/>
    <w:lvl w:ilvl="0" w:tplc="C1AC947A">
      <w:start w:val="1"/>
      <w:numFmt w:val="lowerRoman"/>
      <w:lvlText w:val="(%1)"/>
      <w:lvlJc w:val="left"/>
      <w:pPr>
        <w:ind w:left="1459" w:hanging="720"/>
      </w:pPr>
      <w:rPr>
        <w:rFonts w:cs="Times New Roman" w:hint="default"/>
      </w:rPr>
    </w:lvl>
    <w:lvl w:ilvl="1" w:tplc="04090019" w:tentative="1">
      <w:start w:val="1"/>
      <w:numFmt w:val="lowerLetter"/>
      <w:lvlText w:val="%2."/>
      <w:lvlJc w:val="left"/>
      <w:pPr>
        <w:ind w:left="1819" w:hanging="360"/>
      </w:pPr>
      <w:rPr>
        <w:rFonts w:cs="Times New Roman"/>
      </w:rPr>
    </w:lvl>
    <w:lvl w:ilvl="2" w:tplc="0409001B" w:tentative="1">
      <w:start w:val="1"/>
      <w:numFmt w:val="lowerRoman"/>
      <w:lvlText w:val="%3."/>
      <w:lvlJc w:val="right"/>
      <w:pPr>
        <w:ind w:left="2539" w:hanging="180"/>
      </w:pPr>
      <w:rPr>
        <w:rFonts w:cs="Times New Roman"/>
      </w:rPr>
    </w:lvl>
    <w:lvl w:ilvl="3" w:tplc="0409000F" w:tentative="1">
      <w:start w:val="1"/>
      <w:numFmt w:val="decimal"/>
      <w:lvlText w:val="%4."/>
      <w:lvlJc w:val="left"/>
      <w:pPr>
        <w:ind w:left="3259" w:hanging="360"/>
      </w:pPr>
      <w:rPr>
        <w:rFonts w:cs="Times New Roman"/>
      </w:rPr>
    </w:lvl>
    <w:lvl w:ilvl="4" w:tplc="04090019" w:tentative="1">
      <w:start w:val="1"/>
      <w:numFmt w:val="lowerLetter"/>
      <w:lvlText w:val="%5."/>
      <w:lvlJc w:val="left"/>
      <w:pPr>
        <w:ind w:left="3979" w:hanging="360"/>
      </w:pPr>
      <w:rPr>
        <w:rFonts w:cs="Times New Roman"/>
      </w:rPr>
    </w:lvl>
    <w:lvl w:ilvl="5" w:tplc="0409001B" w:tentative="1">
      <w:start w:val="1"/>
      <w:numFmt w:val="lowerRoman"/>
      <w:lvlText w:val="%6."/>
      <w:lvlJc w:val="right"/>
      <w:pPr>
        <w:ind w:left="4699" w:hanging="180"/>
      </w:pPr>
      <w:rPr>
        <w:rFonts w:cs="Times New Roman"/>
      </w:rPr>
    </w:lvl>
    <w:lvl w:ilvl="6" w:tplc="0409000F" w:tentative="1">
      <w:start w:val="1"/>
      <w:numFmt w:val="decimal"/>
      <w:lvlText w:val="%7."/>
      <w:lvlJc w:val="left"/>
      <w:pPr>
        <w:ind w:left="5419" w:hanging="360"/>
      </w:pPr>
      <w:rPr>
        <w:rFonts w:cs="Times New Roman"/>
      </w:rPr>
    </w:lvl>
    <w:lvl w:ilvl="7" w:tplc="04090019" w:tentative="1">
      <w:start w:val="1"/>
      <w:numFmt w:val="lowerLetter"/>
      <w:lvlText w:val="%8."/>
      <w:lvlJc w:val="left"/>
      <w:pPr>
        <w:ind w:left="6139" w:hanging="360"/>
      </w:pPr>
      <w:rPr>
        <w:rFonts w:cs="Times New Roman"/>
      </w:rPr>
    </w:lvl>
    <w:lvl w:ilvl="8" w:tplc="0409001B" w:tentative="1">
      <w:start w:val="1"/>
      <w:numFmt w:val="lowerRoman"/>
      <w:lvlText w:val="%9."/>
      <w:lvlJc w:val="right"/>
      <w:pPr>
        <w:ind w:left="6859" w:hanging="180"/>
      </w:pPr>
      <w:rPr>
        <w:rFonts w:cs="Times New Roman"/>
      </w:rPr>
    </w:lvl>
  </w:abstractNum>
  <w:abstractNum w:abstractNumId="31">
    <w:nsid w:val="63E64641"/>
    <w:multiLevelType w:val="hybridMultilevel"/>
    <w:tmpl w:val="D486D748"/>
    <w:lvl w:ilvl="0" w:tplc="E46A3B22">
      <w:start w:val="1"/>
      <w:numFmt w:val="bullet"/>
      <w:lvlText w:val="­"/>
      <w:lvlJc w:val="left"/>
      <w:pPr>
        <w:ind w:left="720" w:hanging="360"/>
      </w:pPr>
      <w:rPr>
        <w:rFonts w:ascii="Courier New" w:hAnsi="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F4B53AC"/>
    <w:multiLevelType w:val="hybridMultilevel"/>
    <w:tmpl w:val="848C71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2267438"/>
    <w:multiLevelType w:val="hybridMultilevel"/>
    <w:tmpl w:val="C9E62F98"/>
    <w:lvl w:ilvl="0" w:tplc="BE20721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9C12C42"/>
    <w:multiLevelType w:val="hybridMultilevel"/>
    <w:tmpl w:val="18BA077A"/>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AD4BA0"/>
    <w:multiLevelType w:val="hybridMultilevel"/>
    <w:tmpl w:val="0FE072DE"/>
    <w:lvl w:ilvl="0" w:tplc="BE20721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D807813"/>
    <w:multiLevelType w:val="hybridMultilevel"/>
    <w:tmpl w:val="71D09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8C2823"/>
    <w:multiLevelType w:val="hybridMultilevel"/>
    <w:tmpl w:val="FA4CDF76"/>
    <w:lvl w:ilvl="0" w:tplc="B68E06C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8"/>
  </w:num>
  <w:num w:numId="3">
    <w:abstractNumId w:val="23"/>
  </w:num>
  <w:num w:numId="4">
    <w:abstractNumId w:val="11"/>
  </w:num>
  <w:num w:numId="5">
    <w:abstractNumId w:val="30"/>
  </w:num>
  <w:num w:numId="6">
    <w:abstractNumId w:val="28"/>
  </w:num>
  <w:num w:numId="7">
    <w:abstractNumId w:val="7"/>
  </w:num>
  <w:num w:numId="8">
    <w:abstractNumId w:val="24"/>
  </w:num>
  <w:num w:numId="9">
    <w:abstractNumId w:val="16"/>
  </w:num>
  <w:num w:numId="10">
    <w:abstractNumId w:val="27"/>
  </w:num>
  <w:num w:numId="11">
    <w:abstractNumId w:val="1"/>
  </w:num>
  <w:num w:numId="12">
    <w:abstractNumId w:val="6"/>
  </w:num>
  <w:num w:numId="13">
    <w:abstractNumId w:val="33"/>
  </w:num>
  <w:num w:numId="14">
    <w:abstractNumId w:val="4"/>
  </w:num>
  <w:num w:numId="15">
    <w:abstractNumId w:val="17"/>
  </w:num>
  <w:num w:numId="16">
    <w:abstractNumId w:val="35"/>
  </w:num>
  <w:num w:numId="17">
    <w:abstractNumId w:val="26"/>
  </w:num>
  <w:num w:numId="18">
    <w:abstractNumId w:val="37"/>
  </w:num>
  <w:num w:numId="19">
    <w:abstractNumId w:val="13"/>
  </w:num>
  <w:num w:numId="20">
    <w:abstractNumId w:val="19"/>
  </w:num>
  <w:num w:numId="21">
    <w:abstractNumId w:val="8"/>
  </w:num>
  <w:num w:numId="22">
    <w:abstractNumId w:val="29"/>
  </w:num>
  <w:num w:numId="23">
    <w:abstractNumId w:val="0"/>
  </w:num>
  <w:num w:numId="24">
    <w:abstractNumId w:val="15"/>
  </w:num>
  <w:num w:numId="25">
    <w:abstractNumId w:val="21"/>
  </w:num>
  <w:num w:numId="26">
    <w:abstractNumId w:val="5"/>
  </w:num>
  <w:num w:numId="27">
    <w:abstractNumId w:val="2"/>
  </w:num>
  <w:num w:numId="28">
    <w:abstractNumId w:val="31"/>
  </w:num>
  <w:num w:numId="29">
    <w:abstractNumId w:val="9"/>
  </w:num>
  <w:num w:numId="30">
    <w:abstractNumId w:val="32"/>
  </w:num>
  <w:num w:numId="31">
    <w:abstractNumId w:val="25"/>
  </w:num>
  <w:num w:numId="32">
    <w:abstractNumId w:val="22"/>
  </w:num>
  <w:num w:numId="33">
    <w:abstractNumId w:val="20"/>
  </w:num>
  <w:num w:numId="34">
    <w:abstractNumId w:val="14"/>
  </w:num>
  <w:num w:numId="35">
    <w:abstractNumId w:val="10"/>
  </w:num>
  <w:num w:numId="36">
    <w:abstractNumId w:val="36"/>
  </w:num>
  <w:num w:numId="37">
    <w:abstractNumId w:val="1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BC"/>
    <w:rsid w:val="00002521"/>
    <w:rsid w:val="00015350"/>
    <w:rsid w:val="00025567"/>
    <w:rsid w:val="00037C08"/>
    <w:rsid w:val="000435F1"/>
    <w:rsid w:val="0005532E"/>
    <w:rsid w:val="00073D48"/>
    <w:rsid w:val="000A16F5"/>
    <w:rsid w:val="000A5EA8"/>
    <w:rsid w:val="000C2FB2"/>
    <w:rsid w:val="000F7E53"/>
    <w:rsid w:val="001009C3"/>
    <w:rsid w:val="00102520"/>
    <w:rsid w:val="00167A78"/>
    <w:rsid w:val="001B2C01"/>
    <w:rsid w:val="001B3850"/>
    <w:rsid w:val="001D6BF3"/>
    <w:rsid w:val="001F5D09"/>
    <w:rsid w:val="001F6E66"/>
    <w:rsid w:val="002121D1"/>
    <w:rsid w:val="00216A45"/>
    <w:rsid w:val="00221CD4"/>
    <w:rsid w:val="00223109"/>
    <w:rsid w:val="00226FDD"/>
    <w:rsid w:val="00244F4E"/>
    <w:rsid w:val="002753DD"/>
    <w:rsid w:val="002952C0"/>
    <w:rsid w:val="002A18CA"/>
    <w:rsid w:val="002B0779"/>
    <w:rsid w:val="002C2BFB"/>
    <w:rsid w:val="00300D66"/>
    <w:rsid w:val="00320BD4"/>
    <w:rsid w:val="0034555E"/>
    <w:rsid w:val="00345627"/>
    <w:rsid w:val="0036523F"/>
    <w:rsid w:val="0037716F"/>
    <w:rsid w:val="003807A3"/>
    <w:rsid w:val="00390C6E"/>
    <w:rsid w:val="00397D0D"/>
    <w:rsid w:val="003A0F60"/>
    <w:rsid w:val="003B76A5"/>
    <w:rsid w:val="003D16E6"/>
    <w:rsid w:val="00427320"/>
    <w:rsid w:val="00455409"/>
    <w:rsid w:val="004933AE"/>
    <w:rsid w:val="00497417"/>
    <w:rsid w:val="004A22C8"/>
    <w:rsid w:val="004A5C97"/>
    <w:rsid w:val="004E63E1"/>
    <w:rsid w:val="004E68C0"/>
    <w:rsid w:val="004F6FF5"/>
    <w:rsid w:val="00506D2D"/>
    <w:rsid w:val="005204AD"/>
    <w:rsid w:val="00551D61"/>
    <w:rsid w:val="0056121A"/>
    <w:rsid w:val="00561335"/>
    <w:rsid w:val="005735B8"/>
    <w:rsid w:val="005870BC"/>
    <w:rsid w:val="005A4040"/>
    <w:rsid w:val="005B213F"/>
    <w:rsid w:val="005F0984"/>
    <w:rsid w:val="0060055F"/>
    <w:rsid w:val="00625FBA"/>
    <w:rsid w:val="00635CCC"/>
    <w:rsid w:val="00641977"/>
    <w:rsid w:val="00654805"/>
    <w:rsid w:val="006568E6"/>
    <w:rsid w:val="00680A05"/>
    <w:rsid w:val="00680D0E"/>
    <w:rsid w:val="00690CDC"/>
    <w:rsid w:val="0069212D"/>
    <w:rsid w:val="0069698F"/>
    <w:rsid w:val="006A4F03"/>
    <w:rsid w:val="006B13E9"/>
    <w:rsid w:val="006B5CBB"/>
    <w:rsid w:val="006E4104"/>
    <w:rsid w:val="00712EB0"/>
    <w:rsid w:val="00734830"/>
    <w:rsid w:val="0073489B"/>
    <w:rsid w:val="00747876"/>
    <w:rsid w:val="00762472"/>
    <w:rsid w:val="007725C0"/>
    <w:rsid w:val="007770DC"/>
    <w:rsid w:val="007B1D23"/>
    <w:rsid w:val="007B302B"/>
    <w:rsid w:val="007B646F"/>
    <w:rsid w:val="007D6994"/>
    <w:rsid w:val="007D767D"/>
    <w:rsid w:val="007F28D3"/>
    <w:rsid w:val="00827A64"/>
    <w:rsid w:val="00850B39"/>
    <w:rsid w:val="0087675A"/>
    <w:rsid w:val="00891DA2"/>
    <w:rsid w:val="00894124"/>
    <w:rsid w:val="0089588C"/>
    <w:rsid w:val="008B5CF9"/>
    <w:rsid w:val="008E3CF4"/>
    <w:rsid w:val="008E4A79"/>
    <w:rsid w:val="008F4A2B"/>
    <w:rsid w:val="008F6267"/>
    <w:rsid w:val="00914AE1"/>
    <w:rsid w:val="00916D4A"/>
    <w:rsid w:val="009674BD"/>
    <w:rsid w:val="00981DEC"/>
    <w:rsid w:val="009A1E36"/>
    <w:rsid w:val="009B2319"/>
    <w:rsid w:val="009B65A0"/>
    <w:rsid w:val="00A0767F"/>
    <w:rsid w:val="00A31C7A"/>
    <w:rsid w:val="00A72747"/>
    <w:rsid w:val="00AB763C"/>
    <w:rsid w:val="00B043B3"/>
    <w:rsid w:val="00B05E51"/>
    <w:rsid w:val="00B22B28"/>
    <w:rsid w:val="00B230E8"/>
    <w:rsid w:val="00B318BC"/>
    <w:rsid w:val="00B35D45"/>
    <w:rsid w:val="00B36639"/>
    <w:rsid w:val="00B400AB"/>
    <w:rsid w:val="00B472D2"/>
    <w:rsid w:val="00B56F82"/>
    <w:rsid w:val="00B87EF0"/>
    <w:rsid w:val="00B9555B"/>
    <w:rsid w:val="00BA0992"/>
    <w:rsid w:val="00BA5A44"/>
    <w:rsid w:val="00BB0EC2"/>
    <w:rsid w:val="00BB344E"/>
    <w:rsid w:val="00BC119A"/>
    <w:rsid w:val="00BC2A1D"/>
    <w:rsid w:val="00BE0CDA"/>
    <w:rsid w:val="00BE31E8"/>
    <w:rsid w:val="00BE6730"/>
    <w:rsid w:val="00C00059"/>
    <w:rsid w:val="00C24C59"/>
    <w:rsid w:val="00C27BD0"/>
    <w:rsid w:val="00C3182F"/>
    <w:rsid w:val="00C5113A"/>
    <w:rsid w:val="00C735F0"/>
    <w:rsid w:val="00C82182"/>
    <w:rsid w:val="00C85B1D"/>
    <w:rsid w:val="00C87701"/>
    <w:rsid w:val="00CA464D"/>
    <w:rsid w:val="00CA6963"/>
    <w:rsid w:val="00CB49B8"/>
    <w:rsid w:val="00CE3253"/>
    <w:rsid w:val="00D000B7"/>
    <w:rsid w:val="00D07D38"/>
    <w:rsid w:val="00D22F73"/>
    <w:rsid w:val="00D23E81"/>
    <w:rsid w:val="00D27AF9"/>
    <w:rsid w:val="00D329B4"/>
    <w:rsid w:val="00D4456F"/>
    <w:rsid w:val="00D53758"/>
    <w:rsid w:val="00D703DA"/>
    <w:rsid w:val="00D7511E"/>
    <w:rsid w:val="00DC028F"/>
    <w:rsid w:val="00DC64EC"/>
    <w:rsid w:val="00DD3D5D"/>
    <w:rsid w:val="00E36923"/>
    <w:rsid w:val="00E503AC"/>
    <w:rsid w:val="00E76EAB"/>
    <w:rsid w:val="00E80F13"/>
    <w:rsid w:val="00E83134"/>
    <w:rsid w:val="00EB3215"/>
    <w:rsid w:val="00EB47A2"/>
    <w:rsid w:val="00EB5C35"/>
    <w:rsid w:val="00EC0F3A"/>
    <w:rsid w:val="00EC38CE"/>
    <w:rsid w:val="00EC3A26"/>
    <w:rsid w:val="00EC46D8"/>
    <w:rsid w:val="00EF098F"/>
    <w:rsid w:val="00EF6BAD"/>
    <w:rsid w:val="00F015B1"/>
    <w:rsid w:val="00F4326B"/>
    <w:rsid w:val="00F608DB"/>
    <w:rsid w:val="00F70315"/>
    <w:rsid w:val="00F7101F"/>
    <w:rsid w:val="00F77EAA"/>
    <w:rsid w:val="00F809F7"/>
    <w:rsid w:val="00F91623"/>
    <w:rsid w:val="00FA7EFA"/>
    <w:rsid w:val="00FB22B5"/>
    <w:rsid w:val="00FB5A57"/>
    <w:rsid w:val="00FC1D5D"/>
    <w:rsid w:val="00FC3B30"/>
    <w:rsid w:val="00FC43E8"/>
    <w:rsid w:val="00FC705D"/>
    <w:rsid w:val="00FD3181"/>
    <w:rsid w:val="00FD4F47"/>
    <w:rsid w:val="00FE77F4"/>
    <w:rsid w:val="00FF5EBF"/>
    <w:rsid w:val="00FF78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77E7BAC5"/>
  <w15:docId w15:val="{A3000509-9695-4711-8A8D-759836FE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FB2"/>
    <w:pPr>
      <w:spacing w:after="160" w:line="259" w:lineRule="auto"/>
    </w:pPr>
    <w:rPr>
      <w:sz w:val="22"/>
      <w:szCs w:val="22"/>
      <w:lang w:val="nl-BE" w:eastAsia="en-US"/>
    </w:rPr>
  </w:style>
  <w:style w:type="paragraph" w:styleId="Heading1">
    <w:name w:val="heading 1"/>
    <w:basedOn w:val="Normal"/>
    <w:next w:val="Normal"/>
    <w:link w:val="Heading1Char"/>
    <w:uiPriority w:val="99"/>
    <w:qFormat/>
    <w:rsid w:val="00F77EAA"/>
    <w:pPr>
      <w:keepNext/>
      <w:keepLines/>
      <w:spacing w:before="240" w:after="0"/>
      <w:outlineLvl w:val="0"/>
    </w:pPr>
    <w:rPr>
      <w:rFonts w:ascii="Calibri Light" w:eastAsia="Times New Roman" w:hAnsi="Calibri Light"/>
      <w:color w:val="ED7D31"/>
      <w:sz w:val="32"/>
      <w:szCs w:val="32"/>
    </w:rPr>
  </w:style>
  <w:style w:type="paragraph" w:styleId="Heading2">
    <w:name w:val="heading 2"/>
    <w:basedOn w:val="Normal"/>
    <w:next w:val="Normal"/>
    <w:link w:val="Heading2Char"/>
    <w:uiPriority w:val="99"/>
    <w:qFormat/>
    <w:rsid w:val="00F77EAA"/>
    <w:pPr>
      <w:keepNext/>
      <w:keepLines/>
      <w:spacing w:before="40" w:after="0"/>
      <w:outlineLvl w:val="1"/>
    </w:pPr>
    <w:rPr>
      <w:rFonts w:ascii="Calibri Light" w:eastAsia="Times New Roman" w:hAnsi="Calibri Light"/>
      <w:color w:val="ED7D3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77EAA"/>
    <w:rPr>
      <w:rFonts w:ascii="Calibri Light" w:hAnsi="Calibri Light" w:cs="Times New Roman"/>
      <w:color w:val="ED7D31"/>
      <w:sz w:val="32"/>
      <w:szCs w:val="32"/>
    </w:rPr>
  </w:style>
  <w:style w:type="character" w:customStyle="1" w:styleId="Heading2Char">
    <w:name w:val="Heading 2 Char"/>
    <w:link w:val="Heading2"/>
    <w:uiPriority w:val="99"/>
    <w:locked/>
    <w:rsid w:val="00F77EAA"/>
    <w:rPr>
      <w:rFonts w:ascii="Calibri Light" w:hAnsi="Calibri Light" w:cs="Times New Roman"/>
      <w:color w:val="ED7D31"/>
      <w:sz w:val="26"/>
      <w:szCs w:val="26"/>
    </w:rPr>
  </w:style>
  <w:style w:type="paragraph" w:styleId="Header">
    <w:name w:val="header"/>
    <w:basedOn w:val="Normal"/>
    <w:link w:val="HeaderChar"/>
    <w:uiPriority w:val="99"/>
    <w:rsid w:val="00F77EAA"/>
    <w:pPr>
      <w:tabs>
        <w:tab w:val="center" w:pos="4536"/>
        <w:tab w:val="right" w:pos="9072"/>
      </w:tabs>
      <w:spacing w:after="0" w:line="240" w:lineRule="auto"/>
    </w:pPr>
  </w:style>
  <w:style w:type="character" w:customStyle="1" w:styleId="HeaderChar">
    <w:name w:val="Header Char"/>
    <w:link w:val="Header"/>
    <w:uiPriority w:val="99"/>
    <w:locked/>
    <w:rsid w:val="00F77EAA"/>
    <w:rPr>
      <w:rFonts w:cs="Times New Roman"/>
    </w:rPr>
  </w:style>
  <w:style w:type="paragraph" w:styleId="Footer">
    <w:name w:val="footer"/>
    <w:basedOn w:val="Normal"/>
    <w:link w:val="FooterChar"/>
    <w:uiPriority w:val="99"/>
    <w:rsid w:val="00F77EAA"/>
    <w:pPr>
      <w:tabs>
        <w:tab w:val="center" w:pos="4536"/>
        <w:tab w:val="right" w:pos="9072"/>
      </w:tabs>
      <w:spacing w:after="0" w:line="240" w:lineRule="auto"/>
    </w:pPr>
  </w:style>
  <w:style w:type="character" w:customStyle="1" w:styleId="FooterChar">
    <w:name w:val="Footer Char"/>
    <w:link w:val="Footer"/>
    <w:uiPriority w:val="99"/>
    <w:locked/>
    <w:rsid w:val="00F77EAA"/>
    <w:rPr>
      <w:rFonts w:cs="Times New Roman"/>
    </w:rPr>
  </w:style>
  <w:style w:type="character" w:styleId="Hyperlink">
    <w:name w:val="Hyperlink"/>
    <w:uiPriority w:val="99"/>
    <w:rsid w:val="00F77EAA"/>
    <w:rPr>
      <w:rFonts w:cs="Times New Roman"/>
      <w:color w:val="0563C1"/>
      <w:u w:val="single"/>
    </w:rPr>
  </w:style>
  <w:style w:type="character" w:styleId="IntenseEmphasis">
    <w:name w:val="Intense Emphasis"/>
    <w:uiPriority w:val="99"/>
    <w:qFormat/>
    <w:rsid w:val="00F77EAA"/>
    <w:rPr>
      <w:rFonts w:cs="Times New Roman"/>
      <w:i/>
      <w:iCs/>
      <w:color w:val="ED7D31"/>
    </w:rPr>
  </w:style>
  <w:style w:type="table" w:styleId="LightList-Accent3">
    <w:name w:val="Light List Accent 3"/>
    <w:basedOn w:val="TableNormal"/>
    <w:uiPriority w:val="99"/>
    <w:semiHidden/>
    <w:rsid w:val="00F77EAA"/>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A5A5A5"/>
      </w:tcPr>
    </w:tblStylePr>
    <w:tblStylePr w:type="lastRow">
      <w:pPr>
        <w:spacing w:before="0" w:after="0"/>
      </w:pPr>
      <w:rPr>
        <w:rFonts w:cs="Times New Roman"/>
        <w:b/>
        <w:bCs/>
      </w:rPr>
      <w:tblPr/>
      <w:tcPr>
        <w:tcBorders>
          <w:top w:val="double" w:sz="6" w:space="0" w:color="A5A5A5"/>
          <w:left w:val="single" w:sz="8" w:space="0" w:color="A5A5A5"/>
          <w:bottom w:val="single" w:sz="8" w:space="0" w:color="A5A5A5"/>
          <w:right w:val="single" w:sz="8"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tcBorders>
      </w:tcPr>
    </w:tblStylePr>
  </w:style>
  <w:style w:type="paragraph" w:styleId="Subtitle">
    <w:name w:val="Subtitle"/>
    <w:basedOn w:val="Normal"/>
    <w:next w:val="Normal"/>
    <w:link w:val="SubtitleChar"/>
    <w:uiPriority w:val="99"/>
    <w:qFormat/>
    <w:rsid w:val="00C85B1D"/>
    <w:pPr>
      <w:spacing w:after="60" w:line="276" w:lineRule="auto"/>
      <w:outlineLvl w:val="1"/>
    </w:pPr>
    <w:rPr>
      <w:rFonts w:eastAsia="Times New Roman"/>
      <w:color w:val="ED7D31"/>
      <w:sz w:val="28"/>
      <w:szCs w:val="24"/>
      <w:lang w:val="en-US"/>
    </w:rPr>
  </w:style>
  <w:style w:type="character" w:customStyle="1" w:styleId="SubtitleChar">
    <w:name w:val="Subtitle Char"/>
    <w:link w:val="Subtitle"/>
    <w:uiPriority w:val="99"/>
    <w:locked/>
    <w:rsid w:val="00C85B1D"/>
    <w:rPr>
      <w:rFonts w:eastAsia="Times New Roman" w:cs="Times New Roman"/>
      <w:color w:val="ED7D31"/>
      <w:sz w:val="24"/>
      <w:szCs w:val="24"/>
      <w:lang w:val="en-US"/>
    </w:rPr>
  </w:style>
  <w:style w:type="paragraph" w:styleId="NoSpacing">
    <w:name w:val="No Spacing"/>
    <w:aliases w:val="text"/>
    <w:uiPriority w:val="99"/>
    <w:qFormat/>
    <w:rsid w:val="00C85B1D"/>
    <w:rPr>
      <w:rFonts w:ascii="Times" w:hAnsi="Times"/>
      <w:sz w:val="24"/>
      <w:szCs w:val="22"/>
      <w:lang w:val="en-US" w:eastAsia="en-US"/>
    </w:rPr>
  </w:style>
  <w:style w:type="paragraph" w:styleId="ListParagraph">
    <w:name w:val="List Paragraph"/>
    <w:basedOn w:val="Normal"/>
    <w:uiPriority w:val="34"/>
    <w:qFormat/>
    <w:rsid w:val="00FD3181"/>
    <w:pPr>
      <w:ind w:left="720"/>
      <w:contextualSpacing/>
    </w:pPr>
  </w:style>
  <w:style w:type="paragraph" w:styleId="FootnoteText">
    <w:name w:val="footnote text"/>
    <w:basedOn w:val="Normal"/>
    <w:link w:val="FootnoteTextChar"/>
    <w:semiHidden/>
    <w:rsid w:val="00827A64"/>
    <w:rPr>
      <w:sz w:val="20"/>
      <w:szCs w:val="20"/>
    </w:rPr>
  </w:style>
  <w:style w:type="character" w:customStyle="1" w:styleId="FootnoteTextChar">
    <w:name w:val="Footnote Text Char"/>
    <w:link w:val="FootnoteText"/>
    <w:semiHidden/>
    <w:rsid w:val="0070454A"/>
    <w:rPr>
      <w:sz w:val="20"/>
      <w:szCs w:val="20"/>
      <w:lang w:val="nl-BE" w:eastAsia="en-US"/>
    </w:rPr>
  </w:style>
  <w:style w:type="character" w:styleId="FootnoteReference">
    <w:name w:val="footnote reference"/>
    <w:semiHidden/>
    <w:rsid w:val="00827A64"/>
    <w:rPr>
      <w:rFonts w:cs="Times New Roman"/>
      <w:vertAlign w:val="superscript"/>
    </w:rPr>
  </w:style>
  <w:style w:type="table" w:styleId="TableGrid">
    <w:name w:val="Table Grid"/>
    <w:basedOn w:val="TableNormal"/>
    <w:uiPriority w:val="99"/>
    <w:locked/>
    <w:rsid w:val="00A72747"/>
    <w:pPr>
      <w:spacing w:after="160" w:line="259"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4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F47"/>
    <w:rPr>
      <w:rFonts w:ascii="Segoe UI" w:hAnsi="Segoe UI" w:cs="Segoe UI"/>
      <w:sz w:val="18"/>
      <w:szCs w:val="18"/>
      <w:lang w:val="nl-BE" w:eastAsia="en-US"/>
    </w:rPr>
  </w:style>
  <w:style w:type="character" w:styleId="CommentReference">
    <w:name w:val="annotation reference"/>
    <w:basedOn w:val="DefaultParagraphFont"/>
    <w:uiPriority w:val="99"/>
    <w:semiHidden/>
    <w:unhideWhenUsed/>
    <w:rsid w:val="00EC38CE"/>
    <w:rPr>
      <w:sz w:val="16"/>
      <w:szCs w:val="16"/>
    </w:rPr>
  </w:style>
  <w:style w:type="paragraph" w:styleId="CommentText">
    <w:name w:val="annotation text"/>
    <w:basedOn w:val="Normal"/>
    <w:link w:val="CommentTextChar"/>
    <w:uiPriority w:val="99"/>
    <w:semiHidden/>
    <w:unhideWhenUsed/>
    <w:rsid w:val="00EC38CE"/>
    <w:pPr>
      <w:spacing w:line="240" w:lineRule="auto"/>
    </w:pPr>
    <w:rPr>
      <w:sz w:val="20"/>
      <w:szCs w:val="20"/>
    </w:rPr>
  </w:style>
  <w:style w:type="character" w:customStyle="1" w:styleId="CommentTextChar">
    <w:name w:val="Comment Text Char"/>
    <w:basedOn w:val="DefaultParagraphFont"/>
    <w:link w:val="CommentText"/>
    <w:uiPriority w:val="99"/>
    <w:semiHidden/>
    <w:rsid w:val="00EC38CE"/>
    <w:rPr>
      <w:lang w:val="nl-BE" w:eastAsia="en-US"/>
    </w:rPr>
  </w:style>
  <w:style w:type="paragraph" w:styleId="CommentSubject">
    <w:name w:val="annotation subject"/>
    <w:basedOn w:val="CommentText"/>
    <w:next w:val="CommentText"/>
    <w:link w:val="CommentSubjectChar"/>
    <w:uiPriority w:val="99"/>
    <w:semiHidden/>
    <w:unhideWhenUsed/>
    <w:rsid w:val="00641977"/>
    <w:rPr>
      <w:b/>
      <w:bCs/>
    </w:rPr>
  </w:style>
  <w:style w:type="character" w:customStyle="1" w:styleId="CommentSubjectChar">
    <w:name w:val="Comment Subject Char"/>
    <w:basedOn w:val="CommentTextChar"/>
    <w:link w:val="CommentSubject"/>
    <w:uiPriority w:val="99"/>
    <w:semiHidden/>
    <w:rsid w:val="00641977"/>
    <w:rPr>
      <w:b/>
      <w:bCs/>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14544">
      <w:bodyDiv w:val="1"/>
      <w:marLeft w:val="0"/>
      <w:marRight w:val="0"/>
      <w:marTop w:val="0"/>
      <w:marBottom w:val="0"/>
      <w:divBdr>
        <w:top w:val="none" w:sz="0" w:space="0" w:color="auto"/>
        <w:left w:val="none" w:sz="0" w:space="0" w:color="auto"/>
        <w:bottom w:val="none" w:sz="0" w:space="0" w:color="auto"/>
        <w:right w:val="none" w:sz="0" w:space="0" w:color="auto"/>
      </w:divBdr>
    </w:div>
    <w:div w:id="1338192066">
      <w:bodyDiv w:val="1"/>
      <w:marLeft w:val="0"/>
      <w:marRight w:val="0"/>
      <w:marTop w:val="0"/>
      <w:marBottom w:val="0"/>
      <w:divBdr>
        <w:top w:val="none" w:sz="0" w:space="0" w:color="auto"/>
        <w:left w:val="none" w:sz="0" w:space="0" w:color="auto"/>
        <w:bottom w:val="none" w:sz="0" w:space="0" w:color="auto"/>
        <w:right w:val="none" w:sz="0" w:space="0" w:color="auto"/>
      </w:divBdr>
    </w:div>
    <w:div w:id="1560743342">
      <w:bodyDiv w:val="1"/>
      <w:marLeft w:val="0"/>
      <w:marRight w:val="0"/>
      <w:marTop w:val="0"/>
      <w:marBottom w:val="0"/>
      <w:divBdr>
        <w:top w:val="none" w:sz="0" w:space="0" w:color="auto"/>
        <w:left w:val="none" w:sz="0" w:space="0" w:color="auto"/>
        <w:bottom w:val="none" w:sz="0" w:space="0" w:color="auto"/>
        <w:right w:val="none" w:sz="0" w:space="0" w:color="auto"/>
      </w:divBdr>
    </w:div>
    <w:div w:id="1923102132">
      <w:marLeft w:val="0"/>
      <w:marRight w:val="0"/>
      <w:marTop w:val="0"/>
      <w:marBottom w:val="0"/>
      <w:divBdr>
        <w:top w:val="none" w:sz="0" w:space="0" w:color="auto"/>
        <w:left w:val="none" w:sz="0" w:space="0" w:color="auto"/>
        <w:bottom w:val="none" w:sz="0" w:space="0" w:color="auto"/>
        <w:right w:val="none" w:sz="0" w:space="0" w:color="auto"/>
      </w:divBdr>
      <w:divsChild>
        <w:div w:id="1923102130">
          <w:marLeft w:val="0"/>
          <w:marRight w:val="0"/>
          <w:marTop w:val="0"/>
          <w:marBottom w:val="0"/>
          <w:divBdr>
            <w:top w:val="none" w:sz="0" w:space="0" w:color="auto"/>
            <w:left w:val="none" w:sz="0" w:space="0" w:color="auto"/>
            <w:bottom w:val="none" w:sz="0" w:space="0" w:color="auto"/>
            <w:right w:val="none" w:sz="0" w:space="0" w:color="auto"/>
          </w:divBdr>
          <w:divsChild>
            <w:div w:id="1923102131">
              <w:marLeft w:val="0"/>
              <w:marRight w:val="0"/>
              <w:marTop w:val="0"/>
              <w:marBottom w:val="0"/>
              <w:divBdr>
                <w:top w:val="none" w:sz="0" w:space="0" w:color="auto"/>
                <w:left w:val="none" w:sz="0" w:space="0" w:color="auto"/>
                <w:bottom w:val="none" w:sz="0" w:space="0" w:color="auto"/>
                <w:right w:val="none" w:sz="0" w:space="0" w:color="auto"/>
              </w:divBdr>
            </w:div>
            <w:div w:id="19231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FileID xmlns="8b76e640-9ff4-4d3b-a80d-ae743ace85eb">34</ReferenceFileID>
    <ReviewURL xmlns="8b76e640-9ff4-4d3b-a80d-ae743ace85eb">
      <Url xsi:nil="true"/>
      <Description xsi:nil="true"/>
    </ReviewURL>
    <DocSource xmlns="8b76e640-9ff4-4d3b-a80d-ae743ace85eb">Internal</DocSource>
    <DocType xmlns="8b76e640-9ff4-4d3b-a80d-ae743ace85eb" xsi:nil="true"/>
    <OriginalDocUrl xmlns="8b76e640-9ff4-4d3b-a80d-ae743ace85eb">
      <Url xsi:nil="true"/>
      <Description xsi:nil="true"/>
    </OriginalDocUrl>
    <DocSnippet xmlns="8b76e640-9ff4-4d3b-a80d-ae743ace85eb">Public Document</DocSnippet>
    <ReferenceVersion xmlns="8b76e640-9ff4-4d3b-a80d-ae743ace85eb">A</ReferenceVersion>
    <DocRef xmlns="8b76e640-9ff4-4d3b-a80d-ae743ace85eb">EBF_009935</DocRef>
  </documentManagement>
</p:properties>
</file>

<file path=customXml/item2.xml><?xml version="1.0" encoding="utf-8"?>
<ct:contentTypeSchema xmlns:ct="http://schemas.microsoft.com/office/2006/metadata/contentType" xmlns:ma="http://schemas.microsoft.com/office/2006/metadata/properties/metaAttributes" ct:_="" ma:_="" ma:contentTypeName="EBF Document" ma:contentTypeID="0x0101004BE274EDB6DB4922B212C2A6A2929FFF004DD569F5D0557A4482AD8ED755B344F9" ma:contentTypeVersion="13" ma:contentTypeDescription="Create a new document." ma:contentTypeScope="" ma:versionID="95ac098bd477f893e58d782f0cdfe230">
  <xsd:schema xmlns:xsd="http://www.w3.org/2001/XMLSchema" xmlns:xs="http://www.w3.org/2001/XMLSchema" xmlns:p="http://schemas.microsoft.com/office/2006/metadata/properties" xmlns:ns2="8b76e640-9ff4-4d3b-a80d-ae743ace85eb" targetNamespace="http://schemas.microsoft.com/office/2006/metadata/properties" ma:root="true" ma:fieldsID="2aca80c004ec2097f8216d5df938d159" ns2:_="">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2:ReferenceVersion" minOccurs="0"/>
                <xsd:element ref="ns2:Reference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internalName="DocSnippet" ma:readOnly="false">
      <xsd:simpleType>
        <xsd:restriction base="dms:Choice">
          <xsd:enumeration value="Agenda"/>
          <xsd:enumeration value="C-Letter"/>
          <xsd:enumeration value="Chief Executive Letter"/>
          <xsd:enumeration value="Coms Doc"/>
          <xsd:enumeration value="Excochair Letter"/>
          <xsd:enumeration value="Fax"/>
          <xsd:enumeration value="Letter President"/>
          <xsd:enumeration value="Master Document"/>
          <xsd:enumeration value="Memo"/>
          <xsd:enumeration value="Minutes"/>
          <xsd:enumeration value="Non C-Letter"/>
          <xsd:enumeration value="Press Release"/>
          <xsd:enumeration value="Public Document"/>
          <xsd:enumeration value="Statement"/>
          <xsd:enumeration value="TWG Template"/>
        </xsd:restriction>
      </xsd:simpleType>
    </xsd:element>
    <xsd:element name="ReferenceVersion" ma:index="14" nillable="true" ma:displayName="Reference Version" ma:internalName="ReferenceVersion" ma:readOnly="false">
      <xsd:simpleType>
        <xsd:restriction base="dms:Text"/>
      </xsd:simpleType>
    </xsd:element>
    <xsd:element name="ReferenceFileID" ma:index="15"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24E69-FD6C-4DC5-8566-075652669B16}">
  <ds:schemaRefs>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 ds:uri="8b76e640-9ff4-4d3b-a80d-ae743ace85eb"/>
  </ds:schemaRefs>
</ds:datastoreItem>
</file>

<file path=customXml/itemProps2.xml><?xml version="1.0" encoding="utf-8"?>
<ds:datastoreItem xmlns:ds="http://schemas.openxmlformats.org/officeDocument/2006/customXml" ds:itemID="{AAB341D5-3E6C-4FA7-978A-C4696BC1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6e640-9ff4-4d3b-a80d-ae743ace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AD66A-25F8-443C-9DAE-224E235942B8}">
  <ds:schemaRefs>
    <ds:schemaRef ds:uri="http://schemas.microsoft.com/sharepoint/v3/contenttype/forms"/>
  </ds:schemaRefs>
</ds:datastoreItem>
</file>

<file path=customXml/itemProps4.xml><?xml version="1.0" encoding="utf-8"?>
<ds:datastoreItem xmlns:ds="http://schemas.openxmlformats.org/officeDocument/2006/customXml" ds:itemID="{4BCC0050-A738-45CA-8BCD-35E8BD61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5192</Words>
  <Characters>29597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Ref</vt:lpstr>
    </vt:vector>
  </TitlesOfParts>
  <Company>EBF</Company>
  <LinksUpToDate>false</LinksUpToDate>
  <CharactersWithSpaces>34720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itadmin</dc:creator>
  <cp:lastModifiedBy>Belen Aparicio</cp:lastModifiedBy>
  <cp:revision>2</cp:revision>
  <cp:lastPrinted>2014-08-18T08:20:00Z</cp:lastPrinted>
  <dcterms:created xsi:type="dcterms:W3CDTF">2014-08-18T08:34:00Z</dcterms:created>
  <dcterms:modified xsi:type="dcterms:W3CDTF">2014-08-18T08:34:00Z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0x0101004BE274EDB6DB4922B212C2A6A2929FFF004DD569F5D0557A4482AD8ED755B344F9</vt:lpwstr>
  </property>
  <property fmtid="{D5CDD505-2E9C-101B-9397-08002B2CF9AE}" pid="3" name="ReferenceFileID">
    <vt:lpwstr/>
  </property>
  <property fmtid="{D5CDD505-2E9C-101B-9397-08002B2CF9AE}" pid="4" name="DocRef">
    <vt:lpwstr>EBF_008877</vt:lpwstr>
  </property>
  <property fmtid="{D5CDD505-2E9C-101B-9397-08002B2CF9AE}" pid="5" name="DocSnippet">
    <vt:lpwstr>Public Document</vt:lpwstr>
  </property>
  <property fmtid="{D5CDD505-2E9C-101B-9397-08002B2CF9AE}" pid="6" name="ReferenceVersion">
    <vt:lpwstr/>
  </property>
  <property fmtid="{D5CDD505-2E9C-101B-9397-08002B2CF9AE}" pid="7" name="DocSource">
    <vt:lpwstr>Internal</vt:lpwstr>
  </property>
  <property fmtid="{D5CDD505-2E9C-101B-9397-08002B2CF9AE}" pid="8" name="ReviewURL">
    <vt:lpwstr/>
  </property>
  <property fmtid="{D5CDD505-2E9C-101B-9397-08002B2CF9AE}" pid="9" name="DocType">
    <vt:lpwstr/>
  </property>
  <property fmtid="{D5CDD505-2E9C-101B-9397-08002B2CF9AE}" pid="10" name="OriginalDocUrl">
    <vt:lpwstr/>
  </property>
</Properties>
</file>