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5E" w:rsidRDefault="00BF755E" w:rsidP="00C5191F">
      <w:pPr>
        <w:pStyle w:val="Default"/>
        <w:spacing w:before="120" w:after="91" w:line="360" w:lineRule="auto"/>
        <w:jc w:val="both"/>
        <w:rPr>
          <w:rFonts w:ascii="Eurostile" w:eastAsia="Arial Unicode MS" w:hAnsi="Eurostile" w:cs="Courier New"/>
          <w:color w:val="auto"/>
          <w:sz w:val="22"/>
          <w:szCs w:val="22"/>
        </w:rPr>
      </w:pPr>
    </w:p>
    <w:p w:rsidR="00523B00" w:rsidRPr="00B0123B" w:rsidRDefault="00523B00" w:rsidP="00C5191F">
      <w:pPr>
        <w:pStyle w:val="Default"/>
        <w:spacing w:before="120" w:after="91" w:line="360" w:lineRule="auto"/>
        <w:jc w:val="both"/>
        <w:rPr>
          <w:rFonts w:ascii="Arial" w:eastAsia="Arial Unicode MS" w:hAnsi="Arial" w:cs="Arial"/>
          <w:color w:val="auto"/>
          <w:sz w:val="22"/>
          <w:szCs w:val="22"/>
        </w:rPr>
      </w:pPr>
      <w:r w:rsidRPr="00B0123B">
        <w:rPr>
          <w:rFonts w:ascii="Arial" w:eastAsia="Arial Unicode MS" w:hAnsi="Arial" w:cs="Arial"/>
          <w:color w:val="auto"/>
          <w:sz w:val="22"/>
          <w:szCs w:val="22"/>
        </w:rPr>
        <w:t xml:space="preserve">Deutsche </w:t>
      </w:r>
      <w:proofErr w:type="spellStart"/>
      <w:r w:rsidRPr="00B0123B">
        <w:rPr>
          <w:rFonts w:ascii="Arial" w:eastAsia="Arial Unicode MS" w:hAnsi="Arial" w:cs="Arial"/>
          <w:color w:val="auto"/>
          <w:sz w:val="22"/>
          <w:szCs w:val="22"/>
        </w:rPr>
        <w:t>Börse</w:t>
      </w:r>
      <w:proofErr w:type="spellEnd"/>
      <w:r w:rsidRPr="00B0123B">
        <w:rPr>
          <w:rFonts w:ascii="Arial" w:eastAsia="Arial Unicode MS" w:hAnsi="Arial" w:cs="Arial"/>
          <w:color w:val="auto"/>
          <w:sz w:val="22"/>
          <w:szCs w:val="22"/>
        </w:rPr>
        <w:t xml:space="preserve"> Group (DBG) welcomes the opportunity to comment on </w:t>
      </w:r>
      <w:r w:rsidR="003D1706" w:rsidRPr="00B0123B">
        <w:rPr>
          <w:rFonts w:ascii="Arial" w:eastAsia="Arial Unicode MS" w:hAnsi="Arial" w:cs="Arial"/>
          <w:color w:val="auto"/>
          <w:sz w:val="22"/>
          <w:szCs w:val="22"/>
        </w:rPr>
        <w:t xml:space="preserve">EBA’s </w:t>
      </w:r>
      <w:r w:rsidR="00C5191F" w:rsidRPr="00B0123B">
        <w:rPr>
          <w:rFonts w:ascii="Arial" w:eastAsia="Arial Unicode MS" w:hAnsi="Arial" w:cs="Arial"/>
          <w:color w:val="auto"/>
          <w:sz w:val="22"/>
          <w:szCs w:val="22"/>
        </w:rPr>
        <w:t xml:space="preserve">consultation </w:t>
      </w:r>
      <w:r w:rsidR="00AC49D4">
        <w:rPr>
          <w:rFonts w:ascii="Arial" w:eastAsia="Arial Unicode MS" w:hAnsi="Arial" w:cs="Arial"/>
          <w:color w:val="auto"/>
          <w:sz w:val="22"/>
          <w:szCs w:val="22"/>
        </w:rPr>
        <w:br/>
      </w:r>
      <w:r w:rsidR="00C5191F" w:rsidRPr="00B0123B">
        <w:rPr>
          <w:rFonts w:ascii="Arial" w:eastAsia="Arial Unicode MS" w:hAnsi="Arial" w:cs="Arial"/>
          <w:color w:val="auto"/>
          <w:sz w:val="22"/>
          <w:szCs w:val="22"/>
        </w:rPr>
        <w:t>pape</w:t>
      </w:r>
      <w:r w:rsidR="003D1706" w:rsidRPr="00B0123B">
        <w:rPr>
          <w:rFonts w:ascii="Arial" w:eastAsia="Arial Unicode MS" w:hAnsi="Arial" w:cs="Arial"/>
          <w:color w:val="auto"/>
          <w:sz w:val="22"/>
          <w:szCs w:val="22"/>
        </w:rPr>
        <w:t>r “</w:t>
      </w:r>
      <w:r w:rsidR="00515393" w:rsidRPr="00B0123B">
        <w:rPr>
          <w:rFonts w:ascii="Arial" w:eastAsia="Arial Unicode MS" w:hAnsi="Arial" w:cs="Arial"/>
          <w:color w:val="auto"/>
          <w:sz w:val="22"/>
          <w:szCs w:val="22"/>
        </w:rPr>
        <w:t xml:space="preserve">On the draft regulatory technical standards on disclosure of information in relation to the compliance of institutions with the requirement for a countercyclical capital buffer under Article 440 of Regulation (EU) No 575/2013 (Capital Requirements Regulation – CRR) </w:t>
      </w:r>
      <w:r w:rsidR="00F1345F">
        <w:rPr>
          <w:rFonts w:ascii="Arial" w:eastAsia="Arial Unicode MS" w:hAnsi="Arial" w:cs="Arial"/>
          <w:color w:val="auto"/>
          <w:sz w:val="22"/>
          <w:szCs w:val="22"/>
        </w:rPr>
        <w:br/>
      </w:r>
      <w:r w:rsidR="00515393" w:rsidRPr="00B0123B">
        <w:rPr>
          <w:rFonts w:ascii="Arial" w:eastAsia="Arial Unicode MS" w:hAnsi="Arial" w:cs="Arial"/>
          <w:color w:val="auto"/>
          <w:sz w:val="22"/>
          <w:szCs w:val="22"/>
        </w:rPr>
        <w:t xml:space="preserve">- EBA/CP/2014/11 </w:t>
      </w:r>
      <w:r w:rsidR="003D1706" w:rsidRPr="00B0123B">
        <w:rPr>
          <w:rFonts w:ascii="Arial" w:eastAsia="Arial Unicode MS" w:hAnsi="Arial" w:cs="Arial"/>
          <w:color w:val="auto"/>
          <w:sz w:val="22"/>
          <w:szCs w:val="22"/>
        </w:rPr>
        <w:t xml:space="preserve">- issued on </w:t>
      </w:r>
      <w:r w:rsidR="00515393" w:rsidRPr="00B0123B">
        <w:rPr>
          <w:rFonts w:ascii="Arial" w:eastAsia="Arial Unicode MS" w:hAnsi="Arial" w:cs="Arial"/>
          <w:color w:val="auto"/>
          <w:sz w:val="22"/>
          <w:szCs w:val="22"/>
        </w:rPr>
        <w:t>27</w:t>
      </w:r>
      <w:r w:rsidR="00D23BE7" w:rsidRPr="00B0123B">
        <w:rPr>
          <w:rFonts w:ascii="Arial" w:eastAsia="Arial Unicode MS" w:hAnsi="Arial" w:cs="Arial"/>
          <w:color w:val="auto"/>
          <w:sz w:val="22"/>
          <w:szCs w:val="22"/>
        </w:rPr>
        <w:t xml:space="preserve"> </w:t>
      </w:r>
      <w:r w:rsidR="00C5191F" w:rsidRPr="00B0123B">
        <w:rPr>
          <w:rFonts w:ascii="Arial" w:eastAsia="Arial Unicode MS" w:hAnsi="Arial" w:cs="Arial"/>
          <w:color w:val="auto"/>
          <w:sz w:val="22"/>
          <w:szCs w:val="22"/>
        </w:rPr>
        <w:t>June</w:t>
      </w:r>
      <w:r w:rsidR="00B003C6" w:rsidRPr="00B0123B">
        <w:rPr>
          <w:rFonts w:ascii="Arial" w:eastAsia="Arial Unicode MS" w:hAnsi="Arial" w:cs="Arial"/>
          <w:color w:val="auto"/>
          <w:sz w:val="22"/>
          <w:szCs w:val="22"/>
        </w:rPr>
        <w:t xml:space="preserve"> 2014</w:t>
      </w:r>
      <w:r w:rsidRPr="00B0123B">
        <w:rPr>
          <w:rFonts w:ascii="Arial" w:eastAsia="Arial Unicode MS" w:hAnsi="Arial" w:cs="Arial"/>
          <w:color w:val="auto"/>
          <w:sz w:val="22"/>
          <w:szCs w:val="22"/>
        </w:rPr>
        <w:t>.</w:t>
      </w:r>
    </w:p>
    <w:p w:rsidR="00523B00" w:rsidRPr="00B0123B" w:rsidRDefault="00523B00" w:rsidP="004E00AD">
      <w:pPr>
        <w:pStyle w:val="Default"/>
        <w:spacing w:before="120" w:after="91" w:line="360" w:lineRule="auto"/>
        <w:jc w:val="both"/>
        <w:rPr>
          <w:rFonts w:ascii="Arial" w:eastAsia="Arial Unicode MS" w:hAnsi="Arial" w:cs="Arial"/>
          <w:color w:val="auto"/>
          <w:sz w:val="22"/>
          <w:szCs w:val="22"/>
        </w:rPr>
      </w:pPr>
      <w:r w:rsidRPr="00B0123B">
        <w:rPr>
          <w:rFonts w:ascii="Arial" w:eastAsia="Arial Unicode MS" w:hAnsi="Arial" w:cs="Arial"/>
          <w:color w:val="auto"/>
          <w:sz w:val="22"/>
          <w:szCs w:val="22"/>
        </w:rPr>
        <w:t>DBG is operating in the area of financial markets along the complete chain of trading, clearing, settlement and custody for securities, derivatives and other financial instruments and as such mainly active with regulated Financial Market Infrastructure providers.</w:t>
      </w:r>
    </w:p>
    <w:p w:rsidR="003915F2" w:rsidRPr="00B0123B" w:rsidRDefault="00523B00" w:rsidP="0037045A">
      <w:pPr>
        <w:pStyle w:val="Default"/>
        <w:spacing w:before="120" w:after="91" w:line="360" w:lineRule="auto"/>
        <w:jc w:val="both"/>
        <w:rPr>
          <w:rFonts w:ascii="Arial" w:eastAsia="Arial Unicode MS" w:hAnsi="Arial" w:cs="Arial"/>
          <w:color w:val="auto"/>
          <w:sz w:val="22"/>
          <w:szCs w:val="22"/>
        </w:rPr>
      </w:pPr>
      <w:r w:rsidRPr="00B0123B">
        <w:rPr>
          <w:rFonts w:ascii="Arial" w:eastAsia="Arial Unicode MS" w:hAnsi="Arial" w:cs="Arial"/>
          <w:color w:val="auto"/>
          <w:sz w:val="22"/>
          <w:szCs w:val="22"/>
        </w:rPr>
        <w:t xml:space="preserve">Among others, </w:t>
      </w:r>
      <w:proofErr w:type="spellStart"/>
      <w:r w:rsidRPr="00B0123B">
        <w:rPr>
          <w:rFonts w:ascii="Arial" w:eastAsia="Arial Unicode MS" w:hAnsi="Arial" w:cs="Arial"/>
          <w:color w:val="auto"/>
          <w:sz w:val="22"/>
          <w:szCs w:val="22"/>
        </w:rPr>
        <w:t>Clearstream</w:t>
      </w:r>
      <w:proofErr w:type="spellEnd"/>
      <w:r w:rsidRPr="00B0123B">
        <w:rPr>
          <w:rFonts w:ascii="Arial" w:eastAsia="Arial Unicode MS" w:hAnsi="Arial" w:cs="Arial"/>
          <w:color w:val="auto"/>
          <w:sz w:val="22"/>
          <w:szCs w:val="22"/>
        </w:rPr>
        <w:t xml:space="preserve"> Banking S.A., Luxembourg (CBL) and </w:t>
      </w:r>
      <w:proofErr w:type="spellStart"/>
      <w:r w:rsidRPr="00B0123B">
        <w:rPr>
          <w:rFonts w:ascii="Arial" w:eastAsia="Arial Unicode MS" w:hAnsi="Arial" w:cs="Arial"/>
          <w:color w:val="auto"/>
          <w:sz w:val="22"/>
          <w:szCs w:val="22"/>
        </w:rPr>
        <w:t>Clearstream</w:t>
      </w:r>
      <w:proofErr w:type="spellEnd"/>
      <w:r w:rsidRPr="00B0123B">
        <w:rPr>
          <w:rFonts w:ascii="Arial" w:eastAsia="Arial Unicode MS" w:hAnsi="Arial" w:cs="Arial"/>
          <w:color w:val="auto"/>
          <w:sz w:val="22"/>
          <w:szCs w:val="22"/>
        </w:rPr>
        <w:t xml:space="preserve"> Banking AG, Frankfurt/Main (CBF), who act as (I)CSD</w:t>
      </w:r>
      <w:r w:rsidRPr="00B0123B">
        <w:rPr>
          <w:rFonts w:ascii="Arial" w:eastAsia="Arial Unicode MS" w:hAnsi="Arial" w:cs="Arial"/>
          <w:sz w:val="22"/>
          <w:szCs w:val="22"/>
          <w:vertAlign w:val="superscript"/>
        </w:rPr>
        <w:footnoteReference w:id="1"/>
      </w:r>
      <w:r w:rsidRPr="00B0123B">
        <w:rPr>
          <w:rFonts w:ascii="Arial" w:eastAsia="Arial Unicode MS" w:hAnsi="Arial" w:cs="Arial"/>
          <w:color w:val="auto"/>
          <w:sz w:val="22"/>
          <w:szCs w:val="22"/>
        </w:rPr>
        <w:t xml:space="preserve"> as well as </w:t>
      </w:r>
      <w:proofErr w:type="spellStart"/>
      <w:r w:rsidRPr="00B0123B">
        <w:rPr>
          <w:rFonts w:ascii="Arial" w:eastAsia="Arial Unicode MS" w:hAnsi="Arial" w:cs="Arial"/>
          <w:color w:val="auto"/>
          <w:sz w:val="22"/>
          <w:szCs w:val="22"/>
        </w:rPr>
        <w:t>Eurex</w:t>
      </w:r>
      <w:proofErr w:type="spellEnd"/>
      <w:r w:rsidRPr="00B0123B">
        <w:rPr>
          <w:rFonts w:ascii="Arial" w:eastAsia="Arial Unicode MS" w:hAnsi="Arial" w:cs="Arial"/>
          <w:color w:val="auto"/>
          <w:sz w:val="22"/>
          <w:szCs w:val="22"/>
        </w:rPr>
        <w:t xml:space="preserve"> Clearing AG</w:t>
      </w:r>
      <w:r w:rsidR="005753A8" w:rsidRPr="00B0123B">
        <w:rPr>
          <w:rFonts w:ascii="Arial" w:eastAsia="Arial Unicode MS" w:hAnsi="Arial" w:cs="Arial"/>
          <w:color w:val="auto"/>
          <w:sz w:val="22"/>
          <w:szCs w:val="22"/>
        </w:rPr>
        <w:t xml:space="preserve">, Frankfurt/Main (ECAG) </w:t>
      </w:r>
      <w:r w:rsidRPr="00B0123B">
        <w:rPr>
          <w:rFonts w:ascii="Arial" w:eastAsia="Arial Unicode MS" w:hAnsi="Arial" w:cs="Arial"/>
          <w:color w:val="auto"/>
          <w:sz w:val="22"/>
          <w:szCs w:val="22"/>
        </w:rPr>
        <w:t>as the leading European Central Counterparty (CCP),</w:t>
      </w:r>
      <w:r w:rsidR="00464DB4" w:rsidRPr="00B0123B">
        <w:rPr>
          <w:rFonts w:ascii="Arial" w:eastAsia="Arial Unicode MS" w:hAnsi="Arial" w:cs="Arial"/>
          <w:color w:val="auto"/>
          <w:sz w:val="22"/>
          <w:szCs w:val="22"/>
        </w:rPr>
        <w:t xml:space="preserve"> </w:t>
      </w:r>
      <w:r w:rsidRPr="00B0123B">
        <w:rPr>
          <w:rFonts w:ascii="Arial" w:eastAsia="Arial Unicode MS" w:hAnsi="Arial" w:cs="Arial"/>
          <w:color w:val="auto"/>
          <w:sz w:val="22"/>
          <w:szCs w:val="22"/>
        </w:rPr>
        <w:t xml:space="preserve">are classified as </w:t>
      </w:r>
      <w:r w:rsidRPr="00B0123B">
        <w:rPr>
          <w:rFonts w:ascii="Arial" w:eastAsia="Arial Unicode MS" w:hAnsi="Arial" w:cs="Arial"/>
          <w:color w:val="auto"/>
          <w:sz w:val="22"/>
          <w:szCs w:val="22"/>
          <w:u w:val="single"/>
        </w:rPr>
        <w:t>credit institutions</w:t>
      </w:r>
      <w:r w:rsidRPr="00B0123B">
        <w:rPr>
          <w:rFonts w:ascii="Arial" w:eastAsia="Arial Unicode MS" w:hAnsi="Arial" w:cs="Arial"/>
          <w:color w:val="auto"/>
          <w:sz w:val="22"/>
          <w:szCs w:val="22"/>
        </w:rPr>
        <w:t xml:space="preserve"> and are therefore within the scope of the European Capital Requirements Directive (CRD) and Capita</w:t>
      </w:r>
      <w:r w:rsidR="003712F9" w:rsidRPr="00B0123B">
        <w:rPr>
          <w:rFonts w:ascii="Arial" w:eastAsia="Arial Unicode MS" w:hAnsi="Arial" w:cs="Arial"/>
          <w:color w:val="auto"/>
          <w:sz w:val="22"/>
          <w:szCs w:val="22"/>
        </w:rPr>
        <w:t>l Requirements Regulation (CRR)</w:t>
      </w:r>
      <w:r w:rsidR="006E3D63" w:rsidRPr="00B0123B">
        <w:rPr>
          <w:rFonts w:ascii="Arial" w:eastAsia="Arial Unicode MS" w:hAnsi="Arial" w:cs="Arial"/>
          <w:color w:val="auto"/>
          <w:sz w:val="22"/>
          <w:szCs w:val="22"/>
        </w:rPr>
        <w:t xml:space="preserve">. </w:t>
      </w:r>
      <w:r w:rsidR="00AC49D4">
        <w:rPr>
          <w:rFonts w:ascii="Arial" w:eastAsia="Arial Unicode MS" w:hAnsi="Arial" w:cs="Arial"/>
          <w:color w:val="auto"/>
          <w:sz w:val="22"/>
          <w:szCs w:val="22"/>
        </w:rPr>
        <w:t xml:space="preserve">The </w:t>
      </w:r>
      <w:proofErr w:type="spellStart"/>
      <w:r w:rsidRPr="00B0123B">
        <w:rPr>
          <w:rFonts w:ascii="Arial" w:eastAsia="Arial Unicode MS" w:hAnsi="Arial" w:cs="Arial"/>
          <w:color w:val="auto"/>
          <w:sz w:val="22"/>
          <w:szCs w:val="22"/>
        </w:rPr>
        <w:t>Clearstream</w:t>
      </w:r>
      <w:proofErr w:type="spellEnd"/>
      <w:r w:rsidRPr="00B0123B">
        <w:rPr>
          <w:rFonts w:ascii="Arial" w:eastAsia="Arial Unicode MS" w:hAnsi="Arial" w:cs="Arial"/>
          <w:color w:val="auto"/>
          <w:sz w:val="22"/>
          <w:szCs w:val="22"/>
        </w:rPr>
        <w:t xml:space="preserve"> subgroup is supervised on a consolidated level as a financial holding group.</w:t>
      </w:r>
      <w:r w:rsidR="00582895" w:rsidRPr="00B0123B">
        <w:rPr>
          <w:rFonts w:ascii="Arial" w:eastAsia="Arial Unicode MS" w:hAnsi="Arial" w:cs="Arial"/>
          <w:color w:val="auto"/>
          <w:sz w:val="22"/>
          <w:szCs w:val="22"/>
        </w:rPr>
        <w:t xml:space="preserve"> </w:t>
      </w:r>
      <w:r w:rsidR="003915F2" w:rsidRPr="00B0123B">
        <w:rPr>
          <w:rFonts w:ascii="Arial" w:eastAsia="Arial Unicode MS" w:hAnsi="Arial" w:cs="Arial"/>
          <w:color w:val="auto"/>
          <w:sz w:val="22"/>
          <w:szCs w:val="22"/>
        </w:rPr>
        <w:t>We are obl</w:t>
      </w:r>
      <w:r w:rsidR="00795C17" w:rsidRPr="00B0123B">
        <w:rPr>
          <w:rFonts w:ascii="Arial" w:eastAsia="Arial Unicode MS" w:hAnsi="Arial" w:cs="Arial"/>
          <w:color w:val="auto"/>
          <w:sz w:val="22"/>
          <w:szCs w:val="22"/>
        </w:rPr>
        <w:t>iged to report on German-GAAP</w:t>
      </w:r>
      <w:r w:rsidR="003915F2" w:rsidRPr="00B0123B">
        <w:rPr>
          <w:rFonts w:ascii="Arial" w:eastAsia="Arial Unicode MS" w:hAnsi="Arial" w:cs="Arial"/>
          <w:color w:val="auto"/>
          <w:sz w:val="22"/>
          <w:szCs w:val="22"/>
        </w:rPr>
        <w:t xml:space="preserve"> as well as on IFRS for di</w:t>
      </w:r>
      <w:r w:rsidR="003915F2" w:rsidRPr="00B0123B">
        <w:rPr>
          <w:rFonts w:ascii="Arial" w:eastAsia="Arial Unicode MS" w:hAnsi="Arial" w:cs="Arial"/>
          <w:color w:val="auto"/>
          <w:sz w:val="22"/>
          <w:szCs w:val="22"/>
        </w:rPr>
        <w:t>f</w:t>
      </w:r>
      <w:r w:rsidR="003915F2" w:rsidRPr="00B0123B">
        <w:rPr>
          <w:rFonts w:ascii="Arial" w:eastAsia="Arial Unicode MS" w:hAnsi="Arial" w:cs="Arial"/>
          <w:color w:val="auto"/>
          <w:sz w:val="22"/>
          <w:szCs w:val="22"/>
        </w:rPr>
        <w:t xml:space="preserve">ferent entities </w:t>
      </w:r>
      <w:r w:rsidR="00D83AD2" w:rsidRPr="00B0123B">
        <w:rPr>
          <w:rFonts w:ascii="Arial" w:eastAsia="Arial Unicode MS" w:hAnsi="Arial" w:cs="Arial"/>
          <w:color w:val="auto"/>
          <w:sz w:val="22"/>
          <w:szCs w:val="22"/>
        </w:rPr>
        <w:t>within</w:t>
      </w:r>
      <w:r w:rsidR="003915F2" w:rsidRPr="00B0123B">
        <w:rPr>
          <w:rFonts w:ascii="Arial" w:eastAsia="Arial Unicode MS" w:hAnsi="Arial" w:cs="Arial"/>
          <w:color w:val="auto"/>
          <w:sz w:val="22"/>
          <w:szCs w:val="22"/>
        </w:rPr>
        <w:t xml:space="preserve"> </w:t>
      </w:r>
      <w:r w:rsidR="00D83AD2" w:rsidRPr="00B0123B">
        <w:rPr>
          <w:rFonts w:ascii="Arial" w:eastAsia="Arial Unicode MS" w:hAnsi="Arial" w:cs="Arial"/>
          <w:color w:val="auto"/>
          <w:sz w:val="22"/>
          <w:szCs w:val="22"/>
        </w:rPr>
        <w:t>our group.</w:t>
      </w:r>
    </w:p>
    <w:p w:rsidR="004E1EAA" w:rsidRPr="00B0123B" w:rsidRDefault="00686DCD" w:rsidP="0037045A">
      <w:pPr>
        <w:pStyle w:val="Default"/>
        <w:spacing w:before="120" w:after="91" w:line="360" w:lineRule="auto"/>
        <w:jc w:val="both"/>
        <w:rPr>
          <w:rFonts w:ascii="Arial" w:eastAsia="Arial Unicode MS" w:hAnsi="Arial" w:cs="Arial"/>
          <w:color w:val="auto"/>
          <w:sz w:val="22"/>
          <w:szCs w:val="22"/>
        </w:rPr>
      </w:pPr>
      <w:r w:rsidRPr="00B0123B">
        <w:rPr>
          <w:rFonts w:ascii="Arial" w:eastAsia="Arial Unicode MS" w:hAnsi="Arial" w:cs="Arial"/>
          <w:color w:val="auto"/>
          <w:sz w:val="22"/>
          <w:szCs w:val="22"/>
        </w:rPr>
        <w:t>As financial market infrastructure provider our clients are mainly institutions. Moreover</w:t>
      </w:r>
      <w:r w:rsidR="00AC49D4">
        <w:rPr>
          <w:rFonts w:ascii="Arial" w:eastAsia="Arial Unicode MS" w:hAnsi="Arial" w:cs="Arial"/>
          <w:color w:val="auto"/>
          <w:sz w:val="22"/>
          <w:szCs w:val="22"/>
        </w:rPr>
        <w:t>,</w:t>
      </w:r>
      <w:r w:rsidRPr="00B0123B">
        <w:rPr>
          <w:rFonts w:ascii="Arial" w:eastAsia="Arial Unicode MS" w:hAnsi="Arial" w:cs="Arial"/>
          <w:color w:val="auto"/>
          <w:sz w:val="22"/>
          <w:szCs w:val="22"/>
        </w:rPr>
        <w:t xml:space="preserve"> due to our business model as well as our limited and own investments we nearly exclusively have </w:t>
      </w:r>
      <w:r w:rsidR="00AC49D4">
        <w:rPr>
          <w:rFonts w:ascii="Arial" w:eastAsia="Arial Unicode MS" w:hAnsi="Arial" w:cs="Arial"/>
          <w:color w:val="auto"/>
          <w:sz w:val="22"/>
          <w:szCs w:val="22"/>
        </w:rPr>
        <w:br/>
      </w:r>
      <w:r w:rsidRPr="00B0123B">
        <w:rPr>
          <w:rFonts w:ascii="Arial" w:eastAsia="Arial Unicode MS" w:hAnsi="Arial" w:cs="Arial"/>
          <w:color w:val="auto"/>
          <w:sz w:val="22"/>
          <w:szCs w:val="22"/>
        </w:rPr>
        <w:t>e</w:t>
      </w:r>
      <w:r w:rsidRPr="00B0123B">
        <w:rPr>
          <w:rFonts w:ascii="Arial" w:eastAsia="Arial Unicode MS" w:hAnsi="Arial" w:cs="Arial"/>
          <w:color w:val="auto"/>
          <w:sz w:val="22"/>
          <w:szCs w:val="22"/>
        </w:rPr>
        <w:t>x</w:t>
      </w:r>
      <w:r w:rsidRPr="00B0123B">
        <w:rPr>
          <w:rFonts w:ascii="Arial" w:eastAsia="Arial Unicode MS" w:hAnsi="Arial" w:cs="Arial"/>
          <w:color w:val="auto"/>
          <w:sz w:val="22"/>
          <w:szCs w:val="22"/>
        </w:rPr>
        <w:t>posures against institutions and governments.</w:t>
      </w:r>
    </w:p>
    <w:p w:rsidR="003915F2" w:rsidRPr="00B0123B" w:rsidRDefault="003915F2" w:rsidP="0037045A">
      <w:pPr>
        <w:pStyle w:val="Default"/>
        <w:spacing w:before="120" w:after="91" w:line="360" w:lineRule="auto"/>
        <w:jc w:val="both"/>
        <w:rPr>
          <w:rFonts w:ascii="Arial" w:eastAsia="Arial Unicode MS" w:hAnsi="Arial" w:cs="Arial"/>
          <w:color w:val="auto"/>
          <w:sz w:val="22"/>
          <w:szCs w:val="22"/>
        </w:rPr>
      </w:pPr>
    </w:p>
    <w:p w:rsidR="00BF755E" w:rsidRPr="00B0123B" w:rsidRDefault="00BF755E" w:rsidP="00BF755E">
      <w:pPr>
        <w:pStyle w:val="Default"/>
        <w:spacing w:before="120" w:after="91" w:line="360" w:lineRule="auto"/>
        <w:jc w:val="both"/>
        <w:rPr>
          <w:rFonts w:ascii="Arial" w:eastAsia="Arial Unicode MS" w:hAnsi="Arial" w:cs="Arial"/>
          <w:b/>
          <w:i/>
          <w:color w:val="auto"/>
          <w:sz w:val="22"/>
          <w:szCs w:val="22"/>
        </w:rPr>
      </w:pPr>
      <w:r w:rsidRPr="00B0123B">
        <w:rPr>
          <w:rFonts w:ascii="Arial" w:eastAsia="Arial Unicode MS" w:hAnsi="Arial" w:cs="Arial"/>
          <w:b/>
          <w:i/>
          <w:color w:val="auto"/>
          <w:sz w:val="22"/>
          <w:szCs w:val="22"/>
        </w:rPr>
        <w:t>Q01: Are the provisions included in these draft RTS sufficiently clear? Are there aspects which need to be expanded in more detail?</w:t>
      </w:r>
    </w:p>
    <w:p w:rsidR="00153F11" w:rsidRPr="00F1345F" w:rsidRDefault="00EF458E" w:rsidP="00153F11">
      <w:pPr>
        <w:pStyle w:val="Default"/>
        <w:spacing w:before="120" w:after="91" w:line="360" w:lineRule="auto"/>
        <w:jc w:val="both"/>
        <w:rPr>
          <w:rFonts w:ascii="Arial" w:eastAsia="Arial Unicode MS" w:hAnsi="Arial" w:cs="Arial"/>
          <w:color w:val="auto"/>
          <w:sz w:val="22"/>
          <w:szCs w:val="22"/>
        </w:rPr>
      </w:pPr>
      <w:r w:rsidRPr="00F1345F">
        <w:rPr>
          <w:rFonts w:ascii="Arial" w:eastAsia="Arial Unicode MS" w:hAnsi="Arial" w:cs="Arial"/>
          <w:color w:val="auto"/>
          <w:sz w:val="22"/>
          <w:szCs w:val="22"/>
        </w:rPr>
        <w:t>In general</w:t>
      </w:r>
      <w:r w:rsidR="00AC49D4" w:rsidRPr="00F1345F">
        <w:rPr>
          <w:rFonts w:ascii="Arial" w:eastAsia="Arial Unicode MS" w:hAnsi="Arial" w:cs="Arial"/>
          <w:color w:val="auto"/>
          <w:sz w:val="22"/>
          <w:szCs w:val="22"/>
        </w:rPr>
        <w:t>,</w:t>
      </w:r>
      <w:r w:rsidRPr="00F1345F">
        <w:rPr>
          <w:rFonts w:ascii="Arial" w:eastAsia="Arial Unicode MS" w:hAnsi="Arial" w:cs="Arial"/>
          <w:color w:val="auto"/>
          <w:sz w:val="22"/>
          <w:szCs w:val="22"/>
        </w:rPr>
        <w:t xml:space="preserve"> the provisions </w:t>
      </w:r>
      <w:r w:rsidR="00817EA0" w:rsidRPr="00F1345F">
        <w:rPr>
          <w:rFonts w:ascii="Arial" w:eastAsia="Arial Unicode MS" w:hAnsi="Arial" w:cs="Arial"/>
          <w:color w:val="auto"/>
          <w:sz w:val="22"/>
          <w:szCs w:val="22"/>
        </w:rPr>
        <w:t xml:space="preserve">presented in the draft RTS are clear. </w:t>
      </w:r>
      <w:r w:rsidR="00AC49D4" w:rsidRPr="00F1345F">
        <w:rPr>
          <w:rFonts w:ascii="Arial" w:eastAsia="Arial Unicode MS" w:hAnsi="Arial" w:cs="Arial"/>
          <w:color w:val="auto"/>
          <w:sz w:val="22"/>
          <w:szCs w:val="22"/>
        </w:rPr>
        <w:t xml:space="preserve">We highly welcome the </w:t>
      </w:r>
      <w:r w:rsidR="00AC49D4" w:rsidRPr="00F1345F">
        <w:rPr>
          <w:rFonts w:ascii="Arial" w:eastAsia="Arial Unicode MS" w:hAnsi="Arial" w:cs="Arial"/>
          <w:color w:val="auto"/>
          <w:sz w:val="22"/>
          <w:szCs w:val="22"/>
        </w:rPr>
        <w:br/>
      </w:r>
      <w:r w:rsidR="007546BF" w:rsidRPr="00F1345F">
        <w:rPr>
          <w:rFonts w:ascii="Arial" w:eastAsia="Arial Unicode MS" w:hAnsi="Arial" w:cs="Arial"/>
          <w:color w:val="auto"/>
          <w:sz w:val="22"/>
          <w:szCs w:val="22"/>
        </w:rPr>
        <w:t xml:space="preserve">introduced threshold for institutions with limited cross-border as well as limited trading book </w:t>
      </w:r>
      <w:r w:rsidR="00AC49D4" w:rsidRPr="00F1345F">
        <w:rPr>
          <w:rFonts w:ascii="Arial" w:eastAsia="Arial Unicode MS" w:hAnsi="Arial" w:cs="Arial"/>
          <w:color w:val="auto"/>
          <w:sz w:val="22"/>
          <w:szCs w:val="22"/>
        </w:rPr>
        <w:br/>
      </w:r>
      <w:r w:rsidR="007546BF" w:rsidRPr="00F1345F">
        <w:rPr>
          <w:rFonts w:ascii="Arial" w:eastAsia="Arial Unicode MS" w:hAnsi="Arial" w:cs="Arial"/>
          <w:color w:val="auto"/>
          <w:sz w:val="22"/>
          <w:szCs w:val="22"/>
        </w:rPr>
        <w:t xml:space="preserve">activities which will ease the operational burden for those institutions. </w:t>
      </w:r>
      <w:r w:rsidR="00817EA0" w:rsidRPr="00F1345F">
        <w:rPr>
          <w:rFonts w:ascii="Arial" w:eastAsia="Arial Unicode MS" w:hAnsi="Arial" w:cs="Arial"/>
          <w:color w:val="auto"/>
          <w:sz w:val="22"/>
          <w:szCs w:val="22"/>
        </w:rPr>
        <w:t>Nevertheless</w:t>
      </w:r>
      <w:r w:rsidR="00AC49D4" w:rsidRPr="00F1345F">
        <w:rPr>
          <w:rFonts w:ascii="Arial" w:eastAsia="Arial Unicode MS" w:hAnsi="Arial" w:cs="Arial"/>
          <w:color w:val="auto"/>
          <w:sz w:val="22"/>
          <w:szCs w:val="22"/>
        </w:rPr>
        <w:t>,</w:t>
      </w:r>
      <w:r w:rsidR="00817EA0" w:rsidRPr="00F1345F">
        <w:rPr>
          <w:rFonts w:ascii="Arial" w:eastAsia="Arial Unicode MS" w:hAnsi="Arial" w:cs="Arial"/>
          <w:color w:val="auto"/>
          <w:sz w:val="22"/>
          <w:szCs w:val="22"/>
        </w:rPr>
        <w:t xml:space="preserve"> this </w:t>
      </w:r>
      <w:r w:rsidR="00AC49D4" w:rsidRPr="00F1345F">
        <w:rPr>
          <w:rFonts w:ascii="Arial" w:eastAsia="Arial Unicode MS" w:hAnsi="Arial" w:cs="Arial"/>
          <w:color w:val="auto"/>
          <w:sz w:val="22"/>
          <w:szCs w:val="22"/>
        </w:rPr>
        <w:br/>
      </w:r>
      <w:r w:rsidR="00817EA0" w:rsidRPr="00F1345F">
        <w:rPr>
          <w:rFonts w:ascii="Arial" w:eastAsia="Arial Unicode MS" w:hAnsi="Arial" w:cs="Arial"/>
          <w:color w:val="auto"/>
          <w:sz w:val="22"/>
          <w:szCs w:val="22"/>
        </w:rPr>
        <w:t xml:space="preserve">consultation </w:t>
      </w:r>
      <w:r w:rsidR="005378EA" w:rsidRPr="00F1345F">
        <w:rPr>
          <w:rFonts w:ascii="Arial" w:eastAsia="Arial Unicode MS" w:hAnsi="Arial" w:cs="Arial"/>
          <w:color w:val="auto"/>
          <w:sz w:val="22"/>
          <w:szCs w:val="22"/>
        </w:rPr>
        <w:t>is also based or has to be read in connection with</w:t>
      </w:r>
      <w:r w:rsidR="007546BF" w:rsidRPr="00F1345F">
        <w:rPr>
          <w:rFonts w:ascii="Arial" w:eastAsia="Arial Unicode MS" w:hAnsi="Arial" w:cs="Arial"/>
          <w:color w:val="auto"/>
          <w:sz w:val="22"/>
          <w:szCs w:val="22"/>
        </w:rPr>
        <w:t xml:space="preserve"> </w:t>
      </w:r>
      <w:r w:rsidR="00817EA0" w:rsidRPr="00F1345F">
        <w:rPr>
          <w:rFonts w:ascii="Arial" w:eastAsia="Arial Unicode MS" w:hAnsi="Arial" w:cs="Arial"/>
          <w:color w:val="auto"/>
          <w:sz w:val="22"/>
          <w:szCs w:val="22"/>
        </w:rPr>
        <w:t xml:space="preserve">the final EBA/RTS/2013/15 and </w:t>
      </w:r>
      <w:r w:rsidR="005378EA" w:rsidRPr="00F1345F">
        <w:rPr>
          <w:rFonts w:ascii="Arial" w:eastAsia="Arial Unicode MS" w:hAnsi="Arial" w:cs="Arial"/>
          <w:color w:val="auto"/>
          <w:sz w:val="22"/>
          <w:szCs w:val="22"/>
        </w:rPr>
        <w:t>the therewith related</w:t>
      </w:r>
      <w:r w:rsidR="00817EA0" w:rsidRPr="00F1345F">
        <w:rPr>
          <w:rFonts w:ascii="Arial" w:eastAsia="Arial Unicode MS" w:hAnsi="Arial" w:cs="Arial"/>
          <w:color w:val="auto"/>
          <w:sz w:val="22"/>
          <w:szCs w:val="22"/>
        </w:rPr>
        <w:t xml:space="preserve"> EBA/CP/2013/35. We also delivered </w:t>
      </w:r>
      <w:r w:rsidR="0054212D" w:rsidRPr="00F1345F">
        <w:rPr>
          <w:rFonts w:ascii="Arial" w:eastAsia="Arial Unicode MS" w:hAnsi="Arial" w:cs="Arial"/>
          <w:color w:val="auto"/>
          <w:sz w:val="22"/>
          <w:szCs w:val="22"/>
        </w:rPr>
        <w:t xml:space="preserve">input to this consultation paper. </w:t>
      </w:r>
      <w:r w:rsidR="00153F11" w:rsidRPr="00F1345F">
        <w:rPr>
          <w:rFonts w:ascii="Arial" w:eastAsia="Arial Unicode MS" w:hAnsi="Arial" w:cs="Arial"/>
          <w:color w:val="auto"/>
          <w:sz w:val="22"/>
          <w:szCs w:val="22"/>
        </w:rPr>
        <w:t xml:space="preserve">Still for the calculation of weighted average countercyclical buffer and application to all credit </w:t>
      </w:r>
      <w:r w:rsidR="00AC49D4" w:rsidRPr="00F1345F">
        <w:rPr>
          <w:rFonts w:ascii="Arial" w:eastAsia="Arial Unicode MS" w:hAnsi="Arial" w:cs="Arial"/>
          <w:color w:val="auto"/>
          <w:sz w:val="22"/>
          <w:szCs w:val="22"/>
        </w:rPr>
        <w:br/>
      </w:r>
      <w:r w:rsidR="00153F11" w:rsidRPr="00F1345F">
        <w:rPr>
          <w:rFonts w:ascii="Arial" w:eastAsia="Arial Unicode MS" w:hAnsi="Arial" w:cs="Arial"/>
          <w:color w:val="auto"/>
          <w:sz w:val="22"/>
          <w:szCs w:val="22"/>
        </w:rPr>
        <w:t>exposures in this jurisdi</w:t>
      </w:r>
      <w:r w:rsidR="00153F11" w:rsidRPr="00F1345F">
        <w:rPr>
          <w:rFonts w:ascii="Arial" w:eastAsia="Arial Unicode MS" w:hAnsi="Arial" w:cs="Arial"/>
          <w:color w:val="auto"/>
          <w:sz w:val="22"/>
          <w:szCs w:val="22"/>
        </w:rPr>
        <w:t>c</w:t>
      </w:r>
      <w:r w:rsidR="00153F11" w:rsidRPr="00F1345F">
        <w:rPr>
          <w:rFonts w:ascii="Arial" w:eastAsia="Arial Unicode MS" w:hAnsi="Arial" w:cs="Arial"/>
          <w:color w:val="auto"/>
          <w:sz w:val="22"/>
          <w:szCs w:val="22"/>
        </w:rPr>
        <w:t>tion we have remarks.</w:t>
      </w:r>
    </w:p>
    <w:p w:rsidR="00775B91" w:rsidRPr="00F1345F" w:rsidRDefault="00153F11" w:rsidP="00153F11">
      <w:pPr>
        <w:pStyle w:val="Default"/>
        <w:spacing w:before="120" w:after="91" w:line="360" w:lineRule="auto"/>
        <w:jc w:val="both"/>
        <w:rPr>
          <w:rFonts w:ascii="Arial" w:eastAsia="Arial Unicode MS" w:hAnsi="Arial" w:cs="Arial"/>
          <w:color w:val="auto"/>
          <w:sz w:val="22"/>
          <w:szCs w:val="22"/>
        </w:rPr>
      </w:pPr>
      <w:r w:rsidRPr="00F1345F">
        <w:rPr>
          <w:rFonts w:ascii="Arial" w:eastAsia="Arial Unicode MS" w:hAnsi="Arial" w:cs="Arial"/>
          <w:color w:val="auto"/>
          <w:sz w:val="22"/>
          <w:szCs w:val="22"/>
        </w:rPr>
        <w:t xml:space="preserve">The institution-specific countercyclical buffer could be easily calculated as multiplication of the country specific buffer rates </w:t>
      </w:r>
      <w:r w:rsidR="00775B91" w:rsidRPr="00F1345F">
        <w:rPr>
          <w:rFonts w:ascii="Arial" w:eastAsia="Arial Unicode MS" w:hAnsi="Arial" w:cs="Arial"/>
          <w:color w:val="auto"/>
          <w:sz w:val="22"/>
          <w:szCs w:val="22"/>
        </w:rPr>
        <w:t xml:space="preserve">and </w:t>
      </w:r>
      <w:r w:rsidRPr="00F1345F">
        <w:rPr>
          <w:rFonts w:ascii="Arial" w:eastAsia="Arial Unicode MS" w:hAnsi="Arial" w:cs="Arial"/>
          <w:color w:val="auto"/>
          <w:sz w:val="22"/>
          <w:szCs w:val="22"/>
        </w:rPr>
        <w:t>risk weighted assets in that country. The institution-specific</w:t>
      </w:r>
      <w:r w:rsidR="00775B91" w:rsidRPr="00F1345F">
        <w:rPr>
          <w:rFonts w:ascii="Arial" w:eastAsia="Arial Unicode MS" w:hAnsi="Arial" w:cs="Arial"/>
          <w:color w:val="auto"/>
          <w:sz w:val="22"/>
          <w:szCs w:val="22"/>
        </w:rPr>
        <w:br/>
      </w:r>
    </w:p>
    <w:p w:rsidR="00F1345F" w:rsidRDefault="00F1345F" w:rsidP="00153F11">
      <w:pPr>
        <w:pStyle w:val="Default"/>
        <w:spacing w:before="120" w:after="91" w:line="360" w:lineRule="auto"/>
        <w:jc w:val="both"/>
        <w:rPr>
          <w:rFonts w:ascii="Arial" w:eastAsia="Arial Unicode MS" w:hAnsi="Arial" w:cs="Arial"/>
          <w:color w:val="auto"/>
          <w:sz w:val="22"/>
          <w:szCs w:val="22"/>
        </w:rPr>
      </w:pPr>
    </w:p>
    <w:p w:rsidR="00153F11" w:rsidRPr="00F1345F" w:rsidRDefault="00153F11" w:rsidP="00153F11">
      <w:pPr>
        <w:pStyle w:val="Default"/>
        <w:spacing w:before="120" w:after="91" w:line="360" w:lineRule="auto"/>
        <w:jc w:val="both"/>
        <w:rPr>
          <w:rFonts w:ascii="Arial" w:eastAsia="Arial Unicode MS" w:hAnsi="Arial" w:cs="Arial"/>
          <w:color w:val="auto"/>
          <w:sz w:val="22"/>
          <w:szCs w:val="22"/>
        </w:rPr>
      </w:pPr>
      <w:r w:rsidRPr="00F1345F">
        <w:rPr>
          <w:rFonts w:ascii="Arial" w:eastAsia="Arial Unicode MS" w:hAnsi="Arial" w:cs="Arial"/>
          <w:color w:val="auto"/>
          <w:sz w:val="22"/>
          <w:szCs w:val="22"/>
        </w:rPr>
        <w:t xml:space="preserve">buffer rate could than be derived by division of this buffer requirement by total risk weighted </w:t>
      </w:r>
      <w:r w:rsidR="00775B91" w:rsidRPr="00F1345F">
        <w:rPr>
          <w:rFonts w:ascii="Arial" w:eastAsia="Arial Unicode MS" w:hAnsi="Arial" w:cs="Arial"/>
          <w:color w:val="auto"/>
          <w:sz w:val="22"/>
          <w:szCs w:val="22"/>
        </w:rPr>
        <w:br/>
      </w:r>
      <w:r w:rsidRPr="00F1345F">
        <w:rPr>
          <w:rFonts w:ascii="Arial" w:eastAsia="Arial Unicode MS" w:hAnsi="Arial" w:cs="Arial"/>
          <w:color w:val="auto"/>
          <w:sz w:val="22"/>
          <w:szCs w:val="22"/>
        </w:rPr>
        <w:t>a</w:t>
      </w:r>
      <w:r w:rsidRPr="00F1345F">
        <w:rPr>
          <w:rFonts w:ascii="Arial" w:eastAsia="Arial Unicode MS" w:hAnsi="Arial" w:cs="Arial"/>
          <w:color w:val="auto"/>
          <w:sz w:val="22"/>
          <w:szCs w:val="22"/>
        </w:rPr>
        <w:t>s</w:t>
      </w:r>
      <w:r w:rsidRPr="00F1345F">
        <w:rPr>
          <w:rFonts w:ascii="Arial" w:eastAsia="Arial Unicode MS" w:hAnsi="Arial" w:cs="Arial"/>
          <w:color w:val="auto"/>
          <w:sz w:val="22"/>
          <w:szCs w:val="22"/>
        </w:rPr>
        <w:t>sets of the institution.</w:t>
      </w:r>
    </w:p>
    <w:p w:rsidR="00153F11" w:rsidRPr="00F1345F" w:rsidRDefault="00153F11" w:rsidP="00153F11">
      <w:pPr>
        <w:pStyle w:val="Default"/>
        <w:spacing w:before="120" w:after="91" w:line="360" w:lineRule="auto"/>
        <w:jc w:val="both"/>
        <w:rPr>
          <w:rFonts w:ascii="Arial" w:eastAsia="Arial Unicode MS" w:hAnsi="Arial" w:cs="Arial"/>
          <w:color w:val="auto"/>
          <w:sz w:val="22"/>
          <w:szCs w:val="22"/>
        </w:rPr>
      </w:pPr>
      <w:r w:rsidRPr="00F1345F">
        <w:rPr>
          <w:rFonts w:ascii="Arial" w:eastAsia="Arial Unicode MS" w:hAnsi="Arial" w:cs="Arial"/>
          <w:color w:val="auto"/>
          <w:sz w:val="22"/>
          <w:szCs w:val="22"/>
        </w:rPr>
        <w:t>However, according to CRD/CRR, it is foreseen, that institutions have to calculate</w:t>
      </w:r>
      <w:r w:rsidR="00775B91" w:rsidRPr="00F1345F">
        <w:rPr>
          <w:rFonts w:ascii="Arial" w:eastAsia="Arial Unicode MS" w:hAnsi="Arial" w:cs="Arial"/>
          <w:color w:val="auto"/>
          <w:sz w:val="22"/>
          <w:szCs w:val="22"/>
        </w:rPr>
        <w:t xml:space="preserve"> an</w:t>
      </w:r>
      <w:r w:rsidRPr="00F1345F">
        <w:rPr>
          <w:rFonts w:ascii="Arial" w:eastAsia="Arial Unicode MS" w:hAnsi="Arial" w:cs="Arial"/>
          <w:color w:val="auto"/>
          <w:sz w:val="22"/>
          <w:szCs w:val="22"/>
        </w:rPr>
        <w:t xml:space="preserve"> institution-specific countercyclical capital buffer rate as described in article 140 paragraph 1 second </w:t>
      </w:r>
      <w:r w:rsidR="00775B91" w:rsidRPr="00F1345F">
        <w:rPr>
          <w:rFonts w:ascii="Arial" w:eastAsia="Arial Unicode MS" w:hAnsi="Arial" w:cs="Arial"/>
          <w:color w:val="auto"/>
          <w:sz w:val="22"/>
          <w:szCs w:val="22"/>
        </w:rPr>
        <w:br/>
      </w:r>
      <w:r w:rsidRPr="00F1345F">
        <w:rPr>
          <w:rFonts w:ascii="Arial" w:eastAsia="Arial Unicode MS" w:hAnsi="Arial" w:cs="Arial"/>
          <w:color w:val="auto"/>
          <w:sz w:val="22"/>
          <w:szCs w:val="22"/>
        </w:rPr>
        <w:t xml:space="preserve">sub-paragraph CRD (by dividing the weighted average of the countercyclical buffer rates that apply in the jurisdictions where the “relevant credit exposures” are located by its total own funds </w:t>
      </w:r>
      <w:r w:rsidR="00775B91" w:rsidRPr="00F1345F">
        <w:rPr>
          <w:rFonts w:ascii="Arial" w:eastAsia="Arial Unicode MS" w:hAnsi="Arial" w:cs="Arial"/>
          <w:color w:val="auto"/>
          <w:sz w:val="22"/>
          <w:szCs w:val="22"/>
        </w:rPr>
        <w:br/>
      </w:r>
      <w:r w:rsidRPr="00F1345F">
        <w:rPr>
          <w:rFonts w:ascii="Arial" w:eastAsia="Arial Unicode MS" w:hAnsi="Arial" w:cs="Arial"/>
          <w:color w:val="auto"/>
          <w:sz w:val="22"/>
          <w:szCs w:val="22"/>
        </w:rPr>
        <w:t xml:space="preserve">requirements for credit risk that relates to all of its “relevant credit exposures”) and then multiply it with “total risk exposure” </w:t>
      </w:r>
      <w:r w:rsidR="002B24B3" w:rsidRPr="00F1345F">
        <w:rPr>
          <w:rFonts w:ascii="Arial" w:eastAsia="Arial Unicode MS" w:hAnsi="Arial" w:cs="Arial"/>
          <w:color w:val="auto"/>
          <w:sz w:val="22"/>
          <w:szCs w:val="22"/>
        </w:rPr>
        <w:t xml:space="preserve">according to </w:t>
      </w:r>
      <w:r w:rsidRPr="00F1345F">
        <w:rPr>
          <w:rFonts w:ascii="Arial" w:eastAsia="Arial Unicode MS" w:hAnsi="Arial" w:cs="Arial"/>
          <w:color w:val="auto"/>
          <w:sz w:val="22"/>
          <w:szCs w:val="22"/>
        </w:rPr>
        <w:t>article 130 paragraph 1 CRD to determine the buffer amount required.</w:t>
      </w:r>
    </w:p>
    <w:p w:rsidR="00153F11" w:rsidRPr="00F1345F" w:rsidRDefault="00153F11" w:rsidP="00153F11">
      <w:pPr>
        <w:pStyle w:val="Default"/>
        <w:spacing w:before="120" w:after="91" w:line="360" w:lineRule="auto"/>
        <w:jc w:val="both"/>
        <w:rPr>
          <w:rFonts w:ascii="Arial" w:eastAsia="Arial Unicode MS" w:hAnsi="Arial" w:cs="Arial"/>
          <w:color w:val="auto"/>
          <w:sz w:val="22"/>
          <w:szCs w:val="22"/>
        </w:rPr>
      </w:pPr>
      <w:r w:rsidRPr="00F1345F">
        <w:rPr>
          <w:rFonts w:ascii="Arial" w:eastAsia="Arial Unicode MS" w:hAnsi="Arial" w:cs="Arial"/>
          <w:color w:val="auto"/>
          <w:sz w:val="22"/>
          <w:szCs w:val="22"/>
        </w:rPr>
        <w:t>This approac</w:t>
      </w:r>
      <w:r w:rsidR="00775B91" w:rsidRPr="00F1345F">
        <w:rPr>
          <w:rFonts w:ascii="Arial" w:eastAsia="Arial Unicode MS" w:hAnsi="Arial" w:cs="Arial"/>
          <w:color w:val="auto"/>
          <w:sz w:val="22"/>
          <w:szCs w:val="22"/>
        </w:rPr>
        <w:t xml:space="preserve">h, which in first step excludes </w:t>
      </w:r>
      <w:r w:rsidRPr="00F1345F">
        <w:rPr>
          <w:rFonts w:ascii="Arial" w:eastAsia="Arial Unicode MS" w:hAnsi="Arial" w:cs="Arial"/>
          <w:color w:val="auto"/>
          <w:sz w:val="22"/>
          <w:szCs w:val="22"/>
        </w:rPr>
        <w:t xml:space="preserve">multiple exposure classes from the calculation of </w:t>
      </w:r>
      <w:r w:rsidR="00775B91" w:rsidRPr="00F1345F">
        <w:rPr>
          <w:rFonts w:ascii="Arial" w:eastAsia="Arial Unicode MS" w:hAnsi="Arial" w:cs="Arial"/>
          <w:color w:val="auto"/>
          <w:sz w:val="22"/>
          <w:szCs w:val="22"/>
        </w:rPr>
        <w:t xml:space="preserve">a </w:t>
      </w:r>
      <w:r w:rsidRPr="00F1345F">
        <w:rPr>
          <w:rFonts w:ascii="Arial" w:eastAsia="Arial Unicode MS" w:hAnsi="Arial" w:cs="Arial"/>
          <w:color w:val="auto"/>
          <w:sz w:val="22"/>
          <w:szCs w:val="22"/>
        </w:rPr>
        <w:t xml:space="preserve">countercyclical buffer requirement rate and then requires the multiplication with “total risk </w:t>
      </w:r>
      <w:r w:rsidR="00F1345F">
        <w:rPr>
          <w:rFonts w:ascii="Arial" w:eastAsia="Arial Unicode MS" w:hAnsi="Arial" w:cs="Arial"/>
          <w:color w:val="auto"/>
          <w:sz w:val="22"/>
          <w:szCs w:val="22"/>
        </w:rPr>
        <w:br/>
      </w:r>
      <w:r w:rsidRPr="00F1345F">
        <w:rPr>
          <w:rFonts w:ascii="Arial" w:eastAsia="Arial Unicode MS" w:hAnsi="Arial" w:cs="Arial"/>
          <w:color w:val="auto"/>
          <w:sz w:val="22"/>
          <w:szCs w:val="22"/>
        </w:rPr>
        <w:t xml:space="preserve">exposure” which reflects all exposure classes as defined in Article 112 CRR, is in our view not adequate. </w:t>
      </w:r>
      <w:r w:rsidR="006825E5" w:rsidRPr="00F1345F">
        <w:rPr>
          <w:rFonts w:ascii="Arial" w:eastAsia="Arial Unicode MS" w:hAnsi="Arial" w:cs="Arial"/>
          <w:color w:val="auto"/>
          <w:sz w:val="22"/>
          <w:szCs w:val="22"/>
        </w:rPr>
        <w:t>It</w:t>
      </w:r>
      <w:r w:rsidRPr="00F1345F">
        <w:rPr>
          <w:rFonts w:ascii="Arial" w:eastAsia="Arial Unicode MS" w:hAnsi="Arial" w:cs="Arial"/>
          <w:color w:val="auto"/>
          <w:sz w:val="22"/>
          <w:szCs w:val="22"/>
        </w:rPr>
        <w:t xml:space="preserve"> leads to the result that dependant on the structure of credit exposures classes and buf</w:t>
      </w:r>
      <w:r w:rsidRPr="00F1345F">
        <w:rPr>
          <w:rFonts w:ascii="Arial" w:eastAsia="Arial Unicode MS" w:hAnsi="Arial" w:cs="Arial"/>
          <w:color w:val="auto"/>
          <w:sz w:val="22"/>
          <w:szCs w:val="22"/>
        </w:rPr>
        <w:t>f</w:t>
      </w:r>
      <w:r w:rsidRPr="00F1345F">
        <w:rPr>
          <w:rFonts w:ascii="Arial" w:eastAsia="Arial Unicode MS" w:hAnsi="Arial" w:cs="Arial"/>
          <w:color w:val="auto"/>
          <w:sz w:val="22"/>
          <w:szCs w:val="22"/>
        </w:rPr>
        <w:t>er rates in concerned geographical locations, the resulting capital buffer requirements could be higher or even lower than the requirements calculated without considering “relevant exposure classes”. In particular</w:t>
      </w:r>
      <w:r w:rsidR="002B24B3" w:rsidRPr="00F1345F">
        <w:rPr>
          <w:rFonts w:ascii="Arial" w:eastAsia="Arial Unicode MS" w:hAnsi="Arial" w:cs="Arial"/>
          <w:color w:val="auto"/>
          <w:sz w:val="22"/>
          <w:szCs w:val="22"/>
        </w:rPr>
        <w:t>,</w:t>
      </w:r>
      <w:r w:rsidRPr="00F1345F">
        <w:rPr>
          <w:rFonts w:ascii="Arial" w:eastAsia="Arial Unicode MS" w:hAnsi="Arial" w:cs="Arial"/>
          <w:color w:val="auto"/>
          <w:sz w:val="22"/>
          <w:szCs w:val="22"/>
        </w:rPr>
        <w:t xml:space="preserve"> this approach does not suit business models like ours, where nearly all exposures are located in exposure classes</w:t>
      </w:r>
      <w:r w:rsidR="002B24B3" w:rsidRPr="00F1345F">
        <w:rPr>
          <w:rFonts w:ascii="Arial" w:eastAsia="Arial Unicode MS" w:hAnsi="Arial" w:cs="Arial"/>
          <w:color w:val="auto"/>
          <w:sz w:val="22"/>
          <w:szCs w:val="22"/>
        </w:rPr>
        <w:t>,</w:t>
      </w:r>
      <w:r w:rsidRPr="00F1345F">
        <w:rPr>
          <w:rFonts w:ascii="Arial" w:eastAsia="Arial Unicode MS" w:hAnsi="Arial" w:cs="Arial"/>
          <w:color w:val="auto"/>
          <w:sz w:val="22"/>
          <w:szCs w:val="22"/>
        </w:rPr>
        <w:t xml:space="preserve"> which are not classified as “relevant credit </w:t>
      </w:r>
      <w:r w:rsidR="00F1345F">
        <w:rPr>
          <w:rFonts w:ascii="Arial" w:eastAsia="Arial Unicode MS" w:hAnsi="Arial" w:cs="Arial"/>
          <w:color w:val="auto"/>
          <w:sz w:val="22"/>
          <w:szCs w:val="22"/>
        </w:rPr>
        <w:br/>
      </w:r>
      <w:r w:rsidRPr="00F1345F">
        <w:rPr>
          <w:rFonts w:ascii="Arial" w:eastAsia="Arial Unicode MS" w:hAnsi="Arial" w:cs="Arial"/>
          <w:color w:val="auto"/>
          <w:sz w:val="22"/>
          <w:szCs w:val="22"/>
        </w:rPr>
        <w:t xml:space="preserve">exposures”. </w:t>
      </w:r>
      <w:r w:rsidR="002B24B3" w:rsidRPr="00F1345F">
        <w:rPr>
          <w:rFonts w:ascii="Arial" w:eastAsia="Arial Unicode MS" w:hAnsi="Arial" w:cs="Arial"/>
          <w:color w:val="auto"/>
          <w:sz w:val="22"/>
          <w:szCs w:val="22"/>
        </w:rPr>
        <w:t>As</w:t>
      </w:r>
      <w:r w:rsidRPr="00F1345F">
        <w:rPr>
          <w:rFonts w:ascii="Arial" w:eastAsia="Arial Unicode MS" w:hAnsi="Arial" w:cs="Arial"/>
          <w:color w:val="auto"/>
          <w:sz w:val="22"/>
          <w:szCs w:val="22"/>
        </w:rPr>
        <w:t xml:space="preserve"> </w:t>
      </w:r>
      <w:r w:rsidR="002B24B3" w:rsidRPr="00F1345F">
        <w:rPr>
          <w:rFonts w:ascii="Arial" w:eastAsia="Arial Unicode MS" w:hAnsi="Arial" w:cs="Arial"/>
          <w:color w:val="auto"/>
          <w:sz w:val="22"/>
          <w:szCs w:val="22"/>
        </w:rPr>
        <w:t xml:space="preserve">a </w:t>
      </w:r>
      <w:r w:rsidRPr="00F1345F">
        <w:rPr>
          <w:rFonts w:ascii="Arial" w:eastAsia="Arial Unicode MS" w:hAnsi="Arial" w:cs="Arial"/>
          <w:color w:val="auto"/>
          <w:sz w:val="22"/>
          <w:szCs w:val="22"/>
        </w:rPr>
        <w:t>consequence</w:t>
      </w:r>
      <w:r w:rsidR="002B24B3" w:rsidRPr="00F1345F">
        <w:rPr>
          <w:rFonts w:ascii="Arial" w:eastAsia="Arial Unicode MS" w:hAnsi="Arial" w:cs="Arial"/>
          <w:color w:val="auto"/>
          <w:sz w:val="22"/>
          <w:szCs w:val="22"/>
        </w:rPr>
        <w:t>,</w:t>
      </w:r>
      <w:r w:rsidRPr="00F1345F">
        <w:rPr>
          <w:rFonts w:ascii="Arial" w:eastAsia="Arial Unicode MS" w:hAnsi="Arial" w:cs="Arial"/>
          <w:color w:val="auto"/>
          <w:sz w:val="22"/>
          <w:szCs w:val="22"/>
        </w:rPr>
        <w:t xml:space="preserve"> only very limited exposures most likely concentrated in few countries will determine the buffer rate for substantial exposure amounts spread all over the world.</w:t>
      </w:r>
    </w:p>
    <w:p w:rsidR="005378EA" w:rsidRPr="00F1345F" w:rsidRDefault="007546BF" w:rsidP="00153F11">
      <w:pPr>
        <w:pStyle w:val="Default"/>
        <w:spacing w:before="120" w:after="91" w:line="360" w:lineRule="auto"/>
        <w:jc w:val="both"/>
        <w:rPr>
          <w:rFonts w:ascii="Arial" w:eastAsia="Arial Unicode MS" w:hAnsi="Arial" w:cs="Arial"/>
          <w:color w:val="auto"/>
          <w:sz w:val="22"/>
          <w:szCs w:val="22"/>
        </w:rPr>
      </w:pPr>
      <w:r w:rsidRPr="00F1345F">
        <w:rPr>
          <w:rFonts w:ascii="Arial" w:eastAsia="Arial Unicode MS" w:hAnsi="Arial" w:cs="Arial"/>
          <w:color w:val="auto"/>
          <w:sz w:val="22"/>
          <w:szCs w:val="22"/>
        </w:rPr>
        <w:t xml:space="preserve">We are totally aware that our raised </w:t>
      </w:r>
      <w:r w:rsidR="006825E5" w:rsidRPr="00F1345F">
        <w:rPr>
          <w:rFonts w:ascii="Arial" w:eastAsia="Arial Unicode MS" w:hAnsi="Arial" w:cs="Arial"/>
          <w:color w:val="auto"/>
          <w:sz w:val="22"/>
          <w:szCs w:val="22"/>
        </w:rPr>
        <w:t xml:space="preserve">concerns are </w:t>
      </w:r>
      <w:r w:rsidR="005378EA" w:rsidRPr="00F1345F">
        <w:rPr>
          <w:rFonts w:ascii="Arial" w:eastAsia="Arial Unicode MS" w:hAnsi="Arial" w:cs="Arial"/>
          <w:color w:val="auto"/>
          <w:sz w:val="22"/>
          <w:szCs w:val="22"/>
        </w:rPr>
        <w:t>only indirect</w:t>
      </w:r>
      <w:r w:rsidR="006825E5" w:rsidRPr="00F1345F">
        <w:rPr>
          <w:rFonts w:ascii="Arial" w:eastAsia="Arial Unicode MS" w:hAnsi="Arial" w:cs="Arial"/>
          <w:color w:val="auto"/>
          <w:sz w:val="22"/>
          <w:szCs w:val="22"/>
        </w:rPr>
        <w:t xml:space="preserve">ly related to the </w:t>
      </w:r>
      <w:r w:rsidR="005378EA" w:rsidRPr="00F1345F">
        <w:rPr>
          <w:rFonts w:ascii="Arial" w:eastAsia="Arial Unicode MS" w:hAnsi="Arial" w:cs="Arial"/>
          <w:color w:val="auto"/>
          <w:sz w:val="22"/>
          <w:szCs w:val="22"/>
        </w:rPr>
        <w:t>disclosure of the countercyclical capital buffer data</w:t>
      </w:r>
      <w:r w:rsidR="006825E5" w:rsidRPr="00F1345F">
        <w:rPr>
          <w:rFonts w:ascii="Arial" w:eastAsia="Arial Unicode MS" w:hAnsi="Arial" w:cs="Arial"/>
          <w:color w:val="auto"/>
          <w:sz w:val="22"/>
          <w:szCs w:val="22"/>
        </w:rPr>
        <w:t xml:space="preserve"> as such, which is the purpose of the current consultation. However, </w:t>
      </w:r>
      <w:r w:rsidR="005378EA" w:rsidRPr="00F1345F">
        <w:rPr>
          <w:rFonts w:ascii="Arial" w:eastAsia="Arial Unicode MS" w:hAnsi="Arial" w:cs="Arial"/>
          <w:color w:val="auto"/>
          <w:sz w:val="22"/>
          <w:szCs w:val="22"/>
        </w:rPr>
        <w:t>th</w:t>
      </w:r>
      <w:r w:rsidR="00295219" w:rsidRPr="00F1345F">
        <w:rPr>
          <w:rFonts w:ascii="Arial" w:eastAsia="Arial Unicode MS" w:hAnsi="Arial" w:cs="Arial"/>
          <w:color w:val="auto"/>
          <w:sz w:val="22"/>
          <w:szCs w:val="22"/>
        </w:rPr>
        <w:t>e</w:t>
      </w:r>
      <w:r w:rsidR="005378EA" w:rsidRPr="00F1345F">
        <w:rPr>
          <w:rFonts w:ascii="Arial" w:eastAsia="Arial Unicode MS" w:hAnsi="Arial" w:cs="Arial"/>
          <w:color w:val="auto"/>
          <w:sz w:val="22"/>
          <w:szCs w:val="22"/>
        </w:rPr>
        <w:t xml:space="preserve"> inconsistencies </w:t>
      </w:r>
      <w:r w:rsidR="006825E5" w:rsidRPr="00F1345F">
        <w:rPr>
          <w:rFonts w:ascii="Arial" w:eastAsia="Arial Unicode MS" w:hAnsi="Arial" w:cs="Arial"/>
          <w:color w:val="auto"/>
          <w:sz w:val="22"/>
          <w:szCs w:val="22"/>
        </w:rPr>
        <w:t xml:space="preserve">of the CRD rules </w:t>
      </w:r>
      <w:r w:rsidR="005378EA" w:rsidRPr="00F1345F">
        <w:rPr>
          <w:rFonts w:ascii="Arial" w:eastAsia="Arial Unicode MS" w:hAnsi="Arial" w:cs="Arial"/>
          <w:color w:val="auto"/>
          <w:sz w:val="22"/>
          <w:szCs w:val="22"/>
        </w:rPr>
        <w:t>in connection with the calculation of the counte</w:t>
      </w:r>
      <w:r w:rsidR="005378EA" w:rsidRPr="00F1345F">
        <w:rPr>
          <w:rFonts w:ascii="Arial" w:eastAsia="Arial Unicode MS" w:hAnsi="Arial" w:cs="Arial"/>
          <w:color w:val="auto"/>
          <w:sz w:val="22"/>
          <w:szCs w:val="22"/>
        </w:rPr>
        <w:t>r</w:t>
      </w:r>
      <w:r w:rsidR="005378EA" w:rsidRPr="00F1345F">
        <w:rPr>
          <w:rFonts w:ascii="Arial" w:eastAsia="Arial Unicode MS" w:hAnsi="Arial" w:cs="Arial"/>
          <w:color w:val="auto"/>
          <w:sz w:val="22"/>
          <w:szCs w:val="22"/>
        </w:rPr>
        <w:t xml:space="preserve">cyclical capital buffer </w:t>
      </w:r>
      <w:r w:rsidR="00295219" w:rsidRPr="00F1345F">
        <w:rPr>
          <w:rFonts w:ascii="Arial" w:eastAsia="Arial Unicode MS" w:hAnsi="Arial" w:cs="Arial"/>
          <w:color w:val="auto"/>
          <w:sz w:val="22"/>
          <w:szCs w:val="22"/>
        </w:rPr>
        <w:t xml:space="preserve">are material for specialised business models </w:t>
      </w:r>
      <w:r w:rsidR="006825E5" w:rsidRPr="00F1345F">
        <w:rPr>
          <w:rFonts w:ascii="Arial" w:eastAsia="Arial Unicode MS" w:hAnsi="Arial" w:cs="Arial"/>
          <w:color w:val="auto"/>
          <w:sz w:val="22"/>
          <w:szCs w:val="22"/>
        </w:rPr>
        <w:t xml:space="preserve">like </w:t>
      </w:r>
      <w:r w:rsidR="00295219" w:rsidRPr="00F1345F">
        <w:rPr>
          <w:rFonts w:ascii="Arial" w:eastAsia="Arial Unicode MS" w:hAnsi="Arial" w:cs="Arial"/>
          <w:color w:val="auto"/>
          <w:sz w:val="22"/>
          <w:szCs w:val="22"/>
        </w:rPr>
        <w:t>ours and overestimate the risk we are in reality fac</w:t>
      </w:r>
      <w:r w:rsidR="006825E5" w:rsidRPr="00F1345F">
        <w:rPr>
          <w:rFonts w:ascii="Arial" w:eastAsia="Arial Unicode MS" w:hAnsi="Arial" w:cs="Arial"/>
          <w:color w:val="auto"/>
          <w:sz w:val="22"/>
          <w:szCs w:val="22"/>
        </w:rPr>
        <w:t>ing</w:t>
      </w:r>
      <w:r w:rsidR="00295219" w:rsidRPr="00F1345F">
        <w:rPr>
          <w:rFonts w:ascii="Arial" w:eastAsia="Arial Unicode MS" w:hAnsi="Arial" w:cs="Arial"/>
          <w:color w:val="auto"/>
          <w:sz w:val="22"/>
          <w:szCs w:val="22"/>
        </w:rPr>
        <w:t xml:space="preserve">. </w:t>
      </w:r>
      <w:r w:rsidR="00F1345F" w:rsidRPr="00F1345F">
        <w:rPr>
          <w:rFonts w:ascii="Arial" w:eastAsia="Arial Unicode MS" w:hAnsi="Arial" w:cs="Arial"/>
          <w:color w:val="auto"/>
          <w:sz w:val="22"/>
          <w:szCs w:val="22"/>
        </w:rPr>
        <w:t>C</w:t>
      </w:r>
      <w:r w:rsidR="00295219" w:rsidRPr="00F1345F">
        <w:rPr>
          <w:rFonts w:ascii="Arial" w:eastAsia="Arial Unicode MS" w:hAnsi="Arial" w:cs="Arial"/>
          <w:color w:val="auto"/>
          <w:sz w:val="22"/>
          <w:szCs w:val="22"/>
        </w:rPr>
        <w:t>onsequen</w:t>
      </w:r>
      <w:r w:rsidR="00F1345F" w:rsidRPr="00F1345F">
        <w:rPr>
          <w:rFonts w:ascii="Arial" w:eastAsia="Arial Unicode MS" w:hAnsi="Arial" w:cs="Arial"/>
          <w:color w:val="auto"/>
          <w:sz w:val="22"/>
          <w:szCs w:val="22"/>
        </w:rPr>
        <w:t>tly,</w:t>
      </w:r>
      <w:r w:rsidR="00295219" w:rsidRPr="00F1345F">
        <w:rPr>
          <w:rFonts w:ascii="Arial" w:eastAsia="Arial Unicode MS" w:hAnsi="Arial" w:cs="Arial"/>
          <w:color w:val="auto"/>
          <w:sz w:val="22"/>
          <w:szCs w:val="22"/>
        </w:rPr>
        <w:t xml:space="preserve"> the disclosure of such </w:t>
      </w:r>
      <w:r w:rsidR="000E6E80" w:rsidRPr="00F1345F">
        <w:rPr>
          <w:rFonts w:ascii="Arial" w:eastAsia="Arial Unicode MS" w:hAnsi="Arial" w:cs="Arial"/>
          <w:color w:val="auto"/>
          <w:sz w:val="22"/>
          <w:szCs w:val="22"/>
        </w:rPr>
        <w:t xml:space="preserve">distorted </w:t>
      </w:r>
      <w:r w:rsidR="00295219" w:rsidRPr="00F1345F">
        <w:rPr>
          <w:rFonts w:ascii="Arial" w:eastAsia="Arial Unicode MS" w:hAnsi="Arial" w:cs="Arial"/>
          <w:color w:val="auto"/>
          <w:sz w:val="22"/>
          <w:szCs w:val="22"/>
        </w:rPr>
        <w:t xml:space="preserve">data is from our point of view problematic and </w:t>
      </w:r>
      <w:r w:rsidR="005378EA" w:rsidRPr="00F1345F">
        <w:rPr>
          <w:rFonts w:ascii="Arial" w:eastAsia="Arial Unicode MS" w:hAnsi="Arial" w:cs="Arial"/>
          <w:color w:val="auto"/>
          <w:sz w:val="22"/>
          <w:szCs w:val="22"/>
        </w:rPr>
        <w:t xml:space="preserve">would </w:t>
      </w:r>
      <w:r w:rsidR="00295219" w:rsidRPr="00F1345F">
        <w:rPr>
          <w:rFonts w:ascii="Arial" w:eastAsia="Arial Unicode MS" w:hAnsi="Arial" w:cs="Arial"/>
          <w:color w:val="auto"/>
          <w:sz w:val="22"/>
          <w:szCs w:val="22"/>
        </w:rPr>
        <w:t xml:space="preserve">also </w:t>
      </w:r>
      <w:r w:rsidR="005378EA" w:rsidRPr="00F1345F">
        <w:rPr>
          <w:rFonts w:ascii="Arial" w:eastAsia="Arial Unicode MS" w:hAnsi="Arial" w:cs="Arial"/>
          <w:color w:val="auto"/>
          <w:sz w:val="22"/>
          <w:szCs w:val="22"/>
        </w:rPr>
        <w:t>contra</w:t>
      </w:r>
      <w:r w:rsidR="000E6E80" w:rsidRPr="00F1345F">
        <w:rPr>
          <w:rFonts w:ascii="Arial" w:eastAsia="Arial Unicode MS" w:hAnsi="Arial" w:cs="Arial"/>
          <w:color w:val="auto"/>
          <w:sz w:val="22"/>
          <w:szCs w:val="22"/>
        </w:rPr>
        <w:t>dict the</w:t>
      </w:r>
      <w:r w:rsidR="00295219" w:rsidRPr="00F1345F">
        <w:rPr>
          <w:rFonts w:ascii="Arial" w:eastAsia="Arial Unicode MS" w:hAnsi="Arial" w:cs="Arial"/>
          <w:color w:val="auto"/>
          <w:sz w:val="22"/>
          <w:szCs w:val="22"/>
        </w:rPr>
        <w:t xml:space="preserve"> general </w:t>
      </w:r>
      <w:r w:rsidR="005378EA" w:rsidRPr="00F1345F">
        <w:rPr>
          <w:rFonts w:ascii="Arial" w:eastAsia="Arial Unicode MS" w:hAnsi="Arial" w:cs="Arial"/>
          <w:color w:val="auto"/>
          <w:sz w:val="22"/>
          <w:szCs w:val="22"/>
        </w:rPr>
        <w:t>aim</w:t>
      </w:r>
      <w:r w:rsidR="00295219" w:rsidRPr="00F1345F">
        <w:rPr>
          <w:rFonts w:ascii="Arial" w:eastAsia="Arial Unicode MS" w:hAnsi="Arial" w:cs="Arial"/>
          <w:color w:val="auto"/>
          <w:sz w:val="22"/>
          <w:szCs w:val="22"/>
        </w:rPr>
        <w:t xml:space="preserve"> of </w:t>
      </w:r>
      <w:r w:rsidR="000E6E80" w:rsidRPr="00F1345F">
        <w:rPr>
          <w:rFonts w:ascii="Arial" w:eastAsia="Arial Unicode MS" w:hAnsi="Arial" w:cs="Arial"/>
          <w:color w:val="auto"/>
          <w:sz w:val="22"/>
          <w:szCs w:val="22"/>
        </w:rPr>
        <w:t>disclosure to show a</w:t>
      </w:r>
      <w:r w:rsidR="005378EA" w:rsidRPr="00F1345F">
        <w:rPr>
          <w:rFonts w:ascii="Arial" w:eastAsia="Arial Unicode MS" w:hAnsi="Arial" w:cs="Arial"/>
          <w:color w:val="auto"/>
          <w:sz w:val="22"/>
          <w:szCs w:val="22"/>
        </w:rPr>
        <w:t xml:space="preserve"> clear</w:t>
      </w:r>
      <w:r w:rsidR="000E6E80" w:rsidRPr="00F1345F">
        <w:rPr>
          <w:rFonts w:ascii="Arial" w:eastAsia="Arial Unicode MS" w:hAnsi="Arial" w:cs="Arial"/>
          <w:color w:val="auto"/>
          <w:sz w:val="22"/>
          <w:szCs w:val="22"/>
        </w:rPr>
        <w:t xml:space="preserve">, correct </w:t>
      </w:r>
      <w:r w:rsidR="005378EA" w:rsidRPr="00F1345F">
        <w:rPr>
          <w:rFonts w:ascii="Arial" w:eastAsia="Arial Unicode MS" w:hAnsi="Arial" w:cs="Arial"/>
          <w:color w:val="auto"/>
          <w:sz w:val="22"/>
          <w:szCs w:val="22"/>
        </w:rPr>
        <w:t xml:space="preserve">and consistent </w:t>
      </w:r>
      <w:r w:rsidR="000E6E80" w:rsidRPr="00F1345F">
        <w:rPr>
          <w:rFonts w:ascii="Arial" w:eastAsia="Arial Unicode MS" w:hAnsi="Arial" w:cs="Arial"/>
          <w:color w:val="auto"/>
          <w:sz w:val="22"/>
          <w:szCs w:val="22"/>
        </w:rPr>
        <w:t>picture of the respective risk a</w:t>
      </w:r>
      <w:r w:rsidR="006825E5" w:rsidRPr="00F1345F">
        <w:rPr>
          <w:rFonts w:ascii="Arial" w:eastAsia="Arial Unicode MS" w:hAnsi="Arial" w:cs="Arial"/>
          <w:color w:val="auto"/>
          <w:sz w:val="22"/>
          <w:szCs w:val="22"/>
        </w:rPr>
        <w:t>n</w:t>
      </w:r>
      <w:r w:rsidR="000E6E80" w:rsidRPr="00F1345F">
        <w:rPr>
          <w:rFonts w:ascii="Arial" w:eastAsia="Arial Unicode MS" w:hAnsi="Arial" w:cs="Arial"/>
          <w:color w:val="auto"/>
          <w:sz w:val="22"/>
          <w:szCs w:val="22"/>
        </w:rPr>
        <w:t xml:space="preserve"> institution is faced</w:t>
      </w:r>
      <w:r w:rsidR="006825E5" w:rsidRPr="00F1345F">
        <w:rPr>
          <w:rFonts w:ascii="Arial" w:eastAsia="Arial Unicode MS" w:hAnsi="Arial" w:cs="Arial"/>
          <w:color w:val="auto"/>
          <w:sz w:val="22"/>
          <w:szCs w:val="22"/>
        </w:rPr>
        <w:t xml:space="preserve"> with</w:t>
      </w:r>
      <w:r w:rsidR="000E6E80" w:rsidRPr="00F1345F">
        <w:rPr>
          <w:rFonts w:ascii="Arial" w:eastAsia="Arial Unicode MS" w:hAnsi="Arial" w:cs="Arial"/>
          <w:color w:val="auto"/>
          <w:sz w:val="22"/>
          <w:szCs w:val="22"/>
        </w:rPr>
        <w:t>.</w:t>
      </w:r>
    </w:p>
    <w:p w:rsidR="00E663CF" w:rsidRPr="00793789" w:rsidRDefault="000E6E80" w:rsidP="00153F11">
      <w:pPr>
        <w:pStyle w:val="Default"/>
        <w:spacing w:before="120" w:after="91" w:line="360" w:lineRule="auto"/>
        <w:jc w:val="both"/>
        <w:rPr>
          <w:rFonts w:ascii="Arial" w:eastAsia="Arial Unicode MS" w:hAnsi="Arial" w:cs="Arial"/>
          <w:color w:val="auto"/>
          <w:sz w:val="22"/>
          <w:szCs w:val="22"/>
        </w:rPr>
      </w:pPr>
      <w:r w:rsidRPr="00F1345F">
        <w:rPr>
          <w:rFonts w:ascii="Arial" w:eastAsia="Arial Unicode MS" w:hAnsi="Arial" w:cs="Arial"/>
          <w:color w:val="auto"/>
          <w:sz w:val="22"/>
          <w:szCs w:val="22"/>
        </w:rPr>
        <w:t>Therefore</w:t>
      </w:r>
      <w:r w:rsidR="00F1345F" w:rsidRPr="00F1345F">
        <w:rPr>
          <w:rFonts w:ascii="Arial" w:eastAsia="Arial Unicode MS" w:hAnsi="Arial" w:cs="Arial"/>
          <w:color w:val="auto"/>
          <w:sz w:val="22"/>
          <w:szCs w:val="22"/>
        </w:rPr>
        <w:t>,</w:t>
      </w:r>
      <w:r w:rsidR="00153F11" w:rsidRPr="00F1345F">
        <w:rPr>
          <w:rFonts w:ascii="Arial" w:eastAsia="Arial Unicode MS" w:hAnsi="Arial" w:cs="Arial"/>
          <w:color w:val="auto"/>
          <w:sz w:val="22"/>
          <w:szCs w:val="22"/>
        </w:rPr>
        <w:t xml:space="preserve"> we would like to encourage EBA to consider our concerns raised above during future development of supervisory regulations and address the topic both on European and </w:t>
      </w:r>
      <w:r w:rsidR="00793789">
        <w:rPr>
          <w:rFonts w:ascii="Arial" w:eastAsia="Arial Unicode MS" w:hAnsi="Arial" w:cs="Arial"/>
          <w:color w:val="auto"/>
          <w:sz w:val="22"/>
          <w:szCs w:val="22"/>
        </w:rPr>
        <w:br/>
      </w:r>
      <w:r w:rsidR="00F1345F" w:rsidRPr="00F1345F">
        <w:rPr>
          <w:rFonts w:ascii="Arial" w:eastAsia="Arial Unicode MS" w:hAnsi="Arial" w:cs="Arial"/>
          <w:color w:val="auto"/>
          <w:sz w:val="22"/>
          <w:szCs w:val="22"/>
        </w:rPr>
        <w:t>I</w:t>
      </w:r>
      <w:r w:rsidR="00153F11" w:rsidRPr="00F1345F">
        <w:rPr>
          <w:rFonts w:ascii="Arial" w:eastAsia="Arial Unicode MS" w:hAnsi="Arial" w:cs="Arial"/>
          <w:color w:val="auto"/>
          <w:sz w:val="22"/>
          <w:szCs w:val="22"/>
        </w:rPr>
        <w:t>ntern</w:t>
      </w:r>
      <w:r w:rsidR="00153F11" w:rsidRPr="00F1345F">
        <w:rPr>
          <w:rFonts w:ascii="Arial" w:eastAsia="Arial Unicode MS" w:hAnsi="Arial" w:cs="Arial"/>
          <w:color w:val="auto"/>
          <w:sz w:val="22"/>
          <w:szCs w:val="22"/>
        </w:rPr>
        <w:t>a</w:t>
      </w:r>
      <w:r w:rsidR="00153F11" w:rsidRPr="00F1345F">
        <w:rPr>
          <w:rFonts w:ascii="Arial" w:eastAsia="Arial Unicode MS" w:hAnsi="Arial" w:cs="Arial"/>
          <w:color w:val="auto"/>
          <w:sz w:val="22"/>
          <w:szCs w:val="22"/>
        </w:rPr>
        <w:t>tional level.</w:t>
      </w:r>
    </w:p>
    <w:p w:rsidR="00F1345F" w:rsidRPr="00793789" w:rsidRDefault="00F1345F" w:rsidP="00BF755E">
      <w:pPr>
        <w:pStyle w:val="Default"/>
        <w:spacing w:before="120" w:after="91" w:line="360" w:lineRule="auto"/>
        <w:contextualSpacing/>
        <w:jc w:val="both"/>
        <w:rPr>
          <w:rFonts w:ascii="Arial" w:eastAsia="Arial Unicode MS" w:hAnsi="Arial" w:cs="Arial"/>
          <w:color w:val="auto"/>
          <w:sz w:val="22"/>
          <w:szCs w:val="22"/>
        </w:rPr>
      </w:pPr>
      <w:r w:rsidRPr="00793789">
        <w:rPr>
          <w:rFonts w:ascii="Arial" w:eastAsia="Arial Unicode MS" w:hAnsi="Arial" w:cs="Arial"/>
          <w:b/>
          <w:color w:val="auto"/>
          <w:sz w:val="22"/>
          <w:szCs w:val="22"/>
        </w:rPr>
        <w:br/>
      </w:r>
      <w:r w:rsidRPr="00793789">
        <w:rPr>
          <w:rFonts w:ascii="Arial" w:eastAsia="Arial Unicode MS" w:hAnsi="Arial" w:cs="Arial"/>
          <w:color w:val="auto"/>
          <w:sz w:val="22"/>
          <w:szCs w:val="22"/>
        </w:rPr>
        <w:br/>
      </w:r>
    </w:p>
    <w:p w:rsidR="00F1345F" w:rsidRPr="00793789" w:rsidRDefault="00F1345F" w:rsidP="00F1345F">
      <w:pPr>
        <w:pStyle w:val="Default"/>
        <w:spacing w:before="120" w:after="91" w:line="360" w:lineRule="auto"/>
        <w:jc w:val="both"/>
        <w:rPr>
          <w:rFonts w:ascii="Arial" w:eastAsia="Arial Unicode MS" w:hAnsi="Arial" w:cs="Arial"/>
          <w:color w:val="auto"/>
          <w:sz w:val="22"/>
          <w:szCs w:val="22"/>
        </w:rPr>
      </w:pPr>
    </w:p>
    <w:p w:rsidR="00BF755E" w:rsidRPr="00F1345F" w:rsidRDefault="00BF755E" w:rsidP="00F1345F">
      <w:pPr>
        <w:pStyle w:val="Default"/>
        <w:spacing w:before="120" w:after="91" w:line="360" w:lineRule="auto"/>
        <w:jc w:val="both"/>
        <w:rPr>
          <w:rFonts w:ascii="Arial" w:eastAsia="Arial Unicode MS" w:hAnsi="Arial" w:cs="Arial"/>
          <w:b/>
          <w:i/>
          <w:color w:val="auto"/>
          <w:sz w:val="22"/>
          <w:szCs w:val="22"/>
        </w:rPr>
      </w:pPr>
      <w:r w:rsidRPr="00F1345F">
        <w:rPr>
          <w:rFonts w:ascii="Arial" w:eastAsia="Arial Unicode MS" w:hAnsi="Arial" w:cs="Arial"/>
          <w:b/>
          <w:color w:val="auto"/>
          <w:sz w:val="22"/>
          <w:szCs w:val="22"/>
        </w:rPr>
        <w:t>Q</w:t>
      </w:r>
      <w:r w:rsidRPr="00F1345F">
        <w:rPr>
          <w:rFonts w:ascii="Arial" w:eastAsia="Arial Unicode MS" w:hAnsi="Arial" w:cs="Arial"/>
          <w:b/>
          <w:i/>
          <w:color w:val="auto"/>
          <w:sz w:val="22"/>
          <w:szCs w:val="22"/>
        </w:rPr>
        <w:t>02: Are the instructions provided in Annex 2 of the draft RTS sufficiently clear?</w:t>
      </w:r>
    </w:p>
    <w:p w:rsidR="00E663CF" w:rsidRPr="00793789" w:rsidRDefault="00E663CF" w:rsidP="00E663CF">
      <w:pPr>
        <w:pStyle w:val="Default"/>
        <w:spacing w:before="120" w:after="91" w:line="360" w:lineRule="auto"/>
        <w:jc w:val="both"/>
        <w:rPr>
          <w:rFonts w:ascii="Arial" w:eastAsia="Arial Unicode MS" w:hAnsi="Arial" w:cs="Arial"/>
          <w:color w:val="auto"/>
          <w:sz w:val="22"/>
          <w:szCs w:val="22"/>
        </w:rPr>
      </w:pPr>
      <w:r w:rsidRPr="00F1345F">
        <w:rPr>
          <w:rFonts w:ascii="Arial" w:eastAsia="Arial Unicode MS" w:hAnsi="Arial" w:cs="Arial"/>
          <w:color w:val="auto"/>
          <w:sz w:val="22"/>
          <w:szCs w:val="22"/>
        </w:rPr>
        <w:t xml:space="preserve">Within Annex II, Part II. column number 080 in the last sentence </w:t>
      </w:r>
      <w:r w:rsidR="00F1345F" w:rsidRPr="00F1345F">
        <w:rPr>
          <w:rFonts w:ascii="Arial" w:eastAsia="Arial Unicode MS" w:hAnsi="Arial" w:cs="Arial"/>
          <w:color w:val="auto"/>
          <w:sz w:val="22"/>
          <w:szCs w:val="22"/>
        </w:rPr>
        <w:t xml:space="preserve">a </w:t>
      </w:r>
      <w:r w:rsidRPr="00F1345F">
        <w:rPr>
          <w:rFonts w:ascii="Arial" w:eastAsia="Arial Unicode MS" w:hAnsi="Arial" w:cs="Arial"/>
          <w:color w:val="auto"/>
          <w:sz w:val="22"/>
          <w:szCs w:val="22"/>
        </w:rPr>
        <w:t xml:space="preserve">reference is made to Article 440 (4) of the Directive 2013/26/EU </w:t>
      </w:r>
      <w:r w:rsidR="00EF458E" w:rsidRPr="00F1345F">
        <w:rPr>
          <w:rFonts w:ascii="Arial" w:eastAsia="Arial Unicode MS" w:hAnsi="Arial" w:cs="Arial"/>
          <w:color w:val="auto"/>
          <w:sz w:val="22"/>
          <w:szCs w:val="22"/>
        </w:rPr>
        <w:t xml:space="preserve">(CRD) </w:t>
      </w:r>
      <w:r w:rsidRPr="00F1345F">
        <w:rPr>
          <w:rFonts w:ascii="Arial" w:eastAsia="Arial Unicode MS" w:hAnsi="Arial" w:cs="Arial"/>
          <w:color w:val="auto"/>
          <w:sz w:val="22"/>
          <w:szCs w:val="22"/>
        </w:rPr>
        <w:t xml:space="preserve">which does not exist. </w:t>
      </w:r>
      <w:r w:rsidR="00EF458E" w:rsidRPr="00F1345F">
        <w:rPr>
          <w:rFonts w:ascii="Arial" w:eastAsia="Arial Unicode MS" w:hAnsi="Arial" w:cs="Arial"/>
          <w:color w:val="auto"/>
          <w:sz w:val="22"/>
          <w:szCs w:val="22"/>
        </w:rPr>
        <w:t>Article 140 (4) CRD should be the correct reference. Beside this we have no further comments.</w:t>
      </w:r>
    </w:p>
    <w:p w:rsidR="00BF755E" w:rsidRPr="00F1345F" w:rsidRDefault="00793789" w:rsidP="00BF755E">
      <w:pPr>
        <w:pStyle w:val="Default"/>
        <w:spacing w:before="120" w:after="91" w:line="360" w:lineRule="auto"/>
        <w:jc w:val="both"/>
        <w:rPr>
          <w:rFonts w:ascii="Arial" w:eastAsia="Arial Unicode MS" w:hAnsi="Arial" w:cs="Arial"/>
          <w:b/>
          <w:i/>
          <w:color w:val="auto"/>
          <w:sz w:val="22"/>
          <w:szCs w:val="22"/>
        </w:rPr>
      </w:pPr>
      <w:r>
        <w:rPr>
          <w:rFonts w:ascii="Arial" w:eastAsia="Arial Unicode MS" w:hAnsi="Arial" w:cs="Arial"/>
          <w:b/>
          <w:i/>
          <w:color w:val="auto"/>
          <w:sz w:val="22"/>
          <w:szCs w:val="22"/>
        </w:rPr>
        <w:br/>
      </w:r>
      <w:r w:rsidR="00BF755E" w:rsidRPr="00F1345F">
        <w:rPr>
          <w:rFonts w:ascii="Arial" w:eastAsia="Arial Unicode MS" w:hAnsi="Arial" w:cs="Arial"/>
          <w:b/>
          <w:i/>
          <w:color w:val="auto"/>
          <w:sz w:val="22"/>
          <w:szCs w:val="22"/>
        </w:rPr>
        <w:t>Q03: Our analysis shows that the costs of implementation are negligible. Do you agree with our assessment? If not please explain why.</w:t>
      </w:r>
    </w:p>
    <w:p w:rsidR="00C20D0F" w:rsidRPr="00F1345F" w:rsidRDefault="00E663CF" w:rsidP="00C20D0F">
      <w:pPr>
        <w:pStyle w:val="Default"/>
        <w:spacing w:before="120" w:after="91" w:line="360" w:lineRule="auto"/>
        <w:jc w:val="both"/>
        <w:rPr>
          <w:rFonts w:ascii="Arial" w:eastAsia="Arial Unicode MS" w:hAnsi="Arial" w:cs="Arial"/>
          <w:color w:val="auto"/>
          <w:sz w:val="22"/>
          <w:szCs w:val="22"/>
        </w:rPr>
      </w:pPr>
      <w:r w:rsidRPr="00F1345F">
        <w:rPr>
          <w:rFonts w:ascii="Arial" w:eastAsia="Arial Unicode MS" w:hAnsi="Arial" w:cs="Arial"/>
          <w:color w:val="auto"/>
          <w:sz w:val="22"/>
          <w:szCs w:val="22"/>
        </w:rPr>
        <w:t>No comments</w:t>
      </w:r>
      <w:r w:rsidR="006E51F4" w:rsidRPr="00F1345F">
        <w:rPr>
          <w:rFonts w:ascii="Arial" w:eastAsia="Arial Unicode MS" w:hAnsi="Arial" w:cs="Arial"/>
          <w:color w:val="auto"/>
          <w:sz w:val="22"/>
          <w:szCs w:val="22"/>
        </w:rPr>
        <w:t>.</w:t>
      </w:r>
    </w:p>
    <w:p w:rsidR="00BF755E" w:rsidRPr="00F1345F" w:rsidRDefault="00BF755E" w:rsidP="00C20D0F">
      <w:pPr>
        <w:pStyle w:val="Default"/>
        <w:spacing w:before="120" w:after="91" w:line="360" w:lineRule="auto"/>
        <w:jc w:val="both"/>
        <w:rPr>
          <w:rFonts w:ascii="Arial" w:eastAsia="Arial Unicode MS" w:hAnsi="Arial" w:cs="Arial"/>
          <w:b/>
          <w:i/>
          <w:color w:val="auto"/>
          <w:sz w:val="22"/>
          <w:szCs w:val="22"/>
        </w:rPr>
      </w:pPr>
      <w:bookmarkStart w:id="0" w:name="_GoBack"/>
      <w:bookmarkEnd w:id="0"/>
    </w:p>
    <w:p w:rsidR="00E663CF" w:rsidRPr="00F1345F" w:rsidRDefault="00E663CF" w:rsidP="00C20D0F">
      <w:pPr>
        <w:pStyle w:val="Default"/>
        <w:spacing w:before="120" w:after="91" w:line="360" w:lineRule="auto"/>
        <w:jc w:val="both"/>
        <w:rPr>
          <w:rFonts w:ascii="Arial" w:eastAsia="Arial Unicode MS" w:hAnsi="Arial" w:cs="Arial"/>
          <w:b/>
          <w:i/>
          <w:color w:val="auto"/>
          <w:sz w:val="22"/>
          <w:szCs w:val="22"/>
        </w:rPr>
      </w:pPr>
    </w:p>
    <w:p w:rsidR="00047136" w:rsidRPr="00F1345F" w:rsidRDefault="00E8666F" w:rsidP="00E05702">
      <w:pPr>
        <w:pStyle w:val="Default"/>
        <w:tabs>
          <w:tab w:val="num" w:pos="720"/>
        </w:tabs>
        <w:spacing w:before="240" w:after="240" w:line="360" w:lineRule="auto"/>
        <w:jc w:val="center"/>
        <w:rPr>
          <w:rFonts w:ascii="Arial" w:eastAsia="Arial Unicode MS" w:hAnsi="Arial" w:cs="Arial"/>
          <w:color w:val="auto"/>
        </w:rPr>
      </w:pPr>
      <w:r w:rsidRPr="00F1345F">
        <w:rPr>
          <w:rFonts w:ascii="Arial" w:eastAsia="Arial Unicode MS" w:hAnsi="Arial" w:cs="Arial"/>
          <w:color w:val="auto"/>
        </w:rPr>
        <w:t>***</w:t>
      </w:r>
    </w:p>
    <w:p w:rsidR="00394730" w:rsidRPr="00F1345F" w:rsidRDefault="00FD74D9" w:rsidP="004E00AD">
      <w:pPr>
        <w:widowControl/>
        <w:autoSpaceDE w:val="0"/>
        <w:autoSpaceDN w:val="0"/>
        <w:adjustRightInd w:val="0"/>
        <w:spacing w:line="360" w:lineRule="auto"/>
        <w:jc w:val="both"/>
        <w:rPr>
          <w:rFonts w:ascii="Arial" w:hAnsi="Arial" w:cs="Arial"/>
          <w:szCs w:val="22"/>
          <w:lang w:eastAsia="de-DE"/>
        </w:rPr>
      </w:pPr>
      <w:r w:rsidRPr="00F1345F">
        <w:rPr>
          <w:rFonts w:ascii="Arial" w:hAnsi="Arial" w:cs="Arial"/>
          <w:szCs w:val="22"/>
          <w:lang w:eastAsia="de-DE"/>
        </w:rPr>
        <w:t>We hope that our comments</w:t>
      </w:r>
      <w:r w:rsidR="00945AA6" w:rsidRPr="00F1345F">
        <w:rPr>
          <w:rFonts w:ascii="Arial" w:hAnsi="Arial" w:cs="Arial"/>
          <w:szCs w:val="22"/>
          <w:lang w:eastAsia="de-DE"/>
        </w:rPr>
        <w:t xml:space="preserve"> submitted</w:t>
      </w:r>
      <w:r w:rsidRPr="00F1345F">
        <w:rPr>
          <w:rFonts w:ascii="Arial" w:hAnsi="Arial" w:cs="Arial"/>
          <w:szCs w:val="22"/>
          <w:lang w:eastAsia="de-DE"/>
        </w:rPr>
        <w:t xml:space="preserve"> are useful in the further process and are taken </w:t>
      </w:r>
      <w:r w:rsidR="00945AA6" w:rsidRPr="00F1345F">
        <w:rPr>
          <w:rFonts w:ascii="Arial" w:hAnsi="Arial" w:cs="Arial"/>
          <w:szCs w:val="22"/>
          <w:lang w:eastAsia="de-DE"/>
        </w:rPr>
        <w:t>into a</w:t>
      </w:r>
      <w:r w:rsidR="00945AA6" w:rsidRPr="00F1345F">
        <w:rPr>
          <w:rFonts w:ascii="Arial" w:hAnsi="Arial" w:cs="Arial"/>
          <w:szCs w:val="22"/>
          <w:lang w:eastAsia="de-DE"/>
        </w:rPr>
        <w:t>c</w:t>
      </w:r>
      <w:r w:rsidR="00945AA6" w:rsidRPr="00F1345F">
        <w:rPr>
          <w:rFonts w:ascii="Arial" w:hAnsi="Arial" w:cs="Arial"/>
          <w:szCs w:val="22"/>
          <w:lang w:eastAsia="de-DE"/>
        </w:rPr>
        <w:t>count while going forward</w:t>
      </w:r>
      <w:r w:rsidR="00394730" w:rsidRPr="00F1345F">
        <w:rPr>
          <w:rFonts w:ascii="Arial" w:hAnsi="Arial" w:cs="Arial"/>
          <w:szCs w:val="22"/>
          <w:lang w:eastAsia="de-DE"/>
        </w:rPr>
        <w:t>. We are happy to discuss any question related to the comments made.</w:t>
      </w:r>
    </w:p>
    <w:p w:rsidR="00E8666F" w:rsidRPr="00F1345F" w:rsidRDefault="00E8666F" w:rsidP="004E00AD">
      <w:pPr>
        <w:pStyle w:val="Default"/>
        <w:spacing w:after="120" w:line="280" w:lineRule="atLeast"/>
        <w:jc w:val="both"/>
        <w:rPr>
          <w:rFonts w:ascii="Arial" w:hAnsi="Arial" w:cs="Arial"/>
          <w:color w:val="auto"/>
          <w:sz w:val="22"/>
          <w:szCs w:val="22"/>
        </w:rPr>
      </w:pPr>
    </w:p>
    <w:p w:rsidR="005149B4" w:rsidRPr="00F1345F" w:rsidRDefault="005149B4" w:rsidP="004E00AD">
      <w:pPr>
        <w:pStyle w:val="Default"/>
        <w:spacing w:after="120" w:line="280" w:lineRule="atLeast"/>
        <w:jc w:val="both"/>
        <w:rPr>
          <w:rFonts w:ascii="Arial" w:hAnsi="Arial" w:cs="Arial"/>
          <w:color w:val="auto"/>
          <w:sz w:val="22"/>
          <w:szCs w:val="22"/>
        </w:rPr>
      </w:pPr>
    </w:p>
    <w:p w:rsidR="00C97C8F" w:rsidRPr="00F1345F" w:rsidRDefault="004B0416" w:rsidP="004E00AD">
      <w:pPr>
        <w:pStyle w:val="Default"/>
        <w:spacing w:before="120" w:after="91"/>
        <w:jc w:val="both"/>
        <w:rPr>
          <w:rFonts w:ascii="Arial" w:hAnsi="Arial" w:cs="Arial"/>
          <w:color w:val="auto"/>
          <w:sz w:val="22"/>
          <w:szCs w:val="22"/>
          <w:lang w:val="de-DE"/>
        </w:rPr>
      </w:pPr>
      <w:r w:rsidRPr="00F1345F">
        <w:rPr>
          <w:rFonts w:ascii="Arial" w:hAnsi="Arial" w:cs="Arial"/>
          <w:color w:val="auto"/>
          <w:sz w:val="22"/>
          <w:szCs w:val="22"/>
          <w:lang w:val="de-DE"/>
        </w:rPr>
        <w:t>Eschborn</w:t>
      </w:r>
    </w:p>
    <w:p w:rsidR="00A83F6D" w:rsidRPr="00F1345F" w:rsidRDefault="00A83F6D" w:rsidP="004E00AD">
      <w:pPr>
        <w:pStyle w:val="Default"/>
        <w:spacing w:before="120" w:after="91"/>
        <w:jc w:val="both"/>
        <w:rPr>
          <w:rFonts w:ascii="Arial" w:hAnsi="Arial" w:cs="Arial"/>
          <w:color w:val="auto"/>
          <w:sz w:val="22"/>
          <w:szCs w:val="22"/>
          <w:lang w:val="de-DE"/>
        </w:rPr>
      </w:pPr>
    </w:p>
    <w:p w:rsidR="00025BE4" w:rsidRPr="00F1345F" w:rsidRDefault="00BF755E" w:rsidP="004E00AD">
      <w:pPr>
        <w:pStyle w:val="Default"/>
        <w:spacing w:before="120" w:after="91"/>
        <w:jc w:val="both"/>
        <w:rPr>
          <w:rFonts w:ascii="Arial" w:hAnsi="Arial" w:cs="Arial"/>
          <w:color w:val="auto"/>
          <w:sz w:val="22"/>
          <w:szCs w:val="22"/>
          <w:lang w:val="de-DE"/>
        </w:rPr>
      </w:pPr>
      <w:r w:rsidRPr="00F1345F">
        <w:rPr>
          <w:rFonts w:ascii="Arial" w:hAnsi="Arial" w:cs="Arial"/>
          <w:color w:val="auto"/>
          <w:sz w:val="22"/>
          <w:szCs w:val="22"/>
          <w:lang w:val="de-DE"/>
        </w:rPr>
        <w:t>26</w:t>
      </w:r>
      <w:r w:rsidR="004B0416" w:rsidRPr="00F1345F">
        <w:rPr>
          <w:rFonts w:ascii="Arial" w:hAnsi="Arial" w:cs="Arial"/>
          <w:color w:val="auto"/>
          <w:sz w:val="22"/>
          <w:szCs w:val="22"/>
          <w:lang w:val="de-DE"/>
        </w:rPr>
        <w:t xml:space="preserve"> </w:t>
      </w:r>
      <w:r w:rsidR="00C20D0F" w:rsidRPr="00F1345F">
        <w:rPr>
          <w:rFonts w:ascii="Arial" w:hAnsi="Arial" w:cs="Arial"/>
          <w:color w:val="auto"/>
          <w:sz w:val="22"/>
          <w:szCs w:val="22"/>
          <w:lang w:val="de-DE"/>
        </w:rPr>
        <w:t xml:space="preserve">September </w:t>
      </w:r>
      <w:r w:rsidR="00DF764D" w:rsidRPr="00F1345F">
        <w:rPr>
          <w:rFonts w:ascii="Arial" w:hAnsi="Arial" w:cs="Arial"/>
          <w:color w:val="auto"/>
          <w:sz w:val="22"/>
          <w:szCs w:val="22"/>
          <w:lang w:val="de-DE"/>
        </w:rPr>
        <w:t>201</w:t>
      </w:r>
      <w:r w:rsidR="00300A16" w:rsidRPr="00F1345F">
        <w:rPr>
          <w:rFonts w:ascii="Arial" w:hAnsi="Arial" w:cs="Arial"/>
          <w:color w:val="auto"/>
          <w:sz w:val="22"/>
          <w:szCs w:val="22"/>
          <w:lang w:val="de-DE"/>
        </w:rPr>
        <w:t>4</w:t>
      </w:r>
    </w:p>
    <w:p w:rsidR="004B0416" w:rsidRPr="00F1345F" w:rsidRDefault="004B0416" w:rsidP="004E00AD">
      <w:pPr>
        <w:pStyle w:val="Default"/>
        <w:spacing w:before="120" w:after="91"/>
        <w:jc w:val="both"/>
        <w:rPr>
          <w:rFonts w:ascii="Arial" w:hAnsi="Arial" w:cs="Arial"/>
          <w:color w:val="auto"/>
          <w:sz w:val="22"/>
          <w:szCs w:val="22"/>
          <w:lang w:val="de-DE"/>
        </w:rPr>
      </w:pPr>
    </w:p>
    <w:p w:rsidR="00C20D0F" w:rsidRPr="00F1345F" w:rsidRDefault="00C20D0F" w:rsidP="004E00AD">
      <w:pPr>
        <w:pStyle w:val="Default"/>
        <w:spacing w:before="120" w:after="91"/>
        <w:jc w:val="both"/>
        <w:rPr>
          <w:rFonts w:ascii="Arial" w:hAnsi="Arial" w:cs="Arial"/>
          <w:color w:val="auto"/>
          <w:sz w:val="22"/>
          <w:szCs w:val="22"/>
          <w:lang w:val="de-DE"/>
        </w:rPr>
      </w:pPr>
    </w:p>
    <w:p w:rsidR="00047136" w:rsidRPr="00F1345F" w:rsidRDefault="00047136" w:rsidP="004E00AD">
      <w:pPr>
        <w:pStyle w:val="Default"/>
        <w:spacing w:before="120" w:after="91"/>
        <w:jc w:val="both"/>
        <w:rPr>
          <w:rFonts w:ascii="Arial" w:hAnsi="Arial" w:cs="Arial"/>
          <w:color w:val="auto"/>
          <w:sz w:val="22"/>
          <w:szCs w:val="22"/>
          <w:lang w:val="de-DE"/>
        </w:rPr>
      </w:pPr>
    </w:p>
    <w:p w:rsidR="004B0416" w:rsidRPr="00F1345F" w:rsidRDefault="00822520" w:rsidP="004E00AD">
      <w:pPr>
        <w:pStyle w:val="Default"/>
        <w:spacing w:before="120" w:after="91"/>
        <w:jc w:val="both"/>
        <w:rPr>
          <w:rFonts w:ascii="Arial" w:hAnsi="Arial" w:cs="Arial"/>
          <w:color w:val="auto"/>
          <w:sz w:val="22"/>
          <w:szCs w:val="22"/>
          <w:lang w:val="de-DE"/>
        </w:rPr>
      </w:pPr>
      <w:r w:rsidRPr="00F1345F">
        <w:rPr>
          <w:rFonts w:ascii="Arial" w:hAnsi="Arial" w:cs="Arial"/>
          <w:color w:val="auto"/>
          <w:sz w:val="22"/>
          <w:szCs w:val="22"/>
          <w:lang w:val="de-DE"/>
        </w:rPr>
        <w:t>Jürgen</w:t>
      </w:r>
      <w:r w:rsidR="004B0416" w:rsidRPr="00F1345F">
        <w:rPr>
          <w:rFonts w:ascii="Arial" w:hAnsi="Arial" w:cs="Arial"/>
          <w:color w:val="auto"/>
          <w:sz w:val="22"/>
          <w:szCs w:val="22"/>
          <w:lang w:val="de-DE"/>
        </w:rPr>
        <w:t xml:space="preserve"> Hillen</w:t>
      </w:r>
      <w:r w:rsidR="00047136" w:rsidRPr="00F1345F">
        <w:rPr>
          <w:rFonts w:ascii="Arial" w:hAnsi="Arial" w:cs="Arial"/>
          <w:color w:val="auto"/>
          <w:sz w:val="22"/>
          <w:szCs w:val="22"/>
          <w:lang w:val="de-DE"/>
        </w:rPr>
        <w:tab/>
      </w:r>
      <w:r w:rsidR="00047136" w:rsidRPr="00F1345F">
        <w:rPr>
          <w:rFonts w:ascii="Arial" w:hAnsi="Arial" w:cs="Arial"/>
          <w:color w:val="auto"/>
          <w:sz w:val="22"/>
          <w:szCs w:val="22"/>
          <w:lang w:val="de-DE"/>
        </w:rPr>
        <w:tab/>
      </w:r>
      <w:r w:rsidR="00047136" w:rsidRPr="00F1345F">
        <w:rPr>
          <w:rFonts w:ascii="Arial" w:hAnsi="Arial" w:cs="Arial"/>
          <w:color w:val="auto"/>
          <w:sz w:val="22"/>
          <w:szCs w:val="22"/>
          <w:lang w:val="de-DE"/>
        </w:rPr>
        <w:tab/>
        <w:t xml:space="preserve">Matthias </w:t>
      </w:r>
      <w:proofErr w:type="spellStart"/>
      <w:r w:rsidR="00047136" w:rsidRPr="00F1345F">
        <w:rPr>
          <w:rFonts w:ascii="Arial" w:hAnsi="Arial" w:cs="Arial"/>
          <w:color w:val="auto"/>
          <w:sz w:val="22"/>
          <w:szCs w:val="22"/>
          <w:lang w:val="de-DE"/>
        </w:rPr>
        <w:t>Oßmann</w:t>
      </w:r>
      <w:proofErr w:type="spellEnd"/>
    </w:p>
    <w:sectPr w:rsidR="004B0416" w:rsidRPr="00F1345F" w:rsidSect="00A83F6D">
      <w:headerReference w:type="default" r:id="rId9"/>
      <w:pgSz w:w="11906" w:h="16838"/>
      <w:pgMar w:top="1247"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B7D" w:rsidRDefault="00AC7B7D">
      <w:pPr>
        <w:spacing w:line="240" w:lineRule="auto"/>
      </w:pPr>
      <w:r>
        <w:separator/>
      </w:r>
    </w:p>
  </w:endnote>
  <w:endnote w:type="continuationSeparator" w:id="0">
    <w:p w:rsidR="00AC7B7D" w:rsidRDefault="00AC7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rostil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B7D" w:rsidRDefault="00AC7B7D">
      <w:pPr>
        <w:spacing w:line="240" w:lineRule="auto"/>
      </w:pPr>
      <w:r>
        <w:separator/>
      </w:r>
    </w:p>
  </w:footnote>
  <w:footnote w:type="continuationSeparator" w:id="0">
    <w:p w:rsidR="00AC7B7D" w:rsidRDefault="00AC7B7D">
      <w:pPr>
        <w:spacing w:line="240" w:lineRule="auto"/>
      </w:pPr>
      <w:r>
        <w:continuationSeparator/>
      </w:r>
    </w:p>
  </w:footnote>
  <w:footnote w:id="1">
    <w:p w:rsidR="001B038B" w:rsidRPr="0020388E" w:rsidRDefault="001B038B" w:rsidP="00523B00">
      <w:pPr>
        <w:pStyle w:val="Funotentext"/>
        <w:rPr>
          <w:rFonts w:ascii="Eurostile" w:hAnsi="Eurostile"/>
        </w:rPr>
      </w:pPr>
      <w:r w:rsidRPr="00AC49D4">
        <w:rPr>
          <w:rStyle w:val="Funotenzeichen"/>
          <w:rFonts w:ascii="Arial" w:hAnsi="Arial" w:cs="Arial"/>
        </w:rPr>
        <w:footnoteRef/>
      </w:r>
      <w:r w:rsidRPr="00AC49D4">
        <w:rPr>
          <w:rStyle w:val="Funotenzeichen"/>
          <w:rFonts w:ascii="Arial" w:hAnsi="Arial" w:cs="Arial"/>
        </w:rPr>
        <w:t xml:space="preserve"> </w:t>
      </w:r>
      <w:r w:rsidRPr="00B0123B">
        <w:rPr>
          <w:rFonts w:ascii="Arial" w:hAnsi="Arial" w:cs="Arial"/>
        </w:rPr>
        <w:t>(International) Central Securities Depository</w:t>
      </w:r>
      <w:r w:rsidR="00B0123B">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8B" w:rsidRPr="00AD51BC" w:rsidRDefault="001B038B" w:rsidP="00701FAA">
    <w:pPr>
      <w:pStyle w:val="Kopfzeile"/>
      <w:spacing w:line="320" w:lineRule="exact"/>
      <w:rPr>
        <w:rStyle w:val="Seitenzahl"/>
        <w:rFonts w:ascii="Arial" w:hAnsi="Arial" w:cs="Arial"/>
        <w:sz w:val="10"/>
        <w:szCs w:val="10"/>
      </w:rPr>
    </w:pPr>
    <w:r w:rsidRPr="00AD51BC">
      <w:rPr>
        <w:rFonts w:ascii="Eurostile" w:hAnsi="Eurostile" w:cs="Arial"/>
        <w:sz w:val="18"/>
        <w:szCs w:val="18"/>
      </w:rPr>
      <w:t xml:space="preserve">Deutsche </w:t>
    </w:r>
    <w:proofErr w:type="spellStart"/>
    <w:r w:rsidRPr="00AD51BC">
      <w:rPr>
        <w:rFonts w:ascii="Eurostile" w:hAnsi="Eurostile" w:cs="Arial"/>
        <w:sz w:val="18"/>
        <w:szCs w:val="18"/>
      </w:rPr>
      <w:t>Börse</w:t>
    </w:r>
    <w:proofErr w:type="spellEnd"/>
    <w:r w:rsidRPr="00AD51BC">
      <w:rPr>
        <w:rFonts w:ascii="Eurostile" w:hAnsi="Eurostile" w:cs="Arial"/>
        <w:sz w:val="18"/>
        <w:szCs w:val="18"/>
      </w:rPr>
      <w:t xml:space="preserve"> Group Position Paper </w:t>
    </w:r>
    <w:r w:rsidR="00074D13">
      <w:rPr>
        <w:rFonts w:ascii="Eurostile" w:hAnsi="Eurostile" w:cs="Arial"/>
        <w:sz w:val="18"/>
        <w:szCs w:val="18"/>
      </w:rPr>
      <w:t xml:space="preserve">on EBA </w:t>
    </w:r>
    <w:r w:rsidR="00B53DCA">
      <w:rPr>
        <w:rFonts w:ascii="Eurostile" w:hAnsi="Eurostile" w:cs="Arial"/>
        <w:sz w:val="18"/>
        <w:szCs w:val="18"/>
      </w:rPr>
      <w:t>Consultation</w:t>
    </w:r>
    <w:r w:rsidR="00B003C6" w:rsidRPr="00B003C6">
      <w:rPr>
        <w:rFonts w:ascii="Eurostile" w:hAnsi="Eurostile" w:cs="Arial"/>
        <w:sz w:val="18"/>
        <w:szCs w:val="18"/>
      </w:rPr>
      <w:t xml:space="preserve"> </w:t>
    </w:r>
    <w:r w:rsidR="00074D13">
      <w:rPr>
        <w:rFonts w:ascii="Eurostile" w:hAnsi="Eurostile" w:cs="Arial"/>
        <w:sz w:val="18"/>
        <w:szCs w:val="18"/>
      </w:rPr>
      <w:t>Paper</w:t>
    </w:r>
    <w:r>
      <w:rPr>
        <w:rFonts w:ascii="Eurostile" w:hAnsi="Eurostile" w:cs="Arial"/>
        <w:sz w:val="18"/>
        <w:szCs w:val="18"/>
      </w:rPr>
      <w:t xml:space="preserve"> </w:t>
    </w:r>
    <w:r>
      <w:rPr>
        <w:rFonts w:ascii="Eurostile" w:hAnsi="Eurostile" w:cs="Arial"/>
        <w:sz w:val="18"/>
        <w:szCs w:val="18"/>
      </w:rPr>
      <w:tab/>
    </w:r>
    <w:r w:rsidRPr="00AD51BC">
      <w:rPr>
        <w:rFonts w:ascii="Eurostile" w:hAnsi="Eurostile" w:cs="Arial"/>
        <w:sz w:val="18"/>
        <w:szCs w:val="18"/>
      </w:rPr>
      <w:t xml:space="preserve">Page </w:t>
    </w:r>
    <w:r w:rsidRPr="00AD51BC">
      <w:rPr>
        <w:rStyle w:val="Seitenzahl"/>
        <w:rFonts w:ascii="Eurostile" w:hAnsi="Eurostile" w:cs="Arial"/>
        <w:sz w:val="18"/>
        <w:szCs w:val="18"/>
      </w:rPr>
      <w:fldChar w:fldCharType="begin"/>
    </w:r>
    <w:r w:rsidRPr="00AD51BC">
      <w:rPr>
        <w:rStyle w:val="Seitenzahl"/>
        <w:rFonts w:ascii="Eurostile" w:hAnsi="Eurostile" w:cs="Arial"/>
        <w:sz w:val="18"/>
        <w:szCs w:val="18"/>
      </w:rPr>
      <w:instrText xml:space="preserve"> PAGE </w:instrText>
    </w:r>
    <w:r w:rsidRPr="00AD51BC">
      <w:rPr>
        <w:rStyle w:val="Seitenzahl"/>
        <w:rFonts w:ascii="Eurostile" w:hAnsi="Eurostile" w:cs="Arial"/>
        <w:sz w:val="18"/>
        <w:szCs w:val="18"/>
      </w:rPr>
      <w:fldChar w:fldCharType="separate"/>
    </w:r>
    <w:r w:rsidR="00D44120">
      <w:rPr>
        <w:rStyle w:val="Seitenzahl"/>
        <w:rFonts w:ascii="Eurostile" w:hAnsi="Eurostile" w:cs="Arial"/>
        <w:noProof/>
        <w:sz w:val="18"/>
        <w:szCs w:val="18"/>
      </w:rPr>
      <w:t>2</w:t>
    </w:r>
    <w:r w:rsidRPr="00AD51BC">
      <w:rPr>
        <w:rStyle w:val="Seitenzahl"/>
        <w:rFonts w:ascii="Eurostile" w:hAnsi="Eurostile" w:cs="Arial"/>
        <w:sz w:val="18"/>
        <w:szCs w:val="18"/>
      </w:rPr>
      <w:fldChar w:fldCharType="end"/>
    </w:r>
    <w:r w:rsidRPr="00AD51BC">
      <w:rPr>
        <w:rStyle w:val="Seitenzahl"/>
        <w:rFonts w:ascii="Eurostile" w:hAnsi="Eurostile" w:cs="Arial"/>
        <w:sz w:val="18"/>
        <w:szCs w:val="18"/>
      </w:rPr>
      <w:t xml:space="preserve"> of </w:t>
    </w:r>
    <w:r w:rsidRPr="00AD51BC">
      <w:rPr>
        <w:rStyle w:val="Seitenzahl"/>
        <w:rFonts w:ascii="Eurostile" w:hAnsi="Eurostile" w:cs="Arial"/>
        <w:sz w:val="18"/>
        <w:szCs w:val="18"/>
      </w:rPr>
      <w:fldChar w:fldCharType="begin"/>
    </w:r>
    <w:r w:rsidRPr="00AD51BC">
      <w:rPr>
        <w:rStyle w:val="Seitenzahl"/>
        <w:rFonts w:ascii="Eurostile" w:hAnsi="Eurostile" w:cs="Arial"/>
        <w:sz w:val="18"/>
        <w:szCs w:val="18"/>
      </w:rPr>
      <w:instrText xml:space="preserve"> NUMPAGES </w:instrText>
    </w:r>
    <w:r w:rsidRPr="00AD51BC">
      <w:rPr>
        <w:rStyle w:val="Seitenzahl"/>
        <w:rFonts w:ascii="Eurostile" w:hAnsi="Eurostile" w:cs="Arial"/>
        <w:sz w:val="18"/>
        <w:szCs w:val="18"/>
      </w:rPr>
      <w:fldChar w:fldCharType="separate"/>
    </w:r>
    <w:r w:rsidR="00D44120">
      <w:rPr>
        <w:rStyle w:val="Seitenzahl"/>
        <w:rFonts w:ascii="Eurostile" w:hAnsi="Eurostile" w:cs="Arial"/>
        <w:noProof/>
        <w:sz w:val="18"/>
        <w:szCs w:val="18"/>
      </w:rPr>
      <w:t>3</w:t>
    </w:r>
    <w:r w:rsidRPr="00AD51BC">
      <w:rPr>
        <w:rStyle w:val="Seitenzahl"/>
        <w:rFonts w:ascii="Eurostile" w:hAnsi="Eurostile" w:cs="Arial"/>
        <w:sz w:val="18"/>
        <w:szCs w:val="18"/>
      </w:rPr>
      <w:fldChar w:fldCharType="end"/>
    </w:r>
  </w:p>
  <w:p w:rsidR="001B038B" w:rsidRPr="00EF0475" w:rsidRDefault="00074D13" w:rsidP="00EC7B09">
    <w:pPr>
      <w:widowControl/>
      <w:autoSpaceDE w:val="0"/>
      <w:autoSpaceDN w:val="0"/>
      <w:adjustRightInd w:val="0"/>
      <w:spacing w:line="320" w:lineRule="exact"/>
      <w:rPr>
        <w:rStyle w:val="Seitenzahl"/>
        <w:rFonts w:ascii="Eurostile" w:hAnsi="Eurostile" w:cs="Arial"/>
        <w:sz w:val="18"/>
        <w:szCs w:val="18"/>
      </w:rPr>
    </w:pPr>
    <w:r>
      <w:rPr>
        <w:rFonts w:ascii="Eurostile" w:hAnsi="Eurostile" w:cs="Arial"/>
        <w:sz w:val="18"/>
        <w:szCs w:val="18"/>
      </w:rPr>
      <w:t>“</w:t>
    </w:r>
    <w:r w:rsidR="00515393">
      <w:rPr>
        <w:rFonts w:ascii="Eurostile" w:hAnsi="Eurostile" w:cs="Arial"/>
        <w:sz w:val="18"/>
        <w:szCs w:val="18"/>
      </w:rPr>
      <w:t>On the d</w:t>
    </w:r>
    <w:r w:rsidR="00515393" w:rsidRPr="00515393">
      <w:rPr>
        <w:rFonts w:ascii="Eurostile" w:hAnsi="Eurostile" w:cs="Arial"/>
        <w:sz w:val="18"/>
        <w:szCs w:val="18"/>
      </w:rPr>
      <w:t>raft regulatory technical standards on disclosure of information in relation to the compliance of institutions with the requirement for a countercyclical capital buffer under Article 440 of Regulation (EU) No 575/2013 (Capital Requirements Regulation – CRR)</w:t>
    </w:r>
    <w:r w:rsidR="00515393">
      <w:rPr>
        <w:rFonts w:ascii="Eurostile" w:hAnsi="Eurostile" w:cs="Arial"/>
        <w:sz w:val="18"/>
        <w:szCs w:val="18"/>
      </w:rPr>
      <w:t xml:space="preserve"> - </w:t>
    </w:r>
    <w:r w:rsidR="00B003C6">
      <w:rPr>
        <w:rFonts w:ascii="Eurostile" w:hAnsi="Eurostile" w:cs="Arial"/>
        <w:sz w:val="18"/>
        <w:szCs w:val="18"/>
      </w:rPr>
      <w:t>EBA/</w:t>
    </w:r>
    <w:r w:rsidR="00B53DCA">
      <w:rPr>
        <w:rFonts w:ascii="Eurostile" w:hAnsi="Eurostile" w:cs="Arial"/>
        <w:sz w:val="18"/>
        <w:szCs w:val="18"/>
      </w:rPr>
      <w:t>C</w:t>
    </w:r>
    <w:r w:rsidR="00B003C6">
      <w:rPr>
        <w:rFonts w:ascii="Eurostile" w:hAnsi="Eurostile" w:cs="Arial"/>
        <w:sz w:val="18"/>
        <w:szCs w:val="18"/>
      </w:rPr>
      <w:t>P/2014/</w:t>
    </w:r>
    <w:r w:rsidR="00515393">
      <w:rPr>
        <w:rFonts w:ascii="Eurostile" w:hAnsi="Eurostile" w:cs="Arial"/>
        <w:sz w:val="18"/>
        <w:szCs w:val="18"/>
      </w:rPr>
      <w:t>11</w:t>
    </w:r>
    <w:r w:rsidR="0037045A">
      <w:rPr>
        <w:rFonts w:ascii="Eurostile" w:hAnsi="Eurostile" w:cs="Arial"/>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80186"/>
    <w:multiLevelType w:val="hybridMultilevel"/>
    <w:tmpl w:val="6508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7B2413"/>
    <w:multiLevelType w:val="hybridMultilevel"/>
    <w:tmpl w:val="5F24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735832"/>
    <w:multiLevelType w:val="hybridMultilevel"/>
    <w:tmpl w:val="EC0E621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56664FBD"/>
    <w:multiLevelType w:val="hybridMultilevel"/>
    <w:tmpl w:val="7638CCAA"/>
    <w:lvl w:ilvl="0" w:tplc="08090001">
      <w:start w:val="1"/>
      <w:numFmt w:val="bullet"/>
      <w:lvlText w:val=""/>
      <w:lvlJc w:val="left"/>
      <w:pPr>
        <w:tabs>
          <w:tab w:val="num" w:pos="720"/>
        </w:tabs>
        <w:ind w:left="720" w:hanging="720"/>
      </w:pPr>
      <w:rPr>
        <w:rFonts w:ascii="Symbol" w:hAnsi="Symbol" w:hint="default"/>
      </w:r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nsid w:val="56D62266"/>
    <w:multiLevelType w:val="hybridMultilevel"/>
    <w:tmpl w:val="13308922"/>
    <w:lvl w:ilvl="0" w:tplc="3CCE2F3E">
      <w:start w:val="1"/>
      <w:numFmt w:val="lowerRoman"/>
      <w:lvlText w:val="(%1)"/>
      <w:lvlJc w:val="left"/>
      <w:pPr>
        <w:tabs>
          <w:tab w:val="num" w:pos="1080"/>
        </w:tabs>
        <w:ind w:left="1080" w:hanging="72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583A6B89"/>
    <w:multiLevelType w:val="hybridMultilevel"/>
    <w:tmpl w:val="7F684788"/>
    <w:lvl w:ilvl="0" w:tplc="3356C650">
      <w:start w:val="1"/>
      <w:numFmt w:val="upperLetter"/>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C4B7238"/>
    <w:multiLevelType w:val="hybridMultilevel"/>
    <w:tmpl w:val="62E67342"/>
    <w:lvl w:ilvl="0" w:tplc="CBAAD8D8">
      <w:numFmt w:val="bullet"/>
      <w:lvlText w:val=""/>
      <w:lvlJc w:val="left"/>
      <w:pPr>
        <w:ind w:left="720" w:hanging="360"/>
      </w:pPr>
      <w:rPr>
        <w:rFonts w:ascii="Wingdings" w:eastAsia="Arial Unicode MS" w:hAnsi="Wingdings"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8C53C5"/>
    <w:multiLevelType w:val="hybridMultilevel"/>
    <w:tmpl w:val="07C45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044595"/>
    <w:multiLevelType w:val="hybridMultilevel"/>
    <w:tmpl w:val="4220163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735E3B3C"/>
    <w:multiLevelType w:val="hybridMultilevel"/>
    <w:tmpl w:val="55BC85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931298B"/>
    <w:multiLevelType w:val="hybridMultilevel"/>
    <w:tmpl w:val="0966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8"/>
  </w:num>
  <w:num w:numId="5">
    <w:abstractNumId w:val="3"/>
  </w:num>
  <w:num w:numId="6">
    <w:abstractNumId w:val="1"/>
  </w:num>
  <w:num w:numId="7">
    <w:abstractNumId w:val="7"/>
  </w:num>
  <w:num w:numId="8">
    <w:abstractNumId w:val="10"/>
  </w:num>
  <w:num w:numId="9">
    <w:abstractNumId w:val="0"/>
  </w:num>
  <w:num w:numId="10">
    <w:abstractNumId w:val="9"/>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78"/>
    <w:rsid w:val="00002F72"/>
    <w:rsid w:val="000048FC"/>
    <w:rsid w:val="0000594A"/>
    <w:rsid w:val="0001094B"/>
    <w:rsid w:val="000124AA"/>
    <w:rsid w:val="00012862"/>
    <w:rsid w:val="00013C6E"/>
    <w:rsid w:val="0001728A"/>
    <w:rsid w:val="0002065D"/>
    <w:rsid w:val="000216CB"/>
    <w:rsid w:val="0002195D"/>
    <w:rsid w:val="00021E37"/>
    <w:rsid w:val="0002238D"/>
    <w:rsid w:val="00023136"/>
    <w:rsid w:val="00025BE4"/>
    <w:rsid w:val="00026FD8"/>
    <w:rsid w:val="00027D2F"/>
    <w:rsid w:val="000300CB"/>
    <w:rsid w:val="00031BC3"/>
    <w:rsid w:val="00031F47"/>
    <w:rsid w:val="000329F6"/>
    <w:rsid w:val="000349DB"/>
    <w:rsid w:val="00034B53"/>
    <w:rsid w:val="00037DFC"/>
    <w:rsid w:val="0004158D"/>
    <w:rsid w:val="0004252A"/>
    <w:rsid w:val="000425C3"/>
    <w:rsid w:val="00042B4F"/>
    <w:rsid w:val="000440D8"/>
    <w:rsid w:val="000460A3"/>
    <w:rsid w:val="00047136"/>
    <w:rsid w:val="000474C3"/>
    <w:rsid w:val="0004795A"/>
    <w:rsid w:val="00047AEB"/>
    <w:rsid w:val="00050120"/>
    <w:rsid w:val="00051831"/>
    <w:rsid w:val="00051860"/>
    <w:rsid w:val="000526B4"/>
    <w:rsid w:val="00052FB9"/>
    <w:rsid w:val="000531F5"/>
    <w:rsid w:val="00055CCB"/>
    <w:rsid w:val="000566D1"/>
    <w:rsid w:val="000570FB"/>
    <w:rsid w:val="0005778B"/>
    <w:rsid w:val="000600F9"/>
    <w:rsid w:val="00060AE3"/>
    <w:rsid w:val="00061B29"/>
    <w:rsid w:val="00061D6A"/>
    <w:rsid w:val="000627C4"/>
    <w:rsid w:val="0006382C"/>
    <w:rsid w:val="0006522C"/>
    <w:rsid w:val="000669BD"/>
    <w:rsid w:val="000703E7"/>
    <w:rsid w:val="0007116C"/>
    <w:rsid w:val="000714EA"/>
    <w:rsid w:val="00072B09"/>
    <w:rsid w:val="00073179"/>
    <w:rsid w:val="00073BCA"/>
    <w:rsid w:val="00074D13"/>
    <w:rsid w:val="00075938"/>
    <w:rsid w:val="00081753"/>
    <w:rsid w:val="000831BC"/>
    <w:rsid w:val="00084AE2"/>
    <w:rsid w:val="0008715E"/>
    <w:rsid w:val="0009262C"/>
    <w:rsid w:val="000A06A8"/>
    <w:rsid w:val="000A1503"/>
    <w:rsid w:val="000A3487"/>
    <w:rsid w:val="000A385C"/>
    <w:rsid w:val="000A3C40"/>
    <w:rsid w:val="000A499D"/>
    <w:rsid w:val="000A5FD8"/>
    <w:rsid w:val="000A7E20"/>
    <w:rsid w:val="000B3207"/>
    <w:rsid w:val="000B72E0"/>
    <w:rsid w:val="000C033C"/>
    <w:rsid w:val="000C2000"/>
    <w:rsid w:val="000C23E2"/>
    <w:rsid w:val="000C43AB"/>
    <w:rsid w:val="000C4812"/>
    <w:rsid w:val="000C56A0"/>
    <w:rsid w:val="000C6430"/>
    <w:rsid w:val="000C6C64"/>
    <w:rsid w:val="000D2339"/>
    <w:rsid w:val="000D3982"/>
    <w:rsid w:val="000D3F4B"/>
    <w:rsid w:val="000D4521"/>
    <w:rsid w:val="000D540F"/>
    <w:rsid w:val="000D7943"/>
    <w:rsid w:val="000D7AD7"/>
    <w:rsid w:val="000E1DC4"/>
    <w:rsid w:val="000E28B6"/>
    <w:rsid w:val="000E44F8"/>
    <w:rsid w:val="000E512A"/>
    <w:rsid w:val="000E6E80"/>
    <w:rsid w:val="000F190D"/>
    <w:rsid w:val="000F20E4"/>
    <w:rsid w:val="000F4455"/>
    <w:rsid w:val="000F4A0D"/>
    <w:rsid w:val="00105E27"/>
    <w:rsid w:val="00106983"/>
    <w:rsid w:val="00106B94"/>
    <w:rsid w:val="00106DEF"/>
    <w:rsid w:val="00107A34"/>
    <w:rsid w:val="00107BD0"/>
    <w:rsid w:val="0011022A"/>
    <w:rsid w:val="00112A93"/>
    <w:rsid w:val="001133F3"/>
    <w:rsid w:val="001144E4"/>
    <w:rsid w:val="00114C68"/>
    <w:rsid w:val="00116249"/>
    <w:rsid w:val="0011798A"/>
    <w:rsid w:val="0012005E"/>
    <w:rsid w:val="001206CF"/>
    <w:rsid w:val="00121781"/>
    <w:rsid w:val="00123A7C"/>
    <w:rsid w:val="00125FE3"/>
    <w:rsid w:val="00131F9F"/>
    <w:rsid w:val="00131FA8"/>
    <w:rsid w:val="001326BB"/>
    <w:rsid w:val="00133063"/>
    <w:rsid w:val="0013318D"/>
    <w:rsid w:val="00140840"/>
    <w:rsid w:val="001416ED"/>
    <w:rsid w:val="001417C1"/>
    <w:rsid w:val="00142E32"/>
    <w:rsid w:val="00143122"/>
    <w:rsid w:val="00144423"/>
    <w:rsid w:val="00144D46"/>
    <w:rsid w:val="00150AA1"/>
    <w:rsid w:val="00153F11"/>
    <w:rsid w:val="00155691"/>
    <w:rsid w:val="00160E82"/>
    <w:rsid w:val="00160FA4"/>
    <w:rsid w:val="00166D1E"/>
    <w:rsid w:val="00167394"/>
    <w:rsid w:val="00171049"/>
    <w:rsid w:val="001713B1"/>
    <w:rsid w:val="00174068"/>
    <w:rsid w:val="00176E40"/>
    <w:rsid w:val="00180CF2"/>
    <w:rsid w:val="001813C6"/>
    <w:rsid w:val="00182CB7"/>
    <w:rsid w:val="00182D7F"/>
    <w:rsid w:val="00182FB4"/>
    <w:rsid w:val="0018315A"/>
    <w:rsid w:val="001859D1"/>
    <w:rsid w:val="00185BB9"/>
    <w:rsid w:val="00187163"/>
    <w:rsid w:val="00187E77"/>
    <w:rsid w:val="00190660"/>
    <w:rsid w:val="00191585"/>
    <w:rsid w:val="00193D46"/>
    <w:rsid w:val="00194EC3"/>
    <w:rsid w:val="001953F2"/>
    <w:rsid w:val="001963EF"/>
    <w:rsid w:val="001A09D9"/>
    <w:rsid w:val="001A1488"/>
    <w:rsid w:val="001A22E7"/>
    <w:rsid w:val="001A2B70"/>
    <w:rsid w:val="001A522B"/>
    <w:rsid w:val="001A6063"/>
    <w:rsid w:val="001A7688"/>
    <w:rsid w:val="001B038B"/>
    <w:rsid w:val="001B436C"/>
    <w:rsid w:val="001C062B"/>
    <w:rsid w:val="001C1243"/>
    <w:rsid w:val="001C321A"/>
    <w:rsid w:val="001C3C60"/>
    <w:rsid w:val="001C3D43"/>
    <w:rsid w:val="001C48A5"/>
    <w:rsid w:val="001C4A54"/>
    <w:rsid w:val="001C5DA2"/>
    <w:rsid w:val="001C6676"/>
    <w:rsid w:val="001C6E05"/>
    <w:rsid w:val="001D24A8"/>
    <w:rsid w:val="001D4B02"/>
    <w:rsid w:val="001D7770"/>
    <w:rsid w:val="001E36B5"/>
    <w:rsid w:val="001E48C4"/>
    <w:rsid w:val="001E6493"/>
    <w:rsid w:val="001E65CD"/>
    <w:rsid w:val="001E74D6"/>
    <w:rsid w:val="001F2879"/>
    <w:rsid w:val="001F2AA1"/>
    <w:rsid w:val="001F3E8C"/>
    <w:rsid w:val="001F59AD"/>
    <w:rsid w:val="001F6125"/>
    <w:rsid w:val="001F61A9"/>
    <w:rsid w:val="001F678D"/>
    <w:rsid w:val="001F74C3"/>
    <w:rsid w:val="00202A7C"/>
    <w:rsid w:val="00207A0E"/>
    <w:rsid w:val="002112AA"/>
    <w:rsid w:val="00211A79"/>
    <w:rsid w:val="0021360F"/>
    <w:rsid w:val="0021478A"/>
    <w:rsid w:val="00220C23"/>
    <w:rsid w:val="00224C24"/>
    <w:rsid w:val="00225D06"/>
    <w:rsid w:val="002260E5"/>
    <w:rsid w:val="002321D2"/>
    <w:rsid w:val="00233773"/>
    <w:rsid w:val="00236CE9"/>
    <w:rsid w:val="002408D8"/>
    <w:rsid w:val="002415E3"/>
    <w:rsid w:val="00243CA8"/>
    <w:rsid w:val="0024502F"/>
    <w:rsid w:val="00246548"/>
    <w:rsid w:val="0024694F"/>
    <w:rsid w:val="00246E8E"/>
    <w:rsid w:val="002524B8"/>
    <w:rsid w:val="0025262D"/>
    <w:rsid w:val="0025284B"/>
    <w:rsid w:val="002530DE"/>
    <w:rsid w:val="00253AE5"/>
    <w:rsid w:val="00255E01"/>
    <w:rsid w:val="00256C98"/>
    <w:rsid w:val="0026065A"/>
    <w:rsid w:val="00260D83"/>
    <w:rsid w:val="00262051"/>
    <w:rsid w:val="002624AE"/>
    <w:rsid w:val="002632D6"/>
    <w:rsid w:val="00264B4A"/>
    <w:rsid w:val="002662B9"/>
    <w:rsid w:val="00266361"/>
    <w:rsid w:val="00272C6A"/>
    <w:rsid w:val="0028186B"/>
    <w:rsid w:val="00282A0B"/>
    <w:rsid w:val="0028526D"/>
    <w:rsid w:val="00292A61"/>
    <w:rsid w:val="00295219"/>
    <w:rsid w:val="00296C5A"/>
    <w:rsid w:val="002A0F50"/>
    <w:rsid w:val="002A2D62"/>
    <w:rsid w:val="002A5045"/>
    <w:rsid w:val="002A75CE"/>
    <w:rsid w:val="002B0578"/>
    <w:rsid w:val="002B1A7F"/>
    <w:rsid w:val="002B24B3"/>
    <w:rsid w:val="002B2580"/>
    <w:rsid w:val="002B258A"/>
    <w:rsid w:val="002B57BA"/>
    <w:rsid w:val="002B5D86"/>
    <w:rsid w:val="002C31B4"/>
    <w:rsid w:val="002C373B"/>
    <w:rsid w:val="002C3DA8"/>
    <w:rsid w:val="002C427A"/>
    <w:rsid w:val="002C77BB"/>
    <w:rsid w:val="002C78B4"/>
    <w:rsid w:val="002C7F22"/>
    <w:rsid w:val="002D053F"/>
    <w:rsid w:val="002D0B03"/>
    <w:rsid w:val="002D3D76"/>
    <w:rsid w:val="002D3F6F"/>
    <w:rsid w:val="002D51CF"/>
    <w:rsid w:val="002D71AB"/>
    <w:rsid w:val="002E06A5"/>
    <w:rsid w:val="002E22EE"/>
    <w:rsid w:val="002E2596"/>
    <w:rsid w:val="002E2C3F"/>
    <w:rsid w:val="002E2DD1"/>
    <w:rsid w:val="002E351D"/>
    <w:rsid w:val="002E4F8F"/>
    <w:rsid w:val="002E5165"/>
    <w:rsid w:val="002E51BD"/>
    <w:rsid w:val="002E54A1"/>
    <w:rsid w:val="002E6F08"/>
    <w:rsid w:val="002F036D"/>
    <w:rsid w:val="002F13BF"/>
    <w:rsid w:val="002F3053"/>
    <w:rsid w:val="002F4B49"/>
    <w:rsid w:val="00300A16"/>
    <w:rsid w:val="00302440"/>
    <w:rsid w:val="00302A7B"/>
    <w:rsid w:val="003033A2"/>
    <w:rsid w:val="00304890"/>
    <w:rsid w:val="003056A7"/>
    <w:rsid w:val="003062D7"/>
    <w:rsid w:val="00306B48"/>
    <w:rsid w:val="00310908"/>
    <w:rsid w:val="00310B7A"/>
    <w:rsid w:val="00311B46"/>
    <w:rsid w:val="003120D8"/>
    <w:rsid w:val="00312E7A"/>
    <w:rsid w:val="00313C43"/>
    <w:rsid w:val="00313E6D"/>
    <w:rsid w:val="00314770"/>
    <w:rsid w:val="00315884"/>
    <w:rsid w:val="0031653A"/>
    <w:rsid w:val="00325401"/>
    <w:rsid w:val="003301D6"/>
    <w:rsid w:val="003326BC"/>
    <w:rsid w:val="00332B51"/>
    <w:rsid w:val="00333359"/>
    <w:rsid w:val="00333A18"/>
    <w:rsid w:val="00333EB3"/>
    <w:rsid w:val="00334F6E"/>
    <w:rsid w:val="003361DD"/>
    <w:rsid w:val="00336656"/>
    <w:rsid w:val="00337DC8"/>
    <w:rsid w:val="003421A0"/>
    <w:rsid w:val="00343A14"/>
    <w:rsid w:val="00344820"/>
    <w:rsid w:val="00345186"/>
    <w:rsid w:val="003472D9"/>
    <w:rsid w:val="00347B62"/>
    <w:rsid w:val="00350DF2"/>
    <w:rsid w:val="0035419D"/>
    <w:rsid w:val="00355780"/>
    <w:rsid w:val="0035595E"/>
    <w:rsid w:val="00355AB4"/>
    <w:rsid w:val="00356A4D"/>
    <w:rsid w:val="00356E08"/>
    <w:rsid w:val="0036045E"/>
    <w:rsid w:val="00361835"/>
    <w:rsid w:val="003625DF"/>
    <w:rsid w:val="0036268C"/>
    <w:rsid w:val="00363E7A"/>
    <w:rsid w:val="00364BCC"/>
    <w:rsid w:val="00366B0C"/>
    <w:rsid w:val="0037045A"/>
    <w:rsid w:val="003712F9"/>
    <w:rsid w:val="0037335B"/>
    <w:rsid w:val="00373548"/>
    <w:rsid w:val="00375079"/>
    <w:rsid w:val="0037538C"/>
    <w:rsid w:val="00377095"/>
    <w:rsid w:val="00377259"/>
    <w:rsid w:val="00380368"/>
    <w:rsid w:val="003808B6"/>
    <w:rsid w:val="00382C62"/>
    <w:rsid w:val="00384F14"/>
    <w:rsid w:val="00390299"/>
    <w:rsid w:val="0039100E"/>
    <w:rsid w:val="00391381"/>
    <w:rsid w:val="00391540"/>
    <w:rsid w:val="003915F2"/>
    <w:rsid w:val="00391DA2"/>
    <w:rsid w:val="00391ECB"/>
    <w:rsid w:val="00392CC4"/>
    <w:rsid w:val="003937BE"/>
    <w:rsid w:val="00394730"/>
    <w:rsid w:val="00395E65"/>
    <w:rsid w:val="003A11C6"/>
    <w:rsid w:val="003A22C3"/>
    <w:rsid w:val="003A4378"/>
    <w:rsid w:val="003A65DE"/>
    <w:rsid w:val="003A6625"/>
    <w:rsid w:val="003A6789"/>
    <w:rsid w:val="003B01AC"/>
    <w:rsid w:val="003B57D8"/>
    <w:rsid w:val="003B5E98"/>
    <w:rsid w:val="003B63CC"/>
    <w:rsid w:val="003B647C"/>
    <w:rsid w:val="003B72D9"/>
    <w:rsid w:val="003B7E10"/>
    <w:rsid w:val="003C1739"/>
    <w:rsid w:val="003C2157"/>
    <w:rsid w:val="003C273A"/>
    <w:rsid w:val="003C477F"/>
    <w:rsid w:val="003D0C5D"/>
    <w:rsid w:val="003D1706"/>
    <w:rsid w:val="003D360F"/>
    <w:rsid w:val="003D3DBE"/>
    <w:rsid w:val="003D43C1"/>
    <w:rsid w:val="003D570E"/>
    <w:rsid w:val="003E02D4"/>
    <w:rsid w:val="003E1862"/>
    <w:rsid w:val="003E260C"/>
    <w:rsid w:val="003E2765"/>
    <w:rsid w:val="003E393D"/>
    <w:rsid w:val="003E3F44"/>
    <w:rsid w:val="003E4990"/>
    <w:rsid w:val="003E532E"/>
    <w:rsid w:val="003E6722"/>
    <w:rsid w:val="003E706E"/>
    <w:rsid w:val="003F14CF"/>
    <w:rsid w:val="003F2083"/>
    <w:rsid w:val="003F27AB"/>
    <w:rsid w:val="004006CF"/>
    <w:rsid w:val="00400751"/>
    <w:rsid w:val="00400AF5"/>
    <w:rsid w:val="00401156"/>
    <w:rsid w:val="00401674"/>
    <w:rsid w:val="00402911"/>
    <w:rsid w:val="00402E68"/>
    <w:rsid w:val="00403297"/>
    <w:rsid w:val="00404E87"/>
    <w:rsid w:val="00405451"/>
    <w:rsid w:val="004064EE"/>
    <w:rsid w:val="00406A49"/>
    <w:rsid w:val="004114F9"/>
    <w:rsid w:val="004130FC"/>
    <w:rsid w:val="0041462F"/>
    <w:rsid w:val="00414CA3"/>
    <w:rsid w:val="00417084"/>
    <w:rsid w:val="004174A6"/>
    <w:rsid w:val="004174E0"/>
    <w:rsid w:val="004177DD"/>
    <w:rsid w:val="00417C82"/>
    <w:rsid w:val="00421FEC"/>
    <w:rsid w:val="00422CF5"/>
    <w:rsid w:val="00426478"/>
    <w:rsid w:val="004309AC"/>
    <w:rsid w:val="00431B3C"/>
    <w:rsid w:val="0043638E"/>
    <w:rsid w:val="004366FF"/>
    <w:rsid w:val="004367F6"/>
    <w:rsid w:val="004406FC"/>
    <w:rsid w:val="00440E90"/>
    <w:rsid w:val="00441391"/>
    <w:rsid w:val="004425AD"/>
    <w:rsid w:val="004434C9"/>
    <w:rsid w:val="00444676"/>
    <w:rsid w:val="0044728E"/>
    <w:rsid w:val="00450144"/>
    <w:rsid w:val="00454B9E"/>
    <w:rsid w:val="00454FD6"/>
    <w:rsid w:val="00455CA3"/>
    <w:rsid w:val="0045767D"/>
    <w:rsid w:val="00457EA7"/>
    <w:rsid w:val="0046029B"/>
    <w:rsid w:val="00460312"/>
    <w:rsid w:val="00461644"/>
    <w:rsid w:val="00461BB3"/>
    <w:rsid w:val="00462736"/>
    <w:rsid w:val="004649C4"/>
    <w:rsid w:val="00464B02"/>
    <w:rsid w:val="00464DB4"/>
    <w:rsid w:val="004652E9"/>
    <w:rsid w:val="004663D9"/>
    <w:rsid w:val="00471415"/>
    <w:rsid w:val="0047175F"/>
    <w:rsid w:val="00471BE4"/>
    <w:rsid w:val="00473E91"/>
    <w:rsid w:val="00475B43"/>
    <w:rsid w:val="00475EA1"/>
    <w:rsid w:val="00476AA9"/>
    <w:rsid w:val="00477A35"/>
    <w:rsid w:val="0048143A"/>
    <w:rsid w:val="00481A86"/>
    <w:rsid w:val="00482320"/>
    <w:rsid w:val="00482D0E"/>
    <w:rsid w:val="004837F4"/>
    <w:rsid w:val="00483982"/>
    <w:rsid w:val="00483DFA"/>
    <w:rsid w:val="00484CF1"/>
    <w:rsid w:val="00486BCA"/>
    <w:rsid w:val="00490473"/>
    <w:rsid w:val="0049506E"/>
    <w:rsid w:val="0049567C"/>
    <w:rsid w:val="0049610D"/>
    <w:rsid w:val="00496888"/>
    <w:rsid w:val="00497394"/>
    <w:rsid w:val="004A05A6"/>
    <w:rsid w:val="004A222B"/>
    <w:rsid w:val="004A2379"/>
    <w:rsid w:val="004A3468"/>
    <w:rsid w:val="004A6250"/>
    <w:rsid w:val="004A68B7"/>
    <w:rsid w:val="004B0416"/>
    <w:rsid w:val="004B0764"/>
    <w:rsid w:val="004B1C6E"/>
    <w:rsid w:val="004B1DB2"/>
    <w:rsid w:val="004B3B23"/>
    <w:rsid w:val="004B4584"/>
    <w:rsid w:val="004B4FB0"/>
    <w:rsid w:val="004B5363"/>
    <w:rsid w:val="004B5C46"/>
    <w:rsid w:val="004C0F31"/>
    <w:rsid w:val="004C1E4A"/>
    <w:rsid w:val="004C2D99"/>
    <w:rsid w:val="004C4D46"/>
    <w:rsid w:val="004C5743"/>
    <w:rsid w:val="004C60DE"/>
    <w:rsid w:val="004D09B2"/>
    <w:rsid w:val="004D37A1"/>
    <w:rsid w:val="004D3897"/>
    <w:rsid w:val="004D4697"/>
    <w:rsid w:val="004D4AF3"/>
    <w:rsid w:val="004D4D5E"/>
    <w:rsid w:val="004D5490"/>
    <w:rsid w:val="004D56CB"/>
    <w:rsid w:val="004D57FD"/>
    <w:rsid w:val="004E00AD"/>
    <w:rsid w:val="004E0AAA"/>
    <w:rsid w:val="004E0EEC"/>
    <w:rsid w:val="004E1092"/>
    <w:rsid w:val="004E1E45"/>
    <w:rsid w:val="004E1EAA"/>
    <w:rsid w:val="004E2B47"/>
    <w:rsid w:val="004E3C67"/>
    <w:rsid w:val="004E40D8"/>
    <w:rsid w:val="004E4A75"/>
    <w:rsid w:val="004E635F"/>
    <w:rsid w:val="004E7416"/>
    <w:rsid w:val="004F21EC"/>
    <w:rsid w:val="004F2A06"/>
    <w:rsid w:val="004F2AA0"/>
    <w:rsid w:val="004F5247"/>
    <w:rsid w:val="004F5E54"/>
    <w:rsid w:val="004F651D"/>
    <w:rsid w:val="004F696D"/>
    <w:rsid w:val="004F7864"/>
    <w:rsid w:val="004F7FCD"/>
    <w:rsid w:val="00500184"/>
    <w:rsid w:val="00500CF6"/>
    <w:rsid w:val="0050186F"/>
    <w:rsid w:val="0050466D"/>
    <w:rsid w:val="005061F6"/>
    <w:rsid w:val="0050743D"/>
    <w:rsid w:val="00510526"/>
    <w:rsid w:val="00510A34"/>
    <w:rsid w:val="00510F05"/>
    <w:rsid w:val="0051217C"/>
    <w:rsid w:val="00512254"/>
    <w:rsid w:val="0051314B"/>
    <w:rsid w:val="00513CA3"/>
    <w:rsid w:val="005149B4"/>
    <w:rsid w:val="00514E61"/>
    <w:rsid w:val="00515393"/>
    <w:rsid w:val="00515675"/>
    <w:rsid w:val="00517974"/>
    <w:rsid w:val="00517B2D"/>
    <w:rsid w:val="00517D46"/>
    <w:rsid w:val="00522449"/>
    <w:rsid w:val="00522E05"/>
    <w:rsid w:val="005233F9"/>
    <w:rsid w:val="00523B00"/>
    <w:rsid w:val="00526E37"/>
    <w:rsid w:val="00530446"/>
    <w:rsid w:val="0053186F"/>
    <w:rsid w:val="00533BD0"/>
    <w:rsid w:val="005354AC"/>
    <w:rsid w:val="005367F4"/>
    <w:rsid w:val="005378EA"/>
    <w:rsid w:val="00537CBA"/>
    <w:rsid w:val="00540194"/>
    <w:rsid w:val="00541179"/>
    <w:rsid w:val="00541367"/>
    <w:rsid w:val="0054212D"/>
    <w:rsid w:val="0054295E"/>
    <w:rsid w:val="00542C24"/>
    <w:rsid w:val="00542E4D"/>
    <w:rsid w:val="005457A9"/>
    <w:rsid w:val="00545AF2"/>
    <w:rsid w:val="00545E2A"/>
    <w:rsid w:val="0054617E"/>
    <w:rsid w:val="00551CF4"/>
    <w:rsid w:val="00553584"/>
    <w:rsid w:val="00553D56"/>
    <w:rsid w:val="00562D03"/>
    <w:rsid w:val="00562E4A"/>
    <w:rsid w:val="00562F51"/>
    <w:rsid w:val="0056339C"/>
    <w:rsid w:val="00563D93"/>
    <w:rsid w:val="00563F89"/>
    <w:rsid w:val="005644D0"/>
    <w:rsid w:val="00565822"/>
    <w:rsid w:val="00571A04"/>
    <w:rsid w:val="005723EE"/>
    <w:rsid w:val="00573A10"/>
    <w:rsid w:val="00573BC4"/>
    <w:rsid w:val="005753A8"/>
    <w:rsid w:val="0057553E"/>
    <w:rsid w:val="00575FA5"/>
    <w:rsid w:val="00577A20"/>
    <w:rsid w:val="00580415"/>
    <w:rsid w:val="00581992"/>
    <w:rsid w:val="00582895"/>
    <w:rsid w:val="00583120"/>
    <w:rsid w:val="005847B5"/>
    <w:rsid w:val="005863E2"/>
    <w:rsid w:val="005868B8"/>
    <w:rsid w:val="00592CDF"/>
    <w:rsid w:val="005A0A9C"/>
    <w:rsid w:val="005A130B"/>
    <w:rsid w:val="005A2E44"/>
    <w:rsid w:val="005A39C4"/>
    <w:rsid w:val="005A50A2"/>
    <w:rsid w:val="005A59DA"/>
    <w:rsid w:val="005A61A1"/>
    <w:rsid w:val="005A6DBC"/>
    <w:rsid w:val="005A7B3C"/>
    <w:rsid w:val="005B1A2E"/>
    <w:rsid w:val="005B247F"/>
    <w:rsid w:val="005B5E9B"/>
    <w:rsid w:val="005B75C2"/>
    <w:rsid w:val="005C286F"/>
    <w:rsid w:val="005D1A02"/>
    <w:rsid w:val="005D454F"/>
    <w:rsid w:val="005D6A37"/>
    <w:rsid w:val="005D7A88"/>
    <w:rsid w:val="005E067D"/>
    <w:rsid w:val="005E22A5"/>
    <w:rsid w:val="005E6736"/>
    <w:rsid w:val="005E6F87"/>
    <w:rsid w:val="005E78AD"/>
    <w:rsid w:val="005E7CC0"/>
    <w:rsid w:val="005F00B5"/>
    <w:rsid w:val="005F020C"/>
    <w:rsid w:val="005F1183"/>
    <w:rsid w:val="005F27E1"/>
    <w:rsid w:val="005F3838"/>
    <w:rsid w:val="005F39BE"/>
    <w:rsid w:val="005F457A"/>
    <w:rsid w:val="005F4BA4"/>
    <w:rsid w:val="005F663A"/>
    <w:rsid w:val="005F6869"/>
    <w:rsid w:val="005F7144"/>
    <w:rsid w:val="005F715B"/>
    <w:rsid w:val="00601CD3"/>
    <w:rsid w:val="00606F55"/>
    <w:rsid w:val="006103FB"/>
    <w:rsid w:val="0061306B"/>
    <w:rsid w:val="00613C6B"/>
    <w:rsid w:val="00614EAB"/>
    <w:rsid w:val="0061580F"/>
    <w:rsid w:val="006178D1"/>
    <w:rsid w:val="006179F4"/>
    <w:rsid w:val="006201B0"/>
    <w:rsid w:val="006232B6"/>
    <w:rsid w:val="006246F9"/>
    <w:rsid w:val="006257B7"/>
    <w:rsid w:val="00625AC9"/>
    <w:rsid w:val="00625E23"/>
    <w:rsid w:val="006264D0"/>
    <w:rsid w:val="0062729D"/>
    <w:rsid w:val="0063059C"/>
    <w:rsid w:val="00630B3A"/>
    <w:rsid w:val="00630DE3"/>
    <w:rsid w:val="00632037"/>
    <w:rsid w:val="00632531"/>
    <w:rsid w:val="006334B8"/>
    <w:rsid w:val="006340CB"/>
    <w:rsid w:val="00635F1E"/>
    <w:rsid w:val="006360F2"/>
    <w:rsid w:val="0063656C"/>
    <w:rsid w:val="00640E67"/>
    <w:rsid w:val="00641D83"/>
    <w:rsid w:val="006423BD"/>
    <w:rsid w:val="00642D96"/>
    <w:rsid w:val="00643041"/>
    <w:rsid w:val="00645C4C"/>
    <w:rsid w:val="0065038B"/>
    <w:rsid w:val="00650F1A"/>
    <w:rsid w:val="00652593"/>
    <w:rsid w:val="006528FE"/>
    <w:rsid w:val="00653257"/>
    <w:rsid w:val="00654871"/>
    <w:rsid w:val="00655344"/>
    <w:rsid w:val="00656E03"/>
    <w:rsid w:val="00661F9E"/>
    <w:rsid w:val="0066722D"/>
    <w:rsid w:val="006679BC"/>
    <w:rsid w:val="00671878"/>
    <w:rsid w:val="00671C89"/>
    <w:rsid w:val="006727D3"/>
    <w:rsid w:val="006740D7"/>
    <w:rsid w:val="006768D4"/>
    <w:rsid w:val="006805FD"/>
    <w:rsid w:val="00680649"/>
    <w:rsid w:val="00680C4A"/>
    <w:rsid w:val="006825E5"/>
    <w:rsid w:val="00682C2B"/>
    <w:rsid w:val="0068385E"/>
    <w:rsid w:val="00683EC4"/>
    <w:rsid w:val="00684C79"/>
    <w:rsid w:val="00684D70"/>
    <w:rsid w:val="00684FDB"/>
    <w:rsid w:val="00686DCD"/>
    <w:rsid w:val="006903C2"/>
    <w:rsid w:val="006911EC"/>
    <w:rsid w:val="006916CB"/>
    <w:rsid w:val="00692AB3"/>
    <w:rsid w:val="00692BC0"/>
    <w:rsid w:val="00693960"/>
    <w:rsid w:val="006941DF"/>
    <w:rsid w:val="00694DCF"/>
    <w:rsid w:val="0069701E"/>
    <w:rsid w:val="0069765A"/>
    <w:rsid w:val="006A0659"/>
    <w:rsid w:val="006A221A"/>
    <w:rsid w:val="006A34DB"/>
    <w:rsid w:val="006A5D84"/>
    <w:rsid w:val="006B04B0"/>
    <w:rsid w:val="006B26B5"/>
    <w:rsid w:val="006B4A1C"/>
    <w:rsid w:val="006B548D"/>
    <w:rsid w:val="006B578B"/>
    <w:rsid w:val="006B5E9A"/>
    <w:rsid w:val="006C021F"/>
    <w:rsid w:val="006C0689"/>
    <w:rsid w:val="006C64E1"/>
    <w:rsid w:val="006D093D"/>
    <w:rsid w:val="006D0A2F"/>
    <w:rsid w:val="006D186D"/>
    <w:rsid w:val="006D18A8"/>
    <w:rsid w:val="006D36E2"/>
    <w:rsid w:val="006D4608"/>
    <w:rsid w:val="006D56F9"/>
    <w:rsid w:val="006D57FF"/>
    <w:rsid w:val="006D5AB1"/>
    <w:rsid w:val="006E0D73"/>
    <w:rsid w:val="006E16DB"/>
    <w:rsid w:val="006E250B"/>
    <w:rsid w:val="006E2AF3"/>
    <w:rsid w:val="006E3D63"/>
    <w:rsid w:val="006E51F4"/>
    <w:rsid w:val="006E5FDF"/>
    <w:rsid w:val="006E741C"/>
    <w:rsid w:val="006F127A"/>
    <w:rsid w:val="006F18B3"/>
    <w:rsid w:val="006F2E61"/>
    <w:rsid w:val="006F3751"/>
    <w:rsid w:val="006F4795"/>
    <w:rsid w:val="006F51CD"/>
    <w:rsid w:val="00701515"/>
    <w:rsid w:val="0070194C"/>
    <w:rsid w:val="00701FAA"/>
    <w:rsid w:val="00702BB1"/>
    <w:rsid w:val="00704F4F"/>
    <w:rsid w:val="007079A0"/>
    <w:rsid w:val="00711C6F"/>
    <w:rsid w:val="00714EEF"/>
    <w:rsid w:val="00717EEB"/>
    <w:rsid w:val="0072157B"/>
    <w:rsid w:val="00721659"/>
    <w:rsid w:val="0072274B"/>
    <w:rsid w:val="00725E8D"/>
    <w:rsid w:val="007273B1"/>
    <w:rsid w:val="00730D97"/>
    <w:rsid w:val="007311A1"/>
    <w:rsid w:val="00731263"/>
    <w:rsid w:val="00733468"/>
    <w:rsid w:val="00733555"/>
    <w:rsid w:val="0073381F"/>
    <w:rsid w:val="00733DA9"/>
    <w:rsid w:val="00734267"/>
    <w:rsid w:val="00735396"/>
    <w:rsid w:val="007360D2"/>
    <w:rsid w:val="00737C8C"/>
    <w:rsid w:val="0074204E"/>
    <w:rsid w:val="00742D15"/>
    <w:rsid w:val="007430C4"/>
    <w:rsid w:val="00743DFD"/>
    <w:rsid w:val="0074432B"/>
    <w:rsid w:val="00745BE7"/>
    <w:rsid w:val="00745C9C"/>
    <w:rsid w:val="00751C59"/>
    <w:rsid w:val="00751CE7"/>
    <w:rsid w:val="00751E94"/>
    <w:rsid w:val="00752106"/>
    <w:rsid w:val="00752E72"/>
    <w:rsid w:val="007546BF"/>
    <w:rsid w:val="007565B1"/>
    <w:rsid w:val="0076093C"/>
    <w:rsid w:val="00761252"/>
    <w:rsid w:val="00761721"/>
    <w:rsid w:val="00761F24"/>
    <w:rsid w:val="00761FFA"/>
    <w:rsid w:val="00764027"/>
    <w:rsid w:val="00764508"/>
    <w:rsid w:val="00764CE6"/>
    <w:rsid w:val="00764DE4"/>
    <w:rsid w:val="0076591F"/>
    <w:rsid w:val="00766472"/>
    <w:rsid w:val="007672D9"/>
    <w:rsid w:val="00767CF0"/>
    <w:rsid w:val="00771091"/>
    <w:rsid w:val="00771704"/>
    <w:rsid w:val="00773923"/>
    <w:rsid w:val="007747CC"/>
    <w:rsid w:val="00775B91"/>
    <w:rsid w:val="00777110"/>
    <w:rsid w:val="007771D4"/>
    <w:rsid w:val="00777976"/>
    <w:rsid w:val="00777F68"/>
    <w:rsid w:val="00780152"/>
    <w:rsid w:val="007803A1"/>
    <w:rsid w:val="0078291B"/>
    <w:rsid w:val="00783F6F"/>
    <w:rsid w:val="007847F3"/>
    <w:rsid w:val="00784CB0"/>
    <w:rsid w:val="00785B6B"/>
    <w:rsid w:val="00785D74"/>
    <w:rsid w:val="00785FD5"/>
    <w:rsid w:val="00786364"/>
    <w:rsid w:val="00786CDC"/>
    <w:rsid w:val="00786DA5"/>
    <w:rsid w:val="00790DF0"/>
    <w:rsid w:val="00791B01"/>
    <w:rsid w:val="00792F85"/>
    <w:rsid w:val="00793789"/>
    <w:rsid w:val="00794078"/>
    <w:rsid w:val="00795A26"/>
    <w:rsid w:val="00795C17"/>
    <w:rsid w:val="007A06EE"/>
    <w:rsid w:val="007A2BB1"/>
    <w:rsid w:val="007A4A2D"/>
    <w:rsid w:val="007A4E31"/>
    <w:rsid w:val="007A5A89"/>
    <w:rsid w:val="007B0D79"/>
    <w:rsid w:val="007B3FC8"/>
    <w:rsid w:val="007B4DFC"/>
    <w:rsid w:val="007B640C"/>
    <w:rsid w:val="007B67E8"/>
    <w:rsid w:val="007C1AC4"/>
    <w:rsid w:val="007C3D89"/>
    <w:rsid w:val="007C41A5"/>
    <w:rsid w:val="007C5F1D"/>
    <w:rsid w:val="007C7BC3"/>
    <w:rsid w:val="007D0829"/>
    <w:rsid w:val="007D234C"/>
    <w:rsid w:val="007D26C9"/>
    <w:rsid w:val="007D2EF1"/>
    <w:rsid w:val="007D4534"/>
    <w:rsid w:val="007D78AF"/>
    <w:rsid w:val="007D7EDF"/>
    <w:rsid w:val="007E03BF"/>
    <w:rsid w:val="007E1B0D"/>
    <w:rsid w:val="007E356D"/>
    <w:rsid w:val="007E436B"/>
    <w:rsid w:val="007E656F"/>
    <w:rsid w:val="007E6E9F"/>
    <w:rsid w:val="007E7732"/>
    <w:rsid w:val="007E78E8"/>
    <w:rsid w:val="007F0404"/>
    <w:rsid w:val="007F0741"/>
    <w:rsid w:val="007F0848"/>
    <w:rsid w:val="007F10B7"/>
    <w:rsid w:val="007F1B27"/>
    <w:rsid w:val="007F2A76"/>
    <w:rsid w:val="007F2B79"/>
    <w:rsid w:val="007F3F3C"/>
    <w:rsid w:val="00802390"/>
    <w:rsid w:val="0080243B"/>
    <w:rsid w:val="008060E4"/>
    <w:rsid w:val="00810369"/>
    <w:rsid w:val="008128B8"/>
    <w:rsid w:val="00812D47"/>
    <w:rsid w:val="00817EA0"/>
    <w:rsid w:val="00820429"/>
    <w:rsid w:val="008206F6"/>
    <w:rsid w:val="0082149E"/>
    <w:rsid w:val="00822407"/>
    <w:rsid w:val="00822520"/>
    <w:rsid w:val="008239C0"/>
    <w:rsid w:val="008258C2"/>
    <w:rsid w:val="008262EC"/>
    <w:rsid w:val="00830195"/>
    <w:rsid w:val="008302B2"/>
    <w:rsid w:val="008318EF"/>
    <w:rsid w:val="008322EE"/>
    <w:rsid w:val="0083594F"/>
    <w:rsid w:val="0083670E"/>
    <w:rsid w:val="00836DA8"/>
    <w:rsid w:val="00837C4E"/>
    <w:rsid w:val="00840582"/>
    <w:rsid w:val="00841C41"/>
    <w:rsid w:val="00842700"/>
    <w:rsid w:val="0084280A"/>
    <w:rsid w:val="008469F1"/>
    <w:rsid w:val="00851389"/>
    <w:rsid w:val="00851A6D"/>
    <w:rsid w:val="00852F20"/>
    <w:rsid w:val="0085545C"/>
    <w:rsid w:val="00855DF5"/>
    <w:rsid w:val="008561B1"/>
    <w:rsid w:val="00857478"/>
    <w:rsid w:val="00861507"/>
    <w:rsid w:val="00864B09"/>
    <w:rsid w:val="00871001"/>
    <w:rsid w:val="0087135A"/>
    <w:rsid w:val="00874971"/>
    <w:rsid w:val="00875BB5"/>
    <w:rsid w:val="008764C5"/>
    <w:rsid w:val="008809C8"/>
    <w:rsid w:val="008832AA"/>
    <w:rsid w:val="00884306"/>
    <w:rsid w:val="008843D5"/>
    <w:rsid w:val="00893E7C"/>
    <w:rsid w:val="008967C6"/>
    <w:rsid w:val="00896FB2"/>
    <w:rsid w:val="008A09CC"/>
    <w:rsid w:val="008A14A1"/>
    <w:rsid w:val="008A237C"/>
    <w:rsid w:val="008A438C"/>
    <w:rsid w:val="008A4A46"/>
    <w:rsid w:val="008A4A73"/>
    <w:rsid w:val="008A4E84"/>
    <w:rsid w:val="008A4F02"/>
    <w:rsid w:val="008A4F76"/>
    <w:rsid w:val="008A704B"/>
    <w:rsid w:val="008B04D2"/>
    <w:rsid w:val="008B1B8D"/>
    <w:rsid w:val="008B1EBA"/>
    <w:rsid w:val="008B44C2"/>
    <w:rsid w:val="008B4B49"/>
    <w:rsid w:val="008B5605"/>
    <w:rsid w:val="008B5679"/>
    <w:rsid w:val="008B6BD3"/>
    <w:rsid w:val="008B6EB1"/>
    <w:rsid w:val="008B743A"/>
    <w:rsid w:val="008B7667"/>
    <w:rsid w:val="008C36F3"/>
    <w:rsid w:val="008C5E3A"/>
    <w:rsid w:val="008D3017"/>
    <w:rsid w:val="008E0358"/>
    <w:rsid w:val="008E0A35"/>
    <w:rsid w:val="008E2996"/>
    <w:rsid w:val="008E2B8B"/>
    <w:rsid w:val="008E2FAB"/>
    <w:rsid w:val="008E53DB"/>
    <w:rsid w:val="008E57A3"/>
    <w:rsid w:val="008F5DA3"/>
    <w:rsid w:val="008F5E7F"/>
    <w:rsid w:val="008F6195"/>
    <w:rsid w:val="008F66AF"/>
    <w:rsid w:val="008F76F9"/>
    <w:rsid w:val="008F7D5A"/>
    <w:rsid w:val="009006BF"/>
    <w:rsid w:val="0090141F"/>
    <w:rsid w:val="0090397C"/>
    <w:rsid w:val="00905131"/>
    <w:rsid w:val="00905E39"/>
    <w:rsid w:val="00906496"/>
    <w:rsid w:val="0091015C"/>
    <w:rsid w:val="0091048D"/>
    <w:rsid w:val="00913711"/>
    <w:rsid w:val="00913978"/>
    <w:rsid w:val="00913CD0"/>
    <w:rsid w:val="00913EE5"/>
    <w:rsid w:val="00914818"/>
    <w:rsid w:val="0091521F"/>
    <w:rsid w:val="00920282"/>
    <w:rsid w:val="009205C6"/>
    <w:rsid w:val="009221D1"/>
    <w:rsid w:val="0092275E"/>
    <w:rsid w:val="00923027"/>
    <w:rsid w:val="009238E2"/>
    <w:rsid w:val="00925A19"/>
    <w:rsid w:val="00925C25"/>
    <w:rsid w:val="00927062"/>
    <w:rsid w:val="009312B6"/>
    <w:rsid w:val="00931E86"/>
    <w:rsid w:val="00932CF5"/>
    <w:rsid w:val="0093365D"/>
    <w:rsid w:val="00936D0E"/>
    <w:rsid w:val="00936ED3"/>
    <w:rsid w:val="00940325"/>
    <w:rsid w:val="0094200A"/>
    <w:rsid w:val="00944470"/>
    <w:rsid w:val="00945AA6"/>
    <w:rsid w:val="00954126"/>
    <w:rsid w:val="0095539C"/>
    <w:rsid w:val="009627BC"/>
    <w:rsid w:val="00963541"/>
    <w:rsid w:val="00963ECF"/>
    <w:rsid w:val="00964AC9"/>
    <w:rsid w:val="009664E2"/>
    <w:rsid w:val="00970214"/>
    <w:rsid w:val="0097037F"/>
    <w:rsid w:val="00971FB8"/>
    <w:rsid w:val="009721A9"/>
    <w:rsid w:val="0097228F"/>
    <w:rsid w:val="00972421"/>
    <w:rsid w:val="00972D78"/>
    <w:rsid w:val="00974570"/>
    <w:rsid w:val="00975902"/>
    <w:rsid w:val="00977757"/>
    <w:rsid w:val="00981250"/>
    <w:rsid w:val="009829DA"/>
    <w:rsid w:val="00986144"/>
    <w:rsid w:val="009866B0"/>
    <w:rsid w:val="00987068"/>
    <w:rsid w:val="009879AE"/>
    <w:rsid w:val="009912FD"/>
    <w:rsid w:val="00995111"/>
    <w:rsid w:val="009967FB"/>
    <w:rsid w:val="00997DC8"/>
    <w:rsid w:val="009A0F56"/>
    <w:rsid w:val="009A2093"/>
    <w:rsid w:val="009A365E"/>
    <w:rsid w:val="009A530D"/>
    <w:rsid w:val="009A5D12"/>
    <w:rsid w:val="009A7E95"/>
    <w:rsid w:val="009B2528"/>
    <w:rsid w:val="009B44B6"/>
    <w:rsid w:val="009B5669"/>
    <w:rsid w:val="009B56F5"/>
    <w:rsid w:val="009B60F8"/>
    <w:rsid w:val="009B7EE4"/>
    <w:rsid w:val="009C0589"/>
    <w:rsid w:val="009C1D00"/>
    <w:rsid w:val="009C307B"/>
    <w:rsid w:val="009C3222"/>
    <w:rsid w:val="009C3392"/>
    <w:rsid w:val="009C3E09"/>
    <w:rsid w:val="009C4A6F"/>
    <w:rsid w:val="009C5024"/>
    <w:rsid w:val="009C6B72"/>
    <w:rsid w:val="009C7007"/>
    <w:rsid w:val="009D27BA"/>
    <w:rsid w:val="009D7207"/>
    <w:rsid w:val="009D7461"/>
    <w:rsid w:val="009E2227"/>
    <w:rsid w:val="009E3501"/>
    <w:rsid w:val="009E3CEF"/>
    <w:rsid w:val="009E77E4"/>
    <w:rsid w:val="009F02A6"/>
    <w:rsid w:val="009F132F"/>
    <w:rsid w:val="009F21F2"/>
    <w:rsid w:val="009F4D87"/>
    <w:rsid w:val="009F5713"/>
    <w:rsid w:val="009F5C3F"/>
    <w:rsid w:val="00A00544"/>
    <w:rsid w:val="00A00CE7"/>
    <w:rsid w:val="00A011B0"/>
    <w:rsid w:val="00A03796"/>
    <w:rsid w:val="00A0643A"/>
    <w:rsid w:val="00A06D07"/>
    <w:rsid w:val="00A10FAC"/>
    <w:rsid w:val="00A11587"/>
    <w:rsid w:val="00A1270C"/>
    <w:rsid w:val="00A1356C"/>
    <w:rsid w:val="00A13831"/>
    <w:rsid w:val="00A138CE"/>
    <w:rsid w:val="00A13DC7"/>
    <w:rsid w:val="00A161F1"/>
    <w:rsid w:val="00A16C98"/>
    <w:rsid w:val="00A17703"/>
    <w:rsid w:val="00A20B31"/>
    <w:rsid w:val="00A231A3"/>
    <w:rsid w:val="00A24B5C"/>
    <w:rsid w:val="00A24CCC"/>
    <w:rsid w:val="00A25B28"/>
    <w:rsid w:val="00A25BE6"/>
    <w:rsid w:val="00A3133D"/>
    <w:rsid w:val="00A31CE5"/>
    <w:rsid w:val="00A3256E"/>
    <w:rsid w:val="00A33452"/>
    <w:rsid w:val="00A34AA7"/>
    <w:rsid w:val="00A34B4E"/>
    <w:rsid w:val="00A36897"/>
    <w:rsid w:val="00A42785"/>
    <w:rsid w:val="00A42C59"/>
    <w:rsid w:val="00A43C51"/>
    <w:rsid w:val="00A46104"/>
    <w:rsid w:val="00A47258"/>
    <w:rsid w:val="00A506C7"/>
    <w:rsid w:val="00A508C1"/>
    <w:rsid w:val="00A510EC"/>
    <w:rsid w:val="00A53273"/>
    <w:rsid w:val="00A53579"/>
    <w:rsid w:val="00A544F8"/>
    <w:rsid w:val="00A54FB1"/>
    <w:rsid w:val="00A54FF1"/>
    <w:rsid w:val="00A557E0"/>
    <w:rsid w:val="00A55AD6"/>
    <w:rsid w:val="00A55FFB"/>
    <w:rsid w:val="00A56639"/>
    <w:rsid w:val="00A56C95"/>
    <w:rsid w:val="00A650BF"/>
    <w:rsid w:val="00A654EA"/>
    <w:rsid w:val="00A6559C"/>
    <w:rsid w:val="00A6764C"/>
    <w:rsid w:val="00A7012F"/>
    <w:rsid w:val="00A727A0"/>
    <w:rsid w:val="00A74FA3"/>
    <w:rsid w:val="00A7620B"/>
    <w:rsid w:val="00A76345"/>
    <w:rsid w:val="00A768A5"/>
    <w:rsid w:val="00A77CE3"/>
    <w:rsid w:val="00A80B20"/>
    <w:rsid w:val="00A81A31"/>
    <w:rsid w:val="00A82B89"/>
    <w:rsid w:val="00A839E4"/>
    <w:rsid w:val="00A83F6D"/>
    <w:rsid w:val="00A85B08"/>
    <w:rsid w:val="00A85D3D"/>
    <w:rsid w:val="00A86732"/>
    <w:rsid w:val="00A877AF"/>
    <w:rsid w:val="00A905F8"/>
    <w:rsid w:val="00A90AF6"/>
    <w:rsid w:val="00A96BC7"/>
    <w:rsid w:val="00AA0E48"/>
    <w:rsid w:val="00AA17BA"/>
    <w:rsid w:val="00AA1C3C"/>
    <w:rsid w:val="00AA2FC4"/>
    <w:rsid w:val="00AA3901"/>
    <w:rsid w:val="00AA42E9"/>
    <w:rsid w:val="00AA5467"/>
    <w:rsid w:val="00AA55BC"/>
    <w:rsid w:val="00AA5AA0"/>
    <w:rsid w:val="00AA7C1B"/>
    <w:rsid w:val="00AB204B"/>
    <w:rsid w:val="00AB233A"/>
    <w:rsid w:val="00AB6E50"/>
    <w:rsid w:val="00AC37FA"/>
    <w:rsid w:val="00AC3E8E"/>
    <w:rsid w:val="00AC49D4"/>
    <w:rsid w:val="00AC61EB"/>
    <w:rsid w:val="00AC6E34"/>
    <w:rsid w:val="00AC7133"/>
    <w:rsid w:val="00AC7B7D"/>
    <w:rsid w:val="00AC7CD5"/>
    <w:rsid w:val="00AD2FF8"/>
    <w:rsid w:val="00AD35F4"/>
    <w:rsid w:val="00AD3DCF"/>
    <w:rsid w:val="00AD51BC"/>
    <w:rsid w:val="00AE1009"/>
    <w:rsid w:val="00AE1D6D"/>
    <w:rsid w:val="00AE576C"/>
    <w:rsid w:val="00AE5D07"/>
    <w:rsid w:val="00AF03F0"/>
    <w:rsid w:val="00AF21D9"/>
    <w:rsid w:val="00AF3C36"/>
    <w:rsid w:val="00AF447F"/>
    <w:rsid w:val="00AF4C41"/>
    <w:rsid w:val="00AF4C88"/>
    <w:rsid w:val="00AF52D2"/>
    <w:rsid w:val="00AF6137"/>
    <w:rsid w:val="00AF619D"/>
    <w:rsid w:val="00AF6247"/>
    <w:rsid w:val="00AF6722"/>
    <w:rsid w:val="00AF6D25"/>
    <w:rsid w:val="00AF73C6"/>
    <w:rsid w:val="00B003C6"/>
    <w:rsid w:val="00B0123B"/>
    <w:rsid w:val="00B01755"/>
    <w:rsid w:val="00B02045"/>
    <w:rsid w:val="00B0348F"/>
    <w:rsid w:val="00B03F71"/>
    <w:rsid w:val="00B05921"/>
    <w:rsid w:val="00B0694D"/>
    <w:rsid w:val="00B06B9A"/>
    <w:rsid w:val="00B074B8"/>
    <w:rsid w:val="00B078A6"/>
    <w:rsid w:val="00B07E8E"/>
    <w:rsid w:val="00B21FA6"/>
    <w:rsid w:val="00B23BDB"/>
    <w:rsid w:val="00B24B0F"/>
    <w:rsid w:val="00B252DD"/>
    <w:rsid w:val="00B25B0E"/>
    <w:rsid w:val="00B25F91"/>
    <w:rsid w:val="00B262FD"/>
    <w:rsid w:val="00B27D0B"/>
    <w:rsid w:val="00B35819"/>
    <w:rsid w:val="00B40B62"/>
    <w:rsid w:val="00B42E4D"/>
    <w:rsid w:val="00B449D0"/>
    <w:rsid w:val="00B45F98"/>
    <w:rsid w:val="00B461CA"/>
    <w:rsid w:val="00B463AE"/>
    <w:rsid w:val="00B478DE"/>
    <w:rsid w:val="00B47E06"/>
    <w:rsid w:val="00B5000B"/>
    <w:rsid w:val="00B51420"/>
    <w:rsid w:val="00B53D84"/>
    <w:rsid w:val="00B53DCA"/>
    <w:rsid w:val="00B5464F"/>
    <w:rsid w:val="00B55826"/>
    <w:rsid w:val="00B55F35"/>
    <w:rsid w:val="00B5642E"/>
    <w:rsid w:val="00B6286B"/>
    <w:rsid w:val="00B64E05"/>
    <w:rsid w:val="00B66E9E"/>
    <w:rsid w:val="00B6717B"/>
    <w:rsid w:val="00B673F3"/>
    <w:rsid w:val="00B67994"/>
    <w:rsid w:val="00B67C7C"/>
    <w:rsid w:val="00B67DA7"/>
    <w:rsid w:val="00B70286"/>
    <w:rsid w:val="00B73664"/>
    <w:rsid w:val="00B75951"/>
    <w:rsid w:val="00B7615A"/>
    <w:rsid w:val="00B80F7E"/>
    <w:rsid w:val="00B821E1"/>
    <w:rsid w:val="00B82F3B"/>
    <w:rsid w:val="00B83F2E"/>
    <w:rsid w:val="00B853A9"/>
    <w:rsid w:val="00B85FCE"/>
    <w:rsid w:val="00B869DA"/>
    <w:rsid w:val="00B877B1"/>
    <w:rsid w:val="00B90B6B"/>
    <w:rsid w:val="00B91F16"/>
    <w:rsid w:val="00B93469"/>
    <w:rsid w:val="00B937CC"/>
    <w:rsid w:val="00B955F1"/>
    <w:rsid w:val="00B967EB"/>
    <w:rsid w:val="00B97358"/>
    <w:rsid w:val="00B97A49"/>
    <w:rsid w:val="00BA0643"/>
    <w:rsid w:val="00BA18CB"/>
    <w:rsid w:val="00BA190C"/>
    <w:rsid w:val="00BA26FF"/>
    <w:rsid w:val="00BA3604"/>
    <w:rsid w:val="00BA71B6"/>
    <w:rsid w:val="00BA7497"/>
    <w:rsid w:val="00BA7BC9"/>
    <w:rsid w:val="00BB2B13"/>
    <w:rsid w:val="00BB2C0E"/>
    <w:rsid w:val="00BB2C1E"/>
    <w:rsid w:val="00BC0776"/>
    <w:rsid w:val="00BC10C3"/>
    <w:rsid w:val="00BC1D28"/>
    <w:rsid w:val="00BC2288"/>
    <w:rsid w:val="00BC2CDD"/>
    <w:rsid w:val="00BC32B3"/>
    <w:rsid w:val="00BC6FB1"/>
    <w:rsid w:val="00BC744F"/>
    <w:rsid w:val="00BC7935"/>
    <w:rsid w:val="00BC7D2C"/>
    <w:rsid w:val="00BD16C7"/>
    <w:rsid w:val="00BD4815"/>
    <w:rsid w:val="00BE21A3"/>
    <w:rsid w:val="00BE3613"/>
    <w:rsid w:val="00BE4510"/>
    <w:rsid w:val="00BF0365"/>
    <w:rsid w:val="00BF2B9B"/>
    <w:rsid w:val="00BF2BFE"/>
    <w:rsid w:val="00BF5452"/>
    <w:rsid w:val="00BF6E1D"/>
    <w:rsid w:val="00BF755E"/>
    <w:rsid w:val="00BF79E2"/>
    <w:rsid w:val="00C0175C"/>
    <w:rsid w:val="00C048AE"/>
    <w:rsid w:val="00C07475"/>
    <w:rsid w:val="00C076DE"/>
    <w:rsid w:val="00C10E4E"/>
    <w:rsid w:val="00C1146B"/>
    <w:rsid w:val="00C15796"/>
    <w:rsid w:val="00C158D7"/>
    <w:rsid w:val="00C16050"/>
    <w:rsid w:val="00C172BF"/>
    <w:rsid w:val="00C17CEC"/>
    <w:rsid w:val="00C20D0F"/>
    <w:rsid w:val="00C219FC"/>
    <w:rsid w:val="00C220BE"/>
    <w:rsid w:val="00C22224"/>
    <w:rsid w:val="00C2267B"/>
    <w:rsid w:val="00C24D46"/>
    <w:rsid w:val="00C27997"/>
    <w:rsid w:val="00C27C61"/>
    <w:rsid w:val="00C30864"/>
    <w:rsid w:val="00C32E3D"/>
    <w:rsid w:val="00C33938"/>
    <w:rsid w:val="00C36A48"/>
    <w:rsid w:val="00C37A13"/>
    <w:rsid w:val="00C41B5D"/>
    <w:rsid w:val="00C428E0"/>
    <w:rsid w:val="00C42E19"/>
    <w:rsid w:val="00C43528"/>
    <w:rsid w:val="00C5191F"/>
    <w:rsid w:val="00C5196C"/>
    <w:rsid w:val="00C51E48"/>
    <w:rsid w:val="00C52BC3"/>
    <w:rsid w:val="00C52E88"/>
    <w:rsid w:val="00C53975"/>
    <w:rsid w:val="00C53FAC"/>
    <w:rsid w:val="00C55AFF"/>
    <w:rsid w:val="00C56BCB"/>
    <w:rsid w:val="00C601AA"/>
    <w:rsid w:val="00C636FA"/>
    <w:rsid w:val="00C64DD7"/>
    <w:rsid w:val="00C64FD2"/>
    <w:rsid w:val="00C6652B"/>
    <w:rsid w:val="00C6781F"/>
    <w:rsid w:val="00C67C1A"/>
    <w:rsid w:val="00C67F8D"/>
    <w:rsid w:val="00C720D9"/>
    <w:rsid w:val="00C7394F"/>
    <w:rsid w:val="00C74299"/>
    <w:rsid w:val="00C746A7"/>
    <w:rsid w:val="00C7693D"/>
    <w:rsid w:val="00C76B7E"/>
    <w:rsid w:val="00C76E44"/>
    <w:rsid w:val="00C82CEC"/>
    <w:rsid w:val="00C82FC7"/>
    <w:rsid w:val="00C86EF3"/>
    <w:rsid w:val="00C9022F"/>
    <w:rsid w:val="00C90D31"/>
    <w:rsid w:val="00C91006"/>
    <w:rsid w:val="00C9206E"/>
    <w:rsid w:val="00C92868"/>
    <w:rsid w:val="00C937DF"/>
    <w:rsid w:val="00C9601D"/>
    <w:rsid w:val="00C97C8F"/>
    <w:rsid w:val="00CA0C4B"/>
    <w:rsid w:val="00CA1644"/>
    <w:rsid w:val="00CA1F35"/>
    <w:rsid w:val="00CA2972"/>
    <w:rsid w:val="00CA4CCB"/>
    <w:rsid w:val="00CA5277"/>
    <w:rsid w:val="00CA5A93"/>
    <w:rsid w:val="00CB3256"/>
    <w:rsid w:val="00CB4187"/>
    <w:rsid w:val="00CB476A"/>
    <w:rsid w:val="00CC073C"/>
    <w:rsid w:val="00CC306E"/>
    <w:rsid w:val="00CC56E8"/>
    <w:rsid w:val="00CD0858"/>
    <w:rsid w:val="00CD2A1D"/>
    <w:rsid w:val="00CD4DCE"/>
    <w:rsid w:val="00CD5BB7"/>
    <w:rsid w:val="00CE0510"/>
    <w:rsid w:val="00CE3593"/>
    <w:rsid w:val="00CE5C9D"/>
    <w:rsid w:val="00CE655D"/>
    <w:rsid w:val="00CE7588"/>
    <w:rsid w:val="00CE7D24"/>
    <w:rsid w:val="00CF07B6"/>
    <w:rsid w:val="00CF1D01"/>
    <w:rsid w:val="00CF2DDB"/>
    <w:rsid w:val="00CF41A1"/>
    <w:rsid w:val="00CF4A00"/>
    <w:rsid w:val="00CF5F22"/>
    <w:rsid w:val="00D00BF7"/>
    <w:rsid w:val="00D00C71"/>
    <w:rsid w:val="00D00E22"/>
    <w:rsid w:val="00D02451"/>
    <w:rsid w:val="00D04AFD"/>
    <w:rsid w:val="00D0516F"/>
    <w:rsid w:val="00D13997"/>
    <w:rsid w:val="00D13F69"/>
    <w:rsid w:val="00D145C1"/>
    <w:rsid w:val="00D169F4"/>
    <w:rsid w:val="00D17AD1"/>
    <w:rsid w:val="00D20C13"/>
    <w:rsid w:val="00D21575"/>
    <w:rsid w:val="00D215A8"/>
    <w:rsid w:val="00D21AD1"/>
    <w:rsid w:val="00D21D21"/>
    <w:rsid w:val="00D22B93"/>
    <w:rsid w:val="00D23BE7"/>
    <w:rsid w:val="00D240C6"/>
    <w:rsid w:val="00D247F3"/>
    <w:rsid w:val="00D30670"/>
    <w:rsid w:val="00D31A67"/>
    <w:rsid w:val="00D32603"/>
    <w:rsid w:val="00D32E91"/>
    <w:rsid w:val="00D346DA"/>
    <w:rsid w:val="00D350EE"/>
    <w:rsid w:val="00D37186"/>
    <w:rsid w:val="00D40084"/>
    <w:rsid w:val="00D438C4"/>
    <w:rsid w:val="00D44120"/>
    <w:rsid w:val="00D45635"/>
    <w:rsid w:val="00D45EA5"/>
    <w:rsid w:val="00D46A6C"/>
    <w:rsid w:val="00D47C80"/>
    <w:rsid w:val="00D512C2"/>
    <w:rsid w:val="00D527B6"/>
    <w:rsid w:val="00D54CBC"/>
    <w:rsid w:val="00D557E9"/>
    <w:rsid w:val="00D5606F"/>
    <w:rsid w:val="00D60ADC"/>
    <w:rsid w:val="00D6245F"/>
    <w:rsid w:val="00D630A3"/>
    <w:rsid w:val="00D63989"/>
    <w:rsid w:val="00D67AD2"/>
    <w:rsid w:val="00D67CEE"/>
    <w:rsid w:val="00D706D7"/>
    <w:rsid w:val="00D74CDB"/>
    <w:rsid w:val="00D74F99"/>
    <w:rsid w:val="00D77966"/>
    <w:rsid w:val="00D81384"/>
    <w:rsid w:val="00D814EA"/>
    <w:rsid w:val="00D81666"/>
    <w:rsid w:val="00D821EE"/>
    <w:rsid w:val="00D83AD2"/>
    <w:rsid w:val="00D843F4"/>
    <w:rsid w:val="00D847C5"/>
    <w:rsid w:val="00D85F4C"/>
    <w:rsid w:val="00D86F51"/>
    <w:rsid w:val="00D97903"/>
    <w:rsid w:val="00DA4CDC"/>
    <w:rsid w:val="00DA4DCF"/>
    <w:rsid w:val="00DA5206"/>
    <w:rsid w:val="00DA5565"/>
    <w:rsid w:val="00DA5E13"/>
    <w:rsid w:val="00DA7A8E"/>
    <w:rsid w:val="00DB1758"/>
    <w:rsid w:val="00DB2E25"/>
    <w:rsid w:val="00DB41AD"/>
    <w:rsid w:val="00DB6551"/>
    <w:rsid w:val="00DB6EEA"/>
    <w:rsid w:val="00DB71AB"/>
    <w:rsid w:val="00DB7D2B"/>
    <w:rsid w:val="00DB7F58"/>
    <w:rsid w:val="00DC13DF"/>
    <w:rsid w:val="00DC35A8"/>
    <w:rsid w:val="00DC3EBB"/>
    <w:rsid w:val="00DC4C50"/>
    <w:rsid w:val="00DD006C"/>
    <w:rsid w:val="00DD4BF6"/>
    <w:rsid w:val="00DD56E5"/>
    <w:rsid w:val="00DE49CC"/>
    <w:rsid w:val="00DE58E0"/>
    <w:rsid w:val="00DE5C4C"/>
    <w:rsid w:val="00DE5D15"/>
    <w:rsid w:val="00DE61D9"/>
    <w:rsid w:val="00DE75B3"/>
    <w:rsid w:val="00DF19F5"/>
    <w:rsid w:val="00DF23BA"/>
    <w:rsid w:val="00DF295A"/>
    <w:rsid w:val="00DF30E3"/>
    <w:rsid w:val="00DF4082"/>
    <w:rsid w:val="00DF45F6"/>
    <w:rsid w:val="00DF4F52"/>
    <w:rsid w:val="00DF67AD"/>
    <w:rsid w:val="00DF7225"/>
    <w:rsid w:val="00DF764D"/>
    <w:rsid w:val="00E019D7"/>
    <w:rsid w:val="00E01CAC"/>
    <w:rsid w:val="00E022AC"/>
    <w:rsid w:val="00E033CF"/>
    <w:rsid w:val="00E0368E"/>
    <w:rsid w:val="00E0523D"/>
    <w:rsid w:val="00E05702"/>
    <w:rsid w:val="00E05DE0"/>
    <w:rsid w:val="00E06CF7"/>
    <w:rsid w:val="00E1049E"/>
    <w:rsid w:val="00E10E6A"/>
    <w:rsid w:val="00E11A56"/>
    <w:rsid w:val="00E13FD5"/>
    <w:rsid w:val="00E152B0"/>
    <w:rsid w:val="00E166CB"/>
    <w:rsid w:val="00E20CE1"/>
    <w:rsid w:val="00E20D4F"/>
    <w:rsid w:val="00E2223C"/>
    <w:rsid w:val="00E23040"/>
    <w:rsid w:val="00E23AC0"/>
    <w:rsid w:val="00E23D9B"/>
    <w:rsid w:val="00E24411"/>
    <w:rsid w:val="00E24B7A"/>
    <w:rsid w:val="00E25A4F"/>
    <w:rsid w:val="00E26307"/>
    <w:rsid w:val="00E26544"/>
    <w:rsid w:val="00E27DE1"/>
    <w:rsid w:val="00E3006C"/>
    <w:rsid w:val="00E30A36"/>
    <w:rsid w:val="00E310F2"/>
    <w:rsid w:val="00E32DC8"/>
    <w:rsid w:val="00E33D7F"/>
    <w:rsid w:val="00E3411E"/>
    <w:rsid w:val="00E3581E"/>
    <w:rsid w:val="00E360F7"/>
    <w:rsid w:val="00E36A5B"/>
    <w:rsid w:val="00E37DFE"/>
    <w:rsid w:val="00E4112F"/>
    <w:rsid w:val="00E43BA1"/>
    <w:rsid w:val="00E47FA5"/>
    <w:rsid w:val="00E50DFC"/>
    <w:rsid w:val="00E51020"/>
    <w:rsid w:val="00E511CA"/>
    <w:rsid w:val="00E51D7B"/>
    <w:rsid w:val="00E53CD4"/>
    <w:rsid w:val="00E55C19"/>
    <w:rsid w:val="00E561E2"/>
    <w:rsid w:val="00E62711"/>
    <w:rsid w:val="00E633BB"/>
    <w:rsid w:val="00E647B9"/>
    <w:rsid w:val="00E66006"/>
    <w:rsid w:val="00E662AC"/>
    <w:rsid w:val="00E663CF"/>
    <w:rsid w:val="00E67E39"/>
    <w:rsid w:val="00E73059"/>
    <w:rsid w:val="00E749E7"/>
    <w:rsid w:val="00E756BB"/>
    <w:rsid w:val="00E76935"/>
    <w:rsid w:val="00E76AD5"/>
    <w:rsid w:val="00E8010E"/>
    <w:rsid w:val="00E802CE"/>
    <w:rsid w:val="00E817DC"/>
    <w:rsid w:val="00E81CDE"/>
    <w:rsid w:val="00E8214B"/>
    <w:rsid w:val="00E83961"/>
    <w:rsid w:val="00E8461E"/>
    <w:rsid w:val="00E8620B"/>
    <w:rsid w:val="00E8666F"/>
    <w:rsid w:val="00E87B22"/>
    <w:rsid w:val="00E87F6C"/>
    <w:rsid w:val="00E91F2C"/>
    <w:rsid w:val="00E966CC"/>
    <w:rsid w:val="00E9782D"/>
    <w:rsid w:val="00E97DC1"/>
    <w:rsid w:val="00EA2004"/>
    <w:rsid w:val="00EA3387"/>
    <w:rsid w:val="00EA52D0"/>
    <w:rsid w:val="00EA5360"/>
    <w:rsid w:val="00EA5B8E"/>
    <w:rsid w:val="00EA6150"/>
    <w:rsid w:val="00EA775C"/>
    <w:rsid w:val="00EB1C69"/>
    <w:rsid w:val="00EB1DC1"/>
    <w:rsid w:val="00EB1FBF"/>
    <w:rsid w:val="00EB2A74"/>
    <w:rsid w:val="00EB473F"/>
    <w:rsid w:val="00EB6BDD"/>
    <w:rsid w:val="00EB72AC"/>
    <w:rsid w:val="00EC16BF"/>
    <w:rsid w:val="00EC2727"/>
    <w:rsid w:val="00EC3863"/>
    <w:rsid w:val="00EC517A"/>
    <w:rsid w:val="00EC6A38"/>
    <w:rsid w:val="00EC7B09"/>
    <w:rsid w:val="00EC7CAC"/>
    <w:rsid w:val="00ED1065"/>
    <w:rsid w:val="00ED1286"/>
    <w:rsid w:val="00ED14AD"/>
    <w:rsid w:val="00ED4AF1"/>
    <w:rsid w:val="00ED6624"/>
    <w:rsid w:val="00EE032F"/>
    <w:rsid w:val="00EE0AAA"/>
    <w:rsid w:val="00EE1B10"/>
    <w:rsid w:val="00EE22B0"/>
    <w:rsid w:val="00EE318A"/>
    <w:rsid w:val="00EF0475"/>
    <w:rsid w:val="00EF1ED0"/>
    <w:rsid w:val="00EF458E"/>
    <w:rsid w:val="00EF77AA"/>
    <w:rsid w:val="00F04BEF"/>
    <w:rsid w:val="00F04EE5"/>
    <w:rsid w:val="00F05143"/>
    <w:rsid w:val="00F05515"/>
    <w:rsid w:val="00F0574E"/>
    <w:rsid w:val="00F06DAA"/>
    <w:rsid w:val="00F11E51"/>
    <w:rsid w:val="00F12785"/>
    <w:rsid w:val="00F1345F"/>
    <w:rsid w:val="00F13C3C"/>
    <w:rsid w:val="00F1476F"/>
    <w:rsid w:val="00F16654"/>
    <w:rsid w:val="00F23741"/>
    <w:rsid w:val="00F249FB"/>
    <w:rsid w:val="00F2718D"/>
    <w:rsid w:val="00F306C1"/>
    <w:rsid w:val="00F30839"/>
    <w:rsid w:val="00F32437"/>
    <w:rsid w:val="00F33BF4"/>
    <w:rsid w:val="00F35D30"/>
    <w:rsid w:val="00F36419"/>
    <w:rsid w:val="00F4033B"/>
    <w:rsid w:val="00F43B28"/>
    <w:rsid w:val="00F43E96"/>
    <w:rsid w:val="00F50B8A"/>
    <w:rsid w:val="00F51A3B"/>
    <w:rsid w:val="00F52EF5"/>
    <w:rsid w:val="00F53F6F"/>
    <w:rsid w:val="00F54F91"/>
    <w:rsid w:val="00F56072"/>
    <w:rsid w:val="00F5612B"/>
    <w:rsid w:val="00F56B3B"/>
    <w:rsid w:val="00F57E79"/>
    <w:rsid w:val="00F6058D"/>
    <w:rsid w:val="00F60697"/>
    <w:rsid w:val="00F60F5F"/>
    <w:rsid w:val="00F644DC"/>
    <w:rsid w:val="00F662DF"/>
    <w:rsid w:val="00F67B83"/>
    <w:rsid w:val="00F70A57"/>
    <w:rsid w:val="00F72711"/>
    <w:rsid w:val="00F73FAF"/>
    <w:rsid w:val="00F76134"/>
    <w:rsid w:val="00F77D38"/>
    <w:rsid w:val="00F813BF"/>
    <w:rsid w:val="00F8272A"/>
    <w:rsid w:val="00F831D5"/>
    <w:rsid w:val="00F853F3"/>
    <w:rsid w:val="00F907D0"/>
    <w:rsid w:val="00F90CC2"/>
    <w:rsid w:val="00F913DF"/>
    <w:rsid w:val="00F91B08"/>
    <w:rsid w:val="00F94F25"/>
    <w:rsid w:val="00F95361"/>
    <w:rsid w:val="00F96929"/>
    <w:rsid w:val="00FA07B5"/>
    <w:rsid w:val="00FA1FFC"/>
    <w:rsid w:val="00FA24B2"/>
    <w:rsid w:val="00FA3B1E"/>
    <w:rsid w:val="00FA4151"/>
    <w:rsid w:val="00FA5FD0"/>
    <w:rsid w:val="00FB1CAE"/>
    <w:rsid w:val="00FB2017"/>
    <w:rsid w:val="00FB7C9D"/>
    <w:rsid w:val="00FC2BC8"/>
    <w:rsid w:val="00FC50DA"/>
    <w:rsid w:val="00FC5C29"/>
    <w:rsid w:val="00FC6354"/>
    <w:rsid w:val="00FC7265"/>
    <w:rsid w:val="00FD2CAB"/>
    <w:rsid w:val="00FD74D9"/>
    <w:rsid w:val="00FE3095"/>
    <w:rsid w:val="00FE47BC"/>
    <w:rsid w:val="00FE523D"/>
    <w:rsid w:val="00FE6243"/>
    <w:rsid w:val="00FF0490"/>
    <w:rsid w:val="00FF0AF5"/>
    <w:rsid w:val="00FF0CB9"/>
    <w:rsid w:val="00FF17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1A7F"/>
    <w:pPr>
      <w:widowControl w:val="0"/>
      <w:spacing w:line="300" w:lineRule="exact"/>
    </w:pPr>
    <w:rPr>
      <w:sz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D51BC"/>
    <w:pPr>
      <w:autoSpaceDE w:val="0"/>
      <w:autoSpaceDN w:val="0"/>
      <w:adjustRightInd w:val="0"/>
    </w:pPr>
    <w:rPr>
      <w:rFonts w:ascii="Verdana" w:hAnsi="Verdana" w:cs="Verdana"/>
      <w:color w:val="000000"/>
      <w:sz w:val="24"/>
      <w:szCs w:val="24"/>
      <w:lang w:val="en-GB" w:eastAsia="en-GB"/>
    </w:rPr>
  </w:style>
  <w:style w:type="paragraph" w:styleId="Kopfzeile">
    <w:name w:val="header"/>
    <w:basedOn w:val="Standard"/>
    <w:rsid w:val="00AD51BC"/>
    <w:pPr>
      <w:tabs>
        <w:tab w:val="center" w:pos="4153"/>
        <w:tab w:val="right" w:pos="8306"/>
      </w:tabs>
    </w:pPr>
  </w:style>
  <w:style w:type="paragraph" w:styleId="Fuzeile">
    <w:name w:val="footer"/>
    <w:basedOn w:val="Standard"/>
    <w:rsid w:val="00AD51BC"/>
    <w:pPr>
      <w:tabs>
        <w:tab w:val="center" w:pos="4153"/>
        <w:tab w:val="right" w:pos="8306"/>
      </w:tabs>
    </w:pPr>
  </w:style>
  <w:style w:type="character" w:styleId="Seitenzahl">
    <w:name w:val="page number"/>
    <w:basedOn w:val="Absatz-Standardschriftart"/>
    <w:rsid w:val="00AD51BC"/>
  </w:style>
  <w:style w:type="paragraph" w:styleId="StandardWeb">
    <w:name w:val="Normal (Web)"/>
    <w:basedOn w:val="Standard"/>
    <w:uiPriority w:val="99"/>
    <w:rsid w:val="00390299"/>
    <w:pPr>
      <w:spacing w:before="100" w:beforeAutospacing="1" w:after="100" w:afterAutospacing="1"/>
    </w:pPr>
  </w:style>
  <w:style w:type="paragraph" w:styleId="Sprechblasentext">
    <w:name w:val="Balloon Text"/>
    <w:basedOn w:val="Standard"/>
    <w:semiHidden/>
    <w:rsid w:val="00AF21D9"/>
    <w:rPr>
      <w:rFonts w:ascii="Tahoma" w:hAnsi="Tahoma" w:cs="Tahoma"/>
      <w:sz w:val="16"/>
      <w:szCs w:val="16"/>
    </w:rPr>
  </w:style>
  <w:style w:type="paragraph" w:styleId="Funotentext">
    <w:name w:val="footnote text"/>
    <w:basedOn w:val="Standard"/>
    <w:link w:val="FunotentextZchn"/>
    <w:uiPriority w:val="99"/>
    <w:semiHidden/>
    <w:rsid w:val="00B97358"/>
    <w:rPr>
      <w:sz w:val="20"/>
    </w:rPr>
  </w:style>
  <w:style w:type="character" w:styleId="Funotenzeichen">
    <w:name w:val="footnote reference"/>
    <w:uiPriority w:val="99"/>
    <w:semiHidden/>
    <w:rsid w:val="00B97358"/>
    <w:rPr>
      <w:vertAlign w:val="superscript"/>
    </w:rPr>
  </w:style>
  <w:style w:type="character" w:styleId="Kommentarzeichen">
    <w:name w:val="annotation reference"/>
    <w:semiHidden/>
    <w:rsid w:val="00236CE9"/>
    <w:rPr>
      <w:sz w:val="16"/>
      <w:szCs w:val="16"/>
    </w:rPr>
  </w:style>
  <w:style w:type="paragraph" w:styleId="Kommentartext">
    <w:name w:val="annotation text"/>
    <w:basedOn w:val="Standard"/>
    <w:semiHidden/>
    <w:rsid w:val="00236CE9"/>
    <w:rPr>
      <w:sz w:val="20"/>
    </w:rPr>
  </w:style>
  <w:style w:type="paragraph" w:styleId="Kommentarthema">
    <w:name w:val="annotation subject"/>
    <w:basedOn w:val="Kommentartext"/>
    <w:next w:val="Kommentartext"/>
    <w:semiHidden/>
    <w:rsid w:val="00236CE9"/>
    <w:rPr>
      <w:b/>
      <w:bCs/>
    </w:rPr>
  </w:style>
  <w:style w:type="paragraph" w:styleId="berarbeitung">
    <w:name w:val="Revision"/>
    <w:hidden/>
    <w:uiPriority w:val="99"/>
    <w:semiHidden/>
    <w:rsid w:val="00C24D46"/>
    <w:rPr>
      <w:sz w:val="22"/>
      <w:lang w:val="en-GB" w:eastAsia="en-US"/>
    </w:rPr>
  </w:style>
  <w:style w:type="character" w:customStyle="1" w:styleId="FunotentextZchn">
    <w:name w:val="Fußnotentext Zchn"/>
    <w:basedOn w:val="Absatz-Standardschriftart"/>
    <w:link w:val="Funotentext"/>
    <w:uiPriority w:val="99"/>
    <w:semiHidden/>
    <w:rsid w:val="005A0A9C"/>
    <w:rPr>
      <w:lang w:val="en-GB" w:eastAsia="en-US"/>
    </w:rPr>
  </w:style>
  <w:style w:type="paragraph" w:styleId="Listenabsatz">
    <w:name w:val="List Paragraph"/>
    <w:basedOn w:val="Standard"/>
    <w:uiPriority w:val="34"/>
    <w:qFormat/>
    <w:rsid w:val="005A0A9C"/>
    <w:pPr>
      <w:ind w:left="720"/>
      <w:contextualSpacing/>
    </w:pPr>
  </w:style>
  <w:style w:type="table" w:styleId="Tabellenraster">
    <w:name w:val="Table Grid"/>
    <w:basedOn w:val="NormaleTabelle"/>
    <w:uiPriority w:val="59"/>
    <w:rsid w:val="00A10FAC"/>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66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1A7F"/>
    <w:pPr>
      <w:widowControl w:val="0"/>
      <w:spacing w:line="300" w:lineRule="exact"/>
    </w:pPr>
    <w:rPr>
      <w:sz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D51BC"/>
    <w:pPr>
      <w:autoSpaceDE w:val="0"/>
      <w:autoSpaceDN w:val="0"/>
      <w:adjustRightInd w:val="0"/>
    </w:pPr>
    <w:rPr>
      <w:rFonts w:ascii="Verdana" w:hAnsi="Verdana" w:cs="Verdana"/>
      <w:color w:val="000000"/>
      <w:sz w:val="24"/>
      <w:szCs w:val="24"/>
      <w:lang w:val="en-GB" w:eastAsia="en-GB"/>
    </w:rPr>
  </w:style>
  <w:style w:type="paragraph" w:styleId="Kopfzeile">
    <w:name w:val="header"/>
    <w:basedOn w:val="Standard"/>
    <w:rsid w:val="00AD51BC"/>
    <w:pPr>
      <w:tabs>
        <w:tab w:val="center" w:pos="4153"/>
        <w:tab w:val="right" w:pos="8306"/>
      </w:tabs>
    </w:pPr>
  </w:style>
  <w:style w:type="paragraph" w:styleId="Fuzeile">
    <w:name w:val="footer"/>
    <w:basedOn w:val="Standard"/>
    <w:rsid w:val="00AD51BC"/>
    <w:pPr>
      <w:tabs>
        <w:tab w:val="center" w:pos="4153"/>
        <w:tab w:val="right" w:pos="8306"/>
      </w:tabs>
    </w:pPr>
  </w:style>
  <w:style w:type="character" w:styleId="Seitenzahl">
    <w:name w:val="page number"/>
    <w:basedOn w:val="Absatz-Standardschriftart"/>
    <w:rsid w:val="00AD51BC"/>
  </w:style>
  <w:style w:type="paragraph" w:styleId="StandardWeb">
    <w:name w:val="Normal (Web)"/>
    <w:basedOn w:val="Standard"/>
    <w:uiPriority w:val="99"/>
    <w:rsid w:val="00390299"/>
    <w:pPr>
      <w:spacing w:before="100" w:beforeAutospacing="1" w:after="100" w:afterAutospacing="1"/>
    </w:pPr>
  </w:style>
  <w:style w:type="paragraph" w:styleId="Sprechblasentext">
    <w:name w:val="Balloon Text"/>
    <w:basedOn w:val="Standard"/>
    <w:semiHidden/>
    <w:rsid w:val="00AF21D9"/>
    <w:rPr>
      <w:rFonts w:ascii="Tahoma" w:hAnsi="Tahoma" w:cs="Tahoma"/>
      <w:sz w:val="16"/>
      <w:szCs w:val="16"/>
    </w:rPr>
  </w:style>
  <w:style w:type="paragraph" w:styleId="Funotentext">
    <w:name w:val="footnote text"/>
    <w:basedOn w:val="Standard"/>
    <w:link w:val="FunotentextZchn"/>
    <w:uiPriority w:val="99"/>
    <w:semiHidden/>
    <w:rsid w:val="00B97358"/>
    <w:rPr>
      <w:sz w:val="20"/>
    </w:rPr>
  </w:style>
  <w:style w:type="character" w:styleId="Funotenzeichen">
    <w:name w:val="footnote reference"/>
    <w:uiPriority w:val="99"/>
    <w:semiHidden/>
    <w:rsid w:val="00B97358"/>
    <w:rPr>
      <w:vertAlign w:val="superscript"/>
    </w:rPr>
  </w:style>
  <w:style w:type="character" w:styleId="Kommentarzeichen">
    <w:name w:val="annotation reference"/>
    <w:semiHidden/>
    <w:rsid w:val="00236CE9"/>
    <w:rPr>
      <w:sz w:val="16"/>
      <w:szCs w:val="16"/>
    </w:rPr>
  </w:style>
  <w:style w:type="paragraph" w:styleId="Kommentartext">
    <w:name w:val="annotation text"/>
    <w:basedOn w:val="Standard"/>
    <w:semiHidden/>
    <w:rsid w:val="00236CE9"/>
    <w:rPr>
      <w:sz w:val="20"/>
    </w:rPr>
  </w:style>
  <w:style w:type="paragraph" w:styleId="Kommentarthema">
    <w:name w:val="annotation subject"/>
    <w:basedOn w:val="Kommentartext"/>
    <w:next w:val="Kommentartext"/>
    <w:semiHidden/>
    <w:rsid w:val="00236CE9"/>
    <w:rPr>
      <w:b/>
      <w:bCs/>
    </w:rPr>
  </w:style>
  <w:style w:type="paragraph" w:styleId="berarbeitung">
    <w:name w:val="Revision"/>
    <w:hidden/>
    <w:uiPriority w:val="99"/>
    <w:semiHidden/>
    <w:rsid w:val="00C24D46"/>
    <w:rPr>
      <w:sz w:val="22"/>
      <w:lang w:val="en-GB" w:eastAsia="en-US"/>
    </w:rPr>
  </w:style>
  <w:style w:type="character" w:customStyle="1" w:styleId="FunotentextZchn">
    <w:name w:val="Fußnotentext Zchn"/>
    <w:basedOn w:val="Absatz-Standardschriftart"/>
    <w:link w:val="Funotentext"/>
    <w:uiPriority w:val="99"/>
    <w:semiHidden/>
    <w:rsid w:val="005A0A9C"/>
    <w:rPr>
      <w:lang w:val="en-GB" w:eastAsia="en-US"/>
    </w:rPr>
  </w:style>
  <w:style w:type="paragraph" w:styleId="Listenabsatz">
    <w:name w:val="List Paragraph"/>
    <w:basedOn w:val="Standard"/>
    <w:uiPriority w:val="34"/>
    <w:qFormat/>
    <w:rsid w:val="005A0A9C"/>
    <w:pPr>
      <w:ind w:left="720"/>
      <w:contextualSpacing/>
    </w:pPr>
  </w:style>
  <w:style w:type="table" w:styleId="Tabellenraster">
    <w:name w:val="Table Grid"/>
    <w:basedOn w:val="NormaleTabelle"/>
    <w:uiPriority w:val="59"/>
    <w:rsid w:val="00A10FAC"/>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6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6294">
      <w:bodyDiv w:val="1"/>
      <w:marLeft w:val="0"/>
      <w:marRight w:val="0"/>
      <w:marTop w:val="0"/>
      <w:marBottom w:val="0"/>
      <w:divBdr>
        <w:top w:val="none" w:sz="0" w:space="0" w:color="auto"/>
        <w:left w:val="none" w:sz="0" w:space="0" w:color="auto"/>
        <w:bottom w:val="none" w:sz="0" w:space="0" w:color="auto"/>
        <w:right w:val="none" w:sz="0" w:space="0" w:color="auto"/>
      </w:divBdr>
      <w:divsChild>
        <w:div w:id="1947224342">
          <w:marLeft w:val="0"/>
          <w:marRight w:val="0"/>
          <w:marTop w:val="0"/>
          <w:marBottom w:val="0"/>
          <w:divBdr>
            <w:top w:val="none" w:sz="0" w:space="0" w:color="auto"/>
            <w:left w:val="none" w:sz="0" w:space="0" w:color="auto"/>
            <w:bottom w:val="none" w:sz="0" w:space="0" w:color="auto"/>
            <w:right w:val="none" w:sz="0" w:space="0" w:color="auto"/>
          </w:divBdr>
          <w:divsChild>
            <w:div w:id="1839610250">
              <w:marLeft w:val="0"/>
              <w:marRight w:val="0"/>
              <w:marTop w:val="0"/>
              <w:marBottom w:val="0"/>
              <w:divBdr>
                <w:top w:val="none" w:sz="0" w:space="0" w:color="auto"/>
                <w:left w:val="none" w:sz="0" w:space="0" w:color="auto"/>
                <w:bottom w:val="none" w:sz="0" w:space="0" w:color="auto"/>
                <w:right w:val="none" w:sz="0" w:space="0" w:color="auto"/>
              </w:divBdr>
              <w:divsChild>
                <w:div w:id="1762333320">
                  <w:marLeft w:val="0"/>
                  <w:marRight w:val="0"/>
                  <w:marTop w:val="0"/>
                  <w:marBottom w:val="0"/>
                  <w:divBdr>
                    <w:top w:val="none" w:sz="0" w:space="0" w:color="auto"/>
                    <w:left w:val="none" w:sz="0" w:space="0" w:color="auto"/>
                    <w:bottom w:val="none" w:sz="0" w:space="0" w:color="auto"/>
                    <w:right w:val="none" w:sz="0" w:space="0" w:color="auto"/>
                  </w:divBdr>
                  <w:divsChild>
                    <w:div w:id="1141578913">
                      <w:marLeft w:val="0"/>
                      <w:marRight w:val="0"/>
                      <w:marTop w:val="0"/>
                      <w:marBottom w:val="0"/>
                      <w:divBdr>
                        <w:top w:val="none" w:sz="0" w:space="0" w:color="auto"/>
                        <w:left w:val="none" w:sz="0" w:space="0" w:color="auto"/>
                        <w:bottom w:val="none" w:sz="0" w:space="0" w:color="auto"/>
                        <w:right w:val="none" w:sz="0" w:space="0" w:color="auto"/>
                      </w:divBdr>
                      <w:divsChild>
                        <w:div w:id="894584485">
                          <w:marLeft w:val="0"/>
                          <w:marRight w:val="0"/>
                          <w:marTop w:val="0"/>
                          <w:marBottom w:val="0"/>
                          <w:divBdr>
                            <w:top w:val="none" w:sz="0" w:space="0" w:color="auto"/>
                            <w:left w:val="none" w:sz="0" w:space="0" w:color="auto"/>
                            <w:bottom w:val="none" w:sz="0" w:space="0" w:color="auto"/>
                            <w:right w:val="none" w:sz="0" w:space="0" w:color="auto"/>
                          </w:divBdr>
                          <w:divsChild>
                            <w:div w:id="1355034318">
                              <w:marLeft w:val="0"/>
                              <w:marRight w:val="0"/>
                              <w:marTop w:val="0"/>
                              <w:marBottom w:val="0"/>
                              <w:divBdr>
                                <w:top w:val="none" w:sz="0" w:space="0" w:color="auto"/>
                                <w:left w:val="none" w:sz="0" w:space="0" w:color="auto"/>
                                <w:bottom w:val="none" w:sz="0" w:space="0" w:color="auto"/>
                                <w:right w:val="none" w:sz="0" w:space="0" w:color="auto"/>
                              </w:divBdr>
                              <w:divsChild>
                                <w:div w:id="2105804699">
                                  <w:marLeft w:val="0"/>
                                  <w:marRight w:val="0"/>
                                  <w:marTop w:val="0"/>
                                  <w:marBottom w:val="0"/>
                                  <w:divBdr>
                                    <w:top w:val="none" w:sz="0" w:space="0" w:color="auto"/>
                                    <w:left w:val="none" w:sz="0" w:space="0" w:color="auto"/>
                                    <w:bottom w:val="none" w:sz="0" w:space="0" w:color="auto"/>
                                    <w:right w:val="none" w:sz="0" w:space="0" w:color="auto"/>
                                  </w:divBdr>
                                  <w:divsChild>
                                    <w:div w:id="52045603">
                                      <w:marLeft w:val="60"/>
                                      <w:marRight w:val="0"/>
                                      <w:marTop w:val="0"/>
                                      <w:marBottom w:val="0"/>
                                      <w:divBdr>
                                        <w:top w:val="none" w:sz="0" w:space="0" w:color="auto"/>
                                        <w:left w:val="none" w:sz="0" w:space="0" w:color="auto"/>
                                        <w:bottom w:val="none" w:sz="0" w:space="0" w:color="auto"/>
                                        <w:right w:val="none" w:sz="0" w:space="0" w:color="auto"/>
                                      </w:divBdr>
                                      <w:divsChild>
                                        <w:div w:id="1750152012">
                                          <w:marLeft w:val="0"/>
                                          <w:marRight w:val="0"/>
                                          <w:marTop w:val="0"/>
                                          <w:marBottom w:val="0"/>
                                          <w:divBdr>
                                            <w:top w:val="none" w:sz="0" w:space="0" w:color="auto"/>
                                            <w:left w:val="none" w:sz="0" w:space="0" w:color="auto"/>
                                            <w:bottom w:val="none" w:sz="0" w:space="0" w:color="auto"/>
                                            <w:right w:val="none" w:sz="0" w:space="0" w:color="auto"/>
                                          </w:divBdr>
                                          <w:divsChild>
                                            <w:div w:id="1703365320">
                                              <w:marLeft w:val="0"/>
                                              <w:marRight w:val="0"/>
                                              <w:marTop w:val="0"/>
                                              <w:marBottom w:val="120"/>
                                              <w:divBdr>
                                                <w:top w:val="single" w:sz="6" w:space="0" w:color="F5F5F5"/>
                                                <w:left w:val="single" w:sz="6" w:space="0" w:color="F5F5F5"/>
                                                <w:bottom w:val="single" w:sz="6" w:space="0" w:color="F5F5F5"/>
                                                <w:right w:val="single" w:sz="6" w:space="0" w:color="F5F5F5"/>
                                              </w:divBdr>
                                              <w:divsChild>
                                                <w:div w:id="353532389">
                                                  <w:marLeft w:val="0"/>
                                                  <w:marRight w:val="0"/>
                                                  <w:marTop w:val="0"/>
                                                  <w:marBottom w:val="0"/>
                                                  <w:divBdr>
                                                    <w:top w:val="none" w:sz="0" w:space="0" w:color="auto"/>
                                                    <w:left w:val="none" w:sz="0" w:space="0" w:color="auto"/>
                                                    <w:bottom w:val="none" w:sz="0" w:space="0" w:color="auto"/>
                                                    <w:right w:val="none" w:sz="0" w:space="0" w:color="auto"/>
                                                  </w:divBdr>
                                                  <w:divsChild>
                                                    <w:div w:id="1607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74611">
      <w:bodyDiv w:val="1"/>
      <w:marLeft w:val="0"/>
      <w:marRight w:val="0"/>
      <w:marTop w:val="0"/>
      <w:marBottom w:val="0"/>
      <w:divBdr>
        <w:top w:val="none" w:sz="0" w:space="0" w:color="auto"/>
        <w:left w:val="none" w:sz="0" w:space="0" w:color="auto"/>
        <w:bottom w:val="none" w:sz="0" w:space="0" w:color="auto"/>
        <w:right w:val="none" w:sz="0" w:space="0" w:color="auto"/>
      </w:divBdr>
    </w:div>
    <w:div w:id="181211777">
      <w:bodyDiv w:val="1"/>
      <w:marLeft w:val="0"/>
      <w:marRight w:val="0"/>
      <w:marTop w:val="0"/>
      <w:marBottom w:val="0"/>
      <w:divBdr>
        <w:top w:val="none" w:sz="0" w:space="0" w:color="auto"/>
        <w:left w:val="none" w:sz="0" w:space="0" w:color="auto"/>
        <w:bottom w:val="none" w:sz="0" w:space="0" w:color="auto"/>
        <w:right w:val="none" w:sz="0" w:space="0" w:color="auto"/>
      </w:divBdr>
    </w:div>
    <w:div w:id="529996158">
      <w:bodyDiv w:val="1"/>
      <w:marLeft w:val="0"/>
      <w:marRight w:val="0"/>
      <w:marTop w:val="0"/>
      <w:marBottom w:val="0"/>
      <w:divBdr>
        <w:top w:val="none" w:sz="0" w:space="0" w:color="auto"/>
        <w:left w:val="none" w:sz="0" w:space="0" w:color="auto"/>
        <w:bottom w:val="none" w:sz="0" w:space="0" w:color="auto"/>
        <w:right w:val="none" w:sz="0" w:space="0" w:color="auto"/>
      </w:divBdr>
    </w:div>
    <w:div w:id="583688950">
      <w:bodyDiv w:val="1"/>
      <w:marLeft w:val="0"/>
      <w:marRight w:val="0"/>
      <w:marTop w:val="0"/>
      <w:marBottom w:val="0"/>
      <w:divBdr>
        <w:top w:val="none" w:sz="0" w:space="0" w:color="auto"/>
        <w:left w:val="none" w:sz="0" w:space="0" w:color="auto"/>
        <w:bottom w:val="none" w:sz="0" w:space="0" w:color="auto"/>
        <w:right w:val="none" w:sz="0" w:space="0" w:color="auto"/>
      </w:divBdr>
    </w:div>
    <w:div w:id="628166133">
      <w:bodyDiv w:val="1"/>
      <w:marLeft w:val="0"/>
      <w:marRight w:val="0"/>
      <w:marTop w:val="0"/>
      <w:marBottom w:val="0"/>
      <w:divBdr>
        <w:top w:val="none" w:sz="0" w:space="0" w:color="auto"/>
        <w:left w:val="none" w:sz="0" w:space="0" w:color="auto"/>
        <w:bottom w:val="none" w:sz="0" w:space="0" w:color="auto"/>
        <w:right w:val="none" w:sz="0" w:space="0" w:color="auto"/>
      </w:divBdr>
    </w:div>
    <w:div w:id="720712277">
      <w:bodyDiv w:val="1"/>
      <w:marLeft w:val="0"/>
      <w:marRight w:val="0"/>
      <w:marTop w:val="0"/>
      <w:marBottom w:val="0"/>
      <w:divBdr>
        <w:top w:val="none" w:sz="0" w:space="0" w:color="auto"/>
        <w:left w:val="none" w:sz="0" w:space="0" w:color="auto"/>
        <w:bottom w:val="none" w:sz="0" w:space="0" w:color="auto"/>
        <w:right w:val="none" w:sz="0" w:space="0" w:color="auto"/>
      </w:divBdr>
    </w:div>
    <w:div w:id="831023731">
      <w:bodyDiv w:val="1"/>
      <w:marLeft w:val="0"/>
      <w:marRight w:val="0"/>
      <w:marTop w:val="0"/>
      <w:marBottom w:val="0"/>
      <w:divBdr>
        <w:top w:val="none" w:sz="0" w:space="0" w:color="auto"/>
        <w:left w:val="none" w:sz="0" w:space="0" w:color="auto"/>
        <w:bottom w:val="none" w:sz="0" w:space="0" w:color="auto"/>
        <w:right w:val="none" w:sz="0" w:space="0" w:color="auto"/>
      </w:divBdr>
      <w:divsChild>
        <w:div w:id="11806784">
          <w:marLeft w:val="0"/>
          <w:marRight w:val="0"/>
          <w:marTop w:val="0"/>
          <w:marBottom w:val="0"/>
          <w:divBdr>
            <w:top w:val="none" w:sz="0" w:space="0" w:color="auto"/>
            <w:left w:val="none" w:sz="0" w:space="0" w:color="auto"/>
            <w:bottom w:val="none" w:sz="0" w:space="0" w:color="auto"/>
            <w:right w:val="none" w:sz="0" w:space="0" w:color="auto"/>
          </w:divBdr>
          <w:divsChild>
            <w:div w:id="1517038665">
              <w:marLeft w:val="0"/>
              <w:marRight w:val="0"/>
              <w:marTop w:val="0"/>
              <w:marBottom w:val="0"/>
              <w:divBdr>
                <w:top w:val="none" w:sz="0" w:space="0" w:color="auto"/>
                <w:left w:val="none" w:sz="0" w:space="0" w:color="auto"/>
                <w:bottom w:val="none" w:sz="0" w:space="0" w:color="auto"/>
                <w:right w:val="none" w:sz="0" w:space="0" w:color="auto"/>
              </w:divBdr>
              <w:divsChild>
                <w:div w:id="581185201">
                  <w:marLeft w:val="0"/>
                  <w:marRight w:val="0"/>
                  <w:marTop w:val="0"/>
                  <w:marBottom w:val="0"/>
                  <w:divBdr>
                    <w:top w:val="none" w:sz="0" w:space="0" w:color="auto"/>
                    <w:left w:val="none" w:sz="0" w:space="0" w:color="auto"/>
                    <w:bottom w:val="none" w:sz="0" w:space="0" w:color="auto"/>
                    <w:right w:val="none" w:sz="0" w:space="0" w:color="auto"/>
                  </w:divBdr>
                  <w:divsChild>
                    <w:div w:id="899443193">
                      <w:marLeft w:val="0"/>
                      <w:marRight w:val="0"/>
                      <w:marTop w:val="0"/>
                      <w:marBottom w:val="0"/>
                      <w:divBdr>
                        <w:top w:val="none" w:sz="0" w:space="0" w:color="auto"/>
                        <w:left w:val="none" w:sz="0" w:space="0" w:color="auto"/>
                        <w:bottom w:val="none" w:sz="0" w:space="0" w:color="auto"/>
                        <w:right w:val="none" w:sz="0" w:space="0" w:color="auto"/>
                      </w:divBdr>
                      <w:divsChild>
                        <w:div w:id="1988895758">
                          <w:marLeft w:val="0"/>
                          <w:marRight w:val="0"/>
                          <w:marTop w:val="0"/>
                          <w:marBottom w:val="0"/>
                          <w:divBdr>
                            <w:top w:val="none" w:sz="0" w:space="0" w:color="auto"/>
                            <w:left w:val="none" w:sz="0" w:space="0" w:color="auto"/>
                            <w:bottom w:val="none" w:sz="0" w:space="0" w:color="auto"/>
                            <w:right w:val="none" w:sz="0" w:space="0" w:color="auto"/>
                          </w:divBdr>
                          <w:divsChild>
                            <w:div w:id="1638217214">
                              <w:marLeft w:val="0"/>
                              <w:marRight w:val="0"/>
                              <w:marTop w:val="0"/>
                              <w:marBottom w:val="0"/>
                              <w:divBdr>
                                <w:top w:val="none" w:sz="0" w:space="0" w:color="auto"/>
                                <w:left w:val="none" w:sz="0" w:space="0" w:color="auto"/>
                                <w:bottom w:val="none" w:sz="0" w:space="0" w:color="auto"/>
                                <w:right w:val="none" w:sz="0" w:space="0" w:color="auto"/>
                              </w:divBdr>
                              <w:divsChild>
                                <w:div w:id="264847107">
                                  <w:marLeft w:val="0"/>
                                  <w:marRight w:val="0"/>
                                  <w:marTop w:val="0"/>
                                  <w:marBottom w:val="0"/>
                                  <w:divBdr>
                                    <w:top w:val="none" w:sz="0" w:space="0" w:color="auto"/>
                                    <w:left w:val="none" w:sz="0" w:space="0" w:color="auto"/>
                                    <w:bottom w:val="none" w:sz="0" w:space="0" w:color="auto"/>
                                    <w:right w:val="none" w:sz="0" w:space="0" w:color="auto"/>
                                  </w:divBdr>
                                  <w:divsChild>
                                    <w:div w:id="223223677">
                                      <w:marLeft w:val="60"/>
                                      <w:marRight w:val="0"/>
                                      <w:marTop w:val="0"/>
                                      <w:marBottom w:val="0"/>
                                      <w:divBdr>
                                        <w:top w:val="none" w:sz="0" w:space="0" w:color="auto"/>
                                        <w:left w:val="none" w:sz="0" w:space="0" w:color="auto"/>
                                        <w:bottom w:val="none" w:sz="0" w:space="0" w:color="auto"/>
                                        <w:right w:val="none" w:sz="0" w:space="0" w:color="auto"/>
                                      </w:divBdr>
                                      <w:divsChild>
                                        <w:div w:id="527328937">
                                          <w:marLeft w:val="0"/>
                                          <w:marRight w:val="0"/>
                                          <w:marTop w:val="0"/>
                                          <w:marBottom w:val="0"/>
                                          <w:divBdr>
                                            <w:top w:val="none" w:sz="0" w:space="0" w:color="auto"/>
                                            <w:left w:val="none" w:sz="0" w:space="0" w:color="auto"/>
                                            <w:bottom w:val="none" w:sz="0" w:space="0" w:color="auto"/>
                                            <w:right w:val="none" w:sz="0" w:space="0" w:color="auto"/>
                                          </w:divBdr>
                                          <w:divsChild>
                                            <w:div w:id="2060322690">
                                              <w:marLeft w:val="0"/>
                                              <w:marRight w:val="0"/>
                                              <w:marTop w:val="0"/>
                                              <w:marBottom w:val="120"/>
                                              <w:divBdr>
                                                <w:top w:val="single" w:sz="6" w:space="0" w:color="F5F5F5"/>
                                                <w:left w:val="single" w:sz="6" w:space="0" w:color="F5F5F5"/>
                                                <w:bottom w:val="single" w:sz="6" w:space="0" w:color="F5F5F5"/>
                                                <w:right w:val="single" w:sz="6" w:space="0" w:color="F5F5F5"/>
                                              </w:divBdr>
                                              <w:divsChild>
                                                <w:div w:id="1235434633">
                                                  <w:marLeft w:val="0"/>
                                                  <w:marRight w:val="0"/>
                                                  <w:marTop w:val="0"/>
                                                  <w:marBottom w:val="0"/>
                                                  <w:divBdr>
                                                    <w:top w:val="none" w:sz="0" w:space="0" w:color="auto"/>
                                                    <w:left w:val="none" w:sz="0" w:space="0" w:color="auto"/>
                                                    <w:bottom w:val="none" w:sz="0" w:space="0" w:color="auto"/>
                                                    <w:right w:val="none" w:sz="0" w:space="0" w:color="auto"/>
                                                  </w:divBdr>
                                                  <w:divsChild>
                                                    <w:div w:id="3575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196581">
      <w:bodyDiv w:val="1"/>
      <w:marLeft w:val="0"/>
      <w:marRight w:val="0"/>
      <w:marTop w:val="0"/>
      <w:marBottom w:val="0"/>
      <w:divBdr>
        <w:top w:val="none" w:sz="0" w:space="0" w:color="auto"/>
        <w:left w:val="none" w:sz="0" w:space="0" w:color="auto"/>
        <w:bottom w:val="none" w:sz="0" w:space="0" w:color="auto"/>
        <w:right w:val="none" w:sz="0" w:space="0" w:color="auto"/>
      </w:divBdr>
    </w:div>
    <w:div w:id="1149327470">
      <w:bodyDiv w:val="1"/>
      <w:marLeft w:val="0"/>
      <w:marRight w:val="0"/>
      <w:marTop w:val="0"/>
      <w:marBottom w:val="0"/>
      <w:divBdr>
        <w:top w:val="none" w:sz="0" w:space="0" w:color="auto"/>
        <w:left w:val="none" w:sz="0" w:space="0" w:color="auto"/>
        <w:bottom w:val="none" w:sz="0" w:space="0" w:color="auto"/>
        <w:right w:val="none" w:sz="0" w:space="0" w:color="auto"/>
      </w:divBdr>
    </w:div>
    <w:div w:id="1179272986">
      <w:bodyDiv w:val="1"/>
      <w:marLeft w:val="0"/>
      <w:marRight w:val="0"/>
      <w:marTop w:val="0"/>
      <w:marBottom w:val="0"/>
      <w:divBdr>
        <w:top w:val="none" w:sz="0" w:space="0" w:color="auto"/>
        <w:left w:val="none" w:sz="0" w:space="0" w:color="auto"/>
        <w:bottom w:val="none" w:sz="0" w:space="0" w:color="auto"/>
        <w:right w:val="none" w:sz="0" w:space="0" w:color="auto"/>
      </w:divBdr>
    </w:div>
    <w:div w:id="1224096891">
      <w:bodyDiv w:val="1"/>
      <w:marLeft w:val="0"/>
      <w:marRight w:val="0"/>
      <w:marTop w:val="0"/>
      <w:marBottom w:val="0"/>
      <w:divBdr>
        <w:top w:val="none" w:sz="0" w:space="0" w:color="auto"/>
        <w:left w:val="none" w:sz="0" w:space="0" w:color="auto"/>
        <w:bottom w:val="none" w:sz="0" w:space="0" w:color="auto"/>
        <w:right w:val="none" w:sz="0" w:space="0" w:color="auto"/>
      </w:divBdr>
    </w:div>
    <w:div w:id="1227909720">
      <w:bodyDiv w:val="1"/>
      <w:marLeft w:val="0"/>
      <w:marRight w:val="0"/>
      <w:marTop w:val="0"/>
      <w:marBottom w:val="0"/>
      <w:divBdr>
        <w:top w:val="none" w:sz="0" w:space="0" w:color="auto"/>
        <w:left w:val="none" w:sz="0" w:space="0" w:color="auto"/>
        <w:bottom w:val="none" w:sz="0" w:space="0" w:color="auto"/>
        <w:right w:val="none" w:sz="0" w:space="0" w:color="auto"/>
      </w:divBdr>
      <w:divsChild>
        <w:div w:id="2142266000">
          <w:marLeft w:val="0"/>
          <w:marRight w:val="0"/>
          <w:marTop w:val="0"/>
          <w:marBottom w:val="0"/>
          <w:divBdr>
            <w:top w:val="none" w:sz="0" w:space="0" w:color="auto"/>
            <w:left w:val="none" w:sz="0" w:space="0" w:color="auto"/>
            <w:bottom w:val="none" w:sz="0" w:space="0" w:color="auto"/>
            <w:right w:val="none" w:sz="0" w:space="0" w:color="auto"/>
          </w:divBdr>
          <w:divsChild>
            <w:div w:id="1982348916">
              <w:marLeft w:val="0"/>
              <w:marRight w:val="0"/>
              <w:marTop w:val="0"/>
              <w:marBottom w:val="0"/>
              <w:divBdr>
                <w:top w:val="none" w:sz="0" w:space="0" w:color="auto"/>
                <w:left w:val="none" w:sz="0" w:space="0" w:color="auto"/>
                <w:bottom w:val="none" w:sz="0" w:space="0" w:color="auto"/>
                <w:right w:val="none" w:sz="0" w:space="0" w:color="auto"/>
              </w:divBdr>
              <w:divsChild>
                <w:div w:id="686907165">
                  <w:marLeft w:val="0"/>
                  <w:marRight w:val="0"/>
                  <w:marTop w:val="0"/>
                  <w:marBottom w:val="0"/>
                  <w:divBdr>
                    <w:top w:val="none" w:sz="0" w:space="0" w:color="auto"/>
                    <w:left w:val="none" w:sz="0" w:space="0" w:color="auto"/>
                    <w:bottom w:val="none" w:sz="0" w:space="0" w:color="auto"/>
                    <w:right w:val="none" w:sz="0" w:space="0" w:color="auto"/>
                  </w:divBdr>
                  <w:divsChild>
                    <w:div w:id="823394779">
                      <w:marLeft w:val="0"/>
                      <w:marRight w:val="0"/>
                      <w:marTop w:val="0"/>
                      <w:marBottom w:val="0"/>
                      <w:divBdr>
                        <w:top w:val="none" w:sz="0" w:space="0" w:color="auto"/>
                        <w:left w:val="none" w:sz="0" w:space="0" w:color="auto"/>
                        <w:bottom w:val="none" w:sz="0" w:space="0" w:color="auto"/>
                        <w:right w:val="none" w:sz="0" w:space="0" w:color="auto"/>
                      </w:divBdr>
                      <w:divsChild>
                        <w:div w:id="131867552">
                          <w:marLeft w:val="0"/>
                          <w:marRight w:val="0"/>
                          <w:marTop w:val="0"/>
                          <w:marBottom w:val="0"/>
                          <w:divBdr>
                            <w:top w:val="none" w:sz="0" w:space="0" w:color="auto"/>
                            <w:left w:val="none" w:sz="0" w:space="0" w:color="auto"/>
                            <w:bottom w:val="none" w:sz="0" w:space="0" w:color="auto"/>
                            <w:right w:val="none" w:sz="0" w:space="0" w:color="auto"/>
                          </w:divBdr>
                          <w:divsChild>
                            <w:div w:id="410200631">
                              <w:marLeft w:val="0"/>
                              <w:marRight w:val="0"/>
                              <w:marTop w:val="0"/>
                              <w:marBottom w:val="0"/>
                              <w:divBdr>
                                <w:top w:val="none" w:sz="0" w:space="0" w:color="auto"/>
                                <w:left w:val="none" w:sz="0" w:space="0" w:color="auto"/>
                                <w:bottom w:val="none" w:sz="0" w:space="0" w:color="auto"/>
                                <w:right w:val="none" w:sz="0" w:space="0" w:color="auto"/>
                              </w:divBdr>
                              <w:divsChild>
                                <w:div w:id="630601546">
                                  <w:marLeft w:val="0"/>
                                  <w:marRight w:val="0"/>
                                  <w:marTop w:val="0"/>
                                  <w:marBottom w:val="0"/>
                                  <w:divBdr>
                                    <w:top w:val="none" w:sz="0" w:space="0" w:color="auto"/>
                                    <w:left w:val="none" w:sz="0" w:space="0" w:color="auto"/>
                                    <w:bottom w:val="none" w:sz="0" w:space="0" w:color="auto"/>
                                    <w:right w:val="none" w:sz="0" w:space="0" w:color="auto"/>
                                  </w:divBdr>
                                  <w:divsChild>
                                    <w:div w:id="601035665">
                                      <w:marLeft w:val="60"/>
                                      <w:marRight w:val="0"/>
                                      <w:marTop w:val="0"/>
                                      <w:marBottom w:val="0"/>
                                      <w:divBdr>
                                        <w:top w:val="none" w:sz="0" w:space="0" w:color="auto"/>
                                        <w:left w:val="none" w:sz="0" w:space="0" w:color="auto"/>
                                        <w:bottom w:val="none" w:sz="0" w:space="0" w:color="auto"/>
                                        <w:right w:val="none" w:sz="0" w:space="0" w:color="auto"/>
                                      </w:divBdr>
                                      <w:divsChild>
                                        <w:div w:id="49232778">
                                          <w:marLeft w:val="0"/>
                                          <w:marRight w:val="0"/>
                                          <w:marTop w:val="0"/>
                                          <w:marBottom w:val="0"/>
                                          <w:divBdr>
                                            <w:top w:val="none" w:sz="0" w:space="0" w:color="auto"/>
                                            <w:left w:val="none" w:sz="0" w:space="0" w:color="auto"/>
                                            <w:bottom w:val="none" w:sz="0" w:space="0" w:color="auto"/>
                                            <w:right w:val="none" w:sz="0" w:space="0" w:color="auto"/>
                                          </w:divBdr>
                                          <w:divsChild>
                                            <w:div w:id="840656166">
                                              <w:marLeft w:val="0"/>
                                              <w:marRight w:val="0"/>
                                              <w:marTop w:val="0"/>
                                              <w:marBottom w:val="120"/>
                                              <w:divBdr>
                                                <w:top w:val="single" w:sz="6" w:space="0" w:color="F5F5F5"/>
                                                <w:left w:val="single" w:sz="6" w:space="0" w:color="F5F5F5"/>
                                                <w:bottom w:val="single" w:sz="6" w:space="0" w:color="F5F5F5"/>
                                                <w:right w:val="single" w:sz="6" w:space="0" w:color="F5F5F5"/>
                                              </w:divBdr>
                                              <w:divsChild>
                                                <w:div w:id="774447925">
                                                  <w:marLeft w:val="0"/>
                                                  <w:marRight w:val="0"/>
                                                  <w:marTop w:val="0"/>
                                                  <w:marBottom w:val="0"/>
                                                  <w:divBdr>
                                                    <w:top w:val="none" w:sz="0" w:space="0" w:color="auto"/>
                                                    <w:left w:val="none" w:sz="0" w:space="0" w:color="auto"/>
                                                    <w:bottom w:val="none" w:sz="0" w:space="0" w:color="auto"/>
                                                    <w:right w:val="none" w:sz="0" w:space="0" w:color="auto"/>
                                                  </w:divBdr>
                                                  <w:divsChild>
                                                    <w:div w:id="17065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5700826">
      <w:bodyDiv w:val="1"/>
      <w:marLeft w:val="0"/>
      <w:marRight w:val="0"/>
      <w:marTop w:val="0"/>
      <w:marBottom w:val="0"/>
      <w:divBdr>
        <w:top w:val="none" w:sz="0" w:space="0" w:color="auto"/>
        <w:left w:val="none" w:sz="0" w:space="0" w:color="auto"/>
        <w:bottom w:val="none" w:sz="0" w:space="0" w:color="auto"/>
        <w:right w:val="none" w:sz="0" w:space="0" w:color="auto"/>
      </w:divBdr>
      <w:divsChild>
        <w:div w:id="1159728438">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sChild>
                <w:div w:id="1952084272">
                  <w:marLeft w:val="0"/>
                  <w:marRight w:val="0"/>
                  <w:marTop w:val="0"/>
                  <w:marBottom w:val="0"/>
                  <w:divBdr>
                    <w:top w:val="none" w:sz="0" w:space="0" w:color="auto"/>
                    <w:left w:val="none" w:sz="0" w:space="0" w:color="auto"/>
                    <w:bottom w:val="none" w:sz="0" w:space="0" w:color="auto"/>
                    <w:right w:val="none" w:sz="0" w:space="0" w:color="auto"/>
                  </w:divBdr>
                  <w:divsChild>
                    <w:div w:id="622659634">
                      <w:marLeft w:val="0"/>
                      <w:marRight w:val="0"/>
                      <w:marTop w:val="0"/>
                      <w:marBottom w:val="0"/>
                      <w:divBdr>
                        <w:top w:val="none" w:sz="0" w:space="0" w:color="auto"/>
                        <w:left w:val="none" w:sz="0" w:space="0" w:color="auto"/>
                        <w:bottom w:val="none" w:sz="0" w:space="0" w:color="auto"/>
                        <w:right w:val="none" w:sz="0" w:space="0" w:color="auto"/>
                      </w:divBdr>
                      <w:divsChild>
                        <w:div w:id="338167032">
                          <w:marLeft w:val="0"/>
                          <w:marRight w:val="0"/>
                          <w:marTop w:val="0"/>
                          <w:marBottom w:val="0"/>
                          <w:divBdr>
                            <w:top w:val="none" w:sz="0" w:space="0" w:color="auto"/>
                            <w:left w:val="none" w:sz="0" w:space="0" w:color="auto"/>
                            <w:bottom w:val="none" w:sz="0" w:space="0" w:color="auto"/>
                            <w:right w:val="none" w:sz="0" w:space="0" w:color="auto"/>
                          </w:divBdr>
                          <w:divsChild>
                            <w:div w:id="2129398181">
                              <w:marLeft w:val="0"/>
                              <w:marRight w:val="0"/>
                              <w:marTop w:val="0"/>
                              <w:marBottom w:val="0"/>
                              <w:divBdr>
                                <w:top w:val="none" w:sz="0" w:space="0" w:color="auto"/>
                                <w:left w:val="none" w:sz="0" w:space="0" w:color="auto"/>
                                <w:bottom w:val="none" w:sz="0" w:space="0" w:color="auto"/>
                                <w:right w:val="none" w:sz="0" w:space="0" w:color="auto"/>
                              </w:divBdr>
                              <w:divsChild>
                                <w:div w:id="196087018">
                                  <w:marLeft w:val="0"/>
                                  <w:marRight w:val="0"/>
                                  <w:marTop w:val="0"/>
                                  <w:marBottom w:val="0"/>
                                  <w:divBdr>
                                    <w:top w:val="none" w:sz="0" w:space="0" w:color="auto"/>
                                    <w:left w:val="none" w:sz="0" w:space="0" w:color="auto"/>
                                    <w:bottom w:val="none" w:sz="0" w:space="0" w:color="auto"/>
                                    <w:right w:val="none" w:sz="0" w:space="0" w:color="auto"/>
                                  </w:divBdr>
                                  <w:divsChild>
                                    <w:div w:id="515311243">
                                      <w:marLeft w:val="60"/>
                                      <w:marRight w:val="0"/>
                                      <w:marTop w:val="0"/>
                                      <w:marBottom w:val="0"/>
                                      <w:divBdr>
                                        <w:top w:val="none" w:sz="0" w:space="0" w:color="auto"/>
                                        <w:left w:val="none" w:sz="0" w:space="0" w:color="auto"/>
                                        <w:bottom w:val="none" w:sz="0" w:space="0" w:color="auto"/>
                                        <w:right w:val="none" w:sz="0" w:space="0" w:color="auto"/>
                                      </w:divBdr>
                                      <w:divsChild>
                                        <w:div w:id="1859464503">
                                          <w:marLeft w:val="0"/>
                                          <w:marRight w:val="0"/>
                                          <w:marTop w:val="0"/>
                                          <w:marBottom w:val="0"/>
                                          <w:divBdr>
                                            <w:top w:val="none" w:sz="0" w:space="0" w:color="auto"/>
                                            <w:left w:val="none" w:sz="0" w:space="0" w:color="auto"/>
                                            <w:bottom w:val="none" w:sz="0" w:space="0" w:color="auto"/>
                                            <w:right w:val="none" w:sz="0" w:space="0" w:color="auto"/>
                                          </w:divBdr>
                                          <w:divsChild>
                                            <w:div w:id="1863932006">
                                              <w:marLeft w:val="0"/>
                                              <w:marRight w:val="0"/>
                                              <w:marTop w:val="0"/>
                                              <w:marBottom w:val="120"/>
                                              <w:divBdr>
                                                <w:top w:val="single" w:sz="6" w:space="0" w:color="F5F5F5"/>
                                                <w:left w:val="single" w:sz="6" w:space="0" w:color="F5F5F5"/>
                                                <w:bottom w:val="single" w:sz="6" w:space="0" w:color="F5F5F5"/>
                                                <w:right w:val="single" w:sz="6" w:space="0" w:color="F5F5F5"/>
                                              </w:divBdr>
                                              <w:divsChild>
                                                <w:div w:id="357631256">
                                                  <w:marLeft w:val="0"/>
                                                  <w:marRight w:val="0"/>
                                                  <w:marTop w:val="0"/>
                                                  <w:marBottom w:val="0"/>
                                                  <w:divBdr>
                                                    <w:top w:val="none" w:sz="0" w:space="0" w:color="auto"/>
                                                    <w:left w:val="none" w:sz="0" w:space="0" w:color="auto"/>
                                                    <w:bottom w:val="none" w:sz="0" w:space="0" w:color="auto"/>
                                                    <w:right w:val="none" w:sz="0" w:space="0" w:color="auto"/>
                                                  </w:divBdr>
                                                  <w:divsChild>
                                                    <w:div w:id="16726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987022">
      <w:bodyDiv w:val="1"/>
      <w:marLeft w:val="0"/>
      <w:marRight w:val="0"/>
      <w:marTop w:val="0"/>
      <w:marBottom w:val="0"/>
      <w:divBdr>
        <w:top w:val="none" w:sz="0" w:space="0" w:color="auto"/>
        <w:left w:val="none" w:sz="0" w:space="0" w:color="auto"/>
        <w:bottom w:val="none" w:sz="0" w:space="0" w:color="auto"/>
        <w:right w:val="none" w:sz="0" w:space="0" w:color="auto"/>
      </w:divBdr>
    </w:div>
    <w:div w:id="1432162651">
      <w:bodyDiv w:val="1"/>
      <w:marLeft w:val="0"/>
      <w:marRight w:val="0"/>
      <w:marTop w:val="0"/>
      <w:marBottom w:val="0"/>
      <w:divBdr>
        <w:top w:val="none" w:sz="0" w:space="0" w:color="auto"/>
        <w:left w:val="none" w:sz="0" w:space="0" w:color="auto"/>
        <w:bottom w:val="none" w:sz="0" w:space="0" w:color="auto"/>
        <w:right w:val="none" w:sz="0" w:space="0" w:color="auto"/>
      </w:divBdr>
      <w:divsChild>
        <w:div w:id="1955018334">
          <w:marLeft w:val="0"/>
          <w:marRight w:val="0"/>
          <w:marTop w:val="0"/>
          <w:marBottom w:val="0"/>
          <w:divBdr>
            <w:top w:val="none" w:sz="0" w:space="0" w:color="auto"/>
            <w:left w:val="none" w:sz="0" w:space="0" w:color="auto"/>
            <w:bottom w:val="none" w:sz="0" w:space="0" w:color="auto"/>
            <w:right w:val="none" w:sz="0" w:space="0" w:color="auto"/>
          </w:divBdr>
          <w:divsChild>
            <w:div w:id="1044057309">
              <w:marLeft w:val="0"/>
              <w:marRight w:val="0"/>
              <w:marTop w:val="0"/>
              <w:marBottom w:val="0"/>
              <w:divBdr>
                <w:top w:val="none" w:sz="0" w:space="0" w:color="auto"/>
                <w:left w:val="none" w:sz="0" w:space="0" w:color="auto"/>
                <w:bottom w:val="none" w:sz="0" w:space="0" w:color="auto"/>
                <w:right w:val="none" w:sz="0" w:space="0" w:color="auto"/>
              </w:divBdr>
              <w:divsChild>
                <w:div w:id="1744328538">
                  <w:marLeft w:val="0"/>
                  <w:marRight w:val="0"/>
                  <w:marTop w:val="0"/>
                  <w:marBottom w:val="0"/>
                  <w:divBdr>
                    <w:top w:val="none" w:sz="0" w:space="0" w:color="auto"/>
                    <w:left w:val="none" w:sz="0" w:space="0" w:color="auto"/>
                    <w:bottom w:val="none" w:sz="0" w:space="0" w:color="auto"/>
                    <w:right w:val="none" w:sz="0" w:space="0" w:color="auto"/>
                  </w:divBdr>
                  <w:divsChild>
                    <w:div w:id="815990784">
                      <w:marLeft w:val="0"/>
                      <w:marRight w:val="0"/>
                      <w:marTop w:val="0"/>
                      <w:marBottom w:val="0"/>
                      <w:divBdr>
                        <w:top w:val="none" w:sz="0" w:space="0" w:color="auto"/>
                        <w:left w:val="none" w:sz="0" w:space="0" w:color="auto"/>
                        <w:bottom w:val="none" w:sz="0" w:space="0" w:color="auto"/>
                        <w:right w:val="none" w:sz="0" w:space="0" w:color="auto"/>
                      </w:divBdr>
                      <w:divsChild>
                        <w:div w:id="2076277213">
                          <w:marLeft w:val="0"/>
                          <w:marRight w:val="0"/>
                          <w:marTop w:val="0"/>
                          <w:marBottom w:val="0"/>
                          <w:divBdr>
                            <w:top w:val="none" w:sz="0" w:space="0" w:color="auto"/>
                            <w:left w:val="none" w:sz="0" w:space="0" w:color="auto"/>
                            <w:bottom w:val="none" w:sz="0" w:space="0" w:color="auto"/>
                            <w:right w:val="none" w:sz="0" w:space="0" w:color="auto"/>
                          </w:divBdr>
                          <w:divsChild>
                            <w:div w:id="2043364794">
                              <w:marLeft w:val="0"/>
                              <w:marRight w:val="0"/>
                              <w:marTop w:val="0"/>
                              <w:marBottom w:val="0"/>
                              <w:divBdr>
                                <w:top w:val="none" w:sz="0" w:space="0" w:color="auto"/>
                                <w:left w:val="none" w:sz="0" w:space="0" w:color="auto"/>
                                <w:bottom w:val="none" w:sz="0" w:space="0" w:color="auto"/>
                                <w:right w:val="none" w:sz="0" w:space="0" w:color="auto"/>
                              </w:divBdr>
                              <w:divsChild>
                                <w:div w:id="2145197154">
                                  <w:marLeft w:val="0"/>
                                  <w:marRight w:val="0"/>
                                  <w:marTop w:val="0"/>
                                  <w:marBottom w:val="0"/>
                                  <w:divBdr>
                                    <w:top w:val="none" w:sz="0" w:space="0" w:color="auto"/>
                                    <w:left w:val="none" w:sz="0" w:space="0" w:color="auto"/>
                                    <w:bottom w:val="none" w:sz="0" w:space="0" w:color="auto"/>
                                    <w:right w:val="none" w:sz="0" w:space="0" w:color="auto"/>
                                  </w:divBdr>
                                  <w:divsChild>
                                    <w:div w:id="2123455518">
                                      <w:marLeft w:val="60"/>
                                      <w:marRight w:val="0"/>
                                      <w:marTop w:val="0"/>
                                      <w:marBottom w:val="0"/>
                                      <w:divBdr>
                                        <w:top w:val="none" w:sz="0" w:space="0" w:color="auto"/>
                                        <w:left w:val="none" w:sz="0" w:space="0" w:color="auto"/>
                                        <w:bottom w:val="none" w:sz="0" w:space="0" w:color="auto"/>
                                        <w:right w:val="none" w:sz="0" w:space="0" w:color="auto"/>
                                      </w:divBdr>
                                      <w:divsChild>
                                        <w:div w:id="1568998090">
                                          <w:marLeft w:val="0"/>
                                          <w:marRight w:val="0"/>
                                          <w:marTop w:val="0"/>
                                          <w:marBottom w:val="0"/>
                                          <w:divBdr>
                                            <w:top w:val="none" w:sz="0" w:space="0" w:color="auto"/>
                                            <w:left w:val="none" w:sz="0" w:space="0" w:color="auto"/>
                                            <w:bottom w:val="none" w:sz="0" w:space="0" w:color="auto"/>
                                            <w:right w:val="none" w:sz="0" w:space="0" w:color="auto"/>
                                          </w:divBdr>
                                          <w:divsChild>
                                            <w:div w:id="457262678">
                                              <w:marLeft w:val="0"/>
                                              <w:marRight w:val="0"/>
                                              <w:marTop w:val="0"/>
                                              <w:marBottom w:val="120"/>
                                              <w:divBdr>
                                                <w:top w:val="single" w:sz="6" w:space="0" w:color="F5F5F5"/>
                                                <w:left w:val="single" w:sz="6" w:space="0" w:color="F5F5F5"/>
                                                <w:bottom w:val="single" w:sz="6" w:space="0" w:color="F5F5F5"/>
                                                <w:right w:val="single" w:sz="6" w:space="0" w:color="F5F5F5"/>
                                              </w:divBdr>
                                              <w:divsChild>
                                                <w:div w:id="439961055">
                                                  <w:marLeft w:val="0"/>
                                                  <w:marRight w:val="0"/>
                                                  <w:marTop w:val="0"/>
                                                  <w:marBottom w:val="0"/>
                                                  <w:divBdr>
                                                    <w:top w:val="none" w:sz="0" w:space="0" w:color="auto"/>
                                                    <w:left w:val="none" w:sz="0" w:space="0" w:color="auto"/>
                                                    <w:bottom w:val="none" w:sz="0" w:space="0" w:color="auto"/>
                                                    <w:right w:val="none" w:sz="0" w:space="0" w:color="auto"/>
                                                  </w:divBdr>
                                                  <w:divsChild>
                                                    <w:div w:id="17663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742179">
      <w:bodyDiv w:val="1"/>
      <w:marLeft w:val="0"/>
      <w:marRight w:val="0"/>
      <w:marTop w:val="0"/>
      <w:marBottom w:val="0"/>
      <w:divBdr>
        <w:top w:val="none" w:sz="0" w:space="0" w:color="auto"/>
        <w:left w:val="none" w:sz="0" w:space="0" w:color="auto"/>
        <w:bottom w:val="none" w:sz="0" w:space="0" w:color="auto"/>
        <w:right w:val="none" w:sz="0" w:space="0" w:color="auto"/>
      </w:divBdr>
      <w:divsChild>
        <w:div w:id="1223440153">
          <w:marLeft w:val="0"/>
          <w:marRight w:val="0"/>
          <w:marTop w:val="0"/>
          <w:marBottom w:val="0"/>
          <w:divBdr>
            <w:top w:val="none" w:sz="0" w:space="0" w:color="auto"/>
            <w:left w:val="none" w:sz="0" w:space="0" w:color="auto"/>
            <w:bottom w:val="none" w:sz="0" w:space="0" w:color="auto"/>
            <w:right w:val="none" w:sz="0" w:space="0" w:color="auto"/>
          </w:divBdr>
          <w:divsChild>
            <w:div w:id="429089050">
              <w:marLeft w:val="0"/>
              <w:marRight w:val="0"/>
              <w:marTop w:val="0"/>
              <w:marBottom w:val="0"/>
              <w:divBdr>
                <w:top w:val="none" w:sz="0" w:space="0" w:color="auto"/>
                <w:left w:val="none" w:sz="0" w:space="0" w:color="auto"/>
                <w:bottom w:val="none" w:sz="0" w:space="0" w:color="auto"/>
                <w:right w:val="none" w:sz="0" w:space="0" w:color="auto"/>
              </w:divBdr>
              <w:divsChild>
                <w:div w:id="868876689">
                  <w:marLeft w:val="0"/>
                  <w:marRight w:val="0"/>
                  <w:marTop w:val="0"/>
                  <w:marBottom w:val="0"/>
                  <w:divBdr>
                    <w:top w:val="none" w:sz="0" w:space="0" w:color="auto"/>
                    <w:left w:val="none" w:sz="0" w:space="0" w:color="auto"/>
                    <w:bottom w:val="none" w:sz="0" w:space="0" w:color="auto"/>
                    <w:right w:val="none" w:sz="0" w:space="0" w:color="auto"/>
                  </w:divBdr>
                  <w:divsChild>
                    <w:div w:id="1104420460">
                      <w:marLeft w:val="0"/>
                      <w:marRight w:val="0"/>
                      <w:marTop w:val="0"/>
                      <w:marBottom w:val="0"/>
                      <w:divBdr>
                        <w:top w:val="none" w:sz="0" w:space="0" w:color="auto"/>
                        <w:left w:val="none" w:sz="0" w:space="0" w:color="auto"/>
                        <w:bottom w:val="none" w:sz="0" w:space="0" w:color="auto"/>
                        <w:right w:val="none" w:sz="0" w:space="0" w:color="auto"/>
                      </w:divBdr>
                      <w:divsChild>
                        <w:div w:id="1495148241">
                          <w:marLeft w:val="0"/>
                          <w:marRight w:val="0"/>
                          <w:marTop w:val="0"/>
                          <w:marBottom w:val="0"/>
                          <w:divBdr>
                            <w:top w:val="none" w:sz="0" w:space="0" w:color="auto"/>
                            <w:left w:val="none" w:sz="0" w:space="0" w:color="auto"/>
                            <w:bottom w:val="none" w:sz="0" w:space="0" w:color="auto"/>
                            <w:right w:val="none" w:sz="0" w:space="0" w:color="auto"/>
                          </w:divBdr>
                          <w:divsChild>
                            <w:div w:id="1512069068">
                              <w:marLeft w:val="0"/>
                              <w:marRight w:val="0"/>
                              <w:marTop w:val="0"/>
                              <w:marBottom w:val="0"/>
                              <w:divBdr>
                                <w:top w:val="none" w:sz="0" w:space="0" w:color="auto"/>
                                <w:left w:val="none" w:sz="0" w:space="0" w:color="auto"/>
                                <w:bottom w:val="none" w:sz="0" w:space="0" w:color="auto"/>
                                <w:right w:val="none" w:sz="0" w:space="0" w:color="auto"/>
                              </w:divBdr>
                              <w:divsChild>
                                <w:div w:id="783352301">
                                  <w:marLeft w:val="0"/>
                                  <w:marRight w:val="0"/>
                                  <w:marTop w:val="0"/>
                                  <w:marBottom w:val="0"/>
                                  <w:divBdr>
                                    <w:top w:val="none" w:sz="0" w:space="0" w:color="auto"/>
                                    <w:left w:val="none" w:sz="0" w:space="0" w:color="auto"/>
                                    <w:bottom w:val="none" w:sz="0" w:space="0" w:color="auto"/>
                                    <w:right w:val="none" w:sz="0" w:space="0" w:color="auto"/>
                                  </w:divBdr>
                                  <w:divsChild>
                                    <w:div w:id="1616330771">
                                      <w:marLeft w:val="60"/>
                                      <w:marRight w:val="0"/>
                                      <w:marTop w:val="0"/>
                                      <w:marBottom w:val="0"/>
                                      <w:divBdr>
                                        <w:top w:val="none" w:sz="0" w:space="0" w:color="auto"/>
                                        <w:left w:val="none" w:sz="0" w:space="0" w:color="auto"/>
                                        <w:bottom w:val="none" w:sz="0" w:space="0" w:color="auto"/>
                                        <w:right w:val="none" w:sz="0" w:space="0" w:color="auto"/>
                                      </w:divBdr>
                                      <w:divsChild>
                                        <w:div w:id="1410423770">
                                          <w:marLeft w:val="0"/>
                                          <w:marRight w:val="0"/>
                                          <w:marTop w:val="0"/>
                                          <w:marBottom w:val="0"/>
                                          <w:divBdr>
                                            <w:top w:val="none" w:sz="0" w:space="0" w:color="auto"/>
                                            <w:left w:val="none" w:sz="0" w:space="0" w:color="auto"/>
                                            <w:bottom w:val="none" w:sz="0" w:space="0" w:color="auto"/>
                                            <w:right w:val="none" w:sz="0" w:space="0" w:color="auto"/>
                                          </w:divBdr>
                                          <w:divsChild>
                                            <w:div w:id="1858422991">
                                              <w:marLeft w:val="0"/>
                                              <w:marRight w:val="0"/>
                                              <w:marTop w:val="0"/>
                                              <w:marBottom w:val="120"/>
                                              <w:divBdr>
                                                <w:top w:val="single" w:sz="6" w:space="0" w:color="F5F5F5"/>
                                                <w:left w:val="single" w:sz="6" w:space="0" w:color="F5F5F5"/>
                                                <w:bottom w:val="single" w:sz="6" w:space="0" w:color="F5F5F5"/>
                                                <w:right w:val="single" w:sz="6" w:space="0" w:color="F5F5F5"/>
                                              </w:divBdr>
                                              <w:divsChild>
                                                <w:div w:id="43065669">
                                                  <w:marLeft w:val="0"/>
                                                  <w:marRight w:val="0"/>
                                                  <w:marTop w:val="0"/>
                                                  <w:marBottom w:val="0"/>
                                                  <w:divBdr>
                                                    <w:top w:val="none" w:sz="0" w:space="0" w:color="auto"/>
                                                    <w:left w:val="none" w:sz="0" w:space="0" w:color="auto"/>
                                                    <w:bottom w:val="none" w:sz="0" w:space="0" w:color="auto"/>
                                                    <w:right w:val="none" w:sz="0" w:space="0" w:color="auto"/>
                                                  </w:divBdr>
                                                  <w:divsChild>
                                                    <w:div w:id="19839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84795">
      <w:bodyDiv w:val="1"/>
      <w:marLeft w:val="0"/>
      <w:marRight w:val="0"/>
      <w:marTop w:val="0"/>
      <w:marBottom w:val="0"/>
      <w:divBdr>
        <w:top w:val="none" w:sz="0" w:space="0" w:color="auto"/>
        <w:left w:val="none" w:sz="0" w:space="0" w:color="auto"/>
        <w:bottom w:val="none" w:sz="0" w:space="0" w:color="auto"/>
        <w:right w:val="none" w:sz="0" w:space="0" w:color="auto"/>
      </w:divBdr>
    </w:div>
    <w:div w:id="1707363478">
      <w:bodyDiv w:val="1"/>
      <w:marLeft w:val="0"/>
      <w:marRight w:val="0"/>
      <w:marTop w:val="0"/>
      <w:marBottom w:val="0"/>
      <w:divBdr>
        <w:top w:val="none" w:sz="0" w:space="0" w:color="auto"/>
        <w:left w:val="none" w:sz="0" w:space="0" w:color="auto"/>
        <w:bottom w:val="none" w:sz="0" w:space="0" w:color="auto"/>
        <w:right w:val="none" w:sz="0" w:space="0" w:color="auto"/>
      </w:divBdr>
    </w:div>
    <w:div w:id="1742827114">
      <w:bodyDiv w:val="1"/>
      <w:marLeft w:val="0"/>
      <w:marRight w:val="0"/>
      <w:marTop w:val="0"/>
      <w:marBottom w:val="0"/>
      <w:divBdr>
        <w:top w:val="none" w:sz="0" w:space="0" w:color="auto"/>
        <w:left w:val="none" w:sz="0" w:space="0" w:color="auto"/>
        <w:bottom w:val="none" w:sz="0" w:space="0" w:color="auto"/>
        <w:right w:val="none" w:sz="0" w:space="0" w:color="auto"/>
      </w:divBdr>
      <w:divsChild>
        <w:div w:id="350617656">
          <w:marLeft w:val="0"/>
          <w:marRight w:val="0"/>
          <w:marTop w:val="0"/>
          <w:marBottom w:val="0"/>
          <w:divBdr>
            <w:top w:val="none" w:sz="0" w:space="0" w:color="auto"/>
            <w:left w:val="none" w:sz="0" w:space="0" w:color="auto"/>
            <w:bottom w:val="none" w:sz="0" w:space="0" w:color="auto"/>
            <w:right w:val="none" w:sz="0" w:space="0" w:color="auto"/>
          </w:divBdr>
          <w:divsChild>
            <w:div w:id="440341623">
              <w:marLeft w:val="0"/>
              <w:marRight w:val="0"/>
              <w:marTop w:val="0"/>
              <w:marBottom w:val="0"/>
              <w:divBdr>
                <w:top w:val="none" w:sz="0" w:space="0" w:color="auto"/>
                <w:left w:val="none" w:sz="0" w:space="0" w:color="auto"/>
                <w:bottom w:val="none" w:sz="0" w:space="0" w:color="auto"/>
                <w:right w:val="none" w:sz="0" w:space="0" w:color="auto"/>
              </w:divBdr>
              <w:divsChild>
                <w:div w:id="507064768">
                  <w:marLeft w:val="0"/>
                  <w:marRight w:val="0"/>
                  <w:marTop w:val="0"/>
                  <w:marBottom w:val="0"/>
                  <w:divBdr>
                    <w:top w:val="none" w:sz="0" w:space="0" w:color="auto"/>
                    <w:left w:val="none" w:sz="0" w:space="0" w:color="auto"/>
                    <w:bottom w:val="none" w:sz="0" w:space="0" w:color="auto"/>
                    <w:right w:val="none" w:sz="0" w:space="0" w:color="auto"/>
                  </w:divBdr>
                  <w:divsChild>
                    <w:div w:id="1824005353">
                      <w:marLeft w:val="0"/>
                      <w:marRight w:val="0"/>
                      <w:marTop w:val="0"/>
                      <w:marBottom w:val="0"/>
                      <w:divBdr>
                        <w:top w:val="none" w:sz="0" w:space="0" w:color="auto"/>
                        <w:left w:val="none" w:sz="0" w:space="0" w:color="auto"/>
                        <w:bottom w:val="none" w:sz="0" w:space="0" w:color="auto"/>
                        <w:right w:val="none" w:sz="0" w:space="0" w:color="auto"/>
                      </w:divBdr>
                      <w:divsChild>
                        <w:div w:id="1477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7306">
      <w:bodyDiv w:val="1"/>
      <w:marLeft w:val="0"/>
      <w:marRight w:val="0"/>
      <w:marTop w:val="0"/>
      <w:marBottom w:val="0"/>
      <w:divBdr>
        <w:top w:val="none" w:sz="0" w:space="0" w:color="auto"/>
        <w:left w:val="none" w:sz="0" w:space="0" w:color="auto"/>
        <w:bottom w:val="none" w:sz="0" w:space="0" w:color="auto"/>
        <w:right w:val="none" w:sz="0" w:space="0" w:color="auto"/>
      </w:divBdr>
    </w:div>
    <w:div w:id="2079404282">
      <w:bodyDiv w:val="1"/>
      <w:marLeft w:val="0"/>
      <w:marRight w:val="0"/>
      <w:marTop w:val="0"/>
      <w:marBottom w:val="0"/>
      <w:divBdr>
        <w:top w:val="none" w:sz="0" w:space="0" w:color="auto"/>
        <w:left w:val="none" w:sz="0" w:space="0" w:color="auto"/>
        <w:bottom w:val="none" w:sz="0" w:space="0" w:color="auto"/>
        <w:right w:val="none" w:sz="0" w:space="0" w:color="auto"/>
      </w:divBdr>
      <w:divsChild>
        <w:div w:id="694237163">
          <w:marLeft w:val="720"/>
          <w:marRight w:val="0"/>
          <w:marTop w:val="0"/>
          <w:marBottom w:val="0"/>
          <w:divBdr>
            <w:top w:val="none" w:sz="0" w:space="0" w:color="auto"/>
            <w:left w:val="none" w:sz="0" w:space="0" w:color="auto"/>
            <w:bottom w:val="none" w:sz="0" w:space="0" w:color="auto"/>
            <w:right w:val="none" w:sz="0" w:space="0" w:color="auto"/>
          </w:divBdr>
        </w:div>
        <w:div w:id="128064649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C47C-E920-4C19-9375-71984717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4944</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vt:lpstr>
      <vt:lpstr>A</vt:lpstr>
    </vt:vector>
  </TitlesOfParts>
  <Company>Deutsche Börse AG</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JR761</dc:creator>
  <cp:lastModifiedBy>Suettmann Christian</cp:lastModifiedBy>
  <cp:revision>4</cp:revision>
  <cp:lastPrinted>2014-09-24T11:41:00Z</cp:lastPrinted>
  <dcterms:created xsi:type="dcterms:W3CDTF">2014-09-26T14:39:00Z</dcterms:created>
  <dcterms:modified xsi:type="dcterms:W3CDTF">2014-09-26T15:30:00Z</dcterms:modified>
</cp:coreProperties>
</file>