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B9C" w:rsidRPr="006E4F5A" w:rsidRDefault="00285B9C" w:rsidP="00285B9C">
      <w:pPr>
        <w:ind w:right="566"/>
        <w:jc w:val="right"/>
        <w:rPr>
          <w:rFonts w:asciiTheme="majorHAnsi" w:hAnsiTheme="majorHAnsi" w:cs="Arial"/>
          <w:i/>
          <w:color w:val="BFBFBF" w:themeColor="background1" w:themeShade="BF"/>
          <w:sz w:val="20"/>
          <w:szCs w:val="20"/>
          <w:lang w:val="en-US"/>
        </w:rPr>
      </w:pPr>
      <w:r>
        <w:tab/>
      </w:r>
      <w:r>
        <w:tab/>
      </w:r>
      <w:r>
        <w:tab/>
      </w:r>
      <w:r>
        <w:tab/>
      </w:r>
      <w:r>
        <w:tab/>
      </w:r>
      <w:r>
        <w:tab/>
      </w:r>
      <w:r w:rsidR="00864309" w:rsidRPr="006E4F5A">
        <w:rPr>
          <w:rFonts w:asciiTheme="majorHAnsi" w:hAnsiTheme="majorHAnsi" w:cs="Arial"/>
          <w:i/>
          <w:color w:val="BFBFBF" w:themeColor="background1" w:themeShade="BF"/>
          <w:sz w:val="20"/>
          <w:szCs w:val="20"/>
          <w:lang w:val="en-US"/>
        </w:rPr>
        <w:t xml:space="preserve">Madrid, </w:t>
      </w:r>
      <w:r w:rsidR="00FE0A23">
        <w:rPr>
          <w:rFonts w:asciiTheme="majorHAnsi" w:hAnsiTheme="majorHAnsi" w:cs="Arial"/>
          <w:i/>
          <w:color w:val="BFBFBF" w:themeColor="background1" w:themeShade="BF"/>
          <w:sz w:val="20"/>
          <w:szCs w:val="20"/>
          <w:lang w:val="en-US"/>
        </w:rPr>
        <w:t>20th</w:t>
      </w:r>
      <w:r w:rsidR="008E166B" w:rsidRPr="006E4F5A">
        <w:rPr>
          <w:rFonts w:asciiTheme="majorHAnsi" w:hAnsiTheme="majorHAnsi" w:cs="Arial"/>
          <w:i/>
          <w:color w:val="BFBFBF" w:themeColor="background1" w:themeShade="BF"/>
          <w:sz w:val="20"/>
          <w:szCs w:val="20"/>
          <w:lang w:val="en-US"/>
        </w:rPr>
        <w:t xml:space="preserve"> </w:t>
      </w:r>
      <w:r w:rsidR="002A5E4F" w:rsidRPr="006E4F5A">
        <w:rPr>
          <w:rFonts w:asciiTheme="majorHAnsi" w:hAnsiTheme="majorHAnsi" w:cs="Arial"/>
          <w:i/>
          <w:color w:val="BFBFBF" w:themeColor="background1" w:themeShade="BF"/>
          <w:sz w:val="20"/>
          <w:szCs w:val="20"/>
          <w:lang w:val="en-US"/>
        </w:rPr>
        <w:t>October</w:t>
      </w:r>
      <w:r w:rsidR="00864309" w:rsidRPr="006E4F5A">
        <w:rPr>
          <w:rFonts w:asciiTheme="majorHAnsi" w:hAnsiTheme="majorHAnsi" w:cs="Arial"/>
          <w:i/>
          <w:color w:val="BFBFBF" w:themeColor="background1" w:themeShade="BF"/>
          <w:sz w:val="20"/>
          <w:szCs w:val="20"/>
          <w:lang w:val="en-US"/>
        </w:rPr>
        <w:t xml:space="preserve"> 201</w:t>
      </w:r>
      <w:r w:rsidR="002A5E4F" w:rsidRPr="006E4F5A">
        <w:rPr>
          <w:rFonts w:asciiTheme="majorHAnsi" w:hAnsiTheme="majorHAnsi" w:cs="Arial"/>
          <w:i/>
          <w:color w:val="BFBFBF" w:themeColor="background1" w:themeShade="BF"/>
          <w:sz w:val="20"/>
          <w:szCs w:val="20"/>
          <w:lang w:val="en-US"/>
        </w:rPr>
        <w:t>4</w:t>
      </w:r>
    </w:p>
    <w:p w:rsidR="00C80474" w:rsidRPr="006E4F5A" w:rsidRDefault="00C80474" w:rsidP="00C80474">
      <w:pPr>
        <w:rPr>
          <w:lang w:val="en-US"/>
        </w:rPr>
      </w:pPr>
    </w:p>
    <w:p w:rsidR="00CD4D05" w:rsidRPr="002A5E4F" w:rsidRDefault="002A5E4F" w:rsidP="00CD4D05">
      <w:pPr>
        <w:pStyle w:val="Ttulo"/>
        <w:pBdr>
          <w:bottom w:val="none" w:sz="0" w:space="0" w:color="auto"/>
        </w:pBdr>
        <w:jc w:val="center"/>
        <w:rPr>
          <w:color w:val="4F6228" w:themeColor="accent3" w:themeShade="80"/>
          <w:sz w:val="36"/>
          <w:szCs w:val="36"/>
          <w:lang w:val="en-US"/>
        </w:rPr>
      </w:pPr>
      <w:r w:rsidRPr="002A5E4F">
        <w:rPr>
          <w:color w:val="4F6228" w:themeColor="accent3" w:themeShade="80"/>
          <w:sz w:val="36"/>
          <w:szCs w:val="36"/>
          <w:lang w:val="en-US"/>
        </w:rPr>
        <w:t xml:space="preserve">RESPONSE TO EBA CONSULTATION ON SREP </w:t>
      </w:r>
    </w:p>
    <w:p w:rsidR="00CD4D05" w:rsidRPr="00D663E1" w:rsidRDefault="002A5E4F" w:rsidP="002A5E4F">
      <w:pPr>
        <w:pStyle w:val="Ttulo"/>
        <w:pBdr>
          <w:bottom w:val="single" w:sz="12" w:space="4" w:color="76923C" w:themeColor="accent3" w:themeShade="BF"/>
        </w:pBdr>
        <w:jc w:val="center"/>
        <w:rPr>
          <w:i/>
          <w:color w:val="4F6228" w:themeColor="accent3" w:themeShade="80"/>
          <w:sz w:val="32"/>
          <w:szCs w:val="32"/>
          <w:lang w:val="en-US"/>
        </w:rPr>
      </w:pPr>
      <w:r w:rsidRPr="00D663E1">
        <w:rPr>
          <w:color w:val="4F6228" w:themeColor="accent3" w:themeShade="80"/>
          <w:sz w:val="32"/>
          <w:szCs w:val="32"/>
          <w:lang w:val="en-US"/>
        </w:rPr>
        <w:t>(CP/2014/14)</w:t>
      </w:r>
    </w:p>
    <w:p w:rsidR="003B32DE" w:rsidRDefault="003B32DE" w:rsidP="003B32DE">
      <w:pPr>
        <w:pStyle w:val="Ttulo2"/>
        <w:spacing w:before="120"/>
        <w:jc w:val="both"/>
        <w:rPr>
          <w:rFonts w:asciiTheme="majorHAnsi" w:hAnsiTheme="majorHAnsi" w:cs="Arial"/>
          <w:color w:val="auto"/>
          <w:sz w:val="22"/>
          <w:szCs w:val="22"/>
          <w:lang w:val="en-US" w:eastAsia="es-ES"/>
        </w:rPr>
      </w:pPr>
      <w:r w:rsidRPr="003B32DE">
        <w:rPr>
          <w:rFonts w:asciiTheme="majorHAnsi" w:hAnsiTheme="majorHAnsi" w:cs="Arial"/>
          <w:color w:val="auto"/>
          <w:sz w:val="22"/>
          <w:szCs w:val="22"/>
          <w:lang w:val="en-US" w:eastAsia="es-ES"/>
        </w:rPr>
        <w:t xml:space="preserve">The </w:t>
      </w:r>
      <w:proofErr w:type="spellStart"/>
      <w:r w:rsidRPr="003B32DE">
        <w:rPr>
          <w:rFonts w:asciiTheme="majorHAnsi" w:hAnsiTheme="majorHAnsi" w:cs="Arial"/>
          <w:i/>
          <w:color w:val="auto"/>
          <w:sz w:val="22"/>
          <w:szCs w:val="22"/>
          <w:lang w:val="en-US" w:eastAsia="es-ES"/>
        </w:rPr>
        <w:t>Asociación</w:t>
      </w:r>
      <w:proofErr w:type="spellEnd"/>
      <w:r w:rsidRPr="003B32DE">
        <w:rPr>
          <w:rFonts w:asciiTheme="majorHAnsi" w:hAnsiTheme="majorHAnsi" w:cs="Arial"/>
          <w:i/>
          <w:color w:val="auto"/>
          <w:sz w:val="22"/>
          <w:szCs w:val="22"/>
          <w:lang w:val="en-US" w:eastAsia="es-ES"/>
        </w:rPr>
        <w:t xml:space="preserve"> </w:t>
      </w:r>
      <w:proofErr w:type="spellStart"/>
      <w:r w:rsidRPr="003B32DE">
        <w:rPr>
          <w:rFonts w:asciiTheme="majorHAnsi" w:hAnsiTheme="majorHAnsi" w:cs="Arial"/>
          <w:i/>
          <w:color w:val="auto"/>
          <w:sz w:val="22"/>
          <w:szCs w:val="22"/>
          <w:lang w:val="en-US" w:eastAsia="es-ES"/>
        </w:rPr>
        <w:t>Española</w:t>
      </w:r>
      <w:proofErr w:type="spellEnd"/>
      <w:r w:rsidRPr="003B32DE">
        <w:rPr>
          <w:rFonts w:asciiTheme="majorHAnsi" w:hAnsiTheme="majorHAnsi" w:cs="Arial"/>
          <w:i/>
          <w:color w:val="auto"/>
          <w:sz w:val="22"/>
          <w:szCs w:val="22"/>
          <w:lang w:val="en-US" w:eastAsia="es-ES"/>
        </w:rPr>
        <w:t xml:space="preserve"> de Banca</w:t>
      </w:r>
      <w:r>
        <w:rPr>
          <w:rFonts w:asciiTheme="majorHAnsi" w:hAnsiTheme="majorHAnsi" w:cs="Arial"/>
          <w:color w:val="auto"/>
          <w:sz w:val="22"/>
          <w:szCs w:val="22"/>
          <w:lang w:val="en-US" w:eastAsia="es-ES"/>
        </w:rPr>
        <w:t xml:space="preserve"> (AEB)</w:t>
      </w:r>
      <w:r w:rsidRPr="003B32DE">
        <w:rPr>
          <w:rFonts w:asciiTheme="majorHAnsi" w:hAnsiTheme="majorHAnsi" w:cs="Arial"/>
          <w:color w:val="auto"/>
          <w:sz w:val="22"/>
          <w:szCs w:val="22"/>
          <w:lang w:val="en-US" w:eastAsia="es-ES"/>
        </w:rPr>
        <w:t xml:space="preserve"> welcomes the opportunity to express the views of </w:t>
      </w:r>
      <w:r w:rsidR="00D663E1">
        <w:rPr>
          <w:rFonts w:asciiTheme="majorHAnsi" w:hAnsiTheme="majorHAnsi" w:cs="Arial"/>
          <w:color w:val="auto"/>
          <w:sz w:val="22"/>
          <w:szCs w:val="22"/>
          <w:lang w:val="en-US" w:eastAsia="es-ES"/>
        </w:rPr>
        <w:t xml:space="preserve">its </w:t>
      </w:r>
      <w:proofErr w:type="gramStart"/>
      <w:r w:rsidR="00D663E1">
        <w:rPr>
          <w:rFonts w:asciiTheme="majorHAnsi" w:hAnsiTheme="majorHAnsi" w:cs="Arial"/>
          <w:color w:val="auto"/>
          <w:sz w:val="22"/>
          <w:szCs w:val="22"/>
          <w:lang w:val="en-US" w:eastAsia="es-ES"/>
        </w:rPr>
        <w:t>members</w:t>
      </w:r>
      <w:proofErr w:type="gramEnd"/>
      <w:r w:rsidR="00D663E1">
        <w:rPr>
          <w:rFonts w:asciiTheme="majorHAnsi" w:hAnsiTheme="majorHAnsi" w:cs="Arial"/>
          <w:color w:val="auto"/>
          <w:sz w:val="22"/>
          <w:szCs w:val="22"/>
          <w:lang w:val="en-US" w:eastAsia="es-ES"/>
        </w:rPr>
        <w:t xml:space="preserve"> banks</w:t>
      </w:r>
      <w:r w:rsidRPr="003B32DE">
        <w:rPr>
          <w:rFonts w:asciiTheme="majorHAnsi" w:hAnsiTheme="majorHAnsi" w:cs="Arial"/>
          <w:color w:val="auto"/>
          <w:sz w:val="22"/>
          <w:szCs w:val="22"/>
          <w:lang w:val="en-US" w:eastAsia="es-ES"/>
        </w:rPr>
        <w:t xml:space="preserve"> on the EBA consultation paper on draft guidelines for common procedures and methodologies for the supervisory review and evaluation process (SREP) under article 107(3) of Directive 2013/36/EU (CRD IV).</w:t>
      </w:r>
      <w:r w:rsidR="008E166B">
        <w:rPr>
          <w:rFonts w:asciiTheme="majorHAnsi" w:hAnsiTheme="majorHAnsi" w:cs="Arial"/>
          <w:color w:val="auto"/>
          <w:sz w:val="22"/>
          <w:szCs w:val="22"/>
          <w:lang w:val="en-US" w:eastAsia="es-ES"/>
        </w:rPr>
        <w:t xml:space="preserve"> </w:t>
      </w:r>
      <w:r>
        <w:rPr>
          <w:rFonts w:asciiTheme="majorHAnsi" w:hAnsiTheme="majorHAnsi" w:cs="Arial"/>
          <w:color w:val="auto"/>
          <w:sz w:val="22"/>
          <w:szCs w:val="22"/>
          <w:lang w:val="en-US" w:eastAsia="es-ES"/>
        </w:rPr>
        <w:t>AEB, being a member of the European Banking Federation and having contributed to the preparation of EBF’s response, fully shares and supports its approach and contents. However, we would like to additionally refer to some issues which, although more concrete and specific, are in our view also relevant. The following points are highlighted:</w:t>
      </w:r>
    </w:p>
    <w:p w:rsidR="00D663E1" w:rsidRPr="00D663E1" w:rsidRDefault="00D663E1" w:rsidP="00D663E1">
      <w:pPr>
        <w:rPr>
          <w:lang w:val="en-US" w:eastAsia="es-ES"/>
        </w:rPr>
      </w:pPr>
    </w:p>
    <w:p w:rsidR="00D663E1" w:rsidRPr="00113DD8" w:rsidRDefault="00D663E1" w:rsidP="00AF766C">
      <w:pPr>
        <w:numPr>
          <w:ilvl w:val="0"/>
          <w:numId w:val="10"/>
        </w:numPr>
        <w:spacing w:line="264" w:lineRule="auto"/>
        <w:ind w:left="284" w:hanging="284"/>
        <w:jc w:val="both"/>
        <w:rPr>
          <w:rFonts w:asciiTheme="majorHAnsi" w:hAnsiTheme="majorHAnsi"/>
          <w:b/>
          <w:lang w:val="en-US"/>
        </w:rPr>
      </w:pPr>
      <w:proofErr w:type="spellStart"/>
      <w:r>
        <w:rPr>
          <w:rFonts w:asciiTheme="majorHAnsi" w:hAnsiTheme="majorHAnsi"/>
          <w:b/>
          <w:lang w:val="en-US"/>
        </w:rPr>
        <w:t>Categorisation</w:t>
      </w:r>
      <w:proofErr w:type="spellEnd"/>
      <w:r>
        <w:rPr>
          <w:rFonts w:asciiTheme="majorHAnsi" w:hAnsiTheme="majorHAnsi"/>
          <w:b/>
          <w:lang w:val="en-US"/>
        </w:rPr>
        <w:t xml:space="preserve"> of institutions </w:t>
      </w:r>
      <w:r w:rsidRPr="008E166B">
        <w:rPr>
          <w:rFonts w:ascii="Arial Narrow" w:hAnsi="Arial Narrow"/>
          <w:b/>
          <w:sz w:val="21"/>
          <w:szCs w:val="21"/>
          <w:lang w:val="en-US"/>
        </w:rPr>
        <w:t>(Paragraph 11)</w:t>
      </w:r>
    </w:p>
    <w:p w:rsidR="00D663E1" w:rsidRDefault="00D663E1" w:rsidP="00AF766C">
      <w:pPr>
        <w:spacing w:line="264" w:lineRule="auto"/>
        <w:ind w:left="284"/>
        <w:jc w:val="both"/>
        <w:rPr>
          <w:rFonts w:asciiTheme="majorHAnsi" w:hAnsiTheme="majorHAnsi"/>
          <w:lang w:val="en-US"/>
        </w:rPr>
      </w:pPr>
      <w:r>
        <w:rPr>
          <w:rFonts w:asciiTheme="majorHAnsi" w:hAnsiTheme="majorHAnsi"/>
          <w:lang w:val="en-US"/>
        </w:rPr>
        <w:t>The term “</w:t>
      </w:r>
      <w:r w:rsidRPr="00034DE4">
        <w:rPr>
          <w:rFonts w:asciiTheme="majorHAnsi" w:hAnsiTheme="majorHAnsi"/>
          <w:i/>
          <w:lang w:val="en-US"/>
        </w:rPr>
        <w:t>category</w:t>
      </w:r>
      <w:r>
        <w:rPr>
          <w:rFonts w:asciiTheme="majorHAnsi" w:hAnsiTheme="majorHAnsi"/>
          <w:i/>
          <w:lang w:val="en-US"/>
        </w:rPr>
        <w:t>”</w:t>
      </w:r>
      <w:r>
        <w:rPr>
          <w:rFonts w:asciiTheme="majorHAnsi" w:hAnsiTheme="majorHAnsi"/>
          <w:lang w:val="en-US"/>
        </w:rPr>
        <w:t xml:space="preserve"> involves a sense of hierarchy, and even of more/less quality, that we think should be avoided when classifying entities according just to size and/or cross</w:t>
      </w:r>
      <w:r>
        <w:rPr>
          <w:rFonts w:asciiTheme="majorHAnsi" w:hAnsiTheme="majorHAnsi"/>
          <w:lang w:val="en-US"/>
        </w:rPr>
        <w:noBreakHyphen/>
      </w:r>
      <w:proofErr w:type="spellStart"/>
      <w:r>
        <w:rPr>
          <w:rFonts w:asciiTheme="majorHAnsi" w:hAnsiTheme="majorHAnsi"/>
          <w:lang w:val="en-US"/>
        </w:rPr>
        <w:t>border</w:t>
      </w:r>
      <w:proofErr w:type="spellEnd"/>
      <w:r>
        <w:rPr>
          <w:rFonts w:asciiTheme="majorHAnsi" w:hAnsiTheme="majorHAnsi"/>
          <w:lang w:val="en-US"/>
        </w:rPr>
        <w:t xml:space="preserve"> activity. We therefore would propose the term “</w:t>
      </w:r>
      <w:r w:rsidRPr="00034DE4">
        <w:rPr>
          <w:rFonts w:asciiTheme="majorHAnsi" w:hAnsiTheme="majorHAnsi"/>
          <w:i/>
          <w:lang w:val="en-US"/>
        </w:rPr>
        <w:t>group</w:t>
      </w:r>
      <w:r>
        <w:rPr>
          <w:rFonts w:asciiTheme="majorHAnsi" w:hAnsiTheme="majorHAnsi"/>
          <w:lang w:val="en-US"/>
        </w:rPr>
        <w:t>”.</w:t>
      </w:r>
    </w:p>
    <w:p w:rsidR="00D663E1" w:rsidRDefault="00D663E1" w:rsidP="00AF766C">
      <w:pPr>
        <w:spacing w:line="264" w:lineRule="auto"/>
        <w:ind w:left="284"/>
        <w:jc w:val="both"/>
        <w:rPr>
          <w:rFonts w:asciiTheme="majorHAnsi" w:hAnsiTheme="majorHAnsi"/>
          <w:lang w:val="en-US"/>
        </w:rPr>
      </w:pPr>
      <w:r>
        <w:rPr>
          <w:rFonts w:asciiTheme="majorHAnsi" w:hAnsiTheme="majorHAnsi"/>
          <w:lang w:val="en-US"/>
        </w:rPr>
        <w:t>Furthermore, the numerical classification (1, 2, 3, 4) for both categorization (grouping) and scoring could result confusing, so we would suggest an alphabetic alternative for the former, i.e., A, B, C, D.</w:t>
      </w:r>
    </w:p>
    <w:p w:rsidR="00D663E1" w:rsidRPr="00060BE9" w:rsidRDefault="00D663E1" w:rsidP="00AF766C">
      <w:pPr>
        <w:numPr>
          <w:ilvl w:val="0"/>
          <w:numId w:val="9"/>
        </w:numPr>
        <w:spacing w:line="317" w:lineRule="auto"/>
        <w:ind w:left="284" w:hanging="284"/>
        <w:jc w:val="both"/>
        <w:rPr>
          <w:rFonts w:asciiTheme="majorHAnsi" w:hAnsiTheme="majorHAnsi"/>
          <w:b/>
          <w:lang w:val="en-US"/>
        </w:rPr>
      </w:pPr>
      <w:r w:rsidRPr="00060BE9">
        <w:rPr>
          <w:rFonts w:asciiTheme="majorHAnsi" w:hAnsiTheme="majorHAnsi"/>
          <w:b/>
          <w:lang w:val="en-US"/>
        </w:rPr>
        <w:t>Score</w:t>
      </w:r>
      <w:r>
        <w:rPr>
          <w:rFonts w:asciiTheme="majorHAnsi" w:hAnsiTheme="majorHAnsi"/>
          <w:b/>
          <w:lang w:val="en-US"/>
        </w:rPr>
        <w:t xml:space="preserve"> </w:t>
      </w:r>
      <w:r w:rsidRPr="008E166B">
        <w:rPr>
          <w:rFonts w:ascii="Arial Narrow" w:hAnsi="Arial Narrow"/>
          <w:b/>
          <w:sz w:val="21"/>
          <w:szCs w:val="21"/>
          <w:lang w:val="en-US"/>
        </w:rPr>
        <w:t>(Paragraph 26)</w:t>
      </w:r>
    </w:p>
    <w:p w:rsidR="00D663E1" w:rsidRPr="00113DD8" w:rsidRDefault="00D663E1" w:rsidP="00AF766C">
      <w:pPr>
        <w:spacing w:line="264" w:lineRule="auto"/>
        <w:ind w:left="284"/>
        <w:jc w:val="both"/>
        <w:rPr>
          <w:rFonts w:asciiTheme="majorHAnsi" w:hAnsiTheme="majorHAnsi"/>
          <w:lang w:val="en-US"/>
        </w:rPr>
      </w:pPr>
      <w:r w:rsidRPr="00113DD8">
        <w:rPr>
          <w:rFonts w:asciiTheme="majorHAnsi" w:hAnsiTheme="majorHAnsi"/>
          <w:lang w:val="en-US"/>
        </w:rPr>
        <w:t xml:space="preserve">The amount of points </w:t>
      </w:r>
      <w:r>
        <w:rPr>
          <w:rFonts w:asciiTheme="majorHAnsi" w:hAnsiTheme="majorHAnsi"/>
          <w:lang w:val="en-US"/>
        </w:rPr>
        <w:t>for</w:t>
      </w:r>
      <w:r w:rsidRPr="00113DD8">
        <w:rPr>
          <w:rFonts w:asciiTheme="majorHAnsi" w:hAnsiTheme="majorHAnsi"/>
          <w:lang w:val="en-US"/>
        </w:rPr>
        <w:t xml:space="preserve"> each category in the final score should be </w:t>
      </w:r>
      <w:proofErr w:type="gramStart"/>
      <w:r w:rsidRPr="00113DD8">
        <w:rPr>
          <w:rFonts w:asciiTheme="majorHAnsi" w:hAnsiTheme="majorHAnsi"/>
          <w:lang w:val="en-US"/>
        </w:rPr>
        <w:t>indicated,</w:t>
      </w:r>
      <w:proofErr w:type="gramEnd"/>
      <w:r w:rsidRPr="00113DD8">
        <w:rPr>
          <w:rFonts w:asciiTheme="majorHAnsi" w:hAnsiTheme="majorHAnsi"/>
          <w:lang w:val="en-US"/>
        </w:rPr>
        <w:t xml:space="preserve"> otherwise it could be</w:t>
      </w:r>
      <w:r>
        <w:rPr>
          <w:rFonts w:asciiTheme="majorHAnsi" w:hAnsiTheme="majorHAnsi"/>
          <w:lang w:val="en-US"/>
        </w:rPr>
        <w:t>come too much discretional for competent authorities</w:t>
      </w:r>
      <w:r w:rsidRPr="00113DD8">
        <w:rPr>
          <w:rFonts w:asciiTheme="majorHAnsi" w:hAnsiTheme="majorHAnsi"/>
          <w:lang w:val="en-US"/>
        </w:rPr>
        <w:t>.</w:t>
      </w:r>
    </w:p>
    <w:p w:rsidR="00D663E1" w:rsidRPr="00113DD8" w:rsidRDefault="00D663E1" w:rsidP="00AF766C">
      <w:pPr>
        <w:numPr>
          <w:ilvl w:val="0"/>
          <w:numId w:val="8"/>
        </w:numPr>
        <w:spacing w:line="317" w:lineRule="auto"/>
        <w:ind w:left="284" w:hanging="284"/>
        <w:jc w:val="both"/>
        <w:rPr>
          <w:rFonts w:asciiTheme="majorHAnsi" w:hAnsiTheme="majorHAnsi"/>
          <w:b/>
          <w:lang w:val="en-US"/>
        </w:rPr>
      </w:pPr>
      <w:r w:rsidRPr="00113DD8">
        <w:rPr>
          <w:rFonts w:asciiTheme="majorHAnsi" w:hAnsiTheme="majorHAnsi"/>
          <w:b/>
          <w:lang w:val="en-US"/>
        </w:rPr>
        <w:t>Monitoring of key indicators</w:t>
      </w:r>
      <w:r>
        <w:rPr>
          <w:rFonts w:asciiTheme="majorHAnsi" w:hAnsiTheme="majorHAnsi"/>
          <w:b/>
          <w:lang w:val="en-US"/>
        </w:rPr>
        <w:t xml:space="preserve"> </w:t>
      </w:r>
      <w:r w:rsidRPr="008E166B">
        <w:rPr>
          <w:rFonts w:ascii="Arial Narrow" w:hAnsi="Arial Narrow"/>
          <w:b/>
          <w:sz w:val="21"/>
          <w:szCs w:val="21"/>
          <w:lang w:val="en-US"/>
        </w:rPr>
        <w:t>(Paragraph 47: Key indicators)</w:t>
      </w:r>
    </w:p>
    <w:p w:rsidR="00D663E1" w:rsidRPr="00113DD8" w:rsidRDefault="00D663E1" w:rsidP="00AF766C">
      <w:pPr>
        <w:numPr>
          <w:ilvl w:val="0"/>
          <w:numId w:val="14"/>
        </w:numPr>
        <w:spacing w:line="264" w:lineRule="auto"/>
        <w:jc w:val="both"/>
        <w:rPr>
          <w:rFonts w:asciiTheme="majorHAnsi" w:hAnsiTheme="majorHAnsi"/>
          <w:lang w:val="en-US"/>
        </w:rPr>
      </w:pPr>
      <w:r w:rsidRPr="00113DD8">
        <w:rPr>
          <w:rFonts w:asciiTheme="majorHAnsi" w:hAnsiTheme="majorHAnsi"/>
          <w:lang w:val="en-US"/>
        </w:rPr>
        <w:t>The text should specifically determine or define which financial and risk indicators have to be revised, so that all the entities know which parameters should be considered, and there is no disparity between those established by the ECB and other national supervisors.</w:t>
      </w:r>
      <w:r>
        <w:rPr>
          <w:rFonts w:asciiTheme="majorHAnsi" w:hAnsiTheme="majorHAnsi"/>
          <w:lang w:val="en-US"/>
        </w:rPr>
        <w:t xml:space="preserve"> </w:t>
      </w:r>
    </w:p>
    <w:p w:rsidR="00D663E1" w:rsidRDefault="00D663E1" w:rsidP="00AF766C">
      <w:pPr>
        <w:numPr>
          <w:ilvl w:val="0"/>
          <w:numId w:val="14"/>
        </w:numPr>
        <w:spacing w:line="264" w:lineRule="auto"/>
        <w:jc w:val="both"/>
        <w:rPr>
          <w:rFonts w:asciiTheme="majorHAnsi" w:hAnsiTheme="majorHAnsi"/>
          <w:lang w:val="en-US"/>
        </w:rPr>
      </w:pPr>
      <w:r w:rsidRPr="00113DD8">
        <w:rPr>
          <w:rFonts w:asciiTheme="majorHAnsi" w:hAnsiTheme="majorHAnsi"/>
          <w:lang w:val="en-US"/>
        </w:rPr>
        <w:t xml:space="preserve">A clear definition of the "Materiality" concept should be included. </w:t>
      </w:r>
    </w:p>
    <w:p w:rsidR="00113DD8" w:rsidRPr="00113DD8" w:rsidRDefault="00113DD8" w:rsidP="00AF766C">
      <w:pPr>
        <w:numPr>
          <w:ilvl w:val="0"/>
          <w:numId w:val="8"/>
        </w:numPr>
        <w:spacing w:line="317" w:lineRule="auto"/>
        <w:ind w:left="284" w:hanging="284"/>
        <w:jc w:val="both"/>
        <w:rPr>
          <w:rFonts w:asciiTheme="majorHAnsi" w:hAnsiTheme="majorHAnsi"/>
          <w:lang w:val="en-US"/>
        </w:rPr>
      </w:pPr>
      <w:r w:rsidRPr="00113DD8">
        <w:rPr>
          <w:rFonts w:asciiTheme="majorHAnsi" w:hAnsiTheme="majorHAnsi"/>
          <w:b/>
          <w:lang w:val="en-US"/>
        </w:rPr>
        <w:t>Evaluation of the business model viability</w:t>
      </w:r>
      <w:r w:rsidR="00D663E1">
        <w:rPr>
          <w:rFonts w:asciiTheme="majorHAnsi" w:hAnsiTheme="majorHAnsi"/>
          <w:b/>
          <w:lang w:val="en-US"/>
        </w:rPr>
        <w:t xml:space="preserve"> </w:t>
      </w:r>
      <w:r w:rsidR="00D663E1" w:rsidRPr="008E166B">
        <w:rPr>
          <w:rFonts w:ascii="Arial Narrow" w:hAnsi="Arial Narrow"/>
          <w:b/>
          <w:sz w:val="21"/>
          <w:szCs w:val="21"/>
          <w:lang w:val="en-US"/>
        </w:rPr>
        <w:t>(Paragraph 71 a.: measure of acceptable benefits)</w:t>
      </w:r>
    </w:p>
    <w:p w:rsidR="00113DD8" w:rsidRPr="00113DD8" w:rsidRDefault="006E4F5A" w:rsidP="00AF766C">
      <w:pPr>
        <w:numPr>
          <w:ilvl w:val="0"/>
          <w:numId w:val="13"/>
        </w:numPr>
        <w:spacing w:line="264" w:lineRule="auto"/>
        <w:jc w:val="both"/>
        <w:rPr>
          <w:rFonts w:asciiTheme="majorHAnsi" w:hAnsiTheme="majorHAnsi"/>
          <w:lang w:val="en-US"/>
        </w:rPr>
      </w:pPr>
      <w:r>
        <w:rPr>
          <w:rFonts w:asciiTheme="majorHAnsi" w:hAnsiTheme="majorHAnsi"/>
          <w:lang w:val="en-US"/>
        </w:rPr>
        <w:t>The text indicates that the acceptability of returns should be assessed, among other criteria, by comparing ROE against COE over the following 12 months. W</w:t>
      </w:r>
      <w:r w:rsidR="00113DD8" w:rsidRPr="00113DD8">
        <w:rPr>
          <w:rFonts w:asciiTheme="majorHAnsi" w:hAnsiTheme="majorHAnsi"/>
          <w:lang w:val="en-US"/>
        </w:rPr>
        <w:t xml:space="preserve">e consider that some standardised ratios should be established for cases like the current crisis, because it could appear that very few businesses were viable in that situation. </w:t>
      </w:r>
    </w:p>
    <w:p w:rsidR="00113DD8" w:rsidRDefault="00113DD8" w:rsidP="00AF766C">
      <w:pPr>
        <w:numPr>
          <w:ilvl w:val="0"/>
          <w:numId w:val="13"/>
        </w:numPr>
        <w:spacing w:line="264" w:lineRule="auto"/>
        <w:jc w:val="both"/>
        <w:rPr>
          <w:rFonts w:asciiTheme="majorHAnsi" w:hAnsiTheme="majorHAnsi"/>
          <w:lang w:val="en-US"/>
        </w:rPr>
      </w:pPr>
      <w:r w:rsidRPr="00113DD8">
        <w:rPr>
          <w:rFonts w:asciiTheme="majorHAnsi" w:hAnsiTheme="majorHAnsi"/>
          <w:lang w:val="en-US"/>
        </w:rPr>
        <w:lastRenderedPageBreak/>
        <w:t>The profitability of the business model is very difficult to measure without a prospective analysis and knowledge of the market.</w:t>
      </w:r>
      <w:r w:rsidR="008E166B">
        <w:rPr>
          <w:rFonts w:asciiTheme="majorHAnsi" w:hAnsiTheme="majorHAnsi"/>
          <w:lang w:val="en-US"/>
        </w:rPr>
        <w:t xml:space="preserve"> </w:t>
      </w:r>
      <w:r w:rsidRPr="00113DD8">
        <w:rPr>
          <w:rFonts w:asciiTheme="majorHAnsi" w:hAnsiTheme="majorHAnsi"/>
          <w:lang w:val="en-US"/>
        </w:rPr>
        <w:t>In this sense the current text does not include elements that allow thinking that the supervisor is going to do this exercise but will only make a short term static analysis, which could distort the results.</w:t>
      </w:r>
      <w:r w:rsidR="008E166B">
        <w:rPr>
          <w:rFonts w:asciiTheme="majorHAnsi" w:hAnsiTheme="majorHAnsi"/>
          <w:lang w:val="en-US"/>
        </w:rPr>
        <w:t xml:space="preserve"> </w:t>
      </w:r>
    </w:p>
    <w:p w:rsidR="006E4F5A" w:rsidRPr="007C3AF6" w:rsidRDefault="006E4F5A" w:rsidP="006E4F5A">
      <w:pPr>
        <w:numPr>
          <w:ilvl w:val="0"/>
          <w:numId w:val="10"/>
        </w:numPr>
        <w:spacing w:line="264" w:lineRule="auto"/>
        <w:ind w:left="284" w:hanging="284"/>
        <w:jc w:val="both"/>
        <w:rPr>
          <w:rFonts w:asciiTheme="majorHAnsi" w:hAnsiTheme="majorHAnsi"/>
          <w:b/>
          <w:lang w:val="en-US"/>
        </w:rPr>
      </w:pPr>
      <w:r>
        <w:rPr>
          <w:rFonts w:asciiTheme="majorHAnsi" w:hAnsiTheme="majorHAnsi"/>
          <w:b/>
          <w:lang w:val="en-US"/>
        </w:rPr>
        <w:t xml:space="preserve">Internal </w:t>
      </w:r>
      <w:proofErr w:type="spellStart"/>
      <w:r>
        <w:rPr>
          <w:rFonts w:asciiTheme="majorHAnsi" w:hAnsiTheme="majorHAnsi"/>
          <w:b/>
          <w:lang w:val="en-US"/>
        </w:rPr>
        <w:t>gobernance</w:t>
      </w:r>
      <w:proofErr w:type="spellEnd"/>
      <w:r>
        <w:rPr>
          <w:rFonts w:asciiTheme="majorHAnsi" w:hAnsiTheme="majorHAnsi"/>
          <w:b/>
          <w:lang w:val="en-US"/>
        </w:rPr>
        <w:t xml:space="preserve"> and institution-wide controls assessment </w:t>
      </w:r>
      <w:r w:rsidRPr="008E166B">
        <w:rPr>
          <w:rFonts w:ascii="Arial Narrow" w:hAnsi="Arial Narrow"/>
          <w:b/>
          <w:sz w:val="21"/>
          <w:szCs w:val="21"/>
          <w:lang w:val="en-US"/>
        </w:rPr>
        <w:t>(Paragraph</w:t>
      </w:r>
      <w:r w:rsidR="006F2B3B">
        <w:rPr>
          <w:rFonts w:ascii="Arial Narrow" w:hAnsi="Arial Narrow"/>
          <w:b/>
          <w:sz w:val="21"/>
          <w:szCs w:val="21"/>
          <w:lang w:val="en-US"/>
        </w:rPr>
        <w:t>s</w:t>
      </w:r>
      <w:r w:rsidRPr="008E166B">
        <w:rPr>
          <w:rFonts w:ascii="Arial Narrow" w:hAnsi="Arial Narrow"/>
          <w:b/>
          <w:sz w:val="21"/>
          <w:szCs w:val="21"/>
          <w:lang w:val="en-US"/>
        </w:rPr>
        <w:t xml:space="preserve"> </w:t>
      </w:r>
      <w:r>
        <w:rPr>
          <w:rFonts w:ascii="Arial Narrow" w:hAnsi="Arial Narrow"/>
          <w:b/>
          <w:sz w:val="21"/>
          <w:szCs w:val="21"/>
          <w:lang w:val="en-US"/>
        </w:rPr>
        <w:t>77 and following</w:t>
      </w:r>
      <w:r w:rsidRPr="008E166B">
        <w:rPr>
          <w:rFonts w:ascii="Arial Narrow" w:hAnsi="Arial Narrow"/>
          <w:b/>
          <w:sz w:val="21"/>
          <w:szCs w:val="21"/>
          <w:lang w:val="en-US"/>
        </w:rPr>
        <w:t>)</w:t>
      </w:r>
    </w:p>
    <w:p w:rsidR="006E4F5A" w:rsidRDefault="006E4F5A" w:rsidP="006E4F5A">
      <w:pPr>
        <w:spacing w:line="264" w:lineRule="auto"/>
        <w:ind w:left="284"/>
        <w:jc w:val="both"/>
        <w:rPr>
          <w:rFonts w:asciiTheme="majorHAnsi" w:hAnsiTheme="majorHAnsi"/>
          <w:b/>
          <w:lang w:val="en-US"/>
        </w:rPr>
      </w:pPr>
      <w:r>
        <w:rPr>
          <w:rFonts w:asciiTheme="majorHAnsi" w:hAnsiTheme="majorHAnsi"/>
          <w:lang w:val="en-US"/>
        </w:rPr>
        <w:t xml:space="preserve">In </w:t>
      </w:r>
      <w:r w:rsidR="00FE0A23">
        <w:rPr>
          <w:rFonts w:asciiTheme="majorHAnsi" w:hAnsiTheme="majorHAnsi"/>
          <w:lang w:val="en-US"/>
        </w:rPr>
        <w:t>order</w:t>
      </w:r>
      <w:r>
        <w:rPr>
          <w:rFonts w:asciiTheme="majorHAnsi" w:hAnsiTheme="majorHAnsi"/>
          <w:lang w:val="en-US"/>
        </w:rPr>
        <w:t xml:space="preserve"> to limit national competent </w:t>
      </w:r>
      <w:proofErr w:type="gramStart"/>
      <w:r>
        <w:rPr>
          <w:rFonts w:asciiTheme="majorHAnsi" w:hAnsiTheme="majorHAnsi"/>
          <w:lang w:val="en-US"/>
        </w:rPr>
        <w:t>authorities</w:t>
      </w:r>
      <w:proofErr w:type="gramEnd"/>
      <w:r>
        <w:rPr>
          <w:rFonts w:asciiTheme="majorHAnsi" w:hAnsiTheme="majorHAnsi"/>
          <w:lang w:val="en-US"/>
        </w:rPr>
        <w:t xml:space="preserve"> discretion and avoid regulatory arbitrage, more detail on governance and </w:t>
      </w:r>
      <w:r w:rsidR="0059219B">
        <w:rPr>
          <w:rFonts w:asciiTheme="majorHAnsi" w:hAnsiTheme="majorHAnsi"/>
          <w:lang w:val="en-US"/>
        </w:rPr>
        <w:t>internal</w:t>
      </w:r>
      <w:r>
        <w:rPr>
          <w:rFonts w:asciiTheme="majorHAnsi" w:hAnsiTheme="majorHAnsi"/>
          <w:lang w:val="en-US"/>
        </w:rPr>
        <w:t xml:space="preserve"> control assessment criteria could be convenient.</w:t>
      </w:r>
    </w:p>
    <w:p w:rsidR="00D663E1" w:rsidRPr="007C3AF6" w:rsidRDefault="00D663E1" w:rsidP="00AF766C">
      <w:pPr>
        <w:numPr>
          <w:ilvl w:val="0"/>
          <w:numId w:val="10"/>
        </w:numPr>
        <w:spacing w:line="264" w:lineRule="auto"/>
        <w:ind w:left="284" w:hanging="284"/>
        <w:jc w:val="both"/>
        <w:rPr>
          <w:rFonts w:asciiTheme="majorHAnsi" w:hAnsiTheme="majorHAnsi"/>
          <w:b/>
          <w:lang w:val="en-US"/>
        </w:rPr>
      </w:pPr>
      <w:r w:rsidRPr="007C3AF6">
        <w:rPr>
          <w:rFonts w:asciiTheme="majorHAnsi" w:hAnsiTheme="majorHAnsi"/>
          <w:b/>
          <w:lang w:val="en-US"/>
        </w:rPr>
        <w:t>Operational risk</w:t>
      </w:r>
      <w:r>
        <w:rPr>
          <w:rFonts w:asciiTheme="majorHAnsi" w:hAnsiTheme="majorHAnsi"/>
          <w:b/>
          <w:lang w:val="en-US"/>
        </w:rPr>
        <w:t xml:space="preserve"> </w:t>
      </w:r>
      <w:r w:rsidRPr="008E166B">
        <w:rPr>
          <w:rFonts w:ascii="Arial Narrow" w:hAnsi="Arial Narrow"/>
          <w:b/>
          <w:sz w:val="21"/>
          <w:szCs w:val="21"/>
          <w:lang w:val="en-US"/>
        </w:rPr>
        <w:t>(Paragraph 223)</w:t>
      </w:r>
    </w:p>
    <w:p w:rsidR="00D663E1" w:rsidRDefault="00D663E1" w:rsidP="00AF766C">
      <w:pPr>
        <w:spacing w:line="264" w:lineRule="auto"/>
        <w:ind w:left="284"/>
        <w:jc w:val="both"/>
        <w:rPr>
          <w:rFonts w:asciiTheme="majorHAnsi" w:hAnsiTheme="majorHAnsi"/>
          <w:lang w:val="en-US"/>
        </w:rPr>
      </w:pPr>
      <w:r w:rsidRPr="00113DD8">
        <w:rPr>
          <w:rFonts w:asciiTheme="majorHAnsi" w:hAnsiTheme="majorHAnsi"/>
          <w:lang w:val="en-US"/>
        </w:rPr>
        <w:t>According to the current text, it seems that all is arranged to measure the risk on the basis of classification of the types of events under the AMA methodology.</w:t>
      </w:r>
      <w:r>
        <w:rPr>
          <w:rFonts w:asciiTheme="majorHAnsi" w:hAnsiTheme="majorHAnsi"/>
          <w:lang w:val="en-US"/>
        </w:rPr>
        <w:t xml:space="preserve"> </w:t>
      </w:r>
      <w:r w:rsidRPr="00113DD8">
        <w:rPr>
          <w:rFonts w:asciiTheme="majorHAnsi" w:hAnsiTheme="majorHAnsi"/>
          <w:lang w:val="en-US"/>
        </w:rPr>
        <w:t xml:space="preserve">There should be a clear and explicit explanation of how this evaluation will be made for those entities that do not apply this measuring model of operational risk, that is to say for those using Standard methods, which are the great majority of entities. </w:t>
      </w:r>
    </w:p>
    <w:p w:rsidR="0059219B" w:rsidRPr="007C3AF6" w:rsidRDefault="0059219B" w:rsidP="0059219B">
      <w:pPr>
        <w:numPr>
          <w:ilvl w:val="0"/>
          <w:numId w:val="10"/>
        </w:numPr>
        <w:spacing w:line="264" w:lineRule="auto"/>
        <w:ind w:left="284" w:hanging="284"/>
        <w:jc w:val="both"/>
        <w:rPr>
          <w:rFonts w:asciiTheme="majorHAnsi" w:hAnsiTheme="majorHAnsi"/>
          <w:b/>
          <w:lang w:val="en-US"/>
        </w:rPr>
      </w:pPr>
      <w:r>
        <w:rPr>
          <w:rFonts w:asciiTheme="majorHAnsi" w:hAnsiTheme="majorHAnsi"/>
          <w:b/>
          <w:lang w:val="en-US"/>
        </w:rPr>
        <w:t>Capital assessment</w:t>
      </w:r>
      <w:r w:rsidR="00DF3B34">
        <w:rPr>
          <w:rFonts w:asciiTheme="majorHAnsi" w:hAnsiTheme="majorHAnsi"/>
          <w:b/>
          <w:lang w:val="en-US"/>
        </w:rPr>
        <w:t xml:space="preserve"> </w:t>
      </w:r>
      <w:r w:rsidRPr="008E166B">
        <w:rPr>
          <w:rFonts w:ascii="Arial Narrow" w:hAnsi="Arial Narrow"/>
          <w:b/>
          <w:sz w:val="21"/>
          <w:szCs w:val="21"/>
          <w:lang w:val="en-US"/>
        </w:rPr>
        <w:t xml:space="preserve">(Paragraph </w:t>
      </w:r>
      <w:r>
        <w:rPr>
          <w:rFonts w:ascii="Arial Narrow" w:hAnsi="Arial Narrow"/>
          <w:b/>
          <w:sz w:val="21"/>
          <w:szCs w:val="21"/>
          <w:lang w:val="en-US"/>
        </w:rPr>
        <w:t>311</w:t>
      </w:r>
      <w:r w:rsidRPr="008E166B">
        <w:rPr>
          <w:rFonts w:ascii="Arial Narrow" w:hAnsi="Arial Narrow"/>
          <w:b/>
          <w:sz w:val="21"/>
          <w:szCs w:val="21"/>
          <w:lang w:val="en-US"/>
        </w:rPr>
        <w:t>)</w:t>
      </w:r>
      <w:r>
        <w:rPr>
          <w:rFonts w:ascii="Arial Narrow" w:hAnsi="Arial Narrow"/>
          <w:b/>
          <w:sz w:val="21"/>
          <w:szCs w:val="21"/>
          <w:lang w:val="en-US"/>
        </w:rPr>
        <w:t xml:space="preserve"> </w:t>
      </w:r>
      <w:r w:rsidRPr="0059219B">
        <w:rPr>
          <w:rFonts w:asciiTheme="majorHAnsi" w:hAnsiTheme="majorHAnsi"/>
          <w:b/>
          <w:lang w:val="en-US"/>
        </w:rPr>
        <w:t>and</w:t>
      </w:r>
      <w:r>
        <w:rPr>
          <w:rFonts w:ascii="Arial Narrow" w:hAnsi="Arial Narrow"/>
          <w:b/>
          <w:sz w:val="21"/>
          <w:szCs w:val="21"/>
          <w:lang w:val="en-US"/>
        </w:rPr>
        <w:t xml:space="preserve"> </w:t>
      </w:r>
      <w:r>
        <w:rPr>
          <w:rFonts w:asciiTheme="majorHAnsi" w:hAnsiTheme="majorHAnsi"/>
          <w:b/>
          <w:lang w:val="en-US"/>
        </w:rPr>
        <w:t>liquidity assessment</w:t>
      </w:r>
      <w:r w:rsidR="00DF3B34">
        <w:rPr>
          <w:rFonts w:asciiTheme="majorHAnsi" w:hAnsiTheme="majorHAnsi"/>
          <w:b/>
          <w:lang w:val="en-US"/>
        </w:rPr>
        <w:t xml:space="preserve"> </w:t>
      </w:r>
      <w:r w:rsidRPr="008E166B">
        <w:rPr>
          <w:rFonts w:ascii="Arial Narrow" w:hAnsi="Arial Narrow"/>
          <w:b/>
          <w:sz w:val="21"/>
          <w:szCs w:val="21"/>
          <w:lang w:val="en-US"/>
        </w:rPr>
        <w:t xml:space="preserve">(Paragraph </w:t>
      </w:r>
      <w:r>
        <w:rPr>
          <w:rFonts w:ascii="Arial Narrow" w:hAnsi="Arial Narrow"/>
          <w:b/>
          <w:sz w:val="21"/>
          <w:szCs w:val="21"/>
          <w:lang w:val="en-US"/>
        </w:rPr>
        <w:t>407</w:t>
      </w:r>
      <w:r w:rsidRPr="008E166B">
        <w:rPr>
          <w:rFonts w:ascii="Arial Narrow" w:hAnsi="Arial Narrow"/>
          <w:b/>
          <w:sz w:val="21"/>
          <w:szCs w:val="21"/>
          <w:lang w:val="en-US"/>
        </w:rPr>
        <w:t>)</w:t>
      </w:r>
    </w:p>
    <w:p w:rsidR="0059219B" w:rsidRDefault="0059219B" w:rsidP="0059219B">
      <w:pPr>
        <w:spacing w:line="264" w:lineRule="auto"/>
        <w:ind w:left="284"/>
        <w:jc w:val="both"/>
        <w:rPr>
          <w:rFonts w:asciiTheme="majorHAnsi" w:hAnsiTheme="majorHAnsi"/>
          <w:lang w:val="en-US"/>
        </w:rPr>
      </w:pPr>
      <w:r>
        <w:rPr>
          <w:rFonts w:asciiTheme="majorHAnsi" w:hAnsiTheme="majorHAnsi"/>
          <w:lang w:val="en-US"/>
        </w:rPr>
        <w:t>Competent authorities should assess inherent risks as well as risk controls, in order to finally come up with the residual risk.</w:t>
      </w:r>
    </w:p>
    <w:p w:rsidR="00113DD8" w:rsidRPr="00113DD8" w:rsidRDefault="00113DD8" w:rsidP="00AF766C">
      <w:pPr>
        <w:numPr>
          <w:ilvl w:val="0"/>
          <w:numId w:val="10"/>
        </w:numPr>
        <w:spacing w:line="264" w:lineRule="auto"/>
        <w:ind w:left="284" w:hanging="284"/>
        <w:jc w:val="both"/>
        <w:rPr>
          <w:rFonts w:asciiTheme="majorHAnsi" w:hAnsiTheme="majorHAnsi"/>
          <w:b/>
          <w:lang w:val="en-US"/>
        </w:rPr>
      </w:pPr>
      <w:r w:rsidRPr="00113DD8">
        <w:rPr>
          <w:rFonts w:asciiTheme="majorHAnsi" w:hAnsiTheme="majorHAnsi"/>
          <w:b/>
          <w:lang w:val="en-US"/>
        </w:rPr>
        <w:t>Composition of the required additional capital</w:t>
      </w:r>
      <w:r w:rsidR="00D663E1">
        <w:rPr>
          <w:rFonts w:asciiTheme="majorHAnsi" w:hAnsiTheme="majorHAnsi"/>
          <w:b/>
          <w:lang w:val="en-US"/>
        </w:rPr>
        <w:t xml:space="preserve"> </w:t>
      </w:r>
      <w:r w:rsidR="00D663E1" w:rsidRPr="008E166B">
        <w:rPr>
          <w:rFonts w:ascii="Arial Narrow" w:hAnsi="Arial Narrow"/>
          <w:b/>
          <w:sz w:val="21"/>
          <w:szCs w:val="21"/>
          <w:lang w:val="en-US"/>
        </w:rPr>
        <w:t>(Paragraphs 334 to 336)</w:t>
      </w:r>
    </w:p>
    <w:p w:rsidR="00113DD8" w:rsidRDefault="00113DD8" w:rsidP="00AF766C">
      <w:pPr>
        <w:spacing w:line="264" w:lineRule="auto"/>
        <w:ind w:left="284"/>
        <w:jc w:val="both"/>
        <w:rPr>
          <w:rFonts w:asciiTheme="majorHAnsi" w:hAnsiTheme="majorHAnsi"/>
          <w:lang w:val="en-US"/>
        </w:rPr>
      </w:pPr>
      <w:r w:rsidRPr="00113DD8">
        <w:rPr>
          <w:rFonts w:asciiTheme="majorHAnsi" w:hAnsiTheme="majorHAnsi"/>
          <w:lang w:val="en-US"/>
        </w:rPr>
        <w:t xml:space="preserve">According to article 104 of Regulation 575/2013, the evaluation of capital by the SREP can produce additional requirements of own </w:t>
      </w:r>
      <w:r w:rsidR="00060BE9">
        <w:rPr>
          <w:rFonts w:asciiTheme="majorHAnsi" w:hAnsiTheme="majorHAnsi"/>
          <w:lang w:val="en-US"/>
        </w:rPr>
        <w:t>funds</w:t>
      </w:r>
      <w:r w:rsidRPr="00113DD8">
        <w:rPr>
          <w:rFonts w:asciiTheme="majorHAnsi" w:hAnsiTheme="majorHAnsi"/>
          <w:lang w:val="en-US"/>
        </w:rPr>
        <w:t xml:space="preserve"> for the entity, but not establish the proportional distribution of the components </w:t>
      </w:r>
      <w:r w:rsidR="00060BE9">
        <w:rPr>
          <w:rFonts w:asciiTheme="majorHAnsi" w:hAnsiTheme="majorHAnsi"/>
          <w:lang w:val="en-US"/>
        </w:rPr>
        <w:t>thereof</w:t>
      </w:r>
      <w:r w:rsidRPr="00113DD8">
        <w:rPr>
          <w:rFonts w:asciiTheme="majorHAnsi" w:hAnsiTheme="majorHAnsi"/>
          <w:lang w:val="en-US"/>
        </w:rPr>
        <w:t>.</w:t>
      </w:r>
      <w:r w:rsidR="008E166B">
        <w:rPr>
          <w:rFonts w:asciiTheme="majorHAnsi" w:hAnsiTheme="majorHAnsi"/>
          <w:lang w:val="en-US"/>
        </w:rPr>
        <w:t xml:space="preserve"> </w:t>
      </w:r>
      <w:r w:rsidRPr="00113DD8">
        <w:rPr>
          <w:rFonts w:asciiTheme="majorHAnsi" w:hAnsiTheme="majorHAnsi"/>
          <w:lang w:val="en-US"/>
        </w:rPr>
        <w:t xml:space="preserve">Therefore, we consider that such proportionality should not be imposed, but simply the coverage with total computable Own </w:t>
      </w:r>
      <w:r w:rsidR="00060BE9">
        <w:rPr>
          <w:rFonts w:asciiTheme="majorHAnsi" w:hAnsiTheme="majorHAnsi"/>
          <w:lang w:val="en-US"/>
        </w:rPr>
        <w:t>Funds</w:t>
      </w:r>
      <w:r w:rsidRPr="00113DD8">
        <w:rPr>
          <w:rFonts w:asciiTheme="majorHAnsi" w:hAnsiTheme="majorHAnsi"/>
          <w:lang w:val="en-US"/>
        </w:rPr>
        <w:t xml:space="preserve">. </w:t>
      </w:r>
    </w:p>
    <w:p w:rsidR="0059219B" w:rsidRPr="00113DD8" w:rsidRDefault="0059219B" w:rsidP="0059219B">
      <w:pPr>
        <w:numPr>
          <w:ilvl w:val="0"/>
          <w:numId w:val="10"/>
        </w:numPr>
        <w:spacing w:line="264" w:lineRule="auto"/>
        <w:ind w:left="284" w:hanging="284"/>
        <w:jc w:val="both"/>
        <w:rPr>
          <w:rFonts w:asciiTheme="majorHAnsi" w:hAnsiTheme="majorHAnsi"/>
          <w:b/>
          <w:lang w:val="en-US"/>
        </w:rPr>
      </w:pPr>
      <w:r>
        <w:rPr>
          <w:rFonts w:asciiTheme="majorHAnsi" w:hAnsiTheme="majorHAnsi"/>
          <w:b/>
          <w:lang w:val="en-US"/>
        </w:rPr>
        <w:t xml:space="preserve">Level of asset encumbrance </w:t>
      </w:r>
      <w:r w:rsidRPr="008E166B">
        <w:rPr>
          <w:rFonts w:ascii="Arial Narrow" w:hAnsi="Arial Narrow"/>
          <w:b/>
          <w:sz w:val="21"/>
          <w:szCs w:val="21"/>
          <w:lang w:val="en-US"/>
        </w:rPr>
        <w:t>(Paragraph 3</w:t>
      </w:r>
      <w:r>
        <w:rPr>
          <w:rFonts w:ascii="Arial Narrow" w:hAnsi="Arial Narrow"/>
          <w:b/>
          <w:sz w:val="21"/>
          <w:szCs w:val="21"/>
          <w:lang w:val="en-US"/>
        </w:rPr>
        <w:t>77.b</w:t>
      </w:r>
      <w:r w:rsidRPr="008E166B">
        <w:rPr>
          <w:rFonts w:ascii="Arial Narrow" w:hAnsi="Arial Narrow"/>
          <w:b/>
          <w:sz w:val="21"/>
          <w:szCs w:val="21"/>
          <w:lang w:val="en-US"/>
        </w:rPr>
        <w:t>)</w:t>
      </w:r>
    </w:p>
    <w:p w:rsidR="0059219B" w:rsidRPr="00113DD8" w:rsidRDefault="0059219B" w:rsidP="0059219B">
      <w:pPr>
        <w:spacing w:line="264" w:lineRule="auto"/>
        <w:ind w:left="284"/>
        <w:jc w:val="both"/>
        <w:rPr>
          <w:rFonts w:asciiTheme="majorHAnsi" w:hAnsiTheme="majorHAnsi"/>
          <w:lang w:val="en-US"/>
        </w:rPr>
      </w:pPr>
      <w:r>
        <w:rPr>
          <w:rFonts w:asciiTheme="majorHAnsi" w:hAnsiTheme="majorHAnsi"/>
          <w:lang w:val="en-US"/>
        </w:rPr>
        <w:t>We think that mor</w:t>
      </w:r>
      <w:r w:rsidR="006F2B3B">
        <w:rPr>
          <w:rFonts w:asciiTheme="majorHAnsi" w:hAnsiTheme="majorHAnsi"/>
          <w:lang w:val="en-US"/>
        </w:rPr>
        <w:t>e guidance on asset en</w:t>
      </w:r>
      <w:r>
        <w:rPr>
          <w:rFonts w:asciiTheme="majorHAnsi" w:hAnsiTheme="majorHAnsi"/>
          <w:lang w:val="en-US"/>
        </w:rPr>
        <w:t xml:space="preserve">cumbrance (by </w:t>
      </w:r>
      <w:r w:rsidR="006F2B3B">
        <w:rPr>
          <w:rFonts w:asciiTheme="majorHAnsi" w:hAnsiTheme="majorHAnsi"/>
          <w:lang w:val="en-US"/>
        </w:rPr>
        <w:t>means</w:t>
      </w:r>
      <w:r>
        <w:rPr>
          <w:rFonts w:asciiTheme="majorHAnsi" w:hAnsiTheme="majorHAnsi"/>
          <w:lang w:val="en-US"/>
        </w:rPr>
        <w:t xml:space="preserve"> of principles or thresholds) could be convenient</w:t>
      </w:r>
      <w:r w:rsidR="00545F5D">
        <w:rPr>
          <w:rFonts w:asciiTheme="majorHAnsi" w:hAnsiTheme="majorHAnsi"/>
          <w:lang w:val="en-US"/>
        </w:rPr>
        <w:t>.</w:t>
      </w:r>
    </w:p>
    <w:p w:rsidR="00113DD8" w:rsidRPr="00113DD8" w:rsidRDefault="00113DD8" w:rsidP="00AF766C">
      <w:pPr>
        <w:numPr>
          <w:ilvl w:val="0"/>
          <w:numId w:val="10"/>
        </w:numPr>
        <w:spacing w:line="264" w:lineRule="auto"/>
        <w:ind w:left="284" w:hanging="284"/>
        <w:jc w:val="both"/>
        <w:rPr>
          <w:rFonts w:asciiTheme="majorHAnsi" w:hAnsiTheme="majorHAnsi"/>
          <w:b/>
          <w:lang w:val="en-US"/>
        </w:rPr>
      </w:pPr>
      <w:r w:rsidRPr="00113DD8">
        <w:rPr>
          <w:rFonts w:asciiTheme="majorHAnsi" w:hAnsiTheme="majorHAnsi"/>
          <w:b/>
          <w:lang w:val="en-US"/>
        </w:rPr>
        <w:t>Relationship of weaknesses in SREP and additional needs of capital</w:t>
      </w:r>
      <w:r w:rsidR="00D663E1">
        <w:rPr>
          <w:rFonts w:asciiTheme="majorHAnsi" w:hAnsiTheme="majorHAnsi"/>
          <w:b/>
          <w:lang w:val="en-US"/>
        </w:rPr>
        <w:t xml:space="preserve"> </w:t>
      </w:r>
      <w:r w:rsidR="00D663E1" w:rsidRPr="008E166B">
        <w:rPr>
          <w:rFonts w:ascii="Arial Narrow" w:hAnsi="Arial Narrow"/>
          <w:b/>
          <w:sz w:val="21"/>
          <w:szCs w:val="21"/>
          <w:lang w:val="en-US"/>
        </w:rPr>
        <w:t>(Paragraphs 446 and 447)</w:t>
      </w:r>
    </w:p>
    <w:p w:rsidR="00113DD8" w:rsidRDefault="00113DD8" w:rsidP="00AF766C">
      <w:pPr>
        <w:spacing w:line="264" w:lineRule="auto"/>
        <w:ind w:left="284"/>
        <w:jc w:val="both"/>
        <w:rPr>
          <w:rFonts w:asciiTheme="majorHAnsi" w:hAnsiTheme="majorHAnsi"/>
          <w:lang w:val="en-US"/>
        </w:rPr>
      </w:pPr>
      <w:r w:rsidRPr="00113DD8">
        <w:rPr>
          <w:rFonts w:asciiTheme="majorHAnsi" w:hAnsiTheme="majorHAnsi"/>
          <w:lang w:val="en-US"/>
        </w:rPr>
        <w:t xml:space="preserve">We consider </w:t>
      </w:r>
      <w:r w:rsidR="00D663E1">
        <w:rPr>
          <w:rFonts w:asciiTheme="majorHAnsi" w:hAnsiTheme="majorHAnsi"/>
          <w:lang w:val="en-US"/>
        </w:rPr>
        <w:t xml:space="preserve">that </w:t>
      </w:r>
      <w:r w:rsidRPr="00113DD8">
        <w:rPr>
          <w:rFonts w:asciiTheme="majorHAnsi" w:hAnsiTheme="majorHAnsi"/>
          <w:lang w:val="en-US"/>
        </w:rPr>
        <w:t xml:space="preserve">there should be </w:t>
      </w:r>
      <w:r w:rsidR="00D663E1">
        <w:rPr>
          <w:rFonts w:asciiTheme="majorHAnsi" w:hAnsiTheme="majorHAnsi"/>
          <w:lang w:val="en-US"/>
        </w:rPr>
        <w:t xml:space="preserve">a </w:t>
      </w:r>
      <w:r w:rsidRPr="00113DD8">
        <w:rPr>
          <w:rFonts w:asciiTheme="majorHAnsi" w:hAnsiTheme="majorHAnsi"/>
          <w:lang w:val="en-US"/>
        </w:rPr>
        <w:t xml:space="preserve">more </w:t>
      </w:r>
      <w:r w:rsidR="00060BE9">
        <w:rPr>
          <w:rFonts w:asciiTheme="majorHAnsi" w:hAnsiTheme="majorHAnsi"/>
          <w:lang w:val="en-US"/>
        </w:rPr>
        <w:t xml:space="preserve">detailed </w:t>
      </w:r>
      <w:r w:rsidRPr="00113DD8">
        <w:rPr>
          <w:rFonts w:asciiTheme="majorHAnsi" w:hAnsiTheme="majorHAnsi"/>
          <w:lang w:val="en-US"/>
        </w:rPr>
        <w:t>definition of the relationship between weaknesses in the SREP and the additional needs of capital.</w:t>
      </w:r>
      <w:r w:rsidR="008E166B">
        <w:rPr>
          <w:rFonts w:asciiTheme="majorHAnsi" w:hAnsiTheme="majorHAnsi"/>
          <w:lang w:val="en-US"/>
        </w:rPr>
        <w:t xml:space="preserve"> </w:t>
      </w:r>
      <w:r w:rsidRPr="00113DD8">
        <w:rPr>
          <w:rFonts w:asciiTheme="majorHAnsi" w:hAnsiTheme="majorHAnsi"/>
          <w:lang w:val="en-US"/>
        </w:rPr>
        <w:t xml:space="preserve">The current </w:t>
      </w:r>
      <w:r w:rsidR="00683E79">
        <w:rPr>
          <w:rFonts w:asciiTheme="majorHAnsi" w:hAnsiTheme="majorHAnsi"/>
          <w:lang w:val="en-US"/>
        </w:rPr>
        <w:t>wording leaves too much discretion to competent authorities.</w:t>
      </w:r>
    </w:p>
    <w:p w:rsidR="006F4DEA" w:rsidRPr="003B32DE" w:rsidRDefault="006F4DEA" w:rsidP="00CD4D05">
      <w:pPr>
        <w:pStyle w:val="NormalWeb"/>
        <w:rPr>
          <w:rFonts w:asciiTheme="majorHAnsi" w:hAnsiTheme="majorHAnsi" w:cs="Arial"/>
          <w:sz w:val="22"/>
          <w:szCs w:val="22"/>
          <w:lang w:val="en-US"/>
        </w:rPr>
      </w:pPr>
    </w:p>
    <w:p w:rsidR="00CD4D05" w:rsidRPr="008E166B" w:rsidRDefault="006F4DEA" w:rsidP="006F4DEA">
      <w:pPr>
        <w:jc w:val="center"/>
        <w:rPr>
          <w:lang w:val="en-US"/>
        </w:rPr>
      </w:pPr>
      <w:r w:rsidRPr="008E166B">
        <w:rPr>
          <w:lang w:val="en-US"/>
        </w:rPr>
        <w:t>~~~~~~~~~~~~~~~~~~</w:t>
      </w:r>
    </w:p>
    <w:sectPr w:rsidR="00CD4D05" w:rsidRPr="008E166B" w:rsidSect="006778E5">
      <w:headerReference w:type="default" r:id="rId7"/>
      <w:footerReference w:type="default" r:id="rId8"/>
      <w:pgSz w:w="11906" w:h="16838"/>
      <w:pgMar w:top="1417" w:right="1701" w:bottom="1417" w:left="1701" w:header="708" w:footer="708" w:gutter="0"/>
      <w:cols w:space="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21" w:rsidRDefault="00433721" w:rsidP="006228BD">
      <w:pPr>
        <w:spacing w:after="0" w:line="240" w:lineRule="auto"/>
      </w:pPr>
      <w:r>
        <w:separator/>
      </w:r>
    </w:p>
  </w:endnote>
  <w:endnote w:type="continuationSeparator" w:id="0">
    <w:p w:rsidR="00433721" w:rsidRDefault="00433721" w:rsidP="00622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7"/>
      <w:gridCol w:w="7813"/>
    </w:tblGrid>
    <w:tr w:rsidR="00D663E1">
      <w:tc>
        <w:tcPr>
          <w:tcW w:w="918" w:type="dxa"/>
        </w:tcPr>
        <w:p w:rsidR="00D663E1" w:rsidRPr="00C3412F" w:rsidRDefault="00F25B07">
          <w:pPr>
            <w:pStyle w:val="Piedepgina"/>
            <w:jc w:val="right"/>
            <w:rPr>
              <w:rFonts w:asciiTheme="majorHAnsi" w:hAnsiTheme="majorHAnsi"/>
              <w:b/>
              <w:color w:val="007336"/>
              <w:sz w:val="16"/>
              <w:szCs w:val="16"/>
            </w:rPr>
          </w:pPr>
          <w:r w:rsidRPr="00C3412F">
            <w:rPr>
              <w:rFonts w:asciiTheme="majorHAnsi" w:hAnsiTheme="majorHAnsi"/>
              <w:color w:val="007336"/>
              <w:sz w:val="16"/>
              <w:szCs w:val="16"/>
            </w:rPr>
            <w:fldChar w:fldCharType="begin"/>
          </w:r>
          <w:r w:rsidR="00D663E1" w:rsidRPr="00C3412F">
            <w:rPr>
              <w:rFonts w:asciiTheme="majorHAnsi" w:hAnsiTheme="majorHAnsi"/>
              <w:color w:val="007336"/>
              <w:sz w:val="16"/>
              <w:szCs w:val="16"/>
            </w:rPr>
            <w:instrText xml:space="preserve"> PAGE   \* MERGEFORMAT </w:instrText>
          </w:r>
          <w:r w:rsidRPr="00C3412F">
            <w:rPr>
              <w:rFonts w:asciiTheme="majorHAnsi" w:hAnsiTheme="majorHAnsi"/>
              <w:color w:val="007336"/>
              <w:sz w:val="16"/>
              <w:szCs w:val="16"/>
            </w:rPr>
            <w:fldChar w:fldCharType="separate"/>
          </w:r>
          <w:r w:rsidR="00A118C2" w:rsidRPr="00A118C2">
            <w:rPr>
              <w:rFonts w:asciiTheme="majorHAnsi" w:hAnsiTheme="majorHAnsi"/>
              <w:b/>
              <w:noProof/>
              <w:color w:val="007336"/>
              <w:sz w:val="16"/>
              <w:szCs w:val="16"/>
            </w:rPr>
            <w:t>1</w:t>
          </w:r>
          <w:r w:rsidRPr="00C3412F">
            <w:rPr>
              <w:rFonts w:asciiTheme="majorHAnsi" w:hAnsiTheme="majorHAnsi"/>
              <w:color w:val="007336"/>
              <w:sz w:val="16"/>
              <w:szCs w:val="16"/>
            </w:rPr>
            <w:fldChar w:fldCharType="end"/>
          </w:r>
        </w:p>
      </w:tc>
      <w:tc>
        <w:tcPr>
          <w:tcW w:w="7938" w:type="dxa"/>
        </w:tcPr>
        <w:p w:rsidR="00D663E1" w:rsidRPr="00C3412F" w:rsidRDefault="00D663E1" w:rsidP="002B06FF">
          <w:pPr>
            <w:pStyle w:val="Piedepgina"/>
            <w:rPr>
              <w:rFonts w:asciiTheme="majorHAnsi" w:hAnsiTheme="majorHAnsi"/>
              <w:b/>
              <w:i/>
              <w:color w:val="007336"/>
              <w:sz w:val="16"/>
              <w:szCs w:val="16"/>
            </w:rPr>
          </w:pPr>
          <w:r>
            <w:rPr>
              <w:rFonts w:asciiTheme="majorHAnsi" w:hAnsiTheme="majorHAnsi"/>
              <w:b/>
              <w:i/>
              <w:color w:val="007336"/>
              <w:sz w:val="16"/>
              <w:szCs w:val="16"/>
            </w:rPr>
            <w:t>Asociación Española de Banca</w:t>
          </w:r>
        </w:p>
      </w:tc>
    </w:tr>
  </w:tbl>
  <w:p w:rsidR="00D663E1" w:rsidRDefault="00D663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21" w:rsidRDefault="00433721" w:rsidP="006228BD">
      <w:pPr>
        <w:spacing w:after="0" w:line="240" w:lineRule="auto"/>
      </w:pPr>
      <w:r>
        <w:separator/>
      </w:r>
    </w:p>
  </w:footnote>
  <w:footnote w:type="continuationSeparator" w:id="0">
    <w:p w:rsidR="00433721" w:rsidRDefault="00433721" w:rsidP="00622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3E1" w:rsidRDefault="00D663E1" w:rsidP="001A258E">
    <w:pPr>
      <w:pStyle w:val="Encabezado"/>
      <w:ind w:left="-851"/>
    </w:pPr>
    <w:r w:rsidRPr="006228BD">
      <w:rPr>
        <w:noProof/>
        <w:lang w:eastAsia="es-ES"/>
      </w:rPr>
      <w:drawing>
        <wp:inline distT="0" distB="0" distL="0" distR="0">
          <wp:extent cx="981075" cy="434572"/>
          <wp:effectExtent l="19050" t="0" r="9525" b="0"/>
          <wp:docPr id="1" name="0 Imagen" descr="Logo verde fondo transparent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de fondo transparente1.wmf"/>
                  <pic:cNvPicPr/>
                </pic:nvPicPr>
                <pic:blipFill>
                  <a:blip r:embed="rId1"/>
                  <a:stretch>
                    <a:fillRect/>
                  </a:stretch>
                </pic:blipFill>
                <pic:spPr>
                  <a:xfrm>
                    <a:off x="0" y="0"/>
                    <a:ext cx="979858" cy="434033"/>
                  </a:xfrm>
                  <a:prstGeom prst="rect">
                    <a:avLst/>
                  </a:prstGeom>
                </pic:spPr>
              </pic:pic>
            </a:graphicData>
          </a:graphic>
        </wp:inline>
      </w:drawing>
    </w:r>
  </w:p>
  <w:p w:rsidR="00D663E1" w:rsidRPr="00285B9C" w:rsidRDefault="00D663E1" w:rsidP="001A258E">
    <w:pPr>
      <w:pStyle w:val="Encabezado"/>
      <w:ind w:left="-851"/>
      <w:rPr>
        <w:rFonts w:asciiTheme="majorHAnsi" w:hAnsiTheme="majorHAnsi"/>
        <w:b/>
        <w:color w:val="007336"/>
        <w:sz w:val="24"/>
        <w:szCs w:val="24"/>
      </w:rPr>
    </w:pPr>
    <w:r>
      <w:rPr>
        <w:rFonts w:asciiTheme="majorHAnsi" w:hAnsiTheme="majorHAnsi"/>
        <w:b/>
        <w:color w:val="007336"/>
        <w:sz w:val="24"/>
        <w:szCs w:val="24"/>
      </w:rPr>
      <w:t>Asociación Española de Banca</w:t>
    </w:r>
    <w:r w:rsidRPr="00285B9C">
      <w:rPr>
        <w:rFonts w:asciiTheme="majorHAnsi" w:hAnsiTheme="majorHAnsi"/>
        <w:b/>
        <w:color w:val="007336"/>
        <w:sz w:val="24"/>
        <w:szCs w:val="24"/>
      </w:rPr>
      <w:tab/>
    </w:r>
  </w:p>
  <w:p w:rsidR="00D663E1" w:rsidRDefault="00D663E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629"/>
    <w:multiLevelType w:val="hybridMultilevel"/>
    <w:tmpl w:val="80F4897C"/>
    <w:lvl w:ilvl="0" w:tplc="002E4436">
      <w:start w:val="1"/>
      <w:numFmt w:val="upperRoman"/>
      <w:lvlText w:val="%1."/>
      <w:lvlJc w:val="right"/>
      <w:pPr>
        <w:ind w:left="720" w:hanging="360"/>
      </w:pPr>
      <w:rPr>
        <w:b w:val="0"/>
        <w:color w:val="0073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663159"/>
    <w:multiLevelType w:val="hybridMultilevel"/>
    <w:tmpl w:val="0F06B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C43B79"/>
    <w:multiLevelType w:val="hybridMultilevel"/>
    <w:tmpl w:val="BB3C9EB4"/>
    <w:lvl w:ilvl="0" w:tplc="FFFFFFFF">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nsid w:val="1AA609D4"/>
    <w:multiLevelType w:val="hybridMultilevel"/>
    <w:tmpl w:val="4170CF3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D666B26"/>
    <w:multiLevelType w:val="hybridMultilevel"/>
    <w:tmpl w:val="1444E546"/>
    <w:lvl w:ilvl="0" w:tplc="643A9C50">
      <w:start w:val="1"/>
      <w:numFmt w:val="lowerLetter"/>
      <w:lvlText w:val="%1)"/>
      <w:lvlJc w:val="left"/>
      <w:pPr>
        <w:ind w:left="1004" w:hanging="360"/>
      </w:pPr>
      <w:rPr>
        <w:b/>
        <w:color w:val="007336"/>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40EE321E"/>
    <w:multiLevelType w:val="hybridMultilevel"/>
    <w:tmpl w:val="8A2071F4"/>
    <w:lvl w:ilvl="0" w:tplc="07B05EA8">
      <w:start w:val="1"/>
      <w:numFmt w:val="decimal"/>
      <w:lvlText w:val="%1."/>
      <w:lvlJc w:val="left"/>
      <w:pPr>
        <w:ind w:left="720" w:hanging="360"/>
      </w:pPr>
      <w:rPr>
        <w:rFonts w:ascii="Cambria" w:hAnsi="Cambria" w:hint="default"/>
        <w:b/>
        <w:color w:val="0073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5F6382E"/>
    <w:multiLevelType w:val="hybridMultilevel"/>
    <w:tmpl w:val="F446C4F2"/>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nsid w:val="4E350D4B"/>
    <w:multiLevelType w:val="hybridMultilevel"/>
    <w:tmpl w:val="51D6D904"/>
    <w:lvl w:ilvl="0" w:tplc="3B7C67FE">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nsid w:val="5F40559A"/>
    <w:multiLevelType w:val="hybridMultilevel"/>
    <w:tmpl w:val="689E0962"/>
    <w:lvl w:ilvl="0" w:tplc="FFFFFFFF">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nsid w:val="60D50F07"/>
    <w:multiLevelType w:val="hybridMultilevel"/>
    <w:tmpl w:val="E766CB3C"/>
    <w:lvl w:ilvl="0" w:tplc="79787C78">
      <w:start w:val="1"/>
      <w:numFmt w:val="decimal"/>
      <w:lvlText w:val="%1."/>
      <w:lvlJc w:val="left"/>
      <w:pPr>
        <w:ind w:left="720" w:hanging="360"/>
      </w:pPr>
      <w:rPr>
        <w:rFonts w:ascii="Cambria" w:hAnsi="Cambria" w:hint="default"/>
        <w:b/>
        <w:color w:val="0073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3864997"/>
    <w:multiLevelType w:val="hybridMultilevel"/>
    <w:tmpl w:val="BB5E778A"/>
    <w:lvl w:ilvl="0" w:tplc="BE985DC4">
      <w:start w:val="5"/>
      <w:numFmt w:val="decimal"/>
      <w:lvlText w:val="%1."/>
      <w:lvlJc w:val="left"/>
      <w:pPr>
        <w:ind w:left="720" w:hanging="360"/>
      </w:pPr>
      <w:rPr>
        <w:rFonts w:hint="default"/>
        <w:b/>
        <w:color w:val="0073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5936ED"/>
    <w:multiLevelType w:val="hybridMultilevel"/>
    <w:tmpl w:val="8A600CC4"/>
    <w:lvl w:ilvl="0" w:tplc="225A201E">
      <w:start w:val="1"/>
      <w:numFmt w:val="lowerLetter"/>
      <w:lvlText w:val="%1."/>
      <w:lvlJc w:val="left"/>
      <w:pPr>
        <w:ind w:left="644" w:hanging="360"/>
      </w:pPr>
      <w:rPr>
        <w:rFonts w:hint="default"/>
        <w:b/>
        <w:color w:val="007336"/>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72B73653"/>
    <w:multiLevelType w:val="hybridMultilevel"/>
    <w:tmpl w:val="983EFA36"/>
    <w:lvl w:ilvl="0" w:tplc="FFFFFFFF">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nsid w:val="738800AD"/>
    <w:multiLevelType w:val="hybridMultilevel"/>
    <w:tmpl w:val="378A25DA"/>
    <w:lvl w:ilvl="0" w:tplc="3B7C67FE">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11"/>
  </w:num>
  <w:num w:numId="4">
    <w:abstractNumId w:val="5"/>
  </w:num>
  <w:num w:numId="5">
    <w:abstractNumId w:val="9"/>
  </w:num>
  <w:num w:numId="6">
    <w:abstractNumId w:val="10"/>
  </w:num>
  <w:num w:numId="7">
    <w:abstractNumId w:val="1"/>
  </w:num>
  <w:num w:numId="8">
    <w:abstractNumId w:val="3"/>
  </w:num>
  <w:num w:numId="9">
    <w:abstractNumId w:val="6"/>
  </w:num>
  <w:num w:numId="10">
    <w:abstractNumId w:val="12"/>
  </w:num>
  <w:num w:numId="11">
    <w:abstractNumId w:val="8"/>
  </w:num>
  <w:num w:numId="12">
    <w:abstractNumId w:val="2"/>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459E8"/>
    <w:rsid w:val="00000630"/>
    <w:rsid w:val="00034DE4"/>
    <w:rsid w:val="00060BE9"/>
    <w:rsid w:val="00113DD8"/>
    <w:rsid w:val="00117804"/>
    <w:rsid w:val="00147D8C"/>
    <w:rsid w:val="001A258E"/>
    <w:rsid w:val="00285B9C"/>
    <w:rsid w:val="002A5E4F"/>
    <w:rsid w:val="002B06FF"/>
    <w:rsid w:val="00331A52"/>
    <w:rsid w:val="00360325"/>
    <w:rsid w:val="003B32DE"/>
    <w:rsid w:val="003D0B1D"/>
    <w:rsid w:val="00433721"/>
    <w:rsid w:val="00520C0B"/>
    <w:rsid w:val="00541D4C"/>
    <w:rsid w:val="0054338F"/>
    <w:rsid w:val="00545F5D"/>
    <w:rsid w:val="0059219B"/>
    <w:rsid w:val="00593814"/>
    <w:rsid w:val="005F47D8"/>
    <w:rsid w:val="006228BD"/>
    <w:rsid w:val="0063615D"/>
    <w:rsid w:val="00652DBE"/>
    <w:rsid w:val="006778E5"/>
    <w:rsid w:val="00683E79"/>
    <w:rsid w:val="006E4F5A"/>
    <w:rsid w:val="006F2B3B"/>
    <w:rsid w:val="006F4DEA"/>
    <w:rsid w:val="006F55F1"/>
    <w:rsid w:val="00741B42"/>
    <w:rsid w:val="007459E8"/>
    <w:rsid w:val="00767EB1"/>
    <w:rsid w:val="007C3AF6"/>
    <w:rsid w:val="00864309"/>
    <w:rsid w:val="008E166B"/>
    <w:rsid w:val="008E4163"/>
    <w:rsid w:val="008F1A89"/>
    <w:rsid w:val="00976922"/>
    <w:rsid w:val="009F6179"/>
    <w:rsid w:val="00A118C2"/>
    <w:rsid w:val="00A33063"/>
    <w:rsid w:val="00A857C5"/>
    <w:rsid w:val="00AF766C"/>
    <w:rsid w:val="00B92CDB"/>
    <w:rsid w:val="00C3412F"/>
    <w:rsid w:val="00C47C1C"/>
    <w:rsid w:val="00C55C0C"/>
    <w:rsid w:val="00C607AE"/>
    <w:rsid w:val="00C80474"/>
    <w:rsid w:val="00CB1A09"/>
    <w:rsid w:val="00CD4D05"/>
    <w:rsid w:val="00D36FED"/>
    <w:rsid w:val="00D52E56"/>
    <w:rsid w:val="00D64C60"/>
    <w:rsid w:val="00D663E1"/>
    <w:rsid w:val="00D86F4E"/>
    <w:rsid w:val="00DE423E"/>
    <w:rsid w:val="00DF3B34"/>
    <w:rsid w:val="00E5032C"/>
    <w:rsid w:val="00E813EC"/>
    <w:rsid w:val="00EA0AA7"/>
    <w:rsid w:val="00EF1EA2"/>
    <w:rsid w:val="00F16481"/>
    <w:rsid w:val="00F25B07"/>
    <w:rsid w:val="00FC7560"/>
    <w:rsid w:val="00FE0A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30"/>
  </w:style>
  <w:style w:type="paragraph" w:styleId="Ttulo2">
    <w:name w:val="heading 2"/>
    <w:basedOn w:val="Normal"/>
    <w:next w:val="Normal"/>
    <w:link w:val="Ttulo2Car"/>
    <w:uiPriority w:val="99"/>
    <w:qFormat/>
    <w:rsid w:val="003B32DE"/>
    <w:pPr>
      <w:keepNext/>
      <w:keepLines/>
      <w:spacing w:before="40" w:after="0" w:line="259" w:lineRule="auto"/>
      <w:outlineLvl w:val="1"/>
    </w:pPr>
    <w:rPr>
      <w:rFonts w:ascii="Calibri Light" w:eastAsia="Times New Roman" w:hAnsi="Calibri Light" w:cs="Times New Roman"/>
      <w:color w:val="ED7D31"/>
      <w:sz w:val="26"/>
      <w:szCs w:val="26"/>
      <w:lang w:val="nl-B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78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8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28BD"/>
  </w:style>
  <w:style w:type="paragraph" w:styleId="Piedepgina">
    <w:name w:val="footer"/>
    <w:basedOn w:val="Normal"/>
    <w:link w:val="PiedepginaCar"/>
    <w:uiPriority w:val="99"/>
    <w:unhideWhenUsed/>
    <w:rsid w:val="006228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28BD"/>
  </w:style>
  <w:style w:type="paragraph" w:styleId="NormalWeb">
    <w:name w:val="Normal (Web)"/>
    <w:basedOn w:val="Normal"/>
    <w:uiPriority w:val="99"/>
    <w:semiHidden/>
    <w:unhideWhenUsed/>
    <w:rsid w:val="00285B9C"/>
    <w:pPr>
      <w:spacing w:after="310" w:line="310" w:lineRule="atLeast"/>
      <w:jc w:val="both"/>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857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7C5"/>
    <w:rPr>
      <w:rFonts w:ascii="Tahoma" w:hAnsi="Tahoma" w:cs="Tahoma"/>
      <w:sz w:val="16"/>
      <w:szCs w:val="16"/>
    </w:rPr>
  </w:style>
  <w:style w:type="paragraph" w:styleId="Prrafodelista">
    <w:name w:val="List Paragraph"/>
    <w:basedOn w:val="Normal"/>
    <w:uiPriority w:val="34"/>
    <w:qFormat/>
    <w:rsid w:val="00CD4D05"/>
    <w:pPr>
      <w:ind w:left="720"/>
      <w:contextualSpacing/>
    </w:pPr>
    <w:rPr>
      <w:rFonts w:ascii="Calibri" w:eastAsia="Times New Roman" w:hAnsi="Calibri" w:cs="Times New Roman"/>
    </w:rPr>
  </w:style>
  <w:style w:type="paragraph" w:styleId="Ttulo">
    <w:name w:val="Title"/>
    <w:basedOn w:val="Normal"/>
    <w:next w:val="Normal"/>
    <w:link w:val="TtuloCar"/>
    <w:qFormat/>
    <w:rsid w:val="00CD4D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CD4D0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9"/>
    <w:rsid w:val="003B32DE"/>
    <w:rPr>
      <w:rFonts w:ascii="Calibri Light" w:eastAsia="Times New Roman" w:hAnsi="Calibri Light" w:cs="Times New Roman"/>
      <w:color w:val="ED7D31"/>
      <w:sz w:val="26"/>
      <w:szCs w:val="26"/>
      <w:lang w:val="nl-BE"/>
    </w:rPr>
  </w:style>
  <w:style w:type="paragraph" w:styleId="Textonotapie">
    <w:name w:val="footnote text"/>
    <w:basedOn w:val="Normal"/>
    <w:link w:val="TextonotapieCar"/>
    <w:uiPriority w:val="99"/>
    <w:semiHidden/>
    <w:rsid w:val="003B32DE"/>
    <w:pPr>
      <w:spacing w:after="0" w:line="240" w:lineRule="auto"/>
    </w:pPr>
    <w:rPr>
      <w:rFonts w:ascii="Calibri" w:eastAsia="Calibri" w:hAnsi="Calibri" w:cs="Times New Roman"/>
      <w:sz w:val="20"/>
      <w:szCs w:val="20"/>
      <w:lang w:val="nl-BE"/>
    </w:rPr>
  </w:style>
  <w:style w:type="character" w:customStyle="1" w:styleId="TextonotapieCar">
    <w:name w:val="Texto nota pie Car"/>
    <w:basedOn w:val="Fuentedeprrafopredeter"/>
    <w:link w:val="Textonotapie"/>
    <w:uiPriority w:val="99"/>
    <w:semiHidden/>
    <w:rsid w:val="003B32DE"/>
    <w:rPr>
      <w:rFonts w:ascii="Calibri" w:eastAsia="Calibri" w:hAnsi="Calibri" w:cs="Times New Roman"/>
      <w:sz w:val="20"/>
      <w:szCs w:val="20"/>
      <w:lang w:val="nl-BE"/>
    </w:rPr>
  </w:style>
  <w:style w:type="character" w:styleId="Refdenotaalpie">
    <w:name w:val="footnote reference"/>
    <w:basedOn w:val="Fuentedeprrafopredeter"/>
    <w:uiPriority w:val="99"/>
    <w:semiHidden/>
    <w:rsid w:val="003B32D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30116626">
      <w:bodyDiv w:val="1"/>
      <w:marLeft w:val="0"/>
      <w:marRight w:val="0"/>
      <w:marTop w:val="0"/>
      <w:marBottom w:val="0"/>
      <w:divBdr>
        <w:top w:val="none" w:sz="0" w:space="0" w:color="auto"/>
        <w:left w:val="none" w:sz="0" w:space="0" w:color="auto"/>
        <w:bottom w:val="none" w:sz="0" w:space="0" w:color="auto"/>
        <w:right w:val="none" w:sz="0" w:space="0" w:color="auto"/>
      </w:divBdr>
      <w:divsChild>
        <w:div w:id="751397163">
          <w:marLeft w:val="0"/>
          <w:marRight w:val="0"/>
          <w:marTop w:val="0"/>
          <w:marBottom w:val="0"/>
          <w:divBdr>
            <w:top w:val="none" w:sz="0" w:space="0" w:color="auto"/>
            <w:left w:val="none" w:sz="0" w:space="0" w:color="auto"/>
            <w:bottom w:val="none" w:sz="0" w:space="0" w:color="auto"/>
            <w:right w:val="none" w:sz="0" w:space="0" w:color="auto"/>
          </w:divBdr>
          <w:divsChild>
            <w:div w:id="2033870886">
              <w:marLeft w:val="0"/>
              <w:marRight w:val="0"/>
              <w:marTop w:val="133"/>
              <w:marBottom w:val="0"/>
              <w:divBdr>
                <w:top w:val="single" w:sz="8" w:space="7"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omero\Configuraci&#243;n%20local\Archivos%20temporales%20de%20Internet\Content.IE5\D8NA8CDK\respuesta%201%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respuesta 1[1]</Template>
  <TotalTime>3</TotalTime>
  <Pages>2</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AEB</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Luisa Romero</dc:creator>
  <cp:lastModifiedBy>Patricia Rodriguez</cp:lastModifiedBy>
  <cp:revision>2</cp:revision>
  <cp:lastPrinted>2014-10-20T10:28:00Z</cp:lastPrinted>
  <dcterms:created xsi:type="dcterms:W3CDTF">2014-10-20T15:13:00Z</dcterms:created>
  <dcterms:modified xsi:type="dcterms:W3CDTF">2014-10-20T15:13:00Z</dcterms:modified>
</cp:coreProperties>
</file>