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0BE12" w14:textId="77777777" w:rsidR="00AA4D21" w:rsidRPr="005870BC" w:rsidRDefault="00AA4D21" w:rsidP="005870BC">
      <w:pPr>
        <w:jc w:val="right"/>
        <w:rPr>
          <w:lang w:val="en-GB"/>
        </w:rPr>
      </w:pPr>
      <w:bookmarkStart w:id="0" w:name="_GoBack"/>
      <w:bookmarkEnd w:id="0"/>
      <w:r w:rsidRPr="005870BC">
        <w:rPr>
          <w:lang w:val="en-GB"/>
        </w:rPr>
        <w:t>Ref.:</w:t>
      </w:r>
      <w:bookmarkStart w:id="1" w:name="DocRef"/>
      <w:r>
        <w:rPr>
          <w:lang w:val="en-GB"/>
        </w:rPr>
        <w:t>EBF_010641I</w:t>
      </w:r>
      <w:bookmarkEnd w:id="1"/>
    </w:p>
    <w:p w14:paraId="3920BE13" w14:textId="7B2C2E4F" w:rsidR="00AA4D21" w:rsidRPr="005870BC" w:rsidRDefault="00AA4D21" w:rsidP="005870BC">
      <w:pPr>
        <w:jc w:val="right"/>
        <w:rPr>
          <w:lang w:val="en-GB"/>
        </w:rPr>
      </w:pPr>
      <w:r w:rsidRPr="005870BC">
        <w:rPr>
          <w:lang w:val="en-GB"/>
        </w:rPr>
        <w:t xml:space="preserve">Brussels, </w:t>
      </w:r>
      <w:r w:rsidR="00B610BC">
        <w:rPr>
          <w:lang w:val="en-GB"/>
        </w:rPr>
        <w:t>20</w:t>
      </w:r>
      <w:r>
        <w:rPr>
          <w:lang w:val="en-GB"/>
        </w:rPr>
        <w:t xml:space="preserve"> </w:t>
      </w:r>
      <w:r w:rsidR="00FB52DA">
        <w:rPr>
          <w:lang w:val="en-GB"/>
        </w:rPr>
        <w:t>Octo</w:t>
      </w:r>
      <w:r>
        <w:rPr>
          <w:lang w:val="en-GB"/>
        </w:rPr>
        <w:t>ber 2014</w:t>
      </w:r>
    </w:p>
    <w:p w14:paraId="3920BE14" w14:textId="77777777" w:rsidR="00AA4D21" w:rsidRPr="005870BC" w:rsidRDefault="00AA4D21" w:rsidP="005870BC">
      <w:pPr>
        <w:rPr>
          <w:b/>
          <w:i/>
          <w:lang w:val="en-GB"/>
        </w:rPr>
      </w:pPr>
    </w:p>
    <w:p w14:paraId="3920BE15" w14:textId="77777777" w:rsidR="00AA4D21" w:rsidRPr="005870BC" w:rsidRDefault="00AA4D21" w:rsidP="005870BC">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3920BE16" w14:textId="77777777" w:rsidR="00AA4D21" w:rsidRPr="005870BC" w:rsidRDefault="00AA4D21" w:rsidP="005870BC">
      <w:pPr>
        <w:rPr>
          <w:bCs/>
          <w:iCs/>
          <w:lang w:val="en-US"/>
        </w:rPr>
      </w:pPr>
      <w:r w:rsidRPr="005870BC">
        <w:rPr>
          <w:bCs/>
          <w:iCs/>
          <w:lang w:val="en-US"/>
        </w:rPr>
        <w:fldChar w:fldCharType="begin"/>
      </w:r>
      <w:r w:rsidRPr="005870BC">
        <w:rPr>
          <w:bCs/>
          <w:iCs/>
          <w:lang w:val="en-US"/>
        </w:rPr>
        <w:instrText xml:space="preserve"> TITLE   \* MERGEFORMAT </w:instrText>
      </w:r>
      <w:r w:rsidRPr="005870BC">
        <w:rPr>
          <w:bCs/>
          <w:iCs/>
          <w:lang w:val="en-US"/>
        </w:rPr>
        <w:fldChar w:fldCharType="end"/>
      </w:r>
    </w:p>
    <w:p w14:paraId="3920BE17" w14:textId="5CADA4FB" w:rsidR="00AA4D21" w:rsidRDefault="00AA4D21" w:rsidP="00702CF4">
      <w:pPr>
        <w:pStyle w:val="Heading2"/>
        <w:spacing w:before="120"/>
        <w:jc w:val="both"/>
        <w:rPr>
          <w:rFonts w:ascii="Times New Roman" w:hAnsi="Times New Roman"/>
          <w:bCs/>
          <w:iCs/>
          <w:color w:val="auto"/>
          <w:sz w:val="24"/>
          <w:szCs w:val="24"/>
          <w:lang w:val="en-US"/>
        </w:rPr>
      </w:pPr>
      <w:r w:rsidRPr="00B152AC">
        <w:rPr>
          <w:rFonts w:ascii="Times New Roman" w:hAnsi="Times New Roman"/>
          <w:bCs/>
          <w:iCs/>
          <w:color w:val="auto"/>
          <w:sz w:val="24"/>
          <w:szCs w:val="24"/>
          <w:lang w:val="en-US"/>
        </w:rPr>
        <w:t>The EBF welcomes the opportunity to express the views of the EU banking industry</w:t>
      </w:r>
      <w:r w:rsidR="00833441">
        <w:rPr>
          <w:rStyle w:val="FootnoteReference"/>
          <w:rFonts w:ascii="Times New Roman" w:hAnsi="Times New Roman"/>
          <w:bCs/>
          <w:iCs/>
          <w:color w:val="auto"/>
          <w:sz w:val="24"/>
          <w:szCs w:val="24"/>
          <w:lang w:val="en-US"/>
        </w:rPr>
        <w:footnoteReference w:id="1"/>
      </w:r>
      <w:r w:rsidRPr="00B152AC">
        <w:rPr>
          <w:rFonts w:ascii="Times New Roman" w:hAnsi="Times New Roman"/>
          <w:bCs/>
          <w:iCs/>
          <w:color w:val="auto"/>
          <w:sz w:val="24"/>
          <w:szCs w:val="24"/>
          <w:lang w:val="en-US"/>
        </w:rPr>
        <w:t xml:space="preserve"> on the EBA consultation paper on </w:t>
      </w:r>
      <w:r w:rsidR="006A4795">
        <w:rPr>
          <w:rFonts w:ascii="Times New Roman" w:hAnsi="Times New Roman"/>
          <w:bCs/>
          <w:iCs/>
          <w:color w:val="auto"/>
          <w:sz w:val="24"/>
          <w:szCs w:val="24"/>
          <w:lang w:val="en-US"/>
        </w:rPr>
        <w:t>D</w:t>
      </w:r>
      <w:r w:rsidRPr="00B152AC">
        <w:rPr>
          <w:rFonts w:ascii="Times New Roman" w:hAnsi="Times New Roman"/>
          <w:bCs/>
          <w:iCs/>
          <w:color w:val="auto"/>
          <w:sz w:val="24"/>
          <w:szCs w:val="24"/>
          <w:lang w:val="en-US"/>
        </w:rPr>
        <w:t xml:space="preserve">raft </w:t>
      </w:r>
      <w:r w:rsidR="006A4795">
        <w:rPr>
          <w:rFonts w:ascii="Times New Roman" w:hAnsi="Times New Roman"/>
          <w:bCs/>
          <w:iCs/>
          <w:color w:val="auto"/>
          <w:sz w:val="24"/>
          <w:szCs w:val="24"/>
          <w:lang w:val="en-US"/>
        </w:rPr>
        <w:t>G</w:t>
      </w:r>
      <w:r w:rsidRPr="00B152AC">
        <w:rPr>
          <w:rFonts w:ascii="Times New Roman" w:hAnsi="Times New Roman"/>
          <w:bCs/>
          <w:iCs/>
          <w:color w:val="auto"/>
          <w:sz w:val="24"/>
          <w:szCs w:val="24"/>
          <w:lang w:val="en-US"/>
        </w:rPr>
        <w:t xml:space="preserve">uidelines for </w:t>
      </w:r>
      <w:r w:rsidR="006A4795">
        <w:rPr>
          <w:rFonts w:ascii="Times New Roman" w:hAnsi="Times New Roman"/>
          <w:bCs/>
          <w:iCs/>
          <w:color w:val="auto"/>
          <w:sz w:val="24"/>
          <w:szCs w:val="24"/>
          <w:lang w:val="en-US"/>
        </w:rPr>
        <w:t>C</w:t>
      </w:r>
      <w:r w:rsidRPr="00B152AC">
        <w:rPr>
          <w:rFonts w:ascii="Times New Roman" w:hAnsi="Times New Roman"/>
          <w:bCs/>
          <w:iCs/>
          <w:color w:val="auto"/>
          <w:sz w:val="24"/>
          <w:szCs w:val="24"/>
          <w:lang w:val="en-US"/>
        </w:rPr>
        <w:t xml:space="preserve">ommon </w:t>
      </w:r>
      <w:r w:rsidR="006A4795">
        <w:rPr>
          <w:rFonts w:ascii="Times New Roman" w:hAnsi="Times New Roman"/>
          <w:bCs/>
          <w:iCs/>
          <w:color w:val="auto"/>
          <w:sz w:val="24"/>
          <w:szCs w:val="24"/>
          <w:lang w:val="en-US"/>
        </w:rPr>
        <w:t>P</w:t>
      </w:r>
      <w:r w:rsidRPr="00B152AC">
        <w:rPr>
          <w:rFonts w:ascii="Times New Roman" w:hAnsi="Times New Roman"/>
          <w:bCs/>
          <w:iCs/>
          <w:color w:val="auto"/>
          <w:sz w:val="24"/>
          <w:szCs w:val="24"/>
          <w:lang w:val="en-US"/>
        </w:rPr>
        <w:t xml:space="preserve">rocedures and </w:t>
      </w:r>
      <w:r w:rsidR="006A4795">
        <w:rPr>
          <w:rFonts w:ascii="Times New Roman" w:hAnsi="Times New Roman"/>
          <w:bCs/>
          <w:iCs/>
          <w:color w:val="auto"/>
          <w:sz w:val="24"/>
          <w:szCs w:val="24"/>
          <w:lang w:val="en-US"/>
        </w:rPr>
        <w:t>M</w:t>
      </w:r>
      <w:r w:rsidRPr="00B152AC">
        <w:rPr>
          <w:rFonts w:ascii="Times New Roman" w:hAnsi="Times New Roman"/>
          <w:bCs/>
          <w:iCs/>
          <w:color w:val="auto"/>
          <w:sz w:val="24"/>
          <w:szCs w:val="24"/>
          <w:lang w:val="en-US"/>
        </w:rPr>
        <w:t xml:space="preserve">ethodologies for the </w:t>
      </w:r>
      <w:r w:rsidR="006A4795">
        <w:rPr>
          <w:rFonts w:ascii="Times New Roman" w:hAnsi="Times New Roman"/>
          <w:bCs/>
          <w:iCs/>
          <w:color w:val="auto"/>
          <w:sz w:val="24"/>
          <w:szCs w:val="24"/>
          <w:lang w:val="en-US"/>
        </w:rPr>
        <w:t>S</w:t>
      </w:r>
      <w:r w:rsidRPr="00B152AC">
        <w:rPr>
          <w:rFonts w:ascii="Times New Roman" w:hAnsi="Times New Roman"/>
          <w:bCs/>
          <w:iCs/>
          <w:color w:val="auto"/>
          <w:sz w:val="24"/>
          <w:szCs w:val="24"/>
          <w:lang w:val="en-US"/>
        </w:rPr>
        <w:t xml:space="preserve">upervisory </w:t>
      </w:r>
      <w:r w:rsidR="006A4795">
        <w:rPr>
          <w:rFonts w:ascii="Times New Roman" w:hAnsi="Times New Roman"/>
          <w:bCs/>
          <w:iCs/>
          <w:color w:val="auto"/>
          <w:sz w:val="24"/>
          <w:szCs w:val="24"/>
          <w:lang w:val="en-US"/>
        </w:rPr>
        <w:t>R</w:t>
      </w:r>
      <w:r w:rsidRPr="00B152AC">
        <w:rPr>
          <w:rFonts w:ascii="Times New Roman" w:hAnsi="Times New Roman"/>
          <w:bCs/>
          <w:iCs/>
          <w:color w:val="auto"/>
          <w:sz w:val="24"/>
          <w:szCs w:val="24"/>
          <w:lang w:val="en-US"/>
        </w:rPr>
        <w:t xml:space="preserve">eview and </w:t>
      </w:r>
      <w:r w:rsidR="006A4795">
        <w:rPr>
          <w:rFonts w:ascii="Times New Roman" w:hAnsi="Times New Roman"/>
          <w:bCs/>
          <w:iCs/>
          <w:color w:val="auto"/>
          <w:sz w:val="24"/>
          <w:szCs w:val="24"/>
          <w:lang w:val="en-US"/>
        </w:rPr>
        <w:t>E</w:t>
      </w:r>
      <w:r w:rsidRPr="00B152AC">
        <w:rPr>
          <w:rFonts w:ascii="Times New Roman" w:hAnsi="Times New Roman"/>
          <w:bCs/>
          <w:iCs/>
          <w:color w:val="auto"/>
          <w:sz w:val="24"/>
          <w:szCs w:val="24"/>
          <w:lang w:val="en-US"/>
        </w:rPr>
        <w:t xml:space="preserve">valuation </w:t>
      </w:r>
      <w:r w:rsidR="006A4795">
        <w:rPr>
          <w:rFonts w:ascii="Times New Roman" w:hAnsi="Times New Roman"/>
          <w:bCs/>
          <w:iCs/>
          <w:color w:val="auto"/>
          <w:sz w:val="24"/>
          <w:szCs w:val="24"/>
          <w:lang w:val="en-US"/>
        </w:rPr>
        <w:t>P</w:t>
      </w:r>
      <w:r w:rsidRPr="00B152AC">
        <w:rPr>
          <w:rFonts w:ascii="Times New Roman" w:hAnsi="Times New Roman"/>
          <w:bCs/>
          <w:iCs/>
          <w:color w:val="auto"/>
          <w:sz w:val="24"/>
          <w:szCs w:val="24"/>
          <w:lang w:val="en-US"/>
        </w:rPr>
        <w:t>rocess (SREP) under article 107(3) of Directive 2013/36/EU (CRD IV).</w:t>
      </w:r>
      <w:r>
        <w:rPr>
          <w:rFonts w:ascii="Times New Roman" w:hAnsi="Times New Roman"/>
          <w:bCs/>
          <w:iCs/>
          <w:color w:val="auto"/>
          <w:sz w:val="24"/>
          <w:szCs w:val="24"/>
          <w:lang w:val="en-US"/>
        </w:rPr>
        <w:t xml:space="preserve"> </w:t>
      </w:r>
    </w:p>
    <w:p w14:paraId="3920BE18" w14:textId="5B6D01B4" w:rsidR="00AA4D21" w:rsidRDefault="006A4795" w:rsidP="00702CF4">
      <w:pPr>
        <w:pStyle w:val="Heading2"/>
        <w:spacing w:before="120"/>
        <w:jc w:val="both"/>
        <w:rPr>
          <w:rFonts w:ascii="Times New Roman" w:hAnsi="Times New Roman"/>
          <w:bCs/>
          <w:iCs/>
          <w:color w:val="auto"/>
          <w:sz w:val="24"/>
          <w:szCs w:val="24"/>
          <w:lang w:val="en-US"/>
        </w:rPr>
      </w:pPr>
      <w:r>
        <w:rPr>
          <w:rFonts w:ascii="Times New Roman" w:hAnsi="Times New Roman"/>
          <w:bCs/>
          <w:iCs/>
          <w:color w:val="auto"/>
          <w:sz w:val="24"/>
          <w:szCs w:val="24"/>
          <w:lang w:val="en-US"/>
        </w:rPr>
        <w:t>T</w:t>
      </w:r>
      <w:r w:rsidR="00AA4D21">
        <w:rPr>
          <w:rFonts w:ascii="Times New Roman" w:hAnsi="Times New Roman"/>
          <w:bCs/>
          <w:iCs/>
          <w:color w:val="auto"/>
          <w:sz w:val="24"/>
          <w:szCs w:val="24"/>
          <w:lang w:val="en-US"/>
        </w:rPr>
        <w:t>he EBF</w:t>
      </w:r>
      <w:r>
        <w:rPr>
          <w:rFonts w:ascii="Times New Roman" w:hAnsi="Times New Roman"/>
          <w:bCs/>
          <w:iCs/>
          <w:color w:val="auto"/>
          <w:sz w:val="24"/>
          <w:szCs w:val="24"/>
          <w:lang w:val="en-US"/>
        </w:rPr>
        <w:t xml:space="preserve"> considers that</w:t>
      </w:r>
      <w:r w:rsidR="00AA4D21">
        <w:rPr>
          <w:rFonts w:ascii="Times New Roman" w:hAnsi="Times New Roman"/>
          <w:bCs/>
          <w:iCs/>
          <w:color w:val="auto"/>
          <w:sz w:val="24"/>
          <w:szCs w:val="24"/>
          <w:lang w:val="en-US"/>
        </w:rPr>
        <w:t xml:space="preserve"> the SREP </w:t>
      </w:r>
      <w:r>
        <w:rPr>
          <w:rFonts w:ascii="Times New Roman" w:hAnsi="Times New Roman"/>
          <w:bCs/>
          <w:iCs/>
          <w:color w:val="auto"/>
          <w:sz w:val="24"/>
          <w:szCs w:val="24"/>
          <w:lang w:val="en-US"/>
        </w:rPr>
        <w:t>G</w:t>
      </w:r>
      <w:r w:rsidR="00AA4D21">
        <w:rPr>
          <w:rFonts w:ascii="Times New Roman" w:hAnsi="Times New Roman"/>
          <w:bCs/>
          <w:iCs/>
          <w:color w:val="auto"/>
          <w:sz w:val="24"/>
          <w:szCs w:val="24"/>
          <w:lang w:val="en-US"/>
        </w:rPr>
        <w:t xml:space="preserve">uidelines paper </w:t>
      </w:r>
      <w:r>
        <w:rPr>
          <w:rFonts w:ascii="Times New Roman" w:hAnsi="Times New Roman"/>
          <w:bCs/>
          <w:iCs/>
          <w:color w:val="auto"/>
          <w:sz w:val="24"/>
          <w:szCs w:val="24"/>
          <w:lang w:val="en-US"/>
        </w:rPr>
        <w:t>are</w:t>
      </w:r>
      <w:r w:rsidR="00AA4D21">
        <w:rPr>
          <w:rFonts w:ascii="Times New Roman" w:hAnsi="Times New Roman"/>
          <w:bCs/>
          <w:iCs/>
          <w:color w:val="auto"/>
          <w:sz w:val="24"/>
          <w:szCs w:val="24"/>
          <w:lang w:val="en-US"/>
        </w:rPr>
        <w:t xml:space="preserve"> a central part of the supervisory framework </w:t>
      </w:r>
      <w:r>
        <w:rPr>
          <w:rFonts w:ascii="Times New Roman" w:hAnsi="Times New Roman"/>
          <w:bCs/>
          <w:iCs/>
          <w:color w:val="auto"/>
          <w:sz w:val="24"/>
          <w:szCs w:val="24"/>
          <w:lang w:val="en-US"/>
        </w:rPr>
        <w:t>which</w:t>
      </w:r>
      <w:r w:rsidR="00AA4D21">
        <w:rPr>
          <w:rFonts w:ascii="Times New Roman" w:hAnsi="Times New Roman"/>
          <w:bCs/>
          <w:iCs/>
          <w:color w:val="auto"/>
          <w:sz w:val="24"/>
          <w:szCs w:val="24"/>
          <w:lang w:val="en-US"/>
        </w:rPr>
        <w:t xml:space="preserve"> will be </w:t>
      </w:r>
      <w:r>
        <w:rPr>
          <w:rFonts w:ascii="Times New Roman" w:hAnsi="Times New Roman"/>
          <w:bCs/>
          <w:iCs/>
          <w:color w:val="auto"/>
          <w:sz w:val="24"/>
          <w:szCs w:val="24"/>
          <w:lang w:val="en-US"/>
        </w:rPr>
        <w:t>instrumental in establishing a common procedure for the supervisory review and assessment of firm specific capital and liquidity requirements</w:t>
      </w:r>
      <w:r w:rsidR="00AA4D21">
        <w:rPr>
          <w:rFonts w:ascii="Times New Roman" w:hAnsi="Times New Roman"/>
          <w:bCs/>
          <w:iCs/>
          <w:color w:val="auto"/>
          <w:sz w:val="24"/>
          <w:szCs w:val="24"/>
          <w:lang w:val="en-US"/>
        </w:rPr>
        <w:t>. These guidelines also inherit the valuable work initiated by the former Co</w:t>
      </w:r>
      <w:r w:rsidR="00D35E1C">
        <w:rPr>
          <w:rFonts w:ascii="Times New Roman" w:hAnsi="Times New Roman"/>
          <w:bCs/>
          <w:iCs/>
          <w:color w:val="auto"/>
          <w:sz w:val="24"/>
          <w:szCs w:val="24"/>
          <w:lang w:val="en-US"/>
        </w:rPr>
        <w:t>mmittee</w:t>
      </w:r>
      <w:r w:rsidR="00AA4D21">
        <w:rPr>
          <w:rFonts w:ascii="Times New Roman" w:hAnsi="Times New Roman"/>
          <w:bCs/>
          <w:iCs/>
          <w:color w:val="auto"/>
          <w:sz w:val="24"/>
          <w:szCs w:val="24"/>
          <w:lang w:val="en-US"/>
        </w:rPr>
        <w:t xml:space="preserve"> of European Banking Supervisors (CEBS) </w:t>
      </w:r>
      <w:proofErr w:type="spellStart"/>
      <w:r w:rsidR="00AA4D21">
        <w:rPr>
          <w:rFonts w:ascii="Times New Roman" w:hAnsi="Times New Roman"/>
          <w:bCs/>
          <w:iCs/>
          <w:color w:val="auto"/>
          <w:sz w:val="24"/>
          <w:szCs w:val="24"/>
          <w:lang w:val="en-US"/>
        </w:rPr>
        <w:t>materialised</w:t>
      </w:r>
      <w:proofErr w:type="spellEnd"/>
      <w:r w:rsidR="00AA4D21">
        <w:rPr>
          <w:rFonts w:ascii="Times New Roman" w:hAnsi="Times New Roman"/>
          <w:bCs/>
          <w:iCs/>
          <w:color w:val="auto"/>
          <w:sz w:val="24"/>
          <w:szCs w:val="24"/>
          <w:lang w:val="en-US"/>
        </w:rPr>
        <w:t xml:space="preserve"> in the CEBS guidelines No. 39 (GL39)</w:t>
      </w:r>
      <w:r w:rsidR="00AA4D21">
        <w:rPr>
          <w:rStyle w:val="FootnoteReference"/>
          <w:rFonts w:ascii="Times New Roman" w:hAnsi="Times New Roman"/>
          <w:bCs/>
          <w:iCs/>
          <w:color w:val="auto"/>
          <w:sz w:val="24"/>
          <w:szCs w:val="24"/>
          <w:lang w:val="en-US"/>
        </w:rPr>
        <w:footnoteReference w:id="2"/>
      </w:r>
      <w:r w:rsidR="00AA4D21">
        <w:rPr>
          <w:rFonts w:ascii="Times New Roman" w:hAnsi="Times New Roman"/>
          <w:bCs/>
          <w:iCs/>
          <w:color w:val="auto"/>
          <w:sz w:val="24"/>
          <w:szCs w:val="24"/>
          <w:lang w:val="en-US"/>
        </w:rPr>
        <w:t xml:space="preserve">. We note that the draft guidelines currently proposed are intended to update and enhance the scope of the former GL39. </w:t>
      </w:r>
    </w:p>
    <w:p w14:paraId="3920BE19" w14:textId="29323D65" w:rsidR="00AA4D21" w:rsidRDefault="00AA4D21" w:rsidP="00702CF4">
      <w:pPr>
        <w:pStyle w:val="Heading2"/>
        <w:spacing w:before="120"/>
        <w:jc w:val="both"/>
        <w:rPr>
          <w:rFonts w:ascii="Times New Roman" w:hAnsi="Times New Roman"/>
          <w:bCs/>
          <w:iCs/>
          <w:color w:val="auto"/>
          <w:sz w:val="24"/>
          <w:szCs w:val="24"/>
          <w:lang w:val="en-US"/>
        </w:rPr>
      </w:pPr>
      <w:r>
        <w:rPr>
          <w:rFonts w:ascii="Times New Roman" w:hAnsi="Times New Roman"/>
          <w:bCs/>
          <w:iCs/>
          <w:color w:val="auto"/>
          <w:sz w:val="24"/>
          <w:szCs w:val="24"/>
          <w:lang w:val="en-US"/>
        </w:rPr>
        <w:t xml:space="preserve">The EBF appreciates the significant work undertaken by the EBA in the preparation of these </w:t>
      </w:r>
      <w:r w:rsidR="006A4795">
        <w:rPr>
          <w:rFonts w:ascii="Times New Roman" w:hAnsi="Times New Roman"/>
          <w:bCs/>
          <w:iCs/>
          <w:color w:val="auto"/>
          <w:sz w:val="24"/>
          <w:szCs w:val="24"/>
          <w:lang w:val="en-US"/>
        </w:rPr>
        <w:t>G</w:t>
      </w:r>
      <w:r>
        <w:rPr>
          <w:rFonts w:ascii="Times New Roman" w:hAnsi="Times New Roman"/>
          <w:bCs/>
          <w:iCs/>
          <w:color w:val="auto"/>
          <w:sz w:val="24"/>
          <w:szCs w:val="24"/>
          <w:lang w:val="en-US"/>
        </w:rPr>
        <w:t xml:space="preserve">uidelines. Nevertheless, </w:t>
      </w:r>
      <w:r w:rsidR="006A4795">
        <w:rPr>
          <w:rFonts w:ascii="Times New Roman" w:hAnsi="Times New Roman"/>
          <w:bCs/>
          <w:iCs/>
          <w:color w:val="auto"/>
          <w:sz w:val="24"/>
          <w:szCs w:val="24"/>
          <w:lang w:val="en-US"/>
        </w:rPr>
        <w:t>it is important</w:t>
      </w:r>
      <w:r>
        <w:rPr>
          <w:rFonts w:ascii="Times New Roman" w:hAnsi="Times New Roman"/>
          <w:bCs/>
          <w:iCs/>
          <w:color w:val="auto"/>
          <w:sz w:val="24"/>
          <w:szCs w:val="24"/>
          <w:lang w:val="en-US"/>
        </w:rPr>
        <w:t xml:space="preserve"> to ensure that the </w:t>
      </w:r>
      <w:proofErr w:type="spellStart"/>
      <w:r w:rsidR="006A4795">
        <w:rPr>
          <w:rFonts w:ascii="Times New Roman" w:hAnsi="Times New Roman"/>
          <w:bCs/>
          <w:iCs/>
          <w:color w:val="auto"/>
          <w:sz w:val="24"/>
          <w:szCs w:val="24"/>
          <w:lang w:val="en-US"/>
        </w:rPr>
        <w:t>finali</w:t>
      </w:r>
      <w:r w:rsidR="00C9054E">
        <w:rPr>
          <w:rFonts w:ascii="Times New Roman" w:hAnsi="Times New Roman"/>
          <w:bCs/>
          <w:iCs/>
          <w:color w:val="auto"/>
          <w:sz w:val="24"/>
          <w:szCs w:val="24"/>
          <w:lang w:val="en-US"/>
        </w:rPr>
        <w:t>s</w:t>
      </w:r>
      <w:r w:rsidR="006A4795">
        <w:rPr>
          <w:rFonts w:ascii="Times New Roman" w:hAnsi="Times New Roman"/>
          <w:bCs/>
          <w:iCs/>
          <w:color w:val="auto"/>
          <w:sz w:val="24"/>
          <w:szCs w:val="24"/>
          <w:lang w:val="en-US"/>
        </w:rPr>
        <w:t>ed</w:t>
      </w:r>
      <w:proofErr w:type="spellEnd"/>
      <w:r w:rsidR="006A4795">
        <w:rPr>
          <w:rFonts w:ascii="Times New Roman" w:hAnsi="Times New Roman"/>
          <w:bCs/>
          <w:iCs/>
          <w:color w:val="auto"/>
          <w:sz w:val="24"/>
          <w:szCs w:val="24"/>
          <w:lang w:val="en-US"/>
        </w:rPr>
        <w:t xml:space="preserve"> </w:t>
      </w:r>
      <w:r>
        <w:rPr>
          <w:rFonts w:ascii="Times New Roman" w:hAnsi="Times New Roman"/>
          <w:bCs/>
          <w:iCs/>
          <w:color w:val="auto"/>
          <w:sz w:val="24"/>
          <w:szCs w:val="24"/>
          <w:lang w:val="en-US"/>
        </w:rPr>
        <w:t xml:space="preserve">SREP </w:t>
      </w:r>
      <w:r w:rsidR="006A4795">
        <w:rPr>
          <w:rFonts w:ascii="Times New Roman" w:hAnsi="Times New Roman"/>
          <w:bCs/>
          <w:iCs/>
          <w:color w:val="auto"/>
          <w:sz w:val="24"/>
          <w:szCs w:val="24"/>
          <w:lang w:val="en-US"/>
        </w:rPr>
        <w:t xml:space="preserve">Guidelines are </w:t>
      </w:r>
      <w:r>
        <w:rPr>
          <w:rFonts w:ascii="Times New Roman" w:hAnsi="Times New Roman"/>
          <w:bCs/>
          <w:iCs/>
          <w:color w:val="auto"/>
          <w:sz w:val="24"/>
          <w:szCs w:val="24"/>
          <w:lang w:val="en-US"/>
        </w:rPr>
        <w:t xml:space="preserve">robust and practical </w:t>
      </w:r>
      <w:r w:rsidR="006A4795">
        <w:rPr>
          <w:rFonts w:ascii="Times New Roman" w:hAnsi="Times New Roman"/>
          <w:bCs/>
          <w:iCs/>
          <w:color w:val="auto"/>
          <w:sz w:val="24"/>
          <w:szCs w:val="24"/>
          <w:lang w:val="en-US"/>
        </w:rPr>
        <w:t xml:space="preserve">and can be applied </w:t>
      </w:r>
      <w:r>
        <w:rPr>
          <w:rFonts w:ascii="Times New Roman" w:hAnsi="Times New Roman"/>
          <w:bCs/>
          <w:iCs/>
          <w:color w:val="auto"/>
          <w:sz w:val="24"/>
          <w:szCs w:val="24"/>
          <w:lang w:val="en-US"/>
        </w:rPr>
        <w:t xml:space="preserve">across the EU. </w:t>
      </w:r>
      <w:r w:rsidR="006A4795" w:rsidRPr="006A4795">
        <w:rPr>
          <w:rFonts w:ascii="Times New Roman" w:hAnsi="Times New Roman"/>
          <w:bCs/>
          <w:iCs/>
          <w:color w:val="auto"/>
          <w:sz w:val="24"/>
          <w:szCs w:val="24"/>
          <w:lang w:val="en-US"/>
        </w:rPr>
        <w:t>The EBF observes that for some EU jurisdictions this will represent a step change, whilst for others it appears to be close to current practice.</w:t>
      </w:r>
      <w:r w:rsidR="006A4795">
        <w:rPr>
          <w:rFonts w:ascii="Times New Roman" w:hAnsi="Times New Roman"/>
          <w:bCs/>
          <w:iCs/>
          <w:color w:val="auto"/>
          <w:sz w:val="24"/>
          <w:szCs w:val="24"/>
          <w:lang w:val="en-US"/>
        </w:rPr>
        <w:t xml:space="preserve"> </w:t>
      </w:r>
    </w:p>
    <w:p w14:paraId="3920BE1A" w14:textId="59DA4BFD" w:rsidR="00AA4D21" w:rsidRDefault="006A4795" w:rsidP="00787A4E">
      <w:pPr>
        <w:spacing w:before="120" w:after="0"/>
        <w:jc w:val="both"/>
        <w:rPr>
          <w:rFonts w:ascii="Times New Roman" w:hAnsi="Times New Roman"/>
          <w:sz w:val="24"/>
          <w:szCs w:val="24"/>
          <w:lang w:val="en-US"/>
        </w:rPr>
      </w:pPr>
      <w:r w:rsidRPr="006A4795">
        <w:rPr>
          <w:rFonts w:ascii="Times New Roman" w:hAnsi="Times New Roman"/>
          <w:sz w:val="24"/>
          <w:szCs w:val="24"/>
          <w:lang w:val="en-US"/>
        </w:rPr>
        <w:t xml:space="preserve">Although the EBF supports the introduction of EU wide practices, there are various aspects in </w:t>
      </w:r>
      <w:proofErr w:type="gramStart"/>
      <w:r w:rsidRPr="006A4795">
        <w:rPr>
          <w:rFonts w:ascii="Times New Roman" w:hAnsi="Times New Roman"/>
          <w:sz w:val="24"/>
          <w:szCs w:val="24"/>
          <w:lang w:val="en-US"/>
        </w:rPr>
        <w:t>the</w:t>
      </w:r>
      <w:proofErr w:type="gramEnd"/>
      <w:r w:rsidRPr="006A4795">
        <w:rPr>
          <w:rFonts w:ascii="Times New Roman" w:hAnsi="Times New Roman"/>
          <w:sz w:val="24"/>
          <w:szCs w:val="24"/>
          <w:lang w:val="en-US"/>
        </w:rPr>
        <w:t xml:space="preserve"> Guidance for which the EBF and the EU Banking Industry would welcome further clarification</w:t>
      </w:r>
      <w:r>
        <w:rPr>
          <w:rFonts w:ascii="Times New Roman" w:hAnsi="Times New Roman"/>
          <w:sz w:val="24"/>
          <w:szCs w:val="24"/>
          <w:lang w:val="en-US"/>
        </w:rPr>
        <w:t>.</w:t>
      </w:r>
      <w:r w:rsidRPr="006A4795">
        <w:rPr>
          <w:rFonts w:ascii="Times New Roman" w:hAnsi="Times New Roman"/>
          <w:sz w:val="24"/>
          <w:szCs w:val="24"/>
          <w:lang w:val="en-US"/>
        </w:rPr>
        <w:t xml:space="preserve"> </w:t>
      </w:r>
    </w:p>
    <w:p w14:paraId="3920BE1B" w14:textId="4DE80599" w:rsidR="00AA4D21" w:rsidRDefault="006B60D5" w:rsidP="00787A4E">
      <w:pPr>
        <w:spacing w:before="120" w:after="0"/>
        <w:jc w:val="both"/>
        <w:rPr>
          <w:rFonts w:ascii="Times New Roman" w:hAnsi="Times New Roman"/>
          <w:sz w:val="24"/>
          <w:szCs w:val="24"/>
          <w:lang w:val="en-US"/>
        </w:rPr>
      </w:pPr>
      <w:r>
        <w:rPr>
          <w:rFonts w:ascii="Times New Roman" w:hAnsi="Times New Roman"/>
          <w:sz w:val="24"/>
          <w:szCs w:val="24"/>
          <w:lang w:val="en-US"/>
        </w:rPr>
        <w:t xml:space="preserve">We thank you for extending the deadline and for the willingness to carefully discuss relevant issues in the meeting with the EBF of 13 October 2014. We would appreciate </w:t>
      </w:r>
      <w:r w:rsidR="006A4795">
        <w:rPr>
          <w:rFonts w:ascii="Times New Roman" w:hAnsi="Times New Roman"/>
          <w:sz w:val="24"/>
          <w:szCs w:val="24"/>
          <w:lang w:val="en-US"/>
        </w:rPr>
        <w:t xml:space="preserve">your consideration of the points raised in this letter. </w:t>
      </w:r>
    </w:p>
    <w:p w14:paraId="3920BE1C" w14:textId="77777777" w:rsidR="00AA4D21" w:rsidRDefault="00AA4D21" w:rsidP="00E1586C">
      <w:pPr>
        <w:spacing w:before="120"/>
        <w:jc w:val="both"/>
        <w:rPr>
          <w:rFonts w:ascii="Times New Roman" w:hAnsi="Times New Roman"/>
          <w:sz w:val="24"/>
          <w:szCs w:val="24"/>
          <w:lang w:val="en-US"/>
        </w:rPr>
      </w:pPr>
    </w:p>
    <w:p w14:paraId="3920BE1D" w14:textId="77777777" w:rsidR="00AA4D21" w:rsidRPr="00B152AC" w:rsidRDefault="00AA4D21" w:rsidP="00E1586C">
      <w:pPr>
        <w:spacing w:before="120"/>
        <w:jc w:val="both"/>
        <w:rPr>
          <w:rFonts w:ascii="Times New Roman" w:hAnsi="Times New Roman"/>
          <w:sz w:val="24"/>
          <w:szCs w:val="24"/>
          <w:lang w:val="en-US"/>
        </w:rPr>
      </w:pPr>
    </w:p>
    <w:p w14:paraId="3920BE1E" w14:textId="77777777" w:rsidR="00AA4D21" w:rsidRPr="00B152AC" w:rsidRDefault="00E70B2D" w:rsidP="00702CF4">
      <w:pPr>
        <w:pStyle w:val="Heading2"/>
        <w:spacing w:before="120"/>
        <w:jc w:val="both"/>
        <w:rPr>
          <w:rFonts w:ascii="Times New Roman" w:hAnsi="Times New Roman"/>
          <w:b/>
          <w:sz w:val="24"/>
          <w:szCs w:val="24"/>
          <w:lang w:val="en-US"/>
        </w:rPr>
      </w:pPr>
      <w:r>
        <w:rPr>
          <w:rFonts w:ascii="Times New Roman" w:hAnsi="Times New Roman"/>
          <w:b/>
          <w:sz w:val="24"/>
          <w:szCs w:val="24"/>
          <w:lang w:val="en-US"/>
        </w:rPr>
        <w:br w:type="page"/>
      </w:r>
      <w:r w:rsidR="00AA4D21" w:rsidRPr="00B152AC">
        <w:rPr>
          <w:rFonts w:ascii="Times New Roman" w:hAnsi="Times New Roman"/>
          <w:b/>
          <w:sz w:val="24"/>
          <w:szCs w:val="24"/>
          <w:lang w:val="en-US"/>
        </w:rPr>
        <w:lastRenderedPageBreak/>
        <w:t xml:space="preserve">Key Points </w:t>
      </w:r>
    </w:p>
    <w:p w14:paraId="0DA959A4" w14:textId="10B3EE79" w:rsidR="00C14380" w:rsidRDefault="00C14380"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The SREP framework</w:t>
      </w:r>
    </w:p>
    <w:p w14:paraId="3920BE1F"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Scope of the SREP</w:t>
      </w:r>
    </w:p>
    <w:p w14:paraId="3920BE21" w14:textId="77777777" w:rsidR="00AA4D21" w:rsidRPr="00B152AC"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 xml:space="preserve">Dialogue between supervisor and bank </w:t>
      </w:r>
    </w:p>
    <w:p w14:paraId="3920BE22"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Sheer pillar 2 and not just pillar-1-plus</w:t>
      </w:r>
    </w:p>
    <w:p w14:paraId="3920BE23"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Recognition of diversification</w:t>
      </w:r>
    </w:p>
    <w:p w14:paraId="3920BE24" w14:textId="3680E3F8"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 xml:space="preserve">Evaluation of </w:t>
      </w:r>
      <w:r w:rsidR="0010695B">
        <w:rPr>
          <w:rFonts w:ascii="Times New Roman" w:hAnsi="Times New Roman"/>
          <w:sz w:val="24"/>
          <w:szCs w:val="24"/>
          <w:lang w:val="en-GB"/>
        </w:rPr>
        <w:t>B</w:t>
      </w:r>
      <w:r>
        <w:rPr>
          <w:rFonts w:ascii="Times New Roman" w:hAnsi="Times New Roman"/>
          <w:sz w:val="24"/>
          <w:szCs w:val="24"/>
          <w:lang w:val="en-GB"/>
        </w:rPr>
        <w:t xml:space="preserve">usiness </w:t>
      </w:r>
      <w:r w:rsidR="0010695B">
        <w:rPr>
          <w:rFonts w:ascii="Times New Roman" w:hAnsi="Times New Roman"/>
          <w:sz w:val="24"/>
          <w:szCs w:val="24"/>
          <w:lang w:val="en-GB"/>
        </w:rPr>
        <w:t>M</w:t>
      </w:r>
      <w:r>
        <w:rPr>
          <w:rFonts w:ascii="Times New Roman" w:hAnsi="Times New Roman"/>
          <w:sz w:val="24"/>
          <w:szCs w:val="24"/>
          <w:lang w:val="en-GB"/>
        </w:rPr>
        <w:t xml:space="preserve">odel </w:t>
      </w:r>
      <w:r w:rsidR="0010695B">
        <w:rPr>
          <w:rFonts w:ascii="Times New Roman" w:hAnsi="Times New Roman"/>
          <w:sz w:val="24"/>
          <w:szCs w:val="24"/>
          <w:lang w:val="en-GB"/>
        </w:rPr>
        <w:t xml:space="preserve">Analysis </w:t>
      </w:r>
      <w:r>
        <w:rPr>
          <w:rFonts w:ascii="Times New Roman" w:hAnsi="Times New Roman"/>
          <w:sz w:val="24"/>
          <w:szCs w:val="24"/>
          <w:lang w:val="en-GB"/>
        </w:rPr>
        <w:t xml:space="preserve">and </w:t>
      </w:r>
      <w:r w:rsidR="0010695B">
        <w:rPr>
          <w:rFonts w:ascii="Times New Roman" w:hAnsi="Times New Roman"/>
          <w:sz w:val="24"/>
          <w:szCs w:val="24"/>
          <w:lang w:val="en-GB"/>
        </w:rPr>
        <w:t>S</w:t>
      </w:r>
      <w:r>
        <w:rPr>
          <w:rFonts w:ascii="Times New Roman" w:hAnsi="Times New Roman"/>
          <w:sz w:val="24"/>
          <w:szCs w:val="24"/>
          <w:lang w:val="en-GB"/>
        </w:rPr>
        <w:t>trategy</w:t>
      </w:r>
    </w:p>
    <w:p w14:paraId="3920BE25" w14:textId="09B6723F" w:rsidR="00AA4D21" w:rsidRDefault="0010695B"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T</w:t>
      </w:r>
      <w:r w:rsidR="00AA4D21">
        <w:rPr>
          <w:rFonts w:ascii="Times New Roman" w:hAnsi="Times New Roman"/>
          <w:sz w:val="24"/>
          <w:szCs w:val="24"/>
          <w:lang w:val="en-GB"/>
        </w:rPr>
        <w:t>he meaning and interpretation of supervisory scores</w:t>
      </w:r>
    </w:p>
    <w:p w14:paraId="3920BE26" w14:textId="37498380" w:rsidR="00AA4D21" w:rsidRDefault="0010695B"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T</w:t>
      </w:r>
      <w:r w:rsidR="00AA4D21">
        <w:rPr>
          <w:rFonts w:ascii="Times New Roman" w:hAnsi="Times New Roman"/>
          <w:sz w:val="24"/>
          <w:szCs w:val="24"/>
          <w:lang w:val="en-GB"/>
        </w:rPr>
        <w:t>ransparency of evaluations?</w:t>
      </w:r>
      <w:r w:rsidR="00AA4D21" w:rsidRPr="00B152AC">
        <w:rPr>
          <w:rFonts w:ascii="Times New Roman" w:hAnsi="Times New Roman"/>
          <w:sz w:val="24"/>
          <w:szCs w:val="24"/>
          <w:lang w:val="en-GB"/>
        </w:rPr>
        <w:t xml:space="preserve"> </w:t>
      </w:r>
    </w:p>
    <w:p w14:paraId="3920BE27" w14:textId="36433E04"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 xml:space="preserve">Peer </w:t>
      </w:r>
      <w:r w:rsidR="0010695B">
        <w:rPr>
          <w:rFonts w:ascii="Times New Roman" w:hAnsi="Times New Roman"/>
          <w:sz w:val="24"/>
          <w:szCs w:val="24"/>
          <w:lang w:val="en-GB"/>
        </w:rPr>
        <w:t>A</w:t>
      </w:r>
      <w:r>
        <w:rPr>
          <w:rFonts w:ascii="Times New Roman" w:hAnsi="Times New Roman"/>
          <w:sz w:val="24"/>
          <w:szCs w:val="24"/>
          <w:lang w:val="en-GB"/>
        </w:rPr>
        <w:t xml:space="preserve">nalysis </w:t>
      </w:r>
      <w:r w:rsidR="0010695B">
        <w:rPr>
          <w:rFonts w:ascii="Times New Roman" w:hAnsi="Times New Roman"/>
          <w:sz w:val="24"/>
          <w:szCs w:val="24"/>
          <w:lang w:val="en-GB"/>
        </w:rPr>
        <w:t xml:space="preserve">Review </w:t>
      </w:r>
      <w:r>
        <w:rPr>
          <w:rFonts w:ascii="Times New Roman" w:hAnsi="Times New Roman"/>
          <w:sz w:val="24"/>
          <w:szCs w:val="24"/>
          <w:lang w:val="en-GB"/>
        </w:rPr>
        <w:t xml:space="preserve">and </w:t>
      </w:r>
      <w:r w:rsidR="0010695B">
        <w:rPr>
          <w:rFonts w:ascii="Times New Roman" w:hAnsi="Times New Roman"/>
          <w:sz w:val="24"/>
          <w:szCs w:val="24"/>
          <w:lang w:val="en-GB"/>
        </w:rPr>
        <w:t>U</w:t>
      </w:r>
      <w:r>
        <w:rPr>
          <w:rFonts w:ascii="Times New Roman" w:hAnsi="Times New Roman"/>
          <w:sz w:val="24"/>
          <w:szCs w:val="24"/>
          <w:lang w:val="en-GB"/>
        </w:rPr>
        <w:t xml:space="preserve">se of </w:t>
      </w:r>
      <w:r w:rsidR="0010695B">
        <w:rPr>
          <w:rFonts w:ascii="Times New Roman" w:hAnsi="Times New Roman"/>
          <w:sz w:val="24"/>
          <w:szCs w:val="24"/>
          <w:lang w:val="en-GB"/>
        </w:rPr>
        <w:t>B</w:t>
      </w:r>
      <w:r>
        <w:rPr>
          <w:rFonts w:ascii="Times New Roman" w:hAnsi="Times New Roman"/>
          <w:sz w:val="24"/>
          <w:szCs w:val="24"/>
          <w:lang w:val="en-GB"/>
        </w:rPr>
        <w:t>enchmarks</w:t>
      </w:r>
    </w:p>
    <w:p w14:paraId="3920BE28" w14:textId="4CAEF71E"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 xml:space="preserve">Level of </w:t>
      </w:r>
      <w:r w:rsidR="0010695B">
        <w:rPr>
          <w:rFonts w:ascii="Times New Roman" w:hAnsi="Times New Roman"/>
          <w:sz w:val="24"/>
          <w:szCs w:val="24"/>
          <w:lang w:val="en-GB"/>
        </w:rPr>
        <w:t>C</w:t>
      </w:r>
      <w:r>
        <w:rPr>
          <w:rFonts w:ascii="Times New Roman" w:hAnsi="Times New Roman"/>
          <w:sz w:val="24"/>
          <w:szCs w:val="24"/>
          <w:lang w:val="en-GB"/>
        </w:rPr>
        <w:t>onsolidation</w:t>
      </w:r>
    </w:p>
    <w:p w14:paraId="3920BE29"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Categorisation of institutions</w:t>
      </w:r>
    </w:p>
    <w:p w14:paraId="3920BE2A"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sidRPr="00CD6C58">
        <w:rPr>
          <w:rFonts w:ascii="Times New Roman" w:hAnsi="Times New Roman"/>
          <w:sz w:val="24"/>
          <w:szCs w:val="24"/>
          <w:lang w:val="en-GB"/>
        </w:rPr>
        <w:t>Composition of own funds to cover Pillar 2 capital requirements</w:t>
      </w:r>
    </w:p>
    <w:p w14:paraId="3920BE2B"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Interest rate risk in the banking book (IRRBB)</w:t>
      </w:r>
    </w:p>
    <w:p w14:paraId="3920BE2C"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SREP liquidity assessment</w:t>
      </w:r>
    </w:p>
    <w:p w14:paraId="3920BE2D" w14:textId="6F4B27AA"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 xml:space="preserve">Evaluating </w:t>
      </w:r>
      <w:r w:rsidR="00C579EB">
        <w:rPr>
          <w:rFonts w:ascii="Times New Roman" w:hAnsi="Times New Roman"/>
          <w:sz w:val="24"/>
          <w:szCs w:val="24"/>
          <w:lang w:val="en-GB"/>
        </w:rPr>
        <w:t xml:space="preserve">the </w:t>
      </w:r>
      <w:r>
        <w:rPr>
          <w:rFonts w:ascii="Times New Roman" w:hAnsi="Times New Roman"/>
          <w:sz w:val="24"/>
          <w:szCs w:val="24"/>
          <w:lang w:val="en-GB"/>
        </w:rPr>
        <w:t>complexity of IT</w:t>
      </w:r>
    </w:p>
    <w:p w14:paraId="3920BE2E" w14:textId="25869C30"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 xml:space="preserve">Consistency of </w:t>
      </w:r>
      <w:r w:rsidR="00C579EB">
        <w:rPr>
          <w:rFonts w:ascii="Times New Roman" w:hAnsi="Times New Roman"/>
          <w:sz w:val="24"/>
          <w:szCs w:val="24"/>
          <w:lang w:val="en-GB"/>
        </w:rPr>
        <w:t>O</w:t>
      </w:r>
      <w:r>
        <w:rPr>
          <w:rFonts w:ascii="Times New Roman" w:hAnsi="Times New Roman"/>
          <w:sz w:val="24"/>
          <w:szCs w:val="24"/>
          <w:lang w:val="en-GB"/>
        </w:rPr>
        <w:t xml:space="preserve">perational </w:t>
      </w:r>
      <w:r w:rsidR="00C579EB">
        <w:rPr>
          <w:rFonts w:ascii="Times New Roman" w:hAnsi="Times New Roman"/>
          <w:sz w:val="24"/>
          <w:szCs w:val="24"/>
          <w:lang w:val="en-GB"/>
        </w:rPr>
        <w:t>R</w:t>
      </w:r>
      <w:r>
        <w:rPr>
          <w:rFonts w:ascii="Times New Roman" w:hAnsi="Times New Roman"/>
          <w:sz w:val="24"/>
          <w:szCs w:val="24"/>
          <w:lang w:val="en-GB"/>
        </w:rPr>
        <w:t>isk</w:t>
      </w:r>
      <w:r w:rsidR="00C579EB">
        <w:rPr>
          <w:rFonts w:ascii="Times New Roman" w:hAnsi="Times New Roman"/>
          <w:sz w:val="24"/>
          <w:szCs w:val="24"/>
          <w:lang w:val="en-GB"/>
        </w:rPr>
        <w:t xml:space="preserve"> definitions</w:t>
      </w:r>
    </w:p>
    <w:p w14:paraId="3920BE2F" w14:textId="77777777" w:rsidR="00AA4D21" w:rsidRDefault="00AA4D21"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Assessment of risk concentration</w:t>
      </w:r>
    </w:p>
    <w:p w14:paraId="16E2F359" w14:textId="00CF68B9" w:rsidR="00D35E1C" w:rsidRPr="00B152AC" w:rsidRDefault="00D35E1C" w:rsidP="00787A4E">
      <w:pPr>
        <w:pStyle w:val="ListParagraph"/>
        <w:numPr>
          <w:ilvl w:val="0"/>
          <w:numId w:val="25"/>
        </w:numPr>
        <w:spacing w:before="120"/>
        <w:contextualSpacing w:val="0"/>
        <w:jc w:val="both"/>
        <w:rPr>
          <w:rFonts w:ascii="Times New Roman" w:hAnsi="Times New Roman"/>
          <w:sz w:val="24"/>
          <w:szCs w:val="24"/>
          <w:lang w:val="en-GB"/>
        </w:rPr>
      </w:pPr>
      <w:r>
        <w:rPr>
          <w:rFonts w:ascii="Times New Roman" w:hAnsi="Times New Roman"/>
          <w:sz w:val="24"/>
          <w:szCs w:val="24"/>
          <w:lang w:val="en-GB"/>
        </w:rPr>
        <w:t>Order of the Pillar 2 capital requirement</w:t>
      </w:r>
    </w:p>
    <w:p w14:paraId="3920BE30" w14:textId="77777777" w:rsidR="00AA4D21" w:rsidRPr="00B152AC" w:rsidRDefault="00AA4D21" w:rsidP="00702CF4">
      <w:pPr>
        <w:pStyle w:val="Heading2"/>
        <w:spacing w:before="120"/>
        <w:jc w:val="both"/>
        <w:rPr>
          <w:rFonts w:ascii="Times New Roman" w:hAnsi="Times New Roman"/>
          <w:sz w:val="24"/>
          <w:szCs w:val="24"/>
          <w:lang w:val="en-US"/>
        </w:rPr>
      </w:pPr>
    </w:p>
    <w:p w14:paraId="3920BE31" w14:textId="77777777" w:rsidR="00AA4D21" w:rsidRPr="00B152AC" w:rsidRDefault="00E70B2D" w:rsidP="00702CF4">
      <w:pPr>
        <w:pStyle w:val="Heading2"/>
        <w:spacing w:before="120"/>
        <w:jc w:val="both"/>
        <w:rPr>
          <w:rFonts w:ascii="Times New Roman" w:hAnsi="Times New Roman"/>
          <w:b/>
          <w:sz w:val="24"/>
          <w:szCs w:val="24"/>
          <w:lang w:val="en-US"/>
        </w:rPr>
      </w:pPr>
      <w:r>
        <w:rPr>
          <w:rFonts w:ascii="Times New Roman" w:hAnsi="Times New Roman"/>
          <w:b/>
          <w:sz w:val="24"/>
          <w:szCs w:val="24"/>
          <w:lang w:val="en-US"/>
        </w:rPr>
        <w:br w:type="page"/>
      </w:r>
      <w:r w:rsidR="00AA4D21">
        <w:rPr>
          <w:rFonts w:ascii="Times New Roman" w:hAnsi="Times New Roman"/>
          <w:b/>
          <w:sz w:val="24"/>
          <w:szCs w:val="24"/>
          <w:lang w:val="en-US"/>
        </w:rPr>
        <w:lastRenderedPageBreak/>
        <w:t xml:space="preserve">Rationale of EBF key points </w:t>
      </w:r>
      <w:r w:rsidR="00AA4D21" w:rsidRPr="00B152AC">
        <w:rPr>
          <w:rFonts w:ascii="Times New Roman" w:hAnsi="Times New Roman"/>
          <w:b/>
          <w:sz w:val="24"/>
          <w:szCs w:val="24"/>
          <w:lang w:val="en-US"/>
        </w:rPr>
        <w:t xml:space="preserve"> </w:t>
      </w:r>
    </w:p>
    <w:p w14:paraId="585843CF" w14:textId="1E5067C3" w:rsidR="00C14380" w:rsidRDefault="00C14380" w:rsidP="00C14380">
      <w:pPr>
        <w:numPr>
          <w:ilvl w:val="0"/>
          <w:numId w:val="26"/>
        </w:numPr>
        <w:spacing w:before="240"/>
        <w:jc w:val="both"/>
        <w:rPr>
          <w:rFonts w:ascii="Times New Roman" w:hAnsi="Times New Roman"/>
          <w:b/>
          <w:sz w:val="24"/>
          <w:szCs w:val="24"/>
          <w:u w:val="single"/>
          <w:lang w:val="en-US"/>
        </w:rPr>
      </w:pPr>
      <w:r>
        <w:rPr>
          <w:rFonts w:ascii="Times New Roman" w:hAnsi="Times New Roman"/>
          <w:b/>
          <w:sz w:val="24"/>
          <w:szCs w:val="24"/>
          <w:u w:val="single"/>
          <w:lang w:val="en-US"/>
        </w:rPr>
        <w:t>The SREP framework</w:t>
      </w:r>
    </w:p>
    <w:p w14:paraId="5EF9B384" w14:textId="7C3431A2" w:rsidR="00C14380" w:rsidRDefault="00C14380" w:rsidP="00C14380">
      <w:pPr>
        <w:tabs>
          <w:tab w:val="left" w:pos="0"/>
        </w:tabs>
        <w:spacing w:before="120"/>
        <w:jc w:val="both"/>
        <w:rPr>
          <w:rFonts w:ascii="Times New Roman" w:hAnsi="Times New Roman"/>
          <w:sz w:val="24"/>
          <w:szCs w:val="24"/>
          <w:lang w:val="en-US"/>
        </w:rPr>
      </w:pPr>
      <w:r>
        <w:rPr>
          <w:rFonts w:ascii="Times New Roman" w:hAnsi="Times New Roman"/>
          <w:sz w:val="24"/>
          <w:szCs w:val="24"/>
          <w:lang w:val="en-US"/>
        </w:rPr>
        <w:t xml:space="preserve">The EBF and the EU banking sector support the aim of the Guidelines to converge supervisory practices across the EU and introduce a common approach. We consider that this is particularly important as there are a wide variety of practices in particular to assessing Pillar 2.  Our view is that a </w:t>
      </w:r>
      <w:proofErr w:type="spellStart"/>
      <w:r>
        <w:rPr>
          <w:rFonts w:ascii="Times New Roman" w:hAnsi="Times New Roman"/>
          <w:sz w:val="24"/>
          <w:szCs w:val="24"/>
          <w:lang w:val="en-US"/>
        </w:rPr>
        <w:t>harmonised</w:t>
      </w:r>
      <w:proofErr w:type="spellEnd"/>
      <w:r>
        <w:rPr>
          <w:rFonts w:ascii="Times New Roman" w:hAnsi="Times New Roman"/>
          <w:sz w:val="24"/>
          <w:szCs w:val="24"/>
          <w:lang w:val="en-US"/>
        </w:rPr>
        <w:t xml:space="preserve"> approach will help promote a level playing field within the EU. In addition we consider that it is particularly important to ensure an appropriate degree of </w:t>
      </w:r>
      <w:proofErr w:type="spellStart"/>
      <w:r>
        <w:rPr>
          <w:rFonts w:ascii="Times New Roman" w:hAnsi="Times New Roman"/>
          <w:sz w:val="24"/>
          <w:szCs w:val="24"/>
          <w:lang w:val="en-US"/>
        </w:rPr>
        <w:t>harmonisation</w:t>
      </w:r>
      <w:proofErr w:type="spellEnd"/>
      <w:r>
        <w:rPr>
          <w:rFonts w:ascii="Times New Roman" w:hAnsi="Times New Roman"/>
          <w:sz w:val="24"/>
          <w:szCs w:val="24"/>
          <w:lang w:val="en-US"/>
        </w:rPr>
        <w:t xml:space="preserve"> in disclosure requirements otherwise the comparative data will be misleading and may result in unintended consequences i.e. one bank being judged at having more weaknesses than another when the differences are actually framework differences rather than actual differences. </w:t>
      </w:r>
    </w:p>
    <w:p w14:paraId="2C68C258" w14:textId="77777777" w:rsidR="00C14380" w:rsidRDefault="00C14380" w:rsidP="00C14380">
      <w:pPr>
        <w:tabs>
          <w:tab w:val="left" w:pos="0"/>
        </w:tabs>
        <w:spacing w:before="120"/>
        <w:jc w:val="both"/>
        <w:rPr>
          <w:rFonts w:ascii="Times New Roman" w:hAnsi="Times New Roman"/>
          <w:sz w:val="24"/>
          <w:szCs w:val="24"/>
          <w:lang w:val="en-US"/>
        </w:rPr>
      </w:pPr>
      <w:r>
        <w:rPr>
          <w:rFonts w:ascii="Times New Roman" w:hAnsi="Times New Roman"/>
          <w:sz w:val="24"/>
          <w:szCs w:val="24"/>
          <w:lang w:val="en-US"/>
        </w:rPr>
        <w:t xml:space="preserve">The EBF agrees with the EBA’s approach which it set out in our meeting on Monday 13 October 2014 which we understand has involved taking all the practices from across the EU, selecting the best practices and amalgamating into Guidance.  </w:t>
      </w:r>
    </w:p>
    <w:p w14:paraId="40BD59D5" w14:textId="7D9912E1" w:rsidR="00C14380" w:rsidRDefault="00C14380" w:rsidP="002A05C2">
      <w:pPr>
        <w:spacing w:before="240"/>
        <w:jc w:val="both"/>
        <w:rPr>
          <w:rFonts w:ascii="Times New Roman" w:hAnsi="Times New Roman"/>
          <w:sz w:val="24"/>
          <w:szCs w:val="24"/>
          <w:lang w:val="en-US"/>
        </w:rPr>
      </w:pPr>
      <w:r>
        <w:rPr>
          <w:rFonts w:ascii="Times New Roman" w:hAnsi="Times New Roman"/>
          <w:sz w:val="24"/>
          <w:szCs w:val="24"/>
          <w:lang w:val="en-US"/>
        </w:rPr>
        <w:t xml:space="preserve">Whilst we fully support the aim we consider that as the EBA requirements are Guidance not Rules, the EBA will need to work with national regulators and conduct follow up work to ensure that the Guidelines are being implemented equally and in the same manner across the EU. In addition, we are keen that this does not result in a standard ‘tick box’ approach and the highly interactive and </w:t>
      </w:r>
      <w:r w:rsidR="00AD49B2">
        <w:rPr>
          <w:rFonts w:ascii="Times New Roman" w:hAnsi="Times New Roman"/>
          <w:sz w:val="24"/>
          <w:szCs w:val="24"/>
          <w:lang w:val="en-US"/>
        </w:rPr>
        <w:t>qualitative</w:t>
      </w:r>
      <w:r>
        <w:rPr>
          <w:rFonts w:ascii="Times New Roman" w:hAnsi="Times New Roman"/>
          <w:sz w:val="24"/>
          <w:szCs w:val="24"/>
          <w:lang w:val="en-US"/>
        </w:rPr>
        <w:t xml:space="preserve"> approach operated in some jurisdictions is maintained. </w:t>
      </w:r>
      <w:r w:rsidRPr="00620F70">
        <w:rPr>
          <w:rFonts w:ascii="Times New Roman" w:hAnsi="Times New Roman"/>
          <w:sz w:val="24"/>
          <w:szCs w:val="24"/>
          <w:lang w:val="en-US"/>
        </w:rPr>
        <w:t>Given the diverse nature of Europe’s banking and financial industry,</w:t>
      </w:r>
      <w:r>
        <w:rPr>
          <w:rFonts w:ascii="Times New Roman" w:hAnsi="Times New Roman"/>
          <w:sz w:val="24"/>
          <w:szCs w:val="24"/>
          <w:lang w:val="en-US"/>
        </w:rPr>
        <w:t xml:space="preserve"> we consider that </w:t>
      </w:r>
      <w:r w:rsidRPr="00620F70">
        <w:rPr>
          <w:rFonts w:ascii="Times New Roman" w:hAnsi="Times New Roman"/>
          <w:sz w:val="24"/>
          <w:szCs w:val="24"/>
          <w:lang w:val="en-US"/>
        </w:rPr>
        <w:t>proportionate</w:t>
      </w:r>
      <w:r>
        <w:rPr>
          <w:rFonts w:ascii="Times New Roman" w:hAnsi="Times New Roman"/>
          <w:sz w:val="24"/>
          <w:szCs w:val="24"/>
          <w:lang w:val="en-US"/>
        </w:rPr>
        <w:t xml:space="preserve"> judgment</w:t>
      </w:r>
      <w:r w:rsidRPr="00620F70">
        <w:rPr>
          <w:rFonts w:ascii="Times New Roman" w:hAnsi="Times New Roman"/>
          <w:sz w:val="24"/>
          <w:szCs w:val="24"/>
          <w:lang w:val="en-US"/>
        </w:rPr>
        <w:t xml:space="preserve">-based SREP practices are essential </w:t>
      </w:r>
      <w:r>
        <w:rPr>
          <w:rFonts w:ascii="Times New Roman" w:hAnsi="Times New Roman"/>
          <w:sz w:val="24"/>
          <w:szCs w:val="24"/>
          <w:lang w:val="en-US"/>
        </w:rPr>
        <w:t xml:space="preserve">to ensure that risk is effectively addressed under the SREP framework. </w:t>
      </w:r>
    </w:p>
    <w:p w14:paraId="72CDE262" w14:textId="77777777" w:rsidR="00C14380" w:rsidRDefault="00C14380" w:rsidP="002A05C2">
      <w:pPr>
        <w:spacing w:before="240"/>
        <w:jc w:val="both"/>
        <w:rPr>
          <w:rFonts w:ascii="Times New Roman" w:hAnsi="Times New Roman"/>
          <w:b/>
          <w:sz w:val="24"/>
          <w:szCs w:val="24"/>
          <w:u w:val="single"/>
          <w:lang w:val="en-US"/>
        </w:rPr>
      </w:pPr>
    </w:p>
    <w:p w14:paraId="3920BE32" w14:textId="77777777" w:rsidR="00AA4D21" w:rsidRPr="00702CF4" w:rsidRDefault="00AA4D21" w:rsidP="00787A4E">
      <w:pPr>
        <w:numPr>
          <w:ilvl w:val="0"/>
          <w:numId w:val="26"/>
        </w:numPr>
        <w:spacing w:before="240"/>
        <w:jc w:val="both"/>
        <w:rPr>
          <w:rFonts w:ascii="Times New Roman" w:hAnsi="Times New Roman"/>
          <w:b/>
          <w:sz w:val="24"/>
          <w:szCs w:val="24"/>
          <w:u w:val="single"/>
          <w:lang w:val="en-US"/>
        </w:rPr>
      </w:pPr>
      <w:r w:rsidRPr="00702CF4">
        <w:rPr>
          <w:rFonts w:ascii="Times New Roman" w:hAnsi="Times New Roman"/>
          <w:b/>
          <w:sz w:val="24"/>
          <w:szCs w:val="24"/>
          <w:u w:val="single"/>
          <w:lang w:val="en-US"/>
        </w:rPr>
        <w:t>Scope of the SREP</w:t>
      </w:r>
    </w:p>
    <w:p w14:paraId="3920BE33" w14:textId="5408B541"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We note that the proposed guidelines widen</w:t>
      </w:r>
      <w:r w:rsidR="00270B65">
        <w:rPr>
          <w:rFonts w:ascii="Times New Roman" w:hAnsi="Times New Roman"/>
          <w:sz w:val="24"/>
          <w:szCs w:val="24"/>
          <w:lang w:val="en-US"/>
        </w:rPr>
        <w:t>s</w:t>
      </w:r>
      <w:r>
        <w:rPr>
          <w:rFonts w:ascii="Times New Roman" w:hAnsi="Times New Roman"/>
          <w:sz w:val="24"/>
          <w:szCs w:val="24"/>
          <w:lang w:val="en-US"/>
        </w:rPr>
        <w:t xml:space="preserve"> the scope of the SREP to cover relevant matters related to the supervision of banks. The EBF would like to express its opinion about the main areas newly covered in the SREP: </w:t>
      </w:r>
    </w:p>
    <w:p w14:paraId="3920BE34" w14:textId="38229C3A" w:rsidR="00AA4D21" w:rsidRDefault="00270B65" w:rsidP="00702CF4">
      <w:pPr>
        <w:numPr>
          <w:ilvl w:val="0"/>
          <w:numId w:val="9"/>
        </w:numPr>
        <w:spacing w:before="120"/>
        <w:jc w:val="both"/>
        <w:rPr>
          <w:rFonts w:ascii="Times New Roman" w:hAnsi="Times New Roman"/>
          <w:sz w:val="24"/>
          <w:szCs w:val="24"/>
          <w:lang w:val="en-US"/>
        </w:rPr>
      </w:pPr>
      <w:r>
        <w:rPr>
          <w:rFonts w:ascii="Times New Roman" w:hAnsi="Times New Roman"/>
          <w:sz w:val="24"/>
          <w:szCs w:val="24"/>
          <w:lang w:val="en-US"/>
        </w:rPr>
        <w:t xml:space="preserve">Incorporation of Liquidity and Funding </w:t>
      </w:r>
      <w:r w:rsidR="00590E80">
        <w:rPr>
          <w:rFonts w:ascii="Times New Roman" w:hAnsi="Times New Roman"/>
          <w:sz w:val="24"/>
          <w:szCs w:val="24"/>
          <w:lang w:val="en-US"/>
        </w:rPr>
        <w:t>R</w:t>
      </w:r>
      <w:r>
        <w:rPr>
          <w:rFonts w:ascii="Times New Roman" w:hAnsi="Times New Roman"/>
          <w:sz w:val="24"/>
          <w:szCs w:val="24"/>
          <w:lang w:val="en-US"/>
        </w:rPr>
        <w:t>isks: We consider that t</w:t>
      </w:r>
      <w:r w:rsidR="00AA4D21">
        <w:rPr>
          <w:rFonts w:ascii="Times New Roman" w:hAnsi="Times New Roman"/>
          <w:sz w:val="24"/>
          <w:szCs w:val="24"/>
          <w:lang w:val="en-US"/>
        </w:rPr>
        <w:t xml:space="preserve">he methodical assessment of </w:t>
      </w:r>
      <w:r w:rsidR="00AA4D21" w:rsidRPr="002A05C2">
        <w:rPr>
          <w:rFonts w:ascii="Times New Roman" w:hAnsi="Times New Roman"/>
          <w:sz w:val="24"/>
          <w:szCs w:val="24"/>
          <w:lang w:val="en-US"/>
        </w:rPr>
        <w:t>risks to liquidity and funding</w:t>
      </w:r>
      <w:r w:rsidR="00AA4D21">
        <w:rPr>
          <w:rFonts w:ascii="Times New Roman" w:hAnsi="Times New Roman"/>
          <w:sz w:val="24"/>
          <w:szCs w:val="24"/>
          <w:lang w:val="en-US"/>
        </w:rPr>
        <w:t xml:space="preserve"> is an important enhancement that should bring further consistency across supervisors supported by a common framework for evaluation. </w:t>
      </w:r>
      <w:r>
        <w:rPr>
          <w:rFonts w:ascii="Times New Roman" w:hAnsi="Times New Roman"/>
          <w:sz w:val="24"/>
          <w:szCs w:val="24"/>
          <w:lang w:val="en-US"/>
        </w:rPr>
        <w:t xml:space="preserve">However, we believe that the EBA should consider that the Internal Liquidity Adequacy Assessment Process (ILAAP) is still a nascent area compared to the </w:t>
      </w:r>
      <w:r w:rsidR="00590E80">
        <w:rPr>
          <w:rFonts w:ascii="Times New Roman" w:hAnsi="Times New Roman"/>
          <w:sz w:val="24"/>
          <w:szCs w:val="24"/>
          <w:lang w:val="en-US"/>
        </w:rPr>
        <w:t xml:space="preserve">longer established Internal Capital Adequacy Assessment Process (ICAAP). There should be a call for caution to ensure consistency of approach and outreach across the EU. </w:t>
      </w:r>
    </w:p>
    <w:p w14:paraId="3920BE35" w14:textId="17C0A66C" w:rsidR="00AA4D21" w:rsidRDefault="00590E80" w:rsidP="00702CF4">
      <w:pPr>
        <w:numPr>
          <w:ilvl w:val="0"/>
          <w:numId w:val="9"/>
        </w:numPr>
        <w:spacing w:before="120"/>
        <w:jc w:val="both"/>
        <w:rPr>
          <w:rFonts w:ascii="Times New Roman" w:hAnsi="Times New Roman"/>
          <w:sz w:val="24"/>
          <w:szCs w:val="24"/>
          <w:lang w:val="en-US"/>
        </w:rPr>
      </w:pPr>
      <w:r>
        <w:rPr>
          <w:rFonts w:ascii="Times New Roman" w:hAnsi="Times New Roman"/>
          <w:sz w:val="24"/>
          <w:szCs w:val="24"/>
          <w:u w:val="single"/>
          <w:lang w:val="en-US"/>
        </w:rPr>
        <w:t>B</w:t>
      </w:r>
      <w:r w:rsidR="00AA4D21" w:rsidRPr="00DE1992">
        <w:rPr>
          <w:rFonts w:ascii="Times New Roman" w:hAnsi="Times New Roman"/>
          <w:sz w:val="24"/>
          <w:szCs w:val="24"/>
          <w:u w:val="single"/>
          <w:lang w:val="en-US"/>
        </w:rPr>
        <w:t xml:space="preserve">usiness </w:t>
      </w:r>
      <w:r>
        <w:rPr>
          <w:rFonts w:ascii="Times New Roman" w:hAnsi="Times New Roman"/>
          <w:sz w:val="24"/>
          <w:szCs w:val="24"/>
          <w:u w:val="single"/>
          <w:lang w:val="en-US"/>
        </w:rPr>
        <w:t>M</w:t>
      </w:r>
      <w:r w:rsidR="00AA4D21" w:rsidRPr="00DE1992">
        <w:rPr>
          <w:rFonts w:ascii="Times New Roman" w:hAnsi="Times New Roman"/>
          <w:sz w:val="24"/>
          <w:szCs w:val="24"/>
          <w:u w:val="single"/>
          <w:lang w:val="en-US"/>
        </w:rPr>
        <w:t xml:space="preserve">odel and </w:t>
      </w:r>
      <w:r>
        <w:rPr>
          <w:rFonts w:ascii="Times New Roman" w:hAnsi="Times New Roman"/>
          <w:sz w:val="24"/>
          <w:szCs w:val="24"/>
          <w:u w:val="single"/>
          <w:lang w:val="en-US"/>
        </w:rPr>
        <w:t>S</w:t>
      </w:r>
      <w:r w:rsidR="00AA4D21" w:rsidRPr="00DE1992">
        <w:rPr>
          <w:rFonts w:ascii="Times New Roman" w:hAnsi="Times New Roman"/>
          <w:sz w:val="24"/>
          <w:szCs w:val="24"/>
          <w:u w:val="single"/>
          <w:lang w:val="en-US"/>
        </w:rPr>
        <w:t>trategy</w:t>
      </w:r>
      <w:r w:rsidR="00AA4D21">
        <w:rPr>
          <w:rFonts w:ascii="Times New Roman" w:hAnsi="Times New Roman"/>
          <w:sz w:val="24"/>
          <w:szCs w:val="24"/>
          <w:lang w:val="en-US"/>
        </w:rPr>
        <w:t xml:space="preserve"> </w:t>
      </w:r>
      <w:r>
        <w:rPr>
          <w:rFonts w:ascii="Times New Roman" w:hAnsi="Times New Roman"/>
          <w:sz w:val="24"/>
          <w:szCs w:val="24"/>
          <w:lang w:val="en-US"/>
        </w:rPr>
        <w:t xml:space="preserve">Evaluation: Whilst the EBF and the banking industry considers that the supervisory evaluation a bank’s business model and strategy is an important safeguard to guard against business models developing in a direction whereby they are vulnerable to collapse and pose ramifications for financial stability, we are </w:t>
      </w:r>
      <w:r w:rsidR="00AA4D21">
        <w:rPr>
          <w:rFonts w:ascii="Times New Roman" w:hAnsi="Times New Roman"/>
          <w:sz w:val="24"/>
          <w:szCs w:val="24"/>
          <w:lang w:val="en-US"/>
        </w:rPr>
        <w:t xml:space="preserve">concerned about the direction taken in the draft guidelines. </w:t>
      </w:r>
      <w:r>
        <w:rPr>
          <w:rFonts w:ascii="Times New Roman" w:hAnsi="Times New Roman"/>
          <w:sz w:val="24"/>
          <w:szCs w:val="24"/>
          <w:lang w:val="en-US"/>
        </w:rPr>
        <w:t xml:space="preserve">The EBF and the banking sector considers that Business Model Review and Strategy should not be evolved into a process whereby supervisors effectively make decisions regarding the likelihood of success of a business strategy or unnecessarily veto business decisions resulting in a loss of competitive </w:t>
      </w:r>
      <w:r>
        <w:rPr>
          <w:rFonts w:ascii="Times New Roman" w:hAnsi="Times New Roman"/>
          <w:sz w:val="24"/>
          <w:szCs w:val="24"/>
          <w:lang w:val="en-US"/>
        </w:rPr>
        <w:lastRenderedPageBreak/>
        <w:t xml:space="preserve">opportunity. </w:t>
      </w:r>
      <w:r w:rsidR="00AA4D21">
        <w:rPr>
          <w:rFonts w:ascii="Times New Roman" w:hAnsi="Times New Roman"/>
          <w:sz w:val="24"/>
          <w:szCs w:val="24"/>
          <w:lang w:val="en-US"/>
        </w:rPr>
        <w:t xml:space="preserve">The EBF is of the opinion that this area should be only informational, just an input on the background against which the prudential compliance of the bank should be assessed. It should aim at putting the other SREP elements in context and at identifying risks and vulnerabilities that should be subject to the supervisory dialogue. The proposed assessment including evaluation of the business model and strategy of banks being expressed in a score seems to go beyond the remit of supervisory compliance. In short, the EBF advocates the removal of the score to business model and strategy. Supervisors can assess this factor without scoring it. Such analysis informs the supervisory score of other factors wherein the business model and strategy are useful.  </w:t>
      </w:r>
    </w:p>
    <w:p w14:paraId="3920BE36" w14:textId="473DA2B8" w:rsidR="00AA4D21" w:rsidRDefault="00590E80" w:rsidP="00702CF4">
      <w:pPr>
        <w:numPr>
          <w:ilvl w:val="0"/>
          <w:numId w:val="10"/>
        </w:numPr>
        <w:spacing w:before="120"/>
        <w:jc w:val="both"/>
        <w:rPr>
          <w:rFonts w:ascii="Times New Roman" w:hAnsi="Times New Roman"/>
          <w:sz w:val="24"/>
          <w:szCs w:val="24"/>
          <w:lang w:val="en-US"/>
        </w:rPr>
      </w:pPr>
      <w:r>
        <w:rPr>
          <w:rFonts w:ascii="Times New Roman" w:hAnsi="Times New Roman"/>
          <w:sz w:val="24"/>
          <w:szCs w:val="24"/>
          <w:lang w:val="en-US"/>
        </w:rPr>
        <w:t xml:space="preserve">Stress Testing: </w:t>
      </w:r>
      <w:r w:rsidR="00AA4D21">
        <w:rPr>
          <w:rFonts w:ascii="Times New Roman" w:hAnsi="Times New Roman"/>
          <w:sz w:val="24"/>
          <w:szCs w:val="24"/>
          <w:lang w:val="en-US"/>
        </w:rPr>
        <w:t xml:space="preserve">We understand that the introduction of regular </w:t>
      </w:r>
      <w:r w:rsidR="00AA4D21" w:rsidRPr="002A05C2">
        <w:rPr>
          <w:rFonts w:ascii="Times New Roman" w:hAnsi="Times New Roman"/>
          <w:sz w:val="24"/>
          <w:szCs w:val="24"/>
          <w:lang w:val="en-US"/>
        </w:rPr>
        <w:t>supervisory stress testing</w:t>
      </w:r>
      <w:r w:rsidR="00AA4D21">
        <w:rPr>
          <w:rFonts w:ascii="Times New Roman" w:hAnsi="Times New Roman"/>
          <w:sz w:val="24"/>
          <w:szCs w:val="24"/>
          <w:lang w:val="en-US"/>
        </w:rPr>
        <w:t xml:space="preserve"> in the SREP </w:t>
      </w:r>
      <w:r>
        <w:rPr>
          <w:rFonts w:ascii="Times New Roman" w:hAnsi="Times New Roman"/>
          <w:sz w:val="24"/>
          <w:szCs w:val="24"/>
          <w:lang w:val="en-US"/>
        </w:rPr>
        <w:t>incorporates</w:t>
      </w:r>
      <w:r w:rsidR="00AA4D21">
        <w:rPr>
          <w:rFonts w:ascii="Times New Roman" w:hAnsi="Times New Roman"/>
          <w:sz w:val="24"/>
          <w:szCs w:val="24"/>
          <w:lang w:val="en-US"/>
        </w:rPr>
        <w:t xml:space="preserve"> the use of a forward-looking approach in the supervisory evaluation. Our concern is about the role of the bank’s internal stress testing in the new setup. A bespoke stress testing like the internal one can contemplate future events of particular relevance for the bank and tone down others that would have less of an incidence. </w:t>
      </w:r>
      <w:proofErr w:type="spellStart"/>
      <w:r w:rsidR="00AA4D21">
        <w:rPr>
          <w:rFonts w:ascii="Times New Roman" w:hAnsi="Times New Roman"/>
          <w:sz w:val="24"/>
          <w:szCs w:val="24"/>
          <w:lang w:val="en-US"/>
        </w:rPr>
        <w:t>Standardisation</w:t>
      </w:r>
      <w:proofErr w:type="spellEnd"/>
      <w:r w:rsidR="00AA4D21">
        <w:rPr>
          <w:rFonts w:ascii="Times New Roman" w:hAnsi="Times New Roman"/>
          <w:sz w:val="24"/>
          <w:szCs w:val="24"/>
          <w:lang w:val="en-US"/>
        </w:rPr>
        <w:t xml:space="preserve"> may undermine the </w:t>
      </w:r>
      <w:r>
        <w:rPr>
          <w:rFonts w:ascii="Times New Roman" w:hAnsi="Times New Roman"/>
          <w:sz w:val="24"/>
          <w:szCs w:val="24"/>
          <w:lang w:val="en-US"/>
        </w:rPr>
        <w:t xml:space="preserve">individual </w:t>
      </w:r>
      <w:r w:rsidR="00AA4D21">
        <w:rPr>
          <w:rFonts w:ascii="Times New Roman" w:hAnsi="Times New Roman"/>
          <w:sz w:val="24"/>
          <w:szCs w:val="24"/>
          <w:lang w:val="en-US"/>
        </w:rPr>
        <w:t xml:space="preserve">significance for different banks. </w:t>
      </w:r>
    </w:p>
    <w:p w14:paraId="3920BE37" w14:textId="22DB2861" w:rsidR="00AA4D21" w:rsidRDefault="00590E80" w:rsidP="00702CF4">
      <w:pPr>
        <w:numPr>
          <w:ilvl w:val="0"/>
          <w:numId w:val="10"/>
        </w:numPr>
        <w:spacing w:before="120"/>
        <w:jc w:val="both"/>
        <w:rPr>
          <w:rFonts w:ascii="Times New Roman" w:hAnsi="Times New Roman"/>
          <w:sz w:val="24"/>
          <w:szCs w:val="24"/>
          <w:lang w:val="en-US"/>
        </w:rPr>
      </w:pPr>
      <w:r>
        <w:rPr>
          <w:rFonts w:ascii="Times New Roman" w:hAnsi="Times New Roman"/>
          <w:sz w:val="24"/>
          <w:szCs w:val="24"/>
          <w:lang w:val="en-US"/>
        </w:rPr>
        <w:t xml:space="preserve">Reflecting Macro-Prudential Requirements: </w:t>
      </w:r>
      <w:r w:rsidR="00AA4D21">
        <w:rPr>
          <w:rFonts w:ascii="Times New Roman" w:hAnsi="Times New Roman"/>
          <w:sz w:val="24"/>
          <w:szCs w:val="24"/>
          <w:lang w:val="en-US"/>
        </w:rPr>
        <w:t xml:space="preserve">As </w:t>
      </w:r>
      <w:r w:rsidR="00C9054E">
        <w:rPr>
          <w:rFonts w:ascii="Times New Roman" w:hAnsi="Times New Roman"/>
          <w:sz w:val="24"/>
          <w:szCs w:val="24"/>
          <w:lang w:val="en-US"/>
        </w:rPr>
        <w:t>required by CRR</w:t>
      </w:r>
      <w:r w:rsidR="00C9054E">
        <w:rPr>
          <w:rStyle w:val="FootnoteReference"/>
          <w:rFonts w:ascii="Times New Roman" w:hAnsi="Times New Roman"/>
          <w:sz w:val="24"/>
          <w:szCs w:val="24"/>
          <w:lang w:val="en-US"/>
        </w:rPr>
        <w:footnoteReference w:id="3"/>
      </w:r>
      <w:r w:rsidR="00C9054E">
        <w:rPr>
          <w:rFonts w:ascii="Times New Roman" w:hAnsi="Times New Roman"/>
          <w:sz w:val="24"/>
          <w:szCs w:val="24"/>
          <w:lang w:val="en-US"/>
        </w:rPr>
        <w:t xml:space="preserve"> and CRD IV</w:t>
      </w:r>
      <w:r w:rsidR="00C9054E">
        <w:rPr>
          <w:rStyle w:val="FootnoteReference"/>
          <w:rFonts w:ascii="Times New Roman" w:hAnsi="Times New Roman"/>
          <w:sz w:val="24"/>
          <w:szCs w:val="24"/>
          <w:lang w:val="en-US"/>
        </w:rPr>
        <w:footnoteReference w:id="4"/>
      </w:r>
      <w:r w:rsidR="00AA4D21">
        <w:rPr>
          <w:rFonts w:ascii="Times New Roman" w:hAnsi="Times New Roman"/>
          <w:sz w:val="24"/>
          <w:szCs w:val="24"/>
          <w:lang w:val="en-US"/>
        </w:rPr>
        <w:t xml:space="preserve">, the scope of </w:t>
      </w:r>
      <w:r w:rsidR="00C9054E">
        <w:rPr>
          <w:rFonts w:ascii="Times New Roman" w:hAnsi="Times New Roman"/>
          <w:sz w:val="24"/>
          <w:szCs w:val="24"/>
          <w:lang w:val="en-US"/>
        </w:rPr>
        <w:t xml:space="preserve">Pillar 2 is intended to incorporate provisioning for macro-prudential concerns. The EBF agrees with the approach for national supervisors to </w:t>
      </w:r>
      <w:r w:rsidR="00AA4D21">
        <w:rPr>
          <w:rFonts w:ascii="Times New Roman" w:hAnsi="Times New Roman"/>
          <w:sz w:val="24"/>
          <w:szCs w:val="24"/>
          <w:lang w:val="en-US"/>
        </w:rPr>
        <w:t xml:space="preserve">undertake a reconciliation of the additional own funds requirements with the </w:t>
      </w:r>
      <w:r w:rsidR="00C9054E">
        <w:rPr>
          <w:rFonts w:ascii="Times New Roman" w:hAnsi="Times New Roman"/>
          <w:sz w:val="24"/>
          <w:szCs w:val="24"/>
          <w:lang w:val="en-US"/>
        </w:rPr>
        <w:t xml:space="preserve">CRR and </w:t>
      </w:r>
      <w:r w:rsidR="00AA4D21">
        <w:rPr>
          <w:rFonts w:ascii="Times New Roman" w:hAnsi="Times New Roman"/>
          <w:sz w:val="24"/>
          <w:szCs w:val="24"/>
          <w:lang w:val="en-US"/>
        </w:rPr>
        <w:t xml:space="preserve">CRD IV buffers and any macro-prudential requirements. In </w:t>
      </w:r>
      <w:r w:rsidR="00C9054E">
        <w:rPr>
          <w:rFonts w:ascii="Times New Roman" w:hAnsi="Times New Roman"/>
          <w:sz w:val="24"/>
          <w:szCs w:val="24"/>
          <w:lang w:val="en-US"/>
        </w:rPr>
        <w:t xml:space="preserve">order to avoid double counting of risks and provisions, the EBF would welcome clear direction in the Guidelines that national supervisors must not set </w:t>
      </w:r>
      <w:r w:rsidR="00AA4D21">
        <w:rPr>
          <w:rFonts w:ascii="Times New Roman" w:hAnsi="Times New Roman"/>
          <w:sz w:val="24"/>
          <w:szCs w:val="24"/>
          <w:lang w:val="en-US"/>
        </w:rPr>
        <w:t xml:space="preserve">additional </w:t>
      </w:r>
      <w:r w:rsidR="00C9054E">
        <w:rPr>
          <w:rFonts w:ascii="Times New Roman" w:hAnsi="Times New Roman"/>
          <w:sz w:val="24"/>
          <w:szCs w:val="24"/>
          <w:lang w:val="en-US"/>
        </w:rPr>
        <w:t xml:space="preserve">Pillar 2 own funds </w:t>
      </w:r>
      <w:r w:rsidR="00AA4D21">
        <w:rPr>
          <w:rFonts w:ascii="Times New Roman" w:hAnsi="Times New Roman"/>
          <w:sz w:val="24"/>
          <w:szCs w:val="24"/>
          <w:lang w:val="en-US"/>
        </w:rPr>
        <w:t>requirements</w:t>
      </w:r>
      <w:r w:rsidR="00C9054E">
        <w:rPr>
          <w:rFonts w:ascii="Times New Roman" w:hAnsi="Times New Roman"/>
          <w:sz w:val="24"/>
          <w:szCs w:val="24"/>
          <w:lang w:val="en-US"/>
        </w:rPr>
        <w:t xml:space="preserve"> where the risk is already covered by a required capital buffer or has been offset by additional macro-prudential requirements</w:t>
      </w:r>
      <w:r w:rsidR="00AA4D21">
        <w:rPr>
          <w:rFonts w:ascii="Times New Roman" w:hAnsi="Times New Roman"/>
          <w:sz w:val="24"/>
          <w:szCs w:val="24"/>
          <w:lang w:val="en-US"/>
        </w:rPr>
        <w:t xml:space="preserve">. This clarification should allow for proper delimitation of risks and policy tools in the realm of macro-prudential oversight. </w:t>
      </w:r>
    </w:p>
    <w:p w14:paraId="3920BE38" w14:textId="771B1B8E" w:rsidR="00AA4D21" w:rsidRDefault="00AA4D21" w:rsidP="00702CF4">
      <w:pPr>
        <w:numPr>
          <w:ilvl w:val="0"/>
          <w:numId w:val="10"/>
        </w:numPr>
        <w:spacing w:before="120"/>
        <w:jc w:val="both"/>
        <w:rPr>
          <w:rFonts w:ascii="Times New Roman" w:hAnsi="Times New Roman"/>
          <w:sz w:val="24"/>
          <w:szCs w:val="24"/>
          <w:lang w:val="en-US"/>
        </w:rPr>
      </w:pPr>
      <w:r>
        <w:rPr>
          <w:rFonts w:ascii="Times New Roman" w:hAnsi="Times New Roman"/>
          <w:sz w:val="24"/>
          <w:szCs w:val="24"/>
          <w:lang w:val="en-US"/>
        </w:rPr>
        <w:t>The link to the Bank Recovery and Resolution Directive (BRRD)</w:t>
      </w:r>
      <w:r w:rsidR="00C9054E">
        <w:rPr>
          <w:rFonts w:ascii="Times New Roman" w:hAnsi="Times New Roman"/>
          <w:sz w:val="24"/>
          <w:szCs w:val="24"/>
          <w:lang w:val="en-US"/>
        </w:rPr>
        <w:t>: There appears to be</w:t>
      </w:r>
      <w:r>
        <w:rPr>
          <w:rFonts w:ascii="Times New Roman" w:hAnsi="Times New Roman"/>
          <w:sz w:val="24"/>
          <w:szCs w:val="24"/>
          <w:lang w:val="en-US"/>
        </w:rPr>
        <w:t xml:space="preserve"> changes </w:t>
      </w:r>
      <w:r w:rsidR="00C9054E">
        <w:rPr>
          <w:rFonts w:ascii="Times New Roman" w:hAnsi="Times New Roman"/>
          <w:sz w:val="24"/>
          <w:szCs w:val="24"/>
          <w:lang w:val="en-US"/>
        </w:rPr>
        <w:t xml:space="preserve">to </w:t>
      </w:r>
      <w:r>
        <w:rPr>
          <w:rFonts w:ascii="Times New Roman" w:hAnsi="Times New Roman"/>
          <w:sz w:val="24"/>
          <w:szCs w:val="24"/>
          <w:lang w:val="en-US"/>
        </w:rPr>
        <w:t xml:space="preserve">the meaning and significance of the SREP evaluation. </w:t>
      </w:r>
      <w:r w:rsidR="00C9054E">
        <w:rPr>
          <w:rFonts w:ascii="Times New Roman" w:hAnsi="Times New Roman"/>
          <w:sz w:val="24"/>
          <w:szCs w:val="24"/>
          <w:lang w:val="en-US"/>
        </w:rPr>
        <w:t>The SREP evaluation was initially intended to be an assessment of the capital required on a going concern basis, both under normal conditions and under stressed conditions. Care needs to be taken that the SREP assessment does not become an assessment of the likelihood to fail</w:t>
      </w:r>
      <w:r w:rsidR="00C9054E" w:rsidRPr="00AD14BA">
        <w:rPr>
          <w:rFonts w:ascii="Times New Roman" w:hAnsi="Times New Roman"/>
          <w:sz w:val="24"/>
          <w:szCs w:val="24"/>
          <w:u w:val="single"/>
          <w:lang w:val="en-US"/>
        </w:rPr>
        <w:t xml:space="preserve">. </w:t>
      </w:r>
      <w:r w:rsidR="00C9054E">
        <w:rPr>
          <w:rFonts w:ascii="Times New Roman" w:hAnsi="Times New Roman"/>
          <w:sz w:val="24"/>
          <w:szCs w:val="24"/>
          <w:u w:val="single"/>
          <w:lang w:val="en-US"/>
        </w:rPr>
        <w:t xml:space="preserve">Providing an institution with a score that it is likely to fail could probably have implications. </w:t>
      </w:r>
      <w:r>
        <w:rPr>
          <w:rFonts w:ascii="Times New Roman" w:hAnsi="Times New Roman"/>
          <w:sz w:val="24"/>
          <w:szCs w:val="24"/>
          <w:lang w:val="en-US"/>
        </w:rPr>
        <w:t xml:space="preserve">The significance of the score becomes critical as it could trigger debt conversion into capital and eventually write-off via the comprehensive bail-in tool. As a result, the intrinsic value of debt instruments could be affected. These facts require careful attention to the implications on banks and the market. </w:t>
      </w:r>
    </w:p>
    <w:p w14:paraId="3920BE39" w14:textId="4074C750" w:rsidR="00AA4D21" w:rsidRDefault="00AA4D21" w:rsidP="001733E9">
      <w:pPr>
        <w:numPr>
          <w:ilvl w:val="0"/>
          <w:numId w:val="10"/>
        </w:numPr>
        <w:spacing w:before="120"/>
        <w:jc w:val="both"/>
        <w:rPr>
          <w:rFonts w:ascii="Times New Roman" w:hAnsi="Times New Roman"/>
          <w:sz w:val="24"/>
          <w:szCs w:val="24"/>
          <w:lang w:val="en-US"/>
        </w:rPr>
      </w:pPr>
      <w:r w:rsidRPr="00032463">
        <w:rPr>
          <w:rFonts w:ascii="Times New Roman" w:hAnsi="Times New Roman"/>
          <w:sz w:val="24"/>
          <w:szCs w:val="24"/>
          <w:lang w:val="en-US"/>
        </w:rPr>
        <w:t xml:space="preserve">Any comments or guidelines in respect of recovery planning should mirror those referred to in the Commission delegated act contained in EBA </w:t>
      </w:r>
      <w:r>
        <w:rPr>
          <w:rFonts w:ascii="Times New Roman" w:hAnsi="Times New Roman"/>
          <w:sz w:val="24"/>
          <w:szCs w:val="24"/>
          <w:lang w:val="en-US"/>
        </w:rPr>
        <w:t>f</w:t>
      </w:r>
      <w:r w:rsidRPr="00032463">
        <w:rPr>
          <w:rFonts w:ascii="Times New Roman" w:hAnsi="Times New Roman"/>
          <w:sz w:val="24"/>
          <w:szCs w:val="24"/>
          <w:lang w:val="en-US"/>
        </w:rPr>
        <w:t xml:space="preserve">inal draft regulatory technical standards </w:t>
      </w:r>
      <w:r>
        <w:rPr>
          <w:rFonts w:ascii="Times New Roman" w:hAnsi="Times New Roman"/>
          <w:sz w:val="24"/>
          <w:szCs w:val="24"/>
          <w:lang w:val="en-US"/>
        </w:rPr>
        <w:t xml:space="preserve">(RTS) </w:t>
      </w:r>
      <w:r w:rsidRPr="00032463">
        <w:rPr>
          <w:rFonts w:ascii="Times New Roman" w:hAnsi="Times New Roman"/>
          <w:sz w:val="24"/>
          <w:szCs w:val="24"/>
          <w:lang w:val="en-US"/>
        </w:rPr>
        <w:t>on the assessment of recovery plans</w:t>
      </w:r>
      <w:r>
        <w:rPr>
          <w:rStyle w:val="FootnoteReference"/>
          <w:rFonts w:ascii="Times New Roman" w:hAnsi="Times New Roman"/>
          <w:sz w:val="24"/>
          <w:szCs w:val="24"/>
          <w:lang w:val="en-US"/>
        </w:rPr>
        <w:footnoteReference w:id="5"/>
      </w:r>
      <w:r w:rsidRPr="00032463">
        <w:rPr>
          <w:rFonts w:ascii="Times New Roman" w:hAnsi="Times New Roman"/>
          <w:sz w:val="24"/>
          <w:szCs w:val="24"/>
          <w:lang w:val="en-US"/>
        </w:rPr>
        <w:t xml:space="preserve">. </w:t>
      </w:r>
      <w:r w:rsidR="001733E9" w:rsidRPr="001733E9">
        <w:rPr>
          <w:rFonts w:ascii="Times New Roman" w:hAnsi="Times New Roman"/>
          <w:sz w:val="24"/>
          <w:szCs w:val="24"/>
          <w:lang w:val="en-US"/>
        </w:rPr>
        <w:t xml:space="preserve">Equally all EBA RTS associated with the BRRD should be consistent with the SREP guidelines. </w:t>
      </w:r>
      <w:r w:rsidRPr="00032463">
        <w:rPr>
          <w:rFonts w:ascii="Times New Roman" w:hAnsi="Times New Roman"/>
          <w:sz w:val="24"/>
          <w:szCs w:val="24"/>
          <w:lang w:val="en-US"/>
        </w:rPr>
        <w:t>Otherwise there is a risk of diverg</w:t>
      </w:r>
      <w:r>
        <w:rPr>
          <w:rFonts w:ascii="Times New Roman" w:hAnsi="Times New Roman"/>
          <w:sz w:val="24"/>
          <w:szCs w:val="24"/>
          <w:lang w:val="en-US"/>
        </w:rPr>
        <w:t>ent</w:t>
      </w:r>
      <w:r w:rsidRPr="00032463">
        <w:rPr>
          <w:rFonts w:ascii="Times New Roman" w:hAnsi="Times New Roman"/>
          <w:sz w:val="24"/>
          <w:szCs w:val="24"/>
          <w:lang w:val="en-US"/>
        </w:rPr>
        <w:t xml:space="preserve"> develop</w:t>
      </w:r>
      <w:r>
        <w:rPr>
          <w:rFonts w:ascii="Times New Roman" w:hAnsi="Times New Roman"/>
          <w:sz w:val="24"/>
          <w:szCs w:val="24"/>
          <w:lang w:val="en-US"/>
        </w:rPr>
        <w:t>ments</w:t>
      </w:r>
      <w:r w:rsidRPr="00032463">
        <w:rPr>
          <w:rFonts w:ascii="Times New Roman" w:hAnsi="Times New Roman"/>
          <w:sz w:val="24"/>
          <w:szCs w:val="24"/>
          <w:lang w:val="en-US"/>
        </w:rPr>
        <w:t>.</w:t>
      </w:r>
    </w:p>
    <w:p w14:paraId="3920BE3E" w14:textId="77777777" w:rsidR="00AA4D21" w:rsidRDefault="00AA4D21" w:rsidP="00620F70">
      <w:pPr>
        <w:spacing w:before="120"/>
        <w:jc w:val="both"/>
        <w:rPr>
          <w:rFonts w:ascii="Times New Roman" w:hAnsi="Times New Roman"/>
          <w:sz w:val="24"/>
          <w:szCs w:val="24"/>
          <w:lang w:val="en-US"/>
        </w:rPr>
      </w:pPr>
    </w:p>
    <w:p w14:paraId="3920BE3F" w14:textId="77777777" w:rsidR="00AA4D21" w:rsidRPr="00132BA2" w:rsidRDefault="00AA4D21" w:rsidP="00787A4E">
      <w:pPr>
        <w:numPr>
          <w:ilvl w:val="0"/>
          <w:numId w:val="26"/>
        </w:numPr>
        <w:spacing w:before="240"/>
        <w:jc w:val="both"/>
        <w:rPr>
          <w:rFonts w:ascii="Times New Roman" w:hAnsi="Times New Roman"/>
          <w:b/>
          <w:sz w:val="24"/>
          <w:szCs w:val="24"/>
          <w:u w:val="single"/>
          <w:lang w:val="en-US"/>
        </w:rPr>
      </w:pPr>
      <w:r>
        <w:rPr>
          <w:rFonts w:ascii="Times New Roman" w:hAnsi="Times New Roman"/>
          <w:b/>
          <w:sz w:val="24"/>
          <w:szCs w:val="24"/>
          <w:u w:val="single"/>
          <w:lang w:val="en-US"/>
        </w:rPr>
        <w:t>D</w:t>
      </w:r>
      <w:r w:rsidRPr="00132BA2">
        <w:rPr>
          <w:rFonts w:ascii="Times New Roman" w:hAnsi="Times New Roman"/>
          <w:b/>
          <w:sz w:val="24"/>
          <w:szCs w:val="24"/>
          <w:u w:val="single"/>
          <w:lang w:val="en-US"/>
        </w:rPr>
        <w:t>ialogue between supervisor and bank</w:t>
      </w:r>
    </w:p>
    <w:p w14:paraId="07D303B7" w14:textId="370102A3" w:rsidR="00135122"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It is </w:t>
      </w:r>
      <w:r w:rsidR="006A1C1C">
        <w:rPr>
          <w:rFonts w:ascii="Times New Roman" w:hAnsi="Times New Roman"/>
          <w:sz w:val="24"/>
          <w:szCs w:val="24"/>
          <w:lang w:val="en-US"/>
        </w:rPr>
        <w:t xml:space="preserve">not clear from the </w:t>
      </w:r>
      <w:r w:rsidR="00135122">
        <w:rPr>
          <w:rFonts w:ascii="Times New Roman" w:hAnsi="Times New Roman"/>
          <w:sz w:val="24"/>
          <w:szCs w:val="24"/>
          <w:lang w:val="en-US"/>
        </w:rPr>
        <w:t>draft text</w:t>
      </w:r>
      <w:r>
        <w:rPr>
          <w:rFonts w:ascii="Times New Roman" w:hAnsi="Times New Roman"/>
          <w:sz w:val="24"/>
          <w:szCs w:val="24"/>
          <w:lang w:val="en-US"/>
        </w:rPr>
        <w:t xml:space="preserve"> that the interaction between bank and supervisor has been </w:t>
      </w:r>
      <w:r w:rsidR="006A1C1C">
        <w:rPr>
          <w:rFonts w:ascii="Times New Roman" w:hAnsi="Times New Roman"/>
          <w:sz w:val="24"/>
          <w:szCs w:val="24"/>
          <w:lang w:val="en-US"/>
        </w:rPr>
        <w:t>preserved</w:t>
      </w:r>
      <w:r>
        <w:rPr>
          <w:rFonts w:ascii="Times New Roman" w:hAnsi="Times New Roman"/>
          <w:sz w:val="24"/>
          <w:szCs w:val="24"/>
          <w:lang w:val="en-US"/>
        </w:rPr>
        <w:t xml:space="preserve"> in the new </w:t>
      </w:r>
      <w:r w:rsidR="006A1C1C">
        <w:rPr>
          <w:rFonts w:ascii="Times New Roman" w:hAnsi="Times New Roman"/>
          <w:sz w:val="24"/>
          <w:szCs w:val="24"/>
          <w:lang w:val="en-US"/>
        </w:rPr>
        <w:t>G</w:t>
      </w:r>
      <w:r>
        <w:rPr>
          <w:rFonts w:ascii="Times New Roman" w:hAnsi="Times New Roman"/>
          <w:sz w:val="24"/>
          <w:szCs w:val="24"/>
          <w:lang w:val="en-US"/>
        </w:rPr>
        <w:t xml:space="preserve">uidelines. </w:t>
      </w:r>
      <w:r w:rsidR="00135122">
        <w:rPr>
          <w:rFonts w:ascii="Times New Roman" w:hAnsi="Times New Roman"/>
          <w:sz w:val="24"/>
          <w:szCs w:val="24"/>
          <w:lang w:val="en-US"/>
        </w:rPr>
        <w:t>Our understanding is that t</w:t>
      </w:r>
      <w:r>
        <w:rPr>
          <w:rFonts w:ascii="Times New Roman" w:hAnsi="Times New Roman"/>
          <w:sz w:val="24"/>
          <w:szCs w:val="24"/>
          <w:lang w:val="en-US"/>
        </w:rPr>
        <w:t xml:space="preserve">he SREP was conceived to promote understanding and </w:t>
      </w:r>
      <w:r w:rsidR="00135122">
        <w:rPr>
          <w:rFonts w:ascii="Times New Roman" w:hAnsi="Times New Roman"/>
          <w:sz w:val="24"/>
          <w:szCs w:val="24"/>
          <w:lang w:val="en-US"/>
        </w:rPr>
        <w:t>dialogue</w:t>
      </w:r>
      <w:r>
        <w:rPr>
          <w:rFonts w:ascii="Times New Roman" w:hAnsi="Times New Roman"/>
          <w:sz w:val="24"/>
          <w:szCs w:val="24"/>
          <w:lang w:val="en-US"/>
        </w:rPr>
        <w:t xml:space="preserve"> between the parties involved. The proposed guidelines barely mention a dialogue and challenge session with </w:t>
      </w:r>
      <w:r w:rsidR="00135122">
        <w:rPr>
          <w:rFonts w:ascii="Times New Roman" w:hAnsi="Times New Roman"/>
          <w:sz w:val="24"/>
          <w:szCs w:val="24"/>
          <w:lang w:val="en-US"/>
        </w:rPr>
        <w:t xml:space="preserve">it looking </w:t>
      </w:r>
      <w:r>
        <w:rPr>
          <w:rFonts w:ascii="Times New Roman" w:hAnsi="Times New Roman"/>
          <w:sz w:val="24"/>
          <w:szCs w:val="24"/>
          <w:lang w:val="en-US"/>
        </w:rPr>
        <w:t xml:space="preserve">more </w:t>
      </w:r>
      <w:r w:rsidR="00135122">
        <w:rPr>
          <w:rFonts w:ascii="Times New Roman" w:hAnsi="Times New Roman"/>
          <w:sz w:val="24"/>
          <w:szCs w:val="24"/>
          <w:lang w:val="en-US"/>
        </w:rPr>
        <w:t>like</w:t>
      </w:r>
      <w:r>
        <w:rPr>
          <w:rFonts w:ascii="Times New Roman" w:hAnsi="Times New Roman"/>
          <w:sz w:val="24"/>
          <w:szCs w:val="24"/>
          <w:lang w:val="en-US"/>
        </w:rPr>
        <w:t xml:space="preserve"> a one-way process in which there is little recognition </w:t>
      </w:r>
      <w:r w:rsidR="00135122">
        <w:rPr>
          <w:rFonts w:ascii="Times New Roman" w:hAnsi="Times New Roman"/>
          <w:sz w:val="24"/>
          <w:szCs w:val="24"/>
          <w:lang w:val="en-US"/>
        </w:rPr>
        <w:t>of</w:t>
      </w:r>
      <w:r>
        <w:rPr>
          <w:rFonts w:ascii="Times New Roman" w:hAnsi="Times New Roman"/>
          <w:sz w:val="24"/>
          <w:szCs w:val="24"/>
          <w:lang w:val="en-US"/>
        </w:rPr>
        <w:t xml:space="preserve"> the role of banks. We </w:t>
      </w:r>
      <w:r w:rsidR="00135122">
        <w:rPr>
          <w:rFonts w:ascii="Times New Roman" w:hAnsi="Times New Roman"/>
          <w:sz w:val="24"/>
          <w:szCs w:val="24"/>
          <w:lang w:val="en-US"/>
        </w:rPr>
        <w:t>note from our meeting with the EBA on Monday 13 October 2014, that this is not intended to be the case and would be most grateful if the EBA should make it clear in the Guidelines that the SREP is intended to be a highly interactive and inquisitive process between the supervisor and the bank. Such interaction was apparent in the former CEBS guidelines No. 39 (GL39)</w:t>
      </w:r>
      <w:r w:rsidR="00135122">
        <w:rPr>
          <w:rStyle w:val="FootnoteReference"/>
          <w:rFonts w:ascii="Times New Roman" w:hAnsi="Times New Roman"/>
          <w:sz w:val="24"/>
          <w:szCs w:val="24"/>
          <w:lang w:val="en-US"/>
        </w:rPr>
        <w:footnoteReference w:id="6"/>
      </w:r>
      <w:r w:rsidR="00135122">
        <w:rPr>
          <w:rFonts w:ascii="Times New Roman" w:hAnsi="Times New Roman"/>
          <w:sz w:val="24"/>
          <w:szCs w:val="24"/>
          <w:lang w:val="en-US"/>
        </w:rPr>
        <w:t xml:space="preserve"> which also </w:t>
      </w:r>
      <w:proofErr w:type="spellStart"/>
      <w:r w:rsidR="00135122">
        <w:rPr>
          <w:rFonts w:ascii="Times New Roman" w:hAnsi="Times New Roman"/>
          <w:sz w:val="24"/>
          <w:szCs w:val="24"/>
          <w:lang w:val="en-US"/>
        </w:rPr>
        <w:t>recognised</w:t>
      </w:r>
      <w:proofErr w:type="spellEnd"/>
      <w:r w:rsidR="00135122">
        <w:rPr>
          <w:rFonts w:ascii="Times New Roman" w:hAnsi="Times New Roman"/>
          <w:sz w:val="24"/>
          <w:szCs w:val="24"/>
          <w:lang w:val="en-US"/>
        </w:rPr>
        <w:t xml:space="preserve"> the need for a final exchange with the senior management of the bank before arriving at conclusions</w:t>
      </w:r>
      <w:r w:rsidR="00135122">
        <w:rPr>
          <w:rStyle w:val="FootnoteReference"/>
          <w:rFonts w:ascii="Times New Roman" w:hAnsi="Times New Roman"/>
          <w:sz w:val="24"/>
          <w:szCs w:val="24"/>
          <w:lang w:val="en-US"/>
        </w:rPr>
        <w:footnoteReference w:id="7"/>
      </w:r>
      <w:r w:rsidR="00135122">
        <w:rPr>
          <w:rFonts w:ascii="Times New Roman" w:hAnsi="Times New Roman"/>
          <w:sz w:val="24"/>
          <w:szCs w:val="24"/>
          <w:lang w:val="en-US"/>
        </w:rPr>
        <w:t>.</w:t>
      </w:r>
    </w:p>
    <w:p w14:paraId="3920BE41" w14:textId="0209CC03" w:rsidR="00AA4D21" w:rsidRDefault="00135122"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In addition, the Guidelines contain considerable detail of the considerations that supervisors should take into account when assessing each risk. However there appears to be little assessment of the use of risk </w:t>
      </w:r>
      <w:proofErr w:type="spellStart"/>
      <w:r>
        <w:rPr>
          <w:rFonts w:ascii="Times New Roman" w:hAnsi="Times New Roman"/>
          <w:sz w:val="24"/>
          <w:szCs w:val="24"/>
          <w:lang w:val="en-US"/>
        </w:rPr>
        <w:t>mitigants</w:t>
      </w:r>
      <w:proofErr w:type="spellEnd"/>
      <w:r>
        <w:rPr>
          <w:rFonts w:ascii="Times New Roman" w:hAnsi="Times New Roman"/>
          <w:sz w:val="24"/>
          <w:szCs w:val="24"/>
          <w:lang w:val="en-US"/>
        </w:rPr>
        <w:t xml:space="preserve"> which are an important and key part of the risk management framework. Effective risk </w:t>
      </w:r>
      <w:proofErr w:type="spellStart"/>
      <w:r>
        <w:rPr>
          <w:rFonts w:ascii="Times New Roman" w:hAnsi="Times New Roman"/>
          <w:sz w:val="24"/>
          <w:szCs w:val="24"/>
          <w:lang w:val="en-US"/>
        </w:rPr>
        <w:t>mitigants</w:t>
      </w:r>
      <w:proofErr w:type="spellEnd"/>
      <w:r>
        <w:rPr>
          <w:rFonts w:ascii="Times New Roman" w:hAnsi="Times New Roman"/>
          <w:sz w:val="24"/>
          <w:szCs w:val="24"/>
          <w:lang w:val="en-US"/>
        </w:rPr>
        <w:t xml:space="preserve"> can considerably reduce risk and the likelihood of a risk </w:t>
      </w:r>
      <w:proofErr w:type="spellStart"/>
      <w:r>
        <w:rPr>
          <w:rFonts w:ascii="Times New Roman" w:hAnsi="Times New Roman"/>
          <w:sz w:val="24"/>
          <w:szCs w:val="24"/>
          <w:lang w:val="en-US"/>
        </w:rPr>
        <w:t>crystallising</w:t>
      </w:r>
      <w:proofErr w:type="spellEnd"/>
      <w:r>
        <w:rPr>
          <w:rFonts w:ascii="Times New Roman" w:hAnsi="Times New Roman"/>
          <w:sz w:val="24"/>
          <w:szCs w:val="24"/>
          <w:lang w:val="en-US"/>
        </w:rPr>
        <w:t xml:space="preserve">. The guidelines should in our opinion give appropriate weight to taking this into account and </w:t>
      </w:r>
      <w:proofErr w:type="spellStart"/>
      <w:r>
        <w:rPr>
          <w:rFonts w:ascii="Times New Roman" w:hAnsi="Times New Roman"/>
          <w:sz w:val="24"/>
          <w:szCs w:val="24"/>
          <w:lang w:val="en-US"/>
        </w:rPr>
        <w:t>recognising</w:t>
      </w:r>
      <w:proofErr w:type="spellEnd"/>
      <w:r>
        <w:rPr>
          <w:rFonts w:ascii="Times New Roman" w:hAnsi="Times New Roman"/>
          <w:sz w:val="24"/>
          <w:szCs w:val="24"/>
          <w:lang w:val="en-US"/>
        </w:rPr>
        <w:t xml:space="preserve"> the effectiveness of any tools and techniques employed. </w:t>
      </w:r>
      <w:r w:rsidR="00AA4D21">
        <w:rPr>
          <w:rFonts w:ascii="Times New Roman" w:hAnsi="Times New Roman"/>
          <w:sz w:val="24"/>
          <w:szCs w:val="24"/>
          <w:lang w:val="en-US"/>
        </w:rPr>
        <w:t xml:space="preserve">The EBF has long maintained that a 5-step process should be followed in pillar 2 supervision whereby the supervisor would be expected to:  </w:t>
      </w:r>
    </w:p>
    <w:p w14:paraId="3920BE42" w14:textId="4CE4463D" w:rsidR="00AA4D21" w:rsidRDefault="00AA4D21" w:rsidP="00702CF4">
      <w:pPr>
        <w:numPr>
          <w:ilvl w:val="0"/>
          <w:numId w:val="14"/>
        </w:numPr>
        <w:spacing w:before="120"/>
        <w:jc w:val="both"/>
        <w:rPr>
          <w:rFonts w:ascii="Times New Roman" w:hAnsi="Times New Roman"/>
          <w:sz w:val="24"/>
          <w:szCs w:val="24"/>
          <w:lang w:val="en-US"/>
        </w:rPr>
      </w:pPr>
      <w:r>
        <w:rPr>
          <w:rFonts w:ascii="Times New Roman" w:hAnsi="Times New Roman"/>
          <w:sz w:val="24"/>
          <w:szCs w:val="24"/>
          <w:lang w:val="en-US"/>
        </w:rPr>
        <w:t>Gain a</w:t>
      </w:r>
      <w:r w:rsidR="00135122">
        <w:rPr>
          <w:rFonts w:ascii="Times New Roman" w:hAnsi="Times New Roman"/>
          <w:sz w:val="24"/>
          <w:szCs w:val="24"/>
          <w:lang w:val="en-US"/>
        </w:rPr>
        <w:t xml:space="preserve"> thorough</w:t>
      </w:r>
      <w:r>
        <w:rPr>
          <w:rFonts w:ascii="Times New Roman" w:hAnsi="Times New Roman"/>
          <w:sz w:val="24"/>
          <w:szCs w:val="24"/>
          <w:lang w:val="en-US"/>
        </w:rPr>
        <w:t xml:space="preserve"> understanding of the bank’s ICAAP; </w:t>
      </w:r>
    </w:p>
    <w:p w14:paraId="3920BE43" w14:textId="54DB395E" w:rsidR="00AA4D21" w:rsidRDefault="00AA4D21" w:rsidP="00702CF4">
      <w:pPr>
        <w:numPr>
          <w:ilvl w:val="0"/>
          <w:numId w:val="14"/>
        </w:numPr>
        <w:spacing w:before="120"/>
        <w:jc w:val="both"/>
        <w:rPr>
          <w:rFonts w:ascii="Times New Roman" w:hAnsi="Times New Roman"/>
          <w:sz w:val="24"/>
          <w:szCs w:val="24"/>
          <w:lang w:val="en-US"/>
        </w:rPr>
      </w:pPr>
      <w:r>
        <w:rPr>
          <w:rFonts w:ascii="Times New Roman" w:hAnsi="Times New Roman"/>
          <w:sz w:val="24"/>
          <w:szCs w:val="24"/>
          <w:lang w:val="en-US"/>
        </w:rPr>
        <w:t xml:space="preserve">Open </w:t>
      </w:r>
      <w:r w:rsidR="00135122">
        <w:rPr>
          <w:rFonts w:ascii="Times New Roman" w:hAnsi="Times New Roman"/>
          <w:sz w:val="24"/>
          <w:szCs w:val="24"/>
          <w:lang w:val="en-US"/>
        </w:rPr>
        <w:t>the dialogue with the</w:t>
      </w:r>
      <w:r>
        <w:rPr>
          <w:rFonts w:ascii="Times New Roman" w:hAnsi="Times New Roman"/>
          <w:sz w:val="24"/>
          <w:szCs w:val="24"/>
          <w:lang w:val="en-US"/>
        </w:rPr>
        <w:t xml:space="preserve"> bank; </w:t>
      </w:r>
    </w:p>
    <w:p w14:paraId="3920BE44" w14:textId="73541375" w:rsidR="00AA4D21" w:rsidRDefault="00AA4D21" w:rsidP="00702CF4">
      <w:pPr>
        <w:numPr>
          <w:ilvl w:val="0"/>
          <w:numId w:val="14"/>
        </w:numPr>
        <w:spacing w:before="120"/>
        <w:jc w:val="both"/>
        <w:rPr>
          <w:rFonts w:ascii="Times New Roman" w:hAnsi="Times New Roman"/>
          <w:sz w:val="24"/>
          <w:szCs w:val="24"/>
          <w:lang w:val="en-US"/>
        </w:rPr>
      </w:pPr>
      <w:r>
        <w:rPr>
          <w:rFonts w:ascii="Times New Roman" w:hAnsi="Times New Roman"/>
          <w:sz w:val="24"/>
          <w:szCs w:val="24"/>
          <w:lang w:val="en-US"/>
        </w:rPr>
        <w:t xml:space="preserve">Challenge the points that deserve more attention or </w:t>
      </w:r>
      <w:r w:rsidR="00135122">
        <w:rPr>
          <w:rFonts w:ascii="Times New Roman" w:hAnsi="Times New Roman"/>
          <w:sz w:val="24"/>
          <w:szCs w:val="24"/>
          <w:lang w:val="en-US"/>
        </w:rPr>
        <w:t>further qualification</w:t>
      </w:r>
      <w:r>
        <w:rPr>
          <w:rFonts w:ascii="Times New Roman" w:hAnsi="Times New Roman"/>
          <w:sz w:val="24"/>
          <w:szCs w:val="24"/>
          <w:lang w:val="en-US"/>
        </w:rPr>
        <w:t xml:space="preserve">; </w:t>
      </w:r>
    </w:p>
    <w:p w14:paraId="3920BE45" w14:textId="7B7B77CC" w:rsidR="00AA4D21" w:rsidRDefault="00135122" w:rsidP="00702CF4">
      <w:pPr>
        <w:numPr>
          <w:ilvl w:val="0"/>
          <w:numId w:val="14"/>
        </w:numPr>
        <w:spacing w:before="120"/>
        <w:jc w:val="both"/>
        <w:rPr>
          <w:rFonts w:ascii="Times New Roman" w:hAnsi="Times New Roman"/>
          <w:sz w:val="24"/>
          <w:szCs w:val="24"/>
          <w:lang w:val="en-US"/>
        </w:rPr>
      </w:pPr>
      <w:r>
        <w:rPr>
          <w:rFonts w:ascii="Times New Roman" w:hAnsi="Times New Roman"/>
          <w:sz w:val="24"/>
          <w:szCs w:val="24"/>
          <w:lang w:val="en-US"/>
        </w:rPr>
        <w:t>Agree</w:t>
      </w:r>
      <w:r w:rsidR="00AA4D21">
        <w:rPr>
          <w:rFonts w:ascii="Times New Roman" w:hAnsi="Times New Roman"/>
          <w:sz w:val="24"/>
          <w:szCs w:val="24"/>
          <w:lang w:val="en-US"/>
        </w:rPr>
        <w:t xml:space="preserve"> conclusions between supervisor and bank thus enhancing communication and understanding; </w:t>
      </w:r>
    </w:p>
    <w:p w14:paraId="3920BE46" w14:textId="77777777" w:rsidR="00AA4D21" w:rsidRDefault="00AA4D21" w:rsidP="00702CF4">
      <w:pPr>
        <w:numPr>
          <w:ilvl w:val="0"/>
          <w:numId w:val="14"/>
        </w:numPr>
        <w:spacing w:before="120"/>
        <w:jc w:val="both"/>
        <w:rPr>
          <w:rFonts w:ascii="Times New Roman" w:hAnsi="Times New Roman"/>
          <w:sz w:val="24"/>
          <w:szCs w:val="24"/>
          <w:lang w:val="en-US"/>
        </w:rPr>
      </w:pPr>
      <w:r>
        <w:rPr>
          <w:rFonts w:ascii="Times New Roman" w:hAnsi="Times New Roman"/>
          <w:sz w:val="24"/>
          <w:szCs w:val="24"/>
          <w:lang w:val="en-US"/>
        </w:rPr>
        <w:t xml:space="preserve">Make recommendations, impose corrective measures if need be and, ultimately, evaluate the situation of the bank using the scorecard. </w:t>
      </w:r>
    </w:p>
    <w:p w14:paraId="3920BE49" w14:textId="5BD8DE07" w:rsidR="00AA4D21" w:rsidRDefault="00AA4D21" w:rsidP="00702CF4">
      <w:pPr>
        <w:spacing w:before="120"/>
        <w:jc w:val="both"/>
        <w:rPr>
          <w:rFonts w:ascii="Times New Roman" w:hAnsi="Times New Roman"/>
          <w:sz w:val="24"/>
          <w:szCs w:val="24"/>
          <w:lang w:val="en-US"/>
        </w:rPr>
      </w:pPr>
      <w:r w:rsidRPr="00351D26">
        <w:rPr>
          <w:rFonts w:ascii="Times New Roman" w:hAnsi="Times New Roman"/>
          <w:sz w:val="24"/>
          <w:szCs w:val="24"/>
          <w:lang w:val="en-US"/>
        </w:rPr>
        <w:t xml:space="preserve">The document describes how supervisors should conduct a SREP, but not how institutions should </w:t>
      </w:r>
      <w:proofErr w:type="spellStart"/>
      <w:r w:rsidRPr="00351D26">
        <w:rPr>
          <w:rFonts w:ascii="Times New Roman" w:hAnsi="Times New Roman"/>
          <w:sz w:val="24"/>
          <w:szCs w:val="24"/>
          <w:lang w:val="en-US"/>
        </w:rPr>
        <w:t>organise</w:t>
      </w:r>
      <w:proofErr w:type="spellEnd"/>
      <w:r w:rsidRPr="00351D26">
        <w:rPr>
          <w:rFonts w:ascii="Times New Roman" w:hAnsi="Times New Roman"/>
          <w:sz w:val="24"/>
          <w:szCs w:val="24"/>
          <w:lang w:val="en-US"/>
        </w:rPr>
        <w:t xml:space="preserve"> their ICAAP, nor how and when </w:t>
      </w:r>
      <w:r>
        <w:rPr>
          <w:rFonts w:ascii="Times New Roman" w:hAnsi="Times New Roman"/>
          <w:sz w:val="24"/>
          <w:szCs w:val="24"/>
          <w:lang w:val="en-US"/>
        </w:rPr>
        <w:t xml:space="preserve">should </w:t>
      </w:r>
      <w:r w:rsidRPr="00351D26">
        <w:rPr>
          <w:rFonts w:ascii="Times New Roman" w:hAnsi="Times New Roman"/>
          <w:sz w:val="24"/>
          <w:szCs w:val="24"/>
          <w:lang w:val="en-US"/>
        </w:rPr>
        <w:t>they provide their supervisors with which information on their ICAAP. No reference is made to any new ICAAP guidelines</w:t>
      </w:r>
      <w:r>
        <w:rPr>
          <w:rFonts w:ascii="Times New Roman" w:hAnsi="Times New Roman"/>
          <w:sz w:val="24"/>
          <w:szCs w:val="24"/>
          <w:lang w:val="en-US"/>
        </w:rPr>
        <w:t xml:space="preserve"> </w:t>
      </w:r>
      <w:r w:rsidRPr="00782F27">
        <w:rPr>
          <w:rFonts w:ascii="Times New Roman" w:hAnsi="Times New Roman"/>
          <w:sz w:val="24"/>
          <w:szCs w:val="24"/>
          <w:lang w:val="en-US"/>
        </w:rPr>
        <w:t>which clearly are necessary to achieve the primary objective of the SREP guideline</w:t>
      </w:r>
      <w:r>
        <w:rPr>
          <w:rFonts w:ascii="Times New Roman" w:hAnsi="Times New Roman"/>
          <w:sz w:val="24"/>
          <w:szCs w:val="24"/>
          <w:lang w:val="en-US"/>
        </w:rPr>
        <w:t>s of</w:t>
      </w:r>
      <w:r w:rsidRPr="00782F27">
        <w:rPr>
          <w:rFonts w:ascii="Times New Roman" w:hAnsi="Times New Roman"/>
          <w:sz w:val="24"/>
          <w:szCs w:val="24"/>
          <w:lang w:val="en-US"/>
        </w:rPr>
        <w:t xml:space="preserve"> establishing a consistent way for reviewing and assessing institutions with similar risk profiles and business models subject to broadly consi</w:t>
      </w:r>
      <w:r>
        <w:rPr>
          <w:rFonts w:ascii="Times New Roman" w:hAnsi="Times New Roman"/>
          <w:sz w:val="24"/>
          <w:szCs w:val="24"/>
          <w:lang w:val="en-US"/>
        </w:rPr>
        <w:t>s</w:t>
      </w:r>
      <w:r w:rsidRPr="00782F27">
        <w:rPr>
          <w:rFonts w:ascii="Times New Roman" w:hAnsi="Times New Roman"/>
          <w:sz w:val="24"/>
          <w:szCs w:val="24"/>
          <w:lang w:val="en-US"/>
        </w:rPr>
        <w:t>tent supervisory expectations, and, thus, providing a level playing field</w:t>
      </w:r>
      <w:r>
        <w:rPr>
          <w:rFonts w:ascii="Times New Roman" w:hAnsi="Times New Roman"/>
          <w:sz w:val="24"/>
          <w:szCs w:val="24"/>
          <w:lang w:val="en-US"/>
        </w:rPr>
        <w:t xml:space="preserve"> for banks in the context of SREP. </w:t>
      </w:r>
      <w:r w:rsidR="009706EE">
        <w:rPr>
          <w:rFonts w:ascii="Times New Roman" w:hAnsi="Times New Roman"/>
          <w:sz w:val="24"/>
          <w:szCs w:val="24"/>
          <w:lang w:val="en-US"/>
        </w:rPr>
        <w:t xml:space="preserve">The guidelines could be enriched with clear indications on the information that will be requested from banks during the SREP. </w:t>
      </w:r>
    </w:p>
    <w:p w14:paraId="3920BE4A" w14:textId="46B5DA10"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The bank should be able to put forward its self-assessment and have it understood by the supervisor before proceeding with the scoring phase. In the absence of supervisory founded </w:t>
      </w:r>
      <w:r>
        <w:rPr>
          <w:rFonts w:ascii="Times New Roman" w:hAnsi="Times New Roman"/>
          <w:sz w:val="24"/>
          <w:szCs w:val="24"/>
          <w:lang w:val="en-US"/>
        </w:rPr>
        <w:lastRenderedPageBreak/>
        <w:t xml:space="preserve">objections the self-portrayal of the bank, which is in part enshrined in its ICAAP, should prevail. This principle should be included in the guidelines. </w:t>
      </w:r>
    </w:p>
    <w:p w14:paraId="23D3AAEB" w14:textId="7FC4EF71" w:rsidR="00FA42A7" w:rsidRPr="006752DC" w:rsidRDefault="00FA42A7" w:rsidP="00702CF4">
      <w:pPr>
        <w:spacing w:before="120"/>
        <w:jc w:val="both"/>
        <w:rPr>
          <w:rFonts w:ascii="Times New Roman" w:hAnsi="Times New Roman"/>
          <w:sz w:val="24"/>
          <w:szCs w:val="24"/>
          <w:lang w:val="en-GB"/>
        </w:rPr>
      </w:pPr>
      <w:r w:rsidRPr="00FA42A7">
        <w:rPr>
          <w:rFonts w:ascii="Times New Roman" w:hAnsi="Times New Roman"/>
          <w:sz w:val="24"/>
          <w:szCs w:val="24"/>
          <w:lang w:val="en-GB"/>
        </w:rPr>
        <w:t xml:space="preserve">If the competent authority decides to take a supervisory measure as a result of the SREP, the authority shall state its reasons. The statement of reasons is to contain all material facts and legal </w:t>
      </w:r>
      <w:r>
        <w:rPr>
          <w:rFonts w:ascii="Times New Roman" w:hAnsi="Times New Roman"/>
          <w:sz w:val="24"/>
          <w:szCs w:val="24"/>
          <w:lang w:val="en-GB"/>
        </w:rPr>
        <w:t>provisions</w:t>
      </w:r>
      <w:r w:rsidRPr="00FA42A7">
        <w:rPr>
          <w:rFonts w:ascii="Times New Roman" w:hAnsi="Times New Roman"/>
          <w:sz w:val="24"/>
          <w:szCs w:val="24"/>
          <w:lang w:val="en-GB"/>
        </w:rPr>
        <w:t xml:space="preserve"> on which the authority's decision is based, including a reaction to any objection </w:t>
      </w:r>
      <w:r>
        <w:rPr>
          <w:rFonts w:ascii="Times New Roman" w:hAnsi="Times New Roman"/>
          <w:sz w:val="24"/>
          <w:szCs w:val="24"/>
          <w:lang w:val="en-GB"/>
        </w:rPr>
        <w:t>that</w:t>
      </w:r>
      <w:r w:rsidRPr="00FA42A7">
        <w:rPr>
          <w:rFonts w:ascii="Times New Roman" w:hAnsi="Times New Roman"/>
          <w:sz w:val="24"/>
          <w:szCs w:val="24"/>
          <w:lang w:val="en-GB"/>
        </w:rPr>
        <w:t xml:space="preserve"> the institution may have brought forward in the dialogue preceding the final SREP decision.</w:t>
      </w:r>
      <w:r>
        <w:rPr>
          <w:rFonts w:ascii="Times New Roman" w:hAnsi="Times New Roman"/>
          <w:sz w:val="24"/>
          <w:szCs w:val="24"/>
          <w:lang w:val="en-GB"/>
        </w:rPr>
        <w:t xml:space="preserve"> </w:t>
      </w:r>
    </w:p>
    <w:p w14:paraId="3920BE4B"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Finally, it is important to weigh the changes that the start of operations of the Single Supervisory Mechanism (SSM) will bring in a significant part of the European supervisory community. Reportedly, the SSM has allocated supervisory duties to officials of different backgrounds and nationalities in pursuit of a common supervisory culture. The EBF considers essential to achieving success that an environment of dialogue between the new supervisors and their banks is created. Such a climate of common understanding could benefit from further recognition to the interaction between supervisor and bank in the SREP guidelines under way.   </w:t>
      </w:r>
    </w:p>
    <w:p w14:paraId="3920BE4C" w14:textId="77777777" w:rsidR="00AA4D21" w:rsidRDefault="00AA4D21" w:rsidP="00702CF4">
      <w:pPr>
        <w:spacing w:before="120"/>
        <w:jc w:val="both"/>
        <w:rPr>
          <w:rFonts w:ascii="Times New Roman" w:hAnsi="Times New Roman"/>
          <w:sz w:val="24"/>
          <w:szCs w:val="24"/>
          <w:lang w:val="en-GB"/>
        </w:rPr>
      </w:pPr>
      <w:r w:rsidRPr="00787A4E">
        <w:rPr>
          <w:rFonts w:ascii="Times New Roman" w:hAnsi="Times New Roman"/>
          <w:sz w:val="24"/>
          <w:szCs w:val="24"/>
          <w:lang w:val="en-GB"/>
        </w:rPr>
        <w:t xml:space="preserve">The above </w:t>
      </w:r>
      <w:r>
        <w:rPr>
          <w:rFonts w:ascii="Times New Roman" w:hAnsi="Times New Roman"/>
          <w:sz w:val="24"/>
          <w:szCs w:val="24"/>
          <w:lang w:val="en-GB"/>
        </w:rPr>
        <w:t xml:space="preserve">observations could be extended to the Internal Liquidity Adequacy Assessment Process (ILAAP) when a harmonised framework is implemented throughout the EU. </w:t>
      </w:r>
    </w:p>
    <w:p w14:paraId="3920BE4D" w14:textId="77777777" w:rsidR="00AA4D21" w:rsidRDefault="00AA4D21" w:rsidP="009F2F86">
      <w:pPr>
        <w:spacing w:before="120"/>
        <w:jc w:val="both"/>
        <w:rPr>
          <w:rFonts w:ascii="Times New Roman" w:hAnsi="Times New Roman"/>
          <w:b/>
          <w:sz w:val="24"/>
          <w:szCs w:val="24"/>
          <w:u w:val="single"/>
          <w:lang w:val="en-GB"/>
        </w:rPr>
      </w:pPr>
    </w:p>
    <w:p w14:paraId="3920BE4E" w14:textId="77777777" w:rsidR="00AA4D21" w:rsidRPr="00677F3F" w:rsidRDefault="00AA4D21" w:rsidP="00787A4E">
      <w:pPr>
        <w:numPr>
          <w:ilvl w:val="0"/>
          <w:numId w:val="26"/>
        </w:numPr>
        <w:spacing w:before="120"/>
        <w:jc w:val="both"/>
        <w:rPr>
          <w:rFonts w:ascii="Times New Roman" w:hAnsi="Times New Roman"/>
          <w:b/>
          <w:sz w:val="24"/>
          <w:szCs w:val="24"/>
          <w:u w:val="single"/>
          <w:lang w:val="en-GB"/>
        </w:rPr>
      </w:pPr>
      <w:r>
        <w:rPr>
          <w:rFonts w:ascii="Times New Roman" w:hAnsi="Times New Roman"/>
          <w:b/>
          <w:sz w:val="24"/>
          <w:szCs w:val="24"/>
          <w:u w:val="single"/>
          <w:lang w:val="en-GB"/>
        </w:rPr>
        <w:t>Sheer pillar 2 and not just pillar-1-plus</w:t>
      </w:r>
    </w:p>
    <w:p w14:paraId="3920BE4F" w14:textId="77777777" w:rsidR="00AA4D21" w:rsidRPr="009F2F86" w:rsidRDefault="00AA4D21" w:rsidP="009F2F86">
      <w:pPr>
        <w:spacing w:before="120"/>
        <w:jc w:val="both"/>
        <w:rPr>
          <w:rFonts w:ascii="Times New Roman" w:hAnsi="Times New Roman"/>
          <w:sz w:val="24"/>
          <w:szCs w:val="24"/>
          <w:lang w:val="en-GB"/>
        </w:rPr>
      </w:pPr>
      <w:r w:rsidRPr="009F2F86">
        <w:rPr>
          <w:rFonts w:ascii="Times New Roman" w:hAnsi="Times New Roman"/>
          <w:sz w:val="24"/>
          <w:szCs w:val="24"/>
          <w:lang w:val="en-GB"/>
        </w:rPr>
        <w:t xml:space="preserve">On the evidence of the draft guidelines, we also foresee a blurring of the current distinction between </w:t>
      </w:r>
      <w:r>
        <w:rPr>
          <w:rFonts w:ascii="Times New Roman" w:hAnsi="Times New Roman"/>
          <w:sz w:val="24"/>
          <w:szCs w:val="24"/>
          <w:lang w:val="en-GB"/>
        </w:rPr>
        <w:t>p</w:t>
      </w:r>
      <w:r w:rsidRPr="009F2F86">
        <w:rPr>
          <w:rFonts w:ascii="Times New Roman" w:hAnsi="Times New Roman"/>
          <w:sz w:val="24"/>
          <w:szCs w:val="24"/>
          <w:lang w:val="en-GB"/>
        </w:rPr>
        <w:t xml:space="preserve">illar 1 and </w:t>
      </w:r>
      <w:r>
        <w:rPr>
          <w:rFonts w:ascii="Times New Roman" w:hAnsi="Times New Roman"/>
          <w:sz w:val="24"/>
          <w:szCs w:val="24"/>
          <w:lang w:val="en-GB"/>
        </w:rPr>
        <w:t xml:space="preserve">pillar </w:t>
      </w:r>
      <w:r w:rsidRPr="009F2F86">
        <w:rPr>
          <w:rFonts w:ascii="Times New Roman" w:hAnsi="Times New Roman"/>
          <w:sz w:val="24"/>
          <w:szCs w:val="24"/>
          <w:lang w:val="en-GB"/>
        </w:rPr>
        <w:t xml:space="preserve">2. </w:t>
      </w:r>
      <w:r>
        <w:rPr>
          <w:rFonts w:ascii="Times New Roman" w:hAnsi="Times New Roman"/>
          <w:sz w:val="24"/>
          <w:szCs w:val="24"/>
          <w:lang w:val="en-GB"/>
        </w:rPr>
        <w:t>We find it a good practice in some countries that</w:t>
      </w:r>
      <w:r w:rsidRPr="009F2F86">
        <w:rPr>
          <w:rFonts w:ascii="Times New Roman" w:hAnsi="Times New Roman"/>
          <w:sz w:val="24"/>
          <w:szCs w:val="24"/>
          <w:lang w:val="en-GB"/>
        </w:rPr>
        <w:t xml:space="preserve"> economic capital is currently calculated under Pillar 2 on the strict condition that overall Pillar 1 requirements should not be undercut. The purpose of this calculation is to have a basis for risk management processes. As we understand it, the new approach will require a comparison to be made per risk between the Pillar 1 capital </w:t>
      </w:r>
      <w:proofErr w:type="gramStart"/>
      <w:r w:rsidRPr="009F2F86">
        <w:rPr>
          <w:rFonts w:ascii="Times New Roman" w:hAnsi="Times New Roman"/>
          <w:sz w:val="24"/>
          <w:szCs w:val="24"/>
          <w:lang w:val="en-GB"/>
        </w:rPr>
        <w:t>charge</w:t>
      </w:r>
      <w:proofErr w:type="gramEnd"/>
      <w:r w:rsidRPr="009F2F86">
        <w:rPr>
          <w:rFonts w:ascii="Times New Roman" w:hAnsi="Times New Roman"/>
          <w:sz w:val="24"/>
          <w:szCs w:val="24"/>
          <w:lang w:val="en-GB"/>
        </w:rPr>
        <w:t xml:space="preserve">, the capital requirement calculated using the bank’s internal risk model and an amount calculated using a prudential benchmark model. </w:t>
      </w:r>
      <w:r>
        <w:rPr>
          <w:rFonts w:ascii="Times New Roman" w:hAnsi="Times New Roman"/>
          <w:sz w:val="24"/>
          <w:szCs w:val="24"/>
          <w:lang w:val="en-GB"/>
        </w:rPr>
        <w:t xml:space="preserve">In practice, we presume </w:t>
      </w:r>
      <w:r w:rsidRPr="009F2F86">
        <w:rPr>
          <w:rFonts w:ascii="Times New Roman" w:hAnsi="Times New Roman"/>
          <w:sz w:val="24"/>
          <w:szCs w:val="24"/>
          <w:lang w:val="en-GB"/>
        </w:rPr>
        <w:t>the highest of these three amounts will be taken as a (worst-case) yardstick. If it is above the Pillar 1 capital charge, an add-on for the difference will be imposed. These additional capital requirements for credit</w:t>
      </w:r>
      <w:r>
        <w:rPr>
          <w:rFonts w:ascii="Times New Roman" w:hAnsi="Times New Roman"/>
          <w:sz w:val="24"/>
          <w:szCs w:val="24"/>
          <w:lang w:val="en-GB"/>
        </w:rPr>
        <w:t xml:space="preserve"> risk</w:t>
      </w:r>
      <w:r w:rsidRPr="009F2F86">
        <w:rPr>
          <w:rFonts w:ascii="Times New Roman" w:hAnsi="Times New Roman"/>
          <w:sz w:val="24"/>
          <w:szCs w:val="24"/>
          <w:lang w:val="en-GB"/>
        </w:rPr>
        <w:t>, market</w:t>
      </w:r>
      <w:r>
        <w:rPr>
          <w:rFonts w:ascii="Times New Roman" w:hAnsi="Times New Roman"/>
          <w:sz w:val="24"/>
          <w:szCs w:val="24"/>
          <w:lang w:val="en-GB"/>
        </w:rPr>
        <w:t xml:space="preserve"> risk</w:t>
      </w:r>
      <w:r w:rsidRPr="009F2F86">
        <w:rPr>
          <w:rFonts w:ascii="Times New Roman" w:hAnsi="Times New Roman"/>
          <w:sz w:val="24"/>
          <w:szCs w:val="24"/>
          <w:lang w:val="en-GB"/>
        </w:rPr>
        <w:t xml:space="preserve"> and operational risk will be added together and then supplemented further with a capital requirement for interest rate risk, model risk and reputational risk. No diversification effects will be taken into account. The objective of this exercise is to calculate the worst possible overall risk scenario facing the bank. We do not believe this is a viable approach suitable for the management of a bank. Pillar 2 would be diverted from its intended purpose and downgraded to a “Pillar 1 plus”. </w:t>
      </w:r>
    </w:p>
    <w:p w14:paraId="3920BE50" w14:textId="77777777" w:rsidR="00AA4D21" w:rsidRDefault="00AA4D21" w:rsidP="009F2F86">
      <w:pPr>
        <w:spacing w:before="120"/>
        <w:jc w:val="both"/>
        <w:rPr>
          <w:rFonts w:ascii="Times New Roman" w:hAnsi="Times New Roman"/>
          <w:sz w:val="24"/>
          <w:szCs w:val="24"/>
          <w:lang w:val="en-GB"/>
        </w:rPr>
      </w:pPr>
      <w:r w:rsidRPr="009F2F86">
        <w:rPr>
          <w:rFonts w:ascii="Times New Roman" w:hAnsi="Times New Roman"/>
          <w:sz w:val="24"/>
          <w:szCs w:val="24"/>
          <w:lang w:val="en-GB"/>
        </w:rPr>
        <w:t>We would instead suggest the following approach which is already in place in a couple of EU countries</w:t>
      </w:r>
      <w:r>
        <w:rPr>
          <w:rFonts w:ascii="Times New Roman" w:hAnsi="Times New Roman"/>
          <w:sz w:val="24"/>
          <w:szCs w:val="24"/>
          <w:lang w:val="en-GB"/>
        </w:rPr>
        <w:t>:</w:t>
      </w:r>
      <w:r w:rsidRPr="009F2F86">
        <w:rPr>
          <w:rFonts w:ascii="Times New Roman" w:hAnsi="Times New Roman"/>
          <w:sz w:val="24"/>
          <w:szCs w:val="24"/>
          <w:lang w:val="en-GB"/>
        </w:rPr>
        <w:t xml:space="preserve"> </w:t>
      </w:r>
    </w:p>
    <w:p w14:paraId="3920BE51" w14:textId="77777777" w:rsidR="00AA4D21" w:rsidRDefault="00AA4D21" w:rsidP="00787A4E">
      <w:pPr>
        <w:pStyle w:val="ListParagraph"/>
        <w:numPr>
          <w:ilvl w:val="0"/>
          <w:numId w:val="21"/>
        </w:numPr>
        <w:spacing w:before="120"/>
        <w:ind w:left="714" w:hanging="357"/>
        <w:contextualSpacing w:val="0"/>
        <w:jc w:val="both"/>
        <w:rPr>
          <w:rFonts w:ascii="Times New Roman" w:hAnsi="Times New Roman"/>
          <w:sz w:val="24"/>
          <w:szCs w:val="24"/>
          <w:lang w:val="en-GB"/>
        </w:rPr>
      </w:pPr>
      <w:r w:rsidRPr="00787A4E">
        <w:rPr>
          <w:rFonts w:ascii="Times New Roman" w:hAnsi="Times New Roman"/>
          <w:sz w:val="24"/>
          <w:szCs w:val="24"/>
          <w:lang w:val="en-GB"/>
        </w:rPr>
        <w:t xml:space="preserve">The first step is </w:t>
      </w:r>
      <w:r>
        <w:rPr>
          <w:rFonts w:ascii="Times New Roman" w:hAnsi="Times New Roman"/>
          <w:sz w:val="24"/>
          <w:szCs w:val="24"/>
          <w:lang w:val="en-GB"/>
        </w:rPr>
        <w:t xml:space="preserve">for the bank </w:t>
      </w:r>
      <w:r w:rsidRPr="00787A4E">
        <w:rPr>
          <w:rFonts w:ascii="Times New Roman" w:hAnsi="Times New Roman"/>
          <w:sz w:val="24"/>
          <w:szCs w:val="24"/>
          <w:lang w:val="en-GB"/>
        </w:rPr>
        <w:t xml:space="preserve">to calculate </w:t>
      </w:r>
      <w:r>
        <w:rPr>
          <w:rFonts w:ascii="Times New Roman" w:hAnsi="Times New Roman"/>
          <w:sz w:val="24"/>
          <w:szCs w:val="24"/>
          <w:lang w:val="en-GB"/>
        </w:rPr>
        <w:t>its</w:t>
      </w:r>
      <w:r w:rsidRPr="00787A4E">
        <w:rPr>
          <w:rFonts w:ascii="Times New Roman" w:hAnsi="Times New Roman"/>
          <w:sz w:val="24"/>
          <w:szCs w:val="24"/>
          <w:lang w:val="en-GB"/>
        </w:rPr>
        <w:t xml:space="preserve"> overall need for economic capital and </w:t>
      </w:r>
      <w:r>
        <w:rPr>
          <w:rFonts w:ascii="Times New Roman" w:hAnsi="Times New Roman"/>
          <w:sz w:val="24"/>
          <w:szCs w:val="24"/>
          <w:lang w:val="en-GB"/>
        </w:rPr>
        <w:t xml:space="preserve">to </w:t>
      </w:r>
      <w:r w:rsidRPr="00787A4E">
        <w:rPr>
          <w:rFonts w:ascii="Times New Roman" w:hAnsi="Times New Roman"/>
          <w:sz w:val="24"/>
          <w:szCs w:val="24"/>
          <w:lang w:val="en-GB"/>
        </w:rPr>
        <w:t xml:space="preserve">discuss the outcome with supervisors. </w:t>
      </w:r>
    </w:p>
    <w:p w14:paraId="3920BE52" w14:textId="77777777" w:rsidR="00AA4D21" w:rsidRDefault="00AA4D21" w:rsidP="00787A4E">
      <w:pPr>
        <w:pStyle w:val="ListParagraph"/>
        <w:numPr>
          <w:ilvl w:val="0"/>
          <w:numId w:val="21"/>
        </w:numPr>
        <w:spacing w:before="120"/>
        <w:ind w:left="714" w:hanging="357"/>
        <w:contextualSpacing w:val="0"/>
        <w:jc w:val="both"/>
        <w:rPr>
          <w:rFonts w:ascii="Times New Roman" w:hAnsi="Times New Roman"/>
          <w:sz w:val="24"/>
          <w:szCs w:val="24"/>
          <w:lang w:val="en-GB"/>
        </w:rPr>
      </w:pPr>
      <w:r w:rsidRPr="00787A4E">
        <w:rPr>
          <w:rFonts w:ascii="Times New Roman" w:hAnsi="Times New Roman"/>
          <w:sz w:val="24"/>
          <w:szCs w:val="24"/>
          <w:lang w:val="en-GB"/>
        </w:rPr>
        <w:t xml:space="preserve">This amount is then compared with the overall capital requirements determined under </w:t>
      </w:r>
      <w:r>
        <w:rPr>
          <w:rFonts w:ascii="Times New Roman" w:hAnsi="Times New Roman"/>
          <w:sz w:val="24"/>
          <w:szCs w:val="24"/>
          <w:lang w:val="en-GB"/>
        </w:rPr>
        <w:t>p</w:t>
      </w:r>
      <w:r w:rsidRPr="00787A4E">
        <w:rPr>
          <w:rFonts w:ascii="Times New Roman" w:hAnsi="Times New Roman"/>
          <w:sz w:val="24"/>
          <w:szCs w:val="24"/>
          <w:lang w:val="en-GB"/>
        </w:rPr>
        <w:t xml:space="preserve">illar 1. </w:t>
      </w:r>
    </w:p>
    <w:p w14:paraId="3920BE53" w14:textId="77777777" w:rsidR="00AA4D21" w:rsidRPr="00787A4E" w:rsidRDefault="00AA4D21" w:rsidP="009F2F86">
      <w:pPr>
        <w:spacing w:before="120"/>
        <w:jc w:val="both"/>
        <w:rPr>
          <w:rFonts w:ascii="Times New Roman" w:hAnsi="Times New Roman"/>
          <w:sz w:val="24"/>
          <w:szCs w:val="24"/>
          <w:lang w:val="en-GB"/>
        </w:rPr>
      </w:pPr>
      <w:r w:rsidRPr="00787A4E">
        <w:rPr>
          <w:rFonts w:ascii="Times New Roman" w:hAnsi="Times New Roman"/>
          <w:sz w:val="24"/>
          <w:szCs w:val="24"/>
          <w:lang w:val="en-GB"/>
        </w:rPr>
        <w:t xml:space="preserve">In this context it must be mentioned that it should be permitted to take account of diversification effects in the first step as long as they make good economic sense. To arrive at figures that can be realistically used for risk management purposes, it is particularly important to consider </w:t>
      </w:r>
      <w:r w:rsidRPr="00787A4E">
        <w:rPr>
          <w:rFonts w:ascii="Times New Roman" w:hAnsi="Times New Roman"/>
          <w:sz w:val="24"/>
          <w:szCs w:val="24"/>
          <w:lang w:val="en-GB"/>
        </w:rPr>
        <w:lastRenderedPageBreak/>
        <w:t>diversification effects when it comes to risks determined by the same risk factors, such as general market risk and interest rate risk in the banking book, or credit default and credit spread risk.</w:t>
      </w:r>
    </w:p>
    <w:p w14:paraId="3920BE54" w14:textId="77777777" w:rsidR="00AA4D21" w:rsidRDefault="00AA4D21" w:rsidP="00702CF4">
      <w:pPr>
        <w:spacing w:before="120"/>
        <w:jc w:val="both"/>
        <w:rPr>
          <w:rFonts w:ascii="Times New Roman" w:hAnsi="Times New Roman"/>
          <w:b/>
          <w:sz w:val="24"/>
          <w:szCs w:val="24"/>
          <w:u w:val="single"/>
          <w:lang w:val="en-GB"/>
        </w:rPr>
      </w:pPr>
    </w:p>
    <w:p w14:paraId="3920BE55" w14:textId="77777777" w:rsidR="00AA4D21" w:rsidRPr="00677F3F" w:rsidRDefault="00AA4D21" w:rsidP="00787A4E">
      <w:pPr>
        <w:numPr>
          <w:ilvl w:val="0"/>
          <w:numId w:val="26"/>
        </w:numPr>
        <w:spacing w:before="120"/>
        <w:jc w:val="both"/>
        <w:rPr>
          <w:rFonts w:ascii="Times New Roman" w:hAnsi="Times New Roman"/>
          <w:b/>
          <w:sz w:val="24"/>
          <w:szCs w:val="24"/>
          <w:u w:val="single"/>
          <w:lang w:val="en-GB"/>
        </w:rPr>
      </w:pPr>
      <w:r>
        <w:rPr>
          <w:rFonts w:ascii="Times New Roman" w:hAnsi="Times New Roman"/>
          <w:b/>
          <w:sz w:val="24"/>
          <w:szCs w:val="24"/>
          <w:u w:val="single"/>
          <w:lang w:val="en-GB"/>
        </w:rPr>
        <w:t>R</w:t>
      </w:r>
      <w:r w:rsidRPr="00677F3F">
        <w:rPr>
          <w:rFonts w:ascii="Times New Roman" w:hAnsi="Times New Roman"/>
          <w:b/>
          <w:sz w:val="24"/>
          <w:szCs w:val="24"/>
          <w:u w:val="single"/>
          <w:lang w:val="en-GB"/>
        </w:rPr>
        <w:t>ecognition of diversification</w:t>
      </w:r>
    </w:p>
    <w:p w14:paraId="3920BE56" w14:textId="33779C50" w:rsidR="00AA4D21" w:rsidRDefault="00AA4D21" w:rsidP="00702CF4">
      <w:pPr>
        <w:spacing w:before="120"/>
        <w:jc w:val="both"/>
        <w:rPr>
          <w:rFonts w:ascii="Times New Roman" w:hAnsi="Times New Roman"/>
          <w:sz w:val="24"/>
          <w:szCs w:val="24"/>
          <w:lang w:val="en-GB"/>
        </w:rPr>
      </w:pPr>
      <w:r>
        <w:rPr>
          <w:rFonts w:ascii="Times New Roman" w:hAnsi="Times New Roman"/>
          <w:sz w:val="24"/>
          <w:szCs w:val="24"/>
          <w:lang w:val="en-GB"/>
        </w:rPr>
        <w:t xml:space="preserve">The </w:t>
      </w:r>
      <w:r w:rsidR="00853C00">
        <w:rPr>
          <w:rFonts w:ascii="Times New Roman" w:hAnsi="Times New Roman"/>
          <w:sz w:val="24"/>
          <w:szCs w:val="24"/>
          <w:lang w:val="en-GB"/>
        </w:rPr>
        <w:t xml:space="preserve">EBF has noted that the </w:t>
      </w:r>
      <w:r>
        <w:rPr>
          <w:rFonts w:ascii="Times New Roman" w:hAnsi="Times New Roman"/>
          <w:sz w:val="24"/>
          <w:szCs w:val="24"/>
          <w:lang w:val="en-GB"/>
        </w:rPr>
        <w:t xml:space="preserve">guidelines do not recognise the benefits of diversification. However </w:t>
      </w:r>
      <w:r w:rsidR="00853C00">
        <w:rPr>
          <w:rFonts w:ascii="Times New Roman" w:hAnsi="Times New Roman"/>
          <w:sz w:val="24"/>
          <w:szCs w:val="24"/>
          <w:lang w:val="en-GB"/>
        </w:rPr>
        <w:t xml:space="preserve">Article 98 </w:t>
      </w:r>
      <w:r>
        <w:rPr>
          <w:rFonts w:ascii="Times New Roman" w:hAnsi="Times New Roman"/>
          <w:sz w:val="24"/>
          <w:szCs w:val="24"/>
          <w:lang w:val="en-GB"/>
        </w:rPr>
        <w:t xml:space="preserve">CRD IV clearly </w:t>
      </w:r>
      <w:r w:rsidR="00853C00">
        <w:rPr>
          <w:rFonts w:ascii="Times New Roman" w:hAnsi="Times New Roman"/>
          <w:sz w:val="24"/>
          <w:szCs w:val="24"/>
          <w:lang w:val="en-GB"/>
        </w:rPr>
        <w:t>provides</w:t>
      </w:r>
      <w:r>
        <w:rPr>
          <w:rFonts w:ascii="Times New Roman" w:hAnsi="Times New Roman"/>
          <w:sz w:val="24"/>
          <w:szCs w:val="24"/>
          <w:lang w:val="en-GB"/>
        </w:rPr>
        <w:t xml:space="preserve"> that </w:t>
      </w:r>
      <w:r w:rsidRPr="00E30C2F">
        <w:rPr>
          <w:rFonts w:ascii="Times New Roman" w:hAnsi="Times New Roman"/>
          <w:sz w:val="24"/>
          <w:szCs w:val="24"/>
          <w:lang w:val="en-GB"/>
        </w:rPr>
        <w:t xml:space="preserve">the review and evaluation performed by competent authorities shall include </w:t>
      </w:r>
      <w:r w:rsidRPr="00020C01">
        <w:rPr>
          <w:rFonts w:ascii="Times New Roman" w:hAnsi="Times New Roman"/>
          <w:sz w:val="24"/>
          <w:szCs w:val="24"/>
          <w:lang w:val="en-GB"/>
        </w:rPr>
        <w:t>the impact of diversification effects and how such effects are factored into the risk measurement system</w:t>
      </w:r>
      <w:r>
        <w:rPr>
          <w:rFonts w:ascii="Times New Roman" w:hAnsi="Times New Roman"/>
          <w:sz w:val="24"/>
          <w:szCs w:val="24"/>
          <w:lang w:val="en-GB"/>
        </w:rPr>
        <w:t xml:space="preserve">. </w:t>
      </w:r>
    </w:p>
    <w:p w14:paraId="3920BE57" w14:textId="77777777" w:rsidR="00AA4D21" w:rsidRDefault="00AA4D21" w:rsidP="00702CF4">
      <w:pPr>
        <w:spacing w:before="120"/>
        <w:jc w:val="both"/>
        <w:rPr>
          <w:rFonts w:ascii="Times New Roman" w:hAnsi="Times New Roman"/>
          <w:sz w:val="24"/>
          <w:szCs w:val="24"/>
          <w:lang w:val="en-GB"/>
        </w:rPr>
      </w:pPr>
      <w:r>
        <w:rPr>
          <w:rFonts w:ascii="Times New Roman" w:hAnsi="Times New Roman"/>
          <w:sz w:val="24"/>
          <w:szCs w:val="24"/>
          <w:lang w:val="en-GB"/>
        </w:rPr>
        <w:t xml:space="preserve">The incentive to build well-diversified portfolios should remain. Diversification cannot be neglected in the supervisory evaluation as it is an essential element of bank business in all of its forms: </w:t>
      </w:r>
    </w:p>
    <w:p w14:paraId="3920BE58" w14:textId="77777777" w:rsidR="00AA4D21" w:rsidRDefault="00AA4D21" w:rsidP="00702CF4">
      <w:pPr>
        <w:numPr>
          <w:ilvl w:val="0"/>
          <w:numId w:val="17"/>
        </w:numPr>
        <w:spacing w:before="120"/>
        <w:jc w:val="both"/>
        <w:rPr>
          <w:rFonts w:ascii="Times New Roman" w:hAnsi="Times New Roman"/>
          <w:sz w:val="24"/>
          <w:szCs w:val="24"/>
          <w:lang w:val="en-GB"/>
        </w:rPr>
      </w:pPr>
      <w:r>
        <w:rPr>
          <w:rFonts w:ascii="Times New Roman" w:hAnsi="Times New Roman"/>
          <w:sz w:val="24"/>
          <w:szCs w:val="24"/>
          <w:lang w:val="en-GB"/>
        </w:rPr>
        <w:t xml:space="preserve">Inter-risk (credit risk, market risk and operational risk); </w:t>
      </w:r>
    </w:p>
    <w:p w14:paraId="3920BE59" w14:textId="77777777" w:rsidR="00AA4D21" w:rsidRDefault="00AA4D21" w:rsidP="00702CF4">
      <w:pPr>
        <w:numPr>
          <w:ilvl w:val="0"/>
          <w:numId w:val="17"/>
        </w:numPr>
        <w:spacing w:before="120"/>
        <w:jc w:val="both"/>
        <w:rPr>
          <w:rFonts w:ascii="Times New Roman" w:hAnsi="Times New Roman"/>
          <w:sz w:val="24"/>
          <w:szCs w:val="24"/>
          <w:lang w:val="en-GB"/>
        </w:rPr>
      </w:pPr>
      <w:r>
        <w:rPr>
          <w:rFonts w:ascii="Times New Roman" w:hAnsi="Times New Roman"/>
          <w:sz w:val="24"/>
          <w:szCs w:val="24"/>
          <w:lang w:val="en-GB"/>
        </w:rPr>
        <w:t xml:space="preserve">Intra-risk in different geographies and portfolio types; </w:t>
      </w:r>
    </w:p>
    <w:p w14:paraId="3920BE5A" w14:textId="77777777" w:rsidR="00AA4D21" w:rsidRDefault="00AA4D21" w:rsidP="00702CF4">
      <w:pPr>
        <w:spacing w:before="120"/>
        <w:jc w:val="both"/>
        <w:rPr>
          <w:rFonts w:ascii="Times New Roman" w:hAnsi="Times New Roman"/>
          <w:sz w:val="24"/>
          <w:szCs w:val="24"/>
          <w:lang w:val="en-GB"/>
        </w:rPr>
      </w:pPr>
      <w:r>
        <w:rPr>
          <w:rFonts w:ascii="Times New Roman" w:hAnsi="Times New Roman"/>
          <w:sz w:val="24"/>
          <w:szCs w:val="24"/>
          <w:lang w:val="en-GB"/>
        </w:rPr>
        <w:t xml:space="preserve">Otherwise this assessment framework would be incomplete and a proper assessment of the banks is hampered. </w:t>
      </w:r>
    </w:p>
    <w:p w14:paraId="29BD5E20" w14:textId="1590F715" w:rsidR="00F362B6" w:rsidRDefault="00F362B6" w:rsidP="00702CF4">
      <w:pPr>
        <w:spacing w:before="120"/>
        <w:jc w:val="both"/>
        <w:rPr>
          <w:rFonts w:ascii="Times New Roman" w:hAnsi="Times New Roman"/>
          <w:sz w:val="24"/>
          <w:szCs w:val="24"/>
          <w:lang w:val="en-GB"/>
        </w:rPr>
      </w:pPr>
      <w:r>
        <w:rPr>
          <w:rFonts w:ascii="Times New Roman" w:hAnsi="Times New Roman"/>
          <w:sz w:val="24"/>
          <w:szCs w:val="24"/>
          <w:lang w:val="en-GB"/>
        </w:rPr>
        <w:t xml:space="preserve">Furthermore, we note that </w:t>
      </w:r>
      <w:r w:rsidR="004B56A2">
        <w:rPr>
          <w:rFonts w:ascii="Times New Roman" w:hAnsi="Times New Roman"/>
          <w:sz w:val="24"/>
          <w:szCs w:val="24"/>
          <w:lang w:val="en-GB"/>
        </w:rPr>
        <w:t>Commission Implementing Regulation (EU) No. 710/2014 provides that SREP reports shall be supplemented with a summary of capital adequacy assessment that includes inter-risk diversification effects</w:t>
      </w:r>
      <w:r w:rsidR="004B56A2">
        <w:rPr>
          <w:rStyle w:val="FootnoteReference"/>
          <w:rFonts w:ascii="Times New Roman" w:hAnsi="Times New Roman"/>
          <w:sz w:val="24"/>
          <w:szCs w:val="24"/>
          <w:lang w:val="en-GB"/>
        </w:rPr>
        <w:footnoteReference w:id="8"/>
      </w:r>
      <w:r w:rsidR="004B56A2">
        <w:rPr>
          <w:rFonts w:ascii="Times New Roman" w:hAnsi="Times New Roman"/>
          <w:sz w:val="24"/>
          <w:szCs w:val="24"/>
          <w:lang w:val="en-GB"/>
        </w:rPr>
        <w:t xml:space="preserve">. </w:t>
      </w:r>
    </w:p>
    <w:p w14:paraId="7452F415" w14:textId="77777777" w:rsidR="009C7D6D" w:rsidRDefault="00E3224C" w:rsidP="00702CF4">
      <w:pPr>
        <w:spacing w:before="120"/>
        <w:jc w:val="both"/>
        <w:rPr>
          <w:rFonts w:ascii="Times New Roman" w:hAnsi="Times New Roman"/>
          <w:sz w:val="24"/>
          <w:szCs w:val="24"/>
          <w:lang w:val="en-GB"/>
        </w:rPr>
      </w:pPr>
      <w:r>
        <w:rPr>
          <w:rFonts w:ascii="Times New Roman" w:hAnsi="Times New Roman"/>
          <w:sz w:val="24"/>
          <w:szCs w:val="24"/>
          <w:lang w:val="en-GB"/>
        </w:rPr>
        <w:t>A simple example can illustrate the consequence of the current proposal</w:t>
      </w:r>
      <w:r w:rsidR="009C7D6D">
        <w:rPr>
          <w:rFonts w:ascii="Times New Roman" w:hAnsi="Times New Roman"/>
          <w:sz w:val="24"/>
          <w:szCs w:val="24"/>
          <w:lang w:val="en-GB"/>
        </w:rPr>
        <w:t xml:space="preserve"> which does not recognise</w:t>
      </w:r>
      <w:r>
        <w:rPr>
          <w:rFonts w:ascii="Times New Roman" w:hAnsi="Times New Roman"/>
          <w:sz w:val="24"/>
          <w:szCs w:val="24"/>
          <w:lang w:val="en-GB"/>
        </w:rPr>
        <w:t xml:space="preserve"> inter-risk diversification</w:t>
      </w:r>
      <w:r w:rsidR="009C7D6D">
        <w:rPr>
          <w:rFonts w:ascii="Times New Roman" w:hAnsi="Times New Roman"/>
          <w:sz w:val="24"/>
          <w:szCs w:val="24"/>
          <w:lang w:val="en-GB"/>
        </w:rPr>
        <w:t xml:space="preserve">: </w:t>
      </w:r>
    </w:p>
    <w:p w14:paraId="304484E0" w14:textId="2D6AB4A1" w:rsidR="00E3224C" w:rsidRDefault="009C7D6D" w:rsidP="00702CF4">
      <w:pPr>
        <w:spacing w:before="120"/>
        <w:jc w:val="both"/>
        <w:rPr>
          <w:rFonts w:ascii="Times New Roman" w:hAnsi="Times New Roman"/>
          <w:sz w:val="24"/>
          <w:szCs w:val="24"/>
          <w:lang w:val="en-GB"/>
        </w:rPr>
      </w:pPr>
      <w:r>
        <w:rPr>
          <w:rFonts w:ascii="Times New Roman" w:hAnsi="Times New Roman"/>
          <w:sz w:val="24"/>
          <w:szCs w:val="24"/>
          <w:lang w:val="en-GB"/>
        </w:rPr>
        <w:t xml:space="preserve"> </w:t>
      </w:r>
    </w:p>
    <w:tbl>
      <w:tblPr>
        <w:tblStyle w:val="TableGrid"/>
        <w:tblW w:w="0" w:type="auto"/>
        <w:jc w:val="center"/>
        <w:tblLook w:val="04A0" w:firstRow="1" w:lastRow="0" w:firstColumn="1" w:lastColumn="0" w:noHBand="0" w:noVBand="1"/>
      </w:tblPr>
      <w:tblGrid>
        <w:gridCol w:w="2041"/>
        <w:gridCol w:w="1134"/>
        <w:gridCol w:w="1134"/>
        <w:gridCol w:w="2041"/>
      </w:tblGrid>
      <w:tr w:rsidR="009C7D6D" w14:paraId="6D71E8BF" w14:textId="77777777" w:rsidTr="00D91E4E">
        <w:trPr>
          <w:jc w:val="center"/>
        </w:trPr>
        <w:tc>
          <w:tcPr>
            <w:tcW w:w="2041" w:type="dxa"/>
          </w:tcPr>
          <w:p w14:paraId="1840BA5F" w14:textId="77777777" w:rsidR="009C7D6D" w:rsidRDefault="009C7D6D" w:rsidP="00D91E4E">
            <w:pPr>
              <w:jc w:val="both"/>
              <w:rPr>
                <w:rFonts w:ascii="Akkurat Light Pro" w:hAnsi="Akkurat Light Pro"/>
                <w:lang w:val="en-US"/>
              </w:rPr>
            </w:pPr>
            <w:r>
              <w:rPr>
                <w:rFonts w:ascii="Akkurat Light Pro" w:hAnsi="Akkurat Light Pro"/>
                <w:lang w:val="en-US"/>
              </w:rPr>
              <w:t>Required capital</w:t>
            </w:r>
          </w:p>
        </w:tc>
        <w:tc>
          <w:tcPr>
            <w:tcW w:w="1134" w:type="dxa"/>
          </w:tcPr>
          <w:p w14:paraId="063A97DF" w14:textId="77777777" w:rsidR="009C7D6D" w:rsidRDefault="009C7D6D" w:rsidP="00D91E4E">
            <w:pPr>
              <w:jc w:val="center"/>
              <w:rPr>
                <w:rFonts w:ascii="Akkurat Light Pro" w:hAnsi="Akkurat Light Pro"/>
                <w:lang w:val="en-US"/>
              </w:rPr>
            </w:pPr>
            <w:r>
              <w:rPr>
                <w:rFonts w:ascii="Akkurat Light Pro" w:hAnsi="Akkurat Light Pro"/>
                <w:lang w:val="en-US"/>
              </w:rPr>
              <w:t>Pillar 1</w:t>
            </w:r>
          </w:p>
        </w:tc>
        <w:tc>
          <w:tcPr>
            <w:tcW w:w="1134" w:type="dxa"/>
          </w:tcPr>
          <w:p w14:paraId="10E0F2D2" w14:textId="77777777" w:rsidR="009C7D6D" w:rsidRDefault="009C7D6D" w:rsidP="00D91E4E">
            <w:pPr>
              <w:jc w:val="center"/>
              <w:rPr>
                <w:rFonts w:ascii="Akkurat Light Pro" w:hAnsi="Akkurat Light Pro"/>
                <w:lang w:val="en-US"/>
              </w:rPr>
            </w:pPr>
            <w:r>
              <w:rPr>
                <w:rFonts w:ascii="Akkurat Light Pro" w:hAnsi="Akkurat Light Pro"/>
                <w:lang w:val="en-US"/>
              </w:rPr>
              <w:t>Pillar 2</w:t>
            </w:r>
          </w:p>
        </w:tc>
        <w:tc>
          <w:tcPr>
            <w:tcW w:w="2041" w:type="dxa"/>
          </w:tcPr>
          <w:p w14:paraId="20D02D98" w14:textId="77777777" w:rsidR="009C7D6D" w:rsidRDefault="009C7D6D" w:rsidP="00D91E4E">
            <w:pPr>
              <w:jc w:val="center"/>
              <w:rPr>
                <w:rFonts w:ascii="Akkurat Light Pro" w:hAnsi="Akkurat Light Pro"/>
                <w:lang w:val="en-US"/>
              </w:rPr>
            </w:pPr>
            <w:r>
              <w:rPr>
                <w:rFonts w:ascii="Akkurat Light Pro" w:hAnsi="Akkurat Light Pro"/>
                <w:lang w:val="en-US"/>
              </w:rPr>
              <w:t>SREP approach</w:t>
            </w:r>
          </w:p>
        </w:tc>
      </w:tr>
      <w:tr w:rsidR="009C7D6D" w14:paraId="57BB69B5" w14:textId="77777777" w:rsidTr="00D91E4E">
        <w:trPr>
          <w:jc w:val="center"/>
        </w:trPr>
        <w:tc>
          <w:tcPr>
            <w:tcW w:w="2041" w:type="dxa"/>
          </w:tcPr>
          <w:p w14:paraId="45FAE0FF" w14:textId="77777777" w:rsidR="009C7D6D" w:rsidRDefault="009C7D6D" w:rsidP="00D91E4E">
            <w:pPr>
              <w:jc w:val="both"/>
              <w:rPr>
                <w:rFonts w:ascii="Akkurat Light Pro" w:hAnsi="Akkurat Light Pro"/>
                <w:lang w:val="en-US"/>
              </w:rPr>
            </w:pPr>
            <w:r>
              <w:rPr>
                <w:rFonts w:ascii="Akkurat Light Pro" w:hAnsi="Akkurat Light Pro"/>
                <w:lang w:val="en-US"/>
              </w:rPr>
              <w:t>for risk 1</w:t>
            </w:r>
          </w:p>
        </w:tc>
        <w:tc>
          <w:tcPr>
            <w:tcW w:w="1134" w:type="dxa"/>
          </w:tcPr>
          <w:p w14:paraId="449668FC" w14:textId="1E6FE450" w:rsidR="009C7D6D" w:rsidRDefault="009C7D6D" w:rsidP="00D91E4E">
            <w:pPr>
              <w:jc w:val="center"/>
              <w:rPr>
                <w:rFonts w:ascii="Akkurat Light Pro" w:hAnsi="Akkurat Light Pro"/>
                <w:lang w:val="en-US"/>
              </w:rPr>
            </w:pPr>
            <w:r>
              <w:rPr>
                <w:rFonts w:ascii="Akkurat Light Pro" w:hAnsi="Akkurat Light Pro"/>
                <w:lang w:val="en-US"/>
              </w:rPr>
              <w:t>300</w:t>
            </w:r>
          </w:p>
        </w:tc>
        <w:tc>
          <w:tcPr>
            <w:tcW w:w="1134" w:type="dxa"/>
          </w:tcPr>
          <w:p w14:paraId="594656EC" w14:textId="6993029D" w:rsidR="009C7D6D" w:rsidRDefault="009C7D6D" w:rsidP="00D91E4E">
            <w:pPr>
              <w:jc w:val="center"/>
              <w:rPr>
                <w:rFonts w:ascii="Akkurat Light Pro" w:hAnsi="Akkurat Light Pro"/>
                <w:lang w:val="en-US"/>
              </w:rPr>
            </w:pPr>
            <w:r>
              <w:rPr>
                <w:rFonts w:ascii="Akkurat Light Pro" w:hAnsi="Akkurat Light Pro"/>
                <w:lang w:val="en-US"/>
              </w:rPr>
              <w:t>400</w:t>
            </w:r>
          </w:p>
        </w:tc>
        <w:tc>
          <w:tcPr>
            <w:tcW w:w="2041" w:type="dxa"/>
          </w:tcPr>
          <w:p w14:paraId="7A819198" w14:textId="47D842BC" w:rsidR="009C7D6D" w:rsidRDefault="009C7D6D" w:rsidP="00D91E4E">
            <w:pPr>
              <w:jc w:val="center"/>
              <w:rPr>
                <w:rFonts w:ascii="Akkurat Light Pro" w:hAnsi="Akkurat Light Pro"/>
                <w:lang w:val="en-US"/>
              </w:rPr>
            </w:pPr>
            <w:r>
              <w:rPr>
                <w:rFonts w:ascii="Akkurat Light Pro" w:hAnsi="Akkurat Light Pro"/>
                <w:lang w:val="en-US"/>
              </w:rPr>
              <w:t>400</w:t>
            </w:r>
          </w:p>
        </w:tc>
      </w:tr>
      <w:tr w:rsidR="009C7D6D" w14:paraId="5BB18D3D" w14:textId="77777777" w:rsidTr="00D91E4E">
        <w:trPr>
          <w:jc w:val="center"/>
        </w:trPr>
        <w:tc>
          <w:tcPr>
            <w:tcW w:w="2041" w:type="dxa"/>
          </w:tcPr>
          <w:p w14:paraId="4BD31766" w14:textId="77777777" w:rsidR="009C7D6D" w:rsidRDefault="009C7D6D" w:rsidP="00D91E4E">
            <w:pPr>
              <w:jc w:val="both"/>
              <w:rPr>
                <w:rFonts w:ascii="Akkurat Light Pro" w:hAnsi="Akkurat Light Pro"/>
                <w:lang w:val="en-US"/>
              </w:rPr>
            </w:pPr>
            <w:r>
              <w:rPr>
                <w:rFonts w:ascii="Akkurat Light Pro" w:hAnsi="Akkurat Light Pro"/>
                <w:lang w:val="en-US"/>
              </w:rPr>
              <w:t>for risk 2</w:t>
            </w:r>
          </w:p>
        </w:tc>
        <w:tc>
          <w:tcPr>
            <w:tcW w:w="1134" w:type="dxa"/>
          </w:tcPr>
          <w:p w14:paraId="7C358B4D" w14:textId="45969EFD" w:rsidR="009C7D6D" w:rsidRDefault="009C7D6D" w:rsidP="00D91E4E">
            <w:pPr>
              <w:jc w:val="center"/>
              <w:rPr>
                <w:rFonts w:ascii="Akkurat Light Pro" w:hAnsi="Akkurat Light Pro"/>
                <w:lang w:val="en-US"/>
              </w:rPr>
            </w:pPr>
            <w:r>
              <w:rPr>
                <w:rFonts w:ascii="Akkurat Light Pro" w:hAnsi="Akkurat Light Pro"/>
                <w:lang w:val="en-US"/>
              </w:rPr>
              <w:t>300</w:t>
            </w:r>
          </w:p>
        </w:tc>
        <w:tc>
          <w:tcPr>
            <w:tcW w:w="1134" w:type="dxa"/>
          </w:tcPr>
          <w:p w14:paraId="2D2E14B7" w14:textId="0BA239E0" w:rsidR="009C7D6D" w:rsidRDefault="009C7D6D" w:rsidP="00D91E4E">
            <w:pPr>
              <w:jc w:val="center"/>
              <w:rPr>
                <w:rFonts w:ascii="Akkurat Light Pro" w:hAnsi="Akkurat Light Pro"/>
                <w:lang w:val="en-US"/>
              </w:rPr>
            </w:pPr>
            <w:r>
              <w:rPr>
                <w:rFonts w:ascii="Akkurat Light Pro" w:hAnsi="Akkurat Light Pro"/>
                <w:lang w:val="en-US"/>
              </w:rPr>
              <w:t>200</w:t>
            </w:r>
          </w:p>
        </w:tc>
        <w:tc>
          <w:tcPr>
            <w:tcW w:w="2041" w:type="dxa"/>
          </w:tcPr>
          <w:p w14:paraId="5BDD812D" w14:textId="4E85103F" w:rsidR="009C7D6D" w:rsidRDefault="009C7D6D" w:rsidP="00D91E4E">
            <w:pPr>
              <w:jc w:val="center"/>
              <w:rPr>
                <w:rFonts w:ascii="Akkurat Light Pro" w:hAnsi="Akkurat Light Pro"/>
                <w:lang w:val="en-US"/>
              </w:rPr>
            </w:pPr>
            <w:r>
              <w:rPr>
                <w:rFonts w:ascii="Akkurat Light Pro" w:hAnsi="Akkurat Light Pro"/>
                <w:lang w:val="en-US"/>
              </w:rPr>
              <w:t>300</w:t>
            </w:r>
          </w:p>
        </w:tc>
      </w:tr>
      <w:tr w:rsidR="009C7D6D" w14:paraId="31917748" w14:textId="77777777" w:rsidTr="00D91E4E">
        <w:trPr>
          <w:jc w:val="center"/>
        </w:trPr>
        <w:tc>
          <w:tcPr>
            <w:tcW w:w="2041" w:type="dxa"/>
          </w:tcPr>
          <w:p w14:paraId="45843A99" w14:textId="77777777" w:rsidR="009C7D6D" w:rsidRDefault="009C7D6D" w:rsidP="00D91E4E">
            <w:pPr>
              <w:jc w:val="both"/>
              <w:rPr>
                <w:rFonts w:ascii="Akkurat Light Pro" w:hAnsi="Akkurat Light Pro"/>
                <w:lang w:val="en-US"/>
              </w:rPr>
            </w:pPr>
            <w:r>
              <w:rPr>
                <w:rFonts w:ascii="Akkurat Light Pro" w:hAnsi="Akkurat Light Pro"/>
                <w:lang w:val="en-US"/>
              </w:rPr>
              <w:t>total</w:t>
            </w:r>
          </w:p>
        </w:tc>
        <w:tc>
          <w:tcPr>
            <w:tcW w:w="1134" w:type="dxa"/>
          </w:tcPr>
          <w:p w14:paraId="7CC8C676" w14:textId="3E5E2627" w:rsidR="009C7D6D" w:rsidRDefault="009C7D6D" w:rsidP="00D91E4E">
            <w:pPr>
              <w:jc w:val="center"/>
              <w:rPr>
                <w:rFonts w:ascii="Akkurat Light Pro" w:hAnsi="Akkurat Light Pro"/>
                <w:lang w:val="en-US"/>
              </w:rPr>
            </w:pPr>
            <w:r>
              <w:rPr>
                <w:rFonts w:ascii="Akkurat Light Pro" w:hAnsi="Akkurat Light Pro"/>
                <w:lang w:val="en-US"/>
              </w:rPr>
              <w:t>600</w:t>
            </w:r>
          </w:p>
        </w:tc>
        <w:tc>
          <w:tcPr>
            <w:tcW w:w="1134" w:type="dxa"/>
          </w:tcPr>
          <w:p w14:paraId="3D7296A0" w14:textId="3CEA82A1" w:rsidR="009C7D6D" w:rsidRDefault="009C7D6D" w:rsidP="00D91E4E">
            <w:pPr>
              <w:jc w:val="center"/>
              <w:rPr>
                <w:rFonts w:ascii="Akkurat Light Pro" w:hAnsi="Akkurat Light Pro"/>
                <w:lang w:val="en-US"/>
              </w:rPr>
            </w:pPr>
            <w:r>
              <w:rPr>
                <w:rFonts w:ascii="Akkurat Light Pro" w:hAnsi="Akkurat Light Pro"/>
                <w:lang w:val="en-US"/>
              </w:rPr>
              <w:t>600</w:t>
            </w:r>
          </w:p>
        </w:tc>
        <w:tc>
          <w:tcPr>
            <w:tcW w:w="2041" w:type="dxa"/>
          </w:tcPr>
          <w:p w14:paraId="70095868" w14:textId="61CD1494" w:rsidR="009C7D6D" w:rsidRDefault="009C7D6D" w:rsidP="00D91E4E">
            <w:pPr>
              <w:jc w:val="center"/>
              <w:rPr>
                <w:rFonts w:ascii="Akkurat Light Pro" w:hAnsi="Akkurat Light Pro"/>
                <w:lang w:val="en-US"/>
              </w:rPr>
            </w:pPr>
            <w:r>
              <w:rPr>
                <w:rFonts w:ascii="Akkurat Light Pro" w:hAnsi="Akkurat Light Pro"/>
                <w:lang w:val="en-US"/>
              </w:rPr>
              <w:t>700</w:t>
            </w:r>
          </w:p>
        </w:tc>
      </w:tr>
    </w:tbl>
    <w:p w14:paraId="0488A52F" w14:textId="77777777" w:rsidR="009C7D6D" w:rsidRDefault="009C7D6D" w:rsidP="00702CF4">
      <w:pPr>
        <w:spacing w:before="120"/>
        <w:jc w:val="both"/>
        <w:rPr>
          <w:rFonts w:ascii="Times New Roman" w:hAnsi="Times New Roman"/>
          <w:sz w:val="24"/>
          <w:szCs w:val="24"/>
          <w:lang w:val="en-GB"/>
        </w:rPr>
      </w:pPr>
    </w:p>
    <w:p w14:paraId="71A046A6" w14:textId="5C176728" w:rsidR="009C7D6D" w:rsidRDefault="009C7D6D" w:rsidP="00923FE4">
      <w:pPr>
        <w:spacing w:before="120"/>
        <w:jc w:val="both"/>
        <w:rPr>
          <w:rFonts w:ascii="Times New Roman" w:hAnsi="Times New Roman"/>
          <w:sz w:val="24"/>
          <w:szCs w:val="24"/>
          <w:lang w:val="en-GB"/>
        </w:rPr>
      </w:pPr>
      <w:r w:rsidRPr="009C7D6D">
        <w:rPr>
          <w:rFonts w:ascii="Times New Roman" w:hAnsi="Times New Roman"/>
          <w:sz w:val="24"/>
          <w:szCs w:val="24"/>
          <w:lang w:val="en-GB"/>
        </w:rPr>
        <w:t xml:space="preserve">Although in this example the regulator and the institution would agree on the same appropriate </w:t>
      </w:r>
      <w:r>
        <w:rPr>
          <w:rFonts w:ascii="Times New Roman" w:hAnsi="Times New Roman"/>
          <w:sz w:val="24"/>
          <w:szCs w:val="24"/>
          <w:lang w:val="en-GB"/>
        </w:rPr>
        <w:t>capital requirement of 600</w:t>
      </w:r>
      <w:r w:rsidRPr="009C7D6D">
        <w:rPr>
          <w:rFonts w:ascii="Times New Roman" w:hAnsi="Times New Roman"/>
          <w:sz w:val="24"/>
          <w:szCs w:val="24"/>
          <w:lang w:val="en-GB"/>
        </w:rPr>
        <w:t>, the SREP approach would, by taking the highest requirement on a risk-by-risk basis</w:t>
      </w:r>
      <w:r>
        <w:rPr>
          <w:rFonts w:ascii="Times New Roman" w:hAnsi="Times New Roman"/>
          <w:sz w:val="24"/>
          <w:szCs w:val="24"/>
          <w:lang w:val="en-GB"/>
        </w:rPr>
        <w:t>,</w:t>
      </w:r>
      <w:r w:rsidRPr="009C7D6D">
        <w:rPr>
          <w:rFonts w:ascii="Times New Roman" w:hAnsi="Times New Roman"/>
          <w:sz w:val="24"/>
          <w:szCs w:val="24"/>
          <w:lang w:val="en-GB"/>
        </w:rPr>
        <w:t xml:space="preserve"> impose a higher capital</w:t>
      </w:r>
      <w:r>
        <w:rPr>
          <w:rFonts w:ascii="Times New Roman" w:hAnsi="Times New Roman"/>
          <w:sz w:val="24"/>
          <w:szCs w:val="24"/>
          <w:lang w:val="en-GB"/>
        </w:rPr>
        <w:t xml:space="preserve"> of 700</w:t>
      </w:r>
      <w:r w:rsidRPr="009C7D6D">
        <w:rPr>
          <w:rFonts w:ascii="Times New Roman" w:hAnsi="Times New Roman"/>
          <w:sz w:val="24"/>
          <w:szCs w:val="24"/>
          <w:lang w:val="en-GB"/>
        </w:rPr>
        <w:t xml:space="preserve">. </w:t>
      </w:r>
      <w:r>
        <w:rPr>
          <w:rFonts w:ascii="Times New Roman" w:hAnsi="Times New Roman"/>
          <w:sz w:val="24"/>
          <w:szCs w:val="24"/>
          <w:lang w:val="en-GB"/>
        </w:rPr>
        <w:t xml:space="preserve">The greater number of risks are subject to this treatment the more overly conservative the result. </w:t>
      </w:r>
    </w:p>
    <w:p w14:paraId="3920BE5B" w14:textId="77777777" w:rsidR="00AA4D21" w:rsidRPr="00020C01" w:rsidRDefault="00AA4D21" w:rsidP="00923FE4">
      <w:pPr>
        <w:spacing w:before="120"/>
        <w:jc w:val="both"/>
        <w:rPr>
          <w:rFonts w:ascii="Times New Roman" w:hAnsi="Times New Roman"/>
          <w:sz w:val="24"/>
          <w:szCs w:val="24"/>
          <w:lang w:val="en-GB"/>
        </w:rPr>
      </w:pPr>
      <w:r w:rsidRPr="00923FE4">
        <w:rPr>
          <w:rFonts w:ascii="Times New Roman" w:hAnsi="Times New Roman"/>
          <w:sz w:val="24"/>
          <w:szCs w:val="24"/>
          <w:lang w:val="en-GB"/>
        </w:rPr>
        <w:t xml:space="preserve">The guidelines </w:t>
      </w:r>
      <w:r>
        <w:rPr>
          <w:rFonts w:ascii="Times New Roman" w:hAnsi="Times New Roman"/>
          <w:sz w:val="24"/>
          <w:szCs w:val="24"/>
          <w:lang w:val="en-GB"/>
        </w:rPr>
        <w:t xml:space="preserve">should recognise the cross-border </w:t>
      </w:r>
      <w:r w:rsidRPr="00923FE4">
        <w:rPr>
          <w:rFonts w:ascii="Times New Roman" w:hAnsi="Times New Roman"/>
          <w:sz w:val="24"/>
          <w:szCs w:val="24"/>
          <w:lang w:val="en-GB"/>
        </w:rPr>
        <w:t>business model based on subsidiaries which are fully independent from a capital and liquidity point of view. This business model implies that the subsidiaries are financially independent from the parent company, they have the</w:t>
      </w:r>
      <w:r>
        <w:rPr>
          <w:rFonts w:ascii="Times New Roman" w:hAnsi="Times New Roman"/>
          <w:sz w:val="24"/>
          <w:szCs w:val="24"/>
          <w:lang w:val="en-GB"/>
        </w:rPr>
        <w:t>ir</w:t>
      </w:r>
      <w:r w:rsidRPr="00923FE4">
        <w:rPr>
          <w:rFonts w:ascii="Times New Roman" w:hAnsi="Times New Roman"/>
          <w:sz w:val="24"/>
          <w:szCs w:val="24"/>
          <w:lang w:val="en-GB"/>
        </w:rPr>
        <w:t xml:space="preserve"> own </w:t>
      </w:r>
      <w:r w:rsidRPr="00923FE4">
        <w:rPr>
          <w:rFonts w:ascii="Times New Roman" w:hAnsi="Times New Roman"/>
          <w:sz w:val="24"/>
          <w:szCs w:val="24"/>
          <w:lang w:val="en-GB"/>
        </w:rPr>
        <w:lastRenderedPageBreak/>
        <w:t>rating</w:t>
      </w:r>
      <w:r>
        <w:rPr>
          <w:rFonts w:ascii="Times New Roman" w:hAnsi="Times New Roman"/>
          <w:sz w:val="24"/>
          <w:szCs w:val="24"/>
          <w:lang w:val="en-GB"/>
        </w:rPr>
        <w:t>s</w:t>
      </w:r>
      <w:r w:rsidRPr="00923FE4">
        <w:rPr>
          <w:rFonts w:ascii="Times New Roman" w:hAnsi="Times New Roman"/>
          <w:sz w:val="24"/>
          <w:szCs w:val="24"/>
          <w:lang w:val="en-GB"/>
        </w:rPr>
        <w:t xml:space="preserve"> and tap the market without recurring to the parent company and without its support, hence with no </w:t>
      </w:r>
      <w:r>
        <w:rPr>
          <w:rFonts w:ascii="Times New Roman" w:hAnsi="Times New Roman"/>
          <w:sz w:val="24"/>
          <w:szCs w:val="24"/>
          <w:lang w:val="en-GB"/>
        </w:rPr>
        <w:t xml:space="preserve">risk of </w:t>
      </w:r>
      <w:r w:rsidRPr="00923FE4">
        <w:rPr>
          <w:rFonts w:ascii="Times New Roman" w:hAnsi="Times New Roman"/>
          <w:sz w:val="24"/>
          <w:szCs w:val="24"/>
          <w:lang w:val="en-GB"/>
        </w:rPr>
        <w:t xml:space="preserve">contagion within the </w:t>
      </w:r>
      <w:r>
        <w:rPr>
          <w:rFonts w:ascii="Times New Roman" w:hAnsi="Times New Roman"/>
          <w:sz w:val="24"/>
          <w:szCs w:val="24"/>
          <w:lang w:val="en-GB"/>
        </w:rPr>
        <w:t>banking group</w:t>
      </w:r>
      <w:r w:rsidRPr="00923FE4">
        <w:rPr>
          <w:rFonts w:ascii="Times New Roman" w:hAnsi="Times New Roman"/>
          <w:sz w:val="24"/>
          <w:szCs w:val="24"/>
          <w:lang w:val="en-GB"/>
        </w:rPr>
        <w:t>.</w:t>
      </w:r>
      <w:r>
        <w:rPr>
          <w:rFonts w:ascii="Times New Roman" w:hAnsi="Times New Roman"/>
          <w:sz w:val="24"/>
          <w:szCs w:val="24"/>
          <w:lang w:val="en-GB"/>
        </w:rPr>
        <w:t xml:space="preserve"> In addition to the geographical diversification, the variety of sources of funding adds another type of diversification that should be taken into account. This fact should be</w:t>
      </w:r>
      <w:r w:rsidRPr="00923FE4">
        <w:rPr>
          <w:rFonts w:ascii="Times New Roman" w:hAnsi="Times New Roman"/>
          <w:sz w:val="24"/>
          <w:szCs w:val="24"/>
          <w:lang w:val="en-GB"/>
        </w:rPr>
        <w:t xml:space="preserve"> recognised in the section of SREP capital assessment and tak</w:t>
      </w:r>
      <w:r>
        <w:rPr>
          <w:rFonts w:ascii="Times New Roman" w:hAnsi="Times New Roman"/>
          <w:sz w:val="24"/>
          <w:szCs w:val="24"/>
          <w:lang w:val="en-GB"/>
        </w:rPr>
        <w:t>en</w:t>
      </w:r>
      <w:r w:rsidRPr="00923FE4">
        <w:rPr>
          <w:rFonts w:ascii="Times New Roman" w:hAnsi="Times New Roman"/>
          <w:sz w:val="24"/>
          <w:szCs w:val="24"/>
          <w:lang w:val="en-GB"/>
        </w:rPr>
        <w:t xml:space="preserve"> into account in the business model analysis.</w:t>
      </w:r>
      <w:r>
        <w:rPr>
          <w:rFonts w:ascii="Times New Roman" w:hAnsi="Times New Roman"/>
          <w:sz w:val="24"/>
          <w:szCs w:val="24"/>
          <w:lang w:val="en-GB"/>
        </w:rPr>
        <w:t xml:space="preserve"> </w:t>
      </w:r>
    </w:p>
    <w:p w14:paraId="3920BE5C" w14:textId="77777777" w:rsidR="00AA4D21" w:rsidRPr="00677F3F" w:rsidRDefault="00AA4D21" w:rsidP="00702CF4">
      <w:pPr>
        <w:spacing w:before="120"/>
        <w:jc w:val="both"/>
        <w:rPr>
          <w:rFonts w:ascii="Times New Roman" w:hAnsi="Times New Roman"/>
          <w:sz w:val="24"/>
          <w:szCs w:val="24"/>
          <w:lang w:val="en-GB"/>
        </w:rPr>
      </w:pPr>
    </w:p>
    <w:p w14:paraId="3920BE5D" w14:textId="2FFA95EC" w:rsidR="00AA4D21" w:rsidRPr="00677F3F" w:rsidRDefault="00AA4D21" w:rsidP="00787A4E">
      <w:pPr>
        <w:numPr>
          <w:ilvl w:val="0"/>
          <w:numId w:val="26"/>
        </w:numPr>
        <w:spacing w:before="120"/>
        <w:jc w:val="both"/>
        <w:rPr>
          <w:rFonts w:ascii="Times New Roman" w:hAnsi="Times New Roman"/>
          <w:b/>
          <w:sz w:val="24"/>
          <w:szCs w:val="24"/>
          <w:u w:val="single"/>
          <w:lang w:val="en-GB"/>
        </w:rPr>
      </w:pPr>
      <w:r>
        <w:rPr>
          <w:rFonts w:ascii="Times New Roman" w:hAnsi="Times New Roman"/>
          <w:b/>
          <w:sz w:val="24"/>
          <w:szCs w:val="24"/>
          <w:u w:val="single"/>
          <w:lang w:val="en-GB"/>
        </w:rPr>
        <w:t>E</w:t>
      </w:r>
      <w:r w:rsidRPr="00677F3F">
        <w:rPr>
          <w:rFonts w:ascii="Times New Roman" w:hAnsi="Times New Roman"/>
          <w:b/>
          <w:sz w:val="24"/>
          <w:szCs w:val="24"/>
          <w:u w:val="single"/>
          <w:lang w:val="en-GB"/>
        </w:rPr>
        <w:t xml:space="preserve">valuation of </w:t>
      </w:r>
      <w:r w:rsidR="00853C00">
        <w:rPr>
          <w:rFonts w:ascii="Times New Roman" w:hAnsi="Times New Roman"/>
          <w:b/>
          <w:sz w:val="24"/>
          <w:szCs w:val="24"/>
          <w:u w:val="single"/>
          <w:lang w:val="en-GB"/>
        </w:rPr>
        <w:t>B</w:t>
      </w:r>
      <w:r w:rsidRPr="00677F3F">
        <w:rPr>
          <w:rFonts w:ascii="Times New Roman" w:hAnsi="Times New Roman"/>
          <w:b/>
          <w:sz w:val="24"/>
          <w:szCs w:val="24"/>
          <w:u w:val="single"/>
          <w:lang w:val="en-GB"/>
        </w:rPr>
        <w:t xml:space="preserve">usiness </w:t>
      </w:r>
      <w:r w:rsidR="00853C00">
        <w:rPr>
          <w:rFonts w:ascii="Times New Roman" w:hAnsi="Times New Roman"/>
          <w:b/>
          <w:sz w:val="24"/>
          <w:szCs w:val="24"/>
          <w:u w:val="single"/>
          <w:lang w:val="en-GB"/>
        </w:rPr>
        <w:t>M</w:t>
      </w:r>
      <w:r w:rsidRPr="00677F3F">
        <w:rPr>
          <w:rFonts w:ascii="Times New Roman" w:hAnsi="Times New Roman"/>
          <w:b/>
          <w:sz w:val="24"/>
          <w:szCs w:val="24"/>
          <w:u w:val="single"/>
          <w:lang w:val="en-GB"/>
        </w:rPr>
        <w:t xml:space="preserve">odel </w:t>
      </w:r>
      <w:r w:rsidR="00853C00">
        <w:rPr>
          <w:rFonts w:ascii="Times New Roman" w:hAnsi="Times New Roman"/>
          <w:b/>
          <w:sz w:val="24"/>
          <w:szCs w:val="24"/>
          <w:u w:val="single"/>
          <w:lang w:val="en-GB"/>
        </w:rPr>
        <w:t xml:space="preserve">Analysis </w:t>
      </w:r>
      <w:r w:rsidRPr="00677F3F">
        <w:rPr>
          <w:rFonts w:ascii="Times New Roman" w:hAnsi="Times New Roman"/>
          <w:b/>
          <w:sz w:val="24"/>
          <w:szCs w:val="24"/>
          <w:u w:val="single"/>
          <w:lang w:val="en-GB"/>
        </w:rPr>
        <w:t xml:space="preserve">and </w:t>
      </w:r>
      <w:r w:rsidR="00853C00">
        <w:rPr>
          <w:rFonts w:ascii="Times New Roman" w:hAnsi="Times New Roman"/>
          <w:b/>
          <w:sz w:val="24"/>
          <w:szCs w:val="24"/>
          <w:u w:val="single"/>
          <w:lang w:val="en-GB"/>
        </w:rPr>
        <w:t>S</w:t>
      </w:r>
      <w:r w:rsidRPr="00677F3F">
        <w:rPr>
          <w:rFonts w:ascii="Times New Roman" w:hAnsi="Times New Roman"/>
          <w:b/>
          <w:sz w:val="24"/>
          <w:szCs w:val="24"/>
          <w:u w:val="single"/>
          <w:lang w:val="en-GB"/>
        </w:rPr>
        <w:t>trategy</w:t>
      </w:r>
    </w:p>
    <w:p w14:paraId="3920BE5E" w14:textId="5AC15513" w:rsidR="00AA4D21" w:rsidRDefault="00853C00"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The EBF recognizes and understands </w:t>
      </w:r>
      <w:r w:rsidR="00AA4D21">
        <w:rPr>
          <w:rFonts w:ascii="Times New Roman" w:hAnsi="Times New Roman"/>
          <w:sz w:val="24"/>
          <w:szCs w:val="24"/>
          <w:lang w:val="en-US"/>
        </w:rPr>
        <w:t xml:space="preserve">that supervisors must </w:t>
      </w:r>
      <w:r>
        <w:rPr>
          <w:rFonts w:ascii="Times New Roman" w:hAnsi="Times New Roman"/>
          <w:sz w:val="24"/>
          <w:szCs w:val="24"/>
          <w:lang w:val="en-US"/>
        </w:rPr>
        <w:t xml:space="preserve">consider and understand </w:t>
      </w:r>
      <w:r w:rsidR="00AA4D21">
        <w:rPr>
          <w:rFonts w:ascii="Times New Roman" w:hAnsi="Times New Roman"/>
          <w:sz w:val="24"/>
          <w:szCs w:val="24"/>
          <w:lang w:val="en-US"/>
        </w:rPr>
        <w:t xml:space="preserve">the business model and the strategy of the bank </w:t>
      </w:r>
      <w:r>
        <w:rPr>
          <w:rFonts w:ascii="Times New Roman" w:hAnsi="Times New Roman"/>
          <w:sz w:val="24"/>
          <w:szCs w:val="24"/>
          <w:lang w:val="en-US"/>
        </w:rPr>
        <w:t>that they supervise if supervision is to be effective</w:t>
      </w:r>
      <w:r w:rsidR="00AA4D21">
        <w:rPr>
          <w:rFonts w:ascii="Times New Roman" w:hAnsi="Times New Roman"/>
          <w:sz w:val="24"/>
          <w:szCs w:val="24"/>
          <w:lang w:val="en-US"/>
        </w:rPr>
        <w:t xml:space="preserve">. However, the </w:t>
      </w:r>
      <w:r w:rsidR="00AA4D21" w:rsidRPr="002A05C2">
        <w:rPr>
          <w:rFonts w:ascii="Times New Roman" w:hAnsi="Times New Roman"/>
          <w:sz w:val="24"/>
          <w:szCs w:val="24"/>
          <w:lang w:val="en-US"/>
        </w:rPr>
        <w:t>mandatory expression of the business model appraisal in the form of a score</w:t>
      </w:r>
      <w:r w:rsidR="00AA4D21">
        <w:rPr>
          <w:rFonts w:ascii="Times New Roman" w:hAnsi="Times New Roman"/>
          <w:sz w:val="24"/>
          <w:szCs w:val="24"/>
          <w:lang w:val="en-US"/>
        </w:rPr>
        <w:t xml:space="preserve"> poses serious </w:t>
      </w:r>
      <w:r>
        <w:rPr>
          <w:rFonts w:ascii="Times New Roman" w:hAnsi="Times New Roman"/>
          <w:sz w:val="24"/>
          <w:szCs w:val="24"/>
          <w:lang w:val="en-US"/>
        </w:rPr>
        <w:t xml:space="preserve">issues: </w:t>
      </w:r>
      <w:r w:rsidR="00AA4D21">
        <w:rPr>
          <w:rFonts w:ascii="Times New Roman" w:hAnsi="Times New Roman"/>
          <w:sz w:val="24"/>
          <w:szCs w:val="24"/>
          <w:lang w:val="en-US"/>
        </w:rPr>
        <w:t xml:space="preserve"> </w:t>
      </w:r>
    </w:p>
    <w:p w14:paraId="7AD10B7D" w14:textId="45E98E0C" w:rsidR="00853C00" w:rsidRDefault="00853C00" w:rsidP="002A05C2">
      <w:pPr>
        <w:pStyle w:val="ListParagraph"/>
        <w:numPr>
          <w:ilvl w:val="0"/>
          <w:numId w:val="32"/>
        </w:numPr>
        <w:spacing w:before="120" w:after="0"/>
        <w:ind w:left="714" w:hanging="357"/>
        <w:contextualSpacing w:val="0"/>
        <w:jc w:val="both"/>
        <w:rPr>
          <w:rFonts w:ascii="Times New Roman" w:hAnsi="Times New Roman"/>
          <w:sz w:val="24"/>
          <w:szCs w:val="24"/>
          <w:lang w:val="en-US"/>
        </w:rPr>
      </w:pPr>
      <w:r w:rsidRPr="002A05C2">
        <w:rPr>
          <w:rFonts w:ascii="Times New Roman" w:hAnsi="Times New Roman"/>
          <w:sz w:val="24"/>
          <w:szCs w:val="24"/>
          <w:lang w:val="en-US"/>
        </w:rPr>
        <w:t>W</w:t>
      </w:r>
      <w:r w:rsidR="00AA4D21" w:rsidRPr="002A05C2">
        <w:rPr>
          <w:rFonts w:ascii="Times New Roman" w:hAnsi="Times New Roman"/>
          <w:sz w:val="24"/>
          <w:szCs w:val="24"/>
          <w:lang w:val="en-US"/>
        </w:rPr>
        <w:t>e think that setting a score to the business model is out of scope because the remit of supervision should be confined to the evaluation of compliance within the regulatory framework</w:t>
      </w:r>
      <w:r w:rsidRPr="002A05C2">
        <w:rPr>
          <w:rFonts w:ascii="Times New Roman" w:hAnsi="Times New Roman"/>
          <w:sz w:val="24"/>
          <w:szCs w:val="24"/>
          <w:lang w:val="en-US"/>
        </w:rPr>
        <w:t xml:space="preserve"> rather than assessing and grading the viability of the business model and business strategies. Appending a score may result in unintended consequences and effects on the share price of the firm</w:t>
      </w:r>
      <w:r w:rsidR="00AA4D21" w:rsidRPr="002A05C2">
        <w:rPr>
          <w:rFonts w:ascii="Times New Roman" w:hAnsi="Times New Roman"/>
          <w:sz w:val="24"/>
          <w:szCs w:val="24"/>
          <w:lang w:val="en-US"/>
        </w:rPr>
        <w:t>.</w:t>
      </w:r>
      <w:r>
        <w:rPr>
          <w:rFonts w:ascii="Times New Roman" w:hAnsi="Times New Roman"/>
          <w:sz w:val="24"/>
          <w:szCs w:val="24"/>
          <w:lang w:val="en-US"/>
        </w:rPr>
        <w:t xml:space="preserve"> </w:t>
      </w:r>
    </w:p>
    <w:p w14:paraId="3920BE60" w14:textId="362B03DE" w:rsidR="00AA4D21" w:rsidRPr="00853C00" w:rsidRDefault="00853C00" w:rsidP="002A05C2">
      <w:pPr>
        <w:pStyle w:val="ListParagraph"/>
        <w:numPr>
          <w:ilvl w:val="0"/>
          <w:numId w:val="32"/>
        </w:numPr>
        <w:spacing w:before="120" w:after="0"/>
        <w:ind w:left="714" w:hanging="357"/>
        <w:contextualSpacing w:val="0"/>
        <w:jc w:val="both"/>
        <w:rPr>
          <w:rFonts w:ascii="Times New Roman" w:hAnsi="Times New Roman"/>
          <w:sz w:val="24"/>
          <w:szCs w:val="24"/>
          <w:lang w:val="en-US"/>
        </w:rPr>
      </w:pPr>
      <w:r w:rsidRPr="00853C00">
        <w:rPr>
          <w:rFonts w:ascii="Times New Roman" w:hAnsi="Times New Roman"/>
          <w:sz w:val="24"/>
          <w:szCs w:val="24"/>
          <w:lang w:val="en-US"/>
        </w:rPr>
        <w:t>Setting a score risks driving banks to all have the same business model</w:t>
      </w:r>
      <w:r>
        <w:rPr>
          <w:rFonts w:ascii="Times New Roman" w:hAnsi="Times New Roman"/>
          <w:sz w:val="24"/>
          <w:szCs w:val="24"/>
          <w:lang w:val="en-US"/>
        </w:rPr>
        <w:t xml:space="preserve">. </w:t>
      </w:r>
      <w:r w:rsidR="00AA4D21" w:rsidRPr="008B0231">
        <w:rPr>
          <w:rFonts w:ascii="Times New Roman" w:hAnsi="Times New Roman"/>
          <w:sz w:val="24"/>
          <w:szCs w:val="24"/>
          <w:lang w:val="en-US"/>
        </w:rPr>
        <w:t xml:space="preserve">There are as many business models as banks and all of them are, in principle, legitimate and serve a need </w:t>
      </w:r>
      <w:r w:rsidR="00AA4D21" w:rsidRPr="00DF792C">
        <w:rPr>
          <w:rFonts w:ascii="Times New Roman" w:hAnsi="Times New Roman"/>
          <w:sz w:val="24"/>
          <w:szCs w:val="24"/>
          <w:lang w:val="en-US"/>
        </w:rPr>
        <w:t>in the financial market and the broader economy. The diversity of business models contributes to the stability of the financial system. The use of scores to discriminate between business models would lead, inevitably, to the presumption that certain segmen</w:t>
      </w:r>
      <w:r w:rsidR="00AA4D21" w:rsidRPr="00853C00">
        <w:rPr>
          <w:rFonts w:ascii="Times New Roman" w:hAnsi="Times New Roman"/>
          <w:sz w:val="24"/>
          <w:szCs w:val="24"/>
          <w:lang w:val="en-US"/>
        </w:rPr>
        <w:t xml:space="preserve">ts, products, geographies, credit grades or financing purposes are worse than others. Inputting this factor into the SREP scorecard could mar the credibility of the scoring system. </w:t>
      </w:r>
    </w:p>
    <w:p w14:paraId="3920BE61"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Finally, we support that the business model is implicitly valued in other factors like the funding profile of the bank, as the EBA proposes, but we cannot support to score the business model itself as a separate factor.  </w:t>
      </w:r>
    </w:p>
    <w:p w14:paraId="3920BE62" w14:textId="7E4863A9"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For these reasons, we would urge the EBA to</w:t>
      </w:r>
      <w:r w:rsidR="00170489">
        <w:rPr>
          <w:rFonts w:ascii="Times New Roman" w:hAnsi="Times New Roman"/>
          <w:sz w:val="24"/>
          <w:szCs w:val="24"/>
          <w:lang w:val="en-US"/>
        </w:rPr>
        <w:t xml:space="preserve"> consider the following recommendations</w:t>
      </w:r>
      <w:r>
        <w:rPr>
          <w:rFonts w:ascii="Times New Roman" w:hAnsi="Times New Roman"/>
          <w:sz w:val="24"/>
          <w:szCs w:val="24"/>
          <w:lang w:val="en-US"/>
        </w:rPr>
        <w:t xml:space="preserve">:  </w:t>
      </w:r>
    </w:p>
    <w:p w14:paraId="3920BE63" w14:textId="58177C2D" w:rsidR="00AA4D21" w:rsidRPr="000C0F92" w:rsidRDefault="00170489" w:rsidP="00787A4E">
      <w:pPr>
        <w:numPr>
          <w:ilvl w:val="0"/>
          <w:numId w:val="28"/>
        </w:numPr>
        <w:spacing w:before="120"/>
        <w:jc w:val="both"/>
        <w:rPr>
          <w:rFonts w:ascii="Times New Roman" w:hAnsi="Times New Roman"/>
          <w:sz w:val="24"/>
          <w:szCs w:val="24"/>
          <w:lang w:val="en-GB"/>
        </w:rPr>
      </w:pPr>
      <w:r>
        <w:rPr>
          <w:rFonts w:ascii="Times New Roman" w:hAnsi="Times New Roman"/>
          <w:sz w:val="24"/>
          <w:szCs w:val="24"/>
          <w:lang w:val="en-US"/>
        </w:rPr>
        <w:t>To m</w:t>
      </w:r>
      <w:r w:rsidR="00AA4D21" w:rsidRPr="000C0F92">
        <w:rPr>
          <w:rFonts w:ascii="Times New Roman" w:hAnsi="Times New Roman"/>
          <w:sz w:val="24"/>
          <w:szCs w:val="24"/>
          <w:lang w:val="en-US"/>
        </w:rPr>
        <w:t>aintain the content</w:t>
      </w:r>
      <w:r w:rsidR="00AA4D21">
        <w:rPr>
          <w:rFonts w:ascii="Times New Roman" w:hAnsi="Times New Roman"/>
          <w:sz w:val="24"/>
          <w:szCs w:val="24"/>
          <w:lang w:val="en-US"/>
        </w:rPr>
        <w:t xml:space="preserve"> of the chapter on business model analysis (title 4) </w:t>
      </w:r>
      <w:r>
        <w:rPr>
          <w:rFonts w:ascii="Times New Roman" w:hAnsi="Times New Roman"/>
          <w:sz w:val="24"/>
          <w:szCs w:val="24"/>
          <w:lang w:val="en-US"/>
        </w:rPr>
        <w:t xml:space="preserve">as it is </w:t>
      </w:r>
      <w:r w:rsidR="00AA4D21" w:rsidRPr="000C0F92">
        <w:rPr>
          <w:rFonts w:ascii="Times New Roman" w:hAnsi="Times New Roman"/>
          <w:sz w:val="24"/>
          <w:szCs w:val="24"/>
          <w:lang w:val="en-US"/>
        </w:rPr>
        <w:t>but without assigning a score</w:t>
      </w:r>
      <w:r w:rsidR="00AA4D21">
        <w:rPr>
          <w:rFonts w:ascii="Times New Roman" w:hAnsi="Times New Roman"/>
          <w:sz w:val="24"/>
          <w:szCs w:val="24"/>
          <w:lang w:val="en-US"/>
        </w:rPr>
        <w:t xml:space="preserve">. </w:t>
      </w:r>
    </w:p>
    <w:p w14:paraId="13708DC1" w14:textId="18E99188" w:rsidR="00C5476A" w:rsidRPr="002A05C2" w:rsidRDefault="00170489" w:rsidP="00787A4E">
      <w:pPr>
        <w:numPr>
          <w:ilvl w:val="0"/>
          <w:numId w:val="28"/>
        </w:numPr>
        <w:spacing w:before="120"/>
        <w:jc w:val="both"/>
        <w:rPr>
          <w:rFonts w:ascii="Times New Roman" w:hAnsi="Times New Roman"/>
          <w:sz w:val="24"/>
          <w:szCs w:val="24"/>
          <w:lang w:val="en-GB"/>
        </w:rPr>
      </w:pPr>
      <w:r>
        <w:rPr>
          <w:rFonts w:ascii="Times New Roman" w:hAnsi="Times New Roman"/>
          <w:sz w:val="24"/>
          <w:szCs w:val="24"/>
          <w:lang w:val="en-GB"/>
        </w:rPr>
        <w:t xml:space="preserve">To articulate the conclusion of </w:t>
      </w:r>
      <w:r w:rsidR="00AA4D21">
        <w:rPr>
          <w:rFonts w:ascii="Times New Roman" w:hAnsi="Times New Roman"/>
          <w:sz w:val="24"/>
          <w:szCs w:val="24"/>
          <w:lang w:val="en-GB"/>
        </w:rPr>
        <w:t>t</w:t>
      </w:r>
      <w:r w:rsidR="00AA4D21">
        <w:rPr>
          <w:rFonts w:ascii="Times New Roman" w:hAnsi="Times New Roman"/>
          <w:sz w:val="24"/>
          <w:szCs w:val="24"/>
          <w:lang w:val="en-US"/>
        </w:rPr>
        <w:t xml:space="preserve">he supervisory opinion about the business model </w:t>
      </w:r>
      <w:r>
        <w:rPr>
          <w:rFonts w:ascii="Times New Roman" w:hAnsi="Times New Roman"/>
          <w:sz w:val="24"/>
          <w:szCs w:val="24"/>
          <w:lang w:val="en-US"/>
        </w:rPr>
        <w:t xml:space="preserve">and strategy in a qualitative </w:t>
      </w:r>
      <w:r w:rsidR="00AA4D21">
        <w:rPr>
          <w:rFonts w:ascii="Times New Roman" w:hAnsi="Times New Roman"/>
          <w:sz w:val="24"/>
          <w:szCs w:val="24"/>
          <w:lang w:val="en-US"/>
        </w:rPr>
        <w:t xml:space="preserve">complementary note attached to the SREP evaluation. </w:t>
      </w:r>
      <w:r w:rsidR="00A937FA">
        <w:rPr>
          <w:rFonts w:ascii="Times New Roman" w:hAnsi="Times New Roman"/>
          <w:sz w:val="24"/>
          <w:szCs w:val="24"/>
          <w:lang w:val="en-US"/>
        </w:rPr>
        <w:t xml:space="preserve">For this purpose, the statements that EBA puts forward in the column of “Considerations” (table 2 – pages 38 to 40) can perfectly serve as a uniform guide for supervisors to ascertain their opinion on the entity. In addition, supervisors would be free to add comments, nuances and explanations in their complementary notes. </w:t>
      </w:r>
    </w:p>
    <w:p w14:paraId="53ECB2D7" w14:textId="77777777" w:rsidR="00C5476A" w:rsidRDefault="00C5476A" w:rsidP="002A05C2">
      <w:pPr>
        <w:spacing w:before="120"/>
        <w:jc w:val="both"/>
        <w:rPr>
          <w:rFonts w:ascii="Times New Roman" w:hAnsi="Times New Roman"/>
          <w:sz w:val="24"/>
          <w:szCs w:val="24"/>
          <w:lang w:val="en-US"/>
        </w:rPr>
      </w:pPr>
      <w:r>
        <w:rPr>
          <w:rFonts w:ascii="Times New Roman" w:hAnsi="Times New Roman"/>
          <w:sz w:val="24"/>
          <w:szCs w:val="24"/>
          <w:lang w:val="en-US"/>
        </w:rPr>
        <w:t xml:space="preserve">In conclusion, we think that the removal of the mandatory score is a better solution: </w:t>
      </w:r>
    </w:p>
    <w:p w14:paraId="5B483445" w14:textId="77777777" w:rsidR="00C5476A" w:rsidRPr="002A05C2" w:rsidRDefault="00C5476A" w:rsidP="002A05C2">
      <w:pPr>
        <w:pStyle w:val="ListParagraph"/>
        <w:numPr>
          <w:ilvl w:val="0"/>
          <w:numId w:val="31"/>
        </w:numPr>
        <w:spacing w:before="120"/>
        <w:jc w:val="both"/>
        <w:rPr>
          <w:rFonts w:ascii="Times New Roman" w:hAnsi="Times New Roman"/>
          <w:sz w:val="24"/>
          <w:szCs w:val="24"/>
          <w:lang w:val="en-GB"/>
        </w:rPr>
      </w:pPr>
      <w:r>
        <w:rPr>
          <w:rFonts w:ascii="Times New Roman" w:hAnsi="Times New Roman"/>
          <w:sz w:val="24"/>
          <w:szCs w:val="24"/>
          <w:lang w:val="en-US"/>
        </w:rPr>
        <w:t xml:space="preserve">Supervisors are not mandatorily required to express in a single number the results of such a subjective evaluation. </w:t>
      </w:r>
    </w:p>
    <w:p w14:paraId="7649A6AD" w14:textId="77777777" w:rsidR="004A6416" w:rsidRPr="002A05C2" w:rsidRDefault="00C5476A" w:rsidP="002A05C2">
      <w:pPr>
        <w:pStyle w:val="ListParagraph"/>
        <w:numPr>
          <w:ilvl w:val="0"/>
          <w:numId w:val="31"/>
        </w:numPr>
        <w:spacing w:before="120"/>
        <w:jc w:val="both"/>
        <w:rPr>
          <w:rFonts w:ascii="Times New Roman" w:hAnsi="Times New Roman"/>
          <w:sz w:val="24"/>
          <w:szCs w:val="24"/>
          <w:lang w:val="en-GB"/>
        </w:rPr>
      </w:pPr>
      <w:r>
        <w:rPr>
          <w:rFonts w:ascii="Times New Roman" w:hAnsi="Times New Roman"/>
          <w:sz w:val="24"/>
          <w:szCs w:val="24"/>
          <w:lang w:val="en-US"/>
        </w:rPr>
        <w:t>It does not impede s</w:t>
      </w:r>
      <w:r w:rsidRPr="002A05C2">
        <w:rPr>
          <w:rFonts w:ascii="Times New Roman" w:hAnsi="Times New Roman"/>
          <w:sz w:val="24"/>
          <w:szCs w:val="24"/>
          <w:lang w:val="en-US"/>
        </w:rPr>
        <w:t xml:space="preserve">upervisory judgment </w:t>
      </w:r>
      <w:r>
        <w:rPr>
          <w:rFonts w:ascii="Times New Roman" w:hAnsi="Times New Roman"/>
          <w:sz w:val="24"/>
          <w:szCs w:val="24"/>
          <w:lang w:val="en-US"/>
        </w:rPr>
        <w:t>from i</w:t>
      </w:r>
      <w:r w:rsidRPr="002A05C2">
        <w:rPr>
          <w:rFonts w:ascii="Times New Roman" w:hAnsi="Times New Roman"/>
          <w:sz w:val="24"/>
          <w:szCs w:val="24"/>
          <w:lang w:val="en-US"/>
        </w:rPr>
        <w:t>nfluenc</w:t>
      </w:r>
      <w:r>
        <w:rPr>
          <w:rFonts w:ascii="Times New Roman" w:hAnsi="Times New Roman"/>
          <w:sz w:val="24"/>
          <w:szCs w:val="24"/>
          <w:lang w:val="en-US"/>
        </w:rPr>
        <w:t>ing</w:t>
      </w:r>
      <w:r w:rsidRPr="002A05C2">
        <w:rPr>
          <w:rFonts w:ascii="Times New Roman" w:hAnsi="Times New Roman"/>
          <w:sz w:val="24"/>
          <w:szCs w:val="24"/>
          <w:lang w:val="en-US"/>
        </w:rPr>
        <w:t xml:space="preserve"> the SREP overall score</w:t>
      </w:r>
      <w:r>
        <w:rPr>
          <w:rFonts w:ascii="Times New Roman" w:hAnsi="Times New Roman"/>
          <w:sz w:val="24"/>
          <w:szCs w:val="24"/>
          <w:lang w:val="en-US"/>
        </w:rPr>
        <w:t xml:space="preserve">. </w:t>
      </w:r>
    </w:p>
    <w:p w14:paraId="3920BE64" w14:textId="67C7FF6B" w:rsidR="00AA4D21" w:rsidRPr="002A05C2" w:rsidRDefault="00A937FA" w:rsidP="002A05C2">
      <w:pPr>
        <w:pStyle w:val="ListParagraph"/>
        <w:numPr>
          <w:ilvl w:val="0"/>
          <w:numId w:val="31"/>
        </w:numPr>
        <w:spacing w:before="120"/>
        <w:jc w:val="both"/>
        <w:rPr>
          <w:rFonts w:ascii="Times New Roman" w:hAnsi="Times New Roman"/>
          <w:sz w:val="24"/>
          <w:szCs w:val="24"/>
          <w:lang w:val="en-GB"/>
        </w:rPr>
      </w:pPr>
      <w:r w:rsidRPr="002A05C2">
        <w:rPr>
          <w:rFonts w:ascii="Times New Roman" w:hAnsi="Times New Roman"/>
          <w:sz w:val="24"/>
          <w:szCs w:val="24"/>
          <w:lang w:val="en-US"/>
        </w:rPr>
        <w:lastRenderedPageBreak/>
        <w:t xml:space="preserve">In the recurrent SREP exercises supervisors </w:t>
      </w:r>
      <w:r w:rsidR="004A6416">
        <w:rPr>
          <w:rFonts w:ascii="Times New Roman" w:hAnsi="Times New Roman"/>
          <w:sz w:val="24"/>
          <w:szCs w:val="24"/>
          <w:lang w:val="en-US"/>
        </w:rPr>
        <w:t>can</w:t>
      </w:r>
      <w:r w:rsidRPr="002A05C2">
        <w:rPr>
          <w:rFonts w:ascii="Times New Roman" w:hAnsi="Times New Roman"/>
          <w:sz w:val="24"/>
          <w:szCs w:val="24"/>
          <w:lang w:val="en-US"/>
        </w:rPr>
        <w:t xml:space="preserve"> check the entity reaction </w:t>
      </w:r>
      <w:r w:rsidR="004A6416">
        <w:rPr>
          <w:rFonts w:ascii="Times New Roman" w:hAnsi="Times New Roman"/>
          <w:sz w:val="24"/>
          <w:szCs w:val="24"/>
          <w:lang w:val="en-US"/>
        </w:rPr>
        <w:t>to previous comments on their business models and strategies and</w:t>
      </w:r>
      <w:r w:rsidRPr="002A05C2">
        <w:rPr>
          <w:rFonts w:ascii="Times New Roman" w:hAnsi="Times New Roman"/>
          <w:sz w:val="24"/>
          <w:szCs w:val="24"/>
          <w:lang w:val="en-US"/>
        </w:rPr>
        <w:t xml:space="preserve"> adjust their qualitative assessment </w:t>
      </w:r>
      <w:r w:rsidR="004A6416">
        <w:rPr>
          <w:rFonts w:ascii="Times New Roman" w:hAnsi="Times New Roman"/>
          <w:sz w:val="24"/>
          <w:szCs w:val="24"/>
          <w:lang w:val="en-US"/>
        </w:rPr>
        <w:t xml:space="preserve">accordingly </w:t>
      </w:r>
      <w:r w:rsidRPr="002A05C2">
        <w:rPr>
          <w:rFonts w:ascii="Times New Roman" w:hAnsi="Times New Roman"/>
          <w:sz w:val="24"/>
          <w:szCs w:val="24"/>
          <w:lang w:val="en-US"/>
        </w:rPr>
        <w:t xml:space="preserve">without </w:t>
      </w:r>
      <w:r w:rsidR="004A6416">
        <w:rPr>
          <w:rFonts w:ascii="Times New Roman" w:hAnsi="Times New Roman"/>
          <w:sz w:val="24"/>
          <w:szCs w:val="24"/>
          <w:lang w:val="en-US"/>
        </w:rPr>
        <w:t xml:space="preserve">the symbolism entailed in a numeric grade evaluation. </w:t>
      </w:r>
    </w:p>
    <w:p w14:paraId="3920BE65" w14:textId="77777777" w:rsidR="00AA4D21" w:rsidRPr="00677F3F" w:rsidRDefault="00AA4D21" w:rsidP="00702CF4">
      <w:pPr>
        <w:spacing w:before="120"/>
        <w:jc w:val="both"/>
        <w:rPr>
          <w:rFonts w:ascii="Times New Roman" w:hAnsi="Times New Roman"/>
          <w:sz w:val="24"/>
          <w:szCs w:val="24"/>
          <w:lang w:val="en-GB"/>
        </w:rPr>
      </w:pPr>
    </w:p>
    <w:p w14:paraId="3920BE66" w14:textId="5380C8ED" w:rsidR="00AA4D21" w:rsidRPr="00677F3F" w:rsidRDefault="008B0231" w:rsidP="00787A4E">
      <w:pPr>
        <w:numPr>
          <w:ilvl w:val="0"/>
          <w:numId w:val="26"/>
        </w:numPr>
        <w:spacing w:before="120"/>
        <w:jc w:val="both"/>
        <w:rPr>
          <w:rFonts w:ascii="Times New Roman" w:hAnsi="Times New Roman"/>
          <w:b/>
          <w:sz w:val="24"/>
          <w:szCs w:val="24"/>
          <w:u w:val="single"/>
          <w:lang w:val="en-GB"/>
        </w:rPr>
      </w:pPr>
      <w:r>
        <w:rPr>
          <w:rFonts w:ascii="Times New Roman" w:hAnsi="Times New Roman"/>
          <w:b/>
          <w:sz w:val="24"/>
          <w:szCs w:val="24"/>
          <w:u w:val="single"/>
          <w:lang w:val="en-GB"/>
        </w:rPr>
        <w:t>T</w:t>
      </w:r>
      <w:r w:rsidR="00AA4D21" w:rsidRPr="00677F3F">
        <w:rPr>
          <w:rFonts w:ascii="Times New Roman" w:hAnsi="Times New Roman"/>
          <w:b/>
          <w:sz w:val="24"/>
          <w:szCs w:val="24"/>
          <w:u w:val="single"/>
          <w:lang w:val="en-GB"/>
        </w:rPr>
        <w:t>he meaning and interpretation of supervisory scores</w:t>
      </w:r>
    </w:p>
    <w:p w14:paraId="3920BE67" w14:textId="77777777" w:rsidR="00AA4D21" w:rsidRDefault="00AA4D21" w:rsidP="00702CF4">
      <w:pPr>
        <w:spacing w:before="120"/>
        <w:jc w:val="both"/>
        <w:rPr>
          <w:rFonts w:ascii="Times New Roman" w:hAnsi="Times New Roman"/>
          <w:sz w:val="24"/>
          <w:szCs w:val="24"/>
          <w:lang w:val="en-GB"/>
        </w:rPr>
      </w:pPr>
      <w:r>
        <w:rPr>
          <w:rFonts w:ascii="Times New Roman" w:hAnsi="Times New Roman"/>
          <w:sz w:val="24"/>
          <w:szCs w:val="24"/>
          <w:lang w:val="en-GB"/>
        </w:rPr>
        <w:t xml:space="preserve">The EBF supports the use of a scorecard as a means to identify areas where supervisory efforts should be focussed and to evaluate the findings of supervisors using a common scale, in particular for cross-border banks. From a practical point of view the following circumstances should be carefully considered for a successful implementation. </w:t>
      </w:r>
    </w:p>
    <w:p w14:paraId="6C6677EC" w14:textId="66C39AE4" w:rsidR="008B0231" w:rsidRPr="002A05C2" w:rsidRDefault="008B0231" w:rsidP="002A05C2">
      <w:pPr>
        <w:pStyle w:val="ListParagraph"/>
        <w:numPr>
          <w:ilvl w:val="0"/>
          <w:numId w:val="33"/>
        </w:numPr>
        <w:spacing w:before="120" w:after="0"/>
        <w:ind w:left="714" w:hanging="357"/>
        <w:contextualSpacing w:val="0"/>
        <w:jc w:val="both"/>
        <w:rPr>
          <w:rFonts w:ascii="Times New Roman" w:hAnsi="Times New Roman"/>
          <w:sz w:val="24"/>
          <w:szCs w:val="24"/>
          <w:lang w:val="en-GB"/>
        </w:rPr>
      </w:pPr>
      <w:r w:rsidRPr="002A05C2">
        <w:rPr>
          <w:rFonts w:ascii="Times New Roman" w:hAnsi="Times New Roman"/>
          <w:sz w:val="24"/>
          <w:szCs w:val="24"/>
          <w:lang w:val="en-GB"/>
        </w:rPr>
        <w:t>A</w:t>
      </w:r>
      <w:r w:rsidR="00AA4D21" w:rsidRPr="002A05C2">
        <w:rPr>
          <w:rFonts w:ascii="Times New Roman" w:hAnsi="Times New Roman"/>
          <w:sz w:val="24"/>
          <w:szCs w:val="24"/>
          <w:lang w:val="en-GB"/>
        </w:rPr>
        <w:t xml:space="preserve">lthough a similar scoring system has been used by the EU supervisory community since the issuance of the GL39 in 2010, the experience accumulated is still limited and practices are still quite diverse among different EU supervisors. </w:t>
      </w:r>
    </w:p>
    <w:p w14:paraId="594346DA" w14:textId="4D4CA480" w:rsidR="008B0231" w:rsidRPr="008B0231" w:rsidRDefault="008B0231" w:rsidP="002A05C2">
      <w:pPr>
        <w:pStyle w:val="ListParagraph"/>
        <w:numPr>
          <w:ilvl w:val="0"/>
          <w:numId w:val="33"/>
        </w:numPr>
        <w:spacing w:before="120" w:after="0"/>
        <w:ind w:left="714" w:hanging="357"/>
        <w:contextualSpacing w:val="0"/>
        <w:jc w:val="both"/>
        <w:rPr>
          <w:rFonts w:ascii="Times New Roman" w:hAnsi="Times New Roman"/>
          <w:sz w:val="24"/>
          <w:szCs w:val="24"/>
          <w:lang w:val="en-GB"/>
        </w:rPr>
      </w:pPr>
      <w:r w:rsidRPr="008B0231">
        <w:rPr>
          <w:rFonts w:ascii="Times New Roman" w:hAnsi="Times New Roman"/>
          <w:sz w:val="24"/>
          <w:szCs w:val="24"/>
          <w:lang w:val="en-GB"/>
        </w:rPr>
        <w:t>T</w:t>
      </w:r>
      <w:r w:rsidR="00AA4D21" w:rsidRPr="008B0231">
        <w:rPr>
          <w:rFonts w:ascii="Times New Roman" w:hAnsi="Times New Roman"/>
          <w:sz w:val="24"/>
          <w:szCs w:val="24"/>
          <w:lang w:val="en-GB"/>
        </w:rPr>
        <w:t xml:space="preserve">he implications of the proposed guidelines on SREP are considerably greater than in the current SREP. Whereas the mechanics remain similar the proposed guidelines introduce an element that has critical consequences on banks and the market. The score is meant to represent the distance to failure of a bank according to the supervisor’s perspective and it could trigger the conversion of contingent debt instruments into </w:t>
      </w:r>
      <w:r w:rsidR="00AA4D21" w:rsidRPr="00DF792C">
        <w:rPr>
          <w:rFonts w:ascii="Times New Roman" w:hAnsi="Times New Roman"/>
          <w:sz w:val="24"/>
          <w:szCs w:val="24"/>
          <w:lang w:val="en-GB"/>
        </w:rPr>
        <w:t xml:space="preserve">capital. In the same token, a downgrade (or an upgrade) implies a change in the perceived distance to failure of the institution therefore in the value (not necessarily in the price) of convertible instruments. </w:t>
      </w:r>
    </w:p>
    <w:p w14:paraId="3920BE6A" w14:textId="40D90A2B" w:rsidR="00AA4D21" w:rsidRPr="008B0231" w:rsidRDefault="008B0231" w:rsidP="002A05C2">
      <w:pPr>
        <w:pStyle w:val="ListParagraph"/>
        <w:numPr>
          <w:ilvl w:val="0"/>
          <w:numId w:val="33"/>
        </w:numPr>
        <w:spacing w:before="120" w:after="0"/>
        <w:ind w:left="714" w:hanging="357"/>
        <w:contextualSpacing w:val="0"/>
        <w:jc w:val="both"/>
        <w:rPr>
          <w:rFonts w:ascii="Times New Roman" w:hAnsi="Times New Roman"/>
          <w:sz w:val="24"/>
          <w:szCs w:val="24"/>
          <w:lang w:val="en-GB"/>
        </w:rPr>
      </w:pPr>
      <w:r>
        <w:rPr>
          <w:rFonts w:ascii="Times New Roman" w:hAnsi="Times New Roman"/>
          <w:sz w:val="24"/>
          <w:szCs w:val="24"/>
          <w:lang w:val="en-GB"/>
        </w:rPr>
        <w:t>I</w:t>
      </w:r>
      <w:r w:rsidR="00AA4D21" w:rsidRPr="008B0231">
        <w:rPr>
          <w:rFonts w:ascii="Times New Roman" w:hAnsi="Times New Roman"/>
          <w:sz w:val="24"/>
          <w:szCs w:val="24"/>
          <w:lang w:val="en-GB"/>
        </w:rPr>
        <w:t xml:space="preserve">t </w:t>
      </w:r>
      <w:r w:rsidR="00AD49B2">
        <w:rPr>
          <w:rFonts w:ascii="Times New Roman" w:hAnsi="Times New Roman"/>
          <w:sz w:val="24"/>
          <w:szCs w:val="24"/>
          <w:lang w:val="en-GB"/>
        </w:rPr>
        <w:t>seems</w:t>
      </w:r>
      <w:r>
        <w:rPr>
          <w:rFonts w:ascii="Times New Roman" w:hAnsi="Times New Roman"/>
          <w:sz w:val="24"/>
          <w:szCs w:val="24"/>
          <w:lang w:val="en-GB"/>
        </w:rPr>
        <w:t xml:space="preserve"> </w:t>
      </w:r>
      <w:r w:rsidR="00AD49B2">
        <w:rPr>
          <w:rFonts w:ascii="Times New Roman" w:hAnsi="Times New Roman"/>
          <w:sz w:val="24"/>
          <w:szCs w:val="24"/>
          <w:lang w:val="en-GB"/>
        </w:rPr>
        <w:t>highly</w:t>
      </w:r>
      <w:r w:rsidR="00AA4D21" w:rsidRPr="008B0231">
        <w:rPr>
          <w:rFonts w:ascii="Times New Roman" w:hAnsi="Times New Roman"/>
          <w:sz w:val="24"/>
          <w:szCs w:val="24"/>
          <w:lang w:val="en-GB"/>
        </w:rPr>
        <w:t xml:space="preserve"> unrealistic that the supervisors can come to the conclusion, after performing the SREP, that the institution (especially category 1 or 2) is “Failing or likely to fail”</w:t>
      </w:r>
      <w:r>
        <w:rPr>
          <w:rFonts w:ascii="Times New Roman" w:hAnsi="Times New Roman"/>
          <w:sz w:val="24"/>
          <w:szCs w:val="24"/>
          <w:lang w:val="en-GB"/>
        </w:rPr>
        <w:t xml:space="preserve"> on SREP assessment alone</w:t>
      </w:r>
      <w:r w:rsidR="00AA4D21" w:rsidRPr="008B0231">
        <w:rPr>
          <w:rFonts w:ascii="Times New Roman" w:hAnsi="Times New Roman"/>
          <w:sz w:val="24"/>
          <w:szCs w:val="24"/>
          <w:lang w:val="en-GB"/>
        </w:rPr>
        <w:t xml:space="preserve">. The institution will need to have </w:t>
      </w:r>
      <w:r w:rsidR="00AD49B2">
        <w:rPr>
          <w:rFonts w:ascii="Times New Roman" w:hAnsi="Times New Roman"/>
          <w:sz w:val="24"/>
          <w:szCs w:val="24"/>
          <w:lang w:val="en-GB"/>
        </w:rPr>
        <w:t>depleted</w:t>
      </w:r>
      <w:r w:rsidR="00AA4D21" w:rsidRPr="008B0231">
        <w:rPr>
          <w:rFonts w:ascii="Times New Roman" w:hAnsi="Times New Roman"/>
          <w:sz w:val="24"/>
          <w:szCs w:val="24"/>
          <w:lang w:val="en-GB"/>
        </w:rPr>
        <w:t xml:space="preserve"> </w:t>
      </w:r>
      <w:r w:rsidR="00AD49B2">
        <w:rPr>
          <w:rFonts w:ascii="Times New Roman" w:hAnsi="Times New Roman"/>
          <w:sz w:val="24"/>
          <w:szCs w:val="24"/>
          <w:lang w:val="en-GB"/>
        </w:rPr>
        <w:t xml:space="preserve">the </w:t>
      </w:r>
      <w:r w:rsidR="00AA4D21" w:rsidRPr="008B0231">
        <w:rPr>
          <w:rFonts w:ascii="Times New Roman" w:hAnsi="Times New Roman"/>
          <w:sz w:val="24"/>
          <w:szCs w:val="24"/>
          <w:lang w:val="en-GB"/>
        </w:rPr>
        <w:t xml:space="preserve">combined buffer requirements, requiring enhanced supervisory actions, including </w:t>
      </w:r>
      <w:r w:rsidR="00AD49B2">
        <w:rPr>
          <w:rFonts w:ascii="Times New Roman" w:hAnsi="Times New Roman"/>
          <w:sz w:val="24"/>
          <w:szCs w:val="24"/>
          <w:lang w:val="en-GB"/>
        </w:rPr>
        <w:t xml:space="preserve">being </w:t>
      </w:r>
      <w:r w:rsidR="00AA4D21" w:rsidRPr="008B0231">
        <w:rPr>
          <w:rFonts w:ascii="Times New Roman" w:hAnsi="Times New Roman"/>
          <w:sz w:val="24"/>
          <w:szCs w:val="24"/>
          <w:lang w:val="en-GB"/>
        </w:rPr>
        <w:t>submitt</w:t>
      </w:r>
      <w:r w:rsidR="00AD49B2">
        <w:rPr>
          <w:rFonts w:ascii="Times New Roman" w:hAnsi="Times New Roman"/>
          <w:sz w:val="24"/>
          <w:szCs w:val="24"/>
          <w:lang w:val="en-GB"/>
        </w:rPr>
        <w:t>ed</w:t>
      </w:r>
      <w:r w:rsidR="00AA4D21" w:rsidRPr="008B0231">
        <w:rPr>
          <w:rFonts w:ascii="Times New Roman" w:hAnsi="Times New Roman"/>
          <w:sz w:val="24"/>
          <w:szCs w:val="24"/>
          <w:lang w:val="en-GB"/>
        </w:rPr>
        <w:t xml:space="preserve"> </w:t>
      </w:r>
      <w:r w:rsidR="00AD49B2">
        <w:rPr>
          <w:rFonts w:ascii="Times New Roman" w:hAnsi="Times New Roman"/>
          <w:sz w:val="24"/>
          <w:szCs w:val="24"/>
          <w:lang w:val="en-GB"/>
        </w:rPr>
        <w:t xml:space="preserve">to a </w:t>
      </w:r>
      <w:r w:rsidR="00AA4D21" w:rsidRPr="008B0231">
        <w:rPr>
          <w:rFonts w:ascii="Times New Roman" w:hAnsi="Times New Roman"/>
          <w:sz w:val="24"/>
          <w:szCs w:val="24"/>
          <w:lang w:val="en-GB"/>
        </w:rPr>
        <w:t>capital conservation plan</w:t>
      </w:r>
      <w:r w:rsidR="00AD49B2">
        <w:rPr>
          <w:rFonts w:ascii="Times New Roman" w:hAnsi="Times New Roman"/>
          <w:sz w:val="24"/>
          <w:szCs w:val="24"/>
          <w:lang w:val="en-GB"/>
        </w:rPr>
        <w:t xml:space="preserve"> and early intervention measures by the supervisor</w:t>
      </w:r>
      <w:r w:rsidR="00AA4D21" w:rsidRPr="008B0231">
        <w:rPr>
          <w:rFonts w:ascii="Times New Roman" w:hAnsi="Times New Roman"/>
          <w:sz w:val="24"/>
          <w:szCs w:val="24"/>
          <w:lang w:val="en-GB"/>
        </w:rPr>
        <w:t>, before becoming “Failing or likely to fail”. In that case, the status of the institution is well known to the supervisors and the supervisory interaction with the institution is well beyond the SREP process.</w:t>
      </w:r>
    </w:p>
    <w:p w14:paraId="3920BE6B"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Therefore, EBF recommends that: </w:t>
      </w:r>
    </w:p>
    <w:p w14:paraId="3920BE6C" w14:textId="77777777" w:rsidR="00AA4D21" w:rsidRDefault="00AA4D21" w:rsidP="00721CB7">
      <w:pPr>
        <w:numPr>
          <w:ilvl w:val="0"/>
          <w:numId w:val="23"/>
        </w:numPr>
        <w:spacing w:before="120"/>
        <w:jc w:val="both"/>
        <w:rPr>
          <w:rFonts w:ascii="Times New Roman" w:hAnsi="Times New Roman"/>
          <w:sz w:val="24"/>
          <w:szCs w:val="24"/>
          <w:lang w:val="en-US"/>
        </w:rPr>
      </w:pPr>
      <w:r>
        <w:rPr>
          <w:rFonts w:ascii="Times New Roman" w:hAnsi="Times New Roman"/>
          <w:sz w:val="24"/>
          <w:szCs w:val="24"/>
          <w:lang w:val="en-US"/>
        </w:rPr>
        <w:t xml:space="preserve">The scores should not aim at representing the distance to failure; </w:t>
      </w:r>
    </w:p>
    <w:p w14:paraId="3920BE6D" w14:textId="77777777" w:rsidR="00AA4D21" w:rsidRDefault="00AA4D21" w:rsidP="00721CB7">
      <w:pPr>
        <w:numPr>
          <w:ilvl w:val="0"/>
          <w:numId w:val="23"/>
        </w:numPr>
        <w:spacing w:before="120"/>
        <w:jc w:val="both"/>
        <w:rPr>
          <w:rFonts w:ascii="Times New Roman" w:hAnsi="Times New Roman"/>
          <w:sz w:val="24"/>
          <w:szCs w:val="24"/>
          <w:lang w:val="en-US"/>
        </w:rPr>
      </w:pPr>
      <w:r>
        <w:rPr>
          <w:rFonts w:ascii="Times New Roman" w:hAnsi="Times New Roman"/>
          <w:sz w:val="24"/>
          <w:szCs w:val="24"/>
          <w:lang w:val="en-US"/>
        </w:rPr>
        <w:t>The grade “Failing or likely to fail” is removed; and</w:t>
      </w:r>
    </w:p>
    <w:p w14:paraId="3920BE6E" w14:textId="77777777" w:rsidR="00AA4D21" w:rsidRPr="00787A4E" w:rsidRDefault="00AA4D21" w:rsidP="00721CB7">
      <w:pPr>
        <w:numPr>
          <w:ilvl w:val="0"/>
          <w:numId w:val="23"/>
        </w:numPr>
        <w:spacing w:before="120"/>
        <w:jc w:val="both"/>
        <w:rPr>
          <w:rFonts w:ascii="Times New Roman" w:hAnsi="Times New Roman"/>
          <w:sz w:val="24"/>
          <w:szCs w:val="24"/>
          <w:lang w:val="en-US"/>
        </w:rPr>
      </w:pPr>
      <w:r>
        <w:rPr>
          <w:rFonts w:ascii="Times New Roman" w:hAnsi="Times New Roman"/>
          <w:sz w:val="24"/>
          <w:szCs w:val="24"/>
          <w:lang w:val="en-US"/>
        </w:rPr>
        <w:t>The scores should be used to identify areas where supervisory efforts should be focused.</w:t>
      </w:r>
    </w:p>
    <w:p w14:paraId="3920BE6F" w14:textId="77777777" w:rsidR="00AA4D21" w:rsidRDefault="00AA4D21" w:rsidP="00702CF4">
      <w:pPr>
        <w:spacing w:before="120"/>
        <w:jc w:val="both"/>
        <w:rPr>
          <w:rFonts w:ascii="Times New Roman" w:hAnsi="Times New Roman"/>
          <w:sz w:val="24"/>
          <w:szCs w:val="24"/>
          <w:lang w:val="en-GB"/>
        </w:rPr>
      </w:pPr>
      <w:r w:rsidRPr="00CD2213">
        <w:rPr>
          <w:rFonts w:ascii="Times New Roman" w:hAnsi="Times New Roman"/>
          <w:sz w:val="24"/>
          <w:szCs w:val="24"/>
          <w:lang w:val="en-GB"/>
        </w:rPr>
        <w:t xml:space="preserve">Regarding </w:t>
      </w:r>
      <w:r>
        <w:rPr>
          <w:rFonts w:ascii="Times New Roman" w:hAnsi="Times New Roman"/>
          <w:sz w:val="24"/>
          <w:szCs w:val="24"/>
          <w:lang w:val="en-GB"/>
        </w:rPr>
        <w:t>the link with the r</w:t>
      </w:r>
      <w:r w:rsidRPr="00CD2213">
        <w:rPr>
          <w:rFonts w:ascii="Times New Roman" w:hAnsi="Times New Roman"/>
          <w:sz w:val="24"/>
          <w:szCs w:val="24"/>
          <w:lang w:val="en-GB"/>
        </w:rPr>
        <w:t>esolution</w:t>
      </w:r>
      <w:r>
        <w:rPr>
          <w:rFonts w:ascii="Times New Roman" w:hAnsi="Times New Roman"/>
          <w:sz w:val="24"/>
          <w:szCs w:val="24"/>
          <w:lang w:val="en-GB"/>
        </w:rPr>
        <w:t xml:space="preserve"> framework</w:t>
      </w:r>
      <w:r w:rsidRPr="00CD2213">
        <w:rPr>
          <w:rFonts w:ascii="Times New Roman" w:hAnsi="Times New Roman"/>
          <w:sz w:val="24"/>
          <w:szCs w:val="24"/>
          <w:lang w:val="en-GB"/>
        </w:rPr>
        <w:t xml:space="preserve">, </w:t>
      </w:r>
      <w:r>
        <w:rPr>
          <w:rFonts w:ascii="Times New Roman" w:hAnsi="Times New Roman"/>
          <w:sz w:val="24"/>
          <w:szCs w:val="24"/>
          <w:lang w:val="en-GB"/>
        </w:rPr>
        <w:t>as the</w:t>
      </w:r>
      <w:r w:rsidRPr="00CD2213">
        <w:rPr>
          <w:rFonts w:ascii="Times New Roman" w:hAnsi="Times New Roman"/>
          <w:sz w:val="24"/>
          <w:szCs w:val="24"/>
          <w:lang w:val="en-GB"/>
        </w:rPr>
        <w:t xml:space="preserve"> SREP is </w:t>
      </w:r>
      <w:r>
        <w:rPr>
          <w:rFonts w:ascii="Times New Roman" w:hAnsi="Times New Roman"/>
          <w:sz w:val="24"/>
          <w:szCs w:val="24"/>
          <w:lang w:val="en-GB"/>
        </w:rPr>
        <w:t xml:space="preserve">a somewhat burdensome process that runs periodically, its outcomes </w:t>
      </w:r>
      <w:r w:rsidRPr="00CD2213">
        <w:rPr>
          <w:rFonts w:ascii="Times New Roman" w:hAnsi="Times New Roman"/>
          <w:sz w:val="24"/>
          <w:szCs w:val="24"/>
          <w:lang w:val="en-GB"/>
        </w:rPr>
        <w:t xml:space="preserve">will </w:t>
      </w:r>
      <w:r>
        <w:rPr>
          <w:rFonts w:ascii="Times New Roman" w:hAnsi="Times New Roman"/>
          <w:sz w:val="24"/>
          <w:szCs w:val="24"/>
          <w:lang w:val="en-GB"/>
        </w:rPr>
        <w:t xml:space="preserve">inevitably </w:t>
      </w:r>
      <w:r w:rsidRPr="00CD2213">
        <w:rPr>
          <w:rFonts w:ascii="Times New Roman" w:hAnsi="Times New Roman"/>
          <w:sz w:val="24"/>
          <w:szCs w:val="24"/>
          <w:lang w:val="en-GB"/>
        </w:rPr>
        <w:t>be</w:t>
      </w:r>
      <w:r>
        <w:rPr>
          <w:rFonts w:ascii="Times New Roman" w:hAnsi="Times New Roman"/>
          <w:sz w:val="24"/>
          <w:szCs w:val="24"/>
          <w:lang w:val="en-GB"/>
        </w:rPr>
        <w:t>come</w:t>
      </w:r>
      <w:r w:rsidRPr="00CD2213">
        <w:rPr>
          <w:rFonts w:ascii="Times New Roman" w:hAnsi="Times New Roman"/>
          <w:sz w:val="24"/>
          <w:szCs w:val="24"/>
          <w:lang w:val="en-GB"/>
        </w:rPr>
        <w:t xml:space="preserve"> a lagging indicator</w:t>
      </w:r>
      <w:r>
        <w:rPr>
          <w:rFonts w:ascii="Times New Roman" w:hAnsi="Times New Roman"/>
          <w:sz w:val="24"/>
          <w:szCs w:val="24"/>
          <w:lang w:val="en-GB"/>
        </w:rPr>
        <w:t xml:space="preserve">. As acknowledged in the draft guidelines, there is an overlap between CRD IV </w:t>
      </w:r>
      <w:r w:rsidRPr="00A31FD5">
        <w:rPr>
          <w:rFonts w:ascii="Times New Roman" w:hAnsi="Times New Roman"/>
          <w:sz w:val="24"/>
          <w:szCs w:val="24"/>
          <w:lang w:val="en-GB"/>
        </w:rPr>
        <w:t>and</w:t>
      </w:r>
      <w:r>
        <w:rPr>
          <w:rFonts w:ascii="Times New Roman" w:hAnsi="Times New Roman"/>
          <w:sz w:val="24"/>
          <w:szCs w:val="24"/>
          <w:lang w:val="en-GB"/>
        </w:rPr>
        <w:t xml:space="preserve"> BRRD that requires clear delimitation of the remit and coordination points between competent authorities and resolution authorities. We assume that the EBA will address the framing of such relationship in due course.  </w:t>
      </w:r>
    </w:p>
    <w:p w14:paraId="3920BE70"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lastRenderedPageBreak/>
        <w:t>The semantics are also important, in our opinion. T</w:t>
      </w:r>
      <w:r w:rsidRPr="00351D26">
        <w:rPr>
          <w:rFonts w:ascii="Times New Roman" w:hAnsi="Times New Roman"/>
          <w:sz w:val="24"/>
          <w:szCs w:val="24"/>
          <w:lang w:val="en-US"/>
        </w:rPr>
        <w:t xml:space="preserve">he draft </w:t>
      </w:r>
      <w:r>
        <w:rPr>
          <w:rFonts w:ascii="Times New Roman" w:hAnsi="Times New Roman"/>
          <w:sz w:val="24"/>
          <w:szCs w:val="24"/>
          <w:lang w:val="en-US"/>
        </w:rPr>
        <w:t>g</w:t>
      </w:r>
      <w:r w:rsidRPr="00351D26">
        <w:rPr>
          <w:rFonts w:ascii="Times New Roman" w:hAnsi="Times New Roman"/>
          <w:sz w:val="24"/>
          <w:szCs w:val="24"/>
          <w:lang w:val="en-US"/>
        </w:rPr>
        <w:t xml:space="preserve">uidelines introduce a scoring methodology which is expressly linked with the determination whether an institution is “failing or likely to fail” and with </w:t>
      </w:r>
      <w:r>
        <w:rPr>
          <w:rFonts w:ascii="Times New Roman" w:hAnsi="Times New Roman"/>
          <w:sz w:val="24"/>
          <w:szCs w:val="24"/>
          <w:lang w:val="en-US"/>
        </w:rPr>
        <w:t xml:space="preserve">its </w:t>
      </w:r>
      <w:r w:rsidRPr="00351D26">
        <w:rPr>
          <w:rFonts w:ascii="Times New Roman" w:hAnsi="Times New Roman"/>
          <w:sz w:val="24"/>
          <w:szCs w:val="24"/>
          <w:lang w:val="en-US"/>
        </w:rPr>
        <w:t xml:space="preserve">viability. At the same time the scores are all defined as “pose an X risk to the viability of the institution” wherein X is “no discernable risk” (score 1) to “high risk” (score 4). The draft </w:t>
      </w:r>
      <w:r>
        <w:rPr>
          <w:rFonts w:ascii="Times New Roman" w:hAnsi="Times New Roman"/>
          <w:sz w:val="24"/>
          <w:szCs w:val="24"/>
          <w:lang w:val="en-US"/>
        </w:rPr>
        <w:t>g</w:t>
      </w:r>
      <w:r w:rsidRPr="00351D26">
        <w:rPr>
          <w:rFonts w:ascii="Times New Roman" w:hAnsi="Times New Roman"/>
          <w:sz w:val="24"/>
          <w:szCs w:val="24"/>
          <w:lang w:val="en-US"/>
        </w:rPr>
        <w:t xml:space="preserve">uidelines label all these scores as “positive grades”. However, it may easily be the case that public and market perception will be negative for each of the scores other than 1. If this were the case then the methodology would be unnecessarily stigmatizing and counterproductive. This is compounded by the fact that an institution cannot get a real positive score like for instance sufficient, more than sufficient, excellent or best-in-class. Somehow ‘no discernable risk’ </w:t>
      </w:r>
      <w:r>
        <w:rPr>
          <w:rFonts w:ascii="Times New Roman" w:hAnsi="Times New Roman"/>
          <w:sz w:val="24"/>
          <w:szCs w:val="24"/>
          <w:lang w:val="en-US"/>
        </w:rPr>
        <w:t xml:space="preserve">sounds as </w:t>
      </w:r>
      <w:r w:rsidRPr="00351D26">
        <w:rPr>
          <w:rFonts w:ascii="Times New Roman" w:hAnsi="Times New Roman"/>
          <w:sz w:val="24"/>
          <w:szCs w:val="24"/>
          <w:lang w:val="en-US"/>
        </w:rPr>
        <w:t>‘just adequate’.</w:t>
      </w:r>
      <w:r>
        <w:rPr>
          <w:rFonts w:ascii="Times New Roman" w:hAnsi="Times New Roman"/>
          <w:sz w:val="24"/>
          <w:szCs w:val="24"/>
          <w:lang w:val="en-US"/>
        </w:rPr>
        <w:t xml:space="preserve"> </w:t>
      </w:r>
    </w:p>
    <w:p w14:paraId="3920BE71"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The problem of the semantic is compounded by the fact that there is no quantitative information to anchor the qualitative assessment of scores. For example, when a credit rating agency assesses the creditworthiness of an institution the score is automatically associated to a probability of default in a certain period of time (e.g. one year). That probability of default confers meaning to the assessment and makes it sound, comparable and reliable (or not). But a supervisory estimation of the viability of a bank with no expression of the probability of occurrence leads to a wide range of interpretations. In the face of such uncertainty interpretations tend to conservatism. </w:t>
      </w:r>
    </w:p>
    <w:p w14:paraId="3920BE72" w14:textId="77777777" w:rsidR="00AA4D21" w:rsidRPr="00677F3F" w:rsidRDefault="00AA4D21" w:rsidP="00702CF4">
      <w:pPr>
        <w:spacing w:before="120"/>
        <w:jc w:val="both"/>
        <w:rPr>
          <w:rFonts w:ascii="Times New Roman" w:hAnsi="Times New Roman"/>
          <w:sz w:val="24"/>
          <w:szCs w:val="24"/>
          <w:lang w:val="en-GB"/>
        </w:rPr>
      </w:pPr>
      <w:r>
        <w:rPr>
          <w:rFonts w:ascii="Times New Roman" w:hAnsi="Times New Roman"/>
          <w:sz w:val="24"/>
          <w:szCs w:val="24"/>
          <w:lang w:val="en-US"/>
        </w:rPr>
        <w:t xml:space="preserve">It can be argued that the scores, the assessment and their interpretation will be retained solely within the domain of the supervisory community and that there will be no external access to such information. If that is the case throughout all supervised entities and during the indefinite time period that these guidelines are meant to be applied, the abovementioned concerns will not be relevant. Just in case, we prefer to err on the side of caution. A discussion on the question of transparency follows in the next point. </w:t>
      </w:r>
    </w:p>
    <w:p w14:paraId="3920BE73" w14:textId="77777777" w:rsidR="00AA4D21" w:rsidRDefault="00AA4D21" w:rsidP="00702CF4">
      <w:pPr>
        <w:spacing w:before="120"/>
        <w:jc w:val="both"/>
        <w:rPr>
          <w:rFonts w:ascii="Times New Roman" w:hAnsi="Times New Roman"/>
          <w:b/>
          <w:sz w:val="24"/>
          <w:szCs w:val="24"/>
          <w:u w:val="single"/>
          <w:lang w:val="en-GB"/>
        </w:rPr>
      </w:pPr>
    </w:p>
    <w:p w14:paraId="3920BE74" w14:textId="676E4BC9" w:rsidR="00AA4D21" w:rsidRPr="00677F3F" w:rsidRDefault="00DF792C" w:rsidP="00787A4E">
      <w:pPr>
        <w:numPr>
          <w:ilvl w:val="0"/>
          <w:numId w:val="26"/>
        </w:numPr>
        <w:spacing w:before="120"/>
        <w:jc w:val="both"/>
        <w:rPr>
          <w:rFonts w:ascii="Times New Roman" w:hAnsi="Times New Roman"/>
          <w:b/>
          <w:sz w:val="24"/>
          <w:szCs w:val="24"/>
          <w:u w:val="single"/>
          <w:lang w:val="en-GB"/>
        </w:rPr>
      </w:pPr>
      <w:r>
        <w:rPr>
          <w:rFonts w:ascii="Times New Roman" w:hAnsi="Times New Roman"/>
          <w:b/>
          <w:sz w:val="24"/>
          <w:szCs w:val="24"/>
          <w:u w:val="single"/>
          <w:lang w:val="en-GB"/>
        </w:rPr>
        <w:t>T</w:t>
      </w:r>
      <w:r w:rsidR="00AA4D21" w:rsidRPr="00677F3F">
        <w:rPr>
          <w:rFonts w:ascii="Times New Roman" w:hAnsi="Times New Roman"/>
          <w:b/>
          <w:sz w:val="24"/>
          <w:szCs w:val="24"/>
          <w:u w:val="single"/>
          <w:lang w:val="en-GB"/>
        </w:rPr>
        <w:t xml:space="preserve">ransparency of evaluations? </w:t>
      </w:r>
    </w:p>
    <w:p w14:paraId="3920BE75"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In our opinion, this dilemma is a critical aspect of the new SREP. We think that the use of a scorecard, which is supported by the EBF, inevitably entails implications that should be carefully addressed. There are at least three options with different advantages and drawbacks: </w:t>
      </w:r>
    </w:p>
    <w:p w14:paraId="3920BE76" w14:textId="77777777" w:rsidR="00AA4D21" w:rsidRDefault="00AA4D21" w:rsidP="00787A4E">
      <w:pPr>
        <w:numPr>
          <w:ilvl w:val="0"/>
          <w:numId w:val="29"/>
        </w:numPr>
        <w:spacing w:before="120"/>
        <w:jc w:val="both"/>
        <w:rPr>
          <w:rFonts w:ascii="Times New Roman" w:hAnsi="Times New Roman"/>
          <w:sz w:val="24"/>
          <w:szCs w:val="24"/>
          <w:lang w:val="en-US"/>
        </w:rPr>
      </w:pPr>
      <w:r>
        <w:rPr>
          <w:rFonts w:ascii="Times New Roman" w:hAnsi="Times New Roman"/>
          <w:sz w:val="24"/>
          <w:szCs w:val="24"/>
          <w:lang w:val="en-US"/>
        </w:rPr>
        <w:t xml:space="preserve">No reference to the disclosure of scores in the guidelines. </w:t>
      </w:r>
    </w:p>
    <w:p w14:paraId="3920BE77" w14:textId="77777777" w:rsidR="00AA4D21" w:rsidRDefault="00AA4D21" w:rsidP="00787A4E">
      <w:pPr>
        <w:numPr>
          <w:ilvl w:val="0"/>
          <w:numId w:val="29"/>
        </w:numPr>
        <w:spacing w:before="120"/>
        <w:jc w:val="both"/>
        <w:rPr>
          <w:rFonts w:ascii="Times New Roman" w:hAnsi="Times New Roman"/>
          <w:sz w:val="24"/>
          <w:szCs w:val="24"/>
          <w:lang w:val="en-US"/>
        </w:rPr>
      </w:pPr>
      <w:r>
        <w:rPr>
          <w:rFonts w:ascii="Times New Roman" w:hAnsi="Times New Roman"/>
          <w:sz w:val="24"/>
          <w:szCs w:val="24"/>
          <w:lang w:val="en-US"/>
        </w:rPr>
        <w:t xml:space="preserve">Indication in the guidelines (or elsewhere including orally) that the scores should only be known by supervisors. </w:t>
      </w:r>
    </w:p>
    <w:p w14:paraId="3920BE78" w14:textId="77777777" w:rsidR="00AA4D21" w:rsidRDefault="00AA4D21" w:rsidP="00787A4E">
      <w:pPr>
        <w:numPr>
          <w:ilvl w:val="0"/>
          <w:numId w:val="29"/>
        </w:numPr>
        <w:spacing w:before="120"/>
        <w:jc w:val="both"/>
        <w:rPr>
          <w:rFonts w:ascii="Times New Roman" w:hAnsi="Times New Roman"/>
          <w:sz w:val="24"/>
          <w:szCs w:val="24"/>
          <w:lang w:val="en-US"/>
        </w:rPr>
      </w:pPr>
      <w:r>
        <w:rPr>
          <w:rFonts w:ascii="Times New Roman" w:hAnsi="Times New Roman"/>
          <w:sz w:val="24"/>
          <w:szCs w:val="24"/>
          <w:lang w:val="en-US"/>
        </w:rPr>
        <w:t xml:space="preserve">Indication in the guidelines of the terms for disclosure of scores to banks and, potentially, to other stakeholders. </w:t>
      </w:r>
    </w:p>
    <w:p w14:paraId="3920BE79"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The first option is tantamount to leaving the decision to supervisors. Ambiguity and divergent approaches could appear among supervisors. </w:t>
      </w:r>
    </w:p>
    <w:p w14:paraId="3920BE7A"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The second option could work theoretically but there are grounds for thinking that the risk of leaks and public disclosure will be high due to the mounting pressure that can be expected from the effects that the scores will have on the value of debt instruments and the sheer number of institutions and supervisors involved. </w:t>
      </w:r>
    </w:p>
    <w:p w14:paraId="42419844" w14:textId="77777777" w:rsidR="00C92298"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lastRenderedPageBreak/>
        <w:t xml:space="preserve">The third option would overcome the problems of potential divergences and partial leaks of the two other options however it would put much pressure on the accuracy of a scoring system that has short history and is central to the credibility of the European framework of supervision. </w:t>
      </w:r>
    </w:p>
    <w:p w14:paraId="3920BE7B" w14:textId="6078F91D" w:rsidR="00AA4D21" w:rsidRDefault="00C92298"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We note that SREP scores are currently known by banks in many countries and there does not appear to be unintended consequences so far.  </w:t>
      </w:r>
      <w:r w:rsidR="00AA4D21">
        <w:rPr>
          <w:rFonts w:ascii="Times New Roman" w:hAnsi="Times New Roman"/>
          <w:sz w:val="24"/>
          <w:szCs w:val="24"/>
          <w:lang w:val="en-US"/>
        </w:rPr>
        <w:t xml:space="preserve"> </w:t>
      </w:r>
    </w:p>
    <w:p w14:paraId="3920BE7C"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Every option would require certain reconsiderations to the content, language and meaning of the SREP methodology proposed in these guidelines. </w:t>
      </w:r>
    </w:p>
    <w:p w14:paraId="3920BE7D" w14:textId="77777777" w:rsidR="00AA4D21" w:rsidRDefault="00AA4D21" w:rsidP="00702CF4">
      <w:pPr>
        <w:spacing w:before="120"/>
        <w:jc w:val="both"/>
        <w:rPr>
          <w:rFonts w:ascii="Times New Roman" w:hAnsi="Times New Roman"/>
          <w:sz w:val="24"/>
          <w:szCs w:val="24"/>
          <w:lang w:val="en-GB"/>
        </w:rPr>
      </w:pPr>
      <w:r>
        <w:rPr>
          <w:rFonts w:ascii="Times New Roman" w:hAnsi="Times New Roman"/>
          <w:sz w:val="24"/>
          <w:szCs w:val="24"/>
          <w:lang w:val="en-GB"/>
        </w:rPr>
        <w:t>It can be strongly argued that the scores should not be publicly disclosed but confined to the supervisory and banking community. As long as this privacy is maintained, the market price should remain unchanged irrespective of variations in supervisory scores. But the intrinsic value of debt instruments would be in fact altered even if not known outside the supervisory community. This grouping includes a</w:t>
      </w:r>
      <w:r w:rsidRPr="00977A86">
        <w:rPr>
          <w:rFonts w:ascii="Times New Roman" w:hAnsi="Times New Roman"/>
          <w:sz w:val="24"/>
          <w:szCs w:val="24"/>
          <w:lang w:val="en-GB"/>
        </w:rPr>
        <w:t>ll the members of the college of supervisors in cross-border banking groups thus involving in many cases non-European supervisors</w:t>
      </w:r>
      <w:r>
        <w:rPr>
          <w:rFonts w:ascii="Times New Roman" w:hAnsi="Times New Roman"/>
          <w:sz w:val="24"/>
          <w:szCs w:val="24"/>
          <w:lang w:val="en-GB"/>
        </w:rPr>
        <w:t xml:space="preserve"> whose</w:t>
      </w:r>
      <w:r w:rsidRPr="00977A86">
        <w:rPr>
          <w:rFonts w:ascii="Times New Roman" w:hAnsi="Times New Roman"/>
          <w:sz w:val="24"/>
          <w:szCs w:val="24"/>
          <w:lang w:val="en-GB"/>
        </w:rPr>
        <w:t xml:space="preserve"> supervisory practices </w:t>
      </w:r>
      <w:r>
        <w:rPr>
          <w:rFonts w:ascii="Times New Roman" w:hAnsi="Times New Roman"/>
          <w:sz w:val="24"/>
          <w:szCs w:val="24"/>
          <w:lang w:val="en-GB"/>
        </w:rPr>
        <w:t xml:space="preserve">on this question </w:t>
      </w:r>
      <w:r w:rsidRPr="00977A86">
        <w:rPr>
          <w:rFonts w:ascii="Times New Roman" w:hAnsi="Times New Roman"/>
          <w:sz w:val="24"/>
          <w:szCs w:val="24"/>
          <w:lang w:val="en-GB"/>
        </w:rPr>
        <w:t>may differ</w:t>
      </w:r>
      <w:r>
        <w:rPr>
          <w:rFonts w:ascii="Times New Roman" w:hAnsi="Times New Roman"/>
          <w:sz w:val="24"/>
          <w:szCs w:val="24"/>
          <w:lang w:val="en-GB"/>
        </w:rPr>
        <w:t xml:space="preserve">. </w:t>
      </w:r>
    </w:p>
    <w:p w14:paraId="3920BE7E"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GB"/>
        </w:rPr>
        <w:t xml:space="preserve">In conclusion, it all leads to think that considerable tension will mount up around the scores due to the direct link with the triggers for resolution envisaged in the bank recovery and resolution directive (BRRD) that comes into force on 1 January 2015 and the bail-in element a year later. </w:t>
      </w:r>
    </w:p>
    <w:p w14:paraId="3920BE7F" w14:textId="77777777" w:rsidR="00AA4D21" w:rsidRPr="00677F3F" w:rsidRDefault="00AA4D21" w:rsidP="00702CF4">
      <w:pPr>
        <w:spacing w:before="120"/>
        <w:jc w:val="both"/>
        <w:rPr>
          <w:rFonts w:ascii="Times New Roman" w:hAnsi="Times New Roman"/>
          <w:sz w:val="24"/>
          <w:szCs w:val="24"/>
          <w:lang w:val="en-US"/>
        </w:rPr>
      </w:pPr>
    </w:p>
    <w:p w14:paraId="3920BE80" w14:textId="0DD4202C" w:rsidR="00AA4D21" w:rsidRPr="00E30C2F" w:rsidRDefault="00AA4D21" w:rsidP="00787A4E">
      <w:pPr>
        <w:numPr>
          <w:ilvl w:val="0"/>
          <w:numId w:val="26"/>
        </w:numPr>
        <w:spacing w:before="120"/>
        <w:jc w:val="both"/>
        <w:rPr>
          <w:rFonts w:ascii="Times New Roman" w:hAnsi="Times New Roman"/>
          <w:b/>
          <w:sz w:val="24"/>
          <w:szCs w:val="24"/>
          <w:u w:val="single"/>
          <w:lang w:val="en-GB"/>
        </w:rPr>
      </w:pPr>
      <w:r w:rsidRPr="00E30C2F">
        <w:rPr>
          <w:rFonts w:ascii="Times New Roman" w:hAnsi="Times New Roman"/>
          <w:b/>
          <w:sz w:val="24"/>
          <w:szCs w:val="24"/>
          <w:u w:val="single"/>
          <w:lang w:val="en-GB"/>
        </w:rPr>
        <w:t xml:space="preserve">Peer </w:t>
      </w:r>
      <w:r w:rsidR="00DF792C">
        <w:rPr>
          <w:rFonts w:ascii="Times New Roman" w:hAnsi="Times New Roman"/>
          <w:b/>
          <w:sz w:val="24"/>
          <w:szCs w:val="24"/>
          <w:u w:val="single"/>
          <w:lang w:val="en-GB"/>
        </w:rPr>
        <w:t>Review A</w:t>
      </w:r>
      <w:r w:rsidRPr="00E30C2F">
        <w:rPr>
          <w:rFonts w:ascii="Times New Roman" w:hAnsi="Times New Roman"/>
          <w:b/>
          <w:sz w:val="24"/>
          <w:szCs w:val="24"/>
          <w:u w:val="single"/>
          <w:lang w:val="en-GB"/>
        </w:rPr>
        <w:t xml:space="preserve">nalysis and </w:t>
      </w:r>
      <w:r w:rsidR="00DF792C">
        <w:rPr>
          <w:rFonts w:ascii="Times New Roman" w:hAnsi="Times New Roman"/>
          <w:b/>
          <w:sz w:val="24"/>
          <w:szCs w:val="24"/>
          <w:u w:val="single"/>
          <w:lang w:val="en-GB"/>
        </w:rPr>
        <w:t>U</w:t>
      </w:r>
      <w:r w:rsidRPr="00E30C2F">
        <w:rPr>
          <w:rFonts w:ascii="Times New Roman" w:hAnsi="Times New Roman"/>
          <w:b/>
          <w:sz w:val="24"/>
          <w:szCs w:val="24"/>
          <w:u w:val="single"/>
          <w:lang w:val="en-GB"/>
        </w:rPr>
        <w:t xml:space="preserve">se of </w:t>
      </w:r>
      <w:r w:rsidR="00DF792C">
        <w:rPr>
          <w:rFonts w:ascii="Times New Roman" w:hAnsi="Times New Roman"/>
          <w:b/>
          <w:sz w:val="24"/>
          <w:szCs w:val="24"/>
          <w:u w:val="single"/>
          <w:lang w:val="en-GB"/>
        </w:rPr>
        <w:t>B</w:t>
      </w:r>
      <w:r w:rsidRPr="00E30C2F">
        <w:rPr>
          <w:rFonts w:ascii="Times New Roman" w:hAnsi="Times New Roman"/>
          <w:b/>
          <w:sz w:val="24"/>
          <w:szCs w:val="24"/>
          <w:u w:val="single"/>
          <w:lang w:val="en-GB"/>
        </w:rPr>
        <w:t>enchmarks</w:t>
      </w:r>
    </w:p>
    <w:p w14:paraId="3920BE81" w14:textId="77777777" w:rsidR="00AA4D21" w:rsidRDefault="00AA4D21" w:rsidP="00702CF4">
      <w:pPr>
        <w:spacing w:before="120"/>
        <w:jc w:val="both"/>
        <w:rPr>
          <w:rFonts w:ascii="Times New Roman" w:hAnsi="Times New Roman"/>
          <w:sz w:val="24"/>
          <w:szCs w:val="24"/>
          <w:lang w:val="en-GB"/>
        </w:rPr>
      </w:pPr>
      <w:r w:rsidRPr="009A2DE2">
        <w:rPr>
          <w:rFonts w:ascii="Times New Roman" w:hAnsi="Times New Roman"/>
          <w:sz w:val="24"/>
          <w:szCs w:val="24"/>
          <w:lang w:val="en-US"/>
        </w:rPr>
        <w:t xml:space="preserve">The draft guidelines generally encourage supervisors to conduct peer analysis as part of evaluating individual institutions. </w:t>
      </w:r>
      <w:r w:rsidRPr="00787A4E">
        <w:rPr>
          <w:rFonts w:ascii="Times New Roman" w:hAnsi="Times New Roman"/>
          <w:sz w:val="24"/>
          <w:szCs w:val="24"/>
          <w:lang w:val="en-GB"/>
        </w:rPr>
        <w:t xml:space="preserve">Benchmarks potentially provide a valuable tool in ensuring consistency of application of supervisory measures between institutions and in ensuring that supervisory objectives can be assessed and met. However, caution must be taken in their application. Benchmarks should be risk sensitive and take account of the different risk appetites and market segments taken by different firms whose portfolios are used to construct the benchmarks. </w:t>
      </w:r>
    </w:p>
    <w:p w14:paraId="3920BE82" w14:textId="0C0E3EF7" w:rsidR="00AA4D21" w:rsidRDefault="00AA4D21" w:rsidP="00702CF4">
      <w:pPr>
        <w:spacing w:before="120"/>
        <w:jc w:val="both"/>
        <w:rPr>
          <w:rFonts w:ascii="Times New Roman" w:hAnsi="Times New Roman"/>
          <w:sz w:val="24"/>
          <w:szCs w:val="24"/>
          <w:lang w:val="en-GB"/>
        </w:rPr>
      </w:pPr>
      <w:r w:rsidRPr="009A2DE2">
        <w:rPr>
          <w:rFonts w:ascii="Times New Roman" w:hAnsi="Times New Roman"/>
          <w:sz w:val="24"/>
          <w:szCs w:val="24"/>
          <w:lang w:val="en-US"/>
        </w:rPr>
        <w:t xml:space="preserve">The use of peer analysis may not be appropriate if the peer group does not reflect the institution's operating environment in terms of geography, product </w:t>
      </w:r>
      <w:r>
        <w:rPr>
          <w:rFonts w:ascii="Times New Roman" w:hAnsi="Times New Roman"/>
          <w:sz w:val="24"/>
          <w:szCs w:val="24"/>
          <w:lang w:val="en-US"/>
        </w:rPr>
        <w:t>offerings</w:t>
      </w:r>
      <w:r w:rsidRPr="009A2DE2">
        <w:rPr>
          <w:rFonts w:ascii="Times New Roman" w:hAnsi="Times New Roman"/>
          <w:sz w:val="24"/>
          <w:szCs w:val="24"/>
          <w:lang w:val="en-US"/>
        </w:rPr>
        <w:t>, segments</w:t>
      </w:r>
      <w:r>
        <w:rPr>
          <w:rFonts w:ascii="Times New Roman" w:hAnsi="Times New Roman"/>
          <w:sz w:val="24"/>
          <w:szCs w:val="24"/>
          <w:lang w:val="en-US"/>
        </w:rPr>
        <w:t>,</w:t>
      </w:r>
      <w:r w:rsidRPr="009A2DE2">
        <w:rPr>
          <w:rFonts w:ascii="Times New Roman" w:hAnsi="Times New Roman"/>
          <w:sz w:val="24"/>
          <w:szCs w:val="24"/>
          <w:lang w:val="en-US"/>
        </w:rPr>
        <w:t xml:space="preserve"> etc. If peer groups do not </w:t>
      </w:r>
      <w:r>
        <w:rPr>
          <w:rFonts w:ascii="Times New Roman" w:hAnsi="Times New Roman"/>
          <w:sz w:val="24"/>
          <w:szCs w:val="24"/>
          <w:lang w:val="en-US"/>
        </w:rPr>
        <w:t>match an</w:t>
      </w:r>
      <w:r w:rsidRPr="009A2DE2">
        <w:rPr>
          <w:rFonts w:ascii="Times New Roman" w:hAnsi="Times New Roman"/>
          <w:sz w:val="24"/>
          <w:szCs w:val="24"/>
          <w:lang w:val="en-US"/>
        </w:rPr>
        <w:t xml:space="preserve"> individual institution, </w:t>
      </w:r>
      <w:r>
        <w:rPr>
          <w:rFonts w:ascii="Times New Roman" w:hAnsi="Times New Roman"/>
          <w:sz w:val="24"/>
          <w:szCs w:val="24"/>
          <w:lang w:val="en-US"/>
        </w:rPr>
        <w:t xml:space="preserve">the latter </w:t>
      </w:r>
      <w:r w:rsidRPr="009A2DE2">
        <w:rPr>
          <w:rFonts w:ascii="Times New Roman" w:hAnsi="Times New Roman"/>
          <w:sz w:val="24"/>
          <w:szCs w:val="24"/>
          <w:lang w:val="en-US"/>
        </w:rPr>
        <w:t xml:space="preserve">could incorrectly appear to be </w:t>
      </w:r>
      <w:r>
        <w:rPr>
          <w:rFonts w:ascii="Times New Roman" w:hAnsi="Times New Roman"/>
          <w:sz w:val="24"/>
          <w:szCs w:val="24"/>
          <w:lang w:val="en-US"/>
        </w:rPr>
        <w:t xml:space="preserve">an </w:t>
      </w:r>
      <w:r w:rsidRPr="009A2DE2">
        <w:rPr>
          <w:rFonts w:ascii="Times New Roman" w:hAnsi="Times New Roman"/>
          <w:sz w:val="24"/>
          <w:szCs w:val="24"/>
          <w:lang w:val="en-US"/>
        </w:rPr>
        <w:t xml:space="preserve">outlier. </w:t>
      </w:r>
      <w:r w:rsidRPr="00D36963">
        <w:rPr>
          <w:rFonts w:ascii="Times New Roman" w:hAnsi="Times New Roman"/>
          <w:sz w:val="24"/>
          <w:szCs w:val="24"/>
          <w:lang w:val="en-US"/>
        </w:rPr>
        <w:t xml:space="preserve">Benchmarks applied </w:t>
      </w:r>
      <w:r w:rsidRPr="00787A4E">
        <w:rPr>
          <w:rFonts w:ascii="Times New Roman" w:hAnsi="Times New Roman"/>
          <w:sz w:val="24"/>
          <w:szCs w:val="24"/>
          <w:lang w:val="en-GB"/>
        </w:rPr>
        <w:t>should be free of embedded supervisory floors/caps and should not be used to increase conservatism within bank estimations in a non-transparent manner.</w:t>
      </w:r>
      <w:r>
        <w:rPr>
          <w:rFonts w:ascii="Times New Roman" w:hAnsi="Times New Roman"/>
          <w:sz w:val="24"/>
          <w:szCs w:val="24"/>
          <w:lang w:val="en-GB"/>
        </w:rPr>
        <w:t xml:space="preserve"> </w:t>
      </w:r>
      <w:r w:rsidR="00DF792C">
        <w:rPr>
          <w:rFonts w:ascii="Times New Roman" w:hAnsi="Times New Roman"/>
          <w:sz w:val="24"/>
          <w:szCs w:val="24"/>
          <w:lang w:val="en-GB"/>
        </w:rPr>
        <w:t xml:space="preserve">It should also be indicated that data is drawn from the same time period to avoid the effect of differences due to changes in the underlying economic environment. </w:t>
      </w:r>
    </w:p>
    <w:p w14:paraId="3920BE83" w14:textId="77777777" w:rsidR="00AA4D21" w:rsidRPr="00787A4E" w:rsidRDefault="00AA4D21" w:rsidP="00702CF4">
      <w:pPr>
        <w:spacing w:before="120"/>
        <w:jc w:val="both"/>
        <w:rPr>
          <w:rFonts w:ascii="Times New Roman" w:hAnsi="Times New Roman"/>
          <w:sz w:val="24"/>
          <w:szCs w:val="24"/>
          <w:lang w:val="en-GB"/>
        </w:rPr>
      </w:pPr>
      <w:r w:rsidRPr="00D36963">
        <w:rPr>
          <w:rFonts w:ascii="Times New Roman" w:hAnsi="Times New Roman"/>
          <w:sz w:val="24"/>
          <w:szCs w:val="24"/>
          <w:lang w:val="en-US"/>
        </w:rPr>
        <w:t>The guidelines should specify in further detail the process for determining additional own funds requirements, particularly in relation to unexpected losses where supervisory benchmark calculations are used to support this determination, thereby ensuring a consistent and transparent approach is applied.</w:t>
      </w:r>
      <w:r>
        <w:rPr>
          <w:rFonts w:ascii="Times New Roman" w:hAnsi="Times New Roman"/>
          <w:sz w:val="24"/>
          <w:szCs w:val="24"/>
          <w:lang w:val="en-US"/>
        </w:rPr>
        <w:t xml:space="preserve"> </w:t>
      </w:r>
    </w:p>
    <w:p w14:paraId="3920BE84" w14:textId="77777777" w:rsidR="00AA4D21" w:rsidRDefault="00AA4D21" w:rsidP="00702CF4">
      <w:pPr>
        <w:spacing w:before="120"/>
        <w:jc w:val="both"/>
        <w:rPr>
          <w:rFonts w:ascii="Times New Roman" w:hAnsi="Times New Roman"/>
          <w:sz w:val="24"/>
          <w:szCs w:val="24"/>
          <w:lang w:val="en-US"/>
        </w:rPr>
      </w:pPr>
      <w:r w:rsidRPr="009A2DE2">
        <w:rPr>
          <w:rFonts w:ascii="Times New Roman" w:hAnsi="Times New Roman"/>
          <w:sz w:val="24"/>
          <w:szCs w:val="24"/>
          <w:lang w:val="en-US"/>
        </w:rPr>
        <w:t>We find it important that the guidelines include cautions regarding the risks associated with an inappropriate use of peer group analysis.</w:t>
      </w:r>
      <w:r>
        <w:rPr>
          <w:rFonts w:ascii="Times New Roman" w:hAnsi="Times New Roman"/>
          <w:sz w:val="24"/>
          <w:szCs w:val="24"/>
          <w:lang w:val="en-US"/>
        </w:rPr>
        <w:t xml:space="preserve"> P</w:t>
      </w:r>
      <w:r w:rsidRPr="00FE17ED">
        <w:rPr>
          <w:rFonts w:ascii="Times New Roman" w:hAnsi="Times New Roman"/>
          <w:sz w:val="24"/>
          <w:szCs w:val="24"/>
          <w:lang w:val="en-US"/>
        </w:rPr>
        <w:t>eer group analysis always bears the danger of fostering herd behavior which clearly should not be the outcome of a supervisory review and evaluation process.</w:t>
      </w:r>
      <w:r>
        <w:rPr>
          <w:rFonts w:ascii="Times New Roman" w:hAnsi="Times New Roman"/>
          <w:sz w:val="24"/>
          <w:szCs w:val="24"/>
          <w:lang w:val="en-US"/>
        </w:rPr>
        <w:t xml:space="preserve"> </w:t>
      </w:r>
    </w:p>
    <w:p w14:paraId="3920BE85" w14:textId="77777777" w:rsidR="00AA4D21" w:rsidRDefault="00AA4D21" w:rsidP="00271885">
      <w:pPr>
        <w:spacing w:before="120"/>
        <w:jc w:val="both"/>
        <w:rPr>
          <w:rFonts w:ascii="Times New Roman" w:hAnsi="Times New Roman"/>
          <w:sz w:val="24"/>
          <w:szCs w:val="24"/>
          <w:lang w:val="en-US"/>
        </w:rPr>
      </w:pPr>
      <w:r>
        <w:rPr>
          <w:rFonts w:ascii="Times New Roman" w:hAnsi="Times New Roman"/>
          <w:sz w:val="24"/>
          <w:szCs w:val="24"/>
          <w:lang w:val="en-US"/>
        </w:rPr>
        <w:lastRenderedPageBreak/>
        <w:t>The guidelines should also address the consideration of national discretions because, as long as some of them persist, comparisons could be distorted and the</w:t>
      </w:r>
      <w:r w:rsidRPr="009A2DE2">
        <w:rPr>
          <w:rFonts w:ascii="Times New Roman" w:hAnsi="Times New Roman"/>
          <w:sz w:val="24"/>
          <w:szCs w:val="24"/>
          <w:lang w:val="en-US"/>
        </w:rPr>
        <w:t xml:space="preserve"> level playing field </w:t>
      </w:r>
      <w:r>
        <w:rPr>
          <w:rFonts w:ascii="Times New Roman" w:hAnsi="Times New Roman"/>
          <w:sz w:val="24"/>
          <w:szCs w:val="24"/>
          <w:lang w:val="en-US"/>
        </w:rPr>
        <w:t xml:space="preserve">dismissed. </w:t>
      </w:r>
    </w:p>
    <w:p w14:paraId="7285EF2D" w14:textId="6C090C9C" w:rsidR="008436ED" w:rsidRPr="002A05C2" w:rsidRDefault="008436ED" w:rsidP="008436ED">
      <w:pPr>
        <w:spacing w:before="120"/>
        <w:jc w:val="both"/>
        <w:rPr>
          <w:rFonts w:ascii="Times New Roman" w:hAnsi="Times New Roman"/>
          <w:sz w:val="24"/>
          <w:szCs w:val="24"/>
          <w:lang w:val="en-US"/>
        </w:rPr>
      </w:pPr>
      <w:r w:rsidRPr="002A05C2">
        <w:rPr>
          <w:rFonts w:ascii="Times New Roman" w:hAnsi="Times New Roman"/>
          <w:sz w:val="24"/>
          <w:szCs w:val="24"/>
          <w:lang w:val="en-US"/>
        </w:rPr>
        <w:t xml:space="preserve">The enhanced dialogue between supervisor and bank should address the benchmarks. Institutions should understand how the benchmarks are calculated and how the results can be interpreted; on this basis only, the comparison between internal quantifications produced by institutions for ICAAP purposes and supervisory benchmarks can lead to a satisfactory and relevant outcome. </w:t>
      </w:r>
    </w:p>
    <w:p w14:paraId="3920BE86" w14:textId="77777777" w:rsidR="00AA4D21" w:rsidRDefault="00AA4D21" w:rsidP="00271885">
      <w:pPr>
        <w:spacing w:before="120"/>
        <w:jc w:val="both"/>
        <w:rPr>
          <w:rFonts w:ascii="Times New Roman" w:hAnsi="Times New Roman"/>
          <w:sz w:val="24"/>
          <w:szCs w:val="24"/>
          <w:u w:val="single"/>
          <w:lang w:val="en-US"/>
        </w:rPr>
      </w:pPr>
    </w:p>
    <w:p w14:paraId="3920BE87" w14:textId="1DE2E2C5" w:rsidR="00AA4D21" w:rsidRPr="00E30C2F" w:rsidRDefault="00AA4D21" w:rsidP="00787A4E">
      <w:pPr>
        <w:numPr>
          <w:ilvl w:val="0"/>
          <w:numId w:val="26"/>
        </w:numPr>
        <w:spacing w:before="120"/>
        <w:jc w:val="both"/>
        <w:rPr>
          <w:rFonts w:ascii="Times New Roman" w:hAnsi="Times New Roman"/>
          <w:b/>
          <w:sz w:val="24"/>
          <w:szCs w:val="24"/>
          <w:u w:val="single"/>
          <w:lang w:val="en-US"/>
        </w:rPr>
      </w:pPr>
      <w:r w:rsidRPr="00E30C2F">
        <w:rPr>
          <w:rFonts w:ascii="Times New Roman" w:hAnsi="Times New Roman"/>
          <w:b/>
          <w:sz w:val="24"/>
          <w:szCs w:val="24"/>
          <w:u w:val="single"/>
          <w:lang w:val="en-US"/>
        </w:rPr>
        <w:t xml:space="preserve">Level of </w:t>
      </w:r>
      <w:r w:rsidR="00DF792C">
        <w:rPr>
          <w:rFonts w:ascii="Times New Roman" w:hAnsi="Times New Roman"/>
          <w:b/>
          <w:sz w:val="24"/>
          <w:szCs w:val="24"/>
          <w:u w:val="single"/>
          <w:lang w:val="en-US"/>
        </w:rPr>
        <w:t>C</w:t>
      </w:r>
      <w:r w:rsidRPr="00E30C2F">
        <w:rPr>
          <w:rFonts w:ascii="Times New Roman" w:hAnsi="Times New Roman"/>
          <w:b/>
          <w:sz w:val="24"/>
          <w:szCs w:val="24"/>
          <w:u w:val="single"/>
          <w:lang w:val="en-US"/>
        </w:rPr>
        <w:t>onsolidation</w:t>
      </w:r>
    </w:p>
    <w:p w14:paraId="3920BE88" w14:textId="77777777" w:rsidR="00AA4D21" w:rsidRPr="00D26088"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It is a longstanding claim of the EBF that the </w:t>
      </w:r>
      <w:r w:rsidRPr="00D26088">
        <w:rPr>
          <w:rFonts w:ascii="Times New Roman" w:hAnsi="Times New Roman"/>
          <w:sz w:val="24"/>
          <w:szCs w:val="24"/>
          <w:lang w:val="en-US"/>
        </w:rPr>
        <w:t xml:space="preserve">SREP be performed </w:t>
      </w:r>
      <w:r>
        <w:rPr>
          <w:rFonts w:ascii="Times New Roman" w:hAnsi="Times New Roman"/>
          <w:sz w:val="24"/>
          <w:szCs w:val="24"/>
          <w:lang w:val="en-US"/>
        </w:rPr>
        <w:t>i</w:t>
      </w:r>
      <w:r w:rsidRPr="00D26088">
        <w:rPr>
          <w:rFonts w:ascii="Times New Roman" w:hAnsi="Times New Roman"/>
          <w:sz w:val="24"/>
          <w:szCs w:val="24"/>
          <w:lang w:val="en-US"/>
        </w:rPr>
        <w:t xml:space="preserve">n cross border groups only at consolidated level. </w:t>
      </w:r>
      <w:r>
        <w:rPr>
          <w:rFonts w:ascii="Times New Roman" w:hAnsi="Times New Roman"/>
          <w:sz w:val="24"/>
          <w:szCs w:val="24"/>
          <w:lang w:val="en-US"/>
        </w:rPr>
        <w:t xml:space="preserve">EU cross-border banks should not be subject to solo level </w:t>
      </w:r>
      <w:r w:rsidRPr="00D26088">
        <w:rPr>
          <w:rFonts w:ascii="Times New Roman" w:hAnsi="Times New Roman"/>
          <w:sz w:val="24"/>
          <w:szCs w:val="24"/>
          <w:lang w:val="en-US"/>
        </w:rPr>
        <w:t xml:space="preserve">evaluations </w:t>
      </w:r>
      <w:r>
        <w:rPr>
          <w:rFonts w:ascii="Times New Roman" w:hAnsi="Times New Roman"/>
          <w:sz w:val="24"/>
          <w:szCs w:val="24"/>
          <w:lang w:val="en-US"/>
        </w:rPr>
        <w:t xml:space="preserve">of subsidiaries </w:t>
      </w:r>
      <w:r w:rsidRPr="00D26088">
        <w:rPr>
          <w:rFonts w:ascii="Times New Roman" w:hAnsi="Times New Roman"/>
          <w:sz w:val="24"/>
          <w:szCs w:val="24"/>
          <w:lang w:val="en-US"/>
        </w:rPr>
        <w:t xml:space="preserve">performed by </w:t>
      </w:r>
      <w:r>
        <w:rPr>
          <w:rFonts w:ascii="Times New Roman" w:hAnsi="Times New Roman"/>
          <w:sz w:val="24"/>
          <w:szCs w:val="24"/>
          <w:lang w:val="en-US"/>
        </w:rPr>
        <w:t>host authorities</w:t>
      </w:r>
      <w:r w:rsidRPr="00D26088">
        <w:rPr>
          <w:rFonts w:ascii="Times New Roman" w:hAnsi="Times New Roman"/>
          <w:sz w:val="24"/>
          <w:szCs w:val="24"/>
          <w:lang w:val="en-US"/>
        </w:rPr>
        <w:t xml:space="preserve"> without </w:t>
      </w:r>
      <w:r>
        <w:rPr>
          <w:rFonts w:ascii="Times New Roman" w:hAnsi="Times New Roman"/>
          <w:sz w:val="24"/>
          <w:szCs w:val="24"/>
          <w:lang w:val="en-US"/>
        </w:rPr>
        <w:t xml:space="preserve">considering </w:t>
      </w:r>
      <w:r w:rsidRPr="00D26088">
        <w:rPr>
          <w:rFonts w:ascii="Times New Roman" w:hAnsi="Times New Roman"/>
          <w:sz w:val="24"/>
          <w:szCs w:val="24"/>
          <w:lang w:val="en-US"/>
        </w:rPr>
        <w:t>that the</w:t>
      </w:r>
      <w:r>
        <w:rPr>
          <w:rFonts w:ascii="Times New Roman" w:hAnsi="Times New Roman"/>
          <w:sz w:val="24"/>
          <w:szCs w:val="24"/>
          <w:lang w:val="en-US"/>
        </w:rPr>
        <w:t xml:space="preserve"> subsidiaries</w:t>
      </w:r>
      <w:r w:rsidRPr="00D26088">
        <w:rPr>
          <w:rFonts w:ascii="Times New Roman" w:hAnsi="Times New Roman"/>
          <w:sz w:val="24"/>
          <w:szCs w:val="24"/>
          <w:lang w:val="en-US"/>
        </w:rPr>
        <w:t xml:space="preserve"> are part of a group strategy</w:t>
      </w:r>
      <w:r>
        <w:rPr>
          <w:rFonts w:ascii="Times New Roman" w:hAnsi="Times New Roman"/>
          <w:sz w:val="24"/>
          <w:szCs w:val="24"/>
          <w:lang w:val="en-US"/>
        </w:rPr>
        <w:t>. In our experience, local evaluations on a standalone basis produce</w:t>
      </w:r>
      <w:r w:rsidRPr="00D26088">
        <w:rPr>
          <w:rFonts w:ascii="Times New Roman" w:hAnsi="Times New Roman"/>
          <w:sz w:val="24"/>
          <w:szCs w:val="24"/>
          <w:lang w:val="en-US"/>
        </w:rPr>
        <w:t xml:space="preserve"> misleading SREP results</w:t>
      </w:r>
      <w:r>
        <w:rPr>
          <w:rFonts w:ascii="Times New Roman" w:hAnsi="Times New Roman"/>
          <w:sz w:val="24"/>
          <w:szCs w:val="24"/>
          <w:lang w:val="en-US"/>
        </w:rPr>
        <w:t xml:space="preserve">, </w:t>
      </w:r>
      <w:r w:rsidRPr="00D26088">
        <w:rPr>
          <w:rFonts w:ascii="Times New Roman" w:hAnsi="Times New Roman"/>
          <w:sz w:val="24"/>
          <w:szCs w:val="24"/>
          <w:lang w:val="en-US"/>
        </w:rPr>
        <w:t>countermeasures and requirements at subsidiar</w:t>
      </w:r>
      <w:r>
        <w:rPr>
          <w:rFonts w:ascii="Times New Roman" w:hAnsi="Times New Roman"/>
          <w:sz w:val="24"/>
          <w:szCs w:val="24"/>
          <w:lang w:val="en-US"/>
        </w:rPr>
        <w:t>y</w:t>
      </w:r>
      <w:r w:rsidRPr="00D26088">
        <w:rPr>
          <w:rFonts w:ascii="Times New Roman" w:hAnsi="Times New Roman"/>
          <w:sz w:val="24"/>
          <w:szCs w:val="24"/>
          <w:lang w:val="en-US"/>
        </w:rPr>
        <w:t xml:space="preserve"> level that </w:t>
      </w:r>
      <w:r>
        <w:rPr>
          <w:rFonts w:ascii="Times New Roman" w:hAnsi="Times New Roman"/>
          <w:sz w:val="24"/>
          <w:szCs w:val="24"/>
          <w:lang w:val="en-US"/>
        </w:rPr>
        <w:t>negatively</w:t>
      </w:r>
      <w:r w:rsidRPr="00D26088">
        <w:rPr>
          <w:rFonts w:ascii="Times New Roman" w:hAnsi="Times New Roman"/>
          <w:sz w:val="24"/>
          <w:szCs w:val="24"/>
          <w:lang w:val="en-US"/>
        </w:rPr>
        <w:t xml:space="preserve"> affect group strategies and risk management frameworks.</w:t>
      </w:r>
      <w:r>
        <w:rPr>
          <w:rFonts w:ascii="Times New Roman" w:hAnsi="Times New Roman"/>
          <w:sz w:val="24"/>
          <w:szCs w:val="24"/>
          <w:lang w:val="en-US"/>
        </w:rPr>
        <w:t xml:space="preserve"> </w:t>
      </w:r>
    </w:p>
    <w:p w14:paraId="3920BE89" w14:textId="77777777" w:rsidR="00AA4D21"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 xml:space="preserve">Within the scope of the Single Supervisory Mechanism (SSM), cross-border banking groups should be subject to a single </w:t>
      </w:r>
      <w:r w:rsidRPr="00351D26">
        <w:rPr>
          <w:rFonts w:ascii="Times New Roman" w:hAnsi="Times New Roman"/>
          <w:sz w:val="24"/>
          <w:szCs w:val="24"/>
          <w:lang w:val="en-US"/>
        </w:rPr>
        <w:t xml:space="preserve">ICAAP and ILAAP assessment. </w:t>
      </w:r>
    </w:p>
    <w:p w14:paraId="3920BE8A" w14:textId="77777777" w:rsidR="00AA4D21" w:rsidRPr="007C1EC2" w:rsidRDefault="00AA4D21" w:rsidP="007C1EC2">
      <w:pPr>
        <w:spacing w:before="120"/>
        <w:jc w:val="both"/>
        <w:rPr>
          <w:rFonts w:ascii="Times New Roman" w:hAnsi="Times New Roman"/>
          <w:sz w:val="24"/>
          <w:szCs w:val="24"/>
          <w:lang w:val="en-US"/>
        </w:rPr>
      </w:pPr>
      <w:r w:rsidRPr="007C1EC2">
        <w:rPr>
          <w:rFonts w:ascii="Times New Roman" w:hAnsi="Times New Roman"/>
          <w:sz w:val="24"/>
          <w:szCs w:val="24"/>
          <w:lang w:val="en-US"/>
        </w:rPr>
        <w:t>In case of a central body with credit institutions affiliated to it that are wholly or partially exempted from prudential requirements in national law in accordance with Article 10 of Regulation (EU) No 575/2013, the requirements of these Guidelines shall only apply to the central body and the affiliated credit institutions as a whole on a consolidated basis. For that purpose, any reference to an institution shall include a central body and all credit institutions permanently affiliated to the central body as referred to in Article 10 of Regulation (EU) No 575/2013 as a whole on the basis of the consolidated situation on a consolidated basis. Any reference to a group shall include a central body and all credit institutions permanently affiliated to the central body as referred to in Article 10 of Regulation (EU) No 575/2013 and their subsidiaries</w:t>
      </w:r>
      <w:r>
        <w:rPr>
          <w:rFonts w:ascii="Times New Roman" w:hAnsi="Times New Roman"/>
          <w:sz w:val="24"/>
          <w:szCs w:val="24"/>
          <w:lang w:val="en-US"/>
        </w:rPr>
        <w:t xml:space="preserve">. </w:t>
      </w:r>
    </w:p>
    <w:p w14:paraId="3920BE8B" w14:textId="77777777" w:rsidR="00AA4D21" w:rsidRDefault="00AA4D21" w:rsidP="00702CF4">
      <w:pPr>
        <w:spacing w:before="120"/>
        <w:jc w:val="both"/>
        <w:rPr>
          <w:rFonts w:ascii="Times New Roman" w:hAnsi="Times New Roman"/>
          <w:sz w:val="24"/>
          <w:szCs w:val="24"/>
          <w:u w:val="single"/>
          <w:lang w:val="en-US"/>
        </w:rPr>
      </w:pPr>
    </w:p>
    <w:p w14:paraId="3920BE8C" w14:textId="77777777" w:rsidR="00AA4D21" w:rsidRPr="00E30C2F" w:rsidRDefault="00AA4D21" w:rsidP="00787A4E">
      <w:pPr>
        <w:numPr>
          <w:ilvl w:val="0"/>
          <w:numId w:val="26"/>
        </w:numPr>
        <w:spacing w:before="120"/>
        <w:jc w:val="both"/>
        <w:rPr>
          <w:rFonts w:ascii="Times New Roman" w:hAnsi="Times New Roman"/>
          <w:b/>
          <w:sz w:val="24"/>
          <w:szCs w:val="24"/>
          <w:u w:val="single"/>
          <w:lang w:val="en-US"/>
        </w:rPr>
      </w:pPr>
      <w:proofErr w:type="spellStart"/>
      <w:r w:rsidRPr="00E30C2F">
        <w:rPr>
          <w:rFonts w:ascii="Times New Roman" w:hAnsi="Times New Roman"/>
          <w:b/>
          <w:sz w:val="24"/>
          <w:szCs w:val="24"/>
          <w:u w:val="single"/>
          <w:lang w:val="en-US"/>
        </w:rPr>
        <w:t>Categorisation</w:t>
      </w:r>
      <w:proofErr w:type="spellEnd"/>
      <w:r w:rsidRPr="00E30C2F">
        <w:rPr>
          <w:rFonts w:ascii="Times New Roman" w:hAnsi="Times New Roman"/>
          <w:b/>
          <w:sz w:val="24"/>
          <w:szCs w:val="24"/>
          <w:u w:val="single"/>
          <w:lang w:val="en-US"/>
        </w:rPr>
        <w:t xml:space="preserve"> of institutions</w:t>
      </w:r>
    </w:p>
    <w:p w14:paraId="3920BE8D" w14:textId="77777777" w:rsidR="00AA4D21" w:rsidRPr="00B152AC" w:rsidRDefault="00AA4D21" w:rsidP="00702CF4">
      <w:pPr>
        <w:spacing w:before="120"/>
        <w:jc w:val="both"/>
        <w:rPr>
          <w:rFonts w:ascii="Times New Roman" w:hAnsi="Times New Roman"/>
          <w:sz w:val="24"/>
          <w:szCs w:val="24"/>
          <w:lang w:val="en-US"/>
        </w:rPr>
      </w:pPr>
      <w:r w:rsidRPr="00B152AC">
        <w:rPr>
          <w:rFonts w:ascii="Times New Roman" w:hAnsi="Times New Roman"/>
          <w:sz w:val="24"/>
          <w:szCs w:val="24"/>
          <w:lang w:val="en-US"/>
        </w:rPr>
        <w:t xml:space="preserve">The </w:t>
      </w:r>
      <w:proofErr w:type="spellStart"/>
      <w:r w:rsidRPr="00B152AC">
        <w:rPr>
          <w:rFonts w:ascii="Times New Roman" w:hAnsi="Times New Roman"/>
          <w:sz w:val="24"/>
          <w:szCs w:val="24"/>
          <w:lang w:val="en-US"/>
        </w:rPr>
        <w:t>categorisation</w:t>
      </w:r>
      <w:proofErr w:type="spellEnd"/>
      <w:r w:rsidRPr="00B152AC">
        <w:rPr>
          <w:rFonts w:ascii="Times New Roman" w:hAnsi="Times New Roman"/>
          <w:sz w:val="24"/>
          <w:szCs w:val="24"/>
          <w:lang w:val="en-US"/>
        </w:rPr>
        <w:t xml:space="preserve"> of the institution is fundamental to the operation of the individual and overall SREP on a proportional basis. While category 1 institutions may potentially be easily identified, more clarification would be helpful on how the Competent Authorities would </w:t>
      </w:r>
      <w:proofErr w:type="spellStart"/>
      <w:r w:rsidRPr="00B152AC">
        <w:rPr>
          <w:rFonts w:ascii="Times New Roman" w:hAnsi="Times New Roman"/>
          <w:sz w:val="24"/>
          <w:szCs w:val="24"/>
          <w:lang w:val="en-US"/>
        </w:rPr>
        <w:t>categori</w:t>
      </w:r>
      <w:r>
        <w:rPr>
          <w:rFonts w:ascii="Times New Roman" w:hAnsi="Times New Roman"/>
          <w:sz w:val="24"/>
          <w:szCs w:val="24"/>
          <w:lang w:val="en-US"/>
        </w:rPr>
        <w:t>se</w:t>
      </w:r>
      <w:proofErr w:type="spellEnd"/>
      <w:r w:rsidRPr="00B152AC">
        <w:rPr>
          <w:rFonts w:ascii="Times New Roman" w:hAnsi="Times New Roman"/>
          <w:sz w:val="24"/>
          <w:szCs w:val="24"/>
          <w:lang w:val="en-US"/>
        </w:rPr>
        <w:t xml:space="preserve"> institutions that fall into category 2 or 3, especially if borderline.</w:t>
      </w:r>
      <w:r>
        <w:rPr>
          <w:rFonts w:ascii="Times New Roman" w:hAnsi="Times New Roman"/>
          <w:sz w:val="24"/>
          <w:szCs w:val="24"/>
          <w:lang w:val="en-US"/>
        </w:rPr>
        <w:t xml:space="preserve"> We assume that the</w:t>
      </w:r>
      <w:r w:rsidRPr="00631181">
        <w:rPr>
          <w:rFonts w:ascii="Times New Roman" w:hAnsi="Times New Roman"/>
          <w:sz w:val="24"/>
          <w:szCs w:val="24"/>
          <w:lang w:val="en-US"/>
        </w:rPr>
        <w:t xml:space="preserve"> intention is that banks of similar size and complexity that do not impose a systemic risk qualifying as </w:t>
      </w:r>
      <w:r>
        <w:rPr>
          <w:rFonts w:ascii="Times New Roman" w:hAnsi="Times New Roman"/>
          <w:sz w:val="24"/>
          <w:szCs w:val="24"/>
          <w:lang w:val="en-US"/>
        </w:rPr>
        <w:t>Other Systemically Important Institutions (</w:t>
      </w:r>
      <w:r w:rsidRPr="00631181">
        <w:rPr>
          <w:rFonts w:ascii="Times New Roman" w:hAnsi="Times New Roman"/>
          <w:sz w:val="24"/>
          <w:szCs w:val="24"/>
          <w:lang w:val="en-US"/>
        </w:rPr>
        <w:t>O-SII</w:t>
      </w:r>
      <w:r>
        <w:rPr>
          <w:rFonts w:ascii="Times New Roman" w:hAnsi="Times New Roman"/>
          <w:sz w:val="24"/>
          <w:szCs w:val="24"/>
          <w:lang w:val="en-US"/>
        </w:rPr>
        <w:t>)</w:t>
      </w:r>
      <w:r w:rsidRPr="00631181">
        <w:rPr>
          <w:rFonts w:ascii="Times New Roman" w:hAnsi="Times New Roman"/>
          <w:sz w:val="24"/>
          <w:szCs w:val="24"/>
          <w:lang w:val="en-US"/>
        </w:rPr>
        <w:t xml:space="preserve"> should be </w:t>
      </w:r>
      <w:proofErr w:type="spellStart"/>
      <w:r w:rsidRPr="00631181">
        <w:rPr>
          <w:rFonts w:ascii="Times New Roman" w:hAnsi="Times New Roman"/>
          <w:sz w:val="24"/>
          <w:szCs w:val="24"/>
          <w:lang w:val="en-US"/>
        </w:rPr>
        <w:t>categorised</w:t>
      </w:r>
      <w:proofErr w:type="spellEnd"/>
      <w:r w:rsidRPr="00631181">
        <w:rPr>
          <w:rFonts w:ascii="Times New Roman" w:hAnsi="Times New Roman"/>
          <w:sz w:val="24"/>
          <w:szCs w:val="24"/>
          <w:lang w:val="en-US"/>
        </w:rPr>
        <w:t xml:space="preserve"> similarly across the European Union, independently of the size of the market in which the</w:t>
      </w:r>
      <w:r>
        <w:rPr>
          <w:rFonts w:ascii="Times New Roman" w:hAnsi="Times New Roman"/>
          <w:sz w:val="24"/>
          <w:szCs w:val="24"/>
          <w:lang w:val="en-US"/>
        </w:rPr>
        <w:t>y</w:t>
      </w:r>
      <w:r w:rsidRPr="00631181">
        <w:rPr>
          <w:rFonts w:ascii="Times New Roman" w:hAnsi="Times New Roman"/>
          <w:sz w:val="24"/>
          <w:szCs w:val="24"/>
          <w:lang w:val="en-US"/>
        </w:rPr>
        <w:t xml:space="preserve"> operate</w:t>
      </w:r>
      <w:r>
        <w:rPr>
          <w:rFonts w:ascii="Times New Roman" w:hAnsi="Times New Roman"/>
          <w:sz w:val="24"/>
          <w:szCs w:val="24"/>
          <w:lang w:val="en-US"/>
        </w:rPr>
        <w:t>. In that case, t</w:t>
      </w:r>
      <w:r w:rsidRPr="00631181">
        <w:rPr>
          <w:rFonts w:ascii="Times New Roman" w:hAnsi="Times New Roman"/>
          <w:sz w:val="24"/>
          <w:szCs w:val="24"/>
          <w:lang w:val="en-US"/>
        </w:rPr>
        <w:t xml:space="preserve">his </w:t>
      </w:r>
      <w:r>
        <w:rPr>
          <w:rFonts w:ascii="Times New Roman" w:hAnsi="Times New Roman"/>
          <w:sz w:val="24"/>
          <w:szCs w:val="24"/>
          <w:lang w:val="en-US"/>
        </w:rPr>
        <w:t xml:space="preserve">purpose </w:t>
      </w:r>
      <w:r w:rsidRPr="00631181">
        <w:rPr>
          <w:rFonts w:ascii="Times New Roman" w:hAnsi="Times New Roman"/>
          <w:sz w:val="24"/>
          <w:szCs w:val="24"/>
          <w:lang w:val="en-US"/>
        </w:rPr>
        <w:t xml:space="preserve">should be </w:t>
      </w:r>
      <w:r>
        <w:rPr>
          <w:rFonts w:ascii="Times New Roman" w:hAnsi="Times New Roman"/>
          <w:sz w:val="24"/>
          <w:szCs w:val="24"/>
          <w:lang w:val="en-US"/>
        </w:rPr>
        <w:t xml:space="preserve">clearly </w:t>
      </w:r>
      <w:r w:rsidRPr="00631181">
        <w:rPr>
          <w:rFonts w:ascii="Times New Roman" w:hAnsi="Times New Roman"/>
          <w:sz w:val="24"/>
          <w:szCs w:val="24"/>
          <w:lang w:val="en-US"/>
        </w:rPr>
        <w:t>reflected in the text.</w:t>
      </w:r>
      <w:r>
        <w:rPr>
          <w:rFonts w:ascii="Times New Roman" w:hAnsi="Times New Roman"/>
          <w:sz w:val="24"/>
          <w:szCs w:val="24"/>
          <w:lang w:val="en-US"/>
        </w:rPr>
        <w:t xml:space="preserve"> </w:t>
      </w:r>
      <w:r w:rsidRPr="00B152AC">
        <w:rPr>
          <w:rFonts w:ascii="Times New Roman" w:hAnsi="Times New Roman"/>
          <w:sz w:val="24"/>
          <w:szCs w:val="24"/>
          <w:lang w:val="en-US"/>
        </w:rPr>
        <w:t xml:space="preserve"> </w:t>
      </w:r>
    </w:p>
    <w:p w14:paraId="3920BE8E" w14:textId="77777777" w:rsidR="00AA4D21" w:rsidRDefault="00AA4D21" w:rsidP="00AE0C65">
      <w:pPr>
        <w:spacing w:before="120"/>
        <w:rPr>
          <w:rFonts w:ascii="Times New Roman" w:hAnsi="Times New Roman"/>
          <w:sz w:val="24"/>
          <w:szCs w:val="24"/>
          <w:u w:val="single"/>
          <w:lang w:val="en-US"/>
        </w:rPr>
      </w:pPr>
    </w:p>
    <w:p w14:paraId="3920BE8F" w14:textId="77777777" w:rsidR="00AA4D21" w:rsidRPr="00787A4E" w:rsidRDefault="00AA4D21" w:rsidP="00787A4E">
      <w:pPr>
        <w:numPr>
          <w:ilvl w:val="0"/>
          <w:numId w:val="26"/>
        </w:numPr>
        <w:spacing w:before="120"/>
        <w:rPr>
          <w:rFonts w:ascii="Times New Roman" w:hAnsi="Times New Roman"/>
          <w:b/>
          <w:sz w:val="24"/>
          <w:szCs w:val="24"/>
          <w:u w:val="single"/>
          <w:lang w:val="en-US"/>
        </w:rPr>
      </w:pPr>
      <w:r w:rsidRPr="00787A4E">
        <w:rPr>
          <w:rFonts w:ascii="Times New Roman" w:hAnsi="Times New Roman"/>
          <w:b/>
          <w:sz w:val="24"/>
          <w:szCs w:val="24"/>
          <w:u w:val="single"/>
          <w:lang w:val="en-US"/>
        </w:rPr>
        <w:t>Composition of own funds to cover Pillar 2 capital requirements</w:t>
      </w:r>
    </w:p>
    <w:p w14:paraId="3920BE90" w14:textId="7250C2D1" w:rsidR="00AA4D21" w:rsidRPr="002A05C2" w:rsidRDefault="00AA4D21" w:rsidP="00787A4E">
      <w:pPr>
        <w:spacing w:before="120"/>
        <w:jc w:val="both"/>
        <w:rPr>
          <w:rFonts w:ascii="Times New Roman" w:hAnsi="Times New Roman"/>
          <w:sz w:val="24"/>
          <w:szCs w:val="24"/>
          <w:lang w:val="en-US"/>
        </w:rPr>
      </w:pPr>
      <w:r w:rsidRPr="002A05C2">
        <w:rPr>
          <w:rFonts w:ascii="Times New Roman" w:hAnsi="Times New Roman"/>
          <w:sz w:val="24"/>
          <w:szCs w:val="24"/>
          <w:lang w:val="en-US"/>
        </w:rPr>
        <w:lastRenderedPageBreak/>
        <w:t xml:space="preserve">The draft guidelines specify that competent authorities shall set a composition requirement for the additional own fund requirement under Pillar 2 of at least 56 % CET1 and 75 % Tier </w:t>
      </w:r>
      <w:r w:rsidR="00397150" w:rsidRPr="002A05C2">
        <w:rPr>
          <w:rFonts w:ascii="Times New Roman" w:hAnsi="Times New Roman"/>
          <w:sz w:val="24"/>
          <w:szCs w:val="24"/>
          <w:lang w:val="en-US"/>
        </w:rPr>
        <w:t>1</w:t>
      </w:r>
      <w:r w:rsidRPr="002A05C2">
        <w:rPr>
          <w:rFonts w:ascii="Times New Roman" w:hAnsi="Times New Roman"/>
          <w:sz w:val="24"/>
          <w:szCs w:val="24"/>
          <w:lang w:val="en-US"/>
        </w:rPr>
        <w:t xml:space="preserve">. Though the proposed ratios are in line with the Basel III requirements (4.5% CET1; 6% T1 and 8% total capital), the EBA proposal poses a potential problem of global uneven playing field. </w:t>
      </w:r>
    </w:p>
    <w:p w14:paraId="3920BE91" w14:textId="6167DDE0" w:rsidR="00AA4D21" w:rsidRPr="002A05C2" w:rsidRDefault="00AA4D21" w:rsidP="00787A4E">
      <w:pPr>
        <w:spacing w:before="120"/>
        <w:jc w:val="both"/>
        <w:rPr>
          <w:rFonts w:ascii="Times New Roman" w:hAnsi="Times New Roman"/>
          <w:sz w:val="24"/>
          <w:szCs w:val="24"/>
          <w:lang w:val="en-US"/>
        </w:rPr>
      </w:pPr>
      <w:r w:rsidRPr="002A05C2">
        <w:rPr>
          <w:rFonts w:ascii="Times New Roman" w:hAnsi="Times New Roman"/>
          <w:sz w:val="24"/>
          <w:szCs w:val="24"/>
          <w:lang w:val="en-US"/>
        </w:rPr>
        <w:t xml:space="preserve">Further, these proposed quantitative restrictions on Additional Tier 1 instruments (44 %) and Tier 2 instruments (25%) follow a different approach than the current one in some member states, where competent authorities have </w:t>
      </w:r>
      <w:proofErr w:type="spellStart"/>
      <w:r w:rsidRPr="002A05C2">
        <w:rPr>
          <w:rFonts w:ascii="Times New Roman" w:hAnsi="Times New Roman"/>
          <w:sz w:val="24"/>
          <w:szCs w:val="24"/>
          <w:lang w:val="en-US"/>
        </w:rPr>
        <w:t>recognised</w:t>
      </w:r>
      <w:proofErr w:type="spellEnd"/>
      <w:r w:rsidRPr="002A05C2">
        <w:rPr>
          <w:rFonts w:ascii="Times New Roman" w:hAnsi="Times New Roman"/>
          <w:sz w:val="24"/>
          <w:szCs w:val="24"/>
          <w:lang w:val="en-US"/>
        </w:rPr>
        <w:t xml:space="preserve"> Additional Tier 1 instruments and Tier 2 instruments with additional trigger features for write downs or conversion to equity as eligible to cover </w:t>
      </w:r>
      <w:r w:rsidR="008F0537">
        <w:rPr>
          <w:rFonts w:ascii="Times New Roman" w:hAnsi="Times New Roman"/>
          <w:sz w:val="24"/>
          <w:szCs w:val="24"/>
          <w:lang w:val="en-US"/>
        </w:rPr>
        <w:t>P</w:t>
      </w:r>
      <w:r w:rsidRPr="002A05C2">
        <w:rPr>
          <w:rFonts w:ascii="Times New Roman" w:hAnsi="Times New Roman"/>
          <w:sz w:val="24"/>
          <w:szCs w:val="24"/>
          <w:lang w:val="en-US"/>
        </w:rPr>
        <w:t xml:space="preserve">illar 2 capital requirements. The EBF urges the EBA to consider this same approach in the guidelines. </w:t>
      </w:r>
    </w:p>
    <w:p w14:paraId="3920BE92" w14:textId="77777777" w:rsidR="00AA4D21" w:rsidRDefault="00AA4D21" w:rsidP="00787A4E">
      <w:pPr>
        <w:spacing w:before="120"/>
        <w:jc w:val="both"/>
        <w:rPr>
          <w:rFonts w:ascii="Times New Roman" w:hAnsi="Times New Roman"/>
          <w:sz w:val="24"/>
          <w:szCs w:val="24"/>
          <w:u w:val="single"/>
          <w:lang w:val="en-US"/>
        </w:rPr>
      </w:pPr>
      <w:r w:rsidRPr="002A05C2">
        <w:rPr>
          <w:rFonts w:ascii="Times New Roman" w:hAnsi="Times New Roman"/>
          <w:sz w:val="24"/>
          <w:szCs w:val="24"/>
          <w:lang w:val="en-US"/>
        </w:rPr>
        <w:t xml:space="preserve">Otherwise, additional tier 1 and tier 2 instruments with additional trigger features that are </w:t>
      </w:r>
      <w:proofErr w:type="spellStart"/>
      <w:r w:rsidRPr="002A05C2">
        <w:rPr>
          <w:rFonts w:ascii="Times New Roman" w:hAnsi="Times New Roman"/>
          <w:sz w:val="24"/>
          <w:szCs w:val="24"/>
          <w:lang w:val="en-US"/>
        </w:rPr>
        <w:t>recognised</w:t>
      </w:r>
      <w:proofErr w:type="spellEnd"/>
      <w:r w:rsidRPr="002A05C2">
        <w:rPr>
          <w:rFonts w:ascii="Times New Roman" w:hAnsi="Times New Roman"/>
          <w:sz w:val="24"/>
          <w:szCs w:val="24"/>
          <w:lang w:val="en-US"/>
        </w:rPr>
        <w:t xml:space="preserve"> by competent authorities to cover Pillar 2 capital requirements shall, at least, be protected by a grandfathering clause. The deferred implementation date until 1 January 2019 would not be sufficient because of the long effective maturity of many such issued instruments.</w:t>
      </w:r>
    </w:p>
    <w:p w14:paraId="3920BE93" w14:textId="77777777" w:rsidR="00AA4D21" w:rsidRDefault="00AA4D21" w:rsidP="00787A4E">
      <w:pPr>
        <w:spacing w:before="120"/>
        <w:jc w:val="both"/>
        <w:rPr>
          <w:rFonts w:ascii="Times New Roman" w:hAnsi="Times New Roman"/>
          <w:sz w:val="24"/>
          <w:szCs w:val="24"/>
          <w:u w:val="single"/>
          <w:lang w:val="en-US"/>
        </w:rPr>
      </w:pPr>
    </w:p>
    <w:p w14:paraId="3920BE94" w14:textId="77777777" w:rsidR="00AA4D21" w:rsidRPr="00E30C2F" w:rsidRDefault="00AA4D21" w:rsidP="00787A4E">
      <w:pPr>
        <w:numPr>
          <w:ilvl w:val="0"/>
          <w:numId w:val="26"/>
        </w:numPr>
        <w:spacing w:before="120"/>
        <w:jc w:val="both"/>
        <w:rPr>
          <w:rFonts w:ascii="Times New Roman" w:hAnsi="Times New Roman"/>
          <w:b/>
          <w:sz w:val="24"/>
          <w:szCs w:val="24"/>
          <w:u w:val="single"/>
          <w:lang w:val="en-US"/>
        </w:rPr>
      </w:pPr>
      <w:r w:rsidRPr="00E30C2F">
        <w:rPr>
          <w:rFonts w:ascii="Times New Roman" w:hAnsi="Times New Roman"/>
          <w:b/>
          <w:sz w:val="24"/>
          <w:szCs w:val="24"/>
          <w:u w:val="single"/>
          <w:lang w:val="en-US"/>
        </w:rPr>
        <w:t>Interest rate risk in the banking book (IRRBB)</w:t>
      </w:r>
    </w:p>
    <w:p w14:paraId="3920BE95" w14:textId="77777777" w:rsidR="00AA4D21" w:rsidRPr="0016190B" w:rsidRDefault="00AA4D21" w:rsidP="0016190B">
      <w:pPr>
        <w:spacing w:before="120"/>
        <w:jc w:val="both"/>
        <w:rPr>
          <w:rFonts w:ascii="Times New Roman" w:hAnsi="Times New Roman"/>
          <w:sz w:val="24"/>
          <w:szCs w:val="24"/>
          <w:lang w:val="en-US"/>
        </w:rPr>
      </w:pPr>
      <w:r w:rsidRPr="0016190B">
        <w:rPr>
          <w:rFonts w:ascii="Times New Roman" w:hAnsi="Times New Roman"/>
          <w:sz w:val="24"/>
          <w:szCs w:val="24"/>
          <w:lang w:val="en-US"/>
        </w:rPr>
        <w:t xml:space="preserve">The industry is not in </w:t>
      </w:r>
      <w:r>
        <w:rPr>
          <w:rFonts w:ascii="Times New Roman" w:hAnsi="Times New Roman"/>
          <w:sz w:val="24"/>
          <w:szCs w:val="24"/>
          <w:lang w:val="en-US"/>
        </w:rPr>
        <w:t>a position to deliver</w:t>
      </w:r>
      <w:r w:rsidRPr="0016190B">
        <w:rPr>
          <w:rFonts w:ascii="Times New Roman" w:hAnsi="Times New Roman"/>
          <w:sz w:val="24"/>
          <w:szCs w:val="24"/>
          <w:lang w:val="en-US"/>
        </w:rPr>
        <w:t xml:space="preserve"> final views on the IRRBB part of the draft Guidelines on SREP before the Guidelines on IRRBB are </w:t>
      </w:r>
      <w:proofErr w:type="spellStart"/>
      <w:r w:rsidRPr="0016190B">
        <w:rPr>
          <w:rFonts w:ascii="Times New Roman" w:hAnsi="Times New Roman"/>
          <w:sz w:val="24"/>
          <w:szCs w:val="24"/>
          <w:lang w:val="en-US"/>
        </w:rPr>
        <w:t>finali</w:t>
      </w:r>
      <w:r>
        <w:rPr>
          <w:rFonts w:ascii="Times New Roman" w:hAnsi="Times New Roman"/>
          <w:sz w:val="24"/>
          <w:szCs w:val="24"/>
          <w:lang w:val="en-US"/>
        </w:rPr>
        <w:t>s</w:t>
      </w:r>
      <w:r w:rsidRPr="0016190B">
        <w:rPr>
          <w:rFonts w:ascii="Times New Roman" w:hAnsi="Times New Roman"/>
          <w:sz w:val="24"/>
          <w:szCs w:val="24"/>
          <w:lang w:val="en-US"/>
        </w:rPr>
        <w:t>ed</w:t>
      </w:r>
      <w:proofErr w:type="spellEnd"/>
      <w:r w:rsidRPr="0016190B">
        <w:rPr>
          <w:rFonts w:ascii="Times New Roman" w:hAnsi="Times New Roman"/>
          <w:sz w:val="24"/>
          <w:szCs w:val="24"/>
          <w:lang w:val="en-US"/>
        </w:rPr>
        <w:t xml:space="preserve"> and issued. Pending the publication of the final </w:t>
      </w:r>
      <w:r>
        <w:rPr>
          <w:rFonts w:ascii="Times New Roman" w:hAnsi="Times New Roman"/>
          <w:sz w:val="24"/>
          <w:szCs w:val="24"/>
          <w:lang w:val="en-US"/>
        </w:rPr>
        <w:t>g</w:t>
      </w:r>
      <w:r w:rsidRPr="0016190B">
        <w:rPr>
          <w:rFonts w:ascii="Times New Roman" w:hAnsi="Times New Roman"/>
          <w:sz w:val="24"/>
          <w:szCs w:val="24"/>
          <w:lang w:val="en-US"/>
        </w:rPr>
        <w:t>uidelines</w:t>
      </w:r>
      <w:r>
        <w:rPr>
          <w:rFonts w:ascii="Times New Roman" w:hAnsi="Times New Roman"/>
          <w:sz w:val="24"/>
          <w:szCs w:val="24"/>
          <w:lang w:val="en-US"/>
        </w:rPr>
        <w:t xml:space="preserve"> on IRRBB</w:t>
      </w:r>
      <w:r w:rsidRPr="0016190B">
        <w:rPr>
          <w:rFonts w:ascii="Times New Roman" w:hAnsi="Times New Roman"/>
          <w:sz w:val="24"/>
          <w:szCs w:val="24"/>
          <w:lang w:val="en-US"/>
        </w:rPr>
        <w:t xml:space="preserve">, we </w:t>
      </w:r>
      <w:r>
        <w:rPr>
          <w:rFonts w:ascii="Times New Roman" w:hAnsi="Times New Roman"/>
          <w:sz w:val="24"/>
          <w:szCs w:val="24"/>
          <w:lang w:val="en-US"/>
        </w:rPr>
        <w:t xml:space="preserve">would like the EBA to take into account the </w:t>
      </w:r>
      <w:r w:rsidRPr="0016190B">
        <w:rPr>
          <w:rFonts w:ascii="Times New Roman" w:hAnsi="Times New Roman"/>
          <w:sz w:val="24"/>
          <w:szCs w:val="24"/>
          <w:lang w:val="en-US"/>
        </w:rPr>
        <w:t xml:space="preserve">following considerations: </w:t>
      </w:r>
    </w:p>
    <w:p w14:paraId="3920BE96" w14:textId="77777777" w:rsidR="00AA4D21" w:rsidRDefault="00AA4D21" w:rsidP="0016190B">
      <w:pPr>
        <w:numPr>
          <w:ilvl w:val="0"/>
          <w:numId w:val="24"/>
        </w:numPr>
        <w:spacing w:before="120"/>
        <w:jc w:val="both"/>
        <w:rPr>
          <w:rFonts w:ascii="Times New Roman" w:hAnsi="Times New Roman"/>
          <w:sz w:val="24"/>
          <w:szCs w:val="24"/>
          <w:lang w:val="en-US"/>
        </w:rPr>
      </w:pPr>
      <w:r w:rsidRPr="0016190B">
        <w:rPr>
          <w:rFonts w:ascii="Times New Roman" w:hAnsi="Times New Roman"/>
          <w:sz w:val="24"/>
          <w:szCs w:val="24"/>
          <w:lang w:val="en-US"/>
        </w:rPr>
        <w:t xml:space="preserve">In the current interest rate environment, a 200 </w:t>
      </w:r>
      <w:r>
        <w:rPr>
          <w:rFonts w:ascii="Times New Roman" w:hAnsi="Times New Roman"/>
          <w:sz w:val="24"/>
          <w:szCs w:val="24"/>
          <w:lang w:val="en-US"/>
        </w:rPr>
        <w:t>basis points</w:t>
      </w:r>
      <w:r w:rsidRPr="0016190B">
        <w:rPr>
          <w:rFonts w:ascii="Times New Roman" w:hAnsi="Times New Roman"/>
          <w:sz w:val="24"/>
          <w:szCs w:val="24"/>
          <w:lang w:val="en-US"/>
        </w:rPr>
        <w:t xml:space="preserve"> shock is not necessarily adapted to all circumstances and rate environment. This is currently illustrated with very low interest rates in Europe, Japan and the US, whereas rates are higher in other economies. Additionally, the EBA Guidelines on IRRBB refer to a shock equivalent to 1</w:t>
      </w:r>
      <w:r w:rsidRPr="00787A4E">
        <w:rPr>
          <w:rFonts w:ascii="Times New Roman" w:hAnsi="Times New Roman"/>
          <w:sz w:val="24"/>
          <w:szCs w:val="24"/>
          <w:vertAlign w:val="superscript"/>
          <w:lang w:val="en-US"/>
        </w:rPr>
        <w:t>st</w:t>
      </w:r>
      <w:r>
        <w:rPr>
          <w:rFonts w:ascii="Times New Roman" w:hAnsi="Times New Roman"/>
          <w:sz w:val="24"/>
          <w:szCs w:val="24"/>
          <w:lang w:val="en-US"/>
        </w:rPr>
        <w:t xml:space="preserve"> </w:t>
      </w:r>
      <w:r w:rsidRPr="0016190B">
        <w:rPr>
          <w:rFonts w:ascii="Times New Roman" w:hAnsi="Times New Roman"/>
          <w:sz w:val="24"/>
          <w:szCs w:val="24"/>
          <w:lang w:val="en-US"/>
        </w:rPr>
        <w:t>and 99</w:t>
      </w:r>
      <w:r w:rsidRPr="00787A4E">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16190B">
        <w:rPr>
          <w:rFonts w:ascii="Times New Roman" w:hAnsi="Times New Roman"/>
          <w:sz w:val="24"/>
          <w:szCs w:val="24"/>
          <w:lang w:val="en-US"/>
        </w:rPr>
        <w:t xml:space="preserve">percentile which, in 2006, was broadly equivalent to </w:t>
      </w:r>
      <w:r>
        <w:rPr>
          <w:rFonts w:ascii="Times New Roman" w:hAnsi="Times New Roman"/>
          <w:sz w:val="24"/>
          <w:szCs w:val="24"/>
          <w:lang w:val="en-US"/>
        </w:rPr>
        <w:t xml:space="preserve">a </w:t>
      </w:r>
      <w:r w:rsidRPr="0016190B">
        <w:rPr>
          <w:rFonts w:ascii="Times New Roman" w:hAnsi="Times New Roman"/>
          <w:sz w:val="24"/>
          <w:szCs w:val="24"/>
          <w:lang w:val="en-US"/>
        </w:rPr>
        <w:t>200</w:t>
      </w:r>
      <w:r>
        <w:rPr>
          <w:rFonts w:ascii="Times New Roman" w:hAnsi="Times New Roman"/>
          <w:sz w:val="24"/>
          <w:szCs w:val="24"/>
          <w:lang w:val="en-US"/>
        </w:rPr>
        <w:t xml:space="preserve"> </w:t>
      </w:r>
      <w:r w:rsidRPr="0016190B">
        <w:rPr>
          <w:rFonts w:ascii="Times New Roman" w:hAnsi="Times New Roman"/>
          <w:sz w:val="24"/>
          <w:szCs w:val="24"/>
          <w:lang w:val="en-US"/>
        </w:rPr>
        <w:t>b</w:t>
      </w:r>
      <w:r>
        <w:rPr>
          <w:rFonts w:ascii="Times New Roman" w:hAnsi="Times New Roman"/>
          <w:sz w:val="24"/>
          <w:szCs w:val="24"/>
          <w:lang w:val="en-US"/>
        </w:rPr>
        <w:t>asis points</w:t>
      </w:r>
      <w:r w:rsidRPr="0016190B">
        <w:rPr>
          <w:rFonts w:ascii="Times New Roman" w:hAnsi="Times New Roman"/>
          <w:sz w:val="24"/>
          <w:szCs w:val="24"/>
          <w:lang w:val="en-US"/>
        </w:rPr>
        <w:t xml:space="preserve"> shock. We recommend to change the wording of +/-200</w:t>
      </w:r>
      <w:r>
        <w:rPr>
          <w:rFonts w:ascii="Times New Roman" w:hAnsi="Times New Roman"/>
          <w:sz w:val="24"/>
          <w:szCs w:val="24"/>
          <w:lang w:val="en-US"/>
        </w:rPr>
        <w:t xml:space="preserve"> basis points for a</w:t>
      </w:r>
      <w:r w:rsidRPr="0016190B">
        <w:rPr>
          <w:rFonts w:ascii="Times New Roman" w:hAnsi="Times New Roman"/>
          <w:sz w:val="24"/>
          <w:szCs w:val="24"/>
          <w:lang w:val="en-US"/>
        </w:rPr>
        <w:t xml:space="preserve"> ‘standard shock’.</w:t>
      </w:r>
      <w:r>
        <w:rPr>
          <w:rFonts w:ascii="Times New Roman" w:hAnsi="Times New Roman"/>
          <w:sz w:val="24"/>
          <w:szCs w:val="24"/>
          <w:lang w:val="en-US"/>
        </w:rPr>
        <w:t xml:space="preserve"> </w:t>
      </w:r>
    </w:p>
    <w:p w14:paraId="3920BE97" w14:textId="77777777" w:rsidR="00AA4D21" w:rsidRDefault="00AA4D21" w:rsidP="0016190B">
      <w:pPr>
        <w:numPr>
          <w:ilvl w:val="0"/>
          <w:numId w:val="24"/>
        </w:numPr>
        <w:spacing w:before="120"/>
        <w:jc w:val="both"/>
        <w:rPr>
          <w:rFonts w:ascii="Times New Roman" w:hAnsi="Times New Roman"/>
          <w:sz w:val="24"/>
          <w:szCs w:val="24"/>
          <w:lang w:val="en-US"/>
        </w:rPr>
      </w:pPr>
      <w:r w:rsidRPr="0016190B">
        <w:rPr>
          <w:rFonts w:ascii="Times New Roman" w:hAnsi="Times New Roman"/>
          <w:sz w:val="24"/>
          <w:szCs w:val="24"/>
          <w:lang w:val="en-US"/>
        </w:rPr>
        <w:t>The number of shock scenarios should be limited</w:t>
      </w:r>
      <w:r>
        <w:rPr>
          <w:rFonts w:ascii="Times New Roman" w:hAnsi="Times New Roman"/>
          <w:sz w:val="24"/>
          <w:szCs w:val="24"/>
          <w:lang w:val="en-US"/>
        </w:rPr>
        <w:t xml:space="preserve">. </w:t>
      </w:r>
    </w:p>
    <w:p w14:paraId="3920BE98" w14:textId="77777777" w:rsidR="00AA4D21" w:rsidRDefault="00AA4D21" w:rsidP="0016190B">
      <w:pPr>
        <w:numPr>
          <w:ilvl w:val="0"/>
          <w:numId w:val="24"/>
        </w:numPr>
        <w:spacing w:before="120"/>
        <w:jc w:val="both"/>
        <w:rPr>
          <w:rFonts w:ascii="Times New Roman" w:hAnsi="Times New Roman"/>
          <w:sz w:val="24"/>
          <w:szCs w:val="24"/>
          <w:lang w:val="en-US"/>
        </w:rPr>
      </w:pPr>
      <w:r w:rsidRPr="0016190B">
        <w:rPr>
          <w:rFonts w:ascii="Times New Roman" w:hAnsi="Times New Roman"/>
          <w:sz w:val="24"/>
          <w:szCs w:val="24"/>
          <w:lang w:val="en-US"/>
        </w:rPr>
        <w:t xml:space="preserve">Whether an institution pursues an earnings or economic value approach should be left at the choice of the institution. The choice of limits should be consistent with the risk management strategy and risk appetite of the institution. Whether an institution pursues an earnings or value proposition will tilt the focus on what metric is deemed more appropriate. </w:t>
      </w:r>
    </w:p>
    <w:p w14:paraId="3920BE99" w14:textId="77777777" w:rsidR="00AA4D21" w:rsidRDefault="00AA4D21" w:rsidP="0016190B">
      <w:pPr>
        <w:numPr>
          <w:ilvl w:val="0"/>
          <w:numId w:val="24"/>
        </w:numPr>
        <w:spacing w:before="120"/>
        <w:jc w:val="both"/>
        <w:rPr>
          <w:rFonts w:ascii="Times New Roman" w:hAnsi="Times New Roman"/>
          <w:sz w:val="24"/>
          <w:szCs w:val="24"/>
          <w:lang w:val="en-US"/>
        </w:rPr>
      </w:pPr>
      <w:r w:rsidRPr="0016190B">
        <w:rPr>
          <w:rFonts w:ascii="Times New Roman" w:hAnsi="Times New Roman"/>
          <w:sz w:val="24"/>
          <w:szCs w:val="24"/>
          <w:lang w:val="en-US"/>
        </w:rPr>
        <w:t xml:space="preserve">As the interest rate risk is symmetric, there is no prudence-bias that should be referred to IRRBB prudential framework. We recommend replacing ‘sound’ with ‘prudent’. </w:t>
      </w:r>
    </w:p>
    <w:p w14:paraId="3920BE9A" w14:textId="77777777" w:rsidR="00AA4D21" w:rsidRPr="0016190B" w:rsidRDefault="00AA4D21" w:rsidP="0016190B">
      <w:pPr>
        <w:numPr>
          <w:ilvl w:val="0"/>
          <w:numId w:val="24"/>
        </w:numPr>
        <w:spacing w:before="120"/>
        <w:jc w:val="both"/>
        <w:rPr>
          <w:rFonts w:ascii="Times New Roman" w:hAnsi="Times New Roman"/>
          <w:sz w:val="24"/>
          <w:szCs w:val="24"/>
          <w:lang w:val="en-US"/>
        </w:rPr>
      </w:pPr>
      <w:r>
        <w:rPr>
          <w:rFonts w:ascii="Times New Roman" w:hAnsi="Times New Roman"/>
          <w:sz w:val="24"/>
          <w:szCs w:val="24"/>
          <w:lang w:val="en-US"/>
        </w:rPr>
        <w:t>T</w:t>
      </w:r>
      <w:r w:rsidRPr="0016190B">
        <w:rPr>
          <w:rFonts w:ascii="Times New Roman" w:hAnsi="Times New Roman"/>
          <w:sz w:val="24"/>
          <w:szCs w:val="24"/>
          <w:lang w:val="en-US"/>
        </w:rPr>
        <w:t xml:space="preserve">he </w:t>
      </w:r>
      <w:proofErr w:type="spellStart"/>
      <w:r w:rsidRPr="0016190B">
        <w:rPr>
          <w:rFonts w:ascii="Times New Roman" w:hAnsi="Times New Roman"/>
          <w:sz w:val="24"/>
          <w:szCs w:val="24"/>
          <w:lang w:val="en-US"/>
        </w:rPr>
        <w:t>standardi</w:t>
      </w:r>
      <w:r>
        <w:rPr>
          <w:rFonts w:ascii="Times New Roman" w:hAnsi="Times New Roman"/>
          <w:sz w:val="24"/>
          <w:szCs w:val="24"/>
          <w:lang w:val="en-US"/>
        </w:rPr>
        <w:t>s</w:t>
      </w:r>
      <w:r w:rsidRPr="0016190B">
        <w:rPr>
          <w:rFonts w:ascii="Times New Roman" w:hAnsi="Times New Roman"/>
          <w:sz w:val="24"/>
          <w:szCs w:val="24"/>
          <w:lang w:val="en-US"/>
        </w:rPr>
        <w:t>ed</w:t>
      </w:r>
      <w:proofErr w:type="spellEnd"/>
      <w:r w:rsidRPr="0016190B">
        <w:rPr>
          <w:rFonts w:ascii="Times New Roman" w:hAnsi="Times New Roman"/>
          <w:sz w:val="24"/>
          <w:szCs w:val="24"/>
          <w:lang w:val="en-US"/>
        </w:rPr>
        <w:t xml:space="preserve"> outlier test should be calculated in line with banks IRRBB management and assumptions. Removing equity from the standard test for banks that are modelling their equity creates a significant discrepancy between the actual management (for which equity capital is invested </w:t>
      </w:r>
      <w:r>
        <w:rPr>
          <w:rFonts w:ascii="Times New Roman" w:hAnsi="Times New Roman"/>
          <w:sz w:val="24"/>
          <w:szCs w:val="24"/>
          <w:lang w:val="en-US"/>
        </w:rPr>
        <w:t xml:space="preserve">in fixed rate assets to </w:t>
      </w:r>
      <w:proofErr w:type="spellStart"/>
      <w:r>
        <w:rPr>
          <w:rFonts w:ascii="Times New Roman" w:hAnsi="Times New Roman"/>
          <w:sz w:val="24"/>
          <w:szCs w:val="24"/>
          <w:lang w:val="en-US"/>
        </w:rPr>
        <w:t>stabilis</w:t>
      </w:r>
      <w:r w:rsidRPr="0016190B">
        <w:rPr>
          <w:rFonts w:ascii="Times New Roman" w:hAnsi="Times New Roman"/>
          <w:sz w:val="24"/>
          <w:szCs w:val="24"/>
          <w:lang w:val="en-US"/>
        </w:rPr>
        <w:t>e</w:t>
      </w:r>
      <w:proofErr w:type="spellEnd"/>
      <w:r w:rsidRPr="0016190B">
        <w:rPr>
          <w:rFonts w:ascii="Times New Roman" w:hAnsi="Times New Roman"/>
          <w:sz w:val="24"/>
          <w:szCs w:val="24"/>
          <w:lang w:val="en-US"/>
        </w:rPr>
        <w:t xml:space="preserve"> earnings over time) and the prudential standard test. We recommend that the </w:t>
      </w:r>
      <w:r w:rsidRPr="0016190B">
        <w:rPr>
          <w:rFonts w:ascii="Times New Roman" w:hAnsi="Times New Roman"/>
          <w:sz w:val="24"/>
          <w:szCs w:val="24"/>
          <w:lang w:val="en-US"/>
        </w:rPr>
        <w:lastRenderedPageBreak/>
        <w:t xml:space="preserve">standard test is calculated so as to be consistent with the IRRBB assumption framework of the bank. Such assumption framework is decided at </w:t>
      </w:r>
      <w:r>
        <w:rPr>
          <w:rFonts w:ascii="Times New Roman" w:hAnsi="Times New Roman"/>
          <w:sz w:val="24"/>
          <w:szCs w:val="24"/>
          <w:lang w:val="en-US"/>
        </w:rPr>
        <w:t xml:space="preserve">the highest level of the </w:t>
      </w:r>
      <w:proofErr w:type="spellStart"/>
      <w:r>
        <w:rPr>
          <w:rFonts w:ascii="Times New Roman" w:hAnsi="Times New Roman"/>
          <w:sz w:val="24"/>
          <w:szCs w:val="24"/>
          <w:lang w:val="en-US"/>
        </w:rPr>
        <w:t>organis</w:t>
      </w:r>
      <w:r w:rsidRPr="0016190B">
        <w:rPr>
          <w:rFonts w:ascii="Times New Roman" w:hAnsi="Times New Roman"/>
          <w:sz w:val="24"/>
          <w:szCs w:val="24"/>
          <w:lang w:val="en-US"/>
        </w:rPr>
        <w:t>ation</w:t>
      </w:r>
      <w:proofErr w:type="spellEnd"/>
      <w:r w:rsidRPr="0016190B">
        <w:rPr>
          <w:rFonts w:ascii="Times New Roman" w:hAnsi="Times New Roman"/>
          <w:sz w:val="24"/>
          <w:szCs w:val="24"/>
          <w:lang w:val="en-US"/>
        </w:rPr>
        <w:t xml:space="preserve"> and subject to strong governance </w:t>
      </w:r>
      <w:r>
        <w:rPr>
          <w:rFonts w:ascii="Times New Roman" w:hAnsi="Times New Roman"/>
          <w:sz w:val="24"/>
          <w:szCs w:val="24"/>
          <w:lang w:val="en-US"/>
        </w:rPr>
        <w:t xml:space="preserve">including </w:t>
      </w:r>
      <w:r w:rsidRPr="0016190B">
        <w:rPr>
          <w:rFonts w:ascii="Times New Roman" w:hAnsi="Times New Roman"/>
          <w:sz w:val="24"/>
          <w:szCs w:val="24"/>
          <w:lang w:val="en-US"/>
        </w:rPr>
        <w:t>independent review</w:t>
      </w:r>
      <w:r>
        <w:rPr>
          <w:rFonts w:ascii="Times New Roman" w:hAnsi="Times New Roman"/>
          <w:sz w:val="24"/>
          <w:szCs w:val="24"/>
          <w:lang w:val="en-US"/>
        </w:rPr>
        <w:t xml:space="preserve"> and</w:t>
      </w:r>
      <w:r w:rsidRPr="0016190B">
        <w:rPr>
          <w:rFonts w:ascii="Times New Roman" w:hAnsi="Times New Roman"/>
          <w:sz w:val="24"/>
          <w:szCs w:val="24"/>
          <w:lang w:val="en-US"/>
        </w:rPr>
        <w:t xml:space="preserve"> validation of main assum</w:t>
      </w:r>
      <w:r>
        <w:rPr>
          <w:rFonts w:ascii="Times New Roman" w:hAnsi="Times New Roman"/>
          <w:sz w:val="24"/>
          <w:szCs w:val="24"/>
          <w:lang w:val="en-US"/>
        </w:rPr>
        <w:t>ptions by senior management.</w:t>
      </w:r>
      <w:r w:rsidRPr="0016190B">
        <w:rPr>
          <w:rFonts w:ascii="Times New Roman" w:hAnsi="Times New Roman"/>
          <w:sz w:val="24"/>
          <w:szCs w:val="24"/>
          <w:lang w:val="en-US"/>
        </w:rPr>
        <w:t xml:space="preserve">   </w:t>
      </w:r>
    </w:p>
    <w:p w14:paraId="3920BE9B" w14:textId="77777777" w:rsidR="00AA4D21" w:rsidRDefault="00AA4D21" w:rsidP="00702CF4">
      <w:pPr>
        <w:spacing w:before="120"/>
        <w:jc w:val="both"/>
        <w:rPr>
          <w:rFonts w:ascii="Times New Roman" w:hAnsi="Times New Roman"/>
          <w:sz w:val="24"/>
          <w:szCs w:val="24"/>
          <w:u w:val="single"/>
          <w:lang w:val="en-US"/>
        </w:rPr>
      </w:pPr>
      <w:r w:rsidRPr="00CD1E97">
        <w:rPr>
          <w:rFonts w:ascii="Times New Roman" w:hAnsi="Times New Roman"/>
          <w:sz w:val="24"/>
          <w:szCs w:val="24"/>
          <w:lang w:val="en-US"/>
        </w:rPr>
        <w:t xml:space="preserve">Credit spread risk in the banking book is also included in the work undertaken by the Basel TFIR but the scope has not yet been defined. We suggest </w:t>
      </w:r>
      <w:r>
        <w:rPr>
          <w:rFonts w:ascii="Times New Roman" w:hAnsi="Times New Roman"/>
          <w:sz w:val="24"/>
          <w:szCs w:val="24"/>
          <w:lang w:val="en-US"/>
        </w:rPr>
        <w:t>waiting for</w:t>
      </w:r>
      <w:r w:rsidRPr="00CD1E97">
        <w:rPr>
          <w:rFonts w:ascii="Times New Roman" w:hAnsi="Times New Roman"/>
          <w:sz w:val="24"/>
          <w:szCs w:val="24"/>
          <w:lang w:val="en-US"/>
        </w:rPr>
        <w:t xml:space="preserve"> the results of the TFIR discussions</w:t>
      </w:r>
      <w:r>
        <w:rPr>
          <w:rFonts w:ascii="Times New Roman" w:hAnsi="Times New Roman"/>
          <w:sz w:val="24"/>
          <w:szCs w:val="24"/>
          <w:lang w:val="en-US"/>
        </w:rPr>
        <w:t xml:space="preserve">. </w:t>
      </w:r>
    </w:p>
    <w:p w14:paraId="3920BE9C" w14:textId="77777777" w:rsidR="00AA4D21" w:rsidRDefault="00AA4D21" w:rsidP="00702CF4">
      <w:pPr>
        <w:spacing w:before="120"/>
        <w:jc w:val="both"/>
        <w:rPr>
          <w:rFonts w:ascii="Times New Roman" w:hAnsi="Times New Roman"/>
          <w:sz w:val="24"/>
          <w:szCs w:val="24"/>
          <w:u w:val="single"/>
          <w:lang w:val="en-US"/>
        </w:rPr>
      </w:pPr>
    </w:p>
    <w:p w14:paraId="3920BE9D" w14:textId="77777777" w:rsidR="00AA4D21" w:rsidRPr="00E30C2F" w:rsidRDefault="00AA4D21" w:rsidP="00787A4E">
      <w:pPr>
        <w:numPr>
          <w:ilvl w:val="0"/>
          <w:numId w:val="26"/>
        </w:numPr>
        <w:spacing w:before="120"/>
        <w:jc w:val="both"/>
        <w:rPr>
          <w:rFonts w:ascii="Times New Roman" w:hAnsi="Times New Roman"/>
          <w:b/>
          <w:sz w:val="24"/>
          <w:szCs w:val="24"/>
          <w:u w:val="single"/>
          <w:lang w:val="en-US"/>
        </w:rPr>
      </w:pPr>
      <w:r w:rsidRPr="00E30C2F">
        <w:rPr>
          <w:rFonts w:ascii="Times New Roman" w:hAnsi="Times New Roman"/>
          <w:b/>
          <w:sz w:val="24"/>
          <w:szCs w:val="24"/>
          <w:u w:val="single"/>
          <w:lang w:val="en-US"/>
        </w:rPr>
        <w:t>SREP liquidity assessment</w:t>
      </w:r>
    </w:p>
    <w:p w14:paraId="3920BE9E" w14:textId="28102C4E" w:rsidR="00AA4D21" w:rsidRPr="003E45BE" w:rsidRDefault="00AA4D21" w:rsidP="00702CF4">
      <w:pPr>
        <w:spacing w:before="120"/>
        <w:jc w:val="both"/>
        <w:rPr>
          <w:rFonts w:ascii="Times New Roman" w:hAnsi="Times New Roman"/>
          <w:sz w:val="24"/>
          <w:szCs w:val="24"/>
          <w:lang w:val="en-US"/>
        </w:rPr>
      </w:pPr>
      <w:r>
        <w:rPr>
          <w:rFonts w:ascii="Times New Roman" w:hAnsi="Times New Roman"/>
          <w:sz w:val="24"/>
          <w:szCs w:val="24"/>
          <w:lang w:val="en-US"/>
        </w:rPr>
        <w:t>W</w:t>
      </w:r>
      <w:r w:rsidRPr="003E45BE">
        <w:rPr>
          <w:rFonts w:ascii="Times New Roman" w:hAnsi="Times New Roman"/>
          <w:sz w:val="24"/>
          <w:szCs w:val="24"/>
          <w:lang w:val="en-US"/>
        </w:rPr>
        <w:t xml:space="preserve">e are concerned that </w:t>
      </w:r>
      <w:r>
        <w:rPr>
          <w:rFonts w:ascii="Times New Roman" w:hAnsi="Times New Roman"/>
          <w:sz w:val="24"/>
          <w:szCs w:val="24"/>
          <w:lang w:val="en-US"/>
        </w:rPr>
        <w:t xml:space="preserve">so detailed and comprehensive liquidity requirements could prove too onerous </w:t>
      </w:r>
      <w:r w:rsidRPr="003E45BE">
        <w:rPr>
          <w:rFonts w:ascii="Times New Roman" w:hAnsi="Times New Roman"/>
          <w:sz w:val="24"/>
          <w:szCs w:val="24"/>
          <w:lang w:val="en-US"/>
        </w:rPr>
        <w:t xml:space="preserve">in aggregate. There will be </w:t>
      </w:r>
      <w:r w:rsidR="003A51CF">
        <w:rPr>
          <w:rFonts w:ascii="Times New Roman" w:hAnsi="Times New Roman"/>
          <w:sz w:val="24"/>
          <w:szCs w:val="24"/>
          <w:lang w:val="en-US"/>
        </w:rPr>
        <w:t>a significant</w:t>
      </w:r>
      <w:r w:rsidRPr="003E45BE">
        <w:rPr>
          <w:rFonts w:ascii="Times New Roman" w:hAnsi="Times New Roman"/>
          <w:sz w:val="24"/>
          <w:szCs w:val="24"/>
          <w:lang w:val="en-US"/>
        </w:rPr>
        <w:t xml:space="preserve"> amount of subjectivity required as the responses to the requirements by institutions will be individually interpreted and assessed by the regulator.</w:t>
      </w:r>
      <w:r>
        <w:rPr>
          <w:rFonts w:ascii="Times New Roman" w:hAnsi="Times New Roman"/>
          <w:sz w:val="24"/>
          <w:szCs w:val="24"/>
          <w:lang w:val="en-US"/>
        </w:rPr>
        <w:t xml:space="preserve"> </w:t>
      </w:r>
    </w:p>
    <w:p w14:paraId="3920BE9F" w14:textId="0F806EE0" w:rsidR="00AA4D21" w:rsidRDefault="00AA4D21" w:rsidP="00702CF4">
      <w:pPr>
        <w:spacing w:before="120"/>
        <w:jc w:val="both"/>
        <w:rPr>
          <w:rFonts w:ascii="Times New Roman" w:hAnsi="Times New Roman"/>
          <w:sz w:val="24"/>
          <w:szCs w:val="24"/>
          <w:lang w:val="en-US"/>
        </w:rPr>
      </w:pPr>
      <w:r w:rsidRPr="003E45BE">
        <w:rPr>
          <w:rFonts w:ascii="Times New Roman" w:hAnsi="Times New Roman"/>
          <w:sz w:val="24"/>
          <w:szCs w:val="24"/>
          <w:lang w:val="en-US"/>
        </w:rPr>
        <w:t>The Competent Authorities should clarify, at an early stage, the data requirements for supervised institutions necessary to meet</w:t>
      </w:r>
      <w:r w:rsidR="003A51CF">
        <w:rPr>
          <w:rFonts w:ascii="Times New Roman" w:hAnsi="Times New Roman"/>
          <w:sz w:val="24"/>
          <w:szCs w:val="24"/>
          <w:lang w:val="en-US"/>
        </w:rPr>
        <w:t xml:space="preserve"> the</w:t>
      </w:r>
      <w:r w:rsidRPr="003E45BE">
        <w:rPr>
          <w:rFonts w:ascii="Times New Roman" w:hAnsi="Times New Roman"/>
          <w:sz w:val="24"/>
          <w:szCs w:val="24"/>
          <w:lang w:val="en-US"/>
        </w:rPr>
        <w:t xml:space="preserve"> SREP liquidity requirements. This is </w:t>
      </w:r>
      <w:r w:rsidR="003A51CF">
        <w:rPr>
          <w:rFonts w:ascii="Times New Roman" w:hAnsi="Times New Roman"/>
          <w:sz w:val="24"/>
          <w:szCs w:val="24"/>
          <w:lang w:val="en-US"/>
        </w:rPr>
        <w:t>vital</w:t>
      </w:r>
      <w:r w:rsidRPr="003E45BE">
        <w:rPr>
          <w:rFonts w:ascii="Times New Roman" w:hAnsi="Times New Roman"/>
          <w:sz w:val="24"/>
          <w:szCs w:val="24"/>
          <w:lang w:val="en-US"/>
        </w:rPr>
        <w:t xml:space="preserve"> to allow institutions</w:t>
      </w:r>
      <w:r w:rsidR="003A51CF">
        <w:rPr>
          <w:rFonts w:ascii="Times New Roman" w:hAnsi="Times New Roman"/>
          <w:sz w:val="24"/>
          <w:szCs w:val="24"/>
          <w:lang w:val="en-US"/>
        </w:rPr>
        <w:t xml:space="preserve"> to</w:t>
      </w:r>
      <w:r w:rsidRPr="003E45BE">
        <w:rPr>
          <w:rFonts w:ascii="Times New Roman" w:hAnsi="Times New Roman"/>
          <w:sz w:val="24"/>
          <w:szCs w:val="24"/>
          <w:lang w:val="en-US"/>
        </w:rPr>
        <w:t xml:space="preserve"> implement any resulting information technology changes, which typically may have significant lead times.</w:t>
      </w:r>
      <w:r>
        <w:rPr>
          <w:rFonts w:ascii="Times New Roman" w:hAnsi="Times New Roman"/>
          <w:sz w:val="24"/>
          <w:szCs w:val="24"/>
          <w:lang w:val="en-US"/>
        </w:rPr>
        <w:t xml:space="preserve"> </w:t>
      </w:r>
    </w:p>
    <w:p w14:paraId="3920BEA0" w14:textId="3DE4936B" w:rsidR="00AA4D21" w:rsidRDefault="00AA4D21" w:rsidP="00702CF4">
      <w:pPr>
        <w:spacing w:before="120"/>
        <w:jc w:val="both"/>
        <w:rPr>
          <w:rFonts w:ascii="Times New Roman" w:hAnsi="Times New Roman"/>
          <w:sz w:val="24"/>
          <w:szCs w:val="24"/>
          <w:lang w:val="en-US"/>
        </w:rPr>
      </w:pPr>
      <w:r w:rsidRPr="008D4015">
        <w:rPr>
          <w:rFonts w:ascii="Times New Roman" w:hAnsi="Times New Roman"/>
          <w:sz w:val="24"/>
          <w:szCs w:val="24"/>
          <w:lang w:val="en-US"/>
        </w:rPr>
        <w:t>Supervision of the Liquidity Coverage Ratio (LCR) should be consistent with</w:t>
      </w:r>
      <w:r>
        <w:rPr>
          <w:rFonts w:ascii="Times New Roman" w:hAnsi="Times New Roman"/>
          <w:sz w:val="24"/>
          <w:szCs w:val="24"/>
          <w:lang w:val="en-US"/>
        </w:rPr>
        <w:t xml:space="preserve"> the</w:t>
      </w:r>
      <w:r w:rsidRPr="008D4015">
        <w:rPr>
          <w:rFonts w:ascii="Times New Roman" w:hAnsi="Times New Roman"/>
          <w:sz w:val="24"/>
          <w:szCs w:val="24"/>
          <w:lang w:val="en-US"/>
        </w:rPr>
        <w:t xml:space="preserve"> LCR assumption set</w:t>
      </w:r>
      <w:r>
        <w:rPr>
          <w:rFonts w:ascii="Times New Roman" w:hAnsi="Times New Roman"/>
          <w:sz w:val="24"/>
          <w:szCs w:val="24"/>
          <w:lang w:val="en-US"/>
        </w:rPr>
        <w:t xml:space="preserve">. </w:t>
      </w:r>
      <w:r w:rsidR="003A51CF">
        <w:rPr>
          <w:rFonts w:ascii="Times New Roman" w:hAnsi="Times New Roman"/>
          <w:sz w:val="24"/>
          <w:szCs w:val="24"/>
          <w:lang w:val="en-US"/>
        </w:rPr>
        <w:t>For example, i</w:t>
      </w:r>
      <w:r w:rsidRPr="008D4015">
        <w:rPr>
          <w:rFonts w:ascii="Times New Roman" w:hAnsi="Times New Roman"/>
          <w:sz w:val="24"/>
          <w:szCs w:val="24"/>
          <w:lang w:val="en-US"/>
        </w:rPr>
        <w:t>n the</w:t>
      </w:r>
      <w:r>
        <w:rPr>
          <w:rFonts w:ascii="Times New Roman" w:hAnsi="Times New Roman"/>
          <w:sz w:val="24"/>
          <w:szCs w:val="24"/>
          <w:lang w:val="en-US"/>
        </w:rPr>
        <w:t xml:space="preserve"> definition of</w:t>
      </w:r>
      <w:r w:rsidRPr="008D4015">
        <w:rPr>
          <w:rFonts w:ascii="Times New Roman" w:hAnsi="Times New Roman"/>
          <w:sz w:val="24"/>
          <w:szCs w:val="24"/>
          <w:lang w:val="en-US"/>
        </w:rPr>
        <w:t xml:space="preserve"> </w:t>
      </w:r>
      <w:r w:rsidR="003A51CF">
        <w:rPr>
          <w:rFonts w:ascii="Times New Roman" w:hAnsi="Times New Roman"/>
          <w:sz w:val="24"/>
          <w:szCs w:val="24"/>
          <w:lang w:val="en-US"/>
        </w:rPr>
        <w:t xml:space="preserve">the </w:t>
      </w:r>
      <w:r w:rsidRPr="008D4015">
        <w:rPr>
          <w:rFonts w:ascii="Times New Roman" w:hAnsi="Times New Roman"/>
          <w:sz w:val="24"/>
          <w:szCs w:val="24"/>
          <w:lang w:val="en-US"/>
        </w:rPr>
        <w:t>LCR</w:t>
      </w:r>
      <w:r w:rsidR="003A51CF">
        <w:rPr>
          <w:rFonts w:ascii="Times New Roman" w:hAnsi="Times New Roman"/>
          <w:sz w:val="24"/>
          <w:szCs w:val="24"/>
          <w:lang w:val="en-US"/>
        </w:rPr>
        <w:t>’s High Quality Liquid Assets (HQLA)</w:t>
      </w:r>
      <w:r w:rsidRPr="008D4015">
        <w:rPr>
          <w:rFonts w:ascii="Times New Roman" w:hAnsi="Times New Roman"/>
          <w:sz w:val="24"/>
          <w:szCs w:val="24"/>
          <w:lang w:val="en-US"/>
        </w:rPr>
        <w:t xml:space="preserve"> reverse repo</w:t>
      </w:r>
      <w:r w:rsidR="003A51CF">
        <w:rPr>
          <w:rFonts w:ascii="Times New Roman" w:hAnsi="Times New Roman"/>
          <w:sz w:val="24"/>
          <w:szCs w:val="24"/>
          <w:lang w:val="en-US"/>
        </w:rPr>
        <w:t>s</w:t>
      </w:r>
      <w:r w:rsidRPr="008D4015">
        <w:rPr>
          <w:rFonts w:ascii="Times New Roman" w:hAnsi="Times New Roman"/>
          <w:sz w:val="24"/>
          <w:szCs w:val="24"/>
          <w:lang w:val="en-US"/>
        </w:rPr>
        <w:t xml:space="preserve"> are </w:t>
      </w:r>
      <w:r>
        <w:rPr>
          <w:rFonts w:ascii="Times New Roman" w:hAnsi="Times New Roman"/>
          <w:sz w:val="24"/>
          <w:szCs w:val="24"/>
          <w:lang w:val="en-US"/>
        </w:rPr>
        <w:t>supposed</w:t>
      </w:r>
      <w:r w:rsidRPr="008D4015">
        <w:rPr>
          <w:rFonts w:ascii="Times New Roman" w:hAnsi="Times New Roman"/>
          <w:sz w:val="24"/>
          <w:szCs w:val="24"/>
          <w:lang w:val="en-US"/>
        </w:rPr>
        <w:t xml:space="preserve"> not to have to be returned since the reverse repo </w:t>
      </w:r>
      <w:r>
        <w:rPr>
          <w:rFonts w:ascii="Times New Roman" w:hAnsi="Times New Roman"/>
          <w:sz w:val="24"/>
          <w:szCs w:val="24"/>
          <w:lang w:val="en-US"/>
        </w:rPr>
        <w:t>is</w:t>
      </w:r>
      <w:r w:rsidRPr="008D4015">
        <w:rPr>
          <w:rFonts w:ascii="Times New Roman" w:hAnsi="Times New Roman"/>
          <w:sz w:val="24"/>
          <w:szCs w:val="24"/>
          <w:lang w:val="en-US"/>
        </w:rPr>
        <w:t xml:space="preserve"> assumed to roll over. It is important not to be </w:t>
      </w:r>
      <w:proofErr w:type="spellStart"/>
      <w:r w:rsidRPr="008D4015">
        <w:rPr>
          <w:rFonts w:ascii="Times New Roman" w:hAnsi="Times New Roman"/>
          <w:sz w:val="24"/>
          <w:szCs w:val="24"/>
          <w:lang w:val="en-US"/>
        </w:rPr>
        <w:t>penali</w:t>
      </w:r>
      <w:r>
        <w:rPr>
          <w:rFonts w:ascii="Times New Roman" w:hAnsi="Times New Roman"/>
          <w:sz w:val="24"/>
          <w:szCs w:val="24"/>
          <w:lang w:val="en-US"/>
        </w:rPr>
        <w:t>s</w:t>
      </w:r>
      <w:r w:rsidRPr="008D4015">
        <w:rPr>
          <w:rFonts w:ascii="Times New Roman" w:hAnsi="Times New Roman"/>
          <w:sz w:val="24"/>
          <w:szCs w:val="24"/>
          <w:lang w:val="en-US"/>
        </w:rPr>
        <w:t>ed</w:t>
      </w:r>
      <w:proofErr w:type="spellEnd"/>
      <w:r w:rsidRPr="008D4015">
        <w:rPr>
          <w:rFonts w:ascii="Times New Roman" w:hAnsi="Times New Roman"/>
          <w:sz w:val="24"/>
          <w:szCs w:val="24"/>
          <w:lang w:val="en-US"/>
        </w:rPr>
        <w:t xml:space="preserve"> twice, once by </w:t>
      </w:r>
      <w:r>
        <w:rPr>
          <w:rFonts w:ascii="Times New Roman" w:hAnsi="Times New Roman"/>
          <w:sz w:val="24"/>
          <w:szCs w:val="24"/>
          <w:lang w:val="en-US"/>
        </w:rPr>
        <w:t>considering</w:t>
      </w:r>
      <w:r w:rsidRPr="008D4015">
        <w:rPr>
          <w:rFonts w:ascii="Times New Roman" w:hAnsi="Times New Roman"/>
          <w:sz w:val="24"/>
          <w:szCs w:val="24"/>
          <w:lang w:val="en-US"/>
        </w:rPr>
        <w:t xml:space="preserve"> that the inflow of the reverse repo is assumed not to be received (</w:t>
      </w:r>
      <w:r>
        <w:rPr>
          <w:rFonts w:ascii="Times New Roman" w:hAnsi="Times New Roman"/>
          <w:sz w:val="24"/>
          <w:szCs w:val="24"/>
          <w:lang w:val="en-US"/>
        </w:rPr>
        <w:t>due to the roll-over</w:t>
      </w:r>
      <w:r w:rsidRPr="008D4015">
        <w:rPr>
          <w:rFonts w:ascii="Times New Roman" w:hAnsi="Times New Roman"/>
          <w:sz w:val="24"/>
          <w:szCs w:val="24"/>
          <w:lang w:val="en-US"/>
        </w:rPr>
        <w:t>) and to assume that the borrowed security has to be returned.</w:t>
      </w:r>
      <w:r>
        <w:rPr>
          <w:rFonts w:ascii="Times New Roman" w:hAnsi="Times New Roman"/>
          <w:sz w:val="24"/>
          <w:szCs w:val="24"/>
          <w:lang w:val="en-US"/>
        </w:rPr>
        <w:t xml:space="preserve"> </w:t>
      </w:r>
    </w:p>
    <w:p w14:paraId="3920BEA1" w14:textId="6E0DE962" w:rsidR="00AA4D21" w:rsidRDefault="00AA4D21" w:rsidP="00702CF4">
      <w:pPr>
        <w:spacing w:before="120"/>
        <w:jc w:val="both"/>
        <w:rPr>
          <w:rFonts w:ascii="Times New Roman" w:hAnsi="Times New Roman"/>
          <w:sz w:val="24"/>
          <w:szCs w:val="24"/>
          <w:lang w:val="en-US"/>
        </w:rPr>
      </w:pPr>
      <w:r w:rsidRPr="008D4015">
        <w:rPr>
          <w:rFonts w:ascii="Times New Roman" w:hAnsi="Times New Roman"/>
          <w:sz w:val="24"/>
          <w:szCs w:val="24"/>
          <w:lang w:val="en-US"/>
        </w:rPr>
        <w:t xml:space="preserve">Supervision should not </w:t>
      </w:r>
      <w:r w:rsidR="003A51CF">
        <w:rPr>
          <w:rFonts w:ascii="Times New Roman" w:hAnsi="Times New Roman"/>
          <w:sz w:val="24"/>
          <w:szCs w:val="24"/>
          <w:lang w:val="en-US"/>
        </w:rPr>
        <w:t xml:space="preserve">further </w:t>
      </w:r>
      <w:r w:rsidRPr="008D4015">
        <w:rPr>
          <w:rFonts w:ascii="Times New Roman" w:hAnsi="Times New Roman"/>
          <w:sz w:val="24"/>
          <w:szCs w:val="24"/>
          <w:lang w:val="en-US"/>
        </w:rPr>
        <w:t>stress the already extremely highly stressed LCR</w:t>
      </w:r>
      <w:r>
        <w:rPr>
          <w:rFonts w:ascii="Times New Roman" w:hAnsi="Times New Roman"/>
          <w:sz w:val="24"/>
          <w:szCs w:val="24"/>
          <w:lang w:val="en-US"/>
        </w:rPr>
        <w:t>. I</w:t>
      </w:r>
      <w:r w:rsidRPr="008D4015">
        <w:rPr>
          <w:rFonts w:ascii="Times New Roman" w:hAnsi="Times New Roman"/>
          <w:sz w:val="24"/>
          <w:szCs w:val="24"/>
          <w:lang w:val="en-US"/>
        </w:rPr>
        <w:t xml:space="preserve">t </w:t>
      </w:r>
      <w:r>
        <w:rPr>
          <w:rFonts w:ascii="Times New Roman" w:hAnsi="Times New Roman"/>
          <w:sz w:val="24"/>
          <w:szCs w:val="24"/>
          <w:lang w:val="en-US"/>
        </w:rPr>
        <w:t>seems</w:t>
      </w:r>
      <w:r w:rsidRPr="008D4015">
        <w:rPr>
          <w:rFonts w:ascii="Times New Roman" w:hAnsi="Times New Roman"/>
          <w:sz w:val="24"/>
          <w:szCs w:val="24"/>
          <w:lang w:val="en-US"/>
        </w:rPr>
        <w:t xml:space="preserve"> extreme to </w:t>
      </w:r>
      <w:r w:rsidR="003A51CF">
        <w:rPr>
          <w:rFonts w:ascii="Times New Roman" w:hAnsi="Times New Roman"/>
          <w:sz w:val="24"/>
          <w:szCs w:val="24"/>
          <w:lang w:val="en-US"/>
        </w:rPr>
        <w:t>add additional stress factors on top of</w:t>
      </w:r>
      <w:r w:rsidRPr="008D4015">
        <w:rPr>
          <w:rFonts w:ascii="Times New Roman" w:hAnsi="Times New Roman"/>
          <w:sz w:val="24"/>
          <w:szCs w:val="24"/>
          <w:lang w:val="en-US"/>
        </w:rPr>
        <w:t xml:space="preserve"> the LCR which </w:t>
      </w:r>
      <w:r w:rsidR="003A51CF">
        <w:rPr>
          <w:rFonts w:ascii="Times New Roman" w:hAnsi="Times New Roman"/>
          <w:sz w:val="24"/>
          <w:szCs w:val="24"/>
          <w:lang w:val="en-US"/>
        </w:rPr>
        <w:t>by</w:t>
      </w:r>
      <w:r w:rsidRPr="008D4015">
        <w:rPr>
          <w:rFonts w:ascii="Times New Roman" w:hAnsi="Times New Roman"/>
          <w:sz w:val="24"/>
          <w:szCs w:val="24"/>
          <w:lang w:val="en-US"/>
        </w:rPr>
        <w:t xml:space="preserve"> itself </w:t>
      </w:r>
      <w:r w:rsidR="003A51CF">
        <w:rPr>
          <w:rFonts w:ascii="Times New Roman" w:hAnsi="Times New Roman"/>
          <w:sz w:val="24"/>
          <w:szCs w:val="24"/>
          <w:lang w:val="en-US"/>
        </w:rPr>
        <w:t xml:space="preserve">combines two </w:t>
      </w:r>
      <w:r w:rsidRPr="008D4015">
        <w:rPr>
          <w:rFonts w:ascii="Times New Roman" w:hAnsi="Times New Roman"/>
          <w:sz w:val="24"/>
          <w:szCs w:val="24"/>
          <w:lang w:val="en-US"/>
        </w:rPr>
        <w:t>extreme idiosyncratic and systemic stress</w:t>
      </w:r>
      <w:r w:rsidR="003A51CF">
        <w:rPr>
          <w:rFonts w:ascii="Times New Roman" w:hAnsi="Times New Roman"/>
          <w:sz w:val="24"/>
          <w:szCs w:val="24"/>
          <w:lang w:val="en-US"/>
        </w:rPr>
        <w:t xml:space="preserve"> scenarios</w:t>
      </w:r>
      <w:r w:rsidRPr="008D4015">
        <w:rPr>
          <w:rFonts w:ascii="Times New Roman" w:hAnsi="Times New Roman"/>
          <w:sz w:val="24"/>
          <w:szCs w:val="24"/>
          <w:lang w:val="en-US"/>
        </w:rPr>
        <w:t xml:space="preserve">. </w:t>
      </w:r>
      <w:r>
        <w:rPr>
          <w:rFonts w:ascii="Times New Roman" w:hAnsi="Times New Roman"/>
          <w:sz w:val="24"/>
          <w:szCs w:val="24"/>
          <w:lang w:val="en-US"/>
        </w:rPr>
        <w:t>Q</w:t>
      </w:r>
      <w:r w:rsidRPr="00D24E2B">
        <w:rPr>
          <w:rFonts w:ascii="Times New Roman" w:hAnsi="Times New Roman"/>
          <w:sz w:val="24"/>
          <w:szCs w:val="24"/>
          <w:lang w:val="en-US"/>
        </w:rPr>
        <w:t xml:space="preserve">uantitative requirements are suggested that would impose even more severe liquidity requirements than the already extremely severe LCR and NSFR. Though those regulatory requirements could </w:t>
      </w:r>
      <w:r w:rsidR="003A51CF">
        <w:rPr>
          <w:rFonts w:ascii="Times New Roman" w:hAnsi="Times New Roman"/>
          <w:sz w:val="24"/>
          <w:szCs w:val="24"/>
          <w:lang w:val="en-US"/>
        </w:rPr>
        <w:t xml:space="preserve">in theory </w:t>
      </w:r>
      <w:r w:rsidRPr="00D24E2B">
        <w:rPr>
          <w:rFonts w:ascii="Times New Roman" w:hAnsi="Times New Roman"/>
          <w:sz w:val="24"/>
          <w:szCs w:val="24"/>
          <w:lang w:val="en-US"/>
        </w:rPr>
        <w:t>be adapted to an evolving environment, any potential issue should be addressed globally for the entire industry, and not discretionary applied, without clarified governance, to a specific bank. This would risk creating a</w:t>
      </w:r>
      <w:r>
        <w:rPr>
          <w:rFonts w:ascii="Times New Roman" w:hAnsi="Times New Roman"/>
          <w:sz w:val="24"/>
          <w:szCs w:val="24"/>
          <w:lang w:val="en-US"/>
        </w:rPr>
        <w:t xml:space="preserve">n uneven </w:t>
      </w:r>
      <w:r w:rsidRPr="00D24E2B">
        <w:rPr>
          <w:rFonts w:ascii="Times New Roman" w:hAnsi="Times New Roman"/>
          <w:sz w:val="24"/>
          <w:szCs w:val="24"/>
          <w:lang w:val="en-US"/>
        </w:rPr>
        <w:t>playing field.</w:t>
      </w:r>
      <w:r>
        <w:rPr>
          <w:rFonts w:ascii="Times New Roman" w:hAnsi="Times New Roman"/>
          <w:sz w:val="24"/>
          <w:szCs w:val="24"/>
          <w:lang w:val="en-US"/>
        </w:rPr>
        <w:t xml:space="preserve"> </w:t>
      </w:r>
      <w:r w:rsidRPr="00D24E2B">
        <w:rPr>
          <w:rFonts w:ascii="Times New Roman" w:hAnsi="Times New Roman"/>
          <w:sz w:val="24"/>
          <w:szCs w:val="24"/>
          <w:lang w:val="en-US"/>
        </w:rPr>
        <w:t xml:space="preserve">We </w:t>
      </w:r>
      <w:r>
        <w:rPr>
          <w:rFonts w:ascii="Times New Roman" w:hAnsi="Times New Roman"/>
          <w:sz w:val="24"/>
          <w:szCs w:val="24"/>
          <w:lang w:val="en-US"/>
        </w:rPr>
        <w:t xml:space="preserve">seek clarity on </w:t>
      </w:r>
      <w:r w:rsidRPr="00D24E2B">
        <w:rPr>
          <w:rFonts w:ascii="Times New Roman" w:hAnsi="Times New Roman"/>
          <w:sz w:val="24"/>
          <w:szCs w:val="24"/>
          <w:lang w:val="en-US"/>
        </w:rPr>
        <w:t>the governance o</w:t>
      </w:r>
      <w:r>
        <w:rPr>
          <w:rFonts w:ascii="Times New Roman" w:hAnsi="Times New Roman"/>
          <w:sz w:val="24"/>
          <w:szCs w:val="24"/>
          <w:lang w:val="en-US"/>
        </w:rPr>
        <w:t>f</w:t>
      </w:r>
      <w:r w:rsidRPr="00D24E2B">
        <w:rPr>
          <w:rFonts w:ascii="Times New Roman" w:hAnsi="Times New Roman"/>
          <w:sz w:val="24"/>
          <w:szCs w:val="24"/>
          <w:lang w:val="en-US"/>
        </w:rPr>
        <w:t xml:space="preserve"> discretionary quantitative measures suggested by</w:t>
      </w:r>
      <w:r>
        <w:rPr>
          <w:rFonts w:ascii="Times New Roman" w:hAnsi="Times New Roman"/>
          <w:sz w:val="24"/>
          <w:szCs w:val="24"/>
          <w:lang w:val="en-US"/>
        </w:rPr>
        <w:t xml:space="preserve"> the</w:t>
      </w:r>
      <w:r w:rsidRPr="00D24E2B">
        <w:rPr>
          <w:rFonts w:ascii="Times New Roman" w:hAnsi="Times New Roman"/>
          <w:sz w:val="24"/>
          <w:szCs w:val="24"/>
          <w:lang w:val="en-US"/>
        </w:rPr>
        <w:t xml:space="preserve"> competent authorit</w:t>
      </w:r>
      <w:r w:rsidR="003A51CF">
        <w:rPr>
          <w:rFonts w:ascii="Times New Roman" w:hAnsi="Times New Roman"/>
          <w:sz w:val="24"/>
          <w:szCs w:val="24"/>
          <w:lang w:val="en-US"/>
        </w:rPr>
        <w:t>y</w:t>
      </w:r>
      <w:r w:rsidRPr="00D24E2B">
        <w:rPr>
          <w:rFonts w:ascii="Times New Roman" w:hAnsi="Times New Roman"/>
          <w:sz w:val="24"/>
          <w:szCs w:val="24"/>
          <w:lang w:val="en-US"/>
        </w:rPr>
        <w:t>.</w:t>
      </w:r>
      <w:r>
        <w:rPr>
          <w:rFonts w:ascii="Times New Roman" w:hAnsi="Times New Roman"/>
          <w:sz w:val="24"/>
          <w:szCs w:val="24"/>
          <w:lang w:val="en-US"/>
        </w:rPr>
        <w:t xml:space="preserve"> </w:t>
      </w:r>
    </w:p>
    <w:p w14:paraId="3920BEA2" w14:textId="77777777" w:rsidR="00AA4D21" w:rsidRDefault="00AA4D21" w:rsidP="00702CF4">
      <w:pPr>
        <w:spacing w:before="120"/>
        <w:rPr>
          <w:rFonts w:ascii="Times New Roman" w:hAnsi="Times New Roman"/>
          <w:b/>
          <w:sz w:val="24"/>
          <w:szCs w:val="24"/>
          <w:u w:val="single"/>
          <w:lang w:val="en-US"/>
        </w:rPr>
      </w:pPr>
    </w:p>
    <w:p w14:paraId="3920BEA3" w14:textId="509EC4B9" w:rsidR="00AA4D21" w:rsidRPr="00E30C2F" w:rsidRDefault="00AA4D21" w:rsidP="00787A4E">
      <w:pPr>
        <w:numPr>
          <w:ilvl w:val="0"/>
          <w:numId w:val="26"/>
        </w:numPr>
        <w:spacing w:before="120"/>
        <w:rPr>
          <w:rFonts w:ascii="Times New Roman" w:hAnsi="Times New Roman"/>
          <w:b/>
          <w:sz w:val="24"/>
          <w:szCs w:val="24"/>
          <w:u w:val="single"/>
          <w:lang w:val="en-US"/>
        </w:rPr>
      </w:pPr>
      <w:r w:rsidRPr="00E30C2F">
        <w:rPr>
          <w:rFonts w:ascii="Times New Roman" w:hAnsi="Times New Roman"/>
          <w:b/>
          <w:sz w:val="24"/>
          <w:szCs w:val="24"/>
          <w:u w:val="single"/>
          <w:lang w:val="en-US"/>
        </w:rPr>
        <w:t xml:space="preserve">Evaluating </w:t>
      </w:r>
      <w:r w:rsidR="00DF792C">
        <w:rPr>
          <w:rFonts w:ascii="Times New Roman" w:hAnsi="Times New Roman"/>
          <w:b/>
          <w:sz w:val="24"/>
          <w:szCs w:val="24"/>
          <w:u w:val="single"/>
          <w:lang w:val="en-US"/>
        </w:rPr>
        <w:t xml:space="preserve">the </w:t>
      </w:r>
      <w:r w:rsidRPr="00E30C2F">
        <w:rPr>
          <w:rFonts w:ascii="Times New Roman" w:hAnsi="Times New Roman"/>
          <w:b/>
          <w:sz w:val="24"/>
          <w:szCs w:val="24"/>
          <w:u w:val="single"/>
          <w:lang w:val="en-US"/>
        </w:rPr>
        <w:t>complexity of IT</w:t>
      </w:r>
    </w:p>
    <w:p w14:paraId="3920BEA4" w14:textId="77777777" w:rsidR="00AA4D21" w:rsidRDefault="00AA4D21" w:rsidP="00702CF4">
      <w:pPr>
        <w:spacing w:before="120"/>
        <w:jc w:val="both"/>
        <w:rPr>
          <w:rFonts w:ascii="Times New Roman" w:hAnsi="Times New Roman"/>
          <w:sz w:val="24"/>
          <w:szCs w:val="24"/>
          <w:lang w:val="en-US"/>
        </w:rPr>
      </w:pPr>
      <w:r w:rsidRPr="004C3977">
        <w:rPr>
          <w:rFonts w:ascii="Times New Roman" w:hAnsi="Times New Roman"/>
          <w:sz w:val="24"/>
          <w:szCs w:val="24"/>
          <w:lang w:val="en-US"/>
        </w:rPr>
        <w:t xml:space="preserve">The management of </w:t>
      </w:r>
      <w:r>
        <w:rPr>
          <w:rFonts w:ascii="Times New Roman" w:hAnsi="Times New Roman"/>
          <w:sz w:val="24"/>
          <w:szCs w:val="24"/>
          <w:lang w:val="en-US"/>
        </w:rPr>
        <w:t xml:space="preserve">the </w:t>
      </w:r>
      <w:r w:rsidRPr="004C3977">
        <w:rPr>
          <w:rFonts w:ascii="Times New Roman" w:hAnsi="Times New Roman"/>
          <w:sz w:val="24"/>
          <w:szCs w:val="24"/>
          <w:lang w:val="en-US"/>
        </w:rPr>
        <w:t>complexity of IT</w:t>
      </w:r>
      <w:r>
        <w:rPr>
          <w:rFonts w:ascii="Times New Roman" w:hAnsi="Times New Roman"/>
          <w:sz w:val="24"/>
          <w:szCs w:val="24"/>
          <w:lang w:val="en-US"/>
        </w:rPr>
        <w:t xml:space="preserve"> a</w:t>
      </w:r>
      <w:r w:rsidRPr="004C3977">
        <w:rPr>
          <w:rFonts w:ascii="Times New Roman" w:hAnsi="Times New Roman"/>
          <w:sz w:val="24"/>
          <w:szCs w:val="24"/>
          <w:lang w:val="en-US"/>
        </w:rPr>
        <w:t xml:space="preserve">rchitectures and </w:t>
      </w:r>
      <w:r>
        <w:rPr>
          <w:rFonts w:ascii="Times New Roman" w:hAnsi="Times New Roman"/>
          <w:sz w:val="24"/>
          <w:szCs w:val="24"/>
          <w:lang w:val="en-US"/>
        </w:rPr>
        <w:t>s</w:t>
      </w:r>
      <w:r w:rsidRPr="004C3977">
        <w:rPr>
          <w:rFonts w:ascii="Times New Roman" w:hAnsi="Times New Roman"/>
          <w:sz w:val="24"/>
          <w:szCs w:val="24"/>
          <w:lang w:val="en-US"/>
        </w:rPr>
        <w:t>ystems is of increasing relevance. Hence we</w:t>
      </w:r>
      <w:r>
        <w:rPr>
          <w:rFonts w:ascii="Times New Roman" w:hAnsi="Times New Roman"/>
          <w:sz w:val="24"/>
          <w:szCs w:val="24"/>
          <w:lang w:val="en-US"/>
        </w:rPr>
        <w:t xml:space="preserve"> </w:t>
      </w:r>
      <w:r w:rsidRPr="004C3977">
        <w:rPr>
          <w:rFonts w:ascii="Times New Roman" w:hAnsi="Times New Roman"/>
          <w:sz w:val="24"/>
          <w:szCs w:val="24"/>
          <w:lang w:val="en-US"/>
        </w:rPr>
        <w:t>understand the general requirement to introduce the assessment of IT</w:t>
      </w:r>
      <w:r>
        <w:rPr>
          <w:rFonts w:ascii="Times New Roman" w:hAnsi="Times New Roman"/>
          <w:sz w:val="24"/>
          <w:szCs w:val="24"/>
          <w:lang w:val="en-US"/>
        </w:rPr>
        <w:t xml:space="preserve"> </w:t>
      </w:r>
      <w:r w:rsidRPr="004C3977">
        <w:rPr>
          <w:rFonts w:ascii="Times New Roman" w:hAnsi="Times New Roman"/>
          <w:sz w:val="24"/>
          <w:szCs w:val="24"/>
          <w:lang w:val="en-US"/>
        </w:rPr>
        <w:t>complexity in regulatory</w:t>
      </w:r>
      <w:r>
        <w:rPr>
          <w:rFonts w:ascii="Times New Roman" w:hAnsi="Times New Roman"/>
          <w:sz w:val="24"/>
          <w:szCs w:val="24"/>
          <w:lang w:val="en-US"/>
        </w:rPr>
        <w:t xml:space="preserve"> </w:t>
      </w:r>
      <w:r w:rsidRPr="004C3977">
        <w:rPr>
          <w:rFonts w:ascii="Times New Roman" w:hAnsi="Times New Roman"/>
          <w:sz w:val="24"/>
          <w:szCs w:val="24"/>
          <w:lang w:val="en-US"/>
        </w:rPr>
        <w:t>considerations. However, we consider it is problematic that complexity is usually an intuitive and</w:t>
      </w:r>
      <w:r>
        <w:rPr>
          <w:rFonts w:ascii="Times New Roman" w:hAnsi="Times New Roman"/>
          <w:sz w:val="24"/>
          <w:szCs w:val="24"/>
          <w:lang w:val="en-US"/>
        </w:rPr>
        <w:t xml:space="preserve"> </w:t>
      </w:r>
      <w:r w:rsidRPr="004C3977">
        <w:rPr>
          <w:rFonts w:ascii="Times New Roman" w:hAnsi="Times New Roman"/>
          <w:sz w:val="24"/>
          <w:szCs w:val="24"/>
          <w:lang w:val="en-US"/>
        </w:rPr>
        <w:t>subjective metric which is based on difficulty and incomprehensibleness</w:t>
      </w:r>
      <w:r>
        <w:rPr>
          <w:rFonts w:ascii="Times New Roman" w:hAnsi="Times New Roman"/>
          <w:sz w:val="24"/>
          <w:szCs w:val="24"/>
          <w:lang w:val="en-US"/>
        </w:rPr>
        <w:t>.</w:t>
      </w:r>
      <w:r w:rsidRPr="004C3977">
        <w:rPr>
          <w:rFonts w:ascii="Times New Roman" w:hAnsi="Times New Roman"/>
          <w:sz w:val="24"/>
          <w:szCs w:val="24"/>
          <w:lang w:val="en-US"/>
        </w:rPr>
        <w:t xml:space="preserve"> The assessment of complexity of IT</w:t>
      </w:r>
      <w:r>
        <w:rPr>
          <w:rFonts w:ascii="Times New Roman" w:hAnsi="Times New Roman"/>
          <w:sz w:val="24"/>
          <w:szCs w:val="24"/>
          <w:lang w:val="en-US"/>
        </w:rPr>
        <w:t xml:space="preserve"> a</w:t>
      </w:r>
      <w:r w:rsidRPr="004C3977">
        <w:rPr>
          <w:rFonts w:ascii="Times New Roman" w:hAnsi="Times New Roman"/>
          <w:sz w:val="24"/>
          <w:szCs w:val="24"/>
          <w:lang w:val="en-US"/>
        </w:rPr>
        <w:t>rchitectures</w:t>
      </w:r>
      <w:r>
        <w:rPr>
          <w:rFonts w:ascii="Times New Roman" w:hAnsi="Times New Roman"/>
          <w:sz w:val="24"/>
          <w:szCs w:val="24"/>
          <w:lang w:val="en-US"/>
        </w:rPr>
        <w:t xml:space="preserve"> </w:t>
      </w:r>
      <w:r w:rsidRPr="004C3977">
        <w:rPr>
          <w:rFonts w:ascii="Times New Roman" w:hAnsi="Times New Roman"/>
          <w:sz w:val="24"/>
          <w:szCs w:val="24"/>
          <w:lang w:val="en-US"/>
        </w:rPr>
        <w:t xml:space="preserve">and </w:t>
      </w:r>
      <w:r>
        <w:rPr>
          <w:rFonts w:ascii="Times New Roman" w:hAnsi="Times New Roman"/>
          <w:sz w:val="24"/>
          <w:szCs w:val="24"/>
          <w:lang w:val="en-US"/>
        </w:rPr>
        <w:t>s</w:t>
      </w:r>
      <w:r w:rsidRPr="004C3977">
        <w:rPr>
          <w:rFonts w:ascii="Times New Roman" w:hAnsi="Times New Roman"/>
          <w:sz w:val="24"/>
          <w:szCs w:val="24"/>
          <w:lang w:val="en-US"/>
        </w:rPr>
        <w:t>ystems is regardless of long lasting research activities still lacking a common market standard.</w:t>
      </w:r>
      <w:r>
        <w:rPr>
          <w:rFonts w:ascii="Times New Roman" w:hAnsi="Times New Roman"/>
          <w:sz w:val="24"/>
          <w:szCs w:val="24"/>
          <w:lang w:val="en-US"/>
        </w:rPr>
        <w:t xml:space="preserve"> </w:t>
      </w:r>
      <w:r w:rsidRPr="004C3977">
        <w:rPr>
          <w:rFonts w:ascii="Times New Roman" w:hAnsi="Times New Roman"/>
          <w:sz w:val="24"/>
          <w:szCs w:val="24"/>
          <w:lang w:val="en-US"/>
        </w:rPr>
        <w:t>Existing models use a combination of different indicators. However, absolute values of these indicators</w:t>
      </w:r>
      <w:r>
        <w:rPr>
          <w:rFonts w:ascii="Times New Roman" w:hAnsi="Times New Roman"/>
          <w:sz w:val="24"/>
          <w:szCs w:val="24"/>
          <w:lang w:val="en-US"/>
        </w:rPr>
        <w:t xml:space="preserve"> </w:t>
      </w:r>
      <w:r w:rsidRPr="004C3977">
        <w:rPr>
          <w:rFonts w:ascii="Times New Roman" w:hAnsi="Times New Roman"/>
          <w:sz w:val="24"/>
          <w:szCs w:val="24"/>
          <w:lang w:val="en-US"/>
        </w:rPr>
        <w:t xml:space="preserve">are not seen to have any </w:t>
      </w:r>
      <w:r w:rsidRPr="004C3977">
        <w:rPr>
          <w:rFonts w:ascii="Times New Roman" w:hAnsi="Times New Roman"/>
          <w:sz w:val="24"/>
          <w:szCs w:val="24"/>
          <w:lang w:val="en-US"/>
        </w:rPr>
        <w:lastRenderedPageBreak/>
        <w:t>explanatory power. Instead the combination and development of the indicators</w:t>
      </w:r>
      <w:r>
        <w:rPr>
          <w:rFonts w:ascii="Times New Roman" w:hAnsi="Times New Roman"/>
          <w:sz w:val="24"/>
          <w:szCs w:val="24"/>
          <w:lang w:val="en-US"/>
        </w:rPr>
        <w:t xml:space="preserve"> </w:t>
      </w:r>
      <w:r w:rsidRPr="004C3977">
        <w:rPr>
          <w:rFonts w:ascii="Times New Roman" w:hAnsi="Times New Roman"/>
          <w:sz w:val="24"/>
          <w:szCs w:val="24"/>
          <w:lang w:val="en-US"/>
        </w:rPr>
        <w:t>need to be evaluated. Hence cross-industry comparability is missing. Given that we consider it inevitable</w:t>
      </w:r>
      <w:r>
        <w:rPr>
          <w:rFonts w:ascii="Times New Roman" w:hAnsi="Times New Roman"/>
          <w:sz w:val="24"/>
          <w:szCs w:val="24"/>
          <w:lang w:val="en-US"/>
        </w:rPr>
        <w:t xml:space="preserve"> </w:t>
      </w:r>
      <w:r w:rsidRPr="004C3977">
        <w:rPr>
          <w:rFonts w:ascii="Times New Roman" w:hAnsi="Times New Roman"/>
          <w:sz w:val="24"/>
          <w:szCs w:val="24"/>
          <w:lang w:val="en-US"/>
        </w:rPr>
        <w:t>to introduce common and comprehensible metrics to regulatory assessments of IT</w:t>
      </w:r>
      <w:r>
        <w:rPr>
          <w:rFonts w:ascii="Times New Roman" w:hAnsi="Times New Roman"/>
          <w:sz w:val="24"/>
          <w:szCs w:val="24"/>
          <w:lang w:val="en-US"/>
        </w:rPr>
        <w:t xml:space="preserve"> </w:t>
      </w:r>
      <w:r w:rsidRPr="004C3977">
        <w:rPr>
          <w:rFonts w:ascii="Times New Roman" w:hAnsi="Times New Roman"/>
          <w:sz w:val="24"/>
          <w:szCs w:val="24"/>
          <w:lang w:val="en-US"/>
        </w:rPr>
        <w:t>complexity.</w:t>
      </w:r>
      <w:r>
        <w:rPr>
          <w:rFonts w:ascii="Times New Roman" w:hAnsi="Times New Roman"/>
          <w:sz w:val="24"/>
          <w:szCs w:val="24"/>
          <w:lang w:val="en-US"/>
        </w:rPr>
        <w:t xml:space="preserve"> </w:t>
      </w:r>
    </w:p>
    <w:p w14:paraId="3920BEA5" w14:textId="77777777" w:rsidR="00AA4D21" w:rsidRDefault="00AA4D21" w:rsidP="00702CF4">
      <w:pPr>
        <w:spacing w:before="120"/>
        <w:jc w:val="both"/>
        <w:rPr>
          <w:rFonts w:ascii="Times New Roman" w:hAnsi="Times New Roman"/>
          <w:b/>
          <w:sz w:val="24"/>
          <w:szCs w:val="24"/>
          <w:u w:val="single"/>
          <w:lang w:val="en-US"/>
        </w:rPr>
      </w:pPr>
    </w:p>
    <w:p w14:paraId="3920BEA6" w14:textId="57F78F34" w:rsidR="00AA4D21" w:rsidRPr="00E30C2F" w:rsidRDefault="00AA4D21" w:rsidP="00787A4E">
      <w:pPr>
        <w:numPr>
          <w:ilvl w:val="0"/>
          <w:numId w:val="26"/>
        </w:numPr>
        <w:spacing w:before="120"/>
        <w:jc w:val="both"/>
        <w:rPr>
          <w:rFonts w:ascii="Times New Roman" w:hAnsi="Times New Roman"/>
          <w:b/>
          <w:sz w:val="24"/>
          <w:szCs w:val="24"/>
          <w:u w:val="single"/>
          <w:lang w:val="en-US"/>
        </w:rPr>
      </w:pPr>
      <w:r w:rsidRPr="00E30C2F">
        <w:rPr>
          <w:rFonts w:ascii="Times New Roman" w:hAnsi="Times New Roman"/>
          <w:b/>
          <w:sz w:val="24"/>
          <w:szCs w:val="24"/>
          <w:u w:val="single"/>
          <w:lang w:val="en-US"/>
        </w:rPr>
        <w:t xml:space="preserve">Consistency of </w:t>
      </w:r>
      <w:r w:rsidR="00DF792C">
        <w:rPr>
          <w:rFonts w:ascii="Times New Roman" w:hAnsi="Times New Roman"/>
          <w:b/>
          <w:sz w:val="24"/>
          <w:szCs w:val="24"/>
          <w:u w:val="single"/>
          <w:lang w:val="en-US"/>
        </w:rPr>
        <w:t>O</w:t>
      </w:r>
      <w:r w:rsidRPr="00E30C2F">
        <w:rPr>
          <w:rFonts w:ascii="Times New Roman" w:hAnsi="Times New Roman"/>
          <w:b/>
          <w:sz w:val="24"/>
          <w:szCs w:val="24"/>
          <w:u w:val="single"/>
          <w:lang w:val="en-US"/>
        </w:rPr>
        <w:t xml:space="preserve">perational </w:t>
      </w:r>
      <w:r w:rsidR="00DF792C">
        <w:rPr>
          <w:rFonts w:ascii="Times New Roman" w:hAnsi="Times New Roman"/>
          <w:b/>
          <w:sz w:val="24"/>
          <w:szCs w:val="24"/>
          <w:u w:val="single"/>
          <w:lang w:val="en-US"/>
        </w:rPr>
        <w:t>R</w:t>
      </w:r>
      <w:r w:rsidRPr="00E30C2F">
        <w:rPr>
          <w:rFonts w:ascii="Times New Roman" w:hAnsi="Times New Roman"/>
          <w:b/>
          <w:sz w:val="24"/>
          <w:szCs w:val="24"/>
          <w:u w:val="single"/>
          <w:lang w:val="en-US"/>
        </w:rPr>
        <w:t>isk</w:t>
      </w:r>
      <w:r w:rsidR="00DF792C">
        <w:rPr>
          <w:rFonts w:ascii="Times New Roman" w:hAnsi="Times New Roman"/>
          <w:b/>
          <w:sz w:val="24"/>
          <w:szCs w:val="24"/>
          <w:u w:val="single"/>
          <w:lang w:val="en-US"/>
        </w:rPr>
        <w:t xml:space="preserve"> definitions</w:t>
      </w:r>
      <w:r w:rsidRPr="00E30C2F">
        <w:rPr>
          <w:rFonts w:ascii="Times New Roman" w:hAnsi="Times New Roman"/>
          <w:b/>
          <w:sz w:val="24"/>
          <w:szCs w:val="24"/>
          <w:u w:val="single"/>
          <w:lang w:val="en-US"/>
        </w:rPr>
        <w:t xml:space="preserve"> </w:t>
      </w:r>
    </w:p>
    <w:p w14:paraId="3920BEA7" w14:textId="1E6F07F3" w:rsidR="00AA4D21" w:rsidRDefault="00AA4D21" w:rsidP="00702CF4">
      <w:pPr>
        <w:spacing w:before="120"/>
        <w:jc w:val="both"/>
        <w:rPr>
          <w:rFonts w:ascii="Times New Roman" w:hAnsi="Times New Roman"/>
          <w:sz w:val="24"/>
          <w:szCs w:val="24"/>
          <w:lang w:val="en-US"/>
        </w:rPr>
      </w:pPr>
      <w:r w:rsidRPr="00FE17ED">
        <w:rPr>
          <w:rFonts w:ascii="Times New Roman" w:hAnsi="Times New Roman"/>
          <w:sz w:val="24"/>
          <w:szCs w:val="24"/>
          <w:lang w:val="en-US"/>
        </w:rPr>
        <w:t>Operational risk</w:t>
      </w:r>
      <w:r w:rsidR="001733E9">
        <w:rPr>
          <w:rFonts w:ascii="Times New Roman" w:hAnsi="Times New Roman"/>
          <w:sz w:val="24"/>
          <w:szCs w:val="24"/>
          <w:lang w:val="en-US"/>
        </w:rPr>
        <w:t xml:space="preserve"> and</w:t>
      </w:r>
      <w:r w:rsidRPr="00FE17ED">
        <w:rPr>
          <w:rFonts w:ascii="Times New Roman" w:hAnsi="Times New Roman"/>
          <w:sz w:val="24"/>
          <w:szCs w:val="24"/>
          <w:lang w:val="en-US"/>
        </w:rPr>
        <w:t xml:space="preserve"> conduct risk are standalone risk types and should be treated separately. </w:t>
      </w:r>
      <w:r w:rsidR="001733E9">
        <w:rPr>
          <w:rFonts w:ascii="Times New Roman" w:hAnsi="Times New Roman"/>
          <w:sz w:val="24"/>
          <w:szCs w:val="24"/>
          <w:lang w:val="en-US"/>
        </w:rPr>
        <w:t>T</w:t>
      </w:r>
      <w:r w:rsidRPr="00FE17ED">
        <w:rPr>
          <w:rFonts w:ascii="Times New Roman" w:hAnsi="Times New Roman"/>
          <w:sz w:val="24"/>
          <w:szCs w:val="24"/>
          <w:lang w:val="en-US"/>
        </w:rPr>
        <w:t>he assessment of th</w:t>
      </w:r>
      <w:r w:rsidR="001733E9">
        <w:rPr>
          <w:rFonts w:ascii="Times New Roman" w:hAnsi="Times New Roman"/>
          <w:sz w:val="24"/>
          <w:szCs w:val="24"/>
          <w:lang w:val="en-US"/>
        </w:rPr>
        <w:t>e</w:t>
      </w:r>
      <w:r w:rsidR="00FA42A7">
        <w:rPr>
          <w:rFonts w:ascii="Times New Roman" w:hAnsi="Times New Roman"/>
          <w:sz w:val="24"/>
          <w:szCs w:val="24"/>
          <w:lang w:val="en-US"/>
        </w:rPr>
        <w:t>se</w:t>
      </w:r>
      <w:r w:rsidRPr="00FE17ED">
        <w:rPr>
          <w:rFonts w:ascii="Times New Roman" w:hAnsi="Times New Roman"/>
          <w:sz w:val="24"/>
          <w:szCs w:val="24"/>
          <w:lang w:val="en-US"/>
        </w:rPr>
        <w:t xml:space="preserve"> risk types should be clearly structured and reflected in the </w:t>
      </w:r>
      <w:proofErr w:type="spellStart"/>
      <w:r w:rsidRPr="00FE17ED">
        <w:rPr>
          <w:rFonts w:ascii="Times New Roman" w:hAnsi="Times New Roman"/>
          <w:sz w:val="24"/>
          <w:szCs w:val="24"/>
          <w:lang w:val="en-US"/>
        </w:rPr>
        <w:t>organi</w:t>
      </w:r>
      <w:r>
        <w:rPr>
          <w:rFonts w:ascii="Times New Roman" w:hAnsi="Times New Roman"/>
          <w:sz w:val="24"/>
          <w:szCs w:val="24"/>
          <w:lang w:val="en-US"/>
        </w:rPr>
        <w:t>s</w:t>
      </w:r>
      <w:r w:rsidRPr="00FE17ED">
        <w:rPr>
          <w:rFonts w:ascii="Times New Roman" w:hAnsi="Times New Roman"/>
          <w:sz w:val="24"/>
          <w:szCs w:val="24"/>
          <w:lang w:val="en-US"/>
        </w:rPr>
        <w:t>ation</w:t>
      </w:r>
      <w:proofErr w:type="spellEnd"/>
      <w:r w:rsidRPr="00FE17ED">
        <w:rPr>
          <w:rFonts w:ascii="Times New Roman" w:hAnsi="Times New Roman"/>
          <w:sz w:val="24"/>
          <w:szCs w:val="24"/>
          <w:lang w:val="en-US"/>
        </w:rPr>
        <w:t xml:space="preserve"> of the guideline</w:t>
      </w:r>
      <w:r>
        <w:rPr>
          <w:rFonts w:ascii="Times New Roman" w:hAnsi="Times New Roman"/>
          <w:sz w:val="24"/>
          <w:szCs w:val="24"/>
          <w:lang w:val="en-US"/>
        </w:rPr>
        <w:t>s</w:t>
      </w:r>
      <w:r w:rsidRPr="00FE17ED">
        <w:rPr>
          <w:rFonts w:ascii="Times New Roman" w:hAnsi="Times New Roman"/>
          <w:sz w:val="24"/>
          <w:szCs w:val="24"/>
          <w:lang w:val="en-US"/>
        </w:rPr>
        <w:t xml:space="preserve"> (e.g. </w:t>
      </w:r>
      <w:r>
        <w:rPr>
          <w:rFonts w:ascii="Times New Roman" w:hAnsi="Times New Roman"/>
          <w:sz w:val="24"/>
          <w:szCs w:val="24"/>
          <w:lang w:val="en-US"/>
        </w:rPr>
        <w:t xml:space="preserve">with a </w:t>
      </w:r>
      <w:r w:rsidRPr="00FE17ED">
        <w:rPr>
          <w:rFonts w:ascii="Times New Roman" w:hAnsi="Times New Roman"/>
          <w:sz w:val="24"/>
          <w:szCs w:val="24"/>
          <w:lang w:val="en-US"/>
        </w:rPr>
        <w:t xml:space="preserve">dedicated subsection). </w:t>
      </w:r>
      <w:r w:rsidR="001733E9" w:rsidRPr="001733E9">
        <w:rPr>
          <w:rFonts w:ascii="Times New Roman" w:hAnsi="Times New Roman"/>
          <w:sz w:val="24"/>
          <w:szCs w:val="24"/>
          <w:lang w:val="en-US"/>
        </w:rPr>
        <w:t xml:space="preserve">Furthermore rather than include reputation risk within the operational risk assessment then this should be viewed as an impact of negative events in other risk types and thereby excluded from this section of the </w:t>
      </w:r>
      <w:r w:rsidR="001733E9">
        <w:rPr>
          <w:rFonts w:ascii="Times New Roman" w:hAnsi="Times New Roman"/>
          <w:sz w:val="24"/>
          <w:szCs w:val="24"/>
          <w:lang w:val="en-US"/>
        </w:rPr>
        <w:t xml:space="preserve">guidelines. </w:t>
      </w:r>
    </w:p>
    <w:p w14:paraId="3920BEA8" w14:textId="7CB6C1AC" w:rsidR="00AA4D21" w:rsidRDefault="00AA4D21" w:rsidP="00702CF4">
      <w:pPr>
        <w:spacing w:before="120"/>
        <w:jc w:val="both"/>
        <w:rPr>
          <w:rFonts w:ascii="Times New Roman" w:hAnsi="Times New Roman"/>
          <w:sz w:val="24"/>
          <w:szCs w:val="24"/>
          <w:lang w:val="en-US"/>
        </w:rPr>
      </w:pPr>
      <w:r w:rsidRPr="0042667D">
        <w:rPr>
          <w:rFonts w:ascii="Times New Roman" w:hAnsi="Times New Roman"/>
          <w:sz w:val="24"/>
          <w:szCs w:val="24"/>
          <w:lang w:val="en-US"/>
        </w:rPr>
        <w:t>The definition of model risk</w:t>
      </w:r>
      <w:r>
        <w:rPr>
          <w:rStyle w:val="FootnoteReference"/>
          <w:rFonts w:ascii="Times New Roman" w:hAnsi="Times New Roman"/>
          <w:sz w:val="24"/>
          <w:szCs w:val="24"/>
          <w:lang w:val="en-US"/>
        </w:rPr>
        <w:footnoteReference w:id="9"/>
      </w:r>
      <w:r w:rsidRPr="0042667D">
        <w:rPr>
          <w:rFonts w:ascii="Times New Roman" w:hAnsi="Times New Roman"/>
          <w:sz w:val="24"/>
          <w:szCs w:val="24"/>
          <w:lang w:val="en-US"/>
        </w:rPr>
        <w:t xml:space="preserve"> as part of the operational risk should be regarded consistently</w:t>
      </w:r>
      <w:r>
        <w:rPr>
          <w:rFonts w:ascii="Times New Roman" w:hAnsi="Times New Roman"/>
          <w:sz w:val="24"/>
          <w:szCs w:val="24"/>
          <w:lang w:val="en-US"/>
        </w:rPr>
        <w:t xml:space="preserve"> with</w:t>
      </w:r>
      <w:r w:rsidRPr="0042667D">
        <w:rPr>
          <w:rFonts w:ascii="Times New Roman" w:hAnsi="Times New Roman"/>
          <w:sz w:val="24"/>
          <w:szCs w:val="24"/>
          <w:lang w:val="en-US"/>
        </w:rPr>
        <w:t xml:space="preserve"> the definitions stated in other regulations.</w:t>
      </w:r>
      <w:r>
        <w:rPr>
          <w:rFonts w:ascii="Times New Roman" w:hAnsi="Times New Roman"/>
          <w:sz w:val="24"/>
          <w:szCs w:val="24"/>
          <w:lang w:val="en-US"/>
        </w:rPr>
        <w:t xml:space="preserve"> </w:t>
      </w:r>
      <w:r w:rsidRPr="0042667D">
        <w:rPr>
          <w:rFonts w:ascii="Times New Roman" w:hAnsi="Times New Roman"/>
          <w:sz w:val="24"/>
          <w:szCs w:val="24"/>
          <w:lang w:val="en-US"/>
        </w:rPr>
        <w:t>As per CRR IV model risk is defined as “the potential loss an institution may incur, as a consequence of</w:t>
      </w:r>
      <w:r>
        <w:rPr>
          <w:rFonts w:ascii="Times New Roman" w:hAnsi="Times New Roman"/>
          <w:sz w:val="24"/>
          <w:szCs w:val="24"/>
          <w:lang w:val="en-US"/>
        </w:rPr>
        <w:t xml:space="preserve"> </w:t>
      </w:r>
      <w:r w:rsidRPr="0042667D">
        <w:rPr>
          <w:rFonts w:ascii="Times New Roman" w:hAnsi="Times New Roman"/>
          <w:sz w:val="24"/>
          <w:szCs w:val="24"/>
          <w:lang w:val="en-US"/>
        </w:rPr>
        <w:t>decisions that could be principally based on the output of internal models, due to errors in the</w:t>
      </w:r>
      <w:r>
        <w:rPr>
          <w:rFonts w:ascii="Times New Roman" w:hAnsi="Times New Roman"/>
          <w:sz w:val="24"/>
          <w:szCs w:val="24"/>
          <w:lang w:val="en-US"/>
        </w:rPr>
        <w:t xml:space="preserve"> </w:t>
      </w:r>
      <w:r w:rsidRPr="0042667D">
        <w:rPr>
          <w:rFonts w:ascii="Times New Roman" w:hAnsi="Times New Roman"/>
          <w:sz w:val="24"/>
          <w:szCs w:val="24"/>
          <w:lang w:val="en-US"/>
        </w:rPr>
        <w:t>development, implementation or use of such models”.</w:t>
      </w:r>
      <w:r>
        <w:rPr>
          <w:rFonts w:ascii="Times New Roman" w:hAnsi="Times New Roman"/>
          <w:sz w:val="24"/>
          <w:szCs w:val="24"/>
          <w:lang w:val="en-US"/>
        </w:rPr>
        <w:t xml:space="preserve"> </w:t>
      </w:r>
      <w:r w:rsidRPr="0042667D">
        <w:rPr>
          <w:rFonts w:ascii="Times New Roman" w:hAnsi="Times New Roman"/>
          <w:sz w:val="24"/>
          <w:szCs w:val="24"/>
          <w:lang w:val="en-US"/>
        </w:rPr>
        <w:t>In addition the EBA</w:t>
      </w:r>
      <w:r>
        <w:rPr>
          <w:rFonts w:ascii="Times New Roman" w:hAnsi="Times New Roman"/>
          <w:sz w:val="24"/>
          <w:szCs w:val="24"/>
          <w:lang w:val="en-US"/>
        </w:rPr>
        <w:t xml:space="preserve"> </w:t>
      </w:r>
      <w:r w:rsidRPr="0042667D">
        <w:rPr>
          <w:rFonts w:ascii="Times New Roman" w:hAnsi="Times New Roman"/>
          <w:sz w:val="24"/>
          <w:szCs w:val="24"/>
          <w:lang w:val="en-US"/>
        </w:rPr>
        <w:t>consultation to RTS “Assessment methodologies for the Advanced Measurement</w:t>
      </w:r>
      <w:r>
        <w:rPr>
          <w:rFonts w:ascii="Times New Roman" w:hAnsi="Times New Roman"/>
          <w:sz w:val="24"/>
          <w:szCs w:val="24"/>
          <w:lang w:val="en-US"/>
        </w:rPr>
        <w:t xml:space="preserve"> </w:t>
      </w:r>
      <w:r w:rsidRPr="0042667D">
        <w:rPr>
          <w:rFonts w:ascii="Times New Roman" w:hAnsi="Times New Roman"/>
          <w:sz w:val="24"/>
          <w:szCs w:val="24"/>
          <w:lang w:val="en-US"/>
        </w:rPr>
        <w:t>Approaches for operational risk“ Article 5 (5) gives the precisely definition: As a specification of the</w:t>
      </w:r>
      <w:r>
        <w:rPr>
          <w:rFonts w:ascii="Times New Roman" w:hAnsi="Times New Roman"/>
          <w:sz w:val="24"/>
          <w:szCs w:val="24"/>
          <w:lang w:val="en-US"/>
        </w:rPr>
        <w:t xml:space="preserve"> </w:t>
      </w:r>
      <w:r w:rsidRPr="0042667D">
        <w:rPr>
          <w:rFonts w:ascii="Times New Roman" w:hAnsi="Times New Roman"/>
          <w:sz w:val="24"/>
          <w:szCs w:val="24"/>
          <w:lang w:val="en-US"/>
        </w:rPr>
        <w:t>paragraph 5(4), the following events, and the related losses, shall be excluded from the scope of</w:t>
      </w:r>
      <w:r>
        <w:rPr>
          <w:rFonts w:ascii="Times New Roman" w:hAnsi="Times New Roman"/>
          <w:sz w:val="24"/>
          <w:szCs w:val="24"/>
          <w:lang w:val="en-US"/>
        </w:rPr>
        <w:t xml:space="preserve"> </w:t>
      </w:r>
      <w:r w:rsidRPr="0042667D">
        <w:rPr>
          <w:rFonts w:ascii="Times New Roman" w:hAnsi="Times New Roman"/>
          <w:sz w:val="24"/>
          <w:szCs w:val="24"/>
          <w:lang w:val="en-US"/>
        </w:rPr>
        <w:t>operational risk: (a) events due to wrong selection of a model, made through a formalized corporate</w:t>
      </w:r>
      <w:r>
        <w:rPr>
          <w:rFonts w:ascii="Times New Roman" w:hAnsi="Times New Roman"/>
          <w:sz w:val="24"/>
          <w:szCs w:val="24"/>
          <w:lang w:val="en-US"/>
        </w:rPr>
        <w:t xml:space="preserve"> </w:t>
      </w:r>
      <w:r w:rsidRPr="0042667D">
        <w:rPr>
          <w:rFonts w:ascii="Times New Roman" w:hAnsi="Times New Roman"/>
          <w:sz w:val="24"/>
          <w:szCs w:val="24"/>
          <w:lang w:val="en-US"/>
        </w:rPr>
        <w:t>process; and (b) losses caused by a pricing model where the potential exposure to the model risk had</w:t>
      </w:r>
      <w:r>
        <w:rPr>
          <w:rFonts w:ascii="Times New Roman" w:hAnsi="Times New Roman"/>
          <w:sz w:val="24"/>
          <w:szCs w:val="24"/>
          <w:lang w:val="en-US"/>
        </w:rPr>
        <w:t xml:space="preserve"> </w:t>
      </w:r>
      <w:r w:rsidRPr="0042667D">
        <w:rPr>
          <w:rFonts w:ascii="Times New Roman" w:hAnsi="Times New Roman"/>
          <w:sz w:val="24"/>
          <w:szCs w:val="24"/>
          <w:lang w:val="en-US"/>
        </w:rPr>
        <w:t>been previously assessed.</w:t>
      </w:r>
      <w:r>
        <w:rPr>
          <w:rFonts w:ascii="Times New Roman" w:hAnsi="Times New Roman"/>
          <w:sz w:val="24"/>
          <w:szCs w:val="24"/>
          <w:lang w:val="en-US"/>
        </w:rPr>
        <w:t xml:space="preserve"> </w:t>
      </w:r>
      <w:r w:rsidRPr="0042667D">
        <w:rPr>
          <w:rFonts w:ascii="Times New Roman" w:hAnsi="Times New Roman"/>
          <w:sz w:val="24"/>
          <w:szCs w:val="24"/>
          <w:lang w:val="en-US"/>
        </w:rPr>
        <w:t>To reach overall consistent regulations corresponding specifications should be adopted in the SREP</w:t>
      </w:r>
      <w:r>
        <w:rPr>
          <w:rFonts w:ascii="Times New Roman" w:hAnsi="Times New Roman"/>
          <w:sz w:val="24"/>
          <w:szCs w:val="24"/>
          <w:lang w:val="en-US"/>
        </w:rPr>
        <w:t xml:space="preserve"> g</w:t>
      </w:r>
      <w:r w:rsidRPr="0042667D">
        <w:rPr>
          <w:rFonts w:ascii="Times New Roman" w:hAnsi="Times New Roman"/>
          <w:sz w:val="24"/>
          <w:szCs w:val="24"/>
          <w:lang w:val="en-US"/>
        </w:rPr>
        <w:t>uideline</w:t>
      </w:r>
      <w:r>
        <w:rPr>
          <w:rFonts w:ascii="Times New Roman" w:hAnsi="Times New Roman"/>
          <w:sz w:val="24"/>
          <w:szCs w:val="24"/>
          <w:lang w:val="en-US"/>
        </w:rPr>
        <w:t xml:space="preserve">. </w:t>
      </w:r>
      <w:r w:rsidRPr="0042667D">
        <w:rPr>
          <w:rFonts w:ascii="Times New Roman" w:hAnsi="Times New Roman"/>
          <w:sz w:val="24"/>
          <w:szCs w:val="24"/>
          <w:lang w:val="en-US"/>
        </w:rPr>
        <w:t>With regard to para 225</w:t>
      </w:r>
      <w:r>
        <w:rPr>
          <w:rFonts w:ascii="Times New Roman" w:hAnsi="Times New Roman"/>
          <w:sz w:val="24"/>
          <w:szCs w:val="24"/>
          <w:lang w:val="en-US"/>
        </w:rPr>
        <w:t>(</w:t>
      </w:r>
      <w:r w:rsidRPr="0042667D">
        <w:rPr>
          <w:rFonts w:ascii="Times New Roman" w:hAnsi="Times New Roman"/>
          <w:sz w:val="24"/>
          <w:szCs w:val="24"/>
          <w:lang w:val="en-US"/>
        </w:rPr>
        <w:t>b</w:t>
      </w:r>
      <w:proofErr w:type="gramStart"/>
      <w:r>
        <w:rPr>
          <w:rFonts w:ascii="Times New Roman" w:hAnsi="Times New Roman"/>
          <w:sz w:val="24"/>
          <w:szCs w:val="24"/>
          <w:lang w:val="en-US"/>
        </w:rPr>
        <w:t>)(</w:t>
      </w:r>
      <w:proofErr w:type="gramEnd"/>
      <w:r w:rsidRPr="0042667D">
        <w:rPr>
          <w:rFonts w:ascii="Times New Roman" w:hAnsi="Times New Roman"/>
          <w:sz w:val="24"/>
          <w:szCs w:val="24"/>
          <w:lang w:val="en-US"/>
        </w:rPr>
        <w:t>ii</w:t>
      </w:r>
      <w:r>
        <w:rPr>
          <w:rFonts w:ascii="Times New Roman" w:hAnsi="Times New Roman"/>
          <w:sz w:val="24"/>
          <w:szCs w:val="24"/>
          <w:lang w:val="en-US"/>
        </w:rPr>
        <w:t>)</w:t>
      </w:r>
      <w:r w:rsidRPr="0042667D">
        <w:rPr>
          <w:rFonts w:ascii="Times New Roman" w:hAnsi="Times New Roman"/>
          <w:sz w:val="24"/>
          <w:szCs w:val="24"/>
          <w:lang w:val="en-US"/>
        </w:rPr>
        <w:t xml:space="preserve">. </w:t>
      </w:r>
      <w:r w:rsidR="002A05C2">
        <w:rPr>
          <w:rFonts w:ascii="Times New Roman" w:hAnsi="Times New Roman"/>
          <w:sz w:val="24"/>
          <w:szCs w:val="24"/>
          <w:lang w:val="en-US"/>
        </w:rPr>
        <w:t>I</w:t>
      </w:r>
      <w:r w:rsidRPr="0042667D">
        <w:rPr>
          <w:rFonts w:ascii="Times New Roman" w:hAnsi="Times New Roman"/>
          <w:sz w:val="24"/>
          <w:szCs w:val="24"/>
          <w:lang w:val="en-US"/>
        </w:rPr>
        <w:t>t should be specified that only operational risks are, in this issue, part of the</w:t>
      </w:r>
      <w:r>
        <w:rPr>
          <w:rFonts w:ascii="Times New Roman" w:hAnsi="Times New Roman"/>
          <w:sz w:val="24"/>
          <w:szCs w:val="24"/>
          <w:lang w:val="en-US"/>
        </w:rPr>
        <w:t xml:space="preserve"> </w:t>
      </w:r>
      <w:r w:rsidRPr="0042667D">
        <w:rPr>
          <w:rFonts w:ascii="Times New Roman" w:hAnsi="Times New Roman"/>
          <w:sz w:val="24"/>
          <w:szCs w:val="24"/>
          <w:lang w:val="en-US"/>
        </w:rPr>
        <w:t>operational risk assessment and not eventually occurring credit risks.</w:t>
      </w:r>
      <w:r>
        <w:rPr>
          <w:rFonts w:ascii="Times New Roman" w:hAnsi="Times New Roman"/>
          <w:sz w:val="24"/>
          <w:szCs w:val="24"/>
          <w:lang w:val="en-US"/>
        </w:rPr>
        <w:t xml:space="preserve"> </w:t>
      </w:r>
    </w:p>
    <w:p w14:paraId="3920BEA9" w14:textId="77777777" w:rsidR="00AA4D21" w:rsidRDefault="00AA4D21" w:rsidP="00702CF4">
      <w:pPr>
        <w:spacing w:before="120"/>
        <w:jc w:val="both"/>
        <w:rPr>
          <w:rFonts w:ascii="Times New Roman" w:hAnsi="Times New Roman"/>
          <w:sz w:val="24"/>
          <w:szCs w:val="24"/>
          <w:u w:val="single"/>
          <w:lang w:val="en-US"/>
        </w:rPr>
      </w:pPr>
    </w:p>
    <w:p w14:paraId="3920BEAA" w14:textId="77777777" w:rsidR="00AA4D21" w:rsidRPr="00E30C2F" w:rsidRDefault="00AA4D21" w:rsidP="00787A4E">
      <w:pPr>
        <w:numPr>
          <w:ilvl w:val="0"/>
          <w:numId w:val="26"/>
        </w:numPr>
        <w:spacing w:before="120"/>
        <w:jc w:val="both"/>
        <w:rPr>
          <w:rFonts w:ascii="Times New Roman" w:hAnsi="Times New Roman"/>
          <w:b/>
          <w:sz w:val="24"/>
          <w:szCs w:val="24"/>
          <w:u w:val="single"/>
          <w:lang w:val="en-US"/>
        </w:rPr>
      </w:pPr>
      <w:r>
        <w:rPr>
          <w:rFonts w:ascii="Times New Roman" w:hAnsi="Times New Roman"/>
          <w:b/>
          <w:sz w:val="24"/>
          <w:szCs w:val="24"/>
          <w:u w:val="single"/>
          <w:lang w:val="en-US"/>
        </w:rPr>
        <w:t>Assessment of risk concentration</w:t>
      </w:r>
    </w:p>
    <w:p w14:paraId="3920BEAB" w14:textId="5ED74C91" w:rsidR="00AA4D21" w:rsidRPr="00102341" w:rsidRDefault="00AA4D21" w:rsidP="00AA42C0">
      <w:pPr>
        <w:spacing w:before="120"/>
        <w:jc w:val="both"/>
        <w:rPr>
          <w:rFonts w:ascii="Times New Roman" w:hAnsi="Times New Roman"/>
          <w:sz w:val="24"/>
          <w:szCs w:val="24"/>
          <w:lang w:val="en-US"/>
        </w:rPr>
      </w:pPr>
      <w:r w:rsidRPr="00102341">
        <w:rPr>
          <w:rFonts w:ascii="Times New Roman" w:hAnsi="Times New Roman"/>
          <w:sz w:val="24"/>
          <w:szCs w:val="24"/>
          <w:lang w:val="en-US"/>
        </w:rPr>
        <w:t xml:space="preserve">This issue concerns the assessment of the level of credit risk concentration where the draft guidelines point to the </w:t>
      </w:r>
      <w:r w:rsidRPr="00787A4E">
        <w:rPr>
          <w:rFonts w:ascii="Times New Roman" w:hAnsi="Times New Roman"/>
          <w:sz w:val="24"/>
          <w:szCs w:val="24"/>
          <w:lang w:val="en-US"/>
        </w:rPr>
        <w:t xml:space="preserve">need to consider the effect of potential high correlation between exposures when considering concentration risk. Although </w:t>
      </w:r>
      <w:proofErr w:type="spellStart"/>
      <w:r w:rsidRPr="00102341">
        <w:rPr>
          <w:rFonts w:ascii="Times New Roman" w:hAnsi="Times New Roman"/>
          <w:sz w:val="24"/>
          <w:szCs w:val="24"/>
          <w:lang w:val="en-US"/>
        </w:rPr>
        <w:t>Herfindahl</w:t>
      </w:r>
      <w:proofErr w:type="spellEnd"/>
      <w:r w:rsidRPr="00102341">
        <w:rPr>
          <w:rFonts w:ascii="Times New Roman" w:hAnsi="Times New Roman"/>
          <w:sz w:val="24"/>
          <w:szCs w:val="24"/>
          <w:lang w:val="en-US"/>
        </w:rPr>
        <w:t xml:space="preserve"> </w:t>
      </w:r>
      <w:proofErr w:type="spellStart"/>
      <w:r w:rsidRPr="00102341">
        <w:rPr>
          <w:rFonts w:ascii="Times New Roman" w:hAnsi="Times New Roman"/>
          <w:sz w:val="24"/>
          <w:szCs w:val="24"/>
          <w:lang w:val="en-US"/>
        </w:rPr>
        <w:t>Hirschmann</w:t>
      </w:r>
      <w:proofErr w:type="spellEnd"/>
      <w:r w:rsidRPr="00102341">
        <w:rPr>
          <w:rFonts w:ascii="Times New Roman" w:hAnsi="Times New Roman"/>
          <w:sz w:val="24"/>
          <w:szCs w:val="24"/>
          <w:lang w:val="en-US"/>
        </w:rPr>
        <w:t xml:space="preserve"> Index (HHI) </w:t>
      </w:r>
      <w:r w:rsidRPr="00787A4E">
        <w:rPr>
          <w:rFonts w:ascii="Times New Roman" w:hAnsi="Times New Roman"/>
          <w:sz w:val="24"/>
          <w:szCs w:val="24"/>
          <w:lang w:val="en-US"/>
        </w:rPr>
        <w:t xml:space="preserve">and Gini coefficient were listed as example of quantitative measures and indicators, there are other, typically more sophisticated, measures of correlation and concentration risk measurement that can also be used to measure such effect (e.g. Economic Capital models). These are based on empirically derived measures of loss volatility and correlations. </w:t>
      </w:r>
      <w:r w:rsidRPr="00102341">
        <w:rPr>
          <w:rFonts w:ascii="Times New Roman" w:hAnsi="Times New Roman"/>
          <w:sz w:val="24"/>
          <w:szCs w:val="24"/>
          <w:lang w:val="en-US"/>
        </w:rPr>
        <w:t xml:space="preserve">We believe the </w:t>
      </w:r>
      <w:r w:rsidRPr="00787A4E">
        <w:rPr>
          <w:rFonts w:ascii="Times New Roman" w:hAnsi="Times New Roman"/>
          <w:sz w:val="24"/>
          <w:szCs w:val="24"/>
          <w:lang w:val="en-US"/>
        </w:rPr>
        <w:t xml:space="preserve">measurement approach for credit concentration risk should not be prescriptive and should be proportionate to the bank size and business model. </w:t>
      </w:r>
      <w:r w:rsidRPr="00102341">
        <w:rPr>
          <w:rFonts w:ascii="Times New Roman" w:hAnsi="Times New Roman"/>
          <w:sz w:val="24"/>
          <w:szCs w:val="24"/>
          <w:lang w:val="en-US"/>
        </w:rPr>
        <w:t xml:space="preserve">Inappropriate use of </w:t>
      </w:r>
      <w:r w:rsidR="00FB52DA">
        <w:rPr>
          <w:rFonts w:ascii="Times New Roman" w:hAnsi="Times New Roman"/>
          <w:sz w:val="24"/>
          <w:szCs w:val="24"/>
          <w:lang w:val="en-US"/>
        </w:rPr>
        <w:t>simple</w:t>
      </w:r>
      <w:r w:rsidRPr="00102341">
        <w:rPr>
          <w:rFonts w:ascii="Times New Roman" w:hAnsi="Times New Roman"/>
          <w:sz w:val="24"/>
          <w:szCs w:val="24"/>
          <w:lang w:val="en-US"/>
        </w:rPr>
        <w:t xml:space="preserve"> quantitative measures and indicators can produce very misleading results. </w:t>
      </w:r>
      <w:r w:rsidR="00FB52DA">
        <w:rPr>
          <w:rFonts w:ascii="Times New Roman" w:hAnsi="Times New Roman"/>
          <w:sz w:val="24"/>
          <w:szCs w:val="24"/>
          <w:lang w:val="en-US"/>
        </w:rPr>
        <w:t>T</w:t>
      </w:r>
      <w:r w:rsidR="00FB52DA" w:rsidRPr="00FB52DA">
        <w:rPr>
          <w:rFonts w:ascii="Times New Roman" w:hAnsi="Times New Roman"/>
          <w:sz w:val="24"/>
          <w:szCs w:val="24"/>
          <w:lang w:val="en-US"/>
        </w:rPr>
        <w:t>herefore</w:t>
      </w:r>
      <w:r w:rsidR="00FB52DA">
        <w:rPr>
          <w:rFonts w:ascii="Times New Roman" w:hAnsi="Times New Roman"/>
          <w:sz w:val="24"/>
          <w:szCs w:val="24"/>
          <w:lang w:val="en-US"/>
        </w:rPr>
        <w:t>, we</w:t>
      </w:r>
      <w:r w:rsidR="00FB52DA" w:rsidRPr="00FB52DA">
        <w:rPr>
          <w:rFonts w:ascii="Times New Roman" w:hAnsi="Times New Roman"/>
          <w:sz w:val="24"/>
          <w:szCs w:val="24"/>
          <w:lang w:val="en-US"/>
        </w:rPr>
        <w:t xml:space="preserve"> suggest that the reference to HHI and Gini coefficient is </w:t>
      </w:r>
      <w:r w:rsidR="00FB52DA">
        <w:rPr>
          <w:rFonts w:ascii="Times New Roman" w:hAnsi="Times New Roman"/>
          <w:sz w:val="24"/>
          <w:szCs w:val="24"/>
          <w:lang w:val="en-US"/>
        </w:rPr>
        <w:t xml:space="preserve">removed </w:t>
      </w:r>
      <w:r w:rsidR="00FB52DA" w:rsidRPr="00FB52DA">
        <w:rPr>
          <w:rFonts w:ascii="Times New Roman" w:hAnsi="Times New Roman"/>
          <w:sz w:val="24"/>
          <w:szCs w:val="24"/>
          <w:lang w:val="en-US"/>
        </w:rPr>
        <w:t>from the guidelines.</w:t>
      </w:r>
      <w:r w:rsidR="00FB52DA">
        <w:rPr>
          <w:rFonts w:ascii="Times New Roman" w:hAnsi="Times New Roman"/>
          <w:sz w:val="24"/>
          <w:szCs w:val="24"/>
          <w:lang w:val="en-US"/>
        </w:rPr>
        <w:t xml:space="preserve"> </w:t>
      </w:r>
    </w:p>
    <w:p w14:paraId="484CE293" w14:textId="77777777" w:rsidR="00B36F99" w:rsidRDefault="00B36F99" w:rsidP="00B36F99">
      <w:pPr>
        <w:spacing w:before="120"/>
        <w:jc w:val="both"/>
        <w:rPr>
          <w:rFonts w:ascii="Times New Roman" w:hAnsi="Times New Roman"/>
          <w:sz w:val="24"/>
          <w:szCs w:val="24"/>
          <w:lang w:val="en-US"/>
        </w:rPr>
      </w:pPr>
      <w:r>
        <w:rPr>
          <w:rFonts w:ascii="Times New Roman" w:hAnsi="Times New Roman"/>
          <w:sz w:val="24"/>
          <w:szCs w:val="24"/>
          <w:lang w:val="en-US"/>
        </w:rPr>
        <w:t xml:space="preserve">In the case of IRB institutions, </w:t>
      </w:r>
      <w:r w:rsidRPr="00B36F99">
        <w:rPr>
          <w:rFonts w:ascii="Times New Roman" w:hAnsi="Times New Roman"/>
          <w:sz w:val="24"/>
          <w:szCs w:val="24"/>
          <w:lang w:val="en-US"/>
        </w:rPr>
        <w:t xml:space="preserve">credit risk concentration is already factored in the calculation of Pillar 1 </w:t>
      </w:r>
      <w:r>
        <w:rPr>
          <w:rFonts w:ascii="Times New Roman" w:hAnsi="Times New Roman"/>
          <w:sz w:val="24"/>
          <w:szCs w:val="24"/>
          <w:lang w:val="en-US"/>
        </w:rPr>
        <w:t xml:space="preserve">risk-weighted assets. As a general principle, pillar 1 should be respected. Additional charges via pillar 2 should only be imposed if there is clear evidence of extreme concentration. </w:t>
      </w:r>
    </w:p>
    <w:p w14:paraId="3920BEAC" w14:textId="78EED4EF" w:rsidR="00E70B2D" w:rsidRDefault="00B36F99" w:rsidP="00787A4E">
      <w:pPr>
        <w:spacing w:before="120"/>
        <w:jc w:val="both"/>
        <w:rPr>
          <w:rFonts w:ascii="Times New Roman" w:hAnsi="Times New Roman"/>
          <w:sz w:val="24"/>
          <w:szCs w:val="24"/>
          <w:u w:val="single"/>
          <w:lang w:val="en-US"/>
        </w:rPr>
      </w:pPr>
      <w:r>
        <w:rPr>
          <w:rFonts w:ascii="Times New Roman" w:hAnsi="Times New Roman"/>
          <w:sz w:val="24"/>
          <w:szCs w:val="24"/>
          <w:lang w:val="en-US"/>
        </w:rPr>
        <w:lastRenderedPageBreak/>
        <w:t xml:space="preserve">In the case of </w:t>
      </w:r>
      <w:proofErr w:type="spellStart"/>
      <w:r>
        <w:rPr>
          <w:rFonts w:ascii="Times New Roman" w:hAnsi="Times New Roman"/>
          <w:sz w:val="24"/>
          <w:szCs w:val="24"/>
          <w:lang w:val="en-US"/>
        </w:rPr>
        <w:t>standardised</w:t>
      </w:r>
      <w:proofErr w:type="spellEnd"/>
      <w:r>
        <w:rPr>
          <w:rFonts w:ascii="Times New Roman" w:hAnsi="Times New Roman"/>
          <w:sz w:val="24"/>
          <w:szCs w:val="24"/>
          <w:lang w:val="en-US"/>
        </w:rPr>
        <w:t xml:space="preserve"> approach, there are good practices </w:t>
      </w:r>
      <w:r w:rsidR="00DD0225">
        <w:rPr>
          <w:rFonts w:ascii="Times New Roman" w:hAnsi="Times New Roman"/>
          <w:sz w:val="24"/>
          <w:szCs w:val="24"/>
          <w:lang w:val="en-US"/>
        </w:rPr>
        <w:t xml:space="preserve">for the estimation of concentration risk for small banks in the current supervisory landscape </w:t>
      </w:r>
      <w:r>
        <w:rPr>
          <w:rFonts w:ascii="Times New Roman" w:hAnsi="Times New Roman"/>
          <w:sz w:val="24"/>
          <w:szCs w:val="24"/>
          <w:lang w:val="en-US"/>
        </w:rPr>
        <w:t xml:space="preserve">that could </w:t>
      </w:r>
      <w:r w:rsidR="00DD0225">
        <w:rPr>
          <w:rFonts w:ascii="Times New Roman" w:hAnsi="Times New Roman"/>
          <w:sz w:val="24"/>
          <w:szCs w:val="24"/>
          <w:lang w:val="en-US"/>
        </w:rPr>
        <w:t xml:space="preserve">help overcome the problem of proportionality. </w:t>
      </w:r>
      <w:r w:rsidR="00AA4D21">
        <w:rPr>
          <w:rFonts w:ascii="Times New Roman" w:hAnsi="Times New Roman"/>
          <w:sz w:val="24"/>
          <w:szCs w:val="24"/>
          <w:lang w:val="en-US"/>
        </w:rPr>
        <w:t xml:space="preserve"> </w:t>
      </w:r>
      <w:r w:rsidR="00E70B2D">
        <w:rPr>
          <w:rFonts w:ascii="Times New Roman" w:hAnsi="Times New Roman"/>
          <w:sz w:val="24"/>
          <w:szCs w:val="24"/>
          <w:u w:val="single"/>
          <w:lang w:val="en-US"/>
        </w:rPr>
        <w:t xml:space="preserve">  </w:t>
      </w:r>
    </w:p>
    <w:p w14:paraId="4C3E61D0" w14:textId="77777777" w:rsidR="00C579EB" w:rsidRDefault="00C579EB" w:rsidP="00787A4E">
      <w:pPr>
        <w:spacing w:before="120"/>
        <w:jc w:val="both"/>
        <w:rPr>
          <w:rFonts w:ascii="Times New Roman" w:hAnsi="Times New Roman"/>
          <w:sz w:val="24"/>
          <w:szCs w:val="24"/>
          <w:u w:val="single"/>
          <w:lang w:val="en-US"/>
        </w:rPr>
      </w:pPr>
    </w:p>
    <w:p w14:paraId="7E8294F4" w14:textId="32FC3E86" w:rsidR="00D35E1C" w:rsidRPr="00E30C2F" w:rsidRDefault="00D35E1C" w:rsidP="002A05C2">
      <w:pPr>
        <w:numPr>
          <w:ilvl w:val="0"/>
          <w:numId w:val="26"/>
        </w:numPr>
        <w:spacing w:before="120"/>
        <w:jc w:val="both"/>
        <w:rPr>
          <w:rFonts w:ascii="Times New Roman" w:hAnsi="Times New Roman"/>
          <w:b/>
          <w:sz w:val="24"/>
          <w:szCs w:val="24"/>
          <w:u w:val="single"/>
          <w:lang w:val="en-US"/>
        </w:rPr>
      </w:pPr>
      <w:r>
        <w:rPr>
          <w:rFonts w:ascii="Times New Roman" w:hAnsi="Times New Roman"/>
          <w:b/>
          <w:sz w:val="24"/>
          <w:szCs w:val="24"/>
          <w:u w:val="single"/>
          <w:lang w:val="en-US"/>
        </w:rPr>
        <w:t>Order of the Pillar 2 capital requirement</w:t>
      </w:r>
    </w:p>
    <w:p w14:paraId="132B07DD" w14:textId="19C78229" w:rsidR="00817090" w:rsidRDefault="00D35E1C" w:rsidP="002A05C2">
      <w:pPr>
        <w:jc w:val="both"/>
        <w:rPr>
          <w:rFonts w:ascii="Times New Roman" w:hAnsi="Times New Roman"/>
          <w:sz w:val="24"/>
          <w:szCs w:val="24"/>
          <w:lang w:val="en-US"/>
        </w:rPr>
      </w:pPr>
      <w:r w:rsidRPr="002A05C2">
        <w:rPr>
          <w:rFonts w:ascii="Times New Roman" w:hAnsi="Times New Roman"/>
          <w:sz w:val="24"/>
          <w:szCs w:val="24"/>
          <w:lang w:val="en-US"/>
        </w:rPr>
        <w:t xml:space="preserve">We </w:t>
      </w:r>
      <w:r w:rsidR="009A45EB">
        <w:rPr>
          <w:rFonts w:ascii="Times New Roman" w:hAnsi="Times New Roman"/>
          <w:sz w:val="24"/>
          <w:szCs w:val="24"/>
          <w:lang w:val="en-US"/>
        </w:rPr>
        <w:t xml:space="preserve">observe that the pecking order of the different layers of capital requirements </w:t>
      </w:r>
      <w:r w:rsidR="00B03F21">
        <w:rPr>
          <w:rFonts w:ascii="Times New Roman" w:hAnsi="Times New Roman"/>
          <w:sz w:val="24"/>
          <w:szCs w:val="24"/>
          <w:lang w:val="en-US"/>
        </w:rPr>
        <w:t xml:space="preserve">matter. However, </w:t>
      </w:r>
      <w:r w:rsidR="00B610BC">
        <w:rPr>
          <w:rFonts w:ascii="Times New Roman" w:hAnsi="Times New Roman"/>
          <w:sz w:val="24"/>
          <w:szCs w:val="24"/>
          <w:lang w:val="en-US"/>
        </w:rPr>
        <w:t>it is ill-</w:t>
      </w:r>
      <w:r w:rsidR="00B03F21">
        <w:rPr>
          <w:rFonts w:ascii="Times New Roman" w:hAnsi="Times New Roman"/>
          <w:sz w:val="24"/>
          <w:szCs w:val="24"/>
          <w:lang w:val="en-US"/>
        </w:rPr>
        <w:t xml:space="preserve">defined in CRR and CRD IV. In particular, article 141 CRD IV sets the rules for restrictions on distributions. There is no clarity as to whether the Maximum Distributable Amount (MDA) will be calculated for institutions that fail to meet the combined buffer before </w:t>
      </w:r>
      <w:r w:rsidR="00817090">
        <w:rPr>
          <w:rFonts w:ascii="Times New Roman" w:hAnsi="Times New Roman"/>
          <w:sz w:val="24"/>
          <w:szCs w:val="24"/>
          <w:lang w:val="en-US"/>
        </w:rPr>
        <w:t xml:space="preserve">consuming </w:t>
      </w:r>
      <w:r w:rsidR="00B03F21">
        <w:rPr>
          <w:rFonts w:ascii="Times New Roman" w:hAnsi="Times New Roman"/>
          <w:sz w:val="24"/>
          <w:szCs w:val="24"/>
          <w:lang w:val="en-US"/>
        </w:rPr>
        <w:t xml:space="preserve">the Pillar 2 </w:t>
      </w:r>
      <w:r w:rsidR="00817090">
        <w:rPr>
          <w:rFonts w:ascii="Times New Roman" w:hAnsi="Times New Roman"/>
          <w:sz w:val="24"/>
          <w:szCs w:val="24"/>
          <w:lang w:val="en-US"/>
        </w:rPr>
        <w:t xml:space="preserve">additional </w:t>
      </w:r>
      <w:r w:rsidR="00B03F21">
        <w:rPr>
          <w:rFonts w:ascii="Times New Roman" w:hAnsi="Times New Roman"/>
          <w:sz w:val="24"/>
          <w:szCs w:val="24"/>
          <w:lang w:val="en-US"/>
        </w:rPr>
        <w:t>requirement</w:t>
      </w:r>
      <w:r w:rsidR="00817090">
        <w:rPr>
          <w:rFonts w:ascii="Times New Roman" w:hAnsi="Times New Roman"/>
          <w:sz w:val="24"/>
          <w:szCs w:val="24"/>
          <w:lang w:val="en-US"/>
        </w:rPr>
        <w:t xml:space="preserve"> or </w:t>
      </w:r>
      <w:r w:rsidR="00B610BC">
        <w:rPr>
          <w:rFonts w:ascii="Times New Roman" w:hAnsi="Times New Roman"/>
          <w:sz w:val="24"/>
          <w:szCs w:val="24"/>
          <w:lang w:val="en-US"/>
        </w:rPr>
        <w:t xml:space="preserve">only </w:t>
      </w:r>
      <w:r w:rsidR="00817090">
        <w:rPr>
          <w:rFonts w:ascii="Times New Roman" w:hAnsi="Times New Roman"/>
          <w:sz w:val="24"/>
          <w:szCs w:val="24"/>
          <w:lang w:val="en-US"/>
        </w:rPr>
        <w:t>after depleting it</w:t>
      </w:r>
      <w:r w:rsidR="00B03F21">
        <w:rPr>
          <w:rFonts w:ascii="Times New Roman" w:hAnsi="Times New Roman"/>
          <w:sz w:val="24"/>
          <w:szCs w:val="24"/>
          <w:lang w:val="en-US"/>
        </w:rPr>
        <w:t xml:space="preserve">. </w:t>
      </w:r>
    </w:p>
    <w:p w14:paraId="331A5F69" w14:textId="68B7B470" w:rsidR="00D35E1C" w:rsidRPr="002A05C2" w:rsidRDefault="00817090" w:rsidP="002A05C2">
      <w:pPr>
        <w:jc w:val="both"/>
        <w:rPr>
          <w:rFonts w:ascii="Times New Roman" w:hAnsi="Times New Roman"/>
          <w:sz w:val="24"/>
          <w:szCs w:val="24"/>
          <w:lang w:val="en-US"/>
        </w:rPr>
      </w:pPr>
      <w:r>
        <w:rPr>
          <w:rFonts w:ascii="Times New Roman" w:hAnsi="Times New Roman"/>
          <w:sz w:val="24"/>
          <w:szCs w:val="24"/>
          <w:lang w:val="en-US"/>
        </w:rPr>
        <w:t>In practical terms, it can be argued that Pillar 2 is an uncertain and volatile requirement for institutions. This affects the capital planning of the bank. The Pillar 1 requirement is known in advance. So is the combined buffer. But the Pillar 2 requirement is unpredictable for the bank until the end of the SREP process. The t</w:t>
      </w:r>
      <w:r w:rsidR="00487A6A">
        <w:rPr>
          <w:rFonts w:ascii="Times New Roman" w:hAnsi="Times New Roman"/>
          <w:sz w:val="24"/>
          <w:szCs w:val="24"/>
          <w:lang w:val="en-US"/>
        </w:rPr>
        <w:t>hresholds</w:t>
      </w:r>
      <w:r>
        <w:rPr>
          <w:rFonts w:ascii="Times New Roman" w:hAnsi="Times New Roman"/>
          <w:sz w:val="24"/>
          <w:szCs w:val="24"/>
          <w:lang w:val="en-US"/>
        </w:rPr>
        <w:t xml:space="preserve"> of restriction to distributions could be hit as a result of the SREP with no time for the bank to set out a plan. </w:t>
      </w:r>
    </w:p>
    <w:p w14:paraId="58E4E929" w14:textId="77777777" w:rsidR="00B610BC" w:rsidRDefault="004B01D9" w:rsidP="004373F8">
      <w:pPr>
        <w:jc w:val="both"/>
        <w:rPr>
          <w:rFonts w:ascii="Times New Roman" w:hAnsi="Times New Roman"/>
          <w:sz w:val="24"/>
          <w:szCs w:val="24"/>
          <w:lang w:val="en-US"/>
        </w:rPr>
      </w:pPr>
      <w:r>
        <w:rPr>
          <w:rFonts w:ascii="Times New Roman" w:hAnsi="Times New Roman"/>
          <w:sz w:val="24"/>
          <w:szCs w:val="24"/>
          <w:lang w:val="en-US"/>
        </w:rPr>
        <w:t>Against this background, w</w:t>
      </w:r>
      <w:r w:rsidR="00537600">
        <w:rPr>
          <w:rFonts w:ascii="Times New Roman" w:hAnsi="Times New Roman"/>
          <w:sz w:val="24"/>
          <w:szCs w:val="24"/>
          <w:lang w:val="en-US"/>
        </w:rPr>
        <w:t>e think the question of whe</w:t>
      </w:r>
      <w:r w:rsidR="00487A6A">
        <w:rPr>
          <w:rFonts w:ascii="Times New Roman" w:hAnsi="Times New Roman"/>
          <w:sz w:val="24"/>
          <w:szCs w:val="24"/>
          <w:lang w:val="en-US"/>
        </w:rPr>
        <w:t>ther to place Pillar 2 on top of all requirements or between Pillar 1 and the combined buffer deserves careful consideration.</w:t>
      </w:r>
      <w:r>
        <w:rPr>
          <w:rFonts w:ascii="Times New Roman" w:hAnsi="Times New Roman"/>
          <w:sz w:val="24"/>
          <w:szCs w:val="24"/>
          <w:lang w:val="en-US"/>
        </w:rPr>
        <w:t xml:space="preserve"> The EBF stands ready to discuss about it and to provide with practical views to regulators and supervisors involved.  </w:t>
      </w:r>
      <w:r w:rsidR="00487A6A">
        <w:rPr>
          <w:rFonts w:ascii="Times New Roman" w:hAnsi="Times New Roman"/>
          <w:sz w:val="24"/>
          <w:szCs w:val="24"/>
          <w:lang w:val="en-US"/>
        </w:rPr>
        <w:t xml:space="preserve"> </w:t>
      </w:r>
    </w:p>
    <w:p w14:paraId="1F6F8C26" w14:textId="17A6F2E3" w:rsidR="00C579EB" w:rsidRPr="00B152AC" w:rsidRDefault="00C579EB" w:rsidP="004373F8">
      <w:pPr>
        <w:jc w:val="both"/>
        <w:rPr>
          <w:lang w:val="en-GB"/>
        </w:rPr>
      </w:pPr>
    </w:p>
    <w:sectPr w:rsidR="00C579EB" w:rsidRPr="00B152AC" w:rsidSect="001E446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0BEB0" w14:textId="77777777" w:rsidR="00AA4D21" w:rsidRDefault="00AA4D21" w:rsidP="00F77EAA">
      <w:pPr>
        <w:spacing w:after="0" w:line="240" w:lineRule="auto"/>
      </w:pPr>
      <w:r>
        <w:separator/>
      </w:r>
    </w:p>
  </w:endnote>
  <w:endnote w:type="continuationSeparator" w:id="0">
    <w:p w14:paraId="3920BEB1" w14:textId="77777777" w:rsidR="00AA4D21" w:rsidRDefault="00AA4D21" w:rsidP="00F7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BEB3" w14:textId="77777777" w:rsidR="00AA4D21" w:rsidRPr="00F77EAA" w:rsidRDefault="00787A4E" w:rsidP="00F77EAA">
    <w:pPr>
      <w:pStyle w:val="Footer"/>
    </w:pPr>
    <w:r>
      <w:rPr>
        <w:noProof/>
        <w:lang w:val="en-GB" w:eastAsia="en-GB"/>
      </w:rPr>
      <mc:AlternateContent>
        <mc:Choice Requires="wps">
          <w:drawing>
            <wp:anchor distT="45720" distB="45720" distL="114300" distR="114300" simplePos="0" relativeHeight="251658752" behindDoc="0" locked="0" layoutInCell="1" allowOverlap="1" wp14:anchorId="3920BEB6" wp14:editId="3920BEB7">
              <wp:simplePos x="0" y="0"/>
              <wp:positionH relativeFrom="column">
                <wp:posOffset>109220</wp:posOffset>
              </wp:positionH>
              <wp:positionV relativeFrom="paragraph">
                <wp:posOffset>-188595</wp:posOffset>
              </wp:positionV>
              <wp:extent cx="2303780" cy="1099185"/>
              <wp:effectExtent l="4445" t="1905"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0BEC1" w14:textId="77777777" w:rsidR="00AA4D21" w:rsidRPr="00EC3A26" w:rsidRDefault="00AA4D21" w:rsidP="00F77EAA">
                          <w:pPr>
                            <w:rPr>
                              <w:rFonts w:ascii="Tahoma" w:hAnsi="Tahoma" w:cs="Tahoma"/>
                              <w:color w:val="A6A6A6"/>
                              <w:sz w:val="15"/>
                              <w:szCs w:val="15"/>
                              <w:lang w:val="fr-BE"/>
                            </w:rPr>
                          </w:pPr>
                          <w:r w:rsidRPr="00EC3A26">
                            <w:rPr>
                              <w:rFonts w:ascii="Tahoma" w:hAnsi="Tahoma" w:cs="Tahoma"/>
                              <w:color w:val="A6A6A6"/>
                              <w:sz w:val="15"/>
                              <w:szCs w:val="15"/>
                              <w:lang w:val="fr-BE"/>
                            </w:rPr>
                            <w:t xml:space="preserve">EBF </w:t>
                          </w:r>
                          <w:proofErr w:type="spellStart"/>
                          <w:r w:rsidRPr="00EC3A26">
                            <w:rPr>
                              <w:rFonts w:ascii="Tahoma" w:hAnsi="Tahoma" w:cs="Tahoma"/>
                              <w:color w:val="A6A6A6"/>
                              <w:sz w:val="15"/>
                              <w:szCs w:val="15"/>
                              <w:lang w:val="fr-BE"/>
                            </w:rPr>
                            <w:t>a.i.s.b.l</w:t>
                          </w:r>
                          <w:proofErr w:type="spellEnd"/>
                          <w:r w:rsidRPr="00EC3A26">
                            <w:rPr>
                              <w:rFonts w:ascii="Tahoma" w:hAnsi="Tahoma" w:cs="Tahoma"/>
                              <w:color w:val="A6A6A6"/>
                              <w:sz w:val="15"/>
                              <w:szCs w:val="15"/>
                              <w:lang w:val="fr-BE"/>
                            </w:rPr>
                            <w:t>.</w:t>
                          </w:r>
                          <w:r w:rsidRPr="00EC3A26">
                            <w:rPr>
                              <w:rFonts w:ascii="Tahoma" w:hAnsi="Tahoma" w:cs="Tahoma"/>
                              <w:color w:val="A6A6A6"/>
                              <w:sz w:val="15"/>
                              <w:szCs w:val="15"/>
                              <w:lang w:val="fr-BE"/>
                            </w:rPr>
                            <w:br/>
                            <w:t>Avenue des Arts 56, B-1000 Brussels</w:t>
                          </w:r>
                          <w:r w:rsidRPr="00EC3A26">
                            <w:rPr>
                              <w:rFonts w:ascii="Tahoma" w:hAnsi="Tahoma" w:cs="Tahoma"/>
                              <w:color w:val="A6A6A6"/>
                              <w:sz w:val="15"/>
                              <w:szCs w:val="15"/>
                              <w:lang w:val="fr-BE"/>
                            </w:rPr>
                            <w:br/>
                            <w:t>+32 (0)2 508 37 11 Phone</w:t>
                          </w:r>
                          <w:r w:rsidRPr="00EC3A26">
                            <w:rPr>
                              <w:rFonts w:ascii="Tahoma" w:hAnsi="Tahoma" w:cs="Tahoma"/>
                              <w:color w:val="A6A6A6"/>
                              <w:sz w:val="15"/>
                              <w:szCs w:val="15"/>
                              <w:lang w:val="fr-BE"/>
                            </w:rPr>
                            <w:br/>
                            <w:t>+32 (0)2 511 23 28 Fax</w:t>
                          </w:r>
                          <w:r w:rsidRPr="00EC3A26">
                            <w:rPr>
                              <w:rFonts w:ascii="Tahoma" w:hAnsi="Tahoma" w:cs="Tahoma"/>
                              <w:color w:val="A6A6A6"/>
                              <w:sz w:val="15"/>
                              <w:szCs w:val="15"/>
                              <w:lang w:val="fr-BE"/>
                            </w:rPr>
                            <w:br/>
                          </w:r>
                          <w:hyperlink r:id="rId1" w:history="1">
                            <w:r w:rsidRPr="00EC3A26">
                              <w:rPr>
                                <w:rStyle w:val="Hyperlink"/>
                                <w:rFonts w:ascii="Tahoma" w:hAnsi="Tahoma" w:cs="Tahoma"/>
                                <w:sz w:val="15"/>
                                <w:szCs w:val="15"/>
                                <w:lang w:val="fr-BE"/>
                              </w:rPr>
                              <w:t>www.ebf-fbe.eu</w:t>
                            </w:r>
                          </w:hyperlink>
                        </w:p>
                        <w:p w14:paraId="3920BEC2" w14:textId="77777777" w:rsidR="00AA4D21" w:rsidRPr="00F77EAA" w:rsidRDefault="00AA4D21">
                          <w:pPr>
                            <w:rPr>
                              <w:lang w:val="fr-B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0BEB6" id="_x0000_t202" coordsize="21600,21600" o:spt="202" path="m,l,21600r21600,l21600,xe">
              <v:stroke joinstyle="miter"/>
              <v:path gradientshapeok="t" o:connecttype="rect"/>
            </v:shapetype>
            <v:shape id="Text Box 2" o:spid="_x0000_s1026" type="#_x0000_t202" style="position:absolute;margin-left:8.6pt;margin-top:-14.85pt;width:181.4pt;height:86.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" stroked="f">
              <v:textbox style="mso-fit-shape-to-text:t">
                <w:txbxContent>
                  <w:p w14:paraId="3920BEC1" w14:textId="77777777" w:rsidR="00AA4D21" w:rsidRPr="00EC3A26" w:rsidRDefault="00AA4D21" w:rsidP="00F77EAA">
                    <w:pPr>
                      <w:rPr>
                        <w:rFonts w:ascii="Tahoma" w:hAnsi="Tahoma" w:cs="Tahoma"/>
                        <w:color w:val="A6A6A6"/>
                        <w:sz w:val="15"/>
                        <w:szCs w:val="15"/>
                        <w:lang w:val="fr-BE"/>
                      </w:rPr>
                    </w:pPr>
                    <w:r w:rsidRPr="00EC3A26">
                      <w:rPr>
                        <w:rFonts w:ascii="Tahoma" w:hAnsi="Tahoma" w:cs="Tahoma"/>
                        <w:color w:val="A6A6A6"/>
                        <w:sz w:val="15"/>
                        <w:szCs w:val="15"/>
                        <w:lang w:val="fr-BE"/>
                      </w:rPr>
                      <w:t xml:space="preserve">EBF </w:t>
                    </w:r>
                    <w:proofErr w:type="spellStart"/>
                    <w:r w:rsidRPr="00EC3A26">
                      <w:rPr>
                        <w:rFonts w:ascii="Tahoma" w:hAnsi="Tahoma" w:cs="Tahoma"/>
                        <w:color w:val="A6A6A6"/>
                        <w:sz w:val="15"/>
                        <w:szCs w:val="15"/>
                        <w:lang w:val="fr-BE"/>
                      </w:rPr>
                      <w:t>a.i.s.b.l</w:t>
                    </w:r>
                    <w:proofErr w:type="spellEnd"/>
                    <w:r w:rsidRPr="00EC3A26">
                      <w:rPr>
                        <w:rFonts w:ascii="Tahoma" w:hAnsi="Tahoma" w:cs="Tahoma"/>
                        <w:color w:val="A6A6A6"/>
                        <w:sz w:val="15"/>
                        <w:szCs w:val="15"/>
                        <w:lang w:val="fr-BE"/>
                      </w:rPr>
                      <w:t>.</w:t>
                    </w:r>
                    <w:r w:rsidRPr="00EC3A26">
                      <w:rPr>
                        <w:rFonts w:ascii="Tahoma" w:hAnsi="Tahoma" w:cs="Tahoma"/>
                        <w:color w:val="A6A6A6"/>
                        <w:sz w:val="15"/>
                        <w:szCs w:val="15"/>
                        <w:lang w:val="fr-BE"/>
                      </w:rPr>
                      <w:br/>
                      <w:t>Avenue des Arts 56, B-1000 Brussels</w:t>
                    </w:r>
                    <w:r w:rsidRPr="00EC3A26">
                      <w:rPr>
                        <w:rFonts w:ascii="Tahoma" w:hAnsi="Tahoma" w:cs="Tahoma"/>
                        <w:color w:val="A6A6A6"/>
                        <w:sz w:val="15"/>
                        <w:szCs w:val="15"/>
                        <w:lang w:val="fr-BE"/>
                      </w:rPr>
                      <w:br/>
                      <w:t>+32 (0)2 508 37 11 Phone</w:t>
                    </w:r>
                    <w:r w:rsidRPr="00EC3A26">
                      <w:rPr>
                        <w:rFonts w:ascii="Tahoma" w:hAnsi="Tahoma" w:cs="Tahoma"/>
                        <w:color w:val="A6A6A6"/>
                        <w:sz w:val="15"/>
                        <w:szCs w:val="15"/>
                        <w:lang w:val="fr-BE"/>
                      </w:rPr>
                      <w:br/>
                      <w:t>+32 (0)2 511 23 28 Fax</w:t>
                    </w:r>
                    <w:r w:rsidRPr="00EC3A26">
                      <w:rPr>
                        <w:rFonts w:ascii="Tahoma" w:hAnsi="Tahoma" w:cs="Tahoma"/>
                        <w:color w:val="A6A6A6"/>
                        <w:sz w:val="15"/>
                        <w:szCs w:val="15"/>
                        <w:lang w:val="fr-BE"/>
                      </w:rPr>
                      <w:br/>
                    </w:r>
                    <w:hyperlink r:id="rId2" w:history="1">
                      <w:r w:rsidRPr="00EC3A26">
                        <w:rPr>
                          <w:rStyle w:val="Hyperlink"/>
                          <w:rFonts w:ascii="Tahoma" w:hAnsi="Tahoma" w:cs="Tahoma"/>
                          <w:sz w:val="15"/>
                          <w:szCs w:val="15"/>
                          <w:lang w:val="fr-BE"/>
                        </w:rPr>
                        <w:t>www.ebf-fbe.eu</w:t>
                      </w:r>
                    </w:hyperlink>
                  </w:p>
                  <w:p w14:paraId="3920BEC2" w14:textId="77777777" w:rsidR="00AA4D21" w:rsidRPr="00F77EAA" w:rsidRDefault="00AA4D21">
                    <w:pPr>
                      <w:rPr>
                        <w:lang w:val="fr-BE"/>
                      </w:rPr>
                    </w:pPr>
                  </w:p>
                </w:txbxContent>
              </v:textbox>
              <w10:wrap type="square"/>
            </v:shape>
          </w:pict>
        </mc:Fallback>
      </mc:AlternateContent>
    </w:r>
    <w:r>
      <w:rPr>
        <w:noProof/>
        <w:lang w:val="en-GB" w:eastAsia="en-GB"/>
      </w:rPr>
      <w:drawing>
        <wp:anchor distT="0" distB="0" distL="114300" distR="114300" simplePos="0" relativeHeight="251657728" behindDoc="0" locked="0" layoutInCell="1" allowOverlap="1" wp14:anchorId="3920BEB8" wp14:editId="3920BEB9">
          <wp:simplePos x="0" y="0"/>
          <wp:positionH relativeFrom="page">
            <wp:posOffset>177800</wp:posOffset>
          </wp:positionH>
          <wp:positionV relativeFrom="paragraph">
            <wp:posOffset>-194310</wp:posOffset>
          </wp:positionV>
          <wp:extent cx="716915" cy="714375"/>
          <wp:effectExtent l="0" t="0" r="6985"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758" t="56570" r="758" b="1282"/>
                  <a:stretch>
                    <a:fillRect/>
                  </a:stretch>
                </pic:blipFill>
                <pic:spPr bwMode="auto">
                  <a:xfrm>
                    <a:off x="0" y="0"/>
                    <a:ext cx="716915" cy="714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0BEAE" w14:textId="77777777" w:rsidR="00AA4D21" w:rsidRDefault="00AA4D21" w:rsidP="00F77EAA">
      <w:pPr>
        <w:spacing w:after="0" w:line="240" w:lineRule="auto"/>
      </w:pPr>
      <w:r>
        <w:separator/>
      </w:r>
    </w:p>
  </w:footnote>
  <w:footnote w:type="continuationSeparator" w:id="0">
    <w:p w14:paraId="3920BEAF" w14:textId="77777777" w:rsidR="00AA4D21" w:rsidRDefault="00AA4D21" w:rsidP="00F77EAA">
      <w:pPr>
        <w:spacing w:after="0" w:line="240" w:lineRule="auto"/>
      </w:pPr>
      <w:r>
        <w:continuationSeparator/>
      </w:r>
    </w:p>
  </w:footnote>
  <w:footnote w:id="1">
    <w:p w14:paraId="0C9F1810" w14:textId="12BE9E5B" w:rsidR="00833441" w:rsidRPr="00833441" w:rsidRDefault="00833441">
      <w:pPr>
        <w:pStyle w:val="FootnoteText"/>
        <w:rPr>
          <w:lang w:val="en-GB"/>
        </w:rPr>
      </w:pPr>
      <w:r>
        <w:rPr>
          <w:rStyle w:val="FootnoteReference"/>
        </w:rPr>
        <w:footnoteRef/>
      </w:r>
      <w:r w:rsidRPr="00833441">
        <w:rPr>
          <w:lang w:val="en-GB"/>
        </w:rPr>
        <w:t xml:space="preserve"> </w:t>
      </w:r>
      <w:r>
        <w:rPr>
          <w:lang w:val="en-GB"/>
        </w:rPr>
        <w:t>Contact person at the EBF Secretariat: Gonzalo Gasos (</w:t>
      </w:r>
      <w:hyperlink r:id="rId1" w:history="1">
        <w:r w:rsidRPr="001769E8">
          <w:rPr>
            <w:rStyle w:val="Hyperlink"/>
            <w:lang w:val="en-GB"/>
          </w:rPr>
          <w:t>g.gasos@ebf-fbe.eu</w:t>
        </w:r>
      </w:hyperlink>
      <w:r>
        <w:rPr>
          <w:lang w:val="en-GB"/>
        </w:rPr>
        <w:t xml:space="preserve">). </w:t>
      </w:r>
    </w:p>
  </w:footnote>
  <w:footnote w:id="2">
    <w:p w14:paraId="3920BEBA" w14:textId="77777777" w:rsidR="00AA4D21" w:rsidRPr="00787A4E" w:rsidRDefault="00AA4D21" w:rsidP="00702CF4">
      <w:pPr>
        <w:pStyle w:val="FootnoteText"/>
        <w:rPr>
          <w:lang w:val="en-GB"/>
        </w:rPr>
      </w:pPr>
      <w:r>
        <w:rPr>
          <w:rStyle w:val="FootnoteReference"/>
        </w:rPr>
        <w:footnoteRef/>
      </w:r>
      <w:r w:rsidRPr="00503EA5">
        <w:rPr>
          <w:lang w:val="en-GB"/>
        </w:rPr>
        <w:t xml:space="preserve"> G</w:t>
      </w:r>
      <w:r>
        <w:rPr>
          <w:lang w:val="en-GB"/>
        </w:rPr>
        <w:t xml:space="preserve">uidelines for the joint assessment of the elements covered by the supervisory review and evaluation process (SREP) and the joint decision regarding the capital adequacy of cross-border groups </w:t>
      </w:r>
      <w:r w:rsidRPr="00503EA5">
        <w:rPr>
          <w:lang w:val="en-GB"/>
        </w:rPr>
        <w:t>(GL39)</w:t>
      </w:r>
      <w:r>
        <w:rPr>
          <w:lang w:val="en-GB"/>
        </w:rPr>
        <w:t xml:space="preserve">. </w:t>
      </w:r>
    </w:p>
  </w:footnote>
  <w:footnote w:id="3">
    <w:p w14:paraId="03C12E51" w14:textId="67CD478D" w:rsidR="00C9054E" w:rsidRPr="002A05C2" w:rsidRDefault="00C9054E">
      <w:pPr>
        <w:pStyle w:val="FootnoteText"/>
        <w:rPr>
          <w:lang w:val="en-GB"/>
        </w:rPr>
      </w:pPr>
      <w:r>
        <w:rPr>
          <w:rStyle w:val="FootnoteReference"/>
        </w:rPr>
        <w:footnoteRef/>
      </w:r>
      <w:r w:rsidRPr="002A05C2">
        <w:rPr>
          <w:lang w:val="en-GB"/>
        </w:rPr>
        <w:t xml:space="preserve"> </w:t>
      </w:r>
      <w:r>
        <w:rPr>
          <w:lang w:val="en-GB"/>
        </w:rPr>
        <w:t xml:space="preserve">Regulation (EU) No 575/2013 (“Capital Requirements Regulation”). </w:t>
      </w:r>
    </w:p>
  </w:footnote>
  <w:footnote w:id="4">
    <w:p w14:paraId="02A42836" w14:textId="0B572E08" w:rsidR="00C9054E" w:rsidRPr="002A05C2" w:rsidRDefault="00C9054E">
      <w:pPr>
        <w:pStyle w:val="FootnoteText"/>
        <w:rPr>
          <w:lang w:val="en-GB"/>
        </w:rPr>
      </w:pPr>
      <w:r>
        <w:rPr>
          <w:rStyle w:val="FootnoteReference"/>
        </w:rPr>
        <w:footnoteRef/>
      </w:r>
      <w:r w:rsidRPr="002A05C2">
        <w:rPr>
          <w:lang w:val="en-GB"/>
        </w:rPr>
        <w:t xml:space="preserve"> </w:t>
      </w:r>
      <w:r>
        <w:rPr>
          <w:lang w:val="en-GB"/>
        </w:rPr>
        <w:t xml:space="preserve">Directive 2013/36/EU (“Capital Requirements Directive IV”). </w:t>
      </w:r>
    </w:p>
  </w:footnote>
  <w:footnote w:id="5">
    <w:p w14:paraId="3920BEBB" w14:textId="77777777" w:rsidR="00AA4D21" w:rsidRPr="00787A4E" w:rsidRDefault="00AA4D21">
      <w:pPr>
        <w:pStyle w:val="FootnoteText"/>
        <w:rPr>
          <w:lang w:val="en-GB"/>
        </w:rPr>
      </w:pPr>
      <w:r>
        <w:rPr>
          <w:rStyle w:val="FootnoteReference"/>
        </w:rPr>
        <w:footnoteRef/>
      </w:r>
      <w:r w:rsidRPr="00787A4E">
        <w:rPr>
          <w:lang w:val="en-GB"/>
        </w:rPr>
        <w:t xml:space="preserve"> </w:t>
      </w:r>
      <w:r w:rsidRPr="00323EDA">
        <w:rPr>
          <w:lang w:val="en-GB"/>
        </w:rPr>
        <w:t>EBA/RTS/2014/12</w:t>
      </w:r>
      <w:r>
        <w:rPr>
          <w:lang w:val="en-GB"/>
        </w:rPr>
        <w:t xml:space="preserve"> where </w:t>
      </w:r>
      <w:r w:rsidRPr="007133B8">
        <w:rPr>
          <w:lang w:val="en-GB"/>
        </w:rPr>
        <w:t>Article 5(3) (a) (iii) refers to CRD IV.</w:t>
      </w:r>
    </w:p>
  </w:footnote>
  <w:footnote w:id="6">
    <w:p w14:paraId="0D23BA54" w14:textId="77777777" w:rsidR="00135122" w:rsidRPr="00787A4E" w:rsidRDefault="00135122" w:rsidP="00135122">
      <w:pPr>
        <w:pStyle w:val="FootnoteText"/>
        <w:ind w:left="142" w:hanging="142"/>
        <w:rPr>
          <w:lang w:val="en-GB"/>
        </w:rPr>
      </w:pPr>
      <w:r>
        <w:rPr>
          <w:rStyle w:val="FootnoteReference"/>
        </w:rPr>
        <w:footnoteRef/>
      </w:r>
      <w:r w:rsidRPr="00CC433C">
        <w:rPr>
          <w:lang w:val="en-GB"/>
        </w:rPr>
        <w:t xml:space="preserve"> </w:t>
      </w:r>
      <w:r>
        <w:rPr>
          <w:lang w:val="en-GB"/>
        </w:rPr>
        <w:tab/>
        <w:t>Point 14: “</w:t>
      </w:r>
      <w:r w:rsidRPr="00CC433C">
        <w:rPr>
          <w:lang w:val="en-GB"/>
        </w:rPr>
        <w:t>In the spirit of ICAAP-SREP dialogue discussed in the GL 03, the process of</w:t>
      </w:r>
      <w:r>
        <w:rPr>
          <w:lang w:val="en-GB"/>
        </w:rPr>
        <w:t xml:space="preserve"> </w:t>
      </w:r>
      <w:r w:rsidRPr="00CC433C">
        <w:rPr>
          <w:lang w:val="en-GB"/>
        </w:rPr>
        <w:t xml:space="preserve">the joint assessment should involve a </w:t>
      </w:r>
      <w:r w:rsidRPr="004373F8">
        <w:rPr>
          <w:lang w:val="en-GB"/>
        </w:rPr>
        <w:t>close interaction with the banking group</w:t>
      </w:r>
      <w:r w:rsidRPr="00CC433C">
        <w:rPr>
          <w:lang w:val="en-GB"/>
        </w:rPr>
        <w:t xml:space="preserve"> in question</w:t>
      </w:r>
      <w:r>
        <w:rPr>
          <w:lang w:val="en-GB"/>
        </w:rPr>
        <w:t xml:space="preserve">”. </w:t>
      </w:r>
    </w:p>
  </w:footnote>
  <w:footnote w:id="7">
    <w:p w14:paraId="2EAFE5FF" w14:textId="77777777" w:rsidR="00135122" w:rsidRPr="00787A4E" w:rsidRDefault="00135122" w:rsidP="00135122">
      <w:pPr>
        <w:pStyle w:val="FootnoteText"/>
        <w:ind w:left="142" w:hanging="142"/>
        <w:rPr>
          <w:lang w:val="en-GB"/>
        </w:rPr>
      </w:pPr>
      <w:r>
        <w:rPr>
          <w:rStyle w:val="FootnoteReference"/>
        </w:rPr>
        <w:footnoteRef/>
      </w:r>
      <w:r w:rsidRPr="00F641CD">
        <w:rPr>
          <w:lang w:val="en-GB"/>
        </w:rPr>
        <w:t xml:space="preserve"> </w:t>
      </w:r>
      <w:r>
        <w:rPr>
          <w:lang w:val="en-GB"/>
        </w:rPr>
        <w:tab/>
        <w:t>Point 14: “D</w:t>
      </w:r>
      <w:r w:rsidRPr="00F641CD">
        <w:rPr>
          <w:lang w:val="en-GB"/>
        </w:rPr>
        <w:t>ialogue between the group, its entities, and relevant supervisors to</w:t>
      </w:r>
      <w:r>
        <w:rPr>
          <w:lang w:val="en-GB"/>
        </w:rPr>
        <w:t xml:space="preserve"> </w:t>
      </w:r>
      <w:r w:rsidRPr="00F641CD">
        <w:rPr>
          <w:lang w:val="en-GB"/>
        </w:rPr>
        <w:t>discuss the results of the assessment</w:t>
      </w:r>
      <w:r>
        <w:rPr>
          <w:lang w:val="en-GB"/>
        </w:rPr>
        <w:t xml:space="preserve">”. </w:t>
      </w:r>
    </w:p>
  </w:footnote>
  <w:footnote w:id="8">
    <w:p w14:paraId="75639B38" w14:textId="1C4F3B3B" w:rsidR="004B56A2" w:rsidRPr="004373F8" w:rsidRDefault="004B56A2">
      <w:pPr>
        <w:pStyle w:val="FootnoteText"/>
        <w:rPr>
          <w:lang w:val="en-GB"/>
        </w:rPr>
      </w:pPr>
      <w:r>
        <w:rPr>
          <w:rStyle w:val="FootnoteReference"/>
        </w:rPr>
        <w:footnoteRef/>
      </w:r>
      <w:r w:rsidRPr="004373F8">
        <w:rPr>
          <w:lang w:val="en-GB"/>
        </w:rPr>
        <w:t xml:space="preserve"> </w:t>
      </w:r>
      <w:hyperlink r:id="rId2" w:history="1">
        <w:r w:rsidRPr="004B56A2">
          <w:rPr>
            <w:rStyle w:val="Hyperlink"/>
            <w:lang w:val="en-GB"/>
          </w:rPr>
          <w:t>Link to Implementing Regulation 710/2014 (see Annex II; Table 2; Line F)</w:t>
        </w:r>
      </w:hyperlink>
      <w:r>
        <w:rPr>
          <w:lang w:val="en-GB"/>
        </w:rPr>
        <w:t xml:space="preserve">. </w:t>
      </w:r>
    </w:p>
  </w:footnote>
  <w:footnote w:id="9">
    <w:p w14:paraId="3920BEBF" w14:textId="77777777" w:rsidR="00AA4D21" w:rsidRPr="002A05C2" w:rsidRDefault="00AA4D21">
      <w:pPr>
        <w:pStyle w:val="FootnoteText"/>
        <w:rPr>
          <w:rFonts w:ascii="Times New Roman" w:hAnsi="Times New Roman"/>
          <w:lang w:val="en-GB"/>
        </w:rPr>
      </w:pPr>
      <w:r>
        <w:rPr>
          <w:rStyle w:val="FootnoteReference"/>
        </w:rPr>
        <w:footnoteRef/>
      </w:r>
      <w:r w:rsidRPr="00787A4E">
        <w:rPr>
          <w:lang w:val="en-GB"/>
        </w:rPr>
        <w:t xml:space="preserve"> </w:t>
      </w:r>
      <w:r w:rsidRPr="002A05C2">
        <w:rPr>
          <w:rFonts w:ascii="Times New Roman" w:hAnsi="Times New Roman"/>
          <w:lang w:val="en-GB"/>
        </w:rPr>
        <w:t>Paragraph 225(b</w:t>
      </w:r>
      <w:proofErr w:type="gramStart"/>
      <w:r w:rsidRPr="002A05C2">
        <w:rPr>
          <w:rFonts w:ascii="Times New Roman" w:hAnsi="Times New Roman"/>
          <w:lang w:val="en-GB"/>
        </w:rPr>
        <w:t>)(</w:t>
      </w:r>
      <w:proofErr w:type="gramEnd"/>
      <w:r w:rsidRPr="002A05C2">
        <w:rPr>
          <w:rFonts w:ascii="Times New Roman" w:hAnsi="Times New Roman"/>
          <w:lang w:val="en-GB"/>
        </w:rPr>
        <w:t xml:space="preserve">ii).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BEB2" w14:textId="77777777" w:rsidR="00AA4D21" w:rsidRDefault="00787A4E">
    <w:pPr>
      <w:pStyle w:val="Header"/>
    </w:pPr>
    <w:r>
      <w:rPr>
        <w:noProof/>
        <w:lang w:val="en-GB" w:eastAsia="en-GB"/>
      </w:rPr>
      <w:drawing>
        <wp:anchor distT="0" distB="0" distL="114300" distR="114300" simplePos="0" relativeHeight="251656704" behindDoc="0" locked="0" layoutInCell="1" allowOverlap="1" wp14:anchorId="3920BEB4" wp14:editId="3920BEB5">
          <wp:simplePos x="0" y="0"/>
          <wp:positionH relativeFrom="column">
            <wp:posOffset>-709295</wp:posOffset>
          </wp:positionH>
          <wp:positionV relativeFrom="paragraph">
            <wp:posOffset>-259080</wp:posOffset>
          </wp:positionV>
          <wp:extent cx="1371600" cy="4959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FD9"/>
    <w:multiLevelType w:val="hybridMultilevel"/>
    <w:tmpl w:val="5A10B19C"/>
    <w:lvl w:ilvl="0" w:tplc="BE20721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CCE70F2"/>
    <w:multiLevelType w:val="hybridMultilevel"/>
    <w:tmpl w:val="D78A5354"/>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509F4"/>
    <w:multiLevelType w:val="hybridMultilevel"/>
    <w:tmpl w:val="EBEC5946"/>
    <w:lvl w:ilvl="0" w:tplc="E46A3B22">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E753FDC"/>
    <w:multiLevelType w:val="hybridMultilevel"/>
    <w:tmpl w:val="41CA2F8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EDA72F5"/>
    <w:multiLevelType w:val="hybridMultilevel"/>
    <w:tmpl w:val="C200123C"/>
    <w:lvl w:ilvl="0" w:tplc="0813000F">
      <w:start w:val="1"/>
      <w:numFmt w:val="decimal"/>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nsid w:val="0EF44CE3"/>
    <w:multiLevelType w:val="hybridMultilevel"/>
    <w:tmpl w:val="7CB0DBC6"/>
    <w:lvl w:ilvl="0" w:tplc="D75C5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1E66B6"/>
    <w:multiLevelType w:val="hybridMultilevel"/>
    <w:tmpl w:val="244A9850"/>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22FA7"/>
    <w:multiLevelType w:val="hybridMultilevel"/>
    <w:tmpl w:val="AC301C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57F4CF2"/>
    <w:multiLevelType w:val="hybridMultilevel"/>
    <w:tmpl w:val="3F60A4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5E937B6"/>
    <w:multiLevelType w:val="hybridMultilevel"/>
    <w:tmpl w:val="FB489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AB3C58"/>
    <w:multiLevelType w:val="hybridMultilevel"/>
    <w:tmpl w:val="C9EE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7255BB"/>
    <w:multiLevelType w:val="hybridMultilevel"/>
    <w:tmpl w:val="574A2F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E764CDB"/>
    <w:multiLevelType w:val="hybridMultilevel"/>
    <w:tmpl w:val="27F672F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AA7FA3"/>
    <w:multiLevelType w:val="hybridMultilevel"/>
    <w:tmpl w:val="A720FAA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AD642F"/>
    <w:multiLevelType w:val="hybridMultilevel"/>
    <w:tmpl w:val="62747D7E"/>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FE1696"/>
    <w:multiLevelType w:val="hybridMultilevel"/>
    <w:tmpl w:val="59E077EE"/>
    <w:lvl w:ilvl="0" w:tplc="0809000F">
      <w:start w:val="1"/>
      <w:numFmt w:val="decimal"/>
      <w:lvlText w:val="%1."/>
      <w:lvlJc w:val="left"/>
      <w:pPr>
        <w:ind w:left="1068" w:hanging="360"/>
      </w:pPr>
      <w:rPr>
        <w:rFonts w:cs="Times New Roman"/>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16">
    <w:nsid w:val="2F8B11C3"/>
    <w:multiLevelType w:val="hybridMultilevel"/>
    <w:tmpl w:val="0FD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66650B"/>
    <w:multiLevelType w:val="hybridMultilevel"/>
    <w:tmpl w:val="4E707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8DA3818"/>
    <w:multiLevelType w:val="hybridMultilevel"/>
    <w:tmpl w:val="BC72FABA"/>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BE7319"/>
    <w:multiLevelType w:val="hybridMultilevel"/>
    <w:tmpl w:val="AD505E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C6C320A"/>
    <w:multiLevelType w:val="hybridMultilevel"/>
    <w:tmpl w:val="B588D8D0"/>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D5362B0"/>
    <w:multiLevelType w:val="hybridMultilevel"/>
    <w:tmpl w:val="45D09B30"/>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3EE3BF6"/>
    <w:multiLevelType w:val="hybridMultilevel"/>
    <w:tmpl w:val="A1F81C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5B6869A2"/>
    <w:multiLevelType w:val="hybridMultilevel"/>
    <w:tmpl w:val="94D094E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DC5250F"/>
    <w:multiLevelType w:val="hybridMultilevel"/>
    <w:tmpl w:val="DB2015C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DE0901"/>
    <w:multiLevelType w:val="hybridMultilevel"/>
    <w:tmpl w:val="51D481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FF87469"/>
    <w:multiLevelType w:val="hybridMultilevel"/>
    <w:tmpl w:val="7330812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2540F06"/>
    <w:multiLevelType w:val="hybridMultilevel"/>
    <w:tmpl w:val="2140EF5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26067D"/>
    <w:multiLevelType w:val="hybridMultilevel"/>
    <w:tmpl w:val="2B36F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54E1F21"/>
    <w:multiLevelType w:val="hybridMultilevel"/>
    <w:tmpl w:val="D562BC90"/>
    <w:lvl w:ilvl="0" w:tplc="BE20721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nsid w:val="6F5611A0"/>
    <w:multiLevelType w:val="hybridMultilevel"/>
    <w:tmpl w:val="AF8AD52E"/>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606F72"/>
    <w:multiLevelType w:val="hybridMultilevel"/>
    <w:tmpl w:val="77B8291E"/>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231AF8"/>
    <w:multiLevelType w:val="hybridMultilevel"/>
    <w:tmpl w:val="A39E8C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6"/>
  </w:num>
  <w:num w:numId="4">
    <w:abstractNumId w:val="23"/>
  </w:num>
  <w:num w:numId="5">
    <w:abstractNumId w:val="27"/>
  </w:num>
  <w:num w:numId="6">
    <w:abstractNumId w:val="12"/>
  </w:num>
  <w:num w:numId="7">
    <w:abstractNumId w:val="31"/>
  </w:num>
  <w:num w:numId="8">
    <w:abstractNumId w:val="8"/>
  </w:num>
  <w:num w:numId="9">
    <w:abstractNumId w:val="20"/>
  </w:num>
  <w:num w:numId="10">
    <w:abstractNumId w:val="21"/>
  </w:num>
  <w:num w:numId="11">
    <w:abstractNumId w:val="11"/>
  </w:num>
  <w:num w:numId="12">
    <w:abstractNumId w:val="30"/>
  </w:num>
  <w:num w:numId="13">
    <w:abstractNumId w:val="15"/>
  </w:num>
  <w:num w:numId="14">
    <w:abstractNumId w:val="25"/>
  </w:num>
  <w:num w:numId="15">
    <w:abstractNumId w:val="7"/>
  </w:num>
  <w:num w:numId="16">
    <w:abstractNumId w:val="14"/>
  </w:num>
  <w:num w:numId="17">
    <w:abstractNumId w:val="24"/>
  </w:num>
  <w:num w:numId="18">
    <w:abstractNumId w:val="17"/>
  </w:num>
  <w:num w:numId="19">
    <w:abstractNumId w:val="22"/>
  </w:num>
  <w:num w:numId="20">
    <w:abstractNumId w:val="16"/>
  </w:num>
  <w:num w:numId="21">
    <w:abstractNumId w:val="19"/>
  </w:num>
  <w:num w:numId="22">
    <w:abstractNumId w:val="3"/>
  </w:num>
  <w:num w:numId="23">
    <w:abstractNumId w:val="0"/>
  </w:num>
  <w:num w:numId="24">
    <w:abstractNumId w:val="29"/>
  </w:num>
  <w:num w:numId="25">
    <w:abstractNumId w:val="9"/>
  </w:num>
  <w:num w:numId="26">
    <w:abstractNumId w:val="5"/>
  </w:num>
  <w:num w:numId="27">
    <w:abstractNumId w:val="32"/>
  </w:num>
  <w:num w:numId="28">
    <w:abstractNumId w:val="2"/>
  </w:num>
  <w:num w:numId="29">
    <w:abstractNumId w:val="28"/>
  </w:num>
  <w:num w:numId="30">
    <w:abstractNumId w:val="10"/>
  </w:num>
  <w:num w:numId="31">
    <w:abstractNumId w:val="13"/>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20C01"/>
    <w:rsid w:val="00032463"/>
    <w:rsid w:val="000467E8"/>
    <w:rsid w:val="000B3F46"/>
    <w:rsid w:val="000C0F92"/>
    <w:rsid w:val="00102341"/>
    <w:rsid w:val="00105038"/>
    <w:rsid w:val="0010695B"/>
    <w:rsid w:val="001147A6"/>
    <w:rsid w:val="001178DB"/>
    <w:rsid w:val="0013013B"/>
    <w:rsid w:val="0013073D"/>
    <w:rsid w:val="00132BA2"/>
    <w:rsid w:val="00135122"/>
    <w:rsid w:val="0016190B"/>
    <w:rsid w:val="00170489"/>
    <w:rsid w:val="001733E9"/>
    <w:rsid w:val="001A30F5"/>
    <w:rsid w:val="001C18DE"/>
    <w:rsid w:val="001E446D"/>
    <w:rsid w:val="001E668E"/>
    <w:rsid w:val="002070D0"/>
    <w:rsid w:val="00221110"/>
    <w:rsid w:val="00270B65"/>
    <w:rsid w:val="00271885"/>
    <w:rsid w:val="002A05C2"/>
    <w:rsid w:val="002B4388"/>
    <w:rsid w:val="002E3B58"/>
    <w:rsid w:val="00323EDA"/>
    <w:rsid w:val="00336977"/>
    <w:rsid w:val="00351D26"/>
    <w:rsid w:val="00370F9B"/>
    <w:rsid w:val="0039142C"/>
    <w:rsid w:val="00397150"/>
    <w:rsid w:val="003A51CF"/>
    <w:rsid w:val="003C4391"/>
    <w:rsid w:val="003E45BE"/>
    <w:rsid w:val="0040022C"/>
    <w:rsid w:val="00423D20"/>
    <w:rsid w:val="0042667D"/>
    <w:rsid w:val="004373F8"/>
    <w:rsid w:val="004463B3"/>
    <w:rsid w:val="00475D31"/>
    <w:rsid w:val="00487A6A"/>
    <w:rsid w:val="004A6416"/>
    <w:rsid w:val="004B01D9"/>
    <w:rsid w:val="004B56A2"/>
    <w:rsid w:val="004C3977"/>
    <w:rsid w:val="004E500C"/>
    <w:rsid w:val="00503EA5"/>
    <w:rsid w:val="00537600"/>
    <w:rsid w:val="0054452C"/>
    <w:rsid w:val="00560094"/>
    <w:rsid w:val="005606C3"/>
    <w:rsid w:val="00584932"/>
    <w:rsid w:val="005870BC"/>
    <w:rsid w:val="00590E80"/>
    <w:rsid w:val="00591AEF"/>
    <w:rsid w:val="005A7140"/>
    <w:rsid w:val="005B61BC"/>
    <w:rsid w:val="005D0759"/>
    <w:rsid w:val="005D375E"/>
    <w:rsid w:val="005E3798"/>
    <w:rsid w:val="005E41B9"/>
    <w:rsid w:val="0060582F"/>
    <w:rsid w:val="00620F70"/>
    <w:rsid w:val="00627ABA"/>
    <w:rsid w:val="00631181"/>
    <w:rsid w:val="006600BD"/>
    <w:rsid w:val="006752DC"/>
    <w:rsid w:val="00677F3F"/>
    <w:rsid w:val="00690E14"/>
    <w:rsid w:val="006A1C1C"/>
    <w:rsid w:val="006A4795"/>
    <w:rsid w:val="006A709D"/>
    <w:rsid w:val="006B60D5"/>
    <w:rsid w:val="006D6DC7"/>
    <w:rsid w:val="00702CF4"/>
    <w:rsid w:val="007133B8"/>
    <w:rsid w:val="00721CB7"/>
    <w:rsid w:val="00722933"/>
    <w:rsid w:val="00782F27"/>
    <w:rsid w:val="00787A4E"/>
    <w:rsid w:val="007B4773"/>
    <w:rsid w:val="007C19FF"/>
    <w:rsid w:val="007C1EC2"/>
    <w:rsid w:val="007C62D0"/>
    <w:rsid w:val="008167D9"/>
    <w:rsid w:val="00817090"/>
    <w:rsid w:val="00826D71"/>
    <w:rsid w:val="008303DF"/>
    <w:rsid w:val="00833441"/>
    <w:rsid w:val="008436ED"/>
    <w:rsid w:val="00853C00"/>
    <w:rsid w:val="0086362D"/>
    <w:rsid w:val="008B0231"/>
    <w:rsid w:val="008D4015"/>
    <w:rsid w:val="008F0537"/>
    <w:rsid w:val="008F7DAC"/>
    <w:rsid w:val="009165BD"/>
    <w:rsid w:val="009179B5"/>
    <w:rsid w:val="00920CF4"/>
    <w:rsid w:val="00923FE4"/>
    <w:rsid w:val="00931066"/>
    <w:rsid w:val="00942494"/>
    <w:rsid w:val="00946BB9"/>
    <w:rsid w:val="009706EE"/>
    <w:rsid w:val="00977A86"/>
    <w:rsid w:val="0098533D"/>
    <w:rsid w:val="009A2DE2"/>
    <w:rsid w:val="009A45EB"/>
    <w:rsid w:val="009B4387"/>
    <w:rsid w:val="009C4A5E"/>
    <w:rsid w:val="009C7D6D"/>
    <w:rsid w:val="009D1FE6"/>
    <w:rsid w:val="009F2F86"/>
    <w:rsid w:val="00A01E8D"/>
    <w:rsid w:val="00A31FD5"/>
    <w:rsid w:val="00A46486"/>
    <w:rsid w:val="00A7468C"/>
    <w:rsid w:val="00A937FA"/>
    <w:rsid w:val="00AA0B93"/>
    <w:rsid w:val="00AA42C0"/>
    <w:rsid w:val="00AA4D21"/>
    <w:rsid w:val="00AB2260"/>
    <w:rsid w:val="00AB67A8"/>
    <w:rsid w:val="00AD49B2"/>
    <w:rsid w:val="00AD6CB9"/>
    <w:rsid w:val="00AE0C65"/>
    <w:rsid w:val="00AE789E"/>
    <w:rsid w:val="00B03F21"/>
    <w:rsid w:val="00B041F6"/>
    <w:rsid w:val="00B152AC"/>
    <w:rsid w:val="00B259DC"/>
    <w:rsid w:val="00B36F99"/>
    <w:rsid w:val="00B55277"/>
    <w:rsid w:val="00B610BC"/>
    <w:rsid w:val="00C14380"/>
    <w:rsid w:val="00C5476A"/>
    <w:rsid w:val="00C579EB"/>
    <w:rsid w:val="00C64678"/>
    <w:rsid w:val="00C85B1D"/>
    <w:rsid w:val="00C9054E"/>
    <w:rsid w:val="00C92298"/>
    <w:rsid w:val="00CA4BD4"/>
    <w:rsid w:val="00CC433C"/>
    <w:rsid w:val="00CD1E97"/>
    <w:rsid w:val="00CD2213"/>
    <w:rsid w:val="00CD2DE5"/>
    <w:rsid w:val="00CD6C58"/>
    <w:rsid w:val="00CF7F65"/>
    <w:rsid w:val="00D15DED"/>
    <w:rsid w:val="00D24E2B"/>
    <w:rsid w:val="00D26088"/>
    <w:rsid w:val="00D35E1C"/>
    <w:rsid w:val="00D36963"/>
    <w:rsid w:val="00D530F3"/>
    <w:rsid w:val="00DD0225"/>
    <w:rsid w:val="00DD33F2"/>
    <w:rsid w:val="00DE1992"/>
    <w:rsid w:val="00DF792C"/>
    <w:rsid w:val="00E05D95"/>
    <w:rsid w:val="00E1586C"/>
    <w:rsid w:val="00E266B0"/>
    <w:rsid w:val="00E30C2F"/>
    <w:rsid w:val="00E3224C"/>
    <w:rsid w:val="00E70B2D"/>
    <w:rsid w:val="00E771AD"/>
    <w:rsid w:val="00E95303"/>
    <w:rsid w:val="00EC3A26"/>
    <w:rsid w:val="00F21FA8"/>
    <w:rsid w:val="00F362B6"/>
    <w:rsid w:val="00F52244"/>
    <w:rsid w:val="00F641CD"/>
    <w:rsid w:val="00F77EAA"/>
    <w:rsid w:val="00F83248"/>
    <w:rsid w:val="00F918C7"/>
    <w:rsid w:val="00FA42A7"/>
    <w:rsid w:val="00FB52DA"/>
    <w:rsid w:val="00FE17ED"/>
    <w:rsid w:val="00FF50BD"/>
    <w:rsid w:val="00FF78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920BE12"/>
  <w15:docId w15:val="{8A82E597-5E23-4750-B208-F636C3AF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6D"/>
    <w:pPr>
      <w:spacing w:after="160" w:line="259" w:lineRule="auto"/>
    </w:pPr>
    <w:rPr>
      <w:lang w:val="nl-BE" w:eastAsia="en-US"/>
    </w:rPr>
  </w:style>
  <w:style w:type="paragraph" w:styleId="Heading1">
    <w:name w:val="heading 1"/>
    <w:basedOn w:val="Normal"/>
    <w:next w:val="Normal"/>
    <w:link w:val="Heading1Char"/>
    <w:uiPriority w:val="99"/>
    <w:qFormat/>
    <w:rsid w:val="00F77EAA"/>
    <w:pPr>
      <w:keepNext/>
      <w:keepLines/>
      <w:spacing w:before="240" w:after="0"/>
      <w:outlineLvl w:val="0"/>
    </w:pPr>
    <w:rPr>
      <w:rFonts w:ascii="Calibri Light" w:eastAsia="Times New Roman" w:hAnsi="Calibri Light"/>
      <w:color w:val="ED7D31"/>
      <w:sz w:val="32"/>
      <w:szCs w:val="32"/>
    </w:rPr>
  </w:style>
  <w:style w:type="paragraph" w:styleId="Heading2">
    <w:name w:val="heading 2"/>
    <w:basedOn w:val="Normal"/>
    <w:next w:val="Normal"/>
    <w:link w:val="Heading2Char"/>
    <w:uiPriority w:val="99"/>
    <w:qFormat/>
    <w:rsid w:val="00F77EAA"/>
    <w:pPr>
      <w:keepNext/>
      <w:keepLines/>
      <w:spacing w:before="40" w:after="0"/>
      <w:outlineLvl w:val="1"/>
    </w:pPr>
    <w:rPr>
      <w:rFonts w:ascii="Calibri Light" w:eastAsia="Times New Roman" w:hAnsi="Calibri Light"/>
      <w:color w:val="ED7D3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EAA"/>
    <w:rPr>
      <w:rFonts w:ascii="Calibri Light" w:hAnsi="Calibri Light" w:cs="Times New Roman"/>
      <w:color w:val="ED7D31"/>
      <w:sz w:val="32"/>
      <w:szCs w:val="32"/>
    </w:rPr>
  </w:style>
  <w:style w:type="character" w:customStyle="1" w:styleId="Heading2Char">
    <w:name w:val="Heading 2 Char"/>
    <w:basedOn w:val="DefaultParagraphFont"/>
    <w:link w:val="Heading2"/>
    <w:uiPriority w:val="99"/>
    <w:locked/>
    <w:rsid w:val="00F77EAA"/>
    <w:rPr>
      <w:rFonts w:ascii="Calibri Light" w:hAnsi="Calibri Light" w:cs="Times New Roman"/>
      <w:color w:val="ED7D31"/>
      <w:sz w:val="26"/>
      <w:szCs w:val="26"/>
    </w:rPr>
  </w:style>
  <w:style w:type="paragraph" w:styleId="BalloonText">
    <w:name w:val="Balloon Text"/>
    <w:basedOn w:val="Normal"/>
    <w:link w:val="BalloonTextChar"/>
    <w:uiPriority w:val="99"/>
    <w:semiHidden/>
    <w:rsid w:val="00AA4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42C0"/>
    <w:rPr>
      <w:rFonts w:ascii="Segoe UI" w:hAnsi="Segoe UI" w:cs="Segoe UI"/>
      <w:sz w:val="18"/>
      <w:szCs w:val="18"/>
    </w:rPr>
  </w:style>
  <w:style w:type="paragraph" w:styleId="Header">
    <w:name w:val="header"/>
    <w:basedOn w:val="Normal"/>
    <w:link w:val="HeaderChar"/>
    <w:uiPriority w:val="99"/>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77EAA"/>
    <w:rPr>
      <w:rFonts w:cs="Times New Roman"/>
    </w:rPr>
  </w:style>
  <w:style w:type="paragraph" w:styleId="Footer">
    <w:name w:val="footer"/>
    <w:basedOn w:val="Normal"/>
    <w:link w:val="FooterChar"/>
    <w:uiPriority w:val="99"/>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77EAA"/>
    <w:rPr>
      <w:rFonts w:cs="Times New Roman"/>
    </w:rPr>
  </w:style>
  <w:style w:type="character" w:styleId="Hyperlink">
    <w:name w:val="Hyperlink"/>
    <w:basedOn w:val="DefaultParagraphFont"/>
    <w:uiPriority w:val="99"/>
    <w:rsid w:val="00F77EAA"/>
    <w:rPr>
      <w:rFonts w:cs="Times New Roman"/>
      <w:color w:val="0563C1"/>
      <w:u w:val="single"/>
    </w:rPr>
  </w:style>
  <w:style w:type="character" w:styleId="IntenseEmphasis">
    <w:name w:val="Intense Emphasis"/>
    <w:basedOn w:val="DefaultParagraphFont"/>
    <w:uiPriority w:val="99"/>
    <w:qFormat/>
    <w:rsid w:val="00F77EAA"/>
    <w:rPr>
      <w:rFonts w:cs="Times New Roman"/>
      <w:i/>
      <w:iCs/>
      <w:color w:val="ED7D31"/>
    </w:rPr>
  </w:style>
  <w:style w:type="table" w:styleId="LightList-Accent3">
    <w:name w:val="Light List Accent 3"/>
    <w:basedOn w:val="TableNormal"/>
    <w:uiPriority w:val="99"/>
    <w:semiHidden/>
    <w:rsid w:val="00F77EAA"/>
    <w:rPr>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paragraph" w:styleId="Subtitle">
    <w:name w:val="Subtitle"/>
    <w:basedOn w:val="Normal"/>
    <w:next w:val="Normal"/>
    <w:link w:val="SubtitleChar"/>
    <w:uiPriority w:val="99"/>
    <w:qFormat/>
    <w:rsid w:val="00C85B1D"/>
    <w:pPr>
      <w:spacing w:after="60" w:line="276" w:lineRule="auto"/>
      <w:outlineLvl w:val="1"/>
    </w:pPr>
    <w:rPr>
      <w:rFonts w:eastAsia="Times New Roman"/>
      <w:color w:val="ED7D31"/>
      <w:sz w:val="28"/>
      <w:szCs w:val="24"/>
      <w:lang w:val="en-US"/>
    </w:rPr>
  </w:style>
  <w:style w:type="character" w:customStyle="1" w:styleId="SubtitleChar">
    <w:name w:val="Subtitle Char"/>
    <w:basedOn w:val="DefaultParagraphFont"/>
    <w:link w:val="Subtitle"/>
    <w:uiPriority w:val="99"/>
    <w:locked/>
    <w:rsid w:val="00C85B1D"/>
    <w:rPr>
      <w:rFonts w:eastAsia="Times New Roman" w:cs="Times New Roman"/>
      <w:color w:val="ED7D31"/>
      <w:sz w:val="24"/>
      <w:szCs w:val="24"/>
      <w:lang w:val="en-US"/>
    </w:rPr>
  </w:style>
  <w:style w:type="paragraph" w:styleId="NoSpacing">
    <w:name w:val="No Spacing"/>
    <w:aliases w:val="text"/>
    <w:uiPriority w:val="99"/>
    <w:qFormat/>
    <w:rsid w:val="00C85B1D"/>
    <w:rPr>
      <w:rFonts w:ascii="Times" w:hAnsi="Times"/>
      <w:sz w:val="24"/>
      <w:lang w:val="en-US" w:eastAsia="en-US"/>
    </w:rPr>
  </w:style>
  <w:style w:type="paragraph" w:styleId="ListParagraph">
    <w:name w:val="List Paragraph"/>
    <w:basedOn w:val="Normal"/>
    <w:uiPriority w:val="99"/>
    <w:qFormat/>
    <w:rsid w:val="00F918C7"/>
    <w:pPr>
      <w:ind w:left="720"/>
      <w:contextualSpacing/>
    </w:pPr>
  </w:style>
  <w:style w:type="paragraph" w:styleId="FootnoteText">
    <w:name w:val="footnote text"/>
    <w:basedOn w:val="Normal"/>
    <w:link w:val="FootnoteTextChar"/>
    <w:uiPriority w:val="99"/>
    <w:semiHidden/>
    <w:rsid w:val="00920CF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20CF4"/>
    <w:rPr>
      <w:rFonts w:cs="Times New Roman"/>
      <w:sz w:val="20"/>
      <w:szCs w:val="20"/>
    </w:rPr>
  </w:style>
  <w:style w:type="character" w:styleId="FootnoteReference">
    <w:name w:val="footnote reference"/>
    <w:basedOn w:val="DefaultParagraphFont"/>
    <w:uiPriority w:val="99"/>
    <w:semiHidden/>
    <w:rsid w:val="00920CF4"/>
    <w:rPr>
      <w:rFonts w:cs="Times New Roman"/>
      <w:vertAlign w:val="superscript"/>
    </w:rPr>
  </w:style>
  <w:style w:type="paragraph" w:styleId="Revision">
    <w:name w:val="Revision"/>
    <w:hidden/>
    <w:uiPriority w:val="99"/>
    <w:semiHidden/>
    <w:rsid w:val="00E70B2D"/>
    <w:rPr>
      <w:lang w:val="nl-BE" w:eastAsia="en-US"/>
    </w:rPr>
  </w:style>
  <w:style w:type="table" w:styleId="TableGrid">
    <w:name w:val="Table Grid"/>
    <w:basedOn w:val="TableNormal"/>
    <w:uiPriority w:val="39"/>
    <w:locked/>
    <w:rsid w:val="009C7D6D"/>
    <w:rPr>
      <w:rFonts w:asciiTheme="minorHAnsi" w:eastAsiaTheme="minorHAnsi"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PDF/?uri=CELEX:32014R0710&amp;from=EN" TargetMode="External"/><Relationship Id="rId1" Type="http://schemas.openxmlformats.org/officeDocument/2006/relationships/hyperlink" Target="mailto:g.gasos@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FileID xmlns="8b76e640-9ff4-4d3b-a80d-ae743ace85eb">16</ReferenceFileID>
    <ReviewURL xmlns="8b76e640-9ff4-4d3b-a80d-ae743ace85eb">
      <Url xsi:nil="true"/>
      <Description xsi:nil="true"/>
    </ReviewURL>
    <DocSource xmlns="8b76e640-9ff4-4d3b-a80d-ae743ace85eb">Internal</DocSource>
    <DocType xmlns="8b76e640-9ff4-4d3b-a80d-ae743ace85eb" xsi:nil="true"/>
    <OriginalDocUrl xmlns="8b76e640-9ff4-4d3b-a80d-ae743ace85eb">
      <Url xsi:nil="true"/>
      <Description xsi:nil="true"/>
    </OriginalDocUrl>
    <DocSnippet xmlns="8b76e640-9ff4-4d3b-a80d-ae743ace85eb">Public Document</DocSnippet>
    <ReferenceVersion xmlns="8b76e640-9ff4-4d3b-a80d-ae743ace85eb">A</ReferenceVersion>
    <DocRef xmlns="8b76e640-9ff4-4d3b-a80d-ae743ace85eb">EBF_010641I</DocRef>
  </documentManagement>
</p:properties>
</file>

<file path=customXml/item3.xml><?xml version="1.0" encoding="utf-8"?>
<ct:contentTypeSchema xmlns:ct="http://schemas.microsoft.com/office/2006/metadata/contentType" xmlns:ma="http://schemas.microsoft.com/office/2006/metadata/properties/metaAttributes" ct:_="" ma:_="" ma:contentTypeName="EBF Document" ma:contentTypeID="0x0101004BE274EDB6DB4922B212C2A6A2929FFF000D32F4040B5CCE49A7F92E39ECCB92F4" ma:contentTypeVersion="13" ma:contentTypeDescription="Create a new document." ma:contentTypeScope="" ma:versionID="8fe4139965ad7444dd8fd9da5c151f18">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2C92-EC42-4C5A-B753-EA1D768D963C}">
  <ds:schemaRefs>
    <ds:schemaRef ds:uri="http://schemas.microsoft.com/sharepoint/v3/contenttype/forms"/>
  </ds:schemaRefs>
</ds:datastoreItem>
</file>

<file path=customXml/itemProps2.xml><?xml version="1.0" encoding="utf-8"?>
<ds:datastoreItem xmlns:ds="http://schemas.openxmlformats.org/officeDocument/2006/customXml" ds:itemID="{09A75731-EA1C-44F3-B0C0-86B083016AA4}">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b76e640-9ff4-4d3b-a80d-ae743ace85eb"/>
    <ds:schemaRef ds:uri="http://schemas.microsoft.com/office/2006/metadata/properties"/>
  </ds:schemaRefs>
</ds:datastoreItem>
</file>

<file path=customXml/itemProps3.xml><?xml version="1.0" encoding="utf-8"?>
<ds:datastoreItem xmlns:ds="http://schemas.openxmlformats.org/officeDocument/2006/customXml" ds:itemID="{F53618BE-8DF8-4154-8EF2-6580F25FF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FA1F4-F6F6-4F47-A99B-3DB3FF97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6568</Words>
  <Characters>37442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43923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Gonzalo Gasos</cp:lastModifiedBy>
  <cp:revision>2</cp:revision>
  <cp:lastPrinted>2014-09-22T18:00:00Z</cp:lastPrinted>
  <dcterms:created xsi:type="dcterms:W3CDTF">2014-10-20T15:01:00Z</dcterms:created>
  <dcterms:modified xsi:type="dcterms:W3CDTF">2014-10-20T15:01:00Z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0x0101004BE274EDB6DB4922B212C2A6A2929FFF000D32F4040B5CCE49A7F92E39ECCB92F4</vt:lpwstr>
  </property>
  <property fmtid="{D5CDD505-2E9C-101B-9397-08002B2CF9AE}" pid="3" name="ReferenceFileID">
    <vt:lpwstr/>
  </property>
  <property fmtid="{D5CDD505-2E9C-101B-9397-08002B2CF9AE}" pid="4" name="DocRef">
    <vt:lpwstr>EBF_010060</vt:lpwstr>
  </property>
  <property fmtid="{D5CDD505-2E9C-101B-9397-08002B2CF9AE}" pid="5" name="DocSnippet">
    <vt:lpwstr>Public Document</vt:lpwstr>
  </property>
  <property fmtid="{D5CDD505-2E9C-101B-9397-08002B2CF9AE}" pid="6" name="ReferenceVersion">
    <vt:lpwstr/>
  </property>
  <property fmtid="{D5CDD505-2E9C-101B-9397-08002B2CF9AE}" pid="7" name="DocSource">
    <vt:lpwstr>Internal</vt:lpwstr>
  </property>
  <property fmtid="{D5CDD505-2E9C-101B-9397-08002B2CF9AE}" pid="8" name="ReviewURL">
    <vt:lpwstr/>
  </property>
  <property fmtid="{D5CDD505-2E9C-101B-9397-08002B2CF9AE}" pid="9" name="DocType">
    <vt:lpwstr/>
  </property>
  <property fmtid="{D5CDD505-2E9C-101B-9397-08002B2CF9AE}" pid="10" name="OriginalDocUrl">
    <vt:lpwstr/>
  </property>
</Properties>
</file>