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9F3" w:rsidRDefault="00C149F3"/>
    <w:tbl>
      <w:tblPr>
        <w:tblStyle w:val="TableGrid"/>
        <w:tblW w:w="0" w:type="auto"/>
        <w:tblInd w:w="108" w:type="dxa"/>
        <w:tblLook w:val="04A0" w:firstRow="1" w:lastRow="0" w:firstColumn="1" w:lastColumn="0" w:noHBand="0" w:noVBand="1"/>
      </w:tblPr>
      <w:tblGrid>
        <w:gridCol w:w="1418"/>
        <w:gridCol w:w="7654"/>
      </w:tblGrid>
      <w:tr w:rsidR="00A964E0" w:rsidTr="00A964E0">
        <w:trPr>
          <w:trHeight w:val="510"/>
        </w:trPr>
        <w:tc>
          <w:tcPr>
            <w:tcW w:w="1418" w:type="dxa"/>
            <w:vAlign w:val="center"/>
          </w:tcPr>
          <w:p w:rsidR="00A964E0" w:rsidRPr="00A964E0" w:rsidRDefault="00A964E0" w:rsidP="00A964E0">
            <w:pPr>
              <w:rPr>
                <w:b/>
              </w:rPr>
            </w:pPr>
            <w:r w:rsidRPr="00A964E0">
              <w:rPr>
                <w:b/>
              </w:rPr>
              <w:t>To:</w:t>
            </w:r>
          </w:p>
        </w:tc>
        <w:tc>
          <w:tcPr>
            <w:tcW w:w="7654" w:type="dxa"/>
            <w:vAlign w:val="center"/>
          </w:tcPr>
          <w:p w:rsidR="00A964E0" w:rsidRDefault="00A964E0" w:rsidP="00A964E0">
            <w:bookmarkStart w:id="0" w:name="bmTo"/>
            <w:bookmarkStart w:id="1" w:name="_GoBack"/>
            <w:bookmarkEnd w:id="0"/>
            <w:bookmarkEnd w:id="1"/>
          </w:p>
        </w:tc>
      </w:tr>
      <w:tr w:rsidR="00A964E0" w:rsidTr="00A964E0">
        <w:trPr>
          <w:trHeight w:val="510"/>
        </w:trPr>
        <w:tc>
          <w:tcPr>
            <w:tcW w:w="1418" w:type="dxa"/>
            <w:vAlign w:val="center"/>
          </w:tcPr>
          <w:p w:rsidR="00A964E0" w:rsidRPr="00A964E0" w:rsidRDefault="00A964E0" w:rsidP="00A964E0">
            <w:pPr>
              <w:rPr>
                <w:b/>
              </w:rPr>
            </w:pPr>
            <w:r w:rsidRPr="00A964E0">
              <w:rPr>
                <w:b/>
              </w:rPr>
              <w:t>CC:</w:t>
            </w:r>
          </w:p>
        </w:tc>
        <w:tc>
          <w:tcPr>
            <w:tcW w:w="7654" w:type="dxa"/>
            <w:vAlign w:val="center"/>
          </w:tcPr>
          <w:p w:rsidR="00A964E0" w:rsidRDefault="00A964E0" w:rsidP="00A964E0">
            <w:bookmarkStart w:id="2" w:name="bmcc"/>
            <w:bookmarkEnd w:id="2"/>
          </w:p>
        </w:tc>
      </w:tr>
      <w:tr w:rsidR="00A964E0" w:rsidTr="00A964E0">
        <w:trPr>
          <w:trHeight w:val="510"/>
        </w:trPr>
        <w:tc>
          <w:tcPr>
            <w:tcW w:w="1418" w:type="dxa"/>
            <w:vAlign w:val="center"/>
          </w:tcPr>
          <w:p w:rsidR="00A964E0" w:rsidRPr="00A964E0" w:rsidRDefault="00A964E0" w:rsidP="00A964E0">
            <w:pPr>
              <w:rPr>
                <w:b/>
              </w:rPr>
            </w:pPr>
            <w:r w:rsidRPr="00A964E0">
              <w:rPr>
                <w:b/>
              </w:rPr>
              <w:t>From:</w:t>
            </w:r>
          </w:p>
        </w:tc>
        <w:tc>
          <w:tcPr>
            <w:tcW w:w="7654" w:type="dxa"/>
            <w:vAlign w:val="center"/>
          </w:tcPr>
          <w:p w:rsidR="00A964E0" w:rsidRDefault="00004A2A" w:rsidP="00A964E0">
            <w:bookmarkStart w:id="3" w:name="bmFrom"/>
            <w:bookmarkEnd w:id="3"/>
            <w:r>
              <w:t>Banking &amp; Payments Federation Ireland</w:t>
            </w:r>
          </w:p>
        </w:tc>
      </w:tr>
      <w:tr w:rsidR="00A964E0" w:rsidTr="00A964E0">
        <w:trPr>
          <w:trHeight w:val="510"/>
        </w:trPr>
        <w:tc>
          <w:tcPr>
            <w:tcW w:w="1418" w:type="dxa"/>
            <w:vAlign w:val="center"/>
          </w:tcPr>
          <w:p w:rsidR="00A964E0" w:rsidRPr="00A964E0" w:rsidRDefault="00A964E0" w:rsidP="00A964E0">
            <w:pPr>
              <w:rPr>
                <w:b/>
              </w:rPr>
            </w:pPr>
            <w:r w:rsidRPr="00A964E0">
              <w:rPr>
                <w:b/>
              </w:rPr>
              <w:t>Date:</w:t>
            </w:r>
          </w:p>
        </w:tc>
        <w:tc>
          <w:tcPr>
            <w:tcW w:w="7654" w:type="dxa"/>
            <w:vAlign w:val="center"/>
          </w:tcPr>
          <w:p w:rsidR="00A964E0" w:rsidRDefault="00004A2A" w:rsidP="00A964E0">
            <w:bookmarkStart w:id="4" w:name="bmDate"/>
            <w:bookmarkEnd w:id="4"/>
            <w:r>
              <w:t>11 November 2014</w:t>
            </w:r>
          </w:p>
        </w:tc>
      </w:tr>
      <w:tr w:rsidR="00A964E0" w:rsidTr="00A964E0">
        <w:trPr>
          <w:trHeight w:val="510"/>
        </w:trPr>
        <w:tc>
          <w:tcPr>
            <w:tcW w:w="1418" w:type="dxa"/>
            <w:vAlign w:val="center"/>
          </w:tcPr>
          <w:p w:rsidR="00A964E0" w:rsidRPr="00A964E0" w:rsidRDefault="00A964E0" w:rsidP="00A964E0">
            <w:pPr>
              <w:rPr>
                <w:b/>
              </w:rPr>
            </w:pPr>
            <w:r w:rsidRPr="00A964E0">
              <w:rPr>
                <w:b/>
              </w:rPr>
              <w:t>Subject:</w:t>
            </w:r>
          </w:p>
        </w:tc>
        <w:tc>
          <w:tcPr>
            <w:tcW w:w="7654" w:type="dxa"/>
            <w:vAlign w:val="center"/>
          </w:tcPr>
          <w:p w:rsidR="00A964E0" w:rsidRDefault="00004A2A" w:rsidP="00A964E0">
            <w:bookmarkStart w:id="5" w:name="bmRe"/>
            <w:bookmarkEnd w:id="5"/>
            <w:r>
              <w:t>EBA Consultation Paper of the Implementation of draft EBA Guidelines on the Security of Internet Payments</w:t>
            </w:r>
          </w:p>
        </w:tc>
      </w:tr>
    </w:tbl>
    <w:p w:rsidR="00A964E0" w:rsidRDefault="00A964E0"/>
    <w:p w:rsidR="00C149F3" w:rsidRDefault="00C149F3" w:rsidP="00442C33">
      <w:pPr>
        <w:pStyle w:val="MemoBody"/>
        <w:rPr>
          <w:lang w:val="en-IE"/>
        </w:rPr>
      </w:pPr>
      <w:bookmarkStart w:id="6" w:name="bmStart"/>
      <w:bookmarkEnd w:id="6"/>
    </w:p>
    <w:tbl>
      <w:tblPr>
        <w:tblStyle w:val="TableGrid"/>
        <w:tblW w:w="0" w:type="auto"/>
        <w:tblLook w:val="04A0" w:firstRow="1" w:lastRow="0" w:firstColumn="1" w:lastColumn="0" w:noHBand="0" w:noVBand="1"/>
      </w:tblPr>
      <w:tblGrid>
        <w:gridCol w:w="9242"/>
      </w:tblGrid>
      <w:tr w:rsidR="00004A2A" w:rsidTr="00FA05E6">
        <w:tc>
          <w:tcPr>
            <w:tcW w:w="9242" w:type="dxa"/>
          </w:tcPr>
          <w:p w:rsidR="00004A2A" w:rsidRDefault="00004A2A" w:rsidP="00FA05E6">
            <w:pPr>
              <w:jc w:val="center"/>
              <w:rPr>
                <w:b/>
                <w:bCs/>
              </w:rPr>
            </w:pPr>
          </w:p>
          <w:p w:rsidR="00004A2A" w:rsidRDefault="00004A2A" w:rsidP="00FA05E6">
            <w:pPr>
              <w:jc w:val="center"/>
              <w:rPr>
                <w:b/>
                <w:bCs/>
              </w:rPr>
            </w:pPr>
            <w:r w:rsidRPr="00C0656E">
              <w:rPr>
                <w:b/>
                <w:bCs/>
              </w:rPr>
              <w:t>Banking and Payments Federation Ireland response to EBA “Consultation Paper on the Implementation of draft EBA Guidelines on the Security of Internet Payments prior to the Transposition of the Revised PSD2”</w:t>
            </w:r>
          </w:p>
          <w:p w:rsidR="00004A2A" w:rsidRDefault="00004A2A" w:rsidP="00FA05E6">
            <w:pPr>
              <w:jc w:val="center"/>
            </w:pPr>
          </w:p>
        </w:tc>
      </w:tr>
    </w:tbl>
    <w:p w:rsidR="00004A2A" w:rsidRDefault="00004A2A" w:rsidP="00004A2A"/>
    <w:tbl>
      <w:tblPr>
        <w:tblStyle w:val="TableGrid"/>
        <w:tblW w:w="0" w:type="auto"/>
        <w:tblLook w:val="04A0" w:firstRow="1" w:lastRow="0" w:firstColumn="1" w:lastColumn="0" w:noHBand="0" w:noVBand="1"/>
      </w:tblPr>
      <w:tblGrid>
        <w:gridCol w:w="9242"/>
      </w:tblGrid>
      <w:tr w:rsidR="00004A2A" w:rsidTr="00FA05E6">
        <w:tc>
          <w:tcPr>
            <w:tcW w:w="9242" w:type="dxa"/>
          </w:tcPr>
          <w:p w:rsidR="00004A2A" w:rsidRDefault="00004A2A" w:rsidP="00FA05E6">
            <w:pPr>
              <w:spacing w:before="240" w:after="240"/>
              <w:rPr>
                <w:b/>
                <w:sz w:val="28"/>
              </w:rPr>
            </w:pPr>
            <w:r w:rsidRPr="009C1588">
              <w:rPr>
                <w:b/>
                <w:sz w:val="28"/>
              </w:rPr>
              <w:t>Background:</w:t>
            </w:r>
          </w:p>
          <w:p w:rsidR="00004A2A" w:rsidRDefault="00004A2A" w:rsidP="00FA05E6">
            <w:pPr>
              <w:spacing w:before="240" w:after="240"/>
            </w:pPr>
            <w:r>
              <w:t xml:space="preserve">On 20 October 2014, the EBA published a </w:t>
            </w:r>
            <w:hyperlink r:id="rId8" w:history="1">
              <w:r w:rsidRPr="0083225A">
                <w:rPr>
                  <w:rStyle w:val="Hyperlink"/>
                </w:rPr>
                <w:t>“Consultation Paper on the Implementation of draft EBA Guidelines on the Security of Internet Payments prior to the Transposition of the Revised PSD2”.</w:t>
              </w:r>
            </w:hyperlink>
            <w:r>
              <w:t xml:space="preserve"> </w:t>
            </w:r>
            <w:r w:rsidRPr="008D66BA">
              <w:t>The EBA invites comments on all proposals put forward in this paper and in part</w:t>
            </w:r>
            <w:r>
              <w:t>icular on the specific question</w:t>
            </w:r>
            <w:r w:rsidRPr="008D66BA">
              <w:t xml:space="preserve"> detailed below.</w:t>
            </w:r>
            <w:r>
              <w:t xml:space="preserve"> The consultation runs until </w:t>
            </w:r>
            <w:r w:rsidRPr="002A5D23">
              <w:rPr>
                <w:b/>
              </w:rPr>
              <w:t>14 November 2014</w:t>
            </w:r>
            <w:r>
              <w:t>.</w:t>
            </w:r>
          </w:p>
          <w:p w:rsidR="00004A2A" w:rsidRPr="00B62A04" w:rsidRDefault="00004A2A" w:rsidP="00FA05E6">
            <w:pPr>
              <w:pStyle w:val="BlockText"/>
              <w:ind w:left="0" w:right="-1"/>
            </w:pPr>
            <w:r>
              <w:t>The EBA document states that comments are most helpful if they:</w:t>
            </w:r>
          </w:p>
          <w:p w:rsidR="00004A2A" w:rsidRPr="00B62A04" w:rsidRDefault="00004A2A" w:rsidP="00004A2A">
            <w:pPr>
              <w:pStyle w:val="ListParagraph"/>
              <w:numPr>
                <w:ilvl w:val="0"/>
                <w:numId w:val="9"/>
              </w:numPr>
              <w:autoSpaceDE w:val="0"/>
              <w:autoSpaceDN w:val="0"/>
              <w:adjustRightInd w:val="0"/>
              <w:spacing w:after="0" w:line="240" w:lineRule="auto"/>
            </w:pPr>
            <w:r w:rsidRPr="00B62A04">
              <w:t xml:space="preserve">respond to the question stated; </w:t>
            </w:r>
          </w:p>
          <w:p w:rsidR="00004A2A" w:rsidRPr="00B62A04" w:rsidRDefault="00004A2A" w:rsidP="00004A2A">
            <w:pPr>
              <w:pStyle w:val="ListParagraph"/>
              <w:numPr>
                <w:ilvl w:val="0"/>
                <w:numId w:val="9"/>
              </w:numPr>
              <w:autoSpaceDE w:val="0"/>
              <w:autoSpaceDN w:val="0"/>
              <w:adjustRightInd w:val="0"/>
              <w:spacing w:after="0" w:line="240" w:lineRule="auto"/>
            </w:pPr>
            <w:r w:rsidRPr="00B62A04">
              <w:t xml:space="preserve">indicate the specific point to which a comment relates; </w:t>
            </w:r>
          </w:p>
          <w:p w:rsidR="00004A2A" w:rsidRPr="00B62A04" w:rsidRDefault="00004A2A" w:rsidP="00004A2A">
            <w:pPr>
              <w:pStyle w:val="ListParagraph"/>
              <w:numPr>
                <w:ilvl w:val="0"/>
                <w:numId w:val="9"/>
              </w:numPr>
              <w:autoSpaceDE w:val="0"/>
              <w:autoSpaceDN w:val="0"/>
              <w:adjustRightInd w:val="0"/>
              <w:spacing w:after="0" w:line="240" w:lineRule="auto"/>
            </w:pPr>
            <w:r w:rsidRPr="00B62A04">
              <w:t xml:space="preserve">contain a clear rationale; </w:t>
            </w:r>
          </w:p>
          <w:p w:rsidR="00004A2A" w:rsidRPr="00B62A04" w:rsidRDefault="00004A2A" w:rsidP="00004A2A">
            <w:pPr>
              <w:pStyle w:val="ListParagraph"/>
              <w:numPr>
                <w:ilvl w:val="0"/>
                <w:numId w:val="9"/>
              </w:numPr>
              <w:autoSpaceDE w:val="0"/>
              <w:autoSpaceDN w:val="0"/>
              <w:adjustRightInd w:val="0"/>
              <w:spacing w:after="0" w:line="240" w:lineRule="auto"/>
            </w:pPr>
            <w:r w:rsidRPr="00B62A04">
              <w:t xml:space="preserve">provide evidence to support the views expressed/ rationale proposed; and </w:t>
            </w:r>
          </w:p>
          <w:p w:rsidR="00004A2A" w:rsidRDefault="00004A2A" w:rsidP="00004A2A">
            <w:pPr>
              <w:pStyle w:val="ListParagraph"/>
              <w:numPr>
                <w:ilvl w:val="0"/>
                <w:numId w:val="9"/>
              </w:numPr>
              <w:autoSpaceDE w:val="0"/>
              <w:autoSpaceDN w:val="0"/>
              <w:adjustRightInd w:val="0"/>
              <w:spacing w:after="0" w:line="240" w:lineRule="auto"/>
            </w:pPr>
            <w:r w:rsidRPr="00B62A04">
              <w:t>describe any alternative regulatory c</w:t>
            </w:r>
            <w:r>
              <w:t>hoices the EBA should consider</w:t>
            </w:r>
          </w:p>
          <w:p w:rsidR="00004A2A" w:rsidRDefault="00004A2A" w:rsidP="00FA05E6"/>
        </w:tc>
      </w:tr>
    </w:tbl>
    <w:p w:rsidR="00004A2A" w:rsidRDefault="00004A2A" w:rsidP="00004A2A"/>
    <w:tbl>
      <w:tblPr>
        <w:tblStyle w:val="TableGrid"/>
        <w:tblW w:w="0" w:type="auto"/>
        <w:tblLook w:val="04A0" w:firstRow="1" w:lastRow="0" w:firstColumn="1" w:lastColumn="0" w:noHBand="0" w:noVBand="1"/>
      </w:tblPr>
      <w:tblGrid>
        <w:gridCol w:w="9242"/>
      </w:tblGrid>
      <w:tr w:rsidR="00004A2A" w:rsidTr="00FA05E6">
        <w:tc>
          <w:tcPr>
            <w:tcW w:w="9242" w:type="dxa"/>
          </w:tcPr>
          <w:p w:rsidR="00004A2A" w:rsidRDefault="00004A2A" w:rsidP="00FA05E6">
            <w:pPr>
              <w:spacing w:before="240" w:after="240"/>
              <w:rPr>
                <w:b/>
                <w:sz w:val="28"/>
              </w:rPr>
            </w:pPr>
            <w:r w:rsidRPr="009C1588">
              <w:rPr>
                <w:b/>
                <w:sz w:val="28"/>
              </w:rPr>
              <w:t>Details Submitter:</w:t>
            </w:r>
          </w:p>
          <w:p w:rsidR="00004A2A" w:rsidRPr="002A5D23" w:rsidRDefault="00004A2A" w:rsidP="00FA05E6">
            <w:pPr>
              <w:spacing w:before="240" w:after="240"/>
            </w:pPr>
            <w:r w:rsidRPr="002A5D23">
              <w:t>Name:</w:t>
            </w:r>
            <w:r>
              <w:t xml:space="preserve"> Michael O’Neill</w:t>
            </w:r>
          </w:p>
          <w:p w:rsidR="00004A2A" w:rsidRDefault="00004A2A" w:rsidP="00FA05E6">
            <w:pPr>
              <w:spacing w:before="240" w:after="240"/>
            </w:pPr>
            <w:r w:rsidRPr="002A5D23">
              <w:t>Organisation:</w:t>
            </w:r>
            <w:r>
              <w:t xml:space="preserve"> Banking &amp; Payments Federation Ireland. </w:t>
            </w:r>
          </w:p>
        </w:tc>
      </w:tr>
    </w:tbl>
    <w:p w:rsidR="00004A2A" w:rsidRDefault="00004A2A" w:rsidP="00004A2A"/>
    <w:tbl>
      <w:tblPr>
        <w:tblStyle w:val="TableGrid"/>
        <w:tblW w:w="0" w:type="auto"/>
        <w:tblLook w:val="04A0" w:firstRow="1" w:lastRow="0" w:firstColumn="1" w:lastColumn="0" w:noHBand="0" w:noVBand="1"/>
      </w:tblPr>
      <w:tblGrid>
        <w:gridCol w:w="9242"/>
      </w:tblGrid>
      <w:tr w:rsidR="00004A2A" w:rsidTr="00FA05E6">
        <w:tc>
          <w:tcPr>
            <w:tcW w:w="9242" w:type="dxa"/>
          </w:tcPr>
          <w:p w:rsidR="00004A2A" w:rsidRPr="009C1588" w:rsidRDefault="00004A2A" w:rsidP="00FA05E6">
            <w:pPr>
              <w:rPr>
                <w:rFonts w:ascii="Calibri" w:hAnsi="Calibri"/>
                <w:b/>
                <w:bCs/>
                <w:color w:val="000000"/>
                <w:szCs w:val="22"/>
                <w:u w:val="single"/>
              </w:rPr>
            </w:pPr>
            <w:r w:rsidRPr="009C1588">
              <w:rPr>
                <w:b/>
                <w:bCs/>
                <w:sz w:val="28"/>
                <w:szCs w:val="28"/>
                <w:u w:val="single"/>
              </w:rPr>
              <w:lastRenderedPageBreak/>
              <w:t>Question</w:t>
            </w:r>
          </w:p>
          <w:p w:rsidR="00004A2A" w:rsidRPr="00A64ACE" w:rsidRDefault="00004A2A" w:rsidP="00FA05E6">
            <w:pPr>
              <w:rPr>
                <w:b/>
                <w:bCs/>
                <w:color w:val="000000"/>
              </w:rPr>
            </w:pPr>
            <w:r w:rsidRPr="00A64ACE">
              <w:rPr>
                <w:b/>
                <w:bCs/>
                <w:color w:val="000000"/>
              </w:rPr>
              <w:t xml:space="preserve">Do you prefer for the EBA Guidelines </w:t>
            </w:r>
          </w:p>
          <w:p w:rsidR="00004A2A" w:rsidRPr="00A64ACE" w:rsidRDefault="00004A2A" w:rsidP="00FA05E6">
            <w:pPr>
              <w:spacing w:after="238"/>
              <w:rPr>
                <w:color w:val="000000"/>
              </w:rPr>
            </w:pPr>
            <w:r w:rsidRPr="00A64ACE">
              <w:rPr>
                <w:color w:val="000000"/>
              </w:rPr>
              <w:t xml:space="preserve">a) to enter into force, as consulted, on 1 August 2015 with the substance set out in this consultation paper, which means they would apply during a transitional period until stronger requirements enter into force at a later date under PSD 2 (i.e. a two-step approach); or </w:t>
            </w:r>
          </w:p>
          <w:p w:rsidR="00004A2A" w:rsidRPr="00A64ACE" w:rsidRDefault="00004A2A" w:rsidP="00FA05E6">
            <w:r w:rsidRPr="00A64ACE">
              <w:rPr>
                <w:color w:val="000000"/>
              </w:rPr>
              <w:t>b) to anticipate these stronger PSD2 requirements and include them in the final Guidelines under PSD 1 that enter into force on 1 August 2015, the substance of which would then continue to apply under PSD 2 (i.e. a one-step approach).</w:t>
            </w:r>
          </w:p>
          <w:p w:rsidR="00004A2A" w:rsidRDefault="00004A2A" w:rsidP="00FA05E6"/>
        </w:tc>
      </w:tr>
    </w:tbl>
    <w:p w:rsidR="00004A2A" w:rsidRDefault="00004A2A" w:rsidP="00004A2A"/>
    <w:p w:rsidR="00004A2A" w:rsidRDefault="00004A2A" w:rsidP="00004A2A"/>
    <w:tbl>
      <w:tblPr>
        <w:tblStyle w:val="TableGrid"/>
        <w:tblW w:w="0" w:type="auto"/>
        <w:tblLook w:val="04A0" w:firstRow="1" w:lastRow="0" w:firstColumn="1" w:lastColumn="0" w:noHBand="0" w:noVBand="1"/>
      </w:tblPr>
      <w:tblGrid>
        <w:gridCol w:w="9242"/>
      </w:tblGrid>
      <w:tr w:rsidR="00004A2A" w:rsidTr="00FA05E6">
        <w:tc>
          <w:tcPr>
            <w:tcW w:w="9242" w:type="dxa"/>
          </w:tcPr>
          <w:p w:rsidR="00004A2A" w:rsidRPr="009C1588" w:rsidRDefault="00004A2A" w:rsidP="00FA05E6">
            <w:pPr>
              <w:rPr>
                <w:b/>
                <w:sz w:val="28"/>
                <w:szCs w:val="28"/>
                <w:u w:val="single"/>
              </w:rPr>
            </w:pPr>
            <w:r w:rsidRPr="009C1588">
              <w:rPr>
                <w:b/>
                <w:sz w:val="28"/>
                <w:szCs w:val="28"/>
                <w:u w:val="single"/>
              </w:rPr>
              <w:t>Response</w:t>
            </w:r>
          </w:p>
          <w:p w:rsidR="00004A2A" w:rsidRPr="00A64ACE" w:rsidRDefault="00004A2A" w:rsidP="00FA05E6">
            <w:r w:rsidRPr="00A64ACE">
              <w:t>The Banking and Payments Federation Ireland is generally in agreement with the position advocated in the response of the European Payments Council to this consultation paper. This position essentially advocates a third option (so-called “option c”).   </w:t>
            </w:r>
          </w:p>
          <w:p w:rsidR="00004A2A" w:rsidRPr="00A64ACE" w:rsidRDefault="00004A2A" w:rsidP="00FA05E6"/>
          <w:p w:rsidR="00004A2A" w:rsidRPr="00A64ACE" w:rsidRDefault="00004A2A" w:rsidP="00FA05E6">
            <w:r w:rsidRPr="00A64ACE">
              <w:t>Whilst we are supportive of the proposed EPC response, we believe there may be a more practical approach, and would suggest the following amendment</w:t>
            </w:r>
            <w:r>
              <w:t xml:space="preserve"> to the EPC response.</w:t>
            </w:r>
            <w:r w:rsidRPr="00A64ACE">
              <w:t xml:space="preserve"> </w:t>
            </w:r>
          </w:p>
          <w:p w:rsidR="00004A2A" w:rsidRPr="00A64ACE" w:rsidRDefault="00004A2A" w:rsidP="00FA05E6"/>
          <w:p w:rsidR="00004A2A" w:rsidRPr="00A64ACE" w:rsidRDefault="00004A2A" w:rsidP="00FA05E6">
            <w:pPr>
              <w:rPr>
                <w:b/>
                <w:u w:val="single"/>
              </w:rPr>
            </w:pPr>
            <w:r w:rsidRPr="00A64ACE">
              <w:rPr>
                <w:b/>
                <w:u w:val="single"/>
              </w:rPr>
              <w:t xml:space="preserve">‘That the EBA Guidelines would be issued after publication of the final confirmed text of PSD2 in the Official Journal of the EU’  </w:t>
            </w:r>
          </w:p>
          <w:p w:rsidR="00004A2A" w:rsidRPr="00A64ACE" w:rsidRDefault="00004A2A" w:rsidP="00FA05E6">
            <w:r w:rsidRPr="00A64ACE">
              <w:t xml:space="preserve"> </w:t>
            </w:r>
          </w:p>
          <w:p w:rsidR="00004A2A" w:rsidRPr="00A64ACE" w:rsidRDefault="00004A2A" w:rsidP="00FA05E6">
            <w:r w:rsidRPr="00A64ACE">
              <w:t>This approach would facilitate implementation of the EBA Guidelines in para</w:t>
            </w:r>
            <w:r>
              <w:t xml:space="preserve">llel with transposition of PSD2 rather than wait until after transposition to issue the updated guidelines. </w:t>
            </w:r>
          </w:p>
          <w:p w:rsidR="00004A2A" w:rsidRDefault="00004A2A" w:rsidP="00FA05E6"/>
        </w:tc>
      </w:tr>
    </w:tbl>
    <w:p w:rsidR="00004A2A" w:rsidRDefault="00004A2A" w:rsidP="00004A2A"/>
    <w:p w:rsidR="00A352CB" w:rsidRDefault="00A352CB">
      <w:pPr>
        <w:rPr>
          <w:b/>
          <w:smallCaps/>
        </w:rPr>
      </w:pPr>
    </w:p>
    <w:sectPr w:rsidR="00A352CB" w:rsidSect="00E33062">
      <w:headerReference w:type="default" r:id="rId9"/>
      <w:footerReference w:type="default" r:id="rId10"/>
      <w:pgSz w:w="11906" w:h="16838" w:code="9"/>
      <w:pgMar w:top="1418" w:right="1418" w:bottom="1440" w:left="1418" w:header="1134"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D24" w:rsidRDefault="00494D24">
      <w:r>
        <w:separator/>
      </w:r>
    </w:p>
  </w:endnote>
  <w:endnote w:type="continuationSeparator" w:id="0">
    <w:p w:rsidR="00494D24" w:rsidRDefault="0049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pen Sans Light">
    <w:altName w:val="Corbel"/>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4F" w:rsidRPr="00C31483" w:rsidRDefault="00494D24" w:rsidP="000A2A4F">
    <w:pPr>
      <w:pStyle w:val="Footer"/>
      <w:ind w:left="-567"/>
      <w:rPr>
        <w:sz w:val="18"/>
        <w:szCs w:val="18"/>
      </w:rPr>
    </w:pPr>
    <w:r>
      <w:fldChar w:fldCharType="begin"/>
    </w:r>
    <w:r>
      <w:instrText xml:space="preserve"> FILENAME   \* MERGEFORMAT </w:instrText>
    </w:r>
    <w:r>
      <w:fldChar w:fldCharType="separate"/>
    </w:r>
    <w:r w:rsidR="00004A2A" w:rsidRPr="00004A2A">
      <w:rPr>
        <w:noProof/>
        <w:sz w:val="18"/>
        <w:szCs w:val="18"/>
      </w:rPr>
      <w:t>Document2</w:t>
    </w:r>
    <w:r>
      <w:rPr>
        <w:noProof/>
        <w:sz w:val="18"/>
        <w:szCs w:val="18"/>
      </w:rPr>
      <w:fldChar w:fldCharType="end"/>
    </w:r>
  </w:p>
  <w:p w:rsidR="000A2A4F" w:rsidRDefault="00613B94">
    <w:pPr>
      <w:pStyle w:val="Footer"/>
    </w:pPr>
    <w:r>
      <w:rPr>
        <w:noProof/>
        <w:lang w:eastAsia="en-IE"/>
      </w:rPr>
      <mc:AlternateContent>
        <mc:Choice Requires="wps">
          <w:drawing>
            <wp:anchor distT="0" distB="0" distL="114300" distR="114300" simplePos="0" relativeHeight="251660288" behindDoc="0" locked="0" layoutInCell="1" allowOverlap="1">
              <wp:simplePos x="0" y="0"/>
              <wp:positionH relativeFrom="margin">
                <wp:posOffset>-405130</wp:posOffset>
              </wp:positionH>
              <wp:positionV relativeFrom="paragraph">
                <wp:posOffset>135890</wp:posOffset>
              </wp:positionV>
              <wp:extent cx="6600825" cy="13335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1333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1.9pt;margin-top:10.7pt;width:519.75pt;height: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" fillcolor="black [3213]" stroked="f" strokeweight="2pt">
              <v:path arrowok="t"/>
              <w10:wrap anchorx="margin"/>
            </v:rect>
          </w:pict>
        </mc:Fallback>
      </mc:AlternateContent>
    </w:r>
  </w:p>
  <w:p w:rsidR="000A2A4F" w:rsidRDefault="000A2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D24" w:rsidRDefault="00494D24">
      <w:r>
        <w:separator/>
      </w:r>
    </w:p>
  </w:footnote>
  <w:footnote w:type="continuationSeparator" w:id="0">
    <w:p w:rsidR="00494D24" w:rsidRDefault="00494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D7" w:rsidRDefault="0021088E">
    <w:pPr>
      <w:pStyle w:val="Header"/>
      <w:rPr>
        <w:b/>
        <w:sz w:val="32"/>
        <w:szCs w:val="32"/>
      </w:rPr>
    </w:pPr>
    <w:r w:rsidRPr="0021088E">
      <w:rPr>
        <w:b/>
        <w:noProof/>
        <w:sz w:val="32"/>
        <w:szCs w:val="32"/>
        <w:lang w:eastAsia="en-IE"/>
      </w:rPr>
      <w:drawing>
        <wp:anchor distT="0" distB="0" distL="114300" distR="114300" simplePos="0" relativeHeight="251659264" behindDoc="0" locked="0" layoutInCell="1" allowOverlap="1">
          <wp:simplePos x="0" y="0"/>
          <wp:positionH relativeFrom="page">
            <wp:align>left</wp:align>
          </wp:positionH>
          <wp:positionV relativeFrom="page">
            <wp:posOffset>0</wp:posOffset>
          </wp:positionV>
          <wp:extent cx="7559675" cy="1731010"/>
          <wp:effectExtent l="0" t="0" r="3175" b="254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f009a_bpfi_letterhead_mo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31600"/>
                  </a:xfrm>
                  <a:prstGeom prst="rect">
                    <a:avLst/>
                  </a:prstGeom>
                </pic:spPr>
              </pic:pic>
            </a:graphicData>
          </a:graphic>
        </wp:anchor>
      </w:drawing>
    </w:r>
  </w:p>
  <w:p w:rsidR="00270FD7" w:rsidRDefault="00270FD7">
    <w:pPr>
      <w:pStyle w:val="Header"/>
      <w:rPr>
        <w:b/>
        <w:sz w:val="32"/>
        <w:szCs w:val="32"/>
      </w:rPr>
    </w:pPr>
  </w:p>
  <w:p w:rsidR="0021088E" w:rsidRDefault="0021088E" w:rsidP="00EE7066">
    <w:pPr>
      <w:pStyle w:val="Header"/>
      <w:spacing w:before="120"/>
      <w:rPr>
        <w:b/>
        <w:sz w:val="32"/>
        <w:szCs w:val="32"/>
      </w:rPr>
    </w:pPr>
  </w:p>
  <w:p w:rsidR="0021088E" w:rsidRDefault="0021088E" w:rsidP="00EE7066">
    <w:pPr>
      <w:pStyle w:val="Header"/>
      <w:spacing w:before="120"/>
      <w:rPr>
        <w:b/>
        <w:sz w:val="32"/>
        <w:szCs w:val="32"/>
      </w:rPr>
    </w:pPr>
  </w:p>
  <w:p w:rsidR="00E33062" w:rsidRPr="0051635A" w:rsidRDefault="00270FD7" w:rsidP="0021088E">
    <w:pPr>
      <w:pStyle w:val="Header"/>
      <w:spacing w:before="120"/>
      <w:rPr>
        <w:rFonts w:ascii="Open Sans Light" w:hAnsi="Open Sans Light" w:cs="Open Sans Light"/>
        <w:b/>
        <w:sz w:val="44"/>
        <w:szCs w:val="44"/>
      </w:rPr>
    </w:pPr>
    <w:r w:rsidRPr="0051635A">
      <w:rPr>
        <w:rFonts w:ascii="Open Sans Light" w:hAnsi="Open Sans Light" w:cs="Open Sans Light"/>
        <w:b/>
        <w:sz w:val="44"/>
        <w:szCs w:val="44"/>
      </w:rPr>
      <w:t>Memorandum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25B"/>
    <w:multiLevelType w:val="hybridMultilevel"/>
    <w:tmpl w:val="0C6C032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33C0D5E"/>
    <w:multiLevelType w:val="hybridMultilevel"/>
    <w:tmpl w:val="25C8B800"/>
    <w:lvl w:ilvl="0" w:tplc="03C04C8C">
      <w:start w:val="1"/>
      <w:numFmt w:val="decimal"/>
      <w:lvlText w:val="%1)"/>
      <w:lvlJc w:val="left"/>
      <w:pPr>
        <w:ind w:left="720" w:hanging="360"/>
      </w:pPr>
    </w:lvl>
    <w:lvl w:ilvl="1" w:tplc="E46A3B22">
      <w:start w:val="1"/>
      <w:numFmt w:val="bullet"/>
      <w:lvlText w:val="­"/>
      <w:lvlJc w:val="left"/>
      <w:pPr>
        <w:ind w:left="1440" w:hanging="360"/>
      </w:pPr>
      <w:rPr>
        <w:rFonts w:ascii="Courier New" w:hAnsi="Courier New" w:cs="Times New Roman" w:hint="default"/>
      </w:rPr>
    </w:lvl>
    <w:lvl w:ilvl="2" w:tplc="08090003">
      <w:start w:val="1"/>
      <w:numFmt w:val="bullet"/>
      <w:lvlText w:val="o"/>
      <w:lvlJc w:val="left"/>
      <w:pPr>
        <w:ind w:left="2160" w:hanging="180"/>
      </w:pPr>
      <w:rPr>
        <w:rFonts w:ascii="Courier New" w:hAnsi="Courier New" w:cs="Courier New"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68252C8F"/>
    <w:multiLevelType w:val="multilevel"/>
    <w:tmpl w:val="4E20A7E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64"/>
        </w:tabs>
        <w:ind w:left="864" w:hanging="432"/>
      </w:pPr>
    </w:lvl>
    <w:lvl w:ilvl="2">
      <w:start w:val="1"/>
      <w:numFmt w:val="bullet"/>
      <w:pStyle w:val="Heading3"/>
      <w:lvlText w:val=""/>
      <w:lvlJc w:val="left"/>
      <w:pPr>
        <w:tabs>
          <w:tab w:val="num" w:pos="1224"/>
        </w:tabs>
        <w:ind w:left="1152" w:hanging="288"/>
      </w:pPr>
      <w:rPr>
        <w:rFonts w:ascii="Wingdings" w:hAnsi="Wingdings" w:hint="default"/>
      </w:rPr>
    </w:lvl>
    <w:lvl w:ilvl="3">
      <w:start w:val="1"/>
      <w:numFmt w:val="none"/>
      <w:lvlText w:val=""/>
      <w:lvlJc w:val="left"/>
      <w:pPr>
        <w:tabs>
          <w:tab w:val="num" w:pos="0"/>
        </w:tabs>
        <w:ind w:left="2412" w:hanging="288"/>
      </w:pPr>
      <w:rPr>
        <w:rFonts w:ascii="Symbol" w:hAnsi="Symbol" w:hint="default"/>
      </w:rPr>
    </w:lvl>
    <w:lvl w:ilvl="4">
      <w:start w:val="1"/>
      <w:numFmt w:val="lowerLetter"/>
      <w:lvlText w:val="%5)"/>
      <w:lvlJc w:val="left"/>
      <w:pPr>
        <w:tabs>
          <w:tab w:val="num" w:pos="0"/>
        </w:tabs>
        <w:ind w:left="2700" w:hanging="288"/>
      </w:pPr>
    </w:lvl>
    <w:lvl w:ilvl="5">
      <w:start w:val="1"/>
      <w:numFmt w:val="decimal"/>
      <w:lvlText w:val="%5)%6."/>
      <w:lvlJc w:val="left"/>
      <w:pPr>
        <w:tabs>
          <w:tab w:val="num" w:pos="0"/>
        </w:tabs>
        <w:ind w:left="3408" w:hanging="708"/>
      </w:pPr>
    </w:lvl>
    <w:lvl w:ilvl="6">
      <w:start w:val="1"/>
      <w:numFmt w:val="decimal"/>
      <w:lvlText w:val="Appendix %7"/>
      <w:lvlJc w:val="left"/>
      <w:pPr>
        <w:tabs>
          <w:tab w:val="num" w:pos="0"/>
        </w:tabs>
        <w:ind w:left="2160" w:hanging="708"/>
      </w:pPr>
    </w:lvl>
    <w:lvl w:ilvl="7">
      <w:start w:val="1"/>
      <w:numFmt w:val="decimal"/>
      <w:lvlText w:val="Appendix %7%8."/>
      <w:lvlJc w:val="left"/>
      <w:pPr>
        <w:tabs>
          <w:tab w:val="num" w:pos="0"/>
        </w:tabs>
        <w:ind w:left="4824" w:hanging="708"/>
      </w:pPr>
    </w:lvl>
    <w:lvl w:ilvl="8">
      <w:start w:val="1"/>
      <w:numFmt w:val="decimal"/>
      <w:lvlText w:val="Appendix %7%8.%9."/>
      <w:lvlJc w:val="left"/>
      <w:pPr>
        <w:tabs>
          <w:tab w:val="num" w:pos="0"/>
        </w:tabs>
        <w:ind w:left="5532" w:hanging="708"/>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2A"/>
    <w:rsid w:val="00004A2A"/>
    <w:rsid w:val="00060A9A"/>
    <w:rsid w:val="000A2A4F"/>
    <w:rsid w:val="000A68A9"/>
    <w:rsid w:val="000C406C"/>
    <w:rsid w:val="000D6EEB"/>
    <w:rsid w:val="001D3856"/>
    <w:rsid w:val="001F674E"/>
    <w:rsid w:val="0021088E"/>
    <w:rsid w:val="00230F68"/>
    <w:rsid w:val="00270FD7"/>
    <w:rsid w:val="00275903"/>
    <w:rsid w:val="00277226"/>
    <w:rsid w:val="002B7F0D"/>
    <w:rsid w:val="002C600D"/>
    <w:rsid w:val="00345867"/>
    <w:rsid w:val="003D1A8F"/>
    <w:rsid w:val="004276DE"/>
    <w:rsid w:val="00442C33"/>
    <w:rsid w:val="0045575F"/>
    <w:rsid w:val="00494D24"/>
    <w:rsid w:val="004A09EB"/>
    <w:rsid w:val="004A56B9"/>
    <w:rsid w:val="004C49DB"/>
    <w:rsid w:val="004E673C"/>
    <w:rsid w:val="0051635A"/>
    <w:rsid w:val="00613B94"/>
    <w:rsid w:val="00615488"/>
    <w:rsid w:val="0061591F"/>
    <w:rsid w:val="00624C4D"/>
    <w:rsid w:val="0062649C"/>
    <w:rsid w:val="00697ED5"/>
    <w:rsid w:val="0071566A"/>
    <w:rsid w:val="00733A6A"/>
    <w:rsid w:val="00777FE4"/>
    <w:rsid w:val="007C0F07"/>
    <w:rsid w:val="00893204"/>
    <w:rsid w:val="008B280A"/>
    <w:rsid w:val="008F3696"/>
    <w:rsid w:val="00903A3A"/>
    <w:rsid w:val="0091042F"/>
    <w:rsid w:val="00922224"/>
    <w:rsid w:val="009866B2"/>
    <w:rsid w:val="00995754"/>
    <w:rsid w:val="00A352CB"/>
    <w:rsid w:val="00A45CED"/>
    <w:rsid w:val="00A83C0C"/>
    <w:rsid w:val="00A964E0"/>
    <w:rsid w:val="00AB0126"/>
    <w:rsid w:val="00B55F42"/>
    <w:rsid w:val="00BB67DA"/>
    <w:rsid w:val="00C149F3"/>
    <w:rsid w:val="00C31483"/>
    <w:rsid w:val="00C85A56"/>
    <w:rsid w:val="00CC6FF0"/>
    <w:rsid w:val="00D15E9D"/>
    <w:rsid w:val="00D23604"/>
    <w:rsid w:val="00D33EB0"/>
    <w:rsid w:val="00D6677D"/>
    <w:rsid w:val="00D668F3"/>
    <w:rsid w:val="00D8210A"/>
    <w:rsid w:val="00DF24E3"/>
    <w:rsid w:val="00E0256C"/>
    <w:rsid w:val="00E33062"/>
    <w:rsid w:val="00E46233"/>
    <w:rsid w:val="00E95C67"/>
    <w:rsid w:val="00EE7066"/>
    <w:rsid w:val="00F4364D"/>
    <w:rsid w:val="00F54E8B"/>
    <w:rsid w:val="00FA241D"/>
    <w:rsid w:val="00FB1F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Block Text"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A3A"/>
    <w:pPr>
      <w:tabs>
        <w:tab w:val="decimal" w:pos="6480"/>
        <w:tab w:val="decimal" w:pos="8280"/>
      </w:tabs>
    </w:pPr>
    <w:rPr>
      <w:rFonts w:ascii="Arial" w:hAnsi="Arial"/>
      <w:sz w:val="22"/>
      <w:lang w:eastAsia="en-US"/>
    </w:rPr>
  </w:style>
  <w:style w:type="paragraph" w:styleId="Heading1">
    <w:name w:val="heading 1"/>
    <w:basedOn w:val="Normal"/>
    <w:next w:val="NormalIndent"/>
    <w:qFormat/>
    <w:rsid w:val="008B280A"/>
    <w:pPr>
      <w:keepNext/>
      <w:numPr>
        <w:numId w:val="5"/>
      </w:numPr>
      <w:tabs>
        <w:tab w:val="clear" w:pos="6480"/>
        <w:tab w:val="clear" w:pos="8280"/>
      </w:tabs>
      <w:spacing w:before="240" w:after="120"/>
      <w:outlineLvl w:val="0"/>
    </w:pPr>
    <w:rPr>
      <w:b/>
      <w:kern w:val="28"/>
    </w:rPr>
  </w:style>
  <w:style w:type="paragraph" w:styleId="Heading2">
    <w:name w:val="heading 2"/>
    <w:basedOn w:val="Normal"/>
    <w:next w:val="NormalIndent2"/>
    <w:qFormat/>
    <w:rsid w:val="008B280A"/>
    <w:pPr>
      <w:numPr>
        <w:ilvl w:val="1"/>
        <w:numId w:val="6"/>
      </w:numPr>
      <w:tabs>
        <w:tab w:val="clear" w:pos="6480"/>
        <w:tab w:val="clear" w:pos="8280"/>
      </w:tabs>
      <w:spacing w:before="120"/>
      <w:outlineLvl w:val="1"/>
    </w:pPr>
    <w:rPr>
      <w:b/>
    </w:rPr>
  </w:style>
  <w:style w:type="paragraph" w:styleId="Heading3">
    <w:name w:val="heading 3"/>
    <w:basedOn w:val="Normal"/>
    <w:qFormat/>
    <w:rsid w:val="00922224"/>
    <w:pPr>
      <w:numPr>
        <w:ilvl w:val="2"/>
        <w:numId w:val="7"/>
      </w:numPr>
      <w:tabs>
        <w:tab w:val="clear" w:pos="1224"/>
        <w:tab w:val="clear" w:pos="6480"/>
        <w:tab w:val="clear" w:pos="8280"/>
        <w:tab w:val="left" w:pos="1152"/>
      </w:tabs>
      <w:spacing w:before="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4E673C"/>
    <w:pPr>
      <w:ind w:left="432"/>
    </w:pPr>
  </w:style>
  <w:style w:type="paragraph" w:customStyle="1" w:styleId="NormalIndent2">
    <w:name w:val="Normal Indent 2"/>
    <w:basedOn w:val="Normal"/>
    <w:rsid w:val="004E673C"/>
    <w:pPr>
      <w:ind w:left="864"/>
    </w:pPr>
  </w:style>
  <w:style w:type="paragraph" w:customStyle="1" w:styleId="AddressBold">
    <w:name w:val="AddressBold"/>
    <w:basedOn w:val="Normal"/>
    <w:rsid w:val="004E673C"/>
    <w:pPr>
      <w:spacing w:before="120" w:line="360" w:lineRule="auto"/>
    </w:pPr>
    <w:rPr>
      <w:b/>
      <w:smallCaps/>
      <w:lang w:val="en-GB"/>
    </w:rPr>
  </w:style>
  <w:style w:type="paragraph" w:customStyle="1" w:styleId="Address">
    <w:name w:val="Address"/>
    <w:basedOn w:val="Normal"/>
    <w:next w:val="Normal"/>
    <w:rsid w:val="004E673C"/>
    <w:pPr>
      <w:tabs>
        <w:tab w:val="right" w:pos="8280"/>
      </w:tabs>
      <w:spacing w:before="120"/>
    </w:pPr>
    <w:rPr>
      <w:b/>
      <w:smallCaps/>
    </w:rPr>
  </w:style>
  <w:style w:type="paragraph" w:styleId="Footer">
    <w:name w:val="footer"/>
    <w:basedOn w:val="Normal"/>
    <w:rsid w:val="004E673C"/>
    <w:pPr>
      <w:tabs>
        <w:tab w:val="clear" w:pos="6480"/>
        <w:tab w:val="clear" w:pos="8280"/>
        <w:tab w:val="center" w:pos="4320"/>
        <w:tab w:val="right" w:pos="8640"/>
      </w:tabs>
    </w:pPr>
  </w:style>
  <w:style w:type="paragraph" w:styleId="Header">
    <w:name w:val="header"/>
    <w:basedOn w:val="Normal"/>
    <w:rsid w:val="004E673C"/>
    <w:pPr>
      <w:tabs>
        <w:tab w:val="clear" w:pos="6480"/>
        <w:tab w:val="clear" w:pos="8280"/>
        <w:tab w:val="center" w:pos="4320"/>
        <w:tab w:val="right" w:pos="8640"/>
      </w:tabs>
    </w:pPr>
  </w:style>
  <w:style w:type="paragraph" w:styleId="BalloonText">
    <w:name w:val="Balloon Text"/>
    <w:basedOn w:val="Normal"/>
    <w:semiHidden/>
    <w:rsid w:val="00F54E8B"/>
    <w:rPr>
      <w:rFonts w:ascii="Tahoma" w:hAnsi="Tahoma" w:cs="Tahoma"/>
      <w:sz w:val="16"/>
      <w:szCs w:val="16"/>
    </w:rPr>
  </w:style>
  <w:style w:type="paragraph" w:styleId="Caption">
    <w:name w:val="caption"/>
    <w:basedOn w:val="Normal"/>
    <w:next w:val="Normal"/>
    <w:qFormat/>
    <w:rsid w:val="00442C33"/>
    <w:pPr>
      <w:tabs>
        <w:tab w:val="clear" w:pos="6480"/>
        <w:tab w:val="clear" w:pos="8280"/>
      </w:tabs>
      <w:spacing w:before="120" w:after="120"/>
    </w:pPr>
    <w:rPr>
      <w:b/>
      <w:bCs/>
      <w:lang w:val="en-GB"/>
    </w:rPr>
  </w:style>
  <w:style w:type="paragraph" w:customStyle="1" w:styleId="MemoBody">
    <w:name w:val="Memo Body"/>
    <w:basedOn w:val="Caption"/>
    <w:rsid w:val="00442C33"/>
    <w:rPr>
      <w:b w:val="0"/>
    </w:rPr>
  </w:style>
  <w:style w:type="paragraph" w:customStyle="1" w:styleId="Headings">
    <w:name w:val="Headings"/>
    <w:basedOn w:val="Caption"/>
    <w:rsid w:val="00442C33"/>
    <w:pPr>
      <w:ind w:left="1440"/>
    </w:pPr>
    <w:rPr>
      <w:b w:val="0"/>
    </w:rPr>
  </w:style>
  <w:style w:type="table" w:styleId="TableGrid">
    <w:name w:val="Table Grid"/>
    <w:basedOn w:val="TableNormal"/>
    <w:uiPriority w:val="59"/>
    <w:rsid w:val="00A96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A56"/>
    <w:pPr>
      <w:tabs>
        <w:tab w:val="clear" w:pos="6480"/>
        <w:tab w:val="clear" w:pos="8280"/>
      </w:tabs>
      <w:spacing w:after="160" w:line="256" w:lineRule="auto"/>
      <w:ind w:left="720"/>
      <w:contextualSpacing/>
    </w:pPr>
    <w:rPr>
      <w:rFonts w:asciiTheme="minorHAnsi" w:eastAsiaTheme="minorHAnsi" w:hAnsiTheme="minorHAnsi" w:cstheme="minorBidi"/>
      <w:szCs w:val="22"/>
      <w:lang w:val="nl-BE"/>
    </w:rPr>
  </w:style>
  <w:style w:type="character" w:styleId="Hyperlink">
    <w:name w:val="Hyperlink"/>
    <w:rsid w:val="00004A2A"/>
    <w:rPr>
      <w:color w:val="0000FF"/>
      <w:u w:val="single"/>
    </w:rPr>
  </w:style>
  <w:style w:type="paragraph" w:styleId="BlockText">
    <w:name w:val="Block Text"/>
    <w:basedOn w:val="Normal"/>
    <w:uiPriority w:val="99"/>
    <w:rsid w:val="00004A2A"/>
    <w:pPr>
      <w:tabs>
        <w:tab w:val="clear" w:pos="6480"/>
        <w:tab w:val="clear" w:pos="8280"/>
      </w:tabs>
      <w:spacing w:after="120"/>
      <w:ind w:left="1440" w:right="1440"/>
      <w:jc w:val="both"/>
    </w:pPr>
    <w:rPr>
      <w:rFonts w:ascii="Times New Roman" w:hAnsi="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Block Text"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A3A"/>
    <w:pPr>
      <w:tabs>
        <w:tab w:val="decimal" w:pos="6480"/>
        <w:tab w:val="decimal" w:pos="8280"/>
      </w:tabs>
    </w:pPr>
    <w:rPr>
      <w:rFonts w:ascii="Arial" w:hAnsi="Arial"/>
      <w:sz w:val="22"/>
      <w:lang w:eastAsia="en-US"/>
    </w:rPr>
  </w:style>
  <w:style w:type="paragraph" w:styleId="Heading1">
    <w:name w:val="heading 1"/>
    <w:basedOn w:val="Normal"/>
    <w:next w:val="NormalIndent"/>
    <w:qFormat/>
    <w:rsid w:val="008B280A"/>
    <w:pPr>
      <w:keepNext/>
      <w:numPr>
        <w:numId w:val="5"/>
      </w:numPr>
      <w:tabs>
        <w:tab w:val="clear" w:pos="6480"/>
        <w:tab w:val="clear" w:pos="8280"/>
      </w:tabs>
      <w:spacing w:before="240" w:after="120"/>
      <w:outlineLvl w:val="0"/>
    </w:pPr>
    <w:rPr>
      <w:b/>
      <w:kern w:val="28"/>
    </w:rPr>
  </w:style>
  <w:style w:type="paragraph" w:styleId="Heading2">
    <w:name w:val="heading 2"/>
    <w:basedOn w:val="Normal"/>
    <w:next w:val="NormalIndent2"/>
    <w:qFormat/>
    <w:rsid w:val="008B280A"/>
    <w:pPr>
      <w:numPr>
        <w:ilvl w:val="1"/>
        <w:numId w:val="6"/>
      </w:numPr>
      <w:tabs>
        <w:tab w:val="clear" w:pos="6480"/>
        <w:tab w:val="clear" w:pos="8280"/>
      </w:tabs>
      <w:spacing w:before="120"/>
      <w:outlineLvl w:val="1"/>
    </w:pPr>
    <w:rPr>
      <w:b/>
    </w:rPr>
  </w:style>
  <w:style w:type="paragraph" w:styleId="Heading3">
    <w:name w:val="heading 3"/>
    <w:basedOn w:val="Normal"/>
    <w:qFormat/>
    <w:rsid w:val="00922224"/>
    <w:pPr>
      <w:numPr>
        <w:ilvl w:val="2"/>
        <w:numId w:val="7"/>
      </w:numPr>
      <w:tabs>
        <w:tab w:val="clear" w:pos="1224"/>
        <w:tab w:val="clear" w:pos="6480"/>
        <w:tab w:val="clear" w:pos="8280"/>
        <w:tab w:val="left" w:pos="1152"/>
      </w:tabs>
      <w:spacing w:before="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4E673C"/>
    <w:pPr>
      <w:ind w:left="432"/>
    </w:pPr>
  </w:style>
  <w:style w:type="paragraph" w:customStyle="1" w:styleId="NormalIndent2">
    <w:name w:val="Normal Indent 2"/>
    <w:basedOn w:val="Normal"/>
    <w:rsid w:val="004E673C"/>
    <w:pPr>
      <w:ind w:left="864"/>
    </w:pPr>
  </w:style>
  <w:style w:type="paragraph" w:customStyle="1" w:styleId="AddressBold">
    <w:name w:val="AddressBold"/>
    <w:basedOn w:val="Normal"/>
    <w:rsid w:val="004E673C"/>
    <w:pPr>
      <w:spacing w:before="120" w:line="360" w:lineRule="auto"/>
    </w:pPr>
    <w:rPr>
      <w:b/>
      <w:smallCaps/>
      <w:lang w:val="en-GB"/>
    </w:rPr>
  </w:style>
  <w:style w:type="paragraph" w:customStyle="1" w:styleId="Address">
    <w:name w:val="Address"/>
    <w:basedOn w:val="Normal"/>
    <w:next w:val="Normal"/>
    <w:rsid w:val="004E673C"/>
    <w:pPr>
      <w:tabs>
        <w:tab w:val="right" w:pos="8280"/>
      </w:tabs>
      <w:spacing w:before="120"/>
    </w:pPr>
    <w:rPr>
      <w:b/>
      <w:smallCaps/>
    </w:rPr>
  </w:style>
  <w:style w:type="paragraph" w:styleId="Footer">
    <w:name w:val="footer"/>
    <w:basedOn w:val="Normal"/>
    <w:rsid w:val="004E673C"/>
    <w:pPr>
      <w:tabs>
        <w:tab w:val="clear" w:pos="6480"/>
        <w:tab w:val="clear" w:pos="8280"/>
        <w:tab w:val="center" w:pos="4320"/>
        <w:tab w:val="right" w:pos="8640"/>
      </w:tabs>
    </w:pPr>
  </w:style>
  <w:style w:type="paragraph" w:styleId="Header">
    <w:name w:val="header"/>
    <w:basedOn w:val="Normal"/>
    <w:rsid w:val="004E673C"/>
    <w:pPr>
      <w:tabs>
        <w:tab w:val="clear" w:pos="6480"/>
        <w:tab w:val="clear" w:pos="8280"/>
        <w:tab w:val="center" w:pos="4320"/>
        <w:tab w:val="right" w:pos="8640"/>
      </w:tabs>
    </w:pPr>
  </w:style>
  <w:style w:type="paragraph" w:styleId="BalloonText">
    <w:name w:val="Balloon Text"/>
    <w:basedOn w:val="Normal"/>
    <w:semiHidden/>
    <w:rsid w:val="00F54E8B"/>
    <w:rPr>
      <w:rFonts w:ascii="Tahoma" w:hAnsi="Tahoma" w:cs="Tahoma"/>
      <w:sz w:val="16"/>
      <w:szCs w:val="16"/>
    </w:rPr>
  </w:style>
  <w:style w:type="paragraph" w:styleId="Caption">
    <w:name w:val="caption"/>
    <w:basedOn w:val="Normal"/>
    <w:next w:val="Normal"/>
    <w:qFormat/>
    <w:rsid w:val="00442C33"/>
    <w:pPr>
      <w:tabs>
        <w:tab w:val="clear" w:pos="6480"/>
        <w:tab w:val="clear" w:pos="8280"/>
      </w:tabs>
      <w:spacing w:before="120" w:after="120"/>
    </w:pPr>
    <w:rPr>
      <w:b/>
      <w:bCs/>
      <w:lang w:val="en-GB"/>
    </w:rPr>
  </w:style>
  <w:style w:type="paragraph" w:customStyle="1" w:styleId="MemoBody">
    <w:name w:val="Memo Body"/>
    <w:basedOn w:val="Caption"/>
    <w:rsid w:val="00442C33"/>
    <w:rPr>
      <w:b w:val="0"/>
    </w:rPr>
  </w:style>
  <w:style w:type="paragraph" w:customStyle="1" w:styleId="Headings">
    <w:name w:val="Headings"/>
    <w:basedOn w:val="Caption"/>
    <w:rsid w:val="00442C33"/>
    <w:pPr>
      <w:ind w:left="1440"/>
    </w:pPr>
    <w:rPr>
      <w:b w:val="0"/>
    </w:rPr>
  </w:style>
  <w:style w:type="table" w:styleId="TableGrid">
    <w:name w:val="Table Grid"/>
    <w:basedOn w:val="TableNormal"/>
    <w:uiPriority w:val="59"/>
    <w:rsid w:val="00A96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A56"/>
    <w:pPr>
      <w:tabs>
        <w:tab w:val="clear" w:pos="6480"/>
        <w:tab w:val="clear" w:pos="8280"/>
      </w:tabs>
      <w:spacing w:after="160" w:line="256" w:lineRule="auto"/>
      <w:ind w:left="720"/>
      <w:contextualSpacing/>
    </w:pPr>
    <w:rPr>
      <w:rFonts w:asciiTheme="minorHAnsi" w:eastAsiaTheme="minorHAnsi" w:hAnsiTheme="minorHAnsi" w:cstheme="minorBidi"/>
      <w:szCs w:val="22"/>
      <w:lang w:val="nl-BE"/>
    </w:rPr>
  </w:style>
  <w:style w:type="character" w:styleId="Hyperlink">
    <w:name w:val="Hyperlink"/>
    <w:rsid w:val="00004A2A"/>
    <w:rPr>
      <w:color w:val="0000FF"/>
      <w:u w:val="single"/>
    </w:rPr>
  </w:style>
  <w:style w:type="paragraph" w:styleId="BlockText">
    <w:name w:val="Block Text"/>
    <w:basedOn w:val="Normal"/>
    <w:uiPriority w:val="99"/>
    <w:rsid w:val="00004A2A"/>
    <w:pPr>
      <w:tabs>
        <w:tab w:val="clear" w:pos="6480"/>
        <w:tab w:val="clear" w:pos="8280"/>
      </w:tabs>
      <w:spacing w:after="120"/>
      <w:ind w:left="1440" w:right="1440"/>
      <w:jc w:val="both"/>
    </w:pPr>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ba.europa.eu/-/eba-consults-on-implementation-of-guidelines-on-internet-payments-securit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IBF%20Internal\Templates\New%20Templates%202012\New%20IBF%20Templates\BPFI%20Memo%20mon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BPFI Memo mono</Template>
  <TotalTime>15</TotalTime>
  <Pages>2</Pages>
  <Words>418</Words>
  <Characters>2228</Characters>
  <Application>Microsoft Office Word</Application>
  <DocSecurity>0</DocSecurity>
  <Lines>69</Lines>
  <Paragraphs>36</Paragraphs>
  <ScaleCrop>false</ScaleCrop>
  <HeadingPairs>
    <vt:vector size="2" baseType="variant">
      <vt:variant>
        <vt:lpstr>Title</vt:lpstr>
      </vt:variant>
      <vt:variant>
        <vt:i4>1</vt:i4>
      </vt:variant>
    </vt:vector>
  </HeadingPairs>
  <TitlesOfParts>
    <vt:vector size="1" baseType="lpstr">
      <vt:lpstr>Memo</vt:lpstr>
    </vt:vector>
  </TitlesOfParts>
  <Company>Irish Bankers Federation</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Consultation Paper of the Implementation of draft EBA Guidelines on the Security of Internet Payments</dc:title>
  <dc:creator>Banking &amp; Payments Federation Ireland</dc:creator>
  <cp:lastModifiedBy>moneill</cp:lastModifiedBy>
  <cp:revision>1</cp:revision>
  <cp:lastPrinted>2006-11-17T11:53:00Z</cp:lastPrinted>
  <dcterms:created xsi:type="dcterms:W3CDTF">2014-11-11T14:15:00Z</dcterms:created>
  <dcterms:modified xsi:type="dcterms:W3CDTF">2014-11-11T15:15:00Z</dcterms:modified>
</cp:coreProperties>
</file>