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77" w:type="dxa"/>
        <w:tblLayout w:type="fixed"/>
        <w:tblCellMar>
          <w:left w:w="0" w:type="dxa"/>
          <w:right w:w="0" w:type="dxa"/>
        </w:tblCellMar>
        <w:tblLook w:val="0000"/>
      </w:tblPr>
      <w:tblGrid>
        <w:gridCol w:w="4252"/>
        <w:gridCol w:w="4025"/>
      </w:tblGrid>
      <w:tr w:rsidR="00AA2B47" w:rsidTr="00AA2B47">
        <w:trPr>
          <w:trHeight w:val="569"/>
        </w:trPr>
        <w:tc>
          <w:tcPr>
            <w:tcW w:w="4252" w:type="dxa"/>
            <w:shd w:val="clear" w:color="auto" w:fill="auto"/>
          </w:tcPr>
          <w:p w:rsidR="00AA2B47" w:rsidRDefault="00537B8F" w:rsidP="00AA2B47">
            <w:pPr>
              <w:pStyle w:val="Normalutanavstnd"/>
            </w:pPr>
            <w:proofErr w:type="gramStart"/>
            <w:r>
              <w:t>14</w:t>
            </w:r>
            <w:r w:rsidR="00AA2B47">
              <w:t>/11/2014</w:t>
            </w:r>
            <w:proofErr w:type="gramEnd"/>
          </w:p>
        </w:tc>
        <w:tc>
          <w:tcPr>
            <w:tcW w:w="4025" w:type="dxa"/>
            <w:shd w:val="clear" w:color="auto" w:fill="auto"/>
            <w:tcMar>
              <w:bottom w:w="567" w:type="dxa"/>
            </w:tcMar>
          </w:tcPr>
          <w:p w:rsidR="00AA2B47" w:rsidRDefault="00AA2B47" w:rsidP="00AA2B47">
            <w:pPr>
              <w:pStyle w:val="Normalutanavstnd"/>
            </w:pPr>
          </w:p>
        </w:tc>
      </w:tr>
    </w:tbl>
    <w:p w:rsidR="00AA2B47" w:rsidRPr="00AA2B47" w:rsidRDefault="00AA2B47" w:rsidP="00AA2B47">
      <w:pPr>
        <w:pStyle w:val="Indragetstycke"/>
        <w:ind w:left="0" w:right="-1"/>
        <w:rPr>
          <w:rFonts w:ascii="Arial" w:hAnsi="Arial" w:cs="Arial"/>
          <w:b/>
        </w:rPr>
      </w:pPr>
      <w:bookmarkStart w:id="0" w:name="xxDocument"/>
      <w:bookmarkEnd w:id="0"/>
      <w:r w:rsidRPr="00AA2B47">
        <w:rPr>
          <w:rFonts w:ascii="Arial" w:hAnsi="Arial" w:cs="Arial"/>
          <w:b/>
        </w:rPr>
        <w:t>Consultation Paper on the Implementation of draft EBA Guidelines on the Security of Internet Payments prior to the Transposition of the Revised PSD2</w:t>
      </w:r>
    </w:p>
    <w:p w:rsidR="00AA2B47" w:rsidRDefault="00AA2B47" w:rsidP="00AA2B47">
      <w:pPr>
        <w:pStyle w:val="Indragetstycke"/>
        <w:ind w:left="0" w:right="-1"/>
        <w:rPr>
          <w:rFonts w:ascii="Arial" w:hAnsi="Arial" w:cs="Arial"/>
        </w:rPr>
      </w:pPr>
    </w:p>
    <w:p w:rsidR="00AA2B47" w:rsidRPr="00AA2B47" w:rsidRDefault="00AA2B47" w:rsidP="00AA2B47">
      <w:pPr>
        <w:pStyle w:val="Indragetstycke"/>
        <w:ind w:left="0" w:right="-1"/>
        <w:rPr>
          <w:rFonts w:ascii="Arial" w:hAnsi="Arial" w:cs="Arial"/>
          <w:sz w:val="22"/>
          <w:szCs w:val="22"/>
        </w:rPr>
      </w:pPr>
      <w:r w:rsidRPr="00AA2B47">
        <w:rPr>
          <w:rFonts w:ascii="Arial" w:hAnsi="Arial" w:cs="Arial"/>
          <w:sz w:val="22"/>
          <w:szCs w:val="22"/>
        </w:rPr>
        <w:t xml:space="preserve">On 20 October 2014, the EBA published a </w:t>
      </w:r>
      <w:hyperlink r:id="rId8" w:history="1">
        <w:r w:rsidRPr="00AA2B47">
          <w:rPr>
            <w:rStyle w:val="Hyperlnk"/>
            <w:rFonts w:ascii="Arial" w:hAnsi="Arial" w:cs="Arial"/>
            <w:sz w:val="22"/>
            <w:szCs w:val="22"/>
          </w:rPr>
          <w:t>“Consultation Paper on the Implementation of draft EBA Guidelines on the Security of Internet Payments prior to the Transposition of the Revised PSD2”.</w:t>
        </w:r>
      </w:hyperlink>
      <w:r w:rsidRPr="00AA2B47">
        <w:rPr>
          <w:rFonts w:ascii="Arial" w:hAnsi="Arial" w:cs="Arial"/>
          <w:sz w:val="22"/>
          <w:szCs w:val="22"/>
        </w:rPr>
        <w:t xml:space="preserve"> The EBA invites comments on all proposals put forward in this paper and in particular on the specific question detailed below. The consultation runs until </w:t>
      </w:r>
      <w:r w:rsidRPr="00AA2B47">
        <w:rPr>
          <w:rFonts w:ascii="Arial" w:hAnsi="Arial" w:cs="Arial"/>
          <w:b/>
          <w:sz w:val="22"/>
          <w:szCs w:val="22"/>
        </w:rPr>
        <w:t>14 November 2014</w:t>
      </w:r>
      <w:r w:rsidRPr="00AA2B47">
        <w:rPr>
          <w:rFonts w:ascii="Arial" w:hAnsi="Arial" w:cs="Arial"/>
          <w:sz w:val="22"/>
          <w:szCs w:val="22"/>
        </w:rPr>
        <w:t>.</w:t>
      </w:r>
    </w:p>
    <w:p w:rsidR="00AA2B47" w:rsidRDefault="00AA2B47" w:rsidP="00AA2B47">
      <w:pPr>
        <w:autoSpaceDE w:val="0"/>
        <w:autoSpaceDN w:val="0"/>
        <w:adjustRightInd w:val="0"/>
        <w:rPr>
          <w:szCs w:val="22"/>
          <w:lang w:val="en-US" w:eastAsia="nl-BE"/>
        </w:rPr>
      </w:pPr>
      <w:r w:rsidRPr="0030623B">
        <w:rPr>
          <w:szCs w:val="22"/>
          <w:lang w:val="en-US" w:eastAsia="nl-BE"/>
        </w:rPr>
        <w:t xml:space="preserve">The EBA invites comments on all proposals put forward in this paper and in particular on the specific question stated in the paper. </w:t>
      </w:r>
    </w:p>
    <w:p w:rsidR="00AA2B47" w:rsidRPr="0030623B" w:rsidRDefault="00AA2B47" w:rsidP="00AA2B47">
      <w:pPr>
        <w:autoSpaceDE w:val="0"/>
        <w:autoSpaceDN w:val="0"/>
        <w:adjustRightInd w:val="0"/>
        <w:rPr>
          <w:szCs w:val="22"/>
          <w:lang w:val="en-US" w:eastAsia="nl-BE"/>
        </w:rPr>
      </w:pPr>
    </w:p>
    <w:p w:rsidR="00AA2B47" w:rsidRPr="0030623B" w:rsidRDefault="00AA2B47" w:rsidP="00AA2B47">
      <w:pPr>
        <w:autoSpaceDE w:val="0"/>
        <w:autoSpaceDN w:val="0"/>
        <w:adjustRightInd w:val="0"/>
        <w:rPr>
          <w:szCs w:val="22"/>
          <w:lang w:val="en-US" w:eastAsia="nl-BE"/>
        </w:rPr>
      </w:pPr>
      <w:r w:rsidRPr="0030623B">
        <w:rPr>
          <w:szCs w:val="22"/>
          <w:lang w:val="en-US" w:eastAsia="nl-BE"/>
        </w:rPr>
        <w:t xml:space="preserve">Comments are most helpful if they: </w:t>
      </w:r>
    </w:p>
    <w:p w:rsidR="00AA2B47" w:rsidRPr="0030623B" w:rsidRDefault="00AA2B47" w:rsidP="00AA2B47">
      <w:pPr>
        <w:autoSpaceDE w:val="0"/>
        <w:autoSpaceDN w:val="0"/>
        <w:adjustRightInd w:val="0"/>
        <w:rPr>
          <w:szCs w:val="22"/>
          <w:lang w:val="en-US" w:eastAsia="nl-BE"/>
        </w:rPr>
      </w:pPr>
      <w:r w:rsidRPr="0030623B">
        <w:rPr>
          <w:szCs w:val="22"/>
          <w:lang w:val="en-US" w:eastAsia="nl-BE"/>
        </w:rPr>
        <w:t xml:space="preserve">- respond to the question stated; </w:t>
      </w:r>
    </w:p>
    <w:p w:rsidR="00AA2B47" w:rsidRPr="0030623B" w:rsidRDefault="00AA2B47" w:rsidP="00AA2B47">
      <w:pPr>
        <w:autoSpaceDE w:val="0"/>
        <w:autoSpaceDN w:val="0"/>
        <w:adjustRightInd w:val="0"/>
        <w:rPr>
          <w:szCs w:val="22"/>
          <w:lang w:val="en-US" w:eastAsia="nl-BE"/>
        </w:rPr>
      </w:pPr>
      <w:r w:rsidRPr="0030623B">
        <w:rPr>
          <w:szCs w:val="22"/>
          <w:lang w:val="en-US" w:eastAsia="nl-BE"/>
        </w:rPr>
        <w:t xml:space="preserve">- indicate the specific point to which a comment relates; </w:t>
      </w:r>
    </w:p>
    <w:p w:rsidR="00AA2B47" w:rsidRPr="0030623B" w:rsidRDefault="00AA2B47" w:rsidP="00AA2B47">
      <w:pPr>
        <w:autoSpaceDE w:val="0"/>
        <w:autoSpaceDN w:val="0"/>
        <w:adjustRightInd w:val="0"/>
        <w:rPr>
          <w:szCs w:val="22"/>
          <w:lang w:val="en-US" w:eastAsia="nl-BE"/>
        </w:rPr>
      </w:pPr>
      <w:r w:rsidRPr="0030623B">
        <w:rPr>
          <w:szCs w:val="22"/>
          <w:lang w:val="en-US" w:eastAsia="nl-BE"/>
        </w:rPr>
        <w:t xml:space="preserve">- contain a clear rationale; </w:t>
      </w:r>
    </w:p>
    <w:p w:rsidR="00AA2B47" w:rsidRPr="0030623B" w:rsidRDefault="00AA2B47" w:rsidP="00AA2B47">
      <w:pPr>
        <w:autoSpaceDE w:val="0"/>
        <w:autoSpaceDN w:val="0"/>
        <w:adjustRightInd w:val="0"/>
        <w:rPr>
          <w:szCs w:val="22"/>
          <w:lang w:val="en-US" w:eastAsia="nl-BE"/>
        </w:rPr>
      </w:pPr>
      <w:r w:rsidRPr="0030623B">
        <w:rPr>
          <w:szCs w:val="22"/>
          <w:lang w:val="en-US" w:eastAsia="nl-BE"/>
        </w:rPr>
        <w:t xml:space="preserve">- provide evidence to support the views expressed/ rationale proposed; and </w:t>
      </w:r>
    </w:p>
    <w:p w:rsidR="00AA2B47" w:rsidRPr="0030623B" w:rsidRDefault="00AA2B47" w:rsidP="00AA2B47">
      <w:pPr>
        <w:autoSpaceDE w:val="0"/>
        <w:autoSpaceDN w:val="0"/>
        <w:adjustRightInd w:val="0"/>
        <w:rPr>
          <w:szCs w:val="22"/>
          <w:lang w:val="en-US" w:eastAsia="nl-BE"/>
        </w:rPr>
      </w:pPr>
      <w:r w:rsidRPr="0030623B">
        <w:rPr>
          <w:szCs w:val="22"/>
          <w:lang w:val="en-US" w:eastAsia="nl-BE"/>
        </w:rPr>
        <w:t xml:space="preserve">- describe any alternative regulatory choices the EBA should consider. </w:t>
      </w:r>
    </w:p>
    <w:p w:rsidR="00AA2B47" w:rsidRPr="0030623B" w:rsidRDefault="00AA2B47" w:rsidP="00AA2B47">
      <w:pPr>
        <w:pStyle w:val="Liststycke"/>
        <w:spacing w:before="240" w:after="240"/>
        <w:ind w:left="0"/>
        <w:rPr>
          <w:lang w:val="en-US"/>
        </w:rPr>
      </w:pPr>
    </w:p>
    <w:p w:rsidR="00AA2B47" w:rsidRPr="0030623B" w:rsidRDefault="00AA2B47" w:rsidP="00AA2B47">
      <w:pPr>
        <w:pStyle w:val="Liststycke"/>
        <w:numPr>
          <w:ilvl w:val="0"/>
          <w:numId w:val="30"/>
        </w:numPr>
        <w:spacing w:before="240" w:after="240" w:line="240" w:lineRule="auto"/>
        <w:ind w:left="357" w:hanging="357"/>
        <w:rPr>
          <w:b/>
          <w:sz w:val="28"/>
        </w:rPr>
      </w:pPr>
      <w:proofErr w:type="spellStart"/>
      <w:r w:rsidRPr="0030623B">
        <w:rPr>
          <w:b/>
          <w:sz w:val="28"/>
        </w:rPr>
        <w:t>Details</w:t>
      </w:r>
      <w:proofErr w:type="spellEnd"/>
      <w:r w:rsidRPr="0030623B">
        <w:rPr>
          <w:b/>
          <w:sz w:val="28"/>
        </w:rPr>
        <w:t xml:space="preserve"> </w:t>
      </w:r>
      <w:proofErr w:type="spellStart"/>
      <w:r w:rsidRPr="0030623B">
        <w:rPr>
          <w:b/>
          <w:sz w:val="28"/>
        </w:rPr>
        <w:t>Submitter</w:t>
      </w:r>
      <w:proofErr w:type="spellEnd"/>
      <w:r w:rsidRPr="0030623B">
        <w:rPr>
          <w:b/>
          <w:sz w:val="28"/>
        </w:rPr>
        <w:t>:</w:t>
      </w:r>
    </w:p>
    <w:p w:rsidR="00AA2B47" w:rsidRDefault="00AA2B47" w:rsidP="00AA2B47">
      <w:pPr>
        <w:spacing w:before="240" w:after="240"/>
      </w:pPr>
      <w:r w:rsidRPr="0030623B">
        <w:t xml:space="preserve">Your </w:t>
      </w:r>
      <w:proofErr w:type="spellStart"/>
      <w:r w:rsidRPr="0030623B">
        <w:t>Name</w:t>
      </w:r>
      <w:proofErr w:type="spellEnd"/>
      <w:r w:rsidRPr="0030623B">
        <w:t>: Lars Rutberg</w:t>
      </w:r>
    </w:p>
    <w:p w:rsidR="00AA2B47" w:rsidRPr="00AA2B47" w:rsidRDefault="00AA2B47" w:rsidP="00AA2B47">
      <w:pPr>
        <w:spacing w:before="240" w:after="240"/>
        <w:rPr>
          <w:lang w:val="en-US"/>
        </w:rPr>
      </w:pPr>
      <w:proofErr w:type="gramStart"/>
      <w:r w:rsidRPr="00AA2B47">
        <w:rPr>
          <w:lang w:val="en-US"/>
        </w:rPr>
        <w:t>Your</w:t>
      </w:r>
      <w:proofErr w:type="gramEnd"/>
      <w:r w:rsidRPr="00AA2B47">
        <w:rPr>
          <w:lang w:val="en-US"/>
        </w:rPr>
        <w:t xml:space="preserve"> </w:t>
      </w:r>
      <w:proofErr w:type="spellStart"/>
      <w:r w:rsidRPr="00AA2B47">
        <w:rPr>
          <w:lang w:val="en-US"/>
        </w:rPr>
        <w:t>Organisation</w:t>
      </w:r>
      <w:proofErr w:type="spellEnd"/>
      <w:r w:rsidRPr="00AA2B47">
        <w:rPr>
          <w:lang w:val="en-US"/>
        </w:rPr>
        <w:t xml:space="preserve">: Swedish Bankers’ Association </w:t>
      </w:r>
    </w:p>
    <w:p w:rsidR="00AA2B47" w:rsidRPr="0030623B" w:rsidRDefault="00AA2B47" w:rsidP="00AA2B47">
      <w:pPr>
        <w:pStyle w:val="Liststycke"/>
        <w:numPr>
          <w:ilvl w:val="0"/>
          <w:numId w:val="30"/>
        </w:numPr>
        <w:spacing w:before="240" w:after="240" w:line="240" w:lineRule="auto"/>
        <w:ind w:left="357" w:hanging="357"/>
        <w:rPr>
          <w:b/>
          <w:sz w:val="28"/>
        </w:rPr>
      </w:pPr>
      <w:proofErr w:type="spellStart"/>
      <w:r w:rsidRPr="0030623B">
        <w:rPr>
          <w:b/>
          <w:sz w:val="28"/>
        </w:rPr>
        <w:t>Consultation</w:t>
      </w:r>
      <w:proofErr w:type="spellEnd"/>
      <w:r w:rsidRPr="0030623B">
        <w:rPr>
          <w:b/>
          <w:sz w:val="28"/>
        </w:rPr>
        <w:t xml:space="preserve"> </w:t>
      </w:r>
      <w:proofErr w:type="spellStart"/>
      <w:r w:rsidRPr="0030623B">
        <w:rPr>
          <w:b/>
          <w:sz w:val="28"/>
        </w:rPr>
        <w:t>Question</w:t>
      </w:r>
      <w:proofErr w:type="spellEnd"/>
    </w:p>
    <w:tbl>
      <w:tblPr>
        <w:tblStyle w:val="Tabellrutnt"/>
        <w:tblW w:w="0" w:type="auto"/>
        <w:tblLook w:val="04A0"/>
      </w:tblPr>
      <w:tblGrid>
        <w:gridCol w:w="8494"/>
      </w:tblGrid>
      <w:tr w:rsidR="00AA2B47" w:rsidRPr="00537B8F" w:rsidTr="00D51092">
        <w:tc>
          <w:tcPr>
            <w:tcW w:w="13992" w:type="dxa"/>
          </w:tcPr>
          <w:p w:rsidR="00AA2B47" w:rsidRPr="00AA2B47" w:rsidRDefault="00AA2B47" w:rsidP="00D51092">
            <w:pPr>
              <w:autoSpaceDE w:val="0"/>
              <w:autoSpaceDN w:val="0"/>
              <w:adjustRightInd w:val="0"/>
              <w:rPr>
                <w:b/>
                <w:bCs/>
                <w:lang w:val="en-US"/>
              </w:rPr>
            </w:pPr>
            <w:r w:rsidRPr="00AA2B47">
              <w:rPr>
                <w:b/>
                <w:bCs/>
                <w:lang w:val="en-US"/>
              </w:rPr>
              <w:t xml:space="preserve">Question: Do you prefer for the EBA Guidelines </w:t>
            </w:r>
          </w:p>
          <w:p w:rsidR="00AA2B47" w:rsidRPr="00AA2B47" w:rsidRDefault="00AA2B47" w:rsidP="00D51092">
            <w:pPr>
              <w:autoSpaceDE w:val="0"/>
              <w:autoSpaceDN w:val="0"/>
              <w:adjustRightInd w:val="0"/>
              <w:spacing w:after="238"/>
              <w:rPr>
                <w:bCs/>
                <w:lang w:val="en-US"/>
              </w:rPr>
            </w:pPr>
            <w:r w:rsidRPr="00AA2B47">
              <w:rPr>
                <w:bCs/>
                <w:lang w:val="en-US"/>
              </w:rPr>
              <w:t xml:space="preserve">a) to enter into force, as consulted, on 1 August 2015 with the substance set out in this consultation paper, which means they would apply during a transitional period until stronger requirements enter into force at a later date under PSD 2 (i.e. a two-step approach); or </w:t>
            </w:r>
          </w:p>
          <w:p w:rsidR="00AA2B47" w:rsidRPr="00AA2B47" w:rsidRDefault="00AA2B47" w:rsidP="00D51092">
            <w:pPr>
              <w:autoSpaceDE w:val="0"/>
              <w:autoSpaceDN w:val="0"/>
              <w:adjustRightInd w:val="0"/>
              <w:rPr>
                <w:bCs/>
                <w:lang w:val="en-US"/>
              </w:rPr>
            </w:pPr>
            <w:r w:rsidRPr="00AA2B47">
              <w:rPr>
                <w:bCs/>
                <w:lang w:val="en-US"/>
              </w:rPr>
              <w:t xml:space="preserve">b) </w:t>
            </w:r>
            <w:proofErr w:type="gramStart"/>
            <w:r w:rsidRPr="00AA2B47">
              <w:rPr>
                <w:bCs/>
                <w:lang w:val="en-US"/>
              </w:rPr>
              <w:t>to</w:t>
            </w:r>
            <w:proofErr w:type="gramEnd"/>
            <w:r w:rsidRPr="00AA2B47">
              <w:rPr>
                <w:bCs/>
                <w:lang w:val="en-US"/>
              </w:rPr>
              <w:t xml:space="preserve"> anticipate these stronger PSD2 requirements and include them in the final Guidelines under PSD 1 that enter into force on 1 August 2015, the substance of which would then continue to apply under PSD 2 (i.e. a one-step approach). </w:t>
            </w:r>
          </w:p>
        </w:tc>
      </w:tr>
      <w:tr w:rsidR="00AA2B47" w:rsidRPr="00537B8F" w:rsidTr="00D51092">
        <w:tc>
          <w:tcPr>
            <w:tcW w:w="13992" w:type="dxa"/>
          </w:tcPr>
          <w:p w:rsidR="00AA2B47" w:rsidRPr="00AA2B47" w:rsidRDefault="00AA2B47" w:rsidP="00D51092">
            <w:pPr>
              <w:autoSpaceDE w:val="0"/>
              <w:autoSpaceDN w:val="0"/>
              <w:adjustRightInd w:val="0"/>
              <w:rPr>
                <w:b/>
                <w:bCs/>
                <w:lang w:val="en-US"/>
              </w:rPr>
            </w:pPr>
            <w:r w:rsidRPr="00AA2B47">
              <w:rPr>
                <w:b/>
                <w:bCs/>
                <w:lang w:val="en-US"/>
              </w:rPr>
              <w:lastRenderedPageBreak/>
              <w:t>Answer (a or b including justification):</w:t>
            </w:r>
          </w:p>
          <w:p w:rsidR="00AA2B47" w:rsidRPr="00AA2B47" w:rsidRDefault="00AA2B47" w:rsidP="00D51092">
            <w:pPr>
              <w:autoSpaceDE w:val="0"/>
              <w:autoSpaceDN w:val="0"/>
              <w:adjustRightInd w:val="0"/>
              <w:rPr>
                <w:b/>
                <w:bCs/>
                <w:lang w:val="en-US"/>
              </w:rPr>
            </w:pPr>
          </w:p>
          <w:p w:rsidR="001D549F" w:rsidRDefault="001D549F" w:rsidP="00D51092">
            <w:pPr>
              <w:autoSpaceDE w:val="0"/>
              <w:autoSpaceDN w:val="0"/>
              <w:adjustRightInd w:val="0"/>
              <w:rPr>
                <w:bCs/>
                <w:lang w:val="en-US"/>
              </w:rPr>
            </w:pPr>
            <w:r>
              <w:rPr>
                <w:bCs/>
                <w:lang w:val="en-US"/>
              </w:rPr>
              <w:t xml:space="preserve">The </w:t>
            </w:r>
            <w:r w:rsidR="00AA2B47">
              <w:rPr>
                <w:bCs/>
                <w:lang w:val="en-US"/>
              </w:rPr>
              <w:t xml:space="preserve">Swedish Bankers’ Association (below “SBA”) cannot support any of the two options a) or b) in the consultation document. </w:t>
            </w:r>
          </w:p>
          <w:p w:rsidR="00AA2B47" w:rsidRDefault="00AA2B47" w:rsidP="00D51092">
            <w:pPr>
              <w:autoSpaceDE w:val="0"/>
              <w:autoSpaceDN w:val="0"/>
              <w:adjustRightInd w:val="0"/>
              <w:rPr>
                <w:bCs/>
                <w:lang w:val="en-US"/>
              </w:rPr>
            </w:pPr>
            <w:r>
              <w:rPr>
                <w:bCs/>
                <w:lang w:val="en-US"/>
              </w:rPr>
              <w:t xml:space="preserve">SBA </w:t>
            </w:r>
            <w:r w:rsidR="009F7680" w:rsidRPr="00AA2B47">
              <w:rPr>
                <w:bCs/>
                <w:lang w:val="en-US"/>
              </w:rPr>
              <w:t>opposes</w:t>
            </w:r>
            <w:r w:rsidRPr="00AA2B47">
              <w:rPr>
                <w:bCs/>
                <w:lang w:val="en-US"/>
              </w:rPr>
              <w:t xml:space="preserve"> any attempt to </w:t>
            </w:r>
            <w:r>
              <w:rPr>
                <w:bCs/>
                <w:lang w:val="en-US"/>
              </w:rPr>
              <w:t>“</w:t>
            </w:r>
            <w:r w:rsidRPr="00AA2B47">
              <w:rPr>
                <w:bCs/>
                <w:lang w:val="en-US"/>
              </w:rPr>
              <w:t>anticipate stronger PSD 2 requirements”</w:t>
            </w:r>
            <w:r>
              <w:rPr>
                <w:bCs/>
                <w:lang w:val="en-US"/>
              </w:rPr>
              <w:t xml:space="preserve"> or guess what they could entail</w:t>
            </w:r>
            <w:r w:rsidRPr="00AA2B47">
              <w:rPr>
                <w:bCs/>
                <w:lang w:val="en-US"/>
              </w:rPr>
              <w:t xml:space="preserve">. </w:t>
            </w:r>
            <w:r>
              <w:rPr>
                <w:bCs/>
                <w:lang w:val="en-US"/>
              </w:rPr>
              <w:t xml:space="preserve">Many </w:t>
            </w:r>
            <w:r w:rsidRPr="00AA2B47">
              <w:rPr>
                <w:bCs/>
                <w:lang w:val="en-US"/>
              </w:rPr>
              <w:t xml:space="preserve">parts of the PSD 2, </w:t>
            </w:r>
            <w:r w:rsidRPr="00AA2B47">
              <w:rPr>
                <w:bCs/>
                <w:i/>
                <w:lang w:val="en-US"/>
              </w:rPr>
              <w:t>especially</w:t>
            </w:r>
            <w:r w:rsidRPr="00AA2B47">
              <w:rPr>
                <w:bCs/>
                <w:lang w:val="en-US"/>
              </w:rPr>
              <w:t xml:space="preserve"> for what concerns security, are still </w:t>
            </w:r>
            <w:r>
              <w:rPr>
                <w:bCs/>
                <w:lang w:val="en-US"/>
              </w:rPr>
              <w:t xml:space="preserve">very much debated in the </w:t>
            </w:r>
            <w:r w:rsidRPr="00AA2B47">
              <w:rPr>
                <w:bCs/>
                <w:lang w:val="en-US"/>
              </w:rPr>
              <w:t xml:space="preserve">Council </w:t>
            </w:r>
            <w:r>
              <w:rPr>
                <w:bCs/>
                <w:lang w:val="en-US"/>
              </w:rPr>
              <w:t xml:space="preserve">working group </w:t>
            </w:r>
            <w:r w:rsidRPr="00AA2B47">
              <w:rPr>
                <w:bCs/>
                <w:lang w:val="en-US"/>
              </w:rPr>
              <w:t xml:space="preserve">and </w:t>
            </w:r>
            <w:proofErr w:type="spellStart"/>
            <w:r w:rsidR="001D549F">
              <w:rPr>
                <w:bCs/>
                <w:lang w:val="en-US"/>
              </w:rPr>
              <w:t>discussions</w:t>
            </w:r>
            <w:r>
              <w:rPr>
                <w:bCs/>
                <w:lang w:val="en-US"/>
              </w:rPr>
              <w:t>in</w:t>
            </w:r>
            <w:proofErr w:type="spellEnd"/>
            <w:r>
              <w:rPr>
                <w:bCs/>
                <w:lang w:val="en-US"/>
              </w:rPr>
              <w:t xml:space="preserve"> </w:t>
            </w:r>
            <w:proofErr w:type="spellStart"/>
            <w:r w:rsidRPr="00AA2B47">
              <w:rPr>
                <w:bCs/>
                <w:lang w:val="en-US"/>
              </w:rPr>
              <w:t>trilogue</w:t>
            </w:r>
            <w:proofErr w:type="spellEnd"/>
            <w:r w:rsidR="001D549F">
              <w:rPr>
                <w:bCs/>
                <w:lang w:val="en-US"/>
              </w:rPr>
              <w:t xml:space="preserve"> is antic</w:t>
            </w:r>
            <w:r w:rsidR="00D90108">
              <w:rPr>
                <w:bCs/>
                <w:lang w:val="en-US"/>
              </w:rPr>
              <w:t>i</w:t>
            </w:r>
            <w:r w:rsidR="001D549F">
              <w:rPr>
                <w:bCs/>
                <w:lang w:val="en-US"/>
              </w:rPr>
              <w:t>pated</w:t>
            </w:r>
            <w:r w:rsidRPr="00AA2B47">
              <w:rPr>
                <w:bCs/>
                <w:lang w:val="en-US"/>
              </w:rPr>
              <w:t xml:space="preserve">. </w:t>
            </w:r>
            <w:r>
              <w:rPr>
                <w:bCs/>
                <w:lang w:val="en-US"/>
              </w:rPr>
              <w:t xml:space="preserve">What </w:t>
            </w:r>
            <w:r w:rsidR="001D549F">
              <w:rPr>
                <w:bCs/>
                <w:lang w:val="en-US"/>
              </w:rPr>
              <w:t xml:space="preserve">may </w:t>
            </w:r>
            <w:r>
              <w:rPr>
                <w:bCs/>
                <w:lang w:val="en-US"/>
              </w:rPr>
              <w:t xml:space="preserve">come out as result of the </w:t>
            </w:r>
            <w:proofErr w:type="spellStart"/>
            <w:r w:rsidRPr="00AA2B47">
              <w:rPr>
                <w:bCs/>
                <w:lang w:val="en-US"/>
              </w:rPr>
              <w:t>trilogue</w:t>
            </w:r>
            <w:proofErr w:type="spellEnd"/>
            <w:r>
              <w:rPr>
                <w:bCs/>
                <w:lang w:val="en-US"/>
              </w:rPr>
              <w:t xml:space="preserve"> is anyone’s guess, </w:t>
            </w:r>
            <w:r w:rsidRPr="00AA2B47">
              <w:rPr>
                <w:bCs/>
                <w:lang w:val="en-US"/>
              </w:rPr>
              <w:t>especially</w:t>
            </w:r>
            <w:r>
              <w:rPr>
                <w:bCs/>
                <w:lang w:val="en-US"/>
              </w:rPr>
              <w:t xml:space="preserve"> since </w:t>
            </w:r>
            <w:r w:rsidR="001D549F">
              <w:rPr>
                <w:bCs/>
                <w:lang w:val="en-US"/>
              </w:rPr>
              <w:t xml:space="preserve">the positions of the </w:t>
            </w:r>
            <w:r>
              <w:rPr>
                <w:bCs/>
                <w:lang w:val="en-US"/>
              </w:rPr>
              <w:t>Parliament and Council</w:t>
            </w:r>
            <w:r w:rsidR="00D90108">
              <w:rPr>
                <w:bCs/>
                <w:lang w:val="en-US"/>
              </w:rPr>
              <w:t xml:space="preserve"> </w:t>
            </w:r>
            <w:r>
              <w:rPr>
                <w:bCs/>
                <w:lang w:val="en-US"/>
              </w:rPr>
              <w:t xml:space="preserve">are </w:t>
            </w:r>
            <w:r w:rsidR="00D51092">
              <w:rPr>
                <w:bCs/>
                <w:lang w:val="en-US"/>
              </w:rPr>
              <w:t>very different</w:t>
            </w:r>
            <w:r w:rsidR="001D549F">
              <w:rPr>
                <w:bCs/>
                <w:lang w:val="en-US"/>
              </w:rPr>
              <w:t xml:space="preserve"> </w:t>
            </w:r>
          </w:p>
          <w:p w:rsidR="00AA2B47" w:rsidRDefault="00AA2B47" w:rsidP="00D51092">
            <w:pPr>
              <w:autoSpaceDE w:val="0"/>
              <w:autoSpaceDN w:val="0"/>
              <w:adjustRightInd w:val="0"/>
              <w:rPr>
                <w:bCs/>
                <w:lang w:val="en-US"/>
              </w:rPr>
            </w:pPr>
          </w:p>
          <w:p w:rsidR="00AA2B47" w:rsidRPr="00167ACD" w:rsidRDefault="00AA2B47" w:rsidP="00D51092">
            <w:pPr>
              <w:autoSpaceDE w:val="0"/>
              <w:autoSpaceDN w:val="0"/>
              <w:adjustRightInd w:val="0"/>
              <w:rPr>
                <w:bCs/>
                <w:lang w:val="en-US"/>
              </w:rPr>
            </w:pPr>
            <w:r>
              <w:rPr>
                <w:bCs/>
                <w:lang w:val="en-US"/>
              </w:rPr>
              <w:t xml:space="preserve">SBA </w:t>
            </w:r>
            <w:r w:rsidRPr="00AA2B47">
              <w:rPr>
                <w:bCs/>
                <w:lang w:val="en-US"/>
              </w:rPr>
              <w:t>prefer</w:t>
            </w:r>
            <w:r w:rsidR="00D51092">
              <w:rPr>
                <w:bCs/>
                <w:lang w:val="en-US"/>
              </w:rPr>
              <w:t>s an option</w:t>
            </w:r>
            <w:r w:rsidRPr="00AA2B47">
              <w:rPr>
                <w:bCs/>
                <w:lang w:val="en-US"/>
              </w:rPr>
              <w:t xml:space="preserve"> where the EBA Guidelines would be issued only </w:t>
            </w:r>
            <w:r w:rsidRPr="00AA2B47">
              <w:rPr>
                <w:bCs/>
                <w:i/>
                <w:lang w:val="en-US"/>
              </w:rPr>
              <w:t>after</w:t>
            </w:r>
            <w:r w:rsidRPr="00AA2B47">
              <w:rPr>
                <w:bCs/>
                <w:lang w:val="en-US"/>
              </w:rPr>
              <w:t xml:space="preserve"> entry into force of </w:t>
            </w:r>
            <w:r w:rsidR="00D51092">
              <w:rPr>
                <w:bCs/>
                <w:lang w:val="en-US"/>
              </w:rPr>
              <w:t xml:space="preserve">the </w:t>
            </w:r>
            <w:r w:rsidRPr="00AA2B47">
              <w:rPr>
                <w:bCs/>
                <w:lang w:val="en-US"/>
              </w:rPr>
              <w:t>PSD2, following a consultation of the market and safeguarding an adequate timeframe for implementation (‘option c’).</w:t>
            </w:r>
            <w:r>
              <w:rPr>
                <w:bCs/>
                <w:lang w:val="en-US"/>
              </w:rPr>
              <w:t xml:space="preserve"> SBA cannot see a situation where the guidelines enter into force sooner than the PSD has been implemented and the corresponding EBA guidelines (under PSD2; i.e. articles 87 and 87 a)</w:t>
            </w:r>
            <w:r w:rsidR="00D90108">
              <w:rPr>
                <w:bCs/>
                <w:lang w:val="en-US"/>
              </w:rPr>
              <w:t>)</w:t>
            </w:r>
            <w:r>
              <w:rPr>
                <w:bCs/>
                <w:lang w:val="en-US"/>
              </w:rPr>
              <w:t>, as drafted in the last compromise from the Preside</w:t>
            </w:r>
            <w:r w:rsidR="00213F49">
              <w:rPr>
                <w:bCs/>
                <w:lang w:val="en-US"/>
              </w:rPr>
              <w:t>n</w:t>
            </w:r>
            <w:r>
              <w:rPr>
                <w:bCs/>
                <w:lang w:val="en-US"/>
              </w:rPr>
              <w:t>cy</w:t>
            </w:r>
            <w:r w:rsidR="00D51092">
              <w:rPr>
                <w:bCs/>
                <w:lang w:val="en-US"/>
              </w:rPr>
              <w:t>,</w:t>
            </w:r>
            <w:r w:rsidR="00D90108">
              <w:rPr>
                <w:bCs/>
                <w:lang w:val="en-US"/>
              </w:rPr>
              <w:t xml:space="preserve"> </w:t>
            </w:r>
            <w:r>
              <w:rPr>
                <w:bCs/>
                <w:lang w:val="en-US"/>
              </w:rPr>
              <w:t>have been published.</w:t>
            </w:r>
            <w:r w:rsidR="00167ACD">
              <w:rPr>
                <w:bCs/>
                <w:lang w:val="en-US"/>
              </w:rPr>
              <w:t xml:space="preserve"> Or in other words, we </w:t>
            </w:r>
            <w:r w:rsidR="00167ACD" w:rsidRPr="00167ACD">
              <w:rPr>
                <w:bCs/>
                <w:lang w:val="en-US"/>
              </w:rPr>
              <w:t>cannot see that the gu</w:t>
            </w:r>
            <w:r w:rsidR="00167ACD">
              <w:rPr>
                <w:bCs/>
                <w:lang w:val="en-US"/>
              </w:rPr>
              <w:t>i</w:t>
            </w:r>
            <w:r w:rsidR="00167ACD" w:rsidRPr="00167ACD">
              <w:rPr>
                <w:bCs/>
                <w:lang w:val="en-US"/>
              </w:rPr>
              <w:t xml:space="preserve">delines can enter into force any sooner than </w:t>
            </w:r>
            <w:r w:rsidR="00167ACD" w:rsidRPr="00167ACD">
              <w:rPr>
                <w:bCs/>
                <w:i/>
                <w:lang w:val="en-US"/>
              </w:rPr>
              <w:t>after</w:t>
            </w:r>
            <w:r w:rsidR="00167ACD" w:rsidRPr="00167ACD">
              <w:rPr>
                <w:bCs/>
                <w:lang w:val="en-US"/>
              </w:rPr>
              <w:t xml:space="preserve"> PSD2 </w:t>
            </w:r>
            <w:r w:rsidR="00167ACD" w:rsidRPr="00167ACD">
              <w:rPr>
                <w:bCs/>
                <w:i/>
                <w:lang w:val="en-US"/>
              </w:rPr>
              <w:t>and</w:t>
            </w:r>
            <w:r w:rsidR="00167ACD" w:rsidRPr="00167ACD">
              <w:rPr>
                <w:bCs/>
                <w:lang w:val="en-US"/>
              </w:rPr>
              <w:t xml:space="preserve"> the EBA gu</w:t>
            </w:r>
            <w:r w:rsidR="00167ACD">
              <w:rPr>
                <w:bCs/>
                <w:lang w:val="en-US"/>
              </w:rPr>
              <w:t>id</w:t>
            </w:r>
            <w:r w:rsidR="00167ACD" w:rsidRPr="00167ACD">
              <w:rPr>
                <w:bCs/>
                <w:lang w:val="en-US"/>
              </w:rPr>
              <w:t>elines are fin</w:t>
            </w:r>
            <w:r w:rsidR="00167ACD">
              <w:rPr>
                <w:bCs/>
                <w:lang w:val="en-US"/>
              </w:rPr>
              <w:t>a</w:t>
            </w:r>
            <w:r w:rsidR="00167ACD" w:rsidRPr="00167ACD">
              <w:rPr>
                <w:bCs/>
                <w:lang w:val="en-US"/>
              </w:rPr>
              <w:t>li</w:t>
            </w:r>
            <w:r w:rsidR="00167ACD">
              <w:rPr>
                <w:bCs/>
                <w:lang w:val="en-US"/>
              </w:rPr>
              <w:t>z</w:t>
            </w:r>
            <w:r w:rsidR="00167ACD" w:rsidRPr="00167ACD">
              <w:rPr>
                <w:bCs/>
                <w:lang w:val="en-US"/>
              </w:rPr>
              <w:t>ed.</w:t>
            </w:r>
          </w:p>
          <w:p w:rsidR="00AA2B47" w:rsidRPr="0030623B" w:rsidRDefault="00AA2B47" w:rsidP="00D51092">
            <w:pPr>
              <w:autoSpaceDE w:val="0"/>
              <w:autoSpaceDN w:val="0"/>
              <w:adjustRightInd w:val="0"/>
              <w:rPr>
                <w:lang w:val="en-US" w:eastAsia="en-GB"/>
              </w:rPr>
            </w:pPr>
          </w:p>
          <w:p w:rsidR="00213F49" w:rsidRDefault="00213F49" w:rsidP="00D51092">
            <w:pPr>
              <w:autoSpaceDE w:val="0"/>
              <w:autoSpaceDN w:val="0"/>
              <w:adjustRightInd w:val="0"/>
              <w:rPr>
                <w:lang w:val="en-US"/>
              </w:rPr>
            </w:pPr>
            <w:r>
              <w:rPr>
                <w:lang w:val="en-US" w:eastAsia="en-GB"/>
              </w:rPr>
              <w:t xml:space="preserve">SBA also questions the legal grounds for EBA to issue guidelines incorporating demands for </w:t>
            </w:r>
            <w:r w:rsidRPr="00AA2B47">
              <w:rPr>
                <w:lang w:val="en-US"/>
              </w:rPr>
              <w:t>‘strong customer authentication’</w:t>
            </w:r>
            <w:r>
              <w:rPr>
                <w:lang w:val="en-US"/>
              </w:rPr>
              <w:t xml:space="preserve"> since this is a concept not know</w:t>
            </w:r>
            <w:r w:rsidR="00D51092">
              <w:rPr>
                <w:lang w:val="en-US"/>
              </w:rPr>
              <w:t>n</w:t>
            </w:r>
            <w:r>
              <w:rPr>
                <w:lang w:val="en-US"/>
              </w:rPr>
              <w:t xml:space="preserve"> to the current PSD (PSD1), and it is only PSD1 which EBA can “use” as means for issuing guidelines based on EU-legislation.</w:t>
            </w:r>
          </w:p>
          <w:p w:rsidR="00D90108" w:rsidRDefault="00D90108" w:rsidP="00D51092">
            <w:pPr>
              <w:autoSpaceDE w:val="0"/>
              <w:autoSpaceDN w:val="0"/>
              <w:adjustRightInd w:val="0"/>
              <w:rPr>
                <w:lang w:val="en-US"/>
              </w:rPr>
            </w:pPr>
          </w:p>
          <w:p w:rsidR="00AA2B47" w:rsidRPr="0030623B" w:rsidRDefault="00AA2B47" w:rsidP="00D51092">
            <w:pPr>
              <w:autoSpaceDE w:val="0"/>
              <w:autoSpaceDN w:val="0"/>
              <w:adjustRightInd w:val="0"/>
              <w:rPr>
                <w:lang w:val="en-US" w:eastAsia="en-GB"/>
              </w:rPr>
            </w:pPr>
            <w:r w:rsidRPr="0030623B">
              <w:rPr>
                <w:lang w:val="en-US" w:eastAsia="en-GB"/>
              </w:rPr>
              <w:t>The preference for ‘option c’, is based on the following arguments:</w:t>
            </w:r>
          </w:p>
          <w:p w:rsidR="00AA2B47" w:rsidRPr="0030623B" w:rsidRDefault="00AA2B47" w:rsidP="00D51092">
            <w:pPr>
              <w:autoSpaceDE w:val="0"/>
              <w:autoSpaceDN w:val="0"/>
              <w:adjustRightInd w:val="0"/>
              <w:rPr>
                <w:lang w:val="en-US" w:eastAsia="en-GB"/>
              </w:rPr>
            </w:pPr>
          </w:p>
          <w:p w:rsidR="00AA2B47" w:rsidRPr="00AA2B47" w:rsidRDefault="00AA2B47" w:rsidP="00AA2B47">
            <w:pPr>
              <w:pStyle w:val="Liststycke"/>
              <w:numPr>
                <w:ilvl w:val="0"/>
                <w:numId w:val="32"/>
              </w:numPr>
              <w:autoSpaceDE w:val="0"/>
              <w:autoSpaceDN w:val="0"/>
              <w:adjustRightInd w:val="0"/>
              <w:spacing w:before="120" w:line="240" w:lineRule="auto"/>
              <w:ind w:left="714" w:hanging="357"/>
              <w:rPr>
                <w:lang w:val="en-US"/>
              </w:rPr>
            </w:pPr>
            <w:r w:rsidRPr="00AA2B47">
              <w:rPr>
                <w:lang w:val="en-US"/>
              </w:rPr>
              <w:t>Shortcomings related to option a) include:</w:t>
            </w:r>
          </w:p>
          <w:p w:rsidR="00AA2B47" w:rsidRPr="0030623B" w:rsidRDefault="00AA2B47" w:rsidP="00AA2B47">
            <w:pPr>
              <w:pStyle w:val="Liststycke"/>
              <w:numPr>
                <w:ilvl w:val="1"/>
                <w:numId w:val="33"/>
              </w:numPr>
              <w:autoSpaceDE w:val="0"/>
              <w:autoSpaceDN w:val="0"/>
              <w:adjustRightInd w:val="0"/>
              <w:spacing w:before="240" w:line="240" w:lineRule="auto"/>
              <w:ind w:left="1434" w:hanging="357"/>
              <w:rPr>
                <w:lang w:val="en-US" w:eastAsia="en-GB"/>
              </w:rPr>
            </w:pPr>
            <w:r w:rsidRPr="00AA2B47">
              <w:rPr>
                <w:lang w:val="en-US" w:eastAsia="en-GB"/>
              </w:rPr>
              <w:t>T</w:t>
            </w:r>
            <w:r w:rsidRPr="0030623B">
              <w:rPr>
                <w:lang w:val="en-US" w:eastAsia="en-GB"/>
              </w:rPr>
              <w:t>he 2-step approach creates a risk of implementations in the first step not being compliant with future Guidelines of the second step, imposing unnecessary rework costs to payment service providers, and confusion/inconvenience to merchants and consumers.</w:t>
            </w:r>
          </w:p>
          <w:p w:rsidR="00AA2B47" w:rsidRPr="0030623B" w:rsidRDefault="00AA2B47" w:rsidP="00AA2B47">
            <w:pPr>
              <w:pStyle w:val="Liststycke"/>
              <w:numPr>
                <w:ilvl w:val="1"/>
                <w:numId w:val="32"/>
              </w:numPr>
              <w:autoSpaceDE w:val="0"/>
              <w:autoSpaceDN w:val="0"/>
              <w:adjustRightInd w:val="0"/>
              <w:spacing w:line="240" w:lineRule="auto"/>
              <w:rPr>
                <w:lang w:val="en-US" w:eastAsia="en-GB"/>
              </w:rPr>
            </w:pPr>
            <w:r w:rsidRPr="0030623B">
              <w:rPr>
                <w:lang w:val="en-US" w:eastAsia="en-GB"/>
              </w:rPr>
              <w:t>The security Guidelines would not be enforced on all payment service providers as payment initiation services providers will only be regulated under PSD2 at a later stage.</w:t>
            </w:r>
          </w:p>
          <w:p w:rsidR="00AA2B47" w:rsidRPr="0030623B" w:rsidRDefault="00AA2B47" w:rsidP="00D51092">
            <w:pPr>
              <w:pStyle w:val="Liststycke"/>
              <w:autoSpaceDE w:val="0"/>
              <w:autoSpaceDN w:val="0"/>
              <w:adjustRightInd w:val="0"/>
              <w:ind w:left="1440"/>
              <w:rPr>
                <w:sz w:val="16"/>
                <w:szCs w:val="16"/>
                <w:lang w:val="en-US" w:eastAsia="en-GB"/>
              </w:rPr>
            </w:pPr>
          </w:p>
          <w:p w:rsidR="00AA2B47" w:rsidRPr="00AA2B47" w:rsidRDefault="00AA2B47" w:rsidP="00AA2B47">
            <w:pPr>
              <w:pStyle w:val="Liststycke"/>
              <w:numPr>
                <w:ilvl w:val="0"/>
                <w:numId w:val="32"/>
              </w:numPr>
              <w:autoSpaceDE w:val="0"/>
              <w:autoSpaceDN w:val="0"/>
              <w:adjustRightInd w:val="0"/>
              <w:spacing w:line="240" w:lineRule="auto"/>
              <w:rPr>
                <w:lang w:val="en-US"/>
              </w:rPr>
            </w:pPr>
            <w:r w:rsidRPr="00AA2B47">
              <w:rPr>
                <w:lang w:val="en-US"/>
              </w:rPr>
              <w:t>Shortcomings related to option b) include:</w:t>
            </w:r>
          </w:p>
          <w:p w:rsidR="00AA2B47" w:rsidRPr="0030623B" w:rsidRDefault="00AA2B47" w:rsidP="00AA2B47">
            <w:pPr>
              <w:pStyle w:val="Liststycke"/>
              <w:numPr>
                <w:ilvl w:val="1"/>
                <w:numId w:val="32"/>
              </w:numPr>
              <w:autoSpaceDE w:val="0"/>
              <w:autoSpaceDN w:val="0"/>
              <w:adjustRightInd w:val="0"/>
              <w:spacing w:line="240" w:lineRule="auto"/>
              <w:rPr>
                <w:lang w:val="en-US" w:eastAsia="en-GB"/>
              </w:rPr>
            </w:pPr>
            <w:r w:rsidRPr="0030623B">
              <w:rPr>
                <w:lang w:val="en-US" w:eastAsia="en-GB"/>
              </w:rPr>
              <w:t xml:space="preserve">It does not provide a guarantee of a one-step approach, because the stronger PSD2 requirements are at this time still under </w:t>
            </w:r>
            <w:r w:rsidR="00D90108">
              <w:rPr>
                <w:lang w:val="en-US" w:eastAsia="en-GB"/>
              </w:rPr>
              <w:t xml:space="preserve">intense </w:t>
            </w:r>
            <w:r w:rsidRPr="0030623B">
              <w:rPr>
                <w:lang w:val="en-US" w:eastAsia="en-GB"/>
              </w:rPr>
              <w:t>discussion</w:t>
            </w:r>
            <w:r w:rsidR="00D90108">
              <w:rPr>
                <w:lang w:val="en-US" w:eastAsia="en-GB"/>
              </w:rPr>
              <w:t>s</w:t>
            </w:r>
            <w:r w:rsidRPr="0030623B">
              <w:rPr>
                <w:lang w:val="en-US" w:eastAsia="en-GB"/>
              </w:rPr>
              <w:t xml:space="preserve"> and may change. </w:t>
            </w:r>
            <w:r w:rsidR="00D90108">
              <w:rPr>
                <w:lang w:val="en-US" w:eastAsia="en-GB"/>
              </w:rPr>
              <w:t>T</w:t>
            </w:r>
            <w:r w:rsidRPr="0030623B">
              <w:rPr>
                <w:lang w:val="en-US" w:eastAsia="en-GB"/>
              </w:rPr>
              <w:t xml:space="preserve">here </w:t>
            </w:r>
            <w:r w:rsidR="00C84081" w:rsidRPr="0030623B">
              <w:rPr>
                <w:lang w:val="en-US" w:eastAsia="en-GB"/>
              </w:rPr>
              <w:t>are</w:t>
            </w:r>
            <w:r w:rsidR="00C84081">
              <w:rPr>
                <w:lang w:val="en-US" w:eastAsia="en-GB"/>
              </w:rPr>
              <w:t xml:space="preserve"> currently </w:t>
            </w:r>
            <w:r w:rsidRPr="0030623B">
              <w:rPr>
                <w:lang w:val="en-US" w:eastAsia="en-GB"/>
              </w:rPr>
              <w:t xml:space="preserve">no stable conditions for setting requirements for stronger security standards that will ultimately exist under PSD2. </w:t>
            </w:r>
          </w:p>
          <w:p w:rsidR="00AA2B47" w:rsidRPr="0030623B" w:rsidRDefault="00AA2B47" w:rsidP="00AA2B47">
            <w:pPr>
              <w:pStyle w:val="Liststycke"/>
              <w:numPr>
                <w:ilvl w:val="1"/>
                <w:numId w:val="32"/>
              </w:numPr>
              <w:autoSpaceDE w:val="0"/>
              <w:autoSpaceDN w:val="0"/>
              <w:adjustRightInd w:val="0"/>
              <w:spacing w:line="240" w:lineRule="auto"/>
              <w:rPr>
                <w:lang w:val="en-US" w:eastAsia="en-GB"/>
              </w:rPr>
            </w:pPr>
            <w:r w:rsidRPr="0030623B">
              <w:rPr>
                <w:lang w:val="en-US" w:eastAsia="en-GB"/>
              </w:rPr>
              <w:t xml:space="preserve">At present PSPs are working to develop and implement technical structures as requested by </w:t>
            </w:r>
            <w:proofErr w:type="spellStart"/>
            <w:r w:rsidRPr="0030623B">
              <w:rPr>
                <w:lang w:val="en-US" w:eastAsia="en-GB"/>
              </w:rPr>
              <w:t>SecuRe</w:t>
            </w:r>
            <w:proofErr w:type="spellEnd"/>
            <w:r w:rsidRPr="0030623B">
              <w:rPr>
                <w:lang w:val="en-US" w:eastAsia="en-GB"/>
              </w:rPr>
              <w:t xml:space="preserve"> Pay Recommendations by the February 2015 deadline</w:t>
            </w:r>
            <w:r w:rsidR="00C84081">
              <w:rPr>
                <w:lang w:val="en-US" w:eastAsia="en-GB"/>
              </w:rPr>
              <w:t xml:space="preserve">. It is </w:t>
            </w:r>
            <w:r w:rsidRPr="0030623B">
              <w:rPr>
                <w:lang w:val="en-US" w:eastAsia="en-GB"/>
              </w:rPr>
              <w:t xml:space="preserve">  impossible </w:t>
            </w:r>
            <w:r w:rsidR="00C84081">
              <w:rPr>
                <w:lang w:val="en-US" w:eastAsia="en-GB"/>
              </w:rPr>
              <w:t xml:space="preserve">at this late stage to demand that they </w:t>
            </w:r>
            <w:r w:rsidRPr="0030623B">
              <w:rPr>
                <w:lang w:val="en-US" w:eastAsia="en-GB"/>
              </w:rPr>
              <w:t xml:space="preserve">change the scope of their projects (and related budgets) </w:t>
            </w:r>
            <w:r w:rsidRPr="0030623B">
              <w:rPr>
                <w:lang w:val="en-US" w:eastAsia="en-GB"/>
              </w:rPr>
              <w:lastRenderedPageBreak/>
              <w:t xml:space="preserve">already planned in accordance with the </w:t>
            </w:r>
            <w:proofErr w:type="spellStart"/>
            <w:r w:rsidRPr="0030623B">
              <w:rPr>
                <w:lang w:val="en-US" w:eastAsia="en-GB"/>
              </w:rPr>
              <w:t>SecuRe</w:t>
            </w:r>
            <w:proofErr w:type="spellEnd"/>
            <w:r w:rsidRPr="0030623B">
              <w:rPr>
                <w:lang w:val="en-US" w:eastAsia="en-GB"/>
              </w:rPr>
              <w:t xml:space="preserve"> Pay Recommendations.</w:t>
            </w:r>
          </w:p>
          <w:p w:rsidR="00AA2B47" w:rsidRPr="0030623B" w:rsidRDefault="00AA2B47" w:rsidP="00AA2B47">
            <w:pPr>
              <w:pStyle w:val="Liststycke"/>
              <w:numPr>
                <w:ilvl w:val="1"/>
                <w:numId w:val="32"/>
              </w:numPr>
              <w:autoSpaceDE w:val="0"/>
              <w:autoSpaceDN w:val="0"/>
              <w:adjustRightInd w:val="0"/>
              <w:spacing w:line="240" w:lineRule="auto"/>
              <w:rPr>
                <w:lang w:val="en-US" w:eastAsia="en-GB"/>
              </w:rPr>
            </w:pPr>
            <w:r w:rsidRPr="0030623B">
              <w:rPr>
                <w:lang w:val="en-US" w:eastAsia="en-GB"/>
              </w:rPr>
              <w:t xml:space="preserve">A lead time </w:t>
            </w:r>
            <w:r w:rsidR="00C84081" w:rsidRPr="0030623B">
              <w:rPr>
                <w:lang w:val="en-US" w:eastAsia="en-GB"/>
              </w:rPr>
              <w:t>–</w:t>
            </w:r>
            <w:r w:rsidRPr="0030623B">
              <w:rPr>
                <w:lang w:val="en-US" w:eastAsia="en-GB"/>
              </w:rPr>
              <w:t xml:space="preserve"> well beyond 1st August 2015 – would be required to implement “strong transaction authentication” solutions or, more generally, any solution other than those already set out in the </w:t>
            </w:r>
            <w:proofErr w:type="spellStart"/>
            <w:r w:rsidRPr="0030623B">
              <w:rPr>
                <w:lang w:val="en-US" w:eastAsia="en-GB"/>
              </w:rPr>
              <w:t>SecuRe</w:t>
            </w:r>
            <w:proofErr w:type="spellEnd"/>
            <w:r w:rsidRPr="0030623B">
              <w:rPr>
                <w:lang w:val="en-US" w:eastAsia="en-GB"/>
              </w:rPr>
              <w:t xml:space="preserve"> Pay Recommendations.</w:t>
            </w:r>
          </w:p>
          <w:p w:rsidR="00AA2B47" w:rsidRPr="0030623B" w:rsidRDefault="00AA2B47" w:rsidP="00AA2B47">
            <w:pPr>
              <w:pStyle w:val="Liststycke"/>
              <w:numPr>
                <w:ilvl w:val="1"/>
                <w:numId w:val="32"/>
              </w:numPr>
              <w:autoSpaceDE w:val="0"/>
              <w:autoSpaceDN w:val="0"/>
              <w:adjustRightInd w:val="0"/>
              <w:spacing w:line="240" w:lineRule="auto"/>
              <w:rPr>
                <w:lang w:val="en-US" w:eastAsia="en-GB"/>
              </w:rPr>
            </w:pPr>
            <w:r w:rsidRPr="0030623B">
              <w:rPr>
                <w:lang w:val="en-US" w:eastAsia="en-GB"/>
              </w:rPr>
              <w:t>The security Guidelines would not be enforced on all payment service providers as payment initiation services providers will only be regulated under PSD2 at a later stage.</w:t>
            </w:r>
          </w:p>
          <w:p w:rsidR="00AA2B47" w:rsidRPr="00AA2B47" w:rsidRDefault="00AA2B47" w:rsidP="00D51092">
            <w:pPr>
              <w:textAlignment w:val="center"/>
              <w:rPr>
                <w:bCs/>
                <w:lang w:val="en-US"/>
              </w:rPr>
            </w:pPr>
          </w:p>
        </w:tc>
      </w:tr>
    </w:tbl>
    <w:p w:rsidR="00AA2B47" w:rsidRPr="00382CE5" w:rsidRDefault="00AA2B47" w:rsidP="00AA2B47">
      <w:pPr>
        <w:pStyle w:val="Liststycke"/>
        <w:numPr>
          <w:ilvl w:val="0"/>
          <w:numId w:val="30"/>
        </w:numPr>
        <w:spacing w:before="240" w:after="240" w:line="240" w:lineRule="auto"/>
        <w:ind w:left="357" w:hanging="357"/>
        <w:rPr>
          <w:bCs/>
          <w:sz w:val="20"/>
          <w:szCs w:val="20"/>
        </w:rPr>
      </w:pPr>
      <w:proofErr w:type="spellStart"/>
      <w:r w:rsidRPr="00382CE5">
        <w:rPr>
          <w:b/>
          <w:sz w:val="20"/>
          <w:szCs w:val="20"/>
        </w:rPr>
        <w:lastRenderedPageBreak/>
        <w:t>Response</w:t>
      </w:r>
      <w:proofErr w:type="spellEnd"/>
      <w:r w:rsidRPr="00382CE5">
        <w:rPr>
          <w:b/>
          <w:sz w:val="20"/>
          <w:szCs w:val="20"/>
        </w:rPr>
        <w:t xml:space="preserve"> </w:t>
      </w:r>
      <w:proofErr w:type="spellStart"/>
      <w:r w:rsidRPr="00382CE5">
        <w:rPr>
          <w:b/>
          <w:sz w:val="20"/>
          <w:szCs w:val="20"/>
        </w:rPr>
        <w:t>Template</w:t>
      </w:r>
      <w:proofErr w:type="spellEnd"/>
    </w:p>
    <w:tbl>
      <w:tblPr>
        <w:tblpPr w:leftFromText="180" w:rightFromText="180" w:vertAnchor="text" w:horzAnchor="margin" w:tblpY="452"/>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117"/>
        <w:gridCol w:w="990"/>
        <w:gridCol w:w="2395"/>
        <w:gridCol w:w="3529"/>
      </w:tblGrid>
      <w:tr w:rsidR="00382CE5" w:rsidRPr="00382CE5" w:rsidTr="00167ACD">
        <w:tc>
          <w:tcPr>
            <w:tcW w:w="260" w:type="pct"/>
          </w:tcPr>
          <w:p w:rsidR="00382CE5" w:rsidRPr="00382CE5" w:rsidRDefault="00382CE5" w:rsidP="00D51092">
            <w:pPr>
              <w:spacing w:line="360" w:lineRule="auto"/>
              <w:jc w:val="center"/>
              <w:rPr>
                <w:b/>
                <w:sz w:val="20"/>
                <w:szCs w:val="20"/>
              </w:rPr>
            </w:pPr>
            <w:r w:rsidRPr="00382CE5">
              <w:rPr>
                <w:b/>
                <w:sz w:val="20"/>
                <w:szCs w:val="20"/>
              </w:rPr>
              <w:t>N°</w:t>
            </w:r>
          </w:p>
        </w:tc>
        <w:tc>
          <w:tcPr>
            <w:tcW w:w="659" w:type="pct"/>
          </w:tcPr>
          <w:p w:rsidR="00382CE5" w:rsidRPr="00382CE5" w:rsidRDefault="00382CE5" w:rsidP="00D51092">
            <w:pPr>
              <w:spacing w:line="360" w:lineRule="auto"/>
              <w:jc w:val="center"/>
              <w:rPr>
                <w:b/>
                <w:sz w:val="20"/>
                <w:szCs w:val="20"/>
              </w:rPr>
            </w:pPr>
            <w:r w:rsidRPr="00382CE5">
              <w:rPr>
                <w:b/>
                <w:sz w:val="20"/>
                <w:szCs w:val="20"/>
              </w:rPr>
              <w:t>Point</w:t>
            </w:r>
          </w:p>
        </w:tc>
        <w:tc>
          <w:tcPr>
            <w:tcW w:w="584" w:type="pct"/>
            <w:shd w:val="clear" w:color="auto" w:fill="auto"/>
          </w:tcPr>
          <w:p w:rsidR="00382CE5" w:rsidRPr="00382CE5" w:rsidRDefault="00382CE5" w:rsidP="00D51092">
            <w:pPr>
              <w:spacing w:line="360" w:lineRule="auto"/>
              <w:jc w:val="center"/>
              <w:rPr>
                <w:b/>
                <w:sz w:val="20"/>
                <w:szCs w:val="20"/>
              </w:rPr>
            </w:pPr>
            <w:proofErr w:type="spellStart"/>
            <w:r w:rsidRPr="00382CE5">
              <w:rPr>
                <w:b/>
                <w:sz w:val="20"/>
                <w:szCs w:val="20"/>
              </w:rPr>
              <w:t>Issue</w:t>
            </w:r>
            <w:proofErr w:type="spellEnd"/>
          </w:p>
        </w:tc>
        <w:tc>
          <w:tcPr>
            <w:tcW w:w="1413" w:type="pct"/>
            <w:shd w:val="clear" w:color="auto" w:fill="auto"/>
          </w:tcPr>
          <w:p w:rsidR="00382CE5" w:rsidRPr="00382CE5" w:rsidRDefault="00382CE5" w:rsidP="00D51092">
            <w:pPr>
              <w:spacing w:line="360" w:lineRule="auto"/>
              <w:jc w:val="center"/>
              <w:rPr>
                <w:b/>
                <w:sz w:val="20"/>
                <w:szCs w:val="20"/>
              </w:rPr>
            </w:pPr>
            <w:proofErr w:type="spellStart"/>
            <w:r w:rsidRPr="00382CE5">
              <w:rPr>
                <w:b/>
                <w:sz w:val="20"/>
                <w:szCs w:val="20"/>
              </w:rPr>
              <w:t>Comment</w:t>
            </w:r>
            <w:proofErr w:type="spellEnd"/>
          </w:p>
        </w:tc>
        <w:tc>
          <w:tcPr>
            <w:tcW w:w="2083" w:type="pct"/>
            <w:shd w:val="clear" w:color="auto" w:fill="auto"/>
          </w:tcPr>
          <w:p w:rsidR="00382CE5" w:rsidRPr="00382CE5" w:rsidRDefault="00382CE5" w:rsidP="00D51092">
            <w:pPr>
              <w:spacing w:line="360" w:lineRule="auto"/>
              <w:jc w:val="center"/>
              <w:rPr>
                <w:b/>
                <w:sz w:val="20"/>
                <w:szCs w:val="20"/>
              </w:rPr>
            </w:pPr>
            <w:proofErr w:type="spellStart"/>
            <w:r w:rsidRPr="00382CE5">
              <w:rPr>
                <w:b/>
                <w:sz w:val="20"/>
                <w:szCs w:val="20"/>
              </w:rPr>
              <w:t>Reasoning</w:t>
            </w:r>
            <w:proofErr w:type="spellEnd"/>
          </w:p>
        </w:tc>
      </w:tr>
      <w:tr w:rsidR="00382CE5" w:rsidRPr="00D90108" w:rsidTr="00167ACD">
        <w:tc>
          <w:tcPr>
            <w:tcW w:w="260" w:type="pct"/>
            <w:shd w:val="clear" w:color="auto" w:fill="DBE5F1"/>
          </w:tcPr>
          <w:p w:rsidR="00382CE5" w:rsidRPr="00382CE5" w:rsidRDefault="00382CE5" w:rsidP="00D51092">
            <w:pPr>
              <w:rPr>
                <w:sz w:val="20"/>
                <w:szCs w:val="20"/>
              </w:rPr>
            </w:pPr>
            <w:r w:rsidRPr="00382CE5">
              <w:rPr>
                <w:sz w:val="20"/>
                <w:szCs w:val="20"/>
              </w:rPr>
              <w:t>1</w:t>
            </w:r>
          </w:p>
        </w:tc>
        <w:tc>
          <w:tcPr>
            <w:tcW w:w="659" w:type="pct"/>
            <w:shd w:val="clear" w:color="auto" w:fill="DBE5F1"/>
          </w:tcPr>
          <w:p w:rsidR="00382CE5" w:rsidRPr="00382CE5" w:rsidRDefault="00382CE5" w:rsidP="00D51092">
            <w:pPr>
              <w:rPr>
                <w:sz w:val="20"/>
                <w:szCs w:val="20"/>
              </w:rPr>
            </w:pPr>
            <w:r w:rsidRPr="00382CE5">
              <w:rPr>
                <w:sz w:val="20"/>
                <w:szCs w:val="20"/>
              </w:rPr>
              <w:t>-</w:t>
            </w:r>
          </w:p>
        </w:tc>
        <w:tc>
          <w:tcPr>
            <w:tcW w:w="584" w:type="pct"/>
            <w:shd w:val="clear" w:color="auto" w:fill="DBE5F1"/>
          </w:tcPr>
          <w:p w:rsidR="00382CE5" w:rsidRPr="00382CE5" w:rsidRDefault="00382CE5" w:rsidP="00D51092">
            <w:pPr>
              <w:rPr>
                <w:sz w:val="20"/>
                <w:szCs w:val="20"/>
              </w:rPr>
            </w:pPr>
            <w:r w:rsidRPr="00382CE5">
              <w:rPr>
                <w:sz w:val="20"/>
                <w:szCs w:val="20"/>
              </w:rPr>
              <w:t>General</w:t>
            </w:r>
          </w:p>
        </w:tc>
        <w:tc>
          <w:tcPr>
            <w:tcW w:w="1413" w:type="pct"/>
            <w:shd w:val="clear" w:color="auto" w:fill="DBE5F1"/>
          </w:tcPr>
          <w:p w:rsidR="00382CE5" w:rsidRPr="00382CE5" w:rsidRDefault="00382CE5" w:rsidP="00D51092">
            <w:pPr>
              <w:pStyle w:val="Default"/>
              <w:rPr>
                <w:rFonts w:ascii="Arial" w:hAnsi="Arial" w:cs="Arial"/>
                <w:bCs/>
                <w:color w:val="548DD4"/>
                <w:sz w:val="20"/>
                <w:szCs w:val="20"/>
                <w:lang w:val="en-GB"/>
              </w:rPr>
            </w:pPr>
            <w:r w:rsidRPr="00382CE5">
              <w:rPr>
                <w:rFonts w:ascii="Arial" w:hAnsi="Arial" w:cs="Arial"/>
                <w:bCs/>
                <w:color w:val="548DD4"/>
                <w:sz w:val="20"/>
                <w:szCs w:val="20"/>
                <w:lang w:val="en-GB"/>
              </w:rPr>
              <w:t>Clarification</w:t>
            </w:r>
          </w:p>
        </w:tc>
        <w:tc>
          <w:tcPr>
            <w:tcW w:w="2083" w:type="pct"/>
            <w:shd w:val="clear" w:color="auto" w:fill="DBE5F1"/>
          </w:tcPr>
          <w:p w:rsidR="00D90108" w:rsidRPr="00382CE5" w:rsidRDefault="00382CE5" w:rsidP="00D90108">
            <w:pPr>
              <w:rPr>
                <w:sz w:val="20"/>
                <w:szCs w:val="20"/>
                <w:lang w:val="en-US"/>
              </w:rPr>
            </w:pPr>
            <w:r w:rsidRPr="00382CE5">
              <w:rPr>
                <w:sz w:val="20"/>
                <w:szCs w:val="20"/>
                <w:lang w:val="en-US"/>
              </w:rPr>
              <w:t xml:space="preserve">How do the EBA Guidelines relate to the </w:t>
            </w:r>
            <w:proofErr w:type="spellStart"/>
            <w:r w:rsidRPr="00382CE5">
              <w:rPr>
                <w:sz w:val="20"/>
                <w:szCs w:val="20"/>
                <w:lang w:val="en-US"/>
              </w:rPr>
              <w:t>SecuRe</w:t>
            </w:r>
            <w:proofErr w:type="spellEnd"/>
            <w:r w:rsidRPr="00382CE5">
              <w:rPr>
                <w:sz w:val="20"/>
                <w:szCs w:val="20"/>
                <w:lang w:val="en-US"/>
              </w:rPr>
              <w:t xml:space="preserve"> Pay assessment guide for the security on internet payments, which was published by the ECB in February 2014? </w:t>
            </w:r>
            <w:r w:rsidR="00D90108">
              <w:rPr>
                <w:sz w:val="20"/>
                <w:szCs w:val="20"/>
                <w:lang w:val="en-US"/>
              </w:rPr>
              <w:t xml:space="preserve">Moreover, how do they tie in with the second </w:t>
            </w:r>
            <w:proofErr w:type="spellStart"/>
            <w:r w:rsidR="00D90108">
              <w:rPr>
                <w:sz w:val="20"/>
                <w:szCs w:val="20"/>
                <w:lang w:val="en-US"/>
              </w:rPr>
              <w:t>SecuRe</w:t>
            </w:r>
            <w:proofErr w:type="spellEnd"/>
            <w:r w:rsidR="00D90108">
              <w:rPr>
                <w:sz w:val="20"/>
                <w:szCs w:val="20"/>
                <w:lang w:val="en-US"/>
              </w:rPr>
              <w:t xml:space="preserve"> Pay recommendation on access to bank accounts</w:t>
            </w:r>
            <w:r w:rsidR="00472D90">
              <w:rPr>
                <w:sz w:val="20"/>
                <w:szCs w:val="20"/>
                <w:lang w:val="en-US"/>
              </w:rPr>
              <w:t>?</w:t>
            </w:r>
            <w:r w:rsidR="00D90108">
              <w:rPr>
                <w:sz w:val="20"/>
                <w:szCs w:val="20"/>
                <w:lang w:val="en-US"/>
              </w:rPr>
              <w:t xml:space="preserve"> </w:t>
            </w:r>
            <w:r w:rsidR="00472D90">
              <w:rPr>
                <w:sz w:val="20"/>
                <w:szCs w:val="20"/>
                <w:lang w:val="en-US"/>
              </w:rPr>
              <w:t>S</w:t>
            </w:r>
            <w:r w:rsidR="00D90108">
              <w:rPr>
                <w:sz w:val="20"/>
                <w:szCs w:val="20"/>
                <w:lang w:val="en-US"/>
              </w:rPr>
              <w:t xml:space="preserve">ee </w:t>
            </w:r>
            <w:r w:rsidR="00167ACD">
              <w:rPr>
                <w:sz w:val="20"/>
                <w:szCs w:val="20"/>
                <w:lang w:val="en-US"/>
              </w:rPr>
              <w:t xml:space="preserve">more </w:t>
            </w:r>
            <w:r w:rsidR="00D90108">
              <w:rPr>
                <w:sz w:val="20"/>
                <w:szCs w:val="20"/>
                <w:lang w:val="en-US"/>
              </w:rPr>
              <w:t xml:space="preserve">below </w:t>
            </w:r>
            <w:r w:rsidR="00D90108" w:rsidRPr="00D90108">
              <w:rPr>
                <w:sz w:val="20"/>
                <w:szCs w:val="20"/>
                <w:lang w:val="en-US"/>
              </w:rPr>
              <w:t>N°</w:t>
            </w:r>
            <w:r w:rsidR="00472D90">
              <w:rPr>
                <w:sz w:val="20"/>
                <w:szCs w:val="20"/>
                <w:lang w:val="en-US"/>
              </w:rPr>
              <w:t xml:space="preserve"> 3 on scope.</w:t>
            </w:r>
          </w:p>
          <w:p w:rsidR="00382CE5" w:rsidRPr="00382CE5" w:rsidRDefault="00382CE5" w:rsidP="00D51092">
            <w:pPr>
              <w:rPr>
                <w:sz w:val="20"/>
                <w:szCs w:val="20"/>
                <w:lang w:val="en-US"/>
              </w:rPr>
            </w:pPr>
          </w:p>
        </w:tc>
      </w:tr>
      <w:tr w:rsidR="00DF0C0A" w:rsidRPr="00537B8F" w:rsidTr="00167ACD">
        <w:tc>
          <w:tcPr>
            <w:tcW w:w="260" w:type="pct"/>
            <w:shd w:val="clear" w:color="auto" w:fill="DBE5F1"/>
          </w:tcPr>
          <w:p w:rsidR="00DF0C0A" w:rsidRPr="00382CE5" w:rsidRDefault="00DF0C0A" w:rsidP="00D51092">
            <w:pPr>
              <w:rPr>
                <w:sz w:val="20"/>
                <w:szCs w:val="20"/>
              </w:rPr>
            </w:pPr>
            <w:r>
              <w:rPr>
                <w:sz w:val="20"/>
                <w:szCs w:val="20"/>
              </w:rPr>
              <w:t>2</w:t>
            </w:r>
          </w:p>
        </w:tc>
        <w:tc>
          <w:tcPr>
            <w:tcW w:w="659" w:type="pct"/>
            <w:shd w:val="clear" w:color="auto" w:fill="DBE5F1"/>
          </w:tcPr>
          <w:p w:rsidR="00DF0C0A" w:rsidRDefault="00DF0C0A" w:rsidP="00D51092">
            <w:pPr>
              <w:rPr>
                <w:sz w:val="20"/>
                <w:szCs w:val="20"/>
              </w:rPr>
            </w:pPr>
            <w:r>
              <w:rPr>
                <w:sz w:val="20"/>
                <w:szCs w:val="20"/>
              </w:rPr>
              <w:t>Page 7</w:t>
            </w:r>
          </w:p>
        </w:tc>
        <w:tc>
          <w:tcPr>
            <w:tcW w:w="584" w:type="pct"/>
            <w:shd w:val="clear" w:color="auto" w:fill="DBE5F1"/>
          </w:tcPr>
          <w:p w:rsidR="00DF0C0A" w:rsidRPr="00382CE5" w:rsidRDefault="00DF0C0A" w:rsidP="00D51092">
            <w:pPr>
              <w:rPr>
                <w:sz w:val="20"/>
                <w:szCs w:val="20"/>
              </w:rPr>
            </w:pPr>
            <w:r>
              <w:rPr>
                <w:sz w:val="20"/>
                <w:szCs w:val="20"/>
              </w:rPr>
              <w:t>General</w:t>
            </w:r>
          </w:p>
        </w:tc>
        <w:tc>
          <w:tcPr>
            <w:tcW w:w="1413" w:type="pct"/>
            <w:shd w:val="clear" w:color="auto" w:fill="DBE5F1"/>
          </w:tcPr>
          <w:p w:rsidR="00DF0C0A" w:rsidRPr="00382CE5" w:rsidRDefault="00DF0C0A" w:rsidP="00D51092">
            <w:pPr>
              <w:pStyle w:val="Default"/>
              <w:rPr>
                <w:rFonts w:ascii="Arial" w:hAnsi="Arial" w:cs="Arial"/>
                <w:bCs/>
                <w:color w:val="548DD4"/>
                <w:sz w:val="20"/>
                <w:szCs w:val="20"/>
                <w:lang w:val="en-GB"/>
              </w:rPr>
            </w:pPr>
            <w:r w:rsidRPr="00382CE5">
              <w:rPr>
                <w:rFonts w:ascii="Arial" w:hAnsi="Arial" w:cs="Arial"/>
                <w:bCs/>
                <w:color w:val="548DD4"/>
                <w:sz w:val="20"/>
                <w:szCs w:val="20"/>
                <w:lang w:val="en-GB"/>
              </w:rPr>
              <w:t>Clarification</w:t>
            </w:r>
          </w:p>
        </w:tc>
        <w:tc>
          <w:tcPr>
            <w:tcW w:w="2083" w:type="pct"/>
            <w:shd w:val="clear" w:color="auto" w:fill="DBE5F1"/>
          </w:tcPr>
          <w:p w:rsidR="00DF0C0A" w:rsidRPr="00D90108" w:rsidRDefault="00DF0C0A" w:rsidP="00DF0C0A">
            <w:pPr>
              <w:rPr>
                <w:sz w:val="20"/>
                <w:szCs w:val="20"/>
                <w:lang w:val="en-US"/>
              </w:rPr>
            </w:pPr>
            <w:r>
              <w:rPr>
                <w:sz w:val="20"/>
                <w:szCs w:val="20"/>
                <w:lang w:val="en-US"/>
              </w:rPr>
              <w:t xml:space="preserve">On this page it is stated </w:t>
            </w:r>
            <w:r w:rsidRPr="00DF0C0A">
              <w:rPr>
                <w:sz w:val="20"/>
                <w:szCs w:val="20"/>
                <w:lang w:val="en-US"/>
              </w:rPr>
              <w:t>that recommendation 6.4 has been incorporated in the draft EBA guideline. However as point 6.2, which is somewhat confusing (see more below</w:t>
            </w:r>
            <w:r w:rsidR="00167ACD">
              <w:rPr>
                <w:sz w:val="20"/>
                <w:szCs w:val="20"/>
                <w:lang w:val="en-US"/>
              </w:rPr>
              <w:t xml:space="preserve"> on the Annex</w:t>
            </w:r>
            <w:r w:rsidRPr="00DF0C0A">
              <w:rPr>
                <w:sz w:val="20"/>
                <w:szCs w:val="20"/>
                <w:lang w:val="en-US"/>
              </w:rPr>
              <w:t>).</w:t>
            </w:r>
          </w:p>
        </w:tc>
      </w:tr>
      <w:tr w:rsidR="00382CE5" w:rsidRPr="00537B8F" w:rsidTr="00167ACD">
        <w:trPr>
          <w:trHeight w:val="1697"/>
        </w:trPr>
        <w:tc>
          <w:tcPr>
            <w:tcW w:w="260" w:type="pct"/>
            <w:shd w:val="clear" w:color="auto" w:fill="DBE5F1"/>
          </w:tcPr>
          <w:p w:rsidR="00382CE5" w:rsidRPr="00382CE5" w:rsidRDefault="00472D90" w:rsidP="00D51092">
            <w:pPr>
              <w:rPr>
                <w:sz w:val="20"/>
                <w:szCs w:val="20"/>
              </w:rPr>
            </w:pPr>
            <w:r>
              <w:rPr>
                <w:sz w:val="20"/>
                <w:szCs w:val="20"/>
              </w:rPr>
              <w:t>3</w:t>
            </w:r>
          </w:p>
        </w:tc>
        <w:tc>
          <w:tcPr>
            <w:tcW w:w="659" w:type="pct"/>
            <w:shd w:val="clear" w:color="auto" w:fill="DBE5F1"/>
          </w:tcPr>
          <w:p w:rsidR="00382CE5" w:rsidRPr="00382CE5" w:rsidRDefault="00472D90" w:rsidP="00D51092">
            <w:pPr>
              <w:rPr>
                <w:sz w:val="20"/>
                <w:szCs w:val="20"/>
                <w:lang w:val="en-US"/>
              </w:rPr>
            </w:pPr>
            <w:r w:rsidRPr="00382CE5">
              <w:rPr>
                <w:sz w:val="20"/>
                <w:szCs w:val="20"/>
                <w:lang w:val="en-US"/>
              </w:rPr>
              <w:t>Title I – Scope and  definitions</w:t>
            </w:r>
          </w:p>
        </w:tc>
        <w:tc>
          <w:tcPr>
            <w:tcW w:w="584" w:type="pct"/>
            <w:shd w:val="clear" w:color="auto" w:fill="DBE5F1"/>
          </w:tcPr>
          <w:p w:rsidR="00382CE5" w:rsidRPr="00382CE5" w:rsidRDefault="00472D90" w:rsidP="00D51092">
            <w:pPr>
              <w:rPr>
                <w:sz w:val="20"/>
                <w:szCs w:val="20"/>
                <w:lang w:val="en-US"/>
              </w:rPr>
            </w:pPr>
            <w:r>
              <w:rPr>
                <w:sz w:val="20"/>
                <w:szCs w:val="20"/>
                <w:lang w:val="en-US"/>
              </w:rPr>
              <w:t>General</w:t>
            </w:r>
          </w:p>
        </w:tc>
        <w:tc>
          <w:tcPr>
            <w:tcW w:w="1413" w:type="pct"/>
            <w:shd w:val="clear" w:color="auto" w:fill="DBE5F1"/>
          </w:tcPr>
          <w:p w:rsidR="00382CE5" w:rsidRPr="00382CE5" w:rsidRDefault="00382CE5" w:rsidP="00D51092">
            <w:pPr>
              <w:pStyle w:val="Default"/>
              <w:rPr>
                <w:rFonts w:ascii="Arial" w:hAnsi="Arial" w:cs="Arial"/>
                <w:bCs/>
                <w:color w:val="548DD4"/>
                <w:sz w:val="20"/>
                <w:szCs w:val="20"/>
                <w:lang w:val="en-GB"/>
              </w:rPr>
            </w:pPr>
            <w:r w:rsidRPr="00382CE5">
              <w:rPr>
                <w:rFonts w:ascii="Arial" w:hAnsi="Arial" w:cs="Arial"/>
                <w:bCs/>
                <w:color w:val="548DD4"/>
                <w:sz w:val="20"/>
                <w:szCs w:val="20"/>
                <w:lang w:val="en-GB"/>
              </w:rPr>
              <w:t>Amendment</w:t>
            </w:r>
            <w:r w:rsidR="00472D90">
              <w:rPr>
                <w:rFonts w:ascii="Arial" w:hAnsi="Arial" w:cs="Arial"/>
                <w:bCs/>
                <w:color w:val="548DD4"/>
                <w:sz w:val="20"/>
                <w:szCs w:val="20"/>
                <w:lang w:val="en-GB"/>
              </w:rPr>
              <w:t>/Clarification</w:t>
            </w:r>
          </w:p>
        </w:tc>
        <w:tc>
          <w:tcPr>
            <w:tcW w:w="2083" w:type="pct"/>
            <w:shd w:val="clear" w:color="auto" w:fill="DBE5F1"/>
          </w:tcPr>
          <w:p w:rsidR="00382CE5" w:rsidRPr="00472D90" w:rsidRDefault="00472D90" w:rsidP="00DF0C0A">
            <w:pPr>
              <w:pStyle w:val="Liststycke"/>
              <w:ind w:left="0"/>
              <w:rPr>
                <w:sz w:val="20"/>
                <w:szCs w:val="20"/>
                <w:lang w:val="fr-BE"/>
              </w:rPr>
            </w:pPr>
            <w:r w:rsidRPr="00472D90">
              <w:rPr>
                <w:sz w:val="20"/>
                <w:szCs w:val="20"/>
                <w:lang w:val="en-US"/>
              </w:rPr>
              <w:t xml:space="preserve">Point 9 of Title 1 </w:t>
            </w:r>
            <w:r>
              <w:rPr>
                <w:sz w:val="20"/>
                <w:szCs w:val="20"/>
                <w:lang w:val="en-US"/>
              </w:rPr>
              <w:t xml:space="preserve">refers to </w:t>
            </w:r>
            <w:r w:rsidRPr="00472D90">
              <w:rPr>
                <w:sz w:val="20"/>
                <w:szCs w:val="20"/>
                <w:lang w:val="en-US"/>
              </w:rPr>
              <w:t>“Payment Integrators” which “should be contractually required to comply with the guidelines</w:t>
            </w:r>
            <w:r>
              <w:rPr>
                <w:sz w:val="20"/>
                <w:szCs w:val="20"/>
                <w:lang w:val="en-US"/>
              </w:rPr>
              <w:t>. Point 10 however states “</w:t>
            </w:r>
            <w:r w:rsidRPr="00472D90">
              <w:rPr>
                <w:sz w:val="20"/>
                <w:szCs w:val="20"/>
                <w:lang w:val="en-US"/>
              </w:rPr>
              <w:t>CTs where a third-party accesses the customer’s payment account” are excluded from the scope of the guidelines.</w:t>
            </w:r>
            <w:r>
              <w:rPr>
                <w:sz w:val="20"/>
                <w:szCs w:val="20"/>
                <w:lang w:val="en-US"/>
              </w:rPr>
              <w:t xml:space="preserve"> </w:t>
            </w:r>
            <w:r w:rsidR="00DF0C0A">
              <w:rPr>
                <w:sz w:val="20"/>
                <w:szCs w:val="20"/>
                <w:lang w:val="en-US"/>
              </w:rPr>
              <w:t xml:space="preserve">For SBA it is unclear whether </w:t>
            </w:r>
            <w:proofErr w:type="gramStart"/>
            <w:r w:rsidR="00DF0C0A">
              <w:rPr>
                <w:sz w:val="20"/>
                <w:szCs w:val="20"/>
                <w:lang w:val="en-US"/>
              </w:rPr>
              <w:t>these guidelines in fact also coves</w:t>
            </w:r>
            <w:proofErr w:type="gramEnd"/>
            <w:r w:rsidR="00DF0C0A">
              <w:rPr>
                <w:sz w:val="20"/>
                <w:szCs w:val="20"/>
                <w:lang w:val="en-US"/>
              </w:rPr>
              <w:t xml:space="preserve"> payment access services and also the connection to the second recommendation from </w:t>
            </w:r>
            <w:proofErr w:type="spellStart"/>
            <w:r w:rsidR="00DF0C0A">
              <w:rPr>
                <w:sz w:val="20"/>
                <w:szCs w:val="20"/>
                <w:lang w:val="en-US"/>
              </w:rPr>
              <w:t>SecuRe</w:t>
            </w:r>
            <w:proofErr w:type="spellEnd"/>
            <w:r w:rsidR="00DF0C0A">
              <w:rPr>
                <w:sz w:val="20"/>
                <w:szCs w:val="20"/>
                <w:lang w:val="en-US"/>
              </w:rPr>
              <w:t xml:space="preserve"> Pay.</w:t>
            </w:r>
          </w:p>
        </w:tc>
      </w:tr>
      <w:tr w:rsidR="00DF0C0A" w:rsidRPr="00D90108" w:rsidTr="00167ACD">
        <w:tc>
          <w:tcPr>
            <w:tcW w:w="260" w:type="pct"/>
            <w:shd w:val="clear" w:color="auto" w:fill="DBE5F1"/>
          </w:tcPr>
          <w:p w:rsidR="00DF0C0A" w:rsidRDefault="00DF0C0A" w:rsidP="00D51092">
            <w:pPr>
              <w:rPr>
                <w:sz w:val="20"/>
                <w:szCs w:val="20"/>
              </w:rPr>
            </w:pPr>
            <w:r>
              <w:rPr>
                <w:sz w:val="20"/>
                <w:szCs w:val="20"/>
              </w:rPr>
              <w:t>4</w:t>
            </w:r>
          </w:p>
        </w:tc>
        <w:tc>
          <w:tcPr>
            <w:tcW w:w="659" w:type="pct"/>
            <w:shd w:val="clear" w:color="auto" w:fill="DBE5F1"/>
          </w:tcPr>
          <w:p w:rsidR="00DF0C0A" w:rsidRPr="00DF0C0A" w:rsidRDefault="00DF0C0A" w:rsidP="00DF0C0A">
            <w:pPr>
              <w:rPr>
                <w:sz w:val="20"/>
                <w:szCs w:val="20"/>
                <w:lang w:val="en-US"/>
              </w:rPr>
            </w:pPr>
            <w:r w:rsidRPr="00DF0C0A">
              <w:rPr>
                <w:sz w:val="20"/>
                <w:szCs w:val="20"/>
                <w:lang w:val="en-US"/>
              </w:rPr>
              <w:t xml:space="preserve">Title II – Draft </w:t>
            </w:r>
            <w:r>
              <w:rPr>
                <w:sz w:val="20"/>
                <w:szCs w:val="20"/>
                <w:lang w:val="en-US"/>
              </w:rPr>
              <w:lastRenderedPageBreak/>
              <w:t>guidelines on the security</w:t>
            </w:r>
            <w:r w:rsidRPr="00DF0C0A">
              <w:rPr>
                <w:sz w:val="20"/>
                <w:szCs w:val="20"/>
                <w:lang w:val="en-US"/>
              </w:rPr>
              <w:t xml:space="preserve"> of internet</w:t>
            </w:r>
            <w:r>
              <w:rPr>
                <w:sz w:val="20"/>
                <w:szCs w:val="20"/>
                <w:lang w:val="en-US"/>
              </w:rPr>
              <w:t xml:space="preserve"> payments</w:t>
            </w:r>
          </w:p>
        </w:tc>
        <w:tc>
          <w:tcPr>
            <w:tcW w:w="584" w:type="pct"/>
            <w:shd w:val="clear" w:color="auto" w:fill="DBE5F1"/>
          </w:tcPr>
          <w:p w:rsidR="00DF0C0A" w:rsidRPr="00DF0C0A" w:rsidRDefault="00DF0C0A" w:rsidP="00D51092">
            <w:pPr>
              <w:rPr>
                <w:sz w:val="20"/>
                <w:szCs w:val="20"/>
                <w:lang w:val="en-US"/>
              </w:rPr>
            </w:pPr>
            <w:r>
              <w:rPr>
                <w:sz w:val="20"/>
                <w:szCs w:val="20"/>
                <w:lang w:val="en-US"/>
              </w:rPr>
              <w:lastRenderedPageBreak/>
              <w:t>General</w:t>
            </w:r>
          </w:p>
        </w:tc>
        <w:tc>
          <w:tcPr>
            <w:tcW w:w="1413" w:type="pct"/>
            <w:shd w:val="clear" w:color="auto" w:fill="DBE5F1"/>
          </w:tcPr>
          <w:p w:rsidR="00DF0C0A" w:rsidRPr="00382CE5" w:rsidRDefault="00DF0C0A" w:rsidP="00D51092">
            <w:pPr>
              <w:pStyle w:val="Default"/>
              <w:rPr>
                <w:rFonts w:ascii="Arial" w:hAnsi="Arial" w:cs="Arial"/>
                <w:bCs/>
                <w:color w:val="548DD4"/>
                <w:sz w:val="20"/>
                <w:szCs w:val="20"/>
                <w:lang w:val="en-GB"/>
              </w:rPr>
            </w:pPr>
            <w:r>
              <w:rPr>
                <w:rFonts w:ascii="Arial" w:hAnsi="Arial" w:cs="Arial"/>
                <w:bCs/>
                <w:color w:val="548DD4"/>
                <w:sz w:val="20"/>
                <w:szCs w:val="20"/>
                <w:lang w:val="en-GB"/>
              </w:rPr>
              <w:t>Amendment</w:t>
            </w:r>
          </w:p>
        </w:tc>
        <w:tc>
          <w:tcPr>
            <w:tcW w:w="2083" w:type="pct"/>
            <w:shd w:val="clear" w:color="auto" w:fill="DBE5F1"/>
          </w:tcPr>
          <w:p w:rsidR="00DF0C0A" w:rsidRPr="00382CE5" w:rsidRDefault="00DF0C0A" w:rsidP="00DF0C0A">
            <w:pPr>
              <w:pStyle w:val="Default"/>
              <w:rPr>
                <w:rFonts w:ascii="Arial" w:hAnsi="Arial" w:cs="Arial"/>
                <w:color w:val="auto"/>
                <w:sz w:val="20"/>
                <w:szCs w:val="20"/>
                <w:lang w:val="en-GB" w:eastAsia="en-US"/>
              </w:rPr>
            </w:pPr>
            <w:r>
              <w:rPr>
                <w:rFonts w:ascii="Arial" w:hAnsi="Arial" w:cs="Arial"/>
                <w:color w:val="auto"/>
                <w:sz w:val="20"/>
                <w:szCs w:val="20"/>
                <w:lang w:val="en-GB" w:eastAsia="en-US"/>
              </w:rPr>
              <w:t xml:space="preserve">Here it is referred to </w:t>
            </w:r>
            <w:r w:rsidRPr="00DF0C0A">
              <w:rPr>
                <w:rFonts w:ascii="Arial" w:hAnsi="Arial" w:cs="Arial"/>
                <w:color w:val="auto"/>
                <w:sz w:val="20"/>
                <w:szCs w:val="20"/>
                <w:lang w:val="en-GB" w:eastAsia="en-US"/>
              </w:rPr>
              <w:t xml:space="preserve">“this report”, which is wrong. Should be “these guidelines” rather than </w:t>
            </w:r>
            <w:r>
              <w:rPr>
                <w:rFonts w:ascii="Arial" w:hAnsi="Arial" w:cs="Arial"/>
                <w:color w:val="auto"/>
                <w:sz w:val="20"/>
                <w:szCs w:val="20"/>
                <w:lang w:val="en-GB" w:eastAsia="en-US"/>
              </w:rPr>
              <w:t>‘</w:t>
            </w:r>
            <w:r w:rsidRPr="00DF0C0A">
              <w:rPr>
                <w:rFonts w:ascii="Arial" w:hAnsi="Arial" w:cs="Arial"/>
                <w:color w:val="auto"/>
                <w:sz w:val="20"/>
                <w:szCs w:val="20"/>
                <w:lang w:val="en-GB" w:eastAsia="en-US"/>
              </w:rPr>
              <w:t>report</w:t>
            </w:r>
            <w:r>
              <w:rPr>
                <w:rFonts w:ascii="Arial" w:hAnsi="Arial" w:cs="Arial"/>
                <w:color w:val="auto"/>
                <w:sz w:val="20"/>
                <w:szCs w:val="20"/>
                <w:lang w:val="en-GB" w:eastAsia="en-US"/>
              </w:rPr>
              <w:t>’</w:t>
            </w:r>
            <w:r w:rsidRPr="00DF0C0A">
              <w:rPr>
                <w:rFonts w:ascii="Arial" w:hAnsi="Arial" w:cs="Arial"/>
                <w:color w:val="auto"/>
                <w:sz w:val="20"/>
                <w:szCs w:val="20"/>
                <w:lang w:val="en-GB" w:eastAsia="en-US"/>
              </w:rPr>
              <w:t xml:space="preserve">, which </w:t>
            </w:r>
            <w:r w:rsidRPr="00DF0C0A">
              <w:rPr>
                <w:rFonts w:ascii="Arial" w:hAnsi="Arial" w:cs="Arial"/>
                <w:color w:val="auto"/>
                <w:sz w:val="20"/>
                <w:szCs w:val="20"/>
                <w:lang w:val="en-GB" w:eastAsia="en-US"/>
              </w:rPr>
              <w:lastRenderedPageBreak/>
              <w:t xml:space="preserve">refers back to the </w:t>
            </w:r>
            <w:proofErr w:type="spellStart"/>
            <w:r w:rsidRPr="00DF0C0A">
              <w:rPr>
                <w:rFonts w:ascii="Arial" w:hAnsi="Arial" w:cs="Arial"/>
                <w:color w:val="auto"/>
                <w:sz w:val="20"/>
                <w:szCs w:val="20"/>
                <w:lang w:val="en-GB" w:eastAsia="en-US"/>
              </w:rPr>
              <w:t>SecuRe</w:t>
            </w:r>
            <w:proofErr w:type="spellEnd"/>
            <w:r w:rsidRPr="00DF0C0A">
              <w:rPr>
                <w:rFonts w:ascii="Arial" w:hAnsi="Arial" w:cs="Arial"/>
                <w:color w:val="auto"/>
                <w:sz w:val="20"/>
                <w:szCs w:val="20"/>
                <w:lang w:val="en-GB" w:eastAsia="en-US"/>
              </w:rPr>
              <w:t xml:space="preserve"> Pay ‘report’. Same in page 19 as regards strong customer authentication.</w:t>
            </w:r>
          </w:p>
        </w:tc>
      </w:tr>
      <w:tr w:rsidR="00382CE5" w:rsidRPr="00537B8F" w:rsidTr="00167ACD">
        <w:tc>
          <w:tcPr>
            <w:tcW w:w="260" w:type="pct"/>
            <w:shd w:val="clear" w:color="auto" w:fill="DBE5F1"/>
          </w:tcPr>
          <w:p w:rsidR="00382CE5" w:rsidRPr="00382CE5" w:rsidRDefault="00167ACD" w:rsidP="00D51092">
            <w:pPr>
              <w:rPr>
                <w:sz w:val="20"/>
                <w:szCs w:val="20"/>
              </w:rPr>
            </w:pPr>
            <w:r>
              <w:rPr>
                <w:sz w:val="20"/>
                <w:szCs w:val="20"/>
              </w:rPr>
              <w:lastRenderedPageBreak/>
              <w:t>5</w:t>
            </w:r>
          </w:p>
        </w:tc>
        <w:tc>
          <w:tcPr>
            <w:tcW w:w="659" w:type="pct"/>
            <w:shd w:val="clear" w:color="auto" w:fill="DBE5F1"/>
          </w:tcPr>
          <w:p w:rsidR="00382CE5" w:rsidRPr="00167ACD" w:rsidRDefault="00167ACD" w:rsidP="00D51092">
            <w:pPr>
              <w:rPr>
                <w:sz w:val="20"/>
                <w:szCs w:val="20"/>
                <w:lang w:val="en-US"/>
              </w:rPr>
            </w:pPr>
            <w:r w:rsidRPr="00DF0C0A">
              <w:rPr>
                <w:sz w:val="20"/>
                <w:szCs w:val="20"/>
                <w:lang w:val="en-US"/>
              </w:rPr>
              <w:t xml:space="preserve">Title II – Draft </w:t>
            </w:r>
            <w:r>
              <w:rPr>
                <w:sz w:val="20"/>
                <w:szCs w:val="20"/>
                <w:lang w:val="en-US"/>
              </w:rPr>
              <w:t>guidelines on the security</w:t>
            </w:r>
            <w:r w:rsidRPr="00DF0C0A">
              <w:rPr>
                <w:sz w:val="20"/>
                <w:szCs w:val="20"/>
                <w:lang w:val="en-US"/>
              </w:rPr>
              <w:t xml:space="preserve"> of internet</w:t>
            </w:r>
            <w:r>
              <w:rPr>
                <w:sz w:val="20"/>
                <w:szCs w:val="20"/>
                <w:lang w:val="en-US"/>
              </w:rPr>
              <w:t xml:space="preserve"> payments</w:t>
            </w:r>
          </w:p>
        </w:tc>
        <w:tc>
          <w:tcPr>
            <w:tcW w:w="584" w:type="pct"/>
            <w:shd w:val="clear" w:color="auto" w:fill="DBE5F1"/>
          </w:tcPr>
          <w:p w:rsidR="00382CE5" w:rsidRPr="00382CE5" w:rsidRDefault="00382CE5" w:rsidP="00D51092">
            <w:pPr>
              <w:rPr>
                <w:sz w:val="20"/>
                <w:szCs w:val="20"/>
              </w:rPr>
            </w:pPr>
            <w:r w:rsidRPr="00382CE5">
              <w:rPr>
                <w:sz w:val="20"/>
                <w:szCs w:val="20"/>
              </w:rPr>
              <w:t>7.3</w:t>
            </w:r>
          </w:p>
        </w:tc>
        <w:tc>
          <w:tcPr>
            <w:tcW w:w="1413" w:type="pct"/>
            <w:shd w:val="clear" w:color="auto" w:fill="DBE5F1"/>
          </w:tcPr>
          <w:p w:rsidR="00382CE5" w:rsidRPr="00382CE5" w:rsidRDefault="00382CE5" w:rsidP="00D51092">
            <w:pPr>
              <w:pStyle w:val="Default"/>
              <w:rPr>
                <w:rFonts w:ascii="Arial" w:hAnsi="Arial" w:cs="Arial"/>
                <w:color w:val="auto"/>
                <w:sz w:val="20"/>
                <w:szCs w:val="20"/>
                <w:lang w:val="en-GB" w:eastAsia="en-US"/>
              </w:rPr>
            </w:pPr>
            <w:r w:rsidRPr="00382CE5">
              <w:rPr>
                <w:rFonts w:ascii="Arial" w:hAnsi="Arial" w:cs="Arial"/>
                <w:bCs/>
                <w:color w:val="548DD4"/>
                <w:sz w:val="20"/>
                <w:szCs w:val="20"/>
                <w:lang w:val="en-GB"/>
              </w:rPr>
              <w:t>Clarification</w:t>
            </w:r>
          </w:p>
        </w:tc>
        <w:tc>
          <w:tcPr>
            <w:tcW w:w="2083" w:type="pct"/>
            <w:shd w:val="clear" w:color="auto" w:fill="DBE5F1"/>
          </w:tcPr>
          <w:p w:rsidR="00382CE5" w:rsidRPr="00382CE5" w:rsidRDefault="00382CE5" w:rsidP="00D51092">
            <w:pPr>
              <w:pStyle w:val="Default"/>
              <w:rPr>
                <w:rFonts w:ascii="Arial" w:hAnsi="Arial" w:cs="Arial"/>
                <w:color w:val="auto"/>
                <w:sz w:val="20"/>
                <w:szCs w:val="20"/>
                <w:lang w:val="en-GB" w:eastAsia="en-US"/>
              </w:rPr>
            </w:pPr>
            <w:r w:rsidRPr="00382CE5">
              <w:rPr>
                <w:rFonts w:ascii="Arial" w:hAnsi="Arial" w:cs="Arial"/>
                <w:color w:val="auto"/>
                <w:sz w:val="20"/>
                <w:szCs w:val="20"/>
                <w:lang w:val="en-GB" w:eastAsia="en-US"/>
              </w:rPr>
              <w:t>The following statement is unclear: “[cards] For card transactions, all card issuing PSPs should support strong authentication of the cardholder. All cards issued must be technically ready (registered) to be used with strong authentication”. Should we interpret this that cards need to be technically ready but that strong authentication of the card holders is not required?</w:t>
            </w:r>
          </w:p>
          <w:p w:rsidR="00382CE5" w:rsidRPr="00382CE5" w:rsidRDefault="00382CE5" w:rsidP="00D51092">
            <w:pPr>
              <w:rPr>
                <w:sz w:val="20"/>
                <w:szCs w:val="20"/>
                <w:lang w:val="en-US"/>
              </w:rPr>
            </w:pPr>
          </w:p>
          <w:p w:rsidR="00382CE5" w:rsidRPr="00382CE5" w:rsidRDefault="00382CE5" w:rsidP="00D51092">
            <w:pPr>
              <w:rPr>
                <w:sz w:val="20"/>
                <w:szCs w:val="20"/>
                <w:lang w:val="en-US"/>
              </w:rPr>
            </w:pPr>
            <w:r w:rsidRPr="00382CE5">
              <w:rPr>
                <w:sz w:val="20"/>
                <w:szCs w:val="20"/>
                <w:lang w:val="en-US"/>
              </w:rPr>
              <w:t xml:space="preserve">Furthermore, the word “registered” should be deleted in the following sentence: “All cards issued must be technically ready </w:t>
            </w:r>
            <w:r w:rsidRPr="00382CE5">
              <w:rPr>
                <w:strike/>
                <w:sz w:val="20"/>
                <w:szCs w:val="20"/>
                <w:lang w:val="en-US"/>
              </w:rPr>
              <w:t>(registered)</w:t>
            </w:r>
            <w:r w:rsidRPr="00382CE5">
              <w:rPr>
                <w:sz w:val="20"/>
                <w:szCs w:val="20"/>
                <w:lang w:val="en-US"/>
              </w:rPr>
              <w:t xml:space="preserve"> to be used with strong authentication.” This due to the fact that the issuer should only have to register cards (e.g. for 3D Secure) if they can indeed be used for internet payments. </w:t>
            </w:r>
          </w:p>
        </w:tc>
      </w:tr>
      <w:tr w:rsidR="00382CE5" w:rsidRPr="00537B8F" w:rsidTr="00167ACD">
        <w:tc>
          <w:tcPr>
            <w:tcW w:w="260" w:type="pct"/>
            <w:shd w:val="clear" w:color="auto" w:fill="DBE5F1"/>
          </w:tcPr>
          <w:p w:rsidR="00382CE5" w:rsidRPr="00382CE5" w:rsidRDefault="00382CE5" w:rsidP="00D51092">
            <w:pPr>
              <w:rPr>
                <w:sz w:val="20"/>
                <w:szCs w:val="20"/>
              </w:rPr>
            </w:pPr>
            <w:r w:rsidRPr="00382CE5">
              <w:rPr>
                <w:sz w:val="20"/>
                <w:szCs w:val="20"/>
              </w:rPr>
              <w:t>6</w:t>
            </w:r>
          </w:p>
        </w:tc>
        <w:tc>
          <w:tcPr>
            <w:tcW w:w="659" w:type="pct"/>
            <w:shd w:val="clear" w:color="auto" w:fill="DBE5F1"/>
          </w:tcPr>
          <w:p w:rsidR="00382CE5" w:rsidRPr="00167ACD" w:rsidRDefault="00167ACD" w:rsidP="00D51092">
            <w:pPr>
              <w:rPr>
                <w:sz w:val="20"/>
                <w:szCs w:val="20"/>
                <w:lang w:val="en-US"/>
              </w:rPr>
            </w:pPr>
            <w:r w:rsidRPr="00DF0C0A">
              <w:rPr>
                <w:sz w:val="20"/>
                <w:szCs w:val="20"/>
                <w:lang w:val="en-US"/>
              </w:rPr>
              <w:t xml:space="preserve">Title II – Draft </w:t>
            </w:r>
            <w:r>
              <w:rPr>
                <w:sz w:val="20"/>
                <w:szCs w:val="20"/>
                <w:lang w:val="en-US"/>
              </w:rPr>
              <w:t>guidelines on the security</w:t>
            </w:r>
            <w:r w:rsidRPr="00DF0C0A">
              <w:rPr>
                <w:sz w:val="20"/>
                <w:szCs w:val="20"/>
                <w:lang w:val="en-US"/>
              </w:rPr>
              <w:t xml:space="preserve"> of internet</w:t>
            </w:r>
            <w:r>
              <w:rPr>
                <w:sz w:val="20"/>
                <w:szCs w:val="20"/>
                <w:lang w:val="en-US"/>
              </w:rPr>
              <w:t xml:space="preserve"> payments</w:t>
            </w:r>
          </w:p>
        </w:tc>
        <w:tc>
          <w:tcPr>
            <w:tcW w:w="584" w:type="pct"/>
            <w:shd w:val="clear" w:color="auto" w:fill="DBE5F1"/>
          </w:tcPr>
          <w:p w:rsidR="00382CE5" w:rsidRPr="00382CE5" w:rsidRDefault="00382CE5" w:rsidP="00D51092">
            <w:pPr>
              <w:rPr>
                <w:sz w:val="20"/>
                <w:szCs w:val="20"/>
              </w:rPr>
            </w:pPr>
            <w:r w:rsidRPr="00382CE5">
              <w:rPr>
                <w:sz w:val="20"/>
                <w:szCs w:val="20"/>
              </w:rPr>
              <w:t>7.6</w:t>
            </w:r>
          </w:p>
        </w:tc>
        <w:tc>
          <w:tcPr>
            <w:tcW w:w="1413" w:type="pct"/>
            <w:shd w:val="clear" w:color="auto" w:fill="DBE5F1"/>
          </w:tcPr>
          <w:p w:rsidR="00382CE5" w:rsidRPr="00382CE5" w:rsidRDefault="00382CE5" w:rsidP="00D51092">
            <w:pPr>
              <w:pStyle w:val="Default"/>
              <w:rPr>
                <w:rFonts w:ascii="Arial" w:hAnsi="Arial" w:cs="Arial"/>
                <w:bCs/>
                <w:color w:val="548DD4"/>
                <w:sz w:val="20"/>
                <w:szCs w:val="20"/>
                <w:lang w:val="en-GB"/>
              </w:rPr>
            </w:pPr>
            <w:r w:rsidRPr="00382CE5">
              <w:rPr>
                <w:rFonts w:ascii="Arial" w:hAnsi="Arial" w:cs="Arial"/>
                <w:bCs/>
                <w:color w:val="548DD4"/>
                <w:sz w:val="20"/>
                <w:szCs w:val="20"/>
                <w:lang w:val="en-GB"/>
              </w:rPr>
              <w:t>Clarification</w:t>
            </w:r>
          </w:p>
        </w:tc>
        <w:tc>
          <w:tcPr>
            <w:tcW w:w="2083" w:type="pct"/>
            <w:shd w:val="clear" w:color="auto" w:fill="DBE5F1"/>
          </w:tcPr>
          <w:p w:rsidR="00382CE5" w:rsidRPr="00382CE5" w:rsidRDefault="00382CE5" w:rsidP="00D51092">
            <w:pPr>
              <w:rPr>
                <w:sz w:val="20"/>
                <w:szCs w:val="20"/>
                <w:lang w:val="en-US"/>
              </w:rPr>
            </w:pPr>
            <w:r w:rsidRPr="00382CE5">
              <w:rPr>
                <w:sz w:val="20"/>
                <w:szCs w:val="20"/>
                <w:lang w:val="en-US"/>
              </w:rPr>
              <w:t>There seems to be an inconsistency in item 7.6 as reference is made to ‘payment schemes’ whereas on page 7 it is stated that “References to payments schemes, their Governance Authorities (GAs), and the oversight thereof have not been incorporated in the draft EBA Guidelines, as payment schemes are not covered by PSD1”. The reference to the current PSD and the non-incorporation of the reference to ‘payment schemes’ on page 7 illustrates that there is a problem with the legal basis under the current PSD for concepts which do not exist under the current PSD.</w:t>
            </w:r>
          </w:p>
        </w:tc>
      </w:tr>
      <w:tr w:rsidR="00167ACD" w:rsidRPr="00537B8F" w:rsidTr="00167ACD">
        <w:tc>
          <w:tcPr>
            <w:tcW w:w="260" w:type="pct"/>
            <w:shd w:val="clear" w:color="auto" w:fill="DBE5F1"/>
          </w:tcPr>
          <w:p w:rsidR="00167ACD" w:rsidRPr="00382CE5" w:rsidRDefault="00167ACD" w:rsidP="00D51092">
            <w:pPr>
              <w:rPr>
                <w:sz w:val="20"/>
                <w:szCs w:val="20"/>
              </w:rPr>
            </w:pPr>
            <w:r>
              <w:rPr>
                <w:sz w:val="20"/>
                <w:szCs w:val="20"/>
              </w:rPr>
              <w:t>7</w:t>
            </w:r>
          </w:p>
        </w:tc>
        <w:tc>
          <w:tcPr>
            <w:tcW w:w="659" w:type="pct"/>
            <w:shd w:val="clear" w:color="auto" w:fill="DBE5F1"/>
          </w:tcPr>
          <w:p w:rsidR="00167ACD" w:rsidRPr="00167ACD" w:rsidRDefault="00167ACD" w:rsidP="00D51092">
            <w:pPr>
              <w:rPr>
                <w:sz w:val="20"/>
                <w:szCs w:val="20"/>
                <w:lang w:val="en-US"/>
              </w:rPr>
            </w:pPr>
            <w:r w:rsidRPr="00DF0C0A">
              <w:rPr>
                <w:sz w:val="20"/>
                <w:szCs w:val="20"/>
                <w:lang w:val="en-US"/>
              </w:rPr>
              <w:t xml:space="preserve">Title II – Draft </w:t>
            </w:r>
            <w:r>
              <w:rPr>
                <w:sz w:val="20"/>
                <w:szCs w:val="20"/>
                <w:lang w:val="en-US"/>
              </w:rPr>
              <w:t>guidelines on the security</w:t>
            </w:r>
            <w:r w:rsidRPr="00DF0C0A">
              <w:rPr>
                <w:sz w:val="20"/>
                <w:szCs w:val="20"/>
                <w:lang w:val="en-US"/>
              </w:rPr>
              <w:t xml:space="preserve"> of internet</w:t>
            </w:r>
            <w:r>
              <w:rPr>
                <w:sz w:val="20"/>
                <w:szCs w:val="20"/>
                <w:lang w:val="en-US"/>
              </w:rPr>
              <w:t xml:space="preserve"> </w:t>
            </w:r>
            <w:r>
              <w:rPr>
                <w:sz w:val="20"/>
                <w:szCs w:val="20"/>
                <w:lang w:val="en-US"/>
              </w:rPr>
              <w:lastRenderedPageBreak/>
              <w:t>payments</w:t>
            </w:r>
          </w:p>
        </w:tc>
        <w:tc>
          <w:tcPr>
            <w:tcW w:w="584" w:type="pct"/>
            <w:shd w:val="clear" w:color="auto" w:fill="DBE5F1"/>
          </w:tcPr>
          <w:p w:rsidR="00167ACD" w:rsidRPr="00167ACD" w:rsidRDefault="00167ACD" w:rsidP="00D51092">
            <w:pPr>
              <w:rPr>
                <w:sz w:val="20"/>
                <w:szCs w:val="20"/>
                <w:lang w:val="en-US"/>
              </w:rPr>
            </w:pPr>
            <w:r>
              <w:rPr>
                <w:sz w:val="20"/>
                <w:szCs w:val="20"/>
                <w:lang w:val="en-US"/>
              </w:rPr>
              <w:lastRenderedPageBreak/>
              <w:t>7.7</w:t>
            </w:r>
          </w:p>
        </w:tc>
        <w:tc>
          <w:tcPr>
            <w:tcW w:w="1413" w:type="pct"/>
            <w:shd w:val="clear" w:color="auto" w:fill="DBE5F1"/>
          </w:tcPr>
          <w:p w:rsidR="00167ACD" w:rsidRPr="00382CE5" w:rsidRDefault="00167ACD" w:rsidP="00D51092">
            <w:pPr>
              <w:pStyle w:val="Default"/>
              <w:rPr>
                <w:rFonts w:ascii="Arial" w:hAnsi="Arial" w:cs="Arial"/>
                <w:bCs/>
                <w:color w:val="548DD4"/>
                <w:sz w:val="20"/>
                <w:szCs w:val="20"/>
                <w:lang w:val="en-GB"/>
              </w:rPr>
            </w:pPr>
            <w:r>
              <w:rPr>
                <w:rFonts w:ascii="Arial" w:hAnsi="Arial" w:cs="Arial"/>
                <w:bCs/>
                <w:color w:val="548DD4"/>
                <w:sz w:val="20"/>
                <w:szCs w:val="20"/>
                <w:lang w:val="en-GB"/>
              </w:rPr>
              <w:t>Amendment</w:t>
            </w:r>
          </w:p>
        </w:tc>
        <w:tc>
          <w:tcPr>
            <w:tcW w:w="2083" w:type="pct"/>
            <w:shd w:val="clear" w:color="auto" w:fill="DBE5F1"/>
          </w:tcPr>
          <w:p w:rsidR="00167ACD" w:rsidRPr="00382CE5" w:rsidRDefault="00520264" w:rsidP="00167ACD">
            <w:pPr>
              <w:rPr>
                <w:sz w:val="20"/>
                <w:szCs w:val="20"/>
                <w:lang w:val="en-US"/>
              </w:rPr>
            </w:pPr>
            <w:r>
              <w:rPr>
                <w:sz w:val="20"/>
                <w:szCs w:val="20"/>
                <w:lang w:val="en-US"/>
              </w:rPr>
              <w:t>See point 6</w:t>
            </w:r>
            <w:r w:rsidR="00167ACD">
              <w:rPr>
                <w:sz w:val="20"/>
                <w:szCs w:val="20"/>
                <w:lang w:val="en-US"/>
              </w:rPr>
              <w:t xml:space="preserve"> above. In point 7.7 </w:t>
            </w:r>
            <w:r>
              <w:rPr>
                <w:sz w:val="20"/>
                <w:szCs w:val="20"/>
                <w:lang w:val="en-US"/>
              </w:rPr>
              <w:t xml:space="preserve">it </w:t>
            </w:r>
            <w:r w:rsidR="00167ACD">
              <w:rPr>
                <w:sz w:val="20"/>
                <w:szCs w:val="20"/>
                <w:lang w:val="en-US"/>
              </w:rPr>
              <w:t xml:space="preserve">is referred to “card payment </w:t>
            </w:r>
            <w:r w:rsidR="00167ACD" w:rsidRPr="00520264">
              <w:rPr>
                <w:i/>
                <w:sz w:val="20"/>
                <w:szCs w:val="20"/>
                <w:lang w:val="en-US"/>
              </w:rPr>
              <w:t>schemes</w:t>
            </w:r>
            <w:r w:rsidR="00167ACD">
              <w:rPr>
                <w:sz w:val="20"/>
                <w:szCs w:val="20"/>
                <w:lang w:val="en-US"/>
              </w:rPr>
              <w:t>”.</w:t>
            </w:r>
          </w:p>
        </w:tc>
      </w:tr>
      <w:tr w:rsidR="00167ACD" w:rsidRPr="00537B8F" w:rsidTr="00167ACD">
        <w:tc>
          <w:tcPr>
            <w:tcW w:w="260" w:type="pct"/>
            <w:shd w:val="clear" w:color="auto" w:fill="DBE5F1"/>
          </w:tcPr>
          <w:p w:rsidR="00167ACD" w:rsidRPr="00520264" w:rsidRDefault="00520264" w:rsidP="00D51092">
            <w:pPr>
              <w:rPr>
                <w:sz w:val="20"/>
                <w:szCs w:val="20"/>
                <w:lang w:val="en-US"/>
              </w:rPr>
            </w:pPr>
            <w:r>
              <w:rPr>
                <w:sz w:val="20"/>
                <w:szCs w:val="20"/>
                <w:lang w:val="en-US"/>
              </w:rPr>
              <w:lastRenderedPageBreak/>
              <w:t>8</w:t>
            </w:r>
          </w:p>
        </w:tc>
        <w:tc>
          <w:tcPr>
            <w:tcW w:w="659" w:type="pct"/>
            <w:shd w:val="clear" w:color="auto" w:fill="DBE5F1"/>
          </w:tcPr>
          <w:p w:rsidR="00167ACD" w:rsidRPr="00DF0C0A" w:rsidRDefault="00167ACD" w:rsidP="00D51092">
            <w:pPr>
              <w:rPr>
                <w:sz w:val="20"/>
                <w:szCs w:val="20"/>
                <w:lang w:val="en-US"/>
              </w:rPr>
            </w:pPr>
            <w:r w:rsidRPr="00DF0C0A">
              <w:rPr>
                <w:sz w:val="20"/>
                <w:szCs w:val="20"/>
                <w:lang w:val="en-US"/>
              </w:rPr>
              <w:t xml:space="preserve">Title II – Draft </w:t>
            </w:r>
            <w:r>
              <w:rPr>
                <w:sz w:val="20"/>
                <w:szCs w:val="20"/>
                <w:lang w:val="en-US"/>
              </w:rPr>
              <w:t>guidelines on the security</w:t>
            </w:r>
            <w:r w:rsidRPr="00DF0C0A">
              <w:rPr>
                <w:sz w:val="20"/>
                <w:szCs w:val="20"/>
                <w:lang w:val="en-US"/>
              </w:rPr>
              <w:t xml:space="preserve"> of internet</w:t>
            </w:r>
            <w:r>
              <w:rPr>
                <w:sz w:val="20"/>
                <w:szCs w:val="20"/>
                <w:lang w:val="en-US"/>
              </w:rPr>
              <w:t xml:space="preserve"> payments</w:t>
            </w:r>
          </w:p>
        </w:tc>
        <w:tc>
          <w:tcPr>
            <w:tcW w:w="584" w:type="pct"/>
            <w:shd w:val="clear" w:color="auto" w:fill="DBE5F1"/>
          </w:tcPr>
          <w:p w:rsidR="00167ACD" w:rsidRDefault="00167ACD" w:rsidP="00D51092">
            <w:pPr>
              <w:rPr>
                <w:sz w:val="20"/>
                <w:szCs w:val="20"/>
                <w:lang w:val="en-US"/>
              </w:rPr>
            </w:pPr>
            <w:r>
              <w:rPr>
                <w:sz w:val="20"/>
                <w:szCs w:val="20"/>
                <w:lang w:val="en-US"/>
              </w:rPr>
              <w:t xml:space="preserve">10.2 </w:t>
            </w:r>
          </w:p>
        </w:tc>
        <w:tc>
          <w:tcPr>
            <w:tcW w:w="1413" w:type="pct"/>
            <w:shd w:val="clear" w:color="auto" w:fill="DBE5F1"/>
          </w:tcPr>
          <w:p w:rsidR="00167ACD" w:rsidRDefault="00167ACD" w:rsidP="00D51092">
            <w:pPr>
              <w:pStyle w:val="Default"/>
              <w:rPr>
                <w:rFonts w:ascii="Arial" w:hAnsi="Arial" w:cs="Arial"/>
                <w:bCs/>
                <w:color w:val="548DD4"/>
                <w:sz w:val="20"/>
                <w:szCs w:val="20"/>
                <w:lang w:val="en-GB"/>
              </w:rPr>
            </w:pPr>
            <w:r>
              <w:rPr>
                <w:rFonts w:ascii="Arial" w:hAnsi="Arial" w:cs="Arial"/>
                <w:bCs/>
                <w:color w:val="548DD4"/>
                <w:sz w:val="20"/>
                <w:szCs w:val="20"/>
                <w:lang w:val="en-GB"/>
              </w:rPr>
              <w:t>Amendment</w:t>
            </w:r>
          </w:p>
        </w:tc>
        <w:tc>
          <w:tcPr>
            <w:tcW w:w="2083" w:type="pct"/>
            <w:shd w:val="clear" w:color="auto" w:fill="DBE5F1"/>
          </w:tcPr>
          <w:p w:rsidR="00167ACD" w:rsidRDefault="00167ACD" w:rsidP="00520264">
            <w:pPr>
              <w:rPr>
                <w:sz w:val="20"/>
                <w:szCs w:val="20"/>
                <w:lang w:val="en-US"/>
              </w:rPr>
            </w:pPr>
            <w:r>
              <w:rPr>
                <w:sz w:val="20"/>
                <w:szCs w:val="20"/>
                <w:lang w:val="en-US"/>
              </w:rPr>
              <w:t xml:space="preserve">See point </w:t>
            </w:r>
            <w:r w:rsidR="00520264">
              <w:rPr>
                <w:sz w:val="20"/>
                <w:szCs w:val="20"/>
                <w:lang w:val="en-US"/>
              </w:rPr>
              <w:t>6</w:t>
            </w:r>
            <w:r>
              <w:rPr>
                <w:sz w:val="20"/>
                <w:szCs w:val="20"/>
                <w:lang w:val="en-US"/>
              </w:rPr>
              <w:t xml:space="preserve"> above. In point 10.2 </w:t>
            </w:r>
            <w:r w:rsidR="00520264">
              <w:rPr>
                <w:sz w:val="20"/>
                <w:szCs w:val="20"/>
                <w:lang w:val="en-US"/>
              </w:rPr>
              <w:t xml:space="preserve">it </w:t>
            </w:r>
            <w:r>
              <w:rPr>
                <w:sz w:val="20"/>
                <w:szCs w:val="20"/>
                <w:lang w:val="en-US"/>
              </w:rPr>
              <w:t xml:space="preserve">is referred to “card payment </w:t>
            </w:r>
            <w:r w:rsidRPr="00520264">
              <w:rPr>
                <w:i/>
                <w:sz w:val="20"/>
                <w:szCs w:val="20"/>
                <w:lang w:val="en-US"/>
              </w:rPr>
              <w:t>schemes</w:t>
            </w:r>
            <w:r>
              <w:rPr>
                <w:sz w:val="20"/>
                <w:szCs w:val="20"/>
                <w:lang w:val="en-US"/>
              </w:rPr>
              <w:t>”.</w:t>
            </w:r>
          </w:p>
        </w:tc>
      </w:tr>
      <w:tr w:rsidR="00167ACD" w:rsidRPr="00537B8F" w:rsidTr="00167ACD">
        <w:tc>
          <w:tcPr>
            <w:tcW w:w="260" w:type="pct"/>
            <w:shd w:val="clear" w:color="auto" w:fill="DBE5F1"/>
          </w:tcPr>
          <w:p w:rsidR="00167ACD" w:rsidRPr="00382CE5" w:rsidRDefault="00520264" w:rsidP="00D51092">
            <w:pPr>
              <w:rPr>
                <w:sz w:val="20"/>
                <w:szCs w:val="20"/>
              </w:rPr>
            </w:pPr>
            <w:r>
              <w:rPr>
                <w:sz w:val="20"/>
                <w:szCs w:val="20"/>
              </w:rPr>
              <w:t>9</w:t>
            </w:r>
          </w:p>
        </w:tc>
        <w:tc>
          <w:tcPr>
            <w:tcW w:w="659" w:type="pct"/>
            <w:shd w:val="clear" w:color="auto" w:fill="DBE5F1"/>
          </w:tcPr>
          <w:p w:rsidR="00167ACD" w:rsidRPr="00DF0C0A" w:rsidRDefault="00167ACD" w:rsidP="00D51092">
            <w:pPr>
              <w:rPr>
                <w:sz w:val="20"/>
                <w:szCs w:val="20"/>
                <w:lang w:val="en-US"/>
              </w:rPr>
            </w:pPr>
            <w:r>
              <w:rPr>
                <w:sz w:val="20"/>
                <w:szCs w:val="20"/>
              </w:rPr>
              <w:t>Annex</w:t>
            </w:r>
          </w:p>
        </w:tc>
        <w:tc>
          <w:tcPr>
            <w:tcW w:w="584" w:type="pct"/>
            <w:shd w:val="clear" w:color="auto" w:fill="DBE5F1"/>
          </w:tcPr>
          <w:p w:rsidR="00167ACD" w:rsidRDefault="00167ACD" w:rsidP="00D51092">
            <w:pPr>
              <w:rPr>
                <w:sz w:val="20"/>
                <w:szCs w:val="20"/>
                <w:lang w:val="en-US"/>
              </w:rPr>
            </w:pPr>
            <w:r>
              <w:rPr>
                <w:sz w:val="20"/>
                <w:szCs w:val="20"/>
                <w:lang w:val="en-US"/>
              </w:rPr>
              <w:t>General</w:t>
            </w:r>
          </w:p>
        </w:tc>
        <w:tc>
          <w:tcPr>
            <w:tcW w:w="1413" w:type="pct"/>
            <w:shd w:val="clear" w:color="auto" w:fill="DBE5F1"/>
          </w:tcPr>
          <w:p w:rsidR="00167ACD" w:rsidRDefault="00167ACD" w:rsidP="00D51092">
            <w:pPr>
              <w:pStyle w:val="Default"/>
              <w:rPr>
                <w:rFonts w:ascii="Arial" w:hAnsi="Arial" w:cs="Arial"/>
                <w:bCs/>
                <w:color w:val="548DD4"/>
                <w:sz w:val="20"/>
                <w:szCs w:val="20"/>
                <w:lang w:val="en-GB"/>
              </w:rPr>
            </w:pPr>
            <w:r w:rsidRPr="00382CE5">
              <w:rPr>
                <w:rFonts w:ascii="Arial" w:hAnsi="Arial" w:cs="Arial"/>
                <w:bCs/>
                <w:color w:val="548DD4"/>
                <w:sz w:val="20"/>
                <w:szCs w:val="20"/>
                <w:lang w:val="en-GB"/>
              </w:rPr>
              <w:t>Amendment</w:t>
            </w:r>
          </w:p>
        </w:tc>
        <w:tc>
          <w:tcPr>
            <w:tcW w:w="2083" w:type="pct"/>
            <w:shd w:val="clear" w:color="auto" w:fill="DBE5F1"/>
          </w:tcPr>
          <w:p w:rsidR="00167ACD" w:rsidRDefault="00167ACD" w:rsidP="00167ACD">
            <w:pPr>
              <w:rPr>
                <w:sz w:val="20"/>
                <w:szCs w:val="20"/>
                <w:lang w:val="en-US"/>
              </w:rPr>
            </w:pPr>
            <w:r w:rsidRPr="00D90108">
              <w:rPr>
                <w:sz w:val="20"/>
                <w:szCs w:val="20"/>
                <w:lang w:val="en-US"/>
              </w:rPr>
              <w:t xml:space="preserve">The Annex is </w:t>
            </w:r>
            <w:r w:rsidRPr="00472D90">
              <w:rPr>
                <w:sz w:val="20"/>
                <w:szCs w:val="20"/>
                <w:lang w:val="en-US"/>
              </w:rPr>
              <w:t xml:space="preserve">unfortunately </w:t>
            </w:r>
            <w:r w:rsidRPr="00D90108">
              <w:rPr>
                <w:sz w:val="20"/>
                <w:szCs w:val="20"/>
                <w:lang w:val="en-US"/>
              </w:rPr>
              <w:t xml:space="preserve">a total mess! Firstly here it </w:t>
            </w:r>
            <w:r>
              <w:rPr>
                <w:sz w:val="20"/>
                <w:szCs w:val="20"/>
                <w:lang w:val="en-US"/>
              </w:rPr>
              <w:t xml:space="preserve">refers to </w:t>
            </w:r>
            <w:r w:rsidRPr="00D90108">
              <w:rPr>
                <w:sz w:val="20"/>
                <w:szCs w:val="20"/>
                <w:lang w:val="en-US"/>
              </w:rPr>
              <w:t>“the report”</w:t>
            </w:r>
            <w:r>
              <w:rPr>
                <w:sz w:val="20"/>
                <w:szCs w:val="20"/>
                <w:lang w:val="en-US"/>
              </w:rPr>
              <w:t xml:space="preserve"> (which is a referral to the original </w:t>
            </w:r>
            <w:proofErr w:type="spellStart"/>
            <w:r>
              <w:rPr>
                <w:sz w:val="20"/>
                <w:szCs w:val="20"/>
                <w:lang w:val="en-US"/>
              </w:rPr>
              <w:t>SecuRe</w:t>
            </w:r>
            <w:proofErr w:type="spellEnd"/>
            <w:r>
              <w:rPr>
                <w:sz w:val="20"/>
                <w:szCs w:val="20"/>
                <w:lang w:val="en-US"/>
              </w:rPr>
              <w:t xml:space="preserve"> Pay “report”)</w:t>
            </w:r>
            <w:r w:rsidRPr="00D90108">
              <w:rPr>
                <w:sz w:val="20"/>
                <w:szCs w:val="20"/>
                <w:lang w:val="en-US"/>
              </w:rPr>
              <w:t xml:space="preserve">. What is more, it’s stated that “the numbering of the best practice ‘mirrors’ the numbering of the guidelines”. Which they don’t! </w:t>
            </w:r>
            <w:proofErr w:type="gramStart"/>
            <w:r w:rsidRPr="00D90108">
              <w:rPr>
                <w:sz w:val="20"/>
                <w:szCs w:val="20"/>
                <w:lang w:val="en-US"/>
              </w:rPr>
              <w:t xml:space="preserve">Points 7.1, 7.2 and 7.3 are just </w:t>
            </w:r>
            <w:r>
              <w:rPr>
                <w:sz w:val="20"/>
                <w:szCs w:val="20"/>
                <w:lang w:val="en-US"/>
              </w:rPr>
              <w:t xml:space="preserve">a </w:t>
            </w:r>
            <w:r w:rsidRPr="00D90108">
              <w:rPr>
                <w:sz w:val="20"/>
                <w:szCs w:val="20"/>
                <w:lang w:val="en-US"/>
              </w:rPr>
              <w:t xml:space="preserve">copy-and-paste from the </w:t>
            </w:r>
            <w:proofErr w:type="spellStart"/>
            <w:r w:rsidRPr="00D90108">
              <w:rPr>
                <w:sz w:val="20"/>
                <w:szCs w:val="20"/>
                <w:lang w:val="en-US"/>
              </w:rPr>
              <w:t>SecuRe</w:t>
            </w:r>
            <w:proofErr w:type="spellEnd"/>
            <w:r w:rsidRPr="00D90108">
              <w:rPr>
                <w:sz w:val="20"/>
                <w:szCs w:val="20"/>
                <w:lang w:val="en-US"/>
              </w:rPr>
              <w:t xml:space="preserve"> Pay report and has</w:t>
            </w:r>
            <w:proofErr w:type="gramEnd"/>
            <w:r w:rsidRPr="00D90108">
              <w:rPr>
                <w:sz w:val="20"/>
                <w:szCs w:val="20"/>
                <w:lang w:val="en-US"/>
              </w:rPr>
              <w:t xml:space="preserve"> nothing to do with the guidelines</w:t>
            </w:r>
            <w:r>
              <w:rPr>
                <w:sz w:val="20"/>
                <w:szCs w:val="20"/>
                <w:lang w:val="en-US"/>
              </w:rPr>
              <w:t>.</w:t>
            </w:r>
            <w:r w:rsidRPr="00D90108">
              <w:rPr>
                <w:sz w:val="20"/>
                <w:szCs w:val="20"/>
                <w:lang w:val="en-US"/>
              </w:rPr>
              <w:t xml:space="preserve"> 11.1 should rather be 11.3 and there is only one paragraph in section 13 (13.1) why there cannot be a reference to 13.2 and 13.3! If anything, it should be 13.1. </w:t>
            </w:r>
            <w:r>
              <w:rPr>
                <w:sz w:val="20"/>
                <w:szCs w:val="20"/>
                <w:lang w:val="en-US"/>
              </w:rPr>
              <w:t xml:space="preserve">In short, please </w:t>
            </w:r>
            <w:r w:rsidRPr="00D90108">
              <w:rPr>
                <w:sz w:val="20"/>
                <w:szCs w:val="20"/>
                <w:lang w:val="en-US"/>
              </w:rPr>
              <w:t>adjust the annex so it actually reflects what is stated as principles for it!</w:t>
            </w:r>
          </w:p>
          <w:p w:rsidR="00520264" w:rsidRDefault="00520264" w:rsidP="00167ACD">
            <w:pPr>
              <w:rPr>
                <w:sz w:val="20"/>
                <w:szCs w:val="20"/>
                <w:lang w:val="en-US"/>
              </w:rPr>
            </w:pPr>
          </w:p>
          <w:p w:rsidR="00520264" w:rsidRDefault="00520264" w:rsidP="00520264">
            <w:pPr>
              <w:rPr>
                <w:sz w:val="20"/>
                <w:szCs w:val="20"/>
                <w:lang w:val="en-US"/>
              </w:rPr>
            </w:pPr>
            <w:r>
              <w:rPr>
                <w:sz w:val="20"/>
                <w:szCs w:val="20"/>
                <w:lang w:val="en-US"/>
              </w:rPr>
              <w:t>Moreover, it could be questioned whether the decision to move the Best practices to an Annex have improved the reading.</w:t>
            </w:r>
          </w:p>
        </w:tc>
      </w:tr>
    </w:tbl>
    <w:p w:rsidR="00AA2B47" w:rsidRPr="00AA2B47" w:rsidRDefault="00AA2B47" w:rsidP="00AA2B47">
      <w:pPr>
        <w:spacing w:before="240" w:after="240"/>
        <w:rPr>
          <w:bCs/>
          <w:lang w:val="en-US"/>
        </w:rPr>
      </w:pPr>
      <w:bookmarkStart w:id="1" w:name="_GoBack"/>
      <w:bookmarkEnd w:id="1"/>
    </w:p>
    <w:p w:rsidR="00AA2B47" w:rsidRPr="00AA2B47" w:rsidRDefault="00AA2B47" w:rsidP="00AA2B47">
      <w:pPr>
        <w:rPr>
          <w:lang w:val="en-US"/>
        </w:rPr>
      </w:pPr>
    </w:p>
    <w:p w:rsidR="00AA2B47" w:rsidRPr="00AA2B47" w:rsidRDefault="00AA2B47" w:rsidP="00AA2B47">
      <w:pPr>
        <w:rPr>
          <w:lang w:val="en-US"/>
        </w:rPr>
      </w:pPr>
    </w:p>
    <w:tbl>
      <w:tblPr>
        <w:tblW w:w="8277" w:type="dxa"/>
        <w:tblLayout w:type="fixed"/>
        <w:tblCellMar>
          <w:left w:w="0" w:type="dxa"/>
          <w:right w:w="0" w:type="dxa"/>
        </w:tblCellMar>
        <w:tblLook w:val="0000"/>
      </w:tblPr>
      <w:tblGrid>
        <w:gridCol w:w="4252"/>
        <w:gridCol w:w="4025"/>
      </w:tblGrid>
      <w:tr w:rsidR="00AA2B47" w:rsidRPr="00167ACD" w:rsidTr="00AA2B47">
        <w:trPr>
          <w:trHeight w:val="1247"/>
        </w:trPr>
        <w:tc>
          <w:tcPr>
            <w:tcW w:w="4252" w:type="dxa"/>
            <w:shd w:val="clear" w:color="auto" w:fill="auto"/>
          </w:tcPr>
          <w:p w:rsidR="00AA2B47" w:rsidRPr="00167ACD" w:rsidRDefault="00AA2B47" w:rsidP="00AA2B47">
            <w:pPr>
              <w:rPr>
                <w:lang w:val="en-US"/>
              </w:rPr>
            </w:pPr>
            <w:r w:rsidRPr="00167ACD">
              <w:rPr>
                <w:caps/>
                <w:lang w:val="en-US"/>
              </w:rPr>
              <w:t>SWEDISH BANKERS' ASSOCIATION</w:t>
            </w:r>
          </w:p>
        </w:tc>
        <w:tc>
          <w:tcPr>
            <w:tcW w:w="4025" w:type="dxa"/>
            <w:shd w:val="clear" w:color="auto" w:fill="auto"/>
          </w:tcPr>
          <w:p w:rsidR="00AA2B47" w:rsidRPr="00167ACD" w:rsidRDefault="00AA2B47" w:rsidP="00AA2B47">
            <w:pPr>
              <w:rPr>
                <w:lang w:val="en-US"/>
              </w:rPr>
            </w:pPr>
          </w:p>
        </w:tc>
      </w:tr>
      <w:tr w:rsidR="00AA2B47" w:rsidRPr="00167ACD" w:rsidTr="00AA2B47">
        <w:tc>
          <w:tcPr>
            <w:tcW w:w="4252" w:type="dxa"/>
            <w:shd w:val="clear" w:color="auto" w:fill="auto"/>
          </w:tcPr>
          <w:p w:rsidR="00AA2B47" w:rsidRPr="00167ACD" w:rsidRDefault="00AA2B47" w:rsidP="00AA2B47">
            <w:pPr>
              <w:rPr>
                <w:lang w:val="en-US"/>
              </w:rPr>
            </w:pPr>
            <w:r w:rsidRPr="00167ACD">
              <w:rPr>
                <w:lang w:val="en-US"/>
              </w:rPr>
              <w:t>Lars Rutberg</w:t>
            </w:r>
          </w:p>
        </w:tc>
        <w:tc>
          <w:tcPr>
            <w:tcW w:w="4025" w:type="dxa"/>
            <w:shd w:val="clear" w:color="auto" w:fill="auto"/>
          </w:tcPr>
          <w:p w:rsidR="00AA2B47" w:rsidRPr="00167ACD" w:rsidRDefault="00AA2B47" w:rsidP="00AA2B47">
            <w:pPr>
              <w:rPr>
                <w:lang w:val="en-US"/>
              </w:rPr>
            </w:pPr>
            <w:bookmarkStart w:id="2" w:name="Position"/>
            <w:bookmarkEnd w:id="2"/>
          </w:p>
        </w:tc>
      </w:tr>
    </w:tbl>
    <w:p w:rsidR="006F00EF" w:rsidRPr="00167ACD" w:rsidRDefault="006F00EF" w:rsidP="00AA2B47">
      <w:pPr>
        <w:rPr>
          <w:lang w:val="en-US"/>
        </w:rPr>
      </w:pPr>
    </w:p>
    <w:sectPr w:rsidR="006F00EF" w:rsidRPr="00167ACD" w:rsidSect="00E932E1">
      <w:headerReference w:type="even" r:id="rId9"/>
      <w:headerReference w:type="default" r:id="rId10"/>
      <w:footerReference w:type="even" r:id="rId11"/>
      <w:footerReference w:type="default" r:id="rId12"/>
      <w:headerReference w:type="first" r:id="rId13"/>
      <w:footerReference w:type="first" r:id="rId14"/>
      <w:pgSz w:w="11907" w:h="16839" w:code="9"/>
      <w:pgMar w:top="2835" w:right="1304" w:bottom="1361" w:left="2325" w:header="851"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ACD" w:rsidRDefault="00167ACD" w:rsidP="00A75A57">
      <w:pPr>
        <w:spacing w:line="240" w:lineRule="auto"/>
      </w:pPr>
      <w:r>
        <w:separator/>
      </w:r>
    </w:p>
  </w:endnote>
  <w:endnote w:type="continuationSeparator" w:id="0">
    <w:p w:rsidR="00167ACD" w:rsidRDefault="00167ACD" w:rsidP="00A75A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EAAKI O+ Gill Sans Myriad">
    <w:altName w:val="Gill Sans Myria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CD" w:rsidRDefault="00167ACD">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CD" w:rsidRDefault="00167ACD">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pPr w:leftFromText="142" w:rightFromText="142" w:vertAnchor="page" w:tblpY="14686"/>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22"/>
    </w:tblGrid>
    <w:tr w:rsidR="00167ACD" w:rsidTr="00AA2B47">
      <w:trPr>
        <w:cantSplit/>
        <w:trHeight w:hRule="exact" w:val="851"/>
      </w:trPr>
      <w:tc>
        <w:tcPr>
          <w:tcW w:w="8222" w:type="dxa"/>
          <w:shd w:val="clear" w:color="auto" w:fill="auto"/>
          <w:tcMar>
            <w:left w:w="0" w:type="dxa"/>
            <w:right w:w="0" w:type="dxa"/>
          </w:tcMar>
        </w:tcPr>
        <w:p w:rsidR="00167ACD" w:rsidRDefault="00167ACD" w:rsidP="00E932E1">
          <w:pPr>
            <w:pStyle w:val="Sidfot"/>
          </w:pPr>
        </w:p>
      </w:tc>
    </w:tr>
    <w:tr w:rsidR="00167ACD" w:rsidTr="00AA2B47">
      <w:trPr>
        <w:cantSplit/>
        <w:trHeight w:val="283"/>
      </w:trPr>
      <w:tc>
        <w:tcPr>
          <w:tcW w:w="8222" w:type="dxa"/>
          <w:shd w:val="clear" w:color="auto" w:fill="auto"/>
          <w:tcMar>
            <w:left w:w="0" w:type="dxa"/>
            <w:right w:w="0" w:type="dxa"/>
          </w:tcMar>
        </w:tcPr>
        <w:p w:rsidR="00167ACD" w:rsidRDefault="00167ACD" w:rsidP="00E932E1">
          <w:pPr>
            <w:pStyle w:val="Sidfot"/>
          </w:pPr>
          <w:bookmarkStart w:id="8" w:name="xxFooterCell1"/>
          <w:bookmarkStart w:id="9" w:name="xxAddressCell1"/>
          <w:bookmarkStart w:id="10" w:name="xxAddress1"/>
          <w:bookmarkStart w:id="11" w:name="xxFooter1"/>
          <w:bookmarkEnd w:id="8"/>
          <w:bookmarkEnd w:id="9"/>
          <w:bookmarkEnd w:id="10"/>
          <w:bookmarkEnd w:id="11"/>
          <w:r>
            <w:rPr>
              <w:noProof/>
            </w:rPr>
            <w:drawing>
              <wp:inline distT="0" distB="0" distL="0" distR="0">
                <wp:extent cx="4526280" cy="432816"/>
                <wp:effectExtent l="19050" t="0" r="7620" b="0"/>
                <wp:docPr id="1" name="Bild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26280" cy="432816"/>
                        </a:xfrm>
                        <a:prstGeom prst="rect">
                          <a:avLst/>
                        </a:prstGeom>
                      </pic:spPr>
                    </pic:pic>
                  </a:graphicData>
                </a:graphic>
              </wp:inline>
            </w:drawing>
          </w:r>
        </w:p>
      </w:tc>
    </w:tr>
  </w:tbl>
  <w:p w:rsidR="00167ACD" w:rsidRPr="0038209D" w:rsidRDefault="00167ACD" w:rsidP="0038209D">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ACD" w:rsidRDefault="00167ACD" w:rsidP="00A75A57">
      <w:pPr>
        <w:spacing w:line="240" w:lineRule="auto"/>
      </w:pPr>
      <w:r>
        <w:separator/>
      </w:r>
    </w:p>
  </w:footnote>
  <w:footnote w:type="continuationSeparator" w:id="0">
    <w:p w:rsidR="00167ACD" w:rsidRDefault="00167ACD" w:rsidP="00A75A5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CD" w:rsidRDefault="00167ACD">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pPr w:vertAnchor="page" w:horzAnchor="page" w:tblpX="908" w:tblpY="851"/>
      <w:tblOverlap w:val="never"/>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tblGrid>
    <w:tr w:rsidR="00167ACD" w:rsidTr="00AA2B47">
      <w:trPr>
        <w:cantSplit/>
        <w:trHeight w:val="1814"/>
      </w:trPr>
      <w:tc>
        <w:tcPr>
          <w:tcW w:w="4820" w:type="dxa"/>
          <w:shd w:val="clear" w:color="auto" w:fill="auto"/>
          <w:tcMar>
            <w:left w:w="0" w:type="dxa"/>
            <w:right w:w="0" w:type="dxa"/>
          </w:tcMar>
        </w:tcPr>
        <w:p w:rsidR="00167ACD" w:rsidRDefault="00167ACD" w:rsidP="00AA2B47">
          <w:pPr>
            <w:pStyle w:val="Sidhuvud"/>
          </w:pPr>
          <w:r>
            <w:rPr>
              <w:noProof/>
            </w:rPr>
            <w:drawing>
              <wp:inline distT="0" distB="0" distL="0" distR="0">
                <wp:extent cx="2919984" cy="792480"/>
                <wp:effectExtent l="19050" t="0" r="0" b="0"/>
                <wp:docPr id="3" name="Bild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919984" cy="792480"/>
                        </a:xfrm>
                        <a:prstGeom prst="rect">
                          <a:avLst/>
                        </a:prstGeom>
                      </pic:spPr>
                    </pic:pic>
                  </a:graphicData>
                </a:graphic>
              </wp:inline>
            </w:drawing>
          </w:r>
        </w:p>
      </w:tc>
    </w:tr>
  </w:tbl>
  <w:p w:rsidR="00167ACD" w:rsidRDefault="00167ACD" w:rsidP="006778F5">
    <w:pPr>
      <w:pStyle w:val="Sidhuvud"/>
      <w:jc w:val="right"/>
    </w:pPr>
  </w:p>
  <w:tbl>
    <w:tblPr>
      <w:tblStyle w:val="Tabellrutnt"/>
      <w:tblpPr w:leftFromText="181" w:rightFromText="181" w:vertAnchor="page" w:tblpXSpec="right" w:tblpY="852"/>
      <w:tblOverlap w:val="nev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02"/>
    </w:tblGrid>
    <w:tr w:rsidR="00167ACD" w:rsidTr="00074B9C">
      <w:trPr>
        <w:trHeight w:hRule="exact" w:val="850"/>
      </w:trPr>
      <w:tc>
        <w:tcPr>
          <w:tcW w:w="3402" w:type="dxa"/>
        </w:tcPr>
        <w:p w:rsidR="00167ACD" w:rsidRDefault="00167ACD" w:rsidP="00D51092">
          <w:pPr>
            <w:pStyle w:val="Sidhuvud"/>
            <w:jc w:val="right"/>
          </w:pPr>
          <w:bookmarkStart w:id="3" w:name="xxHeaderText2"/>
          <w:bookmarkEnd w:id="3"/>
        </w:p>
      </w:tc>
    </w:tr>
    <w:tr w:rsidR="00167ACD" w:rsidTr="00074B9C">
      <w:trPr>
        <w:trHeight w:hRule="exact" w:val="340"/>
      </w:trPr>
      <w:tc>
        <w:tcPr>
          <w:tcW w:w="3402" w:type="dxa"/>
          <w:vAlign w:val="bottom"/>
        </w:tcPr>
        <w:p w:rsidR="00167ACD" w:rsidRDefault="00167ACD" w:rsidP="00D51092">
          <w:pPr>
            <w:pStyle w:val="Sidhuvud"/>
            <w:jc w:val="right"/>
          </w:pPr>
          <w:bookmarkStart w:id="4" w:name="xxPageNo2"/>
          <w:bookmarkEnd w:id="4"/>
        </w:p>
      </w:tc>
    </w:tr>
  </w:tbl>
  <w:p w:rsidR="00167ACD" w:rsidRDefault="00167ACD" w:rsidP="006778F5">
    <w:pPr>
      <w:pStyle w:val="Sidhuvud"/>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pPr w:leftFromText="181" w:rightFromText="181" w:vertAnchor="page" w:tblpXSpec="right" w:tblpY="852"/>
      <w:tblOverlap w:val="nev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02"/>
    </w:tblGrid>
    <w:tr w:rsidR="00167ACD" w:rsidRPr="00AA2B47" w:rsidTr="00BC1FB2">
      <w:trPr>
        <w:trHeight w:hRule="exact" w:val="851"/>
      </w:trPr>
      <w:tc>
        <w:tcPr>
          <w:tcW w:w="3402" w:type="dxa"/>
        </w:tcPr>
        <w:p w:rsidR="00167ACD" w:rsidRPr="00AA2B47" w:rsidRDefault="00167ACD" w:rsidP="00E56F31">
          <w:pPr>
            <w:pStyle w:val="Etikett"/>
            <w:rPr>
              <w:b/>
              <w:caps/>
              <w:sz w:val="28"/>
            </w:rPr>
          </w:pPr>
          <w:r w:rsidRPr="00AA2B47">
            <w:rPr>
              <w:b/>
              <w:caps/>
              <w:sz w:val="28"/>
            </w:rPr>
            <w:t>POSITION PAPER</w:t>
          </w:r>
        </w:p>
        <w:p w:rsidR="00167ACD" w:rsidRPr="00AA2B47" w:rsidRDefault="00167ACD" w:rsidP="00E56F31">
          <w:pPr>
            <w:pStyle w:val="Etikett"/>
          </w:pPr>
        </w:p>
        <w:p w:rsidR="00167ACD" w:rsidRPr="00AA2B47" w:rsidRDefault="00167ACD" w:rsidP="0099402B">
          <w:pPr>
            <w:pStyle w:val="Sidhuvud"/>
            <w:jc w:val="right"/>
            <w:rPr>
              <w:b/>
              <w:sz w:val="28"/>
              <w:szCs w:val="28"/>
            </w:rPr>
          </w:pPr>
        </w:p>
      </w:tc>
    </w:tr>
    <w:tr w:rsidR="00167ACD" w:rsidRPr="00AA2B47" w:rsidTr="007E1A90">
      <w:trPr>
        <w:trHeight w:hRule="exact" w:val="340"/>
      </w:trPr>
      <w:tc>
        <w:tcPr>
          <w:tcW w:w="3402" w:type="dxa"/>
          <w:vAlign w:val="bottom"/>
        </w:tcPr>
        <w:p w:rsidR="00167ACD" w:rsidRPr="00AA2B47" w:rsidRDefault="00167ACD" w:rsidP="0099402B">
          <w:pPr>
            <w:pStyle w:val="Sidhuvud"/>
            <w:jc w:val="right"/>
          </w:pPr>
          <w:bookmarkStart w:id="5" w:name="xxPageNo1"/>
          <w:bookmarkEnd w:id="5"/>
        </w:p>
      </w:tc>
    </w:tr>
  </w:tbl>
  <w:p w:rsidR="00167ACD" w:rsidRPr="00AA2B47" w:rsidRDefault="00167ACD" w:rsidP="00F26D2A">
    <w:pPr>
      <w:pStyle w:val="Sidhuvud"/>
      <w:jc w:val="right"/>
    </w:pPr>
  </w:p>
  <w:tbl>
    <w:tblPr>
      <w:tblStyle w:val="Tabellrutnt"/>
      <w:tblpPr w:vertAnchor="page" w:horzAnchor="page" w:tblpX="908" w:tblpY="851"/>
      <w:tblOverlap w:val="never"/>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tblGrid>
    <w:tr w:rsidR="00167ACD" w:rsidRPr="00AA2B47" w:rsidTr="00AA2B47">
      <w:trPr>
        <w:cantSplit/>
        <w:trHeight w:val="1814"/>
      </w:trPr>
      <w:tc>
        <w:tcPr>
          <w:tcW w:w="4820" w:type="dxa"/>
          <w:shd w:val="clear" w:color="auto" w:fill="auto"/>
          <w:tcMar>
            <w:left w:w="0" w:type="dxa"/>
            <w:right w:w="0" w:type="dxa"/>
          </w:tcMar>
        </w:tcPr>
        <w:p w:rsidR="00167ACD" w:rsidRPr="00AA2B47" w:rsidRDefault="00167ACD" w:rsidP="00AA2B47">
          <w:pPr>
            <w:pStyle w:val="Sidhuvud"/>
          </w:pPr>
          <w:bookmarkStart w:id="6" w:name="xxLogga1"/>
          <w:bookmarkStart w:id="7" w:name="xxHeader1"/>
          <w:bookmarkEnd w:id="6"/>
          <w:bookmarkEnd w:id="7"/>
          <w:r w:rsidRPr="00AA2B47">
            <w:rPr>
              <w:noProof/>
            </w:rPr>
            <w:drawing>
              <wp:inline distT="0" distB="0" distL="0" distR="0">
                <wp:extent cx="2919984" cy="792480"/>
                <wp:effectExtent l="19050" t="0" r="0" b="0"/>
                <wp:docPr id="2"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919984" cy="792480"/>
                        </a:xfrm>
                        <a:prstGeom prst="rect">
                          <a:avLst/>
                        </a:prstGeom>
                      </pic:spPr>
                    </pic:pic>
                  </a:graphicData>
                </a:graphic>
              </wp:inline>
            </w:drawing>
          </w:r>
        </w:p>
      </w:tc>
    </w:tr>
  </w:tbl>
  <w:p w:rsidR="00167ACD" w:rsidRPr="00AA2B47" w:rsidRDefault="00167ACD" w:rsidP="006778F5">
    <w:pPr>
      <w:pStyle w:val="Sidhuvud"/>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0EDE52"/>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0724526"/>
    <w:multiLevelType w:val="multilevel"/>
    <w:tmpl w:val="E2C2C77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nsid w:val="070A3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7840AC5"/>
    <w:multiLevelType w:val="multilevel"/>
    <w:tmpl w:val="FFD8C356"/>
    <w:lvl w:ilvl="0">
      <w:start w:val="1"/>
      <w:numFmt w:val="decimal"/>
      <w:lvlRestart w:val="0"/>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6">
    <w:nsid w:val="116B58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25029F9"/>
    <w:multiLevelType w:val="hybridMultilevel"/>
    <w:tmpl w:val="488C8854"/>
    <w:lvl w:ilvl="0" w:tplc="08090005">
      <w:start w:val="1"/>
      <w:numFmt w:val="bullet"/>
      <w:lvlText w:val=""/>
      <w:lvlJc w:val="left"/>
      <w:pPr>
        <w:ind w:left="720" w:hanging="360"/>
      </w:pPr>
      <w:rPr>
        <w:rFonts w:ascii="Wingdings" w:hAnsi="Wingdings" w:hint="default"/>
      </w:rPr>
    </w:lvl>
    <w:lvl w:ilvl="1" w:tplc="A406038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3572B8"/>
    <w:multiLevelType w:val="multilevel"/>
    <w:tmpl w:val="E2C2C77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9">
    <w:nsid w:val="14F10E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8D969F3"/>
    <w:multiLevelType w:val="multilevel"/>
    <w:tmpl w:val="DE666C82"/>
    <w:lvl w:ilvl="0">
      <w:start w:val="1"/>
      <w:numFmt w:val="decimal"/>
      <w:lvlText w:val="%1."/>
      <w:lvlJc w:val="left"/>
      <w:pPr>
        <w:tabs>
          <w:tab w:val="num" w:pos="360"/>
        </w:tabs>
        <w:ind w:left="360" w:hanging="360"/>
      </w:pPr>
      <w:rPr>
        <w:rFonts w:hint="default"/>
        <w:b/>
        <w:sz w:val="28"/>
        <w:lang w:val="en-GB"/>
      </w:rPr>
    </w:lvl>
    <w:lvl w:ilvl="1">
      <w:start w:val="1"/>
      <w:numFmt w:val="decimal"/>
      <w:lvlText w:val="%1.%2."/>
      <w:lvlJc w:val="left"/>
      <w:pPr>
        <w:tabs>
          <w:tab w:val="num" w:pos="792"/>
        </w:tabs>
        <w:ind w:left="792" w:hanging="432"/>
      </w:pPr>
      <w:rPr>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8E133CF"/>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2">
    <w:nsid w:val="1FC21441"/>
    <w:multiLevelType w:val="multilevel"/>
    <w:tmpl w:val="7368F9FE"/>
    <w:lvl w:ilvl="0">
      <w:start w:val="1"/>
      <w:numFmt w:val="decimal"/>
      <w:lvlRestart w:val="0"/>
      <w:lvlText w:val="%1."/>
      <w:lvlJc w:val="left"/>
      <w:pPr>
        <w:tabs>
          <w:tab w:val="num" w:pos="453"/>
        </w:tabs>
        <w:ind w:left="453" w:hanging="453"/>
      </w:pPr>
      <w:rPr>
        <w:rFonts w:ascii="Georgia" w:hAnsi="Georgia"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3">
    <w:nsid w:val="25AA31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C62201"/>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5">
    <w:nsid w:val="285B6583"/>
    <w:multiLevelType w:val="multilevel"/>
    <w:tmpl w:val="9D4A89A0"/>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6">
    <w:nsid w:val="28A91837"/>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7">
    <w:nsid w:val="2C2D06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E9D0502"/>
    <w:multiLevelType w:val="multilevel"/>
    <w:tmpl w:val="94341286"/>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9">
    <w:nsid w:val="2FDE1D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09030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22206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7CB3440"/>
    <w:multiLevelType w:val="multilevel"/>
    <w:tmpl w:val="F23C9072"/>
    <w:styleLink w:val="CompanyList"/>
    <w:lvl w:ilvl="0">
      <w:start w:val="1"/>
      <w:numFmt w:val="decimal"/>
      <w:lvlRestart w:val="0"/>
      <w:lvlText w:val="%1."/>
      <w:lvlJc w:val="left"/>
      <w:pPr>
        <w:tabs>
          <w:tab w:val="num" w:pos="453"/>
        </w:tabs>
        <w:ind w:left="453" w:hanging="453"/>
      </w:pPr>
      <w:rPr>
        <w:rFonts w:ascii="Symbol" w:hAnsi="Symbol" w:hint="default"/>
      </w:rPr>
    </w:lvl>
    <w:lvl w:ilvl="1">
      <w:start w:val="1"/>
      <w:numFmt w:val="lowerLetter"/>
      <w:lvlText w:val="%2)"/>
      <w:lvlJc w:val="left"/>
      <w:pPr>
        <w:tabs>
          <w:tab w:val="num" w:pos="907"/>
        </w:tabs>
        <w:ind w:left="907" w:hanging="454"/>
      </w:pPr>
      <w:rPr>
        <w:rFonts w:ascii="Arial" w:hAnsi="Arial" w:cs="Arial"/>
      </w:rPr>
    </w:lvl>
    <w:lvl w:ilvl="2">
      <w:start w:val="1"/>
      <w:numFmt w:val="lowerRoman"/>
      <w:lvlText w:val="%3)"/>
      <w:lvlJc w:val="left"/>
      <w:pPr>
        <w:tabs>
          <w:tab w:val="num" w:pos="1360"/>
        </w:tabs>
        <w:ind w:left="1360" w:hanging="453"/>
      </w:pPr>
      <w:rPr>
        <w:rFonts w:ascii="Arial" w:hAnsi="Arial" w:cs="Arial"/>
      </w:rPr>
    </w:lvl>
    <w:lvl w:ilvl="3">
      <w:start w:val="1"/>
      <w:numFmt w:val="decimal"/>
      <w:lvlText w:val="%4"/>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3">
    <w:nsid w:val="39610B83"/>
    <w:multiLevelType w:val="hybridMultilevel"/>
    <w:tmpl w:val="AA28711C"/>
    <w:lvl w:ilvl="0" w:tplc="08090005">
      <w:start w:val="1"/>
      <w:numFmt w:val="bullet"/>
      <w:lvlText w:val=""/>
      <w:lvlJc w:val="left"/>
      <w:pPr>
        <w:ind w:left="720" w:hanging="360"/>
      </w:pPr>
      <w:rPr>
        <w:rFonts w:ascii="Wingdings" w:hAnsi="Wingdings" w:hint="default"/>
      </w:rPr>
    </w:lvl>
    <w:lvl w:ilvl="1" w:tplc="A406038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A94879"/>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5">
    <w:nsid w:val="3BED45E6"/>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6">
    <w:nsid w:val="44AA01C5"/>
    <w:multiLevelType w:val="multilevel"/>
    <w:tmpl w:val="7368F9FE"/>
    <w:lvl w:ilvl="0">
      <w:start w:val="1"/>
      <w:numFmt w:val="decimal"/>
      <w:lvlRestart w:val="0"/>
      <w:lvlText w:val="%1."/>
      <w:lvlJc w:val="left"/>
      <w:pPr>
        <w:tabs>
          <w:tab w:val="num" w:pos="453"/>
        </w:tabs>
        <w:ind w:left="453" w:hanging="453"/>
      </w:pPr>
      <w:rPr>
        <w:rFonts w:ascii="Georgia" w:hAnsi="Georgia"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7">
    <w:nsid w:val="46003B42"/>
    <w:multiLevelType w:val="multilevel"/>
    <w:tmpl w:val="32A0A6BE"/>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8">
    <w:nsid w:val="473E66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02032F2"/>
    <w:multiLevelType w:val="multilevel"/>
    <w:tmpl w:val="9D4A89A0"/>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0">
    <w:nsid w:val="520252C8"/>
    <w:multiLevelType w:val="hybridMultilevel"/>
    <w:tmpl w:val="EACE6782"/>
    <w:lvl w:ilvl="0" w:tplc="A40603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5AA28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BD13D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CF84EA5"/>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4">
    <w:nsid w:val="65D8495C"/>
    <w:multiLevelType w:val="multilevel"/>
    <w:tmpl w:val="BF140784"/>
    <w:lvl w:ilvl="0">
      <w:start w:val="1"/>
      <w:numFmt w:val="bullet"/>
      <w:lvlRestart w:val="0"/>
      <w:lvlText w:val=""/>
      <w:lvlJc w:val="left"/>
      <w:pPr>
        <w:tabs>
          <w:tab w:val="num" w:pos="453"/>
        </w:tabs>
        <w:ind w:left="453" w:hanging="453"/>
      </w:pPr>
      <w:rPr>
        <w:rFonts w:ascii="Symbol" w:hAnsi="Symbol" w:cs="Arial" w:hint="default"/>
        <w:sz w:val="20"/>
      </w:rPr>
    </w:lvl>
    <w:lvl w:ilvl="1">
      <w:start w:val="1"/>
      <w:numFmt w:val="lowerLetter"/>
      <w:lvlText w:val="-"/>
      <w:lvlJc w:val="left"/>
      <w:pPr>
        <w:tabs>
          <w:tab w:val="num" w:pos="907"/>
        </w:tabs>
        <w:ind w:left="907" w:hanging="454"/>
      </w:pPr>
      <w:rPr>
        <w:rFonts w:ascii="Arial" w:hAnsi="Arial" w:cs="Arial"/>
        <w:sz w:val="20"/>
      </w:rPr>
    </w:lvl>
    <w:lvl w:ilvl="2">
      <w:start w:val="1"/>
      <w:numFmt w:val="lowerRoman"/>
      <w:lvlText w:val="-"/>
      <w:lvlJc w:val="left"/>
      <w:pPr>
        <w:tabs>
          <w:tab w:val="num" w:pos="1360"/>
        </w:tabs>
        <w:ind w:left="1360" w:hanging="453"/>
      </w:pPr>
      <w:rPr>
        <w:rFonts w:ascii="Arial" w:hAnsi="Arial" w:cs="Arial"/>
        <w:sz w:val="20"/>
      </w:rPr>
    </w:lvl>
    <w:lvl w:ilvl="3">
      <w:start w:val="1"/>
      <w:numFmt w:val="bullet"/>
      <w:lvlText w:val="-"/>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5">
    <w:nsid w:val="6EF503B7"/>
    <w:multiLevelType w:val="multilevel"/>
    <w:tmpl w:val="7368F9FE"/>
    <w:lvl w:ilvl="0">
      <w:start w:val="1"/>
      <w:numFmt w:val="decimal"/>
      <w:lvlRestart w:val="0"/>
      <w:lvlText w:val="%1."/>
      <w:lvlJc w:val="left"/>
      <w:pPr>
        <w:tabs>
          <w:tab w:val="num" w:pos="453"/>
        </w:tabs>
        <w:ind w:left="453" w:hanging="453"/>
      </w:pPr>
      <w:rPr>
        <w:rFonts w:ascii="Georgia" w:hAnsi="Georgia"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6">
    <w:nsid w:val="70BD65A2"/>
    <w:multiLevelType w:val="multilevel"/>
    <w:tmpl w:val="71F8AB52"/>
    <w:lvl w:ilvl="0">
      <w:start w:val="1"/>
      <w:numFmt w:val="decimal"/>
      <w:lvlRestart w:val="0"/>
      <w:pStyle w:val="Heading1No"/>
      <w:lvlText w:val="%1)"/>
      <w:lvlJc w:val="left"/>
      <w:pPr>
        <w:tabs>
          <w:tab w:val="num" w:pos="454"/>
        </w:tabs>
        <w:ind w:left="454" w:hanging="454"/>
      </w:pPr>
    </w:lvl>
    <w:lvl w:ilvl="1">
      <w:start w:val="1"/>
      <w:numFmt w:val="decimal"/>
      <w:pStyle w:val="Heading2No"/>
      <w:lvlText w:val="%1.%2)"/>
      <w:lvlJc w:val="left"/>
      <w:pPr>
        <w:tabs>
          <w:tab w:val="num" w:pos="454"/>
        </w:tabs>
        <w:ind w:left="454" w:hanging="454"/>
      </w:pPr>
    </w:lvl>
    <w:lvl w:ilvl="2">
      <w:start w:val="1"/>
      <w:numFmt w:val="decimal"/>
      <w:pStyle w:val="Heading3No"/>
      <w:lvlText w:val="%1.%2.%3)"/>
      <w:lvlJc w:val="left"/>
      <w:pPr>
        <w:tabs>
          <w:tab w:val="num" w:pos="454"/>
        </w:tabs>
        <w:ind w:left="454" w:hanging="454"/>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7">
    <w:nsid w:val="76FE3A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33"/>
  </w:num>
  <w:num w:numId="3">
    <w:abstractNumId w:val="0"/>
  </w:num>
  <w:num w:numId="4">
    <w:abstractNumId w:val="26"/>
  </w:num>
  <w:num w:numId="5">
    <w:abstractNumId w:val="34"/>
  </w:num>
  <w:num w:numId="6">
    <w:abstractNumId w:val="26"/>
  </w:num>
  <w:num w:numId="7">
    <w:abstractNumId w:val="34"/>
  </w:num>
  <w:num w:numId="8">
    <w:abstractNumId w:val="2"/>
  </w:num>
  <w:num w:numId="9">
    <w:abstractNumId w:val="5"/>
  </w:num>
  <w:num w:numId="10">
    <w:abstractNumId w:val="25"/>
  </w:num>
  <w:num w:numId="11">
    <w:abstractNumId w:val="35"/>
  </w:num>
  <w:num w:numId="12">
    <w:abstractNumId w:val="11"/>
  </w:num>
  <w:num w:numId="13">
    <w:abstractNumId w:val="0"/>
  </w:num>
  <w:num w:numId="14">
    <w:abstractNumId w:val="26"/>
  </w:num>
  <w:num w:numId="15">
    <w:abstractNumId w:val="33"/>
  </w:num>
  <w:num w:numId="16">
    <w:abstractNumId w:val="2"/>
  </w:num>
  <w:num w:numId="17">
    <w:abstractNumId w:val="5"/>
  </w:num>
  <w:num w:numId="18">
    <w:abstractNumId w:val="14"/>
  </w:num>
  <w:num w:numId="19">
    <w:abstractNumId w:val="16"/>
  </w:num>
  <w:num w:numId="20">
    <w:abstractNumId w:val="24"/>
  </w:num>
  <w:num w:numId="21">
    <w:abstractNumId w:val="12"/>
  </w:num>
  <w:num w:numId="22">
    <w:abstractNumId w:val="15"/>
  </w:num>
  <w:num w:numId="23">
    <w:abstractNumId w:val="8"/>
  </w:num>
  <w:num w:numId="24">
    <w:abstractNumId w:val="1"/>
  </w:num>
  <w:num w:numId="25">
    <w:abstractNumId w:val="29"/>
  </w:num>
  <w:num w:numId="26">
    <w:abstractNumId w:val="22"/>
  </w:num>
  <w:num w:numId="27">
    <w:abstractNumId w:val="27"/>
  </w:num>
  <w:num w:numId="28">
    <w:abstractNumId w:val="4"/>
  </w:num>
  <w:num w:numId="29">
    <w:abstractNumId w:val="36"/>
  </w:num>
  <w:num w:numId="30">
    <w:abstractNumId w:val="10"/>
  </w:num>
  <w:num w:numId="31">
    <w:abstractNumId w:val="30"/>
  </w:num>
  <w:num w:numId="32">
    <w:abstractNumId w:val="7"/>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1304"/>
  <w:hyphenationZone w:val="425"/>
  <w:drawingGridHorizontalSpacing w:val="100"/>
  <w:displayHorizontalDrawingGridEvery w:val="2"/>
  <w:noPunctuationKerning/>
  <w:characterSpacingControl w:val="doNotCompress"/>
  <w:hdrShapeDefaults>
    <o:shapedefaults v:ext="edit" spidmax="72708"/>
  </w:hdrShapeDefaults>
  <w:footnotePr>
    <w:footnote w:id="-1"/>
    <w:footnote w:id="0"/>
  </w:footnotePr>
  <w:endnotePr>
    <w:endnote w:id="-1"/>
    <w:endnote w:id="0"/>
  </w:endnotePr>
  <w:compat/>
  <w:docVars>
    <w:docVar w:name="DVarAddressFile" w:val="Address"/>
    <w:docVar w:name="DVarAddressInserted" w:val="Yes"/>
    <w:docVar w:name="DVarLanguage" w:val="English"/>
    <w:docVar w:name="DVarLogotypeFile" w:val="SBF"/>
    <w:docVar w:name="DVarLogotypeInserted" w:val="Yes"/>
  </w:docVars>
  <w:rsids>
    <w:rsidRoot w:val="00213F49"/>
    <w:rsid w:val="0000023F"/>
    <w:rsid w:val="00004663"/>
    <w:rsid w:val="00006808"/>
    <w:rsid w:val="00006CAE"/>
    <w:rsid w:val="00013340"/>
    <w:rsid w:val="00015318"/>
    <w:rsid w:val="00021CC3"/>
    <w:rsid w:val="00024843"/>
    <w:rsid w:val="00042344"/>
    <w:rsid w:val="000621CB"/>
    <w:rsid w:val="00062267"/>
    <w:rsid w:val="00062D55"/>
    <w:rsid w:val="00065E16"/>
    <w:rsid w:val="00070672"/>
    <w:rsid w:val="00070D62"/>
    <w:rsid w:val="00074B9C"/>
    <w:rsid w:val="00084C99"/>
    <w:rsid w:val="000A42BE"/>
    <w:rsid w:val="000A70E4"/>
    <w:rsid w:val="000C0BB3"/>
    <w:rsid w:val="000C6115"/>
    <w:rsid w:val="000C6A6D"/>
    <w:rsid w:val="000D0EA6"/>
    <w:rsid w:val="000E157B"/>
    <w:rsid w:val="000E280A"/>
    <w:rsid w:val="0011150A"/>
    <w:rsid w:val="00112ABB"/>
    <w:rsid w:val="00121043"/>
    <w:rsid w:val="00124B7E"/>
    <w:rsid w:val="0013381B"/>
    <w:rsid w:val="00141850"/>
    <w:rsid w:val="00145E4F"/>
    <w:rsid w:val="00152F1B"/>
    <w:rsid w:val="00156724"/>
    <w:rsid w:val="001568E3"/>
    <w:rsid w:val="00160699"/>
    <w:rsid w:val="00167ACD"/>
    <w:rsid w:val="00192943"/>
    <w:rsid w:val="00195457"/>
    <w:rsid w:val="001A480F"/>
    <w:rsid w:val="001B7B69"/>
    <w:rsid w:val="001C3F2F"/>
    <w:rsid w:val="001D549F"/>
    <w:rsid w:val="001F78D9"/>
    <w:rsid w:val="00213F49"/>
    <w:rsid w:val="002211C6"/>
    <w:rsid w:val="00222C32"/>
    <w:rsid w:val="002249D9"/>
    <w:rsid w:val="002375F4"/>
    <w:rsid w:val="00240078"/>
    <w:rsid w:val="00242750"/>
    <w:rsid w:val="00246B50"/>
    <w:rsid w:val="00250C7D"/>
    <w:rsid w:val="002538ED"/>
    <w:rsid w:val="002572CF"/>
    <w:rsid w:val="002672C7"/>
    <w:rsid w:val="00284C34"/>
    <w:rsid w:val="00294807"/>
    <w:rsid w:val="002A09A7"/>
    <w:rsid w:val="002B01FB"/>
    <w:rsid w:val="002C726F"/>
    <w:rsid w:val="002D025C"/>
    <w:rsid w:val="002D3BB0"/>
    <w:rsid w:val="002E5A93"/>
    <w:rsid w:val="002F008B"/>
    <w:rsid w:val="00303B5C"/>
    <w:rsid w:val="00305F56"/>
    <w:rsid w:val="003146F8"/>
    <w:rsid w:val="003345B8"/>
    <w:rsid w:val="00336388"/>
    <w:rsid w:val="0035032E"/>
    <w:rsid w:val="0035271F"/>
    <w:rsid w:val="003537FA"/>
    <w:rsid w:val="00354D0B"/>
    <w:rsid w:val="00363828"/>
    <w:rsid w:val="00371F21"/>
    <w:rsid w:val="0038209D"/>
    <w:rsid w:val="00382CE5"/>
    <w:rsid w:val="003866CF"/>
    <w:rsid w:val="00387A92"/>
    <w:rsid w:val="003A20C6"/>
    <w:rsid w:val="003A6908"/>
    <w:rsid w:val="003B31C5"/>
    <w:rsid w:val="003B38B7"/>
    <w:rsid w:val="003D5710"/>
    <w:rsid w:val="003D7D8A"/>
    <w:rsid w:val="003E6176"/>
    <w:rsid w:val="003E7A7C"/>
    <w:rsid w:val="00400B49"/>
    <w:rsid w:val="0040165C"/>
    <w:rsid w:val="00406B47"/>
    <w:rsid w:val="00407425"/>
    <w:rsid w:val="00423F47"/>
    <w:rsid w:val="0045394C"/>
    <w:rsid w:val="00454243"/>
    <w:rsid w:val="00461383"/>
    <w:rsid w:val="00462ADB"/>
    <w:rsid w:val="004701A8"/>
    <w:rsid w:val="00472D90"/>
    <w:rsid w:val="004939F4"/>
    <w:rsid w:val="004A1B7E"/>
    <w:rsid w:val="004A7CF0"/>
    <w:rsid w:val="004B341D"/>
    <w:rsid w:val="004B7006"/>
    <w:rsid w:val="004C4FB2"/>
    <w:rsid w:val="004C5021"/>
    <w:rsid w:val="004D7177"/>
    <w:rsid w:val="004E3777"/>
    <w:rsid w:val="004E658A"/>
    <w:rsid w:val="004F5C67"/>
    <w:rsid w:val="00503511"/>
    <w:rsid w:val="00504518"/>
    <w:rsid w:val="00506BD0"/>
    <w:rsid w:val="00507476"/>
    <w:rsid w:val="005129C4"/>
    <w:rsid w:val="00520264"/>
    <w:rsid w:val="005368B1"/>
    <w:rsid w:val="00537B8F"/>
    <w:rsid w:val="00541BFF"/>
    <w:rsid w:val="005463F2"/>
    <w:rsid w:val="00565F88"/>
    <w:rsid w:val="00573B78"/>
    <w:rsid w:val="005931C7"/>
    <w:rsid w:val="005A3BFC"/>
    <w:rsid w:val="005D09A1"/>
    <w:rsid w:val="005D5BC0"/>
    <w:rsid w:val="005F1EDD"/>
    <w:rsid w:val="005F306C"/>
    <w:rsid w:val="005F4F72"/>
    <w:rsid w:val="006020B2"/>
    <w:rsid w:val="006021B5"/>
    <w:rsid w:val="00602F7E"/>
    <w:rsid w:val="0060351E"/>
    <w:rsid w:val="006043AC"/>
    <w:rsid w:val="00605B36"/>
    <w:rsid w:val="00605B95"/>
    <w:rsid w:val="006171E1"/>
    <w:rsid w:val="00617D2E"/>
    <w:rsid w:val="00620345"/>
    <w:rsid w:val="0064669E"/>
    <w:rsid w:val="00660CE5"/>
    <w:rsid w:val="006626AE"/>
    <w:rsid w:val="00671394"/>
    <w:rsid w:val="006764DC"/>
    <w:rsid w:val="006768BA"/>
    <w:rsid w:val="006778F5"/>
    <w:rsid w:val="006815AC"/>
    <w:rsid w:val="00686342"/>
    <w:rsid w:val="00696C2D"/>
    <w:rsid w:val="006A04F2"/>
    <w:rsid w:val="006A2ECB"/>
    <w:rsid w:val="006A4C1E"/>
    <w:rsid w:val="006A632E"/>
    <w:rsid w:val="006A74A6"/>
    <w:rsid w:val="006A7A68"/>
    <w:rsid w:val="006B23ED"/>
    <w:rsid w:val="006B5B45"/>
    <w:rsid w:val="006B6114"/>
    <w:rsid w:val="006B7672"/>
    <w:rsid w:val="006D2A5F"/>
    <w:rsid w:val="006D78D7"/>
    <w:rsid w:val="006E1185"/>
    <w:rsid w:val="006E3ACC"/>
    <w:rsid w:val="006F00EF"/>
    <w:rsid w:val="006F5D25"/>
    <w:rsid w:val="007047F7"/>
    <w:rsid w:val="00737D1A"/>
    <w:rsid w:val="00743049"/>
    <w:rsid w:val="00750870"/>
    <w:rsid w:val="00755566"/>
    <w:rsid w:val="00760E22"/>
    <w:rsid w:val="00761622"/>
    <w:rsid w:val="00763791"/>
    <w:rsid w:val="00763A9F"/>
    <w:rsid w:val="007725AF"/>
    <w:rsid w:val="0078210B"/>
    <w:rsid w:val="007A0BA9"/>
    <w:rsid w:val="007A37E8"/>
    <w:rsid w:val="007A4B52"/>
    <w:rsid w:val="007A5882"/>
    <w:rsid w:val="007B09C9"/>
    <w:rsid w:val="007B320D"/>
    <w:rsid w:val="007B61E7"/>
    <w:rsid w:val="007D1DF2"/>
    <w:rsid w:val="007D27AD"/>
    <w:rsid w:val="007D3820"/>
    <w:rsid w:val="007E1A90"/>
    <w:rsid w:val="00804CF4"/>
    <w:rsid w:val="00806486"/>
    <w:rsid w:val="00806BCE"/>
    <w:rsid w:val="00825BF0"/>
    <w:rsid w:val="00830DD7"/>
    <w:rsid w:val="00831F09"/>
    <w:rsid w:val="008431A0"/>
    <w:rsid w:val="008462B1"/>
    <w:rsid w:val="008501C5"/>
    <w:rsid w:val="00863279"/>
    <w:rsid w:val="008656B3"/>
    <w:rsid w:val="008719A3"/>
    <w:rsid w:val="008973F0"/>
    <w:rsid w:val="008B5725"/>
    <w:rsid w:val="008C4532"/>
    <w:rsid w:val="008E28EA"/>
    <w:rsid w:val="008E3CF5"/>
    <w:rsid w:val="008E41D1"/>
    <w:rsid w:val="008E4E25"/>
    <w:rsid w:val="008F2BBB"/>
    <w:rsid w:val="008F3D35"/>
    <w:rsid w:val="008F7DAD"/>
    <w:rsid w:val="0090196D"/>
    <w:rsid w:val="00905980"/>
    <w:rsid w:val="009059FC"/>
    <w:rsid w:val="00906FF2"/>
    <w:rsid w:val="0091394B"/>
    <w:rsid w:val="00927AA6"/>
    <w:rsid w:val="00930FB1"/>
    <w:rsid w:val="0094074A"/>
    <w:rsid w:val="00957FC0"/>
    <w:rsid w:val="00970085"/>
    <w:rsid w:val="009771BF"/>
    <w:rsid w:val="00986493"/>
    <w:rsid w:val="00991707"/>
    <w:rsid w:val="009919EE"/>
    <w:rsid w:val="00993736"/>
    <w:rsid w:val="0099402B"/>
    <w:rsid w:val="00997595"/>
    <w:rsid w:val="009A08EF"/>
    <w:rsid w:val="009A59AC"/>
    <w:rsid w:val="009B0444"/>
    <w:rsid w:val="009B33EC"/>
    <w:rsid w:val="009B4CF9"/>
    <w:rsid w:val="009B6E90"/>
    <w:rsid w:val="009B7DC3"/>
    <w:rsid w:val="009C51B2"/>
    <w:rsid w:val="009E1D49"/>
    <w:rsid w:val="009E37F5"/>
    <w:rsid w:val="009E3B00"/>
    <w:rsid w:val="009F665E"/>
    <w:rsid w:val="009F7680"/>
    <w:rsid w:val="00A0259D"/>
    <w:rsid w:val="00A15A87"/>
    <w:rsid w:val="00A173E9"/>
    <w:rsid w:val="00A214A0"/>
    <w:rsid w:val="00A218F9"/>
    <w:rsid w:val="00A21B61"/>
    <w:rsid w:val="00A231C8"/>
    <w:rsid w:val="00A30690"/>
    <w:rsid w:val="00A35DA8"/>
    <w:rsid w:val="00A36180"/>
    <w:rsid w:val="00A452BD"/>
    <w:rsid w:val="00A63054"/>
    <w:rsid w:val="00A6393A"/>
    <w:rsid w:val="00A6758C"/>
    <w:rsid w:val="00A704DF"/>
    <w:rsid w:val="00A72D25"/>
    <w:rsid w:val="00A74077"/>
    <w:rsid w:val="00A75A57"/>
    <w:rsid w:val="00A86547"/>
    <w:rsid w:val="00A91730"/>
    <w:rsid w:val="00A97CBA"/>
    <w:rsid w:val="00AA2B47"/>
    <w:rsid w:val="00AA3BBE"/>
    <w:rsid w:val="00AA7914"/>
    <w:rsid w:val="00AC17BD"/>
    <w:rsid w:val="00AC75F6"/>
    <w:rsid w:val="00AE793E"/>
    <w:rsid w:val="00B00CAC"/>
    <w:rsid w:val="00B02200"/>
    <w:rsid w:val="00B03A09"/>
    <w:rsid w:val="00B10C53"/>
    <w:rsid w:val="00B2386F"/>
    <w:rsid w:val="00B30269"/>
    <w:rsid w:val="00B439E8"/>
    <w:rsid w:val="00B446BA"/>
    <w:rsid w:val="00B77B5A"/>
    <w:rsid w:val="00B80229"/>
    <w:rsid w:val="00B91657"/>
    <w:rsid w:val="00B92EB8"/>
    <w:rsid w:val="00BB3E84"/>
    <w:rsid w:val="00BB713F"/>
    <w:rsid w:val="00BC1FB2"/>
    <w:rsid w:val="00BC5163"/>
    <w:rsid w:val="00BD42FD"/>
    <w:rsid w:val="00BE3D28"/>
    <w:rsid w:val="00BF4841"/>
    <w:rsid w:val="00C060B3"/>
    <w:rsid w:val="00C1428A"/>
    <w:rsid w:val="00C1527A"/>
    <w:rsid w:val="00C156E6"/>
    <w:rsid w:val="00C164CD"/>
    <w:rsid w:val="00C20AA6"/>
    <w:rsid w:val="00C31514"/>
    <w:rsid w:val="00C32DB5"/>
    <w:rsid w:val="00C3740C"/>
    <w:rsid w:val="00C423F5"/>
    <w:rsid w:val="00C50493"/>
    <w:rsid w:val="00C5124E"/>
    <w:rsid w:val="00C520C9"/>
    <w:rsid w:val="00C6314D"/>
    <w:rsid w:val="00C65254"/>
    <w:rsid w:val="00C7624A"/>
    <w:rsid w:val="00C80F6A"/>
    <w:rsid w:val="00C824FC"/>
    <w:rsid w:val="00C84081"/>
    <w:rsid w:val="00C908FE"/>
    <w:rsid w:val="00CA1572"/>
    <w:rsid w:val="00CA1960"/>
    <w:rsid w:val="00CA7DF4"/>
    <w:rsid w:val="00CB3DEB"/>
    <w:rsid w:val="00CD2B22"/>
    <w:rsid w:val="00CE183C"/>
    <w:rsid w:val="00CF0D9E"/>
    <w:rsid w:val="00CF3A21"/>
    <w:rsid w:val="00D14666"/>
    <w:rsid w:val="00D15E45"/>
    <w:rsid w:val="00D2007B"/>
    <w:rsid w:val="00D24C7B"/>
    <w:rsid w:val="00D25D5F"/>
    <w:rsid w:val="00D51092"/>
    <w:rsid w:val="00D52D5C"/>
    <w:rsid w:val="00D55827"/>
    <w:rsid w:val="00D56EAF"/>
    <w:rsid w:val="00D6287A"/>
    <w:rsid w:val="00D70E3A"/>
    <w:rsid w:val="00D7300A"/>
    <w:rsid w:val="00D74AF9"/>
    <w:rsid w:val="00D77263"/>
    <w:rsid w:val="00D80AC7"/>
    <w:rsid w:val="00D857A7"/>
    <w:rsid w:val="00D86596"/>
    <w:rsid w:val="00D90108"/>
    <w:rsid w:val="00D958DF"/>
    <w:rsid w:val="00DB0F87"/>
    <w:rsid w:val="00DB60A0"/>
    <w:rsid w:val="00DC204B"/>
    <w:rsid w:val="00DE24F5"/>
    <w:rsid w:val="00DF0C0A"/>
    <w:rsid w:val="00DF1DC1"/>
    <w:rsid w:val="00DF7725"/>
    <w:rsid w:val="00E00610"/>
    <w:rsid w:val="00E154F7"/>
    <w:rsid w:val="00E164ED"/>
    <w:rsid w:val="00E17ABF"/>
    <w:rsid w:val="00E204BE"/>
    <w:rsid w:val="00E20830"/>
    <w:rsid w:val="00E2361A"/>
    <w:rsid w:val="00E2603E"/>
    <w:rsid w:val="00E26D3A"/>
    <w:rsid w:val="00E4087A"/>
    <w:rsid w:val="00E56F31"/>
    <w:rsid w:val="00E6048C"/>
    <w:rsid w:val="00E63FD5"/>
    <w:rsid w:val="00E64A60"/>
    <w:rsid w:val="00E72CAE"/>
    <w:rsid w:val="00E73B82"/>
    <w:rsid w:val="00E932E1"/>
    <w:rsid w:val="00E975AD"/>
    <w:rsid w:val="00EA7D57"/>
    <w:rsid w:val="00ED1675"/>
    <w:rsid w:val="00ED293C"/>
    <w:rsid w:val="00ED3871"/>
    <w:rsid w:val="00ED3A0C"/>
    <w:rsid w:val="00EE7206"/>
    <w:rsid w:val="00F0291B"/>
    <w:rsid w:val="00F04FB5"/>
    <w:rsid w:val="00F064DC"/>
    <w:rsid w:val="00F1724A"/>
    <w:rsid w:val="00F20B7C"/>
    <w:rsid w:val="00F2426B"/>
    <w:rsid w:val="00F26D2A"/>
    <w:rsid w:val="00F35C48"/>
    <w:rsid w:val="00F60E66"/>
    <w:rsid w:val="00F634FC"/>
    <w:rsid w:val="00F66129"/>
    <w:rsid w:val="00F67667"/>
    <w:rsid w:val="00F751CE"/>
    <w:rsid w:val="00F9010B"/>
    <w:rsid w:val="00F941C7"/>
    <w:rsid w:val="00F96B59"/>
    <w:rsid w:val="00FB0E52"/>
    <w:rsid w:val="00FB1A9C"/>
    <w:rsid w:val="00FB5124"/>
    <w:rsid w:val="00FB56B8"/>
    <w:rsid w:val="00FB5EC5"/>
    <w:rsid w:val="00FB7F90"/>
    <w:rsid w:val="00FD184D"/>
    <w:rsid w:val="00FD42D4"/>
    <w:rsid w:val="00FE5508"/>
    <w:rsid w:val="00FF313B"/>
    <w:rsid w:val="00FF6E1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Block Tex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86493"/>
    <w:pPr>
      <w:spacing w:line="276" w:lineRule="auto"/>
    </w:pPr>
    <w:rPr>
      <w:rFonts w:ascii="Arial" w:hAnsi="Arial" w:cs="Arial"/>
      <w:color w:val="000000"/>
      <w:sz w:val="22"/>
      <w:szCs w:val="24"/>
      <w:lang w:val="sv-SE" w:eastAsia="sv-SE"/>
    </w:rPr>
  </w:style>
  <w:style w:type="paragraph" w:styleId="Rubrik1">
    <w:name w:val="heading 1"/>
    <w:basedOn w:val="Normal"/>
    <w:next w:val="Normal"/>
    <w:link w:val="Rubrik1Char"/>
    <w:qFormat/>
    <w:rsid w:val="00986493"/>
    <w:pPr>
      <w:keepNext/>
      <w:spacing w:before="360" w:after="60"/>
      <w:outlineLvl w:val="0"/>
    </w:pPr>
    <w:rPr>
      <w:rFonts w:eastAsiaTheme="majorEastAsia"/>
      <w:b/>
      <w:bCs/>
      <w:sz w:val="24"/>
      <w:szCs w:val="28"/>
    </w:rPr>
  </w:style>
  <w:style w:type="paragraph" w:styleId="Rubrik2">
    <w:name w:val="heading 2"/>
    <w:basedOn w:val="Normal"/>
    <w:next w:val="Normal"/>
    <w:link w:val="Rubrik2Char"/>
    <w:unhideWhenUsed/>
    <w:qFormat/>
    <w:rsid w:val="00986493"/>
    <w:pPr>
      <w:keepNext/>
      <w:spacing w:before="360" w:after="60"/>
      <w:outlineLvl w:val="1"/>
    </w:pPr>
    <w:rPr>
      <w:rFonts w:eastAsiaTheme="majorEastAsia"/>
      <w:b/>
      <w:bCs/>
      <w:szCs w:val="26"/>
    </w:rPr>
  </w:style>
  <w:style w:type="paragraph" w:styleId="Rubrik3">
    <w:name w:val="heading 3"/>
    <w:basedOn w:val="Normal"/>
    <w:next w:val="Normal"/>
    <w:link w:val="Rubrik3Char"/>
    <w:unhideWhenUsed/>
    <w:qFormat/>
    <w:rsid w:val="00986493"/>
    <w:pPr>
      <w:keepNext/>
      <w:spacing w:before="360" w:after="60"/>
      <w:outlineLvl w:val="2"/>
    </w:pPr>
    <w:rPr>
      <w:rFonts w:eastAsiaTheme="majorEastAsia"/>
      <w:bCs/>
      <w:i/>
    </w:rPr>
  </w:style>
  <w:style w:type="paragraph" w:styleId="Rubrik4">
    <w:name w:val="heading 4"/>
    <w:basedOn w:val="Normal"/>
    <w:next w:val="Normal"/>
    <w:link w:val="Rubrik4Char"/>
    <w:semiHidden/>
    <w:unhideWhenUsed/>
    <w:qFormat/>
    <w:rsid w:val="00C7624A"/>
    <w:pPr>
      <w:keepNext/>
      <w:keepLines/>
      <w:numPr>
        <w:ilvl w:val="3"/>
        <w:numId w:val="29"/>
      </w:numPr>
      <w:spacing w:before="200"/>
      <w:outlineLvl w:val="3"/>
    </w:pPr>
    <w:rPr>
      <w:rFonts w:asciiTheme="majorHAnsi" w:eastAsiaTheme="majorEastAsia" w:hAnsiTheme="majorHAnsi" w:cstheme="majorBidi"/>
      <w:b/>
      <w:bCs/>
      <w:i/>
      <w:iCs/>
      <w:color w:val="0063AC" w:themeColor="accent1"/>
    </w:rPr>
  </w:style>
  <w:style w:type="paragraph" w:styleId="Rubrik5">
    <w:name w:val="heading 5"/>
    <w:basedOn w:val="Normal"/>
    <w:next w:val="Normal"/>
    <w:link w:val="Rubrik5Char"/>
    <w:semiHidden/>
    <w:unhideWhenUsed/>
    <w:qFormat/>
    <w:rsid w:val="00C7624A"/>
    <w:pPr>
      <w:keepNext/>
      <w:keepLines/>
      <w:numPr>
        <w:ilvl w:val="4"/>
        <w:numId w:val="29"/>
      </w:numPr>
      <w:spacing w:before="200"/>
      <w:outlineLvl w:val="4"/>
    </w:pPr>
    <w:rPr>
      <w:rFonts w:asciiTheme="majorHAnsi" w:eastAsiaTheme="majorEastAsia" w:hAnsiTheme="majorHAnsi" w:cstheme="majorBidi"/>
      <w:color w:val="003055" w:themeColor="accent1" w:themeShade="7F"/>
    </w:rPr>
  </w:style>
  <w:style w:type="paragraph" w:styleId="Rubrik6">
    <w:name w:val="heading 6"/>
    <w:basedOn w:val="Normal"/>
    <w:next w:val="Normal"/>
    <w:link w:val="Rubrik6Char"/>
    <w:semiHidden/>
    <w:unhideWhenUsed/>
    <w:qFormat/>
    <w:rsid w:val="00C7624A"/>
    <w:pPr>
      <w:keepNext/>
      <w:keepLines/>
      <w:numPr>
        <w:ilvl w:val="5"/>
        <w:numId w:val="29"/>
      </w:numPr>
      <w:spacing w:before="200"/>
      <w:outlineLvl w:val="5"/>
    </w:pPr>
    <w:rPr>
      <w:rFonts w:asciiTheme="majorHAnsi" w:eastAsiaTheme="majorEastAsia" w:hAnsiTheme="majorHAnsi" w:cstheme="majorBidi"/>
      <w:i/>
      <w:iCs/>
      <w:color w:val="003055" w:themeColor="accent1" w:themeShade="7F"/>
    </w:rPr>
  </w:style>
  <w:style w:type="paragraph" w:styleId="Rubrik7">
    <w:name w:val="heading 7"/>
    <w:basedOn w:val="Normal"/>
    <w:next w:val="Normal"/>
    <w:link w:val="Rubrik7Char"/>
    <w:semiHidden/>
    <w:unhideWhenUsed/>
    <w:qFormat/>
    <w:rsid w:val="00C7624A"/>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C7624A"/>
    <w:pPr>
      <w:keepNext/>
      <w:keepLines/>
      <w:numPr>
        <w:ilvl w:val="7"/>
        <w:numId w:val="29"/>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C7624A"/>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86493"/>
    <w:rPr>
      <w:rFonts w:ascii="Arial" w:eastAsiaTheme="majorEastAsia" w:hAnsi="Arial" w:cs="Arial"/>
      <w:b/>
      <w:bCs/>
      <w:color w:val="000000"/>
      <w:sz w:val="24"/>
      <w:szCs w:val="28"/>
      <w:lang w:val="sv-SE" w:eastAsia="sv-SE"/>
    </w:rPr>
  </w:style>
  <w:style w:type="character" w:customStyle="1" w:styleId="Rubrik2Char">
    <w:name w:val="Rubrik 2 Char"/>
    <w:basedOn w:val="Standardstycketeckensnitt"/>
    <w:link w:val="Rubrik2"/>
    <w:rsid w:val="00986493"/>
    <w:rPr>
      <w:rFonts w:ascii="Arial" w:eastAsiaTheme="majorEastAsia" w:hAnsi="Arial" w:cs="Arial"/>
      <w:b/>
      <w:bCs/>
      <w:color w:val="000000"/>
      <w:sz w:val="22"/>
      <w:szCs w:val="26"/>
      <w:lang w:val="sv-SE" w:eastAsia="sv-SE"/>
    </w:rPr>
  </w:style>
  <w:style w:type="character" w:customStyle="1" w:styleId="Rubrik3Char">
    <w:name w:val="Rubrik 3 Char"/>
    <w:basedOn w:val="Standardstycketeckensnitt"/>
    <w:link w:val="Rubrik3"/>
    <w:rsid w:val="00986493"/>
    <w:rPr>
      <w:rFonts w:ascii="Arial" w:eastAsiaTheme="majorEastAsia" w:hAnsi="Arial" w:cs="Arial"/>
      <w:bCs/>
      <w:i/>
      <w:color w:val="000000"/>
      <w:sz w:val="22"/>
      <w:szCs w:val="24"/>
      <w:lang w:val="sv-SE" w:eastAsia="sv-SE"/>
    </w:rPr>
  </w:style>
  <w:style w:type="numbering" w:customStyle="1" w:styleId="CompanyList">
    <w:name w:val="Company_List"/>
    <w:basedOn w:val="Ingenlista"/>
    <w:rsid w:val="002C726F"/>
    <w:pPr>
      <w:numPr>
        <w:numId w:val="26"/>
      </w:numPr>
    </w:pPr>
  </w:style>
  <w:style w:type="numbering" w:customStyle="1" w:styleId="CompanyListBullet">
    <w:name w:val="Company_ListBullet"/>
    <w:basedOn w:val="Ingenlista"/>
    <w:rsid w:val="002C726F"/>
    <w:pPr>
      <w:numPr>
        <w:numId w:val="27"/>
      </w:numPr>
    </w:pPr>
  </w:style>
  <w:style w:type="paragraph" w:styleId="Punktlista">
    <w:name w:val="List Bullet"/>
    <w:basedOn w:val="Normal"/>
    <w:rsid w:val="00986493"/>
    <w:pPr>
      <w:numPr>
        <w:numId w:val="13"/>
      </w:numPr>
      <w:contextualSpacing/>
    </w:pPr>
  </w:style>
  <w:style w:type="paragraph" w:styleId="Sidhuvud">
    <w:name w:val="header"/>
    <w:basedOn w:val="Normal"/>
    <w:link w:val="SidhuvudChar"/>
    <w:rsid w:val="00986493"/>
    <w:pPr>
      <w:tabs>
        <w:tab w:val="center" w:pos="4680"/>
        <w:tab w:val="right" w:pos="9360"/>
      </w:tabs>
    </w:pPr>
    <w:rPr>
      <w:sz w:val="18"/>
    </w:rPr>
  </w:style>
  <w:style w:type="character" w:customStyle="1" w:styleId="SidhuvudChar">
    <w:name w:val="Sidhuvud Char"/>
    <w:basedOn w:val="Standardstycketeckensnitt"/>
    <w:link w:val="Sidhuvud"/>
    <w:rsid w:val="00986493"/>
    <w:rPr>
      <w:rFonts w:ascii="Arial" w:hAnsi="Arial" w:cs="Arial"/>
      <w:color w:val="000000"/>
      <w:sz w:val="18"/>
      <w:szCs w:val="24"/>
      <w:lang w:val="sv-SE" w:eastAsia="sv-SE"/>
    </w:rPr>
  </w:style>
  <w:style w:type="paragraph" w:styleId="Sidfot">
    <w:name w:val="footer"/>
    <w:basedOn w:val="Normal"/>
    <w:link w:val="SidfotChar"/>
    <w:rsid w:val="00986493"/>
    <w:pPr>
      <w:tabs>
        <w:tab w:val="center" w:pos="4680"/>
        <w:tab w:val="right" w:pos="9360"/>
      </w:tabs>
    </w:pPr>
    <w:rPr>
      <w:sz w:val="18"/>
    </w:rPr>
  </w:style>
  <w:style w:type="character" w:customStyle="1" w:styleId="SidfotChar">
    <w:name w:val="Sidfot Char"/>
    <w:basedOn w:val="Standardstycketeckensnitt"/>
    <w:link w:val="Sidfot"/>
    <w:rsid w:val="00986493"/>
    <w:rPr>
      <w:rFonts w:ascii="Arial" w:hAnsi="Arial" w:cs="Arial"/>
      <w:color w:val="000000"/>
      <w:sz w:val="18"/>
      <w:szCs w:val="24"/>
      <w:lang w:val="sv-SE" w:eastAsia="sv-SE"/>
    </w:rPr>
  </w:style>
  <w:style w:type="paragraph" w:styleId="Innehll1">
    <w:name w:val="toc 1"/>
    <w:basedOn w:val="Normal"/>
    <w:next w:val="Normal"/>
    <w:autoRedefine/>
    <w:rsid w:val="00986493"/>
    <w:pPr>
      <w:spacing w:before="260"/>
    </w:pPr>
    <w:rPr>
      <w:b/>
    </w:rPr>
  </w:style>
  <w:style w:type="paragraph" w:styleId="Innehll2">
    <w:name w:val="toc 2"/>
    <w:basedOn w:val="Normal"/>
    <w:next w:val="Normal"/>
    <w:autoRedefine/>
    <w:rsid w:val="00986493"/>
    <w:pPr>
      <w:ind w:left="200"/>
    </w:pPr>
  </w:style>
  <w:style w:type="paragraph" w:styleId="Innehll3">
    <w:name w:val="toc 3"/>
    <w:basedOn w:val="Normal"/>
    <w:next w:val="Normal"/>
    <w:autoRedefine/>
    <w:rsid w:val="00986493"/>
    <w:pPr>
      <w:ind w:left="400"/>
    </w:pPr>
  </w:style>
  <w:style w:type="paragraph" w:styleId="Innehll4">
    <w:name w:val="toc 4"/>
    <w:basedOn w:val="Normal"/>
    <w:next w:val="Normal"/>
    <w:autoRedefine/>
    <w:rsid w:val="00986493"/>
    <w:pPr>
      <w:ind w:left="600"/>
    </w:pPr>
  </w:style>
  <w:style w:type="paragraph" w:styleId="Lista">
    <w:name w:val="List"/>
    <w:basedOn w:val="Normal"/>
    <w:rsid w:val="00986493"/>
    <w:pPr>
      <w:ind w:left="283" w:hanging="283"/>
      <w:contextualSpacing/>
    </w:pPr>
  </w:style>
  <w:style w:type="paragraph" w:styleId="Listafortstt">
    <w:name w:val="List Continue"/>
    <w:basedOn w:val="Normal"/>
    <w:rsid w:val="00986493"/>
    <w:pPr>
      <w:spacing w:after="120"/>
      <w:ind w:left="283"/>
      <w:contextualSpacing/>
    </w:pPr>
  </w:style>
  <w:style w:type="paragraph" w:styleId="Liststycke">
    <w:name w:val="List Paragraph"/>
    <w:basedOn w:val="Normal"/>
    <w:uiPriority w:val="34"/>
    <w:qFormat/>
    <w:rsid w:val="00986493"/>
    <w:pPr>
      <w:ind w:left="720"/>
      <w:contextualSpacing/>
    </w:pPr>
  </w:style>
  <w:style w:type="numbering" w:customStyle="1" w:styleId="Nummerlista">
    <w:name w:val="Nummer lista"/>
    <w:basedOn w:val="Ingenlista"/>
    <w:semiHidden/>
    <w:rsid w:val="00986493"/>
    <w:pPr>
      <w:numPr>
        <w:numId w:val="8"/>
      </w:numPr>
    </w:pPr>
  </w:style>
  <w:style w:type="numbering" w:customStyle="1" w:styleId="Punkterlista">
    <w:name w:val="Punkter lista"/>
    <w:basedOn w:val="Ingenlista"/>
    <w:semiHidden/>
    <w:rsid w:val="00986493"/>
    <w:pPr>
      <w:numPr>
        <w:numId w:val="9"/>
      </w:numPr>
    </w:pPr>
  </w:style>
  <w:style w:type="table" w:styleId="Tabellrutnt">
    <w:name w:val="Table Grid"/>
    <w:basedOn w:val="Normaltabell"/>
    <w:rsid w:val="009864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gtext">
    <w:name w:val="Balloon Text"/>
    <w:basedOn w:val="Normal"/>
    <w:link w:val="BallongtextChar"/>
    <w:rsid w:val="0098649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86493"/>
    <w:rPr>
      <w:rFonts w:ascii="Tahoma" w:hAnsi="Tahoma" w:cs="Tahoma"/>
      <w:color w:val="000000"/>
      <w:sz w:val="16"/>
      <w:szCs w:val="16"/>
      <w:lang w:val="sv-SE" w:eastAsia="sv-SE"/>
    </w:rPr>
  </w:style>
  <w:style w:type="paragraph" w:customStyle="1" w:styleId="Normalutanavstnd">
    <w:name w:val="Normal utan avstånd"/>
    <w:basedOn w:val="Normal"/>
    <w:rsid w:val="00986493"/>
  </w:style>
  <w:style w:type="paragraph" w:customStyle="1" w:styleId="Etikett">
    <w:name w:val="Etikett"/>
    <w:basedOn w:val="Normal"/>
    <w:rsid w:val="00E56F31"/>
    <w:pPr>
      <w:jc w:val="right"/>
    </w:pPr>
    <w:rPr>
      <w:sz w:val="18"/>
    </w:rPr>
  </w:style>
  <w:style w:type="paragraph" w:customStyle="1" w:styleId="Huvudrubrik">
    <w:name w:val="Huvudrubrik"/>
    <w:basedOn w:val="Normal"/>
    <w:next w:val="Normal"/>
    <w:link w:val="HuvudrubrikChar"/>
    <w:qFormat/>
    <w:rsid w:val="006A2ECB"/>
    <w:pPr>
      <w:spacing w:before="360" w:after="120" w:line="240" w:lineRule="auto"/>
    </w:pPr>
    <w:rPr>
      <w:b/>
      <w:sz w:val="28"/>
    </w:rPr>
  </w:style>
  <w:style w:type="paragraph" w:customStyle="1" w:styleId="Heading1No">
    <w:name w:val="Heading_1 No"/>
    <w:basedOn w:val="Normal"/>
    <w:next w:val="Normal"/>
    <w:link w:val="Heading1NoChar"/>
    <w:rsid w:val="00C7624A"/>
    <w:pPr>
      <w:keepNext/>
      <w:numPr>
        <w:numId w:val="29"/>
      </w:numPr>
      <w:spacing w:before="360" w:after="60"/>
      <w:outlineLvl w:val="0"/>
    </w:pPr>
    <w:rPr>
      <w:b/>
      <w:sz w:val="24"/>
    </w:rPr>
  </w:style>
  <w:style w:type="character" w:customStyle="1" w:styleId="HuvudrubrikChar">
    <w:name w:val="Huvudrubrik Char"/>
    <w:basedOn w:val="Standardstycketeckensnitt"/>
    <w:link w:val="Huvudrubrik"/>
    <w:rsid w:val="008719A3"/>
    <w:rPr>
      <w:rFonts w:ascii="Arial" w:hAnsi="Arial" w:cs="Arial"/>
      <w:b/>
      <w:color w:val="000000"/>
      <w:sz w:val="28"/>
      <w:szCs w:val="24"/>
      <w:lang w:val="sv-SE" w:eastAsia="sv-SE"/>
    </w:rPr>
  </w:style>
  <w:style w:type="character" w:customStyle="1" w:styleId="Heading1NoChar">
    <w:name w:val="Heading_1 No Char"/>
    <w:basedOn w:val="Standardstycketeckensnitt"/>
    <w:link w:val="Heading1No"/>
    <w:rsid w:val="00C7624A"/>
    <w:rPr>
      <w:rFonts w:ascii="Arial" w:hAnsi="Arial" w:cs="Arial"/>
      <w:b/>
      <w:color w:val="000000"/>
      <w:sz w:val="24"/>
      <w:szCs w:val="24"/>
      <w:lang w:val="sv-SE" w:eastAsia="sv-SE"/>
    </w:rPr>
  </w:style>
  <w:style w:type="paragraph" w:customStyle="1" w:styleId="Heading2No">
    <w:name w:val="Heading_2 No"/>
    <w:basedOn w:val="Normal"/>
    <w:next w:val="Normal"/>
    <w:link w:val="Heading2NoChar"/>
    <w:rsid w:val="00C7624A"/>
    <w:pPr>
      <w:keepNext/>
      <w:numPr>
        <w:ilvl w:val="1"/>
        <w:numId w:val="29"/>
      </w:numPr>
      <w:spacing w:before="360" w:after="60"/>
      <w:outlineLvl w:val="1"/>
    </w:pPr>
    <w:rPr>
      <w:b/>
    </w:rPr>
  </w:style>
  <w:style w:type="character" w:customStyle="1" w:styleId="Heading2NoChar">
    <w:name w:val="Heading_2 No Char"/>
    <w:basedOn w:val="Standardstycketeckensnitt"/>
    <w:link w:val="Heading2No"/>
    <w:rsid w:val="00C7624A"/>
    <w:rPr>
      <w:rFonts w:ascii="Arial" w:hAnsi="Arial" w:cs="Arial"/>
      <w:b/>
      <w:color w:val="000000"/>
      <w:sz w:val="22"/>
      <w:szCs w:val="24"/>
      <w:lang w:val="sv-SE" w:eastAsia="sv-SE"/>
    </w:rPr>
  </w:style>
  <w:style w:type="paragraph" w:customStyle="1" w:styleId="Heading3No">
    <w:name w:val="Heading_3 No"/>
    <w:basedOn w:val="Normal"/>
    <w:next w:val="Normal"/>
    <w:link w:val="Heading3NoChar"/>
    <w:rsid w:val="00C7624A"/>
    <w:pPr>
      <w:keepNext/>
      <w:numPr>
        <w:ilvl w:val="2"/>
        <w:numId w:val="29"/>
      </w:numPr>
      <w:spacing w:before="360" w:after="60"/>
      <w:outlineLvl w:val="2"/>
    </w:pPr>
    <w:rPr>
      <w:i/>
    </w:rPr>
  </w:style>
  <w:style w:type="character" w:customStyle="1" w:styleId="Heading3NoChar">
    <w:name w:val="Heading_3 No Char"/>
    <w:basedOn w:val="Standardstycketeckensnitt"/>
    <w:link w:val="Heading3No"/>
    <w:rsid w:val="00C7624A"/>
    <w:rPr>
      <w:rFonts w:ascii="Arial" w:hAnsi="Arial" w:cs="Arial"/>
      <w:i/>
      <w:color w:val="000000"/>
      <w:sz w:val="22"/>
      <w:szCs w:val="24"/>
      <w:lang w:val="sv-SE" w:eastAsia="sv-SE"/>
    </w:rPr>
  </w:style>
  <w:style w:type="character" w:customStyle="1" w:styleId="Rubrik5Char">
    <w:name w:val="Rubrik 5 Char"/>
    <w:basedOn w:val="Standardstycketeckensnitt"/>
    <w:link w:val="Rubrik5"/>
    <w:semiHidden/>
    <w:rsid w:val="00C7624A"/>
    <w:rPr>
      <w:rFonts w:asciiTheme="majorHAnsi" w:eastAsiaTheme="majorEastAsia" w:hAnsiTheme="majorHAnsi" w:cstheme="majorBidi"/>
      <w:color w:val="003055" w:themeColor="accent1" w:themeShade="7F"/>
      <w:sz w:val="22"/>
      <w:szCs w:val="24"/>
      <w:lang w:val="sv-SE" w:eastAsia="sv-SE"/>
    </w:rPr>
  </w:style>
  <w:style w:type="character" w:customStyle="1" w:styleId="Rubrik6Char">
    <w:name w:val="Rubrik 6 Char"/>
    <w:basedOn w:val="Standardstycketeckensnitt"/>
    <w:link w:val="Rubrik6"/>
    <w:semiHidden/>
    <w:rsid w:val="00C7624A"/>
    <w:rPr>
      <w:rFonts w:asciiTheme="majorHAnsi" w:eastAsiaTheme="majorEastAsia" w:hAnsiTheme="majorHAnsi" w:cstheme="majorBidi"/>
      <w:i/>
      <w:iCs/>
      <w:color w:val="003055" w:themeColor="accent1" w:themeShade="7F"/>
      <w:sz w:val="22"/>
      <w:szCs w:val="24"/>
      <w:lang w:val="sv-SE" w:eastAsia="sv-SE"/>
    </w:rPr>
  </w:style>
  <w:style w:type="character" w:customStyle="1" w:styleId="Rubrik7Char">
    <w:name w:val="Rubrik 7 Char"/>
    <w:basedOn w:val="Standardstycketeckensnitt"/>
    <w:link w:val="Rubrik7"/>
    <w:semiHidden/>
    <w:rsid w:val="00C7624A"/>
    <w:rPr>
      <w:rFonts w:asciiTheme="majorHAnsi" w:eastAsiaTheme="majorEastAsia" w:hAnsiTheme="majorHAnsi" w:cstheme="majorBidi"/>
      <w:i/>
      <w:iCs/>
      <w:color w:val="404040" w:themeColor="text1" w:themeTint="BF"/>
      <w:sz w:val="22"/>
      <w:szCs w:val="24"/>
      <w:lang w:val="sv-SE" w:eastAsia="sv-SE"/>
    </w:rPr>
  </w:style>
  <w:style w:type="character" w:customStyle="1" w:styleId="Rubrik8Char">
    <w:name w:val="Rubrik 8 Char"/>
    <w:basedOn w:val="Standardstycketeckensnitt"/>
    <w:link w:val="Rubrik8"/>
    <w:semiHidden/>
    <w:rsid w:val="00C7624A"/>
    <w:rPr>
      <w:rFonts w:asciiTheme="majorHAnsi" w:eastAsiaTheme="majorEastAsia" w:hAnsiTheme="majorHAnsi" w:cstheme="majorBidi"/>
      <w:color w:val="404040" w:themeColor="text1" w:themeTint="BF"/>
      <w:lang w:val="sv-SE" w:eastAsia="sv-SE"/>
    </w:rPr>
  </w:style>
  <w:style w:type="character" w:customStyle="1" w:styleId="Rubrik9Char">
    <w:name w:val="Rubrik 9 Char"/>
    <w:basedOn w:val="Standardstycketeckensnitt"/>
    <w:link w:val="Rubrik9"/>
    <w:semiHidden/>
    <w:rsid w:val="00C7624A"/>
    <w:rPr>
      <w:rFonts w:asciiTheme="majorHAnsi" w:eastAsiaTheme="majorEastAsia" w:hAnsiTheme="majorHAnsi" w:cstheme="majorBidi"/>
      <w:i/>
      <w:iCs/>
      <w:color w:val="404040" w:themeColor="text1" w:themeTint="BF"/>
      <w:lang w:val="sv-SE" w:eastAsia="sv-SE"/>
    </w:rPr>
  </w:style>
  <w:style w:type="character" w:customStyle="1" w:styleId="Rubrik4Char">
    <w:name w:val="Rubrik 4 Char"/>
    <w:basedOn w:val="Standardstycketeckensnitt"/>
    <w:link w:val="Rubrik4"/>
    <w:semiHidden/>
    <w:rsid w:val="00C7624A"/>
    <w:rPr>
      <w:rFonts w:asciiTheme="majorHAnsi" w:eastAsiaTheme="majorEastAsia" w:hAnsiTheme="majorHAnsi" w:cstheme="majorBidi"/>
      <w:b/>
      <w:bCs/>
      <w:i/>
      <w:iCs/>
      <w:color w:val="0063AC" w:themeColor="accent1"/>
      <w:sz w:val="22"/>
      <w:szCs w:val="24"/>
      <w:lang w:val="sv-SE" w:eastAsia="sv-SE"/>
    </w:rPr>
  </w:style>
  <w:style w:type="character" w:styleId="Hyperlnk">
    <w:name w:val="Hyperlink"/>
    <w:rsid w:val="00AA2B47"/>
    <w:rPr>
      <w:color w:val="0000FF"/>
      <w:u w:val="single"/>
    </w:rPr>
  </w:style>
  <w:style w:type="paragraph" w:customStyle="1" w:styleId="Default">
    <w:name w:val="Default"/>
    <w:rsid w:val="00AA2B47"/>
    <w:pPr>
      <w:widowControl w:val="0"/>
      <w:autoSpaceDE w:val="0"/>
      <w:autoSpaceDN w:val="0"/>
      <w:adjustRightInd w:val="0"/>
    </w:pPr>
    <w:rPr>
      <w:rFonts w:ascii="EAAKI O+ Gill Sans Myriad" w:hAnsi="EAAKI O+ Gill Sans Myriad" w:cs="EAAKI O+ Gill Sans Myriad"/>
      <w:color w:val="000000"/>
      <w:sz w:val="24"/>
      <w:szCs w:val="24"/>
      <w:lang w:val="fr-BE" w:eastAsia="fr-BE"/>
    </w:rPr>
  </w:style>
  <w:style w:type="paragraph" w:styleId="Indragetstycke">
    <w:name w:val="Block Text"/>
    <w:basedOn w:val="Normal"/>
    <w:uiPriority w:val="99"/>
    <w:rsid w:val="00AA2B47"/>
    <w:pPr>
      <w:spacing w:after="120" w:line="240" w:lineRule="auto"/>
      <w:ind w:left="1440" w:right="1440"/>
      <w:jc w:val="both"/>
    </w:pPr>
    <w:rPr>
      <w:rFonts w:ascii="Times New Roman" w:hAnsi="Times New Roman" w:cs="Times New Roman"/>
      <w:color w:val="auto"/>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ba.europa.eu/-/eba-consults-on-implementation-of-guidelines-on-internet-payments-securit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u\AppData\Roaming\Microsoft\Mallar\Remiss.dotm" TargetMode="External"/></Relationships>
</file>

<file path=word/theme/theme1.xml><?xml version="1.0" encoding="utf-8"?>
<a:theme xmlns:a="http://schemas.openxmlformats.org/drawingml/2006/main" name="Office-tema">
  <a:themeElements>
    <a:clrScheme name="Privattandläkarna">
      <a:dk1>
        <a:sysClr val="windowText" lastClr="000000"/>
      </a:dk1>
      <a:lt1>
        <a:sysClr val="window" lastClr="FFFFFF"/>
      </a:lt1>
      <a:dk2>
        <a:srgbClr val="666666"/>
      </a:dk2>
      <a:lt2>
        <a:srgbClr val="FFFFFF"/>
      </a:lt2>
      <a:accent1>
        <a:srgbClr val="0063AC"/>
      </a:accent1>
      <a:accent2>
        <a:srgbClr val="62BEDD"/>
      </a:accent2>
      <a:accent3>
        <a:srgbClr val="666666"/>
      </a:accent3>
      <a:accent4>
        <a:srgbClr val="CCCCCC"/>
      </a:accent4>
      <a:accent5>
        <a:srgbClr val="E64415"/>
      </a:accent5>
      <a:accent6>
        <a:srgbClr val="666666"/>
      </a:accent6>
      <a:hlink>
        <a:srgbClr val="666666"/>
      </a:hlink>
      <a:folHlink>
        <a:srgbClr val="6666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2C9A6-79EA-4E28-AAE1-0F584280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Remiss.dotm</Template>
  <TotalTime>0</TotalTime>
  <Pages>5</Pages>
  <Words>1402</Words>
  <Characters>7391</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Svenska Bankföreningen</Company>
  <LinksUpToDate>false</LinksUpToDate>
  <CharactersWithSpaces>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Rutberg</dc:creator>
  <cp:lastModifiedBy>Lars Rutberg</cp:lastModifiedBy>
  <cp:revision>2</cp:revision>
  <dcterms:created xsi:type="dcterms:W3CDTF">2014-11-14T10:14:00Z</dcterms:created>
  <dcterms:modified xsi:type="dcterms:W3CDTF">2014-11-14T10:14:00Z</dcterms:modified>
</cp:coreProperties>
</file>