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E3C1A" w14:textId="0427D686" w:rsidR="00D76995" w:rsidRPr="00617F8D" w:rsidRDefault="00004844" w:rsidP="009E53D8">
      <w:pPr>
        <w:pStyle w:val="berschrift1"/>
        <w:rPr>
          <w:lang w:val="en-GB"/>
        </w:rPr>
      </w:pPr>
      <w:r w:rsidRPr="00617F8D">
        <w:rPr>
          <w:lang w:val="en-GB"/>
        </w:rPr>
        <w:t xml:space="preserve">Response of the Association of German Banks </w:t>
      </w:r>
      <w:r>
        <w:rPr>
          <w:lang w:val="en-GB"/>
        </w:rPr>
        <w:t xml:space="preserve">to the </w:t>
      </w:r>
      <w:r w:rsidR="009E53D8" w:rsidRPr="00617F8D">
        <w:rPr>
          <w:lang w:val="en-GB"/>
        </w:rPr>
        <w:t>EBA Consultation Paper on Implementation of Guidelines o</w:t>
      </w:r>
      <w:r>
        <w:rPr>
          <w:lang w:val="en-GB"/>
        </w:rPr>
        <w:t>n Security of Internet Payments</w:t>
      </w:r>
      <w:r w:rsidR="009E53D8" w:rsidRPr="00617F8D">
        <w:rPr>
          <w:lang w:val="en-GB"/>
        </w:rPr>
        <w:t xml:space="preserve"> </w:t>
      </w:r>
    </w:p>
    <w:p w14:paraId="3C591A34" w14:textId="77777777" w:rsidR="00004844" w:rsidRDefault="00004844" w:rsidP="00004844">
      <w:pPr>
        <w:pStyle w:val="berschrift2"/>
        <w:rPr>
          <w:lang w:val="en-GB"/>
        </w:rPr>
      </w:pPr>
    </w:p>
    <w:p w14:paraId="5AD7D898" w14:textId="69441D4F" w:rsidR="00004844" w:rsidRDefault="00004844" w:rsidP="00004844">
      <w:pPr>
        <w:pStyle w:val="berschrift2"/>
        <w:rPr>
          <w:lang w:val="en-GB"/>
        </w:rPr>
      </w:pPr>
      <w:r>
        <w:rPr>
          <w:lang w:val="en-GB"/>
        </w:rPr>
        <w:t>Details Submitter</w:t>
      </w:r>
    </w:p>
    <w:p w14:paraId="06398F89" w14:textId="77777777" w:rsidR="00004844" w:rsidRPr="00004844" w:rsidRDefault="00004844" w:rsidP="00004844">
      <w:pPr>
        <w:rPr>
          <w:lang w:val="en-GB"/>
        </w:rPr>
      </w:pPr>
    </w:p>
    <w:p w14:paraId="259D1696" w14:textId="16DD2A26" w:rsidR="00004844" w:rsidRPr="00004844" w:rsidRDefault="00004844" w:rsidP="00004844">
      <w:pPr>
        <w:pStyle w:val="berschrift2"/>
        <w:rPr>
          <w:lang w:val="en-GB"/>
        </w:rPr>
      </w:pPr>
      <w:r w:rsidRPr="00004844">
        <w:rPr>
          <w:rStyle w:val="Fett"/>
          <w:lang w:val="en-GB"/>
        </w:rPr>
        <w:t>Organisation</w:t>
      </w:r>
      <w:r w:rsidRPr="00004844">
        <w:rPr>
          <w:lang w:val="en-GB"/>
        </w:rPr>
        <w:t xml:space="preserve">: </w:t>
      </w:r>
      <w:r>
        <w:rPr>
          <w:lang w:val="en-GB"/>
        </w:rPr>
        <w:t>Association of German Banks</w:t>
      </w:r>
    </w:p>
    <w:p w14:paraId="4F647508" w14:textId="2D00CB39" w:rsidR="009E53D8" w:rsidRPr="00617F8D" w:rsidRDefault="00004844" w:rsidP="00004844">
      <w:pPr>
        <w:pStyle w:val="berschrift2"/>
        <w:rPr>
          <w:lang w:val="en-GB"/>
        </w:rPr>
      </w:pPr>
      <w:r w:rsidRPr="00004844">
        <w:rPr>
          <w:rStyle w:val="Fett"/>
          <w:lang w:val="en-GB"/>
        </w:rPr>
        <w:t>Contact</w:t>
      </w:r>
      <w:r w:rsidRPr="00004844">
        <w:rPr>
          <w:lang w:val="en-GB"/>
        </w:rPr>
        <w:t xml:space="preserve">: </w:t>
      </w:r>
      <w:r>
        <w:rPr>
          <w:lang w:val="en-GB"/>
        </w:rPr>
        <w:t>Marcus.Nasarek@bdb.de</w:t>
      </w:r>
    </w:p>
    <w:p w14:paraId="414F09C4" w14:textId="77777777" w:rsidR="00004844" w:rsidRDefault="00004844" w:rsidP="009E53D8">
      <w:pPr>
        <w:pStyle w:val="berschrift2"/>
        <w:rPr>
          <w:lang w:val="en-GB"/>
        </w:rPr>
      </w:pPr>
    </w:p>
    <w:p w14:paraId="585938AC" w14:textId="650F5975" w:rsidR="009E53D8" w:rsidRPr="00617F8D" w:rsidRDefault="00C7493E" w:rsidP="009E53D8">
      <w:pPr>
        <w:pStyle w:val="berschrift2"/>
        <w:rPr>
          <w:lang w:val="en-GB"/>
        </w:rPr>
      </w:pPr>
      <w:r w:rsidRPr="00617F8D">
        <w:rPr>
          <w:lang w:val="en-GB"/>
        </w:rPr>
        <w:t xml:space="preserve">General </w:t>
      </w:r>
      <w:r w:rsidR="00E01D05" w:rsidRPr="00617F8D">
        <w:rPr>
          <w:lang w:val="en-GB"/>
        </w:rPr>
        <w:t>comments</w:t>
      </w:r>
    </w:p>
    <w:p w14:paraId="71E000F0" w14:textId="77777777" w:rsidR="009E53D8" w:rsidRPr="00617F8D" w:rsidRDefault="009E53D8">
      <w:pPr>
        <w:rPr>
          <w:lang w:val="en-GB"/>
        </w:rPr>
      </w:pPr>
    </w:p>
    <w:p w14:paraId="3990EAF4" w14:textId="24C15A48" w:rsidR="00F81547" w:rsidRPr="00617F8D" w:rsidRDefault="00C7493E">
      <w:pPr>
        <w:rPr>
          <w:lang w:val="en-GB"/>
        </w:rPr>
      </w:pPr>
      <w:r w:rsidRPr="00617F8D">
        <w:rPr>
          <w:lang w:val="en-GB"/>
        </w:rPr>
        <w:t xml:space="preserve">Since publication of the SecuRe Pay recommendations for the security of internet payments </w:t>
      </w:r>
      <w:r w:rsidR="003B30E7" w:rsidRPr="00617F8D">
        <w:rPr>
          <w:lang w:val="en-GB"/>
        </w:rPr>
        <w:t xml:space="preserve">(referred to in the following as “the SecuRe Pay recommendations”) </w:t>
      </w:r>
      <w:r w:rsidRPr="00617F8D">
        <w:rPr>
          <w:lang w:val="en-GB"/>
        </w:rPr>
        <w:t>in January 2013</w:t>
      </w:r>
      <w:r w:rsidR="00F17501" w:rsidRPr="00617F8D">
        <w:rPr>
          <w:lang w:val="en-GB"/>
        </w:rPr>
        <w:t xml:space="preserve">, there have been </w:t>
      </w:r>
      <w:r w:rsidR="001948F2">
        <w:rPr>
          <w:lang w:val="en-GB"/>
        </w:rPr>
        <w:t>numerous</w:t>
      </w:r>
      <w:r w:rsidR="00F17501" w:rsidRPr="00617F8D">
        <w:rPr>
          <w:lang w:val="en-GB"/>
        </w:rPr>
        <w:t xml:space="preserve"> </w:t>
      </w:r>
      <w:r w:rsidR="000D2800">
        <w:rPr>
          <w:lang w:val="en-GB"/>
        </w:rPr>
        <w:t>indications</w:t>
      </w:r>
      <w:r w:rsidR="00F17501" w:rsidRPr="00617F8D">
        <w:rPr>
          <w:lang w:val="en-GB"/>
        </w:rPr>
        <w:t xml:space="preserve"> that supervisors in the </w:t>
      </w:r>
      <w:r w:rsidR="001948F2">
        <w:rPr>
          <w:lang w:val="en-GB"/>
        </w:rPr>
        <w:t>various</w:t>
      </w:r>
      <w:r w:rsidR="00F17501" w:rsidRPr="00617F8D">
        <w:rPr>
          <w:lang w:val="en-GB"/>
        </w:rPr>
        <w:t xml:space="preserve"> countries involved proceeded very differently in some cases when it came to implementing the recommendations</w:t>
      </w:r>
      <w:r w:rsidR="00056F1B" w:rsidRPr="00617F8D">
        <w:rPr>
          <w:lang w:val="en-GB"/>
        </w:rPr>
        <w:t>.</w:t>
      </w:r>
      <w:r w:rsidR="00F17501" w:rsidRPr="00617F8D">
        <w:rPr>
          <w:lang w:val="en-GB"/>
        </w:rPr>
        <w:t xml:space="preserve"> This was undoubtedly also due to the fact that the binding</w:t>
      </w:r>
      <w:r w:rsidR="00A97877">
        <w:rPr>
          <w:lang w:val="en-GB"/>
        </w:rPr>
        <w:t xml:space="preserve"> force</w:t>
      </w:r>
      <w:r w:rsidR="00F17501" w:rsidRPr="00617F8D">
        <w:rPr>
          <w:lang w:val="en-GB"/>
        </w:rPr>
        <w:t xml:space="preserve"> of the recommendations was initially based merely on a </w:t>
      </w:r>
      <w:r w:rsidR="00A97877">
        <w:rPr>
          <w:lang w:val="en-GB"/>
        </w:rPr>
        <w:t xml:space="preserve">self-commitment of </w:t>
      </w:r>
      <w:r w:rsidR="000D2800">
        <w:rPr>
          <w:lang w:val="en-GB"/>
        </w:rPr>
        <w:t>the supervisors involved</w:t>
      </w:r>
      <w:r w:rsidR="00F17501" w:rsidRPr="00617F8D">
        <w:rPr>
          <w:lang w:val="en-GB"/>
        </w:rPr>
        <w:t>. We therefore welcome the EBA’s initiative, as it creates a uniform, binding legal basis for national supervisors.</w:t>
      </w:r>
    </w:p>
    <w:p w14:paraId="07925E8C" w14:textId="17554B59" w:rsidR="0028271B" w:rsidRPr="00617F8D" w:rsidRDefault="00F17501">
      <w:pPr>
        <w:rPr>
          <w:lang w:val="en-GB"/>
        </w:rPr>
      </w:pPr>
      <w:r w:rsidRPr="00617F8D">
        <w:rPr>
          <w:lang w:val="en-GB"/>
        </w:rPr>
        <w:t xml:space="preserve">As the requirements have basically been known since publication of the SecuRe Pay recommendations, </w:t>
      </w:r>
      <w:r w:rsidR="000D2800">
        <w:rPr>
          <w:lang w:val="en-GB"/>
        </w:rPr>
        <w:t xml:space="preserve">it has been possible to launch </w:t>
      </w:r>
      <w:r w:rsidR="00673F5E">
        <w:rPr>
          <w:lang w:val="en-GB"/>
        </w:rPr>
        <w:t xml:space="preserve">appropriate </w:t>
      </w:r>
      <w:r w:rsidR="00874BAF" w:rsidRPr="00617F8D">
        <w:rPr>
          <w:lang w:val="en-GB"/>
        </w:rPr>
        <w:t xml:space="preserve">preliminary </w:t>
      </w:r>
      <w:r w:rsidRPr="00617F8D">
        <w:rPr>
          <w:lang w:val="en-GB"/>
        </w:rPr>
        <w:t xml:space="preserve">preparations </w:t>
      </w:r>
      <w:r w:rsidR="00874BAF" w:rsidRPr="00617F8D">
        <w:rPr>
          <w:lang w:val="en-GB"/>
        </w:rPr>
        <w:t>in the course of the past 22 months</w:t>
      </w:r>
      <w:r w:rsidR="0028271B" w:rsidRPr="00617F8D">
        <w:rPr>
          <w:lang w:val="en-GB"/>
        </w:rPr>
        <w:t>.</w:t>
      </w:r>
      <w:r w:rsidR="00874BAF" w:rsidRPr="00617F8D">
        <w:rPr>
          <w:lang w:val="en-GB"/>
        </w:rPr>
        <w:t xml:space="preserve"> Given the scale of the requirements, this period is also needed for an analysis of the impact on security management systems and planning of any measures. </w:t>
      </w:r>
      <w:r w:rsidR="00673F5E">
        <w:rPr>
          <w:lang w:val="en-GB"/>
        </w:rPr>
        <w:t>Proper</w:t>
      </w:r>
      <w:r w:rsidR="00874BAF" w:rsidRPr="00617F8D">
        <w:rPr>
          <w:lang w:val="en-GB"/>
        </w:rPr>
        <w:t xml:space="preserve"> implementation will require a similar period, and </w:t>
      </w:r>
      <w:r w:rsidR="00673F5E">
        <w:rPr>
          <w:lang w:val="en-GB"/>
        </w:rPr>
        <w:t xml:space="preserve">assuming that </w:t>
      </w:r>
      <w:r w:rsidR="003B30E7" w:rsidRPr="00617F8D">
        <w:rPr>
          <w:lang w:val="en-GB"/>
        </w:rPr>
        <w:t xml:space="preserve">known </w:t>
      </w:r>
      <w:r w:rsidR="00874BAF" w:rsidRPr="00617F8D">
        <w:rPr>
          <w:lang w:val="en-GB"/>
        </w:rPr>
        <w:t xml:space="preserve">framework </w:t>
      </w:r>
      <w:r w:rsidR="003B30E7" w:rsidRPr="00617F8D">
        <w:rPr>
          <w:lang w:val="en-GB"/>
        </w:rPr>
        <w:t xml:space="preserve">conditions </w:t>
      </w:r>
      <w:r w:rsidR="00673F5E">
        <w:rPr>
          <w:lang w:val="en-GB"/>
        </w:rPr>
        <w:t>apply,</w:t>
      </w:r>
      <w:r w:rsidR="00874BAF" w:rsidRPr="00617F8D">
        <w:rPr>
          <w:lang w:val="en-GB"/>
        </w:rPr>
        <w:t xml:space="preserve"> implementation of the guidelines by </w:t>
      </w:r>
      <w:r w:rsidR="00E01D05" w:rsidRPr="00617F8D">
        <w:rPr>
          <w:lang w:val="en-GB"/>
        </w:rPr>
        <w:t>financial institutions</w:t>
      </w:r>
      <w:r w:rsidR="00874BAF" w:rsidRPr="00617F8D">
        <w:rPr>
          <w:lang w:val="en-GB"/>
        </w:rPr>
        <w:t xml:space="preserve"> within a period of 36 months appears realistic. </w:t>
      </w:r>
    </w:p>
    <w:p w14:paraId="3F627424" w14:textId="4DF0C91B" w:rsidR="00790AA4" w:rsidRPr="00617F8D" w:rsidRDefault="00874BAF" w:rsidP="00790AA4">
      <w:pPr>
        <w:rPr>
          <w:lang w:val="en-GB"/>
        </w:rPr>
      </w:pPr>
      <w:r w:rsidRPr="00617F8D">
        <w:rPr>
          <w:lang w:val="en-GB"/>
        </w:rPr>
        <w:t>As regards the cooperation between the EBA and the ECB on IT supervision</w:t>
      </w:r>
      <w:r w:rsidR="003969CE" w:rsidRPr="00617F8D">
        <w:rPr>
          <w:lang w:val="en-GB"/>
        </w:rPr>
        <w:t xml:space="preserve">, we wish to query the relevance of the Assessment Guide for the Security of Internet Payments in connection with the EBA </w:t>
      </w:r>
      <w:proofErr w:type="gramStart"/>
      <w:r w:rsidR="00673F5E">
        <w:rPr>
          <w:lang w:val="en-GB"/>
        </w:rPr>
        <w:t>draft</w:t>
      </w:r>
      <w:proofErr w:type="gramEnd"/>
      <w:r w:rsidR="00673F5E">
        <w:rPr>
          <w:lang w:val="en-GB"/>
        </w:rPr>
        <w:t xml:space="preserve"> </w:t>
      </w:r>
      <w:r w:rsidR="003969CE" w:rsidRPr="00617F8D">
        <w:rPr>
          <w:lang w:val="en-GB"/>
        </w:rPr>
        <w:t>guidelines.</w:t>
      </w:r>
      <w:r w:rsidR="00790AA4" w:rsidRPr="00617F8D">
        <w:rPr>
          <w:lang w:val="en-GB"/>
        </w:rPr>
        <w:t xml:space="preserve"> </w:t>
      </w:r>
    </w:p>
    <w:p w14:paraId="1541D46A" w14:textId="77777777" w:rsidR="009E53D8" w:rsidRPr="00617F8D" w:rsidRDefault="009E53D8" w:rsidP="009E53D8">
      <w:pPr>
        <w:pStyle w:val="berschrift2"/>
        <w:rPr>
          <w:lang w:val="en-GB"/>
        </w:rPr>
      </w:pPr>
    </w:p>
    <w:p w14:paraId="197E98CA" w14:textId="29290610" w:rsidR="00056F1B" w:rsidRPr="00617F8D" w:rsidRDefault="00056F1B" w:rsidP="009E53D8">
      <w:pPr>
        <w:pStyle w:val="berschrift2"/>
        <w:rPr>
          <w:lang w:val="en-GB"/>
        </w:rPr>
      </w:pPr>
      <w:r w:rsidRPr="00617F8D">
        <w:rPr>
          <w:lang w:val="en-GB"/>
        </w:rPr>
        <w:t>Consul</w:t>
      </w:r>
      <w:r w:rsidR="003969CE" w:rsidRPr="00617F8D">
        <w:rPr>
          <w:lang w:val="en-GB"/>
        </w:rPr>
        <w:t>t</w:t>
      </w:r>
      <w:r w:rsidRPr="00617F8D">
        <w:rPr>
          <w:lang w:val="en-GB"/>
        </w:rPr>
        <w:t xml:space="preserve">ation </w:t>
      </w:r>
      <w:r w:rsidR="003969CE" w:rsidRPr="00617F8D">
        <w:rPr>
          <w:lang w:val="en-GB"/>
        </w:rPr>
        <w:t>q</w:t>
      </w:r>
      <w:r w:rsidRPr="00617F8D">
        <w:rPr>
          <w:lang w:val="en-GB"/>
        </w:rPr>
        <w:t>uestions</w:t>
      </w:r>
    </w:p>
    <w:p w14:paraId="28B82C4A" w14:textId="77777777" w:rsidR="009E53D8" w:rsidRPr="00617F8D" w:rsidRDefault="009E53D8">
      <w:pPr>
        <w:rPr>
          <w:lang w:val="en-GB"/>
        </w:rPr>
      </w:pPr>
    </w:p>
    <w:p w14:paraId="3C87E17C" w14:textId="73FE6BEA" w:rsidR="00056F1B" w:rsidRPr="00617F8D" w:rsidRDefault="003969CE">
      <w:pPr>
        <w:rPr>
          <w:lang w:val="en-GB"/>
        </w:rPr>
      </w:pPr>
      <w:r w:rsidRPr="00617F8D">
        <w:rPr>
          <w:lang w:val="en-GB"/>
        </w:rPr>
        <w:t>Our comments in reply to the consultation questions and our preference are as follows</w:t>
      </w:r>
      <w:r w:rsidR="00056F1B" w:rsidRPr="00617F8D">
        <w:rPr>
          <w:lang w:val="en-GB"/>
        </w:rPr>
        <w:t>:</w:t>
      </w:r>
    </w:p>
    <w:p w14:paraId="43E21A47" w14:textId="14217784" w:rsidR="00C703ED" w:rsidRPr="00617F8D" w:rsidRDefault="003969CE" w:rsidP="00A87A1E">
      <w:pPr>
        <w:pStyle w:val="Listenabsatz"/>
        <w:numPr>
          <w:ilvl w:val="0"/>
          <w:numId w:val="1"/>
        </w:numPr>
        <w:rPr>
          <w:lang w:val="en-GB"/>
        </w:rPr>
      </w:pPr>
      <w:r w:rsidRPr="00617F8D">
        <w:rPr>
          <w:lang w:val="en-GB"/>
        </w:rPr>
        <w:t xml:space="preserve">The wording of </w:t>
      </w:r>
      <w:r w:rsidR="00A87A1E" w:rsidRPr="00617F8D">
        <w:rPr>
          <w:lang w:val="en-GB"/>
        </w:rPr>
        <w:t>PSD2</w:t>
      </w:r>
      <w:r w:rsidRPr="00617F8D">
        <w:rPr>
          <w:lang w:val="en-GB"/>
        </w:rPr>
        <w:t xml:space="preserve"> is far from having been finalised at present and security requirement aspects in particular are still </w:t>
      </w:r>
      <w:r w:rsidR="003B30E7" w:rsidRPr="00617F8D">
        <w:rPr>
          <w:lang w:val="en-GB"/>
        </w:rPr>
        <w:t>being vigorously discussed</w:t>
      </w:r>
      <w:r w:rsidR="00C703ED" w:rsidRPr="00617F8D">
        <w:rPr>
          <w:lang w:val="en-GB"/>
        </w:rPr>
        <w:t>.</w:t>
      </w:r>
      <w:r w:rsidR="00E97E7A" w:rsidRPr="00617F8D">
        <w:rPr>
          <w:lang w:val="en-GB"/>
        </w:rPr>
        <w:t xml:space="preserve"> In contrast, the SecuRe Pay recommendations </w:t>
      </w:r>
      <w:r w:rsidR="00617F8D" w:rsidRPr="00617F8D">
        <w:rPr>
          <w:lang w:val="en-GB"/>
        </w:rPr>
        <w:t>h</w:t>
      </w:r>
      <w:r w:rsidR="002E799A" w:rsidRPr="00617F8D">
        <w:rPr>
          <w:lang w:val="en-GB"/>
        </w:rPr>
        <w:t>ave been generally understood in the meantime. P</w:t>
      </w:r>
      <w:r w:rsidR="00673F5E">
        <w:rPr>
          <w:lang w:val="en-GB"/>
        </w:rPr>
        <w:t xml:space="preserve">articularly in view of the time </w:t>
      </w:r>
      <w:r w:rsidR="00617F8D" w:rsidRPr="00617F8D">
        <w:rPr>
          <w:lang w:val="en-GB"/>
        </w:rPr>
        <w:t xml:space="preserve">available </w:t>
      </w:r>
      <w:r w:rsidR="002E799A" w:rsidRPr="00617F8D">
        <w:rPr>
          <w:lang w:val="en-GB"/>
        </w:rPr>
        <w:t>for implementation, new aspects can scarcely be adopted from the draft PSD2</w:t>
      </w:r>
      <w:r w:rsidR="00673F5E" w:rsidRPr="00673F5E">
        <w:rPr>
          <w:lang w:val="en-GB"/>
        </w:rPr>
        <w:t xml:space="preserve"> </w:t>
      </w:r>
      <w:r w:rsidR="00673F5E" w:rsidRPr="00617F8D">
        <w:rPr>
          <w:lang w:val="en-GB"/>
        </w:rPr>
        <w:t>at such short notice</w:t>
      </w:r>
      <w:r w:rsidR="002E799A" w:rsidRPr="00617F8D">
        <w:rPr>
          <w:lang w:val="en-GB"/>
        </w:rPr>
        <w:t>. Moreover, it is quite likely that the PSD2 requirements will change again. I</w:t>
      </w:r>
      <w:r w:rsidR="00673F5E">
        <w:rPr>
          <w:lang w:val="en-GB"/>
        </w:rPr>
        <w:t>f so</w:t>
      </w:r>
      <w:r w:rsidR="002E799A" w:rsidRPr="00617F8D">
        <w:rPr>
          <w:lang w:val="en-GB"/>
        </w:rPr>
        <w:t xml:space="preserve">, </w:t>
      </w:r>
      <w:r w:rsidR="00673F5E">
        <w:rPr>
          <w:lang w:val="en-GB"/>
        </w:rPr>
        <w:t xml:space="preserve">it must be assumed </w:t>
      </w:r>
      <w:r w:rsidR="002E799A" w:rsidRPr="00617F8D">
        <w:rPr>
          <w:lang w:val="en-GB"/>
        </w:rPr>
        <w:t>that there will be a two-step approach</w:t>
      </w:r>
      <w:r w:rsidR="00673F5E">
        <w:rPr>
          <w:lang w:val="en-GB"/>
        </w:rPr>
        <w:t xml:space="preserve"> in any case.</w:t>
      </w:r>
    </w:p>
    <w:p w14:paraId="5416F387" w14:textId="6024E164" w:rsidR="00DE3EAE" w:rsidRPr="00617F8D" w:rsidRDefault="0046694F" w:rsidP="00A87A1E">
      <w:pPr>
        <w:pStyle w:val="Listenabsatz"/>
        <w:numPr>
          <w:ilvl w:val="0"/>
          <w:numId w:val="1"/>
        </w:numPr>
        <w:rPr>
          <w:lang w:val="en-GB"/>
        </w:rPr>
      </w:pPr>
      <w:r>
        <w:rPr>
          <w:lang w:val="en-GB"/>
        </w:rPr>
        <w:t>Currently, t</w:t>
      </w:r>
      <w:r w:rsidR="002E799A" w:rsidRPr="00617F8D">
        <w:rPr>
          <w:lang w:val="en-GB"/>
        </w:rPr>
        <w:t>he</w:t>
      </w:r>
      <w:r w:rsidR="004975E8" w:rsidRPr="00617F8D">
        <w:rPr>
          <w:lang w:val="en-GB"/>
        </w:rPr>
        <w:t xml:space="preserve">re is no sign </w:t>
      </w:r>
      <w:r>
        <w:rPr>
          <w:lang w:val="en-GB"/>
        </w:rPr>
        <w:t xml:space="preserve">how </w:t>
      </w:r>
      <w:r w:rsidR="004975E8" w:rsidRPr="00617F8D">
        <w:rPr>
          <w:lang w:val="en-GB"/>
        </w:rPr>
        <w:t xml:space="preserve">the </w:t>
      </w:r>
      <w:r w:rsidR="00673F5E">
        <w:rPr>
          <w:lang w:val="en-GB"/>
        </w:rPr>
        <w:t>suggested</w:t>
      </w:r>
      <w:r w:rsidR="002E799A" w:rsidRPr="00617F8D">
        <w:rPr>
          <w:lang w:val="en-GB"/>
        </w:rPr>
        <w:t xml:space="preserve"> tightening of requirements in </w:t>
      </w:r>
      <w:r w:rsidR="00673F5E">
        <w:rPr>
          <w:lang w:val="en-GB"/>
        </w:rPr>
        <w:t xml:space="preserve">the </w:t>
      </w:r>
      <w:r>
        <w:rPr>
          <w:lang w:val="en-GB"/>
        </w:rPr>
        <w:t>PSD will look like</w:t>
      </w:r>
      <w:r w:rsidR="002E799A" w:rsidRPr="00617F8D">
        <w:rPr>
          <w:lang w:val="en-GB"/>
        </w:rPr>
        <w:t xml:space="preserve">. The current discussions in the EU Council Working Group and the </w:t>
      </w:r>
      <w:r w:rsidR="004975E8" w:rsidRPr="00617F8D">
        <w:rPr>
          <w:lang w:val="en-GB"/>
        </w:rPr>
        <w:t>Member State and European Parliament opinion</w:t>
      </w:r>
      <w:r w:rsidR="002E799A" w:rsidRPr="00617F8D">
        <w:rPr>
          <w:lang w:val="en-GB"/>
        </w:rPr>
        <w:t>-forming process</w:t>
      </w:r>
      <w:r w:rsidR="004975E8" w:rsidRPr="00617F8D">
        <w:rPr>
          <w:lang w:val="en-GB"/>
        </w:rPr>
        <w:t xml:space="preserve">es instead point to a thorough review of the </w:t>
      </w:r>
      <w:r w:rsidR="004975E8" w:rsidRPr="00617F8D">
        <w:rPr>
          <w:lang w:val="en-GB"/>
        </w:rPr>
        <w:lastRenderedPageBreak/>
        <w:t>draft legislation. We therefore assume that the one-step approach is rather unlikely from a procedural point of view and that the security requirements will change again. Implementation of tighter requirements by August 2015 poses unsurmountable challenge</w:t>
      </w:r>
      <w:r w:rsidR="00D514F5">
        <w:rPr>
          <w:lang w:val="en-GB"/>
        </w:rPr>
        <w:t>s</w:t>
      </w:r>
      <w:r w:rsidR="004975E8" w:rsidRPr="00617F8D">
        <w:rPr>
          <w:lang w:val="en-GB"/>
        </w:rPr>
        <w:t xml:space="preserve"> to </w:t>
      </w:r>
      <w:r w:rsidR="00E01D05" w:rsidRPr="00617F8D">
        <w:rPr>
          <w:lang w:val="en-GB"/>
        </w:rPr>
        <w:t>financial institutions</w:t>
      </w:r>
      <w:r w:rsidR="004975E8" w:rsidRPr="00617F8D">
        <w:rPr>
          <w:lang w:val="en-GB"/>
        </w:rPr>
        <w:t xml:space="preserve">, especially as interpretation and planning at technical </w:t>
      </w:r>
      <w:r w:rsidR="00E01D05" w:rsidRPr="00617F8D">
        <w:rPr>
          <w:lang w:val="en-GB"/>
        </w:rPr>
        <w:t xml:space="preserve">standards </w:t>
      </w:r>
      <w:r w:rsidR="004975E8" w:rsidRPr="00617F8D">
        <w:rPr>
          <w:lang w:val="en-GB"/>
        </w:rPr>
        <w:t>level has not yet taken place.</w:t>
      </w:r>
    </w:p>
    <w:p w14:paraId="0F8964CD" w14:textId="196FB913" w:rsidR="0028271B" w:rsidRPr="00617F8D" w:rsidRDefault="006759B0" w:rsidP="0028271B">
      <w:pPr>
        <w:rPr>
          <w:lang w:val="en-GB"/>
        </w:rPr>
      </w:pPr>
      <w:r w:rsidRPr="00617F8D">
        <w:rPr>
          <w:b/>
          <w:u w:val="single"/>
          <w:lang w:val="en-GB"/>
        </w:rPr>
        <w:t>Pr</w:t>
      </w:r>
      <w:r w:rsidR="002E799A" w:rsidRPr="00617F8D">
        <w:rPr>
          <w:b/>
          <w:u w:val="single"/>
          <w:lang w:val="en-GB"/>
        </w:rPr>
        <w:t>eference</w:t>
      </w:r>
      <w:r w:rsidR="0028271B" w:rsidRPr="00617F8D">
        <w:rPr>
          <w:b/>
          <w:u w:val="single"/>
          <w:lang w:val="en-GB"/>
        </w:rPr>
        <w:t>:</w:t>
      </w:r>
      <w:r w:rsidR="0028271B" w:rsidRPr="00617F8D">
        <w:rPr>
          <w:lang w:val="en-GB"/>
        </w:rPr>
        <w:t xml:space="preserve"> </w:t>
      </w:r>
      <w:r w:rsidR="0028271B" w:rsidRPr="00617F8D">
        <w:rPr>
          <w:b/>
          <w:lang w:val="en-GB"/>
        </w:rPr>
        <w:t>W</w:t>
      </w:r>
      <w:r w:rsidR="004975E8" w:rsidRPr="00617F8D">
        <w:rPr>
          <w:b/>
          <w:lang w:val="en-GB"/>
        </w:rPr>
        <w:t>e would prefer option a)</w:t>
      </w:r>
      <w:r w:rsidR="0028271B" w:rsidRPr="00617F8D">
        <w:rPr>
          <w:lang w:val="en-GB"/>
        </w:rPr>
        <w:t xml:space="preserve">, </w:t>
      </w:r>
      <w:r w:rsidR="004975E8" w:rsidRPr="00617F8D">
        <w:rPr>
          <w:lang w:val="en-GB"/>
        </w:rPr>
        <w:t>although this option involves numerous imponderables</w:t>
      </w:r>
      <w:r w:rsidR="0028271B" w:rsidRPr="00617F8D">
        <w:rPr>
          <w:lang w:val="en-GB"/>
        </w:rPr>
        <w:t>.</w:t>
      </w:r>
      <w:r w:rsidR="004975E8" w:rsidRPr="00617F8D">
        <w:rPr>
          <w:lang w:val="en-GB"/>
        </w:rPr>
        <w:t xml:space="preserve"> </w:t>
      </w:r>
      <w:r w:rsidR="00C46AC8" w:rsidRPr="00617F8D">
        <w:rPr>
          <w:lang w:val="en-GB"/>
        </w:rPr>
        <w:t>What is more, PSD1 does not yet feature the legal concept of “strong customer authentication”</w:t>
      </w:r>
      <w:r w:rsidR="004F0E84">
        <w:rPr>
          <w:lang w:val="en-GB"/>
        </w:rPr>
        <w:t xml:space="preserve">, so that </w:t>
      </w:r>
      <w:r w:rsidR="00C46AC8" w:rsidRPr="00617F8D">
        <w:rPr>
          <w:lang w:val="en-GB"/>
        </w:rPr>
        <w:t xml:space="preserve">the legal background </w:t>
      </w:r>
      <w:r w:rsidR="004F0E84">
        <w:rPr>
          <w:lang w:val="en-GB"/>
        </w:rPr>
        <w:t xml:space="preserve">to </w:t>
      </w:r>
      <w:r w:rsidR="00C46AC8" w:rsidRPr="00617F8D">
        <w:rPr>
          <w:lang w:val="en-GB"/>
        </w:rPr>
        <w:t>the guidelines’ central element</w:t>
      </w:r>
      <w:r w:rsidR="004F0E84">
        <w:rPr>
          <w:lang w:val="en-GB"/>
        </w:rPr>
        <w:t xml:space="preserve"> is missing</w:t>
      </w:r>
      <w:r w:rsidR="00C46AC8" w:rsidRPr="00617F8D">
        <w:rPr>
          <w:lang w:val="en-GB"/>
        </w:rPr>
        <w:t xml:space="preserve">. </w:t>
      </w:r>
    </w:p>
    <w:p w14:paraId="24ECCF63" w14:textId="2B01CC59" w:rsidR="0028271B" w:rsidRPr="00617F8D" w:rsidRDefault="00C46AC8" w:rsidP="0028271B">
      <w:pPr>
        <w:rPr>
          <w:lang w:val="en-GB"/>
        </w:rPr>
      </w:pPr>
      <w:r w:rsidRPr="00617F8D">
        <w:rPr>
          <w:lang w:val="en-GB"/>
        </w:rPr>
        <w:t>With the current review of PSD2 and the present guidelines in mind, it looks like implementation would be a two-step process in any case</w:t>
      </w:r>
      <w:r w:rsidR="0028271B" w:rsidRPr="00617F8D">
        <w:rPr>
          <w:lang w:val="en-GB"/>
        </w:rPr>
        <w:t xml:space="preserve">. </w:t>
      </w:r>
      <w:r w:rsidR="00C10111" w:rsidRPr="00617F8D">
        <w:rPr>
          <w:lang w:val="en-GB"/>
        </w:rPr>
        <w:t xml:space="preserve">The reasoning behind </w:t>
      </w:r>
      <w:r w:rsidRPr="00617F8D">
        <w:rPr>
          <w:lang w:val="en-GB"/>
        </w:rPr>
        <w:t xml:space="preserve">the need for implementation before publication of PSD2 </w:t>
      </w:r>
      <w:r w:rsidR="00C10111" w:rsidRPr="00617F8D">
        <w:rPr>
          <w:lang w:val="en-GB"/>
        </w:rPr>
        <w:t>is not clear, however</w:t>
      </w:r>
      <w:r w:rsidRPr="00617F8D">
        <w:rPr>
          <w:lang w:val="en-GB"/>
        </w:rPr>
        <w:t>. On top of this, the PSD2 requirements will have a</w:t>
      </w:r>
      <w:r w:rsidR="00D514F5">
        <w:rPr>
          <w:lang w:val="en-GB"/>
        </w:rPr>
        <w:t xml:space="preserve"> huge</w:t>
      </w:r>
      <w:r w:rsidR="00D514F5" w:rsidRPr="00617F8D">
        <w:rPr>
          <w:lang w:val="en-GB"/>
        </w:rPr>
        <w:t xml:space="preserve"> impact</w:t>
      </w:r>
      <w:r w:rsidRPr="00617F8D">
        <w:rPr>
          <w:lang w:val="en-GB"/>
        </w:rPr>
        <w:t xml:space="preserve"> on account-</w:t>
      </w:r>
      <w:r w:rsidR="002854B6" w:rsidRPr="00617F8D">
        <w:rPr>
          <w:lang w:val="en-GB"/>
        </w:rPr>
        <w:t>holding</w:t>
      </w:r>
      <w:r w:rsidRPr="00617F8D">
        <w:rPr>
          <w:lang w:val="en-GB"/>
        </w:rPr>
        <w:t xml:space="preserve"> payment institutions’ security management systems. </w:t>
      </w:r>
      <w:r w:rsidR="002854B6" w:rsidRPr="00617F8D">
        <w:rPr>
          <w:lang w:val="en-GB"/>
        </w:rPr>
        <w:t xml:space="preserve">Implementation of </w:t>
      </w:r>
      <w:r w:rsidR="00D514F5">
        <w:rPr>
          <w:lang w:val="en-GB"/>
        </w:rPr>
        <w:t xml:space="preserve">appropriate </w:t>
      </w:r>
      <w:r w:rsidR="002854B6" w:rsidRPr="00617F8D">
        <w:rPr>
          <w:lang w:val="en-GB"/>
        </w:rPr>
        <w:t xml:space="preserve">measures may presuppose basic new developments and </w:t>
      </w:r>
      <w:r w:rsidR="00D514F5">
        <w:rPr>
          <w:lang w:val="en-GB"/>
        </w:rPr>
        <w:t>involve</w:t>
      </w:r>
      <w:r w:rsidR="002854B6" w:rsidRPr="00617F8D">
        <w:rPr>
          <w:lang w:val="en-GB"/>
        </w:rPr>
        <w:t xml:space="preserve"> corresponding migration. It would be difficult to manage such comprehensive adjustment</w:t>
      </w:r>
      <w:r w:rsidR="00D514F5">
        <w:rPr>
          <w:lang w:val="en-GB"/>
        </w:rPr>
        <w:t>s</w:t>
      </w:r>
      <w:r w:rsidR="002854B6" w:rsidRPr="00617F8D">
        <w:rPr>
          <w:lang w:val="en-GB"/>
        </w:rPr>
        <w:t xml:space="preserve"> with the required care and security within six months. </w:t>
      </w:r>
    </w:p>
    <w:p w14:paraId="2BDCC44F" w14:textId="4D7FB5C5" w:rsidR="0028271B" w:rsidRPr="00617F8D" w:rsidRDefault="0028271B" w:rsidP="0028271B">
      <w:pPr>
        <w:rPr>
          <w:b/>
          <w:lang w:val="en-GB"/>
        </w:rPr>
      </w:pPr>
      <w:r w:rsidRPr="00617F8D">
        <w:rPr>
          <w:b/>
          <w:lang w:val="en-GB"/>
        </w:rPr>
        <w:t>W</w:t>
      </w:r>
      <w:r w:rsidR="002854B6" w:rsidRPr="00617F8D">
        <w:rPr>
          <w:b/>
          <w:lang w:val="en-GB"/>
        </w:rPr>
        <w:t>e therefore propose the following new option</w:t>
      </w:r>
      <w:r w:rsidRPr="00617F8D">
        <w:rPr>
          <w:b/>
          <w:lang w:val="en-GB"/>
        </w:rPr>
        <w:t xml:space="preserve">: </w:t>
      </w:r>
    </w:p>
    <w:p w14:paraId="4F63DF25" w14:textId="3D8B7B17" w:rsidR="00056F1B" w:rsidRPr="00617F8D" w:rsidRDefault="002854B6" w:rsidP="00A87A1E">
      <w:pPr>
        <w:pStyle w:val="Listenabsatz"/>
        <w:numPr>
          <w:ilvl w:val="0"/>
          <w:numId w:val="1"/>
        </w:numPr>
        <w:rPr>
          <w:lang w:val="en-GB"/>
        </w:rPr>
      </w:pPr>
      <w:r w:rsidRPr="00617F8D">
        <w:rPr>
          <w:lang w:val="en-GB"/>
        </w:rPr>
        <w:t>The risks outlined can be</w:t>
      </w:r>
      <w:bookmarkStart w:id="0" w:name="_GoBack"/>
      <w:bookmarkEnd w:id="0"/>
      <w:r w:rsidRPr="00617F8D">
        <w:rPr>
          <w:lang w:val="en-GB"/>
        </w:rPr>
        <w:t xml:space="preserve"> avoided and legal certainty achieved at the same time if guidelines take effect after publication of PSD2. In view of the experience made in handling the SecuRe </w:t>
      </w:r>
      <w:r w:rsidR="00617F8D" w:rsidRPr="00617F8D">
        <w:rPr>
          <w:lang w:val="en-GB"/>
        </w:rPr>
        <w:t>Pay recommendations</w:t>
      </w:r>
      <w:r w:rsidRPr="00617F8D">
        <w:rPr>
          <w:lang w:val="en-GB"/>
        </w:rPr>
        <w:t>, a timeframe of 36 months for implementation by financial institutions appears realistic.</w:t>
      </w:r>
    </w:p>
    <w:p w14:paraId="45745D1E" w14:textId="77777777" w:rsidR="009E53D8" w:rsidRPr="00617F8D" w:rsidRDefault="009E53D8" w:rsidP="009E53D8">
      <w:pPr>
        <w:pStyle w:val="berschrift2"/>
        <w:rPr>
          <w:lang w:val="en-GB"/>
        </w:rPr>
      </w:pPr>
    </w:p>
    <w:p w14:paraId="1C25171A" w14:textId="6D3226AD" w:rsidR="0028271B" w:rsidRPr="00617F8D" w:rsidRDefault="00E01D05" w:rsidP="009E53D8">
      <w:pPr>
        <w:pStyle w:val="berschrift2"/>
        <w:rPr>
          <w:lang w:val="en-GB"/>
        </w:rPr>
      </w:pPr>
      <w:r w:rsidRPr="00617F8D">
        <w:rPr>
          <w:lang w:val="en-GB"/>
        </w:rPr>
        <w:t>Comments on the guidelines</w:t>
      </w:r>
    </w:p>
    <w:p w14:paraId="55F3F3B2" w14:textId="77777777" w:rsidR="009E53D8" w:rsidRPr="00617F8D" w:rsidRDefault="009E53D8" w:rsidP="009E53D8">
      <w:pPr>
        <w:rPr>
          <w:lang w:val="en-GB"/>
        </w:rPr>
      </w:pPr>
    </w:p>
    <w:p w14:paraId="0AD8D6CC" w14:textId="17BCD596" w:rsidR="00F87573" w:rsidRPr="00617F8D" w:rsidRDefault="000015B8" w:rsidP="00D76995">
      <w:pPr>
        <w:pBdr>
          <w:top w:val="single" w:sz="4" w:space="1" w:color="auto"/>
          <w:left w:val="single" w:sz="4" w:space="4" w:color="auto"/>
          <w:bottom w:val="single" w:sz="4" w:space="1" w:color="auto"/>
          <w:right w:val="single" w:sz="4" w:space="4" w:color="auto"/>
        </w:pBdr>
        <w:rPr>
          <w:lang w:val="en-GB"/>
        </w:rPr>
      </w:pPr>
      <w:r w:rsidRPr="00617F8D">
        <w:rPr>
          <w:b/>
          <w:lang w:val="en-GB"/>
        </w:rPr>
        <w:t>Spe</w:t>
      </w:r>
      <w:r w:rsidR="00617F8D" w:rsidRPr="00617F8D">
        <w:rPr>
          <w:b/>
          <w:lang w:val="en-GB"/>
        </w:rPr>
        <w:t xml:space="preserve">cific point </w:t>
      </w:r>
      <w:r w:rsidRPr="00617F8D">
        <w:rPr>
          <w:b/>
          <w:lang w:val="en-GB"/>
        </w:rPr>
        <w:t xml:space="preserve">(1): </w:t>
      </w:r>
      <w:r w:rsidR="00617F8D" w:rsidRPr="00617F8D">
        <w:rPr>
          <w:lang w:val="en-GB"/>
        </w:rPr>
        <w:t xml:space="preserve">Page </w:t>
      </w:r>
      <w:r w:rsidR="00763810" w:rsidRPr="00617F8D">
        <w:rPr>
          <w:lang w:val="en-GB"/>
        </w:rPr>
        <w:t>5</w:t>
      </w:r>
      <w:r w:rsidR="00617F8D" w:rsidRPr="00617F8D">
        <w:rPr>
          <w:lang w:val="en-GB"/>
        </w:rPr>
        <w:t xml:space="preserve">, </w:t>
      </w:r>
      <w:r w:rsidR="00617F8D">
        <w:rPr>
          <w:lang w:val="en-GB"/>
        </w:rPr>
        <w:t>“</w:t>
      </w:r>
      <w:r w:rsidR="00763810" w:rsidRPr="00617F8D">
        <w:rPr>
          <w:lang w:val="en-GB"/>
        </w:rPr>
        <w:t>Background</w:t>
      </w:r>
      <w:r w:rsidR="00617F8D">
        <w:rPr>
          <w:lang w:val="en-GB"/>
        </w:rPr>
        <w:t>” section</w:t>
      </w:r>
    </w:p>
    <w:p w14:paraId="416B057E" w14:textId="395DBD58" w:rsidR="00617F8D" w:rsidRDefault="000015B8">
      <w:pPr>
        <w:rPr>
          <w:b/>
          <w:lang w:val="en-GB"/>
        </w:rPr>
      </w:pPr>
      <w:r w:rsidRPr="00617F8D">
        <w:rPr>
          <w:b/>
          <w:lang w:val="en-GB"/>
        </w:rPr>
        <w:t>Rationale:</w:t>
      </w:r>
      <w:r w:rsidR="00617F8D">
        <w:rPr>
          <w:b/>
          <w:lang w:val="en-GB"/>
        </w:rPr>
        <w:t xml:space="preserve"> </w:t>
      </w:r>
      <w:r w:rsidR="00617F8D" w:rsidRPr="00617F8D">
        <w:rPr>
          <w:lang w:val="en-GB"/>
        </w:rPr>
        <w:t xml:space="preserve">While </w:t>
      </w:r>
      <w:r w:rsidR="00617F8D">
        <w:rPr>
          <w:lang w:val="en-GB"/>
        </w:rPr>
        <w:t>this section refers to the SecuRe Pay recommendations</w:t>
      </w:r>
      <w:r w:rsidR="004F0E84">
        <w:rPr>
          <w:lang w:val="en-GB"/>
        </w:rPr>
        <w:t xml:space="preserve">, it is not clear how the documents relate to one another. Will the SecuRe Pay recommendations be replaced by the EBA guidelines or do the EBA guidelines constitute the legal background to the SecuRe Pay recommendations, so that these remain in place? </w:t>
      </w:r>
      <w:r w:rsidR="00617F8D">
        <w:rPr>
          <w:lang w:val="en-GB"/>
        </w:rPr>
        <w:t xml:space="preserve"> </w:t>
      </w:r>
    </w:p>
    <w:p w14:paraId="2C206E9A" w14:textId="0978F2B4" w:rsidR="000015B8" w:rsidRPr="004F0E84" w:rsidRDefault="004F0E84">
      <w:pPr>
        <w:rPr>
          <w:lang w:val="en-US"/>
        </w:rPr>
      </w:pPr>
      <w:r>
        <w:rPr>
          <w:b/>
          <w:lang w:val="en-GB"/>
        </w:rPr>
        <w:t>Proposal for amendment</w:t>
      </w:r>
      <w:r w:rsidR="000015B8" w:rsidRPr="004F0E84">
        <w:rPr>
          <w:b/>
          <w:lang w:val="en-US"/>
        </w:rPr>
        <w:t>:</w:t>
      </w:r>
      <w:r w:rsidR="000015B8" w:rsidRPr="004F0E84">
        <w:rPr>
          <w:lang w:val="en-US"/>
        </w:rPr>
        <w:t xml:space="preserve"> </w:t>
      </w:r>
      <w:r w:rsidR="00763810" w:rsidRPr="004F0E84">
        <w:rPr>
          <w:lang w:val="en-US"/>
        </w:rPr>
        <w:t>W</w:t>
      </w:r>
      <w:r w:rsidRPr="004F0E84">
        <w:rPr>
          <w:lang w:val="en-US"/>
        </w:rPr>
        <w:t xml:space="preserve">e suggest </w:t>
      </w:r>
      <w:r w:rsidRPr="004F0E84">
        <w:rPr>
          <w:b/>
          <w:lang w:val="en-US"/>
        </w:rPr>
        <w:t>explaining</w:t>
      </w:r>
      <w:r w:rsidRPr="004F0E84">
        <w:rPr>
          <w:lang w:val="en-US"/>
        </w:rPr>
        <w:t xml:space="preserve"> in the EBA guidelines </w:t>
      </w:r>
      <w:r>
        <w:rPr>
          <w:lang w:val="en-US"/>
        </w:rPr>
        <w:t>what the relationship between the EBA and SecuRe Pay Forum documents is</w:t>
      </w:r>
      <w:r w:rsidR="000015B8" w:rsidRPr="004F0E84">
        <w:rPr>
          <w:lang w:val="en-US"/>
        </w:rPr>
        <w:t xml:space="preserve">. </w:t>
      </w:r>
    </w:p>
    <w:p w14:paraId="733FE043" w14:textId="5BF5FABF" w:rsidR="00DB70E8" w:rsidRPr="00617F8D" w:rsidRDefault="00DB70E8" w:rsidP="00D76995">
      <w:pPr>
        <w:pBdr>
          <w:top w:val="single" w:sz="4" w:space="1" w:color="auto"/>
          <w:left w:val="single" w:sz="4" w:space="4" w:color="auto"/>
          <w:bottom w:val="single" w:sz="4" w:space="1" w:color="auto"/>
          <w:right w:val="single" w:sz="4" w:space="4" w:color="auto"/>
        </w:pBdr>
        <w:rPr>
          <w:lang w:val="en-GB"/>
        </w:rPr>
      </w:pPr>
      <w:r w:rsidRPr="00617F8D">
        <w:rPr>
          <w:b/>
          <w:lang w:val="en-GB"/>
        </w:rPr>
        <w:t>Spe</w:t>
      </w:r>
      <w:r w:rsidR="004F0E84">
        <w:rPr>
          <w:b/>
          <w:lang w:val="en-GB"/>
        </w:rPr>
        <w:t>cific point</w:t>
      </w:r>
      <w:r w:rsidRPr="00617F8D">
        <w:rPr>
          <w:b/>
          <w:lang w:val="en-GB"/>
        </w:rPr>
        <w:t xml:space="preserve"> (2): </w:t>
      </w:r>
      <w:r w:rsidR="004F0E84">
        <w:rPr>
          <w:lang w:val="en-GB"/>
        </w:rPr>
        <w:t>Page</w:t>
      </w:r>
      <w:r w:rsidRPr="00617F8D">
        <w:rPr>
          <w:lang w:val="en-GB"/>
        </w:rPr>
        <w:t xml:space="preserve"> 7 </w:t>
      </w:r>
      <w:r w:rsidR="004F0E84">
        <w:rPr>
          <w:lang w:val="en-GB"/>
        </w:rPr>
        <w:t>“</w:t>
      </w:r>
      <w:r w:rsidRPr="00617F8D">
        <w:rPr>
          <w:lang w:val="en-GB"/>
        </w:rPr>
        <w:t>Comparison between the Draft EBA guidelines an</w:t>
      </w:r>
      <w:r w:rsidR="00D76995" w:rsidRPr="00617F8D">
        <w:rPr>
          <w:lang w:val="en-GB"/>
        </w:rPr>
        <w:t>d</w:t>
      </w:r>
      <w:r w:rsidR="004F0E84">
        <w:rPr>
          <w:lang w:val="en-GB"/>
        </w:rPr>
        <w:t xml:space="preserve"> the SecuRe Pay recommendations” section</w:t>
      </w:r>
    </w:p>
    <w:p w14:paraId="748B4DC4" w14:textId="7C8D96BC" w:rsidR="00DB70E8" w:rsidRPr="00617F8D" w:rsidRDefault="00DB70E8" w:rsidP="00DB70E8">
      <w:pPr>
        <w:rPr>
          <w:lang w:val="en-GB"/>
        </w:rPr>
      </w:pPr>
      <w:r w:rsidRPr="00617F8D">
        <w:rPr>
          <w:b/>
          <w:lang w:val="en-GB"/>
        </w:rPr>
        <w:t>Rationale:</w:t>
      </w:r>
      <w:r w:rsidR="004F0E84">
        <w:rPr>
          <w:b/>
          <w:lang w:val="en-GB"/>
        </w:rPr>
        <w:t xml:space="preserve"> </w:t>
      </w:r>
      <w:r w:rsidR="004F0E84">
        <w:rPr>
          <w:lang w:val="en-GB"/>
        </w:rPr>
        <w:t>The “Implementation” section of the SecuRe Pay recommendations outlines a “comply</w:t>
      </w:r>
      <w:r w:rsidR="00B6317D">
        <w:rPr>
          <w:lang w:val="en-GB"/>
        </w:rPr>
        <w:t xml:space="preserve"> </w:t>
      </w:r>
      <w:r w:rsidR="004F0E84">
        <w:rPr>
          <w:lang w:val="en-GB"/>
        </w:rPr>
        <w:t>or</w:t>
      </w:r>
      <w:r w:rsidR="00B6317D">
        <w:rPr>
          <w:lang w:val="en-GB"/>
        </w:rPr>
        <w:t xml:space="preserve"> </w:t>
      </w:r>
      <w:r w:rsidR="004F0E84">
        <w:rPr>
          <w:lang w:val="en-GB"/>
        </w:rPr>
        <w:t>explain” approach</w:t>
      </w:r>
      <w:r w:rsidRPr="00617F8D">
        <w:rPr>
          <w:lang w:val="en-GB"/>
        </w:rPr>
        <w:t xml:space="preserve">. </w:t>
      </w:r>
      <w:r w:rsidR="004F0E84">
        <w:rPr>
          <w:lang w:val="en-GB"/>
        </w:rPr>
        <w:t xml:space="preserve">This approach allows the presentation of alternative measures to achieve the same security goal. It is highly relevant in practice, as financial institutions’ security management systems </w:t>
      </w:r>
      <w:r w:rsidR="00B6317D">
        <w:rPr>
          <w:lang w:val="en-GB"/>
        </w:rPr>
        <w:t xml:space="preserve">reflect business-specific security architectures. Solely implementing the wording of the guidelines will lead to increased redundancy or even conflicts between security measures at financial institutions. This will not only mean higher costs – a lowering of the security level cannot be ruled out either. </w:t>
      </w:r>
    </w:p>
    <w:p w14:paraId="1F3359E8" w14:textId="04586B9F" w:rsidR="00DB70E8" w:rsidRPr="00617F8D" w:rsidRDefault="00B6317D" w:rsidP="00DB70E8">
      <w:pPr>
        <w:rPr>
          <w:lang w:val="en-GB"/>
        </w:rPr>
      </w:pPr>
      <w:r>
        <w:rPr>
          <w:b/>
          <w:lang w:val="en-GB"/>
        </w:rPr>
        <w:t>Proposal for amendment</w:t>
      </w:r>
      <w:r w:rsidR="00DB70E8" w:rsidRPr="00617F8D">
        <w:rPr>
          <w:b/>
          <w:lang w:val="en-GB"/>
        </w:rPr>
        <w:t>:</w:t>
      </w:r>
      <w:r w:rsidR="00DB70E8" w:rsidRPr="00617F8D">
        <w:rPr>
          <w:lang w:val="en-GB"/>
        </w:rPr>
        <w:t xml:space="preserve"> </w:t>
      </w:r>
      <w:r>
        <w:rPr>
          <w:lang w:val="en-GB"/>
        </w:rPr>
        <w:t>We suggest</w:t>
      </w:r>
      <w:r w:rsidR="00DB70E8" w:rsidRPr="00617F8D">
        <w:rPr>
          <w:lang w:val="en-GB"/>
        </w:rPr>
        <w:t xml:space="preserve"> </w:t>
      </w:r>
      <w:r w:rsidRPr="00B6317D">
        <w:rPr>
          <w:b/>
          <w:lang w:val="en-GB"/>
        </w:rPr>
        <w:t>including</w:t>
      </w:r>
      <w:r>
        <w:rPr>
          <w:lang w:val="en-GB"/>
        </w:rPr>
        <w:t xml:space="preserve"> the “c</w:t>
      </w:r>
      <w:r w:rsidR="00DB70E8" w:rsidRPr="00617F8D">
        <w:rPr>
          <w:lang w:val="en-GB"/>
        </w:rPr>
        <w:t>omply</w:t>
      </w:r>
      <w:r>
        <w:rPr>
          <w:lang w:val="en-GB"/>
        </w:rPr>
        <w:t xml:space="preserve"> </w:t>
      </w:r>
      <w:r w:rsidR="00DB70E8" w:rsidRPr="00617F8D">
        <w:rPr>
          <w:lang w:val="en-GB"/>
        </w:rPr>
        <w:t>or</w:t>
      </w:r>
      <w:r>
        <w:rPr>
          <w:lang w:val="en-GB"/>
        </w:rPr>
        <w:t xml:space="preserve"> </w:t>
      </w:r>
      <w:r w:rsidR="00DB70E8" w:rsidRPr="00617F8D">
        <w:rPr>
          <w:lang w:val="en-GB"/>
        </w:rPr>
        <w:t>explain</w:t>
      </w:r>
      <w:r>
        <w:rPr>
          <w:lang w:val="en-GB"/>
        </w:rPr>
        <w:t>” approach in the EBA guidelines</w:t>
      </w:r>
      <w:r w:rsidR="00DB70E8" w:rsidRPr="00617F8D">
        <w:rPr>
          <w:lang w:val="en-GB"/>
        </w:rPr>
        <w:t xml:space="preserve">. </w:t>
      </w:r>
    </w:p>
    <w:p w14:paraId="4AAE7730" w14:textId="6FC64B05" w:rsidR="000C5CA1" w:rsidRPr="00617F8D" w:rsidRDefault="000C5CA1" w:rsidP="000C5CA1">
      <w:pPr>
        <w:pBdr>
          <w:top w:val="single" w:sz="4" w:space="1" w:color="auto"/>
          <w:left w:val="single" w:sz="4" w:space="4" w:color="auto"/>
          <w:bottom w:val="single" w:sz="4" w:space="1" w:color="auto"/>
          <w:right w:val="single" w:sz="4" w:space="4" w:color="auto"/>
        </w:pBdr>
        <w:rPr>
          <w:lang w:val="en-GB"/>
        </w:rPr>
      </w:pPr>
      <w:r w:rsidRPr="00617F8D">
        <w:rPr>
          <w:b/>
          <w:lang w:val="en-GB"/>
        </w:rPr>
        <w:lastRenderedPageBreak/>
        <w:t>Spe</w:t>
      </w:r>
      <w:r w:rsidR="00B6317D">
        <w:rPr>
          <w:b/>
          <w:lang w:val="en-GB"/>
        </w:rPr>
        <w:t xml:space="preserve">cific point </w:t>
      </w:r>
      <w:r w:rsidRPr="00617F8D">
        <w:rPr>
          <w:b/>
          <w:lang w:val="en-GB"/>
        </w:rPr>
        <w:t>(</w:t>
      </w:r>
      <w:r w:rsidR="000726A0" w:rsidRPr="00617F8D">
        <w:rPr>
          <w:b/>
          <w:lang w:val="en-GB"/>
        </w:rPr>
        <w:t>4</w:t>
      </w:r>
      <w:r w:rsidRPr="00617F8D">
        <w:rPr>
          <w:b/>
          <w:lang w:val="en-GB"/>
        </w:rPr>
        <w:t xml:space="preserve">): </w:t>
      </w:r>
      <w:r w:rsidR="00B6317D" w:rsidRPr="00B6317D">
        <w:rPr>
          <w:lang w:val="en-GB"/>
        </w:rPr>
        <w:t>Page</w:t>
      </w:r>
      <w:r w:rsidRPr="00617F8D">
        <w:rPr>
          <w:lang w:val="en-GB"/>
        </w:rPr>
        <w:t xml:space="preserve"> 14</w:t>
      </w:r>
      <w:r w:rsidR="00B6317D">
        <w:rPr>
          <w:lang w:val="en-GB"/>
        </w:rPr>
        <w:t>, “T</w:t>
      </w:r>
      <w:r w:rsidR="00AE187F">
        <w:rPr>
          <w:lang w:val="en-GB"/>
        </w:rPr>
        <w:t xml:space="preserve">itle </w:t>
      </w:r>
      <w:proofErr w:type="gramStart"/>
      <w:r w:rsidR="00AE187F">
        <w:rPr>
          <w:lang w:val="en-GB"/>
        </w:rPr>
        <w:t>I</w:t>
      </w:r>
      <w:proofErr w:type="gramEnd"/>
      <w:r w:rsidR="00AE187F">
        <w:rPr>
          <w:lang w:val="en-GB"/>
        </w:rPr>
        <w:t xml:space="preserve"> </w:t>
      </w:r>
      <w:r w:rsidRPr="00617F8D">
        <w:rPr>
          <w:lang w:val="en-GB"/>
        </w:rPr>
        <w:t>– Scope and definitions</w:t>
      </w:r>
      <w:r w:rsidR="00B6317D">
        <w:rPr>
          <w:lang w:val="en-GB"/>
        </w:rPr>
        <w:t>” section</w:t>
      </w:r>
      <w:r w:rsidRPr="00617F8D">
        <w:rPr>
          <w:lang w:val="en-GB"/>
        </w:rPr>
        <w:t xml:space="preserve"> – Definition</w:t>
      </w:r>
      <w:r w:rsidR="0028777B" w:rsidRPr="00617F8D">
        <w:rPr>
          <w:lang w:val="en-GB"/>
        </w:rPr>
        <w:t>s</w:t>
      </w:r>
    </w:p>
    <w:p w14:paraId="221F3EC9" w14:textId="29ED17B0" w:rsidR="00564E4A" w:rsidRPr="00617F8D" w:rsidRDefault="000C5CA1" w:rsidP="000C5CA1">
      <w:pPr>
        <w:rPr>
          <w:lang w:val="en-GB"/>
        </w:rPr>
      </w:pPr>
      <w:r w:rsidRPr="00617F8D">
        <w:rPr>
          <w:b/>
          <w:lang w:val="en-GB"/>
        </w:rPr>
        <w:t>Rationale:</w:t>
      </w:r>
      <w:r w:rsidRPr="00617F8D">
        <w:rPr>
          <w:lang w:val="en-GB"/>
        </w:rPr>
        <w:t xml:space="preserve"> </w:t>
      </w:r>
      <w:r w:rsidR="001F22F8">
        <w:rPr>
          <w:lang w:val="en-GB"/>
        </w:rPr>
        <w:t xml:space="preserve">The concept probably meant by the term “strong transaction authorisation” is protection of the integrity of transaction data (amount and payee) and reliable verification by the account-holding financial institution. </w:t>
      </w:r>
      <w:r w:rsidR="00357DCC">
        <w:rPr>
          <w:lang w:val="en-GB"/>
        </w:rPr>
        <w:t>The protection mechanism is to include p</w:t>
      </w:r>
      <w:r w:rsidR="001F22F8">
        <w:rPr>
          <w:lang w:val="en-GB"/>
        </w:rPr>
        <w:t xml:space="preserve">ayer authentication data. It is </w:t>
      </w:r>
      <w:r w:rsidR="00585865">
        <w:rPr>
          <w:lang w:val="en-GB"/>
        </w:rPr>
        <w:t xml:space="preserve">in principle </w:t>
      </w:r>
      <w:r w:rsidR="001F22F8">
        <w:rPr>
          <w:lang w:val="en-GB"/>
        </w:rPr>
        <w:t>conceivable that this concept could be realised by using dig</w:t>
      </w:r>
      <w:r w:rsidR="00357DCC">
        <w:rPr>
          <w:lang w:val="en-GB"/>
        </w:rPr>
        <w:t xml:space="preserve">ital signatures. </w:t>
      </w:r>
      <w:r w:rsidR="00E52979">
        <w:rPr>
          <w:lang w:val="en-GB"/>
        </w:rPr>
        <w:t>Experience shows that t</w:t>
      </w:r>
      <w:r w:rsidR="00357DCC">
        <w:rPr>
          <w:lang w:val="en-GB"/>
        </w:rPr>
        <w:t>hese systems p</w:t>
      </w:r>
      <w:r w:rsidR="001F22F8">
        <w:rPr>
          <w:lang w:val="en-GB"/>
        </w:rPr>
        <w:t xml:space="preserve">ose huge challenges to the payer, payee, payment services provider and account-holding financial institution. </w:t>
      </w:r>
      <w:r w:rsidR="00DA415C">
        <w:rPr>
          <w:lang w:val="en-GB"/>
        </w:rPr>
        <w:t xml:space="preserve">As has been </w:t>
      </w:r>
      <w:r w:rsidR="00E52979">
        <w:rPr>
          <w:lang w:val="en-GB"/>
        </w:rPr>
        <w:t>evidenced,</w:t>
      </w:r>
      <w:r w:rsidR="00DA415C">
        <w:rPr>
          <w:lang w:val="en-GB"/>
        </w:rPr>
        <w:t xml:space="preserve"> such systems have failed to win widespread acceptance during the past two decades of their availability (in Germany, HBCI since 1995). </w:t>
      </w:r>
      <w:r w:rsidR="00C76AB3">
        <w:rPr>
          <w:lang w:val="en-GB"/>
        </w:rPr>
        <w:t>R</w:t>
      </w:r>
      <w:r w:rsidR="00DA415C">
        <w:rPr>
          <w:lang w:val="en-GB"/>
        </w:rPr>
        <w:t>ealising the “what you see is what you sign” concept</w:t>
      </w:r>
      <w:r w:rsidR="00C76AB3">
        <w:rPr>
          <w:lang w:val="en-GB"/>
        </w:rPr>
        <w:t xml:space="preserve"> is also a challenge.</w:t>
      </w:r>
      <w:r w:rsidR="00B54ADC">
        <w:rPr>
          <w:lang w:val="en-GB"/>
        </w:rPr>
        <w:t xml:space="preserve"> Moreover, the description of the concept in the EBA guidelines leaves open the question of what makes transaction authorisation “strong”. Should a kind of signature mechanism be meant, then basic requirements and descriptions of the technical security features of a signature procedure </w:t>
      </w:r>
      <w:r w:rsidR="003F0B92">
        <w:rPr>
          <w:lang w:val="en-GB"/>
        </w:rPr>
        <w:t>are missing. On top of this, it is questionable whether linking to the transaction data on the payer’s side achieves a higher level of security.</w:t>
      </w:r>
    </w:p>
    <w:p w14:paraId="23B87066" w14:textId="334B73B2" w:rsidR="000C5CA1" w:rsidRPr="003F0B92" w:rsidRDefault="00DA415C" w:rsidP="000C5CA1">
      <w:pPr>
        <w:rPr>
          <w:lang w:val="en-GB"/>
        </w:rPr>
      </w:pPr>
      <w:r w:rsidRPr="003F0B92">
        <w:rPr>
          <w:b/>
          <w:lang w:val="en-GB"/>
        </w:rPr>
        <w:t>Proposal for amendment</w:t>
      </w:r>
      <w:r w:rsidR="000C5CA1" w:rsidRPr="003F0B92">
        <w:rPr>
          <w:b/>
          <w:lang w:val="en-GB"/>
        </w:rPr>
        <w:t>:</w:t>
      </w:r>
      <w:r w:rsidR="000C5CA1" w:rsidRPr="003F0B92">
        <w:rPr>
          <w:lang w:val="en-GB"/>
        </w:rPr>
        <w:t xml:space="preserve"> </w:t>
      </w:r>
      <w:r w:rsidR="003F0B92" w:rsidRPr="003F0B92">
        <w:rPr>
          <w:lang w:val="en-GB"/>
        </w:rPr>
        <w:t xml:space="preserve">We suggest </w:t>
      </w:r>
      <w:r w:rsidR="00E52979" w:rsidRPr="00E52979">
        <w:rPr>
          <w:b/>
          <w:lang w:val="en-GB"/>
        </w:rPr>
        <w:t>altering</w:t>
      </w:r>
      <w:r w:rsidR="00E52979">
        <w:rPr>
          <w:lang w:val="en-GB"/>
        </w:rPr>
        <w:t xml:space="preserve"> </w:t>
      </w:r>
      <w:r w:rsidR="003F0B92" w:rsidRPr="003F0B92">
        <w:rPr>
          <w:lang w:val="en-GB"/>
        </w:rPr>
        <w:t xml:space="preserve">the </w:t>
      </w:r>
      <w:r w:rsidR="00E52979">
        <w:rPr>
          <w:lang w:val="en-GB"/>
        </w:rPr>
        <w:t>“</w:t>
      </w:r>
      <w:r w:rsidR="00564E4A" w:rsidRPr="003F0B92">
        <w:rPr>
          <w:lang w:val="en-GB"/>
        </w:rPr>
        <w:t xml:space="preserve">strong transaction </w:t>
      </w:r>
      <w:r w:rsidR="008D3F7C" w:rsidRPr="003F0B92">
        <w:rPr>
          <w:lang w:val="en-GB"/>
        </w:rPr>
        <w:t>authorisation</w:t>
      </w:r>
      <w:r w:rsidR="00E52979">
        <w:rPr>
          <w:lang w:val="en-GB"/>
        </w:rPr>
        <w:t>”</w:t>
      </w:r>
      <w:r w:rsidR="003F0B92" w:rsidRPr="003F0B92">
        <w:rPr>
          <w:lang w:val="en-GB"/>
        </w:rPr>
        <w:t xml:space="preserve"> concept and adding the following definition</w:t>
      </w:r>
      <w:r w:rsidR="000C5CA1" w:rsidRPr="003F0B92">
        <w:rPr>
          <w:lang w:val="en-GB"/>
        </w:rPr>
        <w:t xml:space="preserve">: </w:t>
      </w:r>
      <w:r w:rsidR="003F0B92" w:rsidRPr="003F0B92">
        <w:rPr>
          <w:lang w:val="en-GB"/>
        </w:rPr>
        <w:t>“Protection of transaction data integrity</w:t>
      </w:r>
      <w:r w:rsidR="003F0B92">
        <w:rPr>
          <w:lang w:val="en-GB"/>
        </w:rPr>
        <w:t>”</w:t>
      </w:r>
      <w:r w:rsidR="00564E4A" w:rsidRPr="003F0B92">
        <w:rPr>
          <w:lang w:val="en-GB"/>
        </w:rPr>
        <w:t xml:space="preserve"> – </w:t>
      </w:r>
      <w:r w:rsidR="003F0B92">
        <w:rPr>
          <w:lang w:val="en-GB"/>
        </w:rPr>
        <w:t xml:space="preserve">The transaction data to be authorised by the payer are displayed to the payer via a secure channel. The payer is given the possibility to check and authorise the transaction data in a direct dialogue with the account-holding financial institution. </w:t>
      </w:r>
    </w:p>
    <w:p w14:paraId="75BCC88D" w14:textId="77777777" w:rsidR="000C5CA1" w:rsidRPr="003F0B92" w:rsidRDefault="000C5CA1" w:rsidP="00DB70E8">
      <w:pPr>
        <w:rPr>
          <w:lang w:val="en-US"/>
        </w:rPr>
      </w:pPr>
    </w:p>
    <w:p w14:paraId="6666BEB5" w14:textId="725C9A06" w:rsidR="005A5D25" w:rsidRPr="003F0B92" w:rsidRDefault="005A5D25" w:rsidP="00D76995">
      <w:pPr>
        <w:pBdr>
          <w:top w:val="single" w:sz="4" w:space="1" w:color="auto"/>
          <w:left w:val="single" w:sz="4" w:space="4" w:color="auto"/>
          <w:bottom w:val="single" w:sz="4" w:space="1" w:color="auto"/>
          <w:right w:val="single" w:sz="4" w:space="4" w:color="auto"/>
        </w:pBdr>
        <w:rPr>
          <w:lang w:val="en-GB"/>
        </w:rPr>
      </w:pPr>
      <w:r w:rsidRPr="003F0B92">
        <w:rPr>
          <w:b/>
          <w:lang w:val="en-GB"/>
        </w:rPr>
        <w:t>Spe</w:t>
      </w:r>
      <w:r w:rsidR="003F0B92" w:rsidRPr="003F0B92">
        <w:rPr>
          <w:b/>
          <w:lang w:val="en-GB"/>
        </w:rPr>
        <w:t>c</w:t>
      </w:r>
      <w:r w:rsidRPr="003F0B92">
        <w:rPr>
          <w:b/>
          <w:lang w:val="en-GB"/>
        </w:rPr>
        <w:t>ifi</w:t>
      </w:r>
      <w:r w:rsidR="003F0B92" w:rsidRPr="003F0B92">
        <w:rPr>
          <w:b/>
          <w:lang w:val="en-GB"/>
        </w:rPr>
        <w:t>c point</w:t>
      </w:r>
      <w:r w:rsidRPr="003F0B92">
        <w:rPr>
          <w:b/>
          <w:lang w:val="en-GB"/>
        </w:rPr>
        <w:t xml:space="preserve"> (</w:t>
      </w:r>
      <w:r w:rsidR="000726A0" w:rsidRPr="003F0B92">
        <w:rPr>
          <w:b/>
          <w:lang w:val="en-GB"/>
        </w:rPr>
        <w:t>5</w:t>
      </w:r>
      <w:r w:rsidRPr="003F0B92">
        <w:rPr>
          <w:b/>
          <w:lang w:val="en-GB"/>
        </w:rPr>
        <w:t xml:space="preserve">): </w:t>
      </w:r>
      <w:r w:rsidR="003F0B92" w:rsidRPr="003F0B92">
        <w:rPr>
          <w:lang w:val="en-GB"/>
        </w:rPr>
        <w:t>Page 14,</w:t>
      </w:r>
      <w:r w:rsidR="003F0B92" w:rsidRPr="003F0B92">
        <w:rPr>
          <w:b/>
          <w:lang w:val="en-GB"/>
        </w:rPr>
        <w:t xml:space="preserve"> </w:t>
      </w:r>
      <w:r w:rsidR="003F0B92" w:rsidRPr="003F0B92">
        <w:rPr>
          <w:lang w:val="en-GB"/>
        </w:rPr>
        <w:t>“</w:t>
      </w:r>
      <w:r w:rsidRPr="003F0B92">
        <w:rPr>
          <w:lang w:val="en-GB"/>
        </w:rPr>
        <w:t>Title I – Scope and definitions</w:t>
      </w:r>
      <w:r w:rsidR="007A0C9D">
        <w:rPr>
          <w:lang w:val="en-GB"/>
        </w:rPr>
        <w:t>” section</w:t>
      </w:r>
      <w:r w:rsidRPr="003F0B92">
        <w:rPr>
          <w:lang w:val="en-GB"/>
        </w:rPr>
        <w:t xml:space="preserve"> – Definition </w:t>
      </w:r>
      <w:r w:rsidR="007A0C9D">
        <w:rPr>
          <w:lang w:val="en-GB"/>
        </w:rPr>
        <w:t>of “</w:t>
      </w:r>
      <w:r w:rsidRPr="003F0B92">
        <w:rPr>
          <w:lang w:val="en-GB"/>
        </w:rPr>
        <w:t>Credential</w:t>
      </w:r>
      <w:r w:rsidR="007A0C9D">
        <w:rPr>
          <w:lang w:val="en-GB"/>
        </w:rPr>
        <w:t>s</w:t>
      </w:r>
      <w:r w:rsidRPr="003F0B92">
        <w:rPr>
          <w:lang w:val="en-GB"/>
        </w:rPr>
        <w:t>“</w:t>
      </w:r>
    </w:p>
    <w:p w14:paraId="0EAF1EC4" w14:textId="34B75002" w:rsidR="005A5D25" w:rsidRPr="003F0B92" w:rsidRDefault="005A5D25" w:rsidP="005A5D25">
      <w:pPr>
        <w:rPr>
          <w:lang w:val="en-GB"/>
        </w:rPr>
      </w:pPr>
      <w:r w:rsidRPr="003F0B92">
        <w:rPr>
          <w:b/>
          <w:lang w:val="en-GB"/>
        </w:rPr>
        <w:t>Rationale:</w:t>
      </w:r>
      <w:r w:rsidR="007A0C9D">
        <w:rPr>
          <w:b/>
          <w:lang w:val="en-GB"/>
        </w:rPr>
        <w:t xml:space="preserve"> </w:t>
      </w:r>
      <w:r w:rsidR="007A0C9D" w:rsidRPr="007A0C9D">
        <w:rPr>
          <w:lang w:val="en-GB"/>
        </w:rPr>
        <w:t xml:space="preserve">Credentials </w:t>
      </w:r>
      <w:r w:rsidR="007A0C9D">
        <w:rPr>
          <w:lang w:val="en-GB"/>
        </w:rPr>
        <w:t>are, by definition, not “physical tools”</w:t>
      </w:r>
      <w:r w:rsidR="00C47EF3" w:rsidRPr="003F0B92">
        <w:rPr>
          <w:lang w:val="en-GB"/>
        </w:rPr>
        <w:t xml:space="preserve">. </w:t>
      </w:r>
      <w:r w:rsidR="007A0C9D">
        <w:rPr>
          <w:lang w:val="en-GB"/>
        </w:rPr>
        <w:t>What is meant is probably “possession” thereof. An explanation would therefore have to reflect this</w:t>
      </w:r>
      <w:r w:rsidR="005C2AB8">
        <w:rPr>
          <w:lang w:val="en-GB"/>
        </w:rPr>
        <w:t>, i.e.</w:t>
      </w:r>
      <w:r w:rsidR="007A0C9D">
        <w:rPr>
          <w:lang w:val="en-GB"/>
        </w:rPr>
        <w:t xml:space="preserve"> personal possession of a physical element that can be assigned clearly to one person.</w:t>
      </w:r>
    </w:p>
    <w:p w14:paraId="6F3C0617" w14:textId="68E55CE0" w:rsidR="00D76995" w:rsidRPr="003F0B92" w:rsidRDefault="005C2AB8" w:rsidP="00D76995">
      <w:pPr>
        <w:rPr>
          <w:lang w:val="en-GB"/>
        </w:rPr>
      </w:pPr>
      <w:r>
        <w:rPr>
          <w:b/>
          <w:lang w:val="en-GB"/>
        </w:rPr>
        <w:t>Proposal for amendment</w:t>
      </w:r>
      <w:r w:rsidR="00D76995" w:rsidRPr="003F0B92">
        <w:rPr>
          <w:b/>
          <w:lang w:val="en-GB"/>
        </w:rPr>
        <w:t>:</w:t>
      </w:r>
      <w:r w:rsidR="00D76995" w:rsidRPr="003F0B92">
        <w:rPr>
          <w:lang w:val="en-GB"/>
        </w:rPr>
        <w:t xml:space="preserve"> W</w:t>
      </w:r>
      <w:r>
        <w:rPr>
          <w:lang w:val="en-GB"/>
        </w:rPr>
        <w:t xml:space="preserve">e suggest </w:t>
      </w:r>
      <w:r w:rsidRPr="005C2AB8">
        <w:rPr>
          <w:b/>
          <w:lang w:val="en-GB"/>
        </w:rPr>
        <w:t>altering</w:t>
      </w:r>
      <w:r>
        <w:rPr>
          <w:lang w:val="en-GB"/>
        </w:rPr>
        <w:t xml:space="preserve"> the definition as follows</w:t>
      </w:r>
      <w:r w:rsidR="00D76995" w:rsidRPr="003F0B92">
        <w:rPr>
          <w:lang w:val="en-GB"/>
        </w:rPr>
        <w:t xml:space="preserve">: </w:t>
      </w:r>
      <w:r>
        <w:rPr>
          <w:lang w:val="en-GB"/>
        </w:rPr>
        <w:t>“</w:t>
      </w:r>
      <w:r w:rsidR="00D76995" w:rsidRPr="003F0B92">
        <w:rPr>
          <w:lang w:val="en-GB"/>
        </w:rPr>
        <w:t>Credentials can also mean a physical element which unambiguously belongs to only one person.</w:t>
      </w:r>
      <w:r>
        <w:rPr>
          <w:lang w:val="en-GB"/>
        </w:rPr>
        <w:t>”</w:t>
      </w:r>
      <w:r w:rsidR="00D76995" w:rsidRPr="003F0B92">
        <w:rPr>
          <w:lang w:val="en-GB"/>
        </w:rPr>
        <w:t xml:space="preserve"> </w:t>
      </w:r>
    </w:p>
    <w:p w14:paraId="6CC285BB" w14:textId="2AB3B887" w:rsidR="00D76995" w:rsidRPr="005C2AB8" w:rsidRDefault="00D76995" w:rsidP="00D76995">
      <w:pPr>
        <w:pBdr>
          <w:top w:val="single" w:sz="4" w:space="1" w:color="auto"/>
          <w:left w:val="single" w:sz="4" w:space="4" w:color="auto"/>
          <w:bottom w:val="single" w:sz="4" w:space="1" w:color="auto"/>
          <w:right w:val="single" w:sz="4" w:space="4" w:color="auto"/>
        </w:pBdr>
        <w:rPr>
          <w:lang w:val="en-GB"/>
        </w:rPr>
      </w:pPr>
      <w:r w:rsidRPr="005C2AB8">
        <w:rPr>
          <w:b/>
          <w:lang w:val="en-GB"/>
        </w:rPr>
        <w:t>Spe</w:t>
      </w:r>
      <w:r w:rsidR="005C2AB8" w:rsidRPr="005C2AB8">
        <w:rPr>
          <w:b/>
          <w:lang w:val="en-GB"/>
        </w:rPr>
        <w:t xml:space="preserve">cific point </w:t>
      </w:r>
      <w:r w:rsidRPr="005C2AB8">
        <w:rPr>
          <w:b/>
          <w:lang w:val="en-GB"/>
        </w:rPr>
        <w:t>(</w:t>
      </w:r>
      <w:r w:rsidR="000726A0" w:rsidRPr="005C2AB8">
        <w:rPr>
          <w:b/>
          <w:lang w:val="en-GB"/>
        </w:rPr>
        <w:t>6</w:t>
      </w:r>
      <w:r w:rsidRPr="005C2AB8">
        <w:rPr>
          <w:b/>
          <w:lang w:val="en-GB"/>
        </w:rPr>
        <w:t xml:space="preserve">): </w:t>
      </w:r>
      <w:r w:rsidR="005C2AB8" w:rsidRPr="00585865">
        <w:rPr>
          <w:lang w:val="en-GB"/>
        </w:rPr>
        <w:t>Page</w:t>
      </w:r>
      <w:r w:rsidR="005C2AB8" w:rsidRPr="005C2AB8">
        <w:rPr>
          <w:b/>
          <w:lang w:val="en-GB"/>
        </w:rPr>
        <w:t xml:space="preserve"> </w:t>
      </w:r>
      <w:r w:rsidRPr="005C2AB8">
        <w:rPr>
          <w:lang w:val="en-GB"/>
        </w:rPr>
        <w:t>20</w:t>
      </w:r>
      <w:r w:rsidR="005C2AB8" w:rsidRPr="005C2AB8">
        <w:rPr>
          <w:lang w:val="en-GB"/>
        </w:rPr>
        <w:t>, guideline</w:t>
      </w:r>
      <w:r w:rsidRPr="005C2AB8">
        <w:rPr>
          <w:lang w:val="en-GB"/>
        </w:rPr>
        <w:t xml:space="preserve"> 7.6</w:t>
      </w:r>
    </w:p>
    <w:p w14:paraId="7D914DFE" w14:textId="77021EE8" w:rsidR="00D76995" w:rsidRPr="005C2AB8" w:rsidRDefault="00D76995" w:rsidP="00D76995">
      <w:pPr>
        <w:rPr>
          <w:lang w:val="en-GB"/>
        </w:rPr>
      </w:pPr>
      <w:r w:rsidRPr="005C2AB8">
        <w:rPr>
          <w:b/>
          <w:lang w:val="en-GB"/>
        </w:rPr>
        <w:t>Rationale:</w:t>
      </w:r>
      <w:r w:rsidRPr="005C2AB8">
        <w:rPr>
          <w:lang w:val="en-GB"/>
        </w:rPr>
        <w:t xml:space="preserve"> </w:t>
      </w:r>
      <w:r w:rsidR="005C2AB8" w:rsidRPr="005C2AB8">
        <w:rPr>
          <w:lang w:val="en-GB"/>
        </w:rPr>
        <w:t>Although</w:t>
      </w:r>
      <w:r w:rsidR="00585865">
        <w:rPr>
          <w:lang w:val="en-GB"/>
        </w:rPr>
        <w:t>,</w:t>
      </w:r>
      <w:r w:rsidR="005C2AB8" w:rsidRPr="005C2AB8">
        <w:rPr>
          <w:lang w:val="en-GB"/>
        </w:rPr>
        <w:t xml:space="preserve"> </w:t>
      </w:r>
      <w:r w:rsidR="00585865">
        <w:rPr>
          <w:lang w:val="en-GB"/>
        </w:rPr>
        <w:t xml:space="preserve">under point </w:t>
      </w:r>
      <w:r w:rsidR="00585865" w:rsidRPr="005C2AB8">
        <w:rPr>
          <w:lang w:val="en-GB"/>
        </w:rPr>
        <w:t xml:space="preserve">ii) </w:t>
      </w:r>
      <w:r w:rsidR="00585865">
        <w:rPr>
          <w:lang w:val="en-GB"/>
        </w:rPr>
        <w:t xml:space="preserve">of the </w:t>
      </w:r>
      <w:r w:rsidR="00585865" w:rsidRPr="005C2AB8">
        <w:rPr>
          <w:lang w:val="en-GB"/>
        </w:rPr>
        <w:t>“Comparison between the Draft EBA guidelines and the SecuRe Pay recommendations</w:t>
      </w:r>
      <w:r w:rsidR="00585865">
        <w:rPr>
          <w:lang w:val="en-GB"/>
        </w:rPr>
        <w:t xml:space="preserve">” section, </w:t>
      </w:r>
      <w:r w:rsidR="005C2AB8">
        <w:rPr>
          <w:lang w:val="en-GB"/>
        </w:rPr>
        <w:t xml:space="preserve">payment schemes are not included </w:t>
      </w:r>
      <w:r w:rsidRPr="005C2AB8">
        <w:rPr>
          <w:lang w:val="en-GB"/>
        </w:rPr>
        <w:t xml:space="preserve">in </w:t>
      </w:r>
      <w:r w:rsidR="00585865">
        <w:rPr>
          <w:lang w:val="en-GB"/>
        </w:rPr>
        <w:t>the guidelines</w:t>
      </w:r>
      <w:r w:rsidRPr="005C2AB8">
        <w:rPr>
          <w:lang w:val="en-GB"/>
        </w:rPr>
        <w:t xml:space="preserve">, </w:t>
      </w:r>
      <w:r w:rsidR="005C2AB8">
        <w:rPr>
          <w:lang w:val="en-GB"/>
        </w:rPr>
        <w:t>guideline</w:t>
      </w:r>
      <w:r w:rsidRPr="005C2AB8">
        <w:rPr>
          <w:lang w:val="en-GB"/>
        </w:rPr>
        <w:t xml:space="preserve"> 7.6 </w:t>
      </w:r>
      <w:r w:rsidR="005C2AB8">
        <w:rPr>
          <w:lang w:val="en-GB"/>
        </w:rPr>
        <w:t>sets a requirement for payment schemes.</w:t>
      </w:r>
      <w:r w:rsidRPr="005C2AB8">
        <w:rPr>
          <w:lang w:val="en-GB"/>
        </w:rPr>
        <w:t xml:space="preserve"> </w:t>
      </w:r>
    </w:p>
    <w:p w14:paraId="4A69FB3D" w14:textId="363B0B30" w:rsidR="005A5D25" w:rsidRPr="00585865" w:rsidRDefault="00585865" w:rsidP="005A5D25">
      <w:pPr>
        <w:rPr>
          <w:lang w:val="en-US"/>
        </w:rPr>
      </w:pPr>
      <w:r w:rsidRPr="00585865">
        <w:rPr>
          <w:b/>
          <w:lang w:val="en-US"/>
        </w:rPr>
        <w:t>Proposal for amendment</w:t>
      </w:r>
      <w:r w:rsidR="005A5D25" w:rsidRPr="00585865">
        <w:rPr>
          <w:b/>
          <w:lang w:val="en-US"/>
        </w:rPr>
        <w:t>:</w:t>
      </w:r>
      <w:r w:rsidR="005A5D25" w:rsidRPr="00585865">
        <w:rPr>
          <w:lang w:val="en-US"/>
        </w:rPr>
        <w:t xml:space="preserve"> W</w:t>
      </w:r>
      <w:r w:rsidRPr="00585865">
        <w:rPr>
          <w:lang w:val="en-US"/>
        </w:rPr>
        <w:t xml:space="preserve">e suggest </w:t>
      </w:r>
      <w:r w:rsidRPr="00A97877">
        <w:rPr>
          <w:b/>
          <w:lang w:val="en-US"/>
        </w:rPr>
        <w:t>deleting</w:t>
      </w:r>
      <w:r w:rsidRPr="00585865">
        <w:rPr>
          <w:lang w:val="en-US"/>
        </w:rPr>
        <w:t xml:space="preserve"> guideline </w:t>
      </w:r>
      <w:r w:rsidR="00D76995" w:rsidRPr="00585865">
        <w:rPr>
          <w:lang w:val="en-US"/>
        </w:rPr>
        <w:t>7.6.</w:t>
      </w:r>
    </w:p>
    <w:p w14:paraId="5ED837A3" w14:textId="5F78D85E" w:rsidR="00763810" w:rsidRPr="003F0B92" w:rsidRDefault="00763810" w:rsidP="00D76995">
      <w:pPr>
        <w:pBdr>
          <w:top w:val="single" w:sz="4" w:space="1" w:color="auto"/>
          <w:left w:val="single" w:sz="4" w:space="4" w:color="auto"/>
          <w:bottom w:val="single" w:sz="4" w:space="1" w:color="auto"/>
          <w:right w:val="single" w:sz="4" w:space="4" w:color="auto"/>
        </w:pBdr>
        <w:rPr>
          <w:lang w:val="en-GB"/>
        </w:rPr>
      </w:pPr>
      <w:r w:rsidRPr="003F0B92">
        <w:rPr>
          <w:b/>
          <w:lang w:val="en-GB"/>
        </w:rPr>
        <w:t>Spe</w:t>
      </w:r>
      <w:r w:rsidR="00585865">
        <w:rPr>
          <w:b/>
          <w:lang w:val="en-GB"/>
        </w:rPr>
        <w:t xml:space="preserve">cific point </w:t>
      </w:r>
      <w:r w:rsidRPr="003F0B92">
        <w:rPr>
          <w:b/>
          <w:lang w:val="en-GB"/>
        </w:rPr>
        <w:t>(</w:t>
      </w:r>
      <w:r w:rsidR="000726A0" w:rsidRPr="003F0B92">
        <w:rPr>
          <w:b/>
          <w:lang w:val="en-GB"/>
        </w:rPr>
        <w:t>7</w:t>
      </w:r>
      <w:r w:rsidRPr="003F0B92">
        <w:rPr>
          <w:b/>
          <w:lang w:val="en-GB"/>
        </w:rPr>
        <w:t xml:space="preserve">): </w:t>
      </w:r>
      <w:r w:rsidR="00585865" w:rsidRPr="00585865">
        <w:rPr>
          <w:lang w:val="en-GB"/>
        </w:rPr>
        <w:t xml:space="preserve">Page </w:t>
      </w:r>
      <w:r w:rsidRPr="003F0B92">
        <w:rPr>
          <w:lang w:val="en-GB"/>
        </w:rPr>
        <w:t>28</w:t>
      </w:r>
      <w:r w:rsidR="00585865">
        <w:rPr>
          <w:lang w:val="en-GB"/>
        </w:rPr>
        <w:t>,</w:t>
      </w:r>
      <w:r w:rsidRPr="003F0B92">
        <w:rPr>
          <w:lang w:val="en-GB"/>
        </w:rPr>
        <w:t xml:space="preserve"> </w:t>
      </w:r>
      <w:r w:rsidR="00A97877">
        <w:rPr>
          <w:lang w:val="en-GB"/>
        </w:rPr>
        <w:t>“</w:t>
      </w:r>
      <w:r w:rsidRPr="003F0B92">
        <w:rPr>
          <w:lang w:val="en-GB"/>
        </w:rPr>
        <w:t xml:space="preserve">Annex 1: Best </w:t>
      </w:r>
      <w:r w:rsidR="00A97877">
        <w:rPr>
          <w:lang w:val="en-GB"/>
        </w:rPr>
        <w:t>p</w:t>
      </w:r>
      <w:r w:rsidRPr="003F0B92">
        <w:rPr>
          <w:lang w:val="en-GB"/>
        </w:rPr>
        <w:t>ractice examples</w:t>
      </w:r>
      <w:r w:rsidR="00A97877">
        <w:rPr>
          <w:lang w:val="en-GB"/>
        </w:rPr>
        <w:t>” section</w:t>
      </w:r>
    </w:p>
    <w:p w14:paraId="27DB584F" w14:textId="7357FB17" w:rsidR="00763810" w:rsidRPr="00A97877" w:rsidRDefault="00763810" w:rsidP="00763810">
      <w:pPr>
        <w:rPr>
          <w:lang w:val="en-GB"/>
        </w:rPr>
      </w:pPr>
      <w:r w:rsidRPr="003F0B92">
        <w:rPr>
          <w:b/>
          <w:lang w:val="en-GB"/>
        </w:rPr>
        <w:t>Rationale:</w:t>
      </w:r>
      <w:r w:rsidR="00A97877">
        <w:rPr>
          <w:b/>
          <w:lang w:val="en-GB"/>
        </w:rPr>
        <w:t xml:space="preserve"> </w:t>
      </w:r>
      <w:r w:rsidR="00A97877" w:rsidRPr="00A97877">
        <w:rPr>
          <w:lang w:val="en-GB"/>
        </w:rPr>
        <w:t>N</w:t>
      </w:r>
      <w:r w:rsidR="00A97877">
        <w:rPr>
          <w:lang w:val="en-GB"/>
        </w:rPr>
        <w:t>o best practice examples are necessary</w:t>
      </w:r>
      <w:r w:rsidR="00A97877" w:rsidRPr="00A97877">
        <w:rPr>
          <w:lang w:val="en-GB"/>
        </w:rPr>
        <w:t xml:space="preserve"> </w:t>
      </w:r>
      <w:r w:rsidR="00A97877">
        <w:rPr>
          <w:lang w:val="en-GB"/>
        </w:rPr>
        <w:t>a</w:t>
      </w:r>
      <w:r w:rsidR="00A97877" w:rsidRPr="00A97877">
        <w:rPr>
          <w:lang w:val="en-GB"/>
        </w:rPr>
        <w:t xml:space="preserve">t </w:t>
      </w:r>
      <w:r w:rsidR="00A97877">
        <w:rPr>
          <w:lang w:val="en-GB"/>
        </w:rPr>
        <w:t>legal background level. This would be a matter for supervisors at implementation level.</w:t>
      </w:r>
      <w:r w:rsidRPr="00A97877">
        <w:rPr>
          <w:lang w:val="en-GB"/>
        </w:rPr>
        <w:t xml:space="preserve"> </w:t>
      </w:r>
    </w:p>
    <w:p w14:paraId="24D79E5A" w14:textId="75D6ADDD" w:rsidR="00763810" w:rsidRPr="003F0B92" w:rsidRDefault="00A97877" w:rsidP="00763810">
      <w:pPr>
        <w:rPr>
          <w:lang w:val="en-GB"/>
        </w:rPr>
      </w:pPr>
      <w:r>
        <w:rPr>
          <w:b/>
          <w:lang w:val="en-GB"/>
        </w:rPr>
        <w:t>Proposal for amendment</w:t>
      </w:r>
      <w:r w:rsidR="00763810" w:rsidRPr="003F0B92">
        <w:rPr>
          <w:b/>
          <w:lang w:val="en-GB"/>
        </w:rPr>
        <w:t>:</w:t>
      </w:r>
      <w:r w:rsidR="00763810" w:rsidRPr="003F0B92">
        <w:rPr>
          <w:lang w:val="en-GB"/>
        </w:rPr>
        <w:t xml:space="preserve"> W</w:t>
      </w:r>
      <w:r>
        <w:rPr>
          <w:lang w:val="en-GB"/>
        </w:rPr>
        <w:t xml:space="preserve">e suggest </w:t>
      </w:r>
      <w:r w:rsidRPr="00A97877">
        <w:rPr>
          <w:b/>
          <w:lang w:val="en-GB"/>
        </w:rPr>
        <w:t>deleting</w:t>
      </w:r>
      <w:r>
        <w:rPr>
          <w:lang w:val="en-GB"/>
        </w:rPr>
        <w:t xml:space="preserve"> this section</w:t>
      </w:r>
      <w:r w:rsidR="00763810" w:rsidRPr="003F0B92">
        <w:rPr>
          <w:lang w:val="en-GB"/>
        </w:rPr>
        <w:t xml:space="preserve">. </w:t>
      </w:r>
    </w:p>
    <w:p w14:paraId="7EE29964" w14:textId="77777777" w:rsidR="000015B8" w:rsidRPr="003F0B92" w:rsidRDefault="000015B8">
      <w:pPr>
        <w:rPr>
          <w:lang w:val="en-GB"/>
        </w:rPr>
      </w:pPr>
    </w:p>
    <w:sectPr w:rsidR="000015B8" w:rsidRPr="003F0B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2E80F" w14:textId="77777777" w:rsidR="000408F0" w:rsidRDefault="000408F0" w:rsidP="000408F0">
      <w:pPr>
        <w:spacing w:after="0" w:line="240" w:lineRule="auto"/>
      </w:pPr>
      <w:r>
        <w:separator/>
      </w:r>
    </w:p>
  </w:endnote>
  <w:endnote w:type="continuationSeparator" w:id="0">
    <w:p w14:paraId="131FB3C6" w14:textId="77777777" w:rsidR="000408F0" w:rsidRDefault="000408F0" w:rsidP="0004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CBBE" w14:textId="77777777" w:rsidR="000408F0" w:rsidRDefault="000408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19217" w14:textId="77777777" w:rsidR="000408F0" w:rsidRDefault="000408F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B28A2" w14:textId="77777777" w:rsidR="000408F0" w:rsidRDefault="000408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8595A" w14:textId="77777777" w:rsidR="000408F0" w:rsidRDefault="000408F0" w:rsidP="000408F0">
      <w:pPr>
        <w:spacing w:after="0" w:line="240" w:lineRule="auto"/>
      </w:pPr>
      <w:r>
        <w:separator/>
      </w:r>
    </w:p>
  </w:footnote>
  <w:footnote w:type="continuationSeparator" w:id="0">
    <w:p w14:paraId="460EF336" w14:textId="77777777" w:rsidR="000408F0" w:rsidRDefault="000408F0" w:rsidP="00040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AA843" w14:textId="77777777" w:rsidR="000408F0" w:rsidRDefault="000408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7051" w14:textId="77777777" w:rsidR="000408F0" w:rsidRDefault="000408F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8E06" w14:textId="77777777" w:rsidR="000408F0" w:rsidRDefault="000408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A5AE0"/>
    <w:multiLevelType w:val="hybridMultilevel"/>
    <w:tmpl w:val="D16492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884B74"/>
    <w:multiLevelType w:val="singleLevel"/>
    <w:tmpl w:val="04070001"/>
    <w:lvl w:ilvl="0">
      <w:start w:val="1"/>
      <w:numFmt w:val="bullet"/>
      <w:lvlText w:val=""/>
      <w:lvlJc w:val="left"/>
      <w:pPr>
        <w:ind w:left="7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1B"/>
    <w:rsid w:val="000015B8"/>
    <w:rsid w:val="00004844"/>
    <w:rsid w:val="000408F0"/>
    <w:rsid w:val="00056F1B"/>
    <w:rsid w:val="000726A0"/>
    <w:rsid w:val="0008342D"/>
    <w:rsid w:val="000C5CA1"/>
    <w:rsid w:val="000D2800"/>
    <w:rsid w:val="000D71BE"/>
    <w:rsid w:val="00172318"/>
    <w:rsid w:val="001948F2"/>
    <w:rsid w:val="001C4704"/>
    <w:rsid w:val="001F22F8"/>
    <w:rsid w:val="0028271B"/>
    <w:rsid w:val="002854B6"/>
    <w:rsid w:val="0028777B"/>
    <w:rsid w:val="002917F0"/>
    <w:rsid w:val="002E799A"/>
    <w:rsid w:val="00321588"/>
    <w:rsid w:val="00357DCC"/>
    <w:rsid w:val="003969CE"/>
    <w:rsid w:val="003B30E7"/>
    <w:rsid w:val="003D550F"/>
    <w:rsid w:val="003F0B92"/>
    <w:rsid w:val="004261A6"/>
    <w:rsid w:val="0046694F"/>
    <w:rsid w:val="004975E8"/>
    <w:rsid w:val="004F0E84"/>
    <w:rsid w:val="00564E4A"/>
    <w:rsid w:val="00585865"/>
    <w:rsid w:val="005A5D25"/>
    <w:rsid w:val="005C2AB8"/>
    <w:rsid w:val="005D5159"/>
    <w:rsid w:val="00617F8D"/>
    <w:rsid w:val="00673F5E"/>
    <w:rsid w:val="006759B0"/>
    <w:rsid w:val="006E3F3A"/>
    <w:rsid w:val="00763810"/>
    <w:rsid w:val="007671C3"/>
    <w:rsid w:val="00790AA4"/>
    <w:rsid w:val="007A0C9D"/>
    <w:rsid w:val="00874BAF"/>
    <w:rsid w:val="008D3F7C"/>
    <w:rsid w:val="008F0E23"/>
    <w:rsid w:val="008F2C6C"/>
    <w:rsid w:val="009045C1"/>
    <w:rsid w:val="0092695E"/>
    <w:rsid w:val="009E53D8"/>
    <w:rsid w:val="00A87A1E"/>
    <w:rsid w:val="00A97877"/>
    <w:rsid w:val="00AE187F"/>
    <w:rsid w:val="00B54ADC"/>
    <w:rsid w:val="00B6317D"/>
    <w:rsid w:val="00B84623"/>
    <w:rsid w:val="00C10111"/>
    <w:rsid w:val="00C46AC8"/>
    <w:rsid w:val="00C47EF3"/>
    <w:rsid w:val="00C703ED"/>
    <w:rsid w:val="00C7493E"/>
    <w:rsid w:val="00C76AB3"/>
    <w:rsid w:val="00CE4563"/>
    <w:rsid w:val="00D514F5"/>
    <w:rsid w:val="00D76995"/>
    <w:rsid w:val="00DA415C"/>
    <w:rsid w:val="00DB70E8"/>
    <w:rsid w:val="00DE3EAE"/>
    <w:rsid w:val="00E01D05"/>
    <w:rsid w:val="00E52979"/>
    <w:rsid w:val="00E97E7A"/>
    <w:rsid w:val="00F17501"/>
    <w:rsid w:val="00F81547"/>
    <w:rsid w:val="00F87573"/>
    <w:rsid w:val="00FA7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1E6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E3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E53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6F1B"/>
    <w:pPr>
      <w:ind w:left="720"/>
      <w:contextualSpacing/>
    </w:pPr>
  </w:style>
  <w:style w:type="character" w:customStyle="1" w:styleId="berschrift1Zchn">
    <w:name w:val="Überschrift 1 Zchn"/>
    <w:basedOn w:val="Absatz-Standardschriftart"/>
    <w:link w:val="berschrift1"/>
    <w:uiPriority w:val="9"/>
    <w:rsid w:val="00DE3EAE"/>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083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42D"/>
    <w:rPr>
      <w:rFonts w:ascii="Segoe UI" w:hAnsi="Segoe UI" w:cs="Segoe UI"/>
      <w:sz w:val="18"/>
      <w:szCs w:val="18"/>
    </w:rPr>
  </w:style>
  <w:style w:type="character" w:customStyle="1" w:styleId="berschrift2Zchn">
    <w:name w:val="Überschrift 2 Zchn"/>
    <w:basedOn w:val="Absatz-Standardschriftart"/>
    <w:link w:val="berschrift2"/>
    <w:uiPriority w:val="9"/>
    <w:rsid w:val="009E53D8"/>
    <w:rPr>
      <w:rFonts w:asciiTheme="majorHAnsi" w:eastAsiaTheme="majorEastAsia" w:hAnsiTheme="majorHAnsi" w:cstheme="majorBidi"/>
      <w:color w:val="2E74B5" w:themeColor="accent1" w:themeShade="BF"/>
      <w:sz w:val="26"/>
      <w:szCs w:val="26"/>
    </w:rPr>
  </w:style>
  <w:style w:type="character" w:styleId="Kommentarzeichen">
    <w:name w:val="annotation reference"/>
    <w:basedOn w:val="Absatz-Standardschriftart"/>
    <w:uiPriority w:val="99"/>
    <w:semiHidden/>
    <w:unhideWhenUsed/>
    <w:rsid w:val="006E3F3A"/>
    <w:rPr>
      <w:sz w:val="16"/>
      <w:szCs w:val="16"/>
    </w:rPr>
  </w:style>
  <w:style w:type="paragraph" w:styleId="Kommentartext">
    <w:name w:val="annotation text"/>
    <w:basedOn w:val="Standard"/>
    <w:link w:val="KommentartextZchn"/>
    <w:uiPriority w:val="99"/>
    <w:unhideWhenUsed/>
    <w:rsid w:val="006E3F3A"/>
    <w:pPr>
      <w:spacing w:line="240" w:lineRule="auto"/>
    </w:pPr>
    <w:rPr>
      <w:sz w:val="20"/>
      <w:szCs w:val="20"/>
    </w:rPr>
  </w:style>
  <w:style w:type="character" w:customStyle="1" w:styleId="KommentartextZchn">
    <w:name w:val="Kommentartext Zchn"/>
    <w:basedOn w:val="Absatz-Standardschriftart"/>
    <w:link w:val="Kommentartext"/>
    <w:uiPriority w:val="99"/>
    <w:rsid w:val="006E3F3A"/>
    <w:rPr>
      <w:sz w:val="20"/>
      <w:szCs w:val="20"/>
    </w:rPr>
  </w:style>
  <w:style w:type="paragraph" w:styleId="Kommentarthema">
    <w:name w:val="annotation subject"/>
    <w:basedOn w:val="Kommentartext"/>
    <w:next w:val="Kommentartext"/>
    <w:link w:val="KommentarthemaZchn"/>
    <w:uiPriority w:val="99"/>
    <w:semiHidden/>
    <w:unhideWhenUsed/>
    <w:rsid w:val="006E3F3A"/>
    <w:rPr>
      <w:b/>
      <w:bCs/>
    </w:rPr>
  </w:style>
  <w:style w:type="character" w:customStyle="1" w:styleId="KommentarthemaZchn">
    <w:name w:val="Kommentarthema Zchn"/>
    <w:basedOn w:val="KommentartextZchn"/>
    <w:link w:val="Kommentarthema"/>
    <w:uiPriority w:val="99"/>
    <w:semiHidden/>
    <w:rsid w:val="006E3F3A"/>
    <w:rPr>
      <w:b/>
      <w:bCs/>
      <w:sz w:val="20"/>
      <w:szCs w:val="20"/>
    </w:rPr>
  </w:style>
  <w:style w:type="character" w:styleId="Fett">
    <w:name w:val="Strong"/>
    <w:basedOn w:val="Absatz-Standardschriftart"/>
    <w:uiPriority w:val="22"/>
    <w:qFormat/>
    <w:rsid w:val="00004844"/>
    <w:rPr>
      <w:b/>
      <w:bCs/>
    </w:rPr>
  </w:style>
  <w:style w:type="paragraph" w:styleId="Kopfzeile">
    <w:name w:val="header"/>
    <w:basedOn w:val="Standard"/>
    <w:link w:val="KopfzeileZchn"/>
    <w:uiPriority w:val="99"/>
    <w:unhideWhenUsed/>
    <w:rsid w:val="000408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8F0"/>
  </w:style>
  <w:style w:type="paragraph" w:styleId="Fuzeile">
    <w:name w:val="footer"/>
    <w:basedOn w:val="Standard"/>
    <w:link w:val="FuzeileZchn"/>
    <w:uiPriority w:val="99"/>
    <w:unhideWhenUsed/>
    <w:rsid w:val="000408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E8B948D2.dotm</Template>
  <TotalTime>0</TotalTime>
  <Pages>3</Pages>
  <Words>1150</Words>
  <Characters>7248</Characters>
  <Application>Microsoft Office Word</Application>
  <DocSecurity>0</DocSecurity>
  <Lines>60</Lines>
  <Paragraphs>16</Paragraphs>
  <ScaleCrop>false</ScaleCrop>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2014-11-14T14:51:00Z</dcterms:created>
  <dcterms:modified xsi:type="dcterms:W3CDTF">2014-11-14T14:51:00Z</dcterms:modified>
  <cp:contentStatus/>
</cp:coreProperties>
</file>