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7C" w:rsidRPr="00630BE5" w:rsidRDefault="00262155" w:rsidP="00630BE5">
      <w:pPr>
        <w:pStyle w:val="SPATitle"/>
      </w:pPr>
      <w:r>
        <w:t xml:space="preserve">EBA consultation </w:t>
      </w:r>
    </w:p>
    <w:p w:rsidR="00363FA1" w:rsidRPr="00630BE5" w:rsidRDefault="008E4A41" w:rsidP="00630BE5">
      <w:pPr>
        <w:pStyle w:val="SPASubTitle"/>
      </w:pPr>
      <w:r>
        <w:t xml:space="preserve">The SPA </w:t>
      </w:r>
      <w:r w:rsidR="00992D54">
        <w:t xml:space="preserve">position </w:t>
      </w:r>
    </w:p>
    <w:p w:rsidR="004F0048" w:rsidRPr="00FA289E" w:rsidRDefault="00992D54" w:rsidP="00244844">
      <w:pPr>
        <w:pStyle w:val="SPADate"/>
      </w:pPr>
      <w:r>
        <w:t xml:space="preserve">November 11th </w:t>
      </w:r>
      <w:r w:rsidR="0043329E">
        <w:t>201</w:t>
      </w:r>
      <w:r w:rsidR="00A5080B">
        <w:t>4</w:t>
      </w:r>
    </w:p>
    <w:p w:rsidR="00752E10" w:rsidRDefault="00752E10"/>
    <w:p w:rsidR="0040265F" w:rsidRDefault="0040265F" w:rsidP="0040265F">
      <w:pPr>
        <w:pStyle w:val="SPASubTitle"/>
      </w:pPr>
      <w:r>
        <w:br w:type="page"/>
      </w:r>
    </w:p>
    <w:p w:rsidR="0040265F" w:rsidRPr="00DD5675" w:rsidRDefault="0040265F" w:rsidP="0040265F"/>
    <w:p w:rsidR="001554EE" w:rsidRDefault="001554EE" w:rsidP="00981563">
      <w:pPr>
        <w:pStyle w:val="ListParagraph"/>
        <w:rPr>
          <w:rFonts w:ascii="Calibri" w:hAnsi="Calibri" w:cs="Calibri"/>
          <w:color w:val="000000"/>
          <w:sz w:val="32"/>
          <w:szCs w:val="32"/>
        </w:rPr>
      </w:pPr>
      <w:bookmarkStart w:id="0" w:name="_Toc363153849"/>
      <w:bookmarkStart w:id="1" w:name="_Toc363153850"/>
      <w:bookmarkStart w:id="2" w:name="_Toc363153851"/>
      <w:bookmarkStart w:id="3" w:name="_Toc363153852"/>
      <w:bookmarkStart w:id="4" w:name="_Toc363153853"/>
      <w:bookmarkStart w:id="5" w:name="_Toc363153854"/>
      <w:bookmarkStart w:id="6" w:name="_Toc363153855"/>
      <w:bookmarkStart w:id="7" w:name="_Toc363153856"/>
      <w:bookmarkStart w:id="8" w:name="_Toc363153857"/>
      <w:bookmarkStart w:id="9" w:name="_Toc363153858"/>
      <w:bookmarkStart w:id="10" w:name="_Toc363153859"/>
      <w:bookmarkStart w:id="11" w:name="_Toc363153860"/>
      <w:bookmarkStart w:id="12" w:name="_Toc363153861"/>
      <w:bookmarkStart w:id="13" w:name="_Toc363153862"/>
      <w:bookmarkStart w:id="14" w:name="_Toc363153863"/>
      <w:bookmarkStart w:id="15" w:name="_Toc363153864"/>
      <w:bookmarkStart w:id="16" w:name="_Toc363153865"/>
      <w:bookmarkStart w:id="17" w:name="_Toc363153866"/>
      <w:bookmarkStart w:id="18" w:name="_Toc363153867"/>
      <w:bookmarkStart w:id="19" w:name="_Toc363153868"/>
      <w:bookmarkStart w:id="20" w:name="_Toc363153869"/>
      <w:bookmarkStart w:id="21" w:name="_Toc363153870"/>
      <w:bookmarkStart w:id="22" w:name="_Toc363153871"/>
      <w:bookmarkStart w:id="23" w:name="_Toc363153872"/>
      <w:bookmarkStart w:id="24" w:name="_Toc363153873"/>
      <w:bookmarkStart w:id="25" w:name="_Toc363153874"/>
      <w:bookmarkStart w:id="26" w:name="_Toc363153875"/>
      <w:bookmarkStart w:id="27" w:name="_Toc363153876"/>
      <w:bookmarkStart w:id="28" w:name="_Toc363153877"/>
      <w:bookmarkStart w:id="29" w:name="_Toc363153878"/>
      <w:bookmarkStart w:id="30" w:name="_Toc363153879"/>
      <w:bookmarkStart w:id="31" w:name="_Toc363153880"/>
      <w:bookmarkStart w:id="32" w:name="_Toc363153881"/>
      <w:bookmarkStart w:id="33" w:name="_Toc363153882"/>
      <w:bookmarkStart w:id="34" w:name="_Toc363153883"/>
      <w:bookmarkStart w:id="35" w:name="_Toc363153884"/>
      <w:bookmarkStart w:id="36" w:name="_Toc363153885"/>
      <w:bookmarkStart w:id="37" w:name="_Toc363153886"/>
      <w:bookmarkStart w:id="38" w:name="_Toc363153887"/>
      <w:bookmarkStart w:id="39" w:name="_Toc363153889"/>
      <w:bookmarkStart w:id="40" w:name="_Toc363153897"/>
      <w:bookmarkStart w:id="41" w:name="_Toc363153898"/>
      <w:bookmarkStart w:id="42" w:name="_Toc363153899"/>
      <w:bookmarkStart w:id="43" w:name="_Toc363153900"/>
      <w:bookmarkStart w:id="44" w:name="_Toc363153901"/>
      <w:bookmarkStart w:id="45" w:name="_Toc363153902"/>
      <w:bookmarkStart w:id="46" w:name="_Toc363153903"/>
      <w:bookmarkStart w:id="47" w:name="_Toc363153904"/>
      <w:bookmarkStart w:id="48" w:name="_Toc363153905"/>
      <w:bookmarkStart w:id="49" w:name="_Toc363153906"/>
      <w:bookmarkStart w:id="50" w:name="_Toc363153907"/>
      <w:bookmarkStart w:id="51" w:name="_Toc363153908"/>
      <w:bookmarkStart w:id="52" w:name="_Toc363153910"/>
      <w:bookmarkStart w:id="53" w:name="_Toc363153911"/>
      <w:bookmarkStart w:id="54" w:name="_Toc363153912"/>
      <w:bookmarkStart w:id="55" w:name="_Toc363153913"/>
      <w:bookmarkStart w:id="56" w:name="_Toc363153914"/>
      <w:bookmarkStart w:id="57" w:name="_Toc363153915"/>
      <w:bookmarkStart w:id="58" w:name="_Toc363153916"/>
      <w:bookmarkStart w:id="59" w:name="_Toc363153917"/>
      <w:bookmarkStart w:id="60" w:name="_Toc363153918"/>
      <w:bookmarkStart w:id="61" w:name="_Toc363153919"/>
      <w:bookmarkStart w:id="62" w:name="_Toc363153920"/>
      <w:bookmarkStart w:id="63" w:name="_Toc363153921"/>
      <w:bookmarkStart w:id="64" w:name="_Toc363153922"/>
      <w:bookmarkStart w:id="65" w:name="_Toc363153923"/>
      <w:bookmarkStart w:id="66" w:name="_Toc363153924"/>
      <w:bookmarkStart w:id="67" w:name="_Toc363153925"/>
      <w:bookmarkStart w:id="68" w:name="_Toc363153926"/>
      <w:bookmarkStart w:id="69" w:name="_Toc363153927"/>
      <w:bookmarkStart w:id="70" w:name="_Toc363153928"/>
      <w:bookmarkStart w:id="71" w:name="_Toc363153929"/>
      <w:bookmarkStart w:id="72" w:name="_Toc363153930"/>
      <w:bookmarkStart w:id="73" w:name="_Toc363153931"/>
      <w:bookmarkStart w:id="74" w:name="_Toc363153932"/>
      <w:bookmarkStart w:id="75" w:name="_Toc363153933"/>
      <w:bookmarkStart w:id="76" w:name="_Toc363153934"/>
      <w:bookmarkStart w:id="77" w:name="_Toc363153935"/>
      <w:bookmarkStart w:id="78" w:name="_Toc363153936"/>
      <w:bookmarkStart w:id="79" w:name="_Toc363153937"/>
      <w:bookmarkStart w:id="80" w:name="_Toc363153938"/>
      <w:bookmarkStart w:id="81" w:name="_Toc363153939"/>
      <w:bookmarkStart w:id="82" w:name="_Toc363153940"/>
      <w:bookmarkStart w:id="83" w:name="_Toc363153941"/>
      <w:bookmarkStart w:id="84" w:name="_Toc363153942"/>
      <w:bookmarkStart w:id="85" w:name="_Toc363153943"/>
      <w:bookmarkStart w:id="86" w:name="_Toc363153944"/>
      <w:bookmarkStart w:id="87" w:name="_Toc363153945"/>
      <w:bookmarkStart w:id="88" w:name="_Toc363153946"/>
      <w:bookmarkStart w:id="89" w:name="_Toc363153947"/>
      <w:bookmarkStart w:id="90" w:name="_Toc363153948"/>
      <w:bookmarkStart w:id="91" w:name="_Toc363153949"/>
      <w:bookmarkStart w:id="92" w:name="_Toc363153950"/>
      <w:bookmarkStart w:id="93" w:name="_Toc363153951"/>
      <w:bookmarkStart w:id="94" w:name="_Toc363153981"/>
      <w:bookmarkStart w:id="95" w:name="_Toc363153982"/>
      <w:bookmarkStart w:id="96" w:name="_Toc363153983"/>
      <w:bookmarkStart w:id="97" w:name="_Toc363153984"/>
      <w:bookmarkStart w:id="98" w:name="_Toc363153985"/>
      <w:bookmarkStart w:id="99" w:name="_Toc363153986"/>
      <w:bookmarkStart w:id="100" w:name="_Toc363153987"/>
      <w:bookmarkStart w:id="101" w:name="_Toc363153988"/>
      <w:bookmarkStart w:id="102" w:name="_Toc363153989"/>
      <w:bookmarkStart w:id="103" w:name="_Toc363153990"/>
      <w:bookmarkStart w:id="104" w:name="_Toc363153991"/>
      <w:bookmarkStart w:id="105" w:name="_Toc363153992"/>
      <w:bookmarkStart w:id="106" w:name="_Toc363153993"/>
      <w:bookmarkStart w:id="107" w:name="_Toc363153994"/>
      <w:bookmarkStart w:id="108" w:name="_Toc363153995"/>
      <w:bookmarkStart w:id="109" w:name="_Toc363153996"/>
      <w:bookmarkStart w:id="110" w:name="_Toc363153997"/>
      <w:bookmarkStart w:id="111" w:name="_Toc363153998"/>
      <w:bookmarkStart w:id="112" w:name="_Toc363153999"/>
      <w:bookmarkStart w:id="113" w:name="_Toc363154000"/>
      <w:bookmarkStart w:id="114" w:name="_Toc363154001"/>
      <w:bookmarkStart w:id="115" w:name="_Toc363154002"/>
      <w:bookmarkStart w:id="116" w:name="_Toc363154003"/>
      <w:bookmarkStart w:id="117" w:name="_Toc363154004"/>
      <w:bookmarkStart w:id="118" w:name="_Toc363154005"/>
      <w:bookmarkStart w:id="119" w:name="_Toc363154008"/>
      <w:bookmarkStart w:id="120" w:name="_Toc363154016"/>
      <w:bookmarkStart w:id="121" w:name="_Toc363154017"/>
      <w:bookmarkStart w:id="122" w:name="_Toc363154018"/>
      <w:bookmarkStart w:id="123" w:name="_Toc363154019"/>
      <w:bookmarkStart w:id="124" w:name="_Toc363154020"/>
      <w:bookmarkStart w:id="125" w:name="_Toc363154021"/>
      <w:bookmarkStart w:id="126" w:name="_Toc363154022"/>
      <w:bookmarkStart w:id="127" w:name="_Toc363154023"/>
      <w:bookmarkStart w:id="128" w:name="_Toc363154024"/>
      <w:bookmarkStart w:id="129" w:name="_Toc363154025"/>
      <w:bookmarkStart w:id="130" w:name="_Toc363154026"/>
      <w:bookmarkStart w:id="131" w:name="_Toc363154027"/>
      <w:bookmarkStart w:id="132" w:name="_Toc363154028"/>
      <w:bookmarkStart w:id="133" w:name="_Toc363154029"/>
      <w:bookmarkStart w:id="134" w:name="_Toc363154030"/>
      <w:bookmarkStart w:id="135" w:name="_Toc363154031"/>
      <w:bookmarkStart w:id="136" w:name="_Toc363154032"/>
      <w:bookmarkStart w:id="137" w:name="_Toc363154033"/>
      <w:bookmarkStart w:id="138" w:name="_Toc363154034"/>
      <w:bookmarkStart w:id="139" w:name="_Toc363154035"/>
      <w:bookmarkStart w:id="140" w:name="_Toc363154036"/>
      <w:bookmarkStart w:id="141" w:name="_Toc363154037"/>
      <w:bookmarkStart w:id="142" w:name="_Toc363154038"/>
      <w:bookmarkStart w:id="143" w:name="_Toc363154039"/>
      <w:bookmarkStart w:id="144" w:name="_Toc363154040"/>
      <w:bookmarkStart w:id="145" w:name="_Toc363154041"/>
      <w:bookmarkStart w:id="146" w:name="_Toc363154042"/>
      <w:bookmarkStart w:id="147" w:name="_Toc363154043"/>
      <w:bookmarkStart w:id="148" w:name="_Toc363154044"/>
      <w:bookmarkStart w:id="149" w:name="_Toc363154045"/>
      <w:bookmarkStart w:id="150" w:name="_Toc363154046"/>
      <w:bookmarkStart w:id="151" w:name="_Toc363154047"/>
      <w:bookmarkStart w:id="152" w:name="_Toc363154048"/>
      <w:bookmarkStart w:id="153" w:name="_Toc363154049"/>
      <w:bookmarkStart w:id="154" w:name="_Toc363154050"/>
      <w:bookmarkStart w:id="155" w:name="_Toc363154051"/>
      <w:bookmarkStart w:id="156" w:name="_Toc363154052"/>
      <w:bookmarkStart w:id="157" w:name="_Toc363154053"/>
      <w:bookmarkStart w:id="158" w:name="_Toc363154054"/>
      <w:bookmarkStart w:id="159" w:name="_Toc363154055"/>
      <w:bookmarkStart w:id="160" w:name="_Toc363154056"/>
      <w:bookmarkStart w:id="161" w:name="_Toc363154057"/>
      <w:bookmarkStart w:id="162" w:name="_Toc363154058"/>
      <w:bookmarkStart w:id="163" w:name="_Toc363154059"/>
      <w:bookmarkStart w:id="164" w:name="_Toc363154060"/>
      <w:bookmarkStart w:id="165" w:name="_Toc363154061"/>
      <w:bookmarkStart w:id="166" w:name="_Toc363154062"/>
      <w:bookmarkStart w:id="167" w:name="_Toc363154063"/>
      <w:bookmarkStart w:id="168" w:name="_Toc363154064"/>
      <w:bookmarkStart w:id="169" w:name="_Toc363154065"/>
      <w:bookmarkStart w:id="170" w:name="_Toc363154066"/>
      <w:bookmarkStart w:id="171" w:name="_Toc363154067"/>
      <w:bookmarkStart w:id="172" w:name="_Toc363154068"/>
      <w:bookmarkStart w:id="173" w:name="_Toc363154069"/>
      <w:bookmarkStart w:id="174" w:name="_Toc363154070"/>
      <w:bookmarkStart w:id="175" w:name="_Toc363154071"/>
      <w:bookmarkStart w:id="176" w:name="_Toc363154072"/>
      <w:bookmarkStart w:id="177" w:name="_Toc363154073"/>
      <w:bookmarkStart w:id="178" w:name="_Toc363154074"/>
      <w:bookmarkStart w:id="179" w:name="_Toc363154075"/>
      <w:bookmarkStart w:id="180" w:name="_Toc363154076"/>
      <w:bookmarkStart w:id="181" w:name="_Toc363154077"/>
      <w:bookmarkStart w:id="182" w:name="_Toc363154078"/>
      <w:bookmarkStart w:id="183" w:name="_Toc363154079"/>
      <w:bookmarkStart w:id="184" w:name="_Toc363154080"/>
      <w:bookmarkStart w:id="185" w:name="_Toc363154081"/>
      <w:bookmarkStart w:id="186" w:name="_Toc363154083"/>
      <w:bookmarkStart w:id="187" w:name="_Toc363154084"/>
      <w:bookmarkStart w:id="188" w:name="_Toc363154085"/>
      <w:bookmarkStart w:id="189" w:name="_Toc363154086"/>
      <w:bookmarkStart w:id="190" w:name="_Toc363154087"/>
      <w:bookmarkStart w:id="191" w:name="_Toc363154088"/>
      <w:bookmarkStart w:id="192" w:name="_Toc363154089"/>
      <w:bookmarkStart w:id="193" w:name="_Toc363154090"/>
      <w:bookmarkStart w:id="194" w:name="_Toc363154091"/>
      <w:bookmarkStart w:id="195" w:name="_Toc363154092"/>
      <w:bookmarkStart w:id="196" w:name="_Toc363154093"/>
      <w:bookmarkStart w:id="197" w:name="_Toc363154094"/>
      <w:bookmarkStart w:id="198" w:name="_Toc363154095"/>
      <w:bookmarkStart w:id="199" w:name="_Toc363154096"/>
      <w:bookmarkStart w:id="200" w:name="_Toc363154097"/>
      <w:bookmarkStart w:id="201" w:name="_Toc363154098"/>
      <w:bookmarkStart w:id="202" w:name="_Toc363154099"/>
      <w:bookmarkStart w:id="203" w:name="_Toc363154100"/>
      <w:bookmarkStart w:id="204" w:name="_Toc36315410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Fonts w:ascii="Calibri" w:hAnsi="Calibri" w:cs="Calibri"/>
          <w:color w:val="000000"/>
          <w:sz w:val="32"/>
          <w:szCs w:val="32"/>
        </w:rPr>
        <w:t>General Comment</w:t>
      </w:r>
    </w:p>
    <w:p w:rsidR="001554EE" w:rsidRDefault="001554EE" w:rsidP="00262155">
      <w:pPr>
        <w:autoSpaceDE w:val="0"/>
        <w:autoSpaceDN w:val="0"/>
        <w:adjustRightInd w:val="0"/>
        <w:spacing w:line="240" w:lineRule="auto"/>
        <w:jc w:val="left"/>
        <w:rPr>
          <w:rFonts w:ascii="Calibri" w:hAnsi="Calibri" w:cs="Calibri"/>
          <w:color w:val="000000"/>
          <w:sz w:val="32"/>
          <w:szCs w:val="32"/>
        </w:rPr>
      </w:pPr>
    </w:p>
    <w:p w:rsidR="001554EE" w:rsidRDefault="001554EE" w:rsidP="00262155">
      <w:pPr>
        <w:autoSpaceDE w:val="0"/>
        <w:autoSpaceDN w:val="0"/>
        <w:adjustRightInd w:val="0"/>
        <w:spacing w:line="240" w:lineRule="auto"/>
        <w:jc w:val="left"/>
        <w:rPr>
          <w:rFonts w:ascii="Calibri" w:hAnsi="Calibri" w:cs="Calibri"/>
          <w:color w:val="000000"/>
          <w:sz w:val="22"/>
          <w:szCs w:val="22"/>
        </w:rPr>
      </w:pPr>
      <w:r w:rsidRPr="001554EE">
        <w:rPr>
          <w:rFonts w:ascii="Calibri" w:hAnsi="Calibri" w:cs="Calibri"/>
          <w:color w:val="000000"/>
          <w:sz w:val="22"/>
          <w:szCs w:val="22"/>
        </w:rPr>
        <w:t>Smart Payments Association (SPA)</w:t>
      </w:r>
      <w:r>
        <w:rPr>
          <w:rFonts w:ascii="Calibri" w:hAnsi="Calibri" w:cs="Calibri"/>
          <w:color w:val="000000"/>
          <w:sz w:val="32"/>
          <w:szCs w:val="32"/>
        </w:rPr>
        <w:t xml:space="preserve"> </w:t>
      </w:r>
      <w:r w:rsidR="00E61E01">
        <w:rPr>
          <w:rFonts w:ascii="Calibri" w:hAnsi="Calibri" w:cs="Calibri"/>
          <w:color w:val="000000"/>
          <w:sz w:val="22"/>
          <w:szCs w:val="22"/>
        </w:rPr>
        <w:t>thanks EBA for the opportunity given to participate in the Public Consultation of the EBA guidelines</w:t>
      </w:r>
      <w:r w:rsidRPr="001554EE">
        <w:rPr>
          <w:rFonts w:ascii="Calibri" w:hAnsi="Calibri" w:cs="Calibri"/>
          <w:color w:val="000000"/>
          <w:sz w:val="22"/>
          <w:szCs w:val="22"/>
        </w:rPr>
        <w:t>.</w:t>
      </w:r>
      <w:r>
        <w:rPr>
          <w:rFonts w:ascii="Calibri" w:hAnsi="Calibri" w:cs="Calibri"/>
          <w:color w:val="000000"/>
          <w:sz w:val="22"/>
          <w:szCs w:val="22"/>
        </w:rPr>
        <w:t xml:space="preserve"> It is </w:t>
      </w:r>
      <w:r w:rsidR="00E61E01">
        <w:rPr>
          <w:rFonts w:ascii="Calibri" w:hAnsi="Calibri" w:cs="Calibri"/>
          <w:color w:val="000000"/>
          <w:sz w:val="22"/>
          <w:szCs w:val="22"/>
        </w:rPr>
        <w:t xml:space="preserve">however to us </w:t>
      </w:r>
      <w:r>
        <w:rPr>
          <w:rFonts w:ascii="Calibri" w:hAnsi="Calibri" w:cs="Calibri"/>
          <w:color w:val="000000"/>
          <w:sz w:val="22"/>
          <w:szCs w:val="22"/>
        </w:rPr>
        <w:t>unclear whether comments are requested on the different clauses of the EBA Guidelines or</w:t>
      </w:r>
      <w:r w:rsidR="00E61E01">
        <w:rPr>
          <w:rFonts w:ascii="Calibri" w:hAnsi="Calibri" w:cs="Calibri"/>
          <w:color w:val="000000"/>
          <w:sz w:val="22"/>
          <w:szCs w:val="22"/>
        </w:rPr>
        <w:t xml:space="preserve"> </w:t>
      </w:r>
      <w:r>
        <w:rPr>
          <w:rFonts w:ascii="Calibri" w:hAnsi="Calibri" w:cs="Calibri"/>
          <w:color w:val="000000"/>
          <w:sz w:val="22"/>
          <w:szCs w:val="22"/>
        </w:rPr>
        <w:t xml:space="preserve">just </w:t>
      </w:r>
      <w:r w:rsidR="00D54E27">
        <w:rPr>
          <w:rFonts w:ascii="Calibri" w:hAnsi="Calibri" w:cs="Calibri"/>
          <w:color w:val="000000"/>
          <w:sz w:val="22"/>
          <w:szCs w:val="22"/>
        </w:rPr>
        <w:t xml:space="preserve">a response </w:t>
      </w:r>
      <w:proofErr w:type="gramStart"/>
      <w:r w:rsidR="00D54E27">
        <w:rPr>
          <w:rFonts w:ascii="Calibri" w:hAnsi="Calibri" w:cs="Calibri"/>
          <w:color w:val="000000"/>
          <w:sz w:val="22"/>
          <w:szCs w:val="22"/>
        </w:rPr>
        <w:t xml:space="preserve">to </w:t>
      </w:r>
      <w:r>
        <w:rPr>
          <w:rFonts w:ascii="Calibri" w:hAnsi="Calibri" w:cs="Calibri"/>
          <w:color w:val="000000"/>
          <w:sz w:val="22"/>
          <w:szCs w:val="22"/>
        </w:rPr>
        <w:t xml:space="preserve">the </w:t>
      </w:r>
      <w:r w:rsidR="00D54E27">
        <w:rPr>
          <w:rFonts w:ascii="Calibri" w:hAnsi="Calibri" w:cs="Calibri"/>
          <w:color w:val="000000"/>
          <w:sz w:val="22"/>
          <w:szCs w:val="22"/>
        </w:rPr>
        <w:t xml:space="preserve">two </w:t>
      </w:r>
      <w:r>
        <w:rPr>
          <w:rFonts w:ascii="Calibri" w:hAnsi="Calibri" w:cs="Calibri"/>
          <w:color w:val="000000"/>
          <w:sz w:val="22"/>
          <w:szCs w:val="22"/>
        </w:rPr>
        <w:t>Consultation Question</w:t>
      </w:r>
      <w:proofErr w:type="gramEnd"/>
      <w:r>
        <w:rPr>
          <w:rFonts w:ascii="Calibri" w:hAnsi="Calibri" w:cs="Calibri"/>
          <w:color w:val="000000"/>
          <w:sz w:val="22"/>
          <w:szCs w:val="22"/>
        </w:rPr>
        <w:t xml:space="preserve"> is </w:t>
      </w:r>
      <w:r w:rsidR="00D54E27">
        <w:rPr>
          <w:rFonts w:ascii="Calibri" w:hAnsi="Calibri" w:cs="Calibri"/>
          <w:color w:val="000000"/>
          <w:sz w:val="22"/>
          <w:szCs w:val="22"/>
        </w:rPr>
        <w:t>necessary</w:t>
      </w:r>
      <w:r w:rsidR="00E919D6">
        <w:rPr>
          <w:rFonts w:ascii="Calibri" w:hAnsi="Calibri" w:cs="Calibri"/>
          <w:color w:val="000000"/>
          <w:sz w:val="22"/>
          <w:szCs w:val="22"/>
        </w:rPr>
        <w:t>.</w:t>
      </w:r>
    </w:p>
    <w:p w:rsidR="001554EE" w:rsidRDefault="001554EE" w:rsidP="00262155">
      <w:pPr>
        <w:autoSpaceDE w:val="0"/>
        <w:autoSpaceDN w:val="0"/>
        <w:adjustRightInd w:val="0"/>
        <w:spacing w:line="240" w:lineRule="auto"/>
        <w:jc w:val="left"/>
        <w:rPr>
          <w:rFonts w:ascii="Calibri" w:hAnsi="Calibri" w:cs="Calibri"/>
          <w:color w:val="000000"/>
          <w:sz w:val="22"/>
          <w:szCs w:val="22"/>
        </w:rPr>
      </w:pPr>
    </w:p>
    <w:p w:rsidR="00262155" w:rsidRPr="00E919D6" w:rsidRDefault="00262155" w:rsidP="00262155">
      <w:pPr>
        <w:autoSpaceDE w:val="0"/>
        <w:autoSpaceDN w:val="0"/>
        <w:adjustRightInd w:val="0"/>
        <w:spacing w:line="240" w:lineRule="auto"/>
        <w:jc w:val="left"/>
        <w:rPr>
          <w:rFonts w:ascii="Calibri" w:hAnsi="Calibri" w:cs="Calibri"/>
          <w:b/>
          <w:color w:val="000000"/>
          <w:sz w:val="32"/>
          <w:szCs w:val="32"/>
        </w:rPr>
      </w:pPr>
      <w:r w:rsidRPr="00E919D6">
        <w:rPr>
          <w:rFonts w:ascii="Calibri" w:hAnsi="Calibri" w:cs="Calibri"/>
          <w:b/>
          <w:color w:val="000000"/>
          <w:sz w:val="32"/>
          <w:szCs w:val="32"/>
        </w:rPr>
        <w:t xml:space="preserve">Consultation Question </w:t>
      </w:r>
    </w:p>
    <w:p w:rsidR="00262155" w:rsidRPr="00E919D6" w:rsidRDefault="00262155" w:rsidP="00262155">
      <w:pPr>
        <w:autoSpaceDE w:val="0"/>
        <w:autoSpaceDN w:val="0"/>
        <w:adjustRightInd w:val="0"/>
        <w:spacing w:line="240" w:lineRule="auto"/>
        <w:jc w:val="left"/>
        <w:rPr>
          <w:rFonts w:ascii="Calibri" w:hAnsi="Calibri" w:cs="Calibri"/>
          <w:b/>
          <w:color w:val="000000"/>
          <w:sz w:val="22"/>
          <w:szCs w:val="22"/>
        </w:rPr>
      </w:pPr>
      <w:r w:rsidRPr="00E919D6">
        <w:rPr>
          <w:rFonts w:ascii="Calibri" w:hAnsi="Calibri" w:cs="Calibri"/>
          <w:b/>
          <w:color w:val="000000"/>
          <w:sz w:val="22"/>
          <w:szCs w:val="22"/>
        </w:rPr>
        <w:t xml:space="preserve">Question: Do you prefer for the EBA guidelines </w:t>
      </w:r>
    </w:p>
    <w:p w:rsidR="00992D54" w:rsidRDefault="00992D54" w:rsidP="00262155">
      <w:pPr>
        <w:autoSpaceDE w:val="0"/>
        <w:autoSpaceDN w:val="0"/>
        <w:adjustRightInd w:val="0"/>
        <w:spacing w:after="238" w:line="240" w:lineRule="auto"/>
        <w:jc w:val="left"/>
        <w:rPr>
          <w:rFonts w:ascii="Calibri" w:hAnsi="Calibri" w:cs="Calibri"/>
          <w:color w:val="000000"/>
          <w:sz w:val="22"/>
          <w:szCs w:val="22"/>
        </w:rPr>
      </w:pPr>
    </w:p>
    <w:p w:rsidR="00262155" w:rsidRPr="00981563" w:rsidRDefault="00262155" w:rsidP="00262155">
      <w:pPr>
        <w:autoSpaceDE w:val="0"/>
        <w:autoSpaceDN w:val="0"/>
        <w:adjustRightInd w:val="0"/>
        <w:spacing w:after="238" w:line="240" w:lineRule="auto"/>
        <w:jc w:val="left"/>
        <w:rPr>
          <w:rFonts w:ascii="Calibri" w:hAnsi="Calibri" w:cs="Calibri"/>
          <w:b/>
          <w:color w:val="000000"/>
          <w:sz w:val="22"/>
          <w:szCs w:val="22"/>
        </w:rPr>
      </w:pPr>
      <w:r w:rsidRPr="00981563">
        <w:rPr>
          <w:rFonts w:ascii="Calibri" w:hAnsi="Calibri" w:cs="Calibri"/>
          <w:b/>
          <w:color w:val="000000"/>
          <w:sz w:val="22"/>
          <w:szCs w:val="22"/>
        </w:rPr>
        <w:t xml:space="preserve">a) to enter into force, as consulted, on 1 August 2015 with the substance set out in this consultation paper, which means they would apply during a transitional period until stronger requirements enter into force at a later date under PSD 2 (i.e. a two-step approach); or </w:t>
      </w:r>
    </w:p>
    <w:p w:rsidR="00857907" w:rsidRPr="00857907" w:rsidRDefault="00857907" w:rsidP="00857907">
      <w:pPr>
        <w:autoSpaceDE w:val="0"/>
        <w:autoSpaceDN w:val="0"/>
        <w:adjustRightInd w:val="0"/>
        <w:spacing w:line="240" w:lineRule="auto"/>
        <w:jc w:val="left"/>
        <w:rPr>
          <w:rFonts w:ascii="Calibri" w:hAnsi="Calibri" w:cs="Calibri"/>
          <w:b/>
          <w:color w:val="000000"/>
          <w:sz w:val="22"/>
          <w:szCs w:val="22"/>
        </w:rPr>
      </w:pPr>
      <w:r w:rsidRPr="00857907">
        <w:rPr>
          <w:rFonts w:ascii="Calibri" w:hAnsi="Calibri" w:cs="Calibri"/>
          <w:b/>
          <w:color w:val="000000"/>
          <w:sz w:val="22"/>
          <w:szCs w:val="22"/>
        </w:rPr>
        <w:t>Solution a) pro's</w:t>
      </w:r>
    </w:p>
    <w:p w:rsidR="00857907" w:rsidRDefault="00857907" w:rsidP="00857907">
      <w:pPr>
        <w:autoSpaceDE w:val="0"/>
        <w:autoSpaceDN w:val="0"/>
        <w:adjustRightInd w:val="0"/>
        <w:spacing w:line="240" w:lineRule="auto"/>
        <w:jc w:val="left"/>
        <w:rPr>
          <w:rFonts w:ascii="Calibri" w:hAnsi="Calibri" w:cs="Calibri"/>
          <w:color w:val="000000"/>
          <w:sz w:val="22"/>
          <w:szCs w:val="22"/>
        </w:rPr>
      </w:pPr>
    </w:p>
    <w:p w:rsidR="00857907" w:rsidRDefault="00857907" w:rsidP="00857907">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1. This 2-step process, suggests that (1</w:t>
      </w:r>
      <w:proofErr w:type="gramStart"/>
      <w:r>
        <w:rPr>
          <w:rFonts w:ascii="Calibri" w:hAnsi="Calibri" w:cs="Calibri"/>
          <w:color w:val="000000"/>
          <w:sz w:val="22"/>
          <w:szCs w:val="22"/>
        </w:rPr>
        <w:t>)  the</w:t>
      </w:r>
      <w:proofErr w:type="gramEnd"/>
      <w:r>
        <w:rPr>
          <w:rFonts w:ascii="Calibri" w:hAnsi="Calibri" w:cs="Calibri"/>
          <w:color w:val="000000"/>
          <w:sz w:val="22"/>
          <w:szCs w:val="22"/>
        </w:rPr>
        <w:t xml:space="preserve"> final date for the publication of the PSD2 remains uncertain and (2) in between some initiative is to be undertaken to tackle down the expected increase in fraud related to online transactions. This is certainly a possible approach.  </w:t>
      </w:r>
    </w:p>
    <w:p w:rsidR="00857907" w:rsidRDefault="00857907" w:rsidP="00857907">
      <w:pPr>
        <w:autoSpaceDE w:val="0"/>
        <w:autoSpaceDN w:val="0"/>
        <w:adjustRightInd w:val="0"/>
        <w:spacing w:line="240" w:lineRule="auto"/>
        <w:jc w:val="left"/>
        <w:rPr>
          <w:rFonts w:ascii="Calibri" w:hAnsi="Calibri" w:cs="Calibri"/>
          <w:color w:val="000000"/>
          <w:sz w:val="22"/>
          <w:szCs w:val="22"/>
        </w:rPr>
      </w:pPr>
    </w:p>
    <w:p w:rsidR="000F0EBC" w:rsidRDefault="00857907" w:rsidP="00857907">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2. If we accept the EBA guidelines as they are</w:t>
      </w:r>
      <w:r w:rsidR="00A377F0">
        <w:rPr>
          <w:rFonts w:ascii="Calibri" w:hAnsi="Calibri" w:cs="Calibri"/>
          <w:color w:val="000000"/>
          <w:sz w:val="22"/>
          <w:szCs w:val="22"/>
        </w:rPr>
        <w:t xml:space="preserve"> knowing </w:t>
      </w:r>
      <w:r>
        <w:rPr>
          <w:rFonts w:ascii="Calibri" w:hAnsi="Calibri" w:cs="Calibri"/>
          <w:color w:val="000000"/>
          <w:sz w:val="22"/>
          <w:szCs w:val="22"/>
        </w:rPr>
        <w:t xml:space="preserve"> that </w:t>
      </w:r>
      <w:r w:rsidR="00A377F0">
        <w:rPr>
          <w:rFonts w:ascii="Calibri" w:hAnsi="Calibri" w:cs="Calibri"/>
          <w:color w:val="000000"/>
          <w:sz w:val="22"/>
          <w:szCs w:val="22"/>
        </w:rPr>
        <w:t xml:space="preserve">"stronger recommendations" are coming up, this  </w:t>
      </w:r>
      <w:r>
        <w:rPr>
          <w:rFonts w:ascii="Calibri" w:hAnsi="Calibri" w:cs="Calibri"/>
          <w:color w:val="000000"/>
          <w:sz w:val="22"/>
          <w:szCs w:val="22"/>
        </w:rPr>
        <w:t xml:space="preserve">means that the comments now will not be considered </w:t>
      </w:r>
      <w:r w:rsidR="00A377F0">
        <w:rPr>
          <w:rFonts w:ascii="Calibri" w:hAnsi="Calibri" w:cs="Calibri"/>
          <w:color w:val="000000"/>
          <w:sz w:val="22"/>
          <w:szCs w:val="22"/>
        </w:rPr>
        <w:t>but there is chance for them to</w:t>
      </w:r>
      <w:r>
        <w:rPr>
          <w:rFonts w:ascii="Calibri" w:hAnsi="Calibri" w:cs="Calibri"/>
          <w:color w:val="000000"/>
          <w:sz w:val="22"/>
          <w:szCs w:val="22"/>
        </w:rPr>
        <w:t xml:space="preserve"> be integrated in the future PSD2</w:t>
      </w:r>
      <w:r>
        <w:rPr>
          <w:rFonts w:ascii="Calibri" w:hAnsi="Calibri" w:cs="Calibri"/>
          <w:color w:val="000000"/>
          <w:sz w:val="22"/>
          <w:szCs w:val="22"/>
        </w:rPr>
        <w:t xml:space="preserve">. </w:t>
      </w:r>
      <w:r w:rsidR="00A377F0">
        <w:rPr>
          <w:rFonts w:ascii="Calibri" w:hAnsi="Calibri" w:cs="Calibri"/>
          <w:color w:val="000000"/>
          <w:sz w:val="22"/>
          <w:szCs w:val="22"/>
        </w:rPr>
        <w:t xml:space="preserve"> </w:t>
      </w:r>
    </w:p>
    <w:p w:rsidR="000F0EBC" w:rsidRDefault="000F0EBC" w:rsidP="00857907">
      <w:pPr>
        <w:autoSpaceDE w:val="0"/>
        <w:autoSpaceDN w:val="0"/>
        <w:adjustRightInd w:val="0"/>
        <w:spacing w:line="240" w:lineRule="auto"/>
        <w:jc w:val="left"/>
        <w:rPr>
          <w:rFonts w:ascii="Calibri" w:hAnsi="Calibri" w:cs="Calibri"/>
          <w:color w:val="000000"/>
          <w:sz w:val="22"/>
          <w:szCs w:val="22"/>
        </w:rPr>
      </w:pPr>
    </w:p>
    <w:p w:rsidR="00857907" w:rsidRDefault="000F0EBC" w:rsidP="00857907">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 xml:space="preserve">3.  </w:t>
      </w:r>
      <w:proofErr w:type="gramStart"/>
      <w:r>
        <w:rPr>
          <w:rFonts w:ascii="Calibri" w:hAnsi="Calibri" w:cs="Calibri"/>
          <w:color w:val="000000"/>
          <w:sz w:val="22"/>
          <w:szCs w:val="22"/>
        </w:rPr>
        <w:t>If  the</w:t>
      </w:r>
      <w:proofErr w:type="gramEnd"/>
      <w:r>
        <w:rPr>
          <w:rFonts w:ascii="Calibri" w:hAnsi="Calibri" w:cs="Calibri"/>
          <w:color w:val="000000"/>
          <w:sz w:val="22"/>
          <w:szCs w:val="22"/>
        </w:rPr>
        <w:t xml:space="preserve"> PSD2 is released long after August 2015, there will be some in-field feedback on the effectiveness of EBA Guidelines to tackle down fraud. PSD2 then might serve to upgrade the initial set of security requirements set out by the EBA Guidelines</w:t>
      </w:r>
      <w:r w:rsidR="00857907">
        <w:rPr>
          <w:rFonts w:ascii="Calibri" w:hAnsi="Calibri" w:cs="Calibri"/>
          <w:color w:val="000000"/>
          <w:sz w:val="22"/>
          <w:szCs w:val="22"/>
        </w:rPr>
        <w:t>.</w:t>
      </w:r>
      <w:r w:rsidR="00857907">
        <w:rPr>
          <w:rFonts w:ascii="Calibri" w:hAnsi="Calibri" w:cs="Calibri"/>
          <w:color w:val="000000"/>
          <w:sz w:val="22"/>
          <w:szCs w:val="22"/>
        </w:rPr>
        <w:t xml:space="preserve"> </w:t>
      </w:r>
    </w:p>
    <w:p w:rsidR="00857907" w:rsidRDefault="00857907" w:rsidP="00262155">
      <w:pPr>
        <w:autoSpaceDE w:val="0"/>
        <w:autoSpaceDN w:val="0"/>
        <w:adjustRightInd w:val="0"/>
        <w:spacing w:line="240" w:lineRule="auto"/>
        <w:jc w:val="left"/>
        <w:rPr>
          <w:rFonts w:ascii="Calibri" w:hAnsi="Calibri" w:cs="Calibri"/>
          <w:b/>
          <w:color w:val="000000"/>
          <w:sz w:val="24"/>
        </w:rPr>
      </w:pPr>
    </w:p>
    <w:p w:rsidR="00857907" w:rsidRDefault="00857907" w:rsidP="00262155">
      <w:pPr>
        <w:autoSpaceDE w:val="0"/>
        <w:autoSpaceDN w:val="0"/>
        <w:adjustRightInd w:val="0"/>
        <w:spacing w:line="240" w:lineRule="auto"/>
        <w:jc w:val="left"/>
        <w:rPr>
          <w:rFonts w:ascii="Calibri" w:hAnsi="Calibri" w:cs="Calibri"/>
          <w:b/>
          <w:color w:val="000000"/>
          <w:sz w:val="24"/>
        </w:rPr>
      </w:pPr>
    </w:p>
    <w:p w:rsidR="00857907" w:rsidRDefault="00857907" w:rsidP="00262155">
      <w:pPr>
        <w:autoSpaceDE w:val="0"/>
        <w:autoSpaceDN w:val="0"/>
        <w:adjustRightInd w:val="0"/>
        <w:spacing w:line="240" w:lineRule="auto"/>
        <w:jc w:val="left"/>
        <w:rPr>
          <w:rFonts w:ascii="Calibri" w:hAnsi="Calibri" w:cs="Calibri"/>
          <w:b/>
          <w:color w:val="000000"/>
          <w:sz w:val="24"/>
        </w:rPr>
      </w:pPr>
    </w:p>
    <w:p w:rsidR="00235D06" w:rsidRPr="00235D06" w:rsidRDefault="00235D06" w:rsidP="00262155">
      <w:pPr>
        <w:autoSpaceDE w:val="0"/>
        <w:autoSpaceDN w:val="0"/>
        <w:adjustRightInd w:val="0"/>
        <w:spacing w:line="240" w:lineRule="auto"/>
        <w:jc w:val="left"/>
        <w:rPr>
          <w:rFonts w:ascii="Calibri" w:hAnsi="Calibri" w:cs="Calibri"/>
          <w:b/>
          <w:color w:val="000000"/>
          <w:sz w:val="24"/>
        </w:rPr>
      </w:pPr>
      <w:r w:rsidRPr="00235D06">
        <w:rPr>
          <w:rFonts w:ascii="Calibri" w:hAnsi="Calibri" w:cs="Calibri"/>
          <w:b/>
          <w:color w:val="000000"/>
          <w:sz w:val="24"/>
        </w:rPr>
        <w:t xml:space="preserve">Solution a) </w:t>
      </w:r>
      <w:r>
        <w:rPr>
          <w:rFonts w:ascii="Calibri" w:hAnsi="Calibri" w:cs="Calibri"/>
          <w:b/>
          <w:color w:val="000000"/>
          <w:sz w:val="24"/>
        </w:rPr>
        <w:t>c</w:t>
      </w:r>
      <w:r w:rsidRPr="00235D06">
        <w:rPr>
          <w:rFonts w:ascii="Calibri" w:hAnsi="Calibri" w:cs="Calibri"/>
          <w:b/>
          <w:color w:val="000000"/>
          <w:sz w:val="24"/>
        </w:rPr>
        <w:t>o</w:t>
      </w:r>
      <w:r>
        <w:rPr>
          <w:rFonts w:ascii="Calibri" w:hAnsi="Calibri" w:cs="Calibri"/>
          <w:b/>
          <w:color w:val="000000"/>
          <w:sz w:val="24"/>
        </w:rPr>
        <w:t>n</w:t>
      </w:r>
      <w:r w:rsidRPr="00235D06">
        <w:rPr>
          <w:rFonts w:ascii="Calibri" w:hAnsi="Calibri" w:cs="Calibri"/>
          <w:b/>
          <w:color w:val="000000"/>
          <w:sz w:val="24"/>
        </w:rPr>
        <w:t>'s</w:t>
      </w:r>
    </w:p>
    <w:p w:rsidR="00235D06" w:rsidRDefault="00235D06" w:rsidP="00262155">
      <w:pPr>
        <w:autoSpaceDE w:val="0"/>
        <w:autoSpaceDN w:val="0"/>
        <w:adjustRightInd w:val="0"/>
        <w:spacing w:line="240" w:lineRule="auto"/>
        <w:jc w:val="left"/>
        <w:rPr>
          <w:rFonts w:ascii="Calibri" w:hAnsi="Calibri" w:cs="Calibri"/>
          <w:color w:val="000000"/>
          <w:sz w:val="22"/>
          <w:szCs w:val="22"/>
        </w:rPr>
      </w:pPr>
    </w:p>
    <w:p w:rsidR="001554EE" w:rsidRDefault="00857907" w:rsidP="00262155">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 xml:space="preserve">1. </w:t>
      </w:r>
      <w:r w:rsidR="00992D54">
        <w:rPr>
          <w:rFonts w:ascii="Calibri" w:hAnsi="Calibri" w:cs="Calibri"/>
          <w:color w:val="000000"/>
          <w:sz w:val="22"/>
          <w:szCs w:val="22"/>
        </w:rPr>
        <w:t>The</w:t>
      </w:r>
      <w:r w:rsidR="000F0EBC">
        <w:rPr>
          <w:rFonts w:ascii="Calibri" w:hAnsi="Calibri" w:cs="Calibri"/>
          <w:color w:val="000000"/>
          <w:sz w:val="22"/>
          <w:szCs w:val="22"/>
        </w:rPr>
        <w:t xml:space="preserve">re </w:t>
      </w:r>
      <w:proofErr w:type="gramStart"/>
      <w:r w:rsidR="000F0EBC">
        <w:rPr>
          <w:rFonts w:ascii="Calibri" w:hAnsi="Calibri" w:cs="Calibri"/>
          <w:color w:val="000000"/>
          <w:sz w:val="22"/>
          <w:szCs w:val="22"/>
        </w:rPr>
        <w:t xml:space="preserve">is </w:t>
      </w:r>
      <w:r w:rsidR="00992D54">
        <w:rPr>
          <w:rFonts w:ascii="Calibri" w:hAnsi="Calibri" w:cs="Calibri"/>
          <w:color w:val="000000"/>
          <w:sz w:val="22"/>
          <w:szCs w:val="22"/>
        </w:rPr>
        <w:t xml:space="preserve"> </w:t>
      </w:r>
      <w:r w:rsidR="000F0EBC">
        <w:rPr>
          <w:rFonts w:ascii="Calibri" w:hAnsi="Calibri" w:cs="Calibri"/>
          <w:color w:val="000000"/>
          <w:sz w:val="22"/>
          <w:szCs w:val="22"/>
        </w:rPr>
        <w:t>market</w:t>
      </w:r>
      <w:proofErr w:type="gramEnd"/>
      <w:r w:rsidR="006212E4">
        <w:rPr>
          <w:rFonts w:ascii="Calibri" w:hAnsi="Calibri" w:cs="Calibri"/>
          <w:color w:val="000000"/>
          <w:sz w:val="22"/>
          <w:szCs w:val="22"/>
        </w:rPr>
        <w:t xml:space="preserve"> confusion </w:t>
      </w:r>
      <w:r w:rsidR="000F0EBC">
        <w:rPr>
          <w:rFonts w:ascii="Calibri" w:hAnsi="Calibri" w:cs="Calibri"/>
          <w:color w:val="000000"/>
          <w:sz w:val="22"/>
          <w:szCs w:val="22"/>
        </w:rPr>
        <w:t xml:space="preserve"> due to </w:t>
      </w:r>
      <w:r w:rsidR="00D46CDF">
        <w:rPr>
          <w:rFonts w:ascii="Calibri" w:hAnsi="Calibri" w:cs="Calibri"/>
          <w:color w:val="000000"/>
          <w:sz w:val="22"/>
          <w:szCs w:val="22"/>
        </w:rPr>
        <w:t xml:space="preserve">the </w:t>
      </w:r>
      <w:r w:rsidR="00981563">
        <w:rPr>
          <w:rFonts w:ascii="Calibri" w:hAnsi="Calibri" w:cs="Calibri"/>
          <w:color w:val="000000"/>
          <w:sz w:val="22"/>
          <w:szCs w:val="22"/>
        </w:rPr>
        <w:t xml:space="preserve">apparent </w:t>
      </w:r>
      <w:r w:rsidR="00D46CDF">
        <w:rPr>
          <w:rFonts w:ascii="Calibri" w:hAnsi="Calibri" w:cs="Calibri"/>
          <w:color w:val="000000"/>
          <w:sz w:val="22"/>
          <w:szCs w:val="22"/>
        </w:rPr>
        <w:t>coexistence of different regulatory frameworks</w:t>
      </w:r>
      <w:r w:rsidR="00981563">
        <w:rPr>
          <w:rFonts w:ascii="Calibri" w:hAnsi="Calibri" w:cs="Calibri"/>
          <w:color w:val="000000"/>
          <w:sz w:val="22"/>
          <w:szCs w:val="22"/>
        </w:rPr>
        <w:t xml:space="preserve">  ( </w:t>
      </w:r>
      <w:proofErr w:type="spellStart"/>
      <w:r w:rsidR="00981563">
        <w:rPr>
          <w:rFonts w:ascii="Calibri" w:hAnsi="Calibri" w:cs="Calibri"/>
          <w:color w:val="000000"/>
          <w:sz w:val="22"/>
          <w:szCs w:val="22"/>
        </w:rPr>
        <w:t>SecurePay</w:t>
      </w:r>
      <w:proofErr w:type="spellEnd"/>
      <w:r w:rsidR="006824EE">
        <w:rPr>
          <w:rFonts w:ascii="Calibri" w:hAnsi="Calibri" w:cs="Calibri"/>
          <w:color w:val="000000"/>
          <w:sz w:val="22"/>
          <w:szCs w:val="22"/>
        </w:rPr>
        <w:t xml:space="preserve"> </w:t>
      </w:r>
      <w:r w:rsidR="00FB52BB">
        <w:rPr>
          <w:rFonts w:ascii="Calibri" w:hAnsi="Calibri" w:cs="Calibri"/>
          <w:color w:val="000000"/>
          <w:sz w:val="22"/>
          <w:szCs w:val="22"/>
        </w:rPr>
        <w:t xml:space="preserve">recommendation for </w:t>
      </w:r>
      <w:r w:rsidR="006824EE">
        <w:rPr>
          <w:rFonts w:ascii="Calibri" w:hAnsi="Calibri" w:cs="Calibri"/>
          <w:color w:val="000000"/>
          <w:sz w:val="22"/>
          <w:szCs w:val="22"/>
        </w:rPr>
        <w:t xml:space="preserve">n e-commerce </w:t>
      </w:r>
      <w:r w:rsidR="00FB52BB">
        <w:rPr>
          <w:rFonts w:ascii="Calibri" w:hAnsi="Calibri" w:cs="Calibri"/>
          <w:color w:val="000000"/>
          <w:sz w:val="22"/>
          <w:szCs w:val="22"/>
        </w:rPr>
        <w:t>,</w:t>
      </w:r>
      <w:r w:rsidR="006824EE">
        <w:rPr>
          <w:rFonts w:ascii="Calibri" w:hAnsi="Calibri" w:cs="Calibri"/>
          <w:color w:val="000000"/>
          <w:sz w:val="22"/>
          <w:szCs w:val="22"/>
        </w:rPr>
        <w:t xml:space="preserve"> m-commerce</w:t>
      </w:r>
      <w:r w:rsidR="00FB52BB">
        <w:rPr>
          <w:rFonts w:ascii="Calibri" w:hAnsi="Calibri" w:cs="Calibri"/>
          <w:color w:val="000000"/>
          <w:sz w:val="22"/>
          <w:szCs w:val="22"/>
        </w:rPr>
        <w:t xml:space="preserve"> and TPP</w:t>
      </w:r>
      <w:r w:rsidR="00981563">
        <w:rPr>
          <w:rFonts w:ascii="Calibri" w:hAnsi="Calibri" w:cs="Calibri"/>
          <w:color w:val="000000"/>
          <w:sz w:val="22"/>
          <w:szCs w:val="22"/>
        </w:rPr>
        <w:t>,</w:t>
      </w:r>
      <w:r w:rsidR="00235D06">
        <w:rPr>
          <w:rFonts w:ascii="Calibri" w:hAnsi="Calibri" w:cs="Calibri"/>
          <w:color w:val="000000"/>
          <w:sz w:val="22"/>
          <w:szCs w:val="22"/>
        </w:rPr>
        <w:t xml:space="preserve">PSD1,  </w:t>
      </w:r>
      <w:r w:rsidR="00981563">
        <w:rPr>
          <w:rFonts w:ascii="Calibri" w:hAnsi="Calibri" w:cs="Calibri"/>
          <w:color w:val="000000"/>
          <w:sz w:val="22"/>
          <w:szCs w:val="22"/>
        </w:rPr>
        <w:t xml:space="preserve"> PSD2, </w:t>
      </w:r>
      <w:r w:rsidR="006824EE">
        <w:rPr>
          <w:rFonts w:ascii="Calibri" w:hAnsi="Calibri" w:cs="Calibri"/>
          <w:color w:val="000000"/>
          <w:sz w:val="22"/>
          <w:szCs w:val="22"/>
        </w:rPr>
        <w:t>EBA Guidelines, CSG Volume Book 4</w:t>
      </w:r>
      <w:r w:rsidR="00235D06">
        <w:rPr>
          <w:rFonts w:ascii="Calibri" w:hAnsi="Calibri" w:cs="Calibri"/>
          <w:color w:val="000000"/>
          <w:sz w:val="22"/>
          <w:szCs w:val="22"/>
        </w:rPr>
        <w:t xml:space="preserve"> + National Regu</w:t>
      </w:r>
      <w:r w:rsidR="006824EE">
        <w:rPr>
          <w:rFonts w:ascii="Calibri" w:hAnsi="Calibri" w:cs="Calibri"/>
          <w:color w:val="000000"/>
          <w:sz w:val="22"/>
          <w:szCs w:val="22"/>
        </w:rPr>
        <w:t>l</w:t>
      </w:r>
      <w:r w:rsidR="00235D06">
        <w:rPr>
          <w:rFonts w:ascii="Calibri" w:hAnsi="Calibri" w:cs="Calibri"/>
          <w:color w:val="000000"/>
          <w:sz w:val="22"/>
          <w:szCs w:val="22"/>
        </w:rPr>
        <w:t>a</w:t>
      </w:r>
      <w:r w:rsidR="006824EE">
        <w:rPr>
          <w:rFonts w:ascii="Calibri" w:hAnsi="Calibri" w:cs="Calibri"/>
          <w:color w:val="000000"/>
          <w:sz w:val="22"/>
          <w:szCs w:val="22"/>
        </w:rPr>
        <w:t>tions )</w:t>
      </w:r>
      <w:r w:rsidR="00D46CDF">
        <w:rPr>
          <w:rFonts w:ascii="Calibri" w:hAnsi="Calibri" w:cs="Calibri"/>
          <w:color w:val="000000"/>
          <w:sz w:val="22"/>
          <w:szCs w:val="22"/>
        </w:rPr>
        <w:t xml:space="preserve">, their </w:t>
      </w:r>
      <w:r w:rsidR="000F0EBC">
        <w:rPr>
          <w:rFonts w:ascii="Calibri" w:hAnsi="Calibri" w:cs="Calibri"/>
          <w:color w:val="000000"/>
          <w:sz w:val="22"/>
          <w:szCs w:val="22"/>
        </w:rPr>
        <w:t xml:space="preserve">respective </w:t>
      </w:r>
      <w:r w:rsidR="00D46CDF">
        <w:rPr>
          <w:rFonts w:ascii="Calibri" w:hAnsi="Calibri" w:cs="Calibri"/>
          <w:color w:val="000000"/>
          <w:sz w:val="22"/>
          <w:szCs w:val="22"/>
        </w:rPr>
        <w:t>gaps and overlaps</w:t>
      </w:r>
      <w:r w:rsidR="000F0EBC">
        <w:rPr>
          <w:rFonts w:ascii="Calibri" w:hAnsi="Calibri" w:cs="Calibri"/>
          <w:color w:val="000000"/>
          <w:sz w:val="22"/>
          <w:szCs w:val="22"/>
        </w:rPr>
        <w:t xml:space="preserve">, which EU countries have to implement them as well as </w:t>
      </w:r>
      <w:r w:rsidR="00981563">
        <w:rPr>
          <w:rFonts w:ascii="Calibri" w:hAnsi="Calibri" w:cs="Calibri"/>
          <w:color w:val="000000"/>
          <w:sz w:val="22"/>
          <w:szCs w:val="22"/>
        </w:rPr>
        <w:t xml:space="preserve">deadlines </w:t>
      </w:r>
      <w:r w:rsidR="006824EE">
        <w:rPr>
          <w:rFonts w:ascii="Calibri" w:hAnsi="Calibri" w:cs="Calibri"/>
          <w:color w:val="000000"/>
          <w:sz w:val="22"/>
          <w:szCs w:val="22"/>
        </w:rPr>
        <w:t>for implementation</w:t>
      </w:r>
      <w:r w:rsidR="00D46CDF">
        <w:rPr>
          <w:rFonts w:ascii="Calibri" w:hAnsi="Calibri" w:cs="Calibri"/>
          <w:color w:val="000000"/>
          <w:sz w:val="22"/>
          <w:szCs w:val="22"/>
        </w:rPr>
        <w:t>.</w:t>
      </w:r>
      <w:r>
        <w:rPr>
          <w:rFonts w:ascii="Calibri" w:hAnsi="Calibri" w:cs="Calibri"/>
          <w:color w:val="000000"/>
          <w:sz w:val="22"/>
          <w:szCs w:val="22"/>
        </w:rPr>
        <w:t xml:space="preserve"> This 2-step process makes things more complex.</w:t>
      </w:r>
    </w:p>
    <w:p w:rsidR="006824EE" w:rsidRDefault="006824EE" w:rsidP="00262155">
      <w:pPr>
        <w:autoSpaceDE w:val="0"/>
        <w:autoSpaceDN w:val="0"/>
        <w:adjustRightInd w:val="0"/>
        <w:spacing w:line="240" w:lineRule="auto"/>
        <w:jc w:val="left"/>
        <w:rPr>
          <w:rFonts w:ascii="Calibri" w:hAnsi="Calibri" w:cs="Calibri"/>
          <w:color w:val="000000"/>
          <w:sz w:val="22"/>
          <w:szCs w:val="22"/>
        </w:rPr>
      </w:pPr>
    </w:p>
    <w:p w:rsidR="00857907" w:rsidRDefault="00857907" w:rsidP="00262155">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 xml:space="preserve">2. </w:t>
      </w:r>
      <w:r w:rsidR="006824EE">
        <w:rPr>
          <w:rFonts w:ascii="Calibri" w:hAnsi="Calibri" w:cs="Calibri"/>
          <w:color w:val="000000"/>
          <w:sz w:val="22"/>
          <w:szCs w:val="22"/>
        </w:rPr>
        <w:t xml:space="preserve">From the Vendors prospective it is difficult to anticipate the demand and approve the product roadmap without knowing which these "stronger requirements in PSD2" will be.  For our clients, the problem is similar. </w:t>
      </w:r>
    </w:p>
    <w:p w:rsidR="00857907" w:rsidRDefault="00857907" w:rsidP="00262155">
      <w:pPr>
        <w:autoSpaceDE w:val="0"/>
        <w:autoSpaceDN w:val="0"/>
        <w:adjustRightInd w:val="0"/>
        <w:spacing w:line="240" w:lineRule="auto"/>
        <w:jc w:val="left"/>
        <w:rPr>
          <w:rFonts w:ascii="Calibri" w:hAnsi="Calibri" w:cs="Calibri"/>
          <w:color w:val="000000"/>
          <w:sz w:val="22"/>
          <w:szCs w:val="22"/>
        </w:rPr>
      </w:pPr>
    </w:p>
    <w:p w:rsidR="006824EE" w:rsidRDefault="00857907" w:rsidP="00262155">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 xml:space="preserve">3. </w:t>
      </w:r>
      <w:r w:rsidR="00BA21A4">
        <w:rPr>
          <w:rFonts w:ascii="Calibri" w:hAnsi="Calibri" w:cs="Calibri"/>
          <w:color w:val="000000"/>
          <w:sz w:val="22"/>
          <w:szCs w:val="22"/>
        </w:rPr>
        <w:t>T</w:t>
      </w:r>
      <w:r w:rsidR="006824EE">
        <w:rPr>
          <w:rFonts w:ascii="Calibri" w:hAnsi="Calibri" w:cs="Calibri"/>
          <w:color w:val="000000"/>
          <w:sz w:val="22"/>
          <w:szCs w:val="22"/>
        </w:rPr>
        <w:t>here is little incentive to update payment systems when you know that the current set of requirements is going to evolve. Meaning this intermediate time until the publication of the PSD2 is lost</w:t>
      </w:r>
      <w:r w:rsidR="00235D06">
        <w:rPr>
          <w:rFonts w:ascii="Calibri" w:hAnsi="Calibri" w:cs="Calibri"/>
          <w:color w:val="000000"/>
          <w:sz w:val="22"/>
          <w:szCs w:val="22"/>
        </w:rPr>
        <w:t xml:space="preserve"> … and we still </w:t>
      </w:r>
      <w:r w:rsidR="006824EE">
        <w:rPr>
          <w:rFonts w:ascii="Calibri" w:hAnsi="Calibri" w:cs="Calibri"/>
          <w:color w:val="000000"/>
          <w:sz w:val="22"/>
          <w:szCs w:val="22"/>
        </w:rPr>
        <w:t xml:space="preserve">ignore when the PSD2 will be published. </w:t>
      </w:r>
      <w:r w:rsidR="00A377F0">
        <w:rPr>
          <w:rFonts w:ascii="Calibri" w:hAnsi="Calibri" w:cs="Calibri"/>
          <w:color w:val="000000"/>
          <w:sz w:val="22"/>
          <w:szCs w:val="22"/>
        </w:rPr>
        <w:t xml:space="preserve"> </w:t>
      </w:r>
      <w:proofErr w:type="gramStart"/>
      <w:r w:rsidR="00A377F0">
        <w:rPr>
          <w:rFonts w:ascii="Calibri" w:hAnsi="Calibri" w:cs="Calibri"/>
          <w:color w:val="000000"/>
          <w:sz w:val="22"/>
          <w:szCs w:val="22"/>
        </w:rPr>
        <w:t>Difficult to invest in this context.</w:t>
      </w:r>
      <w:proofErr w:type="gramEnd"/>
    </w:p>
    <w:p w:rsidR="00A377F0" w:rsidRDefault="00A377F0" w:rsidP="00262155">
      <w:pPr>
        <w:autoSpaceDE w:val="0"/>
        <w:autoSpaceDN w:val="0"/>
        <w:adjustRightInd w:val="0"/>
        <w:spacing w:line="240" w:lineRule="auto"/>
        <w:jc w:val="left"/>
        <w:rPr>
          <w:rFonts w:ascii="Calibri" w:hAnsi="Calibri" w:cs="Calibri"/>
          <w:color w:val="000000"/>
          <w:sz w:val="22"/>
          <w:szCs w:val="22"/>
        </w:rPr>
      </w:pPr>
    </w:p>
    <w:p w:rsidR="00A377F0" w:rsidRDefault="00A377F0" w:rsidP="00262155">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lastRenderedPageBreak/>
        <w:t xml:space="preserve">4. A security issue is created meaning, the coexistence of (1) legacy systems,(2) systems designed to comply with </w:t>
      </w:r>
      <w:proofErr w:type="spellStart"/>
      <w:r>
        <w:rPr>
          <w:rFonts w:ascii="Calibri" w:hAnsi="Calibri" w:cs="Calibri"/>
          <w:color w:val="000000"/>
          <w:sz w:val="22"/>
          <w:szCs w:val="22"/>
        </w:rPr>
        <w:t>SecurePay</w:t>
      </w:r>
      <w:proofErr w:type="spellEnd"/>
      <w:r>
        <w:rPr>
          <w:rFonts w:ascii="Calibri" w:hAnsi="Calibri" w:cs="Calibri"/>
          <w:color w:val="000000"/>
          <w:sz w:val="22"/>
          <w:szCs w:val="22"/>
        </w:rPr>
        <w:t xml:space="preserve">  (3) systems compliant with </w:t>
      </w:r>
      <w:proofErr w:type="spellStart"/>
      <w:r>
        <w:rPr>
          <w:rFonts w:ascii="Calibri" w:hAnsi="Calibri" w:cs="Calibri"/>
          <w:color w:val="000000"/>
          <w:sz w:val="22"/>
          <w:szCs w:val="22"/>
        </w:rPr>
        <w:t>SecurePay</w:t>
      </w:r>
      <w:proofErr w:type="spellEnd"/>
      <w:r>
        <w:rPr>
          <w:rFonts w:ascii="Calibri" w:hAnsi="Calibri" w:cs="Calibri"/>
          <w:color w:val="000000"/>
          <w:sz w:val="22"/>
          <w:szCs w:val="22"/>
        </w:rPr>
        <w:t xml:space="preserve"> but featuring</w:t>
      </w:r>
      <w:r w:rsidR="000F0EBC">
        <w:rPr>
          <w:rFonts w:ascii="Calibri" w:hAnsi="Calibri" w:cs="Calibri"/>
          <w:color w:val="000000"/>
          <w:sz w:val="22"/>
          <w:szCs w:val="22"/>
        </w:rPr>
        <w:t xml:space="preserve"> additional security properties with different levels of </w:t>
      </w:r>
      <w:r w:rsidR="00BA21A4">
        <w:rPr>
          <w:rFonts w:ascii="Calibri" w:hAnsi="Calibri" w:cs="Calibri"/>
          <w:color w:val="000000"/>
          <w:sz w:val="22"/>
          <w:szCs w:val="22"/>
        </w:rPr>
        <w:t>certification creates security holes</w:t>
      </w:r>
      <w:r w:rsidR="000F0EBC">
        <w:rPr>
          <w:rFonts w:ascii="Calibri" w:hAnsi="Calibri" w:cs="Calibri"/>
          <w:color w:val="000000"/>
          <w:sz w:val="22"/>
          <w:szCs w:val="22"/>
        </w:rPr>
        <w:t xml:space="preserve"> …. </w:t>
      </w:r>
      <w:r w:rsidR="00BA21A4">
        <w:rPr>
          <w:rFonts w:ascii="Calibri" w:hAnsi="Calibri" w:cs="Calibri"/>
          <w:color w:val="000000"/>
          <w:sz w:val="22"/>
          <w:szCs w:val="22"/>
        </w:rPr>
        <w:t xml:space="preserve">All these systems </w:t>
      </w:r>
      <w:r w:rsidR="000F0EBC">
        <w:rPr>
          <w:rFonts w:ascii="Calibri" w:hAnsi="Calibri" w:cs="Calibri"/>
          <w:color w:val="000000"/>
          <w:sz w:val="22"/>
          <w:szCs w:val="22"/>
        </w:rPr>
        <w:t>have to be monitored and the consumer protected</w:t>
      </w:r>
      <w:r>
        <w:rPr>
          <w:rFonts w:ascii="Calibri" w:hAnsi="Calibri" w:cs="Calibri"/>
          <w:color w:val="000000"/>
          <w:sz w:val="22"/>
          <w:szCs w:val="22"/>
        </w:rPr>
        <w:t xml:space="preserve"> </w:t>
      </w:r>
    </w:p>
    <w:p w:rsidR="00235D06" w:rsidRDefault="00235D06" w:rsidP="00262155">
      <w:pPr>
        <w:autoSpaceDE w:val="0"/>
        <w:autoSpaceDN w:val="0"/>
        <w:adjustRightInd w:val="0"/>
        <w:spacing w:line="240" w:lineRule="auto"/>
        <w:jc w:val="left"/>
        <w:rPr>
          <w:rFonts w:ascii="Calibri" w:hAnsi="Calibri" w:cs="Calibri"/>
          <w:color w:val="000000"/>
          <w:sz w:val="22"/>
          <w:szCs w:val="22"/>
        </w:rPr>
      </w:pPr>
    </w:p>
    <w:p w:rsidR="00992D54" w:rsidRDefault="00992D54" w:rsidP="00262155">
      <w:pPr>
        <w:autoSpaceDE w:val="0"/>
        <w:autoSpaceDN w:val="0"/>
        <w:adjustRightInd w:val="0"/>
        <w:spacing w:line="240" w:lineRule="auto"/>
        <w:jc w:val="left"/>
        <w:rPr>
          <w:rFonts w:ascii="Calibri" w:hAnsi="Calibri" w:cs="Calibri"/>
          <w:color w:val="000000"/>
          <w:sz w:val="22"/>
          <w:szCs w:val="22"/>
        </w:rPr>
      </w:pPr>
    </w:p>
    <w:p w:rsidR="009E6A6E" w:rsidRPr="00E61E01" w:rsidRDefault="00262155" w:rsidP="00262155">
      <w:pPr>
        <w:autoSpaceDE w:val="0"/>
        <w:autoSpaceDN w:val="0"/>
        <w:adjustRightInd w:val="0"/>
        <w:spacing w:line="240" w:lineRule="auto"/>
        <w:jc w:val="left"/>
        <w:rPr>
          <w:rFonts w:ascii="Calibri" w:hAnsi="Calibri" w:cs="Calibri"/>
          <w:b/>
          <w:color w:val="000000"/>
          <w:sz w:val="22"/>
          <w:szCs w:val="22"/>
        </w:rPr>
      </w:pPr>
      <w:r w:rsidRPr="00E61E01">
        <w:rPr>
          <w:rFonts w:ascii="Calibri" w:hAnsi="Calibri" w:cs="Calibri"/>
          <w:b/>
          <w:color w:val="000000"/>
          <w:sz w:val="22"/>
          <w:szCs w:val="22"/>
        </w:rPr>
        <w:t>b) to anticipate these stronger PSD 2 requirements and include them in the final guidelines under PSD 1 that enter into force on 1 August 2015, the substance of which would then continue to apply under PS</w:t>
      </w:r>
      <w:r w:rsidR="009E6A6E" w:rsidRPr="00E61E01">
        <w:rPr>
          <w:rFonts w:ascii="Calibri" w:hAnsi="Calibri" w:cs="Calibri"/>
          <w:b/>
          <w:color w:val="000000"/>
          <w:sz w:val="22"/>
          <w:szCs w:val="22"/>
        </w:rPr>
        <w:t>2</w:t>
      </w:r>
    </w:p>
    <w:p w:rsidR="009E6A6E" w:rsidRDefault="009E6A6E" w:rsidP="00262155">
      <w:pPr>
        <w:autoSpaceDE w:val="0"/>
        <w:autoSpaceDN w:val="0"/>
        <w:adjustRightInd w:val="0"/>
        <w:spacing w:line="240" w:lineRule="auto"/>
        <w:jc w:val="left"/>
        <w:rPr>
          <w:rFonts w:ascii="Calibri" w:hAnsi="Calibri" w:cs="Calibri"/>
          <w:color w:val="000000"/>
          <w:sz w:val="22"/>
          <w:szCs w:val="22"/>
        </w:rPr>
      </w:pPr>
    </w:p>
    <w:p w:rsidR="00BA21A4" w:rsidRPr="00235D06" w:rsidRDefault="00BA21A4" w:rsidP="00BA21A4">
      <w:pPr>
        <w:autoSpaceDE w:val="0"/>
        <w:autoSpaceDN w:val="0"/>
        <w:adjustRightInd w:val="0"/>
        <w:spacing w:line="240" w:lineRule="auto"/>
        <w:jc w:val="left"/>
        <w:rPr>
          <w:rFonts w:ascii="Calibri" w:hAnsi="Calibri" w:cs="Calibri"/>
          <w:b/>
          <w:color w:val="000000"/>
          <w:sz w:val="24"/>
        </w:rPr>
      </w:pPr>
      <w:r w:rsidRPr="00235D06">
        <w:rPr>
          <w:rFonts w:ascii="Calibri" w:hAnsi="Calibri" w:cs="Calibri"/>
          <w:b/>
          <w:color w:val="000000"/>
          <w:sz w:val="24"/>
        </w:rPr>
        <w:t xml:space="preserve">Solution </w:t>
      </w:r>
      <w:r>
        <w:rPr>
          <w:rFonts w:ascii="Calibri" w:hAnsi="Calibri" w:cs="Calibri"/>
          <w:b/>
          <w:color w:val="000000"/>
          <w:sz w:val="24"/>
        </w:rPr>
        <w:t>b</w:t>
      </w:r>
      <w:r w:rsidRPr="00235D06">
        <w:rPr>
          <w:rFonts w:ascii="Calibri" w:hAnsi="Calibri" w:cs="Calibri"/>
          <w:b/>
          <w:color w:val="000000"/>
          <w:sz w:val="24"/>
        </w:rPr>
        <w:t xml:space="preserve">) </w:t>
      </w:r>
      <w:r>
        <w:rPr>
          <w:rFonts w:ascii="Calibri" w:hAnsi="Calibri" w:cs="Calibri"/>
          <w:b/>
          <w:color w:val="000000"/>
          <w:sz w:val="24"/>
        </w:rPr>
        <w:t>pro</w:t>
      </w:r>
      <w:r w:rsidRPr="00235D06">
        <w:rPr>
          <w:rFonts w:ascii="Calibri" w:hAnsi="Calibri" w:cs="Calibri"/>
          <w:b/>
          <w:color w:val="000000"/>
          <w:sz w:val="24"/>
        </w:rPr>
        <w:t>'s</w:t>
      </w:r>
    </w:p>
    <w:p w:rsidR="00BA21A4" w:rsidRDefault="00BA21A4" w:rsidP="00BA21A4">
      <w:pPr>
        <w:autoSpaceDE w:val="0"/>
        <w:autoSpaceDN w:val="0"/>
        <w:adjustRightInd w:val="0"/>
        <w:spacing w:line="240" w:lineRule="auto"/>
        <w:jc w:val="left"/>
        <w:rPr>
          <w:rFonts w:ascii="Calibri" w:hAnsi="Calibri" w:cs="Calibri"/>
          <w:color w:val="000000"/>
          <w:sz w:val="22"/>
          <w:szCs w:val="22"/>
        </w:rPr>
      </w:pPr>
    </w:p>
    <w:p w:rsidR="00BA21A4" w:rsidRDefault="00BA21A4" w:rsidP="00BA21A4">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 xml:space="preserve">1. </w:t>
      </w:r>
      <w:r>
        <w:rPr>
          <w:rFonts w:ascii="Calibri" w:hAnsi="Calibri" w:cs="Calibri"/>
          <w:color w:val="000000"/>
          <w:sz w:val="22"/>
          <w:szCs w:val="22"/>
        </w:rPr>
        <w:t>We create a robust security framework for online payments into force since August 15. The message is clear: security is paramount and must be implemented.  A high level of security is required for any system.</w:t>
      </w:r>
    </w:p>
    <w:p w:rsidR="00BA21A4" w:rsidRDefault="00BA21A4" w:rsidP="00BA21A4">
      <w:pPr>
        <w:autoSpaceDE w:val="0"/>
        <w:autoSpaceDN w:val="0"/>
        <w:adjustRightInd w:val="0"/>
        <w:spacing w:line="240" w:lineRule="auto"/>
        <w:jc w:val="left"/>
        <w:rPr>
          <w:rFonts w:ascii="Calibri" w:hAnsi="Calibri" w:cs="Calibri"/>
          <w:color w:val="000000"/>
          <w:sz w:val="22"/>
          <w:szCs w:val="22"/>
        </w:rPr>
      </w:pPr>
    </w:p>
    <w:p w:rsidR="00BA21A4" w:rsidRDefault="00BA21A4" w:rsidP="00BA21A4">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2.  New online payment solutions have to align with this strong framework. The consumer is protected. Safe innovation becomes a reality</w:t>
      </w:r>
      <w:r w:rsidR="002147C4">
        <w:rPr>
          <w:rFonts w:ascii="Calibri" w:hAnsi="Calibri" w:cs="Calibri"/>
          <w:color w:val="000000"/>
          <w:sz w:val="22"/>
          <w:szCs w:val="22"/>
        </w:rPr>
        <w:t>, because security is to be integrated early in the design process of any new payment product</w:t>
      </w:r>
      <w:r>
        <w:rPr>
          <w:rFonts w:ascii="Calibri" w:hAnsi="Calibri" w:cs="Calibri"/>
          <w:color w:val="000000"/>
          <w:sz w:val="22"/>
          <w:szCs w:val="22"/>
        </w:rPr>
        <w:t xml:space="preserve">.  </w:t>
      </w:r>
      <w:proofErr w:type="gramStart"/>
      <w:r w:rsidR="00E61E01">
        <w:rPr>
          <w:rFonts w:ascii="Calibri" w:hAnsi="Calibri" w:cs="Calibri"/>
          <w:color w:val="000000"/>
          <w:sz w:val="22"/>
          <w:szCs w:val="22"/>
        </w:rPr>
        <w:t>Users  will</w:t>
      </w:r>
      <w:proofErr w:type="gramEnd"/>
      <w:r w:rsidR="00E61E01">
        <w:rPr>
          <w:rFonts w:ascii="Calibri" w:hAnsi="Calibri" w:cs="Calibri"/>
          <w:color w:val="000000"/>
          <w:sz w:val="22"/>
          <w:szCs w:val="22"/>
        </w:rPr>
        <w:t xml:space="preserve"> </w:t>
      </w:r>
      <w:r>
        <w:rPr>
          <w:rFonts w:ascii="Calibri" w:hAnsi="Calibri" w:cs="Calibri"/>
          <w:color w:val="000000"/>
          <w:sz w:val="22"/>
          <w:szCs w:val="22"/>
        </w:rPr>
        <w:t xml:space="preserve">decide between solutions equivalent from the security point of view but which </w:t>
      </w:r>
      <w:r w:rsidR="003F5814">
        <w:rPr>
          <w:rFonts w:ascii="Calibri" w:hAnsi="Calibri" w:cs="Calibri"/>
          <w:color w:val="000000"/>
          <w:sz w:val="22"/>
          <w:szCs w:val="22"/>
        </w:rPr>
        <w:t xml:space="preserve">still </w:t>
      </w:r>
      <w:r>
        <w:rPr>
          <w:rFonts w:ascii="Calibri" w:hAnsi="Calibri" w:cs="Calibri"/>
          <w:color w:val="000000"/>
          <w:sz w:val="22"/>
          <w:szCs w:val="22"/>
        </w:rPr>
        <w:t>differentiate by their ease of use</w:t>
      </w:r>
      <w:r w:rsidR="003F5814">
        <w:rPr>
          <w:rFonts w:ascii="Calibri" w:hAnsi="Calibri" w:cs="Calibri"/>
          <w:color w:val="000000"/>
          <w:sz w:val="22"/>
          <w:szCs w:val="22"/>
        </w:rPr>
        <w:t xml:space="preserve"> or other </w:t>
      </w:r>
      <w:r w:rsidR="002147C4">
        <w:rPr>
          <w:rFonts w:ascii="Calibri" w:hAnsi="Calibri" w:cs="Calibri"/>
          <w:color w:val="000000"/>
          <w:sz w:val="22"/>
          <w:szCs w:val="22"/>
        </w:rPr>
        <w:t>person</w:t>
      </w:r>
      <w:r w:rsidR="003F5814">
        <w:rPr>
          <w:rFonts w:ascii="Calibri" w:hAnsi="Calibri" w:cs="Calibri"/>
          <w:color w:val="000000"/>
          <w:sz w:val="22"/>
          <w:szCs w:val="22"/>
        </w:rPr>
        <w:t>al advantages</w:t>
      </w:r>
      <w:r>
        <w:rPr>
          <w:rFonts w:ascii="Calibri" w:hAnsi="Calibri" w:cs="Calibri"/>
          <w:color w:val="000000"/>
          <w:sz w:val="22"/>
          <w:szCs w:val="22"/>
        </w:rPr>
        <w:t xml:space="preserve"> </w:t>
      </w:r>
    </w:p>
    <w:p w:rsidR="00BA21A4" w:rsidRDefault="00BA21A4" w:rsidP="00BA21A4">
      <w:pPr>
        <w:autoSpaceDE w:val="0"/>
        <w:autoSpaceDN w:val="0"/>
        <w:adjustRightInd w:val="0"/>
        <w:spacing w:line="240" w:lineRule="auto"/>
        <w:jc w:val="left"/>
        <w:rPr>
          <w:rFonts w:ascii="Calibri" w:hAnsi="Calibri" w:cs="Calibri"/>
          <w:color w:val="000000"/>
          <w:sz w:val="22"/>
          <w:szCs w:val="22"/>
        </w:rPr>
      </w:pPr>
    </w:p>
    <w:p w:rsidR="00BA21A4" w:rsidRDefault="003F5814" w:rsidP="00BA21A4">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3</w:t>
      </w:r>
      <w:r w:rsidR="00BA21A4">
        <w:rPr>
          <w:rFonts w:ascii="Calibri" w:hAnsi="Calibri" w:cs="Calibri"/>
          <w:color w:val="000000"/>
          <w:sz w:val="22"/>
          <w:szCs w:val="22"/>
        </w:rPr>
        <w:t xml:space="preserve">. From the Vendors prospective </w:t>
      </w:r>
      <w:r>
        <w:rPr>
          <w:rFonts w:ascii="Calibri" w:hAnsi="Calibri" w:cs="Calibri"/>
          <w:color w:val="000000"/>
          <w:sz w:val="22"/>
          <w:szCs w:val="22"/>
        </w:rPr>
        <w:t>the boundaries and requirements are set. The demand can be anticipated and the solutions reengineered.  Discussions on PSD2 may focus on other areas than security. The security of online systems no longer relies on the timelines for the publication and transition period to be set out by PSD2.</w:t>
      </w:r>
    </w:p>
    <w:p w:rsidR="00BA21A4" w:rsidRDefault="00BA21A4" w:rsidP="00BA21A4">
      <w:pPr>
        <w:autoSpaceDE w:val="0"/>
        <w:autoSpaceDN w:val="0"/>
        <w:adjustRightInd w:val="0"/>
        <w:spacing w:line="240" w:lineRule="auto"/>
        <w:jc w:val="left"/>
        <w:rPr>
          <w:rFonts w:ascii="Calibri" w:hAnsi="Calibri" w:cs="Calibri"/>
          <w:color w:val="000000"/>
          <w:sz w:val="22"/>
          <w:szCs w:val="22"/>
        </w:rPr>
      </w:pPr>
    </w:p>
    <w:p w:rsidR="00BA21A4" w:rsidRDefault="002147C4" w:rsidP="00262155">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 xml:space="preserve">4. There is a strong inventive for endorsement, despite the fact that waivers for implementation </w:t>
      </w:r>
      <w:r w:rsidR="001B77ED">
        <w:rPr>
          <w:rFonts w:ascii="Calibri" w:hAnsi="Calibri" w:cs="Calibri"/>
          <w:color w:val="000000"/>
          <w:sz w:val="22"/>
          <w:szCs w:val="22"/>
        </w:rPr>
        <w:t xml:space="preserve">not compliant with the regulation </w:t>
      </w:r>
      <w:r>
        <w:rPr>
          <w:rFonts w:ascii="Calibri" w:hAnsi="Calibri" w:cs="Calibri"/>
          <w:color w:val="000000"/>
          <w:sz w:val="22"/>
          <w:szCs w:val="22"/>
        </w:rPr>
        <w:t xml:space="preserve">might be </w:t>
      </w:r>
      <w:r w:rsidR="001B77ED">
        <w:rPr>
          <w:rFonts w:ascii="Calibri" w:hAnsi="Calibri" w:cs="Calibri"/>
          <w:color w:val="000000"/>
          <w:sz w:val="22"/>
          <w:szCs w:val="22"/>
        </w:rPr>
        <w:t>possible</w:t>
      </w:r>
      <w:r>
        <w:rPr>
          <w:rFonts w:ascii="Calibri" w:hAnsi="Calibri" w:cs="Calibri"/>
          <w:color w:val="000000"/>
          <w:sz w:val="22"/>
          <w:szCs w:val="22"/>
        </w:rPr>
        <w:t>.</w:t>
      </w:r>
      <w:r w:rsidR="001B77ED">
        <w:rPr>
          <w:rFonts w:ascii="Calibri" w:hAnsi="Calibri" w:cs="Calibri"/>
          <w:color w:val="000000"/>
          <w:sz w:val="22"/>
          <w:szCs w:val="22"/>
        </w:rPr>
        <w:t xml:space="preserve"> With high-standards for security set and endorsed, hackers will focus on those online solutions perceived as weaker.</w:t>
      </w:r>
      <w:r>
        <w:rPr>
          <w:rFonts w:ascii="Calibri" w:hAnsi="Calibri" w:cs="Calibri"/>
          <w:color w:val="000000"/>
          <w:sz w:val="22"/>
          <w:szCs w:val="22"/>
        </w:rPr>
        <w:t xml:space="preserve"> </w:t>
      </w:r>
    </w:p>
    <w:p w:rsidR="00BA21A4" w:rsidRDefault="00BA21A4" w:rsidP="00262155">
      <w:pPr>
        <w:autoSpaceDE w:val="0"/>
        <w:autoSpaceDN w:val="0"/>
        <w:adjustRightInd w:val="0"/>
        <w:spacing w:line="240" w:lineRule="auto"/>
        <w:jc w:val="left"/>
        <w:rPr>
          <w:rFonts w:ascii="Calibri" w:hAnsi="Calibri" w:cs="Calibri"/>
          <w:color w:val="000000"/>
          <w:sz w:val="22"/>
          <w:szCs w:val="22"/>
        </w:rPr>
      </w:pPr>
    </w:p>
    <w:p w:rsidR="00BA21A4" w:rsidRPr="00235D06" w:rsidRDefault="00BA21A4" w:rsidP="00BA21A4">
      <w:pPr>
        <w:autoSpaceDE w:val="0"/>
        <w:autoSpaceDN w:val="0"/>
        <w:adjustRightInd w:val="0"/>
        <w:spacing w:line="240" w:lineRule="auto"/>
        <w:jc w:val="left"/>
        <w:rPr>
          <w:rFonts w:ascii="Calibri" w:hAnsi="Calibri" w:cs="Calibri"/>
          <w:b/>
          <w:color w:val="000000"/>
          <w:sz w:val="24"/>
        </w:rPr>
      </w:pPr>
      <w:r w:rsidRPr="00235D06">
        <w:rPr>
          <w:rFonts w:ascii="Calibri" w:hAnsi="Calibri" w:cs="Calibri"/>
          <w:b/>
          <w:color w:val="000000"/>
          <w:sz w:val="24"/>
        </w:rPr>
        <w:t xml:space="preserve">Solution </w:t>
      </w:r>
      <w:r>
        <w:rPr>
          <w:rFonts w:ascii="Calibri" w:hAnsi="Calibri" w:cs="Calibri"/>
          <w:b/>
          <w:color w:val="000000"/>
          <w:sz w:val="24"/>
        </w:rPr>
        <w:t>b</w:t>
      </w:r>
      <w:r w:rsidRPr="00235D06">
        <w:rPr>
          <w:rFonts w:ascii="Calibri" w:hAnsi="Calibri" w:cs="Calibri"/>
          <w:b/>
          <w:color w:val="000000"/>
          <w:sz w:val="24"/>
        </w:rPr>
        <w:t xml:space="preserve">) </w:t>
      </w:r>
      <w:proofErr w:type="gramStart"/>
      <w:r>
        <w:rPr>
          <w:rFonts w:ascii="Calibri" w:hAnsi="Calibri" w:cs="Calibri"/>
          <w:b/>
          <w:color w:val="000000"/>
          <w:sz w:val="24"/>
        </w:rPr>
        <w:t>c</w:t>
      </w:r>
      <w:r w:rsidRPr="00235D06">
        <w:rPr>
          <w:rFonts w:ascii="Calibri" w:hAnsi="Calibri" w:cs="Calibri"/>
          <w:b/>
          <w:color w:val="000000"/>
          <w:sz w:val="24"/>
        </w:rPr>
        <w:t>o</w:t>
      </w:r>
      <w:r>
        <w:rPr>
          <w:rFonts w:ascii="Calibri" w:hAnsi="Calibri" w:cs="Calibri"/>
          <w:b/>
          <w:color w:val="000000"/>
          <w:sz w:val="24"/>
        </w:rPr>
        <w:t>n</w:t>
      </w:r>
      <w:r w:rsidRPr="00235D06">
        <w:rPr>
          <w:rFonts w:ascii="Calibri" w:hAnsi="Calibri" w:cs="Calibri"/>
          <w:b/>
          <w:color w:val="000000"/>
          <w:sz w:val="24"/>
        </w:rPr>
        <w:t>'s</w:t>
      </w:r>
      <w:proofErr w:type="gramEnd"/>
    </w:p>
    <w:p w:rsidR="00BA21A4" w:rsidRDefault="00BA21A4" w:rsidP="00BA21A4">
      <w:pPr>
        <w:autoSpaceDE w:val="0"/>
        <w:autoSpaceDN w:val="0"/>
        <w:adjustRightInd w:val="0"/>
        <w:spacing w:line="240" w:lineRule="auto"/>
        <w:jc w:val="left"/>
        <w:rPr>
          <w:rFonts w:ascii="Calibri" w:hAnsi="Calibri" w:cs="Calibri"/>
          <w:color w:val="000000"/>
          <w:sz w:val="22"/>
          <w:szCs w:val="22"/>
        </w:rPr>
      </w:pPr>
    </w:p>
    <w:p w:rsidR="00BA21A4" w:rsidRDefault="00BA21A4" w:rsidP="00BA21A4">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 xml:space="preserve">1. </w:t>
      </w:r>
      <w:r w:rsidR="001B77ED">
        <w:rPr>
          <w:rFonts w:ascii="Calibri" w:hAnsi="Calibri" w:cs="Calibri"/>
          <w:color w:val="000000"/>
          <w:sz w:val="22"/>
          <w:szCs w:val="22"/>
        </w:rPr>
        <w:t>The main problem is that companies are</w:t>
      </w:r>
      <w:r w:rsidR="003A68CF">
        <w:rPr>
          <w:rFonts w:ascii="Calibri" w:hAnsi="Calibri" w:cs="Calibri"/>
          <w:color w:val="000000"/>
          <w:sz w:val="22"/>
          <w:szCs w:val="22"/>
        </w:rPr>
        <w:t xml:space="preserve"> currently</w:t>
      </w:r>
      <w:r w:rsidR="001B77ED">
        <w:rPr>
          <w:rFonts w:ascii="Calibri" w:hAnsi="Calibri" w:cs="Calibri"/>
          <w:color w:val="000000"/>
          <w:sz w:val="22"/>
          <w:szCs w:val="22"/>
        </w:rPr>
        <w:t xml:space="preserve"> reengineering their offer of online payment products to align with </w:t>
      </w:r>
      <w:proofErr w:type="spellStart"/>
      <w:r w:rsidR="001B77ED">
        <w:rPr>
          <w:rFonts w:ascii="Calibri" w:hAnsi="Calibri" w:cs="Calibri"/>
          <w:color w:val="000000"/>
          <w:sz w:val="22"/>
          <w:szCs w:val="22"/>
        </w:rPr>
        <w:t>SecurePay</w:t>
      </w:r>
      <w:proofErr w:type="spellEnd"/>
      <w:r w:rsidR="001B77ED">
        <w:rPr>
          <w:rFonts w:ascii="Calibri" w:hAnsi="Calibri" w:cs="Calibri"/>
          <w:color w:val="000000"/>
          <w:sz w:val="22"/>
          <w:szCs w:val="22"/>
        </w:rPr>
        <w:t xml:space="preserve"> </w:t>
      </w:r>
      <w:proofErr w:type="gramStart"/>
      <w:r w:rsidR="001B77ED">
        <w:rPr>
          <w:rFonts w:ascii="Calibri" w:hAnsi="Calibri" w:cs="Calibri"/>
          <w:color w:val="000000"/>
          <w:sz w:val="22"/>
          <w:szCs w:val="22"/>
        </w:rPr>
        <w:t>( or</w:t>
      </w:r>
      <w:proofErr w:type="gramEnd"/>
      <w:r w:rsidR="001B77ED">
        <w:rPr>
          <w:rFonts w:ascii="Calibri" w:hAnsi="Calibri" w:cs="Calibri"/>
          <w:color w:val="000000"/>
          <w:sz w:val="22"/>
          <w:szCs w:val="22"/>
        </w:rPr>
        <w:t xml:space="preserve"> these EBA guidelines presumed very close)</w:t>
      </w:r>
      <w:r w:rsidR="003A68CF">
        <w:rPr>
          <w:rFonts w:ascii="Calibri" w:hAnsi="Calibri" w:cs="Calibri"/>
          <w:color w:val="000000"/>
          <w:sz w:val="22"/>
          <w:szCs w:val="22"/>
        </w:rPr>
        <w:t xml:space="preserve">. These products </w:t>
      </w:r>
      <w:r w:rsidR="001B77ED">
        <w:rPr>
          <w:rFonts w:ascii="Calibri" w:hAnsi="Calibri" w:cs="Calibri"/>
          <w:color w:val="000000"/>
          <w:sz w:val="22"/>
          <w:szCs w:val="22"/>
        </w:rPr>
        <w:t xml:space="preserve">may be outdated </w:t>
      </w:r>
      <w:r w:rsidR="003A68CF">
        <w:rPr>
          <w:rFonts w:ascii="Calibri" w:hAnsi="Calibri" w:cs="Calibri"/>
          <w:color w:val="000000"/>
          <w:sz w:val="22"/>
          <w:szCs w:val="22"/>
        </w:rPr>
        <w:t>before rolled-out</w:t>
      </w:r>
      <w:proofErr w:type="gramStart"/>
      <w:r w:rsidR="003A68CF">
        <w:rPr>
          <w:rFonts w:ascii="Calibri" w:hAnsi="Calibri" w:cs="Calibri"/>
          <w:color w:val="000000"/>
          <w:sz w:val="22"/>
          <w:szCs w:val="22"/>
        </w:rPr>
        <w:t xml:space="preserve">,  </w:t>
      </w:r>
      <w:r w:rsidR="001B77ED">
        <w:rPr>
          <w:rFonts w:ascii="Calibri" w:hAnsi="Calibri" w:cs="Calibri"/>
          <w:color w:val="000000"/>
          <w:sz w:val="22"/>
          <w:szCs w:val="22"/>
        </w:rPr>
        <w:t>if</w:t>
      </w:r>
      <w:proofErr w:type="gramEnd"/>
      <w:r w:rsidR="001B77ED">
        <w:rPr>
          <w:rFonts w:ascii="Calibri" w:hAnsi="Calibri" w:cs="Calibri"/>
          <w:color w:val="000000"/>
          <w:sz w:val="22"/>
          <w:szCs w:val="22"/>
        </w:rPr>
        <w:t xml:space="preserve"> the EBA Guidelines are upgraded </w:t>
      </w:r>
      <w:r w:rsidR="003A68CF">
        <w:rPr>
          <w:rFonts w:ascii="Calibri" w:hAnsi="Calibri" w:cs="Calibri"/>
          <w:color w:val="000000"/>
          <w:sz w:val="22"/>
          <w:szCs w:val="22"/>
        </w:rPr>
        <w:t xml:space="preserve">in August 15 </w:t>
      </w:r>
      <w:r w:rsidR="001B77ED">
        <w:rPr>
          <w:rFonts w:ascii="Calibri" w:hAnsi="Calibri" w:cs="Calibri"/>
          <w:color w:val="000000"/>
          <w:sz w:val="22"/>
          <w:szCs w:val="22"/>
        </w:rPr>
        <w:t xml:space="preserve">with stronger security requirements unknown at </w:t>
      </w:r>
      <w:r w:rsidR="003A68CF">
        <w:rPr>
          <w:rFonts w:ascii="Calibri" w:hAnsi="Calibri" w:cs="Calibri"/>
          <w:color w:val="000000"/>
          <w:sz w:val="22"/>
          <w:szCs w:val="22"/>
        </w:rPr>
        <w:t>p</w:t>
      </w:r>
      <w:r w:rsidR="001B77ED">
        <w:rPr>
          <w:rFonts w:ascii="Calibri" w:hAnsi="Calibri" w:cs="Calibri"/>
          <w:color w:val="000000"/>
          <w:sz w:val="22"/>
          <w:szCs w:val="22"/>
        </w:rPr>
        <w:t>resent.</w:t>
      </w:r>
    </w:p>
    <w:p w:rsidR="00BA21A4" w:rsidRDefault="00BA21A4" w:rsidP="00BA21A4">
      <w:pPr>
        <w:autoSpaceDE w:val="0"/>
        <w:autoSpaceDN w:val="0"/>
        <w:adjustRightInd w:val="0"/>
        <w:spacing w:line="240" w:lineRule="auto"/>
        <w:jc w:val="left"/>
        <w:rPr>
          <w:rFonts w:ascii="Calibri" w:hAnsi="Calibri" w:cs="Calibri"/>
          <w:color w:val="000000"/>
          <w:sz w:val="22"/>
          <w:szCs w:val="22"/>
        </w:rPr>
      </w:pPr>
    </w:p>
    <w:p w:rsidR="00BA21A4" w:rsidRDefault="00BA21A4" w:rsidP="00BA21A4">
      <w:pPr>
        <w:autoSpaceDE w:val="0"/>
        <w:autoSpaceDN w:val="0"/>
        <w:adjustRightInd w:val="0"/>
        <w:spacing w:line="240" w:lineRule="auto"/>
        <w:jc w:val="left"/>
        <w:rPr>
          <w:rFonts w:ascii="Calibri" w:hAnsi="Calibri" w:cs="Calibri"/>
          <w:color w:val="000000"/>
          <w:sz w:val="22"/>
          <w:szCs w:val="22"/>
        </w:rPr>
      </w:pPr>
      <w:r>
        <w:rPr>
          <w:rFonts w:ascii="Calibri" w:hAnsi="Calibri" w:cs="Calibri"/>
          <w:color w:val="000000"/>
          <w:sz w:val="22"/>
          <w:szCs w:val="22"/>
        </w:rPr>
        <w:t xml:space="preserve">2. </w:t>
      </w:r>
      <w:r w:rsidR="001B77ED">
        <w:rPr>
          <w:rFonts w:ascii="Calibri" w:hAnsi="Calibri" w:cs="Calibri"/>
          <w:color w:val="000000"/>
          <w:sz w:val="22"/>
          <w:szCs w:val="22"/>
        </w:rPr>
        <w:t xml:space="preserve">There is no guarantee than in the end PSD2 will still </w:t>
      </w:r>
      <w:r w:rsidR="003A68CF">
        <w:rPr>
          <w:rFonts w:ascii="Calibri" w:hAnsi="Calibri" w:cs="Calibri"/>
          <w:color w:val="000000"/>
          <w:sz w:val="22"/>
          <w:szCs w:val="22"/>
        </w:rPr>
        <w:t>be changing requirements. This may be felt as an inconvenient from the development and certification prospective, but also as a</w:t>
      </w:r>
      <w:r w:rsidR="00E61E01">
        <w:rPr>
          <w:rFonts w:ascii="Calibri" w:hAnsi="Calibri" w:cs="Calibri"/>
          <w:color w:val="000000"/>
          <w:sz w:val="22"/>
          <w:szCs w:val="22"/>
        </w:rPr>
        <w:t xml:space="preserve">n </w:t>
      </w:r>
      <w:r w:rsidR="003A68CF">
        <w:rPr>
          <w:rFonts w:ascii="Calibri" w:hAnsi="Calibri" w:cs="Calibri"/>
          <w:color w:val="000000"/>
          <w:sz w:val="22"/>
          <w:szCs w:val="22"/>
        </w:rPr>
        <w:t xml:space="preserve">option to enhance security if the August 15 Guidelines give rise to implementations featuring security breaches. </w:t>
      </w:r>
    </w:p>
    <w:p w:rsidR="00BA21A4" w:rsidRDefault="00BA21A4" w:rsidP="00262155">
      <w:pPr>
        <w:autoSpaceDE w:val="0"/>
        <w:autoSpaceDN w:val="0"/>
        <w:adjustRightInd w:val="0"/>
        <w:spacing w:line="240" w:lineRule="auto"/>
        <w:jc w:val="left"/>
        <w:rPr>
          <w:rFonts w:ascii="Calibri" w:hAnsi="Calibri" w:cs="Calibri"/>
          <w:color w:val="000000"/>
          <w:sz w:val="22"/>
          <w:szCs w:val="22"/>
        </w:rPr>
      </w:pPr>
    </w:p>
    <w:p w:rsidR="00BA21A4" w:rsidRPr="00E919D6" w:rsidRDefault="00BA21A4" w:rsidP="00262155">
      <w:pPr>
        <w:autoSpaceDE w:val="0"/>
        <w:autoSpaceDN w:val="0"/>
        <w:adjustRightInd w:val="0"/>
        <w:spacing w:line="240" w:lineRule="auto"/>
        <w:jc w:val="left"/>
        <w:rPr>
          <w:rFonts w:ascii="Calibri" w:hAnsi="Calibri" w:cs="Calibri"/>
          <w:b/>
          <w:color w:val="000000"/>
          <w:sz w:val="28"/>
          <w:szCs w:val="28"/>
        </w:rPr>
      </w:pPr>
      <w:r w:rsidRPr="00E919D6">
        <w:rPr>
          <w:rFonts w:ascii="Calibri" w:hAnsi="Calibri" w:cs="Calibri"/>
          <w:b/>
          <w:color w:val="000000"/>
          <w:sz w:val="28"/>
          <w:szCs w:val="28"/>
        </w:rPr>
        <w:t xml:space="preserve">SPA </w:t>
      </w:r>
      <w:r w:rsidR="00167876">
        <w:rPr>
          <w:rFonts w:ascii="Calibri" w:hAnsi="Calibri" w:cs="Calibri"/>
          <w:b/>
          <w:color w:val="000000"/>
          <w:sz w:val="28"/>
          <w:szCs w:val="28"/>
        </w:rPr>
        <w:t>Opinion</w:t>
      </w:r>
      <w:r w:rsidR="00167876" w:rsidRPr="00E919D6">
        <w:rPr>
          <w:rFonts w:ascii="Calibri" w:hAnsi="Calibri" w:cs="Calibri"/>
          <w:b/>
          <w:color w:val="000000"/>
          <w:sz w:val="28"/>
          <w:szCs w:val="28"/>
        </w:rPr>
        <w:t xml:space="preserve"> </w:t>
      </w:r>
    </w:p>
    <w:p w:rsidR="00BA21A4" w:rsidRDefault="00BA21A4" w:rsidP="00262155">
      <w:pPr>
        <w:autoSpaceDE w:val="0"/>
        <w:autoSpaceDN w:val="0"/>
        <w:adjustRightInd w:val="0"/>
        <w:spacing w:line="240" w:lineRule="auto"/>
        <w:jc w:val="left"/>
        <w:rPr>
          <w:rFonts w:ascii="Calibri" w:hAnsi="Calibri" w:cs="Calibri"/>
          <w:color w:val="000000"/>
          <w:sz w:val="22"/>
          <w:szCs w:val="22"/>
        </w:rPr>
      </w:pPr>
    </w:p>
    <w:p w:rsidR="00E61E01" w:rsidRDefault="00E61E01" w:rsidP="00262155">
      <w:pPr>
        <w:autoSpaceDE w:val="0"/>
        <w:autoSpaceDN w:val="0"/>
        <w:adjustRightInd w:val="0"/>
        <w:spacing w:line="240" w:lineRule="auto"/>
        <w:jc w:val="left"/>
        <w:rPr>
          <w:rFonts w:ascii="Calibri" w:hAnsi="Calibri" w:cs="Calibri"/>
          <w:b/>
          <w:color w:val="000000"/>
          <w:sz w:val="22"/>
          <w:szCs w:val="22"/>
        </w:rPr>
      </w:pPr>
      <w:r>
        <w:rPr>
          <w:rFonts w:ascii="Calibri" w:hAnsi="Calibri" w:cs="Calibri"/>
          <w:color w:val="000000"/>
          <w:sz w:val="22"/>
          <w:szCs w:val="22"/>
        </w:rPr>
        <w:t xml:space="preserve">Taking into account our analysis of pro's and con's for the two solutions submitted to comment by </w:t>
      </w:r>
      <w:proofErr w:type="gramStart"/>
      <w:r>
        <w:rPr>
          <w:rFonts w:ascii="Calibri" w:hAnsi="Calibri" w:cs="Calibri"/>
          <w:color w:val="000000"/>
          <w:sz w:val="22"/>
          <w:szCs w:val="22"/>
        </w:rPr>
        <w:t xml:space="preserve">EBA  </w:t>
      </w:r>
      <w:r w:rsidRPr="00E61E01">
        <w:rPr>
          <w:rFonts w:ascii="Calibri" w:hAnsi="Calibri" w:cs="Calibri"/>
          <w:b/>
          <w:color w:val="000000"/>
          <w:sz w:val="22"/>
          <w:szCs w:val="22"/>
        </w:rPr>
        <w:t>SPA</w:t>
      </w:r>
      <w:proofErr w:type="gramEnd"/>
      <w:r w:rsidRPr="00E61E01">
        <w:rPr>
          <w:rFonts w:ascii="Calibri" w:hAnsi="Calibri" w:cs="Calibri"/>
          <w:b/>
          <w:color w:val="000000"/>
          <w:sz w:val="22"/>
          <w:szCs w:val="22"/>
        </w:rPr>
        <w:t xml:space="preserve"> considers that Solution b) </w:t>
      </w:r>
      <w:r>
        <w:rPr>
          <w:rFonts w:ascii="Calibri" w:hAnsi="Calibri" w:cs="Calibri"/>
          <w:b/>
          <w:color w:val="000000"/>
          <w:sz w:val="22"/>
          <w:szCs w:val="22"/>
        </w:rPr>
        <w:t xml:space="preserve">is preferable. </w:t>
      </w:r>
    </w:p>
    <w:p w:rsidR="00E61E01" w:rsidRDefault="00E61E01" w:rsidP="00262155">
      <w:pPr>
        <w:autoSpaceDE w:val="0"/>
        <w:autoSpaceDN w:val="0"/>
        <w:adjustRightInd w:val="0"/>
        <w:spacing w:line="240" w:lineRule="auto"/>
        <w:jc w:val="left"/>
        <w:rPr>
          <w:rFonts w:ascii="Calibri" w:hAnsi="Calibri" w:cs="Calibri"/>
          <w:b/>
          <w:color w:val="000000"/>
          <w:sz w:val="22"/>
          <w:szCs w:val="22"/>
        </w:rPr>
      </w:pPr>
    </w:p>
    <w:p w:rsidR="00AF156A" w:rsidRDefault="00E61E01" w:rsidP="00167876">
      <w:pPr>
        <w:autoSpaceDE w:val="0"/>
        <w:autoSpaceDN w:val="0"/>
        <w:adjustRightInd w:val="0"/>
        <w:spacing w:line="240" w:lineRule="auto"/>
        <w:jc w:val="left"/>
      </w:pPr>
      <w:r>
        <w:rPr>
          <w:rFonts w:ascii="Calibri" w:hAnsi="Calibri" w:cs="Calibri"/>
          <w:b/>
          <w:color w:val="000000"/>
          <w:sz w:val="22"/>
          <w:szCs w:val="22"/>
        </w:rPr>
        <w:t xml:space="preserve">Solution b) </w:t>
      </w:r>
      <w:r w:rsidRPr="00E61E01">
        <w:rPr>
          <w:rFonts w:ascii="Calibri" w:hAnsi="Calibri" w:cs="Calibri"/>
          <w:b/>
          <w:color w:val="000000"/>
          <w:sz w:val="22"/>
          <w:szCs w:val="22"/>
        </w:rPr>
        <w:t>enables a better anticipation of the market demand for Vendors and Solution providers and helps driving online payment solutions towards good security engineering practice</w:t>
      </w:r>
      <w:r w:rsidR="00167876">
        <w:rPr>
          <w:rFonts w:ascii="Calibri" w:hAnsi="Calibri" w:cs="Calibri"/>
          <w:b/>
          <w:color w:val="000000"/>
          <w:sz w:val="22"/>
          <w:szCs w:val="22"/>
        </w:rPr>
        <w:t>.</w:t>
      </w:r>
    </w:p>
    <w:sectPr w:rsidR="00AF156A" w:rsidSect="00BD0916">
      <w:headerReference w:type="default" r:id="rId8"/>
      <w:footerReference w:type="default" r:id="rId9"/>
      <w:headerReference w:type="first" r:id="rId10"/>
      <w:pgSz w:w="11906" w:h="16838" w:code="9"/>
      <w:pgMar w:top="1418" w:right="1134" w:bottom="1985" w:left="1701" w:header="567"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B9F" w:rsidRDefault="001A2B9F">
      <w:r>
        <w:separator/>
      </w:r>
    </w:p>
  </w:endnote>
  <w:endnote w:type="continuationSeparator" w:id="0">
    <w:p w:rsidR="001A2B9F" w:rsidRDefault="001A2B9F">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4" w:space="0" w:color="0F3C6C"/>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BF"/>
    </w:tblPr>
    <w:tblGrid>
      <w:gridCol w:w="1800"/>
      <w:gridCol w:w="5220"/>
      <w:gridCol w:w="1620"/>
      <w:gridCol w:w="431"/>
    </w:tblGrid>
    <w:tr w:rsidR="00F41F40" w:rsidTr="00BD0916">
      <w:trPr>
        <w:cantSplit/>
        <w:trHeight w:hRule="exact" w:val="729"/>
      </w:trPr>
      <w:tc>
        <w:tcPr>
          <w:tcW w:w="1800" w:type="dxa"/>
          <w:vAlign w:val="center"/>
        </w:tcPr>
        <w:p w:rsidR="00F41F40" w:rsidRPr="002A432B" w:rsidRDefault="00F41F40" w:rsidP="00FA289E">
          <w:pPr>
            <w:pStyle w:val="Footer"/>
          </w:pPr>
          <w:r>
            <w:rPr>
              <w:noProof/>
              <w:lang w:eastAsia="en-US"/>
            </w:rPr>
            <w:drawing>
              <wp:inline distT="0" distB="0" distL="0" distR="0">
                <wp:extent cx="1114425" cy="400050"/>
                <wp:effectExtent l="19050" t="0" r="9525" b="0"/>
                <wp:docPr id="1" name="Picture 1" descr="HM_SPA logo_full colour_rgb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SPA logo_full colour_rgb_Mini"/>
                        <pic:cNvPicPr>
                          <a:picLocks noChangeAspect="1" noChangeArrowheads="1"/>
                        </pic:cNvPicPr>
                      </pic:nvPicPr>
                      <pic:blipFill>
                        <a:blip r:embed="rId1"/>
                        <a:srcRect/>
                        <a:stretch>
                          <a:fillRect/>
                        </a:stretch>
                      </pic:blipFill>
                      <pic:spPr bwMode="auto">
                        <a:xfrm>
                          <a:off x="0" y="0"/>
                          <a:ext cx="1114425" cy="400050"/>
                        </a:xfrm>
                        <a:prstGeom prst="rect">
                          <a:avLst/>
                        </a:prstGeom>
                        <a:noFill/>
                        <a:ln w="9525">
                          <a:noFill/>
                          <a:miter lim="800000"/>
                          <a:headEnd/>
                          <a:tailEnd/>
                        </a:ln>
                      </pic:spPr>
                    </pic:pic>
                  </a:graphicData>
                </a:graphic>
              </wp:inline>
            </w:drawing>
          </w:r>
        </w:p>
      </w:tc>
      <w:tc>
        <w:tcPr>
          <w:tcW w:w="5220" w:type="dxa"/>
          <w:vAlign w:val="center"/>
        </w:tcPr>
        <w:p w:rsidR="00F41F40" w:rsidRDefault="00AF156A" w:rsidP="00FA289E">
          <w:pPr>
            <w:pStyle w:val="Footer"/>
            <w:jc w:val="center"/>
          </w:pPr>
          <w:fldSimple w:instr=" STYLEREF  SPA_Title  \* MERGEFORMAT ">
            <w:r w:rsidR="00167876">
              <w:rPr>
                <w:noProof/>
              </w:rPr>
              <w:t>EBA consultation</w:t>
            </w:r>
          </w:fldSimple>
        </w:p>
      </w:tc>
      <w:tc>
        <w:tcPr>
          <w:tcW w:w="1620" w:type="dxa"/>
          <w:vAlign w:val="center"/>
        </w:tcPr>
        <w:p w:rsidR="00F41F40" w:rsidRPr="002E0C92" w:rsidRDefault="00AF156A" w:rsidP="000C150E">
          <w:pPr>
            <w:pStyle w:val="Footer"/>
            <w:ind w:right="57"/>
            <w:jc w:val="right"/>
            <w:rPr>
              <w:sz w:val="14"/>
              <w:szCs w:val="14"/>
            </w:rPr>
          </w:pPr>
          <w:fldSimple w:instr=" STYLEREF  SPA_Date  \* MERGEFORMAT ">
            <w:r w:rsidR="00167876" w:rsidRPr="00167876">
              <w:rPr>
                <w:noProof/>
                <w:sz w:val="14"/>
                <w:szCs w:val="14"/>
              </w:rPr>
              <w:t>November 11th 2014</w:t>
            </w:r>
          </w:fldSimple>
        </w:p>
      </w:tc>
      <w:tc>
        <w:tcPr>
          <w:tcW w:w="431" w:type="dxa"/>
          <w:vAlign w:val="center"/>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BF"/>
          </w:tblPr>
          <w:tblGrid>
            <w:gridCol w:w="412"/>
          </w:tblGrid>
          <w:tr w:rsidR="00F41F40" w:rsidTr="00BD0916">
            <w:trPr>
              <w:cantSplit/>
              <w:trHeight w:hRule="exact" w:val="340"/>
              <w:jc w:val="right"/>
            </w:trPr>
            <w:tc>
              <w:tcPr>
                <w:tcW w:w="412" w:type="dxa"/>
                <w:shd w:val="clear" w:color="auto" w:fill="B7A76D"/>
                <w:vAlign w:val="center"/>
              </w:tcPr>
              <w:p w:rsidR="00F41F40" w:rsidRPr="00FA289E" w:rsidRDefault="00AF156A" w:rsidP="00FA289E">
                <w:pPr>
                  <w:pStyle w:val="Footer"/>
                  <w:jc w:val="center"/>
                  <w:rPr>
                    <w:color w:val="FFFFFF"/>
                  </w:rPr>
                </w:pPr>
                <w:r w:rsidRPr="00FA289E">
                  <w:rPr>
                    <w:rStyle w:val="PageNumber"/>
                    <w:color w:val="FFFFFF"/>
                  </w:rPr>
                  <w:fldChar w:fldCharType="begin"/>
                </w:r>
                <w:r w:rsidR="00F41F40" w:rsidRPr="00FA289E">
                  <w:rPr>
                    <w:rStyle w:val="PageNumber"/>
                    <w:color w:val="FFFFFF"/>
                  </w:rPr>
                  <w:instrText xml:space="preserve"> PAGE </w:instrText>
                </w:r>
                <w:r w:rsidRPr="00FA289E">
                  <w:rPr>
                    <w:rStyle w:val="PageNumber"/>
                    <w:color w:val="FFFFFF"/>
                  </w:rPr>
                  <w:fldChar w:fldCharType="separate"/>
                </w:r>
                <w:r w:rsidR="00167876">
                  <w:rPr>
                    <w:rStyle w:val="PageNumber"/>
                    <w:noProof/>
                    <w:color w:val="FFFFFF"/>
                  </w:rPr>
                  <w:t>2</w:t>
                </w:r>
                <w:r w:rsidRPr="00FA289E">
                  <w:rPr>
                    <w:rStyle w:val="PageNumber"/>
                    <w:color w:val="FFFFFF"/>
                  </w:rPr>
                  <w:fldChar w:fldCharType="end"/>
                </w:r>
              </w:p>
            </w:tc>
          </w:tr>
        </w:tbl>
        <w:p w:rsidR="00F41F40" w:rsidRDefault="00F41F40" w:rsidP="00FA289E">
          <w:pPr>
            <w:pStyle w:val="Footer"/>
            <w:jc w:val="right"/>
          </w:pPr>
        </w:p>
      </w:tc>
    </w:tr>
  </w:tbl>
  <w:p w:rsidR="00F41F40" w:rsidRPr="00FA289E" w:rsidRDefault="00F41F40">
    <w:pPr>
      <w:pStyle w:val="Foo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B9F" w:rsidRDefault="001A2B9F">
      <w:r>
        <w:separator/>
      </w:r>
    </w:p>
  </w:footnote>
  <w:footnote w:type="continuationSeparator" w:id="0">
    <w:p w:rsidR="001A2B9F" w:rsidRDefault="001A2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40" w:rsidRPr="00A736F3" w:rsidRDefault="00F41F40" w:rsidP="00BD0916">
    <w:pPr>
      <w:pStyle w:val="Header"/>
      <w:pBdr>
        <w:bottom w:val="single" w:sz="4" w:space="5" w:color="0F3C6C"/>
      </w:pBdr>
    </w:pPr>
    <w:proofErr w:type="gramStart"/>
    <w:r>
      <w:t>s</w:t>
    </w:r>
    <w:r w:rsidRPr="00A736F3">
      <w:t>haping</w:t>
    </w:r>
    <w:proofErr w:type="gramEnd"/>
    <w:r w:rsidRPr="00A736F3">
      <w:t xml:space="preserve"> the future of payment technology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40" w:rsidRDefault="00F41F40" w:rsidP="00D0151D">
    <w:pPr>
      <w:pStyle w:val="Header"/>
      <w:spacing w:after="7200"/>
      <w:jc w:val="center"/>
    </w:pPr>
    <w:r>
      <w:rPr>
        <w:noProof/>
        <w:lang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1800225</wp:posOffset>
          </wp:positionV>
          <wp:extent cx="7572375" cy="2895600"/>
          <wp:effectExtent l="19050" t="0" r="9525" b="0"/>
          <wp:wrapNone/>
          <wp:docPr id="11" name="Picture 11" descr="HM_Logo et bann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M_Logo et bannière"/>
                  <pic:cNvPicPr>
                    <a:picLocks noChangeAspect="1" noChangeArrowheads="1"/>
                  </pic:cNvPicPr>
                </pic:nvPicPr>
                <pic:blipFill>
                  <a:blip r:embed="rId1"/>
                  <a:srcRect/>
                  <a:stretch>
                    <a:fillRect/>
                  </a:stretch>
                </pic:blipFill>
                <pic:spPr bwMode="auto">
                  <a:xfrm>
                    <a:off x="0" y="0"/>
                    <a:ext cx="7572375" cy="28956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4460B"/>
    <w:multiLevelType w:val="hybridMultilevel"/>
    <w:tmpl w:val="7AFA2778"/>
    <w:lvl w:ilvl="0" w:tplc="A45E3338">
      <w:start w:val="1"/>
      <w:numFmt w:val="bullet"/>
      <w:pStyle w:val="SPABullet1"/>
      <w:lvlText w:val=""/>
      <w:lvlJc w:val="left"/>
      <w:pPr>
        <w:tabs>
          <w:tab w:val="num" w:pos="0"/>
        </w:tabs>
        <w:ind w:left="284" w:hanging="284"/>
      </w:pPr>
      <w:rPr>
        <w:rFonts w:ascii="Wingdings 3" w:hAnsi="Wingdings 3" w:hint="default"/>
        <w:color w:val="B7A76D"/>
        <w:sz w:val="22"/>
      </w:rPr>
    </w:lvl>
    <w:lvl w:ilvl="1" w:tplc="91027D3E">
      <w:start w:val="1"/>
      <w:numFmt w:val="bullet"/>
      <w:lvlText w:val=""/>
      <w:lvlJc w:val="left"/>
      <w:pPr>
        <w:tabs>
          <w:tab w:val="num" w:pos="-31680"/>
        </w:tabs>
        <w:ind w:left="567" w:hanging="340"/>
      </w:pPr>
      <w:rPr>
        <w:rFonts w:ascii="Wingdings" w:hAnsi="Wingdings" w:hint="default"/>
        <w:color w:val="B78000"/>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5043011"/>
    <w:multiLevelType w:val="hybridMultilevel"/>
    <w:tmpl w:val="9CB201D6"/>
    <w:lvl w:ilvl="0" w:tplc="FA08A258">
      <w:start w:val="1"/>
      <w:numFmt w:val="bullet"/>
      <w:pStyle w:val="Bullet1"/>
      <w:lvlText w:val=""/>
      <w:lvlJc w:val="left"/>
      <w:pPr>
        <w:tabs>
          <w:tab w:val="num" w:pos="864"/>
        </w:tabs>
        <w:ind w:left="864" w:hanging="432"/>
      </w:pPr>
      <w:rPr>
        <w:rFonts w:ascii="Symbol" w:hAnsi="Symbol" w:hint="default"/>
      </w:rPr>
    </w:lvl>
    <w:lvl w:ilvl="1" w:tplc="5BB0CF80">
      <w:start w:val="1"/>
      <w:numFmt w:val="bullet"/>
      <w:lvlText w:val="o"/>
      <w:lvlJc w:val="left"/>
      <w:pPr>
        <w:tabs>
          <w:tab w:val="num" w:pos="1440"/>
        </w:tabs>
        <w:ind w:left="1440" w:hanging="360"/>
      </w:pPr>
      <w:rPr>
        <w:rFonts w:ascii="Courier New" w:hAnsi="Courier New" w:hint="default"/>
      </w:rPr>
    </w:lvl>
    <w:lvl w:ilvl="2" w:tplc="E91469DA" w:tentative="1">
      <w:start w:val="1"/>
      <w:numFmt w:val="bullet"/>
      <w:lvlText w:val=""/>
      <w:lvlJc w:val="left"/>
      <w:pPr>
        <w:tabs>
          <w:tab w:val="num" w:pos="2160"/>
        </w:tabs>
        <w:ind w:left="2160" w:hanging="360"/>
      </w:pPr>
      <w:rPr>
        <w:rFonts w:ascii="Wingdings" w:hAnsi="Wingdings" w:hint="default"/>
      </w:rPr>
    </w:lvl>
    <w:lvl w:ilvl="3" w:tplc="5178E512" w:tentative="1">
      <w:start w:val="1"/>
      <w:numFmt w:val="bullet"/>
      <w:lvlText w:val=""/>
      <w:lvlJc w:val="left"/>
      <w:pPr>
        <w:tabs>
          <w:tab w:val="num" w:pos="2880"/>
        </w:tabs>
        <w:ind w:left="2880" w:hanging="360"/>
      </w:pPr>
      <w:rPr>
        <w:rFonts w:ascii="Symbol" w:hAnsi="Symbol" w:hint="default"/>
      </w:rPr>
    </w:lvl>
    <w:lvl w:ilvl="4" w:tplc="669037AA" w:tentative="1">
      <w:start w:val="1"/>
      <w:numFmt w:val="bullet"/>
      <w:lvlText w:val="o"/>
      <w:lvlJc w:val="left"/>
      <w:pPr>
        <w:tabs>
          <w:tab w:val="num" w:pos="3600"/>
        </w:tabs>
        <w:ind w:left="3600" w:hanging="360"/>
      </w:pPr>
      <w:rPr>
        <w:rFonts w:ascii="Courier New" w:hAnsi="Courier New" w:hint="default"/>
      </w:rPr>
    </w:lvl>
    <w:lvl w:ilvl="5" w:tplc="D6A03E44" w:tentative="1">
      <w:start w:val="1"/>
      <w:numFmt w:val="bullet"/>
      <w:lvlText w:val=""/>
      <w:lvlJc w:val="left"/>
      <w:pPr>
        <w:tabs>
          <w:tab w:val="num" w:pos="4320"/>
        </w:tabs>
        <w:ind w:left="4320" w:hanging="360"/>
      </w:pPr>
      <w:rPr>
        <w:rFonts w:ascii="Wingdings" w:hAnsi="Wingdings" w:hint="default"/>
      </w:rPr>
    </w:lvl>
    <w:lvl w:ilvl="6" w:tplc="45EA6E16" w:tentative="1">
      <w:start w:val="1"/>
      <w:numFmt w:val="bullet"/>
      <w:lvlText w:val=""/>
      <w:lvlJc w:val="left"/>
      <w:pPr>
        <w:tabs>
          <w:tab w:val="num" w:pos="5040"/>
        </w:tabs>
        <w:ind w:left="5040" w:hanging="360"/>
      </w:pPr>
      <w:rPr>
        <w:rFonts w:ascii="Symbol" w:hAnsi="Symbol" w:hint="default"/>
      </w:rPr>
    </w:lvl>
    <w:lvl w:ilvl="7" w:tplc="E4B47BEA" w:tentative="1">
      <w:start w:val="1"/>
      <w:numFmt w:val="bullet"/>
      <w:lvlText w:val="o"/>
      <w:lvlJc w:val="left"/>
      <w:pPr>
        <w:tabs>
          <w:tab w:val="num" w:pos="5760"/>
        </w:tabs>
        <w:ind w:left="5760" w:hanging="360"/>
      </w:pPr>
      <w:rPr>
        <w:rFonts w:ascii="Courier New" w:hAnsi="Courier New" w:hint="default"/>
      </w:rPr>
    </w:lvl>
    <w:lvl w:ilvl="8" w:tplc="389E8834" w:tentative="1">
      <w:start w:val="1"/>
      <w:numFmt w:val="bullet"/>
      <w:lvlText w:val=""/>
      <w:lvlJc w:val="left"/>
      <w:pPr>
        <w:tabs>
          <w:tab w:val="num" w:pos="6480"/>
        </w:tabs>
        <w:ind w:left="6480" w:hanging="360"/>
      </w:pPr>
      <w:rPr>
        <w:rFonts w:ascii="Wingdings" w:hAnsi="Wingdings" w:hint="default"/>
      </w:rPr>
    </w:lvl>
  </w:abstractNum>
  <w:abstractNum w:abstractNumId="2">
    <w:nsid w:val="66E63FDC"/>
    <w:multiLevelType w:val="hybridMultilevel"/>
    <w:tmpl w:val="B9A2EF5C"/>
    <w:lvl w:ilvl="0" w:tplc="A6E8AF9E">
      <w:start w:val="1"/>
      <w:numFmt w:val="bullet"/>
      <w:pStyle w:val="SPABullet2"/>
      <w:lvlText w:val=""/>
      <w:lvlJc w:val="left"/>
      <w:pPr>
        <w:tabs>
          <w:tab w:val="num" w:pos="0"/>
        </w:tabs>
        <w:ind w:left="567" w:hanging="340"/>
      </w:pPr>
      <w:rPr>
        <w:rFonts w:ascii="Wingdings" w:hAnsi="Wingdings" w:hint="default"/>
        <w:color w:val="B7A76D"/>
        <w:sz w:val="24"/>
      </w:rPr>
    </w:lvl>
    <w:lvl w:ilvl="1" w:tplc="30CA3102">
      <w:start w:val="1"/>
      <w:numFmt w:val="bullet"/>
      <w:lvlText w:val=""/>
      <w:lvlJc w:val="left"/>
      <w:pPr>
        <w:tabs>
          <w:tab w:val="num" w:pos="-31680"/>
        </w:tabs>
        <w:ind w:left="567" w:hanging="340"/>
      </w:pPr>
      <w:rPr>
        <w:rFonts w:ascii="Wingdings" w:hAnsi="Wingdings" w:hint="default"/>
        <w:color w:val="B78000"/>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9A46CBF"/>
    <w:multiLevelType w:val="multilevel"/>
    <w:tmpl w:val="1DE66460"/>
    <w:name w:val="SPA"/>
    <w:lvl w:ilvl="0">
      <w:start w:val="1"/>
      <w:numFmt w:val="decimal"/>
      <w:pStyle w:val="SPATitle1"/>
      <w:lvlText w:val="%1."/>
      <w:lvlJc w:val="left"/>
      <w:pPr>
        <w:tabs>
          <w:tab w:val="num" w:pos="567"/>
        </w:tabs>
        <w:ind w:left="567" w:hanging="567"/>
      </w:pPr>
      <w:rPr>
        <w:rFonts w:hint="default"/>
        <w:b/>
        <w:i w:val="0"/>
        <w:color w:val="B7A76D"/>
        <w:sz w:val="40"/>
      </w:rPr>
    </w:lvl>
    <w:lvl w:ilvl="1">
      <w:start w:val="1"/>
      <w:numFmt w:val="decimal"/>
      <w:pStyle w:val="SPATitle2"/>
      <w:lvlText w:val="%1.%2."/>
      <w:lvlJc w:val="left"/>
      <w:pPr>
        <w:tabs>
          <w:tab w:val="num" w:pos="567"/>
        </w:tabs>
        <w:ind w:left="567" w:hanging="567"/>
      </w:pPr>
      <w:rPr>
        <w:rFonts w:hint="default"/>
        <w:b/>
        <w:i w:val="0"/>
        <w:color w:val="B7A76D"/>
        <w:sz w:val="24"/>
      </w:rPr>
    </w:lvl>
    <w:lvl w:ilvl="2">
      <w:start w:val="1"/>
      <w:numFmt w:val="decimal"/>
      <w:pStyle w:val="SPATitle3"/>
      <w:lvlText w:val="%1.%2.%3."/>
      <w:lvlJc w:val="left"/>
      <w:pPr>
        <w:tabs>
          <w:tab w:val="num" w:pos="567"/>
        </w:tabs>
        <w:ind w:left="567" w:hanging="567"/>
      </w:pPr>
      <w:rPr>
        <w:rFonts w:hint="default"/>
        <w:b/>
        <w:i w:val="0"/>
        <w:color w:val="B7A76D"/>
        <w:sz w:val="20"/>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360"/>
        </w:tabs>
        <w:ind w:left="4320" w:hanging="1440"/>
      </w:pPr>
      <w:rPr>
        <w:rFont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F08"/>
  <w:trackRevisions/>
  <w:defaultTabStop w:val="709"/>
  <w:hyphenationZone w:val="425"/>
  <w:characterSpacingControl w:val="doNotCompress"/>
  <w:hdrShapeDefaults>
    <o:shapedefaults v:ext="edit" spidmax="58369"/>
    <o:shapelayout v:ext="edit">
      <o:regrouptable v:ext="edit">
        <o:entry new="1" old="0"/>
        <o:entry new="2" old="0"/>
        <o:entry new="3" old="0"/>
        <o:entry new="4" old="0"/>
      </o:regrouptable>
    </o:shapelayout>
  </w:hdrShapeDefaults>
  <w:footnotePr>
    <w:footnote w:id="-1"/>
    <w:footnote w:id="0"/>
  </w:footnotePr>
  <w:endnotePr>
    <w:endnote w:id="-1"/>
    <w:endnote w:id="0"/>
  </w:endnotePr>
  <w:compat/>
  <w:rsids>
    <w:rsidRoot w:val="0076794B"/>
    <w:rsid w:val="00000162"/>
    <w:rsid w:val="000019A3"/>
    <w:rsid w:val="00004836"/>
    <w:rsid w:val="00006526"/>
    <w:rsid w:val="00013E59"/>
    <w:rsid w:val="000221DE"/>
    <w:rsid w:val="00032E69"/>
    <w:rsid w:val="00033C0A"/>
    <w:rsid w:val="000465B7"/>
    <w:rsid w:val="0004740E"/>
    <w:rsid w:val="0006669E"/>
    <w:rsid w:val="000825A2"/>
    <w:rsid w:val="000868B8"/>
    <w:rsid w:val="00095D58"/>
    <w:rsid w:val="00095E90"/>
    <w:rsid w:val="000A71F8"/>
    <w:rsid w:val="000B5655"/>
    <w:rsid w:val="000C150E"/>
    <w:rsid w:val="000C4F1F"/>
    <w:rsid w:val="000E2983"/>
    <w:rsid w:val="000E4F0E"/>
    <w:rsid w:val="000E6849"/>
    <w:rsid w:val="000F041E"/>
    <w:rsid w:val="000F0EBC"/>
    <w:rsid w:val="00105809"/>
    <w:rsid w:val="0011000F"/>
    <w:rsid w:val="00110823"/>
    <w:rsid w:val="00113B50"/>
    <w:rsid w:val="00130A5F"/>
    <w:rsid w:val="00147A8F"/>
    <w:rsid w:val="0015383A"/>
    <w:rsid w:val="001549E3"/>
    <w:rsid w:val="001554EE"/>
    <w:rsid w:val="001675A3"/>
    <w:rsid w:val="00167876"/>
    <w:rsid w:val="00172D8D"/>
    <w:rsid w:val="001818D5"/>
    <w:rsid w:val="00186C1B"/>
    <w:rsid w:val="00190A5B"/>
    <w:rsid w:val="001924A2"/>
    <w:rsid w:val="001A2B9F"/>
    <w:rsid w:val="001B6154"/>
    <w:rsid w:val="001B77ED"/>
    <w:rsid w:val="001D1D27"/>
    <w:rsid w:val="001D4236"/>
    <w:rsid w:val="001D51A7"/>
    <w:rsid w:val="001D678D"/>
    <w:rsid w:val="001E1A7E"/>
    <w:rsid w:val="001F5143"/>
    <w:rsid w:val="001F7895"/>
    <w:rsid w:val="002147C4"/>
    <w:rsid w:val="002239B5"/>
    <w:rsid w:val="00235D06"/>
    <w:rsid w:val="00244844"/>
    <w:rsid w:val="00255097"/>
    <w:rsid w:val="0026036E"/>
    <w:rsid w:val="00262155"/>
    <w:rsid w:val="00262CAB"/>
    <w:rsid w:val="00263F93"/>
    <w:rsid w:val="002731B1"/>
    <w:rsid w:val="00275DE1"/>
    <w:rsid w:val="00280C56"/>
    <w:rsid w:val="00290E1D"/>
    <w:rsid w:val="002A4312"/>
    <w:rsid w:val="002A432B"/>
    <w:rsid w:val="002B7CA4"/>
    <w:rsid w:val="002D1D97"/>
    <w:rsid w:val="002E0C92"/>
    <w:rsid w:val="002F3F6E"/>
    <w:rsid w:val="002F71C8"/>
    <w:rsid w:val="002F72D4"/>
    <w:rsid w:val="00303178"/>
    <w:rsid w:val="003066B9"/>
    <w:rsid w:val="003071B1"/>
    <w:rsid w:val="00314E80"/>
    <w:rsid w:val="00316538"/>
    <w:rsid w:val="00326B45"/>
    <w:rsid w:val="00340025"/>
    <w:rsid w:val="00340712"/>
    <w:rsid w:val="00357CBC"/>
    <w:rsid w:val="00363FA1"/>
    <w:rsid w:val="0036532D"/>
    <w:rsid w:val="0036546C"/>
    <w:rsid w:val="00380DE5"/>
    <w:rsid w:val="0038474A"/>
    <w:rsid w:val="003A68CF"/>
    <w:rsid w:val="003B186F"/>
    <w:rsid w:val="003B3D7E"/>
    <w:rsid w:val="003C5608"/>
    <w:rsid w:val="003C6D79"/>
    <w:rsid w:val="003D530F"/>
    <w:rsid w:val="003E5E5C"/>
    <w:rsid w:val="003F5814"/>
    <w:rsid w:val="00401573"/>
    <w:rsid w:val="0040265F"/>
    <w:rsid w:val="004136B8"/>
    <w:rsid w:val="00414544"/>
    <w:rsid w:val="00425538"/>
    <w:rsid w:val="004277C8"/>
    <w:rsid w:val="0043093A"/>
    <w:rsid w:val="00432C2F"/>
    <w:rsid w:val="0043329E"/>
    <w:rsid w:val="00433711"/>
    <w:rsid w:val="00436038"/>
    <w:rsid w:val="00437D41"/>
    <w:rsid w:val="004470B1"/>
    <w:rsid w:val="004503FA"/>
    <w:rsid w:val="00457FAF"/>
    <w:rsid w:val="0046254B"/>
    <w:rsid w:val="004636D4"/>
    <w:rsid w:val="00464986"/>
    <w:rsid w:val="0048126A"/>
    <w:rsid w:val="00491F49"/>
    <w:rsid w:val="004A3670"/>
    <w:rsid w:val="004A5CA4"/>
    <w:rsid w:val="004B242C"/>
    <w:rsid w:val="004B37F0"/>
    <w:rsid w:val="004B4F1E"/>
    <w:rsid w:val="004C56F7"/>
    <w:rsid w:val="004C5F52"/>
    <w:rsid w:val="004D16A3"/>
    <w:rsid w:val="004D1774"/>
    <w:rsid w:val="004E6AC7"/>
    <w:rsid w:val="004F0048"/>
    <w:rsid w:val="004F28F2"/>
    <w:rsid w:val="0050267B"/>
    <w:rsid w:val="00504738"/>
    <w:rsid w:val="005063F5"/>
    <w:rsid w:val="00512A86"/>
    <w:rsid w:val="00521EFB"/>
    <w:rsid w:val="0054621A"/>
    <w:rsid w:val="00546EB3"/>
    <w:rsid w:val="005524E1"/>
    <w:rsid w:val="0055271E"/>
    <w:rsid w:val="00556FD6"/>
    <w:rsid w:val="005635DC"/>
    <w:rsid w:val="0057441B"/>
    <w:rsid w:val="00586076"/>
    <w:rsid w:val="005901F3"/>
    <w:rsid w:val="0059352D"/>
    <w:rsid w:val="00595208"/>
    <w:rsid w:val="00595EB9"/>
    <w:rsid w:val="005A1ECC"/>
    <w:rsid w:val="005A2641"/>
    <w:rsid w:val="005A4BDE"/>
    <w:rsid w:val="005A62AE"/>
    <w:rsid w:val="005B0380"/>
    <w:rsid w:val="005B1842"/>
    <w:rsid w:val="005B4767"/>
    <w:rsid w:val="005F23E8"/>
    <w:rsid w:val="0060598C"/>
    <w:rsid w:val="00613C43"/>
    <w:rsid w:val="00617EEE"/>
    <w:rsid w:val="00620812"/>
    <w:rsid w:val="006212E4"/>
    <w:rsid w:val="00630A7F"/>
    <w:rsid w:val="00630BE5"/>
    <w:rsid w:val="0063454B"/>
    <w:rsid w:val="006472FD"/>
    <w:rsid w:val="00650BD6"/>
    <w:rsid w:val="006558C8"/>
    <w:rsid w:val="00655DEC"/>
    <w:rsid w:val="006624CC"/>
    <w:rsid w:val="00666872"/>
    <w:rsid w:val="00670D29"/>
    <w:rsid w:val="006759C7"/>
    <w:rsid w:val="0067726D"/>
    <w:rsid w:val="006824EE"/>
    <w:rsid w:val="00682B98"/>
    <w:rsid w:val="00686E06"/>
    <w:rsid w:val="00696B03"/>
    <w:rsid w:val="00697152"/>
    <w:rsid w:val="006A00D3"/>
    <w:rsid w:val="006C06DA"/>
    <w:rsid w:val="006C4877"/>
    <w:rsid w:val="006E4C5A"/>
    <w:rsid w:val="006E4DB3"/>
    <w:rsid w:val="006F415B"/>
    <w:rsid w:val="00700182"/>
    <w:rsid w:val="007048C7"/>
    <w:rsid w:val="00705560"/>
    <w:rsid w:val="007428F8"/>
    <w:rsid w:val="00744D44"/>
    <w:rsid w:val="0074750E"/>
    <w:rsid w:val="0075143F"/>
    <w:rsid w:val="00752E10"/>
    <w:rsid w:val="00756DDE"/>
    <w:rsid w:val="0076794B"/>
    <w:rsid w:val="00775D5C"/>
    <w:rsid w:val="0078061E"/>
    <w:rsid w:val="007944D8"/>
    <w:rsid w:val="00794B9B"/>
    <w:rsid w:val="007A53C0"/>
    <w:rsid w:val="007B6190"/>
    <w:rsid w:val="007C0163"/>
    <w:rsid w:val="007C037D"/>
    <w:rsid w:val="007C6C8A"/>
    <w:rsid w:val="007D1DD5"/>
    <w:rsid w:val="007E503C"/>
    <w:rsid w:val="008044D7"/>
    <w:rsid w:val="00810B47"/>
    <w:rsid w:val="00811FAA"/>
    <w:rsid w:val="00812D28"/>
    <w:rsid w:val="00821FB2"/>
    <w:rsid w:val="00822942"/>
    <w:rsid w:val="00830D24"/>
    <w:rsid w:val="00831A99"/>
    <w:rsid w:val="00832277"/>
    <w:rsid w:val="00844637"/>
    <w:rsid w:val="00857907"/>
    <w:rsid w:val="008616F5"/>
    <w:rsid w:val="0087391C"/>
    <w:rsid w:val="008967F6"/>
    <w:rsid w:val="008A242E"/>
    <w:rsid w:val="008C202D"/>
    <w:rsid w:val="008C42F2"/>
    <w:rsid w:val="008D2CAF"/>
    <w:rsid w:val="008D31C7"/>
    <w:rsid w:val="008D3C3B"/>
    <w:rsid w:val="008E0A29"/>
    <w:rsid w:val="008E4A41"/>
    <w:rsid w:val="00902229"/>
    <w:rsid w:val="00903E5B"/>
    <w:rsid w:val="009068FC"/>
    <w:rsid w:val="009216F0"/>
    <w:rsid w:val="00933F82"/>
    <w:rsid w:val="009508EB"/>
    <w:rsid w:val="00951317"/>
    <w:rsid w:val="00951CA3"/>
    <w:rsid w:val="00957E0B"/>
    <w:rsid w:val="00966383"/>
    <w:rsid w:val="00976958"/>
    <w:rsid w:val="00981563"/>
    <w:rsid w:val="0098351D"/>
    <w:rsid w:val="00984F94"/>
    <w:rsid w:val="00985A0C"/>
    <w:rsid w:val="009879F0"/>
    <w:rsid w:val="00992D54"/>
    <w:rsid w:val="00993C7E"/>
    <w:rsid w:val="0099482D"/>
    <w:rsid w:val="009A4654"/>
    <w:rsid w:val="009A6B93"/>
    <w:rsid w:val="009C5943"/>
    <w:rsid w:val="009C643C"/>
    <w:rsid w:val="009D07BA"/>
    <w:rsid w:val="009E3A95"/>
    <w:rsid w:val="009E4310"/>
    <w:rsid w:val="009E6A6E"/>
    <w:rsid w:val="009E76B1"/>
    <w:rsid w:val="009F4B7C"/>
    <w:rsid w:val="009F643C"/>
    <w:rsid w:val="00A07688"/>
    <w:rsid w:val="00A13FB0"/>
    <w:rsid w:val="00A17B9F"/>
    <w:rsid w:val="00A377F0"/>
    <w:rsid w:val="00A44629"/>
    <w:rsid w:val="00A44E17"/>
    <w:rsid w:val="00A5080B"/>
    <w:rsid w:val="00A51E8F"/>
    <w:rsid w:val="00A56F74"/>
    <w:rsid w:val="00A60031"/>
    <w:rsid w:val="00A73599"/>
    <w:rsid w:val="00A736F3"/>
    <w:rsid w:val="00A74FCE"/>
    <w:rsid w:val="00A90DD9"/>
    <w:rsid w:val="00A945BF"/>
    <w:rsid w:val="00AB2D59"/>
    <w:rsid w:val="00AB45C5"/>
    <w:rsid w:val="00AB6395"/>
    <w:rsid w:val="00AD6224"/>
    <w:rsid w:val="00AF156A"/>
    <w:rsid w:val="00B320F4"/>
    <w:rsid w:val="00B47A43"/>
    <w:rsid w:val="00B55D02"/>
    <w:rsid w:val="00B56B5C"/>
    <w:rsid w:val="00B7092E"/>
    <w:rsid w:val="00B77792"/>
    <w:rsid w:val="00B914D3"/>
    <w:rsid w:val="00B91DCB"/>
    <w:rsid w:val="00BA21A4"/>
    <w:rsid w:val="00BA31C2"/>
    <w:rsid w:val="00BC6FD3"/>
    <w:rsid w:val="00BD0916"/>
    <w:rsid w:val="00BE7BB7"/>
    <w:rsid w:val="00BF5569"/>
    <w:rsid w:val="00C00606"/>
    <w:rsid w:val="00C00B1D"/>
    <w:rsid w:val="00C01876"/>
    <w:rsid w:val="00C27641"/>
    <w:rsid w:val="00C33FD8"/>
    <w:rsid w:val="00C41D4C"/>
    <w:rsid w:val="00C45793"/>
    <w:rsid w:val="00C50CB3"/>
    <w:rsid w:val="00C66E90"/>
    <w:rsid w:val="00C71E1A"/>
    <w:rsid w:val="00C7558D"/>
    <w:rsid w:val="00C90CCC"/>
    <w:rsid w:val="00C9165C"/>
    <w:rsid w:val="00C92668"/>
    <w:rsid w:val="00C9309F"/>
    <w:rsid w:val="00CA79E4"/>
    <w:rsid w:val="00CB41DE"/>
    <w:rsid w:val="00CE2774"/>
    <w:rsid w:val="00D0151D"/>
    <w:rsid w:val="00D02715"/>
    <w:rsid w:val="00D039A7"/>
    <w:rsid w:val="00D043F5"/>
    <w:rsid w:val="00D04B4C"/>
    <w:rsid w:val="00D122AF"/>
    <w:rsid w:val="00D252EB"/>
    <w:rsid w:val="00D26E2F"/>
    <w:rsid w:val="00D32374"/>
    <w:rsid w:val="00D33042"/>
    <w:rsid w:val="00D3325C"/>
    <w:rsid w:val="00D451F1"/>
    <w:rsid w:val="00D46CDF"/>
    <w:rsid w:val="00D54E27"/>
    <w:rsid w:val="00D56478"/>
    <w:rsid w:val="00D63729"/>
    <w:rsid w:val="00D63CBE"/>
    <w:rsid w:val="00D73326"/>
    <w:rsid w:val="00D76857"/>
    <w:rsid w:val="00D80BE9"/>
    <w:rsid w:val="00DA0D40"/>
    <w:rsid w:val="00DC694C"/>
    <w:rsid w:val="00DD1CF4"/>
    <w:rsid w:val="00DF6B5F"/>
    <w:rsid w:val="00E00F5D"/>
    <w:rsid w:val="00E35209"/>
    <w:rsid w:val="00E56D34"/>
    <w:rsid w:val="00E60F4D"/>
    <w:rsid w:val="00E61E01"/>
    <w:rsid w:val="00E65700"/>
    <w:rsid w:val="00E70003"/>
    <w:rsid w:val="00E80B49"/>
    <w:rsid w:val="00E9183C"/>
    <w:rsid w:val="00E919D6"/>
    <w:rsid w:val="00E925FA"/>
    <w:rsid w:val="00E94024"/>
    <w:rsid w:val="00E96704"/>
    <w:rsid w:val="00E9724C"/>
    <w:rsid w:val="00EA140C"/>
    <w:rsid w:val="00EA391C"/>
    <w:rsid w:val="00EB1669"/>
    <w:rsid w:val="00ED1D6F"/>
    <w:rsid w:val="00ED31D8"/>
    <w:rsid w:val="00EF4FBA"/>
    <w:rsid w:val="00F13A9B"/>
    <w:rsid w:val="00F16877"/>
    <w:rsid w:val="00F254D6"/>
    <w:rsid w:val="00F30487"/>
    <w:rsid w:val="00F372DE"/>
    <w:rsid w:val="00F41F40"/>
    <w:rsid w:val="00F509E0"/>
    <w:rsid w:val="00F628A0"/>
    <w:rsid w:val="00F66938"/>
    <w:rsid w:val="00F85D8A"/>
    <w:rsid w:val="00F97434"/>
    <w:rsid w:val="00FA289E"/>
    <w:rsid w:val="00FA7A8B"/>
    <w:rsid w:val="00FB52BB"/>
    <w:rsid w:val="00FC321A"/>
    <w:rsid w:val="00FC32D0"/>
    <w:rsid w:val="00FC3F83"/>
    <w:rsid w:val="00FD6891"/>
    <w:rsid w:val="00FE53B7"/>
    <w:rsid w:val="00FF52D0"/>
    <w:rsid w:val="00FF57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655"/>
    <w:pPr>
      <w:spacing w:line="260" w:lineRule="atLeast"/>
      <w:jc w:val="both"/>
    </w:pPr>
    <w:rPr>
      <w:rFonts w:ascii="Verdana" w:hAnsi="Verdana"/>
      <w:color w:val="666666"/>
      <w:sz w:val="18"/>
      <w:szCs w:val="24"/>
      <w:lang w:val="en-US"/>
    </w:rPr>
  </w:style>
  <w:style w:type="paragraph" w:styleId="Heading1">
    <w:name w:val="heading 1"/>
    <w:aliases w:val="1,H1,section head,h1"/>
    <w:basedOn w:val="Normal"/>
    <w:next w:val="Normal"/>
    <w:link w:val="Heading1Char"/>
    <w:qFormat/>
    <w:rsid w:val="0076794B"/>
    <w:pPr>
      <w:keepNext/>
      <w:keepLines/>
      <w:tabs>
        <w:tab w:val="left" w:pos="709"/>
      </w:tabs>
      <w:overflowPunct w:val="0"/>
      <w:autoSpaceDE w:val="0"/>
      <w:autoSpaceDN w:val="0"/>
      <w:adjustRightInd w:val="0"/>
      <w:spacing w:after="240" w:line="240" w:lineRule="atLeast"/>
      <w:ind w:left="709" w:hanging="709"/>
      <w:textAlignment w:val="baseline"/>
      <w:outlineLvl w:val="0"/>
    </w:pPr>
    <w:rPr>
      <w:rFonts w:ascii="Arial" w:eastAsia="Calibri" w:hAnsi="Arial"/>
      <w:b/>
      <w:color w:val="auto"/>
      <w:sz w:val="24"/>
      <w:szCs w:val="20"/>
      <w:lang w:val="en-GB" w:eastAsia="en-US"/>
    </w:rPr>
  </w:style>
  <w:style w:type="paragraph" w:styleId="Heading2">
    <w:name w:val="heading 2"/>
    <w:basedOn w:val="Normal"/>
    <w:next w:val="Normal"/>
    <w:link w:val="Heading2Char"/>
    <w:uiPriority w:val="9"/>
    <w:unhideWhenUsed/>
    <w:qFormat/>
    <w:rsid w:val="0043329E"/>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fr-FR" w:eastAsia="en-US"/>
    </w:rPr>
  </w:style>
  <w:style w:type="paragraph" w:styleId="Heading3">
    <w:name w:val="heading 3"/>
    <w:basedOn w:val="Normal"/>
    <w:next w:val="Normal"/>
    <w:link w:val="Heading3Char"/>
    <w:semiHidden/>
    <w:unhideWhenUsed/>
    <w:qFormat/>
    <w:rsid w:val="00D733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329E"/>
    <w:pPr>
      <w:keepNext/>
      <w:keepLines/>
      <w:spacing w:before="200" w:line="276" w:lineRule="auto"/>
      <w:jc w:val="left"/>
      <w:outlineLvl w:val="3"/>
    </w:pPr>
    <w:rPr>
      <w:rFonts w:asciiTheme="majorHAnsi" w:eastAsiaTheme="majorEastAsia" w:hAnsiTheme="majorHAnsi" w:cstheme="majorBidi"/>
      <w:b/>
      <w:bCs/>
      <w:i/>
      <w:iCs/>
      <w:color w:val="4F81BD" w:themeColor="accent1"/>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E53B7"/>
    <w:pPr>
      <w:spacing w:line="240" w:lineRule="auto"/>
      <w:jc w:val="right"/>
    </w:pPr>
    <w:rPr>
      <w:color w:val="0F3C6C"/>
      <w:sz w:val="14"/>
    </w:rPr>
  </w:style>
  <w:style w:type="paragraph" w:styleId="Footer">
    <w:name w:val="footer"/>
    <w:basedOn w:val="Normal"/>
    <w:semiHidden/>
    <w:rsid w:val="00D039A7"/>
    <w:pPr>
      <w:spacing w:line="240" w:lineRule="auto"/>
      <w:jc w:val="left"/>
    </w:pPr>
    <w:rPr>
      <w:sz w:val="16"/>
    </w:rPr>
  </w:style>
  <w:style w:type="paragraph" w:customStyle="1" w:styleId="SPATitle">
    <w:name w:val="SPA_Title"/>
    <w:basedOn w:val="Normal"/>
    <w:next w:val="Normal"/>
    <w:rsid w:val="00BD0916"/>
    <w:pPr>
      <w:spacing w:after="240" w:line="240" w:lineRule="auto"/>
      <w:jc w:val="center"/>
    </w:pPr>
    <w:rPr>
      <w:color w:val="B7A76D"/>
      <w:sz w:val="52"/>
      <w:szCs w:val="52"/>
    </w:rPr>
  </w:style>
  <w:style w:type="paragraph" w:customStyle="1" w:styleId="SPASubTitle">
    <w:name w:val="SPA_SubTitle"/>
    <w:basedOn w:val="Normal"/>
    <w:next w:val="Normal"/>
    <w:rsid w:val="00BD0916"/>
    <w:pPr>
      <w:spacing w:after="480" w:line="240" w:lineRule="auto"/>
      <w:jc w:val="center"/>
    </w:pPr>
    <w:rPr>
      <w:color w:val="0F3C6C"/>
      <w:sz w:val="32"/>
      <w:szCs w:val="32"/>
    </w:rPr>
  </w:style>
  <w:style w:type="paragraph" w:customStyle="1" w:styleId="SPADate">
    <w:name w:val="SPA_Date"/>
    <w:basedOn w:val="Normal"/>
    <w:next w:val="Normal"/>
    <w:rsid w:val="00FA289E"/>
    <w:pPr>
      <w:jc w:val="center"/>
    </w:pPr>
    <w:rPr>
      <w:sz w:val="20"/>
      <w:szCs w:val="20"/>
    </w:rPr>
  </w:style>
  <w:style w:type="table" w:styleId="TableGrid">
    <w:name w:val="Table Grid"/>
    <w:basedOn w:val="TableNormal"/>
    <w:semiHidden/>
    <w:rsid w:val="00FA289E"/>
    <w:pPr>
      <w:spacing w:line="26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FA289E"/>
    <w:rPr>
      <w:sz w:val="16"/>
    </w:rPr>
  </w:style>
  <w:style w:type="paragraph" w:customStyle="1" w:styleId="SPATitle1">
    <w:name w:val="SPA_Title1"/>
    <w:basedOn w:val="Normal"/>
    <w:next w:val="Normal"/>
    <w:rsid w:val="00190A5B"/>
    <w:pPr>
      <w:keepNext/>
      <w:numPr>
        <w:numId w:val="1"/>
      </w:numPr>
      <w:tabs>
        <w:tab w:val="left" w:pos="851"/>
      </w:tabs>
      <w:spacing w:after="360"/>
      <w:jc w:val="left"/>
      <w:outlineLvl w:val="0"/>
    </w:pPr>
    <w:rPr>
      <w:b/>
      <w:color w:val="0F3C6C"/>
      <w:sz w:val="28"/>
      <w:szCs w:val="28"/>
    </w:rPr>
  </w:style>
  <w:style w:type="paragraph" w:customStyle="1" w:styleId="SPATitle2">
    <w:name w:val="SPA_Title2"/>
    <w:basedOn w:val="Normal"/>
    <w:next w:val="Normal"/>
    <w:rsid w:val="00190A5B"/>
    <w:pPr>
      <w:keepNext/>
      <w:numPr>
        <w:ilvl w:val="1"/>
        <w:numId w:val="1"/>
      </w:numPr>
      <w:tabs>
        <w:tab w:val="clear" w:pos="567"/>
        <w:tab w:val="left" w:pos="851"/>
      </w:tabs>
      <w:spacing w:before="360" w:after="240"/>
      <w:ind w:left="851" w:hanging="851"/>
      <w:jc w:val="left"/>
      <w:outlineLvl w:val="1"/>
    </w:pPr>
    <w:rPr>
      <w:b/>
      <w:color w:val="0F3C6C"/>
      <w:sz w:val="24"/>
    </w:rPr>
  </w:style>
  <w:style w:type="paragraph" w:customStyle="1" w:styleId="SPATitle3">
    <w:name w:val="SPA_Title3"/>
    <w:basedOn w:val="Normal"/>
    <w:next w:val="Normal"/>
    <w:rsid w:val="00830D24"/>
    <w:pPr>
      <w:keepNext/>
      <w:numPr>
        <w:ilvl w:val="2"/>
        <w:numId w:val="1"/>
      </w:numPr>
      <w:tabs>
        <w:tab w:val="clear" w:pos="567"/>
        <w:tab w:val="left" w:pos="851"/>
      </w:tabs>
      <w:spacing w:before="240" w:after="120"/>
      <w:ind w:left="851" w:hanging="851"/>
      <w:jc w:val="left"/>
      <w:outlineLvl w:val="2"/>
    </w:pPr>
    <w:rPr>
      <w:b/>
      <w:sz w:val="20"/>
      <w:szCs w:val="20"/>
    </w:rPr>
  </w:style>
  <w:style w:type="paragraph" w:customStyle="1" w:styleId="SPABullet1">
    <w:name w:val="SPA_Bullet1"/>
    <w:basedOn w:val="Normal"/>
    <w:rsid w:val="00BD0916"/>
    <w:pPr>
      <w:numPr>
        <w:numId w:val="2"/>
      </w:numPr>
      <w:tabs>
        <w:tab w:val="clear" w:pos="0"/>
      </w:tabs>
      <w:spacing w:before="120"/>
      <w:ind w:left="227" w:hanging="227"/>
    </w:pPr>
  </w:style>
  <w:style w:type="paragraph" w:customStyle="1" w:styleId="SPABullet2">
    <w:name w:val="SPA_Bullet2"/>
    <w:basedOn w:val="Normal"/>
    <w:rsid w:val="00BD0916"/>
    <w:pPr>
      <w:numPr>
        <w:numId w:val="3"/>
      </w:numPr>
      <w:tabs>
        <w:tab w:val="clear" w:pos="0"/>
      </w:tabs>
      <w:ind w:left="454" w:hanging="227"/>
    </w:pPr>
  </w:style>
  <w:style w:type="paragraph" w:customStyle="1" w:styleId="SPATableTitle">
    <w:name w:val="SPA_Table_Title"/>
    <w:basedOn w:val="Normal"/>
    <w:next w:val="Normal"/>
    <w:rsid w:val="00263F93"/>
    <w:pPr>
      <w:keepNext/>
      <w:spacing w:before="360" w:after="120"/>
      <w:jc w:val="center"/>
    </w:pPr>
    <w:rPr>
      <w:b/>
    </w:rPr>
  </w:style>
  <w:style w:type="table" w:customStyle="1" w:styleId="SPATable">
    <w:name w:val="SPA_Table"/>
    <w:basedOn w:val="TableNormal"/>
    <w:rsid w:val="00D63CBE"/>
    <w:pPr>
      <w:jc w:val="center"/>
    </w:pPr>
    <w:rPr>
      <w:rFonts w:ascii="Verdana" w:hAnsi="Verdana"/>
      <w:sz w:val="18"/>
    </w:rPr>
    <w:tblPr>
      <w:tblStyleRowBandSize w:val="1"/>
      <w:tblInd w:w="0" w:type="dxa"/>
      <w:tblBorders>
        <w:top w:val="single" w:sz="4" w:space="0" w:color="B7A76D"/>
        <w:left w:val="single" w:sz="4" w:space="0" w:color="B7A76D"/>
        <w:bottom w:val="single" w:sz="4" w:space="0" w:color="B7A76D"/>
        <w:right w:val="single" w:sz="4" w:space="0" w:color="B7A76D"/>
        <w:insideH w:val="single" w:sz="4" w:space="0" w:color="B7A76D"/>
        <w:insideV w:val="single" w:sz="4" w:space="0" w:color="B7A76D"/>
      </w:tblBorders>
      <w:tblCellMar>
        <w:top w:w="0" w:type="dxa"/>
        <w:left w:w="57" w:type="dxa"/>
        <w:bottom w:w="0" w:type="dxa"/>
        <w:right w:w="57" w:type="dxa"/>
      </w:tblCellMar>
    </w:tblPr>
    <w:trPr>
      <w:cantSplit/>
    </w:trPr>
    <w:tcPr>
      <w:vAlign w:val="center"/>
    </w:tcPr>
    <w:tblStylePr w:type="firstRow">
      <w:rPr>
        <w:color w:val="FFFFFF"/>
      </w:rPr>
      <w:tblPr/>
      <w:tcPr>
        <w:shd w:val="clear" w:color="auto" w:fill="0F3C6C"/>
      </w:tcPr>
    </w:tblStylePr>
    <w:tblStylePr w:type="firstCol">
      <w:rPr>
        <w:color w:val="FFFFFF"/>
      </w:rPr>
      <w:tblPr/>
      <w:tcPr>
        <w:shd w:val="clear" w:color="auto" w:fill="0F3C6C"/>
      </w:tcPr>
    </w:tblStylePr>
    <w:tblStylePr w:type="band2Horz">
      <w:tblPr/>
      <w:tcPr>
        <w:shd w:val="clear" w:color="auto" w:fill="E1DAC1"/>
      </w:tcPr>
    </w:tblStylePr>
  </w:style>
  <w:style w:type="paragraph" w:styleId="DocumentMap">
    <w:name w:val="Document Map"/>
    <w:basedOn w:val="Normal"/>
    <w:semiHidden/>
    <w:rsid w:val="006558C8"/>
    <w:pPr>
      <w:shd w:val="clear" w:color="auto" w:fill="000080"/>
    </w:pPr>
    <w:rPr>
      <w:rFonts w:ascii="Tahoma" w:hAnsi="Tahoma" w:cs="Tahoma"/>
      <w:sz w:val="20"/>
      <w:szCs w:val="20"/>
    </w:rPr>
  </w:style>
  <w:style w:type="paragraph" w:styleId="TOC1">
    <w:name w:val="toc 1"/>
    <w:basedOn w:val="Normal"/>
    <w:next w:val="Normal"/>
    <w:autoRedefine/>
    <w:uiPriority w:val="39"/>
    <w:rsid w:val="0040265F"/>
    <w:pPr>
      <w:tabs>
        <w:tab w:val="left" w:pos="360"/>
        <w:tab w:val="right" w:leader="dot" w:pos="9061"/>
      </w:tabs>
      <w:spacing w:before="240"/>
      <w:jc w:val="left"/>
    </w:pPr>
    <w:rPr>
      <w:b/>
      <w:sz w:val="24"/>
    </w:rPr>
  </w:style>
  <w:style w:type="paragraph" w:styleId="TOC2">
    <w:name w:val="toc 2"/>
    <w:basedOn w:val="Normal"/>
    <w:next w:val="Normal"/>
    <w:autoRedefine/>
    <w:uiPriority w:val="39"/>
    <w:rsid w:val="0040265F"/>
    <w:pPr>
      <w:tabs>
        <w:tab w:val="left" w:pos="960"/>
        <w:tab w:val="right" w:leader="dot" w:pos="9061"/>
      </w:tabs>
      <w:spacing w:before="60"/>
      <w:ind w:left="397"/>
      <w:jc w:val="left"/>
    </w:pPr>
    <w:rPr>
      <w:b/>
      <w:sz w:val="20"/>
    </w:rPr>
  </w:style>
  <w:style w:type="paragraph" w:styleId="TOC3">
    <w:name w:val="toc 3"/>
    <w:basedOn w:val="Normal"/>
    <w:next w:val="Normal"/>
    <w:autoRedefine/>
    <w:uiPriority w:val="39"/>
    <w:rsid w:val="0040265F"/>
    <w:pPr>
      <w:tabs>
        <w:tab w:val="left" w:pos="1260"/>
        <w:tab w:val="right" w:leader="dot" w:pos="9061"/>
      </w:tabs>
      <w:ind w:left="624"/>
      <w:jc w:val="left"/>
    </w:pPr>
  </w:style>
  <w:style w:type="character" w:styleId="Hyperlink">
    <w:name w:val="Hyperlink"/>
    <w:basedOn w:val="DefaultParagraphFont"/>
    <w:uiPriority w:val="99"/>
    <w:rsid w:val="0040265F"/>
    <w:rPr>
      <w:color w:val="0000FF"/>
      <w:u w:val="single"/>
    </w:rPr>
  </w:style>
  <w:style w:type="paragraph" w:styleId="BalloonText">
    <w:name w:val="Balloon Text"/>
    <w:basedOn w:val="Normal"/>
    <w:link w:val="BalloonTextChar"/>
    <w:rsid w:val="0076794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794B"/>
    <w:rPr>
      <w:rFonts w:ascii="Tahoma" w:hAnsi="Tahoma" w:cs="Tahoma"/>
      <w:color w:val="666666"/>
      <w:sz w:val="16"/>
      <w:szCs w:val="16"/>
      <w:lang w:val="en-US"/>
    </w:rPr>
  </w:style>
  <w:style w:type="paragraph" w:styleId="ListParagraph">
    <w:name w:val="List Paragraph"/>
    <w:basedOn w:val="Normal"/>
    <w:uiPriority w:val="34"/>
    <w:qFormat/>
    <w:rsid w:val="0076794B"/>
    <w:pPr>
      <w:tabs>
        <w:tab w:val="left" w:pos="1418"/>
        <w:tab w:val="left" w:pos="4678"/>
        <w:tab w:val="left" w:pos="5954"/>
        <w:tab w:val="left" w:pos="7088"/>
      </w:tabs>
      <w:overflowPunct w:val="0"/>
      <w:autoSpaceDE w:val="0"/>
      <w:autoSpaceDN w:val="0"/>
      <w:adjustRightInd w:val="0"/>
      <w:spacing w:line="240" w:lineRule="auto"/>
      <w:ind w:left="720"/>
      <w:contextualSpacing/>
      <w:textAlignment w:val="baseline"/>
    </w:pPr>
    <w:rPr>
      <w:rFonts w:ascii="Arial" w:eastAsia="Calibri" w:hAnsi="Arial"/>
      <w:color w:val="auto"/>
      <w:sz w:val="20"/>
      <w:szCs w:val="20"/>
      <w:lang w:val="en-GB" w:eastAsia="en-US"/>
    </w:rPr>
  </w:style>
  <w:style w:type="character" w:styleId="CommentReference">
    <w:name w:val="annotation reference"/>
    <w:basedOn w:val="DefaultParagraphFont"/>
    <w:rsid w:val="0076794B"/>
    <w:rPr>
      <w:sz w:val="16"/>
      <w:szCs w:val="16"/>
    </w:rPr>
  </w:style>
  <w:style w:type="paragraph" w:styleId="CommentText">
    <w:name w:val="annotation text"/>
    <w:basedOn w:val="Normal"/>
    <w:link w:val="CommentTextChar"/>
    <w:rsid w:val="0076794B"/>
    <w:pPr>
      <w:tabs>
        <w:tab w:val="left" w:pos="1418"/>
        <w:tab w:val="left" w:pos="4678"/>
        <w:tab w:val="left" w:pos="5954"/>
        <w:tab w:val="left" w:pos="7088"/>
      </w:tabs>
      <w:overflowPunct w:val="0"/>
      <w:autoSpaceDE w:val="0"/>
      <w:autoSpaceDN w:val="0"/>
      <w:adjustRightInd w:val="0"/>
      <w:spacing w:line="240" w:lineRule="auto"/>
      <w:textAlignment w:val="baseline"/>
    </w:pPr>
    <w:rPr>
      <w:rFonts w:ascii="Arial" w:eastAsia="Calibri" w:hAnsi="Arial"/>
      <w:color w:val="auto"/>
      <w:sz w:val="20"/>
      <w:szCs w:val="20"/>
      <w:lang w:val="en-GB" w:eastAsia="en-US"/>
    </w:rPr>
  </w:style>
  <w:style w:type="character" w:customStyle="1" w:styleId="CommentTextChar">
    <w:name w:val="Comment Text Char"/>
    <w:basedOn w:val="DefaultParagraphFont"/>
    <w:link w:val="CommentText"/>
    <w:rsid w:val="0076794B"/>
    <w:rPr>
      <w:rFonts w:ascii="Arial" w:eastAsia="Calibri" w:hAnsi="Arial"/>
      <w:lang w:val="en-GB" w:eastAsia="en-US"/>
    </w:rPr>
  </w:style>
  <w:style w:type="character" w:customStyle="1" w:styleId="Heading1Char">
    <w:name w:val="Heading 1 Char"/>
    <w:aliases w:val="1 Char,H1 Char,section head Char,h1 Char"/>
    <w:basedOn w:val="DefaultParagraphFont"/>
    <w:link w:val="Heading1"/>
    <w:rsid w:val="0076794B"/>
    <w:rPr>
      <w:rFonts w:ascii="Arial" w:eastAsia="Calibri" w:hAnsi="Arial"/>
      <w:b/>
      <w:sz w:val="24"/>
      <w:lang w:val="en-GB" w:eastAsia="en-US"/>
    </w:rPr>
  </w:style>
  <w:style w:type="character" w:customStyle="1" w:styleId="A3">
    <w:name w:val="A3"/>
    <w:rsid w:val="00C71E1A"/>
    <w:rPr>
      <w:rFonts w:ascii="Palatino Linotype" w:hAnsi="Palatino Linotype"/>
      <w:color w:val="000000"/>
      <w:sz w:val="18"/>
    </w:rPr>
  </w:style>
  <w:style w:type="paragraph" w:customStyle="1" w:styleId="Pa1">
    <w:name w:val="Pa1"/>
    <w:basedOn w:val="Normal"/>
    <w:next w:val="Normal"/>
    <w:rsid w:val="00C71E1A"/>
    <w:pPr>
      <w:autoSpaceDE w:val="0"/>
      <w:autoSpaceDN w:val="0"/>
      <w:adjustRightInd w:val="0"/>
      <w:spacing w:line="241" w:lineRule="atLeast"/>
      <w:jc w:val="left"/>
    </w:pPr>
    <w:rPr>
      <w:rFonts w:eastAsia="Calibri"/>
      <w:color w:val="auto"/>
      <w:sz w:val="24"/>
      <w:lang w:eastAsia="en-US"/>
    </w:rPr>
  </w:style>
  <w:style w:type="paragraph" w:customStyle="1" w:styleId="Default">
    <w:name w:val="Default"/>
    <w:rsid w:val="00E35209"/>
    <w:pPr>
      <w:autoSpaceDE w:val="0"/>
      <w:autoSpaceDN w:val="0"/>
      <w:adjustRightInd w:val="0"/>
    </w:pPr>
    <w:rPr>
      <w:rFonts w:ascii="Georgia" w:hAnsi="Georgia" w:cs="Georgia"/>
      <w:color w:val="000000"/>
      <w:sz w:val="24"/>
      <w:szCs w:val="24"/>
    </w:rPr>
  </w:style>
  <w:style w:type="character" w:customStyle="1" w:styleId="Heading3Char">
    <w:name w:val="Heading 3 Char"/>
    <w:basedOn w:val="DefaultParagraphFont"/>
    <w:link w:val="Heading3"/>
    <w:semiHidden/>
    <w:rsid w:val="00D73326"/>
    <w:rPr>
      <w:rFonts w:asciiTheme="majorHAnsi" w:eastAsiaTheme="majorEastAsia" w:hAnsiTheme="majorHAnsi" w:cstheme="majorBidi"/>
      <w:b/>
      <w:bCs/>
      <w:color w:val="4F81BD" w:themeColor="accent1"/>
      <w:sz w:val="18"/>
      <w:szCs w:val="24"/>
      <w:lang w:val="en-US"/>
    </w:rPr>
  </w:style>
  <w:style w:type="character" w:customStyle="1" w:styleId="Heading2Char">
    <w:name w:val="Heading 2 Char"/>
    <w:basedOn w:val="DefaultParagraphFont"/>
    <w:link w:val="Heading2"/>
    <w:uiPriority w:val="9"/>
    <w:rsid w:val="0043329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43329E"/>
    <w:rPr>
      <w:rFonts w:asciiTheme="majorHAnsi" w:eastAsiaTheme="majorEastAsia" w:hAnsiTheme="majorHAnsi" w:cstheme="majorBidi"/>
      <w:b/>
      <w:bCs/>
      <w:i/>
      <w:iCs/>
      <w:color w:val="4F81BD" w:themeColor="accent1"/>
      <w:sz w:val="22"/>
      <w:szCs w:val="22"/>
      <w:lang w:eastAsia="en-US"/>
    </w:rPr>
  </w:style>
  <w:style w:type="paragraph" w:customStyle="1" w:styleId="BODY--PRIME">
    <w:name w:val="BODY--PRIME"/>
    <w:link w:val="BODY--PRIMEChar"/>
    <w:rsid w:val="0043329E"/>
    <w:pPr>
      <w:spacing w:before="72" w:after="72"/>
      <w:jc w:val="both"/>
    </w:pPr>
    <w:rPr>
      <w:sz w:val="24"/>
      <w:lang w:val="en-US" w:eastAsia="en-US"/>
    </w:rPr>
  </w:style>
  <w:style w:type="paragraph" w:customStyle="1" w:styleId="Bullet1">
    <w:name w:val="Bullet1"/>
    <w:rsid w:val="0043329E"/>
    <w:pPr>
      <w:numPr>
        <w:numId w:val="4"/>
      </w:numPr>
      <w:spacing w:before="72" w:after="72"/>
      <w:jc w:val="both"/>
    </w:pPr>
    <w:rPr>
      <w:sz w:val="24"/>
      <w:lang w:val="en-US" w:eastAsia="en-US"/>
    </w:rPr>
  </w:style>
  <w:style w:type="character" w:customStyle="1" w:styleId="BODY--PRIMEChar">
    <w:name w:val="BODY--PRIME Char"/>
    <w:basedOn w:val="DefaultParagraphFont"/>
    <w:link w:val="BODY--PRIME"/>
    <w:rsid w:val="0043329E"/>
    <w:rPr>
      <w:sz w:val="24"/>
      <w:lang w:val="en-US" w:eastAsia="en-US"/>
    </w:rPr>
  </w:style>
  <w:style w:type="paragraph" w:customStyle="1" w:styleId="CM1">
    <w:name w:val="CM1"/>
    <w:basedOn w:val="Default"/>
    <w:next w:val="Default"/>
    <w:uiPriority w:val="99"/>
    <w:rsid w:val="0043329E"/>
    <w:rPr>
      <w:rFonts w:ascii="EUAlbertina" w:eastAsiaTheme="minorHAnsi" w:hAnsi="EUAlbertina" w:cstheme="minorBidi"/>
      <w:color w:val="auto"/>
      <w:lang w:eastAsia="en-US"/>
    </w:rPr>
  </w:style>
</w:styles>
</file>

<file path=word/webSettings.xml><?xml version="1.0" encoding="utf-8"?>
<w:webSettings xmlns:r="http://schemas.openxmlformats.org/officeDocument/2006/relationships" xmlns:w="http://schemas.openxmlformats.org/wordprocessingml/2006/main">
  <w:divs>
    <w:div w:id="528186382">
      <w:bodyDiv w:val="1"/>
      <w:marLeft w:val="0"/>
      <w:marRight w:val="0"/>
      <w:marTop w:val="0"/>
      <w:marBottom w:val="0"/>
      <w:divBdr>
        <w:top w:val="none" w:sz="0" w:space="0" w:color="auto"/>
        <w:left w:val="none" w:sz="0" w:space="0" w:color="auto"/>
        <w:bottom w:val="none" w:sz="0" w:space="0" w:color="auto"/>
        <w:right w:val="none" w:sz="0" w:space="0" w:color="auto"/>
      </w:divBdr>
      <w:divsChild>
        <w:div w:id="276766106">
          <w:marLeft w:val="0"/>
          <w:marRight w:val="0"/>
          <w:marTop w:val="0"/>
          <w:marBottom w:val="0"/>
          <w:divBdr>
            <w:top w:val="none" w:sz="0" w:space="0" w:color="auto"/>
            <w:left w:val="none" w:sz="0" w:space="0" w:color="auto"/>
            <w:bottom w:val="none" w:sz="0" w:space="0" w:color="auto"/>
            <w:right w:val="none" w:sz="0" w:space="0" w:color="auto"/>
          </w:divBdr>
          <w:divsChild>
            <w:div w:id="1371877159">
              <w:marLeft w:val="0"/>
              <w:marRight w:val="0"/>
              <w:marTop w:val="0"/>
              <w:marBottom w:val="0"/>
              <w:divBdr>
                <w:top w:val="none" w:sz="0" w:space="0" w:color="auto"/>
                <w:left w:val="none" w:sz="0" w:space="0" w:color="auto"/>
                <w:bottom w:val="none" w:sz="0" w:space="0" w:color="auto"/>
                <w:right w:val="none" w:sz="0" w:space="0" w:color="auto"/>
              </w:divBdr>
              <w:divsChild>
                <w:div w:id="1577591255">
                  <w:marLeft w:val="0"/>
                  <w:marRight w:val="0"/>
                  <w:marTop w:val="0"/>
                  <w:marBottom w:val="0"/>
                  <w:divBdr>
                    <w:top w:val="none" w:sz="0" w:space="0" w:color="auto"/>
                    <w:left w:val="none" w:sz="0" w:space="0" w:color="auto"/>
                    <w:bottom w:val="none" w:sz="0" w:space="0" w:color="auto"/>
                    <w:right w:val="none" w:sz="0" w:space="0" w:color="auto"/>
                  </w:divBdr>
                  <w:divsChild>
                    <w:div w:id="590285814">
                      <w:marLeft w:val="0"/>
                      <w:marRight w:val="0"/>
                      <w:marTop w:val="0"/>
                      <w:marBottom w:val="0"/>
                      <w:divBdr>
                        <w:top w:val="none" w:sz="0" w:space="0" w:color="auto"/>
                        <w:left w:val="none" w:sz="0" w:space="0" w:color="auto"/>
                        <w:bottom w:val="none" w:sz="0" w:space="0" w:color="auto"/>
                        <w:right w:val="none" w:sz="0" w:space="0" w:color="auto"/>
                      </w:divBdr>
                      <w:divsChild>
                        <w:div w:id="1263487099">
                          <w:marLeft w:val="0"/>
                          <w:marRight w:val="0"/>
                          <w:marTop w:val="0"/>
                          <w:marBottom w:val="0"/>
                          <w:divBdr>
                            <w:top w:val="none" w:sz="0" w:space="0" w:color="auto"/>
                            <w:left w:val="none" w:sz="0" w:space="0" w:color="auto"/>
                            <w:bottom w:val="none" w:sz="0" w:space="0" w:color="auto"/>
                            <w:right w:val="none" w:sz="0" w:space="0" w:color="auto"/>
                          </w:divBdr>
                          <w:divsChild>
                            <w:div w:id="978729683">
                              <w:marLeft w:val="0"/>
                              <w:marRight w:val="0"/>
                              <w:marTop w:val="0"/>
                              <w:marBottom w:val="0"/>
                              <w:divBdr>
                                <w:top w:val="none" w:sz="0" w:space="0" w:color="auto"/>
                                <w:left w:val="none" w:sz="0" w:space="0" w:color="auto"/>
                                <w:bottom w:val="none" w:sz="0" w:space="0" w:color="auto"/>
                                <w:right w:val="none" w:sz="0" w:space="0" w:color="auto"/>
                              </w:divBdr>
                              <w:divsChild>
                                <w:div w:id="1389911895">
                                  <w:marLeft w:val="0"/>
                                  <w:marRight w:val="0"/>
                                  <w:marTop w:val="0"/>
                                  <w:marBottom w:val="0"/>
                                  <w:divBdr>
                                    <w:top w:val="none" w:sz="0" w:space="0" w:color="auto"/>
                                    <w:left w:val="none" w:sz="0" w:space="0" w:color="auto"/>
                                    <w:bottom w:val="none" w:sz="0" w:space="0" w:color="auto"/>
                                    <w:right w:val="none" w:sz="0" w:space="0" w:color="auto"/>
                                  </w:divBdr>
                                  <w:divsChild>
                                    <w:div w:id="2114857368">
                                      <w:marLeft w:val="0"/>
                                      <w:marRight w:val="0"/>
                                      <w:marTop w:val="0"/>
                                      <w:marBottom w:val="0"/>
                                      <w:divBdr>
                                        <w:top w:val="none" w:sz="0" w:space="0" w:color="auto"/>
                                        <w:left w:val="none" w:sz="0" w:space="0" w:color="auto"/>
                                        <w:bottom w:val="none" w:sz="0" w:space="0" w:color="auto"/>
                                        <w:right w:val="none" w:sz="0" w:space="0" w:color="auto"/>
                                      </w:divBdr>
                                      <w:divsChild>
                                        <w:div w:id="1345589119">
                                          <w:marLeft w:val="0"/>
                                          <w:marRight w:val="0"/>
                                          <w:marTop w:val="0"/>
                                          <w:marBottom w:val="0"/>
                                          <w:divBdr>
                                            <w:top w:val="none" w:sz="0" w:space="0" w:color="auto"/>
                                            <w:left w:val="none" w:sz="0" w:space="0" w:color="auto"/>
                                            <w:bottom w:val="none" w:sz="0" w:space="0" w:color="auto"/>
                                            <w:right w:val="none" w:sz="0" w:space="0" w:color="auto"/>
                                          </w:divBdr>
                                          <w:divsChild>
                                            <w:div w:id="4831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gaston\My%20Documents\DOC\documents\BANKS\SPA_DIRECTORSHIP\TEMPLATES\SPA%20Template%20Report%20v3b%20-%20July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95F56-6CAA-47F2-9292-ADBB13C5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SPA Template Report v3b - July12.dot</Template>
  <TotalTime>4</TotalTime>
  <Pages>3</Pages>
  <Words>833</Words>
  <Characters>4394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vt:lpstr>
      <vt:lpstr>Report</vt:lpstr>
    </vt:vector>
  </TitlesOfParts>
  <Company>Smart Payment Association</Company>
  <LinksUpToDate>false</LinksUpToDate>
  <CharactersWithSpaces>5217</CharactersWithSpaces>
  <SharedDoc>false</SharedDoc>
  <HLinks>
    <vt:vector size="18" baseType="variant">
      <vt:variant>
        <vt:i4>1900600</vt:i4>
      </vt:variant>
      <vt:variant>
        <vt:i4>23</vt:i4>
      </vt:variant>
      <vt:variant>
        <vt:i4>0</vt:i4>
      </vt:variant>
      <vt:variant>
        <vt:i4>5</vt:i4>
      </vt:variant>
      <vt:variant>
        <vt:lpwstr/>
      </vt:variant>
      <vt:variant>
        <vt:lpwstr>_Toc330886371</vt:lpwstr>
      </vt:variant>
      <vt:variant>
        <vt:i4>1900600</vt:i4>
      </vt:variant>
      <vt:variant>
        <vt:i4>17</vt:i4>
      </vt:variant>
      <vt:variant>
        <vt:i4>0</vt:i4>
      </vt:variant>
      <vt:variant>
        <vt:i4>5</vt:i4>
      </vt:variant>
      <vt:variant>
        <vt:lpwstr/>
      </vt:variant>
      <vt:variant>
        <vt:lpwstr>_Toc330886370</vt:lpwstr>
      </vt:variant>
      <vt:variant>
        <vt:i4>1835064</vt:i4>
      </vt:variant>
      <vt:variant>
        <vt:i4>11</vt:i4>
      </vt:variant>
      <vt:variant>
        <vt:i4>0</vt:i4>
      </vt:variant>
      <vt:variant>
        <vt:i4>5</vt:i4>
      </vt:variant>
      <vt:variant>
        <vt:lpwstr/>
      </vt:variant>
      <vt:variant>
        <vt:lpwstr>_Toc330886369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lgaston</dc:creator>
  <cp:lastModifiedBy>lgaston</cp:lastModifiedBy>
  <cp:revision>3</cp:revision>
  <cp:lastPrinted>2013-07-30T14:45:00Z</cp:lastPrinted>
  <dcterms:created xsi:type="dcterms:W3CDTF">2014-11-13T17:58:00Z</dcterms:created>
  <dcterms:modified xsi:type="dcterms:W3CDTF">2014-11-13T18:00:00Z</dcterms:modified>
</cp:coreProperties>
</file>