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1227A" w:rsidR="0091227A" w:rsidP="0091227A" w:rsidRDefault="0091227A" w14:paraId="460B5916" w14:textId="77777777">
      <w:pPr>
        <w:tabs>
          <w:tab w:val="left" w:pos="2304"/>
          <w:tab w:val="right" w:pos="9072"/>
        </w:tabs>
        <w:rPr>
          <w:rFonts w:ascii="Akkurat Light Pro" w:hAnsi="Akkurat Light Pro"/>
          <w:lang w:val="en-US"/>
        </w:rPr>
      </w:pPr>
      <w:r w:rsidRPr="0091227A">
        <w:rPr>
          <w:rFonts w:ascii="Akkurat Light Pro" w:hAnsi="Akkurat Light Pro"/>
          <w:lang w:val="en-US"/>
        </w:rPr>
        <w:tab/>
      </w:r>
    </w:p>
    <w:p w:rsidRPr="005870BC" w:rsidR="001E1BD6" w:rsidP="001E1BD6" w:rsidRDefault="001E1BD6" w14:paraId="460B5917" w14:textId="4A29A6F8">
      <w:pPr>
        <w:jc w:val="right"/>
        <w:rPr>
          <w:lang w:val="en-GB"/>
        </w:rPr>
      </w:pPr>
      <w:r w:rsidRPr="005870BC">
        <w:rPr>
          <w:lang w:val="en-GB"/>
        </w:rPr>
        <w:t>Ref.:</w:t>
      </w:r>
      <w:bookmarkStart w:name="DocRef" w:id="0"/>
      <w:r>
        <w:rPr>
          <w:lang w:val="en-GB"/>
        </w:rPr>
        <w:t>EBF_011888</w:t>
      </w:r>
      <w:bookmarkEnd w:id="0"/>
      <w:r w:rsidR="00020773">
        <w:rPr>
          <w:lang w:val="en-GB"/>
        </w:rPr>
        <w:t>v</w:t>
      </w:r>
      <w:r w:rsidR="00970F7B">
        <w:rPr>
          <w:lang w:val="en-GB"/>
        </w:rPr>
        <w:t>4 final</w:t>
      </w:r>
    </w:p>
    <w:p w:rsidRPr="005870BC" w:rsidR="001F6B1A" w:rsidP="001F6B1A" w:rsidRDefault="001F6B1A" w14:paraId="06A9DD20" w14:textId="22CC240E">
      <w:pPr>
        <w:jc w:val="right"/>
        <w:rPr>
          <w:lang w:val="en-GB"/>
        </w:rPr>
      </w:pPr>
      <w:r w:rsidRPr="005870BC">
        <w:rPr>
          <w:lang w:val="en-GB"/>
        </w:rPr>
        <w:t xml:space="preserve">Brussels, </w:t>
      </w:r>
      <w:r w:rsidR="002D646D">
        <w:rPr>
          <w:lang w:val="en-GB"/>
        </w:rPr>
        <w:t>2 January 2015</w:t>
      </w:r>
    </w:p>
    <w:p w:rsidRPr="005870BC" w:rsidR="001F6B1A" w:rsidP="001F6B1A" w:rsidRDefault="001F6B1A" w14:paraId="0F8E21F7" w14:textId="77777777">
      <w:pPr>
        <w:jc w:val="both"/>
        <w:rPr>
          <w:b/>
          <w:bCs/>
          <w:i/>
          <w:iCs/>
          <w:sz w:val="20"/>
          <w:lang w:val="en-US"/>
        </w:rPr>
      </w:pPr>
      <w:r w:rsidRPr="005870BC">
        <w:rPr>
          <w:b/>
          <w:bCs/>
          <w:i/>
          <w:iCs/>
          <w:sz w:val="20"/>
          <w:lang w:val="en-US"/>
        </w:rPr>
        <w:t>Launched in 1960, the European Banking Federation is the voice of the European banking sector from the European Union and European Free Trade Association countries. The EBF represents the interests of some 4,500 banks, large and small, wholesale and retail, local and cross-border financial institutions. Together, these banks account for over 80% of the total assets and deposits and some 80% of all bank loans in the EU alone.</w:t>
      </w:r>
    </w:p>
    <w:p w:rsidRPr="001E57E5" w:rsidR="001F6B1A" w:rsidP="001943A5" w:rsidRDefault="001F6B1A" w14:paraId="5AB9C1B1" w14:textId="5A512E7C">
      <w:pPr>
        <w:pStyle w:val="Heading2"/>
        <w:spacing w:after="240"/>
        <w:rPr>
          <w:lang w:val="en-US"/>
        </w:rPr>
      </w:pPr>
      <w:r>
        <w:rPr>
          <w:lang w:val="en-US"/>
        </w:rPr>
        <w:t xml:space="preserve">EBF Response to </w:t>
      </w:r>
      <w:r w:rsidRPr="00306F5B">
        <w:rPr>
          <w:lang w:val="en-US"/>
        </w:rPr>
        <w:t xml:space="preserve">Consultation paper on </w:t>
      </w:r>
      <w:r w:rsidRPr="001943A5" w:rsidR="001943A5">
        <w:rPr>
          <w:lang w:val="en-US"/>
        </w:rPr>
        <w:t>Draft Guidelines</w:t>
      </w:r>
      <w:r w:rsidR="001943A5">
        <w:rPr>
          <w:lang w:val="en-US"/>
        </w:rPr>
        <w:t xml:space="preserve"> </w:t>
      </w:r>
      <w:r w:rsidRPr="001943A5" w:rsidR="001943A5">
        <w:rPr>
          <w:lang w:val="en-US"/>
        </w:rPr>
        <w:t xml:space="preserve">on the minimum list of qualitative and quantitative recovery plan indicators </w:t>
      </w:r>
      <w:r w:rsidRPr="00306F5B">
        <w:rPr>
          <w:lang w:val="en-US"/>
        </w:rPr>
        <w:t>(EBA/CP/2014/2</w:t>
      </w:r>
      <w:r w:rsidR="00592ADE">
        <w:rPr>
          <w:lang w:val="en-US"/>
        </w:rPr>
        <w:t>8</w:t>
      </w:r>
      <w:r w:rsidRPr="00306F5B">
        <w:rPr>
          <w:lang w:val="en-US"/>
        </w:rPr>
        <w:t xml:space="preserve">) </w:t>
      </w:r>
      <w:r w:rsidRPr="001E57E5">
        <w:rPr>
          <w:lang w:val="en-US"/>
        </w:rPr>
        <w:fldChar w:fldCharType="begin"/>
      </w:r>
      <w:r w:rsidRPr="001E57E5">
        <w:rPr>
          <w:lang w:val="en-US"/>
        </w:rPr>
        <w:instrText xml:space="preserve"> TITLE   \* MERGEFORMAT </w:instrText>
      </w:r>
      <w:r w:rsidRPr="001E57E5">
        <w:rPr>
          <w:lang w:val="en-US"/>
        </w:rPr>
        <w:fldChar w:fldCharType="end"/>
      </w:r>
    </w:p>
    <w:p w:rsidRPr="007C73E8" w:rsidR="001F6B1A" w:rsidP="001F6B1A" w:rsidRDefault="001F6B1A" w14:paraId="23488FA6" w14:textId="77777777">
      <w:pPr>
        <w:jc w:val="both"/>
        <w:rPr>
          <w:u w:val="single"/>
          <w:lang w:val="en-GB"/>
        </w:rPr>
      </w:pPr>
      <w:r w:rsidRPr="007C73E8">
        <w:rPr>
          <w:u w:val="single"/>
          <w:lang w:val="en-GB"/>
        </w:rPr>
        <w:t>General Comments</w:t>
      </w:r>
    </w:p>
    <w:p w:rsidR="0011474D" w:rsidP="0011474D" w:rsidRDefault="0011474D" w14:paraId="5DB214C7" w14:textId="6E69A23C">
      <w:pPr>
        <w:spacing w:after="0" w:line="240" w:lineRule="auto"/>
        <w:jc w:val="both"/>
        <w:rPr>
          <w:lang w:val="en-GB"/>
        </w:rPr>
      </w:pPr>
      <w:r w:rsidRPr="0011474D">
        <w:rPr>
          <w:lang w:val="en-GB"/>
        </w:rPr>
        <w:t xml:space="preserve">We support the approach of a case-by-case analysis of indicators (qualitative or quantitative) in the recovery plan as Article 9(1) of Directive 2014/59/EU establishes. In this sense, it is important that each recovery plan includes a framework of indicators established by the institution according to the relevant risks that it faces as the paragraph 15 of the draft guidelines establishes, identifying the points at which appropriate actions referred to in the plan may be taken, and such indicators shall be agreed by competent authorities when making the assessment of recovery plan. </w:t>
      </w:r>
      <w:r>
        <w:rPr>
          <w:lang w:val="en-GB"/>
        </w:rPr>
        <w:t>W</w:t>
      </w:r>
      <w:r w:rsidRPr="0011474D">
        <w:rPr>
          <w:lang w:val="en-GB"/>
        </w:rPr>
        <w:t xml:space="preserve">e would like to </w:t>
      </w:r>
      <w:proofErr w:type="gramStart"/>
      <w:r>
        <w:rPr>
          <w:lang w:val="en-GB"/>
        </w:rPr>
        <w:t>share</w:t>
      </w:r>
      <w:proofErr w:type="gramEnd"/>
      <w:r>
        <w:rPr>
          <w:lang w:val="en-GB"/>
        </w:rPr>
        <w:t xml:space="preserve"> with you some general remarks.</w:t>
      </w:r>
    </w:p>
    <w:p w:rsidR="00370094" w:rsidP="0011474D" w:rsidRDefault="00370094" w14:paraId="12BC7F97" w14:textId="77777777">
      <w:pPr>
        <w:spacing w:after="0" w:line="240" w:lineRule="auto"/>
        <w:jc w:val="both"/>
        <w:rPr>
          <w:lang w:val="en-GB"/>
        </w:rPr>
      </w:pPr>
    </w:p>
    <w:p w:rsidRPr="00457011" w:rsidR="009C263D" w:rsidP="00457011" w:rsidRDefault="00370094" w14:paraId="7F2A217A" w14:textId="77777777">
      <w:pPr>
        <w:pStyle w:val="ListParagraph"/>
        <w:numPr>
          <w:ilvl w:val="0"/>
          <w:numId w:val="5"/>
        </w:numPr>
        <w:spacing w:after="0" w:line="240" w:lineRule="auto"/>
        <w:ind w:left="360"/>
        <w:jc w:val="both"/>
        <w:rPr>
          <w:lang w:val="en-GB"/>
        </w:rPr>
      </w:pPr>
      <w:r w:rsidRPr="00837A41">
        <w:rPr>
          <w:lang w:val="en-GB"/>
        </w:rPr>
        <w:t>The minimum list of indicators should be restricted to capital and liquidity indicators, with all other categories being illustrative</w:t>
      </w:r>
      <w:r w:rsidRPr="00457011">
        <w:rPr>
          <w:lang w:val="en-GB"/>
        </w:rPr>
        <w:t>.</w:t>
      </w:r>
      <w:r w:rsidRPr="00457011" w:rsidR="009C263D">
        <w:rPr>
          <w:lang w:val="en-GB"/>
        </w:rPr>
        <w:t xml:space="preserve"> Indicators should be closely aligned with the management indicators used by the institution and those included in supervisory processes. Consistency should be safeguarded. This would avoid the duplication of efforts in obtaining the required information and simultaneously to ensure that the information is still relevant to enable both the authority and the bank itself to take decisions. </w:t>
      </w:r>
      <w:r w:rsidRPr="00457011">
        <w:rPr>
          <w:lang w:val="en-GB"/>
        </w:rPr>
        <w:t>This would shift the focus away a "rebuttable presumption" that all indicators listed must apply</w:t>
      </w:r>
      <w:r w:rsidRPr="00457011" w:rsidR="009C263D">
        <w:rPr>
          <w:lang w:val="en-GB"/>
        </w:rPr>
        <w:t>.</w:t>
      </w:r>
      <w:r w:rsidRPr="00457011">
        <w:rPr>
          <w:lang w:val="en-GB"/>
        </w:rPr>
        <w:t xml:space="preserve"> </w:t>
      </w:r>
    </w:p>
    <w:p w:rsidRPr="009C263D" w:rsidR="009C263D" w:rsidP="00457011" w:rsidRDefault="009C263D" w14:paraId="014ED6C8" w14:textId="77777777">
      <w:pPr>
        <w:spacing w:after="0" w:line="240" w:lineRule="auto"/>
        <w:jc w:val="both"/>
        <w:rPr>
          <w:lang w:val="en-GB"/>
        </w:rPr>
      </w:pPr>
    </w:p>
    <w:p w:rsidR="009C263D" w:rsidP="00CF0284" w:rsidRDefault="00370094" w14:paraId="3B5F6F34" w14:textId="3CDCC1EF">
      <w:pPr>
        <w:pStyle w:val="ListParagraph"/>
        <w:numPr>
          <w:ilvl w:val="0"/>
          <w:numId w:val="5"/>
        </w:numPr>
        <w:spacing w:after="0" w:line="240" w:lineRule="auto"/>
        <w:jc w:val="both"/>
        <w:rPr>
          <w:lang w:val="en-GB"/>
        </w:rPr>
      </w:pPr>
      <w:r w:rsidRPr="00BD382E">
        <w:rPr>
          <w:lang w:val="en-GB"/>
        </w:rPr>
        <w:t>T</w:t>
      </w:r>
      <w:r w:rsidRPr="008F48DF" w:rsidR="0011474D">
        <w:rPr>
          <w:lang w:val="en-GB"/>
        </w:rPr>
        <w:t>he requirement for a list of indicators must respect the principle of proportionality</w:t>
      </w:r>
      <w:r w:rsidR="00CF0284">
        <w:rPr>
          <w:lang w:val="en-GB"/>
        </w:rPr>
        <w:t xml:space="preserve"> in terms of the </w:t>
      </w:r>
      <w:r w:rsidRPr="00CF0284" w:rsidR="00CF0284">
        <w:rPr>
          <w:lang w:val="en-GB"/>
        </w:rPr>
        <w:t>size and complexity of the bank</w:t>
      </w:r>
      <w:r w:rsidR="00294253">
        <w:rPr>
          <w:lang w:val="en-GB"/>
        </w:rPr>
        <w:t xml:space="preserve">. This is also </w:t>
      </w:r>
      <w:bookmarkStart w:name="_GoBack" w:id="1"/>
      <w:bookmarkEnd w:id="1"/>
      <w:r w:rsidRPr="008F48DF" w:rsidR="0011474D">
        <w:rPr>
          <w:lang w:val="en-GB"/>
        </w:rPr>
        <w:t>true for i</w:t>
      </w:r>
      <w:r w:rsidRPr="00457011" w:rsidR="0011474D">
        <w:rPr>
          <w:lang w:val="en-GB"/>
        </w:rPr>
        <w:t xml:space="preserve">nstitutions with a decentralised model and the need for developing these indicators for different subsidiaries. </w:t>
      </w:r>
      <w:r w:rsidRPr="00457011" w:rsidR="006C245D">
        <w:rPr>
          <w:lang w:val="en-GB"/>
        </w:rPr>
        <w:t xml:space="preserve">Against this background, it is important that the guidelines are structured as guidelines with a view to promote the safety and soundness of markets and convergence of regulatory practice and not designed as imperative requirements, such as rebuttable presumptions. </w:t>
      </w:r>
    </w:p>
    <w:p w:rsidRPr="00837A41" w:rsidR="0011474D" w:rsidP="00457011" w:rsidRDefault="0011474D" w14:paraId="0FBC7DFE" w14:textId="17B44E1B">
      <w:pPr>
        <w:pStyle w:val="ListParagraph"/>
        <w:spacing w:after="0" w:line="240" w:lineRule="auto"/>
        <w:ind w:left="360"/>
        <w:jc w:val="both"/>
        <w:rPr>
          <w:lang w:val="en-GB"/>
        </w:rPr>
      </w:pPr>
    </w:p>
    <w:p w:rsidR="006C245D" w:rsidP="00457011" w:rsidRDefault="009C263D" w14:paraId="4D1752EC" w14:textId="06529DCB">
      <w:pPr>
        <w:pStyle w:val="ListParagraph"/>
        <w:numPr>
          <w:ilvl w:val="0"/>
          <w:numId w:val="5"/>
        </w:numPr>
        <w:spacing w:after="0" w:line="240" w:lineRule="auto"/>
        <w:ind w:left="360"/>
        <w:jc w:val="both"/>
        <w:rPr>
          <w:lang w:val="en-GB"/>
        </w:rPr>
      </w:pPr>
      <w:r w:rsidRPr="008F48DF">
        <w:rPr>
          <w:lang w:val="en-GB"/>
        </w:rPr>
        <w:t>I</w:t>
      </w:r>
      <w:r w:rsidRPr="00D7593B" w:rsidR="006C245D">
        <w:rPr>
          <w:lang w:val="en-GB"/>
        </w:rPr>
        <w:t xml:space="preserve">t must be kept in mind that the thresholds for the recovery indicators are considered as a reference, without </w:t>
      </w:r>
      <w:r w:rsidRPr="00457011" w:rsidR="006C245D">
        <w:rPr>
          <w:lang w:val="en-GB"/>
        </w:rPr>
        <w:t xml:space="preserve">assuming any automatic response in terms of recovery actions. Indicators just allow for assessing the underlying situation, and </w:t>
      </w:r>
      <w:r w:rsidRPr="00457011" w:rsidR="00F800A4">
        <w:rPr>
          <w:lang w:val="en-GB"/>
        </w:rPr>
        <w:t xml:space="preserve">should not be seen as a </w:t>
      </w:r>
      <w:r w:rsidRPr="00457011" w:rsidR="006C245D">
        <w:rPr>
          <w:lang w:val="en-GB"/>
        </w:rPr>
        <w:t xml:space="preserve">signal </w:t>
      </w:r>
      <w:r w:rsidRPr="00457011" w:rsidR="001E2AA2">
        <w:rPr>
          <w:lang w:val="en-GB"/>
        </w:rPr>
        <w:t xml:space="preserve">to take recovery actions </w:t>
      </w:r>
      <w:r w:rsidRPr="00457011">
        <w:rPr>
          <w:lang w:val="en-GB"/>
        </w:rPr>
        <w:t xml:space="preserve">but </w:t>
      </w:r>
      <w:r w:rsidRPr="00457011" w:rsidR="001E2AA2">
        <w:rPr>
          <w:lang w:val="en-GB"/>
        </w:rPr>
        <w:t xml:space="preserve">rather </w:t>
      </w:r>
      <w:r w:rsidRPr="00457011">
        <w:rPr>
          <w:lang w:val="en-GB"/>
        </w:rPr>
        <w:t xml:space="preserve">as </w:t>
      </w:r>
      <w:r w:rsidRPr="00457011" w:rsidR="001E2AA2">
        <w:rPr>
          <w:lang w:val="en-GB"/>
        </w:rPr>
        <w:t xml:space="preserve">the signal that an analysis should be done to determine what actions should be taken, if any. Due to the fact that several authorities will be involved in a cross boarder situation, there is a risk that actions will be trigged too early. </w:t>
      </w:r>
      <w:r w:rsidRPr="00457011" w:rsidR="006C245D">
        <w:rPr>
          <w:lang w:val="en-GB"/>
        </w:rPr>
        <w:t xml:space="preserve"> This point should be included in the guidelines.  </w:t>
      </w:r>
    </w:p>
    <w:p w:rsidR="009C263D" w:rsidP="00457011" w:rsidRDefault="009C263D" w14:paraId="232B47DE" w14:textId="77777777">
      <w:pPr>
        <w:pStyle w:val="ListParagraph"/>
        <w:spacing w:after="0" w:line="240" w:lineRule="auto"/>
        <w:ind w:left="360"/>
        <w:jc w:val="both"/>
        <w:rPr>
          <w:lang w:val="en-GB"/>
        </w:rPr>
      </w:pPr>
    </w:p>
    <w:p w:rsidRPr="00837A41" w:rsidR="009C263D" w:rsidP="00457011" w:rsidRDefault="009C263D" w14:paraId="6297587F" w14:textId="2F030D8B">
      <w:pPr>
        <w:pStyle w:val="ListParagraph"/>
        <w:numPr>
          <w:ilvl w:val="0"/>
          <w:numId w:val="5"/>
        </w:numPr>
        <w:spacing w:after="0" w:line="240" w:lineRule="auto"/>
        <w:ind w:left="360"/>
        <w:jc w:val="both"/>
        <w:rPr>
          <w:lang w:val="en-GB"/>
        </w:rPr>
      </w:pPr>
      <w:r w:rsidRPr="009C263D">
        <w:rPr>
          <w:lang w:val="en-GB"/>
        </w:rPr>
        <w:t>Macroeconomic indicators should not be used as recovery plan indicators as they do not reflect a firm's actual position</w:t>
      </w:r>
      <w:r>
        <w:rPr>
          <w:lang w:val="en-GB"/>
        </w:rPr>
        <w:t>.</w:t>
      </w:r>
    </w:p>
    <w:p w:rsidR="009C263D" w:rsidRDefault="009C263D" w14:paraId="3E9D52CA" w14:textId="77777777">
      <w:pPr>
        <w:rPr>
          <w:rFonts w:ascii="Calibri" w:hAnsi="Calibri"/>
          <w:u w:val="single"/>
          <w:lang w:val="en-GB"/>
        </w:rPr>
      </w:pPr>
      <w:r>
        <w:rPr>
          <w:rFonts w:ascii="Calibri" w:hAnsi="Calibri"/>
          <w:u w:val="single"/>
          <w:lang w:val="en-GB"/>
        </w:rPr>
        <w:br w:type="page"/>
      </w:r>
    </w:p>
    <w:p w:rsidRPr="0097022C" w:rsidR="001F6B1A" w:rsidP="0097022C" w:rsidRDefault="001F6B1A" w14:paraId="2BA92F63" w14:textId="1FD80DFC">
      <w:pPr>
        <w:rPr>
          <w:rFonts w:ascii="Calibri" w:hAnsi="Calibri"/>
          <w:u w:val="single"/>
          <w:lang w:val="en-GB"/>
        </w:rPr>
      </w:pPr>
      <w:r w:rsidRPr="0097022C">
        <w:rPr>
          <w:rFonts w:ascii="Calibri" w:hAnsi="Calibri"/>
          <w:u w:val="single"/>
          <w:lang w:val="en-GB"/>
        </w:rPr>
        <w:lastRenderedPageBreak/>
        <w:t>Answer to specific questions</w:t>
      </w:r>
    </w:p>
    <w:p w:rsidRPr="0097022C" w:rsidR="0097022C" w:rsidP="0097022C" w:rsidRDefault="0097022C" w14:paraId="4D660275" w14:textId="5A733076">
      <w:pPr>
        <w:rPr>
          <w:rFonts w:ascii="Calibri" w:hAnsi="Calibri"/>
          <w:b/>
          <w:lang w:val="en-GB"/>
        </w:rPr>
      </w:pPr>
      <w:r w:rsidRPr="0097022C">
        <w:rPr>
          <w:rFonts w:ascii="Calibri" w:hAnsi="Calibri"/>
          <w:b/>
          <w:lang w:val="en-GB"/>
        </w:rPr>
        <w:t>Q1: Do you agree with the inclusion of both quantitative and qualitative indicators for recovery planning purposes?</w:t>
      </w:r>
    </w:p>
    <w:p w:rsidR="00837A41" w:rsidP="00457011" w:rsidRDefault="00BD382E" w14:paraId="13FF809A" w14:textId="7ECE9286">
      <w:pPr>
        <w:jc w:val="both"/>
        <w:rPr>
          <w:rFonts w:cs="Arial"/>
          <w:sz w:val="20"/>
          <w:szCs w:val="20"/>
          <w:lang w:val="en-US"/>
        </w:rPr>
      </w:pPr>
      <w:r>
        <w:rPr>
          <w:rFonts w:cs="Arial"/>
          <w:sz w:val="20"/>
          <w:szCs w:val="20"/>
          <w:lang w:val="en-US"/>
        </w:rPr>
        <w:t xml:space="preserve">While the EBF supports the </w:t>
      </w:r>
      <w:r w:rsidRPr="00BD382E">
        <w:rPr>
          <w:rFonts w:cs="Arial"/>
          <w:sz w:val="20"/>
          <w:szCs w:val="20"/>
          <w:lang w:val="en-US"/>
        </w:rPr>
        <w:t>possibility of using both quantitative and qualitative indicators</w:t>
      </w:r>
      <w:r>
        <w:rPr>
          <w:rFonts w:cs="Arial"/>
          <w:sz w:val="20"/>
          <w:szCs w:val="20"/>
          <w:lang w:val="en-US"/>
        </w:rPr>
        <w:t>, w</w:t>
      </w:r>
      <w:r w:rsidRPr="00837A41" w:rsidR="00837A41">
        <w:rPr>
          <w:rFonts w:cs="Arial"/>
          <w:sz w:val="20"/>
          <w:szCs w:val="20"/>
          <w:lang w:val="en-US"/>
        </w:rPr>
        <w:t>e disagree that the guideline should clarify which minimum indicators are quantitative and which ones qualitative. This needs to be determined by each firm based on existing reporting and risk profile</w:t>
      </w:r>
      <w:r>
        <w:rPr>
          <w:rFonts w:cs="Arial"/>
          <w:sz w:val="20"/>
          <w:szCs w:val="20"/>
          <w:lang w:val="en-US"/>
        </w:rPr>
        <w:t>. Thus, t</w:t>
      </w:r>
      <w:r w:rsidRPr="00837A41" w:rsidR="00837A41">
        <w:rPr>
          <w:rFonts w:cs="Arial"/>
          <w:sz w:val="20"/>
          <w:szCs w:val="20"/>
          <w:lang w:val="en-US"/>
        </w:rPr>
        <w:t xml:space="preserve">he indicators should be coordinated with the reporting requirements that already exists such as risk appetite, key risk. </w:t>
      </w:r>
    </w:p>
    <w:p w:rsidRPr="00B35572" w:rsidR="00837A41" w:rsidP="00D7593B" w:rsidRDefault="00BD382E" w14:paraId="5DD690B3" w14:textId="54F9FE96">
      <w:pPr>
        <w:spacing w:before="240" w:after="120" w:line="300" w:lineRule="atLeast"/>
        <w:jc w:val="both"/>
        <w:rPr>
          <w:rFonts w:cs="Arial"/>
          <w:sz w:val="20"/>
          <w:szCs w:val="20"/>
          <w:lang w:val="en-US"/>
        </w:rPr>
      </w:pPr>
      <w:r>
        <w:rPr>
          <w:rFonts w:cs="Arial"/>
          <w:sz w:val="20"/>
          <w:szCs w:val="20"/>
          <w:lang w:val="en-US"/>
        </w:rPr>
        <w:t>Also</w:t>
      </w:r>
      <w:r w:rsidR="008F48DF">
        <w:rPr>
          <w:rFonts w:cs="Arial"/>
          <w:sz w:val="20"/>
          <w:szCs w:val="20"/>
          <w:lang w:val="en-US"/>
        </w:rPr>
        <w:t>,</w:t>
      </w:r>
      <w:r w:rsidRPr="004359BF" w:rsidR="0011474D">
        <w:rPr>
          <w:rFonts w:cs="Arial"/>
          <w:sz w:val="20"/>
          <w:szCs w:val="20"/>
          <w:lang w:val="en-US"/>
        </w:rPr>
        <w:t xml:space="preserve"> we </w:t>
      </w:r>
      <w:r>
        <w:rPr>
          <w:rFonts w:cs="Arial"/>
          <w:sz w:val="20"/>
          <w:szCs w:val="20"/>
          <w:lang w:val="en-US"/>
        </w:rPr>
        <w:t xml:space="preserve">would </w:t>
      </w:r>
      <w:r w:rsidRPr="004359BF" w:rsidR="0011474D">
        <w:rPr>
          <w:rFonts w:cs="Arial"/>
          <w:sz w:val="20"/>
          <w:szCs w:val="20"/>
          <w:lang w:val="en-US"/>
        </w:rPr>
        <w:t xml:space="preserve">have some concerns regarding the definition of quantitative metrics for some of the indicators, such as the market-based and the macroeconomic indicators. </w:t>
      </w:r>
    </w:p>
    <w:p w:rsidRPr="0097022C" w:rsidR="0097022C" w:rsidP="00457011" w:rsidRDefault="0097022C" w14:paraId="0C0D18F4" w14:textId="77777777">
      <w:pPr>
        <w:spacing w:before="240"/>
        <w:rPr>
          <w:rFonts w:ascii="Calibri" w:hAnsi="Calibri"/>
          <w:b/>
          <w:lang w:val="en-GB"/>
        </w:rPr>
      </w:pPr>
      <w:r w:rsidRPr="0097022C">
        <w:rPr>
          <w:rFonts w:ascii="Calibri" w:hAnsi="Calibri"/>
          <w:b/>
          <w:lang w:val="en-GB"/>
        </w:rPr>
        <w:t>Q2: Do you consider that there are other categories of indicators apart from those reflected in the draft Guidelines which should be included in the minimum list of recovery plan indicators?</w:t>
      </w:r>
    </w:p>
    <w:p w:rsidRPr="00D7593B" w:rsidR="0011474D" w:rsidP="00457011" w:rsidRDefault="00BD382E" w14:paraId="2B8FCB88" w14:textId="4695C1DD">
      <w:pPr>
        <w:pStyle w:val="CommentText"/>
        <w:jc w:val="both"/>
        <w:rPr>
          <w:lang w:val="en-US"/>
        </w:rPr>
      </w:pPr>
      <w:r w:rsidRPr="004606EE">
        <w:rPr>
          <w:lang w:val="en-US"/>
        </w:rPr>
        <w:t>As stated above, we do not agree that macroeconomic indicators should be used</w:t>
      </w:r>
      <w:r>
        <w:rPr>
          <w:lang w:val="en-US"/>
        </w:rPr>
        <w:t xml:space="preserve"> and do not see the need </w:t>
      </w:r>
      <w:r w:rsidR="00DB443C">
        <w:rPr>
          <w:lang w:val="en-US"/>
        </w:rPr>
        <w:t xml:space="preserve">for an overly prescriptive list </w:t>
      </w:r>
      <w:r w:rsidRPr="004606EE">
        <w:rPr>
          <w:lang w:val="en-US"/>
        </w:rPr>
        <w:t xml:space="preserve">of indicators. These should be determined by a firm and its resolution authority. We would also expect the minimum list to be restricted to capital and liquidity indicators, as stated above. </w:t>
      </w:r>
      <w:r w:rsidR="0011474D">
        <w:rPr>
          <w:rFonts w:cs="Arial"/>
          <w:lang w:val="en-US"/>
        </w:rPr>
        <w:t xml:space="preserve">Nevertheless, authorities </w:t>
      </w:r>
      <w:r w:rsidR="008E53C5">
        <w:rPr>
          <w:rFonts w:cs="Arial"/>
          <w:lang w:val="en-US"/>
        </w:rPr>
        <w:t xml:space="preserve">should have the flexibility to use </w:t>
      </w:r>
      <w:r w:rsidR="0011474D">
        <w:rPr>
          <w:rFonts w:cs="Arial"/>
          <w:lang w:val="en-US"/>
        </w:rPr>
        <w:t>indicators</w:t>
      </w:r>
      <w:r w:rsidR="008E53C5">
        <w:rPr>
          <w:rFonts w:cs="Arial"/>
          <w:lang w:val="en-US"/>
        </w:rPr>
        <w:t xml:space="preserve"> similar </w:t>
      </w:r>
      <w:r w:rsidR="0011474D">
        <w:rPr>
          <w:rFonts w:cs="Arial"/>
          <w:lang w:val="en-US"/>
        </w:rPr>
        <w:t xml:space="preserve">management indicators that are monitored regularly by the entity </w:t>
      </w:r>
      <w:r w:rsidR="008E53C5">
        <w:rPr>
          <w:rFonts w:cs="Arial"/>
          <w:lang w:val="en-US"/>
        </w:rPr>
        <w:t>which</w:t>
      </w:r>
      <w:r w:rsidR="0011474D">
        <w:rPr>
          <w:rFonts w:cs="Arial"/>
          <w:lang w:val="en-US"/>
        </w:rPr>
        <w:t xml:space="preserve"> </w:t>
      </w:r>
      <w:r w:rsidRPr="00C01967" w:rsidR="0011474D">
        <w:rPr>
          <w:rFonts w:cs="Arial"/>
          <w:lang w:val="en-US"/>
        </w:rPr>
        <w:t xml:space="preserve">can be more valuable </w:t>
      </w:r>
      <w:r w:rsidR="0011474D">
        <w:rPr>
          <w:rFonts w:cs="Arial"/>
          <w:lang w:val="en-US"/>
        </w:rPr>
        <w:t xml:space="preserve">for decision-making if a recovery option has to be implemented. </w:t>
      </w:r>
    </w:p>
    <w:p w:rsidR="0011474D" w:rsidP="00D7593B" w:rsidRDefault="00DB443C" w14:paraId="467FF6A6" w14:textId="65C87292">
      <w:pPr>
        <w:jc w:val="both"/>
        <w:rPr>
          <w:rFonts w:cs="Arial"/>
          <w:sz w:val="20"/>
          <w:szCs w:val="20"/>
          <w:lang w:val="en-US"/>
        </w:rPr>
      </w:pPr>
      <w:r>
        <w:rPr>
          <w:rFonts w:cs="Arial"/>
          <w:sz w:val="20"/>
          <w:szCs w:val="20"/>
          <w:lang w:val="en-US"/>
        </w:rPr>
        <w:t>I</w:t>
      </w:r>
      <w:r w:rsidR="0011474D">
        <w:rPr>
          <w:rFonts w:cs="Arial"/>
          <w:sz w:val="20"/>
          <w:szCs w:val="20"/>
          <w:lang w:val="en-US"/>
        </w:rPr>
        <w:t xml:space="preserve">n relation to the minimum and the additional list of recovery plan indicators, we consider that the minimum list is </w:t>
      </w:r>
      <w:r w:rsidRPr="00CA0FD1" w:rsidR="0011474D">
        <w:rPr>
          <w:rFonts w:cs="Arial"/>
          <w:sz w:val="20"/>
          <w:szCs w:val="20"/>
          <w:lang w:val="en-US"/>
        </w:rPr>
        <w:t>sufficiently</w:t>
      </w:r>
      <w:r w:rsidR="0011474D">
        <w:rPr>
          <w:rFonts w:cs="Arial"/>
          <w:sz w:val="20"/>
          <w:szCs w:val="20"/>
          <w:lang w:val="en-US"/>
        </w:rPr>
        <w:t xml:space="preserve"> extensive</w:t>
      </w:r>
      <w:r w:rsidR="008E53C5">
        <w:rPr>
          <w:rFonts w:cs="Arial"/>
          <w:sz w:val="20"/>
          <w:szCs w:val="20"/>
          <w:lang w:val="en-US"/>
        </w:rPr>
        <w:t>.</w:t>
      </w:r>
      <w:r w:rsidR="0011474D">
        <w:rPr>
          <w:rFonts w:cs="Arial"/>
          <w:sz w:val="20"/>
          <w:szCs w:val="20"/>
          <w:lang w:val="en-US"/>
        </w:rPr>
        <w:t xml:space="preserve"> </w:t>
      </w:r>
      <w:r w:rsidR="008E53C5">
        <w:rPr>
          <w:rFonts w:cs="Arial"/>
          <w:sz w:val="20"/>
          <w:szCs w:val="20"/>
          <w:lang w:val="en-US"/>
        </w:rPr>
        <w:t>T</w:t>
      </w:r>
      <w:r w:rsidR="0011474D">
        <w:rPr>
          <w:rFonts w:cs="Arial"/>
          <w:sz w:val="20"/>
          <w:szCs w:val="20"/>
          <w:lang w:val="en-US"/>
        </w:rPr>
        <w:t xml:space="preserve">herefore, some of the additional indicators </w:t>
      </w:r>
      <w:r w:rsidR="008E53C5">
        <w:rPr>
          <w:rFonts w:cs="Arial"/>
          <w:sz w:val="20"/>
          <w:szCs w:val="20"/>
          <w:lang w:val="en-US"/>
        </w:rPr>
        <w:t xml:space="preserve">may </w:t>
      </w:r>
      <w:r w:rsidRPr="00CA0FD1" w:rsidR="0011474D">
        <w:rPr>
          <w:rFonts w:cs="Arial"/>
          <w:sz w:val="20"/>
          <w:szCs w:val="20"/>
          <w:lang w:val="en-US"/>
        </w:rPr>
        <w:t>be</w:t>
      </w:r>
      <w:r w:rsidR="0011474D">
        <w:rPr>
          <w:rFonts w:cs="Arial"/>
          <w:sz w:val="20"/>
          <w:szCs w:val="20"/>
          <w:lang w:val="en-US"/>
        </w:rPr>
        <w:t xml:space="preserve"> considered</w:t>
      </w:r>
      <w:r w:rsidRPr="00CA0FD1" w:rsidR="0011474D">
        <w:rPr>
          <w:rFonts w:cs="Arial"/>
          <w:sz w:val="20"/>
          <w:szCs w:val="20"/>
          <w:lang w:val="en-US"/>
        </w:rPr>
        <w:t xml:space="preserve"> unnecessary</w:t>
      </w:r>
      <w:r w:rsidR="008E53C5">
        <w:rPr>
          <w:rFonts w:cs="Arial"/>
          <w:sz w:val="20"/>
          <w:szCs w:val="20"/>
          <w:lang w:val="en-US"/>
        </w:rPr>
        <w:t xml:space="preserve"> for banks that do</w:t>
      </w:r>
      <w:r>
        <w:rPr>
          <w:rFonts w:cs="Arial"/>
          <w:sz w:val="20"/>
          <w:szCs w:val="20"/>
          <w:lang w:val="en-US"/>
        </w:rPr>
        <w:t xml:space="preserve"> </w:t>
      </w:r>
      <w:r w:rsidR="008E53C5">
        <w:rPr>
          <w:rFonts w:cs="Arial"/>
          <w:sz w:val="20"/>
          <w:szCs w:val="20"/>
          <w:lang w:val="en-US"/>
        </w:rPr>
        <w:t>n</w:t>
      </w:r>
      <w:r>
        <w:rPr>
          <w:rFonts w:cs="Arial"/>
          <w:sz w:val="20"/>
          <w:szCs w:val="20"/>
          <w:lang w:val="en-US"/>
        </w:rPr>
        <w:t>o</w:t>
      </w:r>
      <w:r w:rsidR="008E53C5">
        <w:rPr>
          <w:rFonts w:cs="Arial"/>
          <w:sz w:val="20"/>
          <w:szCs w:val="20"/>
          <w:lang w:val="en-US"/>
        </w:rPr>
        <w:t>t have certain types of business or exposures</w:t>
      </w:r>
      <w:r w:rsidR="0011474D">
        <w:rPr>
          <w:rFonts w:cs="Arial"/>
          <w:sz w:val="20"/>
          <w:szCs w:val="20"/>
          <w:lang w:val="en-US"/>
        </w:rPr>
        <w:t xml:space="preserve">. </w:t>
      </w:r>
      <w:r w:rsidR="008E53C5">
        <w:rPr>
          <w:rFonts w:cs="Arial"/>
          <w:sz w:val="20"/>
          <w:szCs w:val="20"/>
          <w:lang w:val="en-US"/>
        </w:rPr>
        <w:t>S</w:t>
      </w:r>
      <w:r w:rsidR="0011474D">
        <w:rPr>
          <w:rFonts w:cs="Arial"/>
          <w:sz w:val="20"/>
          <w:szCs w:val="20"/>
          <w:lang w:val="en-US"/>
        </w:rPr>
        <w:t xml:space="preserve">ome indicators are </w:t>
      </w:r>
      <w:r w:rsidR="008E53C5">
        <w:rPr>
          <w:rFonts w:cs="Arial"/>
          <w:sz w:val="20"/>
          <w:szCs w:val="20"/>
          <w:lang w:val="en-US"/>
        </w:rPr>
        <w:t>either highly correlated or somewhat repetitive</w:t>
      </w:r>
      <w:r w:rsidR="0011474D">
        <w:rPr>
          <w:rFonts w:cs="Arial"/>
          <w:sz w:val="20"/>
          <w:szCs w:val="20"/>
          <w:lang w:val="en-US"/>
        </w:rPr>
        <w:t xml:space="preserve">. </w:t>
      </w:r>
      <w:r w:rsidR="008E53C5">
        <w:rPr>
          <w:rFonts w:cs="Arial"/>
          <w:sz w:val="20"/>
          <w:szCs w:val="20"/>
          <w:lang w:val="en-US"/>
        </w:rPr>
        <w:t>S</w:t>
      </w:r>
      <w:r w:rsidRPr="00CB3692" w:rsidR="0011474D">
        <w:rPr>
          <w:rFonts w:cs="Arial"/>
          <w:sz w:val="20"/>
          <w:szCs w:val="20"/>
          <w:lang w:val="en-US"/>
        </w:rPr>
        <w:t xml:space="preserve">ome of the indicators </w:t>
      </w:r>
      <w:r w:rsidR="0011474D">
        <w:rPr>
          <w:rFonts w:cs="Arial"/>
          <w:sz w:val="20"/>
          <w:szCs w:val="20"/>
          <w:lang w:val="en-US"/>
        </w:rPr>
        <w:t>listed in Section C of Annex I should be included in Annex II as illustrative examples of indicators that could be applied</w:t>
      </w:r>
      <w:r w:rsidR="008E53C5">
        <w:rPr>
          <w:rFonts w:cs="Arial"/>
          <w:sz w:val="20"/>
          <w:szCs w:val="20"/>
          <w:lang w:val="en-US"/>
        </w:rPr>
        <w:t>, rather than</w:t>
      </w:r>
      <w:r w:rsidR="0011474D">
        <w:rPr>
          <w:rFonts w:cs="Arial"/>
          <w:sz w:val="20"/>
          <w:szCs w:val="20"/>
          <w:lang w:val="en-US"/>
        </w:rPr>
        <w:t xml:space="preserve"> </w:t>
      </w:r>
      <w:r w:rsidR="008E53C5">
        <w:rPr>
          <w:rFonts w:cs="Arial"/>
          <w:sz w:val="20"/>
          <w:szCs w:val="20"/>
          <w:lang w:val="en-US"/>
        </w:rPr>
        <w:t xml:space="preserve">in the </w:t>
      </w:r>
      <w:r w:rsidR="0011474D">
        <w:rPr>
          <w:rFonts w:cs="Arial"/>
          <w:sz w:val="20"/>
          <w:szCs w:val="20"/>
          <w:lang w:val="en-US"/>
        </w:rPr>
        <w:t xml:space="preserve">minimum list of categories of indicators. </w:t>
      </w:r>
      <w:r w:rsidRPr="00CB3692" w:rsidR="0011474D">
        <w:rPr>
          <w:rFonts w:cs="Arial"/>
          <w:sz w:val="20"/>
          <w:szCs w:val="20"/>
          <w:lang w:val="en-US"/>
        </w:rPr>
        <w:t xml:space="preserve"> </w:t>
      </w:r>
    </w:p>
    <w:p w:rsidRPr="0097022C" w:rsidR="0097022C" w:rsidP="0097022C" w:rsidRDefault="0097022C" w14:paraId="53E9A9C3" w14:textId="70CAEBC7">
      <w:pPr>
        <w:rPr>
          <w:rFonts w:ascii="Calibri" w:hAnsi="Calibri"/>
          <w:b/>
          <w:lang w:val="en-GB"/>
        </w:rPr>
      </w:pPr>
      <w:r w:rsidRPr="0097022C">
        <w:rPr>
          <w:rFonts w:ascii="Calibri" w:hAnsi="Calibri"/>
          <w:b/>
          <w:lang w:val="en-GB"/>
        </w:rPr>
        <w:t>Q3: Do you agree with the list of specific recovery plan indicators included in Annex I, Section C, or would you propose to add other indicators to this Section?</w:t>
      </w:r>
    </w:p>
    <w:p w:rsidR="00DB443C" w:rsidP="00D7593B" w:rsidRDefault="0011474D" w14:paraId="0A5A943C" w14:textId="69F5F294">
      <w:pPr>
        <w:jc w:val="both"/>
        <w:rPr>
          <w:rFonts w:cs="Arial"/>
          <w:sz w:val="20"/>
          <w:szCs w:val="20"/>
          <w:lang w:val="en-US"/>
        </w:rPr>
      </w:pPr>
      <w:r w:rsidRPr="00C01967">
        <w:rPr>
          <w:rFonts w:cs="Arial"/>
          <w:sz w:val="20"/>
          <w:szCs w:val="20"/>
          <w:lang w:val="en-US"/>
        </w:rPr>
        <w:t xml:space="preserve">As we have noted in our answer to Question 2, </w:t>
      </w:r>
      <w:r w:rsidR="008E53C5">
        <w:rPr>
          <w:rFonts w:cs="Arial"/>
          <w:sz w:val="20"/>
          <w:szCs w:val="20"/>
          <w:lang w:val="en-US"/>
        </w:rPr>
        <w:t xml:space="preserve">while </w:t>
      </w:r>
      <w:r w:rsidRPr="00C01967">
        <w:rPr>
          <w:rFonts w:cs="Arial"/>
          <w:sz w:val="20"/>
          <w:szCs w:val="20"/>
          <w:lang w:val="en-US"/>
        </w:rPr>
        <w:t xml:space="preserve">we agree with </w:t>
      </w:r>
      <w:r w:rsidR="008E53C5">
        <w:rPr>
          <w:rFonts w:cs="Arial"/>
          <w:sz w:val="20"/>
          <w:szCs w:val="20"/>
          <w:lang w:val="en-US"/>
        </w:rPr>
        <w:t xml:space="preserve">Section A and B as minimum recovery indicators, and we generally support banks using </w:t>
      </w:r>
      <w:r w:rsidRPr="00C01967">
        <w:rPr>
          <w:rFonts w:cs="Arial"/>
          <w:sz w:val="20"/>
          <w:szCs w:val="20"/>
          <w:lang w:val="en-US"/>
        </w:rPr>
        <w:t>the categories of recovery indicators defined in Section C</w:t>
      </w:r>
      <w:r w:rsidR="008E53C5">
        <w:rPr>
          <w:rFonts w:cs="Arial"/>
          <w:sz w:val="20"/>
          <w:szCs w:val="20"/>
          <w:lang w:val="en-US"/>
        </w:rPr>
        <w:t>, the specific underlying indicators should either all be rebuttable or part of the illustrative list. This is because they may overlap with existing management indicators which may be better suited, or they may not be appropriate to all banks, or they are better as “early warning” indicators</w:t>
      </w:r>
      <w:r w:rsidRPr="00C01967">
        <w:rPr>
          <w:rFonts w:cs="Arial"/>
          <w:sz w:val="20"/>
          <w:szCs w:val="20"/>
          <w:lang w:val="en-US"/>
        </w:rPr>
        <w:t>.</w:t>
      </w:r>
      <w:r w:rsidR="008E53C5">
        <w:rPr>
          <w:rFonts w:cs="Arial"/>
          <w:sz w:val="20"/>
          <w:szCs w:val="20"/>
          <w:lang w:val="en-US"/>
        </w:rPr>
        <w:t xml:space="preserve"> </w:t>
      </w:r>
      <w:r w:rsidR="00DB443C">
        <w:rPr>
          <w:rFonts w:cs="Arial"/>
          <w:sz w:val="20"/>
          <w:szCs w:val="20"/>
          <w:lang w:val="en-US"/>
        </w:rPr>
        <w:t xml:space="preserve"> </w:t>
      </w:r>
    </w:p>
    <w:p w:rsidRPr="00DB443C" w:rsidR="00DB443C" w:rsidP="00D7593B" w:rsidRDefault="00DB443C" w14:paraId="6D45168B" w14:textId="605C3E37">
      <w:pPr>
        <w:jc w:val="both"/>
        <w:rPr>
          <w:rFonts w:cs="Arial"/>
          <w:sz w:val="20"/>
          <w:szCs w:val="20"/>
          <w:lang w:val="en-US"/>
        </w:rPr>
      </w:pPr>
      <w:r w:rsidRPr="00DB443C">
        <w:rPr>
          <w:rFonts w:cs="Arial"/>
          <w:sz w:val="20"/>
          <w:szCs w:val="20"/>
          <w:lang w:val="en-US"/>
        </w:rPr>
        <w:t xml:space="preserve">The EBF as </w:t>
      </w:r>
      <w:r>
        <w:rPr>
          <w:rFonts w:cs="Arial"/>
          <w:sz w:val="20"/>
          <w:szCs w:val="20"/>
          <w:lang w:val="en-US"/>
        </w:rPr>
        <w:t xml:space="preserve">stated </w:t>
      </w:r>
      <w:r w:rsidRPr="00DB443C">
        <w:rPr>
          <w:rFonts w:cs="Arial"/>
          <w:sz w:val="20"/>
          <w:szCs w:val="20"/>
          <w:lang w:val="en-US"/>
        </w:rPr>
        <w:t>above is of the opinion that indicators should be institution specific</w:t>
      </w:r>
      <w:r>
        <w:rPr>
          <w:rFonts w:cs="Arial"/>
          <w:sz w:val="20"/>
          <w:szCs w:val="20"/>
          <w:lang w:val="en-US"/>
        </w:rPr>
        <w:t>. However, greater c</w:t>
      </w:r>
      <w:r w:rsidRPr="00DB443C">
        <w:rPr>
          <w:rFonts w:cs="Arial"/>
          <w:sz w:val="20"/>
          <w:szCs w:val="20"/>
          <w:lang w:val="en-US"/>
        </w:rPr>
        <w:t>larity around whether indicators should be monitored / reported on a Group or legal entity basis</w:t>
      </w:r>
      <w:r>
        <w:rPr>
          <w:rFonts w:cs="Arial"/>
          <w:sz w:val="20"/>
          <w:szCs w:val="20"/>
          <w:lang w:val="en-US"/>
        </w:rPr>
        <w:t xml:space="preserve"> should be given.</w:t>
      </w:r>
    </w:p>
    <w:p w:rsidRPr="00DB443C" w:rsidR="00DB443C" w:rsidP="00457011" w:rsidRDefault="00DB443C" w14:paraId="0E7EC6A3" w14:textId="339331B7">
      <w:pPr>
        <w:jc w:val="both"/>
        <w:rPr>
          <w:rFonts w:cs="Arial"/>
          <w:sz w:val="20"/>
          <w:szCs w:val="20"/>
          <w:lang w:val="en-US"/>
        </w:rPr>
      </w:pPr>
      <w:r>
        <w:rPr>
          <w:rFonts w:cs="Arial"/>
          <w:sz w:val="20"/>
          <w:szCs w:val="20"/>
          <w:lang w:val="en-US"/>
        </w:rPr>
        <w:t>Furthermore, we note that the</w:t>
      </w:r>
      <w:r w:rsidRPr="00DB443C">
        <w:rPr>
          <w:rFonts w:cs="Arial"/>
          <w:sz w:val="20"/>
          <w:szCs w:val="20"/>
          <w:lang w:val="en-US"/>
        </w:rPr>
        <w:t xml:space="preserve"> </w:t>
      </w:r>
      <w:r>
        <w:rPr>
          <w:rFonts w:cs="Arial"/>
          <w:sz w:val="20"/>
          <w:szCs w:val="20"/>
          <w:lang w:val="en-US"/>
        </w:rPr>
        <w:t>d</w:t>
      </w:r>
      <w:r w:rsidRPr="00DB443C">
        <w:rPr>
          <w:rFonts w:cs="Arial"/>
          <w:sz w:val="20"/>
          <w:szCs w:val="20"/>
          <w:lang w:val="en-US"/>
        </w:rPr>
        <w:t>eviation from budget is difficult to calibrate and not necessarily an indicator of stress</w:t>
      </w:r>
      <w:r>
        <w:rPr>
          <w:rFonts w:cs="Arial"/>
          <w:sz w:val="20"/>
          <w:szCs w:val="20"/>
          <w:lang w:val="en-US"/>
        </w:rPr>
        <w:t xml:space="preserve">. Therefore we </w:t>
      </w:r>
      <w:r w:rsidRPr="00DB443C">
        <w:rPr>
          <w:rFonts w:cs="Arial"/>
          <w:sz w:val="20"/>
          <w:szCs w:val="20"/>
          <w:lang w:val="en-US"/>
        </w:rPr>
        <w:t>propose to exclude</w:t>
      </w:r>
      <w:r>
        <w:rPr>
          <w:rFonts w:cs="Arial"/>
          <w:sz w:val="20"/>
          <w:szCs w:val="20"/>
          <w:lang w:val="en-US"/>
        </w:rPr>
        <w:t xml:space="preserve"> this indicator.</w:t>
      </w:r>
    </w:p>
    <w:p w:rsidRPr="0011474D" w:rsidR="00DB443C" w:rsidP="00457011" w:rsidRDefault="00DB443C" w14:paraId="373CA54B" w14:textId="047DAD60">
      <w:pPr>
        <w:jc w:val="both"/>
        <w:rPr>
          <w:rFonts w:cs="Arial"/>
          <w:sz w:val="20"/>
          <w:szCs w:val="20"/>
          <w:lang w:val="en-US"/>
        </w:rPr>
      </w:pPr>
      <w:r w:rsidRPr="00DB443C">
        <w:rPr>
          <w:rFonts w:cs="Arial"/>
          <w:sz w:val="20"/>
          <w:szCs w:val="20"/>
          <w:lang w:val="en-US"/>
        </w:rPr>
        <w:t>Similarly we do not believe it would be helpful to specify how indicators were calculated, or the periodicity of indicators, or indeed which indicators should be assessed quantitatively or qualitatively. This should also be firm-specific</w:t>
      </w:r>
      <w:r>
        <w:rPr>
          <w:rFonts w:cs="Arial"/>
          <w:sz w:val="20"/>
          <w:szCs w:val="20"/>
          <w:lang w:val="en-US"/>
        </w:rPr>
        <w:t>.</w:t>
      </w:r>
    </w:p>
    <w:p w:rsidR="005C3C2A" w:rsidRDefault="005C3C2A" w14:paraId="790B03F2" w14:textId="77777777">
      <w:pPr>
        <w:rPr>
          <w:rFonts w:ascii="Calibri" w:hAnsi="Calibri"/>
          <w:b/>
          <w:lang w:val="en-GB"/>
        </w:rPr>
      </w:pPr>
      <w:r>
        <w:rPr>
          <w:rFonts w:ascii="Calibri" w:hAnsi="Calibri"/>
          <w:b/>
          <w:lang w:val="en-GB"/>
        </w:rPr>
        <w:br w:type="page"/>
      </w:r>
    </w:p>
    <w:p w:rsidRPr="0097022C" w:rsidR="0097022C" w:rsidP="0097022C" w:rsidRDefault="0097022C" w14:paraId="3305A381" w14:textId="60535C5B">
      <w:pPr>
        <w:rPr>
          <w:rFonts w:ascii="Calibri" w:hAnsi="Calibri"/>
          <w:b/>
          <w:lang w:val="en-GB"/>
        </w:rPr>
      </w:pPr>
      <w:r w:rsidRPr="0097022C">
        <w:rPr>
          <w:rFonts w:ascii="Calibri" w:hAnsi="Calibri"/>
          <w:b/>
          <w:lang w:val="en-GB"/>
        </w:rPr>
        <w:lastRenderedPageBreak/>
        <w:t>Q4: Do you consider that these Guidelines should establish the threshold for each quantitative recovery plan indicator to define the point at which the institution may need to take recovery measures to restore its financial position?</w:t>
      </w:r>
    </w:p>
    <w:p w:rsidR="00596C56" w:rsidP="00D7593B" w:rsidRDefault="0011474D" w14:paraId="3E4A6373" w14:textId="7A4E6082">
      <w:pPr>
        <w:spacing w:before="240" w:after="120" w:line="300" w:lineRule="atLeast"/>
        <w:jc w:val="both"/>
        <w:rPr>
          <w:rFonts w:cs="Arial"/>
          <w:sz w:val="20"/>
          <w:szCs w:val="20"/>
          <w:lang w:val="en-US"/>
        </w:rPr>
      </w:pPr>
      <w:r w:rsidRPr="00C01967">
        <w:rPr>
          <w:rFonts w:cs="Arial"/>
          <w:sz w:val="20"/>
          <w:szCs w:val="20"/>
          <w:lang w:val="en-US"/>
        </w:rPr>
        <w:t>No, the threshold must be defined by each institution</w:t>
      </w:r>
      <w:r w:rsidR="008E53C5">
        <w:rPr>
          <w:rFonts w:cs="Arial"/>
          <w:sz w:val="20"/>
          <w:szCs w:val="20"/>
          <w:lang w:val="en-US"/>
        </w:rPr>
        <w:t xml:space="preserve"> depending on their risk appetite and risk management framework</w:t>
      </w:r>
      <w:r>
        <w:rPr>
          <w:rFonts w:cs="Arial"/>
          <w:sz w:val="20"/>
          <w:szCs w:val="20"/>
          <w:lang w:val="en-US"/>
        </w:rPr>
        <w:t xml:space="preserve">. </w:t>
      </w:r>
      <w:r w:rsidRPr="00C01967">
        <w:rPr>
          <w:rFonts w:cs="Arial"/>
          <w:sz w:val="20"/>
          <w:szCs w:val="20"/>
          <w:lang w:val="en-US"/>
        </w:rPr>
        <w:t xml:space="preserve">The banks themselves are best-qualified to </w:t>
      </w:r>
      <w:r>
        <w:rPr>
          <w:rFonts w:cs="Arial"/>
          <w:sz w:val="20"/>
          <w:szCs w:val="20"/>
          <w:lang w:val="en-US"/>
        </w:rPr>
        <w:t>establish</w:t>
      </w:r>
      <w:r w:rsidRPr="00C01967">
        <w:rPr>
          <w:rFonts w:cs="Arial"/>
          <w:sz w:val="20"/>
          <w:szCs w:val="20"/>
          <w:lang w:val="en-US"/>
        </w:rPr>
        <w:t xml:space="preserve"> the quantitative and qualitative indicators, as they have the best knowledge of the nature, value of the business model, activities and strategic choices. </w:t>
      </w:r>
      <w:r w:rsidRPr="00457011" w:rsidR="00596C56">
        <w:rPr>
          <w:rFonts w:cs="Arial"/>
          <w:sz w:val="20"/>
          <w:szCs w:val="20"/>
          <w:lang w:val="en-GB"/>
        </w:rPr>
        <w:t>Th</w:t>
      </w:r>
      <w:r w:rsidR="00596C56">
        <w:rPr>
          <w:rFonts w:cs="Arial"/>
          <w:sz w:val="20"/>
          <w:szCs w:val="20"/>
          <w:lang w:val="en-GB"/>
        </w:rPr>
        <w:t>erefore banks in collaboration with their supervisors s</w:t>
      </w:r>
      <w:r w:rsidRPr="00596C56" w:rsidR="00596C56">
        <w:rPr>
          <w:rFonts w:cs="Arial"/>
          <w:sz w:val="20"/>
          <w:szCs w:val="20"/>
          <w:lang w:val="en-GB"/>
        </w:rPr>
        <w:t xml:space="preserve">hould establish the </w:t>
      </w:r>
      <w:r w:rsidR="00596C56">
        <w:rPr>
          <w:rFonts w:cs="Arial"/>
          <w:sz w:val="20"/>
          <w:szCs w:val="20"/>
          <w:lang w:val="en-GB"/>
        </w:rPr>
        <w:t xml:space="preserve">appropriate </w:t>
      </w:r>
      <w:r w:rsidRPr="00596C56" w:rsidR="00596C56">
        <w:rPr>
          <w:rFonts w:cs="Arial"/>
          <w:sz w:val="20"/>
          <w:szCs w:val="20"/>
          <w:lang w:val="en-GB"/>
        </w:rPr>
        <w:t>threshold</w:t>
      </w:r>
      <w:r w:rsidR="00596C56">
        <w:rPr>
          <w:rFonts w:cs="Arial"/>
          <w:sz w:val="20"/>
          <w:szCs w:val="20"/>
          <w:lang w:val="en-GB"/>
        </w:rPr>
        <w:t>s</w:t>
      </w:r>
      <w:r w:rsidRPr="00596C56" w:rsidR="00596C56">
        <w:rPr>
          <w:rFonts w:cs="Arial"/>
          <w:sz w:val="20"/>
          <w:szCs w:val="20"/>
          <w:lang w:val="en-GB"/>
        </w:rPr>
        <w:t xml:space="preserve"> for each quantitative recovery plan indicator </w:t>
      </w:r>
      <w:r w:rsidR="00596C56">
        <w:rPr>
          <w:rFonts w:cs="Arial"/>
          <w:sz w:val="20"/>
          <w:szCs w:val="20"/>
          <w:lang w:val="en-GB"/>
        </w:rPr>
        <w:t xml:space="preserve">which is relevant to its business model and risk appetite. </w:t>
      </w:r>
    </w:p>
    <w:p w:rsidRPr="0011474D" w:rsidR="0097022C" w:rsidP="00457011" w:rsidRDefault="00596C56" w14:paraId="16D3FC2E" w14:textId="4A790BF3">
      <w:pPr>
        <w:spacing w:before="240" w:after="120" w:line="300" w:lineRule="atLeast"/>
        <w:jc w:val="both"/>
        <w:rPr>
          <w:rFonts w:ascii="Calibri" w:hAnsi="Calibri"/>
          <w:b/>
          <w:lang w:val="en-US"/>
        </w:rPr>
      </w:pPr>
      <w:r>
        <w:rPr>
          <w:rFonts w:cs="Arial"/>
          <w:sz w:val="20"/>
          <w:szCs w:val="20"/>
          <w:lang w:val="en-US"/>
        </w:rPr>
        <w:t>W</w:t>
      </w:r>
      <w:r w:rsidR="0011474D">
        <w:rPr>
          <w:rFonts w:cs="Arial"/>
          <w:sz w:val="20"/>
          <w:szCs w:val="20"/>
          <w:lang w:val="en-US"/>
        </w:rPr>
        <w:t xml:space="preserve">e would like to remark </w:t>
      </w:r>
      <w:r w:rsidRPr="00CA0FD1" w:rsidR="0011474D">
        <w:rPr>
          <w:rFonts w:cs="Arial"/>
          <w:sz w:val="20"/>
          <w:szCs w:val="20"/>
          <w:lang w:val="en-US"/>
        </w:rPr>
        <w:t>on</w:t>
      </w:r>
      <w:r w:rsidR="0011474D">
        <w:rPr>
          <w:rFonts w:cs="Arial"/>
          <w:sz w:val="20"/>
          <w:szCs w:val="20"/>
          <w:lang w:val="en-US"/>
        </w:rPr>
        <w:t xml:space="preserve"> the difficulty of</w:t>
      </w:r>
      <w:r w:rsidRPr="00CA0FD1" w:rsidR="0011474D">
        <w:rPr>
          <w:rFonts w:cs="Arial"/>
          <w:sz w:val="20"/>
          <w:szCs w:val="20"/>
          <w:lang w:val="en-US"/>
        </w:rPr>
        <w:t xml:space="preserve"> quantifying</w:t>
      </w:r>
      <w:r w:rsidR="0011474D">
        <w:rPr>
          <w:rFonts w:cs="Arial"/>
          <w:sz w:val="20"/>
          <w:szCs w:val="20"/>
          <w:lang w:val="en-US"/>
        </w:rPr>
        <w:t xml:space="preserve"> some of the indicators using the “traffic-light approach</w:t>
      </w:r>
      <w:r>
        <w:rPr>
          <w:rFonts w:cs="Arial"/>
          <w:sz w:val="20"/>
          <w:szCs w:val="20"/>
          <w:lang w:val="en-US"/>
        </w:rPr>
        <w:t>.</w:t>
      </w:r>
      <w:r w:rsidR="0011474D">
        <w:rPr>
          <w:rFonts w:cs="Arial"/>
          <w:sz w:val="20"/>
          <w:szCs w:val="20"/>
          <w:lang w:val="en-US"/>
        </w:rPr>
        <w:t xml:space="preserve">” </w:t>
      </w:r>
    </w:p>
    <w:p w:rsidRPr="0097022C" w:rsidR="008D70EE" w:rsidP="0097022C" w:rsidRDefault="0097022C" w14:paraId="460B5921" w14:textId="20CAD421">
      <w:pPr>
        <w:rPr>
          <w:rFonts w:ascii="Calibri" w:hAnsi="Calibri"/>
          <w:b/>
          <w:lang w:val="en-GB"/>
        </w:rPr>
      </w:pPr>
      <w:r w:rsidRPr="0097022C">
        <w:rPr>
          <w:rFonts w:ascii="Calibri" w:hAnsi="Calibri"/>
          <w:b/>
          <w:lang w:val="en-GB"/>
        </w:rPr>
        <w:t>Q5: Do you agree with our analysis of the impact of the proposals in this Consultation Paper? If not, can you provide any evidence or data that would explain why you disagree or might further inform our analysis of the likely impacts of the proposals?</w:t>
      </w:r>
    </w:p>
    <w:p w:rsidRPr="0097022C" w:rsidR="0097022C" w:rsidP="0097022C" w:rsidRDefault="0011474D" w14:paraId="5CCF8915" w14:textId="4E755134">
      <w:pPr>
        <w:rPr>
          <w:rFonts w:ascii="Calibri" w:hAnsi="Calibri"/>
          <w:b/>
          <w:lang w:val="en-GB"/>
        </w:rPr>
      </w:pPr>
      <w:r>
        <w:rPr>
          <w:rFonts w:ascii="Calibri" w:hAnsi="Calibri"/>
          <w:lang w:val="en-GB"/>
        </w:rPr>
        <w:t>No comment.</w:t>
      </w:r>
    </w:p>
    <w:sectPr w:rsidRPr="0097022C" w:rsidR="0097022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31CDE" w14:textId="77777777" w:rsidR="00765F48" w:rsidRDefault="00765F48" w:rsidP="00F77EAA">
      <w:pPr>
        <w:spacing w:after="0" w:line="240" w:lineRule="auto"/>
      </w:pPr>
      <w:r>
        <w:separator/>
      </w:r>
    </w:p>
  </w:endnote>
  <w:endnote w:type="continuationSeparator" w:id="0">
    <w:p w14:paraId="6A4966CE" w14:textId="77777777" w:rsidR="00765F48" w:rsidRDefault="00765F48" w:rsidP="00F77EAA">
      <w:pPr>
        <w:spacing w:after="0" w:line="240" w:lineRule="auto"/>
      </w:pPr>
      <w:r>
        <w:continuationSeparator/>
      </w:r>
    </w:p>
  </w:endnote>
  <w:endnote w:type="continuationNotice" w:id="1">
    <w:p w14:paraId="35EE6505" w14:textId="77777777" w:rsidR="00765F48" w:rsidRDefault="00765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UAlbertina">
    <w:altName w:val="EUAlbertina"/>
    <w:panose1 w:val="00000000000000000000"/>
    <w:charset w:val="00"/>
    <w:family w:val="roman"/>
    <w:notTrueType/>
    <w:pitch w:val="default"/>
    <w:sig w:usb0="00000003" w:usb1="00000000" w:usb2="00000000" w:usb3="00000000" w:csb0="00000001" w:csb1="00000000"/>
  </w:font>
  <w:font w:name="Akkurat Light Pro">
    <w:altName w:val="Microsoft YaHei"/>
    <w:panose1 w:val="00000000000000000000"/>
    <w:charset w:val="00"/>
    <w:family w:val="modern"/>
    <w:notTrueType/>
    <w:pitch w:val="variable"/>
    <w:sig w:usb0="00000001" w:usb1="5000206A" w:usb2="00000000" w:usb3="00000000" w:csb0="0000000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B5927" w14:textId="6302FAFC" w:rsidR="00F77EAA" w:rsidRPr="00F77EAA" w:rsidRDefault="00020773" w:rsidP="00F77EAA">
    <w:pPr>
      <w:pStyle w:val="Footer"/>
    </w:pPr>
    <w:r>
      <w:rPr>
        <w:noProof/>
        <w:lang w:eastAsia="nl-BE"/>
      </w:rPr>
      <mc:AlternateContent>
        <mc:Choice Requires="wps">
          <w:drawing>
            <wp:anchor distT="0" distB="0" distL="114300" distR="114300" simplePos="0" relativeHeight="251667456" behindDoc="0" locked="0" layoutInCell="1" allowOverlap="1" wp14:anchorId="79B2FBAD" wp14:editId="0771F038">
              <wp:simplePos x="0" y="0"/>
              <wp:positionH relativeFrom="margin">
                <wp:posOffset>635</wp:posOffset>
              </wp:positionH>
              <wp:positionV relativeFrom="paragraph">
                <wp:posOffset>-252730</wp:posOffset>
              </wp:positionV>
              <wp:extent cx="240030" cy="248285"/>
              <wp:effectExtent l="0" t="0" r="762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48285"/>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11956" id="Rectangle 3" o:spid="_x0000_s1026" style="position:absolute;margin-left:.05pt;margin-top:-19.9pt;width:18.9pt;height:19.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" fillcolor="#f90" stroked="f" strokeweight="1pt">
              <v:path arrowok="t"/>
              <w10:wrap anchorx="margin"/>
            </v:rect>
          </w:pict>
        </mc:Fallback>
      </mc:AlternateContent>
    </w:r>
    <w:r>
      <w:rPr>
        <w:noProof/>
        <w:lang w:eastAsia="nl-BE"/>
      </w:rPr>
      <mc:AlternateContent>
        <mc:Choice Requires="wps">
          <w:drawing>
            <wp:anchor distT="45720" distB="45720" distL="114300" distR="114300" simplePos="0" relativeHeight="251666432" behindDoc="0" locked="0" layoutInCell="1" allowOverlap="1" wp14:anchorId="626E0E30" wp14:editId="17A51C18">
              <wp:simplePos x="0" y="0"/>
              <wp:positionH relativeFrom="margin">
                <wp:posOffset>237490</wp:posOffset>
              </wp:positionH>
              <wp:positionV relativeFrom="paragraph">
                <wp:posOffset>-306705</wp:posOffset>
              </wp:positionV>
              <wp:extent cx="5341620" cy="727075"/>
              <wp:effectExtent l="0" t="0" r="0" b="69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727075"/>
                      </a:xfrm>
                      <a:prstGeom prst="rect">
                        <a:avLst/>
                      </a:prstGeom>
                      <a:solidFill>
                        <a:srgbClr val="FFFFFF"/>
                      </a:solidFill>
                      <a:ln w="9525">
                        <a:noFill/>
                        <a:miter lim="800000"/>
                        <a:headEnd/>
                        <a:tailEnd/>
                      </a:ln>
                    </wps:spPr>
                    <wps:txbx>
                      <w:txbxContent>
                        <w:p w14:paraId="33233F66" w14:textId="77777777" w:rsidR="00F77EAA" w:rsidRPr="002A12F7" w:rsidRDefault="00F77EAA" w:rsidP="00F77EAA">
                          <w:pPr>
                            <w:rPr>
                              <w:rFonts w:ascii="Tahoma" w:hAnsi="Tahoma" w:cs="Tahoma"/>
                              <w:color w:val="A6A6A6" w:themeColor="background1" w:themeShade="A6"/>
                              <w:sz w:val="15"/>
                              <w:szCs w:val="15"/>
                              <w:lang w:val="en-GB"/>
                            </w:rPr>
                          </w:pPr>
                          <w:r w:rsidRPr="002A12F7">
                            <w:rPr>
                              <w:rFonts w:ascii="Tahoma" w:hAnsi="Tahoma" w:cs="Tahoma"/>
                              <w:color w:val="A6A6A6" w:themeColor="background1" w:themeShade="A6"/>
                              <w:sz w:val="15"/>
                              <w:szCs w:val="15"/>
                              <w:lang w:val="en-GB"/>
                            </w:rPr>
                            <w:t>E</w:t>
                          </w:r>
                          <w:r w:rsidR="0091227A" w:rsidRPr="002A12F7">
                            <w:rPr>
                              <w:rFonts w:ascii="Tahoma" w:hAnsi="Tahoma" w:cs="Tahoma"/>
                              <w:color w:val="A6A6A6" w:themeColor="background1" w:themeShade="A6"/>
                              <w:sz w:val="15"/>
                              <w:szCs w:val="15"/>
                              <w:lang w:val="en-GB"/>
                            </w:rPr>
                            <w:t>uropean Banking Federation</w:t>
                          </w:r>
                          <w:r w:rsidRPr="002A12F7">
                            <w:rPr>
                              <w:rFonts w:ascii="Tahoma" w:hAnsi="Tahoma" w:cs="Tahoma"/>
                              <w:color w:val="A6A6A6" w:themeColor="background1" w:themeShade="A6"/>
                              <w:sz w:val="15"/>
                              <w:szCs w:val="15"/>
                              <w:lang w:val="en-GB"/>
                            </w:rPr>
                            <w:t xml:space="preserve"> </w:t>
                          </w:r>
                          <w:proofErr w:type="spellStart"/>
                          <w:r w:rsidRPr="002A12F7">
                            <w:rPr>
                              <w:rFonts w:ascii="Tahoma" w:hAnsi="Tahoma" w:cs="Tahoma"/>
                              <w:color w:val="A6A6A6" w:themeColor="background1" w:themeShade="A6"/>
                              <w:sz w:val="15"/>
                              <w:szCs w:val="15"/>
                              <w:lang w:val="en-GB"/>
                            </w:rPr>
                            <w:t>aisbl</w:t>
                          </w:r>
                          <w:proofErr w:type="spellEnd"/>
                          <w:r w:rsidR="002A12F7" w:rsidRPr="002A12F7">
                            <w:rPr>
                              <w:rFonts w:ascii="Tahoma" w:hAnsi="Tahoma" w:cs="Tahoma"/>
                              <w:color w:val="A6A6A6" w:themeColor="background1" w:themeShade="A6"/>
                              <w:sz w:val="15"/>
                              <w:szCs w:val="15"/>
                              <w:lang w:val="en-GB"/>
                            </w:rPr>
                            <w:t xml:space="preserve"> </w:t>
                          </w:r>
                          <w:proofErr w:type="gramStart"/>
                          <w:r w:rsidR="002A12F7"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r w:rsidR="002A12F7">
                            <w:rPr>
                              <w:rFonts w:ascii="Tahoma" w:hAnsi="Tahoma" w:cs="Tahoma"/>
                              <w:color w:val="A6A6A6" w:themeColor="background1" w:themeShade="A6"/>
                              <w:sz w:val="15"/>
                              <w:szCs w:val="15"/>
                              <w:lang w:val="en-GB"/>
                            </w:rPr>
                            <w:t>56</w:t>
                          </w:r>
                          <w:proofErr w:type="gramEnd"/>
                          <w:r w:rsidR="002A12F7">
                            <w:rPr>
                              <w:rFonts w:ascii="Tahoma" w:hAnsi="Tahoma" w:cs="Tahoma"/>
                              <w:color w:val="A6A6A6" w:themeColor="background1" w:themeShade="A6"/>
                              <w:sz w:val="15"/>
                              <w:szCs w:val="15"/>
                              <w:lang w:val="en-GB"/>
                            </w:rPr>
                            <w:t xml:space="preserve"> </w:t>
                          </w:r>
                          <w:r w:rsidRPr="002A12F7">
                            <w:rPr>
                              <w:rFonts w:ascii="Tahoma" w:hAnsi="Tahoma" w:cs="Tahoma"/>
                              <w:color w:val="A6A6A6" w:themeColor="background1" w:themeShade="A6"/>
                              <w:sz w:val="15"/>
                              <w:szCs w:val="15"/>
                              <w:lang w:val="en-GB"/>
                            </w:rPr>
                            <w:t>Avenue des Arts, B-1000 Brussels</w:t>
                          </w:r>
                          <w:r w:rsidRPr="002A12F7">
                            <w:rPr>
                              <w:rFonts w:ascii="Tahoma" w:hAnsi="Tahoma" w:cs="Tahoma"/>
                              <w:color w:val="A6A6A6" w:themeColor="background1" w:themeShade="A6"/>
                              <w:sz w:val="15"/>
                              <w:szCs w:val="15"/>
                              <w:lang w:val="en-GB"/>
                            </w:rPr>
                            <w:br/>
                          </w:r>
                          <w:r w:rsidR="0091227A" w:rsidRPr="002A12F7">
                            <w:rPr>
                              <w:rFonts w:ascii="Tahoma" w:hAnsi="Tahoma" w:cs="Tahoma"/>
                              <w:color w:val="A6A6A6" w:themeColor="background1" w:themeShade="A6"/>
                              <w:sz w:val="15"/>
                              <w:szCs w:val="15"/>
                              <w:lang w:val="en-GB"/>
                            </w:rPr>
                            <w:t xml:space="preserve">Phone: +32 (0)2 508 37 11 </w:t>
                          </w:r>
                          <w:r w:rsidR="003B054D"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Website</w:t>
                          </w:r>
                          <w:r w:rsidR="003B054D"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hyperlink r:id="rId1" w:history="1">
                            <w:r w:rsidRPr="002A12F7">
                              <w:rPr>
                                <w:rStyle w:val="Hyperlink"/>
                                <w:rFonts w:ascii="Tahoma" w:hAnsi="Tahoma" w:cs="Tahoma"/>
                                <w:color w:val="A6A6A6" w:themeColor="background1" w:themeShade="A6"/>
                                <w:sz w:val="15"/>
                                <w:szCs w:val="15"/>
                                <w:lang w:val="en-GB"/>
                              </w:rPr>
                              <w:t>www.ebf-fbe.eu</w:t>
                            </w:r>
                          </w:hyperlink>
                        </w:p>
                        <w:p w14:paraId="6A43FE79" w14:textId="77777777" w:rsidR="00F77EAA" w:rsidRPr="002A12F7" w:rsidRDefault="00F77EAA">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6E0E30" id="_x0000_t202" coordsize="21600,21600" o:spt="202" path="m,l,21600r21600,l21600,xe">
              <v:stroke joinstyle="miter"/>
              <v:path gradientshapeok="t" o:connecttype="rect"/>
            </v:shapetype>
            <v:shape id="Text Box 2" o:spid="_x0000_s1026" type="#_x0000_t202" style="position:absolute;margin-left:18.7pt;margin-top:-24.15pt;width:420.6pt;height:57.25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" stroked="f">
              <v:textbox style="mso-fit-shape-to-text:t">
                <w:txbxContent>
                  <w:p w14:paraId="33233F66" w14:textId="77777777" w:rsidR="00F77EAA" w:rsidRPr="002A12F7" w:rsidRDefault="00F77EAA" w:rsidP="00F77EAA">
                    <w:pPr>
                      <w:rPr>
                        <w:rFonts w:ascii="Tahoma" w:hAnsi="Tahoma" w:cs="Tahoma"/>
                        <w:color w:val="A6A6A6" w:themeColor="background1" w:themeShade="A6"/>
                        <w:sz w:val="15"/>
                        <w:szCs w:val="15"/>
                        <w:lang w:val="en-GB"/>
                      </w:rPr>
                    </w:pPr>
                    <w:r w:rsidRPr="002A12F7">
                      <w:rPr>
                        <w:rFonts w:ascii="Tahoma" w:hAnsi="Tahoma" w:cs="Tahoma"/>
                        <w:color w:val="A6A6A6" w:themeColor="background1" w:themeShade="A6"/>
                        <w:sz w:val="15"/>
                        <w:szCs w:val="15"/>
                        <w:lang w:val="en-GB"/>
                      </w:rPr>
                      <w:t>E</w:t>
                    </w:r>
                    <w:r w:rsidR="0091227A" w:rsidRPr="002A12F7">
                      <w:rPr>
                        <w:rFonts w:ascii="Tahoma" w:hAnsi="Tahoma" w:cs="Tahoma"/>
                        <w:color w:val="A6A6A6" w:themeColor="background1" w:themeShade="A6"/>
                        <w:sz w:val="15"/>
                        <w:szCs w:val="15"/>
                        <w:lang w:val="en-GB"/>
                      </w:rPr>
                      <w:t>uropean Banking Federation</w:t>
                    </w:r>
                    <w:r w:rsidRPr="002A12F7">
                      <w:rPr>
                        <w:rFonts w:ascii="Tahoma" w:hAnsi="Tahoma" w:cs="Tahoma"/>
                        <w:color w:val="A6A6A6" w:themeColor="background1" w:themeShade="A6"/>
                        <w:sz w:val="15"/>
                        <w:szCs w:val="15"/>
                        <w:lang w:val="en-GB"/>
                      </w:rPr>
                      <w:t xml:space="preserve"> </w:t>
                    </w:r>
                    <w:proofErr w:type="spellStart"/>
                    <w:r w:rsidRPr="002A12F7">
                      <w:rPr>
                        <w:rFonts w:ascii="Tahoma" w:hAnsi="Tahoma" w:cs="Tahoma"/>
                        <w:color w:val="A6A6A6" w:themeColor="background1" w:themeShade="A6"/>
                        <w:sz w:val="15"/>
                        <w:szCs w:val="15"/>
                        <w:lang w:val="en-GB"/>
                      </w:rPr>
                      <w:t>aisbl</w:t>
                    </w:r>
                    <w:proofErr w:type="spellEnd"/>
                    <w:r w:rsidR="002A12F7" w:rsidRPr="002A12F7">
                      <w:rPr>
                        <w:rFonts w:ascii="Tahoma" w:hAnsi="Tahoma" w:cs="Tahoma"/>
                        <w:color w:val="A6A6A6" w:themeColor="background1" w:themeShade="A6"/>
                        <w:sz w:val="15"/>
                        <w:szCs w:val="15"/>
                        <w:lang w:val="en-GB"/>
                      </w:rPr>
                      <w:t xml:space="preserve"> </w:t>
                    </w:r>
                    <w:proofErr w:type="gramStart"/>
                    <w:r w:rsidR="002A12F7"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r w:rsidR="002A12F7">
                      <w:rPr>
                        <w:rFonts w:ascii="Tahoma" w:hAnsi="Tahoma" w:cs="Tahoma"/>
                        <w:color w:val="A6A6A6" w:themeColor="background1" w:themeShade="A6"/>
                        <w:sz w:val="15"/>
                        <w:szCs w:val="15"/>
                        <w:lang w:val="en-GB"/>
                      </w:rPr>
                      <w:t>56</w:t>
                    </w:r>
                    <w:proofErr w:type="gramEnd"/>
                    <w:r w:rsidR="002A12F7">
                      <w:rPr>
                        <w:rFonts w:ascii="Tahoma" w:hAnsi="Tahoma" w:cs="Tahoma"/>
                        <w:color w:val="A6A6A6" w:themeColor="background1" w:themeShade="A6"/>
                        <w:sz w:val="15"/>
                        <w:szCs w:val="15"/>
                        <w:lang w:val="en-GB"/>
                      </w:rPr>
                      <w:t xml:space="preserve"> </w:t>
                    </w:r>
                    <w:r w:rsidRPr="002A12F7">
                      <w:rPr>
                        <w:rFonts w:ascii="Tahoma" w:hAnsi="Tahoma" w:cs="Tahoma"/>
                        <w:color w:val="A6A6A6" w:themeColor="background1" w:themeShade="A6"/>
                        <w:sz w:val="15"/>
                        <w:szCs w:val="15"/>
                        <w:lang w:val="en-GB"/>
                      </w:rPr>
                      <w:t>Avenue des Arts, B-1000 Brussels</w:t>
                    </w:r>
                    <w:r w:rsidRPr="002A12F7">
                      <w:rPr>
                        <w:rFonts w:ascii="Tahoma" w:hAnsi="Tahoma" w:cs="Tahoma"/>
                        <w:color w:val="A6A6A6" w:themeColor="background1" w:themeShade="A6"/>
                        <w:sz w:val="15"/>
                        <w:szCs w:val="15"/>
                        <w:lang w:val="en-GB"/>
                      </w:rPr>
                      <w:br/>
                    </w:r>
                    <w:r w:rsidR="0091227A" w:rsidRPr="002A12F7">
                      <w:rPr>
                        <w:rFonts w:ascii="Tahoma" w:hAnsi="Tahoma" w:cs="Tahoma"/>
                        <w:color w:val="A6A6A6" w:themeColor="background1" w:themeShade="A6"/>
                        <w:sz w:val="15"/>
                        <w:szCs w:val="15"/>
                        <w:lang w:val="en-GB"/>
                      </w:rPr>
                      <w:t xml:space="preserve">Phone: +32 (0)2 508 37 11 </w:t>
                    </w:r>
                    <w:r w:rsidR="003B054D" w:rsidRPr="002A12F7">
                      <w:rPr>
                        <w:rFonts w:ascii="Tahoma" w:hAnsi="Tahoma" w:cs="Tahoma"/>
                        <w:color w:val="A6A6A6" w:themeColor="background1" w:themeShade="A6"/>
                        <w:sz w:val="15"/>
                        <w:szCs w:val="15"/>
                        <w:lang w:val="en-GB"/>
                      </w:rPr>
                      <w:t xml:space="preserve">– </w:t>
                    </w:r>
                    <w:r w:rsidR="0091227A" w:rsidRPr="002A12F7">
                      <w:rPr>
                        <w:rFonts w:ascii="Tahoma" w:hAnsi="Tahoma" w:cs="Tahoma"/>
                        <w:color w:val="A6A6A6" w:themeColor="background1" w:themeShade="A6"/>
                        <w:sz w:val="15"/>
                        <w:szCs w:val="15"/>
                        <w:lang w:val="en-GB"/>
                      </w:rPr>
                      <w:t>Website</w:t>
                    </w:r>
                    <w:r w:rsidR="003B054D" w:rsidRPr="002A12F7">
                      <w:rPr>
                        <w:rFonts w:ascii="Tahoma" w:hAnsi="Tahoma" w:cs="Tahoma"/>
                        <w:color w:val="A6A6A6" w:themeColor="background1" w:themeShade="A6"/>
                        <w:sz w:val="15"/>
                        <w:szCs w:val="15"/>
                        <w:lang w:val="en-GB"/>
                      </w:rPr>
                      <w:t>:</w:t>
                    </w:r>
                    <w:r w:rsidR="0091227A" w:rsidRPr="002A12F7">
                      <w:rPr>
                        <w:rFonts w:ascii="Tahoma" w:hAnsi="Tahoma" w:cs="Tahoma"/>
                        <w:color w:val="A6A6A6" w:themeColor="background1" w:themeShade="A6"/>
                        <w:sz w:val="15"/>
                        <w:szCs w:val="15"/>
                        <w:lang w:val="en-GB"/>
                      </w:rPr>
                      <w:t xml:space="preserve"> </w:t>
                    </w:r>
                    <w:hyperlink r:id="rId2" w:history="1">
                      <w:r w:rsidRPr="002A12F7">
                        <w:rPr>
                          <w:rStyle w:val="Hyperlink"/>
                          <w:rFonts w:ascii="Tahoma" w:hAnsi="Tahoma" w:cs="Tahoma"/>
                          <w:color w:val="A6A6A6" w:themeColor="background1" w:themeShade="A6"/>
                          <w:sz w:val="15"/>
                          <w:szCs w:val="15"/>
                          <w:lang w:val="en-GB"/>
                        </w:rPr>
                        <w:t>www.ebf-fbe.eu</w:t>
                      </w:r>
                    </w:hyperlink>
                  </w:p>
                  <w:p w14:paraId="6A43FE79" w14:textId="77777777" w:rsidR="00F77EAA" w:rsidRPr="002A12F7" w:rsidRDefault="00F77EAA">
                    <w:pPr>
                      <w:rPr>
                        <w:lang w:val="en-GB"/>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D446C" w14:textId="77777777" w:rsidR="00765F48" w:rsidRDefault="00765F48" w:rsidP="00F77EAA">
      <w:pPr>
        <w:spacing w:after="0" w:line="240" w:lineRule="auto"/>
      </w:pPr>
      <w:r>
        <w:separator/>
      </w:r>
    </w:p>
  </w:footnote>
  <w:footnote w:type="continuationSeparator" w:id="0">
    <w:p w14:paraId="47502E37" w14:textId="77777777" w:rsidR="00765F48" w:rsidRDefault="00765F48" w:rsidP="00F77EAA">
      <w:pPr>
        <w:spacing w:after="0" w:line="240" w:lineRule="auto"/>
      </w:pPr>
      <w:r>
        <w:continuationSeparator/>
      </w:r>
    </w:p>
  </w:footnote>
  <w:footnote w:type="continuationNotice" w:id="1">
    <w:p w14:paraId="15D63B34" w14:textId="77777777" w:rsidR="00765F48" w:rsidRDefault="00765F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B5926" w14:textId="25E1754E" w:rsidR="00F77EAA" w:rsidRDefault="001E2AA2">
    <w:pPr>
      <w:pStyle w:val="Header"/>
    </w:pPr>
    <w:r>
      <w:rPr>
        <w:noProof/>
        <w:lang w:eastAsia="nl-BE"/>
      </w:rPr>
      <w:drawing>
        <wp:anchor distT="0" distB="0" distL="114300" distR="114300" simplePos="0" relativeHeight="251669504" behindDoc="0" locked="0" layoutInCell="1" allowOverlap="1" wp14:anchorId="3F32E287" wp14:editId="1E293C12">
          <wp:simplePos x="0" y="0"/>
          <wp:positionH relativeFrom="margin">
            <wp:posOffset>-635</wp:posOffset>
          </wp:positionH>
          <wp:positionV relativeFrom="paragraph">
            <wp:posOffset>-15240</wp:posOffset>
          </wp:positionV>
          <wp:extent cx="1371600" cy="495935"/>
          <wp:effectExtent l="0" t="0" r="0" b="0"/>
          <wp:wrapNone/>
          <wp:docPr id="6" name="Picture 6" descr="C:\Users\itadmin\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dmin\Desktop\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935"/>
                  </a:xfrm>
                  <a:prstGeom prst="rect">
                    <a:avLst/>
                  </a:prstGeom>
                  <a:noFill/>
                  <a:ln>
                    <a:noFill/>
                  </a:ln>
                </pic:spPr>
              </pic:pic>
            </a:graphicData>
          </a:graphic>
        </wp:anchor>
      </w:drawing>
    </w:r>
    <w:r w:rsidR="00F77EAA">
      <w:rPr>
        <w:noProof/>
        <w:lang w:eastAsia="nl-BE"/>
      </w:rPr>
      <w:drawing>
        <wp:anchor distT="0" distB="0" distL="114300" distR="114300" simplePos="0" relativeHeight="251658240" behindDoc="0" locked="0" layoutInCell="1" allowOverlap="1" wp14:anchorId="460B5928" wp14:editId="460B5929">
          <wp:simplePos x="0" y="0"/>
          <wp:positionH relativeFrom="margin">
            <wp:posOffset>-635</wp:posOffset>
          </wp:positionH>
          <wp:positionV relativeFrom="paragraph">
            <wp:posOffset>-15240</wp:posOffset>
          </wp:positionV>
          <wp:extent cx="1371600" cy="495935"/>
          <wp:effectExtent l="0" t="0" r="0" b="0"/>
          <wp:wrapNone/>
          <wp:docPr id="1" name="Picture 1" descr="C:\Users\itadmin\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dmin\Desktop\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A72F5"/>
    <w:multiLevelType w:val="hybridMultilevel"/>
    <w:tmpl w:val="C200123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44B4053"/>
    <w:multiLevelType w:val="hybridMultilevel"/>
    <w:tmpl w:val="CD664D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859408F"/>
    <w:multiLevelType w:val="hybridMultilevel"/>
    <w:tmpl w:val="0394A4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47D5DCC"/>
    <w:multiLevelType w:val="hybridMultilevel"/>
    <w:tmpl w:val="680C28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4B8B4830"/>
    <w:multiLevelType w:val="hybridMultilevel"/>
    <w:tmpl w:val="525058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BC"/>
    <w:rsid w:val="000157A3"/>
    <w:rsid w:val="00020773"/>
    <w:rsid w:val="00032BF0"/>
    <w:rsid w:val="0005404D"/>
    <w:rsid w:val="000D653D"/>
    <w:rsid w:val="000F4539"/>
    <w:rsid w:val="0011474D"/>
    <w:rsid w:val="00146D8F"/>
    <w:rsid w:val="00182F02"/>
    <w:rsid w:val="001943A5"/>
    <w:rsid w:val="001D56DA"/>
    <w:rsid w:val="001E1350"/>
    <w:rsid w:val="001E1BD6"/>
    <w:rsid w:val="001E2AA2"/>
    <w:rsid w:val="001F6B1A"/>
    <w:rsid w:val="002239F0"/>
    <w:rsid w:val="00294253"/>
    <w:rsid w:val="002A12F7"/>
    <w:rsid w:val="002D646D"/>
    <w:rsid w:val="002F39C2"/>
    <w:rsid w:val="00364560"/>
    <w:rsid w:val="00370094"/>
    <w:rsid w:val="003B054D"/>
    <w:rsid w:val="0040771B"/>
    <w:rsid w:val="00453F62"/>
    <w:rsid w:val="00455C9C"/>
    <w:rsid w:val="00457011"/>
    <w:rsid w:val="004606EE"/>
    <w:rsid w:val="00506E24"/>
    <w:rsid w:val="00511593"/>
    <w:rsid w:val="005870BC"/>
    <w:rsid w:val="005929D1"/>
    <w:rsid w:val="00592ADE"/>
    <w:rsid w:val="00596C56"/>
    <w:rsid w:val="005C0032"/>
    <w:rsid w:val="005C3C2A"/>
    <w:rsid w:val="00607B32"/>
    <w:rsid w:val="0063181F"/>
    <w:rsid w:val="00657874"/>
    <w:rsid w:val="006B5F1D"/>
    <w:rsid w:val="006C245D"/>
    <w:rsid w:val="006C3E10"/>
    <w:rsid w:val="006D0980"/>
    <w:rsid w:val="006E1B5F"/>
    <w:rsid w:val="007079A5"/>
    <w:rsid w:val="00765F48"/>
    <w:rsid w:val="007B7768"/>
    <w:rsid w:val="00837A41"/>
    <w:rsid w:val="008D70EE"/>
    <w:rsid w:val="008E53C5"/>
    <w:rsid w:val="008F48DF"/>
    <w:rsid w:val="0091227A"/>
    <w:rsid w:val="00933B15"/>
    <w:rsid w:val="00963B39"/>
    <w:rsid w:val="00967C6D"/>
    <w:rsid w:val="0097022C"/>
    <w:rsid w:val="00970F7B"/>
    <w:rsid w:val="009C263D"/>
    <w:rsid w:val="009F2644"/>
    <w:rsid w:val="00A5021C"/>
    <w:rsid w:val="00AD4683"/>
    <w:rsid w:val="00B441A7"/>
    <w:rsid w:val="00BD382E"/>
    <w:rsid w:val="00C15802"/>
    <w:rsid w:val="00C64627"/>
    <w:rsid w:val="00C85B1D"/>
    <w:rsid w:val="00C93CC5"/>
    <w:rsid w:val="00CF0284"/>
    <w:rsid w:val="00D0333C"/>
    <w:rsid w:val="00D64E0D"/>
    <w:rsid w:val="00D7593B"/>
    <w:rsid w:val="00DB443C"/>
    <w:rsid w:val="00DE0094"/>
    <w:rsid w:val="00E15D81"/>
    <w:rsid w:val="00E97FD1"/>
    <w:rsid w:val="00EC197F"/>
    <w:rsid w:val="00F27BF5"/>
    <w:rsid w:val="00F608C3"/>
    <w:rsid w:val="00F730EF"/>
    <w:rsid w:val="00F77EAA"/>
    <w:rsid w:val="00F800A4"/>
    <w:rsid w:val="00FF78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0B5916"/>
  <w15:docId w15:val="{335B0C91-5D15-4C23-B96C-19B30EB2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EAA"/>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unhideWhenUsed/>
    <w:qFormat/>
    <w:rsid w:val="00F77EAA"/>
    <w:pPr>
      <w:keepNext/>
      <w:keepLines/>
      <w:spacing w:before="40" w:after="0"/>
      <w:outlineLvl w:val="1"/>
    </w:pPr>
    <w:rPr>
      <w:rFonts w:asciiTheme="majorHAnsi" w:eastAsiaTheme="majorEastAsia" w:hAnsiTheme="majorHAnsi" w:cstheme="majorBidi"/>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7E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7EAA"/>
  </w:style>
  <w:style w:type="paragraph" w:styleId="Footer">
    <w:name w:val="footer"/>
    <w:basedOn w:val="Normal"/>
    <w:link w:val="FooterChar"/>
    <w:uiPriority w:val="99"/>
    <w:unhideWhenUsed/>
    <w:rsid w:val="00F77E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EAA"/>
  </w:style>
  <w:style w:type="character" w:styleId="Hyperlink">
    <w:name w:val="Hyperlink"/>
    <w:basedOn w:val="DefaultParagraphFont"/>
    <w:uiPriority w:val="99"/>
    <w:unhideWhenUsed/>
    <w:rsid w:val="00F77EAA"/>
    <w:rPr>
      <w:color w:val="0563C1" w:themeColor="hyperlink"/>
      <w:u w:val="single"/>
    </w:rPr>
  </w:style>
  <w:style w:type="character" w:customStyle="1" w:styleId="Heading1Char">
    <w:name w:val="Heading 1 Char"/>
    <w:basedOn w:val="DefaultParagraphFont"/>
    <w:link w:val="Heading1"/>
    <w:uiPriority w:val="9"/>
    <w:rsid w:val="00F77EAA"/>
    <w:rPr>
      <w:rFonts w:asciiTheme="majorHAnsi" w:eastAsiaTheme="majorEastAsia" w:hAnsiTheme="majorHAnsi" w:cstheme="majorBidi"/>
      <w:color w:val="ED7D31" w:themeColor="accent2"/>
      <w:sz w:val="32"/>
      <w:szCs w:val="32"/>
    </w:rPr>
  </w:style>
  <w:style w:type="character" w:customStyle="1" w:styleId="Heading2Char">
    <w:name w:val="Heading 2 Char"/>
    <w:basedOn w:val="DefaultParagraphFont"/>
    <w:link w:val="Heading2"/>
    <w:uiPriority w:val="9"/>
    <w:rsid w:val="00F77EAA"/>
    <w:rPr>
      <w:rFonts w:asciiTheme="majorHAnsi" w:eastAsiaTheme="majorEastAsia" w:hAnsiTheme="majorHAnsi" w:cstheme="majorBidi"/>
      <w:color w:val="ED7D31" w:themeColor="accent2"/>
      <w:sz w:val="26"/>
      <w:szCs w:val="26"/>
    </w:rPr>
  </w:style>
  <w:style w:type="character" w:styleId="IntenseEmphasis">
    <w:name w:val="Intense Emphasis"/>
    <w:basedOn w:val="DefaultParagraphFont"/>
    <w:uiPriority w:val="21"/>
    <w:qFormat/>
    <w:rsid w:val="00F77EAA"/>
    <w:rPr>
      <w:i/>
      <w:iCs/>
      <w:color w:val="ED7D31" w:themeColor="accent2"/>
    </w:rPr>
  </w:style>
  <w:style w:type="table" w:styleId="LightList-Accent3">
    <w:name w:val="Light List Accent 3"/>
    <w:basedOn w:val="TableNormal"/>
    <w:uiPriority w:val="61"/>
    <w:semiHidden/>
    <w:unhideWhenUsed/>
    <w:rsid w:val="00F77EA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Subtitle">
    <w:name w:val="Subtitle"/>
    <w:basedOn w:val="Normal"/>
    <w:next w:val="Normal"/>
    <w:link w:val="SubtitleChar"/>
    <w:uiPriority w:val="11"/>
    <w:qFormat/>
    <w:rsid w:val="00C85B1D"/>
    <w:pPr>
      <w:spacing w:after="60" w:line="276" w:lineRule="auto"/>
      <w:outlineLvl w:val="1"/>
    </w:pPr>
    <w:rPr>
      <w:rFonts w:eastAsia="Times New Roman" w:cs="Times New Roman"/>
      <w:color w:val="ED7D31" w:themeColor="accent2"/>
      <w:sz w:val="28"/>
      <w:szCs w:val="24"/>
      <w:lang w:val="en-US"/>
    </w:rPr>
  </w:style>
  <w:style w:type="character" w:customStyle="1" w:styleId="SubtitleChar">
    <w:name w:val="Subtitle Char"/>
    <w:basedOn w:val="DefaultParagraphFont"/>
    <w:link w:val="Subtitle"/>
    <w:uiPriority w:val="11"/>
    <w:rsid w:val="00C85B1D"/>
    <w:rPr>
      <w:rFonts w:eastAsia="Times New Roman" w:cs="Times New Roman"/>
      <w:color w:val="ED7D31" w:themeColor="accent2"/>
      <w:sz w:val="28"/>
      <w:szCs w:val="24"/>
      <w:lang w:val="en-US"/>
    </w:rPr>
  </w:style>
  <w:style w:type="paragraph" w:styleId="NoSpacing">
    <w:name w:val="No Spacing"/>
    <w:aliases w:val="text"/>
    <w:uiPriority w:val="1"/>
    <w:qFormat/>
    <w:rsid w:val="00C85B1D"/>
    <w:pPr>
      <w:spacing w:after="0" w:line="240" w:lineRule="auto"/>
    </w:pPr>
    <w:rPr>
      <w:rFonts w:ascii="Times" w:eastAsia="Calibri" w:hAnsi="Times" w:cs="Times New Roman"/>
      <w:sz w:val="24"/>
      <w:lang w:val="en-US"/>
    </w:rPr>
  </w:style>
  <w:style w:type="paragraph" w:styleId="BalloonText">
    <w:name w:val="Balloon Text"/>
    <w:basedOn w:val="Normal"/>
    <w:link w:val="BalloonTextChar"/>
    <w:uiPriority w:val="99"/>
    <w:semiHidden/>
    <w:unhideWhenUsed/>
    <w:rsid w:val="008D7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EE"/>
    <w:rPr>
      <w:rFonts w:ascii="Segoe UI" w:hAnsi="Segoe UI" w:cs="Segoe UI"/>
      <w:sz w:val="18"/>
      <w:szCs w:val="18"/>
    </w:rPr>
  </w:style>
  <w:style w:type="character" w:styleId="CommentReference">
    <w:name w:val="annotation reference"/>
    <w:basedOn w:val="DefaultParagraphFont"/>
    <w:uiPriority w:val="99"/>
    <w:semiHidden/>
    <w:unhideWhenUsed/>
    <w:rsid w:val="00032BF0"/>
    <w:rPr>
      <w:sz w:val="16"/>
      <w:szCs w:val="16"/>
    </w:rPr>
  </w:style>
  <w:style w:type="paragraph" w:styleId="CommentText">
    <w:name w:val="annotation text"/>
    <w:basedOn w:val="Normal"/>
    <w:link w:val="CommentTextChar"/>
    <w:uiPriority w:val="99"/>
    <w:unhideWhenUsed/>
    <w:rsid w:val="000D653D"/>
    <w:pPr>
      <w:spacing w:line="240" w:lineRule="auto"/>
    </w:pPr>
    <w:rPr>
      <w:sz w:val="20"/>
      <w:szCs w:val="20"/>
    </w:rPr>
  </w:style>
  <w:style w:type="character" w:customStyle="1" w:styleId="CommentTextChar">
    <w:name w:val="Comment Text Char"/>
    <w:basedOn w:val="DefaultParagraphFont"/>
    <w:link w:val="CommentText"/>
    <w:uiPriority w:val="99"/>
    <w:rsid w:val="00032BF0"/>
    <w:rPr>
      <w:sz w:val="20"/>
      <w:szCs w:val="20"/>
    </w:rPr>
  </w:style>
  <w:style w:type="paragraph" w:styleId="CommentSubject">
    <w:name w:val="annotation subject"/>
    <w:basedOn w:val="CommentText"/>
    <w:next w:val="CommentText"/>
    <w:link w:val="CommentSubjectChar"/>
    <w:uiPriority w:val="99"/>
    <w:semiHidden/>
    <w:unhideWhenUsed/>
    <w:rsid w:val="00032BF0"/>
    <w:rPr>
      <w:b/>
      <w:bCs/>
    </w:rPr>
  </w:style>
  <w:style w:type="character" w:customStyle="1" w:styleId="CommentSubjectChar">
    <w:name w:val="Comment Subject Char"/>
    <w:basedOn w:val="CommentTextChar"/>
    <w:link w:val="CommentSubject"/>
    <w:uiPriority w:val="99"/>
    <w:semiHidden/>
    <w:rsid w:val="00032BF0"/>
    <w:rPr>
      <w:b/>
      <w:bCs/>
      <w:sz w:val="20"/>
      <w:szCs w:val="20"/>
    </w:rPr>
  </w:style>
  <w:style w:type="paragraph" w:styleId="ListParagraph">
    <w:name w:val="List Paragraph"/>
    <w:basedOn w:val="Normal"/>
    <w:uiPriority w:val="34"/>
    <w:qFormat/>
    <w:rsid w:val="00032BF0"/>
    <w:pPr>
      <w:ind w:left="720"/>
      <w:contextualSpacing/>
    </w:pPr>
  </w:style>
  <w:style w:type="paragraph" w:customStyle="1" w:styleId="Default">
    <w:name w:val="Default"/>
    <w:rsid w:val="000D653D"/>
    <w:pPr>
      <w:autoSpaceDE w:val="0"/>
      <w:autoSpaceDN w:val="0"/>
      <w:adjustRightInd w:val="0"/>
      <w:spacing w:after="0" w:line="240" w:lineRule="auto"/>
    </w:pPr>
    <w:rPr>
      <w:rFonts w:ascii="EUAlbertina" w:hAnsi="EUAlbertina" w:cs="EUAlbertina"/>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0009">
      <w:bodyDiv w:val="1"/>
      <w:marLeft w:val="0"/>
      <w:marRight w:val="0"/>
      <w:marTop w:val="0"/>
      <w:marBottom w:val="0"/>
      <w:divBdr>
        <w:top w:val="none" w:sz="0" w:space="0" w:color="auto"/>
        <w:left w:val="none" w:sz="0" w:space="0" w:color="auto"/>
        <w:bottom w:val="none" w:sz="0" w:space="0" w:color="auto"/>
        <w:right w:val="none" w:sz="0" w:space="0" w:color="auto"/>
      </w:divBdr>
    </w:div>
    <w:div w:id="333844251">
      <w:bodyDiv w:val="1"/>
      <w:marLeft w:val="0"/>
      <w:marRight w:val="0"/>
      <w:marTop w:val="0"/>
      <w:marBottom w:val="0"/>
      <w:divBdr>
        <w:top w:val="none" w:sz="0" w:space="0" w:color="auto"/>
        <w:left w:val="none" w:sz="0" w:space="0" w:color="auto"/>
        <w:bottom w:val="none" w:sz="0" w:space="0" w:color="auto"/>
        <w:right w:val="none" w:sz="0" w:space="0" w:color="auto"/>
      </w:divBdr>
    </w:div>
    <w:div w:id="472412906">
      <w:bodyDiv w:val="1"/>
      <w:marLeft w:val="0"/>
      <w:marRight w:val="0"/>
      <w:marTop w:val="0"/>
      <w:marBottom w:val="0"/>
      <w:divBdr>
        <w:top w:val="none" w:sz="0" w:space="0" w:color="auto"/>
        <w:left w:val="none" w:sz="0" w:space="0" w:color="auto"/>
        <w:bottom w:val="none" w:sz="0" w:space="0" w:color="auto"/>
        <w:right w:val="none" w:sz="0" w:space="0" w:color="auto"/>
      </w:divBdr>
    </w:div>
    <w:div w:id="695890571">
      <w:bodyDiv w:val="1"/>
      <w:marLeft w:val="0"/>
      <w:marRight w:val="0"/>
      <w:marTop w:val="0"/>
      <w:marBottom w:val="0"/>
      <w:divBdr>
        <w:top w:val="none" w:sz="0" w:space="0" w:color="auto"/>
        <w:left w:val="none" w:sz="0" w:space="0" w:color="auto"/>
        <w:bottom w:val="none" w:sz="0" w:space="0" w:color="auto"/>
        <w:right w:val="none" w:sz="0" w:space="0" w:color="auto"/>
      </w:divBdr>
    </w:div>
    <w:div w:id="705837519">
      <w:bodyDiv w:val="1"/>
      <w:marLeft w:val="0"/>
      <w:marRight w:val="0"/>
      <w:marTop w:val="0"/>
      <w:marBottom w:val="0"/>
      <w:divBdr>
        <w:top w:val="none" w:sz="0" w:space="0" w:color="auto"/>
        <w:left w:val="none" w:sz="0" w:space="0" w:color="auto"/>
        <w:bottom w:val="none" w:sz="0" w:space="0" w:color="auto"/>
        <w:right w:val="none" w:sz="0" w:space="0" w:color="auto"/>
      </w:divBdr>
    </w:div>
    <w:div w:id="1006371299">
      <w:bodyDiv w:val="1"/>
      <w:marLeft w:val="0"/>
      <w:marRight w:val="0"/>
      <w:marTop w:val="0"/>
      <w:marBottom w:val="0"/>
      <w:divBdr>
        <w:top w:val="none" w:sz="0" w:space="0" w:color="auto"/>
        <w:left w:val="none" w:sz="0" w:space="0" w:color="auto"/>
        <w:bottom w:val="none" w:sz="0" w:space="0" w:color="auto"/>
        <w:right w:val="none" w:sz="0" w:space="0" w:color="auto"/>
      </w:divBdr>
    </w:div>
    <w:div w:id="1413048254">
      <w:bodyDiv w:val="1"/>
      <w:marLeft w:val="0"/>
      <w:marRight w:val="0"/>
      <w:marTop w:val="0"/>
      <w:marBottom w:val="0"/>
      <w:divBdr>
        <w:top w:val="none" w:sz="0" w:space="0" w:color="auto"/>
        <w:left w:val="none" w:sz="0" w:space="0" w:color="auto"/>
        <w:bottom w:val="none" w:sz="0" w:space="0" w:color="auto"/>
        <w:right w:val="none" w:sz="0" w:space="0" w:color="auto"/>
      </w:divBdr>
    </w:div>
    <w:div w:id="143825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bf-fbe.eu" TargetMode="External"/><Relationship Id="rId1" Type="http://schemas.openxmlformats.org/officeDocument/2006/relationships/hyperlink" Target="http://www.ebf-fb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FileID xmlns="8b76e640-9ff4-4d3b-a80d-ae743ace85eb" xsi:nil="true"/>
    <DocRef xmlns="8b76e640-9ff4-4d3b-a80d-ae743ace85eb">EBF_011888</DocRef>
    <DocSnippet xmlns="8b76e640-9ff4-4d3b-a80d-ae743ace85eb">Public Document</DocSnippet>
    <ReferenceVersion xmlns="8b76e640-9ff4-4d3b-a80d-ae743ace85eb" xsi:nil="true"/>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2.xml><?xml version="1.0" encoding="utf-8"?>
<ct:contentTypeSchema xmlns:ct="http://schemas.microsoft.com/office/2006/metadata/contentType" xmlns:ma="http://schemas.microsoft.com/office/2006/metadata/properties/metaAttributes" ct:_="" ma:_="" ma:contentTypeName="EBF Document" ma:contentTypeID="0x0101004BE274EDB6DB4922B212C2A6A2929FFF0085D622EB7EE7034384B25A168FE6B0E9" ma:contentTypeVersion="13" ma:contentTypeDescription="Create a new document." ma:contentTypeScope="" ma:versionID="ecfcbd84758a987042e666dbf2890364">
  <xsd:schema xmlns:xsd="http://www.w3.org/2001/XMLSchema" xmlns:xs="http://www.w3.org/2001/XMLSchema" xmlns:p="http://schemas.microsoft.com/office/2006/metadata/properties" xmlns:ns2="8b76e640-9ff4-4d3b-a80d-ae743ace85eb" targetNamespace="http://schemas.microsoft.com/office/2006/metadata/properties" ma:root="true" ma:fieldsID="2aca80c004ec2097f8216d5df938d159"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internalName="DocSnippet" ma:readOnly="false">
      <xsd:simpleType>
        <xsd:restriction base="dms:Choice">
          <xsd:enumeration value="Agenda"/>
          <xsd:enumeration value="C-Letter"/>
          <xsd:enumeration value="Chief Executive Letter"/>
          <xsd:enumeration value="Coms Doc"/>
          <xsd:enumeration value="Excochair Letter"/>
          <xsd:enumeration value="Fax"/>
          <xsd:enumeration value="Letter President"/>
          <xsd:enumeration value="Master Document"/>
          <xsd:enumeration value="Memo"/>
          <xsd:enumeration value="Minutes"/>
          <xsd:enumeration value="Non C-Letter"/>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CCBAF-B518-4B50-8B4B-951656F54453}"/>
</file>

<file path=customXml/itemProps2.xml><?xml version="1.0" encoding="utf-8"?>
<ds:datastoreItem xmlns:ds="http://schemas.openxmlformats.org/officeDocument/2006/customXml" ds:itemID="{A3E27A81-60D1-4CCE-805B-4DE4EEE1AB3A}"/>
</file>

<file path=customXml/itemProps3.xml><?xml version="1.0" encoding="utf-8"?>
<ds:datastoreItem xmlns:ds="http://schemas.openxmlformats.org/officeDocument/2006/customXml" ds:itemID="{26CD674C-0CEB-4E08-A94F-6DF4DB618A1B}"/>
</file>

<file path=customXml/itemProps4.xml><?xml version="1.0" encoding="utf-8"?>
<ds:datastoreItem xmlns:ds="http://schemas.openxmlformats.org/officeDocument/2006/customXml" ds:itemID="{6F1454FE-694B-442D-9118-FF262F89DD0C}"/>
</file>

<file path=docProps/app.xml><?xml version="1.0" encoding="utf-8"?>
<Properties xmlns="http://schemas.openxmlformats.org/officeDocument/2006/extended-properties" xmlns:vt="http://schemas.openxmlformats.org/officeDocument/2006/docPropsVTypes">
  <Template>Normal.dotm</Template>
  <TotalTime>1</TotalTime>
  <Pages>3</Pages>
  <Words>1186</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EBF</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itadmin</dc:creator>
  <cp:lastModifiedBy>Timothy Buenker</cp:lastModifiedBy>
  <cp:revision>3</cp:revision>
  <cp:lastPrinted>2014-09-18T14:06:00Z</cp:lastPrinted>
  <dcterms:created xsi:type="dcterms:W3CDTF">2014-12-19T11:19:00Z</dcterms:created>
  <dcterms:modified xsi:type="dcterms:W3CDTF">2014-12-19T11:19:00Z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0x0101004BE274EDB6DB4922B212C2A6A2929FFF0085D622EB7EE7034384B25A168FE6B0E9</vt:lpwstr>
  </property>
  <property fmtid="{D5CDD505-2E9C-101B-9397-08002B2CF9AE}" pid="3" name="TitusGUID">
    <vt:lpwstr>5ff48e2a-9d3d-4406-bda7-c409dc056e3c</vt:lpwstr>
  </property>
  <property fmtid="{D5CDD505-2E9C-101B-9397-08002B2CF9AE}" pid="4" name="db.comClassification">
    <vt:lpwstr>External Communication</vt:lpwstr>
  </property>
</Properties>
</file>