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A9" w:rsidRPr="00411AA9" w:rsidRDefault="00CB1706" w:rsidP="00411AA9">
      <w:pPr>
        <w:jc w:val="center"/>
        <w:rPr>
          <w:rFonts w:ascii="Verdana" w:hAnsi="Verdana"/>
          <w:b/>
          <w:color w:val="002F63"/>
          <w:sz w:val="28"/>
        </w:rPr>
        <w:sectPr w:rsidR="00411AA9" w:rsidRPr="00411AA9">
          <w:headerReference w:type="default" r:id="rId8"/>
          <w:headerReference w:type="first" r:id="rId9"/>
          <w:footerReference w:type="first" r:id="rId10"/>
          <w:pgSz w:w="11906" w:h="16838" w:code="9"/>
          <w:pgMar w:top="5670" w:right="3402" w:bottom="1701" w:left="3402" w:header="709" w:footer="567" w:gutter="0"/>
          <w:cols w:space="708"/>
          <w:titlePg/>
          <w:docGrid w:linePitch="360"/>
        </w:sectPr>
      </w:pPr>
      <w:bookmarkStart w:id="0" w:name="_GoBack"/>
      <w:bookmarkEnd w:id="0"/>
      <w:r>
        <w:rPr>
          <w:rFonts w:ascii="Verdana" w:hAnsi="Verdana"/>
          <w:b/>
          <w:color w:val="002F63"/>
          <w:sz w:val="28"/>
        </w:rPr>
        <w:t>ABI c</w:t>
      </w:r>
      <w:r w:rsidR="0096480D" w:rsidRPr="00160AE6">
        <w:rPr>
          <w:rFonts w:ascii="Verdana" w:hAnsi="Verdana"/>
          <w:b/>
          <w:color w:val="002F63"/>
          <w:sz w:val="28"/>
        </w:rPr>
        <w:t xml:space="preserve">omments on </w:t>
      </w:r>
      <w:r w:rsidR="00411AA9">
        <w:rPr>
          <w:rFonts w:ascii="Verdana" w:hAnsi="Verdana"/>
          <w:b/>
          <w:color w:val="002F63"/>
          <w:sz w:val="28"/>
        </w:rPr>
        <w:t>EBA consultation Pap</w:t>
      </w:r>
      <w:r>
        <w:rPr>
          <w:rFonts w:ascii="Verdana" w:hAnsi="Verdana"/>
          <w:b/>
          <w:color w:val="002F63"/>
          <w:sz w:val="28"/>
        </w:rPr>
        <w:t xml:space="preserve">er </w:t>
      </w:r>
      <w:r w:rsidR="0011384A">
        <w:rPr>
          <w:rFonts w:ascii="Verdana" w:hAnsi="Verdana"/>
          <w:b/>
          <w:color w:val="002F63"/>
          <w:sz w:val="28"/>
        </w:rPr>
        <w:t>regarding d</w:t>
      </w:r>
      <w:r w:rsidR="00411AA9">
        <w:rPr>
          <w:rFonts w:ascii="Verdana" w:hAnsi="Verdana"/>
          <w:b/>
          <w:color w:val="002F63"/>
          <w:sz w:val="28"/>
        </w:rPr>
        <w:t>raft guidelines on p</w:t>
      </w:r>
      <w:r>
        <w:rPr>
          <w:rFonts w:ascii="Verdana" w:hAnsi="Verdana"/>
          <w:b/>
          <w:color w:val="002F63"/>
          <w:sz w:val="28"/>
        </w:rPr>
        <w:t>ayment co</w:t>
      </w:r>
      <w:r w:rsidR="00411AA9">
        <w:rPr>
          <w:rFonts w:ascii="Verdana" w:hAnsi="Verdana"/>
          <w:b/>
          <w:color w:val="002F63"/>
          <w:sz w:val="28"/>
        </w:rPr>
        <w:t>mmitments under Directive 2014/49/EU on deposit guarantee schemes</w:t>
      </w:r>
    </w:p>
    <w:p w:rsidR="00811A27" w:rsidRPr="00160AE6" w:rsidRDefault="00847B15" w:rsidP="00811A27">
      <w:pPr>
        <w:pStyle w:val="TitoloTesto"/>
        <w:numPr>
          <w:ilvl w:val="0"/>
          <w:numId w:val="0"/>
        </w:numPr>
        <w:ind w:left="708"/>
        <w:rPr>
          <w:i/>
        </w:rPr>
      </w:pPr>
      <w:r w:rsidRPr="00160AE6">
        <w:rPr>
          <w:i/>
        </w:rPr>
        <w:lastRenderedPageBreak/>
        <w:t xml:space="preserve">  Introduction</w:t>
      </w:r>
    </w:p>
    <w:p w:rsidR="00745828" w:rsidRPr="00160AE6" w:rsidRDefault="00811A27" w:rsidP="00B16266">
      <w:pPr>
        <w:pStyle w:val="TitoloTesto"/>
        <w:numPr>
          <w:ilvl w:val="0"/>
          <w:numId w:val="0"/>
        </w:numPr>
        <w:ind w:left="927"/>
        <w:rPr>
          <w:b w:val="0"/>
        </w:rPr>
      </w:pPr>
      <w:r w:rsidRPr="00160AE6">
        <w:rPr>
          <w:b w:val="0"/>
        </w:rPr>
        <w:t xml:space="preserve">ABI is pleased to contribute to </w:t>
      </w:r>
      <w:r w:rsidR="00411AA9">
        <w:rPr>
          <w:b w:val="0"/>
        </w:rPr>
        <w:t>EBA</w:t>
      </w:r>
      <w:r w:rsidR="008C1919">
        <w:rPr>
          <w:b w:val="0"/>
        </w:rPr>
        <w:t>’s</w:t>
      </w:r>
      <w:r w:rsidR="00CB1706">
        <w:rPr>
          <w:b w:val="0"/>
        </w:rPr>
        <w:t xml:space="preserve"> Consultation Paper </w:t>
      </w:r>
      <w:r w:rsidR="008C1919">
        <w:rPr>
          <w:b w:val="0"/>
        </w:rPr>
        <w:t>on the</w:t>
      </w:r>
      <w:r w:rsidR="00CB1706">
        <w:rPr>
          <w:b w:val="0"/>
        </w:rPr>
        <w:t xml:space="preserve"> </w:t>
      </w:r>
      <w:r w:rsidR="00567E18">
        <w:rPr>
          <w:b w:val="0"/>
        </w:rPr>
        <w:t xml:space="preserve">guidelines </w:t>
      </w:r>
      <w:r w:rsidR="00FC1017">
        <w:rPr>
          <w:b w:val="0"/>
        </w:rPr>
        <w:t>on</w:t>
      </w:r>
      <w:r w:rsidR="0011384A">
        <w:rPr>
          <w:b w:val="0"/>
        </w:rPr>
        <w:t xml:space="preserve"> </w:t>
      </w:r>
      <w:r w:rsidR="00567E18">
        <w:rPr>
          <w:b w:val="0"/>
        </w:rPr>
        <w:t xml:space="preserve">payment </w:t>
      </w:r>
      <w:r w:rsidR="00CB1706" w:rsidRPr="00CB1706">
        <w:rPr>
          <w:b w:val="0"/>
        </w:rPr>
        <w:t>commitments under Directive 2014/49/EU on deposit guarantee schemes</w:t>
      </w:r>
      <w:r w:rsidR="00567E18">
        <w:rPr>
          <w:b w:val="0"/>
        </w:rPr>
        <w:t>.</w:t>
      </w:r>
      <w:r w:rsidR="00B16266">
        <w:rPr>
          <w:b w:val="0"/>
        </w:rPr>
        <w:t xml:space="preserve"> </w:t>
      </w:r>
      <w:r w:rsidR="00CB1706">
        <w:rPr>
          <w:b w:val="0"/>
        </w:rPr>
        <w:t xml:space="preserve">ABI supports </w:t>
      </w:r>
      <w:r w:rsidR="00737D9F">
        <w:rPr>
          <w:b w:val="0"/>
        </w:rPr>
        <w:t xml:space="preserve">the </w:t>
      </w:r>
      <w:r w:rsidR="00CB1706">
        <w:rPr>
          <w:b w:val="0"/>
        </w:rPr>
        <w:t>EBF</w:t>
      </w:r>
      <w:r w:rsidR="00F00FC8">
        <w:rPr>
          <w:b w:val="0"/>
        </w:rPr>
        <w:t xml:space="preserve"> </w:t>
      </w:r>
      <w:r w:rsidR="000F1219">
        <w:rPr>
          <w:b w:val="0"/>
        </w:rPr>
        <w:t>position on this item</w:t>
      </w:r>
      <w:r w:rsidR="007B25F4">
        <w:rPr>
          <w:b w:val="0"/>
        </w:rPr>
        <w:t xml:space="preserve">. </w:t>
      </w:r>
      <w:proofErr w:type="gramStart"/>
      <w:r w:rsidR="00CB1706">
        <w:rPr>
          <w:b w:val="0"/>
        </w:rPr>
        <w:t>Neverth</w:t>
      </w:r>
      <w:r w:rsidR="008C1919">
        <w:rPr>
          <w:b w:val="0"/>
        </w:rPr>
        <w:t>e</w:t>
      </w:r>
      <w:r w:rsidR="00CB1706">
        <w:rPr>
          <w:b w:val="0"/>
        </w:rPr>
        <w:t>less</w:t>
      </w:r>
      <w:proofErr w:type="gramEnd"/>
      <w:r w:rsidR="00CB1706">
        <w:rPr>
          <w:b w:val="0"/>
        </w:rPr>
        <w:t xml:space="preserve"> answers to </w:t>
      </w:r>
      <w:r w:rsidR="008C1919">
        <w:rPr>
          <w:b w:val="0"/>
        </w:rPr>
        <w:t xml:space="preserve">some of </w:t>
      </w:r>
      <w:r w:rsidR="00737D9F">
        <w:rPr>
          <w:b w:val="0"/>
        </w:rPr>
        <w:t xml:space="preserve">the </w:t>
      </w:r>
      <w:r w:rsidR="00567E18">
        <w:rPr>
          <w:b w:val="0"/>
        </w:rPr>
        <w:t>questions</w:t>
      </w:r>
      <w:r w:rsidR="00737D9F">
        <w:rPr>
          <w:b w:val="0"/>
        </w:rPr>
        <w:t xml:space="preserve"> are provided below</w:t>
      </w:r>
      <w:r w:rsidRPr="00160AE6">
        <w:rPr>
          <w:b w:val="0"/>
        </w:rPr>
        <w:t>.</w:t>
      </w:r>
    </w:p>
    <w:p w:rsidR="000F1219" w:rsidRDefault="00CB1706" w:rsidP="00CB1706">
      <w:pPr>
        <w:pStyle w:val="TitoloTesto"/>
        <w:numPr>
          <w:ilvl w:val="0"/>
          <w:numId w:val="0"/>
        </w:numPr>
        <w:ind w:left="927" w:hanging="360"/>
        <w:rPr>
          <w:i/>
        </w:rPr>
      </w:pPr>
      <w:r>
        <w:rPr>
          <w:i/>
        </w:rPr>
        <w:t>Q</w:t>
      </w:r>
      <w:r w:rsidR="00567E18">
        <w:rPr>
          <w:i/>
        </w:rPr>
        <w:t xml:space="preserve">uestion </w:t>
      </w:r>
      <w:r>
        <w:rPr>
          <w:i/>
        </w:rPr>
        <w:t xml:space="preserve">1. </w:t>
      </w:r>
      <w:r w:rsidR="000F1219" w:rsidRPr="000F1219">
        <w:rPr>
          <w:i/>
        </w:rPr>
        <w:t>Apart from the admissibility requirements suggested in the present guidelines, which object</w:t>
      </w:r>
      <w:r w:rsidR="00F00FC8">
        <w:rPr>
          <w:i/>
        </w:rPr>
        <w:t xml:space="preserve">ive criteria do you think </w:t>
      </w:r>
      <w:proofErr w:type="gramStart"/>
      <w:r w:rsidR="00F00FC8">
        <w:rPr>
          <w:i/>
        </w:rPr>
        <w:t xml:space="preserve">could </w:t>
      </w:r>
      <w:r w:rsidR="000F1219" w:rsidRPr="000F1219">
        <w:rPr>
          <w:i/>
        </w:rPr>
        <w:t>be applied</w:t>
      </w:r>
      <w:proofErr w:type="gramEnd"/>
      <w:r w:rsidR="000F1219" w:rsidRPr="000F1219">
        <w:rPr>
          <w:i/>
        </w:rPr>
        <w:t>, notably in order to determine the overall amount of payments to be accepted in a given year, or to be applied to individual banks applying for the option?</w:t>
      </w:r>
    </w:p>
    <w:p w:rsidR="007B6F2D" w:rsidRDefault="00CA61EF" w:rsidP="007B6F2D">
      <w:pPr>
        <w:pStyle w:val="TitoloTesto"/>
        <w:numPr>
          <w:ilvl w:val="0"/>
          <w:numId w:val="0"/>
        </w:numPr>
        <w:ind w:left="927"/>
        <w:rPr>
          <w:b w:val="0"/>
        </w:rPr>
      </w:pPr>
      <w:r>
        <w:rPr>
          <w:b w:val="0"/>
        </w:rPr>
        <w:t>It i</w:t>
      </w:r>
      <w:r w:rsidR="008B6CC2">
        <w:rPr>
          <w:b w:val="0"/>
        </w:rPr>
        <w:t xml:space="preserve">s possible </w:t>
      </w:r>
      <w:r w:rsidR="000F1219" w:rsidRPr="000F1219">
        <w:rPr>
          <w:b w:val="0"/>
        </w:rPr>
        <w:t>that individual credit institutions or groups of inst</w:t>
      </w:r>
      <w:r w:rsidR="003B6C5B">
        <w:rPr>
          <w:b w:val="0"/>
        </w:rPr>
        <w:t xml:space="preserve">itutions </w:t>
      </w:r>
      <w:proofErr w:type="gramStart"/>
      <w:r w:rsidR="003B6C5B">
        <w:rPr>
          <w:b w:val="0"/>
        </w:rPr>
        <w:t xml:space="preserve">will, </w:t>
      </w:r>
      <w:r w:rsidR="000F1219">
        <w:rPr>
          <w:b w:val="0"/>
        </w:rPr>
        <w:t>for cost-re</w:t>
      </w:r>
      <w:r w:rsidR="007B25F4">
        <w:rPr>
          <w:b w:val="0"/>
        </w:rPr>
        <w:t xml:space="preserve">lated or other reasons, </w:t>
      </w:r>
      <w:r w:rsidR="000F1219" w:rsidRPr="000F1219">
        <w:rPr>
          <w:b w:val="0"/>
        </w:rPr>
        <w:t>decide</w:t>
      </w:r>
      <w:proofErr w:type="gramEnd"/>
      <w:r w:rsidR="000F1219" w:rsidRPr="000F1219">
        <w:rPr>
          <w:b w:val="0"/>
        </w:rPr>
        <w:t xml:space="preserve"> against using payment commitments. In this case, other institutions would be able to make use of a larger share of payment commitments</w:t>
      </w:r>
      <w:r w:rsidR="00236285">
        <w:rPr>
          <w:b w:val="0"/>
        </w:rPr>
        <w:t>,</w:t>
      </w:r>
      <w:r w:rsidR="000F1219" w:rsidRPr="000F1219">
        <w:rPr>
          <w:b w:val="0"/>
        </w:rPr>
        <w:t xml:space="preserve"> as long as their use by the banking sector as a whole does not exceed </w:t>
      </w:r>
      <w:r w:rsidR="008C1919">
        <w:rPr>
          <w:b w:val="0"/>
        </w:rPr>
        <w:t xml:space="preserve">the </w:t>
      </w:r>
      <w:r w:rsidR="000F1219" w:rsidRPr="000F1219">
        <w:rPr>
          <w:b w:val="0"/>
        </w:rPr>
        <w:t>30%</w:t>
      </w:r>
      <w:r w:rsidR="008C1919">
        <w:rPr>
          <w:b w:val="0"/>
        </w:rPr>
        <w:t xml:space="preserve"> threshold</w:t>
      </w:r>
      <w:r w:rsidR="000F1219" w:rsidRPr="000F1219">
        <w:rPr>
          <w:b w:val="0"/>
        </w:rPr>
        <w:t>. We therefo</w:t>
      </w:r>
      <w:r w:rsidR="007B25F4">
        <w:rPr>
          <w:b w:val="0"/>
        </w:rPr>
        <w:t xml:space="preserve">re believe that each DGS </w:t>
      </w:r>
      <w:proofErr w:type="gramStart"/>
      <w:r w:rsidR="007B25F4">
        <w:rPr>
          <w:b w:val="0"/>
        </w:rPr>
        <w:t xml:space="preserve">should </w:t>
      </w:r>
      <w:r w:rsidR="000F1219">
        <w:rPr>
          <w:b w:val="0"/>
        </w:rPr>
        <w:t xml:space="preserve">be </w:t>
      </w:r>
      <w:r w:rsidR="000F1219" w:rsidRPr="000F1219">
        <w:rPr>
          <w:b w:val="0"/>
        </w:rPr>
        <w:t>allowed</w:t>
      </w:r>
      <w:proofErr w:type="gramEnd"/>
      <w:r w:rsidR="000F1219" w:rsidRPr="000F1219">
        <w:rPr>
          <w:b w:val="0"/>
        </w:rPr>
        <w:t xml:space="preserve"> to split the use of payment commitments among its members</w:t>
      </w:r>
      <w:r w:rsidR="00236285">
        <w:rPr>
          <w:b w:val="0"/>
        </w:rPr>
        <w:t>, applying</w:t>
      </w:r>
      <w:r w:rsidR="00363CD9">
        <w:rPr>
          <w:b w:val="0"/>
        </w:rPr>
        <w:t xml:space="preserve"> </w:t>
      </w:r>
      <w:r w:rsidR="00C35DD8">
        <w:rPr>
          <w:b w:val="0"/>
        </w:rPr>
        <w:t xml:space="preserve">clear and </w:t>
      </w:r>
      <w:r w:rsidR="0011384A">
        <w:rPr>
          <w:b w:val="0"/>
        </w:rPr>
        <w:t xml:space="preserve">objective </w:t>
      </w:r>
      <w:r w:rsidR="00363CD9">
        <w:rPr>
          <w:b w:val="0"/>
        </w:rPr>
        <w:t>criteria</w:t>
      </w:r>
      <w:r w:rsidR="00C35DD8">
        <w:rPr>
          <w:b w:val="0"/>
        </w:rPr>
        <w:t xml:space="preserve">, even though </w:t>
      </w:r>
      <w:r w:rsidR="008C1919">
        <w:rPr>
          <w:b w:val="0"/>
        </w:rPr>
        <w:t xml:space="preserve">we are aware that </w:t>
      </w:r>
      <w:r w:rsidR="00B16266">
        <w:rPr>
          <w:b w:val="0"/>
        </w:rPr>
        <w:t xml:space="preserve">this </w:t>
      </w:r>
      <w:r w:rsidR="00236285">
        <w:rPr>
          <w:b w:val="0"/>
        </w:rPr>
        <w:t>will not be easy to achieve</w:t>
      </w:r>
      <w:r w:rsidR="00C35DD8">
        <w:rPr>
          <w:b w:val="0"/>
        </w:rPr>
        <w:t>.</w:t>
      </w:r>
    </w:p>
    <w:p w:rsidR="00E50E0F" w:rsidRPr="00C02FC2" w:rsidRDefault="00E50E0F" w:rsidP="00E50E0F">
      <w:pPr>
        <w:pStyle w:val="TitoloTesto"/>
        <w:numPr>
          <w:ilvl w:val="0"/>
          <w:numId w:val="0"/>
        </w:numPr>
        <w:ind w:left="927" w:hanging="360"/>
        <w:rPr>
          <w:lang w:val="en-US"/>
        </w:rPr>
      </w:pPr>
      <w:r>
        <w:rPr>
          <w:i/>
        </w:rPr>
        <w:t>Question</w:t>
      </w:r>
      <w:r w:rsidRPr="00C02FC2">
        <w:rPr>
          <w:lang w:val="en-US"/>
        </w:rPr>
        <w:t xml:space="preserve"> 2. Do you agree with these provisions to be included in Payment Commitment Arrangements? Do you think other provisions </w:t>
      </w:r>
      <w:proofErr w:type="gramStart"/>
      <w:r w:rsidRPr="00C02FC2">
        <w:rPr>
          <w:lang w:val="en-US"/>
        </w:rPr>
        <w:t>should be provided</w:t>
      </w:r>
      <w:proofErr w:type="gramEnd"/>
      <w:r w:rsidRPr="00C02FC2">
        <w:rPr>
          <w:lang w:val="en-US"/>
        </w:rPr>
        <w:t>?</w:t>
      </w:r>
    </w:p>
    <w:p w:rsidR="00E50E0F" w:rsidRDefault="00E50E0F" w:rsidP="00E50E0F">
      <w:pPr>
        <w:pStyle w:val="TitoloTesto"/>
        <w:numPr>
          <w:ilvl w:val="0"/>
          <w:numId w:val="0"/>
        </w:numPr>
        <w:ind w:left="927"/>
        <w:rPr>
          <w:b w:val="0"/>
        </w:rPr>
      </w:pPr>
      <w:r>
        <w:rPr>
          <w:b w:val="0"/>
        </w:rPr>
        <w:t>T</w:t>
      </w:r>
      <w:r w:rsidRPr="00C02FC2">
        <w:rPr>
          <w:b w:val="0"/>
        </w:rPr>
        <w:t>he unconditional right for a DGS to claim payments on demand is unnecessary and has a highly adverse effect on the accounting treatment for DGS members.</w:t>
      </w:r>
    </w:p>
    <w:p w:rsidR="00E50E0F" w:rsidRPr="00C02FC2" w:rsidRDefault="00E50E0F" w:rsidP="00594667">
      <w:pPr>
        <w:pStyle w:val="TitoloTesto"/>
        <w:numPr>
          <w:ilvl w:val="0"/>
          <w:numId w:val="0"/>
        </w:numPr>
        <w:ind w:left="927"/>
        <w:rPr>
          <w:b w:val="0"/>
        </w:rPr>
      </w:pPr>
      <w:r w:rsidRPr="00C02FC2">
        <w:rPr>
          <w:b w:val="0"/>
        </w:rPr>
        <w:t xml:space="preserve">The power to call up funds on an ad hoc basis is unnecessary, </w:t>
      </w:r>
      <w:r>
        <w:rPr>
          <w:b w:val="0"/>
        </w:rPr>
        <w:t>since</w:t>
      </w:r>
      <w:r w:rsidRPr="00C02FC2">
        <w:rPr>
          <w:b w:val="0"/>
        </w:rPr>
        <w:t xml:space="preserve"> they are collateralised</w:t>
      </w:r>
      <w:r>
        <w:rPr>
          <w:b w:val="0"/>
        </w:rPr>
        <w:t xml:space="preserve"> and</w:t>
      </w:r>
      <w:r w:rsidRPr="00C02FC2">
        <w:rPr>
          <w:b w:val="0"/>
        </w:rPr>
        <w:t xml:space="preserve"> generally available within 1-2 days. Revision to clarify that a payment by a credit institution can only be required following a pre-defined </w:t>
      </w:r>
      <w:r w:rsidRPr="00E50E0F">
        <w:rPr>
          <w:b w:val="0"/>
        </w:rPr>
        <w:t xml:space="preserve">“trigger” </w:t>
      </w:r>
      <w:r w:rsidRPr="00C02FC2">
        <w:rPr>
          <w:b w:val="0"/>
        </w:rPr>
        <w:t xml:space="preserve">event introducing contingency upon a future determinable event for which the likelihood of its occurrence can be assessed. As each </w:t>
      </w:r>
      <w:proofErr w:type="gramStart"/>
      <w:r w:rsidRPr="00C02FC2">
        <w:rPr>
          <w:b w:val="0"/>
        </w:rPr>
        <w:t>payment</w:t>
      </w:r>
      <w:proofErr w:type="gramEnd"/>
      <w:r w:rsidRPr="00C02FC2">
        <w:rPr>
          <w:b w:val="0"/>
        </w:rPr>
        <w:t xml:space="preserve"> commitment is secured by securities the proposed amendment would not result in an increase of funding risk for the DGS and will still be in line with the Directive’s objectives.</w:t>
      </w:r>
    </w:p>
    <w:p w:rsidR="00E50E0F" w:rsidRPr="000F1219" w:rsidRDefault="00E50E0F" w:rsidP="007B6F2D">
      <w:pPr>
        <w:pStyle w:val="TitoloTesto"/>
        <w:numPr>
          <w:ilvl w:val="0"/>
          <w:numId w:val="0"/>
        </w:numPr>
        <w:ind w:left="927"/>
        <w:rPr>
          <w:b w:val="0"/>
        </w:rPr>
      </w:pPr>
    </w:p>
    <w:p w:rsidR="00B26B19" w:rsidRPr="00160AE6" w:rsidRDefault="00C35DD8" w:rsidP="007309B5">
      <w:pPr>
        <w:pStyle w:val="TitoloTesto"/>
        <w:numPr>
          <w:ilvl w:val="0"/>
          <w:numId w:val="0"/>
        </w:numPr>
        <w:ind w:left="708" w:hanging="360"/>
        <w:rPr>
          <w:i/>
        </w:rPr>
      </w:pPr>
      <w:r>
        <w:rPr>
          <w:i/>
        </w:rPr>
        <w:t xml:space="preserve">Question 3. </w:t>
      </w:r>
      <w:r w:rsidR="00B26B19" w:rsidRPr="00160AE6">
        <w:rPr>
          <w:i/>
        </w:rPr>
        <w:t xml:space="preserve">Do you agree that </w:t>
      </w:r>
      <w:r w:rsidR="00975A5A" w:rsidRPr="00975A5A">
        <w:rPr>
          <w:i/>
        </w:rPr>
        <w:t>a credit institution should pay in cash</w:t>
      </w:r>
      <w:r w:rsidR="007309B5">
        <w:rPr>
          <w:i/>
        </w:rPr>
        <w:t xml:space="preserve"> </w:t>
      </w:r>
      <w:r w:rsidR="00975A5A" w:rsidRPr="00975A5A">
        <w:rPr>
          <w:i/>
        </w:rPr>
        <w:t>the Payment Commitment Amount, when its obligation becomes due, within 2 working days at the latest?</w:t>
      </w:r>
      <w:r w:rsidR="00975A5A">
        <w:rPr>
          <w:i/>
        </w:rPr>
        <w:t xml:space="preserve">  </w:t>
      </w:r>
      <w:r w:rsidR="00B26B19" w:rsidRPr="00160AE6">
        <w:rPr>
          <w:i/>
        </w:rPr>
        <w:t xml:space="preserve"> </w:t>
      </w:r>
    </w:p>
    <w:p w:rsidR="00877E1C" w:rsidRDefault="00877E1C" w:rsidP="00874B50">
      <w:pPr>
        <w:pStyle w:val="Paragrafoelenco"/>
        <w:ind w:left="927"/>
      </w:pPr>
    </w:p>
    <w:p w:rsidR="00975A5A" w:rsidRDefault="00975A5A" w:rsidP="00975A5A">
      <w:pPr>
        <w:pStyle w:val="Paragrafoelenco"/>
        <w:ind w:left="927"/>
        <w:jc w:val="both"/>
        <w:rPr>
          <w:rFonts w:ascii="Verdana" w:hAnsi="Verdana"/>
          <w:sz w:val="22"/>
        </w:rPr>
      </w:pPr>
      <w:r w:rsidRPr="00975A5A">
        <w:rPr>
          <w:rFonts w:ascii="Verdana" w:hAnsi="Verdana"/>
          <w:sz w:val="22"/>
        </w:rPr>
        <w:lastRenderedPageBreak/>
        <w:t xml:space="preserve">Looking at the availability period, a period of up to 2 days for honouring payment commitments appears reasonable. However, a requirement to </w:t>
      </w:r>
      <w:r w:rsidR="00236285">
        <w:rPr>
          <w:rFonts w:ascii="Verdana" w:hAnsi="Verdana"/>
          <w:sz w:val="22"/>
        </w:rPr>
        <w:t>settle</w:t>
      </w:r>
      <w:r w:rsidRPr="00975A5A">
        <w:rPr>
          <w:rFonts w:ascii="Verdana" w:hAnsi="Verdana"/>
          <w:sz w:val="22"/>
        </w:rPr>
        <w:t xml:space="preserve"> payment commitment amounts in cash ignores the funding </w:t>
      </w:r>
      <w:r w:rsidR="008C1919">
        <w:rPr>
          <w:rFonts w:ascii="Verdana" w:hAnsi="Verdana"/>
          <w:sz w:val="22"/>
        </w:rPr>
        <w:t xml:space="preserve">feature </w:t>
      </w:r>
      <w:r w:rsidRPr="00975A5A">
        <w:rPr>
          <w:rFonts w:ascii="Verdana" w:hAnsi="Verdana"/>
          <w:sz w:val="22"/>
        </w:rPr>
        <w:t>of payment commitments an</w:t>
      </w:r>
      <w:r w:rsidR="003B6C5B">
        <w:rPr>
          <w:rFonts w:ascii="Verdana" w:hAnsi="Verdana"/>
          <w:sz w:val="22"/>
        </w:rPr>
        <w:t xml:space="preserve">d the collateral that has to </w:t>
      </w:r>
      <w:proofErr w:type="gramStart"/>
      <w:r w:rsidR="003B6C5B">
        <w:rPr>
          <w:rFonts w:ascii="Verdana" w:hAnsi="Verdana"/>
          <w:sz w:val="22"/>
        </w:rPr>
        <w:t xml:space="preserve">be </w:t>
      </w:r>
      <w:r w:rsidRPr="00975A5A">
        <w:rPr>
          <w:rFonts w:ascii="Verdana" w:hAnsi="Verdana"/>
          <w:sz w:val="22"/>
        </w:rPr>
        <w:t>provided</w:t>
      </w:r>
      <w:proofErr w:type="gramEnd"/>
      <w:r w:rsidRPr="00975A5A">
        <w:rPr>
          <w:rFonts w:ascii="Verdana" w:hAnsi="Verdana"/>
          <w:sz w:val="22"/>
        </w:rPr>
        <w:t xml:space="preserve"> for the</w:t>
      </w:r>
      <w:r w:rsidR="00494583">
        <w:rPr>
          <w:rFonts w:ascii="Verdana" w:hAnsi="Verdana"/>
          <w:sz w:val="22"/>
        </w:rPr>
        <w:t>m</w:t>
      </w:r>
      <w:r w:rsidRPr="00975A5A">
        <w:rPr>
          <w:rFonts w:ascii="Verdana" w:hAnsi="Verdana"/>
          <w:sz w:val="22"/>
        </w:rPr>
        <w:t xml:space="preserve">. Payment in cash of the equivalent amount is therefore only </w:t>
      </w:r>
      <w:r w:rsidR="00494583">
        <w:rPr>
          <w:rFonts w:ascii="Verdana" w:hAnsi="Verdana"/>
          <w:sz w:val="22"/>
        </w:rPr>
        <w:t>one</w:t>
      </w:r>
      <w:r w:rsidRPr="00975A5A">
        <w:rPr>
          <w:rFonts w:ascii="Verdana" w:hAnsi="Verdana"/>
          <w:sz w:val="22"/>
        </w:rPr>
        <w:t xml:space="preserve"> way of honouring payment commitments. Alternatively, the DGS c</w:t>
      </w:r>
      <w:r w:rsidR="008C1919">
        <w:rPr>
          <w:rFonts w:ascii="Verdana" w:hAnsi="Verdana"/>
          <w:sz w:val="22"/>
        </w:rPr>
        <w:t xml:space="preserve">ould </w:t>
      </w:r>
      <w:r w:rsidRPr="00975A5A">
        <w:rPr>
          <w:rFonts w:ascii="Verdana" w:hAnsi="Verdana"/>
          <w:sz w:val="22"/>
        </w:rPr>
        <w:t xml:space="preserve">realise the collateral provided under the payment commitment and liquidate it by, for example, borrowing against it accordingly. This may be beneficial for the DGS. </w:t>
      </w:r>
      <w:r w:rsidR="00AA538F" w:rsidRPr="00AA538F">
        <w:rPr>
          <w:rFonts w:ascii="Verdana" w:hAnsi="Verdana"/>
          <w:sz w:val="22"/>
        </w:rPr>
        <w:t xml:space="preserve">The guidelines should therefore stipulate liquidation within 2 days, though the manner of liquidation </w:t>
      </w:r>
      <w:proofErr w:type="gramStart"/>
      <w:r w:rsidR="00AA538F" w:rsidRPr="00AA538F">
        <w:rPr>
          <w:rFonts w:ascii="Verdana" w:hAnsi="Verdana"/>
          <w:sz w:val="22"/>
        </w:rPr>
        <w:t>should be left</w:t>
      </w:r>
      <w:proofErr w:type="gramEnd"/>
      <w:r w:rsidR="00AA538F" w:rsidRPr="00AA538F">
        <w:rPr>
          <w:rFonts w:ascii="Verdana" w:hAnsi="Verdana"/>
          <w:sz w:val="22"/>
        </w:rPr>
        <w:t xml:space="preserve"> to the DGS</w:t>
      </w:r>
      <w:r w:rsidR="0085621B">
        <w:rPr>
          <w:rFonts w:ascii="Verdana" w:hAnsi="Verdana"/>
          <w:sz w:val="22"/>
        </w:rPr>
        <w:t>.</w:t>
      </w:r>
    </w:p>
    <w:p w:rsidR="00594667" w:rsidRDefault="00594667" w:rsidP="00975A5A">
      <w:pPr>
        <w:pStyle w:val="Paragrafoelenco"/>
        <w:ind w:left="927"/>
        <w:jc w:val="both"/>
        <w:rPr>
          <w:rFonts w:ascii="Verdana" w:hAnsi="Verdana"/>
          <w:sz w:val="22"/>
        </w:rPr>
      </w:pPr>
    </w:p>
    <w:p w:rsidR="00594667" w:rsidRDefault="00594667" w:rsidP="00594667">
      <w:pPr>
        <w:pStyle w:val="TitoloTesto"/>
        <w:numPr>
          <w:ilvl w:val="0"/>
          <w:numId w:val="0"/>
        </w:numPr>
        <w:ind w:left="708" w:hanging="360"/>
        <w:rPr>
          <w:i/>
        </w:rPr>
      </w:pPr>
      <w:r w:rsidRPr="00C02FC2">
        <w:rPr>
          <w:i/>
        </w:rPr>
        <w:t>Question 4. Do you agree with the option left to the DGS to enter into a Security Financial Collateral Arrangement (full ownership remains with the credit institution) or a Title Transfer Financial Collateral Arrangement (full transfer of ownership)?</w:t>
      </w:r>
    </w:p>
    <w:p w:rsidR="00594667" w:rsidRPr="00C02FC2" w:rsidRDefault="00594667" w:rsidP="00594667">
      <w:pPr>
        <w:pStyle w:val="TitoloTesto"/>
        <w:numPr>
          <w:ilvl w:val="0"/>
          <w:numId w:val="0"/>
        </w:numPr>
        <w:ind w:left="708" w:hanging="360"/>
        <w:rPr>
          <w:i/>
        </w:rPr>
      </w:pPr>
    </w:p>
    <w:p w:rsidR="00594667" w:rsidRDefault="00594667" w:rsidP="00594667">
      <w:pPr>
        <w:pStyle w:val="Paragrafoelenco"/>
        <w:ind w:left="927"/>
        <w:jc w:val="both"/>
        <w:rPr>
          <w:rFonts w:ascii="Verdana" w:hAnsi="Verdana"/>
          <w:sz w:val="22"/>
        </w:rPr>
      </w:pPr>
      <w:r w:rsidRPr="00C02FC2">
        <w:rPr>
          <w:rFonts w:ascii="Verdana" w:hAnsi="Verdana"/>
          <w:sz w:val="22"/>
        </w:rPr>
        <w:t xml:space="preserve">The provisions of Part 3 of the EBA guidelines </w:t>
      </w:r>
      <w:proofErr w:type="gramStart"/>
      <w:r w:rsidRPr="00C02FC2">
        <w:rPr>
          <w:rFonts w:ascii="Verdana" w:hAnsi="Verdana"/>
          <w:sz w:val="22"/>
        </w:rPr>
        <w:t>should be revised</w:t>
      </w:r>
      <w:proofErr w:type="gramEnd"/>
      <w:r w:rsidRPr="00C02FC2">
        <w:rPr>
          <w:rFonts w:ascii="Verdana" w:hAnsi="Verdana"/>
          <w:sz w:val="22"/>
        </w:rPr>
        <w:t xml:space="preserve"> to clarify that the existence of a payment commitment is linked to the risk that a credit institution contributes to the respective DGS. In other words, the payment commitment terminates without settlement in situations where the credit institution no longer has any deposits that </w:t>
      </w:r>
      <w:proofErr w:type="gramStart"/>
      <w:r w:rsidRPr="00C02FC2">
        <w:rPr>
          <w:rFonts w:ascii="Verdana" w:hAnsi="Verdana"/>
          <w:sz w:val="22"/>
        </w:rPr>
        <w:t>are</w:t>
      </w:r>
      <w:r>
        <w:rPr>
          <w:rFonts w:ascii="Verdana" w:hAnsi="Verdana"/>
          <w:sz w:val="22"/>
        </w:rPr>
        <w:t xml:space="preserve"> covered</w:t>
      </w:r>
      <w:proofErr w:type="gramEnd"/>
      <w:r>
        <w:rPr>
          <w:rFonts w:ascii="Verdana" w:hAnsi="Verdana"/>
          <w:sz w:val="22"/>
        </w:rPr>
        <w:t xml:space="preserve"> by the respective DGS. </w:t>
      </w:r>
      <w:proofErr w:type="gramStart"/>
      <w:r w:rsidRPr="00C02FC2">
        <w:rPr>
          <w:rFonts w:ascii="Verdana" w:hAnsi="Verdana"/>
          <w:sz w:val="22"/>
        </w:rPr>
        <w:t>This would be the case where the credit institution discontinues its deposit business or joins a different DGS.</w:t>
      </w:r>
      <w:proofErr w:type="gramEnd"/>
    </w:p>
    <w:p w:rsidR="00594667" w:rsidRPr="00C02FC2" w:rsidRDefault="00594667" w:rsidP="00594667">
      <w:pPr>
        <w:pStyle w:val="Paragrafoelenco"/>
        <w:ind w:left="927"/>
        <w:jc w:val="both"/>
        <w:rPr>
          <w:rFonts w:ascii="Verdana" w:hAnsi="Verdana"/>
          <w:sz w:val="22"/>
        </w:rPr>
      </w:pPr>
    </w:p>
    <w:p w:rsidR="00594667" w:rsidRDefault="00594667" w:rsidP="00594667">
      <w:pPr>
        <w:pStyle w:val="Paragrafoelenco"/>
        <w:ind w:left="927"/>
        <w:jc w:val="both"/>
        <w:rPr>
          <w:rFonts w:ascii="Verdana" w:hAnsi="Verdana"/>
          <w:sz w:val="22"/>
        </w:rPr>
      </w:pPr>
      <w:r w:rsidRPr="00C02FC2">
        <w:rPr>
          <w:rFonts w:ascii="Verdana" w:hAnsi="Verdana"/>
          <w:sz w:val="22"/>
        </w:rPr>
        <w:t xml:space="preserve">Where a credit institutions switches to a different DGS, this leads to a reduced exposure for the old DGS and an increased exposure for the new one. Hence, the new DGS has to increase funding to cover the higher exposure </w:t>
      </w:r>
      <w:proofErr w:type="gramStart"/>
      <w:r w:rsidRPr="00C02FC2">
        <w:rPr>
          <w:rFonts w:ascii="Verdana" w:hAnsi="Verdana"/>
          <w:sz w:val="22"/>
        </w:rPr>
        <w:t>either by means of increased general levies contributions or a</w:t>
      </w:r>
      <w:proofErr w:type="gramEnd"/>
      <w:r w:rsidRPr="00C02FC2">
        <w:rPr>
          <w:rFonts w:ascii="Verdana" w:hAnsi="Verdana"/>
          <w:sz w:val="22"/>
        </w:rPr>
        <w:t xml:space="preserve"> specific levy contribution on the new member. However, having to settle the payment commitment with the old DGS as well leads to a double payment for the same exposure in this situation.</w:t>
      </w:r>
    </w:p>
    <w:p w:rsidR="00594667" w:rsidRDefault="00594667" w:rsidP="00594667">
      <w:pPr>
        <w:pStyle w:val="Paragrafoelenco"/>
        <w:ind w:left="927"/>
        <w:jc w:val="both"/>
        <w:rPr>
          <w:rFonts w:ascii="Verdana" w:hAnsi="Verdana"/>
          <w:sz w:val="22"/>
        </w:rPr>
      </w:pPr>
    </w:p>
    <w:p w:rsidR="00594667" w:rsidRDefault="00594667" w:rsidP="00594667">
      <w:pPr>
        <w:pStyle w:val="Paragrafoelenco"/>
        <w:ind w:left="927"/>
        <w:jc w:val="both"/>
        <w:rPr>
          <w:rFonts w:ascii="Verdana" w:hAnsi="Verdana"/>
          <w:sz w:val="22"/>
        </w:rPr>
      </w:pPr>
      <w:r>
        <w:rPr>
          <w:rFonts w:ascii="Verdana" w:hAnsi="Verdana"/>
          <w:sz w:val="22"/>
        </w:rPr>
        <w:t>In other words, this is an obstacle to the creation of a truly European market place, especially in the context of the banking union.</w:t>
      </w:r>
    </w:p>
    <w:p w:rsidR="00594667" w:rsidRPr="00C02FC2" w:rsidRDefault="00594667" w:rsidP="00594667">
      <w:pPr>
        <w:pStyle w:val="Paragrafoelenco"/>
        <w:ind w:left="927"/>
        <w:jc w:val="both"/>
        <w:rPr>
          <w:rFonts w:ascii="Verdana" w:hAnsi="Verdana"/>
          <w:sz w:val="22"/>
        </w:rPr>
      </w:pPr>
    </w:p>
    <w:p w:rsidR="00594667" w:rsidRDefault="00594667" w:rsidP="00594667">
      <w:pPr>
        <w:pStyle w:val="Paragrafoelenco"/>
        <w:ind w:left="927"/>
        <w:jc w:val="both"/>
        <w:rPr>
          <w:rFonts w:ascii="Verdana" w:hAnsi="Verdana"/>
          <w:sz w:val="22"/>
        </w:rPr>
      </w:pPr>
      <w:r w:rsidRPr="00C02FC2">
        <w:rPr>
          <w:rFonts w:ascii="Verdana" w:hAnsi="Verdana"/>
          <w:sz w:val="22"/>
        </w:rPr>
        <w:t>This assumption would further aid the accounting treatment under the IFRS Framework to treat payment commitments under a “going concern” assumption. Acco</w:t>
      </w:r>
      <w:r>
        <w:rPr>
          <w:rFonts w:ascii="Verdana" w:hAnsi="Verdana"/>
          <w:sz w:val="22"/>
        </w:rPr>
        <w:t xml:space="preserve">rding to Directives 59 and 49, </w:t>
      </w:r>
      <w:r w:rsidRPr="00165EE5">
        <w:rPr>
          <w:rFonts w:ascii="Verdana" w:hAnsi="Verdana"/>
          <w:sz w:val="22"/>
        </w:rPr>
        <w:t>under a going concern situation the conditions mentioned in paragraph 12.d). (</w:t>
      </w:r>
      <w:proofErr w:type="gramStart"/>
      <w:r w:rsidRPr="00165EE5">
        <w:rPr>
          <w:rFonts w:ascii="Verdana" w:hAnsi="Verdana"/>
          <w:sz w:val="22"/>
        </w:rPr>
        <w:t>iii</w:t>
      </w:r>
      <w:proofErr w:type="gramEnd"/>
      <w:r w:rsidRPr="00165EE5">
        <w:rPr>
          <w:rFonts w:ascii="Verdana" w:hAnsi="Verdana"/>
          <w:sz w:val="22"/>
        </w:rPr>
        <w:t xml:space="preserve">, iv, and v) do not have economic substance, i.e. they are not “genuine”. In other </w:t>
      </w:r>
      <w:proofErr w:type="gramStart"/>
      <w:r w:rsidRPr="00165EE5">
        <w:rPr>
          <w:rFonts w:ascii="Verdana" w:hAnsi="Verdana"/>
          <w:sz w:val="22"/>
        </w:rPr>
        <w:t>terms</w:t>
      </w:r>
      <w:proofErr w:type="gramEnd"/>
      <w:r w:rsidRPr="00165EE5">
        <w:rPr>
          <w:rFonts w:ascii="Verdana" w:hAnsi="Verdana"/>
          <w:sz w:val="22"/>
        </w:rPr>
        <w:t xml:space="preserve"> there are no instances where the reporting entity would be required to accelerate the payment commitment in </w:t>
      </w:r>
      <w:r w:rsidRPr="00165EE5">
        <w:rPr>
          <w:rFonts w:ascii="Verdana" w:hAnsi="Verdana"/>
          <w:sz w:val="22"/>
        </w:rPr>
        <w:lastRenderedPageBreak/>
        <w:t>order to re-fund the DGS for an intervention aimed at covering its own depositors.</w:t>
      </w:r>
    </w:p>
    <w:p w:rsidR="00594667" w:rsidRPr="00165EE5" w:rsidRDefault="00594667" w:rsidP="00594667">
      <w:pPr>
        <w:pStyle w:val="Paragrafoelenco"/>
        <w:ind w:left="927"/>
        <w:jc w:val="both"/>
        <w:rPr>
          <w:rFonts w:ascii="Verdana" w:hAnsi="Verdana"/>
          <w:sz w:val="22"/>
        </w:rPr>
      </w:pPr>
    </w:p>
    <w:p w:rsidR="00594667" w:rsidRDefault="00594667" w:rsidP="00594667">
      <w:pPr>
        <w:pStyle w:val="Paragrafoelenco"/>
        <w:ind w:left="927"/>
        <w:jc w:val="both"/>
        <w:rPr>
          <w:rFonts w:ascii="Verdana" w:hAnsi="Verdana"/>
          <w:sz w:val="22"/>
        </w:rPr>
      </w:pPr>
      <w:r w:rsidRPr="00C02FC2">
        <w:rPr>
          <w:rFonts w:ascii="Verdana" w:hAnsi="Verdana"/>
          <w:sz w:val="22"/>
        </w:rPr>
        <w:t xml:space="preserve">We accommodate a more </w:t>
      </w:r>
      <w:proofErr w:type="spellStart"/>
      <w:r w:rsidRPr="00C02FC2">
        <w:rPr>
          <w:rFonts w:ascii="Verdana" w:hAnsi="Verdana"/>
          <w:sz w:val="22"/>
        </w:rPr>
        <w:t>favorable</w:t>
      </w:r>
      <w:proofErr w:type="spellEnd"/>
      <w:r w:rsidRPr="00C02FC2">
        <w:rPr>
          <w:rFonts w:ascii="Verdana" w:hAnsi="Verdana"/>
          <w:sz w:val="22"/>
        </w:rPr>
        <w:t xml:space="preserve"> accounting treatment we suggest the following changes to paragraph 12 d (iii-v): </w:t>
      </w:r>
    </w:p>
    <w:p w:rsidR="00654D67" w:rsidRPr="00C02FC2" w:rsidRDefault="00654D67" w:rsidP="00594667">
      <w:pPr>
        <w:pStyle w:val="Paragrafoelenco"/>
        <w:ind w:left="927"/>
        <w:jc w:val="both"/>
        <w:rPr>
          <w:rFonts w:ascii="Verdana" w:hAnsi="Verdana"/>
          <w:sz w:val="22"/>
        </w:rPr>
      </w:pPr>
    </w:p>
    <w:p w:rsidR="00594667" w:rsidRPr="00C02FC2" w:rsidRDefault="00594667" w:rsidP="00594667">
      <w:pPr>
        <w:pStyle w:val="Paragrafoelenco"/>
        <w:ind w:left="927"/>
        <w:jc w:val="both"/>
        <w:rPr>
          <w:rFonts w:ascii="Verdana" w:hAnsi="Verdana"/>
          <w:sz w:val="22"/>
        </w:rPr>
      </w:pPr>
      <w:r w:rsidRPr="00C02FC2">
        <w:rPr>
          <w:rFonts w:ascii="Verdana" w:hAnsi="Verdana"/>
          <w:sz w:val="22"/>
        </w:rPr>
        <w:t>•</w:t>
      </w:r>
      <w:r w:rsidRPr="00C02FC2">
        <w:rPr>
          <w:rFonts w:ascii="Verdana" w:hAnsi="Verdana"/>
          <w:sz w:val="22"/>
        </w:rPr>
        <w:tab/>
      </w:r>
      <w:proofErr w:type="gramStart"/>
      <w:r w:rsidRPr="00C02FC2">
        <w:rPr>
          <w:rFonts w:ascii="Verdana" w:hAnsi="Verdana"/>
          <w:sz w:val="22"/>
        </w:rPr>
        <w:t>to</w:t>
      </w:r>
      <w:proofErr w:type="gramEnd"/>
      <w:r w:rsidRPr="00C02FC2">
        <w:rPr>
          <w:rFonts w:ascii="Verdana" w:hAnsi="Verdana"/>
          <w:sz w:val="22"/>
        </w:rPr>
        <w:t xml:space="preserve"> add “reflecting a situation of a gone concern for the institution” at the end of paragraph 12d iii, 12d</w:t>
      </w:r>
      <w:r>
        <w:rPr>
          <w:rFonts w:ascii="Verdana" w:hAnsi="Verdana"/>
          <w:sz w:val="22"/>
        </w:rPr>
        <w:t xml:space="preserve"> </w:t>
      </w:r>
      <w:r w:rsidRPr="00C02FC2">
        <w:rPr>
          <w:rFonts w:ascii="Verdana" w:hAnsi="Verdana"/>
          <w:sz w:val="22"/>
        </w:rPr>
        <w:t xml:space="preserve">iv and 12d v or “following a predefined </w:t>
      </w:r>
      <w:r>
        <w:rPr>
          <w:rFonts w:ascii="Verdana" w:hAnsi="Verdana"/>
          <w:sz w:val="22"/>
        </w:rPr>
        <w:t>trigger</w:t>
      </w:r>
      <w:r w:rsidRPr="00C02FC2">
        <w:rPr>
          <w:rFonts w:ascii="Verdana" w:hAnsi="Verdana"/>
          <w:sz w:val="22"/>
        </w:rPr>
        <w:t xml:space="preserve"> event, similar to a financial guarantee. In this case, the payment obligation would be contingent upon a future event that is determinable and for which the likelihood of its occurrence can be assessed.”</w:t>
      </w:r>
    </w:p>
    <w:p w:rsidR="00594667" w:rsidRPr="00C02FC2" w:rsidRDefault="00594667" w:rsidP="00594667">
      <w:pPr>
        <w:pStyle w:val="Paragrafoelenco"/>
        <w:ind w:left="927"/>
        <w:jc w:val="both"/>
        <w:rPr>
          <w:rFonts w:ascii="Verdana" w:hAnsi="Verdana"/>
          <w:sz w:val="22"/>
        </w:rPr>
      </w:pPr>
      <w:r w:rsidRPr="00C02FC2">
        <w:rPr>
          <w:rFonts w:ascii="Verdana" w:hAnsi="Verdana"/>
          <w:sz w:val="22"/>
        </w:rPr>
        <w:t>•</w:t>
      </w:r>
      <w:r w:rsidRPr="00C02FC2">
        <w:rPr>
          <w:rFonts w:ascii="Verdana" w:hAnsi="Verdana"/>
          <w:sz w:val="22"/>
        </w:rPr>
        <w:tab/>
        <w:t xml:space="preserve">In addition, we suggest a revision to clarify that the existence of a payment commitment </w:t>
      </w:r>
      <w:proofErr w:type="gramStart"/>
      <w:r w:rsidRPr="00C02FC2">
        <w:rPr>
          <w:rFonts w:ascii="Verdana" w:hAnsi="Verdana"/>
          <w:sz w:val="22"/>
        </w:rPr>
        <w:t>is linked</w:t>
      </w:r>
      <w:proofErr w:type="gramEnd"/>
      <w:r w:rsidRPr="00C02FC2">
        <w:rPr>
          <w:rFonts w:ascii="Verdana" w:hAnsi="Verdana"/>
          <w:sz w:val="22"/>
        </w:rPr>
        <w:t xml:space="preserve"> to the risk that a credit institution contributes to the respective DGS. The payment commitment would therefore terminate without settlement when the credit institution does no longer have any deposits covered by the respective DGS. The payment commitment </w:t>
      </w:r>
      <w:proofErr w:type="gramStart"/>
      <w:r w:rsidRPr="00C02FC2">
        <w:rPr>
          <w:rFonts w:ascii="Verdana" w:hAnsi="Verdana"/>
          <w:sz w:val="22"/>
        </w:rPr>
        <w:t xml:space="preserve">can be reduced or even terminated given </w:t>
      </w:r>
      <w:r w:rsidRPr="002F254F">
        <w:rPr>
          <w:rFonts w:ascii="Verdana" w:hAnsi="Verdana"/>
          <w:sz w:val="22"/>
        </w:rPr>
        <w:t xml:space="preserve">that </w:t>
      </w:r>
      <w:r w:rsidRPr="00783D9E">
        <w:rPr>
          <w:rFonts w:ascii="Verdana" w:hAnsi="Verdana"/>
          <w:sz w:val="22"/>
        </w:rPr>
        <w:t>t</w:t>
      </w:r>
      <w:r w:rsidRPr="002F254F">
        <w:rPr>
          <w:rFonts w:ascii="Verdana" w:hAnsi="Verdana"/>
          <w:sz w:val="22"/>
        </w:rPr>
        <w:t>his is</w:t>
      </w:r>
      <w:r w:rsidRPr="00FC16D3">
        <w:rPr>
          <w:rFonts w:ascii="Verdana" w:hAnsi="Verdana"/>
          <w:sz w:val="22"/>
        </w:rPr>
        <w:t xml:space="preserve"> in line</w:t>
      </w:r>
      <w:r w:rsidRPr="00C02FC2">
        <w:rPr>
          <w:rFonts w:ascii="Verdana" w:hAnsi="Verdana"/>
          <w:sz w:val="22"/>
        </w:rPr>
        <w:t xml:space="preserve"> with the contribution of the credit institution to the overall exposure of the DGS</w:t>
      </w:r>
      <w:proofErr w:type="gramEnd"/>
      <w:r w:rsidRPr="00C02FC2">
        <w:rPr>
          <w:rFonts w:ascii="Verdana" w:hAnsi="Verdana"/>
          <w:sz w:val="22"/>
        </w:rPr>
        <w:t xml:space="preserve">. </w:t>
      </w:r>
    </w:p>
    <w:p w:rsidR="00594667" w:rsidRPr="00C02FC2" w:rsidRDefault="00594667" w:rsidP="00594667">
      <w:pPr>
        <w:pStyle w:val="Paragrafoelenco"/>
        <w:ind w:left="927"/>
        <w:jc w:val="both"/>
        <w:rPr>
          <w:rFonts w:ascii="Verdana" w:hAnsi="Verdana"/>
          <w:sz w:val="22"/>
        </w:rPr>
      </w:pPr>
      <w:r w:rsidRPr="00C02FC2">
        <w:rPr>
          <w:rFonts w:ascii="Verdana" w:hAnsi="Verdana"/>
          <w:sz w:val="22"/>
        </w:rPr>
        <w:t>•</w:t>
      </w:r>
      <w:r w:rsidRPr="00C02FC2">
        <w:rPr>
          <w:rFonts w:ascii="Verdana" w:hAnsi="Verdana"/>
          <w:sz w:val="22"/>
        </w:rPr>
        <w:tab/>
        <w:t xml:space="preserve">We suggest </w:t>
      </w:r>
      <w:proofErr w:type="gramStart"/>
      <w:r w:rsidRPr="00C02FC2">
        <w:rPr>
          <w:rFonts w:ascii="Verdana" w:hAnsi="Verdana"/>
          <w:sz w:val="22"/>
        </w:rPr>
        <w:t>to amend</w:t>
      </w:r>
      <w:proofErr w:type="gramEnd"/>
      <w:r w:rsidRPr="00C02FC2">
        <w:rPr>
          <w:rFonts w:ascii="Verdana" w:hAnsi="Verdana"/>
          <w:sz w:val="22"/>
        </w:rPr>
        <w:t xml:space="preserve"> paragraph 12e as follows:</w:t>
      </w:r>
    </w:p>
    <w:p w:rsidR="00594667" w:rsidRPr="00C02FC2" w:rsidRDefault="00594667" w:rsidP="00594667">
      <w:pPr>
        <w:pStyle w:val="Paragrafoelenco"/>
        <w:ind w:left="927"/>
        <w:jc w:val="both"/>
        <w:rPr>
          <w:rFonts w:ascii="Verdana" w:hAnsi="Verdana"/>
          <w:sz w:val="22"/>
        </w:rPr>
      </w:pPr>
      <w:r w:rsidRPr="00C02FC2">
        <w:rPr>
          <w:rFonts w:ascii="Verdana" w:hAnsi="Verdana"/>
          <w:sz w:val="22"/>
        </w:rPr>
        <w:t>In case of (</w:t>
      </w:r>
      <w:proofErr w:type="spellStart"/>
      <w:r w:rsidRPr="00C02FC2">
        <w:rPr>
          <w:rFonts w:ascii="Verdana" w:hAnsi="Verdana"/>
          <w:sz w:val="22"/>
        </w:rPr>
        <w:t>i</w:t>
      </w:r>
      <w:proofErr w:type="spellEnd"/>
      <w:r w:rsidRPr="00C02FC2">
        <w:rPr>
          <w:rFonts w:ascii="Verdana" w:hAnsi="Verdana"/>
          <w:sz w:val="22"/>
        </w:rPr>
        <w:t xml:space="preserve">) authorisation withdrawn and (ii) the institution ceasing to be member of DGS </w:t>
      </w:r>
      <w:proofErr w:type="gramStart"/>
      <w:r w:rsidRPr="00C02FC2">
        <w:rPr>
          <w:rFonts w:ascii="Verdana" w:hAnsi="Verdana"/>
          <w:sz w:val="22"/>
        </w:rPr>
        <w:t>-  other</w:t>
      </w:r>
      <w:proofErr w:type="gramEnd"/>
      <w:r w:rsidRPr="00C02FC2">
        <w:rPr>
          <w:rFonts w:ascii="Verdana" w:hAnsi="Verdana"/>
          <w:sz w:val="22"/>
        </w:rPr>
        <w:t xml:space="preserve"> than reflecting a gone concern situation - the commitment is re-allocated to the other members of DGS, proportionally to their share of covered deposits on total deposits. The commitment of the institution </w:t>
      </w:r>
      <w:proofErr w:type="gramStart"/>
      <w:r w:rsidRPr="00C02FC2">
        <w:rPr>
          <w:rFonts w:ascii="Verdana" w:hAnsi="Verdana"/>
          <w:sz w:val="22"/>
        </w:rPr>
        <w:t>is cancelled</w:t>
      </w:r>
      <w:proofErr w:type="gramEnd"/>
      <w:r w:rsidRPr="00C02FC2">
        <w:rPr>
          <w:rFonts w:ascii="Verdana" w:hAnsi="Verdana"/>
          <w:sz w:val="22"/>
        </w:rPr>
        <w:t xml:space="preserve"> and the payment commitment amount is returned. </w:t>
      </w:r>
    </w:p>
    <w:p w:rsidR="00594667" w:rsidRPr="00C02FC2" w:rsidRDefault="00594667" w:rsidP="00594667">
      <w:pPr>
        <w:pStyle w:val="Paragrafoelenco"/>
        <w:ind w:left="927"/>
        <w:jc w:val="both"/>
        <w:rPr>
          <w:rFonts w:ascii="Verdana" w:hAnsi="Verdana"/>
          <w:sz w:val="22"/>
        </w:rPr>
      </w:pPr>
      <w:r w:rsidRPr="00C02FC2">
        <w:rPr>
          <w:rFonts w:ascii="Verdana" w:hAnsi="Verdana"/>
          <w:sz w:val="22"/>
        </w:rPr>
        <w:t xml:space="preserve">In this context, the requirement to annually amend or supplement payment commitments should be clarified so that it also allows </w:t>
      </w:r>
      <w:proofErr w:type="gramStart"/>
      <w:r w:rsidRPr="00C02FC2">
        <w:rPr>
          <w:rFonts w:ascii="Verdana" w:hAnsi="Verdana"/>
          <w:sz w:val="22"/>
        </w:rPr>
        <w:t>for adjustment</w:t>
      </w:r>
      <w:proofErr w:type="gramEnd"/>
      <w:r w:rsidRPr="00C02FC2">
        <w:rPr>
          <w:rFonts w:ascii="Verdana" w:hAnsi="Verdana"/>
          <w:sz w:val="22"/>
        </w:rPr>
        <w:t xml:space="preserve"> to reflect the actual current exposure contribution of a credit institution. In other words, the payment commitment </w:t>
      </w:r>
      <w:proofErr w:type="gramStart"/>
      <w:r w:rsidRPr="00C02FC2">
        <w:rPr>
          <w:rFonts w:ascii="Verdana" w:hAnsi="Verdana"/>
          <w:sz w:val="22"/>
        </w:rPr>
        <w:t>can be reduced or even terminated given that this is in line with the contribution of the credit institution to the overall exposure of the DGS</w:t>
      </w:r>
      <w:proofErr w:type="gramEnd"/>
      <w:r w:rsidRPr="00C02FC2">
        <w:rPr>
          <w:rFonts w:ascii="Verdana" w:hAnsi="Verdana"/>
          <w:sz w:val="22"/>
        </w:rPr>
        <w:t>.</w:t>
      </w:r>
    </w:p>
    <w:p w:rsidR="00594667" w:rsidRDefault="00594667" w:rsidP="00975A5A">
      <w:pPr>
        <w:pStyle w:val="Paragrafoelenco"/>
        <w:ind w:left="927"/>
        <w:jc w:val="both"/>
      </w:pPr>
    </w:p>
    <w:p w:rsidR="007309B5" w:rsidRDefault="007309B5" w:rsidP="007309B5">
      <w:pPr>
        <w:pStyle w:val="TitoloTesto"/>
        <w:numPr>
          <w:ilvl w:val="0"/>
          <w:numId w:val="0"/>
        </w:numPr>
        <w:ind w:left="1068" w:hanging="360"/>
        <w:rPr>
          <w:i/>
        </w:rPr>
      </w:pPr>
      <w:r w:rsidRPr="007309B5">
        <w:rPr>
          <w:i/>
        </w:rPr>
        <w:t>Question 5</w:t>
      </w:r>
      <w:r w:rsidR="00975A5A" w:rsidRPr="007309B5">
        <w:rPr>
          <w:i/>
        </w:rPr>
        <w:t>.</w:t>
      </w:r>
      <w:r>
        <w:rPr>
          <w:i/>
        </w:rPr>
        <w:t xml:space="preserve"> </w:t>
      </w:r>
      <w:r w:rsidRPr="007309B5">
        <w:rPr>
          <w:i/>
        </w:rPr>
        <w:t xml:space="preserve">Do you think other requirements about the choice of the custodians </w:t>
      </w:r>
      <w:proofErr w:type="gramStart"/>
      <w:r w:rsidRPr="007309B5">
        <w:rPr>
          <w:i/>
        </w:rPr>
        <w:t>should be provided</w:t>
      </w:r>
      <w:proofErr w:type="gramEnd"/>
      <w:r w:rsidRPr="007309B5">
        <w:rPr>
          <w:i/>
        </w:rPr>
        <w:t xml:space="preserve"> under these guidelines?</w:t>
      </w:r>
    </w:p>
    <w:p w:rsidR="008B6CC2" w:rsidRDefault="00494583" w:rsidP="00DF5591">
      <w:pPr>
        <w:pStyle w:val="TitoloTesto"/>
        <w:numPr>
          <w:ilvl w:val="0"/>
          <w:numId w:val="0"/>
        </w:numPr>
        <w:ind w:left="1068"/>
        <w:rPr>
          <w:b w:val="0"/>
        </w:rPr>
      </w:pPr>
      <w:r>
        <w:rPr>
          <w:b w:val="0"/>
        </w:rPr>
        <w:t>With regard to</w:t>
      </w:r>
      <w:r w:rsidR="008B6CC2">
        <w:rPr>
          <w:b w:val="0"/>
        </w:rPr>
        <w:t xml:space="preserve"> paragraph 14</w:t>
      </w:r>
      <w:r w:rsidR="008B6CC2" w:rsidRPr="008B6CC2">
        <w:rPr>
          <w:b w:val="0"/>
        </w:rPr>
        <w:t>a</w:t>
      </w:r>
      <w:r>
        <w:rPr>
          <w:b w:val="0"/>
        </w:rPr>
        <w:t>,</w:t>
      </w:r>
      <w:r w:rsidR="008B6CC2" w:rsidRPr="008B6CC2">
        <w:rPr>
          <w:b w:val="0"/>
        </w:rPr>
        <w:t xml:space="preserve"> </w:t>
      </w:r>
      <w:r w:rsidR="008B6CC2">
        <w:rPr>
          <w:b w:val="0"/>
        </w:rPr>
        <w:t>ABI</w:t>
      </w:r>
      <w:r w:rsidR="008B6CC2" w:rsidRPr="008B6CC2">
        <w:rPr>
          <w:b w:val="0"/>
        </w:rPr>
        <w:t xml:space="preserve"> agrees that</w:t>
      </w:r>
      <w:r>
        <w:rPr>
          <w:b w:val="0"/>
        </w:rPr>
        <w:t>,</w:t>
      </w:r>
      <w:r w:rsidR="008B6CC2" w:rsidRPr="008B6CC2">
        <w:rPr>
          <w:b w:val="0"/>
        </w:rPr>
        <w:t xml:space="preserve"> </w:t>
      </w:r>
      <w:r w:rsidR="00E404DA">
        <w:rPr>
          <w:b w:val="0"/>
        </w:rPr>
        <w:t xml:space="preserve">in </w:t>
      </w:r>
      <w:r w:rsidR="008B6CC2" w:rsidRPr="008B6CC2">
        <w:rPr>
          <w:b w:val="0"/>
        </w:rPr>
        <w:t>the case of Security Financial Collateral Arrangement</w:t>
      </w:r>
      <w:r>
        <w:rPr>
          <w:b w:val="0"/>
        </w:rPr>
        <w:t>s,</w:t>
      </w:r>
      <w:r w:rsidR="008B6CC2" w:rsidRPr="008B6CC2">
        <w:rPr>
          <w:b w:val="0"/>
        </w:rPr>
        <w:t xml:space="preserve"> </w:t>
      </w:r>
      <w:r w:rsidR="00E404DA">
        <w:rPr>
          <w:b w:val="0"/>
        </w:rPr>
        <w:t xml:space="preserve">the securities account </w:t>
      </w:r>
      <w:r>
        <w:rPr>
          <w:b w:val="0"/>
        </w:rPr>
        <w:t xml:space="preserve">used to hold </w:t>
      </w:r>
      <w:proofErr w:type="gramStart"/>
      <w:r w:rsidR="00AA538F">
        <w:rPr>
          <w:b w:val="0"/>
        </w:rPr>
        <w:t>the low</w:t>
      </w:r>
      <w:r>
        <w:rPr>
          <w:b w:val="0"/>
        </w:rPr>
        <w:t>-</w:t>
      </w:r>
      <w:r w:rsidR="00AA538F">
        <w:rPr>
          <w:b w:val="0"/>
        </w:rPr>
        <w:t>risk asset</w:t>
      </w:r>
      <w:r w:rsidR="002876B0">
        <w:rPr>
          <w:b w:val="0"/>
        </w:rPr>
        <w:t>s</w:t>
      </w:r>
      <w:r w:rsidR="00AA538F">
        <w:rPr>
          <w:b w:val="0"/>
        </w:rPr>
        <w:t xml:space="preserve"> provided as collateral</w:t>
      </w:r>
      <w:r w:rsidR="008C1919" w:rsidRPr="008C1919">
        <w:rPr>
          <w:b w:val="0"/>
        </w:rPr>
        <w:t xml:space="preserve"> </w:t>
      </w:r>
      <w:r w:rsidR="00E404DA">
        <w:rPr>
          <w:b w:val="0"/>
        </w:rPr>
        <w:t>should be maintain</w:t>
      </w:r>
      <w:r w:rsidR="00AA538F">
        <w:rPr>
          <w:b w:val="0"/>
        </w:rPr>
        <w:t xml:space="preserve">ed </w:t>
      </w:r>
      <w:r w:rsidR="00E404DA">
        <w:rPr>
          <w:b w:val="0"/>
        </w:rPr>
        <w:t xml:space="preserve">by </w:t>
      </w:r>
      <w:r w:rsidR="008B6CC2">
        <w:rPr>
          <w:b w:val="0"/>
        </w:rPr>
        <w:t>a custodian</w:t>
      </w:r>
      <w:proofErr w:type="gramEnd"/>
      <w:r w:rsidR="00AA538F">
        <w:rPr>
          <w:b w:val="0"/>
        </w:rPr>
        <w:t>.</w:t>
      </w:r>
      <w:r w:rsidR="008B6CC2" w:rsidRPr="008B6CC2">
        <w:rPr>
          <w:b w:val="0"/>
        </w:rPr>
        <w:t xml:space="preserve"> </w:t>
      </w:r>
      <w:r w:rsidR="002876B0">
        <w:rPr>
          <w:b w:val="0"/>
        </w:rPr>
        <w:t>Regarding the manag</w:t>
      </w:r>
      <w:r w:rsidR="008C1919">
        <w:rPr>
          <w:b w:val="0"/>
        </w:rPr>
        <w:t xml:space="preserve">ement </w:t>
      </w:r>
      <w:r w:rsidR="002876B0">
        <w:rPr>
          <w:b w:val="0"/>
        </w:rPr>
        <w:t>of this account</w:t>
      </w:r>
      <w:r>
        <w:rPr>
          <w:b w:val="0"/>
        </w:rPr>
        <w:t>,</w:t>
      </w:r>
      <w:r w:rsidR="00B55011">
        <w:rPr>
          <w:b w:val="0"/>
        </w:rPr>
        <w:t xml:space="preserve"> we suggest mak</w:t>
      </w:r>
      <w:r>
        <w:rPr>
          <w:b w:val="0"/>
        </w:rPr>
        <w:t>ing</w:t>
      </w:r>
      <w:r w:rsidR="00B55011">
        <w:rPr>
          <w:b w:val="0"/>
        </w:rPr>
        <w:t xml:space="preserve"> r</w:t>
      </w:r>
      <w:r w:rsidR="008B6CC2" w:rsidRPr="008B6CC2">
        <w:rPr>
          <w:b w:val="0"/>
        </w:rPr>
        <w:t>efer</w:t>
      </w:r>
      <w:r w:rsidR="00B55011">
        <w:rPr>
          <w:b w:val="0"/>
        </w:rPr>
        <w:t xml:space="preserve">ence </w:t>
      </w:r>
      <w:r w:rsidR="008B6CC2" w:rsidRPr="008B6CC2">
        <w:rPr>
          <w:b w:val="0"/>
        </w:rPr>
        <w:t>to the standard collateral management agreements</w:t>
      </w:r>
      <w:r w:rsidR="005176AA">
        <w:rPr>
          <w:b w:val="0"/>
        </w:rPr>
        <w:t xml:space="preserve">, </w:t>
      </w:r>
      <w:r>
        <w:rPr>
          <w:b w:val="0"/>
        </w:rPr>
        <w:t>known as</w:t>
      </w:r>
      <w:r w:rsidR="008B6CC2" w:rsidRPr="008B6CC2">
        <w:rPr>
          <w:b w:val="0"/>
        </w:rPr>
        <w:t xml:space="preserve"> </w:t>
      </w:r>
      <w:proofErr w:type="spellStart"/>
      <w:r w:rsidR="008B6CC2" w:rsidRPr="002876B0">
        <w:rPr>
          <w:b w:val="0"/>
          <w:i/>
        </w:rPr>
        <w:t>Triparty</w:t>
      </w:r>
      <w:proofErr w:type="spellEnd"/>
      <w:r w:rsidR="008B6CC2" w:rsidRPr="002876B0">
        <w:rPr>
          <w:b w:val="0"/>
          <w:i/>
        </w:rPr>
        <w:t xml:space="preserve"> Collateral Management (TCM)</w:t>
      </w:r>
      <w:r w:rsidR="008B6CC2" w:rsidRPr="008B6CC2">
        <w:rPr>
          <w:b w:val="0"/>
        </w:rPr>
        <w:t xml:space="preserve"> </w:t>
      </w:r>
      <w:r w:rsidR="005176AA">
        <w:rPr>
          <w:b w:val="0"/>
        </w:rPr>
        <w:t>service</w:t>
      </w:r>
      <w:r>
        <w:rPr>
          <w:b w:val="0"/>
        </w:rPr>
        <w:t>s</w:t>
      </w:r>
      <w:r w:rsidR="00AA538F">
        <w:rPr>
          <w:b w:val="0"/>
        </w:rPr>
        <w:t>.</w:t>
      </w:r>
    </w:p>
    <w:p w:rsidR="001A594B" w:rsidRDefault="005176AA" w:rsidP="00DF5591">
      <w:pPr>
        <w:pStyle w:val="TitoloTesto"/>
        <w:numPr>
          <w:ilvl w:val="0"/>
          <w:numId w:val="0"/>
        </w:numPr>
        <w:ind w:left="1068"/>
        <w:rPr>
          <w:b w:val="0"/>
        </w:rPr>
      </w:pPr>
      <w:r>
        <w:rPr>
          <w:b w:val="0"/>
        </w:rPr>
        <w:lastRenderedPageBreak/>
        <w:t>R</w:t>
      </w:r>
      <w:r w:rsidR="001A594B" w:rsidRPr="001A594B">
        <w:rPr>
          <w:b w:val="0"/>
        </w:rPr>
        <w:t xml:space="preserve">equirements about the choice of custodians </w:t>
      </w:r>
      <w:proofErr w:type="gramStart"/>
      <w:r w:rsidR="001A594B" w:rsidRPr="001A594B">
        <w:rPr>
          <w:b w:val="0"/>
        </w:rPr>
        <w:t>should be left</w:t>
      </w:r>
      <w:proofErr w:type="gramEnd"/>
      <w:r w:rsidR="001A594B" w:rsidRPr="001A594B">
        <w:rPr>
          <w:b w:val="0"/>
        </w:rPr>
        <w:t xml:space="preserve"> to </w:t>
      </w:r>
      <w:r w:rsidR="008C1919">
        <w:rPr>
          <w:b w:val="0"/>
        </w:rPr>
        <w:t xml:space="preserve">the </w:t>
      </w:r>
      <w:r w:rsidR="001A594B" w:rsidRPr="001A594B">
        <w:rPr>
          <w:b w:val="0"/>
        </w:rPr>
        <w:t>national discretion</w:t>
      </w:r>
      <w:r w:rsidR="00DF5591">
        <w:rPr>
          <w:b w:val="0"/>
        </w:rPr>
        <w:t xml:space="preserve"> of </w:t>
      </w:r>
      <w:r>
        <w:rPr>
          <w:b w:val="0"/>
        </w:rPr>
        <w:t xml:space="preserve">the </w:t>
      </w:r>
      <w:r w:rsidR="00DF5591">
        <w:rPr>
          <w:b w:val="0"/>
        </w:rPr>
        <w:t>DGS and</w:t>
      </w:r>
      <w:r w:rsidR="003B6C5B">
        <w:rPr>
          <w:b w:val="0"/>
        </w:rPr>
        <w:t xml:space="preserve"> national Authority</w:t>
      </w:r>
      <w:r w:rsidR="001A594B" w:rsidRPr="001A594B">
        <w:rPr>
          <w:b w:val="0"/>
          <w:i/>
        </w:rPr>
        <w:t>.</w:t>
      </w:r>
      <w:r w:rsidR="001A594B" w:rsidRPr="001A594B">
        <w:rPr>
          <w:b w:val="0"/>
        </w:rPr>
        <w:t xml:space="preserve"> </w:t>
      </w:r>
      <w:r w:rsidR="008C1919">
        <w:rPr>
          <w:b w:val="0"/>
        </w:rPr>
        <w:t>In addition</w:t>
      </w:r>
      <w:r>
        <w:rPr>
          <w:b w:val="0"/>
        </w:rPr>
        <w:t>,</w:t>
      </w:r>
      <w:r w:rsidR="008C1919">
        <w:rPr>
          <w:b w:val="0"/>
        </w:rPr>
        <w:t xml:space="preserve"> </w:t>
      </w:r>
      <w:r w:rsidR="000C553F">
        <w:rPr>
          <w:b w:val="0"/>
        </w:rPr>
        <w:t xml:space="preserve">we propose </w:t>
      </w:r>
      <w:r>
        <w:rPr>
          <w:b w:val="0"/>
        </w:rPr>
        <w:t xml:space="preserve">that </w:t>
      </w:r>
      <w:r w:rsidR="001A594B">
        <w:rPr>
          <w:b w:val="0"/>
        </w:rPr>
        <w:t xml:space="preserve">each DGS </w:t>
      </w:r>
      <w:r>
        <w:rPr>
          <w:b w:val="0"/>
        </w:rPr>
        <w:t xml:space="preserve">should </w:t>
      </w:r>
      <w:r w:rsidR="001A594B">
        <w:rPr>
          <w:b w:val="0"/>
        </w:rPr>
        <w:t xml:space="preserve">prepare a list of possible </w:t>
      </w:r>
      <w:proofErr w:type="gramStart"/>
      <w:r w:rsidR="001A594B">
        <w:rPr>
          <w:b w:val="0"/>
        </w:rPr>
        <w:t xml:space="preserve">custodians </w:t>
      </w:r>
      <w:r w:rsidR="002876B0">
        <w:rPr>
          <w:b w:val="0"/>
        </w:rPr>
        <w:t>which</w:t>
      </w:r>
      <w:proofErr w:type="gramEnd"/>
      <w:r w:rsidR="002876B0">
        <w:rPr>
          <w:b w:val="0"/>
        </w:rPr>
        <w:t xml:space="preserve"> the </w:t>
      </w:r>
      <w:r w:rsidR="001A594B">
        <w:rPr>
          <w:b w:val="0"/>
        </w:rPr>
        <w:t xml:space="preserve">banks can </w:t>
      </w:r>
      <w:r w:rsidR="00F82863">
        <w:rPr>
          <w:b w:val="0"/>
        </w:rPr>
        <w:t>choose</w:t>
      </w:r>
      <w:r w:rsidR="00AD02BC">
        <w:rPr>
          <w:b w:val="0"/>
        </w:rPr>
        <w:t>.</w:t>
      </w:r>
      <w:r w:rsidR="00DF5591">
        <w:rPr>
          <w:b w:val="0"/>
        </w:rPr>
        <w:t xml:space="preserve"> </w:t>
      </w:r>
    </w:p>
    <w:p w:rsidR="007309B5" w:rsidRDefault="007309B5" w:rsidP="007309B5">
      <w:pPr>
        <w:pStyle w:val="TitoloTesto"/>
        <w:numPr>
          <w:ilvl w:val="0"/>
          <w:numId w:val="0"/>
        </w:numPr>
        <w:ind w:left="927" w:hanging="360"/>
        <w:rPr>
          <w:i/>
        </w:rPr>
      </w:pPr>
      <w:r w:rsidRPr="007309B5">
        <w:rPr>
          <w:i/>
        </w:rPr>
        <w:t xml:space="preserve">Question 6.  Do you agree on the </w:t>
      </w:r>
      <w:proofErr w:type="gramStart"/>
      <w:r w:rsidR="00F82863">
        <w:rPr>
          <w:i/>
        </w:rPr>
        <w:t>above mentioned</w:t>
      </w:r>
      <w:proofErr w:type="gramEnd"/>
      <w:r w:rsidR="00F82863">
        <w:rPr>
          <w:i/>
        </w:rPr>
        <w:t xml:space="preserve"> requirements</w:t>
      </w:r>
      <w:r w:rsidRPr="007309B5">
        <w:rPr>
          <w:i/>
        </w:rPr>
        <w:t>? Would you suggest other limits on concentration in exposures?</w:t>
      </w:r>
    </w:p>
    <w:p w:rsidR="00DF5591" w:rsidRPr="00EB37EC" w:rsidRDefault="00AD02BC" w:rsidP="00236285">
      <w:pPr>
        <w:pStyle w:val="TitoloTesto"/>
        <w:numPr>
          <w:ilvl w:val="0"/>
          <w:numId w:val="0"/>
        </w:numPr>
        <w:ind w:left="927"/>
        <w:rPr>
          <w:b w:val="0"/>
        </w:rPr>
      </w:pPr>
      <w:r w:rsidRPr="00EB37EC">
        <w:rPr>
          <w:b w:val="0"/>
        </w:rPr>
        <w:t>ABI does</w:t>
      </w:r>
      <w:r w:rsidR="00816F2B">
        <w:rPr>
          <w:b w:val="0"/>
        </w:rPr>
        <w:t xml:space="preserve"> </w:t>
      </w:r>
      <w:r w:rsidRPr="00EB37EC">
        <w:rPr>
          <w:b w:val="0"/>
        </w:rPr>
        <w:t>n</w:t>
      </w:r>
      <w:r w:rsidR="00816F2B">
        <w:rPr>
          <w:b w:val="0"/>
        </w:rPr>
        <w:t>o</w:t>
      </w:r>
      <w:r w:rsidRPr="00EB37EC">
        <w:rPr>
          <w:b w:val="0"/>
        </w:rPr>
        <w:t xml:space="preserve">t agree with </w:t>
      </w:r>
      <w:r w:rsidR="00F16B0F">
        <w:rPr>
          <w:b w:val="0"/>
        </w:rPr>
        <w:t xml:space="preserve">the proposal </w:t>
      </w:r>
      <w:r w:rsidR="00EE779C" w:rsidRPr="00EB37EC">
        <w:rPr>
          <w:b w:val="0"/>
        </w:rPr>
        <w:t>in the consultation</w:t>
      </w:r>
      <w:r w:rsidR="00F16B0F">
        <w:rPr>
          <w:b w:val="0"/>
        </w:rPr>
        <w:t xml:space="preserve"> paper </w:t>
      </w:r>
      <w:r w:rsidR="00816F2B">
        <w:rPr>
          <w:b w:val="0"/>
        </w:rPr>
        <w:t>requiring</w:t>
      </w:r>
      <w:r w:rsidR="00F16B0F">
        <w:rPr>
          <w:b w:val="0"/>
        </w:rPr>
        <w:t xml:space="preserve"> each DGS to determine appropriate criteria</w:t>
      </w:r>
      <w:r w:rsidR="00F16B0F" w:rsidRPr="00F16B0F">
        <w:rPr>
          <w:b w:val="0"/>
        </w:rPr>
        <w:t xml:space="preserve"> </w:t>
      </w:r>
      <w:r w:rsidR="00816F2B">
        <w:rPr>
          <w:b w:val="0"/>
        </w:rPr>
        <w:t>for</w:t>
      </w:r>
      <w:r w:rsidR="00F16B0F" w:rsidRPr="00EB37EC">
        <w:rPr>
          <w:b w:val="0"/>
        </w:rPr>
        <w:t xml:space="preserve"> the eligibility of collateral</w:t>
      </w:r>
      <w:r w:rsidRPr="00EB37EC">
        <w:rPr>
          <w:b w:val="0"/>
        </w:rPr>
        <w:t xml:space="preserve">. </w:t>
      </w:r>
      <w:r w:rsidR="002876B0">
        <w:rPr>
          <w:b w:val="0"/>
        </w:rPr>
        <w:t xml:space="preserve">In order to avoid different treatments among </w:t>
      </w:r>
      <w:r w:rsidR="00816F2B">
        <w:rPr>
          <w:b w:val="0"/>
        </w:rPr>
        <w:t>E</w:t>
      </w:r>
      <w:r w:rsidR="002876B0">
        <w:rPr>
          <w:b w:val="0"/>
        </w:rPr>
        <w:t>u</w:t>
      </w:r>
      <w:r w:rsidR="00F16B0F">
        <w:rPr>
          <w:b w:val="0"/>
        </w:rPr>
        <w:t>ropean countries</w:t>
      </w:r>
      <w:r w:rsidR="00816F2B">
        <w:rPr>
          <w:b w:val="0"/>
        </w:rPr>
        <w:t>,</w:t>
      </w:r>
      <w:r w:rsidR="00F16B0F">
        <w:rPr>
          <w:b w:val="0"/>
        </w:rPr>
        <w:t xml:space="preserve"> t</w:t>
      </w:r>
      <w:r w:rsidR="00865D14">
        <w:rPr>
          <w:b w:val="0"/>
        </w:rPr>
        <w:t>he c</w:t>
      </w:r>
      <w:r w:rsidRPr="00EB37EC">
        <w:rPr>
          <w:b w:val="0"/>
        </w:rPr>
        <w:t xml:space="preserve">riteria should be those defined by </w:t>
      </w:r>
      <w:r w:rsidR="00816F2B">
        <w:rPr>
          <w:b w:val="0"/>
        </w:rPr>
        <w:t xml:space="preserve">the </w:t>
      </w:r>
      <w:r w:rsidR="00EE779C" w:rsidRPr="00EB37EC">
        <w:rPr>
          <w:b w:val="0"/>
        </w:rPr>
        <w:t xml:space="preserve">ECB or </w:t>
      </w:r>
      <w:r w:rsidRPr="00EB37EC">
        <w:rPr>
          <w:b w:val="0"/>
        </w:rPr>
        <w:t>the re</w:t>
      </w:r>
      <w:r w:rsidR="00816F2B">
        <w:rPr>
          <w:b w:val="0"/>
        </w:rPr>
        <w:t>levant</w:t>
      </w:r>
      <w:r w:rsidRPr="00EB37EC">
        <w:rPr>
          <w:b w:val="0"/>
        </w:rPr>
        <w:t xml:space="preserve"> central bank for REPO transactions and the re</w:t>
      </w:r>
      <w:r w:rsidR="00816F2B">
        <w:rPr>
          <w:b w:val="0"/>
        </w:rPr>
        <w:t>levant</w:t>
      </w:r>
      <w:r w:rsidR="00703AD9" w:rsidRPr="00EB37EC">
        <w:rPr>
          <w:b w:val="0"/>
        </w:rPr>
        <w:t xml:space="preserve"> central </w:t>
      </w:r>
      <w:proofErr w:type="gramStart"/>
      <w:r w:rsidR="00703AD9" w:rsidRPr="00EB37EC">
        <w:rPr>
          <w:b w:val="0"/>
        </w:rPr>
        <w:t>clearing house</w:t>
      </w:r>
      <w:proofErr w:type="gramEnd"/>
      <w:r w:rsidR="00703AD9" w:rsidRPr="00EB37EC">
        <w:rPr>
          <w:b w:val="0"/>
        </w:rPr>
        <w:t xml:space="preserve">. </w:t>
      </w:r>
      <w:r w:rsidR="00F16B0F">
        <w:rPr>
          <w:b w:val="0"/>
        </w:rPr>
        <w:t>As a</w:t>
      </w:r>
      <w:r w:rsidR="00EB37EC" w:rsidRPr="00EB37EC">
        <w:rPr>
          <w:b w:val="0"/>
        </w:rPr>
        <w:t xml:space="preserve"> subordinate </w:t>
      </w:r>
      <w:r w:rsidR="00F82863">
        <w:rPr>
          <w:b w:val="0"/>
        </w:rPr>
        <w:t>proposal</w:t>
      </w:r>
      <w:r w:rsidR="00816F2B">
        <w:rPr>
          <w:b w:val="0"/>
        </w:rPr>
        <w:t>,</w:t>
      </w:r>
      <w:r w:rsidR="00290BE5">
        <w:rPr>
          <w:b w:val="0"/>
        </w:rPr>
        <w:t xml:space="preserve"> </w:t>
      </w:r>
      <w:r w:rsidR="00EB37EC" w:rsidRPr="00EB37EC">
        <w:rPr>
          <w:b w:val="0"/>
        </w:rPr>
        <w:t xml:space="preserve">we suggest </w:t>
      </w:r>
      <w:proofErr w:type="gramStart"/>
      <w:r w:rsidR="00EB37EC" w:rsidRPr="00EB37EC">
        <w:rPr>
          <w:b w:val="0"/>
        </w:rPr>
        <w:t>mak</w:t>
      </w:r>
      <w:r w:rsidR="008C1919">
        <w:rPr>
          <w:b w:val="0"/>
        </w:rPr>
        <w:t xml:space="preserve">ing </w:t>
      </w:r>
      <w:r w:rsidR="00EB37EC" w:rsidRPr="00EB37EC">
        <w:rPr>
          <w:b w:val="0"/>
        </w:rPr>
        <w:t>reference</w:t>
      </w:r>
      <w:proofErr w:type="gramEnd"/>
      <w:r w:rsidR="00EB37EC" w:rsidRPr="00EB37EC">
        <w:rPr>
          <w:b w:val="0"/>
        </w:rPr>
        <w:t xml:space="preserve"> to </w:t>
      </w:r>
      <w:r w:rsidR="00F16B0F">
        <w:rPr>
          <w:b w:val="0"/>
        </w:rPr>
        <w:t xml:space="preserve">the criteria </w:t>
      </w:r>
      <w:r w:rsidR="00F16B0F" w:rsidRPr="00EB37EC">
        <w:rPr>
          <w:b w:val="0"/>
        </w:rPr>
        <w:t xml:space="preserve">introduced </w:t>
      </w:r>
      <w:r w:rsidR="00290BE5">
        <w:rPr>
          <w:b w:val="0"/>
        </w:rPr>
        <w:t xml:space="preserve">under </w:t>
      </w:r>
      <w:r w:rsidR="00F16B0F" w:rsidRPr="00EB37EC">
        <w:rPr>
          <w:b w:val="0"/>
        </w:rPr>
        <w:t>CRD 4</w:t>
      </w:r>
      <w:r w:rsidR="00290BE5">
        <w:rPr>
          <w:b w:val="0"/>
        </w:rPr>
        <w:t xml:space="preserve"> for the Liquidity Cover Ratio, in </w:t>
      </w:r>
      <w:r w:rsidR="00816F2B">
        <w:rPr>
          <w:b w:val="0"/>
        </w:rPr>
        <w:t xml:space="preserve">the </w:t>
      </w:r>
      <w:r w:rsidR="00290BE5">
        <w:rPr>
          <w:b w:val="0"/>
        </w:rPr>
        <w:t xml:space="preserve">case of </w:t>
      </w:r>
      <w:r w:rsidR="00EB37EC" w:rsidRPr="00EB37EC">
        <w:rPr>
          <w:b w:val="0"/>
        </w:rPr>
        <w:t>high-quality liquid assets (HQLA)</w:t>
      </w:r>
      <w:r w:rsidR="00EB37EC">
        <w:rPr>
          <w:b w:val="0"/>
        </w:rPr>
        <w:t xml:space="preserve"> </w:t>
      </w:r>
      <w:r w:rsidR="00EB37EC" w:rsidRPr="00EB37EC">
        <w:rPr>
          <w:b w:val="0"/>
        </w:rPr>
        <w:t xml:space="preserve">that can be converted </w:t>
      </w:r>
      <w:r w:rsidR="00816F2B">
        <w:rPr>
          <w:b w:val="0"/>
        </w:rPr>
        <w:t xml:space="preserve">into cash </w:t>
      </w:r>
      <w:r w:rsidR="00EB37EC" w:rsidRPr="00EB37EC">
        <w:rPr>
          <w:b w:val="0"/>
        </w:rPr>
        <w:t>easily and immediately in private markets in</w:t>
      </w:r>
      <w:r w:rsidR="00816F2B">
        <w:rPr>
          <w:b w:val="0"/>
        </w:rPr>
        <w:t xml:space="preserve"> order</w:t>
      </w:r>
      <w:r w:rsidR="00EB37EC" w:rsidRPr="00EB37EC">
        <w:rPr>
          <w:b w:val="0"/>
        </w:rPr>
        <w:t xml:space="preserve"> to meet liquidity needs </w:t>
      </w:r>
      <w:r w:rsidR="00816F2B">
        <w:rPr>
          <w:b w:val="0"/>
        </w:rPr>
        <w:t>under</w:t>
      </w:r>
      <w:r w:rsidR="00EB37EC" w:rsidRPr="00EB37EC">
        <w:rPr>
          <w:b w:val="0"/>
        </w:rPr>
        <w:t xml:space="preserve"> a 30 calendar day liquidity stress scenario.  </w:t>
      </w:r>
    </w:p>
    <w:p w:rsidR="007309B5" w:rsidRDefault="00552455" w:rsidP="007309B5">
      <w:pPr>
        <w:pStyle w:val="TitoloTesto"/>
        <w:numPr>
          <w:ilvl w:val="0"/>
          <w:numId w:val="0"/>
        </w:numPr>
        <w:ind w:left="927" w:hanging="360"/>
        <w:rPr>
          <w:i/>
        </w:rPr>
      </w:pPr>
      <w:r>
        <w:rPr>
          <w:i/>
        </w:rPr>
        <w:t xml:space="preserve">Question </w:t>
      </w:r>
      <w:r w:rsidRPr="00552455">
        <w:rPr>
          <w:i/>
        </w:rPr>
        <w:t xml:space="preserve">7. </w:t>
      </w:r>
      <w:r w:rsidR="00CA2173">
        <w:rPr>
          <w:i/>
        </w:rPr>
        <w:t>Is it in your view</w:t>
      </w:r>
      <w:r w:rsidRPr="00552455">
        <w:rPr>
          <w:i/>
        </w:rPr>
        <w:t xml:space="preserve"> appropriate not to consider the currency of issuance when determining whether debt instruments are correlated to an event of DGS </w:t>
      </w:r>
      <w:proofErr w:type="gramStart"/>
      <w:r w:rsidRPr="00552455">
        <w:rPr>
          <w:i/>
        </w:rPr>
        <w:t>pay-out</w:t>
      </w:r>
      <w:proofErr w:type="gramEnd"/>
      <w:r w:rsidRPr="00552455">
        <w:rPr>
          <w:i/>
        </w:rPr>
        <w:t>, be it inside or outside the euro area?</w:t>
      </w:r>
    </w:p>
    <w:p w:rsidR="00F61CEA" w:rsidRDefault="003B6C5B" w:rsidP="00F82863">
      <w:pPr>
        <w:pStyle w:val="TitoloTesto"/>
        <w:numPr>
          <w:ilvl w:val="0"/>
          <w:numId w:val="0"/>
        </w:numPr>
        <w:ind w:left="927"/>
        <w:rPr>
          <w:b w:val="0"/>
        </w:rPr>
      </w:pPr>
      <w:r w:rsidRPr="003B6C5B">
        <w:rPr>
          <w:b w:val="0"/>
        </w:rPr>
        <w:t xml:space="preserve">ABI </w:t>
      </w:r>
      <w:r w:rsidR="00F61CEA">
        <w:rPr>
          <w:b w:val="0"/>
        </w:rPr>
        <w:t>consider</w:t>
      </w:r>
      <w:r w:rsidR="008C1919">
        <w:rPr>
          <w:b w:val="0"/>
        </w:rPr>
        <w:t>s</w:t>
      </w:r>
      <w:r w:rsidR="00F61CEA">
        <w:rPr>
          <w:b w:val="0"/>
        </w:rPr>
        <w:t xml:space="preserve"> that, except</w:t>
      </w:r>
      <w:r w:rsidR="00816F2B">
        <w:rPr>
          <w:b w:val="0"/>
        </w:rPr>
        <w:t xml:space="preserve"> for</w:t>
      </w:r>
      <w:r w:rsidR="00F61CEA">
        <w:rPr>
          <w:b w:val="0"/>
        </w:rPr>
        <w:t xml:space="preserve"> t</w:t>
      </w:r>
      <w:r w:rsidR="00F61CEA" w:rsidRPr="00F61CEA">
        <w:rPr>
          <w:b w:val="0"/>
        </w:rPr>
        <w:t>he ECB criteria or th</w:t>
      </w:r>
      <w:r w:rsidR="00F61CEA">
        <w:rPr>
          <w:b w:val="0"/>
        </w:rPr>
        <w:t xml:space="preserve">ose </w:t>
      </w:r>
      <w:r w:rsidR="00816F2B">
        <w:rPr>
          <w:b w:val="0"/>
        </w:rPr>
        <w:t xml:space="preserve">of the </w:t>
      </w:r>
      <w:r w:rsidR="00F61CEA" w:rsidRPr="00F61CEA">
        <w:rPr>
          <w:b w:val="0"/>
        </w:rPr>
        <w:t xml:space="preserve">relevant central bank </w:t>
      </w:r>
      <w:r w:rsidR="00816F2B">
        <w:rPr>
          <w:b w:val="0"/>
        </w:rPr>
        <w:t>governing the</w:t>
      </w:r>
      <w:r w:rsidR="00F61CEA">
        <w:rPr>
          <w:b w:val="0"/>
        </w:rPr>
        <w:t xml:space="preserve"> </w:t>
      </w:r>
      <w:r w:rsidR="00F61CEA" w:rsidRPr="00F61CEA">
        <w:rPr>
          <w:b w:val="0"/>
        </w:rPr>
        <w:t>acce</w:t>
      </w:r>
      <w:r w:rsidR="00F61CEA">
        <w:rPr>
          <w:b w:val="0"/>
        </w:rPr>
        <w:t>pt</w:t>
      </w:r>
      <w:r w:rsidR="00816F2B">
        <w:rPr>
          <w:b w:val="0"/>
        </w:rPr>
        <w:t>able</w:t>
      </w:r>
      <w:r w:rsidR="00F61CEA">
        <w:rPr>
          <w:b w:val="0"/>
        </w:rPr>
        <w:t xml:space="preserve"> collat</w:t>
      </w:r>
      <w:r w:rsidR="0085621B">
        <w:rPr>
          <w:b w:val="0"/>
        </w:rPr>
        <w:t>eral for REPO transactions</w:t>
      </w:r>
      <w:r w:rsidR="00F61CEA">
        <w:rPr>
          <w:b w:val="0"/>
        </w:rPr>
        <w:t xml:space="preserve">, </w:t>
      </w:r>
      <w:r w:rsidR="00F61CEA" w:rsidRPr="00F61CEA">
        <w:rPr>
          <w:b w:val="0"/>
        </w:rPr>
        <w:t xml:space="preserve">no other criteria </w:t>
      </w:r>
      <w:proofErr w:type="gramStart"/>
      <w:r w:rsidR="00F61CEA" w:rsidRPr="00F61CEA">
        <w:rPr>
          <w:b w:val="0"/>
        </w:rPr>
        <w:t>should be define</w:t>
      </w:r>
      <w:r w:rsidR="00255A66">
        <w:rPr>
          <w:b w:val="0"/>
        </w:rPr>
        <w:t>d</w:t>
      </w:r>
      <w:proofErr w:type="gramEnd"/>
      <w:r w:rsidR="00255A66">
        <w:rPr>
          <w:b w:val="0"/>
        </w:rPr>
        <w:t>. Consequently,</w:t>
      </w:r>
      <w:r w:rsidR="00F61CEA">
        <w:rPr>
          <w:b w:val="0"/>
        </w:rPr>
        <w:t xml:space="preserve"> ABI </w:t>
      </w:r>
      <w:r w:rsidR="009256E5">
        <w:rPr>
          <w:b w:val="0"/>
        </w:rPr>
        <w:t>does</w:t>
      </w:r>
      <w:r w:rsidR="00816F2B">
        <w:rPr>
          <w:b w:val="0"/>
        </w:rPr>
        <w:t xml:space="preserve"> </w:t>
      </w:r>
      <w:r w:rsidR="009256E5">
        <w:rPr>
          <w:b w:val="0"/>
        </w:rPr>
        <w:t>n</w:t>
      </w:r>
      <w:r w:rsidR="00816F2B">
        <w:rPr>
          <w:b w:val="0"/>
        </w:rPr>
        <w:t>o</w:t>
      </w:r>
      <w:r w:rsidR="00F61CEA" w:rsidRPr="00F61CEA">
        <w:rPr>
          <w:b w:val="0"/>
        </w:rPr>
        <w:t xml:space="preserve">t agree </w:t>
      </w:r>
      <w:r w:rsidR="009256E5">
        <w:rPr>
          <w:b w:val="0"/>
        </w:rPr>
        <w:t>with</w:t>
      </w:r>
      <w:r w:rsidR="00F61CEA" w:rsidRPr="00F61CEA">
        <w:rPr>
          <w:b w:val="0"/>
        </w:rPr>
        <w:t xml:space="preserve"> new criteria </w:t>
      </w:r>
      <w:r w:rsidR="00255A66">
        <w:rPr>
          <w:b w:val="0"/>
        </w:rPr>
        <w:t xml:space="preserve">on </w:t>
      </w:r>
      <w:r w:rsidR="00F61CEA" w:rsidRPr="00F61CEA">
        <w:rPr>
          <w:b w:val="0"/>
        </w:rPr>
        <w:t>collateral quality such as exposure limits</w:t>
      </w:r>
      <w:r w:rsidR="00816F2B">
        <w:rPr>
          <w:b w:val="0"/>
        </w:rPr>
        <w:t xml:space="preserve"> and</w:t>
      </w:r>
      <w:r w:rsidR="00F61CEA" w:rsidRPr="00F61CEA">
        <w:rPr>
          <w:b w:val="0"/>
        </w:rPr>
        <w:t xml:space="preserve"> diversification </w:t>
      </w:r>
      <w:r w:rsidR="00F61CEA">
        <w:rPr>
          <w:b w:val="0"/>
        </w:rPr>
        <w:t>based on the currency of issuance</w:t>
      </w:r>
      <w:r w:rsidR="006860C4">
        <w:rPr>
          <w:b w:val="0"/>
        </w:rPr>
        <w:t xml:space="preserve"> or on the sovereign risk.</w:t>
      </w:r>
    </w:p>
    <w:p w:rsidR="00F61CEA" w:rsidRDefault="009256E5" w:rsidP="00F82863">
      <w:pPr>
        <w:pStyle w:val="TitoloTesto"/>
        <w:numPr>
          <w:ilvl w:val="0"/>
          <w:numId w:val="0"/>
        </w:numPr>
        <w:ind w:left="927"/>
        <w:rPr>
          <w:b w:val="0"/>
        </w:rPr>
      </w:pPr>
      <w:r w:rsidRPr="009256E5">
        <w:rPr>
          <w:b w:val="0"/>
        </w:rPr>
        <w:t>Th</w:t>
      </w:r>
      <w:r w:rsidR="006860C4">
        <w:rPr>
          <w:b w:val="0"/>
        </w:rPr>
        <w:t xml:space="preserve">e </w:t>
      </w:r>
      <w:r w:rsidR="0085621B">
        <w:rPr>
          <w:b w:val="0"/>
        </w:rPr>
        <w:t xml:space="preserve">latter </w:t>
      </w:r>
      <w:r w:rsidR="006860C4">
        <w:rPr>
          <w:b w:val="0"/>
        </w:rPr>
        <w:t xml:space="preserve">proposal </w:t>
      </w:r>
      <w:r w:rsidR="00816F2B">
        <w:rPr>
          <w:b w:val="0"/>
        </w:rPr>
        <w:t xml:space="preserve">also </w:t>
      </w:r>
      <w:r w:rsidRPr="009256E5">
        <w:rPr>
          <w:b w:val="0"/>
        </w:rPr>
        <w:t>seems quite anachronistic, in view of the fact that the BRRD and other EU legislation (SSM, CRD etc</w:t>
      </w:r>
      <w:r w:rsidR="00816F2B">
        <w:rPr>
          <w:b w:val="0"/>
        </w:rPr>
        <w:t>.</w:t>
      </w:r>
      <w:r w:rsidRPr="009256E5">
        <w:rPr>
          <w:b w:val="0"/>
        </w:rPr>
        <w:t xml:space="preserve">) are attempting to give a sense of uniformity to the legislative context and </w:t>
      </w:r>
      <w:r w:rsidR="001C731C">
        <w:rPr>
          <w:b w:val="0"/>
        </w:rPr>
        <w:t xml:space="preserve">provide </w:t>
      </w:r>
      <w:r w:rsidRPr="009256E5">
        <w:rPr>
          <w:b w:val="0"/>
        </w:rPr>
        <w:t xml:space="preserve">support for the European financial system. This </w:t>
      </w:r>
      <w:proofErr w:type="gramStart"/>
      <w:r w:rsidRPr="009256E5">
        <w:rPr>
          <w:b w:val="0"/>
        </w:rPr>
        <w:t xml:space="preserve">is also </w:t>
      </w:r>
      <w:r w:rsidR="00816F2B">
        <w:rPr>
          <w:b w:val="0"/>
        </w:rPr>
        <w:t>intended</w:t>
      </w:r>
      <w:proofErr w:type="gramEnd"/>
      <w:r w:rsidR="00816F2B">
        <w:rPr>
          <w:b w:val="0"/>
        </w:rPr>
        <w:t xml:space="preserve"> </w:t>
      </w:r>
      <w:r w:rsidRPr="009256E5">
        <w:rPr>
          <w:b w:val="0"/>
        </w:rPr>
        <w:t xml:space="preserve">to reduce the correlation between the </w:t>
      </w:r>
      <w:r w:rsidR="005756E2">
        <w:rPr>
          <w:b w:val="0"/>
        </w:rPr>
        <w:t xml:space="preserve">credit risk </w:t>
      </w:r>
      <w:r w:rsidRPr="009256E5">
        <w:rPr>
          <w:b w:val="0"/>
        </w:rPr>
        <w:t>of individual banks and their countries of origin, reducing national discretion and creating instruments and procedures on a European scale.</w:t>
      </w:r>
    </w:p>
    <w:p w:rsidR="00F61CEA" w:rsidRDefault="00F61CEA" w:rsidP="00F82863">
      <w:pPr>
        <w:pStyle w:val="TitoloTesto"/>
        <w:numPr>
          <w:ilvl w:val="0"/>
          <w:numId w:val="0"/>
        </w:numPr>
        <w:ind w:left="927"/>
        <w:rPr>
          <w:b w:val="0"/>
        </w:rPr>
      </w:pPr>
    </w:p>
    <w:p w:rsidR="0011384A" w:rsidRDefault="0011384A" w:rsidP="007309B5">
      <w:pPr>
        <w:pStyle w:val="TitoloTesto"/>
        <w:numPr>
          <w:ilvl w:val="0"/>
          <w:numId w:val="0"/>
        </w:numPr>
        <w:ind w:left="927" w:hanging="360"/>
        <w:rPr>
          <w:i/>
        </w:rPr>
      </w:pPr>
      <w:r>
        <w:rPr>
          <w:i/>
        </w:rPr>
        <w:t xml:space="preserve">Question 9.  </w:t>
      </w:r>
      <w:r w:rsidRPr="0011384A">
        <w:rPr>
          <w:i/>
        </w:rPr>
        <w:t xml:space="preserve">Do you agree with the criteria on the eligibility of the collateral provided in this Part 6? Do you think other requirements </w:t>
      </w:r>
      <w:proofErr w:type="gramStart"/>
      <w:r w:rsidRPr="0011384A">
        <w:rPr>
          <w:i/>
        </w:rPr>
        <w:t>should be provided</w:t>
      </w:r>
      <w:proofErr w:type="gramEnd"/>
      <w:r w:rsidRPr="0011384A">
        <w:rPr>
          <w:i/>
        </w:rPr>
        <w:t xml:space="preserve"> in these guidelines on this issue?</w:t>
      </w:r>
    </w:p>
    <w:p w:rsidR="00DF5591" w:rsidRPr="00865D14" w:rsidRDefault="00865D14" w:rsidP="007309B5">
      <w:pPr>
        <w:pStyle w:val="TitoloTesto"/>
        <w:numPr>
          <w:ilvl w:val="0"/>
          <w:numId w:val="0"/>
        </w:numPr>
        <w:ind w:left="927" w:hanging="360"/>
        <w:rPr>
          <w:b w:val="0"/>
          <w:i/>
        </w:rPr>
      </w:pPr>
      <w:r>
        <w:rPr>
          <w:i/>
        </w:rPr>
        <w:lastRenderedPageBreak/>
        <w:t xml:space="preserve"> </w:t>
      </w:r>
      <w:r>
        <w:rPr>
          <w:i/>
        </w:rPr>
        <w:tab/>
      </w:r>
      <w:r w:rsidR="00255A66">
        <w:rPr>
          <w:b w:val="0"/>
          <w:i/>
        </w:rPr>
        <w:t>Please s</w:t>
      </w:r>
      <w:r>
        <w:rPr>
          <w:b w:val="0"/>
          <w:i/>
        </w:rPr>
        <w:t xml:space="preserve">ee </w:t>
      </w:r>
      <w:r w:rsidR="001C731C">
        <w:rPr>
          <w:b w:val="0"/>
          <w:i/>
        </w:rPr>
        <w:t xml:space="preserve">the </w:t>
      </w:r>
      <w:r>
        <w:rPr>
          <w:b w:val="0"/>
          <w:i/>
        </w:rPr>
        <w:t>answer</w:t>
      </w:r>
      <w:r w:rsidR="001C731C">
        <w:rPr>
          <w:b w:val="0"/>
          <w:i/>
        </w:rPr>
        <w:t>s</w:t>
      </w:r>
      <w:r>
        <w:rPr>
          <w:b w:val="0"/>
          <w:i/>
        </w:rPr>
        <w:t xml:space="preserve"> </w:t>
      </w:r>
      <w:r w:rsidR="00255A66">
        <w:rPr>
          <w:b w:val="0"/>
          <w:i/>
        </w:rPr>
        <w:t xml:space="preserve">to </w:t>
      </w:r>
      <w:r w:rsidR="00D548CF">
        <w:rPr>
          <w:b w:val="0"/>
          <w:i/>
        </w:rPr>
        <w:t xml:space="preserve">Question </w:t>
      </w:r>
      <w:r w:rsidR="007D17DA">
        <w:rPr>
          <w:b w:val="0"/>
          <w:i/>
        </w:rPr>
        <w:t>6</w:t>
      </w:r>
      <w:r w:rsidR="005756E2">
        <w:rPr>
          <w:b w:val="0"/>
          <w:i/>
        </w:rPr>
        <w:t xml:space="preserve"> and 7</w:t>
      </w:r>
    </w:p>
    <w:p w:rsidR="007309B5" w:rsidRPr="007309B5" w:rsidRDefault="0011384A" w:rsidP="007309B5">
      <w:pPr>
        <w:pStyle w:val="TitoloTesto"/>
        <w:numPr>
          <w:ilvl w:val="0"/>
          <w:numId w:val="0"/>
        </w:numPr>
        <w:ind w:left="927" w:hanging="360"/>
        <w:rPr>
          <w:i/>
        </w:rPr>
      </w:pPr>
      <w:r>
        <w:rPr>
          <w:i/>
        </w:rPr>
        <w:t xml:space="preserve">Question 10. </w:t>
      </w:r>
      <w:r w:rsidRPr="0011384A">
        <w:rPr>
          <w:i/>
        </w:rPr>
        <w:t xml:space="preserve">Do you agree with the criteria on the haircut provided in this Part 7? Do you think there are other </w:t>
      </w:r>
      <w:proofErr w:type="gramStart"/>
      <w:r w:rsidRPr="0011384A">
        <w:rPr>
          <w:i/>
        </w:rPr>
        <w:t>requirements which</w:t>
      </w:r>
      <w:proofErr w:type="gramEnd"/>
      <w:r w:rsidRPr="0011384A">
        <w:rPr>
          <w:i/>
        </w:rPr>
        <w:t xml:space="preserve"> should be provided under these guidelines about this issue?</w:t>
      </w:r>
    </w:p>
    <w:p w:rsidR="00CA2173" w:rsidRDefault="007D17DA" w:rsidP="007309B5">
      <w:pPr>
        <w:pStyle w:val="TitoloTesto"/>
        <w:numPr>
          <w:ilvl w:val="0"/>
          <w:numId w:val="0"/>
        </w:numPr>
        <w:ind w:left="927" w:hanging="360"/>
      </w:pPr>
      <w:r w:rsidRPr="00D548CF">
        <w:rPr>
          <w:b w:val="0"/>
        </w:rPr>
        <w:tab/>
      </w:r>
      <w:r w:rsidR="00CA2173">
        <w:rPr>
          <w:b w:val="0"/>
        </w:rPr>
        <w:t xml:space="preserve">ABI </w:t>
      </w:r>
      <w:r w:rsidR="00CA2173" w:rsidRPr="00CA2173">
        <w:rPr>
          <w:b w:val="0"/>
        </w:rPr>
        <w:t xml:space="preserve">agrees that haircuts </w:t>
      </w:r>
      <w:proofErr w:type="gramStart"/>
      <w:r w:rsidR="00CA2173" w:rsidRPr="00CA2173">
        <w:rPr>
          <w:b w:val="0"/>
        </w:rPr>
        <w:t>should be applied</w:t>
      </w:r>
      <w:proofErr w:type="gramEnd"/>
      <w:r w:rsidR="00CA2173" w:rsidRPr="00CA2173">
        <w:rPr>
          <w:b w:val="0"/>
        </w:rPr>
        <w:t xml:space="preserve"> to collateral for payment commitments</w:t>
      </w:r>
      <w:r w:rsidR="001C731C">
        <w:rPr>
          <w:b w:val="0"/>
        </w:rPr>
        <w:t>,</w:t>
      </w:r>
      <w:r w:rsidR="00CA2173">
        <w:rPr>
          <w:b w:val="0"/>
        </w:rPr>
        <w:t xml:space="preserve"> but d</w:t>
      </w:r>
      <w:r w:rsidR="005756E2">
        <w:rPr>
          <w:b w:val="0"/>
        </w:rPr>
        <w:t>isagrees t</w:t>
      </w:r>
      <w:r w:rsidR="00255A66">
        <w:rPr>
          <w:b w:val="0"/>
        </w:rPr>
        <w:t>hat the</w:t>
      </w:r>
      <w:r w:rsidR="005756E2">
        <w:rPr>
          <w:b w:val="0"/>
        </w:rPr>
        <w:t xml:space="preserve"> </w:t>
      </w:r>
      <w:r w:rsidR="00D548CF" w:rsidRPr="00D548CF">
        <w:rPr>
          <w:b w:val="0"/>
        </w:rPr>
        <w:t xml:space="preserve">requirements </w:t>
      </w:r>
      <w:r w:rsidR="001C731C">
        <w:rPr>
          <w:b w:val="0"/>
        </w:rPr>
        <w:t>should be</w:t>
      </w:r>
      <w:r w:rsidR="00255A66">
        <w:rPr>
          <w:b w:val="0"/>
        </w:rPr>
        <w:t xml:space="preserve"> </w:t>
      </w:r>
      <w:r w:rsidR="00D548CF" w:rsidRPr="00D548CF">
        <w:rPr>
          <w:b w:val="0"/>
        </w:rPr>
        <w:t>de</w:t>
      </w:r>
      <w:r w:rsidR="00255A66">
        <w:rPr>
          <w:b w:val="0"/>
        </w:rPr>
        <w:t xml:space="preserve">fined </w:t>
      </w:r>
      <w:r w:rsidR="00D548CF" w:rsidRPr="00D548CF">
        <w:rPr>
          <w:b w:val="0"/>
        </w:rPr>
        <w:t>in th</w:t>
      </w:r>
      <w:r w:rsidR="005756E2">
        <w:rPr>
          <w:b w:val="0"/>
        </w:rPr>
        <w:t>ese</w:t>
      </w:r>
      <w:r w:rsidR="00D548CF" w:rsidRPr="00D548CF">
        <w:rPr>
          <w:b w:val="0"/>
        </w:rPr>
        <w:t xml:space="preserve"> guidelines. The Guidelines should refer to the haircut schedule of the respective central bank</w:t>
      </w:r>
      <w:r w:rsidR="001C731C">
        <w:rPr>
          <w:b w:val="0"/>
        </w:rPr>
        <w:t>s</w:t>
      </w:r>
      <w:r w:rsidR="00D548CF" w:rsidRPr="00D548CF">
        <w:rPr>
          <w:b w:val="0"/>
        </w:rPr>
        <w:t xml:space="preserve"> for accepting collateral for central bank lending to banks</w:t>
      </w:r>
      <w:r w:rsidR="00D548CF" w:rsidRPr="008B407B">
        <w:rPr>
          <w:b w:val="0"/>
        </w:rPr>
        <w:t>.</w:t>
      </w:r>
      <w:r w:rsidR="00D548CF">
        <w:t xml:space="preserve"> </w:t>
      </w:r>
    </w:p>
    <w:p w:rsidR="005756E2" w:rsidRDefault="005756E2" w:rsidP="007309B5">
      <w:pPr>
        <w:pStyle w:val="TitoloTesto"/>
        <w:numPr>
          <w:ilvl w:val="0"/>
          <w:numId w:val="0"/>
        </w:numPr>
        <w:ind w:left="927" w:hanging="360"/>
      </w:pPr>
    </w:p>
    <w:sectPr w:rsidR="005756E2" w:rsidSect="00A056AA">
      <w:headerReference w:type="default" r:id="rId11"/>
      <w:footerReference w:type="default" r:id="rId12"/>
      <w:headerReference w:type="first" r:id="rId13"/>
      <w:footerReference w:type="first" r:id="rId14"/>
      <w:pgSz w:w="11906" w:h="16838" w:code="9"/>
      <w:pgMar w:top="2268" w:right="1701" w:bottom="1701" w:left="1701" w:header="284"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BA" w:rsidRDefault="006948BA">
      <w:r>
        <w:separator/>
      </w:r>
    </w:p>
  </w:endnote>
  <w:endnote w:type="continuationSeparator" w:id="0">
    <w:p w:rsidR="006948BA" w:rsidRDefault="0069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2B" w:rsidRPr="005F3AA6" w:rsidRDefault="00CA060C" w:rsidP="001E074B">
    <w:pPr>
      <w:pStyle w:val="Pidipagina"/>
      <w:jc w:val="center"/>
      <w:rPr>
        <w:rFonts w:ascii="Verdana" w:hAnsi="Verdana"/>
        <w:b/>
        <w:color w:val="002F63"/>
      </w:rPr>
    </w:pPr>
    <w:r>
      <w:rPr>
        <w:rFonts w:ascii="Verdana" w:hAnsi="Verdana"/>
        <w:b/>
        <w:noProof/>
        <w:color w:val="002F63"/>
        <w:lang w:val="it-IT" w:eastAsia="it-IT" w:bidi="ar-SA"/>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5081905</wp:posOffset>
              </wp:positionV>
              <wp:extent cx="720090" cy="635"/>
              <wp:effectExtent l="0" t="19050" r="22860" b="3746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0862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0.15pt" to="119.7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" strokecolor="#002f63" strokeweight="1mm"/>
          </w:pict>
        </mc:Fallback>
      </mc:AlternateContent>
    </w:r>
    <w:r w:rsidR="00816F2B">
      <w:rPr>
        <w:rFonts w:ascii="Verdana" w:hAnsi="Verdana"/>
        <w:b/>
        <w:color w:val="002F63"/>
      </w:rPr>
      <w:t>POSITION PAPER</w:t>
    </w:r>
  </w:p>
  <w:p w:rsidR="00816F2B" w:rsidRPr="005F3AA6" w:rsidRDefault="00CA060C" w:rsidP="001E074B">
    <w:pPr>
      <w:pStyle w:val="Pidipagina"/>
      <w:jc w:val="center"/>
      <w:rPr>
        <w:rFonts w:ascii="Verdana" w:hAnsi="Verdana"/>
        <w:color w:val="002F63"/>
      </w:rPr>
    </w:pPr>
    <w:r>
      <w:rPr>
        <w:rFonts w:ascii="Verdana" w:hAnsi="Verdana"/>
        <w:noProof/>
        <w:color w:val="002F63"/>
        <w:lang w:val="it-IT" w:eastAsia="it-IT" w:bidi="ar-SA"/>
      </w:rPr>
      <mc:AlternateContent>
        <mc:Choice Requires="wpg">
          <w:drawing>
            <wp:anchor distT="0" distB="0" distL="114300" distR="114300" simplePos="0" relativeHeight="251655168" behindDoc="0" locked="0" layoutInCell="1" allowOverlap="1">
              <wp:simplePos x="0" y="0"/>
              <wp:positionH relativeFrom="column">
                <wp:posOffset>-2011680</wp:posOffset>
              </wp:positionH>
              <wp:positionV relativeFrom="paragraph">
                <wp:posOffset>1270</wp:posOffset>
              </wp:positionV>
              <wp:extent cx="7292340" cy="2540"/>
              <wp:effectExtent l="0" t="19050" r="41910" b="3556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340" cy="2540"/>
                        <a:chOff x="234" y="15981"/>
                        <a:chExt cx="11484" cy="4"/>
                      </a:xfrm>
                    </wpg:grpSpPr>
                    <wps:wsp>
                      <wps:cNvPr id="19" name="Line 10"/>
                      <wps:cNvCnPr>
                        <a:cxnSpLocks noChangeShapeType="1"/>
                      </wps:cNvCnPr>
                      <wps:spPr bwMode="auto">
                        <a:xfrm>
                          <a:off x="9167" y="15981"/>
                          <a:ext cx="2551" cy="1"/>
                        </a:xfrm>
                        <a:prstGeom prst="line">
                          <a:avLst/>
                        </a:prstGeom>
                        <a:noFill/>
                        <a:ln w="36068">
                          <a:solidFill>
                            <a:srgbClr val="002F63"/>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2812" y="15985"/>
                          <a:ext cx="6350"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234" y="15981"/>
                          <a:ext cx="2551" cy="1"/>
                        </a:xfrm>
                        <a:prstGeom prst="line">
                          <a:avLst/>
                        </a:prstGeom>
                        <a:noFill/>
                        <a:ln w="36068">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5D8ED" id="Group 9" o:spid="_x0000_s1026" style="position:absolute;margin-left:-158.4pt;margin-top:.1pt;width:574.2pt;height:.2pt;z-index:251655168" coordorigin="234,15981" coordsize="1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">
              <v:line id="Line 10" o:spid="_x0000_s1027" style="position:absolute;visibility:visible;mso-wrap-style:square" from="9167,15981" to="11718,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y6L8AAADbAAAADwAAAGRycy9kb3ducmV2LnhtbERPTWuDQBC9B/oflin0Ftc2WFrjJrQB&#10;IddqQq+DO10l7qy4m6j/vhso9DaP9znFfra9uNHoO8cKnpMUBHHjdMdGwaku128gfEDW2DsmBQt5&#10;2O8eVgXm2k38RbcqGBFD2OeooA1hyKX0TUsWfeIG4sj9uNFiiHA0Uo84xXDby5c0fZUWO44NLQ50&#10;aKm5VFerQJvMubLPNtdaltX520/LZ2aUenqcP7YgAs3hX/znPuo4/x3uv8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jy6L8AAADbAAAADwAAAAAAAAAAAAAAAACh&#10;AgAAZHJzL2Rvd25yZXYueG1sUEsFBgAAAAAEAAQA+QAAAI0DAAAAAA==&#10;" strokecolor="#002f63" strokeweight="2.84pt"/>
              <v:line id="Line 11" o:spid="_x0000_s1028" style="position:absolute;visibility:visible;mso-wrap-style:square" from="2812,15985" to="9162,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j6lL8AAADbAAAADwAAAGRycy9kb3ducmV2LnhtbERPTYvCMBC9C/sfwix4EU23B5HaKLIg&#10;eFOrsOxtSMa22kxKErX77zcHwePjfZfrwXbiQT60jhV8zTIQxNqZlmsF59N2ugARIrLBzjEp+KMA&#10;69XHqMTCuCcf6VHFWqQQDgUqaGLsCymDbshimLmeOHEX5y3GBH0tjcdnCredzLNsLi22nBoa7Om7&#10;IX2r7lbB9m6qif6Vu0z/VLQ/5Nfg9yelxp/DZgki0hDf4pd7ZxTkaX36kn6AX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0j6lL8AAADbAAAADwAAAAAAAAAAAAAAAACh&#10;AgAAZHJzL2Rvd25yZXYueG1sUEsFBgAAAAAEAAQA+QAAAI0DAAAAAA==&#10;" strokecolor="#002f63" strokeweight=".5pt"/>
              <v:line id="Line 12" o:spid="_x0000_s1029" style="position:absolute;visibility:visible;mso-wrap-style:square" from="234,15981" to="2785,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I0U8EAAADbAAAADwAAAGRycy9kb3ducmV2LnhtbESPzWrDMBCE74W8g9hAbo0cF5fgRglN&#10;wNBrnYZcF2srm1orY8l/bx8VCj0OM/MNczjNthUj9b5xrGC3TUAQV043bBR8XYvnPQgfkDW2jknB&#10;Qh5Ox9XTAXPtJv6ksQxGRAj7HBXUIXS5lL6qyaLfuo44et+utxii7I3UPU4RbluZJsmrtNhwXKix&#10;o0tN1U85WAXaZM4VbfYyXGVR3u5+Ws6ZUWqznt/fQASaw3/4r/2hFaQ7+P0Sf4A8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jRTwQAAANsAAAAPAAAAAAAAAAAAAAAA&#10;AKECAABkcnMvZG93bnJldi54bWxQSwUGAAAAAAQABAD5AAAAjwMAAAAA&#10;" strokecolor="#002f63" strokeweight="2.84pt"/>
            </v:group>
          </w:pict>
        </mc:Fallback>
      </mc:AlternateContent>
    </w:r>
    <w:r w:rsidR="00816F2B">
      <w:rPr>
        <w:rFonts w:ascii="Verdana" w:hAnsi="Verdana"/>
        <w:color w:val="002F63"/>
      </w:rP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2B" w:rsidRPr="00AA0ACF" w:rsidRDefault="00CA060C" w:rsidP="00A832BC">
    <w:pPr>
      <w:pStyle w:val="Pidipagina"/>
      <w:jc w:val="center"/>
      <w:rPr>
        <w:rFonts w:ascii="Verdana" w:hAnsi="Verdana"/>
        <w:color w:val="002F63"/>
        <w:sz w:val="18"/>
        <w:szCs w:val="18"/>
      </w:rPr>
    </w:pPr>
    <w:r>
      <w:rPr>
        <w:rFonts w:ascii="Verdana" w:hAnsi="Verdana"/>
        <w:noProof/>
        <w:color w:val="002F63"/>
        <w:sz w:val="18"/>
        <w:szCs w:val="18"/>
        <w:lang w:val="it-IT" w:eastAsia="it-IT" w:bidi="ar-SA"/>
      </w:rPr>
      <mc:AlternateContent>
        <mc:Choice Requires="wpg">
          <w:drawing>
            <wp:anchor distT="0" distB="0" distL="114300" distR="114300" simplePos="0" relativeHeight="251660288" behindDoc="0" locked="0" layoutInCell="1" allowOverlap="1">
              <wp:simplePos x="0" y="0"/>
              <wp:positionH relativeFrom="column">
                <wp:posOffset>-880110</wp:posOffset>
              </wp:positionH>
              <wp:positionV relativeFrom="paragraph">
                <wp:posOffset>10160</wp:posOffset>
              </wp:positionV>
              <wp:extent cx="7210425" cy="635"/>
              <wp:effectExtent l="0" t="19050" r="28575" b="37465"/>
              <wp:wrapNone/>
              <wp:docPr id="1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11" name="Line 45"/>
                      <wps:cNvCnPr>
                        <a:cxnSpLocks noChangeShapeType="1"/>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12" name="Line 46"/>
                      <wps:cNvCnPr>
                        <a:cxnSpLocks noChangeShapeType="1"/>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13" name="Line 47"/>
                      <wps:cNvCnPr>
                        <a:cxnSpLocks noChangeShapeType="1"/>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7A1C5" id="Group 44" o:spid="_x0000_s1026" style="position:absolute;margin-left:-69.3pt;margin-top:.8pt;width:567.75pt;height:.05pt;z-index:251660288"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">
              <v:line id="Line 45" o:spid="_x0000_s1027" style="position:absolute;visibility:visible;mso-wrap-style:square" from="10752,5196" to="11886,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wqy70AAADbAAAADwAAAGRycy9kb3ducmV2LnhtbERPvQrCMBDeBd8hnOAimqqgUo0iQsHB&#10;pSroeDRnW2wupYla394Igtt9fL+32rSmEk9qXGlZwXgUgSDOrC45V3A+JcMFCOeRNVaWScGbHGzW&#10;3c4KY21fnNLz6HMRQtjFqKDwvo6ldFlBBt3I1sSBu9nGoA+wyaVu8BXCTSUnUTSTBksODQXWtCso&#10;ux8fRsEinR+uN06TQVRffIpVwmaaKNXvtdslCE+t/4t/7r0O88fw/SUcIN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JsKsu9AAAA2wAAAA8AAAAAAAAAAAAAAAAAoQIA&#10;AGRycy9kb3ducmV2LnhtbFBLBQYAAAAABAAEAPkAAACLAwAAAAA=&#10;" strokecolor="#002f63" strokeweight="1mm"/>
              <v:line id="Line 46" o:spid="_x0000_s1028" style="position:absolute;visibility:visible;mso-wrap-style:square" from="1674,5197" to="1074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Lxb8AAADbAAAADwAAAGRycy9kb3ducmV2LnhtbERPTYvCMBC9C/sfwix4EU23B5FqlGVB&#10;8OZuFcTbkIxttZmUJGr99xtB8DaP9zmLVW9bcSMfGscKviYZCGLtTMOVgv1uPZ6BCBHZYOuYFDwo&#10;wGr5MVhgYdyd/+hWxkqkEA4FKqhj7Aopg67JYpi4jjhxJ+ctxgR9JY3Hewq3rcyzbCotNpwaauzo&#10;pyZ9Ka9WwfpqypE+yk2mDyVtf/Nz8NudUsPP/nsOIlIf3+KXe2PS/Byev6Q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roLxb8AAADbAAAADwAAAAAAAAAAAAAAAACh&#10;AgAAZHJzL2Rvd25yZXYueG1sUEsFBgAAAAAEAAQA+QAAAI0DAAAAAA==&#10;" strokecolor="#002f63" strokeweight=".5pt"/>
              <v:line id="Line 47" o:spid="_x0000_s1029" style="position:absolute;visibility:visible;mso-wrap-style:square" from="531,5196" to="166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RJ70AAADbAAAADwAAAGRycy9kb3ducmV2LnhtbERPvQrCMBDeBd8hnOAimqqgUo0iQsHB&#10;pSroeDRnW2wupYla394Igtt9fL+32rSmEk9qXGlZwXgUgSDOrC45V3A+JcMFCOeRNVaWScGbHGzW&#10;3c4KY21fnNLz6HMRQtjFqKDwvo6ldFlBBt3I1sSBu9nGoA+wyaVu8BXCTSUnUTSTBksODQXWtCso&#10;ux8fRsEinR+uN06TQVRffIpVwmaaKNXvtdslCE+t/4t/7r0O86fw/SUcIN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3yESe9AAAA2wAAAA8AAAAAAAAAAAAAAAAAoQIA&#10;AGRycy9kb3ducmV2LnhtbFBLBQYAAAAABAAEAPkAAACLAwAAAAA=&#10;" strokecolor="#002f63" strokeweight="1mm"/>
            </v:group>
          </w:pict>
        </mc:Fallback>
      </mc:AlternateContent>
    </w:r>
    <w:r w:rsidR="00816F2B">
      <w:rPr>
        <w:rFonts w:ascii="Verdana" w:hAnsi="Verdana"/>
        <w:color w:val="002F63"/>
        <w:sz w:val="18"/>
      </w:rPr>
      <w:t xml:space="preserve">Page </w:t>
    </w:r>
    <w:r w:rsidR="00816F2B" w:rsidRPr="00AA0ACF">
      <w:rPr>
        <w:rFonts w:ascii="Verdana" w:hAnsi="Verdana"/>
        <w:color w:val="002F63"/>
        <w:sz w:val="18"/>
        <w:szCs w:val="18"/>
      </w:rPr>
      <w:fldChar w:fldCharType="begin"/>
    </w:r>
    <w:r w:rsidR="00816F2B" w:rsidRPr="00AA0ACF">
      <w:rPr>
        <w:rFonts w:ascii="Verdana" w:hAnsi="Verdana"/>
        <w:color w:val="002F63"/>
        <w:sz w:val="18"/>
        <w:szCs w:val="18"/>
      </w:rPr>
      <w:instrText xml:space="preserve"> PAGE </w:instrText>
    </w:r>
    <w:r w:rsidR="00816F2B" w:rsidRPr="00AA0ACF">
      <w:rPr>
        <w:rFonts w:ascii="Verdana" w:hAnsi="Verdana"/>
        <w:color w:val="002F63"/>
        <w:sz w:val="18"/>
        <w:szCs w:val="18"/>
      </w:rPr>
      <w:fldChar w:fldCharType="separate"/>
    </w:r>
    <w:r w:rsidR="00136EB7">
      <w:rPr>
        <w:rFonts w:ascii="Verdana" w:hAnsi="Verdana"/>
        <w:noProof/>
        <w:color w:val="002F63"/>
        <w:sz w:val="18"/>
        <w:szCs w:val="18"/>
      </w:rPr>
      <w:t>6</w:t>
    </w:r>
    <w:r w:rsidR="00816F2B" w:rsidRPr="00AA0ACF">
      <w:rPr>
        <w:rFonts w:ascii="Verdana" w:hAnsi="Verdana"/>
        <w:color w:val="002F63"/>
        <w:sz w:val="18"/>
        <w:szCs w:val="18"/>
      </w:rPr>
      <w:fldChar w:fldCharType="end"/>
    </w:r>
    <w:r w:rsidR="00816F2B">
      <w:rPr>
        <w:rFonts w:ascii="Verdana" w:hAnsi="Verdana"/>
        <w:color w:val="002F63"/>
        <w:sz w:val="18"/>
      </w:rPr>
      <w:t xml:space="preserve"> of </w:t>
    </w:r>
    <w:r w:rsidR="00816F2B" w:rsidRPr="00AA0ACF">
      <w:rPr>
        <w:rFonts w:ascii="Verdana" w:hAnsi="Verdana"/>
        <w:color w:val="002F63"/>
        <w:sz w:val="18"/>
        <w:szCs w:val="18"/>
      </w:rPr>
      <w:fldChar w:fldCharType="begin"/>
    </w:r>
    <w:r w:rsidR="00816F2B" w:rsidRPr="00AA0ACF">
      <w:rPr>
        <w:rFonts w:ascii="Verdana" w:hAnsi="Verdana"/>
        <w:color w:val="002F63"/>
        <w:sz w:val="18"/>
        <w:szCs w:val="18"/>
      </w:rPr>
      <w:instrText xml:space="preserve"> NUMPAGES </w:instrText>
    </w:r>
    <w:r w:rsidR="00816F2B" w:rsidRPr="00AA0ACF">
      <w:rPr>
        <w:rFonts w:ascii="Verdana" w:hAnsi="Verdana"/>
        <w:color w:val="002F63"/>
        <w:sz w:val="18"/>
        <w:szCs w:val="18"/>
      </w:rPr>
      <w:fldChar w:fldCharType="separate"/>
    </w:r>
    <w:r w:rsidR="00136EB7">
      <w:rPr>
        <w:rFonts w:ascii="Verdana" w:hAnsi="Verdana"/>
        <w:noProof/>
        <w:color w:val="002F63"/>
        <w:sz w:val="18"/>
        <w:szCs w:val="18"/>
      </w:rPr>
      <w:t>6</w:t>
    </w:r>
    <w:r w:rsidR="00816F2B" w:rsidRPr="00AA0ACF">
      <w:rPr>
        <w:rFonts w:ascii="Verdana" w:hAnsi="Verdana"/>
        <w:color w:val="002F63"/>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2B" w:rsidRPr="00AA0ACF" w:rsidRDefault="00CA060C" w:rsidP="001E074B">
    <w:pPr>
      <w:pStyle w:val="Pidipagina"/>
      <w:jc w:val="center"/>
      <w:rPr>
        <w:rFonts w:ascii="Verdana" w:hAnsi="Verdana"/>
        <w:color w:val="002F63"/>
        <w:sz w:val="18"/>
        <w:szCs w:val="18"/>
      </w:rPr>
    </w:pPr>
    <w:r>
      <w:rPr>
        <w:rFonts w:ascii="Verdana" w:hAnsi="Verdana"/>
        <w:b/>
        <w:noProof/>
        <w:color w:val="002F63"/>
        <w:sz w:val="18"/>
        <w:szCs w:val="18"/>
        <w:lang w:val="it-IT" w:eastAsia="it-IT" w:bidi="ar-SA"/>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5081905</wp:posOffset>
              </wp:positionV>
              <wp:extent cx="720090" cy="635"/>
              <wp:effectExtent l="0" t="19050" r="22860" b="3746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17C7"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0.15pt" to="119.7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IBFwIAACs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" strokecolor="#002f63" strokeweight="1mm"/>
          </w:pict>
        </mc:Fallback>
      </mc:AlternateContent>
    </w:r>
    <w:r w:rsidR="00816F2B">
      <w:rPr>
        <w:rFonts w:ascii="Verdana" w:hAnsi="Verdana"/>
        <w:b/>
        <w:color w:val="002F63"/>
        <w:sz w:val="18"/>
      </w:rPr>
      <w:t xml:space="preserve"> </w:t>
    </w:r>
    <w:r>
      <w:rPr>
        <w:rFonts w:ascii="Verdana" w:hAnsi="Verdana"/>
        <w:noProof/>
        <w:color w:val="002F63"/>
        <w:sz w:val="18"/>
        <w:szCs w:val="18"/>
        <w:lang w:val="it-IT" w:eastAsia="it-IT" w:bidi="ar-SA"/>
      </w:rPr>
      <mc:AlternateContent>
        <mc:Choice Requires="wpg">
          <w:drawing>
            <wp:anchor distT="0" distB="0" distL="114300" distR="114300" simplePos="0" relativeHeight="251658240" behindDoc="0" locked="0" layoutInCell="1" allowOverlap="1">
              <wp:simplePos x="0" y="0"/>
              <wp:positionH relativeFrom="column">
                <wp:posOffset>-880110</wp:posOffset>
              </wp:positionH>
              <wp:positionV relativeFrom="paragraph">
                <wp:posOffset>10160</wp:posOffset>
              </wp:positionV>
              <wp:extent cx="7210425" cy="635"/>
              <wp:effectExtent l="0" t="19050" r="28575" b="3746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2" name="Line 23"/>
                      <wps:cNvCnPr>
                        <a:cxnSpLocks noChangeShapeType="1"/>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3" name="Line 24"/>
                      <wps:cNvCnPr>
                        <a:cxnSpLocks noChangeShapeType="1"/>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4" name="Line 25"/>
                      <wps:cNvCnPr>
                        <a:cxnSpLocks noChangeShapeType="1"/>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42041" id="Group 22" o:spid="_x0000_s1026" style="position:absolute;margin-left:-69.3pt;margin-top:.8pt;width:567.75pt;height:.05pt;z-index:251658240"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">
              <v:line id="Line 23" o:spid="_x0000_s1027" style="position:absolute;visibility:visible;mso-wrap-style:square" from="10752,5196" to="11886,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jzr4AAADaAAAADwAAAGRycy9kb3ducmV2LnhtbESPwQrCMBBE74L/EFbwIpqqoFKNIkLB&#10;g5eqoMelWdtisylN1Pr3RhA8DjPzhlltWlOJJzWutKxgPIpAEGdWl5wrOJ+S4QKE88gaK8uk4E0O&#10;NutuZ4Wxti9O6Xn0uQgQdjEqKLyvYyldVpBBN7I1cfButjHog2xyqRt8Bbip5CSKZtJgyWGhwJp2&#10;BWX348MoWKTzw/XGaTKI6otPsUrYTBOl+r12uwThqfX/8K+91wom8L0SboBc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YaPOvgAAANoAAAAPAAAAAAAAAAAAAAAAAKEC&#10;AABkcnMvZG93bnJldi54bWxQSwUGAAAAAAQABAD5AAAAjAMAAAAA&#10;" strokecolor="#002f63" strokeweight="1mm"/>
              <v:line id="Line 24" o:spid="_x0000_s1028" style="position:absolute;visibility:visible;mso-wrap-style:square" from="1674,5197" to="1074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m6NsEAAADaAAAADwAAAGRycy9kb3ducmV2LnhtbESPQYvCMBSE78L+h/AW9iKaroIs1Siy&#10;IHhTqyB7eyTPttq8lCRq998bQfA4zMw3zGzR2UbcyIfasYLvYQaCWDtTc6ngsF8NfkCEiGywcUwK&#10;/inAYv7Rm2Fu3J13dCtiKRKEQ44KqhjbXMqgK7IYhq4lTt7JeYsxSV9K4/Ge4LaRoyybSIs1p4UK&#10;W/qtSF+Kq1Wwupqir//kOtPHgjbb0Tn4zV6pr89uOQURqYvv8Ku9NgrG8LySb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bo2wQAAANoAAAAPAAAAAAAAAAAAAAAA&#10;AKECAABkcnMvZG93bnJldi54bWxQSwUGAAAAAAQABAD5AAAAjwMAAAAA&#10;" strokecolor="#002f63" strokeweight=".5pt"/>
              <v:line id="Line 25" o:spid="_x0000_s1029" style="position:absolute;visibility:visible;mso-wrap-style:square" from="531,5196" to="166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eIcEAAADaAAAADwAAAGRycy9kb3ducmV2LnhtbESPQYvCMBSE78L+h/AEL6Kpq6ylNpVl&#10;obAHL1VhPT6aZ1tsXkoTtf77jSB4HGbmGybdDqYVN+pdY1nBYh6BIC6tbrhScDzksxiE88gaW8uk&#10;4EEOttnHKMVE2zsXdNv7SgQIuwQV1N53iZSurMmgm9uOOHhn2xv0QfaV1D3eA9y08jOKvqTBhsNC&#10;jR391FRe9lejIC7Wu9OZi3wadX++wDZns8yVmoyH7w0IT4N/h1/tX61gBc8r4Qb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xJ4hwQAAANoAAAAPAAAAAAAAAAAAAAAA&#10;AKECAABkcnMvZG93bnJldi54bWxQSwUGAAAAAAQABAD5AAAAjwMAAAAA&#10;" strokecolor="#002f63" strokeweight="1mm"/>
            </v:group>
          </w:pict>
        </mc:Fallback>
      </mc:AlternateContent>
    </w:r>
    <w:r w:rsidR="00816F2B">
      <w:rPr>
        <w:rFonts w:ascii="Verdana" w:hAnsi="Verdana"/>
        <w:color w:val="002F63"/>
        <w:sz w:val="18"/>
      </w:rPr>
      <w:t xml:space="preserve">Page </w:t>
    </w:r>
    <w:r w:rsidR="00816F2B" w:rsidRPr="00AA0ACF">
      <w:rPr>
        <w:rFonts w:ascii="Verdana" w:hAnsi="Verdana"/>
        <w:color w:val="002F63"/>
        <w:sz w:val="18"/>
        <w:szCs w:val="18"/>
      </w:rPr>
      <w:fldChar w:fldCharType="begin"/>
    </w:r>
    <w:r w:rsidR="00816F2B" w:rsidRPr="00AA0ACF">
      <w:rPr>
        <w:rFonts w:ascii="Verdana" w:hAnsi="Verdana"/>
        <w:color w:val="002F63"/>
        <w:sz w:val="18"/>
        <w:szCs w:val="18"/>
      </w:rPr>
      <w:instrText xml:space="preserve"> PAGE </w:instrText>
    </w:r>
    <w:r w:rsidR="00816F2B" w:rsidRPr="00AA0ACF">
      <w:rPr>
        <w:rFonts w:ascii="Verdana" w:hAnsi="Verdana"/>
        <w:color w:val="002F63"/>
        <w:sz w:val="18"/>
        <w:szCs w:val="18"/>
      </w:rPr>
      <w:fldChar w:fldCharType="separate"/>
    </w:r>
    <w:r w:rsidR="00136EB7">
      <w:rPr>
        <w:rFonts w:ascii="Verdana" w:hAnsi="Verdana"/>
        <w:noProof/>
        <w:color w:val="002F63"/>
        <w:sz w:val="18"/>
        <w:szCs w:val="18"/>
      </w:rPr>
      <w:t>2</w:t>
    </w:r>
    <w:r w:rsidR="00816F2B" w:rsidRPr="00AA0ACF">
      <w:rPr>
        <w:rFonts w:ascii="Verdana" w:hAnsi="Verdana"/>
        <w:color w:val="002F63"/>
        <w:sz w:val="18"/>
        <w:szCs w:val="18"/>
      </w:rPr>
      <w:fldChar w:fldCharType="end"/>
    </w:r>
    <w:r w:rsidR="00816F2B">
      <w:rPr>
        <w:rFonts w:ascii="Verdana" w:hAnsi="Verdana"/>
        <w:color w:val="002F63"/>
        <w:sz w:val="18"/>
      </w:rPr>
      <w:t xml:space="preserve"> of </w:t>
    </w:r>
    <w:r w:rsidR="00816F2B" w:rsidRPr="00AA0ACF">
      <w:rPr>
        <w:rFonts w:ascii="Verdana" w:hAnsi="Verdana"/>
        <w:color w:val="002F63"/>
        <w:sz w:val="18"/>
        <w:szCs w:val="18"/>
      </w:rPr>
      <w:fldChar w:fldCharType="begin"/>
    </w:r>
    <w:r w:rsidR="00816F2B" w:rsidRPr="00AA0ACF">
      <w:rPr>
        <w:rFonts w:ascii="Verdana" w:hAnsi="Verdana"/>
        <w:color w:val="002F63"/>
        <w:sz w:val="18"/>
        <w:szCs w:val="18"/>
      </w:rPr>
      <w:instrText xml:space="preserve"> NUMPAGES </w:instrText>
    </w:r>
    <w:r w:rsidR="00816F2B" w:rsidRPr="00AA0ACF">
      <w:rPr>
        <w:rFonts w:ascii="Verdana" w:hAnsi="Verdana"/>
        <w:color w:val="002F63"/>
        <w:sz w:val="18"/>
        <w:szCs w:val="18"/>
      </w:rPr>
      <w:fldChar w:fldCharType="separate"/>
    </w:r>
    <w:r w:rsidR="00136EB7">
      <w:rPr>
        <w:rFonts w:ascii="Verdana" w:hAnsi="Verdana"/>
        <w:noProof/>
        <w:color w:val="002F63"/>
        <w:sz w:val="18"/>
        <w:szCs w:val="18"/>
      </w:rPr>
      <w:t>6</w:t>
    </w:r>
    <w:r w:rsidR="00816F2B" w:rsidRPr="00AA0ACF">
      <w:rPr>
        <w:rFonts w:ascii="Verdana" w:hAnsi="Verdana"/>
        <w:color w:val="002F6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BA" w:rsidRDefault="006948BA" w:rsidP="009C5716">
      <w:pPr>
        <w:pBdr>
          <w:bottom w:val="single" w:sz="6" w:space="1" w:color="002F63"/>
        </w:pBdr>
      </w:pPr>
    </w:p>
  </w:footnote>
  <w:footnote w:type="continuationSeparator" w:id="0">
    <w:p w:rsidR="006948BA" w:rsidRDefault="0069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2B" w:rsidRDefault="00816F2B" w:rsidP="0045589B">
    <w:pPr>
      <w:pStyle w:val="Intestazione"/>
      <w:jc w:val="center"/>
    </w:pPr>
    <w:r>
      <w:rPr>
        <w:noProof/>
        <w:lang w:val="it-IT" w:eastAsia="it-IT" w:bidi="ar-SA"/>
      </w:rPr>
      <w:drawing>
        <wp:inline distT="0" distB="0" distL="0" distR="0">
          <wp:extent cx="1571625" cy="361950"/>
          <wp:effectExtent l="0" t="0" r="9525" b="0"/>
          <wp:docPr id="33" name="Immagine 33" descr="AB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I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2B" w:rsidRDefault="00816F2B" w:rsidP="001E074B">
    <w:pPr>
      <w:pStyle w:val="Intestazione"/>
      <w:jc w:val="center"/>
    </w:pPr>
    <w:r>
      <w:rPr>
        <w:noProof/>
        <w:lang w:val="it-IT" w:eastAsia="it-IT" w:bidi="ar-SA"/>
      </w:rPr>
      <w:drawing>
        <wp:inline distT="0" distB="0" distL="0" distR="0">
          <wp:extent cx="1581150" cy="361950"/>
          <wp:effectExtent l="0" t="0" r="0" b="0"/>
          <wp:docPr id="34" name="Immagine 34" descr="ABI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BI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61950"/>
                  </a:xfrm>
                  <a:prstGeom prst="rect">
                    <a:avLst/>
                  </a:prstGeom>
                  <a:noFill/>
                  <a:ln>
                    <a:noFill/>
                  </a:ln>
                </pic:spPr>
              </pic:pic>
            </a:graphicData>
          </a:graphic>
        </wp:inline>
      </w:drawing>
    </w:r>
  </w:p>
  <w:p w:rsidR="00816F2B" w:rsidRPr="00EC5304" w:rsidRDefault="00816F2B" w:rsidP="00B5098C">
    <w:pPr>
      <w:pStyle w:val="Intestazione"/>
      <w:ind w:left="3540"/>
      <w:jc w:val="center"/>
      <w:rPr>
        <w:color w:val="FF0000"/>
        <w:sz w:val="32"/>
        <w:szCs w:val="32"/>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417" w:type="dxa"/>
      <w:shd w:val="clear" w:color="auto" w:fill="002F63"/>
      <w:tblLayout w:type="fixed"/>
      <w:tblLook w:val="00A0" w:firstRow="1" w:lastRow="0" w:firstColumn="1" w:lastColumn="0" w:noHBand="0" w:noVBand="0"/>
    </w:tblPr>
    <w:tblGrid>
      <w:gridCol w:w="11340"/>
    </w:tblGrid>
    <w:tr w:rsidR="00816F2B">
      <w:trPr>
        <w:trHeight w:val="1134"/>
      </w:trPr>
      <w:tc>
        <w:tcPr>
          <w:tcW w:w="11340" w:type="dxa"/>
          <w:shd w:val="clear" w:color="auto" w:fill="002F63"/>
        </w:tcPr>
        <w:p w:rsidR="00816F2B" w:rsidRPr="00436651" w:rsidRDefault="00CA060C" w:rsidP="00C94AB8">
          <w:pPr>
            <w:pStyle w:val="Intestazione"/>
            <w:spacing w:before="480"/>
            <w:jc w:val="center"/>
            <w:rPr>
              <w:rFonts w:ascii="Verdana" w:hAnsi="Verdana"/>
              <w:color w:val="FFFFFF"/>
              <w:sz w:val="20"/>
              <w:szCs w:val="20"/>
            </w:rPr>
          </w:pPr>
          <w:r>
            <w:rPr>
              <w:rFonts w:ascii="Verdana" w:hAnsi="Verdana"/>
              <w:b/>
              <w:noProof/>
              <w:color w:val="FFFFFF"/>
              <w:sz w:val="20"/>
              <w:szCs w:val="20"/>
              <w:lang w:val="it-IT" w:eastAsia="it-IT" w:bidi="ar-SA"/>
            </w:rPr>
            <mc:AlternateContent>
              <mc:Choice Requires="wpg">
                <w:drawing>
                  <wp:anchor distT="0" distB="0" distL="114300" distR="114300" simplePos="0" relativeHeight="251661312" behindDoc="0" locked="0" layoutInCell="1" allowOverlap="1">
                    <wp:simplePos x="0" y="0"/>
                    <wp:positionH relativeFrom="column">
                      <wp:posOffset>-86995</wp:posOffset>
                    </wp:positionH>
                    <wp:positionV relativeFrom="paragraph">
                      <wp:posOffset>467360</wp:posOffset>
                    </wp:positionV>
                    <wp:extent cx="7210425" cy="635"/>
                    <wp:effectExtent l="0" t="19050" r="28575" b="37465"/>
                    <wp:wrapNone/>
                    <wp:docPr id="1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15" name="Line 49"/>
                            <wps:cNvCnPr>
                              <a:cxnSpLocks noChangeShapeType="1"/>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16" name="Line 50"/>
                            <wps:cNvCnPr>
                              <a:cxnSpLocks noChangeShapeType="1"/>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5DE0F7" id="Group 48" o:spid="_x0000_s1026" style="position:absolute;margin-left:-6.85pt;margin-top:36.8pt;width:567.75pt;height:.05pt;z-index:251661312"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">
                    <v:line id="Line 49" o:spid="_x0000_s1027" style="position:absolute;visibility:visible;mso-wrap-style:square" from="10752,5196" to="11886,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NE7cMAAADbAAAADwAAAGRycy9kb3ducmV2LnhtbESP0WoCMRBF3wv+QxihL0tNumApq1Gk&#10;UChFC7X9gGEzbhY3kyWJ6/r3RhB8m+HeuefOcj26TgwUYutZw+tMgSCuvWm50fD/9/nyDiImZIOd&#10;Z9JwoQjr1eRpiZXxZ/6lYZ8akUM4VqjBptRXUsbaksM48z1x1g4+OEx5DY00Ac853HWyVOpNOmw5&#10;Eyz29GGpPu5PLnOL7aX4VuXRlkNwB1X8bNvdSevn6bhZgEg0pof5fv1lcv053H7JA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DRO3DAAAA2wAAAA8AAAAAAAAAAAAA&#10;AAAAoQIAAGRycy9kb3ducmV2LnhtbFBLBQYAAAAABAAEAPkAAACRAwAAAAA=&#10;" strokecolor="white" strokeweight="1mm"/>
                    <v:line id="Line 50" o:spid="_x0000_s1028" style="position:absolute;visibility:visible;mso-wrap-style:square" from="1674,5197" to="1074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3r9sMAAADbAAAADwAAAGRycy9kb3ducmV2LnhtbERPTWvCQBC9C/0PyxS8mU09iKbZSGkp&#10;6skmbQ/ehuyYBLOzaXY1sb++WxC8zeN9TroeTSsu1LvGsoKnKAZBXFrdcKXg6/N9tgThPLLG1jIp&#10;uJKDdfYwSTHRduCcLoWvRAhhl6CC2vsukdKVNRl0ke2IA3e0vUEfYF9J3eMQwk0r53G8kAYbDg01&#10;dvRaU3kqzkbB2+k7X+Xtx+/4s5l3h6HY83m3V2r6OL48g/A0+rv45t7qMH8B/7+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6/bDAAAA2wAAAA8AAAAAAAAAAAAA&#10;AAAAoQIAAGRycy9kb3ducmV2LnhtbFBLBQYAAAAABAAEAPkAAACRAwAAAAA=&#10;" strokecolor="white" strokeweight=".5pt"/>
                    <v:line id="Line 51" o:spid="_x0000_s1029" style="position:absolute;visibility:visible;mso-wrap-style:square" from="531,5196" to="166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1/AcQAAADbAAAADwAAAGRycy9kb3ducmV2LnhtbESP0WoCMRBF3wv+QxihL0tNug+2rEaR&#10;QqEULdT2A4bNuFncTJYkruvfG0HwbYZ75547y/XoOjFQiK1nDa8zBYK49qblRsP/3+fLO4iYkA12&#10;nknDhSKsV5OnJVbGn/mXhn1qRA7hWKEGm1JfSRlrSw7jzPfEWTv44DDlNTTSBDzncNfJUqm5dNhy&#10;Jljs6cNSfdyfXOYW20vxrcqjLYfgDqr42ba7k9bP03GzAJFoTA/z/frL5PpvcPslD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X8BxAAAANsAAAAPAAAAAAAAAAAA&#10;AAAAAKECAABkcnMvZG93bnJldi54bWxQSwUGAAAAAAQABAD5AAAAkgMAAAAA&#10;" strokecolor="white" strokeweight="1mm"/>
                  </v:group>
                </w:pict>
              </mc:Fallback>
            </mc:AlternateContent>
          </w:r>
          <w:r w:rsidR="00816F2B">
            <w:rPr>
              <w:rFonts w:ascii="Verdana" w:hAnsi="Verdana"/>
              <w:b/>
              <w:color w:val="FFFFFF"/>
              <w:sz w:val="20"/>
            </w:rPr>
            <w:t>POSITION PAPER 2014</w:t>
          </w:r>
        </w:p>
      </w:tc>
    </w:tr>
  </w:tbl>
  <w:p w:rsidR="00816F2B" w:rsidRDefault="00816F2B" w:rsidP="00A832BC">
    <w:pPr>
      <w:pStyle w:val="Intestazio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417" w:type="dxa"/>
      <w:shd w:val="clear" w:color="auto" w:fill="002F63"/>
      <w:tblLayout w:type="fixed"/>
      <w:tblLook w:val="00A0" w:firstRow="1" w:lastRow="0" w:firstColumn="1" w:lastColumn="0" w:noHBand="0" w:noVBand="0"/>
    </w:tblPr>
    <w:tblGrid>
      <w:gridCol w:w="11340"/>
    </w:tblGrid>
    <w:tr w:rsidR="00816F2B">
      <w:trPr>
        <w:trHeight w:val="1134"/>
      </w:trPr>
      <w:tc>
        <w:tcPr>
          <w:tcW w:w="11340" w:type="dxa"/>
          <w:shd w:val="clear" w:color="auto" w:fill="002F63"/>
        </w:tcPr>
        <w:p w:rsidR="00816F2B" w:rsidRPr="00436651" w:rsidRDefault="00CA060C" w:rsidP="0098595F">
          <w:pPr>
            <w:pStyle w:val="Intestazione"/>
            <w:spacing w:before="480"/>
            <w:jc w:val="center"/>
            <w:rPr>
              <w:rFonts w:ascii="Verdana" w:hAnsi="Verdana"/>
              <w:color w:val="FFFFFF"/>
              <w:sz w:val="20"/>
              <w:szCs w:val="20"/>
            </w:rPr>
          </w:pPr>
          <w:r>
            <w:rPr>
              <w:rFonts w:ascii="Verdana" w:hAnsi="Verdana"/>
              <w:b/>
              <w:noProof/>
              <w:color w:val="FFFFFF"/>
              <w:sz w:val="20"/>
              <w:szCs w:val="20"/>
              <w:lang w:val="it-IT" w:eastAsia="it-IT" w:bidi="ar-SA"/>
            </w:rPr>
            <mc:AlternateContent>
              <mc:Choice Requires="wpg">
                <w:drawing>
                  <wp:anchor distT="0" distB="0" distL="114300" distR="114300" simplePos="0" relativeHeight="251657216" behindDoc="0" locked="0" layoutInCell="1" allowOverlap="1">
                    <wp:simplePos x="0" y="0"/>
                    <wp:positionH relativeFrom="column">
                      <wp:posOffset>-86995</wp:posOffset>
                    </wp:positionH>
                    <wp:positionV relativeFrom="paragraph">
                      <wp:posOffset>467360</wp:posOffset>
                    </wp:positionV>
                    <wp:extent cx="7210425" cy="635"/>
                    <wp:effectExtent l="0" t="19050" r="28575" b="37465"/>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7" name="Line 19"/>
                            <wps:cNvCnPr>
                              <a:cxnSpLocks noChangeShapeType="1"/>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C826D" id="Group 18" o:spid="_x0000_s1026" style="position:absolute;margin-left:-6.85pt;margin-top:36.8pt;width:567.75pt;height:.05pt;z-index:251657216"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">
                    <v:line id="Line 19" o:spid="_x0000_s1027" style="position:absolute;visibility:visible;mso-wrap-style:square" from="10752,5196" to="11886,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GUcIAAADaAAAADwAAAGRycy9kb3ducmV2LnhtbESP32rCMBTG7we+QzjCbspM1gs3qlFk&#10;MBhDB3N7gENzbIrNSUlirW9vBMHLj+/Pj2+5Hl0nBgqx9azhdaZAENfetNxo+P/7fHkHEROywc4z&#10;abhQhPVq8rTEyvgz/9KwT43IIxwr1GBT6ispY23JYZz5njh7Bx8cpixDI03Acx53nSyVmkuHLWeC&#10;xZ4+LNXH/cllbrG9FN+qPNpyCO6gip9tuztp/TwdNwsQicb0CN/bX0bDG9yu5Bs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TGUcIAAADaAAAADwAAAAAAAAAAAAAA&#10;AAChAgAAZHJzL2Rvd25yZXYueG1sUEsFBgAAAAAEAAQA+QAAAJADAAAAAA==&#10;" strokecolor="white" strokeweight="1mm"/>
                    <v:line id="Line 20" o:spid="_x0000_s1028" style="position:absolute;visibility:visible;mso-wrap-style:square" from="1674,5197" to="1074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bFMAAAADaAAAADwAAAGRycy9kb3ducmV2LnhtbERPPW/CMBDdkfgP1iF1AweGClIMQiDU&#10;doIEOrCd4iOJiM8hNiTl1+MBifHpfc+XnanEnRpXWlYwHkUgiDOrS84VHA/b4RSE88gaK8uk4J8c&#10;LBf93hxjbVtO6J76XIQQdjEqKLyvYyldVpBBN7I1ceDOtjHoA2xyqRtsQ7ip5CSKPqXBkkNDgTWt&#10;C8ou6c0o2Fz+kllS7R/d9XtSn9p0x7ffnVIfg271BcJT59/il/tHKwhbw5Vw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YGxTAAAAA2gAAAA8AAAAAAAAAAAAAAAAA&#10;oQIAAGRycy9kb3ducmV2LnhtbFBLBQYAAAAABAAEAPkAAACOAwAAAAA=&#10;" strokecolor="white" strokeweight=".5pt"/>
                    <v:line id="Line 21" o:spid="_x0000_s1029" style="position:absolute;visibility:visible;mso-wrap-style:square" from="531,5196" to="1665,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uMIAAADaAAAADwAAAGRycy9kb3ducmV2LnhtbESP32rCMBTG7we+QzjCbspM1gvZqlFk&#10;MBhDB3N7gENzbIrNSUlirW9vBMHLj+/Pj2+5Hl0nBgqx9azhdaZAENfetNxo+P/7fHkDEROywc4z&#10;abhQhPVq8rTEyvgz/9KwT43IIxwr1GBT6ispY23JYZz5njh7Bx8cpixDI03Acx53nSyVmkuHLWeC&#10;xZ4+LNXH/cllbrG9FN+qPNpyCO6gip9tuztp/TwdNwsQicb0CN/bX0bDO9yu5Bs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f3uMIAAADaAAAADwAAAAAAAAAAAAAA&#10;AAChAgAAZHJzL2Rvd25yZXYueG1sUEsFBgAAAAAEAAQA+QAAAJADAAAAAA==&#10;" strokecolor="white" strokeweight="1mm"/>
                  </v:group>
                </w:pict>
              </mc:Fallback>
            </mc:AlternateContent>
          </w:r>
          <w:r w:rsidR="00816F2B">
            <w:rPr>
              <w:rFonts w:ascii="Verdana" w:hAnsi="Verdana"/>
              <w:b/>
              <w:color w:val="FFFFFF"/>
              <w:sz w:val="20"/>
            </w:rPr>
            <w:t xml:space="preserve">POSITION PAPER </w:t>
          </w:r>
          <w:r w:rsidR="00816F2B">
            <w:rPr>
              <w:rFonts w:ascii="Verdana" w:hAnsi="Verdana"/>
              <w:color w:val="FFFFFF"/>
              <w:sz w:val="20"/>
            </w:rPr>
            <w:t>2014</w:t>
          </w:r>
        </w:p>
      </w:tc>
    </w:tr>
  </w:tbl>
  <w:p w:rsidR="00816F2B" w:rsidRDefault="00816F2B" w:rsidP="001E074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8E0"/>
    <w:multiLevelType w:val="hybridMultilevel"/>
    <w:tmpl w:val="21ECBD06"/>
    <w:lvl w:ilvl="0" w:tplc="BB0E879E">
      <w:start w:val="17"/>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1E6E0FBE"/>
    <w:multiLevelType w:val="hybridMultilevel"/>
    <w:tmpl w:val="BE762992"/>
    <w:lvl w:ilvl="0" w:tplc="73A052E6">
      <w:start w:val="13"/>
      <w:numFmt w:val="decimal"/>
      <w:lvlText w:val="%1."/>
      <w:lvlJc w:val="left"/>
      <w:pPr>
        <w:ind w:left="972" w:hanging="405"/>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20B3333F"/>
    <w:multiLevelType w:val="hybridMultilevel"/>
    <w:tmpl w:val="5F18B030"/>
    <w:lvl w:ilvl="0" w:tplc="5210842E">
      <w:start w:val="1"/>
      <w:numFmt w:val="decimal"/>
      <w:pStyle w:val="TestoNota"/>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A6331AB"/>
    <w:multiLevelType w:val="hybridMultilevel"/>
    <w:tmpl w:val="E3445A36"/>
    <w:lvl w:ilvl="0" w:tplc="976EF66A">
      <w:start w:val="1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3D7B5880"/>
    <w:multiLevelType w:val="hybridMultilevel"/>
    <w:tmpl w:val="1D5257A2"/>
    <w:lvl w:ilvl="0" w:tplc="04C2CEAC">
      <w:start w:val="11"/>
      <w:numFmt w:val="decimal"/>
      <w:lvlText w:val="%1."/>
      <w:lvlJc w:val="left"/>
      <w:pPr>
        <w:ind w:left="927" w:hanging="587"/>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3EFF0BB2"/>
    <w:multiLevelType w:val="hybridMultilevel"/>
    <w:tmpl w:val="692677F0"/>
    <w:lvl w:ilvl="0" w:tplc="530A2AFC">
      <w:start w:val="17"/>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413C5439"/>
    <w:multiLevelType w:val="hybridMultilevel"/>
    <w:tmpl w:val="B596B9DC"/>
    <w:lvl w:ilvl="0" w:tplc="36642616">
      <w:start w:val="1"/>
      <w:numFmt w:val="decimal"/>
      <w:lvlText w:val="%1."/>
      <w:lvlJc w:val="left"/>
      <w:pPr>
        <w:ind w:left="1068"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7">
    <w:nsid w:val="48E24F5B"/>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D422B47"/>
    <w:multiLevelType w:val="hybridMultilevel"/>
    <w:tmpl w:val="AC56F956"/>
    <w:lvl w:ilvl="0" w:tplc="95A674C8">
      <w:start w:val="6"/>
      <w:numFmt w:val="decimal"/>
      <w:lvlText w:val="%1."/>
      <w:lvlJc w:val="left"/>
      <w:pPr>
        <w:ind w:left="785"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682E785E"/>
    <w:multiLevelType w:val="hybridMultilevel"/>
    <w:tmpl w:val="C9F08E3A"/>
    <w:lvl w:ilvl="0" w:tplc="1C4E5EEE">
      <w:numFmt w:val="bullet"/>
      <w:lvlText w:val="-"/>
      <w:lvlJc w:val="left"/>
      <w:pPr>
        <w:ind w:left="1287" w:hanging="360"/>
      </w:pPr>
      <w:rPr>
        <w:rFonts w:ascii="Verdana" w:eastAsia="Times New Roman" w:hAnsi="Verdana"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6DBA5A5D"/>
    <w:multiLevelType w:val="hybridMultilevel"/>
    <w:tmpl w:val="EADA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E409E8"/>
    <w:multiLevelType w:val="hybridMultilevel"/>
    <w:tmpl w:val="36362FC6"/>
    <w:lvl w:ilvl="0" w:tplc="223E286C">
      <w:start w:val="1"/>
      <w:numFmt w:val="decimal"/>
      <w:pStyle w:val="TitoloTesto"/>
      <w:lvlText w:val="%1."/>
      <w:lvlJc w:val="left"/>
      <w:pPr>
        <w:ind w:left="927"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3C6F30"/>
    <w:multiLevelType w:val="hybridMultilevel"/>
    <w:tmpl w:val="37C86844"/>
    <w:lvl w:ilvl="0" w:tplc="2394635A">
      <w:start w:val="1"/>
      <w:numFmt w:val="decimal"/>
      <w:lvlText w:val="%1."/>
      <w:lvlJc w:val="left"/>
      <w:pPr>
        <w:tabs>
          <w:tab w:val="num" w:pos="1352"/>
        </w:tabs>
        <w:ind w:left="1352" w:hanging="360"/>
      </w:pPr>
      <w:rPr>
        <w:rFonts w:hint="default"/>
      </w:rPr>
    </w:lvl>
    <w:lvl w:ilvl="1" w:tplc="89D2B820">
      <w:start w:val="1"/>
      <w:numFmt w:val="decimal"/>
      <w:pStyle w:val="Elenconumerato"/>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9DE17D4"/>
    <w:multiLevelType w:val="hybridMultilevel"/>
    <w:tmpl w:val="2542BBFA"/>
    <w:lvl w:ilvl="0" w:tplc="A2226A22">
      <w:start w:val="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2"/>
  </w:num>
  <w:num w:numId="2">
    <w:abstractNumId w:val="7"/>
  </w:num>
  <w:num w:numId="3">
    <w:abstractNumId w:val="2"/>
  </w:num>
  <w:num w:numId="4">
    <w:abstractNumId w:val="10"/>
  </w:num>
  <w:num w:numId="5">
    <w:abstractNumId w:val="11"/>
  </w:num>
  <w:num w:numId="6">
    <w:abstractNumId w:val="11"/>
    <w:lvlOverride w:ilvl="0">
      <w:startOverride w:val="4"/>
    </w:lvlOverride>
  </w:num>
  <w:num w:numId="7">
    <w:abstractNumId w:val="11"/>
    <w:lvlOverride w:ilvl="0">
      <w:startOverride w:val="8"/>
    </w:lvlOverride>
  </w:num>
  <w:num w:numId="8">
    <w:abstractNumId w:val="11"/>
    <w:lvlOverride w:ilvl="0">
      <w:startOverride w:val="11"/>
    </w:lvlOverride>
  </w:num>
  <w:num w:numId="9">
    <w:abstractNumId w:val="6"/>
  </w:num>
  <w:num w:numId="10">
    <w:abstractNumId w:val="4"/>
  </w:num>
  <w:num w:numId="11">
    <w:abstractNumId w:val="9"/>
  </w:num>
  <w:num w:numId="12">
    <w:abstractNumId w:val="13"/>
  </w:num>
  <w:num w:numId="13">
    <w:abstractNumId w:val="8"/>
  </w:num>
  <w:num w:numId="14">
    <w:abstractNumId w:val="3"/>
  </w:num>
  <w:num w:numId="15">
    <w:abstractNumId w:val="1"/>
  </w:num>
  <w:num w:numId="16">
    <w:abstractNumId w:val="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283"/>
  <w:characterSpacingControl w:val="doNotCompress"/>
  <w:hdrShapeDefaults>
    <o:shapedefaults v:ext="edit" spidmax="2049">
      <o:colormru v:ext="edit" colors="#002f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1C"/>
    <w:rsid w:val="000158EB"/>
    <w:rsid w:val="00021F70"/>
    <w:rsid w:val="000348E3"/>
    <w:rsid w:val="0008713D"/>
    <w:rsid w:val="000C09B2"/>
    <w:rsid w:val="000C553F"/>
    <w:rsid w:val="000E7908"/>
    <w:rsid w:val="000F1219"/>
    <w:rsid w:val="000F34A9"/>
    <w:rsid w:val="000F6FF8"/>
    <w:rsid w:val="00105F7F"/>
    <w:rsid w:val="00112497"/>
    <w:rsid w:val="0011384A"/>
    <w:rsid w:val="0012715E"/>
    <w:rsid w:val="00136EB7"/>
    <w:rsid w:val="00155D08"/>
    <w:rsid w:val="00160AE6"/>
    <w:rsid w:val="001757A9"/>
    <w:rsid w:val="001770F5"/>
    <w:rsid w:val="00185331"/>
    <w:rsid w:val="001864E4"/>
    <w:rsid w:val="001A3EFC"/>
    <w:rsid w:val="001A434F"/>
    <w:rsid w:val="001A594B"/>
    <w:rsid w:val="001B229F"/>
    <w:rsid w:val="001B4467"/>
    <w:rsid w:val="001B5C5E"/>
    <w:rsid w:val="001C0C0C"/>
    <w:rsid w:val="001C17A2"/>
    <w:rsid w:val="001C731C"/>
    <w:rsid w:val="001D4F48"/>
    <w:rsid w:val="001E074B"/>
    <w:rsid w:val="00233025"/>
    <w:rsid w:val="00236285"/>
    <w:rsid w:val="00255A66"/>
    <w:rsid w:val="00255F66"/>
    <w:rsid w:val="002567DB"/>
    <w:rsid w:val="00261BA3"/>
    <w:rsid w:val="00276C19"/>
    <w:rsid w:val="002876B0"/>
    <w:rsid w:val="00290BE5"/>
    <w:rsid w:val="002F27C5"/>
    <w:rsid w:val="00304505"/>
    <w:rsid w:val="003056E4"/>
    <w:rsid w:val="003302EC"/>
    <w:rsid w:val="00333D07"/>
    <w:rsid w:val="0033401D"/>
    <w:rsid w:val="00363CD9"/>
    <w:rsid w:val="00365DD4"/>
    <w:rsid w:val="003A648C"/>
    <w:rsid w:val="003B6C5B"/>
    <w:rsid w:val="003D1FB4"/>
    <w:rsid w:val="003E0813"/>
    <w:rsid w:val="003E200F"/>
    <w:rsid w:val="004105DF"/>
    <w:rsid w:val="00411AA9"/>
    <w:rsid w:val="004276ED"/>
    <w:rsid w:val="00436651"/>
    <w:rsid w:val="0045589B"/>
    <w:rsid w:val="00457726"/>
    <w:rsid w:val="00486DCF"/>
    <w:rsid w:val="00494583"/>
    <w:rsid w:val="00495695"/>
    <w:rsid w:val="004A585C"/>
    <w:rsid w:val="004C1A1F"/>
    <w:rsid w:val="004C7AB9"/>
    <w:rsid w:val="004F41BE"/>
    <w:rsid w:val="004F52C8"/>
    <w:rsid w:val="004F6D6F"/>
    <w:rsid w:val="00514237"/>
    <w:rsid w:val="00516A50"/>
    <w:rsid w:val="005176AA"/>
    <w:rsid w:val="00530804"/>
    <w:rsid w:val="0053201A"/>
    <w:rsid w:val="00552455"/>
    <w:rsid w:val="00553DF2"/>
    <w:rsid w:val="00567E18"/>
    <w:rsid w:val="005756E2"/>
    <w:rsid w:val="00594667"/>
    <w:rsid w:val="005A50F1"/>
    <w:rsid w:val="005C20B4"/>
    <w:rsid w:val="005D409E"/>
    <w:rsid w:val="005E5FD0"/>
    <w:rsid w:val="005F3AA6"/>
    <w:rsid w:val="005F4CDE"/>
    <w:rsid w:val="0060500E"/>
    <w:rsid w:val="00607040"/>
    <w:rsid w:val="00620830"/>
    <w:rsid w:val="00646713"/>
    <w:rsid w:val="006506A8"/>
    <w:rsid w:val="00654D67"/>
    <w:rsid w:val="006567A6"/>
    <w:rsid w:val="00666E5A"/>
    <w:rsid w:val="006769F3"/>
    <w:rsid w:val="006860C4"/>
    <w:rsid w:val="00692748"/>
    <w:rsid w:val="006941CC"/>
    <w:rsid w:val="006948BA"/>
    <w:rsid w:val="006A2273"/>
    <w:rsid w:val="006A4899"/>
    <w:rsid w:val="006A69EC"/>
    <w:rsid w:val="006C4AD8"/>
    <w:rsid w:val="006C7911"/>
    <w:rsid w:val="006D2E4E"/>
    <w:rsid w:val="006F522E"/>
    <w:rsid w:val="00700E73"/>
    <w:rsid w:val="00703AD9"/>
    <w:rsid w:val="007213A5"/>
    <w:rsid w:val="007222D8"/>
    <w:rsid w:val="007309B5"/>
    <w:rsid w:val="00737D9F"/>
    <w:rsid w:val="00745828"/>
    <w:rsid w:val="00777F04"/>
    <w:rsid w:val="007B25F4"/>
    <w:rsid w:val="007B2F61"/>
    <w:rsid w:val="007B6F2D"/>
    <w:rsid w:val="007D17DA"/>
    <w:rsid w:val="00805C33"/>
    <w:rsid w:val="00811A27"/>
    <w:rsid w:val="00816F2B"/>
    <w:rsid w:val="0084262C"/>
    <w:rsid w:val="00847B15"/>
    <w:rsid w:val="00850127"/>
    <w:rsid w:val="0085621B"/>
    <w:rsid w:val="00862565"/>
    <w:rsid w:val="00865D14"/>
    <w:rsid w:val="00874B50"/>
    <w:rsid w:val="00877E1C"/>
    <w:rsid w:val="008967D9"/>
    <w:rsid w:val="008B407B"/>
    <w:rsid w:val="008B6CC2"/>
    <w:rsid w:val="008C1919"/>
    <w:rsid w:val="008C1CB3"/>
    <w:rsid w:val="008E5915"/>
    <w:rsid w:val="008E63E5"/>
    <w:rsid w:val="009256E5"/>
    <w:rsid w:val="00926E7F"/>
    <w:rsid w:val="0096480D"/>
    <w:rsid w:val="009657F8"/>
    <w:rsid w:val="00970974"/>
    <w:rsid w:val="0097321A"/>
    <w:rsid w:val="00975A5A"/>
    <w:rsid w:val="00976038"/>
    <w:rsid w:val="0098595F"/>
    <w:rsid w:val="009938B5"/>
    <w:rsid w:val="0099634E"/>
    <w:rsid w:val="009A526E"/>
    <w:rsid w:val="009B0037"/>
    <w:rsid w:val="009C5716"/>
    <w:rsid w:val="009D61DF"/>
    <w:rsid w:val="009E1711"/>
    <w:rsid w:val="00A00A1E"/>
    <w:rsid w:val="00A056AA"/>
    <w:rsid w:val="00A23AA4"/>
    <w:rsid w:val="00A26851"/>
    <w:rsid w:val="00A32C5D"/>
    <w:rsid w:val="00A371F1"/>
    <w:rsid w:val="00A77115"/>
    <w:rsid w:val="00A832BC"/>
    <w:rsid w:val="00A84755"/>
    <w:rsid w:val="00A95C23"/>
    <w:rsid w:val="00AA0ACF"/>
    <w:rsid w:val="00AA44AC"/>
    <w:rsid w:val="00AA538F"/>
    <w:rsid w:val="00AB3B99"/>
    <w:rsid w:val="00AD02BC"/>
    <w:rsid w:val="00AD5520"/>
    <w:rsid w:val="00AE5F10"/>
    <w:rsid w:val="00AF66A0"/>
    <w:rsid w:val="00B0396D"/>
    <w:rsid w:val="00B16266"/>
    <w:rsid w:val="00B26B19"/>
    <w:rsid w:val="00B31FAA"/>
    <w:rsid w:val="00B40C33"/>
    <w:rsid w:val="00B5098C"/>
    <w:rsid w:val="00B53FA6"/>
    <w:rsid w:val="00B55011"/>
    <w:rsid w:val="00B63DB4"/>
    <w:rsid w:val="00B74668"/>
    <w:rsid w:val="00B90422"/>
    <w:rsid w:val="00BA4551"/>
    <w:rsid w:val="00BB69C2"/>
    <w:rsid w:val="00BC1CF2"/>
    <w:rsid w:val="00BC4FA7"/>
    <w:rsid w:val="00BD7601"/>
    <w:rsid w:val="00BE5F0C"/>
    <w:rsid w:val="00BE6B4D"/>
    <w:rsid w:val="00BF2945"/>
    <w:rsid w:val="00C052AA"/>
    <w:rsid w:val="00C0566D"/>
    <w:rsid w:val="00C2477A"/>
    <w:rsid w:val="00C35DD8"/>
    <w:rsid w:val="00C448DF"/>
    <w:rsid w:val="00C7377F"/>
    <w:rsid w:val="00C94AB8"/>
    <w:rsid w:val="00CA060C"/>
    <w:rsid w:val="00CA2173"/>
    <w:rsid w:val="00CA376F"/>
    <w:rsid w:val="00CA4A6D"/>
    <w:rsid w:val="00CA5849"/>
    <w:rsid w:val="00CA61EF"/>
    <w:rsid w:val="00CA7062"/>
    <w:rsid w:val="00CB1706"/>
    <w:rsid w:val="00CD1AB6"/>
    <w:rsid w:val="00CD4F77"/>
    <w:rsid w:val="00CD79A2"/>
    <w:rsid w:val="00D41702"/>
    <w:rsid w:val="00D41CA8"/>
    <w:rsid w:val="00D45754"/>
    <w:rsid w:val="00D47871"/>
    <w:rsid w:val="00D5215D"/>
    <w:rsid w:val="00D53579"/>
    <w:rsid w:val="00D53ED1"/>
    <w:rsid w:val="00D548CF"/>
    <w:rsid w:val="00D94B8E"/>
    <w:rsid w:val="00D97E4C"/>
    <w:rsid w:val="00DB1F51"/>
    <w:rsid w:val="00DB5F98"/>
    <w:rsid w:val="00DC7F65"/>
    <w:rsid w:val="00DD4BEA"/>
    <w:rsid w:val="00DD4EAB"/>
    <w:rsid w:val="00DE745E"/>
    <w:rsid w:val="00DF017A"/>
    <w:rsid w:val="00DF1E29"/>
    <w:rsid w:val="00DF5591"/>
    <w:rsid w:val="00E2097B"/>
    <w:rsid w:val="00E404DA"/>
    <w:rsid w:val="00E50E0F"/>
    <w:rsid w:val="00E621E2"/>
    <w:rsid w:val="00E819B0"/>
    <w:rsid w:val="00E82A5C"/>
    <w:rsid w:val="00E859B3"/>
    <w:rsid w:val="00EB37EC"/>
    <w:rsid w:val="00EC5304"/>
    <w:rsid w:val="00EC7C8C"/>
    <w:rsid w:val="00ED0154"/>
    <w:rsid w:val="00EE779C"/>
    <w:rsid w:val="00F00FC8"/>
    <w:rsid w:val="00F16B0F"/>
    <w:rsid w:val="00F26D4F"/>
    <w:rsid w:val="00F321F2"/>
    <w:rsid w:val="00F416FA"/>
    <w:rsid w:val="00F51368"/>
    <w:rsid w:val="00F53553"/>
    <w:rsid w:val="00F61CEA"/>
    <w:rsid w:val="00F66D85"/>
    <w:rsid w:val="00F76E5B"/>
    <w:rsid w:val="00F82863"/>
    <w:rsid w:val="00F82FF5"/>
    <w:rsid w:val="00F94873"/>
    <w:rsid w:val="00F95651"/>
    <w:rsid w:val="00FC1017"/>
    <w:rsid w:val="00FD3BCA"/>
    <w:rsid w:val="00FF3438"/>
    <w:rsid w:val="00FF76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f63"/>
    </o:shapedefaults>
    <o:shapelayout v:ext="edit">
      <o:idmap v:ext="edit" data="1"/>
    </o:shapelayout>
  </w:shapeDefaults>
  <w:decimalSymbol w:val=","/>
  <w:listSeparator w:val=";"/>
  <w15:docId w15:val="{5A76E1FC-996D-4A96-9C7F-D5792F5E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DD4"/>
    <w:rPr>
      <w:sz w:val="24"/>
      <w:szCs w:val="24"/>
    </w:rPr>
  </w:style>
  <w:style w:type="paragraph" w:styleId="Titolo1">
    <w:name w:val="heading 1"/>
    <w:basedOn w:val="Normale"/>
    <w:next w:val="Normale"/>
    <w:qFormat/>
    <w:rsid w:val="00805C3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05C3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05C3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semiHidden/>
    <w:rsid w:val="00B7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
    <w:name w:val="Testo Nota"/>
    <w:basedOn w:val="Normale"/>
    <w:semiHidden/>
    <w:rsid w:val="00CD1AB6"/>
    <w:pPr>
      <w:numPr>
        <w:numId w:val="3"/>
      </w:numPr>
      <w:spacing w:after="240"/>
      <w:ind w:left="714" w:hanging="357"/>
      <w:jc w:val="both"/>
    </w:pPr>
    <w:rPr>
      <w:rFonts w:ascii="Verdana" w:hAnsi="Verdana"/>
      <w:sz w:val="16"/>
    </w:rPr>
  </w:style>
  <w:style w:type="paragraph" w:styleId="Intestazione">
    <w:name w:val="header"/>
    <w:basedOn w:val="Normale"/>
    <w:semiHidden/>
    <w:rsid w:val="0045589B"/>
    <w:pPr>
      <w:tabs>
        <w:tab w:val="center" w:pos="4819"/>
        <w:tab w:val="right" w:pos="9638"/>
      </w:tabs>
    </w:pPr>
  </w:style>
  <w:style w:type="paragraph" w:styleId="Pidipagina">
    <w:name w:val="footer"/>
    <w:basedOn w:val="Normale"/>
    <w:semiHidden/>
    <w:rsid w:val="0045589B"/>
    <w:pPr>
      <w:tabs>
        <w:tab w:val="center" w:pos="4819"/>
        <w:tab w:val="right" w:pos="9638"/>
      </w:tabs>
    </w:pPr>
  </w:style>
  <w:style w:type="character" w:styleId="Numeropagina">
    <w:name w:val="page number"/>
    <w:basedOn w:val="Carpredefinitoparagrafo"/>
    <w:semiHidden/>
    <w:rsid w:val="0045589B"/>
  </w:style>
  <w:style w:type="paragraph" w:customStyle="1" w:styleId="CorpodelTesto">
    <w:name w:val="Corpo del Testo"/>
    <w:basedOn w:val="Normale"/>
    <w:rsid w:val="00CD4F77"/>
    <w:pPr>
      <w:spacing w:after="240"/>
      <w:jc w:val="both"/>
    </w:pPr>
    <w:rPr>
      <w:rFonts w:ascii="Verdana" w:hAnsi="Verdana"/>
      <w:sz w:val="22"/>
    </w:rPr>
  </w:style>
  <w:style w:type="paragraph" w:customStyle="1" w:styleId="TitoloTesto">
    <w:name w:val="Titolo Testo"/>
    <w:basedOn w:val="Normale"/>
    <w:rsid w:val="00CD4F77"/>
    <w:pPr>
      <w:numPr>
        <w:numId w:val="5"/>
      </w:numPr>
      <w:spacing w:before="240"/>
      <w:jc w:val="both"/>
    </w:pPr>
    <w:rPr>
      <w:rFonts w:ascii="Verdana" w:hAnsi="Verdana"/>
      <w:b/>
      <w:sz w:val="22"/>
    </w:rPr>
  </w:style>
  <w:style w:type="paragraph" w:customStyle="1" w:styleId="Capitolo">
    <w:name w:val="Capitolo"/>
    <w:basedOn w:val="Normale"/>
    <w:rsid w:val="00CD4F77"/>
    <w:pPr>
      <w:jc w:val="both"/>
    </w:pPr>
    <w:rPr>
      <w:rFonts w:ascii="Verdana" w:hAnsi="Verdana"/>
      <w:b/>
      <w:color w:val="002F63"/>
      <w:sz w:val="28"/>
    </w:rPr>
  </w:style>
  <w:style w:type="paragraph" w:customStyle="1" w:styleId="DataModello">
    <w:name w:val="DataModello"/>
    <w:basedOn w:val="Normale"/>
    <w:rsid w:val="005F3AA6"/>
    <w:pPr>
      <w:spacing w:before="120"/>
      <w:jc w:val="center"/>
    </w:pPr>
    <w:rPr>
      <w:rFonts w:ascii="Tahoma" w:hAnsi="Tahoma"/>
      <w:color w:val="002F63"/>
      <w:sz w:val="18"/>
      <w:szCs w:val="22"/>
    </w:rPr>
  </w:style>
  <w:style w:type="paragraph" w:customStyle="1" w:styleId="Sottocapitolo">
    <w:name w:val="Sottocapitolo"/>
    <w:basedOn w:val="Normale"/>
    <w:rsid w:val="00CD4F77"/>
    <w:pPr>
      <w:spacing w:after="360"/>
      <w:jc w:val="both"/>
    </w:pPr>
    <w:rPr>
      <w:rFonts w:ascii="Verdana" w:hAnsi="Verdana"/>
      <w:b/>
      <w:color w:val="002F63"/>
      <w:sz w:val="28"/>
    </w:rPr>
  </w:style>
  <w:style w:type="paragraph" w:customStyle="1" w:styleId="TITOLO">
    <w:name w:val="TITOLO"/>
    <w:basedOn w:val="Normale"/>
    <w:rsid w:val="005F3AA6"/>
    <w:pPr>
      <w:jc w:val="center"/>
    </w:pPr>
    <w:rPr>
      <w:rFonts w:ascii="Verdana" w:hAnsi="Verdana"/>
      <w:b/>
      <w:color w:val="002F63"/>
      <w:sz w:val="28"/>
      <w:szCs w:val="28"/>
    </w:rPr>
  </w:style>
  <w:style w:type="paragraph" w:styleId="Testonotaapidipagina">
    <w:name w:val="footnote text"/>
    <w:basedOn w:val="Normale"/>
    <w:semiHidden/>
    <w:rsid w:val="00CD1AB6"/>
    <w:rPr>
      <w:sz w:val="20"/>
      <w:szCs w:val="20"/>
    </w:rPr>
  </w:style>
  <w:style w:type="character" w:styleId="Rimandonotaapidipagina">
    <w:name w:val="footnote reference"/>
    <w:semiHidden/>
    <w:rsid w:val="00CD1AB6"/>
    <w:rPr>
      <w:vertAlign w:val="superscript"/>
    </w:rPr>
  </w:style>
  <w:style w:type="paragraph" w:customStyle="1" w:styleId="Note">
    <w:name w:val="Note"/>
    <w:basedOn w:val="Testonotaapidipagina"/>
    <w:rsid w:val="006D2E4E"/>
    <w:rPr>
      <w:rFonts w:ascii="Verdana" w:hAnsi="Verdana"/>
      <w:sz w:val="18"/>
    </w:rPr>
  </w:style>
  <w:style w:type="paragraph" w:customStyle="1" w:styleId="Elenconumerato">
    <w:name w:val="Elenco numerato"/>
    <w:basedOn w:val="CorpodelTesto"/>
    <w:rsid w:val="001A434F"/>
    <w:pPr>
      <w:numPr>
        <w:ilvl w:val="1"/>
        <w:numId w:val="1"/>
      </w:numPr>
      <w:tabs>
        <w:tab w:val="clear" w:pos="1440"/>
        <w:tab w:val="left" w:pos="360"/>
      </w:tabs>
      <w:ind w:left="360"/>
    </w:pPr>
  </w:style>
  <w:style w:type="paragraph" w:styleId="Testofumetto">
    <w:name w:val="Balloon Text"/>
    <w:basedOn w:val="Normale"/>
    <w:semiHidden/>
    <w:rsid w:val="003E0813"/>
    <w:rPr>
      <w:rFonts w:ascii="Tahoma" w:hAnsi="Tahoma" w:cs="Tahoma"/>
      <w:sz w:val="16"/>
      <w:szCs w:val="16"/>
    </w:rPr>
  </w:style>
  <w:style w:type="paragraph" w:styleId="Paragrafoelenco">
    <w:name w:val="List Paragraph"/>
    <w:basedOn w:val="Normale"/>
    <w:uiPriority w:val="34"/>
    <w:qFormat/>
    <w:rsid w:val="00877E1C"/>
    <w:pPr>
      <w:ind w:left="708"/>
    </w:pPr>
  </w:style>
  <w:style w:type="character" w:styleId="Rimandocommento">
    <w:name w:val="annotation reference"/>
    <w:basedOn w:val="Carpredefinitoparagrafo"/>
    <w:semiHidden/>
    <w:unhideWhenUsed/>
    <w:rsid w:val="00E50E0F"/>
    <w:rPr>
      <w:sz w:val="16"/>
      <w:szCs w:val="16"/>
    </w:rPr>
  </w:style>
  <w:style w:type="paragraph" w:styleId="Testocommento">
    <w:name w:val="annotation text"/>
    <w:basedOn w:val="Normale"/>
    <w:link w:val="TestocommentoCarattere"/>
    <w:semiHidden/>
    <w:unhideWhenUsed/>
    <w:rsid w:val="00E50E0F"/>
    <w:rPr>
      <w:sz w:val="20"/>
      <w:szCs w:val="20"/>
    </w:rPr>
  </w:style>
  <w:style w:type="character" w:customStyle="1" w:styleId="TestocommentoCarattere">
    <w:name w:val="Testo commento Carattere"/>
    <w:basedOn w:val="Carpredefinitoparagrafo"/>
    <w:link w:val="Testocommento"/>
    <w:semiHidden/>
    <w:rsid w:val="00E5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errazzi\Desktop\pprepmoody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8C25-C1A0-4D7D-A9D9-68FFA729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pprepmoodys.dot</Template>
  <TotalTime>0</TotalTime>
  <Pages>6</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NOTA PER IL DIRETTORE GENERALE</vt:lpstr>
    </vt:vector>
  </TitlesOfParts>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PER IL DIRETTORE GENERALE</dc:title>
  <dc:subject/>
  <dc:creator>Ferrazzi Davide</dc:creator>
  <cp:keywords/>
  <dc:description/>
  <cp:lastModifiedBy>Davide Ferrazzi</cp:lastModifiedBy>
  <cp:revision>2</cp:revision>
  <cp:lastPrinted>2014-12-01T11:00:00Z</cp:lastPrinted>
  <dcterms:created xsi:type="dcterms:W3CDTF">2015-01-02T14:40:00Z</dcterms:created>
  <dcterms:modified xsi:type="dcterms:W3CDTF">2015-01-02T14:40:00Z</dcterms:modified>
</cp:coreProperties>
</file>